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940F87" w:rsidRDefault="00DF6EAE" w:rsidP="00940F87">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940F87">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940F87">
        <w:rPr>
          <w:rFonts w:ascii="Palatino Linotype" w:eastAsia="Palatino Linotype" w:hAnsi="Palatino Linotype" w:cs="Palatino Linotype"/>
          <w:color w:val="000000" w:themeColor="text1"/>
        </w:rPr>
        <w:t xml:space="preserve">do de México; </w:t>
      </w:r>
      <w:r w:rsidR="001660E4" w:rsidRPr="00940F87">
        <w:rPr>
          <w:rFonts w:ascii="Palatino Linotype" w:eastAsia="Palatino Linotype" w:hAnsi="Palatino Linotype" w:cs="Palatino Linotype"/>
          <w:b/>
          <w:color w:val="000000" w:themeColor="text1"/>
        </w:rPr>
        <w:t xml:space="preserve">de fecha </w:t>
      </w:r>
      <w:r w:rsidR="00964856">
        <w:rPr>
          <w:rFonts w:ascii="Palatino Linotype" w:eastAsia="Palatino Linotype" w:hAnsi="Palatino Linotype" w:cs="Palatino Linotype"/>
          <w:b/>
          <w:color w:val="000000" w:themeColor="text1"/>
        </w:rPr>
        <w:t>quince</w:t>
      </w:r>
      <w:r w:rsidR="00625CA0">
        <w:rPr>
          <w:rFonts w:ascii="Palatino Linotype" w:eastAsia="Palatino Linotype" w:hAnsi="Palatino Linotype" w:cs="Palatino Linotype"/>
          <w:b/>
          <w:color w:val="000000" w:themeColor="text1"/>
        </w:rPr>
        <w:t xml:space="preserve"> (15) </w:t>
      </w:r>
      <w:r w:rsidR="00964856">
        <w:rPr>
          <w:rFonts w:ascii="Palatino Linotype" w:eastAsia="Palatino Linotype" w:hAnsi="Palatino Linotype" w:cs="Palatino Linotype"/>
          <w:b/>
          <w:color w:val="000000" w:themeColor="text1"/>
        </w:rPr>
        <w:t>d</w:t>
      </w:r>
      <w:r w:rsidR="00F826C3" w:rsidRPr="00940F87">
        <w:rPr>
          <w:rFonts w:ascii="Palatino Linotype" w:eastAsia="Palatino Linotype" w:hAnsi="Palatino Linotype" w:cs="Palatino Linotype"/>
          <w:b/>
          <w:color w:val="000000" w:themeColor="text1"/>
        </w:rPr>
        <w:t>e octubre</w:t>
      </w:r>
      <w:r w:rsidR="001660E4" w:rsidRPr="00940F87">
        <w:rPr>
          <w:rFonts w:ascii="Palatino Linotype" w:eastAsia="Palatino Linotype" w:hAnsi="Palatino Linotype" w:cs="Palatino Linotype"/>
          <w:b/>
          <w:color w:val="000000" w:themeColor="text1"/>
        </w:rPr>
        <w:t xml:space="preserve"> de dos mil veinticinco</w:t>
      </w:r>
      <w:r w:rsidRPr="00940F87">
        <w:rPr>
          <w:rFonts w:ascii="Palatino Linotype" w:eastAsia="Palatino Linotype" w:hAnsi="Palatino Linotype" w:cs="Palatino Linotype"/>
          <w:color w:val="000000" w:themeColor="text1"/>
        </w:rPr>
        <w:t>.</w:t>
      </w:r>
    </w:p>
    <w:p w:rsidR="00E31311" w:rsidRPr="00940F87" w:rsidRDefault="00E31311" w:rsidP="00940F87">
      <w:pPr>
        <w:tabs>
          <w:tab w:val="left" w:pos="3465"/>
        </w:tabs>
        <w:spacing w:line="360" w:lineRule="auto"/>
        <w:jc w:val="both"/>
        <w:rPr>
          <w:rFonts w:ascii="Palatino Linotype" w:eastAsia="Palatino Linotype" w:hAnsi="Palatino Linotype" w:cs="Palatino Linotype"/>
          <w:color w:val="000000" w:themeColor="text1"/>
        </w:rPr>
      </w:pPr>
    </w:p>
    <w:p w:rsidR="00E31311" w:rsidRPr="00940F87" w:rsidRDefault="00DF6EAE" w:rsidP="00940F87">
      <w:pPr>
        <w:spacing w:line="360" w:lineRule="auto"/>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b/>
          <w:color w:val="000000" w:themeColor="text1"/>
        </w:rPr>
        <w:t>VISTO</w:t>
      </w:r>
      <w:r w:rsidRPr="00940F87">
        <w:rPr>
          <w:rFonts w:ascii="Palatino Linotype" w:eastAsia="Palatino Linotype" w:hAnsi="Palatino Linotype" w:cs="Palatino Linotype"/>
          <w:color w:val="000000" w:themeColor="text1"/>
        </w:rPr>
        <w:t xml:space="preserve"> el expediente elec</w:t>
      </w:r>
      <w:r w:rsidR="00A73D35" w:rsidRPr="00940F87">
        <w:rPr>
          <w:rFonts w:ascii="Palatino Linotype" w:eastAsia="Palatino Linotype" w:hAnsi="Palatino Linotype" w:cs="Palatino Linotype"/>
          <w:color w:val="000000" w:themeColor="text1"/>
        </w:rPr>
        <w:t>trónico formado con motivo del Recurso de R</w:t>
      </w:r>
      <w:r w:rsidRPr="00940F87">
        <w:rPr>
          <w:rFonts w:ascii="Palatino Linotype" w:eastAsia="Palatino Linotype" w:hAnsi="Palatino Linotype" w:cs="Palatino Linotype"/>
          <w:color w:val="000000" w:themeColor="text1"/>
        </w:rPr>
        <w:t xml:space="preserve">evisión </w:t>
      </w:r>
      <w:r w:rsidR="003A1F29" w:rsidRPr="00940F87">
        <w:rPr>
          <w:rFonts w:ascii="Palatino Linotype" w:eastAsia="Palatino Linotype" w:hAnsi="Palatino Linotype" w:cs="Palatino Linotype"/>
          <w:b/>
          <w:color w:val="000000" w:themeColor="text1"/>
        </w:rPr>
        <w:t>05388/INFOEM/IP/RR/2025</w:t>
      </w:r>
      <w:r w:rsidRPr="00940F87">
        <w:rPr>
          <w:rFonts w:ascii="Palatino Linotype" w:eastAsia="Palatino Linotype" w:hAnsi="Palatino Linotype" w:cs="Palatino Linotype"/>
          <w:b/>
          <w:color w:val="000000" w:themeColor="text1"/>
        </w:rPr>
        <w:t xml:space="preserve">, </w:t>
      </w:r>
      <w:r w:rsidRPr="00940F87">
        <w:rPr>
          <w:rFonts w:ascii="Palatino Linotype" w:eastAsia="Palatino Linotype" w:hAnsi="Palatino Linotype" w:cs="Palatino Linotype"/>
          <w:color w:val="000000" w:themeColor="text1"/>
        </w:rPr>
        <w:t>promovido por</w:t>
      </w:r>
      <w:r w:rsidR="001660E4" w:rsidRPr="00940F87">
        <w:rPr>
          <w:rFonts w:ascii="Palatino Linotype" w:eastAsia="Palatino Linotype" w:hAnsi="Palatino Linotype" w:cs="Palatino Linotype"/>
          <w:b/>
          <w:color w:val="000000" w:themeColor="text1"/>
        </w:rPr>
        <w:t xml:space="preserve"> </w:t>
      </w:r>
      <w:r w:rsidR="002527DC" w:rsidRPr="00940F87">
        <w:rPr>
          <w:rFonts w:ascii="Palatino Linotype" w:eastAsia="Palatino Linotype" w:hAnsi="Palatino Linotype" w:cs="Palatino Linotype"/>
          <w:b/>
          <w:color w:val="000000" w:themeColor="text1"/>
        </w:rPr>
        <w:t>una persona que no proporciono datos de identificación</w:t>
      </w:r>
      <w:r w:rsidRPr="00940F87">
        <w:rPr>
          <w:rFonts w:ascii="Palatino Linotype" w:eastAsia="Palatino Linotype" w:hAnsi="Palatino Linotype" w:cs="Palatino Linotype"/>
          <w:b/>
          <w:color w:val="000000" w:themeColor="text1"/>
        </w:rPr>
        <w:t>,</w:t>
      </w:r>
      <w:r w:rsidRPr="00940F87">
        <w:rPr>
          <w:rFonts w:ascii="Palatino Linotype" w:eastAsia="Palatino Linotype" w:hAnsi="Palatino Linotype" w:cs="Palatino Linotype"/>
          <w:color w:val="000000" w:themeColor="text1"/>
        </w:rPr>
        <w:t xml:space="preserve"> a quien en lo sucesivo se le identificará como </w:t>
      </w:r>
      <w:r w:rsidR="00A73D35" w:rsidRPr="00940F87">
        <w:rPr>
          <w:rFonts w:ascii="Palatino Linotype" w:eastAsia="Palatino Linotype" w:hAnsi="Palatino Linotype" w:cs="Palatino Linotype"/>
          <w:b/>
          <w:color w:val="000000" w:themeColor="text1"/>
        </w:rPr>
        <w:t>EL</w:t>
      </w:r>
      <w:r w:rsidR="00BB66B2" w:rsidRPr="00940F87">
        <w:rPr>
          <w:rFonts w:ascii="Palatino Linotype" w:eastAsia="Palatino Linotype" w:hAnsi="Palatino Linotype" w:cs="Palatino Linotype"/>
          <w:b/>
          <w:color w:val="000000" w:themeColor="text1"/>
        </w:rPr>
        <w:t xml:space="preserve"> RECURRENTE</w:t>
      </w:r>
      <w:r w:rsidRPr="00940F87">
        <w:rPr>
          <w:rFonts w:ascii="Palatino Linotype" w:eastAsia="Palatino Linotype" w:hAnsi="Palatino Linotype" w:cs="Palatino Linotype"/>
          <w:color w:val="000000" w:themeColor="text1"/>
        </w:rPr>
        <w:t xml:space="preserve">, en contra de la respuesta del </w:t>
      </w:r>
      <w:r w:rsidR="008F4362" w:rsidRPr="00940F87">
        <w:rPr>
          <w:rFonts w:ascii="Palatino Linotype" w:eastAsia="Palatino Linotype" w:hAnsi="Palatino Linotype" w:cs="Palatino Linotype"/>
          <w:b/>
          <w:color w:val="000000" w:themeColor="text1"/>
        </w:rPr>
        <w:t>Ayuntamiento de Toluca</w:t>
      </w:r>
      <w:r w:rsidRPr="00940F87">
        <w:rPr>
          <w:rFonts w:ascii="Palatino Linotype" w:eastAsia="Palatino Linotype" w:hAnsi="Palatino Linotype" w:cs="Palatino Linotype"/>
          <w:b/>
          <w:color w:val="000000" w:themeColor="text1"/>
        </w:rPr>
        <w:t xml:space="preserve">, </w:t>
      </w:r>
      <w:r w:rsidRPr="00940F87">
        <w:rPr>
          <w:rFonts w:ascii="Palatino Linotype" w:eastAsia="Palatino Linotype" w:hAnsi="Palatino Linotype" w:cs="Palatino Linotype"/>
          <w:color w:val="000000" w:themeColor="text1"/>
        </w:rPr>
        <w:t>en adelante el</w:t>
      </w:r>
      <w:r w:rsidRPr="00940F87">
        <w:rPr>
          <w:rFonts w:ascii="Palatino Linotype" w:eastAsia="Palatino Linotype" w:hAnsi="Palatino Linotype" w:cs="Palatino Linotype"/>
          <w:b/>
          <w:color w:val="000000" w:themeColor="text1"/>
        </w:rPr>
        <w:t xml:space="preserve"> SUJETO OBLIGADO</w:t>
      </w:r>
      <w:r w:rsidRPr="00940F87">
        <w:rPr>
          <w:rFonts w:ascii="Palatino Linotype" w:eastAsia="Palatino Linotype" w:hAnsi="Palatino Linotype" w:cs="Palatino Linotype"/>
          <w:color w:val="000000" w:themeColor="text1"/>
        </w:rPr>
        <w:t xml:space="preserve">, se procede a dictar la presente </w:t>
      </w:r>
      <w:r w:rsidR="00A73D35" w:rsidRPr="00940F87">
        <w:rPr>
          <w:rFonts w:ascii="Palatino Linotype" w:eastAsia="Palatino Linotype" w:hAnsi="Palatino Linotype" w:cs="Palatino Linotype"/>
          <w:color w:val="000000" w:themeColor="text1"/>
        </w:rPr>
        <w:t>R</w:t>
      </w:r>
      <w:r w:rsidRPr="00940F87">
        <w:rPr>
          <w:rFonts w:ascii="Palatino Linotype" w:eastAsia="Palatino Linotype" w:hAnsi="Palatino Linotype" w:cs="Palatino Linotype"/>
          <w:color w:val="000000" w:themeColor="text1"/>
        </w:rPr>
        <w:t>esolución, con base en los siguientes:</w:t>
      </w:r>
    </w:p>
    <w:p w:rsidR="00E31311" w:rsidRPr="00940F87" w:rsidRDefault="00E31311" w:rsidP="00940F87">
      <w:pPr>
        <w:spacing w:line="360" w:lineRule="auto"/>
        <w:jc w:val="both"/>
        <w:rPr>
          <w:rFonts w:ascii="Palatino Linotype" w:eastAsia="Palatino Linotype" w:hAnsi="Palatino Linotype" w:cs="Palatino Linotype"/>
          <w:b/>
          <w:color w:val="000000" w:themeColor="text1"/>
        </w:rPr>
      </w:pPr>
    </w:p>
    <w:p w:rsidR="00E31311" w:rsidRPr="00940F87" w:rsidRDefault="00DF6EAE" w:rsidP="00940F8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940F87">
        <w:rPr>
          <w:rFonts w:ascii="Palatino Linotype" w:eastAsia="Palatino Linotype" w:hAnsi="Palatino Linotype" w:cs="Palatino Linotype"/>
          <w:b/>
          <w:color w:val="000000" w:themeColor="text1"/>
          <w:sz w:val="24"/>
          <w:szCs w:val="24"/>
        </w:rPr>
        <w:t>A N T E C E D E N T E S</w:t>
      </w:r>
    </w:p>
    <w:p w:rsidR="00E31311" w:rsidRPr="00940F87" w:rsidRDefault="00E31311" w:rsidP="00940F87">
      <w:pPr>
        <w:spacing w:line="360" w:lineRule="auto"/>
        <w:rPr>
          <w:rFonts w:ascii="Palatino Linotype" w:hAnsi="Palatino Linotype"/>
          <w:color w:val="000000" w:themeColor="text1"/>
        </w:rPr>
      </w:pPr>
    </w:p>
    <w:p w:rsidR="00E31311" w:rsidRPr="00625CA0" w:rsidRDefault="00DF6EAE" w:rsidP="00940F8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40F87">
        <w:rPr>
          <w:rFonts w:ascii="Palatino Linotype" w:eastAsia="Palatino Linotype" w:hAnsi="Palatino Linotype" w:cs="Palatino Linotype"/>
          <w:color w:val="000000" w:themeColor="text1"/>
        </w:rPr>
        <w:t>El día</w:t>
      </w:r>
      <w:r w:rsidR="001660E4" w:rsidRPr="00940F87">
        <w:rPr>
          <w:rFonts w:ascii="Palatino Linotype" w:eastAsia="Palatino Linotype" w:hAnsi="Palatino Linotype" w:cs="Palatino Linotype"/>
          <w:b/>
          <w:color w:val="000000" w:themeColor="text1"/>
        </w:rPr>
        <w:t xml:space="preserve"> </w:t>
      </w:r>
      <w:r w:rsidR="003A1F29" w:rsidRPr="00940F87">
        <w:rPr>
          <w:rFonts w:ascii="Palatino Linotype" w:eastAsia="Palatino Linotype" w:hAnsi="Palatino Linotype" w:cs="Palatino Linotype"/>
          <w:b/>
          <w:color w:val="000000" w:themeColor="text1"/>
        </w:rPr>
        <w:t>veintiuno</w:t>
      </w:r>
      <w:r w:rsidR="00D5645A" w:rsidRPr="00940F87">
        <w:rPr>
          <w:rFonts w:ascii="Palatino Linotype" w:eastAsia="Palatino Linotype" w:hAnsi="Palatino Linotype" w:cs="Palatino Linotype"/>
          <w:b/>
          <w:color w:val="000000" w:themeColor="text1"/>
        </w:rPr>
        <w:t xml:space="preserve"> de </w:t>
      </w:r>
      <w:r w:rsidR="003A1F29" w:rsidRPr="00940F87">
        <w:rPr>
          <w:rFonts w:ascii="Palatino Linotype" w:eastAsia="Palatino Linotype" w:hAnsi="Palatino Linotype" w:cs="Palatino Linotype"/>
          <w:b/>
          <w:color w:val="000000" w:themeColor="text1"/>
        </w:rPr>
        <w:t>marz</w:t>
      </w:r>
      <w:r w:rsidR="00D5645A" w:rsidRPr="00940F87">
        <w:rPr>
          <w:rFonts w:ascii="Palatino Linotype" w:eastAsia="Palatino Linotype" w:hAnsi="Palatino Linotype" w:cs="Palatino Linotype"/>
          <w:b/>
          <w:color w:val="000000" w:themeColor="text1"/>
        </w:rPr>
        <w:t>o</w:t>
      </w:r>
      <w:r w:rsidR="00A278EC" w:rsidRPr="00940F87">
        <w:rPr>
          <w:rFonts w:ascii="Palatino Linotype" w:eastAsia="Palatino Linotype" w:hAnsi="Palatino Linotype" w:cs="Palatino Linotype"/>
          <w:b/>
          <w:color w:val="000000" w:themeColor="text1"/>
        </w:rPr>
        <w:t xml:space="preserve"> </w:t>
      </w:r>
      <w:r w:rsidR="00BB66B2" w:rsidRPr="00940F87">
        <w:rPr>
          <w:rFonts w:ascii="Palatino Linotype" w:eastAsia="Palatino Linotype" w:hAnsi="Palatino Linotype" w:cs="Palatino Linotype"/>
          <w:b/>
          <w:color w:val="000000" w:themeColor="text1"/>
        </w:rPr>
        <w:t>dos mil veinticinco</w:t>
      </w:r>
      <w:r w:rsidRPr="00940F87">
        <w:rPr>
          <w:rFonts w:ascii="Palatino Linotype" w:eastAsia="Palatino Linotype" w:hAnsi="Palatino Linotype" w:cs="Palatino Linotype"/>
          <w:b/>
          <w:color w:val="000000" w:themeColor="text1"/>
        </w:rPr>
        <w:t xml:space="preserve">, </w:t>
      </w:r>
      <w:r w:rsidRPr="00940F87">
        <w:rPr>
          <w:rFonts w:ascii="Palatino Linotype" w:eastAsia="Palatino Linotype" w:hAnsi="Palatino Linotype" w:cs="Palatino Linotype"/>
          <w:color w:val="000000" w:themeColor="text1"/>
        </w:rPr>
        <w:t xml:space="preserve">se presentó ante el </w:t>
      </w:r>
      <w:r w:rsidRPr="00940F87">
        <w:rPr>
          <w:rFonts w:ascii="Palatino Linotype" w:eastAsia="Palatino Linotype" w:hAnsi="Palatino Linotype" w:cs="Palatino Linotype"/>
          <w:b/>
          <w:color w:val="000000" w:themeColor="text1"/>
        </w:rPr>
        <w:t>SUJETO OBLIGADO</w:t>
      </w:r>
      <w:r w:rsidR="00A87FF1" w:rsidRPr="00940F87">
        <w:rPr>
          <w:rFonts w:ascii="Palatino Linotype" w:eastAsia="Palatino Linotype" w:hAnsi="Palatino Linotype" w:cs="Palatino Linotype"/>
          <w:color w:val="000000" w:themeColor="text1"/>
        </w:rPr>
        <w:t xml:space="preserve"> vía</w:t>
      </w:r>
      <w:r w:rsidR="005706CE" w:rsidRPr="00940F87">
        <w:rPr>
          <w:rFonts w:ascii="Palatino Linotype" w:eastAsia="Palatino Linotype" w:hAnsi="Palatino Linotype" w:cs="Palatino Linotype"/>
          <w:color w:val="000000" w:themeColor="text1"/>
        </w:rPr>
        <w:t xml:space="preserve"> </w:t>
      </w:r>
      <w:r w:rsidR="00A87FF1" w:rsidRPr="00940F87">
        <w:rPr>
          <w:rFonts w:ascii="Palatino Linotype" w:eastAsia="Palatino Linotype" w:hAnsi="Palatino Linotype" w:cs="Palatino Linotype"/>
          <w:color w:val="000000" w:themeColor="text1"/>
        </w:rPr>
        <w:t>Sistema de Acceso a la Información Mexiquense</w:t>
      </w:r>
      <w:r w:rsidR="005706CE" w:rsidRPr="00940F87">
        <w:rPr>
          <w:rFonts w:ascii="Palatino Linotype" w:eastAsia="Palatino Linotype" w:hAnsi="Palatino Linotype" w:cs="Palatino Linotype"/>
          <w:color w:val="000000" w:themeColor="text1"/>
        </w:rPr>
        <w:t xml:space="preserve"> (SAIMEX)</w:t>
      </w:r>
      <w:r w:rsidRPr="00940F87">
        <w:rPr>
          <w:rFonts w:ascii="Palatino Linotype" w:eastAsia="Palatino Linotype" w:hAnsi="Palatino Linotype" w:cs="Palatino Linotype"/>
          <w:color w:val="000000" w:themeColor="text1"/>
        </w:rPr>
        <w:t xml:space="preserve">, la </w:t>
      </w:r>
      <w:r w:rsidR="00F826C3" w:rsidRPr="00940F87">
        <w:rPr>
          <w:rFonts w:ascii="Palatino Linotype" w:eastAsia="Palatino Linotype" w:hAnsi="Palatino Linotype" w:cs="Palatino Linotype"/>
          <w:color w:val="000000" w:themeColor="text1"/>
        </w:rPr>
        <w:t>S</w:t>
      </w:r>
      <w:r w:rsidRPr="00940F87">
        <w:rPr>
          <w:rFonts w:ascii="Palatino Linotype" w:eastAsia="Palatino Linotype" w:hAnsi="Palatino Linotype" w:cs="Palatino Linotype"/>
          <w:color w:val="000000" w:themeColor="text1"/>
        </w:rPr>
        <w:t xml:space="preserve">olicitud de </w:t>
      </w:r>
      <w:r w:rsidR="00F826C3" w:rsidRPr="00940F87">
        <w:rPr>
          <w:rFonts w:ascii="Palatino Linotype" w:eastAsia="Palatino Linotype" w:hAnsi="Palatino Linotype" w:cs="Palatino Linotype"/>
          <w:color w:val="000000" w:themeColor="text1"/>
        </w:rPr>
        <w:t>I</w:t>
      </w:r>
      <w:r w:rsidRPr="00940F87">
        <w:rPr>
          <w:rFonts w:ascii="Palatino Linotype" w:eastAsia="Palatino Linotype" w:hAnsi="Palatino Linotype" w:cs="Palatino Linotype"/>
          <w:color w:val="000000" w:themeColor="text1"/>
        </w:rPr>
        <w:t xml:space="preserve">nformación </w:t>
      </w:r>
      <w:r w:rsidR="00F826C3" w:rsidRPr="00940F87">
        <w:rPr>
          <w:rFonts w:ascii="Palatino Linotype" w:eastAsia="Palatino Linotype" w:hAnsi="Palatino Linotype" w:cs="Palatino Linotype"/>
          <w:color w:val="000000" w:themeColor="text1"/>
        </w:rPr>
        <w:t>P</w:t>
      </w:r>
      <w:r w:rsidRPr="00940F87">
        <w:rPr>
          <w:rFonts w:ascii="Palatino Linotype" w:eastAsia="Palatino Linotype" w:hAnsi="Palatino Linotype" w:cs="Palatino Linotype"/>
          <w:color w:val="000000" w:themeColor="text1"/>
        </w:rPr>
        <w:t>ública registrada con el número</w:t>
      </w:r>
      <w:r w:rsidRPr="00940F87">
        <w:rPr>
          <w:rFonts w:ascii="Palatino Linotype" w:eastAsia="Palatino Linotype" w:hAnsi="Palatino Linotype" w:cs="Palatino Linotype"/>
          <w:b/>
          <w:color w:val="000000" w:themeColor="text1"/>
        </w:rPr>
        <w:t xml:space="preserve">  </w:t>
      </w:r>
      <w:r w:rsidR="003A1F29" w:rsidRPr="00940F87">
        <w:rPr>
          <w:rFonts w:ascii="Palatino Linotype" w:eastAsia="Palatino Linotype" w:hAnsi="Palatino Linotype" w:cs="Palatino Linotype"/>
          <w:b/>
          <w:color w:val="000000" w:themeColor="text1"/>
        </w:rPr>
        <w:t>01752/TOLUCA/IP/2025</w:t>
      </w:r>
      <w:r w:rsidRPr="00940F87">
        <w:rPr>
          <w:rFonts w:ascii="Palatino Linotype" w:eastAsia="Palatino Linotype" w:hAnsi="Palatino Linotype" w:cs="Palatino Linotype"/>
          <w:b/>
          <w:color w:val="000000" w:themeColor="text1"/>
        </w:rPr>
        <w:t xml:space="preserve">; </w:t>
      </w:r>
      <w:r w:rsidRPr="00940F87">
        <w:rPr>
          <w:rFonts w:ascii="Palatino Linotype" w:eastAsia="Palatino Linotype" w:hAnsi="Palatino Linotype" w:cs="Palatino Linotype"/>
          <w:color w:val="000000" w:themeColor="text1"/>
        </w:rPr>
        <w:t>en la que se solicitó la siguiente información:</w:t>
      </w:r>
    </w:p>
    <w:p w:rsidR="00625CA0" w:rsidRPr="00940F87" w:rsidRDefault="00625CA0" w:rsidP="00625CA0">
      <w:pPr>
        <w:pBdr>
          <w:top w:val="nil"/>
          <w:left w:val="nil"/>
          <w:bottom w:val="nil"/>
          <w:right w:val="nil"/>
          <w:between w:val="nil"/>
        </w:pBdr>
        <w:spacing w:line="360" w:lineRule="auto"/>
        <w:jc w:val="both"/>
        <w:rPr>
          <w:rFonts w:ascii="Palatino Linotype" w:hAnsi="Palatino Linotype"/>
          <w:color w:val="000000" w:themeColor="text1"/>
        </w:rPr>
      </w:pPr>
    </w:p>
    <w:p w:rsidR="00E31311" w:rsidRPr="00940F87" w:rsidRDefault="00A87FF1" w:rsidP="00940F8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w:t>
      </w:r>
      <w:r w:rsidR="003A1F29" w:rsidRPr="00940F87">
        <w:rPr>
          <w:rFonts w:ascii="Palatino Linotype" w:eastAsia="Palatino Linotype" w:hAnsi="Palatino Linotype" w:cs="Palatino Linotype"/>
          <w:i/>
          <w:color w:val="000000" w:themeColor="text1"/>
        </w:rPr>
        <w:t>Información acerca de las empresas y contratos que realizaron las obras de desarrollo urbano y obra publica durante el ejercicio 2022 en el Municipio de Toluca las reclamaciones por garantias de las obras</w:t>
      </w:r>
      <w:r w:rsidR="00DF6EAE" w:rsidRPr="00940F87">
        <w:rPr>
          <w:rFonts w:ascii="Palatino Linotype" w:eastAsia="Palatino Linotype" w:hAnsi="Palatino Linotype" w:cs="Palatino Linotype"/>
          <w:i/>
          <w:color w:val="000000" w:themeColor="text1"/>
        </w:rPr>
        <w:t>”</w:t>
      </w:r>
    </w:p>
    <w:p w:rsidR="00D61D82" w:rsidRPr="00940F87" w:rsidRDefault="00D61D82" w:rsidP="00940F8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940F87" w:rsidRDefault="00A87FF1" w:rsidP="00940F8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940F87">
        <w:rPr>
          <w:rFonts w:ascii="Palatino Linotype" w:eastAsia="Palatino Linotype" w:hAnsi="Palatino Linotype" w:cs="Palatino Linotype"/>
          <w:color w:val="000000" w:themeColor="text1"/>
        </w:rPr>
        <w:t>Se eligió como modalidad de entrega</w:t>
      </w:r>
      <w:r w:rsidR="00370DEE" w:rsidRPr="00940F87">
        <w:rPr>
          <w:rFonts w:ascii="Palatino Linotype" w:eastAsia="Palatino Linotype" w:hAnsi="Palatino Linotype" w:cs="Palatino Linotype"/>
          <w:color w:val="000000" w:themeColor="text1"/>
        </w:rPr>
        <w:t>:</w:t>
      </w:r>
      <w:r w:rsidRPr="00940F87">
        <w:rPr>
          <w:rFonts w:ascii="Palatino Linotype" w:eastAsia="Palatino Linotype" w:hAnsi="Palatino Linotype" w:cs="Palatino Linotype"/>
          <w:color w:val="000000" w:themeColor="text1"/>
        </w:rPr>
        <w:t xml:space="preserve"> </w:t>
      </w:r>
      <w:r w:rsidRPr="00940F87">
        <w:rPr>
          <w:rFonts w:ascii="Palatino Linotype" w:eastAsia="Palatino Linotype" w:hAnsi="Palatino Linotype" w:cs="Palatino Linotype"/>
          <w:b/>
          <w:color w:val="000000" w:themeColor="text1"/>
        </w:rPr>
        <w:t>SAIMEX</w:t>
      </w:r>
    </w:p>
    <w:p w:rsidR="00E31311" w:rsidRPr="00940F87" w:rsidRDefault="00E31311" w:rsidP="00940F8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4764D" w:rsidRPr="00940F87" w:rsidRDefault="001660E4" w:rsidP="00940F87">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940F87">
        <w:rPr>
          <w:rFonts w:ascii="Palatino Linotype" w:eastAsia="Palatino Linotype" w:hAnsi="Palatino Linotype" w:cs="Palatino Linotype"/>
          <w:color w:val="000000" w:themeColor="text1"/>
        </w:rPr>
        <w:lastRenderedPageBreak/>
        <w:t xml:space="preserve">En fecha </w:t>
      </w:r>
      <w:r w:rsidR="003A1F29" w:rsidRPr="00940F87">
        <w:rPr>
          <w:rFonts w:ascii="Palatino Linotype" w:eastAsia="Palatino Linotype" w:hAnsi="Palatino Linotype" w:cs="Palatino Linotype"/>
          <w:b/>
          <w:color w:val="000000" w:themeColor="text1"/>
        </w:rPr>
        <w:t>diez</w:t>
      </w:r>
      <w:r w:rsidR="00D5645A" w:rsidRPr="00940F87">
        <w:rPr>
          <w:rFonts w:ascii="Palatino Linotype" w:eastAsia="Palatino Linotype" w:hAnsi="Palatino Linotype" w:cs="Palatino Linotype"/>
          <w:b/>
          <w:color w:val="000000" w:themeColor="text1"/>
        </w:rPr>
        <w:t xml:space="preserve"> </w:t>
      </w:r>
      <w:r w:rsidR="008F4362" w:rsidRPr="00940F87">
        <w:rPr>
          <w:rFonts w:ascii="Palatino Linotype" w:eastAsia="Palatino Linotype" w:hAnsi="Palatino Linotype" w:cs="Palatino Linotype"/>
          <w:b/>
          <w:color w:val="000000" w:themeColor="text1"/>
        </w:rPr>
        <w:t xml:space="preserve">de </w:t>
      </w:r>
      <w:r w:rsidR="003A1F29" w:rsidRPr="00940F87">
        <w:rPr>
          <w:rFonts w:ascii="Palatino Linotype" w:eastAsia="Palatino Linotype" w:hAnsi="Palatino Linotype" w:cs="Palatino Linotype"/>
          <w:b/>
          <w:color w:val="000000" w:themeColor="text1"/>
        </w:rPr>
        <w:t>abril</w:t>
      </w:r>
      <w:r w:rsidRPr="00940F87">
        <w:rPr>
          <w:rFonts w:ascii="Palatino Linotype" w:eastAsia="Palatino Linotype" w:hAnsi="Palatino Linotype" w:cs="Palatino Linotype"/>
          <w:b/>
          <w:color w:val="000000" w:themeColor="text1"/>
        </w:rPr>
        <w:t xml:space="preserve"> </w:t>
      </w:r>
      <w:r w:rsidR="008F4362" w:rsidRPr="00940F87">
        <w:rPr>
          <w:rFonts w:ascii="Palatino Linotype" w:eastAsia="Palatino Linotype" w:hAnsi="Palatino Linotype" w:cs="Palatino Linotype"/>
          <w:b/>
          <w:color w:val="000000" w:themeColor="text1"/>
        </w:rPr>
        <w:t>de dos mil veinticinco</w:t>
      </w:r>
      <w:r w:rsidR="00DF6EAE" w:rsidRPr="00940F87">
        <w:rPr>
          <w:rFonts w:ascii="Palatino Linotype" w:eastAsia="Palatino Linotype" w:hAnsi="Palatino Linotype" w:cs="Palatino Linotype"/>
          <w:color w:val="000000" w:themeColor="text1"/>
        </w:rPr>
        <w:t xml:space="preserve"> el </w:t>
      </w:r>
      <w:r w:rsidR="00DF6EAE" w:rsidRPr="00940F87">
        <w:rPr>
          <w:rFonts w:ascii="Palatino Linotype" w:eastAsia="Palatino Linotype" w:hAnsi="Palatino Linotype" w:cs="Palatino Linotype"/>
          <w:b/>
          <w:color w:val="000000" w:themeColor="text1"/>
        </w:rPr>
        <w:t>SUJETO OBLIGADO,</w:t>
      </w:r>
      <w:r w:rsidR="00DF6EAE" w:rsidRPr="00940F87">
        <w:rPr>
          <w:rFonts w:ascii="Palatino Linotype" w:eastAsia="Palatino Linotype" w:hAnsi="Palatino Linotype" w:cs="Palatino Linotype"/>
          <w:color w:val="000000" w:themeColor="text1"/>
        </w:rPr>
        <w:t xml:space="preserve"> dio respuesta a la solicitud</w:t>
      </w:r>
      <w:r w:rsidR="003142E9" w:rsidRPr="00940F87">
        <w:rPr>
          <w:rFonts w:ascii="Palatino Linotype" w:eastAsia="Palatino Linotype" w:hAnsi="Palatino Linotype" w:cs="Palatino Linotype"/>
          <w:color w:val="000000" w:themeColor="text1"/>
        </w:rPr>
        <w:t xml:space="preserve">, remitiendo </w:t>
      </w:r>
      <w:r w:rsidR="0034764D" w:rsidRPr="00940F87">
        <w:rPr>
          <w:rFonts w:ascii="Palatino Linotype" w:eastAsia="Palatino Linotype" w:hAnsi="Palatino Linotype" w:cs="Palatino Linotype"/>
          <w:color w:val="000000" w:themeColor="text1"/>
        </w:rPr>
        <w:t>dos</w:t>
      </w:r>
      <w:r w:rsidR="008F4362" w:rsidRPr="00940F87">
        <w:rPr>
          <w:rFonts w:ascii="Palatino Linotype" w:eastAsia="Palatino Linotype" w:hAnsi="Palatino Linotype" w:cs="Palatino Linotype"/>
          <w:color w:val="000000" w:themeColor="text1"/>
        </w:rPr>
        <w:t xml:space="preserve"> archivo</w:t>
      </w:r>
      <w:r w:rsidR="0034764D" w:rsidRPr="00940F87">
        <w:rPr>
          <w:rFonts w:ascii="Palatino Linotype" w:eastAsia="Palatino Linotype" w:hAnsi="Palatino Linotype" w:cs="Palatino Linotype"/>
          <w:color w:val="000000" w:themeColor="text1"/>
        </w:rPr>
        <w:t>s</w:t>
      </w:r>
      <w:r w:rsidR="008F4362" w:rsidRPr="00940F87">
        <w:rPr>
          <w:rFonts w:ascii="Palatino Linotype" w:eastAsia="Palatino Linotype" w:hAnsi="Palatino Linotype" w:cs="Palatino Linotype"/>
          <w:color w:val="000000" w:themeColor="text1"/>
        </w:rPr>
        <w:t xml:space="preserve"> denominado</w:t>
      </w:r>
      <w:r w:rsidR="0034764D" w:rsidRPr="00940F87">
        <w:rPr>
          <w:rFonts w:ascii="Palatino Linotype" w:eastAsia="Palatino Linotype" w:hAnsi="Palatino Linotype" w:cs="Palatino Linotype"/>
          <w:color w:val="000000" w:themeColor="text1"/>
        </w:rPr>
        <w:t>s</w:t>
      </w:r>
      <w:r w:rsidR="004067A2" w:rsidRPr="00940F87">
        <w:rPr>
          <w:rFonts w:ascii="Palatino Linotype" w:eastAsia="Palatino Linotype" w:hAnsi="Palatino Linotype" w:cs="Palatino Linotype"/>
          <w:color w:val="000000" w:themeColor="text1"/>
        </w:rPr>
        <w:t>:</w:t>
      </w:r>
    </w:p>
    <w:p w:rsidR="0034764D" w:rsidRPr="00940F87" w:rsidRDefault="003A1F29" w:rsidP="00940F87">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i/>
          <w:color w:val="000000" w:themeColor="text1"/>
        </w:rPr>
        <w:t>RESPUESTA SAIMEX 1752-2025.pdf</w:t>
      </w:r>
      <w:r w:rsidR="0034764D" w:rsidRPr="00940F87">
        <w:rPr>
          <w:rFonts w:ascii="Palatino Linotype" w:eastAsia="Palatino Linotype" w:hAnsi="Palatino Linotype" w:cs="Palatino Linotype"/>
          <w:i/>
          <w:color w:val="000000" w:themeColor="text1"/>
        </w:rPr>
        <w:t xml:space="preserve">, </w:t>
      </w:r>
      <w:r w:rsidRPr="00940F87">
        <w:rPr>
          <w:rFonts w:ascii="Palatino Linotype" w:eastAsia="Palatino Linotype" w:hAnsi="Palatino Linotype" w:cs="Palatino Linotype"/>
          <w:color w:val="000000" w:themeColor="text1"/>
        </w:rPr>
        <w:t>que corresponde a un oficio signado por el Director General de Innovación, Planeación y Gestión Urbana, mediante el cual informa que en el área a su cargo no se cuenta con lo solicitado.</w:t>
      </w:r>
      <w:r w:rsidR="0034764D" w:rsidRPr="00940F87">
        <w:rPr>
          <w:rFonts w:ascii="Palatino Linotype" w:eastAsia="Palatino Linotype" w:hAnsi="Palatino Linotype" w:cs="Palatino Linotype"/>
          <w:color w:val="000000" w:themeColor="text1"/>
        </w:rPr>
        <w:t>.</w:t>
      </w:r>
    </w:p>
    <w:p w:rsidR="0034764D" w:rsidRPr="00940F87" w:rsidRDefault="003A1F29" w:rsidP="00940F87">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i/>
          <w:color w:val="000000" w:themeColor="text1"/>
        </w:rPr>
        <w:t>Respuesta Saimex 01752.pdf</w:t>
      </w:r>
      <w:r w:rsidR="0034764D" w:rsidRPr="00940F87">
        <w:rPr>
          <w:rFonts w:ascii="Palatino Linotype" w:eastAsia="Palatino Linotype" w:hAnsi="Palatino Linotype" w:cs="Palatino Linotype"/>
          <w:i/>
          <w:color w:val="000000" w:themeColor="text1"/>
        </w:rPr>
        <w:t xml:space="preserve">, </w:t>
      </w:r>
      <w:r w:rsidR="00155228" w:rsidRPr="00940F87">
        <w:rPr>
          <w:rFonts w:ascii="Palatino Linotype" w:eastAsia="Palatino Linotype" w:hAnsi="Palatino Linotype" w:cs="Palatino Linotype"/>
          <w:color w:val="000000" w:themeColor="text1"/>
        </w:rPr>
        <w:t>que corresponde a un oficio signado por el Director General de Obras Públicas, mediante el cual informa que se remite el listado de empresas y contratos celebrados en el ejercicio 2022. En cuanto a las reclamaciones por garantía, se manifiesta que no se localizó expresión documental que dé cuenta de lo solicitado.</w:t>
      </w:r>
    </w:p>
    <w:p w:rsidR="0034764D" w:rsidRPr="00940F87" w:rsidRDefault="003A1F29" w:rsidP="00940F87">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i/>
          <w:color w:val="000000" w:themeColor="text1"/>
        </w:rPr>
        <w:t xml:space="preserve">Respuesta Saimex 01752.pdf, </w:t>
      </w:r>
      <w:r w:rsidR="00155228" w:rsidRPr="00940F87">
        <w:rPr>
          <w:rFonts w:ascii="Palatino Linotype" w:eastAsia="Palatino Linotype" w:hAnsi="Palatino Linotype" w:cs="Palatino Linotype"/>
          <w:color w:val="000000" w:themeColor="text1"/>
        </w:rPr>
        <w:t>que corresponde al anexo con el listado de empresas y contratos celebrados en el ejercicio 2022.</w:t>
      </w:r>
    </w:p>
    <w:p w:rsidR="003A1F29" w:rsidRPr="00940F87" w:rsidRDefault="003A1F29" w:rsidP="00940F8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31311" w:rsidRPr="00940F87" w:rsidRDefault="00AE1941" w:rsidP="00940F87">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940F87">
        <w:rPr>
          <w:rFonts w:ascii="Palatino Linotype" w:eastAsia="Palatino Linotype" w:hAnsi="Palatino Linotype" w:cs="Palatino Linotype"/>
          <w:color w:val="000000" w:themeColor="text1"/>
        </w:rPr>
        <w:t xml:space="preserve">Inconforme con la respuesta el </w:t>
      </w:r>
      <w:r w:rsidR="00E36B7B" w:rsidRPr="00940F87">
        <w:rPr>
          <w:rFonts w:ascii="Palatino Linotype" w:eastAsia="Palatino Linotype" w:hAnsi="Palatino Linotype" w:cs="Palatino Linotype"/>
          <w:b/>
          <w:color w:val="000000" w:themeColor="text1"/>
        </w:rPr>
        <w:t>dieciséis de marzo</w:t>
      </w:r>
      <w:r w:rsidRPr="00940F87">
        <w:rPr>
          <w:rFonts w:ascii="Palatino Linotype" w:eastAsia="Palatino Linotype" w:hAnsi="Palatino Linotype" w:cs="Palatino Linotype"/>
          <w:b/>
          <w:color w:val="000000" w:themeColor="text1"/>
        </w:rPr>
        <w:t xml:space="preserve"> del año en curso</w:t>
      </w:r>
      <w:r w:rsidRPr="00940F87">
        <w:rPr>
          <w:rFonts w:ascii="Palatino Linotype" w:eastAsia="Palatino Linotype" w:hAnsi="Palatino Linotype" w:cs="Palatino Linotype"/>
          <w:color w:val="000000" w:themeColor="text1"/>
        </w:rPr>
        <w:t xml:space="preserve">, </w:t>
      </w:r>
      <w:r w:rsidR="00DF6EAE" w:rsidRPr="00940F87">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rsidR="00A87FF1" w:rsidRPr="00940F87" w:rsidRDefault="00A87FF1" w:rsidP="00940F87">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E31311" w:rsidRPr="00940F87" w:rsidRDefault="00DF6EAE" w:rsidP="00940F8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940F87">
        <w:rPr>
          <w:rFonts w:ascii="Palatino Linotype" w:eastAsia="Palatino Linotype" w:hAnsi="Palatino Linotype" w:cs="Palatino Linotype"/>
          <w:b/>
          <w:color w:val="000000" w:themeColor="text1"/>
        </w:rPr>
        <w:t xml:space="preserve">Acto impugnado: </w:t>
      </w:r>
      <w:r w:rsidR="00A87FF1" w:rsidRPr="00940F87">
        <w:rPr>
          <w:rFonts w:ascii="Palatino Linotype" w:eastAsia="Palatino Linotype" w:hAnsi="Palatino Linotype" w:cs="Palatino Linotype"/>
          <w:i/>
          <w:color w:val="000000" w:themeColor="text1"/>
        </w:rPr>
        <w:t>“</w:t>
      </w:r>
      <w:r w:rsidR="00FF5DD7" w:rsidRPr="00940F87">
        <w:rPr>
          <w:rFonts w:ascii="Palatino Linotype" w:eastAsia="Palatino Linotype" w:hAnsi="Palatino Linotype" w:cs="Palatino Linotype"/>
          <w:i/>
          <w:color w:val="000000" w:themeColor="text1"/>
        </w:rPr>
        <w:t>La respuesta esta incompleta</w:t>
      </w:r>
      <w:r w:rsidRPr="00940F87">
        <w:rPr>
          <w:rFonts w:ascii="Palatino Linotype" w:eastAsia="Palatino Linotype" w:hAnsi="Palatino Linotype" w:cs="Palatino Linotype"/>
          <w:i/>
          <w:color w:val="000000" w:themeColor="text1"/>
        </w:rPr>
        <w:t>”</w:t>
      </w:r>
    </w:p>
    <w:p w:rsidR="00E31311" w:rsidRDefault="00DF6EAE" w:rsidP="00940F8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color w:val="000000" w:themeColor="text1"/>
        </w:rPr>
        <w:t>Razones o Motivos de Inconformidad:</w:t>
      </w:r>
      <w:r w:rsidR="00A87FF1" w:rsidRPr="00940F87">
        <w:rPr>
          <w:rFonts w:ascii="Palatino Linotype" w:eastAsia="Palatino Linotype" w:hAnsi="Palatino Linotype" w:cs="Palatino Linotype"/>
          <w:i/>
          <w:color w:val="000000" w:themeColor="text1"/>
        </w:rPr>
        <w:t xml:space="preserve"> “</w:t>
      </w:r>
      <w:r w:rsidR="00FF5DD7" w:rsidRPr="00940F87">
        <w:rPr>
          <w:rFonts w:ascii="Palatino Linotype" w:eastAsia="Palatino Linotype" w:hAnsi="Palatino Linotype" w:cs="Palatino Linotype"/>
          <w:i/>
          <w:color w:val="000000" w:themeColor="text1"/>
        </w:rPr>
        <w:t>Falta información no esta todo lo solicitado</w:t>
      </w:r>
      <w:r w:rsidRPr="00940F87">
        <w:rPr>
          <w:rFonts w:ascii="Palatino Linotype" w:eastAsia="Palatino Linotype" w:hAnsi="Palatino Linotype" w:cs="Palatino Linotype"/>
          <w:i/>
          <w:color w:val="000000" w:themeColor="text1"/>
        </w:rPr>
        <w:t>”</w:t>
      </w:r>
    </w:p>
    <w:p w:rsidR="00625CA0" w:rsidRPr="00940F87" w:rsidRDefault="00625CA0" w:rsidP="00625CA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940F87" w:rsidRDefault="00DF6EAE" w:rsidP="00940F8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40F87">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940F87">
        <w:rPr>
          <w:rFonts w:ascii="Palatino Linotype" w:eastAsia="Palatino Linotype" w:hAnsi="Palatino Linotype" w:cs="Palatino Linotype"/>
          <w:color w:val="000000" w:themeColor="text1"/>
        </w:rPr>
        <w:t xml:space="preserve">cuerdo de admisión de fecha </w:t>
      </w:r>
      <w:r w:rsidR="00E36B7B" w:rsidRPr="00940F87">
        <w:rPr>
          <w:rFonts w:ascii="Palatino Linotype" w:eastAsia="Palatino Linotype" w:hAnsi="Palatino Linotype" w:cs="Palatino Linotype"/>
          <w:color w:val="000000" w:themeColor="text1"/>
        </w:rPr>
        <w:t>veinte de marzo</w:t>
      </w:r>
      <w:r w:rsidRPr="00940F87">
        <w:rPr>
          <w:rFonts w:ascii="Palatino Linotype" w:eastAsia="Palatino Linotype" w:hAnsi="Palatino Linotype" w:cs="Palatino Linotype"/>
          <w:b/>
          <w:color w:val="000000" w:themeColor="text1"/>
        </w:rPr>
        <w:t xml:space="preserve"> </w:t>
      </w:r>
      <w:r w:rsidR="002008D5" w:rsidRPr="00940F87">
        <w:rPr>
          <w:rFonts w:ascii="Palatino Linotype" w:eastAsia="Palatino Linotype" w:hAnsi="Palatino Linotype" w:cs="Palatino Linotype"/>
          <w:color w:val="000000" w:themeColor="text1"/>
        </w:rPr>
        <w:t>de dos mil veinticinc</w:t>
      </w:r>
      <w:r w:rsidRPr="00940F87">
        <w:rPr>
          <w:rFonts w:ascii="Palatino Linotype" w:eastAsia="Palatino Linotype" w:hAnsi="Palatino Linotype" w:cs="Palatino Linotype"/>
          <w:color w:val="000000" w:themeColor="text1"/>
        </w:rPr>
        <w:t xml:space="preserve">o, puso a disposición de las partes el expediente electrónico vía </w:t>
      </w:r>
      <w:r w:rsidRPr="00940F87">
        <w:rPr>
          <w:rFonts w:ascii="Palatino Linotype" w:eastAsia="Palatino Linotype" w:hAnsi="Palatino Linotype" w:cs="Palatino Linotype"/>
          <w:b/>
          <w:color w:val="000000" w:themeColor="text1"/>
        </w:rPr>
        <w:t xml:space="preserve">SAIMEX </w:t>
      </w:r>
      <w:r w:rsidRPr="00940F87">
        <w:rPr>
          <w:rFonts w:ascii="Palatino Linotype" w:eastAsia="Palatino Linotype" w:hAnsi="Palatino Linotype" w:cs="Palatino Linotype"/>
          <w:color w:val="000000" w:themeColor="text1"/>
        </w:rPr>
        <w:t xml:space="preserve">a efecto de que en un plazo máximo de siete días manifestara lo que a su derecho conviniera, </w:t>
      </w:r>
      <w:r w:rsidRPr="00940F87">
        <w:rPr>
          <w:rFonts w:ascii="Palatino Linotype" w:eastAsia="Palatino Linotype" w:hAnsi="Palatino Linotype" w:cs="Palatino Linotype"/>
          <w:color w:val="000000" w:themeColor="text1"/>
        </w:rPr>
        <w:lastRenderedPageBreak/>
        <w:t xml:space="preserve">ofreciera pruebas y alegatos según corresponda a los casos concretos, y el </w:t>
      </w:r>
      <w:r w:rsidRPr="00940F87">
        <w:rPr>
          <w:rFonts w:ascii="Palatino Linotype" w:eastAsia="Palatino Linotype" w:hAnsi="Palatino Linotype" w:cs="Palatino Linotype"/>
          <w:b/>
          <w:color w:val="000000" w:themeColor="text1"/>
        </w:rPr>
        <w:t>SUJETO OBLIGADO</w:t>
      </w:r>
      <w:r w:rsidRPr="00940F87">
        <w:rPr>
          <w:rFonts w:ascii="Palatino Linotype" w:eastAsia="Palatino Linotype" w:hAnsi="Palatino Linotype" w:cs="Palatino Linotype"/>
          <w:color w:val="000000" w:themeColor="text1"/>
        </w:rPr>
        <w:t xml:space="preserve"> presentará el Informe Justificado procedente.</w:t>
      </w:r>
    </w:p>
    <w:p w:rsidR="00BD011E" w:rsidRPr="00940F87" w:rsidRDefault="00BD011E" w:rsidP="00940F87">
      <w:pPr>
        <w:pBdr>
          <w:top w:val="nil"/>
          <w:left w:val="nil"/>
          <w:bottom w:val="nil"/>
          <w:right w:val="nil"/>
          <w:between w:val="nil"/>
        </w:pBdr>
        <w:spacing w:line="360" w:lineRule="auto"/>
        <w:jc w:val="both"/>
        <w:rPr>
          <w:rFonts w:ascii="Palatino Linotype" w:hAnsi="Palatino Linotype"/>
          <w:color w:val="000000" w:themeColor="text1"/>
        </w:rPr>
      </w:pPr>
    </w:p>
    <w:p w:rsidR="00A30B7E" w:rsidRPr="00940F87" w:rsidRDefault="00DF6EAE"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De lo anterior, el </w:t>
      </w:r>
      <w:r w:rsidR="008F4362" w:rsidRPr="00940F87">
        <w:rPr>
          <w:rFonts w:ascii="Palatino Linotype" w:eastAsia="Palatino Linotype" w:hAnsi="Palatino Linotype" w:cs="Palatino Linotype"/>
          <w:b/>
          <w:color w:val="000000" w:themeColor="text1"/>
        </w:rPr>
        <w:t>RECURRENTE</w:t>
      </w:r>
      <w:r w:rsidRPr="00940F87">
        <w:rPr>
          <w:rFonts w:ascii="Palatino Linotype" w:eastAsia="Palatino Linotype" w:hAnsi="Palatino Linotype" w:cs="Palatino Linotype"/>
          <w:b/>
          <w:color w:val="000000" w:themeColor="text1"/>
        </w:rPr>
        <w:t xml:space="preserve"> </w:t>
      </w:r>
      <w:r w:rsidR="009D6A1C" w:rsidRPr="00940F87">
        <w:rPr>
          <w:rFonts w:ascii="Palatino Linotype" w:eastAsia="Palatino Linotype" w:hAnsi="Palatino Linotype" w:cs="Palatino Linotype"/>
          <w:color w:val="000000" w:themeColor="text1"/>
        </w:rPr>
        <w:t xml:space="preserve">fue omiso en </w:t>
      </w:r>
      <w:r w:rsidR="008F4362" w:rsidRPr="00940F87">
        <w:rPr>
          <w:rFonts w:ascii="Palatino Linotype" w:eastAsia="Palatino Linotype" w:hAnsi="Palatino Linotype" w:cs="Palatino Linotype"/>
          <w:color w:val="000000" w:themeColor="text1"/>
        </w:rPr>
        <w:t xml:space="preserve">realizar manifestaciones que a su derecho conviniera y asistiera. Por su parte el </w:t>
      </w:r>
      <w:r w:rsidR="008F4362" w:rsidRPr="00940F87">
        <w:rPr>
          <w:rFonts w:ascii="Palatino Linotype" w:eastAsia="Palatino Linotype" w:hAnsi="Palatino Linotype" w:cs="Palatino Linotype"/>
          <w:b/>
          <w:color w:val="000000" w:themeColor="text1"/>
        </w:rPr>
        <w:t>SUJETO OBLIGADO</w:t>
      </w:r>
      <w:r w:rsidR="008F4362" w:rsidRPr="00940F87">
        <w:rPr>
          <w:rFonts w:ascii="Palatino Linotype" w:eastAsia="Palatino Linotype" w:hAnsi="Palatino Linotype" w:cs="Palatino Linotype"/>
          <w:color w:val="000000" w:themeColor="text1"/>
        </w:rPr>
        <w:t xml:space="preserve"> en fecha </w:t>
      </w:r>
      <w:r w:rsidR="00B17889" w:rsidRPr="00940F87">
        <w:rPr>
          <w:rFonts w:ascii="Palatino Linotype" w:eastAsia="Palatino Linotype" w:hAnsi="Palatino Linotype" w:cs="Palatino Linotype"/>
          <w:color w:val="000000" w:themeColor="text1"/>
        </w:rPr>
        <w:t>veintiocho de mayo</w:t>
      </w:r>
      <w:r w:rsidR="008F4362" w:rsidRPr="00940F87">
        <w:rPr>
          <w:rFonts w:ascii="Palatino Linotype" w:eastAsia="Palatino Linotype" w:hAnsi="Palatino Linotype" w:cs="Palatino Linotype"/>
          <w:color w:val="000000" w:themeColor="text1"/>
        </w:rPr>
        <w:t xml:space="preserve"> del año en curso, rindió informe justificado </w:t>
      </w:r>
      <w:r w:rsidR="008B6385" w:rsidRPr="00940F87">
        <w:rPr>
          <w:rFonts w:ascii="Palatino Linotype" w:eastAsia="Palatino Linotype" w:hAnsi="Palatino Linotype" w:cs="Palatino Linotype"/>
          <w:color w:val="000000" w:themeColor="text1"/>
        </w:rPr>
        <w:t xml:space="preserve">a través de dos archivos denominados </w:t>
      </w:r>
      <w:r w:rsidR="00B17889" w:rsidRPr="00940F87">
        <w:rPr>
          <w:rFonts w:ascii="Palatino Linotype" w:eastAsia="Palatino Linotype" w:hAnsi="Palatino Linotype" w:cs="Palatino Linotype"/>
          <w:i/>
          <w:color w:val="000000" w:themeColor="text1"/>
        </w:rPr>
        <w:t>2. Ratificación RR-5338-2025.pdf</w:t>
      </w:r>
      <w:r w:rsidR="008B6385" w:rsidRPr="00940F87">
        <w:rPr>
          <w:rFonts w:ascii="Palatino Linotype" w:eastAsia="Palatino Linotype" w:hAnsi="Palatino Linotype" w:cs="Palatino Linotype"/>
          <w:color w:val="000000" w:themeColor="text1"/>
        </w:rPr>
        <w:t>, cuyo contenido corresponde al informe suscrito por el Titular de la Unidad de Transparencia en el que de manera genera</w:t>
      </w:r>
      <w:r w:rsidR="00E36B7B" w:rsidRPr="00940F87">
        <w:rPr>
          <w:rFonts w:ascii="Palatino Linotype" w:eastAsia="Palatino Linotype" w:hAnsi="Palatino Linotype" w:cs="Palatino Linotype"/>
          <w:color w:val="000000" w:themeColor="text1"/>
        </w:rPr>
        <w:t>l confirma la respuesta emitida.</w:t>
      </w:r>
    </w:p>
    <w:p w:rsidR="00AE1941" w:rsidRPr="00940F87" w:rsidRDefault="00AE1941" w:rsidP="00940F87">
      <w:pPr>
        <w:spacing w:line="360" w:lineRule="auto"/>
        <w:jc w:val="center"/>
        <w:rPr>
          <w:rFonts w:ascii="Palatino Linotype" w:hAnsi="Palatino Linotype"/>
          <w:color w:val="000000" w:themeColor="text1"/>
        </w:rPr>
      </w:pPr>
    </w:p>
    <w:p w:rsidR="00E31311" w:rsidRPr="00940F87" w:rsidRDefault="00DF6EAE"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940F87">
        <w:rPr>
          <w:rFonts w:ascii="Palatino Linotype" w:eastAsia="Palatino Linotype" w:hAnsi="Palatino Linotype" w:cs="Palatino Linotype"/>
          <w:color w:val="000000" w:themeColor="text1"/>
        </w:rPr>
        <w:t xml:space="preserve">Seguidamente, mediante </w:t>
      </w:r>
      <w:r w:rsidR="00914AB9" w:rsidRPr="00940F87">
        <w:rPr>
          <w:rFonts w:ascii="Palatino Linotype" w:eastAsia="Palatino Linotype" w:hAnsi="Palatino Linotype" w:cs="Palatino Linotype"/>
          <w:color w:val="000000" w:themeColor="text1"/>
        </w:rPr>
        <w:t>A</w:t>
      </w:r>
      <w:r w:rsidR="00D746B0" w:rsidRPr="00940F87">
        <w:rPr>
          <w:rFonts w:ascii="Palatino Linotype" w:eastAsia="Palatino Linotype" w:hAnsi="Palatino Linotype" w:cs="Palatino Linotype"/>
          <w:color w:val="000000" w:themeColor="text1"/>
        </w:rPr>
        <w:t xml:space="preserve">cuerdo de fecha </w:t>
      </w:r>
      <w:r w:rsidR="00B17889" w:rsidRPr="00940F87">
        <w:rPr>
          <w:rFonts w:ascii="Palatino Linotype" w:eastAsia="Palatino Linotype" w:hAnsi="Palatino Linotype" w:cs="Palatino Linotype"/>
          <w:b/>
          <w:color w:val="000000" w:themeColor="text1"/>
        </w:rPr>
        <w:t>seis de octubre</w:t>
      </w:r>
      <w:r w:rsidR="0090601E" w:rsidRPr="00940F87">
        <w:rPr>
          <w:rFonts w:ascii="Palatino Linotype" w:eastAsia="Palatino Linotype" w:hAnsi="Palatino Linotype" w:cs="Palatino Linotype"/>
          <w:b/>
          <w:color w:val="000000" w:themeColor="text1"/>
        </w:rPr>
        <w:t xml:space="preserve"> de dos mil veinticinco</w:t>
      </w:r>
      <w:r w:rsidR="00B17889" w:rsidRPr="00940F87">
        <w:rPr>
          <w:rFonts w:ascii="Palatino Linotype" w:eastAsia="Palatino Linotype" w:hAnsi="Palatino Linotype" w:cs="Palatino Linotype"/>
          <w:b/>
          <w:color w:val="000000" w:themeColor="text1"/>
        </w:rPr>
        <w:t>,</w:t>
      </w:r>
      <w:r w:rsidRPr="00940F87">
        <w:rPr>
          <w:rFonts w:ascii="Palatino Linotype" w:eastAsia="Palatino Linotype" w:hAnsi="Palatino Linotype" w:cs="Palatino Linotype"/>
          <w:b/>
          <w:color w:val="000000" w:themeColor="text1"/>
        </w:rPr>
        <w:t xml:space="preserve"> </w:t>
      </w:r>
      <w:r w:rsidRPr="00940F87">
        <w:rPr>
          <w:rFonts w:ascii="Palatino Linotype" w:eastAsia="Palatino Linotype" w:hAnsi="Palatino Linotype" w:cs="Palatino Linotype"/>
          <w:color w:val="000000" w:themeColor="text1"/>
        </w:rPr>
        <w:t xml:space="preserve">se </w:t>
      </w:r>
      <w:r w:rsidR="005D1B66" w:rsidRPr="00940F87">
        <w:rPr>
          <w:rFonts w:ascii="Palatino Linotype" w:eastAsia="Palatino Linotype" w:hAnsi="Palatino Linotype" w:cs="Palatino Linotype"/>
          <w:color w:val="000000" w:themeColor="text1"/>
        </w:rPr>
        <w:t xml:space="preserve">amplió el termino para resolver, </w:t>
      </w:r>
      <w:r w:rsidR="00271F83" w:rsidRPr="00940F87">
        <w:rPr>
          <w:rFonts w:ascii="Palatino Linotype" w:eastAsia="Palatino Linotype" w:hAnsi="Palatino Linotype" w:cs="Palatino Linotype"/>
          <w:color w:val="000000" w:themeColor="text1"/>
        </w:rPr>
        <w:t>con</w:t>
      </w:r>
      <w:r w:rsidR="009F32B0" w:rsidRPr="00940F87">
        <w:rPr>
          <w:rFonts w:ascii="Palatino Linotype" w:eastAsia="Palatino Linotype" w:hAnsi="Palatino Linotype" w:cs="Palatino Linotype"/>
          <w:color w:val="000000" w:themeColor="text1"/>
        </w:rPr>
        <w:t xml:space="preserve">secutivamente </w:t>
      </w:r>
      <w:r w:rsidR="00271F83" w:rsidRPr="00940F87">
        <w:rPr>
          <w:rFonts w:ascii="Palatino Linotype" w:eastAsia="Palatino Linotype" w:hAnsi="Palatino Linotype" w:cs="Palatino Linotype"/>
          <w:color w:val="000000" w:themeColor="text1"/>
        </w:rPr>
        <w:t xml:space="preserve">se </w:t>
      </w:r>
      <w:r w:rsidRPr="00940F87">
        <w:rPr>
          <w:rFonts w:ascii="Palatino Linotype" w:eastAsia="Palatino Linotype" w:hAnsi="Palatino Linotype" w:cs="Palatino Linotype"/>
          <w:color w:val="000000" w:themeColor="text1"/>
        </w:rPr>
        <w:t>decretó el cierre de instrucción</w:t>
      </w:r>
      <w:r w:rsidR="008B6385" w:rsidRPr="00940F87">
        <w:rPr>
          <w:rFonts w:ascii="Palatino Linotype" w:eastAsia="Palatino Linotype" w:hAnsi="Palatino Linotype" w:cs="Palatino Linotype"/>
          <w:color w:val="000000" w:themeColor="text1"/>
        </w:rPr>
        <w:t xml:space="preserve"> mediante Acuerdo de</w:t>
      </w:r>
      <w:r w:rsidR="00E36B7B" w:rsidRPr="00940F87">
        <w:rPr>
          <w:rFonts w:ascii="Palatino Linotype" w:eastAsia="Palatino Linotype" w:hAnsi="Palatino Linotype" w:cs="Palatino Linotype"/>
          <w:color w:val="000000" w:themeColor="text1"/>
        </w:rPr>
        <w:t xml:space="preserve"> </w:t>
      </w:r>
      <w:r w:rsidR="00B17889" w:rsidRPr="00940F87">
        <w:rPr>
          <w:rFonts w:ascii="Palatino Linotype" w:eastAsia="Palatino Linotype" w:hAnsi="Palatino Linotype" w:cs="Palatino Linotype"/>
          <w:color w:val="000000" w:themeColor="text1"/>
        </w:rPr>
        <w:t>misma fecha</w:t>
      </w:r>
      <w:r w:rsidRPr="00940F87">
        <w:rPr>
          <w:rFonts w:ascii="Palatino Linotype" w:eastAsia="Palatino Linotype" w:hAnsi="Palatino Linotype" w:cs="Palatino Linotype"/>
          <w:color w:val="000000" w:themeColor="text1"/>
        </w:rPr>
        <w:t>, por lo que no ha</w:t>
      </w:r>
      <w:r w:rsidR="00940F87">
        <w:rPr>
          <w:rFonts w:ascii="Palatino Linotype" w:eastAsia="Palatino Linotype" w:hAnsi="Palatino Linotype" w:cs="Palatino Linotype"/>
          <w:color w:val="000000" w:themeColor="text1"/>
        </w:rPr>
        <w:t>biendo más que hacer constar, y</w:t>
      </w:r>
    </w:p>
    <w:p w:rsidR="00E31311" w:rsidRPr="00940F87" w:rsidRDefault="00E31311" w:rsidP="00940F8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940F87" w:rsidRDefault="00DF6EAE" w:rsidP="00940F8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940F87">
        <w:rPr>
          <w:rFonts w:ascii="Palatino Linotype" w:eastAsia="Palatino Linotype" w:hAnsi="Palatino Linotype" w:cs="Palatino Linotype"/>
          <w:b/>
          <w:color w:val="000000" w:themeColor="text1"/>
        </w:rPr>
        <w:t>C O N S I D E R A N D O</w:t>
      </w:r>
    </w:p>
    <w:p w:rsidR="00E31311" w:rsidRPr="00940F87" w:rsidRDefault="00E31311" w:rsidP="00940F8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940F87" w:rsidRDefault="00DF6EAE" w:rsidP="00940F87">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940F87">
        <w:rPr>
          <w:rFonts w:ascii="Palatino Linotype" w:eastAsia="Palatino Linotype" w:hAnsi="Palatino Linotype" w:cs="Palatino Linotype"/>
          <w:b/>
          <w:color w:val="000000" w:themeColor="text1"/>
          <w:sz w:val="24"/>
          <w:szCs w:val="24"/>
        </w:rPr>
        <w:t>PRIMERO. De la competencia</w:t>
      </w:r>
    </w:p>
    <w:p w:rsidR="00E31311" w:rsidRPr="00940F87" w:rsidRDefault="00547C4E" w:rsidP="00940F8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40F87">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940F87">
        <w:rPr>
          <w:rFonts w:ascii="Palatino Linotype" w:eastAsia="Palatino Linotype" w:hAnsi="Palatino Linotype" w:cs="Palatino Linotype"/>
          <w:color w:val="000000" w:themeColor="text1"/>
        </w:rPr>
        <w:lastRenderedPageBreak/>
        <w:t>Interior del Instituto de Transparencia, Acceso a la Información Pública y Protección de Datos Personales del Estado de México y Municipios.</w:t>
      </w:r>
    </w:p>
    <w:p w:rsidR="00E31311" w:rsidRPr="00940F87" w:rsidRDefault="00E31311" w:rsidP="00940F8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1311" w:rsidRPr="00940F87" w:rsidRDefault="00DF6EAE" w:rsidP="00940F87">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940F87">
        <w:rPr>
          <w:rFonts w:ascii="Palatino Linotype" w:eastAsia="Palatino Linotype" w:hAnsi="Palatino Linotype" w:cs="Palatino Linotype"/>
          <w:b/>
          <w:color w:val="000000" w:themeColor="text1"/>
          <w:sz w:val="24"/>
          <w:szCs w:val="24"/>
        </w:rPr>
        <w:t>SEGUNDO. De la oportunidad y procedencia.</w:t>
      </w:r>
    </w:p>
    <w:p w:rsidR="006B1EE0" w:rsidRPr="00940F87" w:rsidRDefault="006B1EE0"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05DED" w:rsidRPr="00940F87" w:rsidRDefault="00405DED" w:rsidP="00940F8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940F87" w:rsidRDefault="00405DED"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05DED" w:rsidRPr="00940F87" w:rsidRDefault="00405DED"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w:t>
      </w:r>
      <w:r w:rsidRPr="00940F87">
        <w:rPr>
          <w:rFonts w:ascii="Palatino Linotype" w:eastAsia="Palatino Linotype" w:hAnsi="Palatino Linotype" w:cs="Palatino Linotype"/>
          <w:b/>
          <w:i/>
          <w:color w:val="000000" w:themeColor="text1"/>
        </w:rPr>
        <w:t>Las solicitudes anónimas</w:t>
      </w:r>
      <w:r w:rsidRPr="00940F87">
        <w:rPr>
          <w:rFonts w:ascii="Palatino Linotype" w:eastAsia="Palatino Linotype" w:hAnsi="Palatino Linotype" w:cs="Palatino Linotype"/>
          <w:i/>
          <w:color w:val="000000" w:themeColor="text1"/>
        </w:rPr>
        <w:t xml:space="preserve">, con nombre incompleto o seudónimo </w:t>
      </w:r>
      <w:r w:rsidRPr="00940F87">
        <w:rPr>
          <w:rFonts w:ascii="Palatino Linotype" w:eastAsia="Palatino Linotype" w:hAnsi="Palatino Linotype" w:cs="Palatino Linotype"/>
          <w:b/>
          <w:i/>
          <w:color w:val="000000" w:themeColor="text1"/>
        </w:rPr>
        <w:t>serán procedentes para su trámite por parte del sujeto obligado ante quien se presente</w:t>
      </w:r>
      <w:r w:rsidRPr="00940F87">
        <w:rPr>
          <w:rFonts w:ascii="Palatino Linotype" w:eastAsia="Palatino Linotype" w:hAnsi="Palatino Linotype" w:cs="Palatino Linotype"/>
          <w:i/>
          <w:color w:val="000000" w:themeColor="text1"/>
        </w:rPr>
        <w:t>. No podrá requerirse información adicional con motivo del nombre proporcionado por el solicitante."</w:t>
      </w:r>
    </w:p>
    <w:p w:rsidR="00405DED" w:rsidRPr="00940F87" w:rsidRDefault="00405DED" w:rsidP="00940F8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940F87" w:rsidRDefault="00405DED"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w:t>
      </w:r>
      <w:r w:rsidRPr="00940F87">
        <w:rPr>
          <w:rFonts w:ascii="Palatino Linotype" w:eastAsia="Palatino Linotype" w:hAnsi="Palatino Linotype" w:cs="Palatino Linotype"/>
          <w:color w:val="000000" w:themeColor="text1"/>
        </w:rPr>
        <w:lastRenderedPageBreak/>
        <w:t>Protección de Datos Personales del Estado de México y Municipios, conozca y resuelva el presente recurso.</w:t>
      </w:r>
    </w:p>
    <w:p w:rsidR="006B1EE0" w:rsidRPr="00940F87" w:rsidRDefault="006B1EE0" w:rsidP="00940F87">
      <w:pPr>
        <w:spacing w:line="360" w:lineRule="auto"/>
        <w:jc w:val="both"/>
        <w:rPr>
          <w:rFonts w:ascii="Palatino Linotype" w:eastAsia="Palatino Linotype" w:hAnsi="Palatino Linotype" w:cs="Palatino Linotype"/>
          <w:color w:val="000000" w:themeColor="text1"/>
        </w:rPr>
      </w:pPr>
    </w:p>
    <w:p w:rsidR="006B1EE0" w:rsidRPr="00940F87" w:rsidRDefault="006B1EE0"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405DED" w:rsidRPr="00940F87" w:rsidRDefault="00405DED" w:rsidP="00940F87">
      <w:pPr>
        <w:pStyle w:val="Prrafodelista"/>
        <w:spacing w:line="360" w:lineRule="auto"/>
        <w:ind w:left="0"/>
        <w:rPr>
          <w:rFonts w:ascii="Palatino Linotype" w:eastAsia="Palatino Linotype" w:hAnsi="Palatino Linotype" w:cs="Palatino Linotype"/>
          <w:color w:val="000000" w:themeColor="text1"/>
        </w:rPr>
      </w:pPr>
    </w:p>
    <w:p w:rsidR="00E31311" w:rsidRPr="00940F87" w:rsidRDefault="00DF6EAE" w:rsidP="00940F87">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940F87">
        <w:rPr>
          <w:rFonts w:ascii="Palatino Linotype" w:eastAsia="Palatino Linotype" w:hAnsi="Palatino Linotype" w:cs="Palatino Linotype"/>
          <w:b/>
          <w:color w:val="000000" w:themeColor="text1"/>
          <w:sz w:val="24"/>
          <w:szCs w:val="24"/>
        </w:rPr>
        <w:t xml:space="preserve">TERCERO. Del planteamiento de la </w:t>
      </w:r>
      <w:r w:rsidRPr="00940F87">
        <w:rPr>
          <w:rFonts w:ascii="Palatino Linotype" w:eastAsia="Palatino Linotype" w:hAnsi="Palatino Linotype" w:cs="Palatino Linotype"/>
          <w:b/>
          <w:i/>
          <w:color w:val="000000" w:themeColor="text1"/>
          <w:sz w:val="24"/>
          <w:szCs w:val="24"/>
        </w:rPr>
        <w:t>Litis</w:t>
      </w:r>
      <w:r w:rsidRPr="00940F87">
        <w:rPr>
          <w:rFonts w:ascii="Palatino Linotype" w:eastAsia="Palatino Linotype" w:hAnsi="Palatino Linotype" w:cs="Palatino Linotype"/>
          <w:b/>
          <w:color w:val="000000" w:themeColor="text1"/>
          <w:sz w:val="24"/>
          <w:szCs w:val="24"/>
        </w:rPr>
        <w:t>.</w:t>
      </w:r>
    </w:p>
    <w:p w:rsidR="00E31311" w:rsidRPr="00940F87" w:rsidRDefault="00DF6EAE" w:rsidP="00940F8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40F87">
        <w:rPr>
          <w:rFonts w:ascii="Palatino Linotype" w:eastAsia="Palatino Linotype" w:hAnsi="Palatino Linotype" w:cs="Palatino Linotype"/>
          <w:color w:val="000000" w:themeColor="text1"/>
        </w:rPr>
        <w:t>Se solicitó tener acceso, a la información que a continuación se desagrega:</w:t>
      </w:r>
    </w:p>
    <w:p w:rsidR="00B17889" w:rsidRPr="00940F87" w:rsidRDefault="00B17889" w:rsidP="00940F87">
      <w:pPr>
        <w:pStyle w:val="Prrafodelista"/>
        <w:numPr>
          <w:ilvl w:val="0"/>
          <w:numId w:val="8"/>
        </w:numPr>
        <w:spacing w:line="360" w:lineRule="auto"/>
        <w:ind w:left="0" w:firstLine="0"/>
        <w:rPr>
          <w:rFonts w:ascii="Palatino Linotype" w:eastAsia="Palatino Linotype" w:hAnsi="Palatino Linotype" w:cs="Palatino Linotype"/>
          <w:b/>
          <w:color w:val="000000" w:themeColor="text1"/>
        </w:rPr>
      </w:pPr>
      <w:r w:rsidRPr="00940F87">
        <w:rPr>
          <w:rFonts w:ascii="Palatino Linotype" w:eastAsia="Palatino Linotype" w:hAnsi="Palatino Linotype" w:cs="Palatino Linotype"/>
          <w:b/>
          <w:color w:val="000000" w:themeColor="text1"/>
        </w:rPr>
        <w:t>Empresas y contratos que realizaron obras de desarrollo urbano y obra pública en el ejercicio fiscal 2022; y</w:t>
      </w:r>
    </w:p>
    <w:p w:rsidR="00B17889" w:rsidRPr="00940F87" w:rsidRDefault="00B17889" w:rsidP="00940F87">
      <w:pPr>
        <w:pStyle w:val="Prrafodelista"/>
        <w:numPr>
          <w:ilvl w:val="0"/>
          <w:numId w:val="8"/>
        </w:numPr>
        <w:spacing w:line="360" w:lineRule="auto"/>
        <w:ind w:left="0" w:firstLine="0"/>
        <w:rPr>
          <w:rFonts w:ascii="Palatino Linotype" w:eastAsia="Palatino Linotype" w:hAnsi="Palatino Linotype" w:cs="Palatino Linotype"/>
          <w:b/>
          <w:color w:val="000000" w:themeColor="text1"/>
        </w:rPr>
      </w:pPr>
      <w:r w:rsidRPr="00940F87">
        <w:rPr>
          <w:rFonts w:ascii="Palatino Linotype" w:eastAsia="Palatino Linotype" w:hAnsi="Palatino Linotype" w:cs="Palatino Linotype"/>
          <w:b/>
          <w:color w:val="000000" w:themeColor="text1"/>
        </w:rPr>
        <w:t>Las reclamaciones por garantías de las obras.</w:t>
      </w:r>
    </w:p>
    <w:p w:rsidR="00480F1E" w:rsidRPr="00940F87" w:rsidRDefault="00480F1E" w:rsidP="00940F8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940F87" w:rsidRDefault="006B1EE0" w:rsidP="00940F8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En respuesta, el </w:t>
      </w:r>
      <w:r w:rsidRPr="00940F87">
        <w:rPr>
          <w:rFonts w:ascii="Palatino Linotype" w:eastAsia="Palatino Linotype" w:hAnsi="Palatino Linotype" w:cs="Palatino Linotype"/>
          <w:b/>
          <w:color w:val="000000" w:themeColor="text1"/>
        </w:rPr>
        <w:t xml:space="preserve">SUJETO OBLIGADO </w:t>
      </w:r>
      <w:r w:rsidRPr="00940F87">
        <w:rPr>
          <w:rFonts w:ascii="Palatino Linotype" w:eastAsia="Palatino Linotype" w:hAnsi="Palatino Linotype" w:cs="Palatino Linotype"/>
          <w:color w:val="000000" w:themeColor="text1"/>
        </w:rPr>
        <w:t>remitió la información ya descrita en e</w:t>
      </w:r>
      <w:r w:rsidR="00150225" w:rsidRPr="00940F87">
        <w:rPr>
          <w:rFonts w:ascii="Palatino Linotype" w:eastAsia="Palatino Linotype" w:hAnsi="Palatino Linotype" w:cs="Palatino Linotype"/>
          <w:color w:val="000000" w:themeColor="text1"/>
        </w:rPr>
        <w:t>l párrafo 2. Inconforme con la misma</w:t>
      </w:r>
      <w:r w:rsidRPr="00940F87">
        <w:rPr>
          <w:rFonts w:ascii="Palatino Linotype" w:eastAsia="Palatino Linotype" w:hAnsi="Palatino Linotype" w:cs="Palatino Linotype"/>
          <w:color w:val="000000" w:themeColor="text1"/>
        </w:rPr>
        <w:t xml:space="preserve">, se interpuso recurso de revisión </w:t>
      </w:r>
      <w:r w:rsidR="00150225" w:rsidRPr="00940F87">
        <w:rPr>
          <w:rFonts w:ascii="Palatino Linotype" w:eastAsia="Palatino Linotype" w:hAnsi="Palatino Linotype" w:cs="Palatino Linotype"/>
          <w:color w:val="000000" w:themeColor="text1"/>
        </w:rPr>
        <w:t xml:space="preserve">en contra de la </w:t>
      </w:r>
      <w:r w:rsidR="00E36B7B" w:rsidRPr="00940F87">
        <w:rPr>
          <w:rFonts w:ascii="Palatino Linotype" w:eastAsia="Palatino Linotype" w:hAnsi="Palatino Linotype" w:cs="Palatino Linotype"/>
          <w:color w:val="000000" w:themeColor="text1"/>
        </w:rPr>
        <w:t>entrega de la información incompleta</w:t>
      </w:r>
      <w:r w:rsidR="00236042" w:rsidRPr="00940F87">
        <w:rPr>
          <w:rFonts w:ascii="Palatino Linotype" w:eastAsia="Palatino Linotype" w:hAnsi="Palatino Linotype" w:cs="Palatino Linotype"/>
          <w:color w:val="000000" w:themeColor="text1"/>
        </w:rPr>
        <w:t>.</w:t>
      </w:r>
    </w:p>
    <w:p w:rsidR="00E31311" w:rsidRPr="00940F87" w:rsidRDefault="00E31311" w:rsidP="00940F87">
      <w:pPr>
        <w:tabs>
          <w:tab w:val="left" w:pos="933"/>
        </w:tabs>
        <w:spacing w:line="360" w:lineRule="auto"/>
        <w:jc w:val="both"/>
        <w:rPr>
          <w:rFonts w:ascii="Palatino Linotype" w:eastAsia="Palatino Linotype" w:hAnsi="Palatino Linotype" w:cs="Palatino Linotype"/>
          <w:color w:val="000000" w:themeColor="text1"/>
        </w:rPr>
      </w:pPr>
    </w:p>
    <w:p w:rsidR="00E31311" w:rsidRPr="00940F87" w:rsidRDefault="00DF6EAE" w:rsidP="00940F87">
      <w:pPr>
        <w:numPr>
          <w:ilvl w:val="0"/>
          <w:numId w:val="3"/>
        </w:numPr>
        <w:spacing w:line="360" w:lineRule="auto"/>
        <w:ind w:left="0" w:firstLine="0"/>
        <w:jc w:val="both"/>
        <w:rPr>
          <w:rFonts w:ascii="Palatino Linotype" w:hAnsi="Palatino Linotype"/>
          <w:color w:val="000000" w:themeColor="text1"/>
        </w:rPr>
      </w:pPr>
      <w:r w:rsidRPr="00940F87">
        <w:rPr>
          <w:rFonts w:ascii="Palatino Linotype" w:eastAsia="Palatino Linotype" w:hAnsi="Palatino Linotype" w:cs="Palatino Linotype"/>
          <w:color w:val="000000" w:themeColor="text1"/>
        </w:rPr>
        <w:t>En dichas condiciones</w:t>
      </w:r>
      <w:r w:rsidR="00E938F5" w:rsidRPr="00940F87">
        <w:rPr>
          <w:rFonts w:ascii="Palatino Linotype" w:eastAsia="Palatino Linotype" w:hAnsi="Palatino Linotype" w:cs="Palatino Linotype"/>
          <w:color w:val="000000" w:themeColor="text1"/>
        </w:rPr>
        <w:t xml:space="preserve"> se presume que el particular se duele de la negativa de la entrega de la información</w:t>
      </w:r>
      <w:r w:rsidRPr="00940F87">
        <w:rPr>
          <w:rFonts w:ascii="Palatino Linotype" w:eastAsia="Palatino Linotype" w:hAnsi="Palatino Linotype" w:cs="Palatino Linotype"/>
          <w:color w:val="000000" w:themeColor="text1"/>
        </w:rPr>
        <w:t>,</w:t>
      </w:r>
      <w:r w:rsidR="00E938F5" w:rsidRPr="00940F87">
        <w:rPr>
          <w:rFonts w:ascii="Palatino Linotype" w:eastAsia="Palatino Linotype" w:hAnsi="Palatino Linotype" w:cs="Palatino Linotype"/>
          <w:color w:val="000000" w:themeColor="text1"/>
        </w:rPr>
        <w:t xml:space="preserve"> por lo tanto</w:t>
      </w:r>
      <w:r w:rsidRPr="00940F87">
        <w:rPr>
          <w:rFonts w:ascii="Palatino Linotype" w:eastAsia="Palatino Linotype" w:hAnsi="Palatino Linotype" w:cs="Palatino Linotype"/>
          <w:color w:val="000000" w:themeColor="text1"/>
        </w:rPr>
        <w:t xml:space="preserve"> la </w:t>
      </w:r>
      <w:r w:rsidRPr="00940F87">
        <w:rPr>
          <w:rFonts w:ascii="Palatino Linotype" w:eastAsia="Palatino Linotype" w:hAnsi="Palatino Linotype" w:cs="Palatino Linotype"/>
          <w:i/>
          <w:color w:val="000000" w:themeColor="text1"/>
        </w:rPr>
        <w:t>Litis</w:t>
      </w:r>
      <w:r w:rsidRPr="00940F87">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914AB9" w:rsidRPr="00940F87">
        <w:rPr>
          <w:rFonts w:ascii="Palatino Linotype" w:eastAsia="Palatino Linotype" w:hAnsi="Palatino Linotype" w:cs="Palatino Linotype"/>
          <w:b/>
          <w:color w:val="000000" w:themeColor="text1"/>
        </w:rPr>
        <w:t>fracción</w:t>
      </w:r>
      <w:r w:rsidRPr="00940F87">
        <w:rPr>
          <w:rFonts w:ascii="Palatino Linotype" w:eastAsia="Palatino Linotype" w:hAnsi="Palatino Linotype" w:cs="Palatino Linotype"/>
          <w:b/>
          <w:color w:val="000000" w:themeColor="text1"/>
        </w:rPr>
        <w:t xml:space="preserve"> </w:t>
      </w:r>
      <w:r w:rsidR="00E36B7B" w:rsidRPr="00940F87">
        <w:rPr>
          <w:rFonts w:ascii="Palatino Linotype" w:eastAsia="Palatino Linotype" w:hAnsi="Palatino Linotype" w:cs="Palatino Linotype"/>
          <w:b/>
          <w:color w:val="000000" w:themeColor="text1"/>
        </w:rPr>
        <w:t>V</w:t>
      </w:r>
      <w:r w:rsidRPr="00940F87">
        <w:rPr>
          <w:rFonts w:ascii="Palatino Linotype" w:eastAsia="Palatino Linotype" w:hAnsi="Palatino Linotype" w:cs="Palatino Linotype"/>
          <w:b/>
          <w:color w:val="000000" w:themeColor="text1"/>
        </w:rPr>
        <w:t xml:space="preserve"> </w:t>
      </w:r>
      <w:r w:rsidRPr="00940F87">
        <w:rPr>
          <w:rFonts w:ascii="Palatino Linotype" w:eastAsia="Palatino Linotype" w:hAnsi="Palatino Linotype" w:cs="Palatino Linotype"/>
          <w:color w:val="000000" w:themeColor="text1"/>
        </w:rPr>
        <w:t xml:space="preserve">de la </w:t>
      </w:r>
      <w:r w:rsidRPr="00940F87">
        <w:rPr>
          <w:rFonts w:ascii="Palatino Linotype" w:eastAsia="Palatino Linotype" w:hAnsi="Palatino Linotype" w:cs="Palatino Linotype"/>
          <w:b/>
          <w:color w:val="000000" w:themeColor="text1"/>
        </w:rPr>
        <w:t>Ley de Transparencia y Acceso a la Información Pública del Estado de México y Municipios</w:t>
      </w:r>
      <w:r w:rsidRPr="00940F87">
        <w:rPr>
          <w:rFonts w:ascii="Palatino Linotype" w:eastAsia="Palatino Linotype" w:hAnsi="Palatino Linotype" w:cs="Palatino Linotype"/>
          <w:color w:val="000000" w:themeColor="text1"/>
        </w:rPr>
        <w:t xml:space="preserve">; </w:t>
      </w:r>
      <w:r w:rsidR="00914AB9" w:rsidRPr="00940F87">
        <w:rPr>
          <w:rFonts w:ascii="Palatino Linotype" w:eastAsia="Palatino Linotype" w:hAnsi="Palatino Linotype" w:cs="Palatino Linotype"/>
          <w:color w:val="000000" w:themeColor="text1"/>
        </w:rPr>
        <w:t>fracción</w:t>
      </w:r>
      <w:r w:rsidRPr="00940F87">
        <w:rPr>
          <w:rFonts w:ascii="Palatino Linotype" w:eastAsia="Palatino Linotype" w:hAnsi="Palatino Linotype" w:cs="Palatino Linotype"/>
          <w:color w:val="000000" w:themeColor="text1"/>
        </w:rPr>
        <w:t xml:space="preserve"> que determina la hipót</w:t>
      </w:r>
      <w:r w:rsidR="00677898" w:rsidRPr="00940F87">
        <w:rPr>
          <w:rFonts w:ascii="Palatino Linotype" w:eastAsia="Palatino Linotype" w:hAnsi="Palatino Linotype" w:cs="Palatino Linotype"/>
          <w:color w:val="000000" w:themeColor="text1"/>
        </w:rPr>
        <w:t xml:space="preserve">esis jurídica relativa a </w:t>
      </w:r>
      <w:r w:rsidR="00236042" w:rsidRPr="00940F87">
        <w:rPr>
          <w:rFonts w:ascii="Palatino Linotype" w:eastAsia="Palatino Linotype" w:hAnsi="Palatino Linotype" w:cs="Palatino Linotype"/>
          <w:color w:val="000000" w:themeColor="text1"/>
        </w:rPr>
        <w:t>la entrega de información</w:t>
      </w:r>
      <w:r w:rsidR="00E36B7B" w:rsidRPr="00940F87">
        <w:rPr>
          <w:rFonts w:ascii="Palatino Linotype" w:eastAsia="Palatino Linotype" w:hAnsi="Palatino Linotype" w:cs="Palatino Linotype"/>
          <w:color w:val="000000" w:themeColor="text1"/>
        </w:rPr>
        <w:t xml:space="preserve"> incompleta</w:t>
      </w:r>
      <w:r w:rsidRPr="00940F87">
        <w:rPr>
          <w:rFonts w:ascii="Palatino Linotype" w:eastAsia="Palatino Linotype" w:hAnsi="Palatino Linotype" w:cs="Palatino Linotype"/>
          <w:color w:val="000000" w:themeColor="text1"/>
        </w:rPr>
        <w:t xml:space="preserve">; contexto del cual se dolió </w:t>
      </w:r>
      <w:r w:rsidR="00914AB9" w:rsidRPr="00940F87">
        <w:rPr>
          <w:rFonts w:ascii="Palatino Linotype" w:eastAsia="Palatino Linotype" w:hAnsi="Palatino Linotype" w:cs="Palatino Linotype"/>
          <w:b/>
          <w:color w:val="000000" w:themeColor="text1"/>
        </w:rPr>
        <w:t>EL</w:t>
      </w:r>
      <w:r w:rsidR="00BB66B2" w:rsidRPr="00940F87">
        <w:rPr>
          <w:rFonts w:ascii="Palatino Linotype" w:eastAsia="Palatino Linotype" w:hAnsi="Palatino Linotype" w:cs="Palatino Linotype"/>
          <w:b/>
          <w:color w:val="000000" w:themeColor="text1"/>
        </w:rPr>
        <w:t xml:space="preserve"> RECURRENTE</w:t>
      </w:r>
      <w:r w:rsidRPr="00940F87">
        <w:rPr>
          <w:rFonts w:ascii="Palatino Linotype" w:eastAsia="Palatino Linotype" w:hAnsi="Palatino Linotype" w:cs="Palatino Linotype"/>
          <w:b/>
          <w:color w:val="000000" w:themeColor="text1"/>
        </w:rPr>
        <w:t xml:space="preserve"> </w:t>
      </w:r>
      <w:r w:rsidRPr="00940F87">
        <w:rPr>
          <w:rFonts w:ascii="Palatino Linotype" w:eastAsia="Palatino Linotype" w:hAnsi="Palatino Linotype" w:cs="Palatino Linotype"/>
          <w:color w:val="000000" w:themeColor="text1"/>
        </w:rPr>
        <w:t>al momento de interponer su inconformidad.</w:t>
      </w:r>
    </w:p>
    <w:p w:rsidR="00E31311" w:rsidRPr="00940F87" w:rsidRDefault="00914AB9" w:rsidP="00940F87">
      <w:pPr>
        <w:numPr>
          <w:ilvl w:val="0"/>
          <w:numId w:val="3"/>
        </w:numPr>
        <w:spacing w:line="360" w:lineRule="auto"/>
        <w:ind w:left="0" w:firstLine="0"/>
        <w:jc w:val="both"/>
        <w:rPr>
          <w:rFonts w:ascii="Palatino Linotype" w:hAnsi="Palatino Linotype"/>
          <w:color w:val="000000" w:themeColor="text1"/>
        </w:rPr>
      </w:pPr>
      <w:r w:rsidRPr="00940F87">
        <w:rPr>
          <w:rFonts w:ascii="Palatino Linotype" w:eastAsia="Palatino Linotype" w:hAnsi="Palatino Linotype" w:cs="Palatino Linotype"/>
          <w:color w:val="000000" w:themeColor="text1"/>
        </w:rPr>
        <w:lastRenderedPageBreak/>
        <w:t>De modo tal que el presente R</w:t>
      </w:r>
      <w:r w:rsidR="00DF6EAE" w:rsidRPr="00940F87">
        <w:rPr>
          <w:rFonts w:ascii="Palatino Linotype" w:eastAsia="Palatino Linotype" w:hAnsi="Palatino Linotype" w:cs="Palatino Linotype"/>
          <w:color w:val="000000" w:themeColor="text1"/>
        </w:rPr>
        <w:t xml:space="preserve">ecurso de </w:t>
      </w:r>
      <w:r w:rsidRPr="00940F87">
        <w:rPr>
          <w:rFonts w:ascii="Palatino Linotype" w:eastAsia="Palatino Linotype" w:hAnsi="Palatino Linotype" w:cs="Palatino Linotype"/>
          <w:color w:val="000000" w:themeColor="text1"/>
        </w:rPr>
        <w:t>R</w:t>
      </w:r>
      <w:r w:rsidR="00DF6EAE" w:rsidRPr="00940F87">
        <w:rPr>
          <w:rFonts w:ascii="Palatino Linotype" w:eastAsia="Palatino Linotype" w:hAnsi="Palatino Linotype" w:cs="Palatino Linotype"/>
          <w:color w:val="000000" w:themeColor="text1"/>
        </w:rPr>
        <w:t xml:space="preserve">evisión se abocará en determinar si el </w:t>
      </w:r>
      <w:r w:rsidR="00DF6EAE" w:rsidRPr="00940F87">
        <w:rPr>
          <w:rFonts w:ascii="Palatino Linotype" w:eastAsia="Palatino Linotype" w:hAnsi="Palatino Linotype" w:cs="Palatino Linotype"/>
          <w:b/>
          <w:color w:val="000000" w:themeColor="text1"/>
        </w:rPr>
        <w:t>SUJETO</w:t>
      </w:r>
      <w:r w:rsidR="00DF6EAE" w:rsidRPr="00940F87">
        <w:rPr>
          <w:rFonts w:ascii="Palatino Linotype" w:eastAsia="Palatino Linotype" w:hAnsi="Palatino Linotype" w:cs="Palatino Linotype"/>
          <w:color w:val="000000" w:themeColor="text1"/>
        </w:rPr>
        <w:t xml:space="preserve"> </w:t>
      </w:r>
      <w:r w:rsidR="00DF6EAE" w:rsidRPr="00940F87">
        <w:rPr>
          <w:rFonts w:ascii="Palatino Linotype" w:eastAsia="Palatino Linotype" w:hAnsi="Palatino Linotype" w:cs="Palatino Linotype"/>
          <w:b/>
          <w:color w:val="000000" w:themeColor="text1"/>
        </w:rPr>
        <w:t>OBLIGADO</w:t>
      </w:r>
      <w:r w:rsidR="00DF6EAE" w:rsidRPr="00940F87">
        <w:rPr>
          <w:rFonts w:ascii="Palatino Linotype" w:eastAsia="Palatino Linotype" w:hAnsi="Palatino Linotype" w:cs="Palatino Linotype"/>
          <w:color w:val="000000" w:themeColor="text1"/>
        </w:rPr>
        <w:t xml:space="preserve"> con su respuesta ciertamente actualiza la causal de procedencia</w:t>
      </w:r>
      <w:r w:rsidR="00DF6EAE" w:rsidRPr="00940F87">
        <w:rPr>
          <w:rFonts w:ascii="Palatino Linotype" w:eastAsia="Palatino Linotype" w:hAnsi="Palatino Linotype" w:cs="Palatino Linotype"/>
          <w:b/>
          <w:color w:val="000000" w:themeColor="text1"/>
        </w:rPr>
        <w:t xml:space="preserve"> </w:t>
      </w:r>
      <w:r w:rsidR="00DF6EAE" w:rsidRPr="00940F87">
        <w:rPr>
          <w:rFonts w:ascii="Palatino Linotype" w:eastAsia="Palatino Linotype" w:hAnsi="Palatino Linotype" w:cs="Palatino Linotype"/>
          <w:color w:val="000000" w:themeColor="text1"/>
        </w:rPr>
        <w:t xml:space="preserve">antes señalada. </w:t>
      </w:r>
    </w:p>
    <w:p w:rsidR="00E31311" w:rsidRPr="00940F87" w:rsidRDefault="00E31311" w:rsidP="00940F87">
      <w:pPr>
        <w:spacing w:line="360" w:lineRule="auto"/>
        <w:jc w:val="both"/>
        <w:rPr>
          <w:rFonts w:ascii="Palatino Linotype" w:eastAsia="Palatino Linotype" w:hAnsi="Palatino Linotype" w:cs="Palatino Linotype"/>
          <w:color w:val="000000" w:themeColor="text1"/>
        </w:rPr>
      </w:pPr>
    </w:p>
    <w:p w:rsidR="00E31311" w:rsidRPr="00940F87" w:rsidRDefault="00DF6EAE" w:rsidP="00940F87">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940F87">
        <w:rPr>
          <w:rFonts w:ascii="Palatino Linotype" w:eastAsia="Palatino Linotype" w:hAnsi="Palatino Linotype" w:cs="Palatino Linotype"/>
          <w:b/>
          <w:color w:val="000000" w:themeColor="text1"/>
          <w:sz w:val="24"/>
          <w:szCs w:val="24"/>
        </w:rPr>
        <w:t>CUARTO. Del estudio y resolución del asunto.</w:t>
      </w:r>
    </w:p>
    <w:p w:rsidR="006B1EE0" w:rsidRPr="00940F87" w:rsidRDefault="006B1EE0" w:rsidP="00940F8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B1EE0" w:rsidRPr="00940F87" w:rsidRDefault="006B1EE0" w:rsidP="00940F87">
      <w:pPr>
        <w:spacing w:line="360" w:lineRule="auto"/>
        <w:jc w:val="both"/>
        <w:rPr>
          <w:rFonts w:ascii="Palatino Linotype" w:eastAsia="Palatino Linotype" w:hAnsi="Palatino Linotype" w:cs="Palatino Linotype"/>
          <w:color w:val="000000" w:themeColor="text1"/>
        </w:rPr>
      </w:pPr>
    </w:p>
    <w:p w:rsidR="006B1EE0" w:rsidRPr="00940F87" w:rsidRDefault="006B1EE0" w:rsidP="00940F8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E2E18" w:rsidRPr="00940F87" w:rsidRDefault="009E2E18" w:rsidP="00940F87">
      <w:pPr>
        <w:pStyle w:val="Prrafodelista"/>
        <w:ind w:left="0"/>
        <w:rPr>
          <w:rFonts w:ascii="Palatino Linotype" w:eastAsia="Palatino Linotype" w:hAnsi="Palatino Linotype" w:cs="Palatino Linotype"/>
          <w:color w:val="000000" w:themeColor="text1"/>
        </w:rPr>
      </w:pPr>
    </w:p>
    <w:p w:rsidR="006B1EE0" w:rsidRPr="00940F87" w:rsidRDefault="006B1EE0" w:rsidP="00940F8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w:t>
      </w:r>
      <w:r w:rsidRPr="00940F87">
        <w:rPr>
          <w:rFonts w:ascii="Palatino Linotype" w:eastAsia="Palatino Linotype" w:hAnsi="Palatino Linotype" w:cs="Palatino Linotype"/>
          <w:color w:val="000000" w:themeColor="text1"/>
        </w:rPr>
        <w:lastRenderedPageBreak/>
        <w:t>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73A75" w:rsidRPr="00940F87" w:rsidRDefault="00773A75" w:rsidP="00940F87">
      <w:pPr>
        <w:pStyle w:val="Prrafodelista"/>
        <w:spacing w:line="360" w:lineRule="auto"/>
        <w:ind w:left="0"/>
        <w:rPr>
          <w:rFonts w:ascii="Palatino Linotype" w:eastAsia="Palatino Linotype" w:hAnsi="Palatino Linotype" w:cs="Palatino Linotype"/>
          <w:color w:val="000000" w:themeColor="text1"/>
        </w:rPr>
      </w:pPr>
    </w:p>
    <w:p w:rsidR="00A00B7F" w:rsidRPr="00940F87" w:rsidRDefault="006B1EE0" w:rsidP="00940F87">
      <w:pPr>
        <w:numPr>
          <w:ilvl w:val="0"/>
          <w:numId w:val="3"/>
        </w:numPr>
        <w:spacing w:line="360" w:lineRule="auto"/>
        <w:ind w:left="0" w:firstLine="0"/>
        <w:jc w:val="both"/>
        <w:rPr>
          <w:rFonts w:ascii="Palatino Linotype" w:eastAsia="Palatino Linotype" w:hAnsi="Palatino Linotype" w:cs="Palatino Linotype"/>
          <w:b/>
          <w:i/>
          <w:color w:val="000000" w:themeColor="text1"/>
        </w:rPr>
      </w:pPr>
      <w:r w:rsidRPr="00940F87">
        <w:rPr>
          <w:rFonts w:ascii="Palatino Linotype" w:eastAsia="Palatino Linotype" w:hAnsi="Palatino Linotype" w:cs="Palatino Linotype"/>
          <w:color w:val="000000" w:themeColor="text1"/>
        </w:rPr>
        <w:t xml:space="preserve">Una vez sentado lo anterior, resulta oportuno </w:t>
      </w:r>
      <w:r w:rsidR="00014868" w:rsidRPr="00940F87">
        <w:rPr>
          <w:rFonts w:ascii="Palatino Linotype" w:eastAsia="Palatino Linotype" w:hAnsi="Palatino Linotype" w:cs="Palatino Linotype"/>
          <w:color w:val="000000" w:themeColor="text1"/>
        </w:rPr>
        <w:t xml:space="preserve">recordar </w:t>
      </w:r>
      <w:r w:rsidR="00236042" w:rsidRPr="00940F87">
        <w:rPr>
          <w:rFonts w:ascii="Palatino Linotype" w:eastAsia="Palatino Linotype" w:hAnsi="Palatino Linotype" w:cs="Palatino Linotype"/>
          <w:color w:val="000000" w:themeColor="text1"/>
        </w:rPr>
        <w:t xml:space="preserve">los motivos de inconformidad, </w:t>
      </w:r>
      <w:r w:rsidR="00914AB9" w:rsidRPr="00940F87">
        <w:rPr>
          <w:rFonts w:ascii="Palatino Linotype" w:eastAsia="Palatino Linotype" w:hAnsi="Palatino Linotype" w:cs="Palatino Linotype"/>
          <w:color w:val="000000" w:themeColor="text1"/>
        </w:rPr>
        <w:t xml:space="preserve">que refieren la </w:t>
      </w:r>
      <w:r w:rsidR="00A00B7F" w:rsidRPr="00940F87">
        <w:rPr>
          <w:rFonts w:ascii="Palatino Linotype" w:eastAsia="Palatino Linotype" w:hAnsi="Palatino Linotype" w:cs="Palatino Linotype"/>
          <w:color w:val="000000" w:themeColor="text1"/>
        </w:rPr>
        <w:t>entrega de la información incompleta</w:t>
      </w:r>
      <w:r w:rsidR="009877EE" w:rsidRPr="00940F87">
        <w:rPr>
          <w:rFonts w:ascii="Palatino Linotype" w:eastAsia="Palatino Linotype" w:hAnsi="Palatino Linotype" w:cs="Palatino Linotype"/>
          <w:color w:val="000000" w:themeColor="text1"/>
        </w:rPr>
        <w:t>.</w:t>
      </w:r>
      <w:r w:rsidR="00A00B7F" w:rsidRPr="00940F87">
        <w:rPr>
          <w:rFonts w:ascii="Palatino Linotype" w:eastAsia="Palatino Linotype" w:hAnsi="Palatino Linotype" w:cs="Palatino Linotype"/>
          <w:color w:val="000000" w:themeColor="text1"/>
        </w:rPr>
        <w:t xml:space="preserve"> Al respecto del análi</w:t>
      </w:r>
      <w:r w:rsidR="00B17889" w:rsidRPr="00940F87">
        <w:rPr>
          <w:rFonts w:ascii="Palatino Linotype" w:eastAsia="Palatino Linotype" w:hAnsi="Palatino Linotype" w:cs="Palatino Linotype"/>
          <w:color w:val="000000" w:themeColor="text1"/>
        </w:rPr>
        <w:t>sis de la documental entregada denominad</w:t>
      </w:r>
      <w:r w:rsidR="00F826C3" w:rsidRPr="00940F87">
        <w:rPr>
          <w:rFonts w:ascii="Palatino Linotype" w:eastAsia="Palatino Linotype" w:hAnsi="Palatino Linotype" w:cs="Palatino Linotype"/>
          <w:color w:val="000000" w:themeColor="text1"/>
        </w:rPr>
        <w:t>a</w:t>
      </w:r>
      <w:r w:rsidR="00B17889" w:rsidRPr="00940F87">
        <w:rPr>
          <w:rFonts w:ascii="Palatino Linotype" w:eastAsia="Palatino Linotype" w:hAnsi="Palatino Linotype" w:cs="Palatino Linotype"/>
          <w:color w:val="000000" w:themeColor="text1"/>
        </w:rPr>
        <w:t xml:space="preserve"> </w:t>
      </w:r>
      <w:r w:rsidR="00B17889" w:rsidRPr="00940F87">
        <w:rPr>
          <w:rFonts w:ascii="Palatino Linotype" w:eastAsia="Palatino Linotype" w:hAnsi="Palatino Linotype" w:cs="Palatino Linotype"/>
          <w:b/>
          <w:i/>
          <w:color w:val="000000" w:themeColor="text1"/>
        </w:rPr>
        <w:t>Respuesta Saimex 01752 (1).pdf</w:t>
      </w:r>
      <w:r w:rsidR="00B17889" w:rsidRPr="00940F87">
        <w:rPr>
          <w:rFonts w:ascii="Palatino Linotype" w:eastAsia="Palatino Linotype" w:hAnsi="Palatino Linotype" w:cs="Palatino Linotype"/>
          <w:color w:val="000000" w:themeColor="text1"/>
        </w:rPr>
        <w:t xml:space="preserve">, </w:t>
      </w:r>
      <w:r w:rsidR="00F826C3" w:rsidRPr="00940F87">
        <w:rPr>
          <w:rFonts w:ascii="Palatino Linotype" w:eastAsia="Palatino Linotype" w:hAnsi="Palatino Linotype" w:cs="Palatino Linotype"/>
          <w:color w:val="000000" w:themeColor="text1"/>
        </w:rPr>
        <w:t>se emitió una respuesta por parte d</w:t>
      </w:r>
      <w:r w:rsidR="00B17889" w:rsidRPr="00940F87">
        <w:rPr>
          <w:rFonts w:ascii="Palatino Linotype" w:eastAsia="Palatino Linotype" w:hAnsi="Palatino Linotype" w:cs="Palatino Linotype"/>
          <w:color w:val="000000" w:themeColor="text1"/>
        </w:rPr>
        <w:t xml:space="preserve">el Director General de Obras Públicas y servidor público habilitado, </w:t>
      </w:r>
      <w:r w:rsidR="005377E0" w:rsidRPr="00940F87">
        <w:rPr>
          <w:rFonts w:ascii="Palatino Linotype" w:eastAsia="Palatino Linotype" w:hAnsi="Palatino Linotype" w:cs="Palatino Linotype"/>
          <w:color w:val="000000" w:themeColor="text1"/>
        </w:rPr>
        <w:t xml:space="preserve">de conformidad con lo establecido en el </w:t>
      </w:r>
      <w:r w:rsidR="00F826C3" w:rsidRPr="00940F87">
        <w:rPr>
          <w:rFonts w:ascii="Palatino Linotype" w:eastAsia="Palatino Linotype" w:hAnsi="Palatino Linotype" w:cs="Palatino Linotype"/>
          <w:color w:val="000000" w:themeColor="text1"/>
        </w:rPr>
        <w:t>Código Reglamentario del Ayuntamiento de Toluca, en su siguiente articulado:</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 xml:space="preserve">“Artículo 3.55. La o el titular de la Dirección de Obras Públicas, tendrá las siguientes atribuciones: </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 xml:space="preserve">I. Desarrollar, proponer y ejecutar el Programa Anual de Obra en los términos establecidos por la normatividad aplicable, así como proponer y solicitar las modificaciones y reconducciones necesarias al mismo; </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 xml:space="preserve">II. Coordinar actos relativos a la planeación, programación, presupuestación, adjudicación y contratación de la obra pública, cuidando que los mismos se proyecten con perspectiva de género; así como los servicios relacionados con las mismas; </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 xml:space="preserve">III. Proyectar las obras públicas y servicios relacionados, incluyendo la construcción de edificios públicos, monumentos y bienes de uso común; </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lastRenderedPageBreak/>
        <w:t xml:space="preserve">IV. Planear, dirigir, organizar y ejecutar, en coordinación con las autoridades estatales competentes, programas de construcción y mantenimiento a las vialidades del municipio de Toluca; </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 xml:space="preserve">V. Programar, coadyuvar y ejecutar la construcción de edificios, monumentos, bienes de uso común, avenidas, calles, caminos y todo tipo de vialidades e infraestructura urbana de jurisdicción municipal; </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 xml:space="preserve">VI. Vigilar la construcción de las obras por contrato que hayan sido adjudicadas en términos de la legislación de la materia; </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 xml:space="preserve">VII. Supervisar y vigilar la ejecución de obras por cooperación, así como la construcción y mejoramiento de obras de infraestructura y equipamiento urbano; </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 xml:space="preserve">VIII. Coadyuvar con la Contraloría Municipal la integración de los Comités Ciudadanos de Control y Vigilancia, encargados de supervisar la obra pública municipal; </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IX. Designar a los residentes y supervisores de obras en los términos establecidos por la normatividad aplicable;</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X. Integrar y verificar que se elaboren de manera correcta y completa las bitácoras y/o expedientes abiertos con motivo de la obra pública y servicios relacionados con la misma, conforme a la normatividad aplicable;</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 xml:space="preserve">XI. Revisar y autorizar para su pago, previa validación del avance y calidad de las obras, los presupuestos y estimaciones de las obras públicas municipales; </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 xml:space="preserve">XII. Integrar y autorizar con su firma, la documentación que, en materia de obra pública, deba presentarse al Órgano Superior de Fiscalización del Estado de México; </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 xml:space="preserve">XIII. Integrar, coordinar, supervisar y dar seguimiento al adecuado funcionamiento del Comité Interno de Obra Pública en los términos dispuestos por la normatividad aplicable en la materia; </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t xml:space="preserve">XIV. Atender lo enmarcado en el Artículo 92 de la Ley de Transparencia y Acceso a la Información Pública del Estado de México y Municipios, de acuerdo a la información generada por el área; y </w:t>
      </w:r>
    </w:p>
    <w:p w:rsidR="005377E0" w:rsidRPr="00940F87" w:rsidRDefault="005377E0" w:rsidP="00940F87">
      <w:pPr>
        <w:spacing w:line="360" w:lineRule="auto"/>
        <w:jc w:val="both"/>
        <w:rPr>
          <w:rFonts w:ascii="Palatino Linotype" w:hAnsi="Palatino Linotype"/>
          <w:i/>
          <w:color w:val="000000" w:themeColor="text1"/>
        </w:rPr>
      </w:pPr>
      <w:r w:rsidRPr="00940F87">
        <w:rPr>
          <w:rFonts w:ascii="Palatino Linotype" w:hAnsi="Palatino Linotype"/>
          <w:i/>
          <w:color w:val="000000" w:themeColor="text1"/>
        </w:rPr>
        <w:lastRenderedPageBreak/>
        <w:t>XV. Las demás que le asignen otros ordenamientos, el presidente municipal y la o el Director General de Desarrollo Urbano, Ordenamiento Territorial y Obras Públicas.”</w:t>
      </w:r>
    </w:p>
    <w:p w:rsidR="00B17889" w:rsidRPr="00940F87" w:rsidRDefault="00B17889" w:rsidP="00940F87">
      <w:pPr>
        <w:spacing w:line="360" w:lineRule="auto"/>
        <w:jc w:val="both"/>
        <w:rPr>
          <w:rFonts w:ascii="Palatino Linotype" w:eastAsia="Palatino Linotype" w:hAnsi="Palatino Linotype" w:cs="Palatino Linotype"/>
          <w:color w:val="000000" w:themeColor="text1"/>
        </w:rPr>
      </w:pPr>
    </w:p>
    <w:p w:rsidR="00C818D2" w:rsidRPr="00940F87" w:rsidRDefault="00564F4B" w:rsidP="00940F8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Como se observa, el Director General de Obras Públicas es responsable de planificar, ejecutar y supervisar los proyectos de infraestructura pública en el Municipio; asimismo cuenta con facultades de mantenimiento y desarrollo de las obras físicas que dan servicio a la comunidad; luego entonces se advierte que la respuesta de mérito fue emitida por el servidor público habilitado competente.</w:t>
      </w:r>
    </w:p>
    <w:p w:rsidR="00C818D2" w:rsidRPr="00940F87" w:rsidRDefault="00C818D2" w:rsidP="00940F87">
      <w:pPr>
        <w:spacing w:line="360" w:lineRule="auto"/>
        <w:jc w:val="both"/>
        <w:rPr>
          <w:rFonts w:ascii="Palatino Linotype" w:eastAsia="Palatino Linotype" w:hAnsi="Palatino Linotype" w:cs="Palatino Linotype"/>
          <w:color w:val="000000" w:themeColor="text1"/>
        </w:rPr>
      </w:pPr>
    </w:p>
    <w:p w:rsidR="000C29B1" w:rsidRPr="00940F87" w:rsidRDefault="004A55A4" w:rsidP="00940F87">
      <w:pPr>
        <w:numPr>
          <w:ilvl w:val="0"/>
          <w:numId w:val="3"/>
        </w:numPr>
        <w:spacing w:line="360" w:lineRule="auto"/>
        <w:ind w:left="0" w:firstLine="0"/>
        <w:jc w:val="both"/>
        <w:rPr>
          <w:rFonts w:ascii="Palatino Linotype" w:hAnsi="Palatino Linotype"/>
          <w:color w:val="000000" w:themeColor="text1"/>
        </w:rPr>
      </w:pPr>
      <w:r w:rsidRPr="00940F87">
        <w:rPr>
          <w:rFonts w:ascii="Palatino Linotype" w:eastAsia="Palatino Linotype" w:hAnsi="Palatino Linotype" w:cs="Palatino Linotype"/>
          <w:color w:val="000000" w:themeColor="text1"/>
        </w:rPr>
        <w:t xml:space="preserve">Luego entonces, del listado entregado, se advierte que se entregan los nombres de las empresas encargadas de ejecutar obras públicas en el Municipio </w:t>
      </w:r>
      <w:r w:rsidR="00A85955" w:rsidRPr="00940F87">
        <w:rPr>
          <w:rFonts w:ascii="Palatino Linotype" w:eastAsia="Palatino Linotype" w:hAnsi="Palatino Linotype" w:cs="Palatino Linotype"/>
          <w:color w:val="000000" w:themeColor="text1"/>
        </w:rPr>
        <w:t xml:space="preserve">en el lapso temporal requerido </w:t>
      </w:r>
      <w:r w:rsidR="00F826C3" w:rsidRPr="00940F87">
        <w:rPr>
          <w:rFonts w:ascii="Palatino Linotype" w:eastAsia="Palatino Linotype" w:hAnsi="Palatino Linotype" w:cs="Palatino Linotype"/>
          <w:color w:val="000000" w:themeColor="text1"/>
        </w:rPr>
        <w:t xml:space="preserve">del </w:t>
      </w:r>
      <w:r w:rsidRPr="00940F87">
        <w:rPr>
          <w:rFonts w:ascii="Palatino Linotype" w:eastAsia="Palatino Linotype" w:hAnsi="Palatino Linotype" w:cs="Palatino Linotype"/>
          <w:color w:val="000000" w:themeColor="text1"/>
        </w:rPr>
        <w:t>ejercicio fiscal 2022</w:t>
      </w:r>
      <w:r w:rsidR="00F826C3" w:rsidRPr="00940F87">
        <w:rPr>
          <w:rFonts w:ascii="Palatino Linotype" w:eastAsia="Palatino Linotype" w:hAnsi="Palatino Linotype" w:cs="Palatino Linotype"/>
          <w:color w:val="000000" w:themeColor="text1"/>
        </w:rPr>
        <w:t>.</w:t>
      </w:r>
      <w:r w:rsidRPr="00940F87">
        <w:rPr>
          <w:rFonts w:ascii="Palatino Linotype" w:eastAsia="Palatino Linotype" w:hAnsi="Palatino Linotype" w:cs="Palatino Linotype"/>
          <w:color w:val="000000" w:themeColor="text1"/>
        </w:rPr>
        <w:t xml:space="preserve"> </w:t>
      </w:r>
      <w:r w:rsidR="00F826C3" w:rsidRPr="00940F87">
        <w:rPr>
          <w:rFonts w:ascii="Palatino Linotype" w:eastAsia="Palatino Linotype" w:hAnsi="Palatino Linotype" w:cs="Palatino Linotype"/>
          <w:color w:val="000000" w:themeColor="text1"/>
        </w:rPr>
        <w:t xml:space="preserve">En esa tesitura, es </w:t>
      </w:r>
      <w:r w:rsidRPr="00940F87">
        <w:rPr>
          <w:rFonts w:ascii="Palatino Linotype" w:eastAsia="Palatino Linotype" w:hAnsi="Palatino Linotype" w:cs="Palatino Linotype"/>
          <w:color w:val="000000" w:themeColor="text1"/>
        </w:rPr>
        <w:t xml:space="preserve">que se tiene por colmado el rubro en comento </w:t>
      </w:r>
      <w:r w:rsidR="000C29B1" w:rsidRPr="00940F87">
        <w:rPr>
          <w:rFonts w:ascii="Palatino Linotype" w:eastAsia="Palatino Linotype" w:hAnsi="Palatino Linotype" w:cs="Palatino Linotype"/>
          <w:color w:val="000000" w:themeColor="text1"/>
        </w:rPr>
        <w:t>al ser de explorado derecho que este Instituto</w:t>
      </w:r>
      <w:r w:rsidR="00F826C3" w:rsidRPr="00940F87">
        <w:rPr>
          <w:rFonts w:ascii="Palatino Linotype" w:eastAsia="Palatino Linotype" w:hAnsi="Palatino Linotype" w:cs="Palatino Linotype"/>
          <w:color w:val="000000" w:themeColor="text1"/>
        </w:rPr>
        <w:t>:</w:t>
      </w:r>
      <w:r w:rsidR="000C29B1" w:rsidRPr="00940F87">
        <w:rPr>
          <w:rFonts w:ascii="Palatino Linotype" w:eastAsia="Palatino Linotype" w:hAnsi="Palatino Linotype" w:cs="Palatino Linotype"/>
          <w:color w:val="000000" w:themeColor="text1"/>
        </w:rPr>
        <w:t xml:space="preserve"> </w:t>
      </w:r>
      <w:r w:rsidR="000C29B1" w:rsidRPr="00940F87">
        <w:rPr>
          <w:rFonts w:ascii="Palatino Linotype" w:hAnsi="Palatino Linotype"/>
          <w:color w:val="000000" w:themeColor="text1"/>
        </w:rPr>
        <w:t>no se encuentra facultado para dudar de su veracidad</w:t>
      </w:r>
      <w:r w:rsidR="000C29B1" w:rsidRPr="00940F87">
        <w:rPr>
          <w:rFonts w:ascii="Palatino Linotype" w:eastAsia="Palatino Linotype" w:hAnsi="Palatino Linotype" w:cs="Palatino Linotype"/>
          <w:color w:val="000000" w:themeColor="text1"/>
        </w:rPr>
        <w:t xml:space="preserve"> de la </w:t>
      </w:r>
      <w:r w:rsidR="000C29B1" w:rsidRPr="00940F87">
        <w:rPr>
          <w:rFonts w:ascii="Palatino Linotype" w:eastAsia="MS Mincho" w:hAnsi="Palatino Linotype" w:cs="Arial"/>
          <w:color w:val="000000" w:themeColor="text1"/>
        </w:rPr>
        <w:t>información</w:t>
      </w:r>
      <w:r w:rsidR="000C29B1" w:rsidRPr="00940F87">
        <w:rPr>
          <w:rFonts w:ascii="Palatino Linotype" w:eastAsia="Palatino Linotype" w:hAnsi="Palatino Linotype" w:cs="Palatino Linotype"/>
          <w:color w:val="000000" w:themeColor="text1"/>
        </w:rPr>
        <w:t xml:space="preserve"> que le fue entregada </w:t>
      </w:r>
      <w:r w:rsidR="000C29B1" w:rsidRPr="00940F87">
        <w:rPr>
          <w:rFonts w:ascii="Palatino Linotype" w:hAnsi="Palatino Linotype" w:cs="Times New Roman"/>
          <w:color w:val="000000" w:themeColor="text1"/>
        </w:rPr>
        <w:t>al</w:t>
      </w:r>
      <w:r w:rsidR="000C29B1" w:rsidRPr="00940F87">
        <w:rPr>
          <w:rFonts w:ascii="Palatino Linotype" w:eastAsia="Palatino Linotype" w:hAnsi="Palatino Linotype" w:cs="Palatino Linotype"/>
          <w:color w:val="000000" w:themeColor="text1"/>
        </w:rPr>
        <w:t xml:space="preserve"> hoy </w:t>
      </w:r>
      <w:r w:rsidR="000C29B1" w:rsidRPr="00940F87">
        <w:rPr>
          <w:rFonts w:ascii="Palatino Linotype" w:eastAsia="Palatino Linotype" w:hAnsi="Palatino Linotype" w:cs="Palatino Linotype"/>
          <w:b/>
          <w:color w:val="000000" w:themeColor="text1"/>
        </w:rPr>
        <w:t>RECURRENTE</w:t>
      </w:r>
      <w:r w:rsidR="000C29B1" w:rsidRPr="00940F87">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000C29B1" w:rsidRPr="00940F87">
        <w:rPr>
          <w:rFonts w:ascii="Palatino Linotype" w:hAnsi="Palatino Linotype" w:cs="Arial"/>
          <w:color w:val="000000" w:themeColor="text1"/>
        </w:rPr>
        <w:t xml:space="preserve">situación que se aleja de las atribuciones de este Instituto </w:t>
      </w:r>
      <w:r w:rsidR="000C29B1" w:rsidRPr="00940F87">
        <w:rPr>
          <w:rFonts w:ascii="Palatino Linotype" w:hAnsi="Palatino Linotype"/>
          <w:i/>
          <w:color w:val="000000" w:themeColor="text1"/>
        </w:rPr>
        <w:t>máxime</w:t>
      </w:r>
      <w:r w:rsidR="000C29B1" w:rsidRPr="00940F87">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0C29B1" w:rsidRPr="00940F87" w:rsidRDefault="000C29B1" w:rsidP="00940F87">
      <w:pPr>
        <w:pStyle w:val="Prrafodelista"/>
        <w:spacing w:line="360" w:lineRule="auto"/>
        <w:ind w:left="0"/>
        <w:rPr>
          <w:rFonts w:ascii="Palatino Linotype" w:hAnsi="Palatino Linotype"/>
          <w:color w:val="000000" w:themeColor="text1"/>
        </w:rPr>
      </w:pPr>
    </w:p>
    <w:p w:rsidR="000C29B1" w:rsidRPr="00940F87" w:rsidRDefault="000C29B1" w:rsidP="00940F87">
      <w:pPr>
        <w:numPr>
          <w:ilvl w:val="0"/>
          <w:numId w:val="3"/>
        </w:numPr>
        <w:spacing w:line="360" w:lineRule="auto"/>
        <w:ind w:left="0" w:firstLine="0"/>
        <w:jc w:val="both"/>
        <w:rPr>
          <w:rFonts w:ascii="Palatino Linotype" w:hAnsi="Palatino Linotype"/>
          <w:i/>
          <w:color w:val="000000" w:themeColor="text1"/>
        </w:rPr>
      </w:pPr>
      <w:r w:rsidRPr="00940F87">
        <w:rPr>
          <w:rFonts w:ascii="Palatino Linotype" w:hAnsi="Palatino Linotype"/>
          <w:color w:val="000000" w:themeColor="text1"/>
        </w:rPr>
        <w:t xml:space="preserve">Sirviendo de apoyo </w:t>
      </w:r>
      <w:r w:rsidRPr="00940F87">
        <w:rPr>
          <w:rFonts w:ascii="Palatino Linotype" w:hAnsi="Palatino Linotype" w:cs="Arial"/>
          <w:color w:val="000000" w:themeColor="text1"/>
        </w:rPr>
        <w:t>lo dispuesto por</w:t>
      </w:r>
      <w:r w:rsidRPr="00940F87">
        <w:rPr>
          <w:rFonts w:ascii="Palatino Linotype" w:hAnsi="Palatino Linotype"/>
          <w:color w:val="000000" w:themeColor="text1"/>
        </w:rPr>
        <w:t xml:space="preserve"> la </w:t>
      </w:r>
      <w:r w:rsidRPr="00940F87">
        <w:rPr>
          <w:rFonts w:ascii="Palatino Linotype" w:hAnsi="Palatino Linotype"/>
          <w:b/>
          <w:color w:val="000000" w:themeColor="text1"/>
        </w:rPr>
        <w:t xml:space="preserve">Ley de Transparencia y Acceso a la Información Pública del </w:t>
      </w:r>
      <w:r w:rsidRPr="00940F87">
        <w:rPr>
          <w:rFonts w:ascii="Palatino Linotype" w:eastAsia="Palatino Linotype" w:hAnsi="Palatino Linotype" w:cs="Palatino Linotype"/>
          <w:color w:val="000000" w:themeColor="text1"/>
        </w:rPr>
        <w:t>Estado</w:t>
      </w:r>
      <w:r w:rsidRPr="00940F87">
        <w:rPr>
          <w:rFonts w:ascii="Palatino Linotype" w:hAnsi="Palatino Linotype"/>
          <w:b/>
          <w:color w:val="000000" w:themeColor="text1"/>
        </w:rPr>
        <w:t xml:space="preserve"> de </w:t>
      </w:r>
      <w:r w:rsidRPr="00940F87">
        <w:rPr>
          <w:rFonts w:ascii="Palatino Linotype" w:hAnsi="Palatino Linotype"/>
          <w:color w:val="000000" w:themeColor="text1"/>
        </w:rPr>
        <w:t>México</w:t>
      </w:r>
      <w:r w:rsidRPr="00940F87">
        <w:rPr>
          <w:rFonts w:ascii="Palatino Linotype" w:hAnsi="Palatino Linotype"/>
          <w:b/>
          <w:color w:val="000000" w:themeColor="text1"/>
        </w:rPr>
        <w:t xml:space="preserve"> y Municipios</w:t>
      </w:r>
      <w:r w:rsidRPr="00940F87">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w:t>
      </w:r>
      <w:r w:rsidRPr="00940F87">
        <w:rPr>
          <w:rFonts w:ascii="Palatino Linotype" w:hAnsi="Palatino Linotype"/>
          <w:color w:val="000000" w:themeColor="text1"/>
        </w:rPr>
        <w:lastRenderedPageBreak/>
        <w:t>privilegiando el principio de máxima publicidad de la información, por lo que deberán apegarse en todo momento a los criterios de publicidad, veracidad, oportunidad entre otros, numeral en comento que a la letra señala:</w:t>
      </w:r>
    </w:p>
    <w:p w:rsidR="000C29B1" w:rsidRPr="00940F87" w:rsidRDefault="000C29B1" w:rsidP="00940F87">
      <w:pPr>
        <w:pStyle w:val="Prrafodelista"/>
        <w:spacing w:line="360" w:lineRule="auto"/>
        <w:ind w:left="0"/>
        <w:jc w:val="both"/>
        <w:rPr>
          <w:rFonts w:ascii="Palatino Linotype" w:hAnsi="Palatino Linotype" w:cs="Arial"/>
          <w:b/>
          <w:i/>
          <w:color w:val="000000" w:themeColor="text1"/>
        </w:rPr>
      </w:pPr>
      <w:r w:rsidRPr="00940F87">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40F87">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0C29B1" w:rsidRPr="00940F87" w:rsidRDefault="000C29B1" w:rsidP="00940F87">
      <w:pPr>
        <w:pStyle w:val="Prrafodelista"/>
        <w:spacing w:line="360" w:lineRule="auto"/>
        <w:ind w:left="0"/>
        <w:jc w:val="both"/>
        <w:rPr>
          <w:rFonts w:ascii="Palatino Linotype" w:hAnsi="Palatino Linotype" w:cs="Arial"/>
          <w:b/>
          <w:i/>
          <w:color w:val="000000" w:themeColor="text1"/>
        </w:rPr>
      </w:pPr>
    </w:p>
    <w:p w:rsidR="00C818D2" w:rsidRPr="00940F87" w:rsidRDefault="000C29B1" w:rsidP="00940F8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hAnsi="Palatino Linotype" w:cs="Arial"/>
          <w:color w:val="000000" w:themeColor="text1"/>
        </w:rPr>
        <w:t>Numerales</w:t>
      </w:r>
      <w:r w:rsidRPr="00940F87">
        <w:rPr>
          <w:rFonts w:ascii="Palatino Linotype" w:hAnsi="Palatino Linotype" w:cs="Arial"/>
          <w:noProof/>
          <w:color w:val="000000" w:themeColor="text1"/>
          <w:lang w:eastAsia="es-MX"/>
        </w:rPr>
        <w:t xml:space="preserve"> que compelen al </w:t>
      </w:r>
      <w:r w:rsidRPr="00940F87">
        <w:rPr>
          <w:rFonts w:ascii="Palatino Linotype" w:hAnsi="Palatino Linotype" w:cs="Arial"/>
          <w:b/>
          <w:noProof/>
          <w:color w:val="000000" w:themeColor="text1"/>
          <w:lang w:eastAsia="es-MX"/>
        </w:rPr>
        <w:t>SUJETO OBLIGADO</w:t>
      </w:r>
      <w:r w:rsidRPr="00940F87">
        <w:rPr>
          <w:rFonts w:ascii="Palatino Linotype" w:hAnsi="Palatino Linotype" w:cs="Arial"/>
          <w:noProof/>
          <w:color w:val="000000" w:themeColor="text1"/>
          <w:lang w:eastAsia="es-MX"/>
        </w:rPr>
        <w:t xml:space="preserve"> apegarse en todo momento a los </w:t>
      </w:r>
      <w:r w:rsidRPr="00940F87">
        <w:rPr>
          <w:rFonts w:ascii="Palatino Linotype" w:hAnsi="Palatino Linotype" w:cs="Arial"/>
          <w:color w:val="000000" w:themeColor="text1"/>
        </w:rPr>
        <w:t>criterios</w:t>
      </w:r>
      <w:r w:rsidRPr="00940F87">
        <w:rPr>
          <w:rFonts w:ascii="Palatino Linotype" w:hAnsi="Palatino Linotype" w:cs="Arial"/>
          <w:noProof/>
          <w:color w:val="000000" w:themeColor="text1"/>
          <w:lang w:eastAsia="es-MX"/>
        </w:rPr>
        <w:t xml:space="preserve"> ya expuestos, impidiendo a este Órgano Garante cuestionar la veracidad de la información.</w:t>
      </w:r>
    </w:p>
    <w:p w:rsidR="00940F87" w:rsidRPr="00940F87" w:rsidRDefault="00940F87" w:rsidP="00940F87">
      <w:pPr>
        <w:spacing w:line="360" w:lineRule="auto"/>
        <w:jc w:val="both"/>
        <w:rPr>
          <w:rFonts w:ascii="Palatino Linotype" w:eastAsia="Palatino Linotype" w:hAnsi="Palatino Linotype" w:cs="Palatino Linotype"/>
          <w:color w:val="000000" w:themeColor="text1"/>
        </w:rPr>
      </w:pPr>
    </w:p>
    <w:p w:rsidR="00934E2D" w:rsidRPr="00940F87" w:rsidRDefault="000C29B1" w:rsidP="00940F8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Por otro lado se informa que no se localizó expresión documental que dé cuenta de reclamaciones por garantías de las obras. En esa tesitura se colige que al señalar el concepto de expresión documental, se realizó una búsqueda de cualquier tipo de soporte documental relacionado con reclamaciones de las obras aún y cuando en estricto sentido el documento que eventualmente se haya generado no se denomine </w:t>
      </w:r>
      <w:r w:rsidRPr="00940F87">
        <w:rPr>
          <w:rFonts w:ascii="Palatino Linotype" w:eastAsia="Palatino Linotype" w:hAnsi="Palatino Linotype" w:cs="Palatino Linotype"/>
          <w:i/>
          <w:color w:val="000000" w:themeColor="text1"/>
        </w:rPr>
        <w:t>reclamación</w:t>
      </w:r>
      <w:r w:rsidRPr="00940F87">
        <w:rPr>
          <w:rFonts w:ascii="Palatino Linotype" w:eastAsia="Palatino Linotype" w:hAnsi="Palatino Linotype" w:cs="Palatino Linotype"/>
          <w:color w:val="000000" w:themeColor="text1"/>
        </w:rPr>
        <w:t xml:space="preserve">; toda vez que a ello compete la figura de expresión documental, </w:t>
      </w:r>
      <w:r w:rsidR="00507E2E" w:rsidRPr="00940F87">
        <w:rPr>
          <w:rFonts w:ascii="Palatino Linotype" w:eastAsia="Palatino Linotype" w:hAnsi="Palatino Linotype" w:cs="Palatino Linotype"/>
          <w:color w:val="000000" w:themeColor="text1"/>
        </w:rPr>
        <w:t>la</w:t>
      </w:r>
      <w:r w:rsidRPr="00940F87">
        <w:rPr>
          <w:rFonts w:ascii="Palatino Linotype" w:eastAsia="Palatino Linotype" w:hAnsi="Palatino Linotype" w:cs="Palatino Linotype"/>
          <w:color w:val="000000" w:themeColor="text1"/>
        </w:rPr>
        <w:t xml:space="preserve"> cual deberán otorgar lo</w:t>
      </w:r>
      <w:r w:rsidR="00507E2E" w:rsidRPr="00940F87">
        <w:rPr>
          <w:rFonts w:ascii="Palatino Linotype" w:eastAsia="Palatino Linotype" w:hAnsi="Palatino Linotype" w:cs="Palatino Linotype"/>
          <w:color w:val="000000" w:themeColor="text1"/>
        </w:rPr>
        <w:t>s sujetos obligados cuando así</w:t>
      </w:r>
      <w:r w:rsidRPr="00940F87">
        <w:rPr>
          <w:rFonts w:ascii="Palatino Linotype" w:eastAsia="Palatino Linotype" w:hAnsi="Palatino Linotype" w:cs="Palatino Linotype"/>
          <w:color w:val="000000" w:themeColor="text1"/>
        </w:rPr>
        <w:t xml:space="preserve"> amerite; en virtud que los solicitantes eventualmente no son expertos en la materia y no cuentan con obligación de conocer los nombres administrativos, técnico o jurídicos de la info</w:t>
      </w:r>
      <w:r w:rsidR="00F826C3" w:rsidRPr="00940F87">
        <w:rPr>
          <w:rFonts w:ascii="Palatino Linotype" w:eastAsia="Palatino Linotype" w:hAnsi="Palatino Linotype" w:cs="Palatino Linotype"/>
          <w:color w:val="000000" w:themeColor="text1"/>
        </w:rPr>
        <w:t>rmación a la que desean acceder; siendo deber de los sujetos obligados otorgar la expresión documental correspondiente.</w:t>
      </w:r>
    </w:p>
    <w:p w:rsidR="00236042" w:rsidRPr="00940F87" w:rsidRDefault="00507E2E" w:rsidP="00940F8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lastRenderedPageBreak/>
        <w:t>Dicho lo anterior, la respuesta versó en un sentido negativo, al no haber localizado ninguna expresión documental relacionado con reclamaciones a las obras en la anualidad requerida.</w:t>
      </w:r>
    </w:p>
    <w:p w:rsidR="00563D25" w:rsidRPr="00940F87" w:rsidRDefault="00563D25" w:rsidP="00940F87">
      <w:pPr>
        <w:spacing w:line="360" w:lineRule="auto"/>
        <w:jc w:val="both"/>
        <w:rPr>
          <w:rFonts w:ascii="Palatino Linotype" w:hAnsi="Palatino Linotype" w:cs="Arial"/>
          <w:color w:val="000000" w:themeColor="text1"/>
        </w:rPr>
      </w:pPr>
    </w:p>
    <w:p w:rsidR="00F70E27" w:rsidRPr="00940F87" w:rsidRDefault="00F70E27" w:rsidP="00940F87">
      <w:pPr>
        <w:numPr>
          <w:ilvl w:val="0"/>
          <w:numId w:val="3"/>
        </w:numPr>
        <w:spacing w:line="360" w:lineRule="auto"/>
        <w:ind w:left="0" w:firstLine="0"/>
        <w:jc w:val="both"/>
        <w:rPr>
          <w:rFonts w:ascii="Palatino Linotype" w:hAnsi="Palatino Linotype" w:cs="Arial"/>
          <w:color w:val="000000" w:themeColor="text1"/>
        </w:rPr>
      </w:pPr>
      <w:r w:rsidRPr="00940F87">
        <w:rPr>
          <w:rFonts w:ascii="Palatino Linotype" w:hAnsi="Palatino Linotype" w:cs="Arial"/>
          <w:color w:val="000000" w:themeColor="text1"/>
          <w:lang w:eastAsia="es-MX"/>
        </w:rPr>
        <w:t>Por consiguiente toda vez que no posee, administra ni genera la información requerida por el particular</w:t>
      </w:r>
      <w:r w:rsidR="00563D25" w:rsidRPr="00940F87">
        <w:rPr>
          <w:rFonts w:ascii="Palatino Linotype" w:hAnsi="Palatino Linotype" w:cs="Arial"/>
          <w:color w:val="000000" w:themeColor="text1"/>
          <w:lang w:eastAsia="es-MX"/>
        </w:rPr>
        <w:t xml:space="preserve"> al rubro en comento</w:t>
      </w:r>
      <w:r w:rsidRPr="00940F87">
        <w:rPr>
          <w:rFonts w:ascii="Palatino Linotype" w:hAnsi="Palatino Linotype" w:cs="Arial"/>
          <w:color w:val="000000" w:themeColor="text1"/>
          <w:lang w:eastAsia="es-MX"/>
        </w:rPr>
        <w:t>,</w:t>
      </w:r>
      <w:r w:rsidRPr="00940F87">
        <w:rPr>
          <w:rFonts w:ascii="Palatino Linotype" w:hAnsi="Palatino Linotype" w:cs="Times New Roman"/>
          <w:color w:val="000000" w:themeColor="text1"/>
        </w:rPr>
        <w:t xml:space="preserve"> constituye un hecho negativo; entonces, </w:t>
      </w:r>
      <w:r w:rsidRPr="00940F87">
        <w:rPr>
          <w:rFonts w:ascii="Palatino Linotype" w:hAnsi="Palatino Linotype" w:cs="Arial"/>
          <w:color w:val="000000" w:themeColor="text1"/>
        </w:rPr>
        <w:t xml:space="preserve">si se considera el hecho negativo, es obvio que éste no puede fácticamente obrar en los archivos del </w:t>
      </w:r>
      <w:r w:rsidRPr="00940F87">
        <w:rPr>
          <w:rFonts w:ascii="Palatino Linotype" w:hAnsi="Palatino Linotype" w:cs="Arial"/>
          <w:b/>
          <w:color w:val="000000" w:themeColor="text1"/>
        </w:rPr>
        <w:t>SUJETO OBLIGADO</w:t>
      </w:r>
      <w:r w:rsidRPr="00940F87">
        <w:rPr>
          <w:rFonts w:ascii="Palatino Linotype" w:hAnsi="Palatino Linotype" w:cs="Arial"/>
          <w:color w:val="000000" w:themeColor="text1"/>
        </w:rPr>
        <w:t>, ya que no puede probarse por ser lógica y materialmente imposible.</w:t>
      </w:r>
    </w:p>
    <w:p w:rsidR="00F70E27" w:rsidRPr="00940F87" w:rsidRDefault="00F70E27" w:rsidP="00940F87">
      <w:pPr>
        <w:spacing w:line="360" w:lineRule="auto"/>
        <w:contextualSpacing/>
        <w:jc w:val="both"/>
        <w:rPr>
          <w:rFonts w:ascii="Palatino Linotype" w:hAnsi="Palatino Linotype" w:cs="Arial"/>
          <w:color w:val="000000" w:themeColor="text1"/>
        </w:rPr>
      </w:pPr>
    </w:p>
    <w:p w:rsidR="00F70E27" w:rsidRPr="00940F87" w:rsidRDefault="00F70E27" w:rsidP="00940F87">
      <w:pPr>
        <w:numPr>
          <w:ilvl w:val="0"/>
          <w:numId w:val="3"/>
        </w:numPr>
        <w:spacing w:line="360" w:lineRule="auto"/>
        <w:ind w:left="0" w:firstLine="0"/>
        <w:jc w:val="both"/>
        <w:rPr>
          <w:rFonts w:ascii="Palatino Linotype" w:hAnsi="Palatino Linotype" w:cs="Arial"/>
          <w:color w:val="000000" w:themeColor="text1"/>
        </w:rPr>
      </w:pPr>
      <w:r w:rsidRPr="00940F87">
        <w:rPr>
          <w:rFonts w:ascii="Palatino Linotype" w:hAnsi="Palatino Linotype" w:cs="Arial"/>
          <w:color w:val="000000" w:themeColor="text1"/>
        </w:rPr>
        <w:t xml:space="preserve">Asimismo, </w:t>
      </w:r>
      <w:r w:rsidRPr="00940F87">
        <w:rPr>
          <w:rFonts w:ascii="Palatino Linotype" w:eastAsia="Palatino Linotype" w:hAnsi="Palatino Linotype" w:cs="Palatino Linotype"/>
          <w:color w:val="000000" w:themeColor="text1"/>
        </w:rPr>
        <w:t>no</w:t>
      </w:r>
      <w:r w:rsidRPr="00940F87">
        <w:rPr>
          <w:rFonts w:ascii="Palatino Linotype" w:hAnsi="Palatino Linotype" w:cs="Arial"/>
          <w:color w:val="000000" w:themeColor="text1"/>
        </w:rPr>
        <w:t xml:space="preserve"> se trata de un caso por el cual la negación del hecho implique la afirmación del mismo, simplemente se está ante una notoria y evidente inexistencia fáctica de la información solicitada.</w:t>
      </w:r>
    </w:p>
    <w:p w:rsidR="00F70E27" w:rsidRPr="00940F87" w:rsidRDefault="00F70E27" w:rsidP="00940F87">
      <w:pPr>
        <w:pStyle w:val="Prrafodelista"/>
        <w:spacing w:line="360" w:lineRule="auto"/>
        <w:ind w:left="0"/>
        <w:rPr>
          <w:rFonts w:ascii="Palatino Linotype" w:hAnsi="Palatino Linotype" w:cs="Arial"/>
          <w:color w:val="000000" w:themeColor="text1"/>
        </w:rPr>
      </w:pPr>
    </w:p>
    <w:p w:rsidR="00F70E27" w:rsidRPr="00940F87" w:rsidRDefault="00F70E27" w:rsidP="00940F87">
      <w:pPr>
        <w:numPr>
          <w:ilvl w:val="0"/>
          <w:numId w:val="3"/>
        </w:numPr>
        <w:spacing w:line="360" w:lineRule="auto"/>
        <w:ind w:left="0" w:firstLine="0"/>
        <w:jc w:val="both"/>
        <w:rPr>
          <w:rFonts w:ascii="Palatino Linotype" w:hAnsi="Palatino Linotype" w:cs="Arial"/>
          <w:color w:val="000000" w:themeColor="text1"/>
        </w:rPr>
      </w:pPr>
      <w:r w:rsidRPr="00940F87">
        <w:rPr>
          <w:rFonts w:ascii="Palatino Linotype" w:hAnsi="Palatino Linotype" w:cs="Times New Roman"/>
          <w:color w:val="000000" w:themeColor="text1"/>
        </w:rPr>
        <w:t xml:space="preserve">Encontrándonos ante un hecho negativo, destacando entonces que el Pleno de este </w:t>
      </w:r>
      <w:r w:rsidRPr="00940F87">
        <w:rPr>
          <w:rFonts w:ascii="Palatino Linotype" w:hAnsi="Palatino Linotype" w:cs="Arial"/>
          <w:color w:val="000000" w:themeColor="text1"/>
        </w:rPr>
        <w:t>Organismo</w:t>
      </w:r>
      <w:r w:rsidRPr="00940F87">
        <w:rPr>
          <w:rFonts w:ascii="Palatino Linotype" w:hAnsi="Palatino Linotype" w:cs="Times New Roman"/>
          <w:color w:val="000000" w:themeColor="text1"/>
        </w:rPr>
        <w:t xml:space="preserve">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F70E27" w:rsidRPr="00940F87" w:rsidRDefault="00F70E27" w:rsidP="00940F87">
      <w:pPr>
        <w:spacing w:line="360" w:lineRule="auto"/>
        <w:jc w:val="both"/>
        <w:rPr>
          <w:rFonts w:ascii="Palatino Linotype" w:hAnsi="Palatino Linotype" w:cs="Times New Roman"/>
          <w:b/>
          <w:i/>
          <w:color w:val="000000" w:themeColor="text1"/>
        </w:rPr>
      </w:pPr>
      <w:r w:rsidRPr="00940F87">
        <w:rPr>
          <w:rFonts w:ascii="Palatino Linotype" w:hAnsi="Palatino Linotype" w:cs="Times New Roman"/>
          <w:b/>
          <w:i/>
          <w:color w:val="000000" w:themeColor="text1"/>
        </w:rPr>
        <w:t xml:space="preserve">HECHOS NEGATIVOS, NO SON SUSCEPTIBLES DE DEMOSTRACIÓN. </w:t>
      </w:r>
    </w:p>
    <w:p w:rsidR="00F70E27" w:rsidRPr="00940F87" w:rsidRDefault="00F70E27" w:rsidP="00940F87">
      <w:pPr>
        <w:spacing w:line="360" w:lineRule="auto"/>
        <w:jc w:val="both"/>
        <w:rPr>
          <w:rFonts w:ascii="Palatino Linotype" w:hAnsi="Palatino Linotype" w:cs="Times New Roman"/>
          <w:i/>
          <w:color w:val="000000" w:themeColor="text1"/>
        </w:rPr>
      </w:pPr>
      <w:r w:rsidRPr="00940F87">
        <w:rPr>
          <w:rFonts w:ascii="Palatino Linotype" w:hAnsi="Palatino Linotype" w:cs="Times New Roman"/>
          <w:i/>
          <w:color w:val="000000" w:themeColor="text1"/>
        </w:rPr>
        <w:t>Tratándose de un hecho negativo, el Juez no tiene por que invocar prueba alguna de la que se desprenda, ya que es bien sabido que esta clase de hechos no son susceptibles de demostración.</w:t>
      </w:r>
    </w:p>
    <w:p w:rsidR="00F70E27" w:rsidRPr="00940F87" w:rsidRDefault="00F70E27" w:rsidP="00940F87">
      <w:pPr>
        <w:spacing w:line="360" w:lineRule="auto"/>
        <w:jc w:val="both"/>
        <w:rPr>
          <w:rFonts w:ascii="Palatino Linotype" w:hAnsi="Palatino Linotype" w:cs="Times New Roman"/>
          <w:i/>
          <w:color w:val="000000" w:themeColor="text1"/>
        </w:rPr>
      </w:pPr>
      <w:r w:rsidRPr="00940F87">
        <w:rPr>
          <w:rFonts w:ascii="Palatino Linotype" w:hAnsi="Palatino Linotype" w:cs="Times New Roman"/>
          <w:i/>
          <w:color w:val="000000" w:themeColor="text1"/>
        </w:rPr>
        <w:t>Amparo en revisión 2022/61. José García Florín (Menor). 9 de octubre de 1961. Cinco votos. Ponente: José Rivera Pérez Campos.”</w:t>
      </w:r>
    </w:p>
    <w:p w:rsidR="00F70E27" w:rsidRPr="00940F87" w:rsidRDefault="00F70E27" w:rsidP="00940F87">
      <w:pPr>
        <w:numPr>
          <w:ilvl w:val="0"/>
          <w:numId w:val="3"/>
        </w:numPr>
        <w:spacing w:line="360" w:lineRule="auto"/>
        <w:ind w:left="0" w:firstLine="0"/>
        <w:jc w:val="both"/>
        <w:rPr>
          <w:rFonts w:ascii="Palatino Linotype" w:hAnsi="Palatino Linotype" w:cs="Times New Roman"/>
          <w:color w:val="000000" w:themeColor="text1"/>
        </w:rPr>
      </w:pPr>
      <w:r w:rsidRPr="00940F87">
        <w:rPr>
          <w:rFonts w:ascii="Palatino Linotype" w:hAnsi="Palatino Linotype" w:cs="Times New Roman"/>
          <w:color w:val="000000" w:themeColor="text1"/>
        </w:rPr>
        <w:lastRenderedPageBreak/>
        <w:t xml:space="preserve">Además, y de conformidad con lo establecido en el artículo 12 de la </w:t>
      </w:r>
      <w:r w:rsidRPr="00940F87">
        <w:rPr>
          <w:rFonts w:ascii="Palatino Linotype" w:hAnsi="Palatino Linotype" w:cs="Times New Roman"/>
          <w:b/>
          <w:color w:val="000000" w:themeColor="text1"/>
        </w:rPr>
        <w:t>Ley de Transparencia y Acceso a la Información Pública del Estado de México y Municipios</w:t>
      </w:r>
      <w:r w:rsidRPr="00940F87">
        <w:rPr>
          <w:rFonts w:ascii="Palatino Linotype" w:hAnsi="Palatino Linotype" w:cs="Times New Roman"/>
          <w:color w:val="000000" w:themeColor="text1"/>
        </w:rPr>
        <w:t xml:space="preserve">, anteriormente invocado, el </w:t>
      </w:r>
      <w:r w:rsidRPr="00940F87">
        <w:rPr>
          <w:rFonts w:ascii="Palatino Linotype" w:hAnsi="Palatino Linotype" w:cs="Times New Roman"/>
          <w:b/>
          <w:color w:val="000000" w:themeColor="text1"/>
        </w:rPr>
        <w:t>SUJETO OBLIGADO</w:t>
      </w:r>
      <w:r w:rsidRPr="00940F87">
        <w:rPr>
          <w:rFonts w:ascii="Palatino Linotype" w:hAnsi="Palatino Linotype" w:cs="Times New Roman"/>
          <w:color w:val="000000" w:themeColor="text1"/>
        </w:rPr>
        <w:t xml:space="preserve"> únicamente proporcionará la información que obra en sus archivos, lo que a</w:t>
      </w:r>
      <w:r w:rsidRPr="00940F87">
        <w:rPr>
          <w:rFonts w:ascii="Palatino Linotype" w:hAnsi="Palatino Linotype" w:cs="Times New Roman"/>
          <w:i/>
          <w:color w:val="000000" w:themeColor="text1"/>
        </w:rPr>
        <w:t xml:space="preserve"> contrario sensu</w:t>
      </w:r>
      <w:r w:rsidRPr="00940F87">
        <w:rPr>
          <w:rFonts w:ascii="Palatino Linotype" w:hAnsi="Palatino Linotype" w:cs="Times New Roman"/>
          <w:color w:val="000000" w:themeColor="text1"/>
        </w:rPr>
        <w:t xml:space="preserve"> significa que no se está obligado a proporcionar lo que no obre en sus archivos. </w:t>
      </w:r>
    </w:p>
    <w:p w:rsidR="00F70E27" w:rsidRPr="00940F87" w:rsidRDefault="00F70E27" w:rsidP="00940F87">
      <w:pPr>
        <w:spacing w:line="360" w:lineRule="auto"/>
        <w:jc w:val="both"/>
        <w:rPr>
          <w:rFonts w:ascii="Palatino Linotype" w:hAnsi="Palatino Linotype" w:cs="Times New Roman"/>
          <w:color w:val="000000" w:themeColor="text1"/>
        </w:rPr>
      </w:pPr>
    </w:p>
    <w:p w:rsidR="000C29B1" w:rsidRPr="00940F87" w:rsidRDefault="00507E2E" w:rsidP="00940F8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Hasta lo aquí expuesto, se advierte que la respuesta colmó parcialmente la solicitud de información; toda vez que relativo a los contratos, únicamente se entregó un listado con los número de contrato. </w:t>
      </w:r>
      <w:r w:rsidR="00F826C3" w:rsidRPr="00940F87">
        <w:rPr>
          <w:rFonts w:ascii="Palatino Linotype" w:eastAsia="Palatino Linotype" w:hAnsi="Palatino Linotype" w:cs="Palatino Linotype"/>
          <w:color w:val="000000" w:themeColor="text1"/>
        </w:rPr>
        <w:t>En ese contexto</w:t>
      </w:r>
      <w:r w:rsidRPr="00940F87">
        <w:rPr>
          <w:rFonts w:ascii="Palatino Linotype" w:eastAsia="Palatino Linotype" w:hAnsi="Palatino Linotype" w:cs="Palatino Linotype"/>
          <w:color w:val="000000" w:themeColor="text1"/>
        </w:rPr>
        <w:t xml:space="preserve"> es de explorado derecho que el acceso a la información pública se colma con la entrega del soporte documental en el que conste o se advierta lo solicitado, sin la necesidad de generar documentos </w:t>
      </w:r>
      <w:r w:rsidRPr="00940F87">
        <w:rPr>
          <w:rFonts w:ascii="Palatino Linotype" w:eastAsia="Palatino Linotype" w:hAnsi="Palatino Linotype" w:cs="Palatino Linotype"/>
          <w:i/>
          <w:color w:val="000000" w:themeColor="text1"/>
        </w:rPr>
        <w:t>ad hoc</w:t>
      </w:r>
      <w:r w:rsidRPr="00940F87">
        <w:rPr>
          <w:rFonts w:ascii="Palatino Linotype" w:eastAsia="Palatino Linotype" w:hAnsi="Palatino Linotype" w:cs="Palatino Linotype"/>
          <w:color w:val="000000" w:themeColor="text1"/>
        </w:rPr>
        <w:t xml:space="preserve">. Luego entonces se debió entregar el soporte documental de los contratos celebrados, no así un listado que permita conocer los números de contratos </w:t>
      </w:r>
      <w:r w:rsidRPr="00940F87">
        <w:rPr>
          <w:rFonts w:ascii="Palatino Linotype" w:eastAsia="Palatino Linotype" w:hAnsi="Palatino Linotype" w:cs="Palatino Linotype"/>
          <w:i/>
          <w:color w:val="000000" w:themeColor="text1"/>
        </w:rPr>
        <w:t>máxime</w:t>
      </w:r>
      <w:r w:rsidRPr="00940F87">
        <w:rPr>
          <w:rFonts w:ascii="Palatino Linotype" w:eastAsia="Palatino Linotype" w:hAnsi="Palatino Linotype" w:cs="Palatino Linotype"/>
          <w:color w:val="000000" w:themeColor="text1"/>
        </w:rPr>
        <w:t xml:space="preserve"> que el particular no requirió explícitamente conocer los números o nomenclaturas de los contratos celebrados.</w:t>
      </w:r>
    </w:p>
    <w:p w:rsidR="00507E2E" w:rsidRPr="00940F87" w:rsidRDefault="00507E2E" w:rsidP="00940F87">
      <w:pPr>
        <w:pBdr>
          <w:top w:val="nil"/>
          <w:left w:val="nil"/>
          <w:bottom w:val="nil"/>
          <w:right w:val="nil"/>
          <w:between w:val="nil"/>
        </w:pBdr>
        <w:tabs>
          <w:tab w:val="left" w:pos="0"/>
          <w:tab w:val="left" w:pos="142"/>
        </w:tabs>
        <w:spacing w:line="360" w:lineRule="auto"/>
        <w:jc w:val="both"/>
        <w:rPr>
          <w:rFonts w:ascii="Palatino Linotype" w:eastAsia="Palatino Linotype" w:hAnsi="Palatino Linotype" w:cs="Palatino Linotype"/>
          <w:color w:val="000000" w:themeColor="text1"/>
        </w:rPr>
      </w:pPr>
    </w:p>
    <w:p w:rsidR="00507E2E" w:rsidRPr="00940F87" w:rsidRDefault="00507E2E" w:rsidP="00940F87">
      <w:pPr>
        <w:numPr>
          <w:ilvl w:val="0"/>
          <w:numId w:val="3"/>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Dicho lo anterior se advierte con claridad que resulta procedente ordenar en el presente proveído la información faltante consistente en los contratos celebrados, de los cuales al haberse aceptado de manera expresa que si se generaron, poseen y administran, es que resulta irrelevante realizar un análisis pormenorizado de la fuente obligacional del </w:t>
      </w:r>
      <w:r w:rsidRPr="00940F87">
        <w:rPr>
          <w:rFonts w:ascii="Palatino Linotype" w:eastAsia="Palatino Linotype" w:hAnsi="Palatino Linotype" w:cs="Palatino Linotype"/>
          <w:b/>
          <w:color w:val="000000" w:themeColor="text1"/>
        </w:rPr>
        <w:t>SUJETO OBLIGADO</w:t>
      </w:r>
      <w:r w:rsidRPr="00940F87">
        <w:rPr>
          <w:rFonts w:ascii="Palatino Linotype" w:eastAsia="Palatino Linotype" w:hAnsi="Palatino Linotype" w:cs="Palatino Linotype"/>
          <w:color w:val="000000" w:themeColor="text1"/>
        </w:rPr>
        <w:t xml:space="preserve"> para concluir si los genera, posee y administra pues –se insiste– ya asumió que así es.</w:t>
      </w:r>
    </w:p>
    <w:p w:rsidR="00507E2E" w:rsidRPr="00940F87" w:rsidRDefault="00507E2E" w:rsidP="00940F87">
      <w:pPr>
        <w:pStyle w:val="Prrafodelista"/>
        <w:ind w:left="0"/>
        <w:rPr>
          <w:rFonts w:ascii="Palatino Linotype" w:eastAsia="Palatino Linotype" w:hAnsi="Palatino Linotype" w:cs="Palatino Linotype"/>
          <w:color w:val="000000" w:themeColor="text1"/>
        </w:rPr>
      </w:pPr>
    </w:p>
    <w:p w:rsidR="00063A2F" w:rsidRPr="00940F87" w:rsidRDefault="00063A2F" w:rsidP="00940F87">
      <w:pPr>
        <w:numPr>
          <w:ilvl w:val="0"/>
          <w:numId w:val="3"/>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Empero</w:t>
      </w:r>
      <w:r w:rsidR="00F826C3" w:rsidRPr="00940F87">
        <w:rPr>
          <w:rFonts w:ascii="Palatino Linotype" w:eastAsia="Palatino Linotype" w:hAnsi="Palatino Linotype" w:cs="Palatino Linotype"/>
          <w:color w:val="000000" w:themeColor="text1"/>
        </w:rPr>
        <w:t>;</w:t>
      </w:r>
      <w:r w:rsidRPr="00940F87">
        <w:rPr>
          <w:rFonts w:ascii="Palatino Linotype" w:eastAsia="Palatino Linotype" w:hAnsi="Palatino Linotype" w:cs="Palatino Linotype"/>
          <w:color w:val="000000" w:themeColor="text1"/>
        </w:rPr>
        <w:t xml:space="preserve"> ello no es óbice para mencionar que lo solicitado se encuentra relacionado con una obligación de transparencia señalada en la fracción XIX del artículo 92 de la Ley de </w:t>
      </w:r>
      <w:r w:rsidRPr="00940F87">
        <w:rPr>
          <w:rFonts w:ascii="Palatino Linotype" w:eastAsia="Palatino Linotype" w:hAnsi="Palatino Linotype" w:cs="Palatino Linotype"/>
          <w:color w:val="000000" w:themeColor="text1"/>
        </w:rPr>
        <w:lastRenderedPageBreak/>
        <w:t>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a) De licitaciones públicas o procedimientos de invitación restringida:</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1) La convocatoria o invitación emitida, así como los fundamentos legales aplicados para llevarla a cabo;</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2) Los nombres de los participantes o invitados;</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3) El nombre del ganador y las razones que lo justifican;</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4) El área solicitante y la responsable de su ejecución;</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5) Las convocatorias e invitaciones emitidas;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6) Los dictámenes y fallo de adjudicación;</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7) El contrato y, en su caso, sus anexos;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8) Los mecanismos de vigilancia y supervisión, incluyendo en su caso, los estudios de impacto urbano y ambiental, según corresponda;</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lastRenderedPageBreak/>
        <w:t xml:space="preserve">9) La partida presupuestal, de conformidad con el clasificador por objeto del gasto, en el caso de ser aplicable;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10) Origen de los recursos especificando si son federales, estatales o municipales, así como el tipo de fondo de participación o aportación respectiva;</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11) Los convenios modificatorios que, en su caso, sean firmados, precisando el objeto y la fecha de celebración;</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12) Los informes de avance físico y financiero sobre las obras o servicios contratados;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13) El convenio de terminación;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14) El finiquito.</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b) De las adjudicaciones directas: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1) La propuesta enviada por el participante;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2) Los motivos y fundamentos legales aplicados para llevarla a cabo;</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3) La autorización del ejercicio de la opción;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4) En su caso, las cotizaciones consideradas, especificando los nombres de los proveedores y sus montos;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5) El nombre de la persona física o jurídica colectiva adjudicada;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6) La unidad administrativa solicitante y la responsable de su ejecución;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7) El número, fecha, el monto del contrato y el plazo de entrega o de ejecución de los servicios u obra;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8) Los mecanismos de vigilancia y supervisión, incluyendo, en su caso, los estudios de impacto urbano y ambiental, según corresponda;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9) Los informes de avance sobre las obras o servicios contratados; </w:t>
      </w:r>
    </w:p>
    <w:p w:rsidR="00063A2F" w:rsidRPr="00940F87"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10) El convenio de terminación; y </w:t>
      </w:r>
    </w:p>
    <w:p w:rsidR="00063A2F" w:rsidRDefault="00063A2F"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11) El finiquito;”</w:t>
      </w:r>
    </w:p>
    <w:p w:rsidR="00625CA0" w:rsidRPr="00940F87" w:rsidRDefault="00625CA0" w:rsidP="00940F87">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i/>
          <w:color w:val="000000" w:themeColor="text1"/>
        </w:rPr>
      </w:pPr>
    </w:p>
    <w:p w:rsidR="00507E2E" w:rsidRPr="00940F87" w:rsidRDefault="00063A2F" w:rsidP="00940F87">
      <w:pPr>
        <w:numPr>
          <w:ilvl w:val="0"/>
          <w:numId w:val="3"/>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lastRenderedPageBreak/>
        <w:t>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para el cumplimiento de la obligación de transparencia señalada en el artículo 70  fracción XXVIII de la Ley General de Transparencia y Acceso a la Información Pública, los sujetos obligados deben publicar información sobre los actos, contratos y convenios celebrados, misma que debe presentarse en una base de datos en la que cada registro se hará por tipo de procedimiento, ya sea licitación pública, invitación restringida o adjudicación directa, especificando para cada tipo de procedimiento la materia, pudiendo ser obra pública, servicios relacionados con obra pública, , así como el carácter de cada uno, es decir, nacional o internacional, además se debe elaborar versión pública los documentos fuente que deban ser publicados en este apartado, tales como contratos, facturas, registros contables, pólizas, finiquitos, los dictámenes y fallo de adjudicación,  la autorización del ejercicio de la opción entre otros, incluyendo sus anexos correspondientes, información que debe ser actualizada de manera trimestral, y conservarse la generada en el ejercicio en curso y la correspondiente a dos ejercicios anteriores</w:t>
      </w:r>
    </w:p>
    <w:p w:rsidR="00507E2E" w:rsidRPr="00940F87" w:rsidRDefault="00507E2E" w:rsidP="00940F87">
      <w:pPr>
        <w:pStyle w:val="Prrafodelista"/>
        <w:ind w:left="0"/>
        <w:rPr>
          <w:rFonts w:ascii="Palatino Linotype" w:eastAsia="Palatino Linotype" w:hAnsi="Palatino Linotype" w:cs="Palatino Linotype"/>
          <w:color w:val="000000" w:themeColor="text1"/>
        </w:rPr>
      </w:pPr>
    </w:p>
    <w:p w:rsidR="00955CFD" w:rsidRPr="00940F87" w:rsidRDefault="00D1478B" w:rsidP="00940F87">
      <w:pPr>
        <w:numPr>
          <w:ilvl w:val="0"/>
          <w:numId w:val="3"/>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Por lo que en relatadas circunstancias resulta procedente </w:t>
      </w:r>
      <w:r w:rsidR="00063A2F" w:rsidRPr="00940F87">
        <w:rPr>
          <w:rFonts w:ascii="Palatino Linotype" w:eastAsia="Palatino Linotype" w:hAnsi="Palatino Linotype" w:cs="Palatino Linotype"/>
          <w:color w:val="000000" w:themeColor="text1"/>
        </w:rPr>
        <w:t>modificar</w:t>
      </w:r>
      <w:r w:rsidRPr="00940F87">
        <w:rPr>
          <w:rFonts w:ascii="Palatino Linotype" w:eastAsia="Palatino Linotype" w:hAnsi="Palatino Linotype" w:cs="Palatino Linotype"/>
          <w:color w:val="000000" w:themeColor="text1"/>
        </w:rPr>
        <w:t xml:space="preserve"> la respuesta</w:t>
      </w:r>
      <w:r w:rsidR="00063A2F" w:rsidRPr="00940F87">
        <w:rPr>
          <w:rFonts w:ascii="Palatino Linotype" w:eastAsia="Palatino Linotype" w:hAnsi="Palatino Linotype" w:cs="Palatino Linotype"/>
          <w:color w:val="000000" w:themeColor="text1"/>
        </w:rPr>
        <w:t xml:space="preserve"> y ordenar la entrega de la información faltante por resultar fundados los motivos de inconformidad</w:t>
      </w:r>
      <w:r w:rsidR="00F826C3" w:rsidRPr="00940F87">
        <w:rPr>
          <w:rFonts w:ascii="Palatino Linotype" w:eastAsia="Palatino Linotype" w:hAnsi="Palatino Linotype" w:cs="Palatino Linotype"/>
          <w:color w:val="000000" w:themeColor="text1"/>
        </w:rPr>
        <w:t>, a efecto</w:t>
      </w:r>
      <w:r w:rsidR="00063A2F" w:rsidRPr="00940F87">
        <w:rPr>
          <w:rFonts w:ascii="Palatino Linotype" w:eastAsia="Palatino Linotype" w:hAnsi="Palatino Linotype" w:cs="Palatino Linotype"/>
          <w:color w:val="000000" w:themeColor="text1"/>
        </w:rPr>
        <w:t xml:space="preserve"> </w:t>
      </w:r>
      <w:r w:rsidR="00F826C3" w:rsidRPr="00940F87">
        <w:rPr>
          <w:rFonts w:ascii="Palatino Linotype" w:eastAsia="Palatino Linotype" w:hAnsi="Palatino Linotype" w:cs="Palatino Linotype"/>
          <w:color w:val="000000" w:themeColor="text1"/>
        </w:rPr>
        <w:t>d</w:t>
      </w:r>
      <w:r w:rsidR="00063A2F" w:rsidRPr="00940F87">
        <w:rPr>
          <w:rFonts w:ascii="Palatino Linotype" w:eastAsia="Palatino Linotype" w:hAnsi="Palatino Linotype" w:cs="Palatino Linotype"/>
          <w:color w:val="000000" w:themeColor="text1"/>
        </w:rPr>
        <w:t xml:space="preserve">e garantizar el derecho del ahora </w:t>
      </w:r>
      <w:r w:rsidR="00063A2F" w:rsidRPr="00940F87">
        <w:rPr>
          <w:rFonts w:ascii="Palatino Linotype" w:eastAsia="Palatino Linotype" w:hAnsi="Palatino Linotype" w:cs="Palatino Linotype"/>
          <w:b/>
          <w:color w:val="000000" w:themeColor="text1"/>
        </w:rPr>
        <w:t>RECURRENTE;</w:t>
      </w:r>
      <w:r w:rsidRPr="00940F87">
        <w:rPr>
          <w:rFonts w:ascii="Palatino Linotype" w:eastAsia="Palatino Linotype" w:hAnsi="Palatino Linotype" w:cs="Palatino Linotype"/>
          <w:color w:val="000000" w:themeColor="text1"/>
        </w:rPr>
        <w:t xml:space="preserve"> toda vez que el derecho que tutela este Instituto</w:t>
      </w:r>
      <w:r w:rsidR="00955CFD" w:rsidRPr="00940F87">
        <w:rPr>
          <w:rFonts w:ascii="Palatino Linotype" w:eastAsia="Palatino Linotype" w:hAnsi="Palatino Linotype" w:cs="Palatino Linotype"/>
          <w:color w:val="000000" w:themeColor="text1"/>
        </w:rPr>
        <w:t xml:space="preserve"> corresponde a la  </w:t>
      </w:r>
      <w:r w:rsidR="00955CFD" w:rsidRPr="00940F87">
        <w:rPr>
          <w:rFonts w:ascii="Palatino Linotype" w:eastAsia="Palatino Linotype" w:hAnsi="Palatino Linotype" w:cs="Palatino Linotype"/>
          <w:i/>
          <w:color w:val="000000" w:themeColor="text1"/>
        </w:rPr>
        <w:t>igualdad de oportunidades para recibir, buscar e impartir información</w:t>
      </w:r>
      <w:r w:rsidR="00955CFD" w:rsidRPr="00940F87">
        <w:rPr>
          <w:rFonts w:ascii="Palatino Linotype" w:eastAsia="Palatino Linotype" w:hAnsi="Palatino Linotype" w:cs="Palatino Linotype"/>
          <w:i/>
          <w:color w:val="000000" w:themeColor="text1"/>
          <w:vertAlign w:val="superscript"/>
        </w:rPr>
        <w:footnoteReference w:id="1"/>
      </w:r>
      <w:r w:rsidR="00955CFD" w:rsidRPr="00940F87">
        <w:rPr>
          <w:rFonts w:ascii="Palatino Linotype" w:eastAsia="Palatino Linotype" w:hAnsi="Palatino Linotype" w:cs="Palatino Linotype"/>
          <w:i/>
          <w:color w:val="000000" w:themeColor="text1"/>
        </w:rPr>
        <w:t xml:space="preserve"> en posesión de cualquier autoridad, entidad, órgano y organismo de los </w:t>
      </w:r>
      <w:r w:rsidR="00955CFD" w:rsidRPr="00940F87">
        <w:rPr>
          <w:rFonts w:ascii="Palatino Linotype" w:eastAsia="Palatino Linotype" w:hAnsi="Palatino Linotype" w:cs="Palatino Linotype"/>
          <w:color w:val="000000" w:themeColor="text1"/>
        </w:rPr>
        <w:lastRenderedPageBreak/>
        <w:t>poderes</w:t>
      </w:r>
      <w:r w:rsidR="00955CFD" w:rsidRPr="00940F87">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55CFD" w:rsidRPr="00940F87">
        <w:rPr>
          <w:rFonts w:ascii="Palatino Linotype" w:eastAsia="Palatino Linotype" w:hAnsi="Palatino Linotype" w:cs="Palatino Linotype"/>
          <w:color w:val="000000" w:themeColor="text1"/>
          <w:vertAlign w:val="superscript"/>
        </w:rPr>
        <w:footnoteReference w:id="2"/>
      </w:r>
      <w:r w:rsidR="00955CFD" w:rsidRPr="00940F87">
        <w:rPr>
          <w:rFonts w:ascii="Palatino Linotype" w:eastAsia="Palatino Linotype" w:hAnsi="Palatino Linotype" w:cs="Palatino Linotype"/>
          <w:i/>
          <w:color w:val="000000" w:themeColor="text1"/>
        </w:rPr>
        <w:t xml:space="preserve"> </w:t>
      </w:r>
      <w:r w:rsidR="00955CFD" w:rsidRPr="00940F87">
        <w:rPr>
          <w:rFonts w:ascii="Palatino Linotype" w:eastAsia="Palatino Linotype" w:hAnsi="Palatino Linotype" w:cs="Palatino Linotype"/>
          <w:color w:val="000000" w:themeColor="text1"/>
        </w:rPr>
        <w:t xml:space="preserve">que se constituye como una herramienta fundamental para </w:t>
      </w:r>
      <w:r w:rsidR="00955CFD" w:rsidRPr="00940F87">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00955CFD" w:rsidRPr="00940F87">
        <w:rPr>
          <w:rFonts w:ascii="Palatino Linotype" w:eastAsia="Palatino Linotype" w:hAnsi="Palatino Linotype" w:cs="Palatino Linotype"/>
          <w:i/>
          <w:color w:val="000000" w:themeColor="text1"/>
          <w:vertAlign w:val="superscript"/>
        </w:rPr>
        <w:footnoteReference w:id="3"/>
      </w:r>
      <w:r w:rsidR="00955CFD" w:rsidRPr="00940F87">
        <w:rPr>
          <w:rFonts w:ascii="Palatino Linotype" w:eastAsia="Palatino Linotype" w:hAnsi="Palatino Linotype" w:cs="Palatino Linotype"/>
          <w:color w:val="000000" w:themeColor="text1"/>
        </w:rPr>
        <w:t>fomentando</w:t>
      </w:r>
      <w:r w:rsidR="00955CFD" w:rsidRPr="00940F87">
        <w:rPr>
          <w:rFonts w:ascii="Palatino Linotype" w:eastAsia="Palatino Linotype" w:hAnsi="Palatino Linotype" w:cs="Palatino Linotype"/>
          <w:i/>
          <w:color w:val="000000" w:themeColor="text1"/>
        </w:rPr>
        <w:t xml:space="preserve"> la transparencia de las actividades estatales y</w:t>
      </w:r>
      <w:r w:rsidR="00955CFD" w:rsidRPr="00940F87">
        <w:rPr>
          <w:rFonts w:ascii="Palatino Linotype" w:eastAsia="Palatino Linotype" w:hAnsi="Palatino Linotype" w:cs="Palatino Linotype"/>
          <w:color w:val="000000" w:themeColor="text1"/>
        </w:rPr>
        <w:t xml:space="preserve"> promoviendo</w:t>
      </w:r>
      <w:r w:rsidR="00955CFD" w:rsidRPr="00940F87">
        <w:rPr>
          <w:rFonts w:ascii="Palatino Linotype" w:eastAsia="Palatino Linotype" w:hAnsi="Palatino Linotype" w:cs="Palatino Linotype"/>
          <w:i/>
          <w:color w:val="000000" w:themeColor="text1"/>
        </w:rPr>
        <w:t xml:space="preserve"> la responsabilidad de los funcionarios sobre su gestión pública</w:t>
      </w:r>
      <w:r w:rsidR="00955CFD" w:rsidRPr="00940F87">
        <w:rPr>
          <w:rFonts w:ascii="Palatino Linotype" w:eastAsia="Palatino Linotype" w:hAnsi="Palatino Linotype" w:cs="Palatino Linotype"/>
          <w:i/>
          <w:color w:val="000000" w:themeColor="text1"/>
          <w:vertAlign w:val="superscript"/>
        </w:rPr>
        <w:footnoteReference w:id="4"/>
      </w:r>
      <w:r w:rsidR="00955CFD" w:rsidRPr="00940F87">
        <w:rPr>
          <w:rFonts w:ascii="Palatino Linotype" w:eastAsia="Palatino Linotype" w:hAnsi="Palatino Linotype" w:cs="Palatino Linotype"/>
          <w:i/>
          <w:color w:val="000000" w:themeColor="text1"/>
        </w:rPr>
        <w:t xml:space="preserve"> </w:t>
      </w:r>
      <w:r w:rsidR="00955CFD" w:rsidRPr="00940F87">
        <w:rPr>
          <w:rFonts w:ascii="Palatino Linotype" w:eastAsia="Palatino Linotype" w:hAnsi="Palatino Linotype" w:cs="Palatino Linotype"/>
          <w:color w:val="000000" w:themeColor="text1"/>
        </w:rPr>
        <w:t>que permite</w:t>
      </w:r>
      <w:r w:rsidR="00955CFD" w:rsidRPr="00940F8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955CFD" w:rsidRPr="00940F87">
        <w:rPr>
          <w:rFonts w:ascii="Palatino Linotype" w:eastAsia="Palatino Linotype" w:hAnsi="Palatino Linotype" w:cs="Palatino Linotype"/>
          <w:i/>
          <w:color w:val="000000" w:themeColor="text1"/>
          <w:vertAlign w:val="superscript"/>
        </w:rPr>
        <w:footnoteReference w:id="5"/>
      </w:r>
      <w:r w:rsidR="00955CFD" w:rsidRPr="00940F87">
        <w:rPr>
          <w:rFonts w:ascii="Palatino Linotype" w:eastAsia="Palatino Linotype" w:hAnsi="Palatino Linotype" w:cs="Palatino Linotype"/>
          <w:color w:val="000000" w:themeColor="text1"/>
        </w:rPr>
        <w:t xml:space="preserve"> ” </w:t>
      </w:r>
    </w:p>
    <w:p w:rsidR="00955CFD" w:rsidRPr="00940F87" w:rsidRDefault="00955CFD" w:rsidP="00940F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955CFD" w:rsidRPr="00940F87" w:rsidRDefault="00955CFD"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55CFD" w:rsidRPr="00940F87" w:rsidRDefault="00955CFD" w:rsidP="00940F87">
      <w:pPr>
        <w:spacing w:line="360" w:lineRule="auto"/>
        <w:jc w:val="both"/>
        <w:rPr>
          <w:rFonts w:ascii="Palatino Linotype" w:eastAsia="Palatino Linotype" w:hAnsi="Palatino Linotype" w:cs="Palatino Linotype"/>
          <w:b/>
          <w:i/>
          <w:color w:val="000000" w:themeColor="text1"/>
        </w:rPr>
      </w:pPr>
      <w:r w:rsidRPr="00940F87">
        <w:rPr>
          <w:rFonts w:ascii="Palatino Linotype" w:eastAsia="Palatino Linotype" w:hAnsi="Palatino Linotype" w:cs="Palatino Linotype"/>
          <w:b/>
          <w:i/>
          <w:color w:val="000000" w:themeColor="text1"/>
        </w:rPr>
        <w:t>“CRITERIO 0002-11</w:t>
      </w:r>
    </w:p>
    <w:p w:rsidR="00955CFD" w:rsidRPr="00940F87" w:rsidRDefault="00955CFD"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 xml:space="preserve">INFORMACIÓN PÚBLICA, CONCEPTO DE, EN MATERIA DE TRANSPARENCIA. INTERPRETACIÓN TEMÁTICA DE LOS ARTÍCULOS 2, FRACCIÓN V, XV, Y XVI, 3, 4,11 </w:t>
      </w:r>
      <w:r w:rsidRPr="00940F87">
        <w:rPr>
          <w:rFonts w:ascii="Palatino Linotype" w:eastAsia="Palatino Linotype" w:hAnsi="Palatino Linotype" w:cs="Palatino Linotype"/>
          <w:b/>
          <w:i/>
          <w:color w:val="000000" w:themeColor="text1"/>
        </w:rPr>
        <w:lastRenderedPageBreak/>
        <w:t>Y 41.</w:t>
      </w:r>
      <w:r w:rsidRPr="00940F87">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55CFD" w:rsidRPr="00940F87" w:rsidRDefault="00955CFD"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955CFD" w:rsidRPr="00940F87" w:rsidRDefault="00955CFD"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955CFD" w:rsidRPr="00940F87" w:rsidRDefault="00955CFD"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955CFD" w:rsidRPr="00940F87" w:rsidRDefault="00955CFD"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955CFD" w:rsidRPr="00940F87" w:rsidRDefault="00955CFD" w:rsidP="00940F87">
      <w:pPr>
        <w:spacing w:line="360" w:lineRule="auto"/>
        <w:jc w:val="both"/>
        <w:rPr>
          <w:rFonts w:ascii="Palatino Linotype" w:eastAsia="Palatino Linotype" w:hAnsi="Palatino Linotype" w:cs="Palatino Linotype"/>
          <w:i/>
          <w:color w:val="000000" w:themeColor="text1"/>
        </w:rPr>
      </w:pPr>
    </w:p>
    <w:p w:rsidR="00955CFD" w:rsidRPr="00940F87" w:rsidRDefault="00955CFD"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955CFD" w:rsidRPr="00940F87" w:rsidRDefault="00955CFD"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 xml:space="preserve">XI. Documento: </w:t>
      </w:r>
      <w:r w:rsidRPr="00940F87">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940F87">
        <w:rPr>
          <w:rFonts w:ascii="Palatino Linotype" w:eastAsia="Palatino Linotype" w:hAnsi="Palatino Linotype" w:cs="Palatino Linotype"/>
          <w:b/>
          <w:i/>
          <w:color w:val="000000" w:themeColor="text1"/>
        </w:rPr>
        <w:t xml:space="preserve">cualquier otro </w:t>
      </w:r>
      <w:r w:rsidRPr="00940F87">
        <w:rPr>
          <w:rFonts w:ascii="Palatino Linotype" w:eastAsia="Palatino Linotype" w:hAnsi="Palatino Linotype" w:cs="Palatino Linotype"/>
          <w:i/>
          <w:color w:val="000000" w:themeColor="text1"/>
        </w:rPr>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55CFD" w:rsidRPr="00940F87" w:rsidRDefault="00955CFD" w:rsidP="00940F87">
      <w:pPr>
        <w:spacing w:line="360" w:lineRule="auto"/>
        <w:jc w:val="both"/>
        <w:rPr>
          <w:rFonts w:ascii="Palatino Linotype" w:eastAsia="Palatino Linotype" w:hAnsi="Palatino Linotype" w:cs="Palatino Linotype"/>
          <w:i/>
          <w:color w:val="000000" w:themeColor="text1"/>
        </w:rPr>
      </w:pPr>
    </w:p>
    <w:p w:rsidR="00955CFD" w:rsidRPr="00940F87" w:rsidRDefault="00955CFD"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lastRenderedPageBreak/>
        <w:t xml:space="preserve">Es así que, todos los actos de autoridad que realicen los Sujetos Obligados </w:t>
      </w:r>
      <w:r w:rsidRPr="00940F87">
        <w:rPr>
          <w:rFonts w:ascii="Palatino Linotype" w:eastAsia="Palatino Linotype" w:hAnsi="Palatino Linotype" w:cs="Palatino Linotype"/>
          <w:b/>
          <w:color w:val="000000" w:themeColor="text1"/>
        </w:rPr>
        <w:t xml:space="preserve">deben estar </w:t>
      </w:r>
      <w:r w:rsidRPr="00940F87">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955CFD" w:rsidRPr="00940F87" w:rsidRDefault="00955CFD" w:rsidP="00940F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955CFD" w:rsidRPr="00940F87" w:rsidRDefault="00955CFD"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955CFD" w:rsidRPr="00940F87" w:rsidRDefault="00955CFD"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 xml:space="preserve">“Artículo 4. </w:t>
      </w:r>
      <w:r w:rsidRPr="00940F87">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955CFD" w:rsidRPr="00940F87" w:rsidRDefault="00955CFD"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Toda la información</w:t>
      </w:r>
      <w:r w:rsidRPr="00940F87">
        <w:rPr>
          <w:rFonts w:ascii="Palatino Linotype" w:eastAsia="Palatino Linotype" w:hAnsi="Palatino Linotype" w:cs="Palatino Linotype"/>
          <w:i/>
          <w:color w:val="000000" w:themeColor="text1"/>
        </w:rPr>
        <w:t xml:space="preserve"> generada, obtenida, adquirida, transformada, administrada o </w:t>
      </w:r>
      <w:r w:rsidRPr="00940F87">
        <w:rPr>
          <w:rFonts w:ascii="Palatino Linotype" w:eastAsia="Palatino Linotype" w:hAnsi="Palatino Linotype" w:cs="Palatino Linotype"/>
          <w:b/>
          <w:i/>
          <w:color w:val="000000" w:themeColor="text1"/>
        </w:rPr>
        <w:t>en posesión de los sujetos obligados es pública</w:t>
      </w:r>
      <w:r w:rsidRPr="00940F87">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55CFD" w:rsidRPr="00940F87" w:rsidRDefault="00955CFD"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p>
    <w:p w:rsidR="00955CFD" w:rsidRPr="00940F87" w:rsidRDefault="00955CFD"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Es así que, por un lado se tiene la obligación de documentar todos los actos que se lleven a cabo en el ejercicio de sus funciones, atribuciones y competencias, mientras que por </w:t>
      </w:r>
      <w:r w:rsidRPr="00940F87">
        <w:rPr>
          <w:rFonts w:ascii="Palatino Linotype" w:eastAsia="Palatino Linotype" w:hAnsi="Palatino Linotype" w:cs="Palatino Linotype"/>
          <w:color w:val="000000" w:themeColor="text1"/>
        </w:rPr>
        <w:lastRenderedPageBreak/>
        <w:t>otro, se ven impuestos por la obligación de hacer pública toda aquella información que se encuentre en su posesión en estricto apego a los principios de eficacia</w:t>
      </w:r>
      <w:r w:rsidRPr="00940F87">
        <w:rPr>
          <w:rFonts w:ascii="Palatino Linotype" w:eastAsia="Palatino Linotype" w:hAnsi="Palatino Linotype" w:cs="Palatino Linotype"/>
          <w:color w:val="000000" w:themeColor="text1"/>
          <w:vertAlign w:val="superscript"/>
        </w:rPr>
        <w:footnoteReference w:id="6"/>
      </w:r>
      <w:r w:rsidRPr="00940F87">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55CFD" w:rsidRPr="00940F87" w:rsidRDefault="00955CFD" w:rsidP="00940F87">
      <w:pPr>
        <w:spacing w:line="360" w:lineRule="auto"/>
        <w:jc w:val="both"/>
        <w:rPr>
          <w:rFonts w:ascii="Palatino Linotype" w:eastAsia="Palatino Linotype" w:hAnsi="Palatino Linotype" w:cs="Palatino Linotype"/>
          <w:color w:val="000000" w:themeColor="text1"/>
        </w:rPr>
      </w:pPr>
    </w:p>
    <w:p w:rsidR="00955CFD" w:rsidRPr="00940F87" w:rsidRDefault="00955CFD"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55CFD"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w:t>
      </w:r>
      <w:r w:rsidR="00955CFD" w:rsidRPr="00940F87">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00955CFD" w:rsidRPr="00940F87">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w:t>
      </w:r>
      <w:r w:rsidR="00955CFD" w:rsidRPr="00940F87">
        <w:rPr>
          <w:rFonts w:ascii="Palatino Linotype" w:eastAsia="Palatino Linotype" w:hAnsi="Palatino Linotype" w:cs="Palatino Linotype"/>
          <w:i/>
          <w:color w:val="000000" w:themeColor="text1"/>
        </w:rPr>
        <w:lastRenderedPageBreak/>
        <w:t>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1A6C55" w:rsidRPr="00940F87" w:rsidRDefault="001A6C55" w:rsidP="00940F87">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063A2F" w:rsidRPr="00940F87" w:rsidRDefault="00063A2F" w:rsidP="00940F87">
      <w:pPr>
        <w:spacing w:line="360" w:lineRule="auto"/>
        <w:jc w:val="both"/>
        <w:rPr>
          <w:rFonts w:ascii="Palatino Linotype" w:eastAsia="Palatino Linotype" w:hAnsi="Palatino Linotype" w:cs="Palatino Linotype"/>
          <w:b/>
          <w:color w:val="000000" w:themeColor="text1"/>
        </w:rPr>
      </w:pPr>
      <w:r w:rsidRPr="00940F87">
        <w:rPr>
          <w:rFonts w:ascii="Palatino Linotype" w:eastAsia="Palatino Linotype" w:hAnsi="Palatino Linotype" w:cs="Palatino Linotype"/>
          <w:b/>
          <w:color w:val="000000" w:themeColor="text1"/>
        </w:rPr>
        <w:t>QUINTO. De la versión pública.</w:t>
      </w:r>
    </w:p>
    <w:p w:rsidR="00063A2F" w:rsidRDefault="00063A2F"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Finalmente, debe señalarse que lo ordenado </w:t>
      </w:r>
      <w:r w:rsidRPr="00940F87">
        <w:rPr>
          <w:rFonts w:ascii="Palatino Linotype" w:eastAsia="Palatino Linotype" w:hAnsi="Palatino Linotype" w:cs="Palatino Linotype"/>
          <w:color w:val="000000" w:themeColor="text1"/>
          <w:u w:val="single"/>
        </w:rPr>
        <w:t>eventualmente</w:t>
      </w:r>
      <w:r w:rsidRPr="00940F87">
        <w:rPr>
          <w:rFonts w:ascii="Palatino Linotype" w:eastAsia="Palatino Linotype" w:hAnsi="Palatino Linotype" w:cs="Palatino Linotype"/>
          <w:color w:val="000000" w:themeColor="text1"/>
        </w:rPr>
        <w:t xml:space="preserve"> pudiera contener datos personales, por lo que de ser el caso, sujeto obligado, para dar cumplimiento a la presente Resolución, deberá proceder a la elaboración de la versión pública de tales documentos a fin de satisfacer el derecho de acceso a la información pública del recurrente sin menoscabo al derecho a la protección de los datos personales de terceros.</w:t>
      </w:r>
    </w:p>
    <w:p w:rsidR="00BB0A3E" w:rsidRPr="00940F87" w:rsidRDefault="00BB0A3E" w:rsidP="00BB0A3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63A2F" w:rsidRPr="00940F87" w:rsidRDefault="00063A2F"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w:t>
      </w:r>
      <w:r w:rsidRPr="00940F87">
        <w:rPr>
          <w:rFonts w:ascii="Palatino Linotype" w:eastAsia="Palatino Linotype" w:hAnsi="Palatino Linotype" w:cs="Palatino Linotype"/>
          <w:b/>
          <w:i/>
          <w:color w:val="000000" w:themeColor="text1"/>
        </w:rPr>
        <w:t>Artículo 3</w:t>
      </w:r>
      <w:r w:rsidRPr="00940F87">
        <w:rPr>
          <w:rFonts w:ascii="Palatino Linotype" w:eastAsia="Palatino Linotype" w:hAnsi="Palatino Linotype" w:cs="Palatino Linotype"/>
          <w:i/>
          <w:color w:val="000000" w:themeColor="text1"/>
        </w:rPr>
        <w:t>. Para los efectos de la presente Ley se entenderá por:</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lastRenderedPageBreak/>
        <w:t>IX. Datos personales</w:t>
      </w:r>
      <w:r w:rsidRPr="00940F87">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XX. Información clasificada</w:t>
      </w:r>
      <w:r w:rsidRPr="00940F87">
        <w:rPr>
          <w:rFonts w:ascii="Palatino Linotype" w:eastAsia="Palatino Linotype" w:hAnsi="Palatino Linotype" w:cs="Palatino Linotype"/>
          <w:i/>
          <w:color w:val="000000" w:themeColor="text1"/>
        </w:rPr>
        <w:t>: Aquella considerada por la presente Ley como reservada o confidencial;</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 xml:space="preserve">XXI. Información confidencial: </w:t>
      </w:r>
      <w:r w:rsidRPr="00940F87">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XLV. Versión pública:</w:t>
      </w:r>
      <w:r w:rsidRPr="00940F87">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Artículo 91.</w:t>
      </w:r>
      <w:r w:rsidRPr="00940F87">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Artículo 132.</w:t>
      </w:r>
      <w:r w:rsidRPr="00940F87">
        <w:rPr>
          <w:rFonts w:ascii="Palatino Linotype" w:eastAsia="Palatino Linotype" w:hAnsi="Palatino Linotype" w:cs="Palatino Linotype"/>
          <w:i/>
          <w:color w:val="000000" w:themeColor="text1"/>
        </w:rPr>
        <w:t xml:space="preserve"> La clasificación de la información se llevará a cabo en el momento en que:</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I</w:t>
      </w:r>
      <w:r w:rsidRPr="00940F87">
        <w:rPr>
          <w:rFonts w:ascii="Palatino Linotype" w:eastAsia="Palatino Linotype" w:hAnsi="Palatino Linotype" w:cs="Palatino Linotype"/>
          <w:i/>
          <w:color w:val="000000" w:themeColor="text1"/>
        </w:rPr>
        <w:t>. Se reciba una solicitud de acceso a la información;</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II.</w:t>
      </w:r>
      <w:r w:rsidRPr="00940F87">
        <w:rPr>
          <w:rFonts w:ascii="Palatino Linotype" w:eastAsia="Palatino Linotype" w:hAnsi="Palatino Linotype" w:cs="Palatino Linotype"/>
          <w:i/>
          <w:color w:val="000000" w:themeColor="text1"/>
        </w:rPr>
        <w:t xml:space="preserve"> Se determine mediante resolución de autoridad competente; o</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III.</w:t>
      </w:r>
      <w:r w:rsidRPr="00940F87">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Artículo 143</w:t>
      </w:r>
      <w:r w:rsidRPr="00940F87">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lastRenderedPageBreak/>
        <w:t>I.</w:t>
      </w:r>
      <w:r w:rsidRPr="00940F87">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II.</w:t>
      </w:r>
      <w:r w:rsidRPr="00940F87">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III.</w:t>
      </w:r>
      <w:r w:rsidRPr="00940F87">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p>
    <w:p w:rsidR="00063A2F" w:rsidRPr="00940F87" w:rsidRDefault="00063A2F"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63A2F" w:rsidRPr="00940F87" w:rsidRDefault="00063A2F" w:rsidP="00940F87">
      <w:pPr>
        <w:pStyle w:val="Prrafodelista"/>
        <w:spacing w:line="360" w:lineRule="auto"/>
        <w:ind w:left="0"/>
        <w:jc w:val="both"/>
        <w:rPr>
          <w:rFonts w:ascii="Palatino Linotype" w:eastAsia="Palatino Linotype" w:hAnsi="Palatino Linotype" w:cs="Palatino Linotype"/>
          <w:color w:val="000000" w:themeColor="text1"/>
        </w:rPr>
      </w:pPr>
    </w:p>
    <w:p w:rsidR="00063A2F" w:rsidRPr="00940F87" w:rsidRDefault="00063A2F"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lastRenderedPageBreak/>
        <w:t>“Quincuagésimo sexto</w:t>
      </w:r>
      <w:r w:rsidRPr="00940F87">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Quincuagésimo séptimo</w:t>
      </w:r>
      <w:r w:rsidRPr="00940F87">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I.</w:t>
      </w:r>
      <w:r w:rsidRPr="00940F87">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II.</w:t>
      </w:r>
      <w:r w:rsidRPr="00940F87">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III.</w:t>
      </w:r>
      <w:r w:rsidRPr="00940F87">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063A2F" w:rsidRPr="00940F87" w:rsidRDefault="00063A2F" w:rsidP="00940F87">
      <w:pPr>
        <w:spacing w:line="360" w:lineRule="auto"/>
        <w:jc w:val="both"/>
        <w:rPr>
          <w:rFonts w:ascii="Palatino Linotype" w:eastAsia="Palatino Linotype" w:hAnsi="Palatino Linotype" w:cs="Palatino Linotype"/>
          <w:i/>
          <w:color w:val="000000" w:themeColor="text1"/>
        </w:rPr>
      </w:pPr>
    </w:p>
    <w:p w:rsidR="00063A2F" w:rsidRDefault="00063A2F" w:rsidP="00940F87">
      <w:pPr>
        <w:spacing w:line="360" w:lineRule="auto"/>
        <w:jc w:val="both"/>
        <w:rPr>
          <w:rFonts w:ascii="Palatino Linotype" w:eastAsia="Palatino Linotype" w:hAnsi="Palatino Linotype" w:cs="Palatino Linotype"/>
          <w:i/>
          <w:color w:val="000000" w:themeColor="text1"/>
        </w:rPr>
      </w:pPr>
      <w:r w:rsidRPr="00940F87">
        <w:rPr>
          <w:rFonts w:ascii="Palatino Linotype" w:eastAsia="Palatino Linotype" w:hAnsi="Palatino Linotype" w:cs="Palatino Linotype"/>
          <w:b/>
          <w:i/>
          <w:color w:val="000000" w:themeColor="text1"/>
        </w:rPr>
        <w:t>Quincuagésimo octavo</w:t>
      </w:r>
      <w:r w:rsidRPr="00940F87">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BB0A3E" w:rsidRPr="00940F87" w:rsidRDefault="00BB0A3E" w:rsidP="00940F87">
      <w:pPr>
        <w:spacing w:line="360" w:lineRule="auto"/>
        <w:jc w:val="both"/>
        <w:rPr>
          <w:rFonts w:ascii="Palatino Linotype" w:eastAsia="Palatino Linotype" w:hAnsi="Palatino Linotype" w:cs="Palatino Linotype"/>
          <w:i/>
          <w:color w:val="000000" w:themeColor="text1"/>
        </w:rPr>
      </w:pPr>
    </w:p>
    <w:p w:rsidR="00012B2E" w:rsidRPr="00940F87" w:rsidRDefault="00012B2E" w:rsidP="00940F8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40F87">
        <w:rPr>
          <w:rFonts w:ascii="Palatino Linotype" w:hAnsi="Palatino Linotype"/>
          <w:color w:val="000000" w:themeColor="text1"/>
        </w:rPr>
        <w:t xml:space="preserve">Por cuanto hace al </w:t>
      </w:r>
      <w:r w:rsidRPr="00940F87">
        <w:rPr>
          <w:rFonts w:ascii="Palatino Linotype" w:hAnsi="Palatino Linotype"/>
          <w:b/>
          <w:bCs/>
          <w:color w:val="000000" w:themeColor="text1"/>
        </w:rPr>
        <w:t xml:space="preserve">Registro Federal de Contribuyentes (RFC) </w:t>
      </w:r>
      <w:r w:rsidRPr="00940F87">
        <w:rPr>
          <w:rFonts w:ascii="Palatino Linotype" w:hAnsi="Palatino Linotype"/>
          <w:color w:val="000000" w:themeColor="text1"/>
        </w:rPr>
        <w:t>y</w:t>
      </w:r>
      <w:r w:rsidRPr="00940F87">
        <w:rPr>
          <w:rFonts w:ascii="Palatino Linotype" w:hAnsi="Palatino Linotype"/>
          <w:b/>
          <w:bCs/>
          <w:color w:val="000000" w:themeColor="text1"/>
        </w:rPr>
        <w:t xml:space="preserve"> el domicilio fiscal </w:t>
      </w:r>
      <w:r w:rsidRPr="00940F87">
        <w:rPr>
          <w:rFonts w:ascii="Palatino Linotype" w:hAnsi="Palatino Linotype"/>
          <w:color w:val="000000" w:themeColor="text1"/>
        </w:rPr>
        <w:t xml:space="preserve">si bien este Instituto ha sostenido que el RFC y domicilio de las personas físicas debe ser testado por los Sujetos Obligados, en las versiones públicas de los documentos que elaboren para atender las solicitudes de información pública, lo cierto es que, tratándose de </w:t>
      </w:r>
      <w:r w:rsidRPr="00940F87">
        <w:rPr>
          <w:rFonts w:ascii="Palatino Linotype" w:hAnsi="Palatino Linotype"/>
          <w:color w:val="000000" w:themeColor="text1"/>
        </w:rPr>
        <w:lastRenderedPageBreak/>
        <w:t>proveedores, prestadores de servicios o contratistas, dichos datos no deben ser suprimidos de las facturas y contratos que vayan a ser entregados.</w:t>
      </w:r>
    </w:p>
    <w:p w:rsidR="00012B2E" w:rsidRPr="00940F87" w:rsidRDefault="00012B2E" w:rsidP="00940F87">
      <w:pPr>
        <w:pBdr>
          <w:top w:val="nil"/>
          <w:left w:val="nil"/>
          <w:bottom w:val="nil"/>
          <w:right w:val="nil"/>
          <w:between w:val="nil"/>
        </w:pBdr>
        <w:spacing w:line="360" w:lineRule="auto"/>
        <w:jc w:val="both"/>
        <w:rPr>
          <w:rFonts w:ascii="Palatino Linotype" w:hAnsi="Palatino Linotype"/>
          <w:color w:val="000000" w:themeColor="text1"/>
        </w:rPr>
      </w:pPr>
    </w:p>
    <w:p w:rsidR="00012B2E" w:rsidRPr="00940F87" w:rsidRDefault="00012B2E" w:rsidP="00940F8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40F87">
        <w:rPr>
          <w:rFonts w:ascii="Palatino Linotype" w:hAnsi="Palatino Linotype"/>
          <w:color w:val="000000" w:themeColor="text1"/>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012B2E" w:rsidRPr="00940F87" w:rsidRDefault="00012B2E" w:rsidP="00940F87">
      <w:pPr>
        <w:pStyle w:val="Prrafodelista"/>
        <w:ind w:left="0"/>
        <w:rPr>
          <w:rFonts w:ascii="Palatino Linotype" w:hAnsi="Palatino Linotype"/>
          <w:color w:val="000000" w:themeColor="text1"/>
        </w:rPr>
      </w:pPr>
    </w:p>
    <w:p w:rsidR="00012B2E" w:rsidRPr="00940F87" w:rsidRDefault="00012B2E" w:rsidP="00940F8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40F87">
        <w:rPr>
          <w:rFonts w:ascii="Palatino Linotype" w:hAnsi="Palatino Linotype"/>
          <w:color w:val="000000" w:themeColor="text1"/>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940F87">
        <w:rPr>
          <w:rFonts w:ascii="Palatino Linotype" w:hAnsi="Palatino Linotype"/>
          <w:b/>
          <w:bCs/>
          <w:color w:val="000000" w:themeColor="text1"/>
        </w:rPr>
        <w:t>no puede considerarse como información clasificada lo relativo a su nombre, registro federal de contribuyentes y domicilio fiscal</w:t>
      </w:r>
      <w:r w:rsidRPr="00940F87">
        <w:rPr>
          <w:rFonts w:ascii="Palatino Linotype" w:hAnsi="Palatino Linotype"/>
          <w:color w:val="000000" w:themeColor="text1"/>
        </w:rPr>
        <w:t>, atento a que dicha información es la que puede generar certeza en los gobernados en que se está ejerciendo debidamente el presupuesto.</w:t>
      </w:r>
    </w:p>
    <w:p w:rsidR="00012B2E" w:rsidRPr="00940F87" w:rsidRDefault="00012B2E" w:rsidP="00940F87">
      <w:pPr>
        <w:pStyle w:val="Prrafodelista"/>
        <w:ind w:left="0"/>
        <w:rPr>
          <w:rFonts w:ascii="Palatino Linotype" w:hAnsi="Palatino Linotype"/>
          <w:color w:val="000000" w:themeColor="text1"/>
        </w:rPr>
      </w:pPr>
    </w:p>
    <w:p w:rsidR="00012B2E" w:rsidRPr="00940F87" w:rsidRDefault="00012B2E" w:rsidP="00940F8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40F87">
        <w:rPr>
          <w:rFonts w:ascii="Palatino Linotype" w:hAnsi="Palatino Linotype"/>
          <w:color w:val="000000" w:themeColor="text1"/>
        </w:rPr>
        <w:t>Robustece lo anterior el criterio orientador 04/21 emitido por el Instituto Nacional de Transparencia, Acceso a la Información y Protección de Datos Personales, INAI, el cual refiere:</w:t>
      </w:r>
    </w:p>
    <w:p w:rsidR="00012B2E" w:rsidRPr="00940F87" w:rsidRDefault="00012B2E" w:rsidP="00940F87">
      <w:pPr>
        <w:pStyle w:val="NormalWeb"/>
        <w:spacing w:before="0" w:beforeAutospacing="0" w:after="0" w:afterAutospacing="0"/>
        <w:jc w:val="both"/>
        <w:rPr>
          <w:rFonts w:ascii="Palatino Linotype" w:hAnsi="Palatino Linotype"/>
          <w:color w:val="000000" w:themeColor="text1"/>
        </w:rPr>
      </w:pPr>
      <w:r w:rsidRPr="00940F87">
        <w:rPr>
          <w:rFonts w:ascii="Palatino Linotype" w:hAnsi="Palatino Linotype"/>
          <w:b/>
          <w:bCs/>
          <w:i/>
          <w:iCs/>
          <w:color w:val="000000" w:themeColor="text1"/>
        </w:rPr>
        <w:t xml:space="preserve">“Registro Federal de Contribuyentes (RFC) de personas físicas proveedoras o contratistas. </w:t>
      </w:r>
      <w:r w:rsidRPr="00940F87">
        <w:rPr>
          <w:rFonts w:ascii="Palatino Linotype" w:hAnsi="Palatino Linotype"/>
          <w:i/>
          <w:iCs/>
          <w:color w:val="000000" w:themeColor="text1"/>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012B2E" w:rsidRDefault="00012B2E" w:rsidP="00940F87">
      <w:pPr>
        <w:rPr>
          <w:rFonts w:ascii="Palatino Linotype" w:hAnsi="Palatino Linotype"/>
          <w:color w:val="000000" w:themeColor="text1"/>
        </w:rPr>
      </w:pPr>
    </w:p>
    <w:p w:rsidR="00625CA0" w:rsidRPr="00940F87" w:rsidRDefault="00625CA0" w:rsidP="00940F87">
      <w:pPr>
        <w:rPr>
          <w:rFonts w:ascii="Palatino Linotype" w:hAnsi="Palatino Linotype"/>
          <w:color w:val="000000" w:themeColor="text1"/>
        </w:rPr>
      </w:pPr>
    </w:p>
    <w:p w:rsidR="00012B2E" w:rsidRPr="00940F87" w:rsidRDefault="00012B2E" w:rsidP="00940F8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40F87">
        <w:rPr>
          <w:rFonts w:ascii="Palatino Linotype" w:hAnsi="Palatino Linotype"/>
          <w:color w:val="000000" w:themeColor="text1"/>
        </w:rPr>
        <w:lastRenderedPageBreak/>
        <w:t xml:space="preserve">Relacionado con lo anterior, el </w:t>
      </w:r>
      <w:r w:rsidRPr="00940F87">
        <w:rPr>
          <w:rFonts w:ascii="Palatino Linotype" w:hAnsi="Palatino Linotype"/>
          <w:b/>
          <w:bCs/>
          <w:color w:val="000000" w:themeColor="text1"/>
        </w:rPr>
        <w:t>nombre de las personas físicas</w:t>
      </w:r>
      <w:r w:rsidRPr="00940F87">
        <w:rPr>
          <w:rFonts w:ascii="Palatino Linotype" w:hAnsi="Palatino Linotype"/>
          <w:color w:val="000000" w:themeColor="text1"/>
        </w:rPr>
        <w:t xml:space="preserve"> o los </w:t>
      </w:r>
      <w:r w:rsidRPr="00940F87">
        <w:rPr>
          <w:rFonts w:ascii="Palatino Linotype" w:hAnsi="Palatino Linotype"/>
          <w:b/>
          <w:bCs/>
          <w:color w:val="000000" w:themeColor="text1"/>
        </w:rPr>
        <w:t xml:space="preserve">representantes legales </w:t>
      </w:r>
      <w:r w:rsidRPr="00940F87">
        <w:rPr>
          <w:rFonts w:ascii="Palatino Linotype" w:hAnsi="Palatino Linotype"/>
          <w:color w:val="000000" w:themeColor="text1"/>
        </w:rPr>
        <w:t>de las personas morales,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rsidR="00012B2E" w:rsidRPr="00940F87" w:rsidRDefault="00012B2E" w:rsidP="00940F87">
      <w:pPr>
        <w:rPr>
          <w:rFonts w:ascii="Palatino Linotype" w:hAnsi="Palatino Linotype"/>
          <w:color w:val="000000" w:themeColor="text1"/>
        </w:rPr>
      </w:pPr>
    </w:p>
    <w:p w:rsidR="00012B2E" w:rsidRPr="00940F87" w:rsidRDefault="00012B2E" w:rsidP="00940F8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40F87">
        <w:rPr>
          <w:rFonts w:ascii="Palatino Linotype" w:hAnsi="Palatino Linotype"/>
          <w:color w:val="000000" w:themeColor="text1"/>
        </w:rPr>
        <w:t>Argumentación que guarda sustento en lo estipulado por el artículo 23 de la Ley de Transparencia y Acceso a la Información Pública del Estado de México y Municipios en su penúltimo párrafo, mismo que es del tenor literal siguiente:</w:t>
      </w:r>
    </w:p>
    <w:p w:rsidR="00012B2E" w:rsidRPr="00940F87" w:rsidRDefault="00012B2E" w:rsidP="00940F87">
      <w:pPr>
        <w:pStyle w:val="NormalWeb"/>
        <w:spacing w:before="0" w:beforeAutospacing="0" w:after="0" w:afterAutospacing="0"/>
        <w:jc w:val="both"/>
        <w:rPr>
          <w:rFonts w:ascii="Palatino Linotype" w:hAnsi="Palatino Linotype"/>
          <w:color w:val="000000" w:themeColor="text1"/>
        </w:rPr>
      </w:pPr>
      <w:r w:rsidRPr="00940F87">
        <w:rPr>
          <w:rFonts w:ascii="Palatino Linotype" w:hAnsi="Palatino Linotype"/>
          <w:i/>
          <w:iCs/>
          <w:color w:val="000000" w:themeColor="text1"/>
        </w:rPr>
        <w:t>“</w:t>
      </w:r>
      <w:r w:rsidRPr="00940F87">
        <w:rPr>
          <w:rFonts w:ascii="Palatino Linotype" w:hAnsi="Palatino Linotype"/>
          <w:b/>
          <w:bCs/>
          <w:i/>
          <w:iCs/>
          <w:color w:val="000000" w:themeColor="text1"/>
        </w:rPr>
        <w:t>Artículo 23.</w:t>
      </w:r>
      <w:r w:rsidRPr="00940F87">
        <w:rPr>
          <w:rFonts w:ascii="Palatino Linotype" w:hAnsi="Palatino Linotype"/>
          <w:i/>
          <w:iCs/>
          <w:color w:val="000000" w:themeColor="text1"/>
        </w:rPr>
        <w:t xml:space="preserve"> (…)</w:t>
      </w:r>
    </w:p>
    <w:p w:rsidR="00012B2E" w:rsidRPr="00940F87" w:rsidRDefault="00012B2E" w:rsidP="00940F87">
      <w:pPr>
        <w:pStyle w:val="NormalWeb"/>
        <w:spacing w:before="0" w:beforeAutospacing="0" w:after="0" w:afterAutospacing="0"/>
        <w:jc w:val="both"/>
        <w:rPr>
          <w:rFonts w:ascii="Palatino Linotype" w:hAnsi="Palatino Linotype"/>
          <w:color w:val="000000" w:themeColor="text1"/>
        </w:rPr>
      </w:pPr>
      <w:r w:rsidRPr="00940F87">
        <w:rPr>
          <w:rFonts w:ascii="Palatino Linotype" w:hAnsi="Palatino Linotype"/>
          <w:i/>
          <w:iCs/>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12B2E" w:rsidRPr="00940F87" w:rsidRDefault="00012B2E" w:rsidP="00940F87">
      <w:pPr>
        <w:rPr>
          <w:rFonts w:ascii="Palatino Linotype" w:hAnsi="Palatino Linotype"/>
          <w:color w:val="000000" w:themeColor="text1"/>
        </w:rPr>
      </w:pPr>
    </w:p>
    <w:p w:rsidR="00012B2E" w:rsidRPr="00940F87" w:rsidRDefault="00012B2E" w:rsidP="00940F8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40F87">
        <w:rPr>
          <w:rFonts w:ascii="Palatino Linotype" w:hAnsi="Palatino Linotype"/>
          <w:color w:val="000000" w:themeColor="text1"/>
        </w:rPr>
        <w:t xml:space="preserve">Asimismo, resulta aplicable el contenido del criterio de interpretación 01/19 emitido por el </w:t>
      </w:r>
      <w:r w:rsidRPr="00940F87">
        <w:rPr>
          <w:rFonts w:ascii="Palatino Linotype" w:eastAsia="Palatino Linotype" w:hAnsi="Palatino Linotype" w:cs="Palatino Linotype"/>
          <w:color w:val="000000" w:themeColor="text1"/>
        </w:rPr>
        <w:t>Instituto</w:t>
      </w:r>
      <w:r w:rsidRPr="00940F87">
        <w:rPr>
          <w:rFonts w:ascii="Palatino Linotype" w:hAnsi="Palatino Linotype"/>
          <w:color w:val="000000" w:themeColor="text1"/>
        </w:rPr>
        <w:t xml:space="preserve"> Nacional de Transparencia, Acceso a la Información, y Protección de Datos Personales, INAI, que lleva por rubro y texto los siguientes</w:t>
      </w:r>
    </w:p>
    <w:p w:rsidR="00012B2E" w:rsidRPr="00940F87" w:rsidRDefault="00012B2E" w:rsidP="00940F87">
      <w:pPr>
        <w:pStyle w:val="NormalWeb"/>
        <w:spacing w:before="0" w:beforeAutospacing="0" w:after="0" w:afterAutospacing="0"/>
        <w:jc w:val="both"/>
        <w:rPr>
          <w:rFonts w:ascii="Palatino Linotype" w:hAnsi="Palatino Linotype"/>
          <w:color w:val="000000" w:themeColor="text1"/>
        </w:rPr>
      </w:pPr>
      <w:r w:rsidRPr="00940F87">
        <w:rPr>
          <w:rFonts w:ascii="Palatino Linotype" w:hAnsi="Palatino Linotype"/>
          <w:b/>
          <w:bCs/>
          <w:i/>
          <w:iCs/>
          <w:color w:val="000000" w:themeColor="text1"/>
        </w:rPr>
        <w:t>“Datos de identificación del representante o apoderado legal.</w:t>
      </w:r>
      <w:r w:rsidRPr="00940F87">
        <w:rPr>
          <w:rFonts w:ascii="Palatino Linotype" w:hAnsi="Palatino Linotype"/>
          <w:i/>
          <w:iCs/>
          <w:color w:val="000000" w:themeColor="text1"/>
        </w:rPr>
        <w:t xml:space="preserve"> </w:t>
      </w:r>
      <w:r w:rsidRPr="00940F87">
        <w:rPr>
          <w:rFonts w:ascii="Palatino Linotype" w:hAnsi="Palatino Linotype"/>
          <w:b/>
          <w:bCs/>
          <w:i/>
          <w:iCs/>
          <w:color w:val="000000" w:themeColor="text1"/>
        </w:rPr>
        <w:t xml:space="preserve">Naturaleza jurídica. </w:t>
      </w:r>
      <w:r w:rsidRPr="00940F87">
        <w:rPr>
          <w:rFonts w:ascii="Palatino Linotype" w:hAnsi="Palatino Linotype"/>
          <w:i/>
          <w:iCs/>
          <w:color w:val="000000" w:themeColor="text1"/>
        </w:rPr>
        <w:t xml:space="preserve">El nombre, la firma y la rúbrica de una persona física, que actúe como representante o apoderado legal de un tercero que haya celebrado un acto jurídico, con algún sujeto obligado, </w:t>
      </w:r>
      <w:r w:rsidRPr="00940F87">
        <w:rPr>
          <w:rFonts w:ascii="Palatino Linotype" w:hAnsi="Palatino Linotype"/>
          <w:b/>
          <w:bCs/>
          <w:i/>
          <w:iCs/>
          <w:color w:val="000000" w:themeColor="text1"/>
        </w:rPr>
        <w:t xml:space="preserve">es información </w:t>
      </w:r>
      <w:r w:rsidRPr="00940F87">
        <w:rPr>
          <w:rFonts w:ascii="Palatino Linotype" w:hAnsi="Palatino Linotype"/>
          <w:b/>
          <w:bCs/>
          <w:i/>
          <w:iCs/>
          <w:color w:val="000000" w:themeColor="text1"/>
        </w:rPr>
        <w:lastRenderedPageBreak/>
        <w:t>pública, en razón de que tales datos fueron proporcionados con el objeto de expresar el consentimiento obligacional del tercero y otorgar validez a dicho instrumento jurídico</w:t>
      </w:r>
      <w:r w:rsidRPr="00940F87">
        <w:rPr>
          <w:rFonts w:ascii="Palatino Linotype" w:hAnsi="Palatino Linotype"/>
          <w:i/>
          <w:iCs/>
          <w:color w:val="000000" w:themeColor="text1"/>
        </w:rPr>
        <w:t>.”</w:t>
      </w:r>
    </w:p>
    <w:p w:rsidR="00012B2E" w:rsidRPr="00940F87" w:rsidRDefault="00012B2E" w:rsidP="00940F8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63A2F" w:rsidRPr="00940F87" w:rsidRDefault="00063A2F"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Luego entonces, el </w:t>
      </w:r>
      <w:r w:rsidRPr="00940F87">
        <w:rPr>
          <w:rFonts w:ascii="Palatino Linotype" w:eastAsia="Palatino Linotype" w:hAnsi="Palatino Linotype" w:cs="Palatino Linotype"/>
          <w:b/>
          <w:color w:val="000000" w:themeColor="text1"/>
        </w:rPr>
        <w:t xml:space="preserve">SUJETOS OBLIGADOS </w:t>
      </w:r>
      <w:r w:rsidRPr="00940F87">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940F87" w:rsidRPr="00940F87" w:rsidTr="00625CA0">
        <w:tc>
          <w:tcPr>
            <w:tcW w:w="2689" w:type="dxa"/>
          </w:tcPr>
          <w:p w:rsidR="00063A2F" w:rsidRPr="00940F87" w:rsidRDefault="00063A2F" w:rsidP="00940F87">
            <w:pPr>
              <w:tabs>
                <w:tab w:val="left" w:pos="284"/>
              </w:tabs>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a) Requisitos previos.</w:t>
            </w:r>
          </w:p>
        </w:tc>
        <w:tc>
          <w:tcPr>
            <w:tcW w:w="6945" w:type="dxa"/>
          </w:tcPr>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940F87">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940F87">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p>
        </w:tc>
      </w:tr>
      <w:tr w:rsidR="00940F87" w:rsidRPr="00940F87" w:rsidTr="00625CA0">
        <w:tc>
          <w:tcPr>
            <w:tcW w:w="2689" w:type="dxa"/>
          </w:tcPr>
          <w:p w:rsidR="00063A2F" w:rsidRPr="00940F87" w:rsidRDefault="00063A2F" w:rsidP="00940F87">
            <w:pPr>
              <w:tabs>
                <w:tab w:val="left" w:pos="284"/>
              </w:tabs>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b) Supuestos de clasificación.</w:t>
            </w:r>
          </w:p>
        </w:tc>
        <w:tc>
          <w:tcPr>
            <w:tcW w:w="6945" w:type="dxa"/>
          </w:tcPr>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w:t>
            </w:r>
            <w:r w:rsidRPr="00940F87">
              <w:rPr>
                <w:rFonts w:ascii="Palatino Linotype" w:eastAsia="Palatino Linotype" w:hAnsi="Palatino Linotype" w:cs="Palatino Linotype"/>
                <w:color w:val="000000" w:themeColor="text1"/>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El </w:t>
            </w:r>
            <w:r w:rsidRPr="00940F87">
              <w:rPr>
                <w:rFonts w:ascii="Palatino Linotype" w:eastAsia="Palatino Linotype" w:hAnsi="Palatino Linotype" w:cs="Palatino Linotype"/>
                <w:b/>
                <w:color w:val="000000" w:themeColor="text1"/>
              </w:rPr>
              <w:t>Sujeto Obligado</w:t>
            </w:r>
            <w:r w:rsidRPr="00940F8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p>
        </w:tc>
      </w:tr>
      <w:tr w:rsidR="00940F87" w:rsidRPr="00940F87" w:rsidTr="00625CA0">
        <w:tc>
          <w:tcPr>
            <w:tcW w:w="2689" w:type="dxa"/>
          </w:tcPr>
          <w:p w:rsidR="00063A2F" w:rsidRPr="00940F87" w:rsidRDefault="00063A2F" w:rsidP="00940F87">
            <w:pPr>
              <w:tabs>
                <w:tab w:val="left" w:pos="284"/>
              </w:tabs>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Es necesario que </w:t>
            </w:r>
            <w:r w:rsidRPr="00940F87">
              <w:rPr>
                <w:rFonts w:ascii="Palatino Linotype" w:eastAsia="Palatino Linotype" w:hAnsi="Palatino Linotype" w:cs="Palatino Linotype"/>
                <w:b/>
                <w:color w:val="000000" w:themeColor="text1"/>
                <w:u w:val="single"/>
              </w:rPr>
              <w:t>el acto reúna con los requisitos elementales</w:t>
            </w:r>
            <w:r w:rsidRPr="00940F87">
              <w:rPr>
                <w:rFonts w:ascii="Palatino Linotype" w:eastAsia="Palatino Linotype" w:hAnsi="Palatino Linotype" w:cs="Palatino Linotype"/>
                <w:color w:val="000000" w:themeColor="text1"/>
              </w:rPr>
              <w:t>, entre ellos, que la autoridad que va a emitir el acto de autoridad sea la legalmente facultada para ello.</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p>
        </w:tc>
      </w:tr>
      <w:tr w:rsidR="00940F87" w:rsidRPr="00940F87" w:rsidTr="00625CA0">
        <w:tc>
          <w:tcPr>
            <w:tcW w:w="2689" w:type="dxa"/>
          </w:tcPr>
          <w:p w:rsidR="00063A2F" w:rsidRPr="00940F87" w:rsidRDefault="00063A2F" w:rsidP="00940F87">
            <w:pPr>
              <w:tabs>
                <w:tab w:val="left" w:pos="284"/>
              </w:tabs>
              <w:rPr>
                <w:rFonts w:ascii="Palatino Linotype" w:eastAsia="Palatino Linotype" w:hAnsi="Palatino Linotype" w:cs="Palatino Linotype"/>
                <w:color w:val="000000" w:themeColor="text1"/>
              </w:rPr>
            </w:pP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40F87">
              <w:rPr>
                <w:rFonts w:ascii="Palatino Linotype" w:eastAsia="Palatino Linotype" w:hAnsi="Palatino Linotype" w:cs="Palatino Linotype"/>
                <w:b/>
                <w:color w:val="000000" w:themeColor="text1"/>
              </w:rPr>
              <w:lastRenderedPageBreak/>
              <w:t>Sujetos Obligados</w:t>
            </w:r>
            <w:r w:rsidRPr="00940F87">
              <w:rPr>
                <w:rFonts w:ascii="Palatino Linotype" w:eastAsia="Palatino Linotype" w:hAnsi="Palatino Linotype" w:cs="Palatino Linotype"/>
                <w:color w:val="000000" w:themeColor="text1"/>
              </w:rPr>
              <w:t xml:space="preserve">, por lo que deberán fundar y motivar debidamente la clasificación. </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De lo anterior, se desprende que para una correcta </w:t>
            </w:r>
            <w:r w:rsidRPr="00940F87">
              <w:rPr>
                <w:rFonts w:ascii="Palatino Linotype" w:eastAsia="Palatino Linotype" w:hAnsi="Palatino Linotype" w:cs="Palatino Linotype"/>
                <w:b/>
                <w:color w:val="000000" w:themeColor="text1"/>
              </w:rPr>
              <w:t>clasificación total o parcial</w:t>
            </w:r>
            <w:r w:rsidRPr="00940F8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Ahora bien, </w:t>
            </w:r>
            <w:r w:rsidRPr="00940F87">
              <w:rPr>
                <w:rFonts w:ascii="Palatino Linotype" w:eastAsia="Palatino Linotype" w:hAnsi="Palatino Linotype" w:cs="Palatino Linotype"/>
                <w:b/>
                <w:color w:val="000000" w:themeColor="text1"/>
                <w:u w:val="single"/>
              </w:rPr>
              <w:t>para cada caso además de fundar y motivar</w:t>
            </w:r>
            <w:r w:rsidRPr="00940F8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p>
        </w:tc>
      </w:tr>
      <w:tr w:rsidR="00063A2F" w:rsidRPr="00940F87" w:rsidTr="00625CA0">
        <w:tc>
          <w:tcPr>
            <w:tcW w:w="2689" w:type="dxa"/>
          </w:tcPr>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e) Condiciones especiales de la clasificación de la información como confidencial. </w:t>
            </w:r>
          </w:p>
        </w:tc>
        <w:tc>
          <w:tcPr>
            <w:tcW w:w="6945" w:type="dxa"/>
          </w:tcPr>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063A2F" w:rsidRPr="00940F87" w:rsidRDefault="00063A2F" w:rsidP="00940F87">
            <w:pPr>
              <w:tabs>
                <w:tab w:val="left" w:pos="284"/>
              </w:tabs>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w:t>
            </w:r>
            <w:r w:rsidRPr="00940F87">
              <w:rPr>
                <w:rFonts w:ascii="Palatino Linotype" w:eastAsia="Palatino Linotype" w:hAnsi="Palatino Linotype" w:cs="Palatino Linotype"/>
                <w:color w:val="000000" w:themeColor="text1"/>
              </w:rPr>
              <w:lastRenderedPageBreak/>
              <w:t xml:space="preserve">Justicia de la Nación, los servidores públicos nos encontramos sujetos a un régimen menor de protección. </w:t>
            </w:r>
          </w:p>
          <w:p w:rsidR="00063A2F" w:rsidRPr="00940F87" w:rsidRDefault="00063A2F" w:rsidP="00940F87">
            <w:pPr>
              <w:tabs>
                <w:tab w:val="left" w:pos="284"/>
              </w:tabs>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063A2F" w:rsidRPr="00940F87" w:rsidRDefault="00063A2F" w:rsidP="00940F87">
            <w:pPr>
              <w:tabs>
                <w:tab w:val="left" w:pos="284"/>
              </w:tabs>
              <w:rPr>
                <w:rFonts w:ascii="Palatino Linotype" w:eastAsia="Palatino Linotype" w:hAnsi="Palatino Linotype" w:cs="Palatino Linotype"/>
                <w:color w:val="000000" w:themeColor="text1"/>
              </w:rPr>
            </w:pPr>
          </w:p>
        </w:tc>
      </w:tr>
    </w:tbl>
    <w:p w:rsidR="009C6D00" w:rsidRPr="00940F87" w:rsidRDefault="009C6D00" w:rsidP="00940F8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63A2F" w:rsidRPr="00940F87" w:rsidRDefault="00063A2F"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63A2F" w:rsidRPr="00940F87" w:rsidRDefault="00063A2F" w:rsidP="00940F87">
      <w:pPr>
        <w:spacing w:line="360" w:lineRule="auto"/>
        <w:contextualSpacing/>
        <w:jc w:val="both"/>
        <w:rPr>
          <w:rFonts w:ascii="Palatino Linotype" w:eastAsia="Palatino Linotype" w:hAnsi="Palatino Linotype" w:cs="Palatino Linotype"/>
          <w:color w:val="000000" w:themeColor="text1"/>
        </w:rPr>
      </w:pPr>
    </w:p>
    <w:p w:rsidR="00063A2F" w:rsidRDefault="00063A2F" w:rsidP="00940F8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Por lo anteriormente expuesto y fundado, este </w:t>
      </w:r>
      <w:r w:rsidRPr="00940F87">
        <w:rPr>
          <w:rFonts w:ascii="Palatino Linotype" w:eastAsia="Palatino Linotype" w:hAnsi="Palatino Linotype" w:cs="Palatino Linotype"/>
          <w:b/>
          <w:color w:val="000000" w:themeColor="text1"/>
        </w:rPr>
        <w:t>ÓRGANO GARANTE</w:t>
      </w:r>
      <w:r w:rsidRPr="00940F87">
        <w:rPr>
          <w:rFonts w:ascii="Palatino Linotype" w:eastAsia="Palatino Linotype" w:hAnsi="Palatino Linotype" w:cs="Palatino Linotype"/>
          <w:color w:val="000000" w:themeColor="text1"/>
        </w:rPr>
        <w:t xml:space="preserve"> emite los siguientes:</w:t>
      </w:r>
      <w:r w:rsidR="00625CA0">
        <w:rPr>
          <w:rFonts w:ascii="Palatino Linotype" w:eastAsia="Palatino Linotype" w:hAnsi="Palatino Linotype" w:cs="Palatino Linotype"/>
          <w:color w:val="000000" w:themeColor="text1"/>
        </w:rPr>
        <w:t xml:space="preserve"> </w:t>
      </w:r>
    </w:p>
    <w:p w:rsidR="00625CA0" w:rsidRDefault="00625CA0" w:rsidP="00625CA0">
      <w:pPr>
        <w:pStyle w:val="Prrafodelista"/>
        <w:rPr>
          <w:rFonts w:ascii="Palatino Linotype" w:eastAsia="Palatino Linotype" w:hAnsi="Palatino Linotype" w:cs="Palatino Linotype"/>
          <w:color w:val="000000" w:themeColor="text1"/>
        </w:rPr>
      </w:pPr>
    </w:p>
    <w:p w:rsidR="00955CFD" w:rsidRPr="00940F87" w:rsidRDefault="00955CFD" w:rsidP="00940F87">
      <w:pPr>
        <w:keepNext/>
        <w:keepLines/>
        <w:spacing w:line="360" w:lineRule="auto"/>
        <w:jc w:val="center"/>
        <w:rPr>
          <w:rFonts w:ascii="Palatino Linotype" w:eastAsia="Palatino Linotype" w:hAnsi="Palatino Linotype" w:cs="Palatino Linotype"/>
          <w:b/>
          <w:color w:val="000000" w:themeColor="text1"/>
        </w:rPr>
      </w:pPr>
      <w:r w:rsidRPr="00940F87">
        <w:rPr>
          <w:rFonts w:ascii="Palatino Linotype" w:eastAsia="Palatino Linotype" w:hAnsi="Palatino Linotype" w:cs="Palatino Linotype"/>
          <w:b/>
          <w:color w:val="000000" w:themeColor="text1"/>
        </w:rPr>
        <w:t>R E S O L U T I V O S</w:t>
      </w:r>
    </w:p>
    <w:p w:rsidR="00955CFD" w:rsidRPr="00940F87" w:rsidRDefault="00955CFD" w:rsidP="00940F87">
      <w:pPr>
        <w:spacing w:line="360" w:lineRule="auto"/>
        <w:jc w:val="both"/>
        <w:rPr>
          <w:rFonts w:ascii="Palatino Linotype" w:eastAsia="Palatino Linotype" w:hAnsi="Palatino Linotype" w:cs="Palatino Linotype"/>
          <w:b/>
          <w:color w:val="000000" w:themeColor="text1"/>
        </w:rPr>
      </w:pPr>
      <w:r w:rsidRPr="00940F87">
        <w:rPr>
          <w:rFonts w:ascii="Palatino Linotype" w:eastAsia="Palatino Linotype" w:hAnsi="Palatino Linotype" w:cs="Palatino Linotype"/>
          <w:b/>
          <w:color w:val="000000" w:themeColor="text1"/>
        </w:rPr>
        <w:tab/>
      </w:r>
    </w:p>
    <w:p w:rsidR="00063A2F" w:rsidRPr="00940F87" w:rsidRDefault="00063A2F" w:rsidP="00940F87">
      <w:pPr>
        <w:spacing w:line="360" w:lineRule="auto"/>
        <w:jc w:val="both"/>
        <w:rPr>
          <w:rFonts w:ascii="Palatino Linotype" w:eastAsia="Palatino Linotype" w:hAnsi="Palatino Linotype" w:cs="Palatino Linotype"/>
          <w:color w:val="000000" w:themeColor="text1"/>
        </w:rPr>
      </w:pPr>
      <w:r w:rsidRPr="00940F87">
        <w:rPr>
          <w:rFonts w:ascii="Palatino Linotype" w:eastAsia="Times New Roman" w:hAnsi="Palatino Linotype" w:cs="Arial"/>
          <w:b/>
          <w:bCs/>
          <w:color w:val="000000" w:themeColor="text1"/>
        </w:rPr>
        <w:t>PRIMERO</w:t>
      </w:r>
      <w:r w:rsidRPr="00940F87">
        <w:rPr>
          <w:rFonts w:ascii="Palatino Linotype" w:eastAsia="Times New Roman" w:hAnsi="Palatino Linotype" w:cs="Arial"/>
          <w:color w:val="000000" w:themeColor="text1"/>
        </w:rPr>
        <w:t xml:space="preserve">. Resultan fundadas las </w:t>
      </w:r>
      <w:r w:rsidRPr="00940F87">
        <w:rPr>
          <w:rFonts w:ascii="Palatino Linotype" w:eastAsia="Times New Roman" w:hAnsi="Palatino Linotype" w:cs="Arial"/>
          <w:color w:val="000000" w:themeColor="text1"/>
          <w:lang w:val="es-ES"/>
        </w:rPr>
        <w:t xml:space="preserve">razones o motivos de inconformidad hechos valer en el Recurso de Revisión </w:t>
      </w:r>
      <w:r w:rsidRPr="00940F87">
        <w:rPr>
          <w:rFonts w:ascii="Palatino Linotype" w:eastAsia="Times New Roman" w:hAnsi="Palatino Linotype" w:cs="Arial"/>
          <w:b/>
          <w:color w:val="000000" w:themeColor="text1"/>
          <w:lang w:val="es-ES"/>
        </w:rPr>
        <w:t xml:space="preserve">05388/INFOEM/IP/RR/2025, </w:t>
      </w:r>
      <w:r w:rsidRPr="00940F87">
        <w:rPr>
          <w:rFonts w:ascii="Palatino Linotype" w:eastAsia="Palatino Linotype" w:hAnsi="Palatino Linotype" w:cs="Palatino Linotype"/>
          <w:color w:val="000000" w:themeColor="text1"/>
        </w:rPr>
        <w:t xml:space="preserve">en términos de los </w:t>
      </w:r>
      <w:r w:rsidRPr="00940F87">
        <w:rPr>
          <w:rFonts w:ascii="Palatino Linotype" w:eastAsia="Palatino Linotype" w:hAnsi="Palatino Linotype" w:cs="Palatino Linotype"/>
          <w:b/>
          <w:color w:val="000000" w:themeColor="text1"/>
        </w:rPr>
        <w:t>Considerandos</w:t>
      </w:r>
      <w:r w:rsidRPr="00940F87">
        <w:rPr>
          <w:rFonts w:ascii="Palatino Linotype" w:eastAsia="Palatino Linotype" w:hAnsi="Palatino Linotype" w:cs="Palatino Linotype"/>
          <w:color w:val="000000" w:themeColor="text1"/>
        </w:rPr>
        <w:t xml:space="preserve"> </w:t>
      </w:r>
      <w:r w:rsidRPr="00940F87">
        <w:rPr>
          <w:rFonts w:ascii="Palatino Linotype" w:eastAsia="Palatino Linotype" w:hAnsi="Palatino Linotype" w:cs="Palatino Linotype"/>
          <w:b/>
          <w:color w:val="000000" w:themeColor="text1"/>
        </w:rPr>
        <w:t xml:space="preserve">Cuarto y Quinto </w:t>
      </w:r>
      <w:r w:rsidRPr="00940F87">
        <w:rPr>
          <w:rFonts w:ascii="Palatino Linotype" w:eastAsia="Palatino Linotype" w:hAnsi="Palatino Linotype" w:cs="Palatino Linotype"/>
          <w:color w:val="000000" w:themeColor="text1"/>
        </w:rPr>
        <w:t>de la presente Resolución.</w:t>
      </w:r>
    </w:p>
    <w:p w:rsidR="00063A2F" w:rsidRPr="00940F87" w:rsidRDefault="00063A2F" w:rsidP="00940F87">
      <w:pPr>
        <w:spacing w:line="360" w:lineRule="auto"/>
        <w:jc w:val="both"/>
        <w:rPr>
          <w:rFonts w:ascii="Palatino Linotype" w:eastAsia="Palatino Linotype" w:hAnsi="Palatino Linotype" w:cs="Palatino Linotype"/>
          <w:color w:val="000000" w:themeColor="text1"/>
        </w:rPr>
      </w:pPr>
    </w:p>
    <w:p w:rsidR="00063A2F" w:rsidRPr="00940F87" w:rsidRDefault="00063A2F" w:rsidP="00940F87">
      <w:pPr>
        <w:spacing w:line="360" w:lineRule="auto"/>
        <w:jc w:val="both"/>
        <w:rPr>
          <w:rFonts w:ascii="Palatino Linotype" w:hAnsi="Palatino Linotype" w:cs="Arial"/>
          <w:color w:val="000000" w:themeColor="text1"/>
        </w:rPr>
      </w:pPr>
      <w:r w:rsidRPr="00940F87">
        <w:rPr>
          <w:rFonts w:ascii="Palatino Linotype" w:eastAsia="Times New Roman" w:hAnsi="Palatino Linotype" w:cs="Times New Roman"/>
          <w:b/>
          <w:color w:val="000000" w:themeColor="text1"/>
        </w:rPr>
        <w:t xml:space="preserve">SEGUNDO. </w:t>
      </w:r>
      <w:r w:rsidRPr="00940F87">
        <w:rPr>
          <w:rFonts w:ascii="Palatino Linotype" w:eastAsia="MS Mincho" w:hAnsi="Palatino Linotype" w:cs="Times New Roman"/>
          <w:color w:val="000000" w:themeColor="text1"/>
        </w:rPr>
        <w:t xml:space="preserve">Se </w:t>
      </w:r>
      <w:r w:rsidRPr="00940F87">
        <w:rPr>
          <w:rFonts w:ascii="Palatino Linotype" w:eastAsia="MS Mincho" w:hAnsi="Palatino Linotype" w:cs="Times New Roman"/>
          <w:b/>
          <w:color w:val="000000" w:themeColor="text1"/>
        </w:rPr>
        <w:t xml:space="preserve">MODIFICA </w:t>
      </w:r>
      <w:r w:rsidRPr="00940F87">
        <w:rPr>
          <w:rFonts w:ascii="Palatino Linotype" w:eastAsia="MS Mincho" w:hAnsi="Palatino Linotype" w:cs="Times New Roman"/>
          <w:color w:val="000000" w:themeColor="text1"/>
        </w:rPr>
        <w:t xml:space="preserve">la respuesta emitida por el </w:t>
      </w:r>
      <w:r w:rsidRPr="00940F87">
        <w:rPr>
          <w:rFonts w:ascii="Palatino Linotype" w:hAnsi="Palatino Linotype"/>
          <w:b/>
          <w:bCs/>
          <w:color w:val="000000" w:themeColor="text1"/>
        </w:rPr>
        <w:t>Ayuntamiento de Toluca</w:t>
      </w:r>
      <w:r w:rsidRPr="00940F87">
        <w:rPr>
          <w:rFonts w:ascii="Palatino Linotype" w:eastAsia="Times New Roman" w:hAnsi="Palatino Linotype" w:cs="Arial"/>
          <w:b/>
          <w:color w:val="000000" w:themeColor="text1"/>
          <w:lang w:val="es-ES"/>
        </w:rPr>
        <w:t>;</w:t>
      </w:r>
      <w:r w:rsidRPr="00940F87">
        <w:rPr>
          <w:rFonts w:ascii="Palatino Linotype" w:eastAsia="Palatino Linotype" w:hAnsi="Palatino Linotype" w:cs="Palatino Linotype"/>
          <w:color w:val="000000" w:themeColor="text1"/>
        </w:rPr>
        <w:t xml:space="preserve"> por lo que</w:t>
      </w:r>
      <w:r w:rsidRPr="00940F87">
        <w:rPr>
          <w:rFonts w:ascii="Palatino Linotype" w:eastAsia="MS Mincho" w:hAnsi="Palatino Linotype" w:cs="Times New Roman"/>
          <w:color w:val="000000" w:themeColor="text1"/>
        </w:rPr>
        <w:t xml:space="preserve"> se </w:t>
      </w:r>
      <w:r w:rsidRPr="00940F87">
        <w:rPr>
          <w:rFonts w:ascii="Palatino Linotype" w:eastAsia="MS Mincho" w:hAnsi="Palatino Linotype" w:cs="Times New Roman"/>
          <w:b/>
          <w:color w:val="000000" w:themeColor="text1"/>
        </w:rPr>
        <w:t>ORDENA</w:t>
      </w:r>
      <w:r w:rsidRPr="00940F87">
        <w:rPr>
          <w:rFonts w:ascii="Palatino Linotype" w:eastAsia="MS Mincho" w:hAnsi="Palatino Linotype" w:cs="Times New Roman"/>
          <w:color w:val="000000" w:themeColor="text1"/>
        </w:rPr>
        <w:t xml:space="preserve"> entregar vía Sistema de Acceso a la Información Mexiquense (</w:t>
      </w:r>
      <w:r w:rsidRPr="00940F87">
        <w:rPr>
          <w:rFonts w:ascii="Palatino Linotype" w:eastAsia="MS Mincho" w:hAnsi="Palatino Linotype" w:cs="Times New Roman"/>
          <w:b/>
          <w:color w:val="000000" w:themeColor="text1"/>
        </w:rPr>
        <w:t>SAIMEX</w:t>
      </w:r>
      <w:r w:rsidRPr="00940F87">
        <w:rPr>
          <w:rFonts w:ascii="Palatino Linotype" w:eastAsia="MS Mincho" w:hAnsi="Palatino Linotype" w:cs="Times New Roman"/>
          <w:color w:val="000000" w:themeColor="text1"/>
        </w:rPr>
        <w:t>) la siguiente información, en versión pública</w:t>
      </w:r>
      <w:r w:rsidRPr="00940F87">
        <w:rPr>
          <w:rFonts w:ascii="Palatino Linotype" w:hAnsi="Palatino Linotype" w:cs="Arial"/>
          <w:color w:val="000000" w:themeColor="text1"/>
        </w:rPr>
        <w:t>:</w:t>
      </w:r>
    </w:p>
    <w:p w:rsidR="00063A2F" w:rsidRPr="00940F87" w:rsidRDefault="00063A2F" w:rsidP="00940F87">
      <w:pPr>
        <w:pStyle w:val="Prrafodelista"/>
        <w:numPr>
          <w:ilvl w:val="0"/>
          <w:numId w:val="21"/>
        </w:numPr>
        <w:spacing w:line="360" w:lineRule="auto"/>
        <w:ind w:left="0" w:firstLine="0"/>
        <w:jc w:val="both"/>
        <w:rPr>
          <w:rFonts w:ascii="Palatino Linotype" w:eastAsia="Palatino Linotype" w:hAnsi="Palatino Linotype" w:cs="Palatino Linotype"/>
          <w:b/>
          <w:color w:val="000000" w:themeColor="text1"/>
        </w:rPr>
      </w:pPr>
      <w:r w:rsidRPr="00940F87">
        <w:rPr>
          <w:rFonts w:ascii="Palatino Linotype" w:eastAsia="Palatino Linotype" w:hAnsi="Palatino Linotype" w:cs="Palatino Linotype"/>
          <w:b/>
          <w:color w:val="000000" w:themeColor="text1"/>
        </w:rPr>
        <w:lastRenderedPageBreak/>
        <w:t xml:space="preserve">Los contratos referidos en </w:t>
      </w:r>
      <w:r w:rsidR="00F826C3" w:rsidRPr="00940F87">
        <w:rPr>
          <w:rFonts w:ascii="Palatino Linotype" w:eastAsia="Palatino Linotype" w:hAnsi="Palatino Linotype" w:cs="Palatino Linotype"/>
          <w:b/>
          <w:color w:val="000000" w:themeColor="text1"/>
        </w:rPr>
        <w:t xml:space="preserve">la </w:t>
      </w:r>
      <w:r w:rsidRPr="00940F87">
        <w:rPr>
          <w:rFonts w:ascii="Palatino Linotype" w:eastAsia="Palatino Linotype" w:hAnsi="Palatino Linotype" w:cs="Palatino Linotype"/>
          <w:b/>
          <w:color w:val="000000" w:themeColor="text1"/>
        </w:rPr>
        <w:t xml:space="preserve">respuesta a la </w:t>
      </w:r>
      <w:r w:rsidRPr="00940F87">
        <w:rPr>
          <w:rFonts w:ascii="Palatino Linotype" w:hAnsi="Palatino Linotype"/>
          <w:b/>
          <w:bCs/>
          <w:color w:val="000000" w:themeColor="text1"/>
        </w:rPr>
        <w:t>Solicitud de Información</w:t>
      </w:r>
      <w:r w:rsidRPr="00940F87">
        <w:rPr>
          <w:rFonts w:ascii="Palatino Linotype" w:eastAsia="MS Mincho" w:hAnsi="Palatino Linotype" w:cs="Times New Roman"/>
          <w:b/>
          <w:color w:val="000000" w:themeColor="text1"/>
        </w:rPr>
        <w:t xml:space="preserve"> </w:t>
      </w:r>
      <w:r w:rsidRPr="00940F87">
        <w:rPr>
          <w:rFonts w:ascii="Palatino Linotype" w:eastAsia="Times New Roman" w:hAnsi="Palatino Linotype" w:cs="Arial"/>
          <w:b/>
          <w:color w:val="000000" w:themeColor="text1"/>
          <w:lang w:val="es-ES"/>
        </w:rPr>
        <w:t>01752/TOLUCA/IP/2025.</w:t>
      </w:r>
    </w:p>
    <w:p w:rsidR="00063A2F" w:rsidRPr="00940F87" w:rsidRDefault="00063A2F" w:rsidP="00940F8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063A2F" w:rsidRPr="00940F87" w:rsidRDefault="00063A2F" w:rsidP="00940F87">
      <w:pPr>
        <w:spacing w:line="360" w:lineRule="auto"/>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rsidR="00063A2F" w:rsidRPr="00940F87" w:rsidRDefault="00063A2F" w:rsidP="00940F8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063A2F" w:rsidRPr="00940F87" w:rsidRDefault="00063A2F" w:rsidP="00940F87">
      <w:pPr>
        <w:spacing w:line="360" w:lineRule="auto"/>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b/>
          <w:color w:val="000000" w:themeColor="text1"/>
        </w:rPr>
        <w:t xml:space="preserve">TERCERO. Notifíquese </w:t>
      </w:r>
      <w:r w:rsidRPr="00940F87">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940F87">
        <w:rPr>
          <w:rFonts w:ascii="Palatino Linotype" w:eastAsia="Palatino Linotype" w:hAnsi="Palatino Linotype" w:cs="Palatino Linotype"/>
          <w:b/>
          <w:color w:val="000000" w:themeColor="text1"/>
        </w:rPr>
        <w:t>dé cumplimiento a lo ordenado dentro del plazo de diez días hábiles,</w:t>
      </w:r>
      <w:r w:rsidRPr="00940F8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63A2F" w:rsidRPr="00940F87" w:rsidRDefault="00063A2F" w:rsidP="00940F87">
      <w:pPr>
        <w:spacing w:line="360" w:lineRule="auto"/>
        <w:jc w:val="both"/>
        <w:rPr>
          <w:rFonts w:ascii="Palatino Linotype" w:eastAsia="Palatino Linotype" w:hAnsi="Palatino Linotype" w:cs="Palatino Linotype"/>
          <w:color w:val="000000" w:themeColor="text1"/>
        </w:rPr>
      </w:pPr>
    </w:p>
    <w:p w:rsidR="00063A2F" w:rsidRPr="00940F87" w:rsidRDefault="00063A2F" w:rsidP="00940F87">
      <w:pPr>
        <w:spacing w:line="360" w:lineRule="auto"/>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b/>
          <w:color w:val="000000" w:themeColor="text1"/>
        </w:rPr>
        <w:t xml:space="preserve">CUARTO. </w:t>
      </w:r>
      <w:r w:rsidRPr="00940F8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940F87">
        <w:rPr>
          <w:rFonts w:ascii="Palatino Linotype" w:eastAsia="Palatino Linotype" w:hAnsi="Palatino Linotype" w:cs="Palatino Linotype"/>
          <w:b/>
          <w:color w:val="000000" w:themeColor="text1"/>
        </w:rPr>
        <w:t>SUJETO OBLIGADO</w:t>
      </w:r>
      <w:r w:rsidRPr="00940F8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063A2F" w:rsidRPr="00940F87" w:rsidRDefault="00063A2F" w:rsidP="00940F87">
      <w:pPr>
        <w:tabs>
          <w:tab w:val="left" w:pos="8080"/>
        </w:tabs>
        <w:spacing w:line="360" w:lineRule="auto"/>
        <w:jc w:val="both"/>
        <w:rPr>
          <w:rFonts w:ascii="Palatino Linotype" w:eastAsia="Palatino Linotype" w:hAnsi="Palatino Linotype" w:cs="Palatino Linotype"/>
          <w:color w:val="000000" w:themeColor="text1"/>
        </w:rPr>
      </w:pPr>
      <w:bookmarkStart w:id="8" w:name="_heading=h.lnxbz9" w:colFirst="0" w:colLast="0"/>
      <w:bookmarkEnd w:id="8"/>
      <w:r w:rsidRPr="00940F87">
        <w:rPr>
          <w:rFonts w:ascii="Palatino Linotype" w:eastAsia="Palatino Linotype" w:hAnsi="Palatino Linotype" w:cs="Palatino Linotype"/>
          <w:b/>
          <w:color w:val="000000" w:themeColor="text1"/>
        </w:rPr>
        <w:lastRenderedPageBreak/>
        <w:t xml:space="preserve">QUINTO. </w:t>
      </w:r>
      <w:r w:rsidRPr="00940F87">
        <w:rPr>
          <w:rFonts w:ascii="Palatino Linotype" w:eastAsia="Palatino Linotype" w:hAnsi="Palatino Linotype" w:cs="Palatino Linotype"/>
          <w:color w:val="000000" w:themeColor="text1"/>
        </w:rPr>
        <w:t xml:space="preserve">Notifíquese al </w:t>
      </w:r>
      <w:r w:rsidRPr="00940F87">
        <w:rPr>
          <w:rFonts w:ascii="Palatino Linotype" w:eastAsia="Palatino Linotype" w:hAnsi="Palatino Linotype" w:cs="Palatino Linotype"/>
          <w:b/>
          <w:color w:val="000000" w:themeColor="text1"/>
        </w:rPr>
        <w:t>RECURRENTE</w:t>
      </w:r>
      <w:r w:rsidRPr="00940F87">
        <w:rPr>
          <w:rFonts w:ascii="Palatino Linotype" w:eastAsia="Palatino Linotype" w:hAnsi="Palatino Linotype" w:cs="Palatino Linotype"/>
          <w:color w:val="000000" w:themeColor="text1"/>
        </w:rPr>
        <w:t xml:space="preserve"> la presente Resolución, vía </w:t>
      </w:r>
      <w:r w:rsidRPr="00940F87">
        <w:rPr>
          <w:rFonts w:ascii="Palatino Linotype" w:eastAsia="Palatino Linotype" w:hAnsi="Palatino Linotype" w:cs="Palatino Linotype"/>
          <w:b/>
          <w:color w:val="000000" w:themeColor="text1"/>
        </w:rPr>
        <w:t>SAIMEX</w:t>
      </w:r>
      <w:r w:rsidRPr="00940F87">
        <w:rPr>
          <w:rFonts w:ascii="Palatino Linotype" w:eastAsia="Palatino Linotype" w:hAnsi="Palatino Linotype" w:cs="Palatino Linotype"/>
          <w:color w:val="000000" w:themeColor="text1"/>
        </w:rPr>
        <w:t>.</w:t>
      </w:r>
    </w:p>
    <w:p w:rsidR="00063A2F" w:rsidRPr="00940F87" w:rsidRDefault="00063A2F" w:rsidP="00940F87">
      <w:pPr>
        <w:tabs>
          <w:tab w:val="left" w:pos="8080"/>
        </w:tabs>
        <w:spacing w:line="360" w:lineRule="auto"/>
        <w:jc w:val="both"/>
        <w:rPr>
          <w:rFonts w:ascii="Palatino Linotype" w:eastAsia="Palatino Linotype" w:hAnsi="Palatino Linotype" w:cs="Palatino Linotype"/>
          <w:color w:val="000000" w:themeColor="text1"/>
        </w:rPr>
      </w:pPr>
    </w:p>
    <w:p w:rsidR="00063A2F" w:rsidRPr="00940F87" w:rsidRDefault="00063A2F" w:rsidP="00940F87">
      <w:pPr>
        <w:shd w:val="clear" w:color="auto" w:fill="FFFFFF"/>
        <w:spacing w:line="360" w:lineRule="auto"/>
        <w:jc w:val="both"/>
        <w:rPr>
          <w:rFonts w:ascii="Palatino Linotype" w:eastAsia="Palatino Linotype" w:hAnsi="Palatino Linotype" w:cs="Palatino Linotype"/>
          <w:color w:val="000000" w:themeColor="text1"/>
        </w:rPr>
      </w:pPr>
      <w:r w:rsidRPr="00940F87">
        <w:rPr>
          <w:rFonts w:ascii="Palatino Linotype" w:eastAsia="Palatino Linotype" w:hAnsi="Palatino Linotype" w:cs="Palatino Linotype"/>
          <w:b/>
          <w:color w:val="000000" w:themeColor="text1"/>
        </w:rPr>
        <w:t xml:space="preserve">SEXTO. </w:t>
      </w:r>
      <w:r w:rsidRPr="00940F87">
        <w:rPr>
          <w:rFonts w:ascii="Palatino Linotype" w:eastAsia="Palatino Linotype" w:hAnsi="Palatino Linotype" w:cs="Palatino Linotype"/>
          <w:color w:val="000000" w:themeColor="text1"/>
        </w:rPr>
        <w:t>Se hace del conocimiento del</w:t>
      </w:r>
      <w:r w:rsidRPr="00940F87">
        <w:rPr>
          <w:rFonts w:ascii="Palatino Linotype" w:eastAsia="Palatino Linotype" w:hAnsi="Palatino Linotype" w:cs="Palatino Linotype"/>
          <w:b/>
          <w:color w:val="000000" w:themeColor="text1"/>
        </w:rPr>
        <w:t xml:space="preserve"> RECURRENTE </w:t>
      </w:r>
      <w:r w:rsidRPr="00940F87">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31311" w:rsidRDefault="00E31311" w:rsidP="00940F87">
      <w:pPr>
        <w:spacing w:line="360" w:lineRule="auto"/>
        <w:jc w:val="both"/>
        <w:rPr>
          <w:rFonts w:ascii="Palatino Linotype" w:eastAsia="Palatino Linotype" w:hAnsi="Palatino Linotype" w:cs="Palatino Linotype"/>
          <w:color w:val="000000" w:themeColor="text1"/>
        </w:rPr>
      </w:pPr>
    </w:p>
    <w:p w:rsidR="001D2DBB" w:rsidRPr="00444783" w:rsidRDefault="001D2DBB" w:rsidP="001D2DBB">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872D9E" w:rsidRPr="00444783" w:rsidRDefault="00872D9E" w:rsidP="00872D9E">
      <w:pPr>
        <w:tabs>
          <w:tab w:val="left" w:pos="5387"/>
        </w:tabs>
        <w:spacing w:line="360" w:lineRule="auto"/>
        <w:ind w:right="49"/>
        <w:jc w:val="both"/>
        <w:rPr>
          <w:rFonts w:ascii="Palatino Linotype" w:eastAsia="Palatino Linotype" w:hAnsi="Palatino Linotype" w:cs="Palatino Linotype"/>
        </w:rPr>
      </w:pPr>
    </w:p>
    <w:p w:rsidR="00E31311" w:rsidRPr="00940F87" w:rsidRDefault="00E31311" w:rsidP="00940F87">
      <w:pPr>
        <w:spacing w:line="360" w:lineRule="auto"/>
        <w:jc w:val="both"/>
        <w:rPr>
          <w:rFonts w:ascii="Palatino Linotype" w:eastAsia="Palatino Linotype" w:hAnsi="Palatino Linotype" w:cs="Palatino Linotype"/>
          <w:color w:val="000000" w:themeColor="text1"/>
        </w:rPr>
      </w:pPr>
    </w:p>
    <w:p w:rsidR="00E31311" w:rsidRPr="00940F87" w:rsidRDefault="00E31311" w:rsidP="00940F87">
      <w:pPr>
        <w:spacing w:line="360" w:lineRule="auto"/>
        <w:jc w:val="both"/>
        <w:rPr>
          <w:rFonts w:ascii="Palatino Linotype" w:eastAsia="Palatino Linotype" w:hAnsi="Palatino Linotype" w:cs="Palatino Linotype"/>
          <w:color w:val="000000" w:themeColor="text1"/>
        </w:rPr>
      </w:pPr>
    </w:p>
    <w:p w:rsidR="00E31311" w:rsidRPr="00940F87" w:rsidRDefault="00E31311" w:rsidP="00940F87">
      <w:pPr>
        <w:spacing w:line="360" w:lineRule="auto"/>
        <w:jc w:val="both"/>
        <w:rPr>
          <w:rFonts w:ascii="Palatino Linotype" w:eastAsia="Palatino Linotype" w:hAnsi="Palatino Linotype" w:cs="Palatino Linotype"/>
          <w:color w:val="000000" w:themeColor="text1"/>
        </w:rPr>
      </w:pPr>
    </w:p>
    <w:p w:rsidR="00E31311" w:rsidRPr="00940F87" w:rsidRDefault="00E31311" w:rsidP="00940F87">
      <w:pPr>
        <w:spacing w:line="360" w:lineRule="auto"/>
        <w:jc w:val="both"/>
        <w:rPr>
          <w:rFonts w:ascii="Palatino Linotype" w:eastAsia="Palatino Linotype" w:hAnsi="Palatino Linotype" w:cs="Palatino Linotype"/>
          <w:color w:val="000000" w:themeColor="text1"/>
        </w:rPr>
      </w:pPr>
    </w:p>
    <w:p w:rsidR="00E31311" w:rsidRPr="00940F87" w:rsidRDefault="00E31311" w:rsidP="00940F87">
      <w:pPr>
        <w:spacing w:line="360" w:lineRule="auto"/>
        <w:jc w:val="both"/>
        <w:rPr>
          <w:rFonts w:ascii="Palatino Linotype" w:eastAsia="Palatino Linotype" w:hAnsi="Palatino Linotype" w:cs="Palatino Linotype"/>
          <w:color w:val="000000" w:themeColor="text1"/>
        </w:rPr>
      </w:pPr>
    </w:p>
    <w:p w:rsidR="00E31311" w:rsidRDefault="00E31311"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Default="00625CA0" w:rsidP="00940F87">
      <w:pPr>
        <w:spacing w:line="360" w:lineRule="auto"/>
        <w:jc w:val="both"/>
        <w:rPr>
          <w:rFonts w:ascii="Palatino Linotype" w:eastAsia="Palatino Linotype" w:hAnsi="Palatino Linotype" w:cs="Palatino Linotype"/>
          <w:color w:val="000000" w:themeColor="text1"/>
        </w:rPr>
      </w:pPr>
    </w:p>
    <w:p w:rsidR="00625CA0" w:rsidRPr="00940F87" w:rsidRDefault="00625CA0" w:rsidP="00940F87">
      <w:pPr>
        <w:spacing w:line="360" w:lineRule="auto"/>
        <w:jc w:val="both"/>
        <w:rPr>
          <w:rFonts w:ascii="Palatino Linotype" w:eastAsia="Palatino Linotype" w:hAnsi="Palatino Linotype" w:cs="Palatino Linotype"/>
          <w:color w:val="000000" w:themeColor="text1"/>
        </w:rPr>
      </w:pPr>
    </w:p>
    <w:p w:rsidR="00E31311" w:rsidRPr="00940F87" w:rsidRDefault="00E31311" w:rsidP="00940F87">
      <w:pPr>
        <w:spacing w:line="360" w:lineRule="auto"/>
        <w:jc w:val="both"/>
        <w:rPr>
          <w:rFonts w:ascii="Palatino Linotype" w:eastAsia="Palatino Linotype" w:hAnsi="Palatino Linotype" w:cs="Palatino Linotype"/>
          <w:color w:val="000000" w:themeColor="text1"/>
        </w:rPr>
      </w:pPr>
    </w:p>
    <w:p w:rsidR="00E31311" w:rsidRPr="00940F87" w:rsidRDefault="00E31311" w:rsidP="00940F87">
      <w:pPr>
        <w:spacing w:line="360" w:lineRule="auto"/>
        <w:jc w:val="both"/>
        <w:rPr>
          <w:rFonts w:ascii="Palatino Linotype" w:eastAsia="Palatino Linotype" w:hAnsi="Palatino Linotype" w:cs="Palatino Linotype"/>
          <w:color w:val="000000" w:themeColor="text1"/>
        </w:rPr>
      </w:pPr>
    </w:p>
    <w:p w:rsidR="00E31311" w:rsidRPr="00940F87" w:rsidRDefault="00E31311" w:rsidP="00940F87">
      <w:pPr>
        <w:spacing w:line="360" w:lineRule="auto"/>
        <w:jc w:val="both"/>
        <w:rPr>
          <w:rFonts w:ascii="Palatino Linotype" w:eastAsia="Palatino Linotype" w:hAnsi="Palatino Linotype" w:cs="Palatino Linotype"/>
          <w:color w:val="000000" w:themeColor="text1"/>
        </w:rPr>
      </w:pPr>
    </w:p>
    <w:p w:rsidR="00E31311" w:rsidRPr="00940F87" w:rsidRDefault="00E31311" w:rsidP="00940F87">
      <w:pPr>
        <w:spacing w:line="360" w:lineRule="auto"/>
        <w:jc w:val="both"/>
        <w:rPr>
          <w:rFonts w:ascii="Palatino Linotype" w:eastAsia="Palatino Linotype" w:hAnsi="Palatino Linotype" w:cs="Palatino Linotype"/>
          <w:color w:val="000000" w:themeColor="text1"/>
        </w:rPr>
      </w:pPr>
    </w:p>
    <w:p w:rsidR="00E31311" w:rsidRPr="00940F87" w:rsidRDefault="00E31311" w:rsidP="00940F87">
      <w:pPr>
        <w:spacing w:line="360" w:lineRule="auto"/>
        <w:rPr>
          <w:rFonts w:ascii="Palatino Linotype" w:eastAsia="Palatino Linotype" w:hAnsi="Palatino Linotype" w:cs="Palatino Linotype"/>
          <w:color w:val="000000" w:themeColor="text1"/>
        </w:rPr>
      </w:pPr>
    </w:p>
    <w:p w:rsidR="00E31311" w:rsidRPr="00940F87" w:rsidRDefault="00E31311" w:rsidP="00940F87">
      <w:pPr>
        <w:spacing w:line="360" w:lineRule="auto"/>
        <w:rPr>
          <w:rFonts w:ascii="Palatino Linotype" w:eastAsia="Palatino Linotype" w:hAnsi="Palatino Linotype" w:cs="Palatino Linotype"/>
          <w:color w:val="000000" w:themeColor="text1"/>
        </w:rPr>
      </w:pPr>
    </w:p>
    <w:p w:rsidR="00E31311" w:rsidRPr="00940F87" w:rsidRDefault="00E31311" w:rsidP="00940F87">
      <w:pPr>
        <w:spacing w:line="360" w:lineRule="auto"/>
        <w:rPr>
          <w:rFonts w:ascii="Palatino Linotype" w:eastAsia="Palatino Linotype" w:hAnsi="Palatino Linotype" w:cs="Palatino Linotype"/>
          <w:color w:val="000000" w:themeColor="text1"/>
        </w:rPr>
      </w:pPr>
    </w:p>
    <w:sectPr w:rsidR="00E31311" w:rsidRPr="00940F87" w:rsidSect="00625CA0">
      <w:headerReference w:type="even" r:id="rId9"/>
      <w:headerReference w:type="default" r:id="rId10"/>
      <w:footerReference w:type="default" r:id="rId11"/>
      <w:headerReference w:type="first" r:id="rId12"/>
      <w:footerReference w:type="first" r:id="rId13"/>
      <w:pgSz w:w="12240" w:h="15840"/>
      <w:pgMar w:top="2268" w:right="900"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5E5" w:rsidRDefault="002115E5">
      <w:r>
        <w:separator/>
      </w:r>
    </w:p>
  </w:endnote>
  <w:endnote w:type="continuationSeparator" w:id="0">
    <w:p w:rsidR="002115E5" w:rsidRDefault="0021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B2E" w:rsidRDefault="00012B2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B0A3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B0A3E">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rsidR="00012B2E" w:rsidRDefault="00012B2E">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B2E" w:rsidRDefault="00012B2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B0A3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B0A3E">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rsidR="00012B2E" w:rsidRDefault="00012B2E">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5E5" w:rsidRDefault="002115E5">
      <w:r>
        <w:separator/>
      </w:r>
    </w:p>
  </w:footnote>
  <w:footnote w:type="continuationSeparator" w:id="0">
    <w:p w:rsidR="002115E5" w:rsidRDefault="002115E5">
      <w:r>
        <w:continuationSeparator/>
      </w:r>
    </w:p>
  </w:footnote>
  <w:footnote w:id="1">
    <w:p w:rsidR="00012B2E" w:rsidRDefault="00012B2E"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012B2E" w:rsidRDefault="00012B2E"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012B2E" w:rsidRDefault="00012B2E"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012B2E" w:rsidRDefault="00012B2E"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012B2E" w:rsidRDefault="00012B2E" w:rsidP="00955CFD">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012B2E" w:rsidRDefault="00012B2E"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012B2E" w:rsidRDefault="00012B2E" w:rsidP="00955CF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012B2E" w:rsidRDefault="00012B2E" w:rsidP="00955CF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B2E" w:rsidRDefault="002115E5">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402" w:type="dxa"/>
      <w:tblLayout w:type="fixed"/>
      <w:tblLook w:val="0400" w:firstRow="0" w:lastRow="0" w:firstColumn="0" w:lastColumn="0" w:noHBand="0" w:noVBand="1"/>
    </w:tblPr>
    <w:tblGrid>
      <w:gridCol w:w="2976"/>
      <w:gridCol w:w="3543"/>
    </w:tblGrid>
    <w:tr w:rsidR="00012B2E" w:rsidTr="00625CA0">
      <w:trPr>
        <w:trHeight w:val="227"/>
      </w:trPr>
      <w:tc>
        <w:tcPr>
          <w:tcW w:w="2976" w:type="dxa"/>
          <w:vAlign w:val="center"/>
        </w:tcPr>
        <w:p w:rsidR="00012B2E" w:rsidRPr="00940F87" w:rsidRDefault="00012B2E" w:rsidP="00940F87">
          <w:pPr>
            <w:ind w:right="34"/>
            <w:jc w:val="right"/>
            <w:rPr>
              <w:rFonts w:ascii="Palatino Linotype" w:eastAsia="Palatino Linotype" w:hAnsi="Palatino Linotype" w:cs="Palatino Linotype"/>
              <w:b/>
            </w:rPr>
          </w:pPr>
          <w:r w:rsidRPr="00940F87">
            <w:rPr>
              <w:rFonts w:ascii="Palatino Linotype" w:eastAsia="Palatino Linotype" w:hAnsi="Palatino Linotype" w:cs="Palatino Linotype"/>
              <w:b/>
            </w:rPr>
            <w:t>Recurso de Revisión:</w:t>
          </w:r>
        </w:p>
      </w:tc>
      <w:tc>
        <w:tcPr>
          <w:tcW w:w="3543" w:type="dxa"/>
          <w:vAlign w:val="center"/>
        </w:tcPr>
        <w:p w:rsidR="00012B2E" w:rsidRPr="00940F87" w:rsidRDefault="00012B2E" w:rsidP="00940F8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940F87">
            <w:rPr>
              <w:rFonts w:ascii="Palatino Linotype" w:eastAsia="Palatino Linotype" w:hAnsi="Palatino Linotype" w:cs="Palatino Linotype"/>
              <w:color w:val="000000"/>
            </w:rPr>
            <w:t>05388/INFOEM/IP/RR/2025</w:t>
          </w:r>
        </w:p>
      </w:tc>
    </w:tr>
    <w:tr w:rsidR="00012B2E" w:rsidTr="00625CA0">
      <w:trPr>
        <w:trHeight w:val="242"/>
      </w:trPr>
      <w:tc>
        <w:tcPr>
          <w:tcW w:w="2976" w:type="dxa"/>
          <w:vAlign w:val="center"/>
        </w:tcPr>
        <w:p w:rsidR="00012B2E" w:rsidRPr="00940F87" w:rsidRDefault="00012B2E" w:rsidP="00940F87">
          <w:pPr>
            <w:ind w:right="34"/>
            <w:jc w:val="right"/>
            <w:rPr>
              <w:rFonts w:ascii="Palatino Linotype" w:eastAsia="Palatino Linotype" w:hAnsi="Palatino Linotype" w:cs="Palatino Linotype"/>
              <w:b/>
            </w:rPr>
          </w:pPr>
          <w:r w:rsidRPr="00940F87">
            <w:rPr>
              <w:rFonts w:ascii="Palatino Linotype" w:eastAsia="Palatino Linotype" w:hAnsi="Palatino Linotype" w:cs="Palatino Linotype"/>
              <w:b/>
            </w:rPr>
            <w:t>Sujeto Obligado:</w:t>
          </w:r>
        </w:p>
      </w:tc>
      <w:tc>
        <w:tcPr>
          <w:tcW w:w="3543" w:type="dxa"/>
          <w:vAlign w:val="center"/>
        </w:tcPr>
        <w:p w:rsidR="00012B2E" w:rsidRPr="00940F87" w:rsidRDefault="00012B2E" w:rsidP="00940F87">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940F87">
            <w:rPr>
              <w:rFonts w:ascii="Palatino Linotype" w:eastAsia="Palatino Linotype" w:hAnsi="Palatino Linotype" w:cs="Palatino Linotype"/>
              <w:color w:val="000000"/>
            </w:rPr>
            <w:t>Ayuntamiento de Toluca</w:t>
          </w:r>
        </w:p>
      </w:tc>
    </w:tr>
    <w:tr w:rsidR="00012B2E" w:rsidTr="00625CA0">
      <w:trPr>
        <w:trHeight w:val="342"/>
      </w:trPr>
      <w:tc>
        <w:tcPr>
          <w:tcW w:w="2976" w:type="dxa"/>
          <w:vAlign w:val="center"/>
        </w:tcPr>
        <w:p w:rsidR="00012B2E" w:rsidRPr="00940F87" w:rsidRDefault="00012B2E" w:rsidP="00940F87">
          <w:pPr>
            <w:ind w:right="34"/>
            <w:jc w:val="right"/>
            <w:rPr>
              <w:rFonts w:ascii="Palatino Linotype" w:eastAsia="Palatino Linotype" w:hAnsi="Palatino Linotype" w:cs="Palatino Linotype"/>
              <w:b/>
            </w:rPr>
          </w:pPr>
          <w:r w:rsidRPr="00940F87">
            <w:rPr>
              <w:rFonts w:ascii="Palatino Linotype" w:eastAsia="Palatino Linotype" w:hAnsi="Palatino Linotype" w:cs="Palatino Linotype"/>
              <w:b/>
            </w:rPr>
            <w:t>Comisionada Ponente:</w:t>
          </w:r>
        </w:p>
      </w:tc>
      <w:tc>
        <w:tcPr>
          <w:tcW w:w="3543" w:type="dxa"/>
          <w:vAlign w:val="center"/>
        </w:tcPr>
        <w:p w:rsidR="00012B2E" w:rsidRPr="00940F87" w:rsidRDefault="00012B2E" w:rsidP="00940F8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40F87">
            <w:rPr>
              <w:rFonts w:ascii="Palatino Linotype" w:eastAsia="Palatino Linotype" w:hAnsi="Palatino Linotype" w:cs="Palatino Linotype"/>
              <w:color w:val="000000"/>
            </w:rPr>
            <w:t>María del Rosario Mejía Ayala</w:t>
          </w:r>
        </w:p>
      </w:tc>
    </w:tr>
  </w:tbl>
  <w:p w:rsidR="00012B2E" w:rsidRDefault="002115E5">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2.8pt;margin-top:-128.45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660" w:type="dxa"/>
      <w:tblInd w:w="3261" w:type="dxa"/>
      <w:tblLayout w:type="fixed"/>
      <w:tblLook w:val="0400" w:firstRow="0" w:lastRow="0" w:firstColumn="0" w:lastColumn="0" w:noHBand="0" w:noVBand="1"/>
    </w:tblPr>
    <w:tblGrid>
      <w:gridCol w:w="2977"/>
      <w:gridCol w:w="3683"/>
    </w:tblGrid>
    <w:tr w:rsidR="00012B2E" w:rsidTr="00625CA0">
      <w:trPr>
        <w:trHeight w:val="227"/>
      </w:trPr>
      <w:tc>
        <w:tcPr>
          <w:tcW w:w="2977" w:type="dxa"/>
          <w:vAlign w:val="center"/>
        </w:tcPr>
        <w:p w:rsidR="00012B2E" w:rsidRPr="00940F87" w:rsidRDefault="00012B2E" w:rsidP="00940F87">
          <w:pPr>
            <w:jc w:val="right"/>
            <w:rPr>
              <w:rFonts w:ascii="Palatino Linotype" w:eastAsia="Palatino Linotype" w:hAnsi="Palatino Linotype" w:cs="Palatino Linotype"/>
              <w:b/>
            </w:rPr>
          </w:pPr>
          <w:r w:rsidRPr="00940F87">
            <w:rPr>
              <w:rFonts w:ascii="Palatino Linotype" w:eastAsia="Palatino Linotype" w:hAnsi="Palatino Linotype" w:cs="Palatino Linotype"/>
              <w:b/>
            </w:rPr>
            <w:t>Recurso de Revisión:</w:t>
          </w:r>
        </w:p>
      </w:tc>
      <w:tc>
        <w:tcPr>
          <w:tcW w:w="3683" w:type="dxa"/>
          <w:vAlign w:val="center"/>
        </w:tcPr>
        <w:p w:rsidR="00012B2E" w:rsidRPr="00940F87" w:rsidRDefault="00012B2E" w:rsidP="00940F8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940F87">
            <w:rPr>
              <w:rFonts w:ascii="Palatino Linotype" w:eastAsia="Palatino Linotype" w:hAnsi="Palatino Linotype" w:cs="Palatino Linotype"/>
              <w:color w:val="000000"/>
            </w:rPr>
            <w:t>05388/INFOEM/IP/RR/2025</w:t>
          </w:r>
        </w:p>
      </w:tc>
    </w:tr>
    <w:tr w:rsidR="00012B2E" w:rsidTr="00625CA0">
      <w:trPr>
        <w:trHeight w:val="242"/>
      </w:trPr>
      <w:tc>
        <w:tcPr>
          <w:tcW w:w="2977" w:type="dxa"/>
          <w:vAlign w:val="center"/>
        </w:tcPr>
        <w:p w:rsidR="00012B2E" w:rsidRPr="00940F87" w:rsidRDefault="00012B2E" w:rsidP="00940F87">
          <w:pPr>
            <w:jc w:val="right"/>
            <w:rPr>
              <w:rFonts w:ascii="Palatino Linotype" w:eastAsia="Palatino Linotype" w:hAnsi="Palatino Linotype" w:cs="Palatino Linotype"/>
              <w:b/>
            </w:rPr>
          </w:pPr>
          <w:r w:rsidRPr="00940F87">
            <w:rPr>
              <w:rFonts w:ascii="Palatino Linotype" w:eastAsia="Palatino Linotype" w:hAnsi="Palatino Linotype" w:cs="Palatino Linotype"/>
              <w:b/>
            </w:rPr>
            <w:t>Recurrente:</w:t>
          </w:r>
        </w:p>
      </w:tc>
      <w:tc>
        <w:tcPr>
          <w:tcW w:w="3683" w:type="dxa"/>
        </w:tcPr>
        <w:p w:rsidR="00012B2E" w:rsidRPr="00940F87" w:rsidRDefault="00012B2E" w:rsidP="00940F8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012B2E" w:rsidTr="00625CA0">
      <w:trPr>
        <w:trHeight w:val="342"/>
      </w:trPr>
      <w:tc>
        <w:tcPr>
          <w:tcW w:w="2977" w:type="dxa"/>
          <w:vAlign w:val="center"/>
        </w:tcPr>
        <w:p w:rsidR="00012B2E" w:rsidRPr="00940F87" w:rsidRDefault="00012B2E" w:rsidP="00940F87">
          <w:pPr>
            <w:jc w:val="right"/>
            <w:rPr>
              <w:rFonts w:ascii="Palatino Linotype" w:eastAsia="Palatino Linotype" w:hAnsi="Palatino Linotype" w:cs="Palatino Linotype"/>
              <w:b/>
            </w:rPr>
          </w:pPr>
          <w:r w:rsidRPr="00940F87">
            <w:rPr>
              <w:rFonts w:ascii="Palatino Linotype" w:eastAsia="Palatino Linotype" w:hAnsi="Palatino Linotype" w:cs="Palatino Linotype"/>
              <w:b/>
            </w:rPr>
            <w:t>Sujeto Obligado:</w:t>
          </w:r>
        </w:p>
      </w:tc>
      <w:tc>
        <w:tcPr>
          <w:tcW w:w="3683" w:type="dxa"/>
          <w:vAlign w:val="center"/>
        </w:tcPr>
        <w:p w:rsidR="00012B2E" w:rsidRPr="00940F87" w:rsidRDefault="00012B2E" w:rsidP="00940F87">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940F87">
            <w:rPr>
              <w:rFonts w:ascii="Palatino Linotype" w:eastAsia="Palatino Linotype" w:hAnsi="Palatino Linotype" w:cs="Palatino Linotype"/>
              <w:color w:val="000000"/>
            </w:rPr>
            <w:t>Ayuntamiento de Toluca</w:t>
          </w:r>
        </w:p>
      </w:tc>
    </w:tr>
    <w:tr w:rsidR="00012B2E" w:rsidTr="00625CA0">
      <w:trPr>
        <w:trHeight w:val="342"/>
      </w:trPr>
      <w:tc>
        <w:tcPr>
          <w:tcW w:w="2977" w:type="dxa"/>
          <w:vAlign w:val="center"/>
        </w:tcPr>
        <w:p w:rsidR="00012B2E" w:rsidRPr="00940F87" w:rsidRDefault="00012B2E" w:rsidP="00940F87">
          <w:pPr>
            <w:jc w:val="right"/>
            <w:rPr>
              <w:rFonts w:ascii="Palatino Linotype" w:eastAsia="Palatino Linotype" w:hAnsi="Palatino Linotype" w:cs="Palatino Linotype"/>
              <w:b/>
            </w:rPr>
          </w:pPr>
          <w:r w:rsidRPr="00940F87">
            <w:rPr>
              <w:rFonts w:ascii="Palatino Linotype" w:eastAsia="Palatino Linotype" w:hAnsi="Palatino Linotype" w:cs="Palatino Linotype"/>
              <w:b/>
            </w:rPr>
            <w:t>Comisionada Ponente:</w:t>
          </w:r>
        </w:p>
      </w:tc>
      <w:tc>
        <w:tcPr>
          <w:tcW w:w="3683" w:type="dxa"/>
          <w:vAlign w:val="center"/>
        </w:tcPr>
        <w:p w:rsidR="00012B2E" w:rsidRPr="00940F87" w:rsidRDefault="00012B2E" w:rsidP="00940F8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40F87">
            <w:rPr>
              <w:rFonts w:ascii="Palatino Linotype" w:eastAsia="Palatino Linotype" w:hAnsi="Palatino Linotype" w:cs="Palatino Linotype"/>
              <w:color w:val="000000"/>
            </w:rPr>
            <w:t>María del Rosario Mejía Ayala</w:t>
          </w:r>
        </w:p>
      </w:tc>
    </w:tr>
  </w:tbl>
  <w:p w:rsidR="00012B2E" w:rsidRDefault="002115E5">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77.55pt;margin-top:-122.7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0CD24E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4"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7"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8"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7E8203E9"/>
    <w:multiLevelType w:val="hybridMultilevel"/>
    <w:tmpl w:val="803A9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5"/>
  </w:num>
  <w:num w:numId="4">
    <w:abstractNumId w:val="16"/>
  </w:num>
  <w:num w:numId="5">
    <w:abstractNumId w:val="1"/>
  </w:num>
  <w:num w:numId="6">
    <w:abstractNumId w:val="2"/>
  </w:num>
  <w:num w:numId="7">
    <w:abstractNumId w:val="19"/>
  </w:num>
  <w:num w:numId="8">
    <w:abstractNumId w:val="3"/>
  </w:num>
  <w:num w:numId="9">
    <w:abstractNumId w:val="7"/>
  </w:num>
  <w:num w:numId="10">
    <w:abstractNumId w:val="6"/>
  </w:num>
  <w:num w:numId="11">
    <w:abstractNumId w:val="11"/>
  </w:num>
  <w:num w:numId="12">
    <w:abstractNumId w:val="9"/>
  </w:num>
  <w:num w:numId="13">
    <w:abstractNumId w:val="14"/>
  </w:num>
  <w:num w:numId="14">
    <w:abstractNumId w:val="8"/>
  </w:num>
  <w:num w:numId="15">
    <w:abstractNumId w:val="10"/>
  </w:num>
  <w:num w:numId="16">
    <w:abstractNumId w:val="4"/>
  </w:num>
  <w:num w:numId="17">
    <w:abstractNumId w:val="15"/>
  </w:num>
  <w:num w:numId="18">
    <w:abstractNumId w:val="1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140B"/>
    <w:rsid w:val="00012B2E"/>
    <w:rsid w:val="00014868"/>
    <w:rsid w:val="00035F7A"/>
    <w:rsid w:val="00053058"/>
    <w:rsid w:val="00053794"/>
    <w:rsid w:val="00063A2F"/>
    <w:rsid w:val="0007156C"/>
    <w:rsid w:val="00094D85"/>
    <w:rsid w:val="000B1552"/>
    <w:rsid w:val="000B3D0E"/>
    <w:rsid w:val="000C29B1"/>
    <w:rsid w:val="0010095F"/>
    <w:rsid w:val="00110519"/>
    <w:rsid w:val="0012046A"/>
    <w:rsid w:val="00141693"/>
    <w:rsid w:val="00150225"/>
    <w:rsid w:val="00155228"/>
    <w:rsid w:val="001660E4"/>
    <w:rsid w:val="0017347A"/>
    <w:rsid w:val="001751BA"/>
    <w:rsid w:val="0018789B"/>
    <w:rsid w:val="001A1A31"/>
    <w:rsid w:val="001A5A2D"/>
    <w:rsid w:val="001A6C55"/>
    <w:rsid w:val="001B560B"/>
    <w:rsid w:val="001C2DE1"/>
    <w:rsid w:val="001C3493"/>
    <w:rsid w:val="001D2DBB"/>
    <w:rsid w:val="002008D5"/>
    <w:rsid w:val="002115E5"/>
    <w:rsid w:val="00225E9D"/>
    <w:rsid w:val="00236042"/>
    <w:rsid w:val="002527DC"/>
    <w:rsid w:val="00254C8D"/>
    <w:rsid w:val="00271F83"/>
    <w:rsid w:val="00293D4F"/>
    <w:rsid w:val="002A206D"/>
    <w:rsid w:val="002A2988"/>
    <w:rsid w:val="002E46FD"/>
    <w:rsid w:val="002F71A2"/>
    <w:rsid w:val="003142E9"/>
    <w:rsid w:val="003213C3"/>
    <w:rsid w:val="00345480"/>
    <w:rsid w:val="0034764D"/>
    <w:rsid w:val="003660CB"/>
    <w:rsid w:val="00370DEE"/>
    <w:rsid w:val="00376DC6"/>
    <w:rsid w:val="00383965"/>
    <w:rsid w:val="003A058D"/>
    <w:rsid w:val="003A1F29"/>
    <w:rsid w:val="003B3844"/>
    <w:rsid w:val="003B42C1"/>
    <w:rsid w:val="003F6645"/>
    <w:rsid w:val="00405DED"/>
    <w:rsid w:val="004067A2"/>
    <w:rsid w:val="004140A4"/>
    <w:rsid w:val="00423492"/>
    <w:rsid w:val="004455BD"/>
    <w:rsid w:val="004461EB"/>
    <w:rsid w:val="00452529"/>
    <w:rsid w:val="00480F1E"/>
    <w:rsid w:val="0049145A"/>
    <w:rsid w:val="00492E9C"/>
    <w:rsid w:val="004A55A4"/>
    <w:rsid w:val="004B3254"/>
    <w:rsid w:val="004E0E4F"/>
    <w:rsid w:val="00507E2E"/>
    <w:rsid w:val="00514616"/>
    <w:rsid w:val="00533334"/>
    <w:rsid w:val="005377E0"/>
    <w:rsid w:val="00540656"/>
    <w:rsid w:val="00547C4E"/>
    <w:rsid w:val="00552084"/>
    <w:rsid w:val="00563D25"/>
    <w:rsid w:val="00564F4B"/>
    <w:rsid w:val="005706CE"/>
    <w:rsid w:val="0059173B"/>
    <w:rsid w:val="0059798B"/>
    <w:rsid w:val="005B176B"/>
    <w:rsid w:val="005D1B66"/>
    <w:rsid w:val="005D3ED6"/>
    <w:rsid w:val="005E2747"/>
    <w:rsid w:val="005E7C16"/>
    <w:rsid w:val="006130D8"/>
    <w:rsid w:val="00625CA0"/>
    <w:rsid w:val="00677898"/>
    <w:rsid w:val="006820D0"/>
    <w:rsid w:val="006927F3"/>
    <w:rsid w:val="006A7088"/>
    <w:rsid w:val="006B1EE0"/>
    <w:rsid w:val="006C4BAA"/>
    <w:rsid w:val="006C5D09"/>
    <w:rsid w:val="006F426A"/>
    <w:rsid w:val="00720536"/>
    <w:rsid w:val="00725714"/>
    <w:rsid w:val="007504D1"/>
    <w:rsid w:val="00763717"/>
    <w:rsid w:val="00766ED5"/>
    <w:rsid w:val="00767598"/>
    <w:rsid w:val="00773A75"/>
    <w:rsid w:val="007821F9"/>
    <w:rsid w:val="00796E5A"/>
    <w:rsid w:val="007B2482"/>
    <w:rsid w:val="007C0C24"/>
    <w:rsid w:val="007C5E85"/>
    <w:rsid w:val="008526DE"/>
    <w:rsid w:val="00872D9E"/>
    <w:rsid w:val="008A7920"/>
    <w:rsid w:val="008B6385"/>
    <w:rsid w:val="008B645E"/>
    <w:rsid w:val="008C10CF"/>
    <w:rsid w:val="008D0878"/>
    <w:rsid w:val="008F4362"/>
    <w:rsid w:val="0090601E"/>
    <w:rsid w:val="00914AB9"/>
    <w:rsid w:val="00917F48"/>
    <w:rsid w:val="00934E2D"/>
    <w:rsid w:val="00940F87"/>
    <w:rsid w:val="00955CFD"/>
    <w:rsid w:val="00961B5F"/>
    <w:rsid w:val="00964856"/>
    <w:rsid w:val="009877EE"/>
    <w:rsid w:val="009C6D00"/>
    <w:rsid w:val="009D6A1C"/>
    <w:rsid w:val="009E2E18"/>
    <w:rsid w:val="009F25B7"/>
    <w:rsid w:val="009F32B0"/>
    <w:rsid w:val="00A00B7F"/>
    <w:rsid w:val="00A170D1"/>
    <w:rsid w:val="00A20B58"/>
    <w:rsid w:val="00A278EC"/>
    <w:rsid w:val="00A30B7E"/>
    <w:rsid w:val="00A441F1"/>
    <w:rsid w:val="00A73D35"/>
    <w:rsid w:val="00A80C86"/>
    <w:rsid w:val="00A85955"/>
    <w:rsid w:val="00A87FF1"/>
    <w:rsid w:val="00AC6305"/>
    <w:rsid w:val="00AC66DE"/>
    <w:rsid w:val="00AE1941"/>
    <w:rsid w:val="00B17889"/>
    <w:rsid w:val="00B20094"/>
    <w:rsid w:val="00B33882"/>
    <w:rsid w:val="00B8054A"/>
    <w:rsid w:val="00B81C16"/>
    <w:rsid w:val="00B8290A"/>
    <w:rsid w:val="00BA0D64"/>
    <w:rsid w:val="00BB0A3E"/>
    <w:rsid w:val="00BB66B2"/>
    <w:rsid w:val="00BB76B5"/>
    <w:rsid w:val="00BD011E"/>
    <w:rsid w:val="00C21B22"/>
    <w:rsid w:val="00C225B1"/>
    <w:rsid w:val="00C818D2"/>
    <w:rsid w:val="00CA4481"/>
    <w:rsid w:val="00CB204B"/>
    <w:rsid w:val="00CD2423"/>
    <w:rsid w:val="00D1478B"/>
    <w:rsid w:val="00D22B72"/>
    <w:rsid w:val="00D275EF"/>
    <w:rsid w:val="00D44622"/>
    <w:rsid w:val="00D5645A"/>
    <w:rsid w:val="00D61D82"/>
    <w:rsid w:val="00D746B0"/>
    <w:rsid w:val="00D9308A"/>
    <w:rsid w:val="00DC3FEC"/>
    <w:rsid w:val="00DF6E12"/>
    <w:rsid w:val="00DF6EAE"/>
    <w:rsid w:val="00E13957"/>
    <w:rsid w:val="00E31311"/>
    <w:rsid w:val="00E31D41"/>
    <w:rsid w:val="00E36B7B"/>
    <w:rsid w:val="00E37824"/>
    <w:rsid w:val="00E76B45"/>
    <w:rsid w:val="00E85BC6"/>
    <w:rsid w:val="00E938F5"/>
    <w:rsid w:val="00F17970"/>
    <w:rsid w:val="00F37149"/>
    <w:rsid w:val="00F40924"/>
    <w:rsid w:val="00F57977"/>
    <w:rsid w:val="00F70E27"/>
    <w:rsid w:val="00F826C3"/>
    <w:rsid w:val="00FB567C"/>
    <w:rsid w:val="00FC0B11"/>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locked/>
    <w:rsid w:val="00293D4F"/>
    <w:rPr>
      <w:rFonts w:asciiTheme="minorHAnsi" w:eastAsiaTheme="minorHAnsi" w:hAnsiTheme="minorHAnsi" w:cstheme="minorBidi"/>
      <w:sz w:val="22"/>
      <w:szCs w:val="22"/>
      <w:lang w:val="es-MX" w:eastAsia="en-US"/>
    </w:rPr>
  </w:style>
  <w:style w:type="paragraph" w:styleId="NormalWeb">
    <w:name w:val="Normal (Web)"/>
    <w:basedOn w:val="Normal"/>
    <w:uiPriority w:val="99"/>
    <w:unhideWhenUsed/>
    <w:rsid w:val="00012B2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B9B407-AB8E-4A41-9583-5C8320F1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7864</Words>
  <Characters>43252</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11</cp:revision>
  <cp:lastPrinted>2025-10-17T17:29:00Z</cp:lastPrinted>
  <dcterms:created xsi:type="dcterms:W3CDTF">2025-09-30T23:42:00Z</dcterms:created>
  <dcterms:modified xsi:type="dcterms:W3CDTF">2025-11-07T20:55:00Z</dcterms:modified>
</cp:coreProperties>
</file>