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1144E" w14:textId="77777777" w:rsidR="002E2A28" w:rsidRDefault="002E2A28">
      <w:pPr>
        <w:widowControl w:val="0"/>
        <w:pBdr>
          <w:top w:val="nil"/>
          <w:left w:val="nil"/>
          <w:bottom w:val="nil"/>
          <w:right w:val="nil"/>
          <w:between w:val="nil"/>
        </w:pBdr>
        <w:spacing w:after="0" w:line="276" w:lineRule="auto"/>
        <w:jc w:val="left"/>
      </w:pPr>
    </w:p>
    <w:p w14:paraId="62E4C4A8" w14:textId="77777777" w:rsidR="002E2A28" w:rsidRDefault="002E2A28">
      <w:pPr>
        <w:widowControl w:val="0"/>
        <w:pBdr>
          <w:top w:val="nil"/>
          <w:left w:val="nil"/>
          <w:bottom w:val="nil"/>
          <w:right w:val="nil"/>
          <w:between w:val="nil"/>
        </w:pBdr>
        <w:spacing w:after="0" w:line="360" w:lineRule="auto"/>
        <w:jc w:val="left"/>
        <w:rPr>
          <w:color w:val="FF0000"/>
        </w:rPr>
      </w:pPr>
    </w:p>
    <w:p w14:paraId="7D595671" w14:textId="77777777" w:rsidR="002E2A28" w:rsidRDefault="002E2A28">
      <w:pPr>
        <w:spacing w:after="0" w:line="360" w:lineRule="auto"/>
        <w:rPr>
          <w:color w:val="FF0000"/>
        </w:rPr>
      </w:pPr>
    </w:p>
    <w:p w14:paraId="67561F17" w14:textId="77777777" w:rsidR="002E2A28" w:rsidRDefault="002E2A28">
      <w:pPr>
        <w:spacing w:after="0" w:line="360" w:lineRule="auto"/>
        <w:rPr>
          <w:color w:val="FF0000"/>
        </w:rPr>
      </w:pPr>
    </w:p>
    <w:p w14:paraId="6DF3A0E0" w14:textId="77777777" w:rsidR="002E2A28" w:rsidRDefault="00FE1B49">
      <w:pPr>
        <w:keepNext/>
        <w:keepLines/>
        <w:pBdr>
          <w:top w:val="nil"/>
          <w:left w:val="nil"/>
          <w:bottom w:val="nil"/>
          <w:right w:val="nil"/>
          <w:between w:val="nil"/>
        </w:pBdr>
        <w:spacing w:after="0" w:line="360" w:lineRule="auto"/>
        <w:jc w:val="center"/>
      </w:pPr>
      <w:r>
        <w:t>RESOLUCIÓN DEL RECURSO DE REVISIÓN 08356/INFOEM/IP/RR/2025</w:t>
      </w:r>
    </w:p>
    <w:p w14:paraId="0413D389" w14:textId="692F17E7" w:rsidR="002E2A28" w:rsidRDefault="002E2A28">
      <w:pPr>
        <w:spacing w:after="0" w:line="360" w:lineRule="auto"/>
        <w:rPr>
          <w:color w:val="FF0000"/>
        </w:rPr>
      </w:pPr>
    </w:p>
    <w:sdt>
      <w:sdtPr>
        <w:rPr>
          <w:rFonts w:ascii="Times New Roman" w:eastAsia="Times New Roman" w:hAnsi="Times New Roman" w:cs="Times New Roman"/>
          <w:sz w:val="20"/>
          <w:szCs w:val="20"/>
          <w:lang w:val="es-ES" w:eastAsia="es-ES"/>
        </w:rPr>
        <w:id w:val="-1350334537"/>
        <w:docPartObj>
          <w:docPartGallery w:val="Table of Contents"/>
          <w:docPartUnique/>
        </w:docPartObj>
      </w:sdtPr>
      <w:sdtEndPr>
        <w:rPr>
          <w:b/>
          <w:bCs/>
        </w:rPr>
      </w:sdtEndPr>
      <w:sdtContent>
        <w:p w14:paraId="4EB4F779" w14:textId="77777777" w:rsidR="00711DCF" w:rsidRPr="00711DCF" w:rsidRDefault="00711DCF" w:rsidP="00711DCF">
          <w:pPr>
            <w:keepNext/>
            <w:keepLines/>
            <w:spacing w:before="240" w:after="0" w:line="259" w:lineRule="auto"/>
            <w:jc w:val="left"/>
            <w:rPr>
              <w:rFonts w:eastAsia="Times New Roman" w:cs="Times New Roman"/>
            </w:rPr>
          </w:pPr>
          <w:r w:rsidRPr="00711DCF">
            <w:rPr>
              <w:rFonts w:eastAsia="Times New Roman" w:cs="Times New Roman"/>
              <w:lang w:val="es-ES"/>
            </w:rPr>
            <w:t>Contenido</w:t>
          </w:r>
        </w:p>
        <w:p w14:paraId="46384E0F" w14:textId="77777777" w:rsidR="00711DCF" w:rsidRDefault="00711DCF">
          <w:pPr>
            <w:pStyle w:val="TDC1"/>
            <w:tabs>
              <w:tab w:val="right" w:leader="dot" w:pos="8921"/>
            </w:tabs>
            <w:rPr>
              <w:rFonts w:asciiTheme="minorHAnsi" w:eastAsiaTheme="minorEastAsia" w:hAnsiTheme="minorHAnsi" w:cstheme="minorBidi"/>
              <w:noProof/>
            </w:rPr>
          </w:pPr>
          <w:r w:rsidRPr="00711DCF">
            <w:rPr>
              <w:rFonts w:eastAsia="Times New Roman" w:cs="Times New Roman"/>
              <w:bCs/>
              <w:lang w:val="es-ES" w:eastAsia="es-ES"/>
            </w:rPr>
            <w:fldChar w:fldCharType="begin"/>
          </w:r>
          <w:r w:rsidRPr="00711DCF">
            <w:rPr>
              <w:rFonts w:eastAsia="Times New Roman" w:cs="Times New Roman"/>
              <w:bCs/>
              <w:lang w:val="es-ES" w:eastAsia="es-ES"/>
            </w:rPr>
            <w:instrText xml:space="preserve"> TOC \o "1-3" \h \z \u </w:instrText>
          </w:r>
          <w:r w:rsidRPr="00711DCF">
            <w:rPr>
              <w:rFonts w:eastAsia="Times New Roman" w:cs="Times New Roman"/>
              <w:bCs/>
              <w:lang w:val="es-ES" w:eastAsia="es-ES"/>
            </w:rPr>
            <w:fldChar w:fldCharType="separate"/>
          </w:r>
          <w:hyperlink w:anchor="_Toc210913869" w:history="1">
            <w:r w:rsidRPr="007E73A2">
              <w:rPr>
                <w:rStyle w:val="Hipervnculo"/>
                <w:noProof/>
              </w:rPr>
              <w:t>A N T E C E D E N T E S</w:t>
            </w:r>
            <w:r>
              <w:rPr>
                <w:noProof/>
                <w:webHidden/>
              </w:rPr>
              <w:tab/>
            </w:r>
            <w:r>
              <w:rPr>
                <w:noProof/>
                <w:webHidden/>
              </w:rPr>
              <w:fldChar w:fldCharType="begin"/>
            </w:r>
            <w:r>
              <w:rPr>
                <w:noProof/>
                <w:webHidden/>
              </w:rPr>
              <w:instrText xml:space="preserve"> PAGEREF _Toc210913869 \h </w:instrText>
            </w:r>
            <w:r>
              <w:rPr>
                <w:noProof/>
                <w:webHidden/>
              </w:rPr>
            </w:r>
            <w:r>
              <w:rPr>
                <w:noProof/>
                <w:webHidden/>
              </w:rPr>
              <w:fldChar w:fldCharType="separate"/>
            </w:r>
            <w:r w:rsidR="00F86C74">
              <w:rPr>
                <w:noProof/>
                <w:webHidden/>
              </w:rPr>
              <w:t>2</w:t>
            </w:r>
            <w:r>
              <w:rPr>
                <w:noProof/>
                <w:webHidden/>
              </w:rPr>
              <w:fldChar w:fldCharType="end"/>
            </w:r>
          </w:hyperlink>
        </w:p>
        <w:p w14:paraId="7917635F" w14:textId="77777777" w:rsidR="00711DCF" w:rsidRDefault="00000000">
          <w:pPr>
            <w:pStyle w:val="TDC2"/>
            <w:tabs>
              <w:tab w:val="right" w:leader="dot" w:pos="8921"/>
            </w:tabs>
            <w:rPr>
              <w:rFonts w:asciiTheme="minorHAnsi" w:eastAsiaTheme="minorEastAsia" w:hAnsiTheme="minorHAnsi" w:cstheme="minorBidi"/>
              <w:noProof/>
            </w:rPr>
          </w:pPr>
          <w:hyperlink w:anchor="_Toc210913870" w:history="1">
            <w:r w:rsidR="00711DCF" w:rsidRPr="007E73A2">
              <w:rPr>
                <w:rStyle w:val="Hipervnculo"/>
                <w:noProof/>
              </w:rPr>
              <w:t>I. Presentación de la solicitud de información</w:t>
            </w:r>
            <w:r w:rsidR="00711DCF">
              <w:rPr>
                <w:noProof/>
                <w:webHidden/>
              </w:rPr>
              <w:tab/>
            </w:r>
            <w:r w:rsidR="00711DCF">
              <w:rPr>
                <w:noProof/>
                <w:webHidden/>
              </w:rPr>
              <w:fldChar w:fldCharType="begin"/>
            </w:r>
            <w:r w:rsidR="00711DCF">
              <w:rPr>
                <w:noProof/>
                <w:webHidden/>
              </w:rPr>
              <w:instrText xml:space="preserve"> PAGEREF _Toc210913870 \h </w:instrText>
            </w:r>
            <w:r w:rsidR="00711DCF">
              <w:rPr>
                <w:noProof/>
                <w:webHidden/>
              </w:rPr>
            </w:r>
            <w:r w:rsidR="00711DCF">
              <w:rPr>
                <w:noProof/>
                <w:webHidden/>
              </w:rPr>
              <w:fldChar w:fldCharType="separate"/>
            </w:r>
            <w:r w:rsidR="00F86C74">
              <w:rPr>
                <w:noProof/>
                <w:webHidden/>
              </w:rPr>
              <w:t>2</w:t>
            </w:r>
            <w:r w:rsidR="00711DCF">
              <w:rPr>
                <w:noProof/>
                <w:webHidden/>
              </w:rPr>
              <w:fldChar w:fldCharType="end"/>
            </w:r>
          </w:hyperlink>
        </w:p>
        <w:p w14:paraId="114C301F" w14:textId="77777777" w:rsidR="00711DCF" w:rsidRDefault="00000000">
          <w:pPr>
            <w:pStyle w:val="TDC2"/>
            <w:tabs>
              <w:tab w:val="right" w:leader="dot" w:pos="8921"/>
            </w:tabs>
            <w:rPr>
              <w:rFonts w:asciiTheme="minorHAnsi" w:eastAsiaTheme="minorEastAsia" w:hAnsiTheme="minorHAnsi" w:cstheme="minorBidi"/>
              <w:noProof/>
            </w:rPr>
          </w:pPr>
          <w:hyperlink w:anchor="_Toc210913871" w:history="1">
            <w:r w:rsidR="00711DCF" w:rsidRPr="007E73A2">
              <w:rPr>
                <w:rStyle w:val="Hipervnculo"/>
                <w:noProof/>
              </w:rPr>
              <w:t>II. Respuesta del Sujeto Obligado</w:t>
            </w:r>
            <w:r w:rsidR="00711DCF">
              <w:rPr>
                <w:noProof/>
                <w:webHidden/>
              </w:rPr>
              <w:tab/>
            </w:r>
            <w:r w:rsidR="00711DCF">
              <w:rPr>
                <w:noProof/>
                <w:webHidden/>
              </w:rPr>
              <w:fldChar w:fldCharType="begin"/>
            </w:r>
            <w:r w:rsidR="00711DCF">
              <w:rPr>
                <w:noProof/>
                <w:webHidden/>
              </w:rPr>
              <w:instrText xml:space="preserve"> PAGEREF _Toc210913871 \h </w:instrText>
            </w:r>
            <w:r w:rsidR="00711DCF">
              <w:rPr>
                <w:noProof/>
                <w:webHidden/>
              </w:rPr>
            </w:r>
            <w:r w:rsidR="00711DCF">
              <w:rPr>
                <w:noProof/>
                <w:webHidden/>
              </w:rPr>
              <w:fldChar w:fldCharType="separate"/>
            </w:r>
            <w:r w:rsidR="00F86C74">
              <w:rPr>
                <w:noProof/>
                <w:webHidden/>
              </w:rPr>
              <w:t>2</w:t>
            </w:r>
            <w:r w:rsidR="00711DCF">
              <w:rPr>
                <w:noProof/>
                <w:webHidden/>
              </w:rPr>
              <w:fldChar w:fldCharType="end"/>
            </w:r>
          </w:hyperlink>
        </w:p>
        <w:p w14:paraId="32DECB70" w14:textId="77777777" w:rsidR="00711DCF" w:rsidRDefault="00000000">
          <w:pPr>
            <w:pStyle w:val="TDC2"/>
            <w:tabs>
              <w:tab w:val="right" w:leader="dot" w:pos="8921"/>
            </w:tabs>
            <w:rPr>
              <w:rFonts w:asciiTheme="minorHAnsi" w:eastAsiaTheme="minorEastAsia" w:hAnsiTheme="minorHAnsi" w:cstheme="minorBidi"/>
              <w:noProof/>
            </w:rPr>
          </w:pPr>
          <w:hyperlink w:anchor="_Toc210913872" w:history="1">
            <w:r w:rsidR="00711DCF" w:rsidRPr="007E73A2">
              <w:rPr>
                <w:rStyle w:val="Hipervnculo"/>
                <w:noProof/>
              </w:rPr>
              <w:t>III. Interposición del Recurso de Revisión</w:t>
            </w:r>
            <w:r w:rsidR="00711DCF">
              <w:rPr>
                <w:noProof/>
                <w:webHidden/>
              </w:rPr>
              <w:tab/>
            </w:r>
            <w:r w:rsidR="00711DCF">
              <w:rPr>
                <w:noProof/>
                <w:webHidden/>
              </w:rPr>
              <w:fldChar w:fldCharType="begin"/>
            </w:r>
            <w:r w:rsidR="00711DCF">
              <w:rPr>
                <w:noProof/>
                <w:webHidden/>
              </w:rPr>
              <w:instrText xml:space="preserve"> PAGEREF _Toc210913872 \h </w:instrText>
            </w:r>
            <w:r w:rsidR="00711DCF">
              <w:rPr>
                <w:noProof/>
                <w:webHidden/>
              </w:rPr>
            </w:r>
            <w:r w:rsidR="00711DCF">
              <w:rPr>
                <w:noProof/>
                <w:webHidden/>
              </w:rPr>
              <w:fldChar w:fldCharType="separate"/>
            </w:r>
            <w:r w:rsidR="00F86C74">
              <w:rPr>
                <w:noProof/>
                <w:webHidden/>
              </w:rPr>
              <w:t>3</w:t>
            </w:r>
            <w:r w:rsidR="00711DCF">
              <w:rPr>
                <w:noProof/>
                <w:webHidden/>
              </w:rPr>
              <w:fldChar w:fldCharType="end"/>
            </w:r>
          </w:hyperlink>
        </w:p>
        <w:p w14:paraId="282F47AE" w14:textId="77777777" w:rsidR="00711DCF" w:rsidRDefault="00000000">
          <w:pPr>
            <w:pStyle w:val="TDC2"/>
            <w:tabs>
              <w:tab w:val="right" w:leader="dot" w:pos="8921"/>
            </w:tabs>
            <w:rPr>
              <w:rFonts w:asciiTheme="minorHAnsi" w:eastAsiaTheme="minorEastAsia" w:hAnsiTheme="minorHAnsi" w:cstheme="minorBidi"/>
              <w:noProof/>
            </w:rPr>
          </w:pPr>
          <w:hyperlink w:anchor="_Toc210913873" w:history="1">
            <w:r w:rsidR="00711DCF" w:rsidRPr="007E73A2">
              <w:rPr>
                <w:rStyle w:val="Hipervnculo"/>
                <w:noProof/>
              </w:rPr>
              <w:t>V. Trámite del Recurso de Revisión ante este Instituto</w:t>
            </w:r>
            <w:r w:rsidR="00711DCF">
              <w:rPr>
                <w:noProof/>
                <w:webHidden/>
              </w:rPr>
              <w:tab/>
            </w:r>
            <w:r w:rsidR="00711DCF">
              <w:rPr>
                <w:noProof/>
                <w:webHidden/>
              </w:rPr>
              <w:fldChar w:fldCharType="begin"/>
            </w:r>
            <w:r w:rsidR="00711DCF">
              <w:rPr>
                <w:noProof/>
                <w:webHidden/>
              </w:rPr>
              <w:instrText xml:space="preserve"> PAGEREF _Toc210913873 \h </w:instrText>
            </w:r>
            <w:r w:rsidR="00711DCF">
              <w:rPr>
                <w:noProof/>
                <w:webHidden/>
              </w:rPr>
            </w:r>
            <w:r w:rsidR="00711DCF">
              <w:rPr>
                <w:noProof/>
                <w:webHidden/>
              </w:rPr>
              <w:fldChar w:fldCharType="separate"/>
            </w:r>
            <w:r w:rsidR="00F86C74">
              <w:rPr>
                <w:noProof/>
                <w:webHidden/>
              </w:rPr>
              <w:t>4</w:t>
            </w:r>
            <w:r w:rsidR="00711DCF">
              <w:rPr>
                <w:noProof/>
                <w:webHidden/>
              </w:rPr>
              <w:fldChar w:fldCharType="end"/>
            </w:r>
          </w:hyperlink>
        </w:p>
        <w:p w14:paraId="38DD9655" w14:textId="77777777" w:rsidR="00711DCF" w:rsidRDefault="00000000">
          <w:pPr>
            <w:pStyle w:val="TDC1"/>
            <w:tabs>
              <w:tab w:val="right" w:leader="dot" w:pos="8921"/>
            </w:tabs>
            <w:rPr>
              <w:rFonts w:asciiTheme="minorHAnsi" w:eastAsiaTheme="minorEastAsia" w:hAnsiTheme="minorHAnsi" w:cstheme="minorBidi"/>
              <w:noProof/>
            </w:rPr>
          </w:pPr>
          <w:hyperlink w:anchor="_Toc210913874" w:history="1">
            <w:r w:rsidR="00711DCF" w:rsidRPr="007E73A2">
              <w:rPr>
                <w:rStyle w:val="Hipervnculo"/>
                <w:noProof/>
              </w:rPr>
              <w:t>C O N S I D E R A N D O S</w:t>
            </w:r>
            <w:r w:rsidR="00711DCF">
              <w:rPr>
                <w:noProof/>
                <w:webHidden/>
              </w:rPr>
              <w:tab/>
            </w:r>
            <w:r w:rsidR="00711DCF">
              <w:rPr>
                <w:noProof/>
                <w:webHidden/>
              </w:rPr>
              <w:fldChar w:fldCharType="begin"/>
            </w:r>
            <w:r w:rsidR="00711DCF">
              <w:rPr>
                <w:noProof/>
                <w:webHidden/>
              </w:rPr>
              <w:instrText xml:space="preserve"> PAGEREF _Toc210913874 \h </w:instrText>
            </w:r>
            <w:r w:rsidR="00711DCF">
              <w:rPr>
                <w:noProof/>
                <w:webHidden/>
              </w:rPr>
            </w:r>
            <w:r w:rsidR="00711DCF">
              <w:rPr>
                <w:noProof/>
                <w:webHidden/>
              </w:rPr>
              <w:fldChar w:fldCharType="separate"/>
            </w:r>
            <w:r w:rsidR="00F86C74">
              <w:rPr>
                <w:noProof/>
                <w:webHidden/>
              </w:rPr>
              <w:t>6</w:t>
            </w:r>
            <w:r w:rsidR="00711DCF">
              <w:rPr>
                <w:noProof/>
                <w:webHidden/>
              </w:rPr>
              <w:fldChar w:fldCharType="end"/>
            </w:r>
          </w:hyperlink>
        </w:p>
        <w:p w14:paraId="27DD1698" w14:textId="77777777" w:rsidR="00711DCF" w:rsidRDefault="00000000">
          <w:pPr>
            <w:pStyle w:val="TDC2"/>
            <w:tabs>
              <w:tab w:val="right" w:leader="dot" w:pos="8921"/>
            </w:tabs>
            <w:rPr>
              <w:rFonts w:asciiTheme="minorHAnsi" w:eastAsiaTheme="minorEastAsia" w:hAnsiTheme="minorHAnsi" w:cstheme="minorBidi"/>
              <w:noProof/>
            </w:rPr>
          </w:pPr>
          <w:hyperlink w:anchor="_Toc210913875" w:history="1">
            <w:r w:rsidR="00711DCF" w:rsidRPr="007E73A2">
              <w:rPr>
                <w:rStyle w:val="Hipervnculo"/>
                <w:noProof/>
              </w:rPr>
              <w:t>PRIMERO. Competencia</w:t>
            </w:r>
            <w:r w:rsidR="00711DCF">
              <w:rPr>
                <w:noProof/>
                <w:webHidden/>
              </w:rPr>
              <w:tab/>
            </w:r>
            <w:r w:rsidR="00711DCF">
              <w:rPr>
                <w:noProof/>
                <w:webHidden/>
              </w:rPr>
              <w:fldChar w:fldCharType="begin"/>
            </w:r>
            <w:r w:rsidR="00711DCF">
              <w:rPr>
                <w:noProof/>
                <w:webHidden/>
              </w:rPr>
              <w:instrText xml:space="preserve"> PAGEREF _Toc210913875 \h </w:instrText>
            </w:r>
            <w:r w:rsidR="00711DCF">
              <w:rPr>
                <w:noProof/>
                <w:webHidden/>
              </w:rPr>
            </w:r>
            <w:r w:rsidR="00711DCF">
              <w:rPr>
                <w:noProof/>
                <w:webHidden/>
              </w:rPr>
              <w:fldChar w:fldCharType="separate"/>
            </w:r>
            <w:r w:rsidR="00F86C74">
              <w:rPr>
                <w:noProof/>
                <w:webHidden/>
              </w:rPr>
              <w:t>6</w:t>
            </w:r>
            <w:r w:rsidR="00711DCF">
              <w:rPr>
                <w:noProof/>
                <w:webHidden/>
              </w:rPr>
              <w:fldChar w:fldCharType="end"/>
            </w:r>
          </w:hyperlink>
        </w:p>
        <w:p w14:paraId="67B88548" w14:textId="77777777" w:rsidR="00711DCF" w:rsidRDefault="00000000">
          <w:pPr>
            <w:pStyle w:val="TDC2"/>
            <w:tabs>
              <w:tab w:val="right" w:leader="dot" w:pos="8921"/>
            </w:tabs>
            <w:rPr>
              <w:rFonts w:asciiTheme="minorHAnsi" w:eastAsiaTheme="minorEastAsia" w:hAnsiTheme="minorHAnsi" w:cstheme="minorBidi"/>
              <w:noProof/>
            </w:rPr>
          </w:pPr>
          <w:hyperlink w:anchor="_Toc210913876" w:history="1">
            <w:r w:rsidR="00711DCF" w:rsidRPr="007E73A2">
              <w:rPr>
                <w:rStyle w:val="Hipervnculo"/>
                <w:noProof/>
              </w:rPr>
              <w:t>SEGUNDO. Causales de improcedencia y sobreseimiento</w:t>
            </w:r>
            <w:r w:rsidR="00711DCF">
              <w:rPr>
                <w:noProof/>
                <w:webHidden/>
              </w:rPr>
              <w:tab/>
            </w:r>
            <w:r w:rsidR="00711DCF">
              <w:rPr>
                <w:noProof/>
                <w:webHidden/>
              </w:rPr>
              <w:fldChar w:fldCharType="begin"/>
            </w:r>
            <w:r w:rsidR="00711DCF">
              <w:rPr>
                <w:noProof/>
                <w:webHidden/>
              </w:rPr>
              <w:instrText xml:space="preserve"> PAGEREF _Toc210913876 \h </w:instrText>
            </w:r>
            <w:r w:rsidR="00711DCF">
              <w:rPr>
                <w:noProof/>
                <w:webHidden/>
              </w:rPr>
            </w:r>
            <w:r w:rsidR="00711DCF">
              <w:rPr>
                <w:noProof/>
                <w:webHidden/>
              </w:rPr>
              <w:fldChar w:fldCharType="separate"/>
            </w:r>
            <w:r w:rsidR="00F86C74">
              <w:rPr>
                <w:noProof/>
                <w:webHidden/>
              </w:rPr>
              <w:t>7</w:t>
            </w:r>
            <w:r w:rsidR="00711DCF">
              <w:rPr>
                <w:noProof/>
                <w:webHidden/>
              </w:rPr>
              <w:fldChar w:fldCharType="end"/>
            </w:r>
          </w:hyperlink>
        </w:p>
        <w:p w14:paraId="2CDE009C" w14:textId="77777777" w:rsidR="00711DCF" w:rsidRDefault="00000000">
          <w:pPr>
            <w:pStyle w:val="TDC2"/>
            <w:tabs>
              <w:tab w:val="right" w:leader="dot" w:pos="8921"/>
            </w:tabs>
            <w:rPr>
              <w:rFonts w:asciiTheme="minorHAnsi" w:eastAsiaTheme="minorEastAsia" w:hAnsiTheme="minorHAnsi" w:cstheme="minorBidi"/>
              <w:noProof/>
            </w:rPr>
          </w:pPr>
          <w:hyperlink w:anchor="_Toc210913877" w:history="1">
            <w:r w:rsidR="00711DCF" w:rsidRPr="007E73A2">
              <w:rPr>
                <w:rStyle w:val="Hipervnculo"/>
                <w:noProof/>
              </w:rPr>
              <w:t>TERCERO. Determinación de la Controversia</w:t>
            </w:r>
            <w:r w:rsidR="00711DCF">
              <w:rPr>
                <w:noProof/>
                <w:webHidden/>
              </w:rPr>
              <w:tab/>
            </w:r>
            <w:r w:rsidR="00711DCF">
              <w:rPr>
                <w:noProof/>
                <w:webHidden/>
              </w:rPr>
              <w:fldChar w:fldCharType="begin"/>
            </w:r>
            <w:r w:rsidR="00711DCF">
              <w:rPr>
                <w:noProof/>
                <w:webHidden/>
              </w:rPr>
              <w:instrText xml:space="preserve"> PAGEREF _Toc210913877 \h </w:instrText>
            </w:r>
            <w:r w:rsidR="00711DCF">
              <w:rPr>
                <w:noProof/>
                <w:webHidden/>
              </w:rPr>
            </w:r>
            <w:r w:rsidR="00711DCF">
              <w:rPr>
                <w:noProof/>
                <w:webHidden/>
              </w:rPr>
              <w:fldChar w:fldCharType="separate"/>
            </w:r>
            <w:r w:rsidR="00F86C74">
              <w:rPr>
                <w:noProof/>
                <w:webHidden/>
              </w:rPr>
              <w:t>8</w:t>
            </w:r>
            <w:r w:rsidR="00711DCF">
              <w:rPr>
                <w:noProof/>
                <w:webHidden/>
              </w:rPr>
              <w:fldChar w:fldCharType="end"/>
            </w:r>
          </w:hyperlink>
        </w:p>
        <w:p w14:paraId="5BCA3843" w14:textId="77777777" w:rsidR="00711DCF" w:rsidRDefault="00000000">
          <w:pPr>
            <w:pStyle w:val="TDC2"/>
            <w:tabs>
              <w:tab w:val="right" w:leader="dot" w:pos="8921"/>
            </w:tabs>
            <w:rPr>
              <w:rFonts w:asciiTheme="minorHAnsi" w:eastAsiaTheme="minorEastAsia" w:hAnsiTheme="minorHAnsi" w:cstheme="minorBidi"/>
              <w:noProof/>
            </w:rPr>
          </w:pPr>
          <w:hyperlink w:anchor="_Toc210913878" w:history="1">
            <w:r w:rsidR="00711DCF" w:rsidRPr="007E73A2">
              <w:rPr>
                <w:rStyle w:val="Hipervnculo"/>
                <w:noProof/>
              </w:rPr>
              <w:t>CUARTO. Marco normativo aplicable en materia de transparencia y acceso a la información pública</w:t>
            </w:r>
            <w:r w:rsidR="00711DCF">
              <w:rPr>
                <w:noProof/>
                <w:webHidden/>
              </w:rPr>
              <w:tab/>
            </w:r>
            <w:r w:rsidR="00711DCF">
              <w:rPr>
                <w:noProof/>
                <w:webHidden/>
              </w:rPr>
              <w:fldChar w:fldCharType="begin"/>
            </w:r>
            <w:r w:rsidR="00711DCF">
              <w:rPr>
                <w:noProof/>
                <w:webHidden/>
              </w:rPr>
              <w:instrText xml:space="preserve"> PAGEREF _Toc210913878 \h </w:instrText>
            </w:r>
            <w:r w:rsidR="00711DCF">
              <w:rPr>
                <w:noProof/>
                <w:webHidden/>
              </w:rPr>
            </w:r>
            <w:r w:rsidR="00711DCF">
              <w:rPr>
                <w:noProof/>
                <w:webHidden/>
              </w:rPr>
              <w:fldChar w:fldCharType="separate"/>
            </w:r>
            <w:r w:rsidR="00F86C74">
              <w:rPr>
                <w:noProof/>
                <w:webHidden/>
              </w:rPr>
              <w:t>10</w:t>
            </w:r>
            <w:r w:rsidR="00711DCF">
              <w:rPr>
                <w:noProof/>
                <w:webHidden/>
              </w:rPr>
              <w:fldChar w:fldCharType="end"/>
            </w:r>
          </w:hyperlink>
        </w:p>
        <w:p w14:paraId="77DD4923" w14:textId="77777777" w:rsidR="00711DCF" w:rsidRDefault="00000000">
          <w:pPr>
            <w:pStyle w:val="TDC2"/>
            <w:tabs>
              <w:tab w:val="right" w:leader="dot" w:pos="8921"/>
            </w:tabs>
            <w:rPr>
              <w:rFonts w:asciiTheme="minorHAnsi" w:eastAsiaTheme="minorEastAsia" w:hAnsiTheme="minorHAnsi" w:cstheme="minorBidi"/>
              <w:noProof/>
            </w:rPr>
          </w:pPr>
          <w:hyperlink w:anchor="_Toc210913879" w:history="1">
            <w:r w:rsidR="00711DCF" w:rsidRPr="007E73A2">
              <w:rPr>
                <w:rStyle w:val="Hipervnculo"/>
                <w:noProof/>
              </w:rPr>
              <w:t>QUINTO. Estudio de Fondo</w:t>
            </w:r>
            <w:r w:rsidR="00711DCF">
              <w:rPr>
                <w:noProof/>
                <w:webHidden/>
              </w:rPr>
              <w:tab/>
            </w:r>
            <w:r w:rsidR="00711DCF">
              <w:rPr>
                <w:noProof/>
                <w:webHidden/>
              </w:rPr>
              <w:fldChar w:fldCharType="begin"/>
            </w:r>
            <w:r w:rsidR="00711DCF">
              <w:rPr>
                <w:noProof/>
                <w:webHidden/>
              </w:rPr>
              <w:instrText xml:space="preserve"> PAGEREF _Toc210913879 \h </w:instrText>
            </w:r>
            <w:r w:rsidR="00711DCF">
              <w:rPr>
                <w:noProof/>
                <w:webHidden/>
              </w:rPr>
            </w:r>
            <w:r w:rsidR="00711DCF">
              <w:rPr>
                <w:noProof/>
                <w:webHidden/>
              </w:rPr>
              <w:fldChar w:fldCharType="separate"/>
            </w:r>
            <w:r w:rsidR="00F86C74">
              <w:rPr>
                <w:noProof/>
                <w:webHidden/>
              </w:rPr>
              <w:t>11</w:t>
            </w:r>
            <w:r w:rsidR="00711DCF">
              <w:rPr>
                <w:noProof/>
                <w:webHidden/>
              </w:rPr>
              <w:fldChar w:fldCharType="end"/>
            </w:r>
          </w:hyperlink>
        </w:p>
        <w:p w14:paraId="7F4BCC02" w14:textId="77777777" w:rsidR="00711DCF" w:rsidRDefault="00000000">
          <w:pPr>
            <w:pStyle w:val="TDC2"/>
            <w:tabs>
              <w:tab w:val="right" w:leader="dot" w:pos="8921"/>
            </w:tabs>
            <w:rPr>
              <w:rFonts w:asciiTheme="minorHAnsi" w:eastAsiaTheme="minorEastAsia" w:hAnsiTheme="minorHAnsi" w:cstheme="minorBidi"/>
              <w:noProof/>
            </w:rPr>
          </w:pPr>
          <w:hyperlink w:anchor="_Toc210913880" w:history="1">
            <w:r w:rsidR="00711DCF" w:rsidRPr="007E73A2">
              <w:rPr>
                <w:rStyle w:val="Hipervnculo"/>
                <w:noProof/>
              </w:rPr>
              <w:t>SEXTO. Decisión</w:t>
            </w:r>
            <w:r w:rsidR="00711DCF">
              <w:rPr>
                <w:noProof/>
                <w:webHidden/>
              </w:rPr>
              <w:tab/>
            </w:r>
            <w:r w:rsidR="00711DCF">
              <w:rPr>
                <w:noProof/>
                <w:webHidden/>
              </w:rPr>
              <w:fldChar w:fldCharType="begin"/>
            </w:r>
            <w:r w:rsidR="00711DCF">
              <w:rPr>
                <w:noProof/>
                <w:webHidden/>
              </w:rPr>
              <w:instrText xml:space="preserve"> PAGEREF _Toc210913880 \h </w:instrText>
            </w:r>
            <w:r w:rsidR="00711DCF">
              <w:rPr>
                <w:noProof/>
                <w:webHidden/>
              </w:rPr>
            </w:r>
            <w:r w:rsidR="00711DCF">
              <w:rPr>
                <w:noProof/>
                <w:webHidden/>
              </w:rPr>
              <w:fldChar w:fldCharType="separate"/>
            </w:r>
            <w:r w:rsidR="00F86C74">
              <w:rPr>
                <w:noProof/>
                <w:webHidden/>
              </w:rPr>
              <w:t>32</w:t>
            </w:r>
            <w:r w:rsidR="00711DCF">
              <w:rPr>
                <w:noProof/>
                <w:webHidden/>
              </w:rPr>
              <w:fldChar w:fldCharType="end"/>
            </w:r>
          </w:hyperlink>
        </w:p>
        <w:p w14:paraId="19DE5227" w14:textId="77777777" w:rsidR="00711DCF" w:rsidRDefault="00000000">
          <w:pPr>
            <w:pStyle w:val="TDC1"/>
            <w:tabs>
              <w:tab w:val="right" w:leader="dot" w:pos="8921"/>
            </w:tabs>
            <w:rPr>
              <w:rFonts w:asciiTheme="minorHAnsi" w:eastAsiaTheme="minorEastAsia" w:hAnsiTheme="minorHAnsi" w:cstheme="minorBidi"/>
              <w:noProof/>
            </w:rPr>
          </w:pPr>
          <w:hyperlink w:anchor="_Toc210913881" w:history="1">
            <w:r w:rsidR="00711DCF" w:rsidRPr="007E73A2">
              <w:rPr>
                <w:rStyle w:val="Hipervnculo"/>
                <w:noProof/>
              </w:rPr>
              <w:t>R E S U E L V E</w:t>
            </w:r>
            <w:r w:rsidR="00711DCF">
              <w:rPr>
                <w:noProof/>
                <w:webHidden/>
              </w:rPr>
              <w:tab/>
            </w:r>
            <w:r w:rsidR="00711DCF">
              <w:rPr>
                <w:noProof/>
                <w:webHidden/>
              </w:rPr>
              <w:fldChar w:fldCharType="begin"/>
            </w:r>
            <w:r w:rsidR="00711DCF">
              <w:rPr>
                <w:noProof/>
                <w:webHidden/>
              </w:rPr>
              <w:instrText xml:space="preserve"> PAGEREF _Toc210913881 \h </w:instrText>
            </w:r>
            <w:r w:rsidR="00711DCF">
              <w:rPr>
                <w:noProof/>
                <w:webHidden/>
              </w:rPr>
            </w:r>
            <w:r w:rsidR="00711DCF">
              <w:rPr>
                <w:noProof/>
                <w:webHidden/>
              </w:rPr>
              <w:fldChar w:fldCharType="separate"/>
            </w:r>
            <w:r w:rsidR="00F86C74">
              <w:rPr>
                <w:noProof/>
                <w:webHidden/>
              </w:rPr>
              <w:t>32</w:t>
            </w:r>
            <w:r w:rsidR="00711DCF">
              <w:rPr>
                <w:noProof/>
                <w:webHidden/>
              </w:rPr>
              <w:fldChar w:fldCharType="end"/>
            </w:r>
          </w:hyperlink>
        </w:p>
        <w:p w14:paraId="2D2CB2BB" w14:textId="77777777" w:rsidR="00711DCF" w:rsidRPr="00711DCF" w:rsidRDefault="00711DCF" w:rsidP="00711DCF">
          <w:pPr>
            <w:spacing w:after="0" w:line="240" w:lineRule="auto"/>
            <w:jc w:val="left"/>
            <w:rPr>
              <w:rFonts w:ascii="Times New Roman" w:eastAsia="Times New Roman" w:hAnsi="Times New Roman" w:cs="Times New Roman"/>
              <w:b/>
              <w:bCs/>
              <w:sz w:val="20"/>
              <w:szCs w:val="20"/>
              <w:lang w:val="es-ES" w:eastAsia="es-ES"/>
            </w:rPr>
          </w:pPr>
          <w:r w:rsidRPr="00711DCF">
            <w:rPr>
              <w:rFonts w:eastAsia="Times New Roman" w:cs="Times New Roman"/>
              <w:bCs/>
              <w:lang w:val="es-ES" w:eastAsia="es-ES"/>
            </w:rPr>
            <w:fldChar w:fldCharType="end"/>
          </w:r>
        </w:p>
      </w:sdtContent>
    </w:sdt>
    <w:p w14:paraId="07A6DC1B" w14:textId="77777777" w:rsidR="002E2A28" w:rsidRDefault="002E2A28">
      <w:pPr>
        <w:tabs>
          <w:tab w:val="left" w:pos="8931"/>
        </w:tabs>
        <w:spacing w:after="0" w:line="360" w:lineRule="auto"/>
        <w:rPr>
          <w:color w:val="FF0000"/>
        </w:rPr>
      </w:pPr>
    </w:p>
    <w:p w14:paraId="2756A72A" w14:textId="77777777" w:rsidR="002E2A28" w:rsidRDefault="002E2A28">
      <w:pPr>
        <w:tabs>
          <w:tab w:val="left" w:pos="8931"/>
        </w:tabs>
        <w:spacing w:after="0" w:line="360" w:lineRule="auto"/>
        <w:rPr>
          <w:color w:val="FF0000"/>
        </w:rPr>
      </w:pPr>
    </w:p>
    <w:p w14:paraId="4257C84E" w14:textId="77777777" w:rsidR="002E2A28" w:rsidRDefault="002E2A28">
      <w:pPr>
        <w:tabs>
          <w:tab w:val="left" w:pos="8931"/>
        </w:tabs>
        <w:spacing w:after="0" w:line="360" w:lineRule="auto"/>
        <w:rPr>
          <w:color w:val="FF0000"/>
        </w:rPr>
      </w:pPr>
      <w:bookmarkStart w:id="0" w:name="_heading=h.883x933g4qbo" w:colFirst="0" w:colLast="0"/>
      <w:bookmarkEnd w:id="0"/>
    </w:p>
    <w:p w14:paraId="3CAC2E34" w14:textId="77777777" w:rsidR="002E2A28" w:rsidRDefault="002E2A28">
      <w:pPr>
        <w:tabs>
          <w:tab w:val="left" w:pos="8931"/>
        </w:tabs>
        <w:spacing w:after="0" w:line="360" w:lineRule="auto"/>
        <w:rPr>
          <w:color w:val="FF0000"/>
        </w:rPr>
      </w:pPr>
      <w:bookmarkStart w:id="1" w:name="_heading=h.cbwrhhb5cndm" w:colFirst="0" w:colLast="0"/>
      <w:bookmarkEnd w:id="1"/>
    </w:p>
    <w:p w14:paraId="347560E0" w14:textId="77777777" w:rsidR="002E2A28" w:rsidRDefault="002E2A28">
      <w:pPr>
        <w:tabs>
          <w:tab w:val="left" w:pos="8931"/>
        </w:tabs>
        <w:spacing w:after="0" w:line="360" w:lineRule="auto"/>
        <w:rPr>
          <w:color w:val="FF0000"/>
        </w:rPr>
      </w:pPr>
    </w:p>
    <w:p w14:paraId="16123F01" w14:textId="77777777" w:rsidR="002E2A28" w:rsidRDefault="002E2A28">
      <w:pPr>
        <w:tabs>
          <w:tab w:val="left" w:pos="8931"/>
        </w:tabs>
        <w:spacing w:after="0" w:line="360" w:lineRule="auto"/>
        <w:rPr>
          <w:color w:val="FF0000"/>
        </w:rPr>
      </w:pPr>
    </w:p>
    <w:p w14:paraId="5507C3BB" w14:textId="77777777" w:rsidR="002E2A28" w:rsidRDefault="002E2A28">
      <w:pPr>
        <w:tabs>
          <w:tab w:val="left" w:pos="8931"/>
        </w:tabs>
        <w:spacing w:after="0" w:line="360" w:lineRule="auto"/>
        <w:rPr>
          <w:color w:val="FF0000"/>
        </w:rPr>
      </w:pPr>
    </w:p>
    <w:p w14:paraId="25ECC9E2" w14:textId="77777777" w:rsidR="002E2A28" w:rsidRDefault="00FE1B49">
      <w:pPr>
        <w:tabs>
          <w:tab w:val="left" w:pos="8931"/>
        </w:tabs>
        <w:spacing w:after="0" w:line="360" w:lineRule="auto"/>
      </w:pPr>
      <w:r>
        <w:lastRenderedPageBreak/>
        <w:t>Resolución del Pleno del Instituto de Transparencia, Acceso a la Información Pública y Protección de Datos Personales del Estado de México y Municipios, con domicilio en Metepec, Estado de México, de fecha ocho de octubre de dos mil veinticinco.</w:t>
      </w:r>
    </w:p>
    <w:p w14:paraId="08099AA1" w14:textId="77777777" w:rsidR="002E2A28" w:rsidRDefault="002E2A28">
      <w:pPr>
        <w:spacing w:after="0" w:line="360" w:lineRule="auto"/>
        <w:rPr>
          <w:b/>
          <w:color w:val="FF0000"/>
        </w:rPr>
      </w:pPr>
    </w:p>
    <w:p w14:paraId="737DB673" w14:textId="77777777" w:rsidR="002E2A28" w:rsidRDefault="00FE1B49">
      <w:pPr>
        <w:spacing w:after="0" w:line="360" w:lineRule="auto"/>
      </w:pPr>
      <w:r>
        <w:rPr>
          <w:b/>
        </w:rPr>
        <w:t xml:space="preserve">VISTO </w:t>
      </w:r>
      <w:r>
        <w:t xml:space="preserve">el expediente electrónico conformado con motivo del Recurso de Revisión </w:t>
      </w:r>
      <w:r w:rsidRPr="00D128DD">
        <w:rPr>
          <w:b/>
        </w:rPr>
        <w:t>08356/INFOEM/IP/RR/2025</w:t>
      </w:r>
      <w:r>
        <w:t xml:space="preserve">, interpuesto en lo sucesivo la persona Recurrente o Particular, en contra de la respuesta del Sujeto Obligado, </w:t>
      </w:r>
      <w:r w:rsidRPr="00D128DD">
        <w:rPr>
          <w:b/>
        </w:rPr>
        <w:t xml:space="preserve">Ayuntamiento de </w:t>
      </w:r>
      <w:proofErr w:type="spellStart"/>
      <w:r w:rsidRPr="00D128DD">
        <w:rPr>
          <w:b/>
        </w:rPr>
        <w:t>Tonanitla</w:t>
      </w:r>
      <w:proofErr w:type="spellEnd"/>
      <w:r>
        <w:t>, a la solicitud de acceso a la información pública 08356/INFOEM/IP/RR/2025, se emite la presente Resolución, con base en los Antecedentes y Considerandos que se exponen a continuación:</w:t>
      </w:r>
    </w:p>
    <w:p w14:paraId="38CD612C" w14:textId="77777777" w:rsidR="002E2A28" w:rsidRDefault="002E2A28">
      <w:pPr>
        <w:spacing w:after="0" w:line="360" w:lineRule="auto"/>
        <w:rPr>
          <w:b/>
        </w:rPr>
      </w:pPr>
    </w:p>
    <w:p w14:paraId="3A15B784" w14:textId="77777777" w:rsidR="002E2A28" w:rsidRDefault="00FE1B49">
      <w:pPr>
        <w:pStyle w:val="Ttulo1"/>
        <w:spacing w:before="0" w:after="0" w:line="360" w:lineRule="auto"/>
        <w:jc w:val="center"/>
        <w:rPr>
          <w:sz w:val="22"/>
          <w:szCs w:val="22"/>
        </w:rPr>
      </w:pPr>
      <w:bookmarkStart w:id="2" w:name="_heading=h.tnlu0c83wjce" w:colFirst="0" w:colLast="0"/>
      <w:bookmarkStart w:id="3" w:name="_Toc210913869"/>
      <w:bookmarkEnd w:id="2"/>
      <w:r>
        <w:rPr>
          <w:sz w:val="22"/>
          <w:szCs w:val="22"/>
        </w:rPr>
        <w:t>A N T E C E D E N T E S</w:t>
      </w:r>
      <w:bookmarkEnd w:id="3"/>
    </w:p>
    <w:p w14:paraId="6E2E1752" w14:textId="77777777" w:rsidR="002E2A28" w:rsidRDefault="002E2A28">
      <w:pPr>
        <w:spacing w:after="0" w:line="360" w:lineRule="auto"/>
        <w:jc w:val="center"/>
        <w:rPr>
          <w:b/>
          <w:color w:val="FF0000"/>
        </w:rPr>
      </w:pPr>
    </w:p>
    <w:p w14:paraId="794192DB" w14:textId="77777777" w:rsidR="002E2A28" w:rsidRDefault="00FE1B49">
      <w:pPr>
        <w:pStyle w:val="Ttulo2"/>
        <w:spacing w:before="0" w:after="0" w:line="360" w:lineRule="auto"/>
        <w:rPr>
          <w:sz w:val="22"/>
          <w:szCs w:val="22"/>
        </w:rPr>
      </w:pPr>
      <w:bookmarkStart w:id="4" w:name="_heading=h.qpedcd9qe1nb" w:colFirst="0" w:colLast="0"/>
      <w:bookmarkStart w:id="5" w:name="_Toc210913870"/>
      <w:bookmarkEnd w:id="4"/>
      <w:r>
        <w:rPr>
          <w:sz w:val="22"/>
          <w:szCs w:val="22"/>
        </w:rPr>
        <w:t>I. Presentación de la solicitud de información</w:t>
      </w:r>
      <w:bookmarkEnd w:id="5"/>
    </w:p>
    <w:p w14:paraId="63ABD551" w14:textId="77777777" w:rsidR="002E2A28" w:rsidRDefault="002E2A28">
      <w:pPr>
        <w:tabs>
          <w:tab w:val="left" w:pos="567"/>
        </w:tabs>
        <w:spacing w:after="0" w:line="360" w:lineRule="auto"/>
        <w:rPr>
          <w:color w:val="FF0000"/>
        </w:rPr>
      </w:pPr>
    </w:p>
    <w:p w14:paraId="522364B5" w14:textId="77777777" w:rsidR="002E2A28" w:rsidRDefault="00FE1B49">
      <w:pPr>
        <w:spacing w:after="0" w:line="360" w:lineRule="auto"/>
      </w:pPr>
      <w:r>
        <w:t xml:space="preserve">El nueve de junio de dos mil veinticinco, el Particular presentó una solicitud de acceso a la información pública, a través del Sistema de Acceso a la Información Mexiquense (SAIMEX), ante el Ayuntamiento de </w:t>
      </w:r>
      <w:proofErr w:type="spellStart"/>
      <w:r>
        <w:t>Tonanitla</w:t>
      </w:r>
      <w:proofErr w:type="spellEnd"/>
      <w:r>
        <w:t xml:space="preserve">, en los siguientes términos: </w:t>
      </w:r>
    </w:p>
    <w:p w14:paraId="32DB5D41" w14:textId="77777777" w:rsidR="002E2A28" w:rsidRDefault="002E2A28">
      <w:pPr>
        <w:spacing w:after="0" w:line="360" w:lineRule="auto"/>
        <w:rPr>
          <w:color w:val="FF0000"/>
        </w:rPr>
      </w:pPr>
    </w:p>
    <w:p w14:paraId="249556DD" w14:textId="77777777" w:rsidR="002E2A28" w:rsidRDefault="00FE1B49">
      <w:pPr>
        <w:tabs>
          <w:tab w:val="left" w:pos="4667"/>
        </w:tabs>
        <w:spacing w:after="0" w:line="360" w:lineRule="auto"/>
        <w:ind w:left="567" w:right="567"/>
        <w:rPr>
          <w:b/>
          <w:i/>
          <w:sz w:val="20"/>
          <w:szCs w:val="20"/>
        </w:rPr>
      </w:pPr>
      <w:r>
        <w:rPr>
          <w:b/>
          <w:i/>
          <w:sz w:val="20"/>
          <w:szCs w:val="20"/>
        </w:rPr>
        <w:t>“DESCRIPCIÓN CLARA Y PRECISA DE LA INFORMACIÓN SOLICITADA</w:t>
      </w:r>
    </w:p>
    <w:p w14:paraId="1032245F" w14:textId="77777777" w:rsidR="002E2A28" w:rsidRDefault="00FE1B49">
      <w:pPr>
        <w:tabs>
          <w:tab w:val="left" w:pos="4667"/>
        </w:tabs>
        <w:spacing w:after="0" w:line="360" w:lineRule="auto"/>
        <w:ind w:left="567" w:right="567"/>
        <w:rPr>
          <w:i/>
          <w:sz w:val="20"/>
          <w:szCs w:val="20"/>
        </w:rPr>
      </w:pPr>
      <w:r>
        <w:rPr>
          <w:i/>
          <w:sz w:val="20"/>
          <w:szCs w:val="20"/>
        </w:rPr>
        <w:t xml:space="preserve">Requiero la </w:t>
      </w:r>
      <w:proofErr w:type="spellStart"/>
      <w:r>
        <w:rPr>
          <w:i/>
          <w:sz w:val="20"/>
          <w:szCs w:val="20"/>
        </w:rPr>
        <w:t>nomina</w:t>
      </w:r>
      <w:proofErr w:type="spellEnd"/>
      <w:r>
        <w:rPr>
          <w:i/>
          <w:sz w:val="20"/>
          <w:szCs w:val="20"/>
        </w:rPr>
        <w:t xml:space="preserve"> completa de la administración vigente, también de policías y protección civil“(Sic.)</w:t>
      </w:r>
    </w:p>
    <w:p w14:paraId="6EA9F9F2" w14:textId="77777777" w:rsidR="002E2A28" w:rsidRDefault="002E2A28">
      <w:pPr>
        <w:tabs>
          <w:tab w:val="left" w:pos="4667"/>
        </w:tabs>
        <w:spacing w:after="0" w:line="360" w:lineRule="auto"/>
        <w:ind w:left="567" w:right="567"/>
        <w:rPr>
          <w:i/>
          <w:sz w:val="20"/>
          <w:szCs w:val="20"/>
        </w:rPr>
      </w:pPr>
    </w:p>
    <w:p w14:paraId="09E6A3EA" w14:textId="77777777" w:rsidR="002E2A28" w:rsidRDefault="00FE1B49">
      <w:pPr>
        <w:tabs>
          <w:tab w:val="left" w:pos="4667"/>
        </w:tabs>
        <w:spacing w:after="0" w:line="360" w:lineRule="auto"/>
        <w:ind w:left="567" w:right="567"/>
        <w:rPr>
          <w:b/>
          <w:i/>
          <w:sz w:val="20"/>
          <w:szCs w:val="20"/>
        </w:rPr>
      </w:pPr>
      <w:r>
        <w:rPr>
          <w:b/>
          <w:i/>
          <w:sz w:val="20"/>
          <w:szCs w:val="20"/>
        </w:rPr>
        <w:t>“MODALIDAD DE ENTREGA</w:t>
      </w:r>
    </w:p>
    <w:p w14:paraId="702B0A2B" w14:textId="77777777" w:rsidR="002E2A28" w:rsidRDefault="00FE1B49">
      <w:pPr>
        <w:spacing w:after="0" w:line="360" w:lineRule="auto"/>
        <w:ind w:left="567" w:right="567"/>
        <w:rPr>
          <w:i/>
          <w:sz w:val="20"/>
          <w:szCs w:val="20"/>
        </w:rPr>
      </w:pPr>
      <w:r>
        <w:rPr>
          <w:i/>
          <w:sz w:val="20"/>
          <w:szCs w:val="20"/>
        </w:rPr>
        <w:t>A través del SAIMEX”</w:t>
      </w:r>
    </w:p>
    <w:p w14:paraId="3E31FC5F" w14:textId="77777777" w:rsidR="002E2A28" w:rsidRDefault="002E2A28">
      <w:pPr>
        <w:spacing w:after="0" w:line="360" w:lineRule="auto"/>
        <w:ind w:right="567"/>
        <w:rPr>
          <w:i/>
          <w:color w:val="FF0000"/>
          <w:sz w:val="20"/>
          <w:szCs w:val="20"/>
        </w:rPr>
      </w:pPr>
    </w:p>
    <w:p w14:paraId="39242C82" w14:textId="77777777" w:rsidR="002E2A28" w:rsidRDefault="00FE1B49">
      <w:pPr>
        <w:pStyle w:val="Ttulo2"/>
        <w:spacing w:before="0" w:after="0" w:line="360" w:lineRule="auto"/>
        <w:rPr>
          <w:sz w:val="22"/>
          <w:szCs w:val="22"/>
        </w:rPr>
      </w:pPr>
      <w:bookmarkStart w:id="6" w:name="_heading=h.9il06whisr8x" w:colFirst="0" w:colLast="0"/>
      <w:bookmarkStart w:id="7" w:name="_Toc210913871"/>
      <w:bookmarkEnd w:id="6"/>
      <w:r>
        <w:rPr>
          <w:sz w:val="22"/>
          <w:szCs w:val="22"/>
        </w:rPr>
        <w:t>II. Respuesta del Sujeto Obligado</w:t>
      </w:r>
      <w:bookmarkEnd w:id="7"/>
    </w:p>
    <w:p w14:paraId="3BCC3B0A" w14:textId="77777777" w:rsidR="002E2A28" w:rsidRDefault="002E2A28">
      <w:pPr>
        <w:spacing w:after="0" w:line="360" w:lineRule="auto"/>
        <w:rPr>
          <w:b/>
        </w:rPr>
      </w:pPr>
    </w:p>
    <w:p w14:paraId="2501B0DF" w14:textId="77777777" w:rsidR="002E2A28" w:rsidRDefault="00FE1B49">
      <w:pPr>
        <w:spacing w:after="0" w:line="360" w:lineRule="auto"/>
      </w:pPr>
      <w:r>
        <w:lastRenderedPageBreak/>
        <w:t>El treinta de junio de dos mil veinticinco, el Sujeto Obligado notificó, a través del Sistema de Acceso a la Información Mexiquense (SAIMEX), la respuesta a la solicitud de acceso a la información pública, en los siguientes términos:</w:t>
      </w:r>
    </w:p>
    <w:p w14:paraId="4CEB245E" w14:textId="77777777" w:rsidR="002E2A28" w:rsidRDefault="002E2A28">
      <w:pPr>
        <w:spacing w:after="0" w:line="360" w:lineRule="auto"/>
        <w:ind w:right="567"/>
        <w:rPr>
          <w:color w:val="FF0000"/>
        </w:rPr>
      </w:pPr>
    </w:p>
    <w:p w14:paraId="73DEFD51" w14:textId="77777777" w:rsidR="002E2A28" w:rsidRDefault="00FE1B49">
      <w:pPr>
        <w:spacing w:after="0" w:line="360" w:lineRule="auto"/>
      </w:pPr>
      <w:r>
        <w:t>i. Oficio TM/TON/263/2025 del veintiocho de junio de dos mil veinticinco, suscrito por el Tesorero Municipal, dirigido a la Directora de la Unidad de Transparencia y Acceso a la Información Pública , por medio del cual se menciona lo siguiente:</w:t>
      </w:r>
    </w:p>
    <w:p w14:paraId="4CA8FE17" w14:textId="77777777" w:rsidR="002E2A28" w:rsidRDefault="002E2A28">
      <w:pPr>
        <w:spacing w:after="0" w:line="360" w:lineRule="auto"/>
        <w:ind w:left="360" w:right="567"/>
        <w:rPr>
          <w:i/>
          <w:color w:val="FF0000"/>
          <w:sz w:val="20"/>
          <w:szCs w:val="20"/>
        </w:rPr>
      </w:pPr>
    </w:p>
    <w:p w14:paraId="0A28A754" w14:textId="77777777" w:rsidR="002E2A28" w:rsidRDefault="00FE1B49">
      <w:pPr>
        <w:spacing w:after="0" w:line="360" w:lineRule="auto"/>
        <w:ind w:left="360" w:right="567"/>
        <w:rPr>
          <w:i/>
          <w:sz w:val="20"/>
          <w:szCs w:val="20"/>
        </w:rPr>
      </w:pPr>
      <w:r>
        <w:rPr>
          <w:i/>
        </w:rPr>
        <w:t>"…</w:t>
      </w:r>
      <w:r>
        <w:rPr>
          <w:i/>
          <w:sz w:val="20"/>
          <w:szCs w:val="20"/>
        </w:rPr>
        <w:t xml:space="preserve"> Para dar contestación a la solicitud se adjunta la información solicitada anexo 1.</w:t>
      </w:r>
    </w:p>
    <w:p w14:paraId="54A7F55D" w14:textId="77777777" w:rsidR="002E2A28" w:rsidRDefault="002E2A28">
      <w:pPr>
        <w:spacing w:after="0" w:line="360" w:lineRule="auto"/>
        <w:ind w:left="360" w:right="567"/>
        <w:rPr>
          <w:i/>
          <w:sz w:val="20"/>
          <w:szCs w:val="20"/>
        </w:rPr>
      </w:pPr>
    </w:p>
    <w:p w14:paraId="4A7CE54C" w14:textId="77777777" w:rsidR="002E2A28" w:rsidRDefault="00FE1B49">
      <w:pPr>
        <w:spacing w:after="0" w:line="360" w:lineRule="auto"/>
        <w:ind w:left="360" w:right="567"/>
        <w:rPr>
          <w:i/>
          <w:sz w:val="20"/>
          <w:szCs w:val="20"/>
        </w:rPr>
      </w:pPr>
      <w:r>
        <w:rPr>
          <w:i/>
          <w:sz w:val="20"/>
          <w:szCs w:val="20"/>
        </w:rPr>
        <w:t xml:space="preserve">Cabe mencionar que la nómina de Seguridad Publica (policías) es reservada en base a la LEY DE TRANSPARENCIA Y ACCESO A LA INFORMACION PUBLICA DEL ESTADO DE MEXICO Y MUNICIPIOS </w:t>
      </w:r>
      <w:proofErr w:type="spellStart"/>
      <w:r>
        <w:rPr>
          <w:i/>
          <w:sz w:val="20"/>
          <w:szCs w:val="20"/>
        </w:rPr>
        <w:t>articulo</w:t>
      </w:r>
      <w:proofErr w:type="spellEnd"/>
      <w:r>
        <w:rPr>
          <w:i/>
          <w:sz w:val="20"/>
          <w:szCs w:val="20"/>
        </w:rPr>
        <w:t xml:space="preserve"> 140 fracción I y IV, 143 fracción I, LEY GENERAL DEL SISTEMA NACIONAL DE SEGURIDAD PUBLICA artículo 110 y LEY GENERAL DE TRANSPARENCIA A LA INFORMACIÓN PUBLICA artículo 112 fracción I y XVII…” (Sic)</w:t>
      </w:r>
    </w:p>
    <w:p w14:paraId="34757FC2" w14:textId="77777777" w:rsidR="002E2A28" w:rsidRDefault="002E2A28">
      <w:pPr>
        <w:spacing w:after="0" w:line="360" w:lineRule="auto"/>
        <w:ind w:left="360" w:right="567"/>
        <w:rPr>
          <w:i/>
          <w:color w:val="FF0000"/>
          <w:sz w:val="20"/>
          <w:szCs w:val="20"/>
        </w:rPr>
      </w:pPr>
    </w:p>
    <w:p w14:paraId="1AB30594" w14:textId="77777777" w:rsidR="002E2A28" w:rsidRDefault="00FE1B49">
      <w:pPr>
        <w:spacing w:after="0" w:line="360" w:lineRule="auto"/>
      </w:pPr>
      <w:r>
        <w:t xml:space="preserve">ii.  Una relación con el sueldo bruto y neto de quinientos cinco servidores públicos adscritos al Ayuntamiento de </w:t>
      </w:r>
      <w:proofErr w:type="spellStart"/>
      <w:r>
        <w:t>Tonanitla</w:t>
      </w:r>
      <w:proofErr w:type="spellEnd"/>
      <w:r>
        <w:t>.</w:t>
      </w:r>
    </w:p>
    <w:p w14:paraId="60E9B8E9" w14:textId="77777777" w:rsidR="002E2A28" w:rsidRDefault="002E2A28">
      <w:pPr>
        <w:pBdr>
          <w:top w:val="nil"/>
          <w:left w:val="nil"/>
          <w:bottom w:val="nil"/>
          <w:right w:val="nil"/>
          <w:between w:val="nil"/>
        </w:pBdr>
        <w:spacing w:after="0" w:line="360" w:lineRule="auto"/>
        <w:ind w:left="567" w:right="567"/>
        <w:rPr>
          <w:i/>
          <w:color w:val="FF0000"/>
          <w:sz w:val="20"/>
          <w:szCs w:val="20"/>
        </w:rPr>
      </w:pPr>
    </w:p>
    <w:p w14:paraId="01679AB0" w14:textId="77777777" w:rsidR="002E2A28" w:rsidRDefault="00FE1B49">
      <w:pPr>
        <w:pStyle w:val="Ttulo2"/>
        <w:spacing w:before="0" w:after="0" w:line="360" w:lineRule="auto"/>
        <w:rPr>
          <w:sz w:val="22"/>
          <w:szCs w:val="22"/>
        </w:rPr>
      </w:pPr>
      <w:bookmarkStart w:id="8" w:name="_heading=h.3dusdmz69yxm" w:colFirst="0" w:colLast="0"/>
      <w:bookmarkStart w:id="9" w:name="_Toc210913872"/>
      <w:bookmarkEnd w:id="8"/>
      <w:r>
        <w:rPr>
          <w:sz w:val="22"/>
          <w:szCs w:val="22"/>
        </w:rPr>
        <w:t>III. Interposición del Recurso de Revisión</w:t>
      </w:r>
      <w:bookmarkEnd w:id="9"/>
    </w:p>
    <w:p w14:paraId="7EA615D2" w14:textId="77777777" w:rsidR="002E2A28" w:rsidRDefault="002E2A28">
      <w:pPr>
        <w:spacing w:after="0" w:line="360" w:lineRule="auto"/>
        <w:rPr>
          <w:b/>
          <w:color w:val="FF0000"/>
        </w:rPr>
      </w:pPr>
    </w:p>
    <w:p w14:paraId="44A008DC" w14:textId="77777777" w:rsidR="002E2A28" w:rsidRDefault="00FE1B49">
      <w:pPr>
        <w:spacing w:after="0" w:line="360" w:lineRule="auto"/>
      </w:pPr>
      <w:r>
        <w:t>El nueve de julio de dos mil veinticinco, se recibió en este Instituto, a través del Sistema de Acceso a la Información Mexiquense (SAIMEX), el Recurso de Revisión interpuesto por la persona Recurrente, en contra de la respuesta por el Sujeto Obligado, a la solicitud de información, en los siguientes términos:</w:t>
      </w:r>
    </w:p>
    <w:p w14:paraId="4A80B0C5" w14:textId="77777777" w:rsidR="002E2A28" w:rsidRDefault="002E2A28">
      <w:pPr>
        <w:spacing w:after="0" w:line="360" w:lineRule="auto"/>
        <w:ind w:right="567"/>
        <w:rPr>
          <w:b/>
          <w:i/>
          <w:color w:val="FF0000"/>
          <w:sz w:val="20"/>
          <w:szCs w:val="20"/>
        </w:rPr>
      </w:pPr>
    </w:p>
    <w:p w14:paraId="460A4F08" w14:textId="77777777" w:rsidR="002E2A28" w:rsidRDefault="00FE1B49">
      <w:pPr>
        <w:spacing w:after="0" w:line="360" w:lineRule="auto"/>
        <w:ind w:left="567" w:right="567"/>
        <w:rPr>
          <w:i/>
          <w:sz w:val="20"/>
          <w:szCs w:val="20"/>
        </w:rPr>
      </w:pPr>
      <w:r>
        <w:rPr>
          <w:b/>
          <w:i/>
          <w:sz w:val="20"/>
          <w:szCs w:val="20"/>
        </w:rPr>
        <w:t>‘’ACTO IMPUGNADO</w:t>
      </w:r>
    </w:p>
    <w:p w14:paraId="1486BB1A" w14:textId="77777777" w:rsidR="002E2A28" w:rsidRDefault="00FE1B49">
      <w:pPr>
        <w:spacing w:after="0" w:line="360" w:lineRule="auto"/>
        <w:ind w:left="567" w:right="567"/>
        <w:rPr>
          <w:i/>
          <w:sz w:val="20"/>
          <w:szCs w:val="20"/>
        </w:rPr>
      </w:pPr>
      <w:r>
        <w:rPr>
          <w:i/>
          <w:sz w:val="20"/>
          <w:szCs w:val="20"/>
        </w:rPr>
        <w:t xml:space="preserve">No me dieron la información de seguridad pública.” </w:t>
      </w:r>
    </w:p>
    <w:p w14:paraId="0FC49C14" w14:textId="77777777" w:rsidR="002E2A28" w:rsidRDefault="002E2A28">
      <w:pPr>
        <w:spacing w:after="0" w:line="360" w:lineRule="auto"/>
        <w:ind w:right="567"/>
        <w:rPr>
          <w:i/>
          <w:sz w:val="20"/>
          <w:szCs w:val="20"/>
        </w:rPr>
      </w:pPr>
    </w:p>
    <w:p w14:paraId="04A4779F" w14:textId="77777777" w:rsidR="002E2A28" w:rsidRDefault="00FE1B49">
      <w:pPr>
        <w:spacing w:after="0" w:line="360" w:lineRule="auto"/>
        <w:ind w:left="567" w:right="567"/>
        <w:rPr>
          <w:b/>
          <w:i/>
          <w:sz w:val="20"/>
          <w:szCs w:val="20"/>
        </w:rPr>
      </w:pPr>
      <w:r>
        <w:rPr>
          <w:b/>
          <w:i/>
          <w:sz w:val="20"/>
          <w:szCs w:val="20"/>
        </w:rPr>
        <w:t>‘’RAZONES O MOTIVOS DE LA INCONFORMIDAD</w:t>
      </w:r>
    </w:p>
    <w:p w14:paraId="348DC5C3" w14:textId="77777777" w:rsidR="002E2A28" w:rsidRDefault="00FE1B49">
      <w:pPr>
        <w:spacing w:after="0" w:line="360" w:lineRule="auto"/>
        <w:ind w:left="567" w:right="567"/>
        <w:rPr>
          <w:i/>
          <w:sz w:val="20"/>
          <w:szCs w:val="20"/>
        </w:rPr>
      </w:pPr>
      <w:r>
        <w:rPr>
          <w:i/>
          <w:sz w:val="20"/>
          <w:szCs w:val="20"/>
        </w:rPr>
        <w:t xml:space="preserve">No me dieron la información de seguridad pública.” </w:t>
      </w:r>
    </w:p>
    <w:p w14:paraId="3DE889C1" w14:textId="77777777" w:rsidR="002E2A28" w:rsidRDefault="002E2A28">
      <w:pPr>
        <w:spacing w:after="0" w:line="360" w:lineRule="auto"/>
        <w:ind w:right="567"/>
        <w:rPr>
          <w:i/>
          <w:color w:val="FF0000"/>
          <w:sz w:val="20"/>
          <w:szCs w:val="20"/>
        </w:rPr>
      </w:pPr>
    </w:p>
    <w:p w14:paraId="1CF988A2" w14:textId="77777777" w:rsidR="002E2A28" w:rsidRDefault="00FE1B49">
      <w:pPr>
        <w:pStyle w:val="Ttulo2"/>
        <w:spacing w:before="0" w:after="0" w:line="360" w:lineRule="auto"/>
        <w:rPr>
          <w:sz w:val="22"/>
          <w:szCs w:val="22"/>
        </w:rPr>
      </w:pPr>
      <w:bookmarkStart w:id="10" w:name="_heading=h.ws059v1kzc7r" w:colFirst="0" w:colLast="0"/>
      <w:bookmarkStart w:id="11" w:name="_Toc210913873"/>
      <w:bookmarkEnd w:id="10"/>
      <w:r>
        <w:rPr>
          <w:sz w:val="22"/>
          <w:szCs w:val="22"/>
        </w:rPr>
        <w:t>V. Trámite del Recurso de Revisión ante este Instituto</w:t>
      </w:r>
      <w:bookmarkEnd w:id="11"/>
    </w:p>
    <w:p w14:paraId="2BFB6853" w14:textId="77777777" w:rsidR="002E2A28" w:rsidRDefault="002E2A28">
      <w:pPr>
        <w:spacing w:after="0" w:line="360" w:lineRule="auto"/>
        <w:rPr>
          <w:b/>
          <w:color w:val="FF0000"/>
        </w:rPr>
      </w:pPr>
    </w:p>
    <w:p w14:paraId="66DDF7D7" w14:textId="21DC40B7" w:rsidR="002E2A28" w:rsidRDefault="00FE1B49">
      <w:pPr>
        <w:spacing w:after="0" w:line="360" w:lineRule="auto"/>
      </w:pPr>
      <w:r>
        <w:rPr>
          <w:b/>
        </w:rPr>
        <w:t>a) Turno del Medio de Impugnación.</w:t>
      </w:r>
      <w:r>
        <w:t xml:space="preserve"> El </w:t>
      </w:r>
      <w:r w:rsidR="00C41170">
        <w:t xml:space="preserve">nueve de julio </w:t>
      </w:r>
      <w:r>
        <w:t xml:space="preserve">de dos mil veinticinco, el Sistema de Acceso a la Información Mexiquense (SAIMEX), asignó el número de expediente </w:t>
      </w:r>
      <w:r>
        <w:rPr>
          <w:b/>
        </w:rPr>
        <w:t>08356/INFOEM/IP/RR/2025</w:t>
      </w:r>
      <w:r>
        <w:t xml:space="preserve">,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 </w:t>
      </w:r>
    </w:p>
    <w:p w14:paraId="6C79DC14" w14:textId="77777777" w:rsidR="002E2A28" w:rsidRDefault="002E2A28">
      <w:pPr>
        <w:spacing w:after="0" w:line="360" w:lineRule="auto"/>
        <w:rPr>
          <w:b/>
          <w:color w:val="FF0000"/>
        </w:rPr>
      </w:pPr>
    </w:p>
    <w:p w14:paraId="19FCD777" w14:textId="77777777" w:rsidR="002E2A28" w:rsidRDefault="00FE1B49">
      <w:pPr>
        <w:spacing w:after="0" w:line="360" w:lineRule="auto"/>
      </w:pPr>
      <w:r>
        <w:rPr>
          <w:b/>
        </w:rPr>
        <w:t xml:space="preserve">b) Admisión del Recurso de Revisión. </w:t>
      </w:r>
      <w:r>
        <w:t>El catorce de julio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13E2AECC" w14:textId="77777777" w:rsidR="002E2A28" w:rsidRDefault="002E2A28">
      <w:pPr>
        <w:spacing w:after="0" w:line="360" w:lineRule="auto"/>
        <w:rPr>
          <w:color w:val="FF0000"/>
        </w:rPr>
      </w:pPr>
    </w:p>
    <w:p w14:paraId="7A589548" w14:textId="77777777" w:rsidR="002E2A28" w:rsidRDefault="00FE1B49">
      <w:pPr>
        <w:spacing w:after="0" w:line="360" w:lineRule="auto"/>
      </w:pPr>
      <w:r>
        <w:rPr>
          <w:b/>
        </w:rPr>
        <w:t xml:space="preserve">c) Informe Justificado. </w:t>
      </w:r>
      <w:r>
        <w:t xml:space="preserve">El dieciocho de julio de dos mil veinticinco, a través de SAIMEX, el Sujeto Obligado rindió su informe justificado al tenor de lo siguiente: </w:t>
      </w:r>
    </w:p>
    <w:p w14:paraId="3363EECE" w14:textId="77777777" w:rsidR="002E2A28" w:rsidRDefault="002E2A28">
      <w:pPr>
        <w:spacing w:after="0" w:line="360" w:lineRule="auto"/>
        <w:rPr>
          <w:color w:val="FF0000"/>
        </w:rPr>
      </w:pPr>
    </w:p>
    <w:p w14:paraId="1BCD3439" w14:textId="6F3D20E8" w:rsidR="002E2A28" w:rsidRDefault="00FE1B49">
      <w:pPr>
        <w:spacing w:after="0" w:line="360" w:lineRule="auto"/>
      </w:pPr>
      <w:r>
        <w:t xml:space="preserve">i. Oficio TM/TON/263/2025 del veintiocho de junio de dos mil veinticinco, suscrito por el Tesorero Municipal, dirigido a la Directora de la Unidad de Transparencia y Acceso a la Información </w:t>
      </w:r>
      <w:r w:rsidR="00E31C66">
        <w:t>Pública,</w:t>
      </w:r>
      <w:r>
        <w:t xml:space="preserve"> por medio del cual se menciona lo siguiente:</w:t>
      </w:r>
    </w:p>
    <w:p w14:paraId="2A592AF3" w14:textId="77777777" w:rsidR="002E2A28" w:rsidRDefault="002E2A28">
      <w:pPr>
        <w:spacing w:after="0" w:line="360" w:lineRule="auto"/>
        <w:ind w:left="360" w:right="567"/>
        <w:rPr>
          <w:i/>
          <w:color w:val="FF0000"/>
          <w:sz w:val="20"/>
          <w:szCs w:val="20"/>
        </w:rPr>
      </w:pPr>
    </w:p>
    <w:p w14:paraId="39D1879E" w14:textId="77777777" w:rsidR="002E2A28" w:rsidRDefault="00FE1B49">
      <w:pPr>
        <w:spacing w:after="0" w:line="360" w:lineRule="auto"/>
        <w:ind w:left="360" w:right="567"/>
        <w:rPr>
          <w:i/>
          <w:sz w:val="20"/>
          <w:szCs w:val="20"/>
        </w:rPr>
      </w:pPr>
      <w:r>
        <w:rPr>
          <w:i/>
        </w:rPr>
        <w:t>"…</w:t>
      </w:r>
      <w:r>
        <w:rPr>
          <w:i/>
          <w:sz w:val="20"/>
          <w:szCs w:val="20"/>
        </w:rPr>
        <w:t xml:space="preserve"> Para dar contestación a la solicitud se adjunta la información solicitada anexo 1.</w:t>
      </w:r>
    </w:p>
    <w:p w14:paraId="364C7BFC" w14:textId="77777777" w:rsidR="002E2A28" w:rsidRDefault="002E2A28">
      <w:pPr>
        <w:spacing w:after="0" w:line="360" w:lineRule="auto"/>
        <w:ind w:left="360" w:right="567"/>
        <w:rPr>
          <w:i/>
          <w:sz w:val="20"/>
          <w:szCs w:val="20"/>
        </w:rPr>
      </w:pPr>
    </w:p>
    <w:p w14:paraId="2F3D463E" w14:textId="77777777" w:rsidR="002E2A28" w:rsidRDefault="00FE1B49">
      <w:pPr>
        <w:spacing w:after="0" w:line="360" w:lineRule="auto"/>
        <w:ind w:left="360" w:right="567"/>
        <w:rPr>
          <w:i/>
          <w:sz w:val="20"/>
          <w:szCs w:val="20"/>
        </w:rPr>
      </w:pPr>
      <w:r>
        <w:rPr>
          <w:i/>
          <w:sz w:val="20"/>
          <w:szCs w:val="20"/>
        </w:rPr>
        <w:t xml:space="preserve">Cabe mencionar que la nómina de Seguridad Publica (policías) es reservada en base a la LEY DE TRANSPARENCIA Y ACCESO A LA INFORMACION PUBLICA DEL ESTADO DE MEXICO Y MUNICIPIOS </w:t>
      </w:r>
      <w:proofErr w:type="spellStart"/>
      <w:r>
        <w:rPr>
          <w:i/>
          <w:sz w:val="20"/>
          <w:szCs w:val="20"/>
        </w:rPr>
        <w:t>articulo</w:t>
      </w:r>
      <w:proofErr w:type="spellEnd"/>
      <w:r>
        <w:rPr>
          <w:i/>
          <w:sz w:val="20"/>
          <w:szCs w:val="20"/>
        </w:rPr>
        <w:t xml:space="preserve"> 140 fracción I y IV, 143 fracción I, LEY GENERAL DEL SISTEMA NACIONAL DE SEGURIDAD PUBLICA artículo 110 y LEY GENERAL DE TRANSPARENCIA A LA INFORMACIÓN PUBLICA artículo 112 fracción I y XVII…” (Sic)</w:t>
      </w:r>
    </w:p>
    <w:p w14:paraId="5CBC8E3D" w14:textId="77777777" w:rsidR="002E2A28" w:rsidRDefault="002E2A28">
      <w:pPr>
        <w:spacing w:line="360" w:lineRule="auto"/>
        <w:rPr>
          <w:color w:val="FF0000"/>
        </w:rPr>
      </w:pPr>
    </w:p>
    <w:p w14:paraId="48A9B292" w14:textId="77777777" w:rsidR="002E2A28" w:rsidRDefault="00FE1B49">
      <w:pPr>
        <w:spacing w:after="0" w:line="360" w:lineRule="auto"/>
      </w:pPr>
      <w:r>
        <w:t xml:space="preserve">ii.  Relación con el sueldo bruto y neto de quinientos cinco servidores públicos adscritos al Ayuntamiento de </w:t>
      </w:r>
      <w:proofErr w:type="spellStart"/>
      <w:r>
        <w:t>Tonanitla</w:t>
      </w:r>
      <w:proofErr w:type="spellEnd"/>
      <w:r>
        <w:t>.</w:t>
      </w:r>
    </w:p>
    <w:p w14:paraId="313460E8" w14:textId="77777777" w:rsidR="002E2A28" w:rsidRDefault="002E2A28">
      <w:pPr>
        <w:spacing w:line="360" w:lineRule="auto"/>
        <w:rPr>
          <w:color w:val="FF0000"/>
        </w:rPr>
      </w:pPr>
    </w:p>
    <w:p w14:paraId="41768444" w14:textId="77777777" w:rsidR="002E2A28" w:rsidRDefault="00FE1B49">
      <w:pPr>
        <w:spacing w:after="0" w:line="360" w:lineRule="auto"/>
      </w:pPr>
      <w:r>
        <w:t>iii. Oficio UTAIP/PDP/259/2025 del diez de junio de dos mil veinticinco, suscrito por el Encargado de Despacho de la Unidad de Transparencia, por medio del cual solicito a la Tesorería Municipal dar respuesta al requerimiento informativo.</w:t>
      </w:r>
    </w:p>
    <w:p w14:paraId="7ABCF253" w14:textId="77777777" w:rsidR="002E2A28" w:rsidRDefault="002E2A28">
      <w:pPr>
        <w:spacing w:after="0" w:line="360" w:lineRule="auto"/>
        <w:rPr>
          <w:b/>
        </w:rPr>
      </w:pPr>
    </w:p>
    <w:p w14:paraId="3DA96140" w14:textId="77777777" w:rsidR="002E2A28" w:rsidRDefault="00FE1B49">
      <w:pPr>
        <w:spacing w:after="0" w:line="360" w:lineRule="auto"/>
      </w:pPr>
      <w:r>
        <w:rPr>
          <w:b/>
        </w:rPr>
        <w:t>d) Ampliación de plazo para resolver.</w:t>
      </w:r>
      <w:r>
        <w:t xml:space="preserve"> El veintinueve de septiembre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mismo día, mediante el Sistema de Acceso a la Información Mexiquense (SAIMEX).</w:t>
      </w:r>
    </w:p>
    <w:p w14:paraId="26049AE9" w14:textId="77777777" w:rsidR="002E2A28" w:rsidRDefault="002E2A28">
      <w:pPr>
        <w:spacing w:after="0" w:line="360" w:lineRule="auto"/>
        <w:rPr>
          <w:color w:val="FF0000"/>
        </w:rPr>
      </w:pPr>
    </w:p>
    <w:p w14:paraId="19B79B23" w14:textId="77777777" w:rsidR="002E2A28" w:rsidRDefault="00FE1B49">
      <w:pPr>
        <w:spacing w:after="0" w:line="360" w:lineRule="auto"/>
      </w:pPr>
      <w:r>
        <w:rPr>
          <w:b/>
        </w:rPr>
        <w:t>e) Vista al Informe Justificado.</w:t>
      </w:r>
      <w:r>
        <w:t xml:space="preserve"> El primero de octubre de dos mil veinticinco, se notificó a través del Sistema de Acceso a la Información Mexiquense (SAIMEX), el acuerdo mediante el cual se puso a la vista del Particular el Informe Justificado del Recurso de Revisión, proveído por el cual se le otorgó un término de tres días hábiles contados a partir del día </w:t>
      </w:r>
      <w:r>
        <w:lastRenderedPageBreak/>
        <w:t xml:space="preserve">siguiente a la notificación, a fin de emitir las manifestaciones que conforme a sus intereses conviniera. </w:t>
      </w:r>
      <w:r>
        <w:rPr>
          <w:b/>
        </w:rPr>
        <w:t>Cabe señalar que el Particular fue omiso en realizar manifestación alguna.</w:t>
      </w:r>
    </w:p>
    <w:p w14:paraId="33C753EC" w14:textId="77777777" w:rsidR="002E2A28" w:rsidRDefault="002E2A28">
      <w:pPr>
        <w:spacing w:after="0" w:line="360" w:lineRule="auto"/>
        <w:rPr>
          <w:b/>
          <w:color w:val="FF0000"/>
        </w:rPr>
      </w:pPr>
    </w:p>
    <w:p w14:paraId="00EB6625" w14:textId="77777777" w:rsidR="002E2A28" w:rsidRDefault="00FE1B49">
      <w:pPr>
        <w:spacing w:after="0" w:line="360" w:lineRule="auto"/>
      </w:pPr>
      <w:r>
        <w:rPr>
          <w:b/>
        </w:rPr>
        <w:t>f) Cierre de instrucción.</w:t>
      </w:r>
      <w:r>
        <w:t xml:space="preserve"> El siete de octubre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61BA5203" w14:textId="77777777" w:rsidR="002E2A28" w:rsidRDefault="002E2A28">
      <w:pPr>
        <w:spacing w:after="0" w:line="360" w:lineRule="auto"/>
        <w:rPr>
          <w:color w:val="FF0000"/>
        </w:rPr>
      </w:pPr>
    </w:p>
    <w:p w14:paraId="43E91C40" w14:textId="77777777" w:rsidR="002E2A28" w:rsidRDefault="00FE1B49">
      <w:pPr>
        <w:spacing w:after="0" w:line="360" w:lineRule="auto"/>
      </w:pPr>
      <w:r>
        <w:t>En razón de que fue debidamente sustanciado e integrado el expediente electrónico y no existe diligencia pendiente de desahogo, se emite la resolución que conforme a Derecho proceda, de acuerdo a los siguientes:</w:t>
      </w:r>
    </w:p>
    <w:p w14:paraId="60ED9C6A" w14:textId="77777777" w:rsidR="002E2A28" w:rsidRDefault="002E2A28">
      <w:pPr>
        <w:spacing w:after="0" w:line="360" w:lineRule="auto"/>
      </w:pPr>
    </w:p>
    <w:p w14:paraId="16966E32" w14:textId="77777777" w:rsidR="002E2A28" w:rsidRDefault="00FE1B49">
      <w:pPr>
        <w:pStyle w:val="Ttulo1"/>
        <w:spacing w:before="0" w:after="0" w:line="360" w:lineRule="auto"/>
        <w:jc w:val="center"/>
        <w:rPr>
          <w:sz w:val="22"/>
          <w:szCs w:val="22"/>
        </w:rPr>
      </w:pPr>
      <w:bookmarkStart w:id="12" w:name="_heading=h.5n7ea1g19a3j" w:colFirst="0" w:colLast="0"/>
      <w:bookmarkStart w:id="13" w:name="_Toc210913874"/>
      <w:bookmarkEnd w:id="12"/>
      <w:r>
        <w:rPr>
          <w:sz w:val="22"/>
          <w:szCs w:val="22"/>
        </w:rPr>
        <w:t>C O N S I D E R A N D O S</w:t>
      </w:r>
      <w:bookmarkEnd w:id="13"/>
    </w:p>
    <w:p w14:paraId="240E25EB" w14:textId="77777777" w:rsidR="002E2A28" w:rsidRDefault="002E2A28">
      <w:pPr>
        <w:spacing w:after="0" w:line="360" w:lineRule="auto"/>
        <w:jc w:val="center"/>
        <w:rPr>
          <w:b/>
        </w:rPr>
      </w:pPr>
    </w:p>
    <w:p w14:paraId="4DD17339" w14:textId="77777777" w:rsidR="002E2A28" w:rsidRDefault="00FE1B49">
      <w:pPr>
        <w:pStyle w:val="Ttulo2"/>
        <w:spacing w:before="0" w:after="0" w:line="360" w:lineRule="auto"/>
        <w:rPr>
          <w:sz w:val="22"/>
          <w:szCs w:val="22"/>
        </w:rPr>
      </w:pPr>
      <w:bookmarkStart w:id="14" w:name="_heading=h.tnx8mm3579xy" w:colFirst="0" w:colLast="0"/>
      <w:bookmarkStart w:id="15" w:name="_Toc210913875"/>
      <w:bookmarkEnd w:id="14"/>
      <w:r>
        <w:rPr>
          <w:sz w:val="22"/>
          <w:szCs w:val="22"/>
        </w:rPr>
        <w:t>PRIMERO. Competencia</w:t>
      </w:r>
      <w:bookmarkEnd w:id="15"/>
    </w:p>
    <w:p w14:paraId="773E3D27" w14:textId="77777777" w:rsidR="002E2A28" w:rsidRDefault="002E2A28">
      <w:pPr>
        <w:spacing w:after="0" w:line="360" w:lineRule="auto"/>
      </w:pPr>
      <w:bookmarkStart w:id="16" w:name="_heading=h.30j0zll" w:colFirst="0" w:colLast="0"/>
      <w:bookmarkEnd w:id="16"/>
    </w:p>
    <w:p w14:paraId="29BCED24" w14:textId="77777777" w:rsidR="002E2A28" w:rsidRDefault="00FE1B49">
      <w:pPr>
        <w:spacing w:after="0" w:line="360" w:lineRule="auto"/>
      </w:pPr>
      <w: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w:t>
      </w:r>
    </w:p>
    <w:p w14:paraId="4FE24E2D" w14:textId="77777777" w:rsidR="002E2A28" w:rsidRDefault="00FE1B49">
      <w:pPr>
        <w:spacing w:after="0" w:line="360" w:lineRule="auto"/>
      </w:pPr>
      <w:r>
        <w:t xml:space="preserve">1°, 2°, fracciones II y IV; 13, 29. 36, fracciones I y II; 176, 178, 179, 181 párrafo tercero, 185, 188 y 189 de la Ley Transparencia y Acceso a la Información Pública del Estado de México y Municipios: 7°, 9°, fracciones I y XXIII y 11 del Reglamento Interior del Instituto de </w:t>
      </w:r>
      <w:r>
        <w:lastRenderedPageBreak/>
        <w:t>Transparencia, Acceso a la Información Pública y Protección de Datos Personales del Estado de México y Municipios.</w:t>
      </w:r>
    </w:p>
    <w:p w14:paraId="37DDF4DB" w14:textId="77777777" w:rsidR="002E2A28" w:rsidRDefault="002E2A28">
      <w:pPr>
        <w:spacing w:after="0" w:line="360" w:lineRule="auto"/>
        <w:rPr>
          <w:b/>
        </w:rPr>
      </w:pPr>
    </w:p>
    <w:p w14:paraId="59074D99" w14:textId="77777777" w:rsidR="002E2A28" w:rsidRDefault="00FE1B49">
      <w:pPr>
        <w:pStyle w:val="Ttulo2"/>
        <w:spacing w:before="0" w:after="0" w:line="360" w:lineRule="auto"/>
        <w:rPr>
          <w:sz w:val="22"/>
          <w:szCs w:val="22"/>
        </w:rPr>
      </w:pPr>
      <w:bookmarkStart w:id="17" w:name="_heading=h.ra7f8mvzbljz" w:colFirst="0" w:colLast="0"/>
      <w:bookmarkStart w:id="18" w:name="_Toc210913876"/>
      <w:bookmarkEnd w:id="17"/>
      <w:r>
        <w:rPr>
          <w:sz w:val="22"/>
          <w:szCs w:val="22"/>
        </w:rPr>
        <w:t>SEGUNDO. Causales de improcedencia y sobreseimiento</w:t>
      </w:r>
      <w:bookmarkEnd w:id="18"/>
    </w:p>
    <w:p w14:paraId="0838D0D6" w14:textId="77777777" w:rsidR="002E2A28" w:rsidRDefault="002E2A28">
      <w:pPr>
        <w:spacing w:after="0" w:line="360" w:lineRule="auto"/>
      </w:pPr>
    </w:p>
    <w:p w14:paraId="06B04496" w14:textId="77777777" w:rsidR="002E2A28" w:rsidRDefault="00FE1B49">
      <w:pPr>
        <w:spacing w:after="0" w:line="360" w:lineRule="auto"/>
      </w:pPr>
      <w:r>
        <w:t xml:space="preserve">De las constancias que forma parte del Recurso de Revisión que se analiza, se advierte que previo al estudio del fondo de la </w:t>
      </w:r>
      <w:r>
        <w:rPr>
          <w:i/>
        </w:rPr>
        <w:t>litis</w:t>
      </w:r>
      <w:r>
        <w:t>, es necesario estudiar las causales de improcedencia y sobreseimiento que se adviertan, para determinar lo que en Derecho proceda.</w:t>
      </w:r>
    </w:p>
    <w:p w14:paraId="663348A1" w14:textId="77777777" w:rsidR="00E31C66" w:rsidRDefault="00E31C66">
      <w:pPr>
        <w:spacing w:after="0" w:line="360" w:lineRule="auto"/>
      </w:pPr>
    </w:p>
    <w:p w14:paraId="3343F3BA" w14:textId="77777777" w:rsidR="002E2A28" w:rsidRDefault="00FE1B49">
      <w:pPr>
        <w:spacing w:after="0" w:line="360" w:lineRule="auto"/>
        <w:rPr>
          <w:b/>
        </w:rPr>
      </w:pPr>
      <w:r>
        <w:rPr>
          <w:b/>
        </w:rPr>
        <w:t>Causales de improcedencia</w:t>
      </w:r>
    </w:p>
    <w:p w14:paraId="50E9FA1D" w14:textId="77777777" w:rsidR="002E2A28" w:rsidRDefault="002E2A28">
      <w:pPr>
        <w:spacing w:after="0" w:line="360" w:lineRule="auto"/>
        <w:rPr>
          <w:b/>
        </w:rPr>
      </w:pPr>
    </w:p>
    <w:p w14:paraId="3B2D18AE" w14:textId="77777777" w:rsidR="002E2A28" w:rsidRDefault="00FE1B49">
      <w:pPr>
        <w:spacing w:after="0" w:line="360" w:lineRule="auto"/>
      </w:pPr>
      <w: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C18A580" w14:textId="77777777" w:rsidR="002E2A28" w:rsidRDefault="002E2A28">
      <w:pPr>
        <w:spacing w:after="0" w:line="360" w:lineRule="auto"/>
      </w:pPr>
    </w:p>
    <w:p w14:paraId="6891F49E" w14:textId="77777777" w:rsidR="002E2A28" w:rsidRDefault="00FE1B49">
      <w:pPr>
        <w:spacing w:after="0" w:line="360" w:lineRule="auto"/>
      </w:pPr>
      <w:r>
        <w:t>En el presente caso, </w:t>
      </w:r>
      <w:r>
        <w:rPr>
          <w:b/>
        </w:rPr>
        <w:t>no se actualiza ninguna de las causales de improcedencia</w:t>
      </w:r>
      <w: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4262386D" w14:textId="77777777" w:rsidR="002E2A28" w:rsidRDefault="002E2A28">
      <w:pPr>
        <w:spacing w:after="0" w:line="360" w:lineRule="auto"/>
        <w:rPr>
          <w:color w:val="FF0000"/>
        </w:rPr>
      </w:pPr>
    </w:p>
    <w:p w14:paraId="4D1B7E12" w14:textId="77777777" w:rsidR="002E2A28" w:rsidRDefault="00FE1B49">
      <w:pPr>
        <w:spacing w:after="0" w:line="360" w:lineRule="auto"/>
      </w:pPr>
      <w:r>
        <w:lastRenderedPageBreak/>
        <w:t xml:space="preserve">Por lo cual, se actualiza la causal de procedencia del Recurso de Revisión señalada en el artículo 179, fracción II, de la Ley en cita, pues la persona Recurrente se inconformó de la clasificación de la información. </w:t>
      </w:r>
    </w:p>
    <w:p w14:paraId="32C05587" w14:textId="77777777" w:rsidR="002E2A28" w:rsidRDefault="002E2A28">
      <w:pPr>
        <w:spacing w:after="0" w:line="360" w:lineRule="auto"/>
        <w:rPr>
          <w:color w:val="FF0000"/>
        </w:rPr>
      </w:pPr>
    </w:p>
    <w:p w14:paraId="179DDF7B" w14:textId="77777777" w:rsidR="002E2A28" w:rsidRDefault="00FE1B49">
      <w:pPr>
        <w:spacing w:after="0" w:line="360" w:lineRule="auto"/>
      </w:pPr>
      <w:r>
        <w:rPr>
          <w:b/>
        </w:rPr>
        <w:t>Causales de sobreseimiento</w:t>
      </w:r>
    </w:p>
    <w:p w14:paraId="1E933772" w14:textId="77777777" w:rsidR="002E2A28" w:rsidRDefault="002E2A28">
      <w:pPr>
        <w:spacing w:after="0" w:line="360" w:lineRule="auto"/>
      </w:pPr>
    </w:p>
    <w:p w14:paraId="10C2C804" w14:textId="77777777" w:rsidR="002E2A28" w:rsidRDefault="00FE1B49">
      <w:pPr>
        <w:spacing w:after="0" w:line="360" w:lineRule="auto"/>
      </w:pPr>
      <w:r>
        <w:t>Por ser de previo y especial pronunciamiento, este Instituto analiza si se actualiza alguna causal de sobreseimiento.</w:t>
      </w:r>
    </w:p>
    <w:p w14:paraId="1B7FEC64" w14:textId="77777777" w:rsidR="002E2A28" w:rsidRDefault="002E2A28">
      <w:pPr>
        <w:spacing w:after="0" w:line="360" w:lineRule="auto"/>
      </w:pPr>
    </w:p>
    <w:p w14:paraId="159C6EE1" w14:textId="77777777" w:rsidR="002E2A28" w:rsidRDefault="00FE1B49">
      <w:pPr>
        <w:spacing w:after="0" w:line="360" w:lineRule="auto"/>
      </w:pPr>
      <w: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2D566A35" w14:textId="77777777" w:rsidR="002E2A28" w:rsidRDefault="002E2A28">
      <w:pPr>
        <w:spacing w:after="0" w:line="360" w:lineRule="auto"/>
      </w:pPr>
    </w:p>
    <w:p w14:paraId="67353D22" w14:textId="77777777" w:rsidR="002E2A28" w:rsidRDefault="00FE1B49">
      <w:pPr>
        <w:spacing w:after="0" w:line="360" w:lineRule="auto"/>
      </w:pPr>
      <w:r>
        <w:t xml:space="preserve">Por tales motivos, se considera procedente entrar al fondo del presente asunto. </w:t>
      </w:r>
    </w:p>
    <w:p w14:paraId="00771EF1" w14:textId="77777777" w:rsidR="002E2A28" w:rsidRDefault="002E2A28">
      <w:pPr>
        <w:spacing w:after="0" w:line="360" w:lineRule="auto"/>
        <w:rPr>
          <w:b/>
        </w:rPr>
      </w:pPr>
    </w:p>
    <w:p w14:paraId="74EAB201" w14:textId="77777777" w:rsidR="002E2A28" w:rsidRDefault="00FE1B49">
      <w:pPr>
        <w:pStyle w:val="Ttulo2"/>
        <w:spacing w:before="0" w:after="0" w:line="360" w:lineRule="auto"/>
        <w:rPr>
          <w:sz w:val="22"/>
          <w:szCs w:val="22"/>
        </w:rPr>
      </w:pPr>
      <w:bookmarkStart w:id="19" w:name="_heading=h.855ksmd0lg5b" w:colFirst="0" w:colLast="0"/>
      <w:bookmarkStart w:id="20" w:name="_Toc210913877"/>
      <w:bookmarkEnd w:id="19"/>
      <w:r>
        <w:rPr>
          <w:sz w:val="22"/>
          <w:szCs w:val="22"/>
        </w:rPr>
        <w:t>TERCERO. Determinación de la Controversia</w:t>
      </w:r>
      <w:bookmarkEnd w:id="20"/>
    </w:p>
    <w:p w14:paraId="6ABBC1E1" w14:textId="77777777" w:rsidR="002E2A28" w:rsidRDefault="002E2A28">
      <w:pPr>
        <w:spacing w:after="0" w:line="360" w:lineRule="auto"/>
        <w:rPr>
          <w:b/>
        </w:rPr>
      </w:pPr>
    </w:p>
    <w:p w14:paraId="4009C14F" w14:textId="42989A30" w:rsidR="002E2A28" w:rsidRDefault="00C41170">
      <w:pPr>
        <w:spacing w:after="0" w:line="360" w:lineRule="auto"/>
      </w:pPr>
      <w:r>
        <w:t>Es de recordar que el P</w:t>
      </w:r>
      <w:r w:rsidR="00FE1B49">
        <w:t>articular, solicitó la nómina completa de la administración actual, incluyendo la de policías y protección civil.</w:t>
      </w:r>
    </w:p>
    <w:p w14:paraId="5149D51B" w14:textId="77777777" w:rsidR="002E2A28" w:rsidRDefault="002E2A28">
      <w:pPr>
        <w:spacing w:after="0" w:line="360" w:lineRule="auto"/>
        <w:rPr>
          <w:color w:val="FF0000"/>
        </w:rPr>
      </w:pPr>
    </w:p>
    <w:p w14:paraId="18814BBF" w14:textId="5926840E" w:rsidR="002E2A28" w:rsidRDefault="00FE1B49">
      <w:pPr>
        <w:spacing w:after="0" w:line="360" w:lineRule="auto"/>
        <w:rPr>
          <w:i/>
        </w:rPr>
      </w:pPr>
      <w:r>
        <w:t xml:space="preserve">En respuesta, el Sujeto Obligado, a través de la Tesorería Municipal proporcionó relación donde consta el sueldo bruto y neto de quinientos cinco servidores públicos adscritos al </w:t>
      </w:r>
      <w:r>
        <w:lastRenderedPageBreak/>
        <w:t xml:space="preserve">Ayuntamiento de </w:t>
      </w:r>
      <w:proofErr w:type="spellStart"/>
      <w:r>
        <w:t>Tonanitla</w:t>
      </w:r>
      <w:proofErr w:type="spellEnd"/>
      <w:r>
        <w:t xml:space="preserve">, en relación con la nómina del personal de Seguridad Pública (policías), refirió que es reservada en términos de los artículos 140 fracciones I y IV y 143 fracción I de la Ley de Transparencia y Acceso a la   Información Pública del Estado de México y Municipios, artículo 110 de la Ley General del Sistema Nacional de Seguridad Publica y artículo 112 fracciones I y XVII de la Ley General de Transparencia a la Información Pública; ante dicha circunstancia, el Particular se inconformó de la clasificación de la información, al señalar que </w:t>
      </w:r>
      <w:r w:rsidR="00E31C66">
        <w:rPr>
          <w:iCs/>
        </w:rPr>
        <w:t>no le dieron la información de seguridad pública,</w:t>
      </w:r>
      <w:r>
        <w:t xml:space="preserve"> lo cual actualiza la causal de procedencia prevista en la fracción II, del artículo 179 de la Ley de Transparencia y Acceso a la Información Pública del Estado de México y Municipios</w:t>
      </w:r>
      <w:r w:rsidR="00E31C66">
        <w:t>.</w:t>
      </w:r>
    </w:p>
    <w:p w14:paraId="3343972F" w14:textId="77777777" w:rsidR="002E2A28" w:rsidRDefault="002E2A28">
      <w:pPr>
        <w:pBdr>
          <w:top w:val="nil"/>
          <w:left w:val="nil"/>
          <w:bottom w:val="nil"/>
          <w:right w:val="nil"/>
          <w:between w:val="nil"/>
        </w:pBdr>
        <w:spacing w:after="0" w:line="360" w:lineRule="auto"/>
      </w:pPr>
    </w:p>
    <w:p w14:paraId="430BB3C6" w14:textId="5A574CA5" w:rsidR="002E2A28" w:rsidRDefault="00FE1B49">
      <w:pPr>
        <w:pBdr>
          <w:top w:val="nil"/>
          <w:left w:val="nil"/>
          <w:bottom w:val="nil"/>
          <w:right w:val="nil"/>
          <w:between w:val="nil"/>
        </w:pBdr>
        <w:spacing w:after="0" w:line="360" w:lineRule="auto"/>
      </w:pPr>
      <w:r>
        <w:t>Conforme a lo analizado, se puede advertir que el ahora Recurrente no se inconformó respecto de la relación remitida en respuesta</w:t>
      </w:r>
      <w:r w:rsidR="00E31C66">
        <w:t>, ni que se le entregara el sueldo bruto y neto</w:t>
      </w:r>
      <w:r>
        <w:t>, sino que, su inconformidad versa únicamente el obtener la nómina de policías (personal de Seguridad Pública), por lo que de acuerdo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w:t>
      </w:r>
    </w:p>
    <w:p w14:paraId="32FC9AA2" w14:textId="77777777" w:rsidR="002E2A28" w:rsidRDefault="00FE1B49">
      <w:pPr>
        <w:pBdr>
          <w:top w:val="nil"/>
          <w:left w:val="nil"/>
          <w:bottom w:val="nil"/>
          <w:right w:val="nil"/>
          <w:between w:val="nil"/>
        </w:pBdr>
        <w:spacing w:after="0" w:line="360" w:lineRule="auto"/>
      </w:pPr>
      <w:r>
        <w:t xml:space="preserve"> </w:t>
      </w:r>
    </w:p>
    <w:p w14:paraId="1FC4FB51" w14:textId="77777777" w:rsidR="002E2A28" w:rsidRDefault="00FE1B49">
      <w:pPr>
        <w:pBdr>
          <w:top w:val="nil"/>
          <w:left w:val="nil"/>
          <w:bottom w:val="nil"/>
          <w:right w:val="nil"/>
          <w:between w:val="nil"/>
        </w:pBdr>
        <w:spacing w:after="0" w:line="360" w:lineRule="auto"/>
      </w:pPr>
      <w:r>
        <w:t xml:space="preserve">De la misma manera resulta aplicable el criterio sostenido por el </w:t>
      </w:r>
      <w:r>
        <w:rPr>
          <w:b/>
        </w:rPr>
        <w:t>Poder Judicial de la Federación de rubro ACTOS CONSENTIDOS TÁCITAMENTE, Tesis VI.2o. J/21</w:t>
      </w:r>
      <w:r>
        <w:t>,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62EA0A52" w14:textId="77777777" w:rsidR="002E2A28" w:rsidRDefault="00FE1B49">
      <w:pPr>
        <w:pBdr>
          <w:top w:val="nil"/>
          <w:left w:val="nil"/>
          <w:bottom w:val="nil"/>
          <w:right w:val="nil"/>
          <w:between w:val="nil"/>
        </w:pBdr>
        <w:spacing w:after="0" w:line="360" w:lineRule="auto"/>
      </w:pPr>
      <w:r>
        <w:lastRenderedPageBreak/>
        <w:t xml:space="preserve"> </w:t>
      </w:r>
    </w:p>
    <w:p w14:paraId="479AD8F6" w14:textId="77777777" w:rsidR="002E2A28" w:rsidRDefault="00FE1B49">
      <w:pPr>
        <w:pBdr>
          <w:top w:val="nil"/>
          <w:left w:val="nil"/>
          <w:bottom w:val="nil"/>
          <w:right w:val="nil"/>
          <w:between w:val="nil"/>
        </w:pBdr>
        <w:spacing w:after="0" w:line="360" w:lineRule="auto"/>
      </w:pPr>
      <w: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w:t>
      </w:r>
    </w:p>
    <w:p w14:paraId="1A8221CC" w14:textId="77777777" w:rsidR="002E2A28" w:rsidRDefault="00FE1B49">
      <w:pPr>
        <w:pBdr>
          <w:top w:val="nil"/>
          <w:left w:val="nil"/>
          <w:bottom w:val="nil"/>
          <w:right w:val="nil"/>
          <w:between w:val="nil"/>
        </w:pBdr>
        <w:spacing w:after="0" w:line="360" w:lineRule="auto"/>
      </w:pPr>
      <w:r>
        <w:t xml:space="preserve"> </w:t>
      </w:r>
    </w:p>
    <w:p w14:paraId="0D574D14" w14:textId="77777777" w:rsidR="002E2A28" w:rsidRDefault="00FE1B49">
      <w:pPr>
        <w:pBdr>
          <w:top w:val="nil"/>
          <w:left w:val="nil"/>
          <w:bottom w:val="nil"/>
          <w:right w:val="nil"/>
          <w:between w:val="nil"/>
        </w:pBdr>
        <w:spacing w:after="0" w:line="360" w:lineRule="auto"/>
      </w:pPr>
      <w:r>
        <w:t>Asimismo, resulta relevante traer a colación el Criterio de Interpretación, con clave de control SO/001/2020, de la Segunda Época, emitido por el Instituto Nacional de Transparencia, Acceso a la Información y Protección de Datos Personales, el cual establece que es improcedente entrar al análisis de las partes de la respuesta del Sujeto Obligado que no fueron impugnadas por el Recurrente; por lo que, en el presente caso, se tiene por consentida la  relación remitida en respuesta, para atender únicamente la información relacionada con la nómina de los policías que forman parte de Seguridad Pública. Así las cosas, una vez admitido y notificado el Recurso de Revisión a las partes, el Sujeto Obligado ratifico su respuesta.</w:t>
      </w:r>
    </w:p>
    <w:p w14:paraId="6934B40E" w14:textId="77777777" w:rsidR="002E2A28" w:rsidRDefault="002E2A28">
      <w:pPr>
        <w:pBdr>
          <w:top w:val="nil"/>
          <w:left w:val="nil"/>
          <w:bottom w:val="nil"/>
          <w:right w:val="nil"/>
          <w:between w:val="nil"/>
        </w:pBdr>
        <w:spacing w:after="0" w:line="360" w:lineRule="auto"/>
      </w:pPr>
    </w:p>
    <w:p w14:paraId="25EC7B58" w14:textId="77777777" w:rsidR="002E2A28" w:rsidRDefault="00FE1B49">
      <w:pPr>
        <w:tabs>
          <w:tab w:val="left" w:pos="4962"/>
        </w:tabs>
        <w:spacing w:after="0" w:line="360" w:lineRule="auto"/>
        <w:rPr>
          <w:color w:val="000000"/>
        </w:rPr>
      </w:pPr>
      <w:r>
        <w:rPr>
          <w:color w:val="000000"/>
        </w:rPr>
        <w:t>Lo anterior, se desprende de las documentales que obran en el expediente de referencia, materia de la presente resolución, consistente en: la solicitud de acceso a la información,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7C4494EA" w14:textId="77777777" w:rsidR="002E2A28" w:rsidRDefault="002E2A28">
      <w:pPr>
        <w:pStyle w:val="Ttulo2"/>
        <w:spacing w:before="0" w:after="0" w:line="360" w:lineRule="auto"/>
        <w:rPr>
          <w:color w:val="FF0000"/>
          <w:sz w:val="22"/>
          <w:szCs w:val="22"/>
        </w:rPr>
      </w:pPr>
    </w:p>
    <w:p w14:paraId="6E11CCD1" w14:textId="77777777" w:rsidR="002E2A28" w:rsidRDefault="00FE1B49">
      <w:pPr>
        <w:pStyle w:val="Ttulo2"/>
        <w:spacing w:before="0" w:after="0" w:line="360" w:lineRule="auto"/>
        <w:rPr>
          <w:sz w:val="22"/>
          <w:szCs w:val="22"/>
        </w:rPr>
      </w:pPr>
      <w:bookmarkStart w:id="21" w:name="_heading=h.g626vuaibegk" w:colFirst="0" w:colLast="0"/>
      <w:bookmarkStart w:id="22" w:name="_Toc210913878"/>
      <w:bookmarkEnd w:id="21"/>
      <w:r>
        <w:rPr>
          <w:sz w:val="22"/>
          <w:szCs w:val="22"/>
        </w:rPr>
        <w:t>CUARTO. Marco normativo aplicable en materia de transparencia y acceso a la información pública</w:t>
      </w:r>
      <w:bookmarkEnd w:id="22"/>
    </w:p>
    <w:p w14:paraId="3BEB58D9" w14:textId="77777777" w:rsidR="002E2A28" w:rsidRDefault="002E2A28">
      <w:pPr>
        <w:spacing w:after="0" w:line="360" w:lineRule="auto"/>
      </w:pPr>
    </w:p>
    <w:p w14:paraId="4EBC5E77" w14:textId="77777777" w:rsidR="002E2A28" w:rsidRDefault="00FE1B49">
      <w:pPr>
        <w:spacing w:after="0" w:line="360" w:lineRule="auto"/>
      </w:pPr>
      <w: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B80C8B5" w14:textId="77777777" w:rsidR="002E2A28" w:rsidRDefault="002E2A28">
      <w:pPr>
        <w:spacing w:after="0" w:line="360" w:lineRule="auto"/>
      </w:pPr>
    </w:p>
    <w:p w14:paraId="06A09A8E" w14:textId="77777777" w:rsidR="002E2A28" w:rsidRDefault="00FE1B49">
      <w:pPr>
        <w:spacing w:after="0" w:line="360" w:lineRule="auto"/>
      </w:pPr>
      <w: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A55E20C" w14:textId="77777777" w:rsidR="002E2A28" w:rsidRDefault="002E2A28">
      <w:pPr>
        <w:spacing w:after="0" w:line="360" w:lineRule="auto"/>
      </w:pPr>
    </w:p>
    <w:p w14:paraId="2BCDC37F" w14:textId="77777777" w:rsidR="002E2A28" w:rsidRDefault="00FE1B49">
      <w:pPr>
        <w:spacing w:after="0" w:line="360" w:lineRule="auto"/>
      </w:pPr>
      <w:r>
        <w:t>Por su parte, la Ley de Transparencia y Acceso a la Información Pública del Estado de México y Municipios (Reglamentaria del artículo 5° de la Constitución Local), establece lo siguiente:</w:t>
      </w:r>
    </w:p>
    <w:p w14:paraId="0FD1B083" w14:textId="77777777" w:rsidR="002E2A28" w:rsidRDefault="002E2A28">
      <w:pPr>
        <w:spacing w:after="0" w:line="360" w:lineRule="auto"/>
      </w:pPr>
    </w:p>
    <w:p w14:paraId="7A6D4F1A" w14:textId="77777777" w:rsidR="002E2A28" w:rsidRDefault="00FE1B49">
      <w:pPr>
        <w:spacing w:after="0" w:line="360" w:lineRule="auto"/>
      </w:pPr>
      <w:r>
        <w:t>El artículo 12, que, quienes generen, recopilen, administren, manejen, procesen, archiven o conserven información pública serán responsables de la misma.</w:t>
      </w:r>
    </w:p>
    <w:p w14:paraId="4E809D84" w14:textId="77777777" w:rsidR="002E2A28" w:rsidRDefault="002E2A28">
      <w:pPr>
        <w:spacing w:after="0" w:line="360" w:lineRule="auto"/>
      </w:pPr>
    </w:p>
    <w:p w14:paraId="3727C192" w14:textId="77777777" w:rsidR="002E2A28" w:rsidRDefault="00FE1B49">
      <w:pPr>
        <w:widowControl w:val="0"/>
        <w:spacing w:after="0" w:line="360" w:lineRule="auto"/>
      </w:pPr>
      <w:r>
        <w:t>El artículo 18, que, los Sujetos Obligados deberán documentar todo acto que derive del ejercicio de sus facultades, competencias o funciones, considerando desde su origen la eventual publicidad y reutilización de la información que generen.</w:t>
      </w:r>
    </w:p>
    <w:p w14:paraId="0B39D81B" w14:textId="77777777" w:rsidR="002E2A28" w:rsidRDefault="002E2A28">
      <w:pPr>
        <w:widowControl w:val="0"/>
        <w:spacing w:after="0" w:line="360" w:lineRule="auto"/>
      </w:pPr>
    </w:p>
    <w:p w14:paraId="45244406" w14:textId="77777777" w:rsidR="002E2A28" w:rsidRDefault="00FE1B49">
      <w:pPr>
        <w:spacing w:after="0" w:line="360" w:lineRule="auto"/>
      </w:pPr>
      <w: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B526735" w14:textId="77777777" w:rsidR="002E2A28" w:rsidRDefault="002E2A28">
      <w:pPr>
        <w:spacing w:after="0" w:line="360" w:lineRule="auto"/>
      </w:pPr>
    </w:p>
    <w:p w14:paraId="434E2B9A" w14:textId="77777777" w:rsidR="002E2A28" w:rsidRDefault="00FE1B49">
      <w:pPr>
        <w:pStyle w:val="Ttulo2"/>
        <w:spacing w:before="0" w:after="0" w:line="360" w:lineRule="auto"/>
        <w:rPr>
          <w:sz w:val="22"/>
          <w:szCs w:val="22"/>
        </w:rPr>
      </w:pPr>
      <w:bookmarkStart w:id="23" w:name="_heading=h.noztlr18ijb" w:colFirst="0" w:colLast="0"/>
      <w:bookmarkStart w:id="24" w:name="_Toc210913879"/>
      <w:bookmarkEnd w:id="23"/>
      <w:r>
        <w:rPr>
          <w:sz w:val="22"/>
          <w:szCs w:val="22"/>
        </w:rPr>
        <w:t>QUINTO. Estudio de Fondo</w:t>
      </w:r>
      <w:bookmarkEnd w:id="24"/>
    </w:p>
    <w:p w14:paraId="28EB9A7F" w14:textId="77777777" w:rsidR="002E2A28" w:rsidRDefault="002E2A28">
      <w:pPr>
        <w:spacing w:after="0" w:line="360" w:lineRule="auto"/>
        <w:rPr>
          <w:b/>
        </w:rPr>
      </w:pPr>
    </w:p>
    <w:p w14:paraId="7192D506" w14:textId="77777777" w:rsidR="002E2A28" w:rsidRDefault="00FE1B49">
      <w:pPr>
        <w:spacing w:after="0" w:line="360" w:lineRule="auto"/>
        <w:rPr>
          <w:color w:val="FF0000"/>
        </w:rPr>
      </w:pPr>
      <w:r>
        <w:lastRenderedPageBreak/>
        <w:t xml:space="preserve">Expuestas las posturas de las partes, se procede al análisis de los agravios hechos valer por la persona Recurrente, por lo que, en principio es necesario contextualizar la solicitud de información. </w:t>
      </w:r>
    </w:p>
    <w:p w14:paraId="29032DAF" w14:textId="77777777" w:rsidR="002E2A28" w:rsidRDefault="002E2A28">
      <w:pPr>
        <w:spacing w:after="0" w:line="360" w:lineRule="auto"/>
        <w:ind w:right="-28"/>
        <w:rPr>
          <w:color w:val="FF0000"/>
        </w:rPr>
      </w:pPr>
    </w:p>
    <w:p w14:paraId="79FC58A1" w14:textId="77777777" w:rsidR="002E2A28" w:rsidRDefault="00FE1B49">
      <w:pPr>
        <w:spacing w:after="0" w:line="360" w:lineRule="auto"/>
        <w:ind w:right="-28"/>
      </w:pPr>
      <w:r>
        <w:t>Al respecto, el artículo 147 de la Constitución Política del Estado Libre y Soberano de México, que establece que los trabajadores al servicio del Estado, recibirán una remuneración adecuada e irrenunciable por el desempeño de su empleo, cargo o comisión, que será determinada en el presupuesto de egresos que corresponda.</w:t>
      </w:r>
    </w:p>
    <w:p w14:paraId="60E11252" w14:textId="77777777" w:rsidR="002E2A28" w:rsidRDefault="002E2A28">
      <w:pPr>
        <w:spacing w:after="0" w:line="360" w:lineRule="auto"/>
        <w:ind w:right="-28"/>
      </w:pPr>
    </w:p>
    <w:p w14:paraId="3588BB1E" w14:textId="77777777" w:rsidR="002E2A28" w:rsidRDefault="00FE1B49">
      <w:pPr>
        <w:spacing w:after="0" w:line="360" w:lineRule="auto"/>
        <w:ind w:right="-28"/>
      </w:pPr>
      <w:r>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597F33E1" w14:textId="77777777" w:rsidR="002E2A28" w:rsidRDefault="002E2A28">
      <w:pPr>
        <w:spacing w:after="0" w:line="360" w:lineRule="auto"/>
        <w:ind w:right="-28"/>
      </w:pPr>
    </w:p>
    <w:p w14:paraId="7FF6319A" w14:textId="62243E04" w:rsidR="002E2A28" w:rsidRDefault="00FE1B49">
      <w:pPr>
        <w:spacing w:after="0" w:line="360" w:lineRule="auto"/>
        <w:ind w:right="-28"/>
        <w:rPr>
          <w:b/>
        </w:rPr>
      </w:pPr>
      <w:r>
        <w:t xml:space="preserve">En ese contexto, el artículo 92, fracción VIII, de la Ley de Transparencia y Acceso a la Información Pública del Estado de México y Municipios, establece que los Sujetos Obligados deberán poner a disposición del público de manera permanente y actualizada, las </w:t>
      </w:r>
      <w:r>
        <w:rPr>
          <w:b/>
        </w:rPr>
        <w:t>remuneraciones brutas y netas de todos los servidores públicos, que incluya todas las percepciones, entre las cuales, se encuentran los sueldos, prestaciones, gratificaciones, primas, comisiones, dietas, bonos, estímulos, ingresos, entre otros.</w:t>
      </w:r>
    </w:p>
    <w:p w14:paraId="22D9CC3F" w14:textId="77777777" w:rsidR="002E2A28" w:rsidRDefault="002E2A28">
      <w:pPr>
        <w:spacing w:after="0" w:line="360" w:lineRule="auto"/>
        <w:ind w:right="-28"/>
      </w:pPr>
    </w:p>
    <w:p w14:paraId="187D4490" w14:textId="77777777" w:rsidR="002E2A28" w:rsidRDefault="00FE1B49">
      <w:pPr>
        <w:spacing w:after="0" w:line="360" w:lineRule="auto"/>
        <w:ind w:right="-28"/>
        <w:rPr>
          <w:b/>
        </w:rPr>
      </w:pPr>
      <w:r>
        <w:t xml:space="preserve">Además, respecto al documento requerido, el Glosario localizado en la página de Transparencia Presupuestaria de la Secretaría de Hacienda y Crédito Público (http://www.transparenciapresupuestaria.gob.mx/es/PTP/Glosario), establece que la </w:t>
      </w:r>
      <w:r>
        <w:rPr>
          <w:b/>
        </w:rPr>
        <w:t xml:space="preserve">Nómina es el documento contable que contiene la relación de los trabajadores con las percepciones monetarias de cada uno; además, que también se refiere al recibo individual </w:t>
      </w:r>
      <w:r>
        <w:rPr>
          <w:b/>
        </w:rPr>
        <w:lastRenderedPageBreak/>
        <w:t>y justificativo que indica los sueldos de los trabajadores, incluyendo las prestaciones y deducciones correspondientes.</w:t>
      </w:r>
    </w:p>
    <w:p w14:paraId="18BBFA38" w14:textId="77777777" w:rsidR="002E2A28" w:rsidRDefault="002E2A28">
      <w:pPr>
        <w:spacing w:after="0" w:line="360" w:lineRule="auto"/>
        <w:ind w:right="-28"/>
        <w:rPr>
          <w:b/>
        </w:rPr>
      </w:pPr>
    </w:p>
    <w:p w14:paraId="7E7AE8C4" w14:textId="77777777" w:rsidR="002E2A28" w:rsidRDefault="00FE1B49">
      <w:pPr>
        <w:spacing w:after="0" w:line="360" w:lineRule="auto"/>
        <w:ind w:right="-28"/>
      </w:pPr>
      <w:r>
        <w:t xml:space="preserve">De la misma manera, el Glosario de términos más usuales en la Administración Pública Federal, emitido por la Secretaría de Hacienda y Crédito Público (http://www.apartados.hacienda.gob.mx/contabilidad/documentos/informe_cuenta/1998/cu </w:t>
      </w:r>
      <w:proofErr w:type="spellStart"/>
      <w:r>
        <w:t>enta_pública</w:t>
      </w:r>
      <w:proofErr w:type="spellEnd"/>
      <w:r>
        <w:t xml:space="preserve">/Glosario/n.htm), establece que </w:t>
      </w:r>
      <w:r>
        <w:rPr>
          <w:u w:val="single"/>
        </w:rPr>
        <w:t>la nómina es un listado general</w:t>
      </w:r>
      <w:r>
        <w:t xml:space="preserve"> de los trabajadores de una institución, en el cual se asientan las percepciones brutas, deducciones y alcance neto de las mismas. Conforme a lo anterior, se puede advertir que la nómina se puede referir a lo siguiente:</w:t>
      </w:r>
    </w:p>
    <w:p w14:paraId="4C40B0C5" w14:textId="77777777" w:rsidR="002E2A28" w:rsidRDefault="002E2A28">
      <w:pPr>
        <w:spacing w:after="0" w:line="360" w:lineRule="auto"/>
        <w:ind w:right="-28"/>
      </w:pPr>
    </w:p>
    <w:p w14:paraId="68CA6249" w14:textId="77777777" w:rsidR="002E2A28" w:rsidRDefault="00FE1B49">
      <w:pPr>
        <w:numPr>
          <w:ilvl w:val="0"/>
          <w:numId w:val="1"/>
        </w:numPr>
        <w:pBdr>
          <w:top w:val="nil"/>
          <w:left w:val="nil"/>
          <w:bottom w:val="nil"/>
          <w:right w:val="nil"/>
          <w:between w:val="nil"/>
        </w:pBdr>
        <w:spacing w:after="0" w:line="360" w:lineRule="auto"/>
        <w:ind w:right="-28"/>
      </w:pPr>
      <w:r>
        <w:rPr>
          <w:color w:val="000000"/>
        </w:rPr>
        <w:t>Relación de trabajadores con las percepciones monetarias de cada uno.</w:t>
      </w:r>
    </w:p>
    <w:p w14:paraId="372979DD" w14:textId="77777777" w:rsidR="002E2A28" w:rsidRDefault="00FE1B49">
      <w:pPr>
        <w:numPr>
          <w:ilvl w:val="0"/>
          <w:numId w:val="1"/>
        </w:numPr>
        <w:pBdr>
          <w:top w:val="nil"/>
          <w:left w:val="nil"/>
          <w:bottom w:val="nil"/>
          <w:right w:val="nil"/>
          <w:between w:val="nil"/>
        </w:pBdr>
        <w:spacing w:after="0" w:line="360" w:lineRule="auto"/>
        <w:ind w:right="-28"/>
      </w:pPr>
      <w:r>
        <w:rPr>
          <w:color w:val="000000"/>
        </w:rPr>
        <w:t xml:space="preserve">Recibo individual que contiene las prestaciones y deducciones de un trabajador. </w:t>
      </w:r>
    </w:p>
    <w:p w14:paraId="4D34E9FA" w14:textId="77777777" w:rsidR="002E2A28" w:rsidRDefault="00FE1B49">
      <w:pPr>
        <w:numPr>
          <w:ilvl w:val="0"/>
          <w:numId w:val="1"/>
        </w:numPr>
        <w:pBdr>
          <w:top w:val="nil"/>
          <w:left w:val="nil"/>
          <w:bottom w:val="nil"/>
          <w:right w:val="nil"/>
          <w:between w:val="nil"/>
        </w:pBdr>
        <w:spacing w:after="0" w:line="360" w:lineRule="auto"/>
        <w:ind w:right="-28"/>
      </w:pPr>
      <w:r>
        <w:rPr>
          <w:color w:val="000000"/>
        </w:rPr>
        <w:t>Listado general de los servidores públicos de una institución o dependencia, en el cual se asientan las percepciones brutas, deducciones y alcance neto de las mismas.</w:t>
      </w:r>
    </w:p>
    <w:p w14:paraId="0200FBBC" w14:textId="77777777" w:rsidR="002E2A28" w:rsidRDefault="002E2A28">
      <w:pPr>
        <w:spacing w:after="0" w:line="360" w:lineRule="auto"/>
        <w:ind w:right="-28"/>
        <w:rPr>
          <w:color w:val="FF0000"/>
        </w:rPr>
      </w:pPr>
    </w:p>
    <w:p w14:paraId="7AC5FB96" w14:textId="77777777" w:rsidR="002E2A28" w:rsidRDefault="00FE1B49">
      <w:pPr>
        <w:spacing w:after="0" w:line="360" w:lineRule="auto"/>
        <w:ind w:right="-28"/>
      </w:pPr>
      <w:r>
        <w:t xml:space="preserve">En esa misma consecución de ideas, el Bando Municipal de </w:t>
      </w:r>
      <w:proofErr w:type="spellStart"/>
      <w:r>
        <w:t>Tonanitla</w:t>
      </w:r>
      <w:proofErr w:type="spellEnd"/>
      <w:r>
        <w:t xml:space="preserve"> dos mil veinticinco, en su artículo 152 establece que la Tesorería Municipal es el órgano encargado de la recaudación de los ingresos municipales, y responsable de realizar las erogaciones que haga el Ayuntamiento, asimismo se encargará de la Administración de la Hacienda Pública Municipal.</w:t>
      </w:r>
    </w:p>
    <w:p w14:paraId="1851B4B7" w14:textId="77777777" w:rsidR="002E2A28" w:rsidRDefault="002E2A28">
      <w:pPr>
        <w:spacing w:after="0" w:line="360" w:lineRule="auto"/>
        <w:ind w:right="-28"/>
      </w:pPr>
    </w:p>
    <w:p w14:paraId="118E8768" w14:textId="77777777" w:rsidR="002E2A28" w:rsidRDefault="00FE1B49">
      <w:pPr>
        <w:spacing w:after="0" w:line="360" w:lineRule="auto"/>
        <w:ind w:right="-28"/>
      </w:pPr>
      <w:r>
        <w:t xml:space="preserve">Al respecto el Manual de Organización de la Tesorería Municipal de </w:t>
      </w:r>
      <w:proofErr w:type="spellStart"/>
      <w:r>
        <w:t>Tonanitla</w:t>
      </w:r>
      <w:proofErr w:type="spellEnd"/>
      <w:r>
        <w:t xml:space="preserve"> administración dos mil veintidós, dos mil veinticuatro aún aplicable refiere que el Tesorero Municipal dentro de sus funciones se encarga entre otras cosas de realizar la dispersión de la nómina del personal del municipio a través de la banca electrónica.</w:t>
      </w:r>
    </w:p>
    <w:p w14:paraId="23ED59BB" w14:textId="77777777" w:rsidR="002E2A28" w:rsidRDefault="002E2A28">
      <w:pPr>
        <w:spacing w:after="0" w:line="360" w:lineRule="auto"/>
        <w:ind w:right="-28"/>
      </w:pPr>
    </w:p>
    <w:p w14:paraId="63981035" w14:textId="77777777" w:rsidR="002E2A28" w:rsidRDefault="00FE1B49">
      <w:pPr>
        <w:spacing w:after="0" w:line="360" w:lineRule="auto"/>
        <w:ind w:right="-28"/>
      </w:pPr>
      <w:r>
        <w:lastRenderedPageBreak/>
        <w:t xml:space="preserve">Así mismo, señala que la Tesorería Municipal cuenta con el Departamento de Nómina el cual tiene como objetivo integrar la plantilla de personal en el sistema que se tenga implantado para tal efecto, a través de los movimientos de alta y baja; así como aplicar todo tipo de incidencias; </w:t>
      </w:r>
      <w:r>
        <w:rPr>
          <w:b/>
        </w:rPr>
        <w:t xml:space="preserve">determinar el cálculo de la nómina observando la normatividad fiscal </w:t>
      </w:r>
      <w:r>
        <w:t>y laboral vigente, efectuando las retenciones por descuentos, impuestos y aportaciones de seguridad social.</w:t>
      </w:r>
    </w:p>
    <w:p w14:paraId="5BB2A0B6" w14:textId="77777777" w:rsidR="002E2A28" w:rsidRDefault="002E2A28">
      <w:pPr>
        <w:spacing w:after="0" w:line="360" w:lineRule="auto"/>
        <w:ind w:right="-28"/>
      </w:pPr>
    </w:p>
    <w:p w14:paraId="6ECC4FB0" w14:textId="77777777" w:rsidR="002E2A28" w:rsidRDefault="00FE1B49">
      <w:pPr>
        <w:spacing w:after="0" w:line="360" w:lineRule="auto"/>
        <w:ind w:right="-28"/>
        <w:rPr>
          <w:b/>
        </w:rPr>
      </w:pPr>
      <w:r>
        <w:t xml:space="preserve">Departamento que dentro de sus funciones se encarga entre otras cosas de determinar el cálculo de la nómina, tomando en consideración las incidencias que para tal efecto reporte la Dirección de Administración, </w:t>
      </w:r>
      <w:r>
        <w:rPr>
          <w:b/>
        </w:rPr>
        <w:t>realizar quincenalmente la conciliación de cuotas y créditos retenidos en nómina</w:t>
      </w:r>
      <w:r>
        <w:t xml:space="preserve"> contra la plataforma de ISSEMYM, generar el timbrado en formato CFDI para su impresión y firma de los servidores públicos e integrar trimestralmente el modulo cuatro en la sección nómina para incorporar la información al informe que se entregará al OSFEM.</w:t>
      </w:r>
    </w:p>
    <w:p w14:paraId="2F1A1085" w14:textId="77777777" w:rsidR="002E2A28" w:rsidRDefault="002E2A28">
      <w:pPr>
        <w:spacing w:after="0" w:line="360" w:lineRule="auto"/>
        <w:ind w:right="-28"/>
        <w:rPr>
          <w:color w:val="FF0000"/>
        </w:rPr>
      </w:pPr>
    </w:p>
    <w:p w14:paraId="15F88247" w14:textId="4DD794C4" w:rsidR="002E2A28" w:rsidRDefault="00FE1B49">
      <w:pPr>
        <w:spacing w:after="0" w:line="360" w:lineRule="auto"/>
        <w:ind w:right="-28"/>
      </w:pPr>
      <w:r>
        <w:t xml:space="preserve">Ahora bien, es necesario señalar que la persona Particular, por una parte, requirió la información de la actual </w:t>
      </w:r>
      <w:r w:rsidR="00CD6B28">
        <w:t>administración y</w:t>
      </w:r>
      <w:r>
        <w:t xml:space="preserve"> la solicitud se presentó el nueve de junio de dos mil veinticinco</w:t>
      </w:r>
      <w:r w:rsidR="00CD6B28">
        <w:t>, y, por otra parte, el particular consintió que se le entregará el sueldo bruto y neto.</w:t>
      </w:r>
    </w:p>
    <w:p w14:paraId="01FF5023" w14:textId="77777777" w:rsidR="00E31C66" w:rsidRDefault="00E31C66">
      <w:pPr>
        <w:spacing w:after="0" w:line="360" w:lineRule="auto"/>
        <w:ind w:right="-28"/>
      </w:pPr>
    </w:p>
    <w:p w14:paraId="5778A117" w14:textId="4741A568" w:rsidR="00E31C66" w:rsidRDefault="00FE1B49">
      <w:pPr>
        <w:spacing w:after="0" w:line="360" w:lineRule="auto"/>
        <w:ind w:right="-28"/>
      </w:pPr>
      <w:r>
        <w:t xml:space="preserve">De tales circunstancias, se logra vislumbrar que la pretensión del ahora Recurrente, es obtener </w:t>
      </w:r>
      <w:r w:rsidR="00CD6B28">
        <w:t>el documento donde conste el sueldo bruto y neto mensual vigente al nueve de junio de dos mil veinticinco del personal adscrito a la Dirección de Seguridad Pública Municipal.</w:t>
      </w:r>
    </w:p>
    <w:p w14:paraId="37EF486C" w14:textId="77777777" w:rsidR="00E31C66" w:rsidRDefault="00E31C66">
      <w:pPr>
        <w:spacing w:after="0" w:line="360" w:lineRule="auto"/>
        <w:ind w:right="-28"/>
      </w:pPr>
    </w:p>
    <w:p w14:paraId="00D3F941" w14:textId="77777777" w:rsidR="002E2A28" w:rsidRDefault="00FE1B49">
      <w:pPr>
        <w:tabs>
          <w:tab w:val="left" w:pos="4962"/>
        </w:tabs>
        <w:spacing w:after="0" w:line="360" w:lineRule="auto"/>
      </w:pPr>
      <w:r>
        <w:t xml:space="preserve">Establecido lo anterior, es de hacer mención que  de las constancias que obran en el expediente se advierte que el Sujeto Obligado turnó el requerimiento de información a la </w:t>
      </w:r>
      <w:r>
        <w:rPr>
          <w:b/>
        </w:rPr>
        <w:t>Tesorería Municipal</w:t>
      </w:r>
      <w:r>
        <w:t xml:space="preserve">, por lo que, es necesario hacer referencia, al procedimiento de búsqueda </w:t>
      </w:r>
      <w:r>
        <w:lastRenderedPageBreak/>
        <w:t>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5F0DD77A" w14:textId="77777777" w:rsidR="002E2A28" w:rsidRDefault="002E2A28">
      <w:pPr>
        <w:spacing w:after="0" w:line="360" w:lineRule="auto"/>
        <w:ind w:right="-28"/>
      </w:pPr>
    </w:p>
    <w:p w14:paraId="31104B40" w14:textId="29BA4708" w:rsidR="002E2A28" w:rsidRDefault="00FE1B49">
      <w:pPr>
        <w:spacing w:after="0" w:line="360" w:lineRule="auto"/>
        <w:ind w:right="-28"/>
        <w:rPr>
          <w:color w:val="FF0000"/>
        </w:rPr>
      </w:pPr>
      <w:r>
        <w:t xml:space="preserve">De tal circunstancia, se logra colegir que el Sujeto Obligado cumplió con el procedimiento de búsqueda, ya que turnó la solicitud al área competente para conocer de la nómina del personal del Ayuntamiento de </w:t>
      </w:r>
      <w:proofErr w:type="spellStart"/>
      <w:r>
        <w:t>Tonanitla</w:t>
      </w:r>
      <w:proofErr w:type="spellEnd"/>
      <w:r w:rsidR="00CD6B28">
        <w:t>, tan es así, que en contestación proporcionó parte de la información solicitada.</w:t>
      </w:r>
    </w:p>
    <w:p w14:paraId="592392B7" w14:textId="77777777" w:rsidR="002E2A28" w:rsidRDefault="002E2A28">
      <w:pPr>
        <w:spacing w:after="0" w:line="360" w:lineRule="auto"/>
        <w:rPr>
          <w:color w:val="FF0000"/>
        </w:rPr>
      </w:pPr>
    </w:p>
    <w:p w14:paraId="5CE051F5" w14:textId="49B35FCD" w:rsidR="00CD6B28" w:rsidRDefault="00FE1B49">
      <w:pPr>
        <w:spacing w:after="0" w:line="360" w:lineRule="auto"/>
      </w:pPr>
      <w:r>
        <w:t>Ahora bien, el Sujeto Obligado</w:t>
      </w:r>
      <w:r w:rsidR="00CD6B28">
        <w:t>,</w:t>
      </w:r>
      <w:r>
        <w:t xml:space="preserve"> a través de la Tesorería Municipal, </w:t>
      </w:r>
      <w:r w:rsidR="00CD6B28">
        <w:t>proporcionó información de ocho servidores públicos adscritos a la Dirección de Seguridad Pública Municipal; por lo que se verificó el Portal de Información Pública de Oficio Mexiquense y corresponde al personal administrativo y el mando superior (</w:t>
      </w:r>
      <w:r w:rsidR="002F49AB">
        <w:t>comandante</w:t>
      </w:r>
      <w:r w:rsidR="00CD6B28">
        <w:t>)</w:t>
      </w:r>
      <w:r w:rsidR="002F49AB">
        <w:t>, con el que contaba el Ayuntamiento; tan es así, que el área únicamente clasificó la información de los policías municipales; por lo que, se procede a su análisis.</w:t>
      </w:r>
    </w:p>
    <w:p w14:paraId="5180565A" w14:textId="77777777" w:rsidR="00CD6B28" w:rsidRDefault="00CD6B28">
      <w:pPr>
        <w:spacing w:after="0" w:line="360" w:lineRule="auto"/>
      </w:pPr>
    </w:p>
    <w:p w14:paraId="378EADF2" w14:textId="21AA8197" w:rsidR="002E2A28" w:rsidRDefault="002F49AB">
      <w:pPr>
        <w:spacing w:after="0" w:line="360" w:lineRule="auto"/>
        <w:rPr>
          <w:b/>
        </w:rPr>
      </w:pPr>
      <w:r>
        <w:t xml:space="preserve">Al respecto, cabe precisar, que conforme al artículo 20 de la Ley de Transparencia y Acceso a la Información Pública del Estado de México y Municipios, </w:t>
      </w:r>
      <w:r>
        <w:rPr>
          <w:b/>
        </w:rPr>
        <w:t>ante la negativa de acceso a la información o su inexistencia, el sujeto obligado deberá demostrar que encuentra en alguna de las excepciones establecidas en la normatividad aplicable.</w:t>
      </w:r>
    </w:p>
    <w:p w14:paraId="77B3EE6F" w14:textId="77777777" w:rsidR="002E2A28" w:rsidRDefault="002E2A28">
      <w:pPr>
        <w:spacing w:after="0" w:line="360" w:lineRule="auto"/>
        <w:rPr>
          <w:b/>
        </w:rPr>
      </w:pPr>
    </w:p>
    <w:p w14:paraId="4CCF0A24" w14:textId="77777777" w:rsidR="002E2A28" w:rsidRDefault="00FE1B49">
      <w:pPr>
        <w:spacing w:after="0" w:line="360" w:lineRule="auto"/>
      </w:pPr>
      <w:r>
        <w:t xml:space="preserve">En ese sentido, según Trujillo, Humberto (2019), en el “Diccionario de Transparencia y Acceso a la Información Pública” (p. 201), </w:t>
      </w:r>
      <w:r>
        <w:rPr>
          <w:b/>
        </w:rPr>
        <w:t>la negativa de acceso a la información</w:t>
      </w:r>
      <w:r>
        <w:t xml:space="preserve"> ocurre </w:t>
      </w:r>
      <w:r>
        <w:lastRenderedPageBreak/>
        <w:t>cuanto de manera fundada y motivada, una autoridad la niega o la limita, por alguna de las siguientes razones:</w:t>
      </w:r>
    </w:p>
    <w:p w14:paraId="3DC4DD9F" w14:textId="77777777" w:rsidR="002E2A28" w:rsidRDefault="002E2A28">
      <w:pPr>
        <w:spacing w:after="0" w:line="360" w:lineRule="auto"/>
      </w:pPr>
    </w:p>
    <w:p w14:paraId="4476EEBC" w14:textId="77777777" w:rsidR="002E2A28" w:rsidRDefault="00FE1B49">
      <w:pPr>
        <w:numPr>
          <w:ilvl w:val="0"/>
          <w:numId w:val="2"/>
        </w:numPr>
        <w:pBdr>
          <w:top w:val="nil"/>
          <w:left w:val="nil"/>
          <w:bottom w:val="nil"/>
          <w:right w:val="nil"/>
          <w:between w:val="nil"/>
        </w:pBdr>
        <w:spacing w:after="0" w:line="360" w:lineRule="auto"/>
      </w:pPr>
      <w:r>
        <w:rPr>
          <w:b/>
          <w:color w:val="000000"/>
        </w:rPr>
        <w:t>La inexistencia de la información (p. 171):</w:t>
      </w:r>
      <w:r>
        <w:rPr>
          <w:color w:val="000000"/>
        </w:rPr>
        <w:t xml:space="preserve"> Sucede cuando la información solicitada no se encuentra en los archivos públicos o clasificado de los entes sujetos a las Leyes de Transparencia.</w:t>
      </w:r>
    </w:p>
    <w:p w14:paraId="21B17133" w14:textId="77777777" w:rsidR="002E2A28" w:rsidRDefault="002E2A28">
      <w:pPr>
        <w:spacing w:after="0" w:line="360" w:lineRule="auto"/>
      </w:pPr>
    </w:p>
    <w:p w14:paraId="2F506F45" w14:textId="77777777" w:rsidR="002E2A28" w:rsidRDefault="00FE1B49">
      <w:pPr>
        <w:numPr>
          <w:ilvl w:val="0"/>
          <w:numId w:val="2"/>
        </w:numPr>
        <w:pBdr>
          <w:top w:val="nil"/>
          <w:left w:val="nil"/>
          <w:bottom w:val="nil"/>
          <w:right w:val="nil"/>
          <w:between w:val="nil"/>
        </w:pBdr>
        <w:spacing w:after="0" w:line="360" w:lineRule="auto"/>
      </w:pPr>
      <w:r>
        <w:rPr>
          <w:b/>
          <w:color w:val="000000"/>
        </w:rPr>
        <w:t>La incompetencia del Sujeto Obligado (p. 171):</w:t>
      </w:r>
      <w:r>
        <w:rPr>
          <w:color w:val="000000"/>
        </w:rPr>
        <w:t xml:space="preserve"> Ocurre cuando el Sujeto Obligado carece de atribuciones para poseer la información peticionada.</w:t>
      </w:r>
    </w:p>
    <w:p w14:paraId="3BC97751" w14:textId="77777777" w:rsidR="002E2A28" w:rsidRDefault="002E2A28">
      <w:pPr>
        <w:spacing w:after="0" w:line="360" w:lineRule="auto"/>
      </w:pPr>
    </w:p>
    <w:p w14:paraId="3AF342AE" w14:textId="77777777" w:rsidR="002E2A28" w:rsidRDefault="00FE1B49">
      <w:pPr>
        <w:numPr>
          <w:ilvl w:val="0"/>
          <w:numId w:val="2"/>
        </w:numPr>
        <w:pBdr>
          <w:top w:val="nil"/>
          <w:left w:val="nil"/>
          <w:bottom w:val="nil"/>
          <w:right w:val="nil"/>
          <w:between w:val="nil"/>
        </w:pBdr>
        <w:spacing w:after="0" w:line="360" w:lineRule="auto"/>
      </w:pPr>
      <w:r>
        <w:rPr>
          <w:b/>
          <w:color w:val="000000"/>
        </w:rPr>
        <w:t>La clasificación de la información (p. 70):</w:t>
      </w:r>
      <w:r>
        <w:rPr>
          <w:color w:val="000000"/>
        </w:rPr>
        <w:t xml:space="preserve"> Es el proceso o conjunto de acciones que realizan los sujetos obligados para establecer que determinada información se encuentra en alguno de los supuestos de reserva o confidencialidad establecidos en la legislación en materia de transparencia.</w:t>
      </w:r>
    </w:p>
    <w:p w14:paraId="2151E867" w14:textId="77777777" w:rsidR="002E2A28" w:rsidRDefault="002E2A28">
      <w:pPr>
        <w:spacing w:after="0" w:line="360" w:lineRule="auto"/>
      </w:pPr>
    </w:p>
    <w:p w14:paraId="5E4D6D11" w14:textId="77777777" w:rsidR="002E2A28" w:rsidRDefault="00FE1B49">
      <w:pPr>
        <w:spacing w:after="0" w:line="360" w:lineRule="auto"/>
      </w:pPr>
      <w:r>
        <w:t xml:space="preserve">En ese orden de ideas y en atención a lo anterior, es de señalar que las excepciones al derecho de acceso a la información, consisten en que la documentación sea inexistente, </w:t>
      </w:r>
      <w:r>
        <w:rPr>
          <w:b/>
        </w:rPr>
        <w:t>se encuentre clasificada,</w:t>
      </w:r>
      <w: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Pr>
          <w:b/>
        </w:rPr>
        <w:t>confidenciales o reservados.</w:t>
      </w:r>
    </w:p>
    <w:p w14:paraId="59750C27" w14:textId="77777777" w:rsidR="002E2A28" w:rsidRDefault="002E2A28">
      <w:pPr>
        <w:spacing w:after="0" w:line="360" w:lineRule="auto"/>
      </w:pPr>
    </w:p>
    <w:p w14:paraId="7A6026CE" w14:textId="77777777" w:rsidR="002E2A28" w:rsidRDefault="00FE1B49">
      <w:pPr>
        <w:spacing w:after="0" w:line="360" w:lineRule="auto"/>
      </w:pPr>
      <w:r>
        <w:t xml:space="preserve">Así, en los artículos 122, 128 y 130 de la Ley Transparencia y Acceso a la Información Pública del Estado de México y Municipios, se prevé que </w:t>
      </w:r>
      <w:r>
        <w:rPr>
          <w:b/>
        </w:rPr>
        <w:t>la clasificación</w:t>
      </w:r>
      <w:r>
        <w:t xml:space="preserve"> es el proceso mediante el cual los sujetos obligados determinan que la información en su poder, actualiza alguno de los supuestos de reserva o confidencialidad. Además, que dichos entes deberán aplicar de </w:t>
      </w:r>
      <w:r>
        <w:lastRenderedPageBreak/>
        <w:t>manera restrictiva y limitada, las excepciones al derecho de acceso a la información, por lo que, tendrán que acreditar la procedencia.</w:t>
      </w:r>
    </w:p>
    <w:p w14:paraId="55BDA997" w14:textId="77777777" w:rsidR="002E2A28" w:rsidRDefault="002E2A28">
      <w:pPr>
        <w:spacing w:after="0" w:line="360" w:lineRule="auto"/>
      </w:pPr>
    </w:p>
    <w:p w14:paraId="681FF054" w14:textId="77777777" w:rsidR="002E2A28" w:rsidRDefault="00FE1B49">
      <w:pPr>
        <w:spacing w:after="0" w:line="360" w:lineRule="auto"/>
      </w:pPr>
      <w:r>
        <w:t xml:space="preserve">Por lo cual, en los casos en que se niegue el acceso a la información, por actualizarse alguno de los supuestos de clasificación, </w:t>
      </w:r>
      <w:r>
        <w:rPr>
          <w:b/>
        </w:rPr>
        <w:t>el Comité de Transparencia deberá confirmar, modificar o revocar la decisión;</w:t>
      </w:r>
      <w:r>
        <w:t xml:space="preserve"> 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2C53A4A1" w14:textId="77777777" w:rsidR="002E2A28" w:rsidRDefault="002E2A28">
      <w:pPr>
        <w:spacing w:after="0" w:line="360" w:lineRule="auto"/>
      </w:pPr>
    </w:p>
    <w:p w14:paraId="1FDF6D5C" w14:textId="77777777" w:rsidR="002E2A28" w:rsidRDefault="00FE1B49">
      <w:pPr>
        <w:spacing w:after="0" w:line="360" w:lineRule="auto"/>
        <w:rPr>
          <w:b/>
        </w:rPr>
      </w:pPr>
      <w:r>
        <w:t xml:space="preserve">Por su parte, según Bonifaz, Leticia (2016), en la “Ley General de Transparencia y Acceso a la Información Pública Comentada” (p. 342), la </w:t>
      </w:r>
      <w:r>
        <w:rPr>
          <w:b/>
        </w:rPr>
        <w:t>clasificación de la información</w:t>
      </w:r>
      <w: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Pr>
          <w:b/>
        </w:rPr>
        <w:t>de manera adecuada la negativa de información.</w:t>
      </w:r>
    </w:p>
    <w:p w14:paraId="59733717" w14:textId="77777777" w:rsidR="002E2A28" w:rsidRDefault="002E2A28">
      <w:pPr>
        <w:spacing w:after="0" w:line="360" w:lineRule="auto"/>
        <w:rPr>
          <w:b/>
        </w:rPr>
      </w:pPr>
    </w:p>
    <w:p w14:paraId="341550F0" w14:textId="77777777" w:rsidR="002E2A28" w:rsidRDefault="00FE1B49">
      <w:pPr>
        <w:spacing w:after="0" w:line="360" w:lineRule="auto"/>
      </w:pPr>
      <w:r>
        <w:t>Conforme a lo anterior, en el presente caso, la Comisaria Municipal, no señaló que era inexistente la información, al contrario, precisó que no podía proporcionarla por ser clasificada como reservada.</w:t>
      </w:r>
    </w:p>
    <w:p w14:paraId="30CECA06" w14:textId="77777777" w:rsidR="002E2A28" w:rsidRDefault="002E2A28">
      <w:pPr>
        <w:spacing w:after="0" w:line="360" w:lineRule="auto"/>
      </w:pPr>
    </w:p>
    <w:p w14:paraId="082922EC" w14:textId="77777777" w:rsidR="002E2A28" w:rsidRDefault="00FE1B49">
      <w:pPr>
        <w:spacing w:after="0" w:line="360" w:lineRule="auto"/>
        <w:rPr>
          <w:b/>
        </w:rPr>
      </w:pPr>
      <w:r>
        <w:t xml:space="preserve">Conforme a lo anterior, se negó el acceso a la información peticionada por la parte Recurrente, al considerar que estaba clasificada; sobre el tema, el artículo 134 de la Ley de Transparencia y Acceso a la Información Pública del Estado de México y Municipios, precisa que los sujetos obligados no podrán emitir acuerdos de carácter general que clasifiquen documentos o expedientes; por lo que, la clasificación de información se llevará a cabo mediante </w:t>
      </w:r>
      <w:r>
        <w:rPr>
          <w:b/>
        </w:rPr>
        <w:t>un análisis caso por caso.</w:t>
      </w:r>
    </w:p>
    <w:p w14:paraId="4245EA7D" w14:textId="77777777" w:rsidR="002E2A28" w:rsidRDefault="00FE1B49">
      <w:pPr>
        <w:spacing w:after="0" w:line="360" w:lineRule="auto"/>
      </w:pPr>
      <w:r>
        <w:lastRenderedPageBreak/>
        <w:t xml:space="preserve">Además, el artículo 131 de la Ley referida, así como el Quinto de los Lineamientos Generales en Materia de Clasificación y Desclasificación de la Información, así como para la Elaboración de Versiones Públicas –Lineamientos Generales-, establecen que los sujetos obligados </w:t>
      </w:r>
      <w:r>
        <w:rPr>
          <w:b/>
        </w:rPr>
        <w:t>deberán</w:t>
      </w:r>
      <w:r>
        <w:t xml:space="preserve"> fundar y motivar debidamente la clasificación de la información.</w:t>
      </w:r>
    </w:p>
    <w:p w14:paraId="0F419022" w14:textId="77777777" w:rsidR="002E2A28" w:rsidRDefault="002E2A28">
      <w:pPr>
        <w:spacing w:after="0" w:line="360" w:lineRule="auto"/>
      </w:pPr>
    </w:p>
    <w:p w14:paraId="61433035" w14:textId="77777777" w:rsidR="002E2A28" w:rsidRDefault="00FE1B49">
      <w:pPr>
        <w:spacing w:after="0" w:line="360" w:lineRule="auto"/>
      </w:pPr>
      <w:r>
        <w:t>Al respecto, el Octavo de los Lineamientos Generales, precisa lo siguiente:</w:t>
      </w:r>
    </w:p>
    <w:p w14:paraId="699D4282" w14:textId="77777777" w:rsidR="002E2A28" w:rsidRDefault="002E2A28">
      <w:pPr>
        <w:spacing w:after="0" w:line="360" w:lineRule="auto"/>
      </w:pPr>
    </w:p>
    <w:p w14:paraId="510D6C96" w14:textId="77777777" w:rsidR="002E2A28" w:rsidRDefault="00FE1B49">
      <w:pPr>
        <w:numPr>
          <w:ilvl w:val="0"/>
          <w:numId w:val="3"/>
        </w:numPr>
        <w:pBdr>
          <w:top w:val="nil"/>
          <w:left w:val="nil"/>
          <w:bottom w:val="nil"/>
          <w:right w:val="nil"/>
          <w:between w:val="nil"/>
        </w:pBdr>
        <w:spacing w:after="0" w:line="360" w:lineRule="auto"/>
      </w:pPr>
      <w:r>
        <w:rPr>
          <w:b/>
          <w:color w:val="000000"/>
        </w:rPr>
        <w:t>Para fundar la clasificación</w:t>
      </w:r>
      <w:r>
        <w:rPr>
          <w:color w:val="000000"/>
        </w:rPr>
        <w:t xml:space="preserve"> de la información se deberán señalar el artículo, fracción, inciso, párrafo o numeral de la Ley aplicable;</w:t>
      </w:r>
    </w:p>
    <w:p w14:paraId="0B0B9DE6" w14:textId="77777777" w:rsidR="002E2A28" w:rsidRDefault="00FE1B49">
      <w:pPr>
        <w:numPr>
          <w:ilvl w:val="0"/>
          <w:numId w:val="3"/>
        </w:numPr>
        <w:pBdr>
          <w:top w:val="nil"/>
          <w:left w:val="nil"/>
          <w:bottom w:val="nil"/>
          <w:right w:val="nil"/>
          <w:between w:val="nil"/>
        </w:pBdr>
        <w:spacing w:after="0" w:line="360" w:lineRule="auto"/>
      </w:pPr>
      <w:r>
        <w:rPr>
          <w:b/>
          <w:color w:val="000000"/>
        </w:rPr>
        <w:t>Para motivar la clasificación</w:t>
      </w:r>
      <w:r>
        <w:rPr>
          <w:color w:val="000000"/>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el análisis de la prueba de daño, así como, las circunstancias que justifican el establecimiento de determinado plazo de reserva.</w:t>
      </w:r>
    </w:p>
    <w:p w14:paraId="57B52724" w14:textId="77777777" w:rsidR="002E2A28" w:rsidRDefault="002E2A28">
      <w:pPr>
        <w:spacing w:after="0" w:line="360" w:lineRule="auto"/>
      </w:pPr>
    </w:p>
    <w:p w14:paraId="5BAB7ED2" w14:textId="77777777" w:rsidR="002E2A28" w:rsidRDefault="00FE1B49">
      <w:pPr>
        <w:spacing w:after="0" w:line="360" w:lineRule="auto"/>
      </w:pPr>
      <w: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14:paraId="5D2D29F6" w14:textId="77777777" w:rsidR="002E2A28" w:rsidRDefault="002E2A28">
      <w:pPr>
        <w:spacing w:after="0" w:line="360" w:lineRule="auto"/>
      </w:pPr>
    </w:p>
    <w:p w14:paraId="28AF9CE2" w14:textId="77777777" w:rsidR="002E2A28" w:rsidRDefault="00FE1B49">
      <w:pPr>
        <w:spacing w:after="0" w:line="360" w:lineRule="auto"/>
        <w:ind w:left="567" w:right="567"/>
        <w:rPr>
          <w:i/>
          <w:sz w:val="20"/>
          <w:szCs w:val="20"/>
        </w:rPr>
      </w:pPr>
      <w:r>
        <w:rPr>
          <w:b/>
          <w:i/>
          <w:sz w:val="20"/>
          <w:szCs w:val="20"/>
        </w:rPr>
        <w:t xml:space="preserve">“FUNDAMENTACION Y MOTIVACION, CONCEPTO DE. </w:t>
      </w:r>
      <w:r>
        <w:rPr>
          <w:i/>
          <w:sz w:val="20"/>
          <w:szCs w:val="20"/>
        </w:rPr>
        <w:t xml:space="preserve">La garantía de legalidad consagrada en el artículo 16 de nuestra Carta Magna, establece que todo acto de autoridad precisa encontrarse debidamente fundado y motivado, entendiéndose por lo primero la obligación de la </w:t>
      </w:r>
      <w:r>
        <w:rPr>
          <w:i/>
          <w:sz w:val="20"/>
          <w:szCs w:val="20"/>
        </w:rPr>
        <w:lastRenderedPageBreak/>
        <w:t>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74224DC2" w14:textId="77777777" w:rsidR="002E2A28" w:rsidRDefault="002E2A28">
      <w:pPr>
        <w:spacing w:after="0" w:line="360" w:lineRule="auto"/>
        <w:rPr>
          <w:b/>
          <w:color w:val="FF0000"/>
        </w:rPr>
      </w:pPr>
    </w:p>
    <w:p w14:paraId="630E0C80" w14:textId="77777777" w:rsidR="002E2A28" w:rsidRDefault="00FE1B49">
      <w:pPr>
        <w:spacing w:after="0" w:line="360" w:lineRule="auto"/>
      </w:pPr>
      <w:r>
        <w:t>Conforme a lo anterior, se advierte lo siguiente:</w:t>
      </w:r>
    </w:p>
    <w:p w14:paraId="2D02829D" w14:textId="77777777" w:rsidR="002E2A28" w:rsidRDefault="002E2A28">
      <w:pPr>
        <w:spacing w:after="0" w:line="360" w:lineRule="auto"/>
      </w:pPr>
    </w:p>
    <w:p w14:paraId="54597B07" w14:textId="77777777" w:rsidR="002E2A28" w:rsidRDefault="00FE1B49">
      <w:pPr>
        <w:numPr>
          <w:ilvl w:val="0"/>
          <w:numId w:val="3"/>
        </w:numPr>
        <w:pBdr>
          <w:top w:val="nil"/>
          <w:left w:val="nil"/>
          <w:bottom w:val="nil"/>
          <w:right w:val="nil"/>
          <w:between w:val="nil"/>
        </w:pBdr>
        <w:spacing w:after="0" w:line="360" w:lineRule="auto"/>
      </w:pPr>
      <w:r>
        <w:rPr>
          <w:b/>
          <w:color w:val="000000"/>
        </w:rPr>
        <w:t>Fundamentación:</w:t>
      </w:r>
      <w:r>
        <w:rPr>
          <w:color w:val="000000"/>
        </w:rPr>
        <w:t xml:space="preserve"> Obligación de la autoridad que emite un acto, para citar los preceptos legales, sustantivos y adjetivos, en que se apoye para la determinación tomada. </w:t>
      </w:r>
    </w:p>
    <w:p w14:paraId="07D1AC04" w14:textId="77777777" w:rsidR="002E2A28" w:rsidRDefault="00FE1B49">
      <w:pPr>
        <w:numPr>
          <w:ilvl w:val="0"/>
          <w:numId w:val="3"/>
        </w:numPr>
        <w:pBdr>
          <w:top w:val="nil"/>
          <w:left w:val="nil"/>
          <w:bottom w:val="nil"/>
          <w:right w:val="nil"/>
          <w:between w:val="nil"/>
        </w:pBdr>
        <w:spacing w:after="0" w:line="360" w:lineRule="auto"/>
      </w:pPr>
      <w:r>
        <w:rPr>
          <w:b/>
          <w:color w:val="000000"/>
        </w:rPr>
        <w:t>Motivación:</w:t>
      </w:r>
      <w:r>
        <w:rPr>
          <w:color w:val="000000"/>
        </w:rPr>
        <w:t xml:space="preserve"> Razonamientos lógico-jurídicos sobre porque se consideró en el caso en concreto, que se ajusta a la hipótesis normativa.</w:t>
      </w:r>
    </w:p>
    <w:p w14:paraId="11C0BB38" w14:textId="77777777" w:rsidR="002E2A28" w:rsidRDefault="002E2A28">
      <w:pPr>
        <w:pBdr>
          <w:top w:val="nil"/>
          <w:left w:val="nil"/>
          <w:bottom w:val="nil"/>
          <w:right w:val="nil"/>
          <w:between w:val="nil"/>
        </w:pBdr>
        <w:spacing w:after="0" w:line="360" w:lineRule="auto"/>
        <w:ind w:left="720"/>
      </w:pPr>
    </w:p>
    <w:p w14:paraId="29DB1BCD" w14:textId="77777777" w:rsidR="002E2A28" w:rsidRDefault="00FE1B49">
      <w:pPr>
        <w:spacing w:after="0" w:line="360" w:lineRule="auto"/>
        <w:rPr>
          <w:color w:val="FF0000"/>
        </w:rPr>
      </w:pPr>
      <w:r>
        <w:t>En ese orden de ideas, el Trigésimo tercero de los Lineamientos Generales, establece la forma en que se debe fundamentar y motivar la reserva de la información, es decir, a través de los siguientes pasos:</w:t>
      </w:r>
    </w:p>
    <w:p w14:paraId="55C653C0" w14:textId="77777777" w:rsidR="002E2A28" w:rsidRDefault="002E2A28">
      <w:pPr>
        <w:spacing w:after="0" w:line="360" w:lineRule="auto"/>
        <w:rPr>
          <w:color w:val="FF0000"/>
        </w:rPr>
      </w:pPr>
    </w:p>
    <w:p w14:paraId="3487C325" w14:textId="77777777" w:rsidR="002E2A28" w:rsidRDefault="00FE1B49">
      <w:pPr>
        <w:numPr>
          <w:ilvl w:val="0"/>
          <w:numId w:val="4"/>
        </w:numPr>
        <w:pBdr>
          <w:top w:val="nil"/>
          <w:left w:val="nil"/>
          <w:bottom w:val="nil"/>
          <w:right w:val="nil"/>
          <w:between w:val="nil"/>
        </w:pBdr>
        <w:spacing w:after="0" w:line="360" w:lineRule="auto"/>
      </w:pPr>
      <w:r>
        <w:rPr>
          <w:color w:val="000000"/>
        </w:rPr>
        <w:t xml:space="preserve">No precisó las razones objetivas, concretas y específicas por las cuales la apertura de la información generaría una afectación que rebase el interés público, pues, el Sujeto Obligado confundió la argumentación, entre diversos supuestos de clasificación distintos. </w:t>
      </w:r>
    </w:p>
    <w:p w14:paraId="5756267A" w14:textId="77777777" w:rsidR="002E2A28" w:rsidRDefault="00FE1B49">
      <w:pPr>
        <w:numPr>
          <w:ilvl w:val="0"/>
          <w:numId w:val="4"/>
        </w:numPr>
        <w:pBdr>
          <w:top w:val="nil"/>
          <w:left w:val="nil"/>
          <w:bottom w:val="nil"/>
          <w:right w:val="nil"/>
          <w:between w:val="nil"/>
        </w:pBdr>
        <w:spacing w:after="0" w:line="360" w:lineRule="auto"/>
      </w:pPr>
      <w:r>
        <w:rPr>
          <w:color w:val="000000"/>
        </w:rPr>
        <w:t xml:space="preserve">No acreditó el vínculo entre la información peticionada y la afectación que podría causar, pues únicamente precisó diversos supuestos establecidos en la Ley de la materia. </w:t>
      </w:r>
    </w:p>
    <w:p w14:paraId="1F0EED77" w14:textId="77777777" w:rsidR="002E2A28" w:rsidRDefault="00FE1B49">
      <w:pPr>
        <w:numPr>
          <w:ilvl w:val="0"/>
          <w:numId w:val="4"/>
        </w:numPr>
        <w:pBdr>
          <w:top w:val="nil"/>
          <w:left w:val="nil"/>
          <w:bottom w:val="nil"/>
          <w:right w:val="nil"/>
          <w:between w:val="nil"/>
        </w:pBdr>
        <w:spacing w:after="0" w:line="360" w:lineRule="auto"/>
      </w:pPr>
      <w:r>
        <w:rPr>
          <w:color w:val="000000"/>
        </w:rPr>
        <w:t xml:space="preserve">Omitió señalar, las circunstancias de tiempo, modo y lugar del daño que produciría entregar la información peticionada. </w:t>
      </w:r>
    </w:p>
    <w:p w14:paraId="1AB8AB3A" w14:textId="77777777" w:rsidR="002E2A28" w:rsidRDefault="002E2A28">
      <w:pPr>
        <w:spacing w:after="0" w:line="360" w:lineRule="auto"/>
        <w:rPr>
          <w:color w:val="FF0000"/>
        </w:rPr>
      </w:pPr>
    </w:p>
    <w:p w14:paraId="398D7E01" w14:textId="77777777" w:rsidR="002E2A28" w:rsidRDefault="00FE1B49">
      <w:pPr>
        <w:spacing w:after="0" w:line="360" w:lineRule="auto"/>
      </w:pPr>
      <w:r>
        <w:lastRenderedPageBreak/>
        <w:t xml:space="preserve">Así, se advierte que  el Sujeto Obligado, no fundamentó y motivó la reserva, pues no realizó la prueba de daño, señalada en el Trigésimo tercero de los Lineamientos Generales, relacionado con el artículo 129 de la Ley de Transparencia y Acceso a la Información Pública del Estado de México y Municipios,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además de ser omiso en remitir el acuerdo emitido por el Comité, ahora bien, sin menospreciar lo anterior, este Instituto procederá al análisis de las causales de reserva aludidas por el Sujeto Obligado; para lo cual, es de señalar que se debe realizar una evaluación, caso por caso, a través de una prueba de daño, tomando como referencia, el principio de máxima publicidad y el interés público de dar a conocer la información requerida, lo cual da como resultado que el agravio sea </w:t>
      </w:r>
      <w:r>
        <w:rPr>
          <w:b/>
        </w:rPr>
        <w:t>FUNDADO.</w:t>
      </w:r>
    </w:p>
    <w:p w14:paraId="0427AD1B" w14:textId="77777777" w:rsidR="002E2A28" w:rsidRDefault="002E2A28">
      <w:pPr>
        <w:spacing w:after="0" w:line="360" w:lineRule="auto"/>
      </w:pPr>
    </w:p>
    <w:p w14:paraId="79CBC6B0" w14:textId="77777777" w:rsidR="002E2A28" w:rsidRDefault="00FE1B49">
      <w:pPr>
        <w:spacing w:after="0" w:line="360" w:lineRule="auto"/>
      </w:pPr>
      <w:r>
        <w:t>En ese contexto, respecto a los conceptos señalados, los artículos 3°, fracción XXII y 9°, fracción VII, de la Ley de Transparencia y Acceso a la Información Pública del Estado de México y Municipios, establecen lo siguiente:</w:t>
      </w:r>
    </w:p>
    <w:p w14:paraId="1992420B" w14:textId="77777777" w:rsidR="002E2A28" w:rsidRDefault="002E2A28">
      <w:pPr>
        <w:spacing w:after="0" w:line="360" w:lineRule="auto"/>
        <w:rPr>
          <w:b/>
        </w:rPr>
      </w:pPr>
    </w:p>
    <w:p w14:paraId="1AFC51AD" w14:textId="77777777" w:rsidR="002E2A28" w:rsidRDefault="00FE1B49">
      <w:pPr>
        <w:numPr>
          <w:ilvl w:val="0"/>
          <w:numId w:val="5"/>
        </w:numPr>
        <w:pBdr>
          <w:top w:val="nil"/>
          <w:left w:val="nil"/>
          <w:bottom w:val="nil"/>
          <w:right w:val="nil"/>
          <w:between w:val="nil"/>
        </w:pBdr>
        <w:spacing w:after="0" w:line="360" w:lineRule="auto"/>
      </w:pPr>
      <w:r>
        <w:rPr>
          <w:b/>
          <w:color w:val="000000"/>
        </w:rPr>
        <w:t>Principio de Máxima Publicidad:</w:t>
      </w:r>
      <w:r>
        <w:rPr>
          <w:color w:val="000000"/>
        </w:rPr>
        <w:t xml:space="preserve"> Precisa que toda la información en posesión de los entes sujetos a las Leyes de Transparencia, es pública, completa, oportuna y accesible, sujeta a un claro régimen de excepciones.</w:t>
      </w:r>
    </w:p>
    <w:p w14:paraId="5CD61DBB" w14:textId="77777777" w:rsidR="002E2A28" w:rsidRDefault="002E2A28">
      <w:pPr>
        <w:pBdr>
          <w:top w:val="nil"/>
          <w:left w:val="nil"/>
          <w:bottom w:val="nil"/>
          <w:right w:val="nil"/>
          <w:between w:val="nil"/>
        </w:pBdr>
        <w:spacing w:after="0" w:line="360" w:lineRule="auto"/>
        <w:ind w:left="720"/>
        <w:rPr>
          <w:color w:val="000000"/>
        </w:rPr>
      </w:pPr>
    </w:p>
    <w:p w14:paraId="1D3F7E81" w14:textId="77777777" w:rsidR="002E2A28" w:rsidRDefault="00FE1B49">
      <w:pPr>
        <w:numPr>
          <w:ilvl w:val="0"/>
          <w:numId w:val="5"/>
        </w:numPr>
        <w:pBdr>
          <w:top w:val="nil"/>
          <w:left w:val="nil"/>
          <w:bottom w:val="nil"/>
          <w:right w:val="nil"/>
          <w:between w:val="nil"/>
        </w:pBdr>
        <w:spacing w:after="0" w:line="360" w:lineRule="auto"/>
      </w:pPr>
      <w:r>
        <w:rPr>
          <w:b/>
          <w:color w:val="000000"/>
        </w:rPr>
        <w:t>Información de Interés Público:</w:t>
      </w:r>
      <w:r>
        <w:rPr>
          <w:color w:val="000000"/>
        </w:rPr>
        <w:t xml:space="preserve"> Es aquella que resulta relevante o beneficiosa para la sociedad y no simplemente de interés individual, cuya divulgación resulta útil para que el público comprenda las actividades que llevan a cabo los sujetos obligados.</w:t>
      </w:r>
    </w:p>
    <w:p w14:paraId="27E4E019" w14:textId="77777777" w:rsidR="002E2A28" w:rsidRDefault="002E2A28">
      <w:pPr>
        <w:spacing w:after="0" w:line="360" w:lineRule="auto"/>
        <w:rPr>
          <w:color w:val="FF0000"/>
        </w:rPr>
      </w:pPr>
    </w:p>
    <w:p w14:paraId="1275F2A1" w14:textId="23725AAF" w:rsidR="002E2A28" w:rsidRDefault="00FE1B49">
      <w:pPr>
        <w:spacing w:after="0" w:line="360" w:lineRule="auto"/>
      </w:pPr>
      <w:r>
        <w:lastRenderedPageBreak/>
        <w:t xml:space="preserve">Sin menoscabar, lo anterior es necesario </w:t>
      </w:r>
      <w:r w:rsidR="002F49AB">
        <w:t>precisar si el nombre, cargo, adscripción y sueldo bruto y neto de los policías municipales</w:t>
      </w:r>
      <w:r>
        <w:t xml:space="preserve">, pudiera vulnerar la alguna causal de reserva establecida en el artículo 140, fracción I, de la Ley de Transparencia y Acceso a la Información Pública del Estado de México y Municipios, </w:t>
      </w:r>
      <w:r w:rsidR="002F49AB">
        <w:t xml:space="preserve">que </w:t>
      </w:r>
      <w:r>
        <w:t>prevé lo siguiente:</w:t>
      </w:r>
    </w:p>
    <w:p w14:paraId="51E9D245" w14:textId="77777777" w:rsidR="002E2A28" w:rsidRDefault="002E2A28">
      <w:pPr>
        <w:spacing w:after="0" w:line="360" w:lineRule="auto"/>
        <w:rPr>
          <w:color w:val="FF0000"/>
        </w:rPr>
      </w:pPr>
    </w:p>
    <w:p w14:paraId="12347B5C" w14:textId="77777777" w:rsidR="002E2A28" w:rsidRDefault="00FE1B49">
      <w:pPr>
        <w:spacing w:after="0" w:line="360" w:lineRule="auto"/>
        <w:ind w:left="567" w:right="567"/>
        <w:rPr>
          <w:i/>
          <w:sz w:val="20"/>
          <w:szCs w:val="20"/>
        </w:rPr>
      </w:pPr>
      <w:r>
        <w:rPr>
          <w:b/>
          <w:i/>
          <w:sz w:val="20"/>
          <w:szCs w:val="20"/>
        </w:rPr>
        <w:t>“Artículo 140.</w:t>
      </w:r>
      <w:r>
        <w:rPr>
          <w:i/>
          <w:sz w:val="20"/>
          <w:szCs w:val="20"/>
        </w:rPr>
        <w:t xml:space="preserve"> El acceso a la información pública será restringido excepcionalmente, cuando por razones de interés público, ésta sea clasificada como reservada, conforme a los criterios siguientes: </w:t>
      </w:r>
    </w:p>
    <w:p w14:paraId="026D272E" w14:textId="77777777" w:rsidR="002E2A28" w:rsidRDefault="002E2A28">
      <w:pPr>
        <w:spacing w:after="0" w:line="360" w:lineRule="auto"/>
        <w:ind w:left="567" w:right="567"/>
        <w:rPr>
          <w:i/>
          <w:sz w:val="20"/>
          <w:szCs w:val="20"/>
        </w:rPr>
      </w:pPr>
    </w:p>
    <w:p w14:paraId="2AB1D852" w14:textId="77777777" w:rsidR="002F49AB" w:rsidRDefault="00FE1B49">
      <w:pPr>
        <w:spacing w:after="0" w:line="360" w:lineRule="auto"/>
        <w:ind w:left="567" w:right="567"/>
        <w:rPr>
          <w:i/>
          <w:sz w:val="20"/>
          <w:szCs w:val="20"/>
        </w:rPr>
      </w:pPr>
      <w:r>
        <w:rPr>
          <w:i/>
          <w:sz w:val="20"/>
          <w:szCs w:val="20"/>
        </w:rPr>
        <w:t>I. Comprometa la seguridad pública y cuente con un propósito genuino y un efecto demostrable;</w:t>
      </w:r>
    </w:p>
    <w:p w14:paraId="3084D060" w14:textId="750DBA52" w:rsidR="002E2A28" w:rsidRDefault="00FE1B49">
      <w:pPr>
        <w:spacing w:after="0" w:line="360" w:lineRule="auto"/>
        <w:ind w:left="567" w:right="567"/>
        <w:rPr>
          <w:i/>
          <w:sz w:val="20"/>
          <w:szCs w:val="20"/>
        </w:rPr>
      </w:pPr>
      <w:r>
        <w:rPr>
          <w:i/>
          <w:sz w:val="20"/>
          <w:szCs w:val="20"/>
        </w:rPr>
        <w:t>…”</w:t>
      </w:r>
    </w:p>
    <w:p w14:paraId="723AC359" w14:textId="77777777" w:rsidR="002E2A28" w:rsidRDefault="002E2A28">
      <w:pPr>
        <w:spacing w:after="0" w:line="360" w:lineRule="auto"/>
        <w:rPr>
          <w:color w:val="FF0000"/>
        </w:rPr>
      </w:pPr>
    </w:p>
    <w:p w14:paraId="53652152" w14:textId="77777777" w:rsidR="002E2A28" w:rsidRDefault="00FE1B49">
      <w:pPr>
        <w:spacing w:after="0" w:line="360" w:lineRule="auto"/>
      </w:pPr>
      <w:r>
        <w:t>De dicho precepto normativo se desprende que podrá clasificarse como información reservada aquella cuya publicación comprometa la seguridad pública y cuente con un propósito genuino y un efecto demostrable. Por su parte, los Lineamientos Generales, disponen:</w:t>
      </w:r>
    </w:p>
    <w:p w14:paraId="5FF4EDEE" w14:textId="77777777" w:rsidR="002F49AB" w:rsidRDefault="002F49AB">
      <w:pPr>
        <w:spacing w:after="0" w:line="360" w:lineRule="auto"/>
      </w:pPr>
    </w:p>
    <w:p w14:paraId="69BC2785" w14:textId="77777777" w:rsidR="002E2A28" w:rsidRDefault="00FE1B49">
      <w:pPr>
        <w:spacing w:after="0" w:line="360" w:lineRule="auto"/>
        <w:ind w:left="567" w:right="567"/>
        <w:rPr>
          <w:i/>
          <w:sz w:val="20"/>
          <w:szCs w:val="20"/>
        </w:rPr>
      </w:pPr>
      <w:r>
        <w:rPr>
          <w:b/>
          <w:i/>
          <w:sz w:val="20"/>
          <w:szCs w:val="20"/>
        </w:rPr>
        <w:t>“Décimo octavo.</w:t>
      </w:r>
      <w:r>
        <w:rPr>
          <w:i/>
          <w:sz w:val="20"/>
          <w:szCs w:val="20"/>
        </w:rPr>
        <w:t xml:space="preserve">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14:paraId="72450642" w14:textId="77777777" w:rsidR="002E2A28" w:rsidRDefault="002E2A28">
      <w:pPr>
        <w:spacing w:after="0" w:line="360" w:lineRule="auto"/>
        <w:ind w:left="567" w:right="567"/>
        <w:rPr>
          <w:i/>
          <w:sz w:val="20"/>
          <w:szCs w:val="20"/>
        </w:rPr>
      </w:pPr>
    </w:p>
    <w:p w14:paraId="5D0E1639" w14:textId="77777777" w:rsidR="002E2A28" w:rsidRDefault="00FE1B49">
      <w:pPr>
        <w:spacing w:after="0" w:line="360" w:lineRule="auto"/>
        <w:ind w:left="567" w:right="567"/>
        <w:rPr>
          <w:i/>
          <w:sz w:val="20"/>
          <w:szCs w:val="20"/>
        </w:rPr>
      </w:pPr>
      <w:r>
        <w:rPr>
          <w:i/>
          <w:sz w:val="20"/>
          <w:szCs w:val="20"/>
        </w:rPr>
        <w:t>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w:t>
      </w:r>
    </w:p>
    <w:p w14:paraId="0077797A" w14:textId="77777777" w:rsidR="002E2A28" w:rsidRDefault="002E2A28">
      <w:pPr>
        <w:spacing w:after="0" w:line="360" w:lineRule="auto"/>
        <w:ind w:left="567" w:right="567"/>
        <w:rPr>
          <w:i/>
          <w:sz w:val="20"/>
          <w:szCs w:val="20"/>
        </w:rPr>
      </w:pPr>
    </w:p>
    <w:p w14:paraId="027BFEF6" w14:textId="77777777" w:rsidR="002E2A28" w:rsidRDefault="00FE1B49">
      <w:pPr>
        <w:spacing w:after="0" w:line="360" w:lineRule="auto"/>
        <w:ind w:left="567" w:right="567"/>
        <w:rPr>
          <w:i/>
          <w:sz w:val="20"/>
          <w:szCs w:val="20"/>
        </w:rPr>
      </w:pPr>
      <w:r>
        <w:rPr>
          <w:i/>
          <w:sz w:val="20"/>
          <w:szCs w:val="20"/>
        </w:rPr>
        <w:lastRenderedPageBreak/>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69F0DB56" w14:textId="77777777" w:rsidR="002E2A28" w:rsidRDefault="002E2A28">
      <w:pPr>
        <w:spacing w:after="0" w:line="360" w:lineRule="auto"/>
      </w:pPr>
    </w:p>
    <w:p w14:paraId="581B71E1" w14:textId="77777777" w:rsidR="002E2A28" w:rsidRDefault="00FE1B49">
      <w:pPr>
        <w:spacing w:after="0" w:line="360" w:lineRule="auto"/>
      </w:pPr>
      <w:r>
        <w:t>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w:t>
      </w:r>
    </w:p>
    <w:p w14:paraId="2FECAB17" w14:textId="77777777" w:rsidR="002E2A28" w:rsidRDefault="002E2A28">
      <w:pPr>
        <w:spacing w:after="0" w:line="360" w:lineRule="auto"/>
      </w:pPr>
    </w:p>
    <w:p w14:paraId="256C6FD8" w14:textId="77777777" w:rsidR="002E2A28" w:rsidRDefault="00FE1B49">
      <w:pPr>
        <w:spacing w:after="0" w:line="360" w:lineRule="auto"/>
      </w:pPr>
      <w: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4C0B66D1" w14:textId="77777777" w:rsidR="002E2A28" w:rsidRDefault="002E2A28">
      <w:pPr>
        <w:spacing w:after="0" w:line="360" w:lineRule="auto"/>
      </w:pPr>
    </w:p>
    <w:p w14:paraId="6C74465A" w14:textId="77777777" w:rsidR="002E2A28" w:rsidRDefault="00FE1B49">
      <w:pPr>
        <w:spacing w:after="0" w:line="360" w:lineRule="auto"/>
      </w:pPr>
      <w:r>
        <w:t>En ese orden de ideas, el artículo 81 de la Ley de Seguridad del Estado de México, que establece lo siguiente:</w:t>
      </w:r>
    </w:p>
    <w:p w14:paraId="43BBD026" w14:textId="77777777" w:rsidR="002E2A28" w:rsidRDefault="002E2A28">
      <w:pPr>
        <w:spacing w:after="0" w:line="360" w:lineRule="auto"/>
        <w:rPr>
          <w:color w:val="FF0000"/>
        </w:rPr>
      </w:pPr>
    </w:p>
    <w:p w14:paraId="172D198C" w14:textId="77777777" w:rsidR="002E2A28" w:rsidRDefault="00FE1B49">
      <w:pPr>
        <w:spacing w:after="0" w:line="360" w:lineRule="auto"/>
        <w:ind w:left="567" w:right="567"/>
        <w:rPr>
          <w:i/>
          <w:sz w:val="20"/>
          <w:szCs w:val="20"/>
        </w:rPr>
      </w:pPr>
      <w:r>
        <w:rPr>
          <w:b/>
          <w:i/>
          <w:sz w:val="20"/>
          <w:szCs w:val="20"/>
        </w:rPr>
        <w:t>“Artículo 81.-</w:t>
      </w:r>
      <w:r>
        <w:rPr>
          <w:i/>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3839DE3C" w14:textId="77777777" w:rsidR="002E2A28" w:rsidRDefault="002E2A28">
      <w:pPr>
        <w:spacing w:after="0" w:line="360" w:lineRule="auto"/>
        <w:ind w:left="567" w:right="567"/>
        <w:rPr>
          <w:color w:val="FF0000"/>
        </w:rPr>
      </w:pPr>
    </w:p>
    <w:p w14:paraId="1F0F7D7D" w14:textId="77777777" w:rsidR="002E2A28" w:rsidRDefault="00FE1B49">
      <w:pPr>
        <w:spacing w:after="0" w:line="360" w:lineRule="auto"/>
        <w:ind w:left="567" w:right="567"/>
        <w:rPr>
          <w:i/>
          <w:sz w:val="20"/>
          <w:szCs w:val="20"/>
        </w:rPr>
      </w:pPr>
      <w:r>
        <w:rPr>
          <w:i/>
          <w:sz w:val="20"/>
          <w:szCs w:val="20"/>
        </w:rPr>
        <w:t xml:space="preserve">I.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304DE826" w14:textId="77777777" w:rsidR="002E2A28" w:rsidRDefault="00FE1B49">
      <w:pPr>
        <w:spacing w:after="0" w:line="360" w:lineRule="auto"/>
        <w:ind w:left="567" w:right="567"/>
        <w:rPr>
          <w:i/>
          <w:sz w:val="20"/>
          <w:szCs w:val="20"/>
        </w:rPr>
      </w:pPr>
      <w:r>
        <w:rPr>
          <w:i/>
          <w:sz w:val="20"/>
          <w:szCs w:val="20"/>
        </w:rPr>
        <w:t xml:space="preserve">II. Aquella cuya revelación pueda ser utilizada para actualizar o potenciar una amenaza a la seguridad pública o a las instituciones del Estado de México; </w:t>
      </w:r>
    </w:p>
    <w:p w14:paraId="37CFB513" w14:textId="77777777" w:rsidR="002E2A28" w:rsidRDefault="00FE1B49">
      <w:pPr>
        <w:spacing w:after="0" w:line="360" w:lineRule="auto"/>
        <w:ind w:left="567" w:right="567"/>
        <w:rPr>
          <w:i/>
          <w:sz w:val="20"/>
          <w:szCs w:val="20"/>
        </w:rPr>
      </w:pPr>
      <w:r>
        <w:rPr>
          <w:i/>
          <w:sz w:val="20"/>
          <w:szCs w:val="20"/>
        </w:rPr>
        <w:lastRenderedPageBreak/>
        <w:t xml:space="preserve">… </w:t>
      </w:r>
    </w:p>
    <w:p w14:paraId="36626761" w14:textId="77777777" w:rsidR="002E2A28" w:rsidRDefault="00FE1B49">
      <w:pPr>
        <w:spacing w:after="0" w:line="360" w:lineRule="auto"/>
        <w:ind w:left="567" w:right="567"/>
        <w:rPr>
          <w:i/>
          <w:sz w:val="20"/>
          <w:szCs w:val="20"/>
        </w:rPr>
      </w:pPr>
      <w:r>
        <w:rPr>
          <w:i/>
          <w:sz w:val="20"/>
          <w:szCs w:val="20"/>
        </w:rPr>
        <w:t xml:space="preserve">IV. La que sea producto de una intervención de comunicaciones privadas autorizadas conforme a la Constitución Federal y las disposiciones legales correspondientes; y </w:t>
      </w:r>
    </w:p>
    <w:p w14:paraId="7824C708" w14:textId="77777777" w:rsidR="002E2A28" w:rsidRDefault="00FE1B49">
      <w:pPr>
        <w:spacing w:after="0" w:line="360" w:lineRule="auto"/>
        <w:ind w:left="567" w:right="567"/>
        <w:rPr>
          <w:i/>
          <w:sz w:val="20"/>
          <w:szCs w:val="20"/>
        </w:rPr>
      </w:pPr>
      <w:r>
        <w:rPr>
          <w:i/>
          <w:sz w:val="20"/>
          <w:szCs w:val="20"/>
        </w:rPr>
        <w:t>V. La contenida en averiguaciones previas, carpetas de investigación, expedientes y demás archivos relativos a la investigación para la prevención y la investigación de los delitos y faltas administrativas, en términos de las disposiciones aplicables.”</w:t>
      </w:r>
    </w:p>
    <w:p w14:paraId="35F47318" w14:textId="77777777" w:rsidR="002E2A28" w:rsidRDefault="002E2A28">
      <w:pPr>
        <w:spacing w:after="0" w:line="360" w:lineRule="auto"/>
        <w:rPr>
          <w:color w:val="FF0000"/>
        </w:rPr>
      </w:pPr>
    </w:p>
    <w:p w14:paraId="7DF03CDA" w14:textId="77777777" w:rsidR="002E2A28" w:rsidRDefault="00FE1B49">
      <w:pPr>
        <w:spacing w:after="0" w:line="360" w:lineRule="auto"/>
      </w:pPr>
      <w:r>
        <w:t>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045B6EEF" w14:textId="77777777" w:rsidR="002E2A28" w:rsidRDefault="002E2A28">
      <w:pPr>
        <w:spacing w:after="0" w:line="360" w:lineRule="auto"/>
      </w:pPr>
    </w:p>
    <w:p w14:paraId="42BB847E" w14:textId="77777777" w:rsidR="002E2A28" w:rsidRDefault="00FE1B49">
      <w:pPr>
        <w:spacing w:after="0" w:line="360" w:lineRule="auto"/>
      </w:pPr>
      <w:r>
        <w:t>Una vez establecido lo anterior, resulta necesario precisar, que conforme al artículo 4° de la Ley de Seguridad del Estado de México,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2ED69C0F" w14:textId="77777777" w:rsidR="002E2A28" w:rsidRDefault="002E2A28">
      <w:pPr>
        <w:spacing w:after="0" w:line="360" w:lineRule="auto"/>
      </w:pPr>
    </w:p>
    <w:p w14:paraId="7A2DAD75" w14:textId="77777777" w:rsidR="002E2A28" w:rsidRDefault="00FE1B49">
      <w:pPr>
        <w:spacing w:after="0" w:line="360" w:lineRule="auto"/>
      </w:pPr>
      <w:r>
        <w:t>En ese contexto, el artículo 6°, fracciones XI y XII de dicho ordenamiento jurídico, establece los siguientes conceptos:</w:t>
      </w:r>
    </w:p>
    <w:p w14:paraId="456462AE" w14:textId="77777777" w:rsidR="002E2A28" w:rsidRDefault="002E2A28">
      <w:pPr>
        <w:spacing w:after="0" w:line="360" w:lineRule="auto"/>
        <w:rPr>
          <w:b/>
        </w:rPr>
      </w:pPr>
    </w:p>
    <w:p w14:paraId="372A8CBF" w14:textId="77777777" w:rsidR="002E2A28" w:rsidRDefault="00FE1B49">
      <w:pPr>
        <w:numPr>
          <w:ilvl w:val="0"/>
          <w:numId w:val="6"/>
        </w:numPr>
        <w:pBdr>
          <w:top w:val="nil"/>
          <w:left w:val="nil"/>
          <w:bottom w:val="nil"/>
          <w:right w:val="nil"/>
          <w:between w:val="nil"/>
        </w:pBdr>
        <w:spacing w:after="0" w:line="360" w:lineRule="auto"/>
      </w:pPr>
      <w:r>
        <w:rPr>
          <w:b/>
          <w:color w:val="000000"/>
        </w:rPr>
        <w:t>Instituciones Policiales:</w:t>
      </w:r>
      <w:r>
        <w:rPr>
          <w:color w:val="000000"/>
        </w:rPr>
        <w:t xml:space="preserve"> Son los cuerpos de policía, de vigilancia y custodia de los establecimientos penitenciarios, detención preventiva, centros de arraigo y en </w:t>
      </w:r>
      <w:r>
        <w:rPr>
          <w:color w:val="000000"/>
        </w:rPr>
        <w:lastRenderedPageBreak/>
        <w:t xml:space="preserve">general, todas las dependencias encargadas de la seguridad pública a nivel estatal y municipal. </w:t>
      </w:r>
    </w:p>
    <w:p w14:paraId="76664590" w14:textId="77777777" w:rsidR="002E2A28" w:rsidRDefault="002E2A28">
      <w:pPr>
        <w:spacing w:after="0" w:line="360" w:lineRule="auto"/>
      </w:pPr>
    </w:p>
    <w:p w14:paraId="4C879EC5" w14:textId="77777777" w:rsidR="002E2A28" w:rsidRDefault="00FE1B49">
      <w:pPr>
        <w:numPr>
          <w:ilvl w:val="0"/>
          <w:numId w:val="6"/>
        </w:numPr>
        <w:pBdr>
          <w:top w:val="nil"/>
          <w:left w:val="nil"/>
          <w:bottom w:val="nil"/>
          <w:right w:val="nil"/>
          <w:between w:val="nil"/>
        </w:pBdr>
        <w:spacing w:after="0" w:line="360" w:lineRule="auto"/>
      </w:pPr>
      <w:r>
        <w:rPr>
          <w:b/>
          <w:color w:val="000000"/>
        </w:rPr>
        <w:t>Instituciones de Seguridad Pública:</w:t>
      </w:r>
      <w:r>
        <w:rPr>
          <w:color w:val="000000"/>
        </w:rPr>
        <w:t xml:space="preserve"> Instituciones Policiales, Procuración de Justicia, Sistema Penitenciario y </w:t>
      </w:r>
      <w:r>
        <w:rPr>
          <w:b/>
          <w:color w:val="000000"/>
        </w:rPr>
        <w:t>dependencias encargadas de la seguridad pública a nivel estatal y municipal.</w:t>
      </w:r>
    </w:p>
    <w:p w14:paraId="09E2D658" w14:textId="77777777" w:rsidR="002E2A28" w:rsidRDefault="002E2A28">
      <w:pPr>
        <w:spacing w:after="0" w:line="360" w:lineRule="auto"/>
      </w:pPr>
    </w:p>
    <w:p w14:paraId="5E459B39" w14:textId="77777777" w:rsidR="002E2A28" w:rsidRDefault="00FE1B49">
      <w:pPr>
        <w:spacing w:after="0" w:line="360" w:lineRule="auto"/>
      </w:pPr>
      <w:r>
        <w:t>En ese contexto,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14:paraId="2F60CED2" w14:textId="77777777" w:rsidR="002E2A28" w:rsidRDefault="002E2A28">
      <w:pPr>
        <w:spacing w:after="0" w:line="360" w:lineRule="auto"/>
      </w:pPr>
    </w:p>
    <w:p w14:paraId="2FEB2475" w14:textId="6E31804F" w:rsidR="002E2A28" w:rsidRDefault="00FE1B49">
      <w:pPr>
        <w:spacing w:after="0" w:line="360" w:lineRule="auto"/>
        <w:rPr>
          <w:b/>
        </w:rPr>
      </w:pPr>
      <w:r>
        <w:t xml:space="preserve">De tal suerte, este Instituto considera que la información solicitada de ninguna manera vulnera la el interés general de los ciudadanos que habitan en el Municipio, que buscan el orden y la paz social, pues la misma no da cuenta de  la capacidad de reacción específica para realizar una serie de actividades específicas que tienen como objetivo la prevención de delitos y mantener el orden y la paz social, </w:t>
      </w:r>
      <w:r>
        <w:rPr>
          <w:b/>
        </w:rPr>
        <w:t xml:space="preserve">por lo que no resulta procedente la reserva, en términos del artículo 140, fracción I, de la Ley de Transparencia y Acceso a la Información Pública del Estado de México y Municipios, </w:t>
      </w:r>
      <w:r w:rsidR="002F49AB">
        <w:rPr>
          <w:b/>
        </w:rPr>
        <w:t>del nombre, cargo, adscripción y el sueldo bruto y neto de los policías municipales.</w:t>
      </w:r>
    </w:p>
    <w:p w14:paraId="6AE271FF" w14:textId="77777777" w:rsidR="002E2A28" w:rsidRDefault="002E2A28">
      <w:pPr>
        <w:spacing w:after="0" w:line="360" w:lineRule="auto"/>
        <w:rPr>
          <w:color w:val="FF0000"/>
        </w:rPr>
      </w:pPr>
    </w:p>
    <w:p w14:paraId="0C3C2725" w14:textId="77777777" w:rsidR="002E2A28" w:rsidRDefault="00FE1B49">
      <w:pPr>
        <w:spacing w:after="0" w:line="360" w:lineRule="auto"/>
      </w:pPr>
      <w:r>
        <w:t>Asimismo, no es posible identificar el riesgo de perjuicio que supondría la divulgación de la información, contenida en la nómina del personal de seguridad pública, o que esta información constituya procedimientos, métodos, fuentes, especificaciones técnicas, tecnología o equipo útiles a la generación de inteligencia utilizado en la prevención de los delitos del orden común, pues únicamente se estarían revelando el nombre, cargo y puesto, sin precisar sus funciones específicas y si estas son de carácter operativo o administrativo.</w:t>
      </w:r>
    </w:p>
    <w:p w14:paraId="444C1F8F" w14:textId="77777777" w:rsidR="002E2A28" w:rsidRDefault="00FE1B49">
      <w:pPr>
        <w:spacing w:after="0" w:line="360" w:lineRule="auto"/>
      </w:pPr>
      <w:r>
        <w:lastRenderedPageBreak/>
        <w:t>Por tales consideraciones, no resulta procedente la reserva en términos del artículo 140, fracción I de la Ley de Transparencia y Acceso a la Información Pública del Estado de México y Municipios.</w:t>
      </w:r>
    </w:p>
    <w:p w14:paraId="3763894A" w14:textId="77777777" w:rsidR="002E2A28" w:rsidRDefault="002E2A28">
      <w:pPr>
        <w:spacing w:after="0" w:line="360" w:lineRule="auto"/>
      </w:pPr>
    </w:p>
    <w:p w14:paraId="0096BBA5" w14:textId="1936B4C9" w:rsidR="002E2A28" w:rsidRDefault="00FE1B49">
      <w:pPr>
        <w:spacing w:after="0" w:line="360" w:lineRule="auto"/>
        <w:rPr>
          <w:color w:val="FF0000"/>
        </w:rPr>
      </w:pPr>
      <w:r>
        <w:t xml:space="preserve">Ahora bien, en relación con el artículo 140, fracción IV, de la Ley citada, </w:t>
      </w:r>
      <w:r w:rsidR="002F49AB">
        <w:t>p</w:t>
      </w:r>
      <w:r>
        <w:t>revé lo siguiente:</w:t>
      </w:r>
    </w:p>
    <w:p w14:paraId="31A961AA" w14:textId="77777777" w:rsidR="002E2A28" w:rsidRDefault="002E2A28">
      <w:pPr>
        <w:spacing w:after="0" w:line="360" w:lineRule="auto"/>
        <w:rPr>
          <w:color w:val="FF0000"/>
        </w:rPr>
      </w:pPr>
    </w:p>
    <w:p w14:paraId="4A147D7E" w14:textId="77777777" w:rsidR="002E2A28" w:rsidRDefault="00FE1B49">
      <w:pPr>
        <w:spacing w:after="0" w:line="360" w:lineRule="auto"/>
        <w:ind w:left="567" w:right="567"/>
        <w:rPr>
          <w:i/>
          <w:sz w:val="20"/>
          <w:szCs w:val="20"/>
        </w:rPr>
      </w:pPr>
      <w:r>
        <w:rPr>
          <w:b/>
          <w:i/>
          <w:sz w:val="20"/>
          <w:szCs w:val="20"/>
        </w:rPr>
        <w:t>“Artículo 140.</w:t>
      </w:r>
      <w:r>
        <w:rPr>
          <w:i/>
          <w:sz w:val="20"/>
          <w:szCs w:val="20"/>
        </w:rPr>
        <w:t xml:space="preserve"> El acceso a la información pública será restringido excepcionalmente, cuando por razones de interés público, ésta sea clasificada como reservada, conforme a los criterios siguientes:</w:t>
      </w:r>
    </w:p>
    <w:p w14:paraId="0F1F1BBD" w14:textId="77777777" w:rsidR="002E2A28" w:rsidRDefault="00FE1B49">
      <w:pPr>
        <w:spacing w:after="0" w:line="360" w:lineRule="auto"/>
        <w:ind w:left="567" w:right="567"/>
        <w:rPr>
          <w:i/>
          <w:sz w:val="20"/>
          <w:szCs w:val="20"/>
        </w:rPr>
      </w:pPr>
      <w:r>
        <w:rPr>
          <w:i/>
          <w:sz w:val="20"/>
          <w:szCs w:val="20"/>
        </w:rPr>
        <w:t>…</w:t>
      </w:r>
    </w:p>
    <w:p w14:paraId="3777CC12" w14:textId="77777777" w:rsidR="002E2A28" w:rsidRDefault="00FE1B49">
      <w:pPr>
        <w:spacing w:after="0" w:line="360" w:lineRule="auto"/>
        <w:ind w:left="567" w:right="567"/>
        <w:rPr>
          <w:i/>
          <w:sz w:val="20"/>
          <w:szCs w:val="20"/>
        </w:rPr>
      </w:pPr>
      <w:r>
        <w:rPr>
          <w:i/>
          <w:sz w:val="20"/>
          <w:szCs w:val="20"/>
        </w:rPr>
        <w:t>IV. Ponga en riesgo la vida, la seguridad o la salud de una persona física;</w:t>
      </w:r>
    </w:p>
    <w:p w14:paraId="09DCA10A" w14:textId="77777777" w:rsidR="002E2A28" w:rsidRDefault="00FE1B49">
      <w:pPr>
        <w:spacing w:after="0" w:line="360" w:lineRule="auto"/>
        <w:ind w:left="567" w:right="567"/>
        <w:rPr>
          <w:i/>
          <w:sz w:val="20"/>
          <w:szCs w:val="20"/>
        </w:rPr>
      </w:pPr>
      <w:r>
        <w:rPr>
          <w:i/>
          <w:sz w:val="20"/>
          <w:szCs w:val="20"/>
        </w:rPr>
        <w:t>…”</w:t>
      </w:r>
    </w:p>
    <w:p w14:paraId="701AAF95" w14:textId="77777777" w:rsidR="002E2A28" w:rsidRDefault="002E2A28">
      <w:pPr>
        <w:spacing w:after="0" w:line="360" w:lineRule="auto"/>
      </w:pPr>
    </w:p>
    <w:p w14:paraId="4ACED4C0" w14:textId="77777777" w:rsidR="002E2A28" w:rsidRDefault="00FE1B49">
      <w:pPr>
        <w:spacing w:after="0" w:line="360" w:lineRule="auto"/>
      </w:pPr>
      <w:r>
        <w:t>Del precepto legal anteriormente citado se desprende que como información reservada podrá clasificarse aquella cuya publicación pueda poner en riesgo la vida, seguridad o salud de una persona física; para acreditar lo anterior, los Lineamientos Generales vigentes a la fecha de la solicitud, establecen lo siguiente:</w:t>
      </w:r>
    </w:p>
    <w:p w14:paraId="7BC499B2" w14:textId="77777777" w:rsidR="002E2A28" w:rsidRDefault="002E2A28">
      <w:pPr>
        <w:spacing w:after="0" w:line="360" w:lineRule="auto"/>
      </w:pPr>
    </w:p>
    <w:p w14:paraId="40493A99" w14:textId="77777777" w:rsidR="002E2A28" w:rsidRDefault="00FE1B49">
      <w:pPr>
        <w:spacing w:after="0" w:line="360" w:lineRule="auto"/>
        <w:ind w:left="567" w:right="567"/>
        <w:rPr>
          <w:i/>
          <w:sz w:val="20"/>
          <w:szCs w:val="20"/>
        </w:rPr>
      </w:pPr>
      <w:r>
        <w:rPr>
          <w:b/>
          <w:i/>
          <w:sz w:val="20"/>
          <w:szCs w:val="20"/>
        </w:rPr>
        <w:t xml:space="preserve">“Vigésimo tercero. </w:t>
      </w:r>
      <w:r>
        <w:rPr>
          <w:i/>
          <w:sz w:val="20"/>
          <w:szCs w:val="20"/>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5459E004" w14:textId="77777777" w:rsidR="002E2A28" w:rsidRDefault="002E2A28">
      <w:pPr>
        <w:spacing w:after="0" w:line="360" w:lineRule="auto"/>
        <w:ind w:left="567" w:right="567"/>
        <w:rPr>
          <w:i/>
          <w:sz w:val="20"/>
          <w:szCs w:val="20"/>
        </w:rPr>
      </w:pPr>
    </w:p>
    <w:p w14:paraId="16F3CA87" w14:textId="77777777" w:rsidR="002E2A28" w:rsidRDefault="00FE1B49">
      <w:pPr>
        <w:spacing w:after="0" w:line="360" w:lineRule="auto"/>
      </w:pPr>
      <w: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14:paraId="21AD650D" w14:textId="77777777" w:rsidR="002E2A28" w:rsidRDefault="002E2A28">
      <w:pPr>
        <w:spacing w:after="0" w:line="360" w:lineRule="auto"/>
      </w:pPr>
    </w:p>
    <w:p w14:paraId="140A6C8E" w14:textId="77777777" w:rsidR="002E2A28" w:rsidRDefault="00FE1B49">
      <w:pPr>
        <w:spacing w:after="0" w:line="360" w:lineRule="auto"/>
      </w:pPr>
      <w:r>
        <w:lastRenderedPageBreak/>
        <w:t>Además, el artículo 81, fracción III, de la Ley de Seguridad del Estado de México, establece lo siguiente:</w:t>
      </w:r>
    </w:p>
    <w:p w14:paraId="6EF34C57" w14:textId="77777777" w:rsidR="002E2A28" w:rsidRDefault="002E2A28">
      <w:pPr>
        <w:spacing w:after="0" w:line="360" w:lineRule="auto"/>
      </w:pPr>
    </w:p>
    <w:p w14:paraId="06C48DC2" w14:textId="77777777" w:rsidR="002E2A28" w:rsidRDefault="00FE1B49">
      <w:pPr>
        <w:spacing w:after="0" w:line="360" w:lineRule="auto"/>
        <w:ind w:left="567" w:right="567"/>
        <w:rPr>
          <w:i/>
          <w:sz w:val="20"/>
          <w:szCs w:val="20"/>
        </w:rPr>
      </w:pPr>
      <w:r>
        <w:rPr>
          <w:b/>
          <w:i/>
          <w:sz w:val="20"/>
          <w:szCs w:val="20"/>
        </w:rPr>
        <w:t>“Artículo 81.-</w:t>
      </w:r>
      <w:r>
        <w:rPr>
          <w:i/>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D7F1189" w14:textId="77777777" w:rsidR="002E2A28" w:rsidRDefault="00FE1B49">
      <w:pPr>
        <w:spacing w:after="0" w:line="360" w:lineRule="auto"/>
        <w:ind w:left="567" w:right="567"/>
        <w:rPr>
          <w:i/>
          <w:sz w:val="20"/>
          <w:szCs w:val="20"/>
        </w:rPr>
      </w:pPr>
      <w:r>
        <w:rPr>
          <w:i/>
          <w:sz w:val="20"/>
          <w:szCs w:val="20"/>
        </w:rPr>
        <w:t>…</w:t>
      </w:r>
    </w:p>
    <w:p w14:paraId="4ED0883D" w14:textId="77777777" w:rsidR="002E2A28" w:rsidRDefault="00FE1B49">
      <w:pPr>
        <w:spacing w:after="0" w:line="360" w:lineRule="auto"/>
        <w:ind w:left="567" w:right="567"/>
        <w:rPr>
          <w:i/>
          <w:sz w:val="20"/>
          <w:szCs w:val="20"/>
        </w:rPr>
      </w:pPr>
      <w:r>
        <w:rPr>
          <w:i/>
          <w:sz w:val="20"/>
          <w:szCs w:val="20"/>
        </w:rPr>
        <w:t>III. La relativa a los servidores públicos integrantes de las instituciones de seguridad pública, cuya revelación pueda poner en riesgo su vida e integridad física con motivo de sus funciones;</w:t>
      </w:r>
    </w:p>
    <w:p w14:paraId="31077356" w14:textId="77777777" w:rsidR="002E2A28" w:rsidRDefault="002E2A28">
      <w:pPr>
        <w:spacing w:after="0" w:line="360" w:lineRule="auto"/>
        <w:rPr>
          <w:b/>
        </w:rPr>
      </w:pPr>
    </w:p>
    <w:p w14:paraId="05E088A8" w14:textId="77777777" w:rsidR="002E2A28" w:rsidRDefault="00FE1B49">
      <w:pPr>
        <w:spacing w:after="0" w:line="360" w:lineRule="auto"/>
      </w:pPr>
      <w:r>
        <w:t xml:space="preserve">Conforme al citado artículo, se desprende que es reservada toda aquella información de los servidores públicos integrantes de las instituciones de seguridad pública, cuya revelación pueda poner en riesgo su vida e integridad física con motivo de sus funciones. </w:t>
      </w:r>
    </w:p>
    <w:p w14:paraId="11E7436A" w14:textId="77777777" w:rsidR="002E2A28" w:rsidRDefault="002E2A28">
      <w:pPr>
        <w:spacing w:after="0" w:line="360" w:lineRule="auto"/>
      </w:pPr>
    </w:p>
    <w:p w14:paraId="7011FDB1" w14:textId="435F7C22" w:rsidR="002E2A28" w:rsidRDefault="00FE1B49">
      <w:pPr>
        <w:spacing w:after="0" w:line="360" w:lineRule="auto"/>
      </w:pPr>
      <w:r>
        <w:t>En ese contexto, es de señalar que los datos de servidores públicos, entre los que se encuentran el nombre</w:t>
      </w:r>
      <w:r w:rsidR="002F49AB">
        <w:t>,</w:t>
      </w:r>
      <w:r>
        <w:t xml:space="preserve"> cargo</w:t>
      </w:r>
      <w:r w:rsidR="002F49AB">
        <w:t>,</w:t>
      </w:r>
      <w:r>
        <w:t xml:space="preserve"> adscripción</w:t>
      </w:r>
      <w:r w:rsidR="002F49AB">
        <w:t xml:space="preserve"> y sueldos</w:t>
      </w:r>
      <w:r>
        <w:t xml:space="preserve"> de los trabajadores, por regla general, son de naturaleza pública, de conformidad con el 92, fracciones VII y VIII, de la Ley de Transparencia y Acceso a la Información Pública del Estado de México y Municipios. </w:t>
      </w:r>
    </w:p>
    <w:p w14:paraId="7D3E5460" w14:textId="77777777" w:rsidR="002E2A28" w:rsidRDefault="002E2A28">
      <w:pPr>
        <w:spacing w:after="0" w:line="360" w:lineRule="auto"/>
      </w:pPr>
    </w:p>
    <w:p w14:paraId="5B37E86D" w14:textId="77777777" w:rsidR="002E2A28" w:rsidRDefault="00FE1B49">
      <w:pPr>
        <w:spacing w:after="0" w:line="360" w:lineRule="auto"/>
      </w:pPr>
      <w:r>
        <w:t>No obstante, resulta necesario traer a colación por analogía, el Criterio de interpretación, con número de registro SO/006/2009, de la Segunda Época, emitido por el entonces Instituto Federal de Acceso a la Información y Protección de Datos ahora Instituto Nacional de Transparencia, Acceso a la Información y Protección de Datos Personales, que establece lo siguiente:</w:t>
      </w:r>
    </w:p>
    <w:p w14:paraId="0ADC79B0" w14:textId="77777777" w:rsidR="002E2A28" w:rsidRDefault="002E2A28">
      <w:pPr>
        <w:spacing w:after="0" w:line="360" w:lineRule="auto"/>
      </w:pPr>
    </w:p>
    <w:p w14:paraId="4735117B" w14:textId="77777777" w:rsidR="002E2A28" w:rsidRDefault="00FE1B49">
      <w:pPr>
        <w:spacing w:after="0" w:line="360" w:lineRule="auto"/>
        <w:ind w:left="567" w:right="567"/>
        <w:rPr>
          <w:i/>
          <w:sz w:val="20"/>
          <w:szCs w:val="20"/>
        </w:rPr>
      </w:pPr>
      <w:r>
        <w:rPr>
          <w:b/>
          <w:i/>
          <w:sz w:val="20"/>
          <w:szCs w:val="20"/>
        </w:rPr>
        <w:lastRenderedPageBreak/>
        <w:t>“Nombres de servidores públicos dedicados a actividades en materia de seguridad, por excepción pueden considerarse información reservada</w:t>
      </w:r>
      <w:r>
        <w:rPr>
          <w:i/>
          <w:sz w:val="20"/>
          <w:szCs w:val="20"/>
        </w:rPr>
        <w:t>.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9EC6C88" w14:textId="77777777" w:rsidR="002E2A28" w:rsidRDefault="002E2A28">
      <w:pPr>
        <w:spacing w:after="0" w:line="360" w:lineRule="auto"/>
        <w:rPr>
          <w:color w:val="FF0000"/>
        </w:rPr>
      </w:pPr>
    </w:p>
    <w:p w14:paraId="5E0C76DE" w14:textId="77777777" w:rsidR="002E2A28" w:rsidRDefault="00FE1B49">
      <w:pPr>
        <w:spacing w:after="0" w:line="360" w:lineRule="auto"/>
      </w:pPr>
      <w: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1F391E35" w14:textId="77777777" w:rsidR="002E2A28" w:rsidRDefault="002E2A28">
      <w:pPr>
        <w:spacing w:after="0" w:line="360" w:lineRule="auto"/>
      </w:pPr>
    </w:p>
    <w:p w14:paraId="0FA376FA" w14:textId="77777777" w:rsidR="002F49AB" w:rsidRDefault="002F49AB" w:rsidP="002F49AB">
      <w:pPr>
        <w:spacing w:after="0" w:line="360" w:lineRule="auto"/>
        <w:rPr>
          <w:rFonts w:eastAsia="Calibri" w:cs="Times New Roman"/>
          <w:color w:val="000000"/>
          <w:lang w:eastAsia="en-US"/>
        </w:rPr>
      </w:pPr>
      <w:r>
        <w:rPr>
          <w:rFonts w:eastAsia="Calibri" w:cs="Times New Roman"/>
          <w:color w:val="000000"/>
          <w:lang w:eastAsia="en-US"/>
        </w:rPr>
        <w:lastRenderedPageBreak/>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05B54378" w14:textId="77777777" w:rsidR="002F49AB" w:rsidRDefault="002F49AB">
      <w:pPr>
        <w:spacing w:after="0" w:line="360" w:lineRule="auto"/>
      </w:pPr>
    </w:p>
    <w:p w14:paraId="6D489EE2" w14:textId="35F43480" w:rsidR="002E2A28" w:rsidRDefault="00FE1B49">
      <w:pPr>
        <w:spacing w:after="0" w:line="360" w:lineRule="auto"/>
      </w:pPr>
      <w:r>
        <w:t>En ese orden de ideas, si bien por regla general los nombres</w:t>
      </w:r>
      <w:r w:rsidR="002F49AB">
        <w:t>, cargo, adscripción y sueldos</w:t>
      </w:r>
      <w:r>
        <w:t xml:space="preserve"> de los trabajadores gubernamentales son información pública </w:t>
      </w:r>
      <w:r w:rsidR="002F49AB">
        <w:t>por obligación de transparencia</w:t>
      </w:r>
      <w:r>
        <w:t>, existe una excepción relativa a</w:t>
      </w:r>
      <w:r w:rsidR="002F49AB">
        <w:t xml:space="preserve">l nombre de </w:t>
      </w:r>
      <w:r>
        <w:rPr>
          <w:b/>
        </w:rPr>
        <w:t>aquellos que realicen actividades operativas en materia de seguridad,</w:t>
      </w:r>
      <w:r>
        <w:t xml:space="preserve"> como es el caso </w:t>
      </w:r>
      <w:r w:rsidR="002F49AB">
        <w:t>de</w:t>
      </w:r>
      <w:r>
        <w:t xml:space="preserve"> la policía municipal.</w:t>
      </w:r>
    </w:p>
    <w:p w14:paraId="160436D2" w14:textId="77777777" w:rsidR="002E2A28" w:rsidRDefault="002E2A28">
      <w:pPr>
        <w:spacing w:after="0" w:line="360" w:lineRule="auto"/>
      </w:pPr>
    </w:p>
    <w:p w14:paraId="3AB7CD5D" w14:textId="77777777" w:rsidR="002E2A28" w:rsidRDefault="00FE1B49">
      <w:pPr>
        <w:spacing w:after="0" w:line="360" w:lineRule="auto"/>
      </w:pPr>
      <w: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384E2FAB" w14:textId="77777777" w:rsidR="002E2A28" w:rsidRDefault="002E2A28">
      <w:pPr>
        <w:spacing w:after="0" w:line="360" w:lineRule="auto"/>
      </w:pPr>
    </w:p>
    <w:p w14:paraId="2A878685" w14:textId="77777777" w:rsidR="002E2A28" w:rsidRDefault="00FE1B49">
      <w:pPr>
        <w:spacing w:after="0" w:line="360" w:lineRule="auto"/>
      </w:pPr>
      <w:r>
        <w:t>En ese contexto, el artículo 6°, fracciones XI y XII de dicho ordenamiento jurídico, establece los siguientes conceptos:</w:t>
      </w:r>
    </w:p>
    <w:p w14:paraId="2C40562A" w14:textId="77777777" w:rsidR="002E2A28" w:rsidRDefault="002E2A28">
      <w:pPr>
        <w:spacing w:after="0" w:line="360" w:lineRule="auto"/>
      </w:pPr>
    </w:p>
    <w:p w14:paraId="3B36456D" w14:textId="77777777" w:rsidR="002E2A28" w:rsidRDefault="00FE1B49">
      <w:pPr>
        <w:numPr>
          <w:ilvl w:val="0"/>
          <w:numId w:val="7"/>
        </w:numPr>
        <w:spacing w:after="0" w:line="360" w:lineRule="auto"/>
        <w:jc w:val="left"/>
        <w:rPr>
          <w:b/>
        </w:rPr>
      </w:pPr>
      <w:r>
        <w:rPr>
          <w:b/>
        </w:rPr>
        <w:t xml:space="preserve">Instituciones Policiales: </w:t>
      </w:r>
      <w:r>
        <w:t xml:space="preserve">Son los cuerpos de policía, de vigilancia y custodia de los establecimientos penitenciarios, detención preventiva, centros de arraigo y en general, </w:t>
      </w:r>
      <w:r>
        <w:rPr>
          <w:b/>
        </w:rPr>
        <w:t>todas las dependencias encargadas de la seguridad pública a nivel</w:t>
      </w:r>
      <w:r>
        <w:t xml:space="preserve"> estatal y </w:t>
      </w:r>
      <w:r>
        <w:rPr>
          <w:b/>
        </w:rPr>
        <w:t>municipal.</w:t>
      </w:r>
    </w:p>
    <w:p w14:paraId="2C123AF8" w14:textId="77777777" w:rsidR="002E2A28" w:rsidRDefault="002E2A28">
      <w:pPr>
        <w:spacing w:after="0" w:line="360" w:lineRule="auto"/>
        <w:ind w:left="720"/>
      </w:pPr>
    </w:p>
    <w:p w14:paraId="526D03CD" w14:textId="77777777" w:rsidR="002E2A28" w:rsidRDefault="00FE1B49">
      <w:pPr>
        <w:numPr>
          <w:ilvl w:val="0"/>
          <w:numId w:val="7"/>
        </w:numPr>
        <w:spacing w:after="0" w:line="360" w:lineRule="auto"/>
        <w:jc w:val="left"/>
        <w:rPr>
          <w:b/>
        </w:rPr>
      </w:pPr>
      <w:r>
        <w:rPr>
          <w:b/>
        </w:rPr>
        <w:lastRenderedPageBreak/>
        <w:t xml:space="preserve">Instituciones de Seguridad Pública: </w:t>
      </w:r>
      <w:r>
        <w:t xml:space="preserve">Instituciones Policiales, Procuración de Justicia, Sistema Penitenciario y </w:t>
      </w:r>
      <w:r>
        <w:rPr>
          <w:b/>
        </w:rPr>
        <w:t xml:space="preserve">dependencias encargadas de la seguridad pública a nivel </w:t>
      </w:r>
      <w:r>
        <w:t xml:space="preserve">estatal y </w:t>
      </w:r>
      <w:r>
        <w:rPr>
          <w:b/>
        </w:rPr>
        <w:t>municipal.</w:t>
      </w:r>
    </w:p>
    <w:p w14:paraId="3B37A2CB" w14:textId="77777777" w:rsidR="002E2A28" w:rsidRDefault="002E2A28">
      <w:pPr>
        <w:spacing w:after="0" w:line="360" w:lineRule="auto"/>
        <w:rPr>
          <w:color w:val="FF0000"/>
        </w:rPr>
      </w:pPr>
    </w:p>
    <w:p w14:paraId="606D1EFC" w14:textId="77777777" w:rsidR="002E2A28" w:rsidRDefault="00FE1B49">
      <w:pPr>
        <w:spacing w:after="0" w:line="360" w:lineRule="auto"/>
      </w:pPr>
      <w:r>
        <w:t>Conforme a lo anterior, se puede deducir que la Dirección de Seguridad Pública Municipal, es una institución de seguridad pública, pues tiene como atribución principal, la prevención de delitos y proteger a las personas, sus propiedades, posesiones y derechos.</w:t>
      </w:r>
    </w:p>
    <w:p w14:paraId="554A9033" w14:textId="77777777" w:rsidR="002E2A28" w:rsidRDefault="002E2A28">
      <w:pPr>
        <w:spacing w:after="0" w:line="360" w:lineRule="auto"/>
      </w:pPr>
    </w:p>
    <w:p w14:paraId="288AC886" w14:textId="77777777" w:rsidR="002E2A28" w:rsidRDefault="00FE1B49">
      <w:pPr>
        <w:tabs>
          <w:tab w:val="left" w:pos="4962"/>
        </w:tabs>
        <w:spacing w:after="0" w:line="360" w:lineRule="auto"/>
        <w:ind w:right="-28"/>
      </w:pPr>
      <w:r>
        <w:t xml:space="preserve">Además, 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w:t>
      </w:r>
      <w:r>
        <w:rPr>
          <w:b/>
        </w:rPr>
        <w:t>desempeña funciones de mando</w:t>
      </w:r>
      <w:r>
        <w:t xml:space="preserve">), entre los cuales, se encuentra </w:t>
      </w:r>
      <w:r>
        <w:rPr>
          <w:b/>
        </w:rPr>
        <w:t>la Policía Municipal</w:t>
      </w:r>
      <w:r>
        <w:t>.</w:t>
      </w:r>
    </w:p>
    <w:p w14:paraId="6F3B87E8" w14:textId="77777777" w:rsidR="002E2A28" w:rsidRDefault="002E2A28">
      <w:pPr>
        <w:tabs>
          <w:tab w:val="left" w:pos="4962"/>
        </w:tabs>
        <w:spacing w:after="0" w:line="360" w:lineRule="auto"/>
        <w:ind w:right="-28"/>
      </w:pPr>
    </w:p>
    <w:p w14:paraId="59D9B735" w14:textId="77777777" w:rsidR="002E2A28" w:rsidRDefault="00FE1B49">
      <w:pPr>
        <w:tabs>
          <w:tab w:val="left" w:pos="4962"/>
        </w:tabs>
        <w:spacing w:after="0" w:line="360" w:lineRule="auto"/>
        <w:ind w:right="-28"/>
      </w:pPr>
      <w:r>
        <w:t xml:space="preserve">Asimismo, se advierte que las Instituciones Policiales, se conforman del personal </w:t>
      </w:r>
      <w:r>
        <w:rPr>
          <w:b/>
        </w:rPr>
        <w:t>administrativo,</w:t>
      </w:r>
      <w:r>
        <w:t xml:space="preserve"> que son los trabajadores de apoyo (chofer, personal de mantenimiento, servicios generales y área secretaria); </w:t>
      </w:r>
      <w:r>
        <w:rPr>
          <w:b/>
        </w:rPr>
        <w:t>así como, el personal de mando</w:t>
      </w:r>
      <w:r>
        <w:t xml:space="preserve"> (alto, medio y superior), que es aquel que realiza funciones de dirección, coordinación y supervisión, por lo cual, corresponde a aquel que tenga trabajadores a su cargo.</w:t>
      </w:r>
    </w:p>
    <w:p w14:paraId="105643B3" w14:textId="77777777" w:rsidR="002E2A28" w:rsidRDefault="002E2A28">
      <w:pPr>
        <w:spacing w:after="0" w:line="360" w:lineRule="auto"/>
      </w:pPr>
    </w:p>
    <w:p w14:paraId="586FDC87" w14:textId="77777777" w:rsidR="002E2A28" w:rsidRDefault="00FE1B49">
      <w:pPr>
        <w:spacing w:after="0" w:line="360" w:lineRule="auto"/>
      </w:pPr>
      <w:r>
        <w:t xml:space="preserve">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w:t>
      </w:r>
      <w:r>
        <w:lastRenderedPageBreak/>
        <w:t>personas ajenas a los intereses institucionales que persigue dicha área, intenten realizar actos tendientes a inhibir o entrometerse en las funciones de los policías municipales, lo cual causaría una vulneración a la seguridad municipal.</w:t>
      </w:r>
    </w:p>
    <w:p w14:paraId="566C1137" w14:textId="77777777" w:rsidR="002E2A28" w:rsidRDefault="002E2A28">
      <w:pPr>
        <w:spacing w:after="0" w:line="360" w:lineRule="auto"/>
      </w:pPr>
    </w:p>
    <w:p w14:paraId="0ADD5395" w14:textId="77777777" w:rsidR="002E2A28" w:rsidRDefault="00FE1B49">
      <w:pPr>
        <w:spacing w:after="0" w:line="360" w:lineRule="auto"/>
      </w:pPr>
      <w:r>
        <w:t>Sin embargo, por lo que hace al personal administrativo y los mandos medios y superiores,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67DC447B" w14:textId="77777777" w:rsidR="002E2A28" w:rsidRDefault="002E2A28">
      <w:pPr>
        <w:spacing w:after="0" w:line="360" w:lineRule="auto"/>
      </w:pPr>
    </w:p>
    <w:p w14:paraId="083C1C39" w14:textId="77777777" w:rsidR="002E2A28" w:rsidRDefault="00FE1B49">
      <w:pPr>
        <w:spacing w:after="0" w:line="360" w:lineRule="auto"/>
      </w:pPr>
      <w:r>
        <w:rPr>
          <w:b/>
        </w:rPr>
        <w:t>Conforme a lo anterior, únicamente procedería la clasificación del nombre de los elementos operativos,</w:t>
      </w:r>
      <w:r>
        <w:t xml:space="preserve"> sin embargo, su cargo o adscripción no actualiza la causal de reserva, al testar el primer dato, se rompe la vinculación que permitiría identificar a los elementos operativos; aunados a que tampoco proceden la reserva del personal administrativo, así como, mandos medios y superiores.</w:t>
      </w:r>
    </w:p>
    <w:p w14:paraId="05135BA7" w14:textId="77777777" w:rsidR="002E2A28" w:rsidRDefault="002E2A28">
      <w:pPr>
        <w:spacing w:after="0" w:line="360" w:lineRule="auto"/>
      </w:pPr>
    </w:p>
    <w:p w14:paraId="52AFB7D6" w14:textId="77777777" w:rsidR="002E2A28" w:rsidRDefault="00FE1B49">
      <w:pPr>
        <w:spacing w:after="0" w:line="360" w:lineRule="auto"/>
      </w:pPr>
      <w:r>
        <w:t>En ese contexto, los artículos 3°, fracción XXI y 111 de la Ley General de Transparencia y Acceso a la Información, 3°, fracción XLV, y 137 de la Ley de Transparencia y Acceso a la Información Pública del Estado de México y Municipios y los numerales Segundo, fracción XVIII, y Quincuagésimo sexto de los Lineamientos Generales, establecen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documento que deberá ser aprobado por el Comité de Transparencia.</w:t>
      </w:r>
    </w:p>
    <w:p w14:paraId="3A2C5FFD" w14:textId="77777777" w:rsidR="002E2A28" w:rsidRDefault="002E2A28">
      <w:pPr>
        <w:spacing w:after="0" w:line="360" w:lineRule="auto"/>
      </w:pPr>
    </w:p>
    <w:p w14:paraId="536B3F2E" w14:textId="77777777" w:rsidR="002E2A28" w:rsidRDefault="00FE1B49">
      <w:pPr>
        <w:spacing w:after="0" w:line="360" w:lineRule="auto"/>
      </w:pPr>
      <w:r>
        <w:lastRenderedPageBreak/>
        <w:t>Como se logra observar, la clasificación total del documento no es la única forma de proteger información localizada en este, pues existe otro procedimiento, en el cual, solamente se testan las partes que contienen datos o información, denominado versión pública; con lo cual, el Sujeto Obligado podría testar el nombre de los elementos operativos adscritos a la Dirección de Seguridad Pública Municipal.</w:t>
      </w:r>
    </w:p>
    <w:p w14:paraId="5463B27C" w14:textId="77777777" w:rsidR="002E2A28" w:rsidRDefault="002E2A28">
      <w:pPr>
        <w:spacing w:after="0" w:line="360" w:lineRule="auto"/>
      </w:pPr>
    </w:p>
    <w:p w14:paraId="0FC312AC" w14:textId="16F011C6" w:rsidR="002E2A28" w:rsidRDefault="00FE1B49">
      <w:pPr>
        <w:spacing w:after="0" w:line="360" w:lineRule="auto"/>
      </w:pPr>
      <w:r>
        <w:t xml:space="preserve">Conforme a lo anterior, se considera que para dar por atendido el requerimiento de información, el Sujeto Obligado deberá proporcionar la versión pública del documento que dé cuenta </w:t>
      </w:r>
      <w:r w:rsidR="002F49AB">
        <w:t>del sueldo bruto y neto mensual vigente de los policías municipales</w:t>
      </w:r>
      <w:r>
        <w:t xml:space="preserve">; en donde deberá testar el nombre </w:t>
      </w:r>
      <w:r w:rsidR="002F49AB">
        <w:t>de los</w:t>
      </w:r>
      <w:r>
        <w:t xml:space="preserve"> elementos operativos en materia de seguridad en términos del artículo 140, fracción IV, de la Ley de Transparencia y Acceso a la Información Pública del Estado de México y Municipios. </w:t>
      </w:r>
    </w:p>
    <w:p w14:paraId="49AFF8DF" w14:textId="77777777" w:rsidR="002E2A28" w:rsidRDefault="002E2A28">
      <w:pPr>
        <w:spacing w:after="0" w:line="360" w:lineRule="auto"/>
      </w:pPr>
    </w:p>
    <w:p w14:paraId="7EEB592D" w14:textId="2E29FE86" w:rsidR="002E2A28" w:rsidRDefault="00FE1B49">
      <w:pPr>
        <w:spacing w:after="0" w:line="360" w:lineRule="auto"/>
      </w:pPr>
      <w:r>
        <w:t>Finalmente, no pasa desapercibido para este Instituto que los documentos que den cuenta de lo solicitado, pudieran contener datos o información clasificada</w:t>
      </w:r>
      <w:r w:rsidR="002F49AB">
        <w:t>, tales como el CURP, RFC, entre otros</w:t>
      </w:r>
      <w:r>
        <w:t>;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25C90F35" w14:textId="77777777" w:rsidR="002E2A28" w:rsidRDefault="002E2A28">
      <w:pPr>
        <w:spacing w:after="0" w:line="360" w:lineRule="auto"/>
      </w:pPr>
    </w:p>
    <w:p w14:paraId="2D592179" w14:textId="77777777" w:rsidR="002E2A28" w:rsidRDefault="00FE1B49">
      <w:pPr>
        <w:spacing w:after="0" w:line="360" w:lineRule="auto"/>
      </w:pPr>
      <w:r>
        <w:t xml:space="preserve">Para tal situación, el Sujeto Obligado deberá seguir el procedimiento establecido en el artículo 168 de dicho ordenamiento jurídico; esto es, que el área competente deberá elaborar la versión pública, así como emitir el Acuerdo, por parte del Comité de Transparencia, donde </w:t>
      </w:r>
      <w:r>
        <w:lastRenderedPageBreak/>
        <w:t>confirme la clasificación de los datos, fundando y motivando la clasificación, con la respectiva prueba de daño, en términos de lo establecido en el presente Considerando.</w:t>
      </w:r>
    </w:p>
    <w:p w14:paraId="4F65E1CB" w14:textId="77777777" w:rsidR="002E2A28" w:rsidRDefault="002E2A28">
      <w:pPr>
        <w:spacing w:after="0" w:line="360" w:lineRule="auto"/>
        <w:ind w:right="-28"/>
        <w:rPr>
          <w:color w:val="FF0000"/>
        </w:rPr>
      </w:pPr>
    </w:p>
    <w:p w14:paraId="1294037D" w14:textId="77777777" w:rsidR="002E2A28" w:rsidRDefault="00FE1B49">
      <w:pPr>
        <w:pStyle w:val="Ttulo2"/>
        <w:spacing w:before="0" w:after="0" w:line="360" w:lineRule="auto"/>
        <w:rPr>
          <w:sz w:val="22"/>
          <w:szCs w:val="22"/>
        </w:rPr>
      </w:pPr>
      <w:bookmarkStart w:id="25" w:name="_heading=h.1ec0mhntp4o1" w:colFirst="0" w:colLast="0"/>
      <w:bookmarkStart w:id="26" w:name="_Toc210913880"/>
      <w:bookmarkEnd w:id="25"/>
      <w:r>
        <w:rPr>
          <w:sz w:val="22"/>
          <w:szCs w:val="22"/>
        </w:rPr>
        <w:t>SEXTO. Decisión</w:t>
      </w:r>
      <w:bookmarkEnd w:id="26"/>
    </w:p>
    <w:p w14:paraId="5356849C" w14:textId="77777777" w:rsidR="002E2A28" w:rsidRDefault="002E2A28">
      <w:pPr>
        <w:spacing w:after="0" w:line="360" w:lineRule="auto"/>
        <w:rPr>
          <w:b/>
        </w:rPr>
      </w:pPr>
    </w:p>
    <w:p w14:paraId="392A4956" w14:textId="77777777" w:rsidR="002E2A28" w:rsidRDefault="00FE1B49">
      <w:pPr>
        <w:spacing w:after="0" w:line="360" w:lineRule="auto"/>
      </w:pPr>
      <w:r>
        <w:t xml:space="preserve">De acuerdo con lo expuesto y, con fundamento en el artículo 186, fracción III, de la Ley de Transparencia y Acceso a la Información Pública del Estado de México y Municipios, este Instituto considera procedente </w:t>
      </w:r>
      <w:r>
        <w:rPr>
          <w:b/>
        </w:rPr>
        <w:t xml:space="preserve">MODIFICAR </w:t>
      </w:r>
      <w:r>
        <w:t xml:space="preserve">la respuesta del Ayuntamiento de </w:t>
      </w:r>
      <w:proofErr w:type="spellStart"/>
      <w:r>
        <w:t>Tonanitla</w:t>
      </w:r>
      <w:proofErr w:type="spellEnd"/>
      <w:r>
        <w:rPr>
          <w:b/>
        </w:rPr>
        <w:t xml:space="preserve">, </w:t>
      </w:r>
      <w:r>
        <w:t>a efecto de que proporcione los documentos que den cuenta de lo solicitado.</w:t>
      </w:r>
    </w:p>
    <w:p w14:paraId="264C3AF7" w14:textId="77777777" w:rsidR="002E2A28" w:rsidRDefault="002E2A28">
      <w:pPr>
        <w:spacing w:after="0" w:line="360" w:lineRule="auto"/>
        <w:rPr>
          <w:color w:val="FF0000"/>
        </w:rPr>
      </w:pPr>
    </w:p>
    <w:p w14:paraId="557EDD96" w14:textId="77777777" w:rsidR="002E2A28" w:rsidRDefault="00FE1B49">
      <w:pPr>
        <w:spacing w:after="0" w:line="360" w:lineRule="auto"/>
        <w:rPr>
          <w:b/>
        </w:rPr>
      </w:pPr>
      <w:r>
        <w:rPr>
          <w:b/>
        </w:rPr>
        <w:t>Términos de la Resolución para conocimiento del Particular</w:t>
      </w:r>
    </w:p>
    <w:p w14:paraId="7F07A4BF" w14:textId="77777777" w:rsidR="002E2A28" w:rsidRDefault="002E2A28">
      <w:pPr>
        <w:spacing w:after="0" w:line="360" w:lineRule="auto"/>
        <w:rPr>
          <w:b/>
        </w:rPr>
      </w:pPr>
    </w:p>
    <w:p w14:paraId="63482ABF" w14:textId="77777777" w:rsidR="002E2A28" w:rsidRDefault="00FE1B49">
      <w:pPr>
        <w:spacing w:after="0" w:line="360" w:lineRule="auto"/>
      </w:pPr>
      <w:bookmarkStart w:id="27" w:name="_heading=h.f828p35g2bi8" w:colFirst="0" w:colLast="0"/>
      <w:bookmarkEnd w:id="27"/>
      <w:r>
        <w:t>Se le hace del conocimiento a la ahora Recurrente, que, en el presente caso, se le concede la razón, pues el Ayuntamiento fue omiso en proporcionar la información requerida al no realizar una correcta clasificación de los mismo, por lo que, en el presente caso, deberá proporcionarle los documentos requeridos, en versión pública. La labor del Instituto, es apoyar a la población para acceder a la información pública y garantizar la protección de los datos personales.</w:t>
      </w:r>
    </w:p>
    <w:p w14:paraId="629CC8DC" w14:textId="77777777" w:rsidR="002E2A28" w:rsidRDefault="002E2A28">
      <w:pPr>
        <w:spacing w:after="0" w:line="360" w:lineRule="auto"/>
        <w:rPr>
          <w:color w:val="FF0000"/>
        </w:rPr>
      </w:pPr>
    </w:p>
    <w:p w14:paraId="3172A784" w14:textId="77777777" w:rsidR="002E2A28" w:rsidRDefault="00FE1B49">
      <w:pPr>
        <w:spacing w:after="0" w:line="360" w:lineRule="auto"/>
      </w:pPr>
      <w:r>
        <w:t>Por lo expuesto y fundado, este Pleno:</w:t>
      </w:r>
    </w:p>
    <w:p w14:paraId="169138A4" w14:textId="77777777" w:rsidR="002E2A28" w:rsidRDefault="002E2A28">
      <w:pPr>
        <w:spacing w:after="0" w:line="360" w:lineRule="auto"/>
      </w:pPr>
    </w:p>
    <w:p w14:paraId="5C369C35" w14:textId="77777777" w:rsidR="002E2A28" w:rsidRDefault="00FE1B49">
      <w:pPr>
        <w:pStyle w:val="Ttulo1"/>
        <w:spacing w:before="0" w:after="0" w:line="360" w:lineRule="auto"/>
        <w:jc w:val="center"/>
        <w:rPr>
          <w:sz w:val="22"/>
          <w:szCs w:val="22"/>
        </w:rPr>
      </w:pPr>
      <w:bookmarkStart w:id="28" w:name="_heading=h.axpo1iavnqmq" w:colFirst="0" w:colLast="0"/>
      <w:bookmarkStart w:id="29" w:name="_Toc210913881"/>
      <w:bookmarkEnd w:id="28"/>
      <w:r>
        <w:rPr>
          <w:sz w:val="22"/>
          <w:szCs w:val="22"/>
        </w:rPr>
        <w:t>R E S U E L V E</w:t>
      </w:r>
      <w:bookmarkEnd w:id="29"/>
    </w:p>
    <w:p w14:paraId="361372AC" w14:textId="77777777" w:rsidR="002E2A28" w:rsidRDefault="002E2A28">
      <w:pPr>
        <w:spacing w:after="0" w:line="360" w:lineRule="auto"/>
        <w:rPr>
          <w:b/>
        </w:rPr>
      </w:pPr>
    </w:p>
    <w:p w14:paraId="23230D06" w14:textId="77777777" w:rsidR="002E2A28" w:rsidRDefault="00FE1B49">
      <w:pPr>
        <w:spacing w:after="0" w:line="360" w:lineRule="auto"/>
      </w:pPr>
      <w:r>
        <w:rPr>
          <w:b/>
        </w:rPr>
        <w:t xml:space="preserve">PRIMERO. </w:t>
      </w:r>
      <w:r>
        <w:t xml:space="preserve">Se </w:t>
      </w:r>
      <w:r>
        <w:rPr>
          <w:b/>
        </w:rPr>
        <w:t xml:space="preserve">MODIFICA </w:t>
      </w:r>
      <w:r>
        <w:t xml:space="preserve">la respuesta entregada por el Ayuntamiento de </w:t>
      </w:r>
      <w:proofErr w:type="spellStart"/>
      <w:r>
        <w:t>Tonanitla</w:t>
      </w:r>
      <w:proofErr w:type="spellEnd"/>
      <w:r>
        <w:t xml:space="preserve">, a la solicitud de información 00044/TONANI/IP/2025, por resultar </w:t>
      </w:r>
      <w:r>
        <w:rPr>
          <w:b/>
        </w:rPr>
        <w:t xml:space="preserve">FUNDADAS </w:t>
      </w:r>
      <w:r>
        <w:t>las razones o motivos de inconformidad hechos valer por el Recurrente, en términos de los considerandos QUINTO y SEXTO de la presente Resolución.</w:t>
      </w:r>
    </w:p>
    <w:p w14:paraId="12B75F2C" w14:textId="77777777" w:rsidR="002E2A28" w:rsidRDefault="002E2A28">
      <w:pPr>
        <w:spacing w:after="0" w:line="360" w:lineRule="auto"/>
        <w:rPr>
          <w:color w:val="FF0000"/>
        </w:rPr>
      </w:pPr>
    </w:p>
    <w:p w14:paraId="1FCAD31C" w14:textId="5FDA61C4" w:rsidR="002E2A28" w:rsidRDefault="00FE1B49">
      <w:pPr>
        <w:spacing w:after="0" w:line="360" w:lineRule="auto"/>
      </w:pPr>
      <w:r>
        <w:rPr>
          <w:b/>
        </w:rPr>
        <w:t xml:space="preserve">SEGUNDO. </w:t>
      </w:r>
      <w:r>
        <w:t xml:space="preserve">Se </w:t>
      </w:r>
      <w:r>
        <w:rPr>
          <w:b/>
        </w:rPr>
        <w:t>ORDENA</w:t>
      </w:r>
      <w:r>
        <w:t xml:space="preserve"> al Ente Recurrido</w:t>
      </w:r>
      <w:r>
        <w:rPr>
          <w:b/>
        </w:rPr>
        <w:t xml:space="preserve">, </w:t>
      </w:r>
      <w:r>
        <w:t xml:space="preserve">a efecto de que previa búsqueda exhaustiva y razonable en los archivos de las unidades administrativas competentes, entregue a través del Sistema de Acceso a la Información Mexiquense (SAIMEX), en versión pública, los documentos </w:t>
      </w:r>
      <w:r w:rsidR="001E46A7">
        <w:t>donde conste lo siguiente</w:t>
      </w:r>
      <w:r>
        <w:t xml:space="preserve">: </w:t>
      </w:r>
    </w:p>
    <w:p w14:paraId="43118E85" w14:textId="77777777" w:rsidR="002E2A28" w:rsidRDefault="002E2A28">
      <w:pPr>
        <w:spacing w:after="0" w:line="360" w:lineRule="auto"/>
      </w:pPr>
    </w:p>
    <w:p w14:paraId="13956ABF" w14:textId="49ABEE5E" w:rsidR="002E2A28" w:rsidRDefault="001E46A7">
      <w:pPr>
        <w:numPr>
          <w:ilvl w:val="0"/>
          <w:numId w:val="8"/>
        </w:numPr>
        <w:pBdr>
          <w:top w:val="nil"/>
          <w:left w:val="nil"/>
          <w:bottom w:val="nil"/>
          <w:right w:val="nil"/>
          <w:between w:val="nil"/>
        </w:pBdr>
        <w:spacing w:after="0" w:line="360" w:lineRule="auto"/>
      </w:pPr>
      <w:r>
        <w:rPr>
          <w:color w:val="000000"/>
        </w:rPr>
        <w:t>El sueldo bruto y neto mensual vigente al nueve de junio de dos mil veinticinco, de los policías municipales.</w:t>
      </w:r>
    </w:p>
    <w:p w14:paraId="662CE079" w14:textId="77777777" w:rsidR="002E2A28" w:rsidRDefault="002E2A28">
      <w:pPr>
        <w:spacing w:after="0" w:line="360" w:lineRule="auto"/>
        <w:rPr>
          <w:color w:val="FF0000"/>
        </w:rPr>
      </w:pPr>
    </w:p>
    <w:p w14:paraId="62AC7FE9" w14:textId="4534AF63" w:rsidR="002E2A28" w:rsidRDefault="00FE1B49">
      <w:pPr>
        <w:spacing w:after="0" w:line="360" w:lineRule="auto"/>
      </w:pPr>
      <w:r>
        <w:t>Además, deberá proporcionar el Acuerdo de Clasificación donde el Comité de Transparencia, confirme la eliminación de los datos, en la versión pública, de conformidad con los artículos 49, fracciones II y VIII y 132, fracción II de la Ley de Transparencia y Acceso a la Información Pública del Estado de México y Municipios.</w:t>
      </w:r>
    </w:p>
    <w:p w14:paraId="0EB3F473" w14:textId="77777777" w:rsidR="002E2A28" w:rsidRDefault="002E2A28">
      <w:pPr>
        <w:spacing w:after="0" w:line="360" w:lineRule="auto"/>
        <w:ind w:right="-91"/>
        <w:rPr>
          <w:b/>
        </w:rPr>
      </w:pPr>
    </w:p>
    <w:p w14:paraId="28B59B59" w14:textId="77777777" w:rsidR="002E2A28" w:rsidRDefault="00FE1B49">
      <w:pPr>
        <w:spacing w:after="0" w:line="360" w:lineRule="auto"/>
        <w:ind w:right="-28"/>
        <w:rPr>
          <w:b/>
        </w:rPr>
      </w:pPr>
      <w:r>
        <w:rPr>
          <w:b/>
        </w:rPr>
        <w:t xml:space="preserve">TERCERO. NOTIFÍQUESE POR SAIMEX </w:t>
      </w:r>
      <w: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5A156851" w14:textId="77777777" w:rsidR="002E2A28" w:rsidRDefault="002E2A28">
      <w:pPr>
        <w:spacing w:after="0" w:line="360" w:lineRule="auto"/>
        <w:ind w:right="-28"/>
      </w:pPr>
    </w:p>
    <w:p w14:paraId="024FD41B" w14:textId="77777777" w:rsidR="002E2A28" w:rsidRDefault="00FE1B49">
      <w:pPr>
        <w:spacing w:after="0" w:line="360" w:lineRule="auto"/>
      </w:pPr>
      <w:r>
        <w:t xml:space="preserve">De conformidad con el artículo 198 de la Ley de Transparencia y Acceso a la Información Pública del Estado de México y Municipios, de considerarlo procedente, el Sujeto Obligado </w:t>
      </w:r>
      <w:r>
        <w:lastRenderedPageBreak/>
        <w:t>de manera fundada y motivada, podrá solicitar una ampliación de plazo para el cumplimiento de la presente resolución.</w:t>
      </w:r>
    </w:p>
    <w:p w14:paraId="4B88B9C5" w14:textId="77777777" w:rsidR="002E2A28" w:rsidRDefault="002E2A28">
      <w:pPr>
        <w:spacing w:after="0" w:line="360" w:lineRule="auto"/>
      </w:pPr>
    </w:p>
    <w:p w14:paraId="574B899E" w14:textId="77777777" w:rsidR="002E2A28" w:rsidRDefault="00FE1B49">
      <w:pPr>
        <w:spacing w:after="0" w:line="360" w:lineRule="auto"/>
      </w:pPr>
      <w:r>
        <w:rPr>
          <w:b/>
        </w:rPr>
        <w:t>CUARTO. NOTIFÍQUESE POR SAIMEX</w:t>
      </w:r>
      <w: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7EB5515" w14:textId="77777777" w:rsidR="002E2A28" w:rsidRDefault="002E2A28">
      <w:pPr>
        <w:spacing w:after="0" w:line="360" w:lineRule="auto"/>
        <w:rPr>
          <w:b/>
        </w:rPr>
      </w:pPr>
    </w:p>
    <w:p w14:paraId="2BD440DE" w14:textId="77777777" w:rsidR="002E2A28" w:rsidRDefault="002E2A28">
      <w:pPr>
        <w:spacing w:after="0" w:line="360" w:lineRule="auto"/>
        <w:ind w:right="-28"/>
      </w:pPr>
    </w:p>
    <w:p w14:paraId="2164FAC8" w14:textId="2AE74134" w:rsidR="00C41170" w:rsidRPr="00C41170" w:rsidRDefault="00C41170" w:rsidP="00C41170">
      <w:pPr>
        <w:spacing w:after="0" w:line="360" w:lineRule="auto"/>
        <w:contextualSpacing/>
        <w:rPr>
          <w:rFonts w:eastAsia="Times New Roman" w:cs="Tahoma"/>
          <w:lang w:eastAsia="es-ES"/>
        </w:rPr>
      </w:pPr>
      <w:r w:rsidRPr="00C41170">
        <w:rPr>
          <w:rFonts w:eastAsia="Times New Roman" w:cs="Tahoma"/>
        </w:rPr>
        <w:t xml:space="preserve">ASÍ LO RESUELVE, POR </w:t>
      </w:r>
      <w:r w:rsidRPr="00C41170">
        <w:rPr>
          <w:rFonts w:eastAsia="Times New Roman" w:cs="Tahoma"/>
          <w:b/>
        </w:rPr>
        <w:t>UNANIMIDAD</w:t>
      </w:r>
      <w:r w:rsidRPr="00C41170">
        <w:rPr>
          <w:rFonts w:eastAsia="Times New Roman" w:cs="Tahoma"/>
        </w:rPr>
        <w:t xml:space="preserve">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w:t>
      </w:r>
      <w:r w:rsidR="00D128DD">
        <w:rPr>
          <w:rFonts w:eastAsia="Times New Roman" w:cs="Tahoma"/>
        </w:rPr>
        <w:t xml:space="preserve"> CON VOTO PARTICULAR</w:t>
      </w:r>
      <w:r w:rsidRPr="00C41170">
        <w:rPr>
          <w:rFonts w:eastAsia="Times New Roman" w:cs="Tahoma"/>
        </w:rPr>
        <w:t xml:space="preserve"> Y GUADALUPE RAMÍREZ PEÑA (AUSENCIA JUSTIFICADA), EN LA TRIGÉSIMA SEXTA SESIÓN ORDINARIA, CELEBRADA EL OCHO DE OCTUBRE DE DOS MIL VEINTICINCO, ANTE LA COORDINADORA DE PROYECTOS CATALINA CAMARILLO ROSAS</w:t>
      </w:r>
      <w:r w:rsidR="00D128DD">
        <w:rPr>
          <w:rFonts w:eastAsia="Times New Roman" w:cs="Tahoma"/>
        </w:rPr>
        <w:t>,</w:t>
      </w:r>
      <w:r w:rsidRPr="00C41170">
        <w:rPr>
          <w:rFonts w:eastAsia="Times New Roman" w:cs="Tahoma"/>
        </w:rPr>
        <w:t xml:space="preserve"> EN SUPLENCIA DEL SECRETARIO TÉCNICO DEL PLENO ALEXIS TAPIA RAMÍREZ.</w:t>
      </w:r>
    </w:p>
    <w:p w14:paraId="08C958B9" w14:textId="77777777" w:rsidR="002E2A28" w:rsidRDefault="002E2A28">
      <w:pPr>
        <w:spacing w:after="0" w:line="360" w:lineRule="auto"/>
        <w:rPr>
          <w:b/>
        </w:rPr>
      </w:pPr>
    </w:p>
    <w:p w14:paraId="2F5D5D0B" w14:textId="77777777" w:rsidR="002E2A28" w:rsidRDefault="002E2A28">
      <w:pPr>
        <w:spacing w:after="0" w:line="360" w:lineRule="auto"/>
        <w:rPr>
          <w:b/>
        </w:rPr>
      </w:pPr>
    </w:p>
    <w:p w14:paraId="2BC72C70" w14:textId="77777777" w:rsidR="002E2A28" w:rsidRDefault="002E2A28">
      <w:pPr>
        <w:spacing w:after="0" w:line="360" w:lineRule="auto"/>
      </w:pPr>
    </w:p>
    <w:p w14:paraId="13009C6E" w14:textId="77777777" w:rsidR="002E2A28" w:rsidRDefault="002E2A28">
      <w:pPr>
        <w:spacing w:after="0" w:line="360" w:lineRule="auto"/>
      </w:pPr>
    </w:p>
    <w:p w14:paraId="197DF657" w14:textId="77777777" w:rsidR="002E2A28" w:rsidRDefault="002E2A28">
      <w:pPr>
        <w:spacing w:after="0" w:line="360" w:lineRule="auto"/>
      </w:pPr>
    </w:p>
    <w:p w14:paraId="10601AEF" w14:textId="77777777" w:rsidR="002E2A28" w:rsidRDefault="002E2A28">
      <w:pPr>
        <w:spacing w:after="0" w:line="360" w:lineRule="auto"/>
      </w:pPr>
    </w:p>
    <w:p w14:paraId="51F6068F" w14:textId="77777777" w:rsidR="002E2A28" w:rsidRDefault="002E2A28">
      <w:pPr>
        <w:spacing w:after="0" w:line="360" w:lineRule="auto"/>
      </w:pPr>
    </w:p>
    <w:p w14:paraId="66667D94" w14:textId="77777777" w:rsidR="002E2A28" w:rsidRDefault="002E2A28">
      <w:pPr>
        <w:spacing w:after="0" w:line="360" w:lineRule="auto"/>
      </w:pPr>
    </w:p>
    <w:p w14:paraId="04EC8A9C" w14:textId="77777777" w:rsidR="002E2A28" w:rsidRDefault="002E2A28">
      <w:pPr>
        <w:spacing w:after="0" w:line="360" w:lineRule="auto"/>
        <w:rPr>
          <w:color w:val="FF0000"/>
        </w:rPr>
      </w:pPr>
    </w:p>
    <w:p w14:paraId="018E2F1C" w14:textId="77777777" w:rsidR="002E2A28" w:rsidRDefault="002E2A28">
      <w:pPr>
        <w:spacing w:after="0" w:line="360" w:lineRule="auto"/>
        <w:rPr>
          <w:color w:val="FF0000"/>
        </w:rPr>
      </w:pPr>
    </w:p>
    <w:p w14:paraId="46B1EDA2" w14:textId="77777777" w:rsidR="002E2A28" w:rsidRDefault="002E2A28">
      <w:pPr>
        <w:spacing w:after="0" w:line="360" w:lineRule="auto"/>
        <w:rPr>
          <w:color w:val="FF0000"/>
        </w:rPr>
      </w:pPr>
    </w:p>
    <w:p w14:paraId="32F63CFD" w14:textId="77777777" w:rsidR="002E2A28" w:rsidRDefault="002E2A28">
      <w:pPr>
        <w:spacing w:after="0" w:line="360" w:lineRule="auto"/>
        <w:rPr>
          <w:color w:val="FF0000"/>
        </w:rPr>
      </w:pPr>
    </w:p>
    <w:p w14:paraId="2B8E92BF" w14:textId="77777777" w:rsidR="002E2A28" w:rsidRDefault="002E2A28">
      <w:pPr>
        <w:spacing w:after="0" w:line="360" w:lineRule="auto"/>
        <w:rPr>
          <w:color w:val="FF0000"/>
        </w:rPr>
      </w:pPr>
    </w:p>
    <w:p w14:paraId="17A08540" w14:textId="77777777" w:rsidR="002E2A28" w:rsidRDefault="002E2A28">
      <w:pPr>
        <w:spacing w:after="0" w:line="360" w:lineRule="auto"/>
        <w:rPr>
          <w:color w:val="FF0000"/>
        </w:rPr>
      </w:pPr>
    </w:p>
    <w:p w14:paraId="0424B641" w14:textId="77777777" w:rsidR="002E2A28" w:rsidRDefault="002E2A28">
      <w:pPr>
        <w:spacing w:after="0" w:line="360" w:lineRule="auto"/>
        <w:rPr>
          <w:color w:val="FF0000"/>
        </w:rPr>
      </w:pPr>
    </w:p>
    <w:p w14:paraId="0F709277" w14:textId="77777777" w:rsidR="002E2A28" w:rsidRDefault="002E2A28">
      <w:pPr>
        <w:spacing w:after="0" w:line="360" w:lineRule="auto"/>
        <w:rPr>
          <w:color w:val="FF0000"/>
        </w:rPr>
      </w:pPr>
    </w:p>
    <w:p w14:paraId="6CAF9135" w14:textId="77777777" w:rsidR="002E2A28" w:rsidRDefault="002E2A28">
      <w:pPr>
        <w:spacing w:after="0" w:line="360" w:lineRule="auto"/>
        <w:rPr>
          <w:color w:val="FF0000"/>
        </w:rPr>
      </w:pPr>
    </w:p>
    <w:p w14:paraId="26627E04" w14:textId="77777777" w:rsidR="002E2A28" w:rsidRDefault="002E2A28">
      <w:pPr>
        <w:spacing w:after="0" w:line="360" w:lineRule="auto"/>
        <w:rPr>
          <w:color w:val="FF0000"/>
        </w:rPr>
      </w:pPr>
    </w:p>
    <w:p w14:paraId="2B891853" w14:textId="77777777" w:rsidR="002E2A28" w:rsidRDefault="002E2A28">
      <w:pPr>
        <w:spacing w:after="0" w:line="360" w:lineRule="auto"/>
        <w:rPr>
          <w:color w:val="FF0000"/>
        </w:rPr>
      </w:pPr>
    </w:p>
    <w:p w14:paraId="4576FCD2" w14:textId="77777777" w:rsidR="002E2A28" w:rsidRDefault="002E2A28">
      <w:pPr>
        <w:spacing w:after="0" w:line="360" w:lineRule="auto"/>
        <w:rPr>
          <w:color w:val="FF0000"/>
        </w:rPr>
      </w:pPr>
    </w:p>
    <w:p w14:paraId="00CDE7DF" w14:textId="77777777" w:rsidR="002E2A28" w:rsidRDefault="002E2A28">
      <w:pPr>
        <w:tabs>
          <w:tab w:val="right" w:pos="8931"/>
        </w:tabs>
        <w:spacing w:after="0" w:line="360" w:lineRule="auto"/>
        <w:rPr>
          <w:color w:val="FF0000"/>
        </w:rPr>
      </w:pPr>
    </w:p>
    <w:p w14:paraId="764518D8" w14:textId="77777777" w:rsidR="002E2A28" w:rsidRDefault="002E2A28">
      <w:pPr>
        <w:tabs>
          <w:tab w:val="right" w:pos="8931"/>
        </w:tabs>
        <w:spacing w:after="0" w:line="360" w:lineRule="auto"/>
        <w:rPr>
          <w:color w:val="FF0000"/>
        </w:rPr>
      </w:pPr>
    </w:p>
    <w:p w14:paraId="53D71792" w14:textId="77777777" w:rsidR="002E2A28" w:rsidRDefault="002E2A28">
      <w:pPr>
        <w:spacing w:after="0" w:line="360" w:lineRule="auto"/>
        <w:rPr>
          <w:color w:val="FF0000"/>
        </w:rPr>
      </w:pPr>
    </w:p>
    <w:p w14:paraId="7DB02037" w14:textId="77777777" w:rsidR="002E2A28" w:rsidRDefault="002E2A28">
      <w:pPr>
        <w:spacing w:after="0" w:line="360" w:lineRule="auto"/>
        <w:rPr>
          <w:color w:val="FF0000"/>
        </w:rPr>
      </w:pPr>
    </w:p>
    <w:sectPr w:rsidR="002E2A28">
      <w:headerReference w:type="even" r:id="rId8"/>
      <w:headerReference w:type="default" r:id="rId9"/>
      <w:footerReference w:type="even" r:id="rId10"/>
      <w:footerReference w:type="default" r:id="rId11"/>
      <w:headerReference w:type="first" r:id="rId12"/>
      <w:footerReference w:type="first" r:id="rId13"/>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E608A" w14:textId="77777777" w:rsidR="00033620" w:rsidRDefault="00033620">
      <w:pPr>
        <w:spacing w:after="0" w:line="240" w:lineRule="auto"/>
      </w:pPr>
      <w:r>
        <w:separator/>
      </w:r>
    </w:p>
  </w:endnote>
  <w:endnote w:type="continuationSeparator" w:id="0">
    <w:p w14:paraId="4B2780B7" w14:textId="77777777" w:rsidR="00033620" w:rsidRDefault="0003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4BBF0" w14:textId="77777777" w:rsidR="002E2A28" w:rsidRDefault="00FE1B4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86C74">
      <w:rPr>
        <w:b/>
        <w:noProof/>
        <w:color w:val="000000"/>
        <w:sz w:val="24"/>
        <w:szCs w:val="24"/>
      </w:rPr>
      <w:t>35</w:t>
    </w:r>
    <w:r>
      <w:rPr>
        <w:b/>
        <w:color w:val="000000"/>
        <w:sz w:val="24"/>
        <w:szCs w:val="24"/>
      </w:rPr>
      <w:fldChar w:fldCharType="end"/>
    </w:r>
  </w:p>
  <w:p w14:paraId="3ADA977E" w14:textId="77777777" w:rsidR="002E2A28" w:rsidRDefault="002E2A2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5B685" w14:textId="77777777" w:rsidR="002E2A28" w:rsidRDefault="00FE1B4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86C74">
      <w:rPr>
        <w:b/>
        <w:noProof/>
        <w:color w:val="000000"/>
        <w:sz w:val="24"/>
        <w:szCs w:val="24"/>
      </w:rPr>
      <w:t>34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86C74">
      <w:rPr>
        <w:b/>
        <w:noProof/>
        <w:color w:val="000000"/>
        <w:sz w:val="24"/>
        <w:szCs w:val="24"/>
      </w:rPr>
      <w:t>35</w:t>
    </w:r>
    <w:r>
      <w:rPr>
        <w:b/>
        <w:color w:val="000000"/>
        <w:sz w:val="24"/>
        <w:szCs w:val="24"/>
      </w:rPr>
      <w:fldChar w:fldCharType="end"/>
    </w:r>
  </w:p>
  <w:p w14:paraId="03F7F60B" w14:textId="77777777" w:rsidR="002E2A28" w:rsidRDefault="002E2A2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BD026" w14:textId="77777777" w:rsidR="002E2A28" w:rsidRDefault="00FE1B4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86C7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86C74">
      <w:rPr>
        <w:b/>
        <w:noProof/>
        <w:color w:val="000000"/>
        <w:sz w:val="24"/>
        <w:szCs w:val="24"/>
      </w:rPr>
      <w:t>35</w:t>
    </w:r>
    <w:r>
      <w:rPr>
        <w:b/>
        <w:color w:val="000000"/>
        <w:sz w:val="24"/>
        <w:szCs w:val="24"/>
      </w:rPr>
      <w:fldChar w:fldCharType="end"/>
    </w:r>
  </w:p>
  <w:p w14:paraId="1F3D2948" w14:textId="77777777" w:rsidR="002E2A28" w:rsidRDefault="002E2A2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5418E" w14:textId="77777777" w:rsidR="00033620" w:rsidRDefault="00033620">
      <w:pPr>
        <w:spacing w:after="0" w:line="240" w:lineRule="auto"/>
      </w:pPr>
      <w:r>
        <w:separator/>
      </w:r>
    </w:p>
  </w:footnote>
  <w:footnote w:type="continuationSeparator" w:id="0">
    <w:p w14:paraId="1471E8D2" w14:textId="77777777" w:rsidR="00033620" w:rsidRDefault="00033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9B1D8" w14:textId="77777777" w:rsidR="002E2A28" w:rsidRDefault="002E2A28">
    <w:pPr>
      <w:widowControl w:val="0"/>
      <w:pBdr>
        <w:top w:val="nil"/>
        <w:left w:val="nil"/>
        <w:bottom w:val="nil"/>
        <w:right w:val="nil"/>
        <w:between w:val="nil"/>
      </w:pBdr>
      <w:spacing w:after="0" w:line="276" w:lineRule="auto"/>
      <w:jc w:val="left"/>
      <w:rPr>
        <w:color w:val="000000"/>
      </w:rPr>
    </w:pPr>
  </w:p>
  <w:tbl>
    <w:tblPr>
      <w:tblStyle w:val="a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2E2A28" w14:paraId="10111203" w14:textId="77777777">
      <w:trPr>
        <w:trHeight w:val="132"/>
      </w:trPr>
      <w:tc>
        <w:tcPr>
          <w:tcW w:w="2691" w:type="dxa"/>
        </w:tcPr>
        <w:p w14:paraId="14585F8C" w14:textId="77777777" w:rsidR="002E2A28" w:rsidRDefault="00FE1B49">
          <w:pPr>
            <w:tabs>
              <w:tab w:val="right" w:pos="8838"/>
            </w:tabs>
            <w:ind w:right="-105"/>
            <w:rPr>
              <w:b/>
            </w:rPr>
          </w:pPr>
          <w:r>
            <w:rPr>
              <w:b/>
            </w:rPr>
            <w:t>Recurso de Revisión:</w:t>
          </w:r>
        </w:p>
      </w:tc>
      <w:tc>
        <w:tcPr>
          <w:tcW w:w="3405" w:type="dxa"/>
        </w:tcPr>
        <w:p w14:paraId="1D563A8E" w14:textId="77777777" w:rsidR="002E2A28" w:rsidRDefault="00FE1B49">
          <w:pPr>
            <w:tabs>
              <w:tab w:val="right" w:pos="8838"/>
            </w:tabs>
            <w:ind w:left="-28" w:right="-32"/>
          </w:pPr>
          <w:r>
            <w:t>03846/INFOEM/IP/RR/2020</w:t>
          </w:r>
        </w:p>
      </w:tc>
    </w:tr>
    <w:tr w:rsidR="002E2A28" w14:paraId="5693AA5E" w14:textId="77777777">
      <w:trPr>
        <w:trHeight w:val="261"/>
      </w:trPr>
      <w:tc>
        <w:tcPr>
          <w:tcW w:w="2691" w:type="dxa"/>
        </w:tcPr>
        <w:p w14:paraId="79ECA7F2" w14:textId="77777777" w:rsidR="002E2A28" w:rsidRDefault="00FE1B49">
          <w:pPr>
            <w:tabs>
              <w:tab w:val="right" w:pos="8838"/>
            </w:tabs>
            <w:ind w:right="-105"/>
            <w:rPr>
              <w:b/>
            </w:rPr>
          </w:pPr>
          <w:r>
            <w:rPr>
              <w:b/>
            </w:rPr>
            <w:t>Sujeto Obligado:</w:t>
          </w:r>
        </w:p>
      </w:tc>
      <w:tc>
        <w:tcPr>
          <w:tcW w:w="3405" w:type="dxa"/>
        </w:tcPr>
        <w:p w14:paraId="06F3EB39" w14:textId="77777777" w:rsidR="002E2A28" w:rsidRDefault="00FE1B49">
          <w:pPr>
            <w:tabs>
              <w:tab w:val="right" w:pos="8838"/>
            </w:tabs>
            <w:ind w:right="-32"/>
          </w:pPr>
          <w:r>
            <w:t>Ayuntamiento de Temascalcingo</w:t>
          </w:r>
        </w:p>
      </w:tc>
    </w:tr>
    <w:tr w:rsidR="002E2A28" w14:paraId="60102947" w14:textId="77777777">
      <w:trPr>
        <w:trHeight w:val="261"/>
      </w:trPr>
      <w:tc>
        <w:tcPr>
          <w:tcW w:w="2691" w:type="dxa"/>
        </w:tcPr>
        <w:p w14:paraId="79FBCEFB" w14:textId="77777777" w:rsidR="002E2A28" w:rsidRDefault="00FE1B49">
          <w:pPr>
            <w:tabs>
              <w:tab w:val="right" w:pos="8838"/>
            </w:tabs>
            <w:ind w:right="-105"/>
            <w:rPr>
              <w:b/>
            </w:rPr>
          </w:pPr>
          <w:r>
            <w:rPr>
              <w:b/>
            </w:rPr>
            <w:t>Comisionado Ponente:</w:t>
          </w:r>
        </w:p>
      </w:tc>
      <w:tc>
        <w:tcPr>
          <w:tcW w:w="3405" w:type="dxa"/>
        </w:tcPr>
        <w:p w14:paraId="4C407688" w14:textId="77777777" w:rsidR="002E2A28" w:rsidRDefault="00FE1B49">
          <w:pPr>
            <w:tabs>
              <w:tab w:val="right" w:pos="8838"/>
            </w:tabs>
            <w:ind w:right="-32"/>
            <w:rPr>
              <w:b/>
            </w:rPr>
          </w:pPr>
          <w:r>
            <w:t>Luis Gustavo Parra Noriega</w:t>
          </w:r>
        </w:p>
      </w:tc>
    </w:tr>
  </w:tbl>
  <w:p w14:paraId="670C7BE1" w14:textId="77777777" w:rsidR="002E2A28"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0D37B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EFD39" w14:textId="77777777" w:rsidR="002E2A28" w:rsidRDefault="00000000">
    <w:pPr>
      <w:widowControl w:val="0"/>
      <w:pBdr>
        <w:top w:val="nil"/>
        <w:left w:val="nil"/>
        <w:bottom w:val="nil"/>
        <w:right w:val="nil"/>
        <w:between w:val="nil"/>
      </w:pBdr>
      <w:spacing w:after="0" w:line="276" w:lineRule="auto"/>
      <w:jc w:val="left"/>
    </w:pPr>
    <w:r>
      <w:rPr>
        <w:color w:val="000000"/>
      </w:rPr>
      <w:pict w14:anchorId="2CD06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margin-left:-85.35pt;margin-top:-137.45pt;width:663.5pt;height:12in;z-index:-251659776;mso-position-horizontal:absolute;mso-position-horizontal-relative:margin;mso-position-vertical:absolute;mso-position-vertical-relative:margin">
          <v:imagedata r:id="rId1" o:title="image1"/>
          <w10:wrap anchorx="margin" anchory="margin"/>
        </v:shape>
      </w:pict>
    </w:r>
  </w:p>
  <w:tbl>
    <w:tblPr>
      <w:tblStyle w:val="a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2E2A28" w14:paraId="3306E5C8" w14:textId="77777777">
      <w:trPr>
        <w:trHeight w:val="138"/>
      </w:trPr>
      <w:tc>
        <w:tcPr>
          <w:tcW w:w="2693" w:type="dxa"/>
          <w:vAlign w:val="center"/>
        </w:tcPr>
        <w:p w14:paraId="41754D19" w14:textId="77777777" w:rsidR="002E2A28" w:rsidRDefault="002E2A28">
          <w:pPr>
            <w:tabs>
              <w:tab w:val="right" w:pos="8838"/>
            </w:tabs>
            <w:ind w:left="-108" w:right="-105"/>
            <w:jc w:val="left"/>
            <w:rPr>
              <w:b/>
            </w:rPr>
          </w:pPr>
        </w:p>
        <w:p w14:paraId="4C1B864F" w14:textId="77777777" w:rsidR="002E2A28" w:rsidRDefault="00FE1B49">
          <w:pPr>
            <w:tabs>
              <w:tab w:val="right" w:pos="8838"/>
            </w:tabs>
            <w:ind w:left="-108" w:right="-105"/>
            <w:jc w:val="left"/>
            <w:rPr>
              <w:b/>
            </w:rPr>
          </w:pPr>
          <w:r>
            <w:rPr>
              <w:b/>
            </w:rPr>
            <w:t>Recurso de Revisión:</w:t>
          </w:r>
        </w:p>
      </w:tc>
      <w:tc>
        <w:tcPr>
          <w:tcW w:w="3969" w:type="dxa"/>
        </w:tcPr>
        <w:p w14:paraId="56FC5073" w14:textId="77777777" w:rsidR="002E2A28" w:rsidRDefault="002E2A28">
          <w:pPr>
            <w:tabs>
              <w:tab w:val="right" w:pos="8838"/>
            </w:tabs>
            <w:ind w:right="57"/>
          </w:pPr>
        </w:p>
        <w:p w14:paraId="28A73E1F" w14:textId="77777777" w:rsidR="002E2A28" w:rsidRDefault="00FE1B49">
          <w:pPr>
            <w:tabs>
              <w:tab w:val="right" w:pos="8838"/>
            </w:tabs>
            <w:ind w:right="57"/>
          </w:pPr>
          <w:r>
            <w:t>08356/INFOEM/IP/RR/2025</w:t>
          </w:r>
        </w:p>
      </w:tc>
    </w:tr>
    <w:tr w:rsidR="002E2A28" w14:paraId="5B1FB05A" w14:textId="77777777">
      <w:trPr>
        <w:trHeight w:val="273"/>
      </w:trPr>
      <w:tc>
        <w:tcPr>
          <w:tcW w:w="2693" w:type="dxa"/>
        </w:tcPr>
        <w:p w14:paraId="2AA9FE2D" w14:textId="77777777" w:rsidR="002E2A28" w:rsidRDefault="00FE1B49">
          <w:pPr>
            <w:tabs>
              <w:tab w:val="right" w:pos="8838"/>
            </w:tabs>
            <w:ind w:left="-108" w:right="-105"/>
            <w:rPr>
              <w:b/>
            </w:rPr>
          </w:pPr>
          <w:r>
            <w:rPr>
              <w:b/>
            </w:rPr>
            <w:t>Sujeto Obligado:</w:t>
          </w:r>
        </w:p>
      </w:tc>
      <w:tc>
        <w:tcPr>
          <w:tcW w:w="3969" w:type="dxa"/>
        </w:tcPr>
        <w:p w14:paraId="5688D9FD" w14:textId="77777777" w:rsidR="002E2A28" w:rsidRDefault="00FE1B49">
          <w:pPr>
            <w:tabs>
              <w:tab w:val="right" w:pos="8838"/>
            </w:tabs>
            <w:ind w:right="57"/>
          </w:pPr>
          <w:r>
            <w:t xml:space="preserve">Ayuntamiento de </w:t>
          </w:r>
          <w:proofErr w:type="spellStart"/>
          <w:r>
            <w:t>Tonanitla</w:t>
          </w:r>
          <w:proofErr w:type="spellEnd"/>
        </w:p>
      </w:tc>
    </w:tr>
    <w:tr w:rsidR="002E2A28" w14:paraId="5B7E44AE" w14:textId="77777777">
      <w:trPr>
        <w:trHeight w:val="273"/>
      </w:trPr>
      <w:tc>
        <w:tcPr>
          <w:tcW w:w="2693" w:type="dxa"/>
        </w:tcPr>
        <w:p w14:paraId="69BD46AF" w14:textId="77777777" w:rsidR="002E2A28" w:rsidRDefault="00FE1B49">
          <w:pPr>
            <w:tabs>
              <w:tab w:val="right" w:pos="8838"/>
            </w:tabs>
            <w:ind w:left="-108" w:right="-105"/>
            <w:rPr>
              <w:b/>
            </w:rPr>
          </w:pPr>
          <w:r>
            <w:rPr>
              <w:b/>
            </w:rPr>
            <w:t>Comisionado Ponente:</w:t>
          </w:r>
        </w:p>
      </w:tc>
      <w:tc>
        <w:tcPr>
          <w:tcW w:w="3969" w:type="dxa"/>
        </w:tcPr>
        <w:p w14:paraId="1D4D872F" w14:textId="77777777" w:rsidR="002E2A28" w:rsidRDefault="00FE1B49">
          <w:pPr>
            <w:tabs>
              <w:tab w:val="right" w:pos="8838"/>
            </w:tabs>
            <w:ind w:right="-170"/>
          </w:pPr>
          <w:r>
            <w:t>Luis Gustavo Parra Noriega</w:t>
          </w:r>
        </w:p>
        <w:p w14:paraId="4247E739" w14:textId="77777777" w:rsidR="002E2A28" w:rsidRDefault="002E2A28">
          <w:pPr>
            <w:tabs>
              <w:tab w:val="right" w:pos="8838"/>
            </w:tabs>
            <w:ind w:right="-170"/>
            <w:rPr>
              <w:b/>
            </w:rPr>
          </w:pPr>
        </w:p>
      </w:tc>
    </w:tr>
  </w:tbl>
  <w:p w14:paraId="161DB249" w14:textId="77777777" w:rsidR="002E2A28" w:rsidRDefault="002E2A28">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B7B1A" w14:textId="77777777" w:rsidR="002E2A28" w:rsidRDefault="002E2A28">
    <w:pPr>
      <w:widowControl w:val="0"/>
      <w:pBdr>
        <w:top w:val="nil"/>
        <w:left w:val="nil"/>
        <w:bottom w:val="nil"/>
        <w:right w:val="nil"/>
        <w:between w:val="nil"/>
      </w:pBdr>
      <w:spacing w:after="0" w:line="276" w:lineRule="auto"/>
      <w:jc w:val="left"/>
      <w:rPr>
        <w:color w:val="000000"/>
      </w:rPr>
    </w:pPr>
  </w:p>
  <w:tbl>
    <w:tblPr>
      <w:tblStyle w:val="a4"/>
      <w:tblW w:w="6804"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2E2A28" w14:paraId="22C0D034" w14:textId="77777777">
      <w:trPr>
        <w:trHeight w:val="132"/>
      </w:trPr>
      <w:tc>
        <w:tcPr>
          <w:tcW w:w="2551" w:type="dxa"/>
        </w:tcPr>
        <w:p w14:paraId="63FE655E" w14:textId="77777777" w:rsidR="002E2A28" w:rsidRDefault="00FE1B49">
          <w:pPr>
            <w:tabs>
              <w:tab w:val="right" w:pos="8838"/>
            </w:tabs>
            <w:ind w:right="-105"/>
            <w:rPr>
              <w:b/>
            </w:rPr>
          </w:pPr>
          <w:r>
            <w:rPr>
              <w:b/>
            </w:rPr>
            <w:t>Recurso de Revisión:</w:t>
          </w:r>
        </w:p>
      </w:tc>
      <w:tc>
        <w:tcPr>
          <w:tcW w:w="4253" w:type="dxa"/>
        </w:tcPr>
        <w:p w14:paraId="3183A795" w14:textId="77777777" w:rsidR="002E2A28" w:rsidRDefault="00FE1B49">
          <w:r>
            <w:t>08356/INFOEM/IP/RR/2025</w:t>
          </w:r>
        </w:p>
      </w:tc>
    </w:tr>
    <w:tr w:rsidR="002E2A28" w14:paraId="1FFA90B9" w14:textId="77777777">
      <w:trPr>
        <w:trHeight w:val="132"/>
      </w:trPr>
      <w:tc>
        <w:tcPr>
          <w:tcW w:w="2551" w:type="dxa"/>
          <w:shd w:val="clear" w:color="auto" w:fill="auto"/>
        </w:tcPr>
        <w:p w14:paraId="5A0022E5" w14:textId="77777777" w:rsidR="002E2A28" w:rsidRDefault="00FE1B49">
          <w:pPr>
            <w:tabs>
              <w:tab w:val="left" w:pos="1875"/>
            </w:tabs>
            <w:ind w:right="-105"/>
            <w:rPr>
              <w:b/>
            </w:rPr>
          </w:pPr>
          <w:r>
            <w:rPr>
              <w:b/>
            </w:rPr>
            <w:t>Recurrente:</w:t>
          </w:r>
          <w:r>
            <w:rPr>
              <w:b/>
            </w:rPr>
            <w:tab/>
          </w:r>
        </w:p>
      </w:tc>
      <w:tc>
        <w:tcPr>
          <w:tcW w:w="4253" w:type="dxa"/>
          <w:shd w:val="clear" w:color="auto" w:fill="auto"/>
        </w:tcPr>
        <w:p w14:paraId="52479A62" w14:textId="77777777" w:rsidR="002E2A28" w:rsidRDefault="002E2A28">
          <w:pPr>
            <w:tabs>
              <w:tab w:val="right" w:pos="8838"/>
            </w:tabs>
            <w:ind w:right="-250"/>
          </w:pPr>
        </w:p>
      </w:tc>
    </w:tr>
    <w:tr w:rsidR="002E2A28" w14:paraId="594DE664" w14:textId="77777777">
      <w:trPr>
        <w:trHeight w:val="261"/>
      </w:trPr>
      <w:tc>
        <w:tcPr>
          <w:tcW w:w="2551" w:type="dxa"/>
        </w:tcPr>
        <w:p w14:paraId="6A8ECAFE" w14:textId="77777777" w:rsidR="002E2A28" w:rsidRDefault="00FE1B49">
          <w:pPr>
            <w:tabs>
              <w:tab w:val="right" w:pos="8838"/>
            </w:tabs>
            <w:ind w:right="-105"/>
            <w:rPr>
              <w:b/>
            </w:rPr>
          </w:pPr>
          <w:r>
            <w:rPr>
              <w:b/>
            </w:rPr>
            <w:t>Sujeto Obligado:</w:t>
          </w:r>
        </w:p>
      </w:tc>
      <w:tc>
        <w:tcPr>
          <w:tcW w:w="4253" w:type="dxa"/>
        </w:tcPr>
        <w:p w14:paraId="030E5E8D" w14:textId="77777777" w:rsidR="002E2A28" w:rsidRDefault="00FE1B49">
          <w:r>
            <w:t xml:space="preserve">Ayuntamiento de </w:t>
          </w:r>
          <w:proofErr w:type="spellStart"/>
          <w:r>
            <w:t>Tonanitla</w:t>
          </w:r>
          <w:proofErr w:type="spellEnd"/>
        </w:p>
      </w:tc>
    </w:tr>
    <w:tr w:rsidR="002E2A28" w14:paraId="0BC18A72" w14:textId="77777777">
      <w:trPr>
        <w:trHeight w:val="261"/>
      </w:trPr>
      <w:tc>
        <w:tcPr>
          <w:tcW w:w="2551" w:type="dxa"/>
        </w:tcPr>
        <w:p w14:paraId="1C8C79C0" w14:textId="77777777" w:rsidR="002E2A28" w:rsidRDefault="00FE1B49">
          <w:pPr>
            <w:tabs>
              <w:tab w:val="right" w:pos="8838"/>
            </w:tabs>
            <w:ind w:right="-105"/>
            <w:rPr>
              <w:b/>
            </w:rPr>
          </w:pPr>
          <w:r>
            <w:rPr>
              <w:b/>
            </w:rPr>
            <w:t>Comisionado Ponente:</w:t>
          </w:r>
        </w:p>
      </w:tc>
      <w:tc>
        <w:tcPr>
          <w:tcW w:w="4253" w:type="dxa"/>
        </w:tcPr>
        <w:p w14:paraId="5427890D" w14:textId="77777777" w:rsidR="002E2A28" w:rsidRDefault="00FE1B49">
          <w:pPr>
            <w:tabs>
              <w:tab w:val="right" w:pos="8838"/>
            </w:tabs>
            <w:ind w:right="-32"/>
            <w:rPr>
              <w:b/>
            </w:rPr>
          </w:pPr>
          <w:r>
            <w:t>Luis Gustavo Parra Noriega</w:t>
          </w:r>
        </w:p>
      </w:tc>
    </w:tr>
  </w:tbl>
  <w:p w14:paraId="1AE8FF46" w14:textId="77777777" w:rsidR="002E2A28"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511549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MARCA DE AGUA - HOJA RESOLUCIÓN" style="position:absolute;left:0;text-align:left;margin-left:-89.1pt;margin-top:-125pt;width:663.5pt;height:12in;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27F86"/>
    <w:multiLevelType w:val="multilevel"/>
    <w:tmpl w:val="10D667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E775C2"/>
    <w:multiLevelType w:val="multilevel"/>
    <w:tmpl w:val="BFE2B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588585F"/>
    <w:multiLevelType w:val="multilevel"/>
    <w:tmpl w:val="10FCEB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8C19D2"/>
    <w:multiLevelType w:val="multilevel"/>
    <w:tmpl w:val="618A87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1637B61"/>
    <w:multiLevelType w:val="multilevel"/>
    <w:tmpl w:val="1BB445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9205B1B"/>
    <w:multiLevelType w:val="multilevel"/>
    <w:tmpl w:val="B58E96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6412058"/>
    <w:multiLevelType w:val="multilevel"/>
    <w:tmpl w:val="0FC65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9075DD3"/>
    <w:multiLevelType w:val="multilevel"/>
    <w:tmpl w:val="838278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2516704">
    <w:abstractNumId w:val="7"/>
  </w:num>
  <w:num w:numId="2" w16cid:durableId="758217783">
    <w:abstractNumId w:val="6"/>
  </w:num>
  <w:num w:numId="3" w16cid:durableId="1413621432">
    <w:abstractNumId w:val="3"/>
  </w:num>
  <w:num w:numId="4" w16cid:durableId="1868061749">
    <w:abstractNumId w:val="4"/>
  </w:num>
  <w:num w:numId="5" w16cid:durableId="1110779686">
    <w:abstractNumId w:val="2"/>
  </w:num>
  <w:num w:numId="6" w16cid:durableId="543254234">
    <w:abstractNumId w:val="0"/>
  </w:num>
  <w:num w:numId="7" w16cid:durableId="963390830">
    <w:abstractNumId w:val="5"/>
  </w:num>
  <w:num w:numId="8" w16cid:durableId="464667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A28"/>
    <w:rsid w:val="00033620"/>
    <w:rsid w:val="001E46A7"/>
    <w:rsid w:val="00291C33"/>
    <w:rsid w:val="002E2A28"/>
    <w:rsid w:val="002F49AB"/>
    <w:rsid w:val="005C3EF8"/>
    <w:rsid w:val="0066289C"/>
    <w:rsid w:val="00711DCF"/>
    <w:rsid w:val="00955104"/>
    <w:rsid w:val="00C41170"/>
    <w:rsid w:val="00CD6B28"/>
    <w:rsid w:val="00D128DD"/>
    <w:rsid w:val="00E139FE"/>
    <w:rsid w:val="00E31C66"/>
    <w:rsid w:val="00F86C74"/>
    <w:rsid w:val="00FE1B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04CF2"/>
  <w15:docId w15:val="{42B0D839-83EC-4951-A22A-19412B01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s-MX" w:bidi="ar-SA"/>
      </w:rPr>
    </w:rPrDefault>
    <w:pPrDefault>
      <w:pPr>
        <w:spacing w:after="160" w:line="25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4">
    <w:name w:val="4"/>
    <w:basedOn w:val="TableNormal1"/>
    <w:pPr>
      <w:spacing w:after="0" w:line="240" w:lineRule="auto"/>
    </w:pPr>
    <w:tblPr>
      <w:tblStyleRowBandSize w:val="1"/>
      <w:tblStyleColBandSize w:val="1"/>
      <w:tblCellMar>
        <w:left w:w="108" w:type="dxa"/>
        <w:right w:w="108" w:type="dxa"/>
      </w:tblCellMar>
    </w:tblPr>
  </w:style>
  <w:style w:type="table" w:customStyle="1" w:styleId="3">
    <w:name w:val="3"/>
    <w:basedOn w:val="TableNormal1"/>
    <w:pPr>
      <w:spacing w:after="0" w:line="240" w:lineRule="auto"/>
    </w:pPr>
    <w:tblPr>
      <w:tblStyleRowBandSize w:val="1"/>
      <w:tblStyleColBandSize w:val="1"/>
      <w:tblCellMar>
        <w:left w:w="108" w:type="dxa"/>
        <w:right w:w="108" w:type="dxa"/>
      </w:tblCellMar>
    </w:tblPr>
  </w:style>
  <w:style w:type="table" w:customStyle="1" w:styleId="2">
    <w:name w:val="2"/>
    <w:basedOn w:val="TableNormal1"/>
    <w:pPr>
      <w:spacing w:after="0" w:line="240" w:lineRule="auto"/>
    </w:pPr>
    <w:tblPr>
      <w:tblStyleRowBandSize w:val="1"/>
      <w:tblStyleColBandSize w:val="1"/>
      <w:tblCellMar>
        <w:left w:w="108" w:type="dxa"/>
        <w:right w:w="108" w:type="dxa"/>
      </w:tblCellMar>
    </w:tblPr>
  </w:style>
  <w:style w:type="table" w:customStyle="1" w:styleId="1">
    <w:name w:val="1"/>
    <w:basedOn w:val="TableNormal1"/>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next w:val="Normal"/>
    <w:uiPriority w:val="39"/>
    <w:unhideWhenUsed/>
    <w:qFormat/>
    <w:rsid w:val="00C4052B"/>
    <w:pPr>
      <w:spacing w:before="240" w:after="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0939E3"/>
    <w:rPr>
      <w:color w:val="605E5C"/>
      <w:shd w:val="clear" w:color="auto" w:fill="E1DFDD"/>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324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Jlv0zY5KAP25xWSGsaGjQNtP3g==">CgMxLjAyDmguODgzeDkzM2c0cWJvMg5oLmNid3JoaGI1Y25kbTIOaC50bmx1MGM4M3dqY2UyDmgucXBlZGNkOXFlMW5iMg5oLjlpbDA2d2hpc3I4eDIOaC4zZHVzZG16Njl5eG0yDmgud3MwNTl2MWt6YzdyMg5oLjVuN2VhMWcxOWEzajIOaC50bng4bW0zNTc5eHkyCWguMzBqMHpsbDIOaC5yYTdmOG12emJsanoyDmguODU1a3NtZDBsZzViMg5oLmc2MjZ2dWFpYmVnazINaC5ub3p0bHIxOGlqYjIOaC4xZWMwbWhudHA0bzEyDmguZjgyOHAzNWcyYmk4Mg5oLmF4cG8xaWF2bnFtcTgAciExMzd2aTFzckVUUE1raWtSMUlSeHphcmNmc3ZfblZiX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8875</Words>
  <Characters>48815</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Celi Gs</cp:lastModifiedBy>
  <cp:revision>2</cp:revision>
  <cp:lastPrinted>2025-10-09T23:52:00Z</cp:lastPrinted>
  <dcterms:created xsi:type="dcterms:W3CDTF">2025-10-31T13:39:00Z</dcterms:created>
  <dcterms:modified xsi:type="dcterms:W3CDTF">2025-10-31T13:39:00Z</dcterms:modified>
</cp:coreProperties>
</file>