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3E9D5" w14:textId="0F07CEDE" w:rsidR="009B5029" w:rsidRPr="0064404B" w:rsidRDefault="009B5029" w:rsidP="009B5029">
      <w:pPr>
        <w:spacing w:before="240" w:line="360" w:lineRule="auto"/>
        <w:jc w:val="both"/>
        <w:rPr>
          <w:rFonts w:ascii="Palatino Linotype" w:eastAsia="Times New Roman" w:hAnsi="Palatino Linotype" w:cs="Arial"/>
          <w:color w:val="000000"/>
          <w:sz w:val="24"/>
          <w:szCs w:val="24"/>
          <w:lang w:eastAsia="es-MX"/>
        </w:rPr>
      </w:pPr>
      <w:r w:rsidRPr="0064404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F71C7" w:rsidRPr="0064404B">
        <w:rPr>
          <w:rFonts w:ascii="Palatino Linotype" w:eastAsia="Times New Roman" w:hAnsi="Palatino Linotype" w:cs="Arial"/>
          <w:color w:val="000000"/>
          <w:sz w:val="24"/>
          <w:szCs w:val="24"/>
          <w:lang w:eastAsia="es-MX"/>
        </w:rPr>
        <w:t xml:space="preserve">dos de abril de dos mil veinticinco. </w:t>
      </w:r>
      <w:r w:rsidR="006A76AB" w:rsidRPr="0064404B">
        <w:rPr>
          <w:rFonts w:ascii="Palatino Linotype" w:eastAsia="Times New Roman" w:hAnsi="Palatino Linotype" w:cs="Arial"/>
          <w:color w:val="000000"/>
          <w:sz w:val="24"/>
          <w:szCs w:val="24"/>
          <w:lang w:eastAsia="es-MX"/>
        </w:rPr>
        <w:t xml:space="preserve"> </w:t>
      </w:r>
    </w:p>
    <w:p w14:paraId="635A2D61" w14:textId="0C037828" w:rsidR="00FC2D20" w:rsidRPr="0064404B" w:rsidRDefault="009B5029" w:rsidP="009B5029">
      <w:pPr>
        <w:tabs>
          <w:tab w:val="left" w:pos="1701"/>
        </w:tabs>
        <w:spacing w:before="240" w:line="360" w:lineRule="auto"/>
        <w:jc w:val="both"/>
        <w:rPr>
          <w:rFonts w:ascii="Palatino Linotype" w:hAnsi="Palatino Linotype" w:cs="Arial"/>
          <w:sz w:val="24"/>
        </w:rPr>
      </w:pPr>
      <w:r w:rsidRPr="0064404B">
        <w:rPr>
          <w:rFonts w:ascii="Palatino Linotype" w:hAnsi="Palatino Linotype" w:cs="Arial"/>
          <w:b/>
          <w:sz w:val="24"/>
        </w:rPr>
        <w:t>VISTO</w:t>
      </w:r>
      <w:r w:rsidRPr="0064404B">
        <w:rPr>
          <w:rFonts w:ascii="Palatino Linotype" w:hAnsi="Palatino Linotype" w:cs="Arial"/>
          <w:sz w:val="24"/>
        </w:rPr>
        <w:t xml:space="preserve"> el expediente electrónico formado con motivo del recurso de revisión número </w:t>
      </w:r>
      <w:r w:rsidR="00FF71C7" w:rsidRPr="0064404B">
        <w:rPr>
          <w:rFonts w:ascii="Palatino Linotype" w:hAnsi="Palatino Linotype" w:cs="Arial"/>
          <w:b/>
          <w:bCs/>
          <w:sz w:val="24"/>
        </w:rPr>
        <w:t>02110</w:t>
      </w:r>
      <w:r w:rsidRPr="0064404B">
        <w:rPr>
          <w:rFonts w:ascii="Palatino Linotype" w:hAnsi="Palatino Linotype" w:cs="Arial"/>
          <w:b/>
          <w:sz w:val="24"/>
        </w:rPr>
        <w:t>/INFOEM/IP/RR/202</w:t>
      </w:r>
      <w:r w:rsidR="002C5B92" w:rsidRPr="0064404B">
        <w:rPr>
          <w:rFonts w:ascii="Palatino Linotype" w:hAnsi="Palatino Linotype" w:cs="Arial"/>
          <w:b/>
          <w:sz w:val="24"/>
        </w:rPr>
        <w:t>5</w:t>
      </w:r>
      <w:r w:rsidRPr="0064404B">
        <w:rPr>
          <w:rFonts w:ascii="Palatino Linotype" w:hAnsi="Palatino Linotype" w:cs="Arial"/>
          <w:b/>
          <w:sz w:val="24"/>
        </w:rPr>
        <w:t xml:space="preserve">, </w:t>
      </w:r>
      <w:r w:rsidRPr="0064404B">
        <w:rPr>
          <w:rFonts w:ascii="Palatino Linotype" w:hAnsi="Palatino Linotype" w:cs="Arial"/>
          <w:sz w:val="24"/>
        </w:rPr>
        <w:t xml:space="preserve">interpuesto por un particular, en lo sucesivo </w:t>
      </w:r>
      <w:r w:rsidRPr="0064404B">
        <w:rPr>
          <w:rFonts w:ascii="Palatino Linotype" w:hAnsi="Palatino Linotype" w:cs="Arial"/>
          <w:b/>
          <w:bCs/>
          <w:sz w:val="24"/>
        </w:rPr>
        <w:t xml:space="preserve">El Recurrente, </w:t>
      </w:r>
      <w:r w:rsidRPr="0064404B">
        <w:rPr>
          <w:rFonts w:ascii="Palatino Linotype" w:hAnsi="Palatino Linotype" w:cs="Arial"/>
          <w:sz w:val="24"/>
        </w:rPr>
        <w:t xml:space="preserve">en contra de la respuesta del </w:t>
      </w:r>
      <w:r w:rsidR="00FC2D20" w:rsidRPr="0064404B">
        <w:rPr>
          <w:rFonts w:ascii="Palatino Linotype" w:hAnsi="Palatino Linotype" w:cs="Arial"/>
          <w:b/>
          <w:sz w:val="24"/>
        </w:rPr>
        <w:t xml:space="preserve">Poder Legislativo, </w:t>
      </w:r>
      <w:r w:rsidR="00FC2D20" w:rsidRPr="0064404B">
        <w:rPr>
          <w:rFonts w:ascii="Palatino Linotype" w:hAnsi="Palatino Linotype" w:cs="Arial"/>
          <w:sz w:val="24"/>
        </w:rPr>
        <w:t xml:space="preserve">en lo sucesivo </w:t>
      </w:r>
      <w:r w:rsidR="00FC2D20" w:rsidRPr="0064404B">
        <w:rPr>
          <w:rFonts w:ascii="Palatino Linotype" w:hAnsi="Palatino Linotype" w:cs="Arial"/>
          <w:b/>
          <w:sz w:val="24"/>
        </w:rPr>
        <w:t xml:space="preserve">El Sujeto Obligado, </w:t>
      </w:r>
      <w:r w:rsidR="00FC2D20" w:rsidRPr="0064404B">
        <w:rPr>
          <w:rFonts w:ascii="Palatino Linotype" w:hAnsi="Palatino Linotype" w:cs="Arial"/>
          <w:sz w:val="24"/>
        </w:rPr>
        <w:t xml:space="preserve">se procede a dictar la presente resolución. </w:t>
      </w:r>
    </w:p>
    <w:p w14:paraId="30CBAE1F" w14:textId="77777777" w:rsidR="00FC2D20" w:rsidRPr="0064404B" w:rsidRDefault="00FC2D20" w:rsidP="009B5029">
      <w:pPr>
        <w:tabs>
          <w:tab w:val="left" w:pos="1701"/>
        </w:tabs>
        <w:spacing w:before="240" w:line="360" w:lineRule="auto"/>
        <w:jc w:val="both"/>
        <w:rPr>
          <w:rFonts w:ascii="Palatino Linotype" w:hAnsi="Palatino Linotype" w:cs="Arial"/>
          <w:sz w:val="24"/>
        </w:rPr>
      </w:pPr>
    </w:p>
    <w:p w14:paraId="4BC4461B" w14:textId="4BE6C5A3" w:rsidR="009B5029" w:rsidRPr="0064404B" w:rsidRDefault="009B5029" w:rsidP="009B5029">
      <w:pPr>
        <w:pStyle w:val="infoemcitas"/>
        <w:jc w:val="center"/>
        <w:rPr>
          <w:b/>
          <w:bCs/>
          <w:i w:val="0"/>
          <w:iCs/>
          <w:sz w:val="28"/>
          <w:szCs w:val="28"/>
        </w:rPr>
      </w:pPr>
      <w:r w:rsidRPr="0064404B">
        <w:rPr>
          <w:b/>
          <w:bCs/>
          <w:i w:val="0"/>
          <w:iCs/>
          <w:sz w:val="28"/>
          <w:szCs w:val="28"/>
        </w:rPr>
        <w:t>A N T E C E D E N T E S   D E L   A S U N T O</w:t>
      </w:r>
    </w:p>
    <w:p w14:paraId="43C252D3" w14:textId="77777777" w:rsidR="009B5029" w:rsidRPr="0064404B" w:rsidRDefault="009B5029" w:rsidP="009B5029">
      <w:pPr>
        <w:spacing w:before="240" w:after="240" w:line="360" w:lineRule="auto"/>
        <w:jc w:val="both"/>
        <w:rPr>
          <w:rFonts w:ascii="Palatino Linotype" w:hAnsi="Palatino Linotype"/>
        </w:rPr>
      </w:pPr>
      <w:r w:rsidRPr="0064404B">
        <w:rPr>
          <w:rFonts w:ascii="Palatino Linotype" w:hAnsi="Palatino Linotype" w:cs="Arial"/>
          <w:b/>
          <w:sz w:val="28"/>
        </w:rPr>
        <w:t>PRIMERO.</w:t>
      </w:r>
      <w:r w:rsidRPr="0064404B">
        <w:rPr>
          <w:rFonts w:ascii="Palatino Linotype" w:hAnsi="Palatino Linotype" w:cs="Arial"/>
        </w:rPr>
        <w:t xml:space="preserve"> </w:t>
      </w:r>
      <w:r w:rsidRPr="0064404B">
        <w:rPr>
          <w:rFonts w:ascii="Palatino Linotype" w:hAnsi="Palatino Linotype"/>
          <w:b/>
          <w:sz w:val="28"/>
          <w:szCs w:val="28"/>
        </w:rPr>
        <w:t>De la Solicitud de Información.</w:t>
      </w:r>
    </w:p>
    <w:p w14:paraId="565E687F" w14:textId="38B28A51" w:rsidR="00FF71C7" w:rsidRPr="0064404B" w:rsidRDefault="009B5029" w:rsidP="009B5029">
      <w:pPr>
        <w:spacing w:before="240" w:line="360" w:lineRule="auto"/>
        <w:jc w:val="both"/>
        <w:rPr>
          <w:rFonts w:ascii="Palatino Linotype" w:hAnsi="Palatino Linotype" w:cs="Arial"/>
          <w:sz w:val="24"/>
        </w:rPr>
      </w:pPr>
      <w:r w:rsidRPr="0064404B">
        <w:rPr>
          <w:rFonts w:ascii="Palatino Linotype" w:hAnsi="Palatino Linotype" w:cs="Arial"/>
          <w:sz w:val="24"/>
        </w:rPr>
        <w:t>Con fecha</w:t>
      </w:r>
      <w:r w:rsidR="00FF71C7" w:rsidRPr="0064404B">
        <w:rPr>
          <w:rFonts w:ascii="Palatino Linotype" w:hAnsi="Palatino Linotype" w:cs="Arial"/>
          <w:sz w:val="24"/>
        </w:rPr>
        <w:t xml:space="preserve"> </w:t>
      </w:r>
      <w:r w:rsidR="00FF71C7" w:rsidRPr="0064404B">
        <w:rPr>
          <w:rFonts w:ascii="Palatino Linotype" w:hAnsi="Palatino Linotype" w:cs="Arial"/>
          <w:b/>
          <w:bCs/>
          <w:sz w:val="24"/>
        </w:rPr>
        <w:t xml:space="preserve">veinte de febrero de dos mil veinticinco, El Recurrente, </w:t>
      </w:r>
      <w:r w:rsidR="00FF71C7" w:rsidRPr="0064404B">
        <w:rPr>
          <w:rFonts w:ascii="Palatino Linotype" w:hAnsi="Palatino Linotype" w:cs="Arial"/>
          <w:sz w:val="24"/>
        </w:rPr>
        <w:t>presentó a través del Sistema de Acceso a la Información Mexiquense (</w:t>
      </w:r>
      <w:r w:rsidR="00FF71C7" w:rsidRPr="0064404B">
        <w:rPr>
          <w:rFonts w:ascii="Palatino Linotype" w:hAnsi="Palatino Linotype" w:cs="Arial"/>
          <w:b/>
          <w:sz w:val="24"/>
        </w:rPr>
        <w:t>SAIMEX)</w:t>
      </w:r>
      <w:r w:rsidR="00FF71C7" w:rsidRPr="0064404B">
        <w:rPr>
          <w:rFonts w:ascii="Palatino Linotype" w:hAnsi="Palatino Linotype" w:cs="Arial"/>
          <w:sz w:val="24"/>
        </w:rPr>
        <w:t xml:space="preserve"> ante </w:t>
      </w:r>
      <w:r w:rsidR="00FF71C7" w:rsidRPr="0064404B">
        <w:rPr>
          <w:rFonts w:ascii="Palatino Linotype" w:hAnsi="Palatino Linotype" w:cs="Arial"/>
          <w:b/>
          <w:sz w:val="24"/>
        </w:rPr>
        <w:t>El Sujeto Obligado</w:t>
      </w:r>
      <w:r w:rsidR="00FF71C7" w:rsidRPr="0064404B">
        <w:rPr>
          <w:rFonts w:ascii="Palatino Linotype" w:hAnsi="Palatino Linotype" w:cs="Arial"/>
          <w:sz w:val="24"/>
        </w:rPr>
        <w:t xml:space="preserve">, solicitud de acceso a la información pública, registrada bajo el número de expediente </w:t>
      </w:r>
      <w:r w:rsidR="00FF71C7" w:rsidRPr="0064404B">
        <w:rPr>
          <w:rFonts w:ascii="Palatino Linotype" w:hAnsi="Palatino Linotype" w:cs="Arial"/>
          <w:b/>
          <w:bCs/>
          <w:sz w:val="24"/>
        </w:rPr>
        <w:t xml:space="preserve">00082/PLEGISLA/IP/2025, </w:t>
      </w:r>
      <w:r w:rsidR="00FF71C7" w:rsidRPr="0064404B">
        <w:rPr>
          <w:rFonts w:ascii="Palatino Linotype" w:hAnsi="Palatino Linotype" w:cs="Arial"/>
          <w:sz w:val="24"/>
        </w:rPr>
        <w:t>mediante la cual solicitó información en el tenor siguiente:</w:t>
      </w:r>
    </w:p>
    <w:p w14:paraId="72228CE0" w14:textId="5A01177B" w:rsidR="00FF71C7" w:rsidRPr="0064404B" w:rsidRDefault="00FF71C7" w:rsidP="00FF71C7">
      <w:pPr>
        <w:pStyle w:val="Citas"/>
        <w:rPr>
          <w:b/>
          <w:bCs/>
        </w:rPr>
      </w:pPr>
      <w:bookmarkStart w:id="0" w:name="_Hlk194315226"/>
      <w:r w:rsidRPr="0064404B">
        <w:t xml:space="preserve">“el estado financiero que guardan los contratos de obra publica de los años 2014 y 2015 del municipio de naucalpan desglosados por por año, monto, numero de contrato y cuanto deben y si ya fueron pagados” </w:t>
      </w:r>
      <w:r w:rsidRPr="0064404B">
        <w:rPr>
          <w:b/>
          <w:bCs/>
        </w:rPr>
        <w:t>(Sic)</w:t>
      </w:r>
    </w:p>
    <w:bookmarkEnd w:id="0"/>
    <w:p w14:paraId="0FDD1B9D" w14:textId="77777777" w:rsidR="009B5029" w:rsidRPr="0064404B"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64404B">
        <w:rPr>
          <w:rFonts w:ascii="Palatino Linotype" w:eastAsia="Times New Roman" w:hAnsi="Palatino Linotype" w:cs="Times New Roman"/>
          <w:b/>
          <w:sz w:val="24"/>
          <w:szCs w:val="24"/>
          <w:lang w:val="es-ES_tradnl" w:eastAsia="es-ES"/>
        </w:rPr>
        <w:t>Modalidad de entrega:</w:t>
      </w:r>
      <w:r w:rsidRPr="0064404B">
        <w:rPr>
          <w:rFonts w:ascii="Palatino Linotype" w:eastAsia="Times New Roman" w:hAnsi="Palatino Linotype" w:cs="Times New Roman"/>
          <w:sz w:val="24"/>
          <w:szCs w:val="24"/>
          <w:lang w:val="es-ES_tradnl" w:eastAsia="es-ES"/>
        </w:rPr>
        <w:t xml:space="preserve"> A través del SAIMEX.</w:t>
      </w:r>
    </w:p>
    <w:p w14:paraId="32234D96" w14:textId="57CC9D5F" w:rsidR="009B5029" w:rsidRPr="0064404B" w:rsidRDefault="009B5029" w:rsidP="009B5029">
      <w:pPr>
        <w:spacing w:before="240" w:line="360" w:lineRule="auto"/>
        <w:jc w:val="both"/>
        <w:rPr>
          <w:rFonts w:ascii="Palatino Linotype" w:hAnsi="Palatino Linotype" w:cs="Arial"/>
          <w:b/>
          <w:sz w:val="28"/>
        </w:rPr>
      </w:pPr>
      <w:r w:rsidRPr="0064404B">
        <w:rPr>
          <w:rFonts w:ascii="Palatino Linotype" w:hAnsi="Palatino Linotype" w:cs="Arial"/>
          <w:b/>
          <w:sz w:val="28"/>
        </w:rPr>
        <w:lastRenderedPageBreak/>
        <w:t xml:space="preserve">SEGUNDO. </w:t>
      </w:r>
      <w:r w:rsidRPr="0064404B">
        <w:rPr>
          <w:rFonts w:ascii="Palatino Linotype" w:hAnsi="Palatino Linotype" w:cs="Arial"/>
          <w:b/>
          <w:sz w:val="28"/>
          <w:szCs w:val="20"/>
        </w:rPr>
        <w:t>De la respuesta del Sujeto Obligado.</w:t>
      </w:r>
    </w:p>
    <w:p w14:paraId="3F8AB4BE" w14:textId="00FFB117" w:rsidR="00FF71C7" w:rsidRPr="0064404B" w:rsidRDefault="009B5029" w:rsidP="009B5029">
      <w:pPr>
        <w:spacing w:before="240" w:line="360" w:lineRule="auto"/>
        <w:jc w:val="both"/>
        <w:rPr>
          <w:rFonts w:ascii="Palatino Linotype" w:hAnsi="Palatino Linotype" w:cs="Arial"/>
          <w:sz w:val="24"/>
          <w:szCs w:val="24"/>
        </w:rPr>
      </w:pPr>
      <w:r w:rsidRPr="0064404B">
        <w:rPr>
          <w:rFonts w:ascii="Palatino Linotype" w:hAnsi="Palatino Linotype" w:cs="Arial"/>
          <w:sz w:val="24"/>
          <w:szCs w:val="24"/>
        </w:rPr>
        <w:t xml:space="preserve">En el expediente electrónico </w:t>
      </w:r>
      <w:r w:rsidRPr="0064404B">
        <w:rPr>
          <w:rFonts w:ascii="Palatino Linotype" w:hAnsi="Palatino Linotype" w:cs="Arial"/>
          <w:b/>
          <w:sz w:val="24"/>
          <w:szCs w:val="24"/>
        </w:rPr>
        <w:t xml:space="preserve">SAIMEX, </w:t>
      </w:r>
      <w:r w:rsidRPr="0064404B">
        <w:rPr>
          <w:rFonts w:ascii="Palatino Linotype" w:hAnsi="Palatino Linotype" w:cs="Arial"/>
          <w:sz w:val="24"/>
          <w:szCs w:val="24"/>
        </w:rPr>
        <w:t xml:space="preserve">se aprecia que el </w:t>
      </w:r>
      <w:r w:rsidR="00FF71C7" w:rsidRPr="0064404B">
        <w:rPr>
          <w:rFonts w:ascii="Palatino Linotype" w:hAnsi="Palatino Linotype" w:cs="Arial"/>
          <w:b/>
          <w:bCs/>
          <w:sz w:val="24"/>
          <w:szCs w:val="24"/>
        </w:rPr>
        <w:t xml:space="preserve">veinte de febrero de dos mil veinticinco, El Sujeto Obligado </w:t>
      </w:r>
      <w:r w:rsidR="00FF71C7" w:rsidRPr="0064404B">
        <w:rPr>
          <w:rFonts w:ascii="Palatino Linotype" w:hAnsi="Palatino Linotype" w:cs="Arial"/>
          <w:sz w:val="24"/>
          <w:szCs w:val="24"/>
        </w:rPr>
        <w:t>dio respuesta a la solicitud de información en los siguientes términos:</w:t>
      </w:r>
    </w:p>
    <w:p w14:paraId="73DA3CD5" w14:textId="462D7A8A" w:rsidR="00FF71C7" w:rsidRPr="0064404B" w:rsidRDefault="00FF71C7" w:rsidP="00FF71C7">
      <w:pPr>
        <w:pStyle w:val="Citas"/>
        <w:rPr>
          <w:b/>
          <w:bCs/>
        </w:rPr>
      </w:pPr>
      <w:r w:rsidRPr="0064404B">
        <w:t xml:space="preserve">“SE ADJUNTA DOCUMENTO” </w:t>
      </w:r>
      <w:r w:rsidRPr="0064404B">
        <w:rPr>
          <w:b/>
          <w:bCs/>
        </w:rPr>
        <w:t>(Sic)</w:t>
      </w:r>
    </w:p>
    <w:p w14:paraId="2198C97F" w14:textId="718E97BE" w:rsidR="00FF71C7" w:rsidRPr="0064404B" w:rsidRDefault="009B5029" w:rsidP="009B5029">
      <w:pPr>
        <w:spacing w:before="240" w:line="360" w:lineRule="auto"/>
        <w:jc w:val="both"/>
        <w:rPr>
          <w:rFonts w:ascii="Palatino Linotype" w:hAnsi="Palatino Linotype" w:cs="Arial"/>
          <w:sz w:val="24"/>
          <w:szCs w:val="24"/>
        </w:rPr>
      </w:pPr>
      <w:r w:rsidRPr="0064404B">
        <w:rPr>
          <w:rFonts w:ascii="Palatino Linotype" w:hAnsi="Palatino Linotype" w:cs="Arial"/>
          <w:sz w:val="24"/>
          <w:szCs w:val="24"/>
        </w:rPr>
        <w:t xml:space="preserve">Adicionalmente, </w:t>
      </w:r>
      <w:r w:rsidRPr="0064404B">
        <w:rPr>
          <w:rFonts w:ascii="Palatino Linotype" w:hAnsi="Palatino Linotype" w:cs="Arial"/>
          <w:b/>
          <w:bCs/>
          <w:sz w:val="24"/>
          <w:szCs w:val="24"/>
        </w:rPr>
        <w:t xml:space="preserve">El Sujeto Obligado </w:t>
      </w:r>
      <w:r w:rsidRPr="0064404B">
        <w:rPr>
          <w:rFonts w:ascii="Palatino Linotype" w:hAnsi="Palatino Linotype" w:cs="Arial"/>
          <w:sz w:val="24"/>
          <w:szCs w:val="24"/>
        </w:rPr>
        <w:t>adjuntó</w:t>
      </w:r>
      <w:r w:rsidR="00FF71C7" w:rsidRPr="0064404B">
        <w:rPr>
          <w:rFonts w:ascii="Palatino Linotype" w:hAnsi="Palatino Linotype" w:cs="Arial"/>
          <w:sz w:val="24"/>
          <w:szCs w:val="24"/>
        </w:rPr>
        <w:t xml:space="preserve"> el documento electrónico </w:t>
      </w:r>
      <w:r w:rsidR="00FF71C7" w:rsidRPr="0064404B">
        <w:rPr>
          <w:rFonts w:ascii="Palatino Linotype" w:hAnsi="Palatino Linotype" w:cs="Arial"/>
          <w:b/>
          <w:bCs/>
          <w:sz w:val="24"/>
          <w:szCs w:val="24"/>
        </w:rPr>
        <w:t xml:space="preserve">“82 RESPUESTA UI.pdf”, </w:t>
      </w:r>
      <w:r w:rsidR="00FF71C7" w:rsidRPr="0064404B">
        <w:rPr>
          <w:rFonts w:ascii="Palatino Linotype" w:hAnsi="Palatino Linotype" w:cs="Arial"/>
          <w:sz w:val="24"/>
          <w:szCs w:val="24"/>
        </w:rPr>
        <w:t xml:space="preserve">cuyo contenido será materia de estudio en el considerando respectivo. </w:t>
      </w:r>
    </w:p>
    <w:p w14:paraId="531FF3CF" w14:textId="77777777" w:rsidR="00FC2D20" w:rsidRPr="0064404B" w:rsidRDefault="00FC2D20" w:rsidP="009B5029">
      <w:pPr>
        <w:spacing w:before="240" w:line="360" w:lineRule="auto"/>
        <w:jc w:val="both"/>
        <w:rPr>
          <w:rFonts w:ascii="Palatino Linotype" w:hAnsi="Palatino Linotype" w:cs="Arial"/>
          <w:sz w:val="24"/>
          <w:szCs w:val="24"/>
        </w:rPr>
      </w:pPr>
    </w:p>
    <w:p w14:paraId="2C824AC7" w14:textId="77777777" w:rsidR="009B5029" w:rsidRPr="0064404B" w:rsidRDefault="009B5029" w:rsidP="009B5029">
      <w:pPr>
        <w:spacing w:before="240" w:line="360" w:lineRule="auto"/>
        <w:rPr>
          <w:rFonts w:ascii="Palatino Linotype" w:hAnsi="Palatino Linotype" w:cs="Arial"/>
          <w:b/>
          <w:sz w:val="28"/>
        </w:rPr>
      </w:pPr>
      <w:r w:rsidRPr="0064404B">
        <w:rPr>
          <w:rFonts w:ascii="Palatino Linotype" w:hAnsi="Palatino Linotype" w:cs="Arial"/>
          <w:b/>
          <w:sz w:val="28"/>
        </w:rPr>
        <w:t xml:space="preserve">TERCERO. </w:t>
      </w:r>
      <w:r w:rsidRPr="0064404B">
        <w:rPr>
          <w:rFonts w:ascii="Palatino Linotype" w:hAnsi="Palatino Linotype"/>
          <w:b/>
          <w:sz w:val="28"/>
        </w:rPr>
        <w:t>Del recurso de revisión.</w:t>
      </w:r>
    </w:p>
    <w:p w14:paraId="33EBBC1A" w14:textId="1BDC2641" w:rsidR="00FF71C7" w:rsidRPr="0064404B" w:rsidRDefault="009B5029" w:rsidP="009B5029">
      <w:pPr>
        <w:spacing w:before="240" w:line="360" w:lineRule="auto"/>
        <w:jc w:val="both"/>
        <w:rPr>
          <w:rFonts w:ascii="Palatino Linotype" w:hAnsi="Palatino Linotype" w:cs="Arial"/>
          <w:sz w:val="24"/>
          <w:szCs w:val="24"/>
        </w:rPr>
      </w:pPr>
      <w:r w:rsidRPr="0064404B">
        <w:rPr>
          <w:rFonts w:ascii="Palatino Linotype" w:hAnsi="Palatino Linotype" w:cs="Arial"/>
          <w:sz w:val="24"/>
          <w:szCs w:val="24"/>
        </w:rPr>
        <w:t xml:space="preserve">Inconforme con la respuesta por </w:t>
      </w:r>
      <w:r w:rsidRPr="0064404B">
        <w:rPr>
          <w:rFonts w:ascii="Palatino Linotype" w:hAnsi="Palatino Linotype" w:cs="Arial"/>
          <w:b/>
          <w:sz w:val="24"/>
          <w:szCs w:val="24"/>
        </w:rPr>
        <w:t xml:space="preserve">El Sujeto Obligado, El Recurrente </w:t>
      </w:r>
      <w:r w:rsidRPr="0064404B">
        <w:rPr>
          <w:rFonts w:ascii="Palatino Linotype" w:hAnsi="Palatino Linotype" w:cs="Arial"/>
          <w:sz w:val="24"/>
          <w:szCs w:val="24"/>
        </w:rPr>
        <w:t>interpuso recurso de revisión, en fecha</w:t>
      </w:r>
      <w:r w:rsidR="00DF6F34" w:rsidRPr="0064404B">
        <w:rPr>
          <w:rFonts w:ascii="Palatino Linotype" w:hAnsi="Palatino Linotype" w:cs="Arial"/>
          <w:sz w:val="24"/>
          <w:szCs w:val="24"/>
        </w:rPr>
        <w:t xml:space="preserve"> </w:t>
      </w:r>
      <w:r w:rsidR="00FF71C7" w:rsidRPr="0064404B">
        <w:rPr>
          <w:rFonts w:ascii="Palatino Linotype" w:hAnsi="Palatino Linotype" w:cs="Arial"/>
          <w:b/>
          <w:bCs/>
          <w:sz w:val="24"/>
          <w:szCs w:val="24"/>
        </w:rPr>
        <w:t xml:space="preserve">veintiséis de febrero de dos mil veinticinco, </w:t>
      </w:r>
      <w:r w:rsidR="00FF71C7" w:rsidRPr="0064404B">
        <w:rPr>
          <w:rFonts w:ascii="Palatino Linotype" w:hAnsi="Palatino Linotype" w:cs="Arial"/>
          <w:sz w:val="24"/>
          <w:szCs w:val="24"/>
        </w:rPr>
        <w:t xml:space="preserve">el cual fue registrado en el sistema electrónico con el expediente </w:t>
      </w:r>
      <w:r w:rsidR="00FF71C7" w:rsidRPr="0064404B">
        <w:rPr>
          <w:rFonts w:ascii="Palatino Linotype" w:hAnsi="Palatino Linotype" w:cs="Arial"/>
          <w:b/>
          <w:bCs/>
          <w:sz w:val="24"/>
          <w:szCs w:val="24"/>
        </w:rPr>
        <w:t xml:space="preserve">02110/INFOEM/IP/RR/2025, </w:t>
      </w:r>
      <w:r w:rsidR="00FF71C7" w:rsidRPr="0064404B">
        <w:rPr>
          <w:rFonts w:ascii="Palatino Linotype" w:hAnsi="Palatino Linotype" w:cs="Arial"/>
          <w:sz w:val="24"/>
          <w:szCs w:val="24"/>
        </w:rPr>
        <w:t xml:space="preserve">en el cual arguye las siguientes manifestaciones: </w:t>
      </w:r>
    </w:p>
    <w:p w14:paraId="26145687" w14:textId="77777777" w:rsidR="009B5029" w:rsidRPr="0064404B" w:rsidRDefault="009B5029" w:rsidP="009B5029">
      <w:pPr>
        <w:spacing w:before="240" w:line="360" w:lineRule="auto"/>
        <w:jc w:val="both"/>
        <w:rPr>
          <w:rFonts w:ascii="Palatino Linotype" w:hAnsi="Palatino Linotype" w:cs="Arial"/>
          <w:b/>
          <w:sz w:val="24"/>
        </w:rPr>
      </w:pPr>
      <w:r w:rsidRPr="0064404B">
        <w:rPr>
          <w:rFonts w:ascii="Palatino Linotype" w:hAnsi="Palatino Linotype" w:cs="Arial"/>
          <w:b/>
          <w:sz w:val="24"/>
        </w:rPr>
        <w:t>Acto Impugnado:</w:t>
      </w:r>
    </w:p>
    <w:p w14:paraId="643D150B" w14:textId="7DD219D7" w:rsidR="00317C14" w:rsidRPr="0064404B" w:rsidRDefault="00FC2D20" w:rsidP="00CE3EB5">
      <w:pPr>
        <w:pStyle w:val="Citas"/>
        <w:rPr>
          <w:b/>
          <w:bCs/>
          <w:sz w:val="24"/>
        </w:rPr>
      </w:pPr>
      <w:r w:rsidRPr="0064404B">
        <w:t>“</w:t>
      </w:r>
      <w:r w:rsidR="00FF71C7" w:rsidRPr="0064404B">
        <w:t>la respuesta</w:t>
      </w:r>
      <w:r w:rsidR="00CE3EB5" w:rsidRPr="0064404B">
        <w:t xml:space="preserve">” </w:t>
      </w:r>
      <w:r w:rsidR="00CE3EB5" w:rsidRPr="0064404B">
        <w:rPr>
          <w:b/>
          <w:bCs/>
        </w:rPr>
        <w:t>(Sic)</w:t>
      </w:r>
    </w:p>
    <w:p w14:paraId="70C90EFB" w14:textId="77777777" w:rsidR="009B5029" w:rsidRPr="0064404B" w:rsidRDefault="009B5029" w:rsidP="009B5029">
      <w:pPr>
        <w:spacing w:before="240" w:line="360" w:lineRule="auto"/>
        <w:jc w:val="both"/>
        <w:rPr>
          <w:rFonts w:ascii="Palatino Linotype" w:hAnsi="Palatino Linotype" w:cs="Arial"/>
          <w:b/>
          <w:sz w:val="24"/>
        </w:rPr>
      </w:pPr>
      <w:r w:rsidRPr="0064404B">
        <w:rPr>
          <w:rFonts w:ascii="Palatino Linotype" w:hAnsi="Palatino Linotype" w:cs="Arial"/>
          <w:b/>
          <w:sz w:val="24"/>
        </w:rPr>
        <w:t>Razones o motivos de la inconformidad:</w:t>
      </w:r>
    </w:p>
    <w:p w14:paraId="6CBFC893" w14:textId="2C78A96B" w:rsidR="009B5029" w:rsidRPr="0064404B" w:rsidRDefault="00CE3EB5" w:rsidP="00CE3EB5">
      <w:pPr>
        <w:pStyle w:val="Citas"/>
        <w:rPr>
          <w:b/>
          <w:bCs/>
        </w:rPr>
      </w:pPr>
      <w:r w:rsidRPr="0064404B">
        <w:t>“</w:t>
      </w:r>
      <w:r w:rsidR="00FF71C7" w:rsidRPr="0064404B">
        <w:t xml:space="preserve">la respuesta emitida por este sujeto obligado carece de la debida fundamentación y motivación, su incompetencia declarada es infundada porque de acuerdo con lo </w:t>
      </w:r>
      <w:r w:rsidR="00FF71C7" w:rsidRPr="0064404B">
        <w:lastRenderedPageBreak/>
        <w:t>establecido por el artículo 61 fracción XXXII de la constitución política del estado libre y soberano de México indica que corresponde a la legislatura del estado XXXII. Recibir, revisar, fiscalizar y calificar las cuentas públicas del Estado y de los Municipios, del año anterior, mismas que incluirán, en su caso, la información correspondiente a los Poderes Públicos, organismos autónomos, organismos auxiliares, fideicomisos públicos o privados y demás entes públicos que manejen recursos del Estado y Municipios. Para tal efecto, contará con un Órgano Superior de Fiscalización, dotado de autonomía técnica y de gestión en el ejercicio de sus atribuciones y para decidir sobre su organización interna, funcionamiento y resoluciones, en los términos que disponga la legislación aplicable. aunado a ello, el órgano superior de fiscalización del estado de mexico, es un órgano técnico dependiente del poder legislativo estatal, por ende en terminos de lo dispuesto por los artículos 58, 59 y 162 de la Ley de Transparencia y Acceso a la información publica del estado de méxico y municipios este sujeto obligado debió turnar al osfem para que se abocara a la busqueda la información solicitada inicialmente. solicitando que que a este organo revoque la la respuesta impugnada</w:t>
      </w:r>
      <w:r w:rsidRPr="0064404B">
        <w:t xml:space="preserve">” </w:t>
      </w:r>
      <w:r w:rsidRPr="0064404B">
        <w:rPr>
          <w:b/>
          <w:bCs/>
        </w:rPr>
        <w:t>(Sic)</w:t>
      </w:r>
    </w:p>
    <w:p w14:paraId="4A4C7430" w14:textId="77777777" w:rsidR="00CE3EB5" w:rsidRPr="0064404B" w:rsidRDefault="00CE3EB5" w:rsidP="00CE3EB5">
      <w:pPr>
        <w:pStyle w:val="Citas"/>
      </w:pPr>
    </w:p>
    <w:p w14:paraId="147EA26C" w14:textId="77777777" w:rsidR="009B5029" w:rsidRPr="0064404B" w:rsidRDefault="009B5029" w:rsidP="009B5029">
      <w:pPr>
        <w:spacing w:before="240" w:line="360" w:lineRule="auto"/>
        <w:jc w:val="both"/>
        <w:rPr>
          <w:rFonts w:ascii="Palatino Linotype" w:hAnsi="Palatino Linotype" w:cs="Arial"/>
          <w:b/>
          <w:sz w:val="24"/>
          <w:szCs w:val="24"/>
        </w:rPr>
      </w:pPr>
      <w:r w:rsidRPr="0064404B">
        <w:rPr>
          <w:rFonts w:ascii="Palatino Linotype" w:hAnsi="Palatino Linotype" w:cs="Arial"/>
          <w:b/>
          <w:sz w:val="28"/>
        </w:rPr>
        <w:t>CUARTO</w:t>
      </w:r>
      <w:r w:rsidRPr="0064404B">
        <w:rPr>
          <w:rFonts w:ascii="Palatino Linotype" w:hAnsi="Palatino Linotype" w:cs="Arial"/>
          <w:b/>
          <w:sz w:val="24"/>
          <w:szCs w:val="24"/>
        </w:rPr>
        <w:t xml:space="preserve">. </w:t>
      </w:r>
      <w:r w:rsidRPr="0064404B">
        <w:rPr>
          <w:rFonts w:ascii="Palatino Linotype" w:hAnsi="Palatino Linotype" w:cs="Arial"/>
          <w:b/>
          <w:sz w:val="28"/>
          <w:szCs w:val="28"/>
        </w:rPr>
        <w:t>Del turno del recurso de revisión.</w:t>
      </w:r>
    </w:p>
    <w:p w14:paraId="5929B5D1" w14:textId="6922ABBD" w:rsidR="009B5029" w:rsidRPr="0064404B" w:rsidRDefault="009B5029" w:rsidP="009B5029">
      <w:pPr>
        <w:spacing w:before="240" w:line="360" w:lineRule="auto"/>
        <w:jc w:val="both"/>
        <w:rPr>
          <w:rFonts w:ascii="Palatino Linotype" w:hAnsi="Palatino Linotype" w:cs="Arial"/>
          <w:sz w:val="24"/>
          <w:szCs w:val="24"/>
        </w:rPr>
      </w:pPr>
      <w:r w:rsidRPr="0064404B">
        <w:rPr>
          <w:rFonts w:ascii="Palatino Linotype" w:hAnsi="Palatino Linotype" w:cs="Arial"/>
          <w:sz w:val="24"/>
          <w:szCs w:val="24"/>
        </w:rPr>
        <w:t xml:space="preserve">Medio de impugnación que le fue turnado al Comisionado presidente </w:t>
      </w:r>
      <w:r w:rsidRPr="0064404B">
        <w:rPr>
          <w:rFonts w:ascii="Palatino Linotype" w:hAnsi="Palatino Linotype" w:cs="Arial"/>
          <w:b/>
          <w:sz w:val="24"/>
          <w:szCs w:val="24"/>
        </w:rPr>
        <w:t xml:space="preserve">José Martínez Vilchis, </w:t>
      </w:r>
      <w:r w:rsidRPr="0064404B">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FF71C7" w:rsidRPr="0064404B">
        <w:rPr>
          <w:rFonts w:ascii="Palatino Linotype" w:hAnsi="Palatino Linotype" w:cs="Arial"/>
          <w:b/>
          <w:sz w:val="24"/>
          <w:szCs w:val="24"/>
        </w:rPr>
        <w:t>veintisiete de febrero de dos mil veinticinco</w:t>
      </w:r>
      <w:r w:rsidR="00FC2D20" w:rsidRPr="0064404B">
        <w:rPr>
          <w:rFonts w:ascii="Palatino Linotype" w:hAnsi="Palatino Linotype" w:cs="Arial"/>
          <w:b/>
          <w:sz w:val="24"/>
          <w:szCs w:val="24"/>
        </w:rPr>
        <w:t xml:space="preserve">, </w:t>
      </w:r>
      <w:r w:rsidRPr="0064404B">
        <w:rPr>
          <w:rFonts w:ascii="Palatino Linotype" w:hAnsi="Palatino Linotype" w:cs="Arial"/>
          <w:sz w:val="24"/>
          <w:szCs w:val="24"/>
        </w:rPr>
        <w:t>determinándose en él, un plazo de siete días para que las partes manifestaran lo que a su derecho corresponda en términos del numeral ya citado.</w:t>
      </w:r>
    </w:p>
    <w:p w14:paraId="606807D4" w14:textId="77777777" w:rsidR="009B5029" w:rsidRPr="0064404B" w:rsidRDefault="009B5029" w:rsidP="009B5029">
      <w:pPr>
        <w:pStyle w:val="Prrafodelista"/>
        <w:spacing w:line="360" w:lineRule="auto"/>
        <w:ind w:left="0"/>
        <w:jc w:val="both"/>
        <w:rPr>
          <w:rFonts w:ascii="Palatino Linotype" w:hAnsi="Palatino Linotype" w:cs="Arial"/>
          <w:b/>
        </w:rPr>
      </w:pPr>
      <w:r w:rsidRPr="0064404B">
        <w:rPr>
          <w:rFonts w:ascii="Palatino Linotype" w:hAnsi="Palatino Linotype" w:cs="Arial"/>
          <w:b/>
          <w:sz w:val="28"/>
        </w:rPr>
        <w:lastRenderedPageBreak/>
        <w:t>QUINTO</w:t>
      </w:r>
      <w:r w:rsidRPr="0064404B">
        <w:rPr>
          <w:rFonts w:ascii="Palatino Linotype" w:hAnsi="Palatino Linotype" w:cs="Arial"/>
          <w:b/>
          <w:sz w:val="28"/>
          <w:szCs w:val="28"/>
        </w:rPr>
        <w:t>. De la etapa de instrucción.</w:t>
      </w:r>
    </w:p>
    <w:p w14:paraId="528C7736" w14:textId="0497E5A8" w:rsidR="00FF71C7" w:rsidRPr="0064404B" w:rsidRDefault="009B5029" w:rsidP="009B5029">
      <w:pPr>
        <w:spacing w:after="0" w:line="360" w:lineRule="auto"/>
        <w:jc w:val="both"/>
        <w:rPr>
          <w:rFonts w:ascii="Palatino Linotype" w:hAnsi="Palatino Linotype" w:cs="Arial"/>
          <w:b/>
          <w:sz w:val="24"/>
          <w:szCs w:val="24"/>
        </w:rPr>
      </w:pPr>
      <w:r w:rsidRPr="0064404B">
        <w:rPr>
          <w:rFonts w:ascii="Palatino Linotype" w:hAnsi="Palatino Linotype" w:cs="Arial"/>
          <w:sz w:val="24"/>
          <w:szCs w:val="24"/>
        </w:rPr>
        <w:t xml:space="preserve">Así, en la etapa de instrucción, de las constancias que obran en los expedientes electrónicos de los recursos de revisión se advierte que </w:t>
      </w:r>
      <w:r w:rsidRPr="0064404B">
        <w:rPr>
          <w:rFonts w:ascii="Palatino Linotype" w:hAnsi="Palatino Linotype" w:cs="Arial"/>
          <w:b/>
          <w:bCs/>
          <w:sz w:val="24"/>
          <w:szCs w:val="24"/>
        </w:rPr>
        <w:t>El Sujeto Obligado</w:t>
      </w:r>
      <w:r w:rsidR="00FC2D20" w:rsidRPr="0064404B">
        <w:rPr>
          <w:rFonts w:ascii="Palatino Linotype" w:hAnsi="Palatino Linotype" w:cs="Arial"/>
          <w:b/>
          <w:bCs/>
          <w:sz w:val="24"/>
          <w:szCs w:val="24"/>
        </w:rPr>
        <w:t xml:space="preserve"> </w:t>
      </w:r>
      <w:r w:rsidR="00FC2D20" w:rsidRPr="0064404B">
        <w:rPr>
          <w:rFonts w:ascii="Palatino Linotype" w:hAnsi="Palatino Linotype" w:cs="Arial"/>
          <w:bCs/>
          <w:sz w:val="24"/>
          <w:szCs w:val="24"/>
        </w:rPr>
        <w:t xml:space="preserve">rindió su informe justificado en fecha </w:t>
      </w:r>
      <w:r w:rsidR="00FF71C7" w:rsidRPr="0064404B">
        <w:rPr>
          <w:rFonts w:ascii="Palatino Linotype" w:hAnsi="Palatino Linotype" w:cs="Arial"/>
          <w:b/>
          <w:sz w:val="24"/>
          <w:szCs w:val="24"/>
        </w:rPr>
        <w:t xml:space="preserve">siete de marzo, </w:t>
      </w:r>
      <w:r w:rsidR="00FF71C7" w:rsidRPr="0064404B">
        <w:rPr>
          <w:rFonts w:ascii="Palatino Linotype" w:hAnsi="Palatino Linotype" w:cs="Arial"/>
          <w:bCs/>
          <w:sz w:val="24"/>
          <w:szCs w:val="24"/>
        </w:rPr>
        <w:t xml:space="preserve">mismo que fue puesto a la vista el </w:t>
      </w:r>
      <w:r w:rsidR="00FF71C7" w:rsidRPr="0064404B">
        <w:rPr>
          <w:rFonts w:ascii="Palatino Linotype" w:hAnsi="Palatino Linotype" w:cs="Arial"/>
          <w:b/>
          <w:sz w:val="24"/>
          <w:szCs w:val="24"/>
        </w:rPr>
        <w:t xml:space="preserve">diez de marzo, ambos de dos mil veinticinco. </w:t>
      </w:r>
    </w:p>
    <w:p w14:paraId="079CFAEA" w14:textId="77777777" w:rsidR="00FF71C7" w:rsidRPr="0064404B" w:rsidRDefault="00FF71C7" w:rsidP="009B5029">
      <w:pPr>
        <w:spacing w:after="0" w:line="360" w:lineRule="auto"/>
        <w:jc w:val="both"/>
        <w:rPr>
          <w:rFonts w:ascii="Palatino Linotype" w:hAnsi="Palatino Linotype" w:cs="Arial"/>
          <w:bCs/>
          <w:sz w:val="24"/>
          <w:szCs w:val="24"/>
        </w:rPr>
      </w:pPr>
    </w:p>
    <w:p w14:paraId="597963A0" w14:textId="4CD44D0E" w:rsidR="00FF71C7" w:rsidRPr="0064404B" w:rsidRDefault="00FF71C7" w:rsidP="009B5029">
      <w:pPr>
        <w:spacing w:after="0" w:line="360" w:lineRule="auto"/>
        <w:jc w:val="both"/>
        <w:rPr>
          <w:rFonts w:ascii="Palatino Linotype" w:hAnsi="Palatino Linotype" w:cs="Arial"/>
          <w:b/>
          <w:sz w:val="24"/>
          <w:szCs w:val="24"/>
        </w:rPr>
      </w:pPr>
      <w:r w:rsidRPr="0064404B">
        <w:rPr>
          <w:rFonts w:ascii="Palatino Linotype" w:hAnsi="Palatino Linotype" w:cs="Arial"/>
          <w:bCs/>
          <w:sz w:val="24"/>
          <w:szCs w:val="24"/>
        </w:rPr>
        <w:t xml:space="preserve">Por su parte, </w:t>
      </w:r>
      <w:r w:rsidRPr="0064404B">
        <w:rPr>
          <w:rFonts w:ascii="Palatino Linotype" w:hAnsi="Palatino Linotype" w:cs="Arial"/>
          <w:b/>
          <w:sz w:val="24"/>
          <w:szCs w:val="24"/>
        </w:rPr>
        <w:t xml:space="preserve">El Recurrente </w:t>
      </w:r>
      <w:r w:rsidRPr="0064404B">
        <w:rPr>
          <w:rFonts w:ascii="Palatino Linotype" w:hAnsi="Palatino Linotype" w:cs="Arial"/>
          <w:bCs/>
          <w:sz w:val="24"/>
          <w:szCs w:val="24"/>
        </w:rPr>
        <w:t xml:space="preserve">rindió las manifestaciones estimadas pertinentes en fecha </w:t>
      </w:r>
      <w:r w:rsidRPr="0064404B">
        <w:rPr>
          <w:rFonts w:ascii="Palatino Linotype" w:hAnsi="Palatino Linotype" w:cs="Arial"/>
          <w:b/>
          <w:sz w:val="24"/>
          <w:szCs w:val="24"/>
        </w:rPr>
        <w:t xml:space="preserve">doce de marzo del año en curso. </w:t>
      </w:r>
    </w:p>
    <w:p w14:paraId="2B3BAC8A" w14:textId="77777777" w:rsidR="00FF71C7" w:rsidRPr="0064404B" w:rsidRDefault="00FF71C7" w:rsidP="009B5029">
      <w:pPr>
        <w:spacing w:after="0" w:line="360" w:lineRule="auto"/>
        <w:jc w:val="both"/>
        <w:rPr>
          <w:rFonts w:ascii="Palatino Linotype" w:hAnsi="Palatino Linotype" w:cs="Arial"/>
          <w:bCs/>
          <w:sz w:val="24"/>
          <w:szCs w:val="24"/>
        </w:rPr>
      </w:pPr>
    </w:p>
    <w:p w14:paraId="468F8640" w14:textId="6B00994E" w:rsidR="00DF6F34" w:rsidRPr="0064404B" w:rsidRDefault="006A76AB" w:rsidP="00321484">
      <w:pPr>
        <w:spacing w:after="0" w:line="360" w:lineRule="auto"/>
        <w:jc w:val="both"/>
        <w:rPr>
          <w:rFonts w:ascii="Palatino Linotype" w:hAnsi="Palatino Linotype" w:cs="Arial"/>
          <w:sz w:val="24"/>
          <w:szCs w:val="24"/>
        </w:rPr>
      </w:pPr>
      <w:r w:rsidRPr="0064404B">
        <w:rPr>
          <w:rFonts w:ascii="Palatino Linotype" w:hAnsi="Palatino Linotype" w:cs="Arial"/>
          <w:bCs/>
          <w:sz w:val="24"/>
          <w:szCs w:val="24"/>
        </w:rPr>
        <w:t xml:space="preserve">Por lo cual se decretó el cierre de instrucción con fecha </w:t>
      </w:r>
      <w:r w:rsidR="00FF71C7" w:rsidRPr="0064404B">
        <w:rPr>
          <w:rFonts w:ascii="Palatino Linotype" w:hAnsi="Palatino Linotype" w:cs="Arial"/>
          <w:b/>
          <w:sz w:val="24"/>
          <w:szCs w:val="24"/>
        </w:rPr>
        <w:t>dieciocho de marzo de dos mil veinticinco</w:t>
      </w:r>
      <w:r w:rsidRPr="0064404B">
        <w:rPr>
          <w:rFonts w:ascii="Palatino Linotype" w:hAnsi="Palatino Linotype" w:cs="Arial"/>
          <w:b/>
          <w:sz w:val="24"/>
          <w:szCs w:val="24"/>
        </w:rPr>
        <w:t xml:space="preserve">, </w:t>
      </w:r>
      <w:r w:rsidR="00DF6F34" w:rsidRPr="0064404B">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53A6F19A" w14:textId="77777777" w:rsidR="00DF6F34" w:rsidRPr="0064404B" w:rsidRDefault="00DF6F34" w:rsidP="009B5029">
      <w:pPr>
        <w:spacing w:after="0" w:line="360" w:lineRule="auto"/>
        <w:jc w:val="both"/>
        <w:rPr>
          <w:rFonts w:ascii="Palatino Linotype" w:hAnsi="Palatino Linotype" w:cs="Arial"/>
          <w:sz w:val="24"/>
          <w:szCs w:val="24"/>
        </w:rPr>
      </w:pPr>
    </w:p>
    <w:p w14:paraId="1EBA35FA" w14:textId="563EFF0D" w:rsidR="006168E4" w:rsidRPr="0064404B" w:rsidRDefault="006168E4" w:rsidP="00844569">
      <w:pPr>
        <w:spacing w:before="240" w:line="360" w:lineRule="auto"/>
        <w:jc w:val="center"/>
        <w:rPr>
          <w:rFonts w:ascii="Palatino Linotype" w:hAnsi="Palatino Linotype" w:cs="Arial"/>
          <w:b/>
          <w:sz w:val="24"/>
        </w:rPr>
      </w:pPr>
      <w:r w:rsidRPr="0064404B">
        <w:rPr>
          <w:rFonts w:ascii="Palatino Linotype" w:hAnsi="Palatino Linotype" w:cs="Arial"/>
          <w:b/>
          <w:sz w:val="24"/>
        </w:rPr>
        <w:t xml:space="preserve">C O N S I D E R A N D O </w:t>
      </w:r>
    </w:p>
    <w:p w14:paraId="68B57F26" w14:textId="77777777" w:rsidR="006168E4" w:rsidRPr="0064404B" w:rsidRDefault="006168E4" w:rsidP="00844569">
      <w:pPr>
        <w:spacing w:before="240" w:line="360" w:lineRule="auto"/>
        <w:jc w:val="both"/>
        <w:rPr>
          <w:rFonts w:ascii="Palatino Linotype" w:hAnsi="Palatino Linotype" w:cs="Arial"/>
          <w:sz w:val="24"/>
        </w:rPr>
      </w:pPr>
      <w:r w:rsidRPr="0064404B">
        <w:rPr>
          <w:rFonts w:ascii="Palatino Linotype" w:hAnsi="Palatino Linotype" w:cs="Arial"/>
          <w:b/>
          <w:sz w:val="28"/>
        </w:rPr>
        <w:t>PRIMERO.</w:t>
      </w:r>
      <w:r w:rsidRPr="0064404B">
        <w:rPr>
          <w:rFonts w:ascii="Palatino Linotype" w:hAnsi="Palatino Linotype" w:cs="Arial"/>
          <w:b/>
        </w:rPr>
        <w:t xml:space="preserve"> </w:t>
      </w:r>
      <w:r w:rsidRPr="0064404B">
        <w:rPr>
          <w:rFonts w:ascii="Palatino Linotype" w:hAnsi="Palatino Linotype" w:cs="Arial"/>
          <w:b/>
          <w:sz w:val="28"/>
          <w:szCs w:val="28"/>
        </w:rPr>
        <w:t>De la competencia</w:t>
      </w:r>
      <w:r w:rsidRPr="0064404B">
        <w:rPr>
          <w:rFonts w:ascii="Palatino Linotype" w:hAnsi="Palatino Linotype" w:cs="Arial"/>
          <w:sz w:val="28"/>
          <w:szCs w:val="28"/>
        </w:rPr>
        <w:t>.</w:t>
      </w:r>
    </w:p>
    <w:p w14:paraId="4CAB8394" w14:textId="77777777" w:rsidR="00A47F47" w:rsidRPr="0064404B" w:rsidRDefault="00A47F47" w:rsidP="00A47F47">
      <w:pPr>
        <w:spacing w:line="360" w:lineRule="auto"/>
        <w:jc w:val="both"/>
        <w:rPr>
          <w:rFonts w:ascii="Palatino Linotype" w:hAnsi="Palatino Linotype"/>
          <w:sz w:val="24"/>
          <w:szCs w:val="24"/>
        </w:rPr>
      </w:pPr>
      <w:r w:rsidRPr="0064404B">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w:t>
      </w:r>
      <w:r w:rsidRPr="0064404B">
        <w:rPr>
          <w:rFonts w:ascii="Palatino Linotype" w:hAnsi="Palatino Linotype"/>
          <w:sz w:val="24"/>
          <w:szCs w:val="24"/>
        </w:rPr>
        <w:lastRenderedPageBreak/>
        <w:t xml:space="preserve">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0CB25DE9" w14:textId="77777777" w:rsidR="00072A03" w:rsidRPr="0064404B" w:rsidRDefault="00072A03" w:rsidP="00E856C3">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762CF449" w14:textId="77777777" w:rsidR="00E856C3" w:rsidRPr="0064404B" w:rsidRDefault="00E856C3" w:rsidP="00E856C3">
      <w:pPr>
        <w:pStyle w:val="Prrafodelista"/>
        <w:autoSpaceDE w:val="0"/>
        <w:autoSpaceDN w:val="0"/>
        <w:adjustRightInd w:val="0"/>
        <w:spacing w:before="240" w:after="160" w:line="360" w:lineRule="auto"/>
        <w:ind w:left="0"/>
        <w:jc w:val="both"/>
        <w:rPr>
          <w:rFonts w:ascii="Palatino Linotype" w:hAnsi="Palatino Linotype" w:cs="Arial"/>
          <w:b/>
        </w:rPr>
      </w:pPr>
      <w:r w:rsidRPr="0064404B">
        <w:rPr>
          <w:rFonts w:ascii="Palatino Linotype" w:hAnsi="Palatino Linotype" w:cs="Arial"/>
          <w:b/>
          <w:sz w:val="28"/>
        </w:rPr>
        <w:t>SEGUNDO</w:t>
      </w:r>
      <w:r w:rsidRPr="0064404B">
        <w:rPr>
          <w:rFonts w:ascii="Palatino Linotype" w:hAnsi="Palatino Linotype" w:cs="Arial"/>
          <w:b/>
        </w:rPr>
        <w:t xml:space="preserve">. </w:t>
      </w:r>
      <w:r w:rsidRPr="0064404B">
        <w:rPr>
          <w:rFonts w:ascii="Palatino Linotype" w:hAnsi="Palatino Linotype" w:cs="Arial"/>
          <w:b/>
          <w:sz w:val="28"/>
          <w:szCs w:val="28"/>
        </w:rPr>
        <w:t>Sobre los alcances del recurso de revisión.</w:t>
      </w:r>
      <w:r w:rsidRPr="0064404B">
        <w:rPr>
          <w:rFonts w:ascii="Palatino Linotype" w:hAnsi="Palatino Linotype" w:cs="Arial"/>
          <w:b/>
        </w:rPr>
        <w:t xml:space="preserve"> </w:t>
      </w:r>
    </w:p>
    <w:p w14:paraId="35A4921A" w14:textId="77777777" w:rsidR="00E856C3" w:rsidRPr="0064404B" w:rsidRDefault="00E856C3" w:rsidP="00E856C3">
      <w:pPr>
        <w:pStyle w:val="Prrafodelista"/>
        <w:autoSpaceDE w:val="0"/>
        <w:autoSpaceDN w:val="0"/>
        <w:adjustRightInd w:val="0"/>
        <w:spacing w:before="240" w:after="160" w:line="360" w:lineRule="auto"/>
        <w:ind w:left="0"/>
        <w:jc w:val="both"/>
        <w:rPr>
          <w:rFonts w:ascii="Palatino Linotype" w:hAnsi="Palatino Linotype" w:cs="Arial"/>
        </w:rPr>
      </w:pPr>
      <w:r w:rsidRPr="0064404B">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585B369" w14:textId="77777777" w:rsidR="00E856C3" w:rsidRPr="0064404B" w:rsidRDefault="00E856C3" w:rsidP="00E856C3">
      <w:pPr>
        <w:pStyle w:val="Prrafodelista"/>
        <w:autoSpaceDE w:val="0"/>
        <w:autoSpaceDN w:val="0"/>
        <w:adjustRightInd w:val="0"/>
        <w:spacing w:before="240" w:after="160" w:line="360" w:lineRule="auto"/>
        <w:ind w:left="0"/>
        <w:jc w:val="both"/>
        <w:rPr>
          <w:rFonts w:ascii="Palatino Linotype" w:hAnsi="Palatino Linotype" w:cs="Arial"/>
        </w:rPr>
      </w:pPr>
    </w:p>
    <w:p w14:paraId="75406CF4" w14:textId="77777777" w:rsidR="00E856C3" w:rsidRPr="0064404B" w:rsidRDefault="00E856C3" w:rsidP="00E856C3">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64404B">
        <w:rPr>
          <w:rFonts w:ascii="Palatino Linotype" w:hAnsi="Palatino Linotype" w:cs="Arial"/>
          <w:b/>
          <w:sz w:val="28"/>
          <w:lang w:val="es-MX"/>
        </w:rPr>
        <w:t>TERCERO</w:t>
      </w:r>
      <w:r w:rsidRPr="0064404B">
        <w:rPr>
          <w:rFonts w:ascii="Palatino Linotype" w:hAnsi="Palatino Linotype" w:cs="Arial"/>
          <w:b/>
          <w:lang w:val="es-MX"/>
        </w:rPr>
        <w:t xml:space="preserve">. </w:t>
      </w:r>
      <w:r w:rsidRPr="0064404B">
        <w:rPr>
          <w:rFonts w:ascii="Palatino Linotype" w:hAnsi="Palatino Linotype" w:cs="Arial"/>
          <w:b/>
          <w:sz w:val="28"/>
          <w:szCs w:val="28"/>
          <w:lang w:val="es-MX"/>
        </w:rPr>
        <w:t>De las causas de improcedencia.</w:t>
      </w:r>
    </w:p>
    <w:p w14:paraId="43A0B41E" w14:textId="77777777" w:rsidR="00E856C3" w:rsidRPr="0064404B" w:rsidRDefault="00E856C3" w:rsidP="00E856C3">
      <w:pPr>
        <w:spacing w:after="0" w:line="360" w:lineRule="auto"/>
        <w:jc w:val="both"/>
        <w:rPr>
          <w:rFonts w:ascii="Palatino Linotype" w:eastAsia="Times New Roman" w:hAnsi="Palatino Linotype" w:cs="Times New Roman"/>
          <w:sz w:val="24"/>
          <w:szCs w:val="24"/>
          <w:lang w:eastAsia="es-ES"/>
        </w:rPr>
      </w:pPr>
      <w:r w:rsidRPr="0064404B">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072AB6E6"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b/>
          <w:i/>
          <w:lang w:eastAsia="es-ES"/>
        </w:rPr>
        <w:t xml:space="preserve">“Artículo 180. </w:t>
      </w:r>
      <w:r w:rsidRPr="0064404B">
        <w:rPr>
          <w:rFonts w:ascii="Palatino Linotype" w:eastAsia="Times New Roman" w:hAnsi="Palatino Linotype" w:cs="Arial"/>
          <w:i/>
          <w:lang w:eastAsia="es-ES"/>
        </w:rPr>
        <w:t>El recurso de revisión contendrá:</w:t>
      </w:r>
    </w:p>
    <w:p w14:paraId="0CB73A6C"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i/>
          <w:lang w:eastAsia="es-ES"/>
        </w:rPr>
        <w:lastRenderedPageBreak/>
        <w:t>I. El sujeto obligado ante la cual se presentó la solicitud;</w:t>
      </w:r>
    </w:p>
    <w:p w14:paraId="6C4902CB"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b/>
          <w:i/>
          <w:u w:val="single"/>
          <w:lang w:eastAsia="es-ES"/>
        </w:rPr>
        <w:t>II. El nombre del solicitante que recurre</w:t>
      </w:r>
      <w:r w:rsidRPr="0064404B">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7FD237A"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i/>
          <w:lang w:eastAsia="es-ES"/>
        </w:rPr>
        <w:t>III. El número de folio de respuesta de la solicitud de acceso;</w:t>
      </w:r>
    </w:p>
    <w:p w14:paraId="5546D15E"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18DAD905"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i/>
          <w:lang w:eastAsia="es-ES"/>
        </w:rPr>
        <w:t>V. El acto que se recurre;</w:t>
      </w:r>
    </w:p>
    <w:p w14:paraId="1EC44E70"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i/>
          <w:lang w:eastAsia="es-ES"/>
        </w:rPr>
        <w:t>VI. Las razones o motivos de inconformidad;</w:t>
      </w:r>
    </w:p>
    <w:p w14:paraId="6C01EC50"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20D399CC"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i/>
          <w:lang w:eastAsia="es-ES"/>
        </w:rPr>
        <w:t>VIII. Firma del recurrente, en su caso, cuando se presente por escrito, requisito sin el cual se dará trámite al recurso.</w:t>
      </w:r>
    </w:p>
    <w:p w14:paraId="70BFEDC4"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i/>
          <w:lang w:eastAsia="es-ES"/>
        </w:rPr>
        <w:t>Adicionalmente, se podrán anexar las pruebas y demás elementos que considere procedentes someter a juicio del Instituto.</w:t>
      </w:r>
    </w:p>
    <w:p w14:paraId="0E115D0F" w14:textId="77777777" w:rsidR="00E856C3" w:rsidRPr="0064404B" w:rsidRDefault="00E856C3" w:rsidP="00E856C3">
      <w:pPr>
        <w:spacing w:before="240" w:line="360" w:lineRule="auto"/>
        <w:ind w:left="851" w:right="851"/>
        <w:jc w:val="both"/>
        <w:rPr>
          <w:rFonts w:ascii="Palatino Linotype" w:eastAsia="Times New Roman" w:hAnsi="Palatino Linotype" w:cs="Arial"/>
          <w:i/>
          <w:lang w:eastAsia="es-ES"/>
        </w:rPr>
      </w:pPr>
      <w:r w:rsidRPr="0064404B">
        <w:rPr>
          <w:rFonts w:ascii="Palatino Linotype" w:eastAsia="Times New Roman" w:hAnsi="Palatino Linotype" w:cs="Arial"/>
          <w:i/>
          <w:lang w:eastAsia="es-ES"/>
        </w:rPr>
        <w:t>En ningún caso será necesario que el particular ratifique el recurso de revisión interpuesto.</w:t>
      </w:r>
    </w:p>
    <w:p w14:paraId="4B2BCECE" w14:textId="77777777" w:rsidR="00E856C3" w:rsidRPr="0064404B" w:rsidRDefault="00E856C3" w:rsidP="00E856C3">
      <w:pPr>
        <w:spacing w:before="240" w:line="360" w:lineRule="auto"/>
        <w:ind w:left="851" w:right="851"/>
        <w:jc w:val="both"/>
        <w:rPr>
          <w:rFonts w:ascii="Palatino Linotype" w:eastAsia="Times New Roman" w:hAnsi="Palatino Linotype" w:cs="Arial"/>
          <w:i/>
          <w:sz w:val="24"/>
          <w:szCs w:val="24"/>
          <w:lang w:eastAsia="es-ES"/>
        </w:rPr>
      </w:pPr>
      <w:r w:rsidRPr="0064404B">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64404B">
        <w:rPr>
          <w:rFonts w:ascii="Palatino Linotype" w:eastAsia="Times New Roman" w:hAnsi="Palatino Linotype" w:cs="Arial"/>
          <w:b/>
          <w:i/>
          <w:lang w:eastAsia="es-ES"/>
        </w:rPr>
        <w:t xml:space="preserve"> [Sic] </w:t>
      </w:r>
    </w:p>
    <w:p w14:paraId="6AA9A42D" w14:textId="77777777" w:rsidR="00E856C3" w:rsidRPr="0064404B" w:rsidRDefault="00E856C3" w:rsidP="00E856C3">
      <w:pPr>
        <w:spacing w:after="0" w:line="360" w:lineRule="auto"/>
        <w:jc w:val="both"/>
        <w:rPr>
          <w:rFonts w:ascii="Palatino Linotype" w:eastAsia="Times New Roman" w:hAnsi="Palatino Linotype" w:cs="Arial"/>
          <w:b/>
          <w:i/>
          <w:sz w:val="24"/>
          <w:szCs w:val="24"/>
          <w:lang w:eastAsia="es-ES"/>
        </w:rPr>
      </w:pPr>
    </w:p>
    <w:p w14:paraId="090C4F68" w14:textId="77777777" w:rsidR="00E856C3" w:rsidRPr="0064404B" w:rsidRDefault="00E856C3" w:rsidP="00E856C3">
      <w:pPr>
        <w:spacing w:after="0" w:line="360" w:lineRule="auto"/>
        <w:jc w:val="both"/>
        <w:rPr>
          <w:rFonts w:ascii="Palatino Linotype" w:hAnsi="Palatino Linotype" w:cs="Arial"/>
          <w:sz w:val="24"/>
          <w:szCs w:val="24"/>
          <w:lang w:eastAsia="es-ES"/>
        </w:rPr>
      </w:pPr>
      <w:r w:rsidRPr="0064404B">
        <w:rPr>
          <w:rFonts w:ascii="Palatino Linotype" w:hAnsi="Palatino Linotype" w:cs="Segoe UI"/>
          <w:sz w:val="24"/>
          <w:szCs w:val="24"/>
          <w:lang w:eastAsia="es-ES"/>
        </w:rPr>
        <w:t xml:space="preserve">Cabe señalar que </w:t>
      </w:r>
      <w:r w:rsidRPr="0064404B">
        <w:rPr>
          <w:rFonts w:ascii="Palatino Linotype" w:hAnsi="Palatino Linotype" w:cs="Segoe UI"/>
          <w:b/>
          <w:sz w:val="24"/>
          <w:szCs w:val="24"/>
          <w:lang w:eastAsia="es-ES"/>
        </w:rPr>
        <w:t>El Recurrente</w:t>
      </w:r>
      <w:r w:rsidRPr="0064404B">
        <w:rPr>
          <w:rFonts w:ascii="Palatino Linotype" w:hAnsi="Palatino Linotype" w:cs="Segoe UI"/>
          <w:sz w:val="24"/>
          <w:szCs w:val="24"/>
          <w:lang w:eastAsia="es-ES"/>
        </w:rPr>
        <w:t xml:space="preserve"> ejerció de manera anónima su derecho de acceso a la información pública</w:t>
      </w:r>
      <w:r w:rsidRPr="0064404B">
        <w:rPr>
          <w:rFonts w:ascii="Palatino Linotype" w:hAnsi="Palatino Linotype" w:cs="Times New Roman"/>
          <w:sz w:val="24"/>
          <w:szCs w:val="24"/>
          <w:lang w:eastAsia="es-ES"/>
        </w:rPr>
        <w:t xml:space="preserve">, sin embargo, no es motivo para desechar las </w:t>
      </w:r>
      <w:r w:rsidRPr="0064404B">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384F0254" w14:textId="77777777" w:rsidR="00E856C3" w:rsidRPr="0064404B" w:rsidRDefault="00E856C3" w:rsidP="00E856C3">
      <w:pPr>
        <w:spacing w:before="240" w:line="360" w:lineRule="auto"/>
        <w:ind w:left="851" w:right="851"/>
        <w:jc w:val="both"/>
        <w:rPr>
          <w:rFonts w:ascii="Palatino Linotype" w:hAnsi="Palatino Linotype" w:cs="Arial"/>
          <w:b/>
          <w:i/>
          <w:lang w:eastAsia="es-ES"/>
        </w:rPr>
      </w:pPr>
      <w:r w:rsidRPr="0064404B">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64404B">
        <w:rPr>
          <w:rFonts w:ascii="Palatino Linotype" w:hAnsi="Palatino Linotype" w:cs="Arial"/>
          <w:b/>
          <w:i/>
          <w:lang w:eastAsia="es-ES"/>
        </w:rPr>
        <w:t>[Sic]</w:t>
      </w:r>
    </w:p>
    <w:p w14:paraId="4A19172C" w14:textId="77777777" w:rsidR="00E856C3" w:rsidRPr="0064404B" w:rsidRDefault="00E856C3" w:rsidP="00E856C3">
      <w:pPr>
        <w:spacing w:before="240" w:line="360" w:lineRule="auto"/>
        <w:ind w:left="851" w:right="851"/>
        <w:jc w:val="both"/>
        <w:rPr>
          <w:rFonts w:ascii="Palatino Linotype" w:hAnsi="Palatino Linotype" w:cs="Arial"/>
          <w:b/>
          <w:i/>
          <w:lang w:eastAsia="es-ES"/>
        </w:rPr>
      </w:pPr>
    </w:p>
    <w:p w14:paraId="3F9AD7D7" w14:textId="77777777" w:rsidR="00E856C3" w:rsidRPr="0064404B" w:rsidRDefault="00E856C3" w:rsidP="00E856C3">
      <w:pPr>
        <w:spacing w:after="0" w:line="360" w:lineRule="auto"/>
        <w:jc w:val="both"/>
        <w:rPr>
          <w:rFonts w:ascii="Palatino Linotype" w:hAnsi="Palatino Linotype" w:cs="Times New Roman"/>
          <w:sz w:val="24"/>
          <w:szCs w:val="24"/>
          <w:lang w:eastAsia="es-ES"/>
        </w:rPr>
      </w:pPr>
      <w:r w:rsidRPr="0064404B">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64404B">
        <w:rPr>
          <w:rFonts w:ascii="Palatino Linotype" w:hAnsi="Palatino Linotype" w:cs="Arial"/>
          <w:sz w:val="24"/>
          <w:szCs w:val="24"/>
          <w:lang w:eastAsia="es-ES"/>
        </w:rPr>
        <w:t>vigésimo, vigésimo primero</w:t>
      </w:r>
      <w:r w:rsidRPr="0064404B">
        <w:rPr>
          <w:rFonts w:ascii="Palatino Linotype" w:eastAsia="Times New Roman" w:hAnsi="Palatino Linotype" w:cs="Arial"/>
          <w:sz w:val="24"/>
          <w:szCs w:val="24"/>
          <w:lang w:eastAsia="es-ES"/>
        </w:rPr>
        <w:t xml:space="preserve"> y vigésimo segundo</w:t>
      </w:r>
      <w:r w:rsidRPr="0064404B">
        <w:rPr>
          <w:rFonts w:ascii="Palatino Linotype" w:hAnsi="Palatino Linotype" w:cs="Times New Roman"/>
          <w:sz w:val="24"/>
          <w:szCs w:val="24"/>
          <w:lang w:eastAsia="es-ES"/>
        </w:rPr>
        <w:t>, de la Constitución Política del Estado Libre y Soberano de México, se establece lo siguiente:</w:t>
      </w:r>
    </w:p>
    <w:p w14:paraId="32571950" w14:textId="77777777" w:rsidR="00E856C3" w:rsidRPr="0064404B" w:rsidRDefault="00E856C3" w:rsidP="00E856C3">
      <w:pPr>
        <w:spacing w:before="240" w:line="360" w:lineRule="auto"/>
        <w:ind w:left="851" w:right="851"/>
        <w:jc w:val="center"/>
        <w:rPr>
          <w:rFonts w:ascii="Palatino Linotype" w:eastAsia="Times New Roman" w:hAnsi="Palatino Linotype" w:cs="Times New Roman"/>
          <w:b/>
          <w:i/>
          <w:u w:val="single"/>
          <w:lang w:eastAsia="es-ES"/>
        </w:rPr>
      </w:pPr>
      <w:r w:rsidRPr="0064404B">
        <w:rPr>
          <w:rFonts w:ascii="Palatino Linotype" w:eastAsia="Times New Roman" w:hAnsi="Palatino Linotype" w:cs="Times New Roman"/>
          <w:b/>
          <w:i/>
          <w:u w:val="single"/>
          <w:lang w:eastAsia="es-ES"/>
        </w:rPr>
        <w:t>Constitución Política de los Estados Unidos Mexicanos</w:t>
      </w:r>
    </w:p>
    <w:p w14:paraId="5272F378"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b/>
          <w:i/>
          <w:lang w:eastAsia="es-ES"/>
        </w:rPr>
        <w:t>“Artículo 6</w:t>
      </w:r>
      <w:r w:rsidRPr="0064404B">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EF32188"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w:t>
      </w:r>
    </w:p>
    <w:p w14:paraId="705A1733"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lastRenderedPageBreak/>
        <w:t xml:space="preserve">Para efectos de lo dispuesto en el presente artículo se observará lo siguiente: </w:t>
      </w:r>
    </w:p>
    <w:p w14:paraId="4B38F397"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2E5CFA1"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w:t>
      </w:r>
    </w:p>
    <w:p w14:paraId="255B4349"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3930FB4C" w14:textId="77777777" w:rsidR="00E856C3" w:rsidRPr="0064404B" w:rsidRDefault="00E856C3" w:rsidP="00E856C3">
      <w:pPr>
        <w:spacing w:before="240" w:line="360" w:lineRule="auto"/>
        <w:ind w:left="851" w:right="851"/>
        <w:jc w:val="both"/>
        <w:rPr>
          <w:rFonts w:ascii="Palatino Linotype" w:eastAsia="Times New Roman" w:hAnsi="Palatino Linotype" w:cs="Times New Roman"/>
          <w:b/>
          <w:i/>
          <w:lang w:eastAsia="es-ES"/>
        </w:rPr>
      </w:pPr>
      <w:r w:rsidRPr="0064404B">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64404B">
        <w:rPr>
          <w:rFonts w:ascii="Palatino Linotype" w:eastAsia="Times New Roman" w:hAnsi="Palatino Linotype" w:cs="Times New Roman"/>
          <w:b/>
          <w:i/>
          <w:lang w:eastAsia="es-ES"/>
        </w:rPr>
        <w:t>[Sic]</w:t>
      </w:r>
    </w:p>
    <w:p w14:paraId="272559CB" w14:textId="77777777" w:rsidR="00E856C3" w:rsidRPr="0064404B" w:rsidRDefault="00E856C3" w:rsidP="00E856C3">
      <w:pPr>
        <w:spacing w:before="240" w:line="360" w:lineRule="auto"/>
        <w:ind w:left="851" w:right="851"/>
        <w:jc w:val="both"/>
        <w:rPr>
          <w:rFonts w:ascii="Palatino Linotype" w:eastAsia="Times New Roman" w:hAnsi="Palatino Linotype" w:cs="Times New Roman"/>
          <w:b/>
          <w:i/>
          <w:lang w:eastAsia="es-ES"/>
        </w:rPr>
      </w:pPr>
    </w:p>
    <w:p w14:paraId="5EF289A6" w14:textId="77777777" w:rsidR="00E856C3" w:rsidRPr="0064404B" w:rsidRDefault="00E856C3" w:rsidP="00E856C3">
      <w:pPr>
        <w:spacing w:before="240" w:line="360" w:lineRule="auto"/>
        <w:ind w:left="851" w:right="851"/>
        <w:jc w:val="center"/>
        <w:rPr>
          <w:rFonts w:ascii="Palatino Linotype" w:eastAsia="Times New Roman" w:hAnsi="Palatino Linotype" w:cs="Times New Roman"/>
          <w:b/>
          <w:i/>
          <w:u w:val="single"/>
          <w:lang w:eastAsia="es-ES"/>
        </w:rPr>
      </w:pPr>
      <w:r w:rsidRPr="0064404B">
        <w:rPr>
          <w:rFonts w:ascii="Palatino Linotype" w:eastAsia="Times New Roman" w:hAnsi="Palatino Linotype" w:cs="Times New Roman"/>
          <w:b/>
          <w:i/>
          <w:u w:val="single"/>
          <w:lang w:eastAsia="es-ES"/>
        </w:rPr>
        <w:t>Constitución Política del Estado Libre y Soberano de México</w:t>
      </w:r>
    </w:p>
    <w:p w14:paraId="19979B65"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w:t>
      </w:r>
      <w:r w:rsidRPr="0064404B">
        <w:rPr>
          <w:rFonts w:ascii="Palatino Linotype" w:eastAsia="Times New Roman" w:hAnsi="Palatino Linotype" w:cs="Times New Roman"/>
          <w:b/>
          <w:i/>
          <w:lang w:eastAsia="es-ES"/>
        </w:rPr>
        <w:t>Artículo 5</w:t>
      </w:r>
      <w:r w:rsidRPr="0064404B">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8312F5B"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w:t>
      </w:r>
    </w:p>
    <w:p w14:paraId="41F2A2B4"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lastRenderedPageBreak/>
        <w:t>Toda persona en el Estado de México, tiene derecho al libre acceso a la información plural y oportuna, así como a buscar recibir y difundir información e ideas de toda índole por cualquier medio de expresión.</w:t>
      </w:r>
    </w:p>
    <w:p w14:paraId="1458BBC5"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 xml:space="preserve"> (…)</w:t>
      </w:r>
    </w:p>
    <w:p w14:paraId="2B282905"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3EBA5DFD"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EB47D18"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w:t>
      </w:r>
    </w:p>
    <w:p w14:paraId="3D2FAE74"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69445C79"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7E9C80F8"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w:t>
      </w:r>
    </w:p>
    <w:p w14:paraId="550CA354" w14:textId="77777777" w:rsidR="00E856C3" w:rsidRPr="0064404B" w:rsidRDefault="00E856C3" w:rsidP="00E856C3">
      <w:pPr>
        <w:spacing w:before="240" w:line="360" w:lineRule="auto"/>
        <w:ind w:left="851" w:right="851"/>
        <w:jc w:val="both"/>
        <w:rPr>
          <w:rFonts w:ascii="Palatino Linotype" w:eastAsia="Times New Roman" w:hAnsi="Palatino Linotype" w:cs="Times New Roman"/>
          <w:b/>
          <w:i/>
          <w:lang w:eastAsia="es-ES"/>
        </w:rPr>
      </w:pPr>
      <w:r w:rsidRPr="0064404B">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w:t>
      </w:r>
      <w:r w:rsidRPr="0064404B">
        <w:rPr>
          <w:rFonts w:ascii="Palatino Linotype" w:eastAsia="Times New Roman" w:hAnsi="Palatino Linotype" w:cs="Times New Roman"/>
          <w:i/>
          <w:lang w:eastAsia="es-ES"/>
        </w:rPr>
        <w:lastRenderedPageBreak/>
        <w:t xml:space="preserve">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64404B">
        <w:rPr>
          <w:rFonts w:ascii="Palatino Linotype" w:eastAsia="Times New Roman" w:hAnsi="Palatino Linotype" w:cs="Times New Roman"/>
          <w:b/>
          <w:i/>
          <w:lang w:eastAsia="es-ES"/>
        </w:rPr>
        <w:t>[Sic]</w:t>
      </w:r>
    </w:p>
    <w:p w14:paraId="391CA7F7" w14:textId="77777777" w:rsidR="00125647" w:rsidRPr="0064404B" w:rsidRDefault="00125647" w:rsidP="00E856C3">
      <w:pPr>
        <w:spacing w:after="0" w:line="360" w:lineRule="auto"/>
        <w:jc w:val="both"/>
        <w:rPr>
          <w:rFonts w:ascii="Palatino Linotype" w:eastAsia="Times New Roman" w:hAnsi="Palatino Linotype" w:cs="Times New Roman"/>
          <w:sz w:val="24"/>
          <w:szCs w:val="24"/>
          <w:lang w:eastAsia="es-ES"/>
        </w:rPr>
      </w:pPr>
    </w:p>
    <w:p w14:paraId="60E2A375" w14:textId="1773309D" w:rsidR="00E856C3" w:rsidRPr="0064404B" w:rsidRDefault="00E856C3" w:rsidP="00E856C3">
      <w:pPr>
        <w:spacing w:after="0" w:line="360" w:lineRule="auto"/>
        <w:jc w:val="both"/>
        <w:rPr>
          <w:rFonts w:ascii="Palatino Linotype" w:eastAsia="Times New Roman" w:hAnsi="Palatino Linotype" w:cs="Times New Roman"/>
          <w:sz w:val="24"/>
          <w:szCs w:val="24"/>
          <w:lang w:eastAsia="es-ES"/>
        </w:rPr>
      </w:pPr>
      <w:r w:rsidRPr="0064404B">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71A5A674" w14:textId="77777777" w:rsidR="00E856C3" w:rsidRPr="0064404B" w:rsidRDefault="00E856C3" w:rsidP="00E856C3">
      <w:pPr>
        <w:spacing w:before="240" w:line="360" w:lineRule="auto"/>
        <w:ind w:left="851" w:right="851"/>
        <w:jc w:val="both"/>
        <w:rPr>
          <w:rFonts w:ascii="Palatino Linotype" w:hAnsi="Palatino Linotype" w:cs="Times New Roman"/>
          <w:i/>
          <w:lang w:eastAsia="es-ES"/>
        </w:rPr>
      </w:pPr>
      <w:r w:rsidRPr="0064404B">
        <w:rPr>
          <w:rFonts w:ascii="Palatino Linotype" w:hAnsi="Palatino Linotype" w:cs="Times New Roman"/>
          <w:i/>
          <w:lang w:eastAsia="es-ES"/>
        </w:rPr>
        <w:t>“</w:t>
      </w:r>
      <w:r w:rsidRPr="0064404B">
        <w:rPr>
          <w:rFonts w:ascii="Palatino Linotype" w:hAnsi="Palatino Linotype" w:cs="Times New Roman"/>
          <w:b/>
          <w:i/>
          <w:lang w:eastAsia="es-ES"/>
        </w:rPr>
        <w:t>Artículo 1o</w:t>
      </w:r>
      <w:r w:rsidRPr="0064404B">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AEFA001" w14:textId="77777777" w:rsidR="00E856C3" w:rsidRPr="0064404B" w:rsidRDefault="00E856C3" w:rsidP="00E856C3">
      <w:pPr>
        <w:spacing w:before="240" w:line="360" w:lineRule="auto"/>
        <w:ind w:left="851" w:right="851"/>
        <w:jc w:val="both"/>
        <w:rPr>
          <w:rFonts w:ascii="Palatino Linotype" w:hAnsi="Palatino Linotype" w:cs="Times New Roman"/>
          <w:i/>
          <w:lang w:eastAsia="es-ES"/>
        </w:rPr>
      </w:pPr>
      <w:r w:rsidRPr="0064404B">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55DA4DE8" w14:textId="77777777" w:rsidR="00E856C3" w:rsidRPr="0064404B" w:rsidRDefault="00E856C3" w:rsidP="00E856C3">
      <w:pPr>
        <w:spacing w:before="240" w:line="360" w:lineRule="auto"/>
        <w:ind w:left="851" w:right="851"/>
        <w:jc w:val="both"/>
        <w:rPr>
          <w:rFonts w:ascii="Palatino Linotype" w:hAnsi="Palatino Linotype" w:cs="Times New Roman"/>
          <w:b/>
          <w:i/>
          <w:lang w:eastAsia="es-ES"/>
        </w:rPr>
      </w:pPr>
      <w:r w:rsidRPr="0064404B">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64404B">
        <w:rPr>
          <w:rFonts w:ascii="Palatino Linotype" w:hAnsi="Palatino Linotype" w:cs="Times New Roman"/>
          <w:b/>
          <w:i/>
          <w:lang w:eastAsia="es-ES"/>
        </w:rPr>
        <w:t>[Sic]</w:t>
      </w:r>
    </w:p>
    <w:p w14:paraId="32EBADC0" w14:textId="77777777" w:rsidR="00E856C3" w:rsidRPr="0064404B" w:rsidRDefault="00E856C3" w:rsidP="00E856C3">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16756AE1" w14:textId="77777777" w:rsidR="00E856C3" w:rsidRPr="0064404B" w:rsidRDefault="00E856C3" w:rsidP="00E856C3">
      <w:pPr>
        <w:tabs>
          <w:tab w:val="left" w:pos="709"/>
        </w:tabs>
        <w:spacing w:before="240" w:line="360" w:lineRule="auto"/>
        <w:ind w:right="51"/>
        <w:jc w:val="both"/>
        <w:rPr>
          <w:rFonts w:ascii="Palatino Linotype" w:hAnsi="Palatino Linotype"/>
          <w:b/>
          <w:sz w:val="28"/>
          <w:szCs w:val="28"/>
        </w:rPr>
      </w:pPr>
      <w:r w:rsidRPr="0064404B">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4404B">
        <w:rPr>
          <w:rFonts w:ascii="Palatino Linotype" w:eastAsia="Times New Roman" w:hAnsi="Palatino Linotype" w:cs="Times New Roman"/>
          <w:b/>
          <w:sz w:val="24"/>
          <w:szCs w:val="24"/>
          <w:u w:val="single"/>
          <w:lang w:eastAsia="es-ES"/>
        </w:rPr>
        <w:t>incluso, la solicitud de acceso a la información pueda ser anónima</w:t>
      </w:r>
      <w:r w:rsidRPr="0064404B">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64404B">
        <w:rPr>
          <w:rFonts w:ascii="Palatino Linotype" w:hAnsi="Palatino Linotype" w:cs="Arial"/>
          <w:sz w:val="24"/>
          <w:szCs w:val="24"/>
        </w:rPr>
        <w:t>En conclusión, se cubrieron los requisitos de procedencia y procedibilidad y conforme a las constancias que obran en el expediente.</w:t>
      </w:r>
    </w:p>
    <w:p w14:paraId="31920232" w14:textId="77777777" w:rsidR="00E856C3" w:rsidRPr="0064404B" w:rsidRDefault="00E856C3" w:rsidP="00E856C3">
      <w:pPr>
        <w:tabs>
          <w:tab w:val="left" w:pos="709"/>
        </w:tabs>
        <w:spacing w:before="240" w:line="360" w:lineRule="auto"/>
        <w:ind w:right="51"/>
        <w:jc w:val="both"/>
        <w:rPr>
          <w:rFonts w:ascii="Palatino Linotype" w:hAnsi="Palatino Linotype"/>
          <w:b/>
          <w:sz w:val="28"/>
          <w:szCs w:val="28"/>
        </w:rPr>
      </w:pPr>
    </w:p>
    <w:p w14:paraId="496B0471" w14:textId="77777777" w:rsidR="00E856C3" w:rsidRPr="0064404B" w:rsidRDefault="00E856C3" w:rsidP="00E856C3">
      <w:pPr>
        <w:tabs>
          <w:tab w:val="left" w:pos="709"/>
        </w:tabs>
        <w:spacing w:before="240" w:line="360" w:lineRule="auto"/>
        <w:ind w:right="51"/>
        <w:jc w:val="both"/>
        <w:rPr>
          <w:rFonts w:ascii="Palatino Linotype" w:hAnsi="Palatino Linotype"/>
          <w:b/>
          <w:sz w:val="28"/>
          <w:szCs w:val="28"/>
        </w:rPr>
      </w:pPr>
      <w:r w:rsidRPr="0064404B">
        <w:rPr>
          <w:rFonts w:ascii="Palatino Linotype" w:hAnsi="Palatino Linotype"/>
          <w:b/>
          <w:sz w:val="28"/>
          <w:szCs w:val="28"/>
        </w:rPr>
        <w:t xml:space="preserve">CUARTO. Estudio y resolución del asunto </w:t>
      </w:r>
      <w:r w:rsidRPr="0064404B">
        <w:rPr>
          <w:rFonts w:ascii="Palatino Linotype" w:hAnsi="Palatino Linotype"/>
          <w:b/>
          <w:sz w:val="28"/>
          <w:szCs w:val="28"/>
        </w:rPr>
        <w:tab/>
      </w:r>
    </w:p>
    <w:p w14:paraId="29963972" w14:textId="77777777" w:rsidR="00E856C3" w:rsidRPr="0064404B" w:rsidRDefault="00E856C3" w:rsidP="00E856C3">
      <w:pPr>
        <w:pStyle w:val="Prrafodelista"/>
        <w:autoSpaceDE w:val="0"/>
        <w:autoSpaceDN w:val="0"/>
        <w:adjustRightInd w:val="0"/>
        <w:spacing w:before="240" w:after="160" w:line="360" w:lineRule="auto"/>
        <w:ind w:left="0"/>
        <w:jc w:val="both"/>
        <w:rPr>
          <w:rFonts w:ascii="Palatino Linotype" w:hAnsi="Palatino Linotype" w:cs="Arial"/>
        </w:rPr>
      </w:pPr>
      <w:r w:rsidRPr="0064404B">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03268E74" w14:textId="77777777" w:rsidR="00E856C3" w:rsidRPr="0064404B" w:rsidRDefault="00E856C3" w:rsidP="00E856C3">
      <w:pPr>
        <w:spacing w:after="0" w:line="360" w:lineRule="auto"/>
        <w:jc w:val="both"/>
        <w:rPr>
          <w:rFonts w:ascii="Palatino Linotype" w:eastAsia="Times New Roman" w:hAnsi="Palatino Linotype" w:cs="Times New Roman"/>
          <w:sz w:val="24"/>
          <w:szCs w:val="24"/>
          <w:lang w:eastAsia="es-ES"/>
        </w:rPr>
      </w:pPr>
      <w:r w:rsidRPr="0064404B">
        <w:rPr>
          <w:rFonts w:ascii="Palatino Linotype" w:hAnsi="Palatino Linotype" w:cs="Arial"/>
          <w:sz w:val="24"/>
          <w:szCs w:val="24"/>
        </w:rPr>
        <w:t xml:space="preserve">En este tenor, es necesario subrayar que </w:t>
      </w:r>
      <w:r w:rsidRPr="0064404B">
        <w:rPr>
          <w:rFonts w:ascii="Palatino Linotype" w:eastAsia="Times New Roman" w:hAnsi="Palatino Linotype" w:cs="Times New Roman"/>
          <w:sz w:val="24"/>
          <w:szCs w:val="24"/>
          <w:lang w:eastAsia="es-ES"/>
        </w:rPr>
        <w:t xml:space="preserve">el derecho de acceso a la información pública implica que cualquier persona conozca la información contenida en los documentos </w:t>
      </w:r>
      <w:r w:rsidRPr="0064404B">
        <w:rPr>
          <w:rFonts w:ascii="Palatino Linotype" w:eastAsia="Times New Roman" w:hAnsi="Palatino Linotype" w:cs="Times New Roman"/>
          <w:sz w:val="24"/>
          <w:szCs w:val="24"/>
          <w:lang w:eastAsia="es-ES"/>
        </w:rPr>
        <w:lastRenderedPageBreak/>
        <w:t>que se encuentren en los archivos de los sujetos obligados, conforme a los artículos 4, 12, 24 último párrafo y 160 de la Ley local en la materia, que a la letra citan:</w:t>
      </w:r>
    </w:p>
    <w:p w14:paraId="7933A8EA"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b/>
          <w:i/>
          <w:lang w:eastAsia="es-ES"/>
        </w:rPr>
        <w:t>“Artículo 4.</w:t>
      </w:r>
      <w:r w:rsidRPr="0064404B">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DE422BA"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41524F1"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7A37168D"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b/>
          <w:i/>
          <w:lang w:eastAsia="es-ES"/>
        </w:rPr>
        <w:t>Artículo 12.</w:t>
      </w:r>
      <w:r w:rsidRPr="0064404B">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2E6919BB"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64404B">
        <w:rPr>
          <w:rFonts w:ascii="Palatino Linotype" w:eastAsia="Times New Roman" w:hAnsi="Palatino Linotype" w:cs="Times New Roman"/>
          <w:i/>
          <w:lang w:eastAsia="es-ES"/>
        </w:rPr>
        <w:lastRenderedPageBreak/>
        <w:t xml:space="preserve">presentarla conforme al interés del solicitante; no estarán obligados a generarla, resumirla, efectuar cálculos o practicar investigaciones. </w:t>
      </w:r>
    </w:p>
    <w:p w14:paraId="110CF42D"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w:t>
      </w:r>
    </w:p>
    <w:p w14:paraId="390022A3" w14:textId="77777777" w:rsidR="00E856C3" w:rsidRPr="0064404B" w:rsidRDefault="00E856C3" w:rsidP="00E856C3">
      <w:pPr>
        <w:spacing w:before="240" w:line="360" w:lineRule="auto"/>
        <w:ind w:left="851" w:right="851"/>
        <w:jc w:val="both"/>
        <w:rPr>
          <w:rFonts w:ascii="Palatino Linotype" w:eastAsia="Times New Roman" w:hAnsi="Palatino Linotype" w:cs="Times New Roman"/>
          <w:b/>
          <w:i/>
          <w:lang w:eastAsia="es-ES"/>
        </w:rPr>
      </w:pPr>
      <w:r w:rsidRPr="0064404B">
        <w:rPr>
          <w:rFonts w:ascii="Palatino Linotype" w:eastAsia="Times New Roman" w:hAnsi="Palatino Linotype" w:cs="Times New Roman"/>
          <w:b/>
          <w:i/>
          <w:lang w:eastAsia="es-ES"/>
        </w:rPr>
        <w:t xml:space="preserve">Artículo 24. </w:t>
      </w:r>
    </w:p>
    <w:p w14:paraId="553D9B35"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w:t>
      </w:r>
    </w:p>
    <w:p w14:paraId="377831D9"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191D1366"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i/>
          <w:lang w:eastAsia="es-ES"/>
        </w:rPr>
        <w:t>(…)</w:t>
      </w:r>
    </w:p>
    <w:p w14:paraId="0B7DE110" w14:textId="77777777" w:rsidR="00E856C3" w:rsidRPr="0064404B" w:rsidRDefault="00E856C3" w:rsidP="00E856C3">
      <w:pPr>
        <w:spacing w:before="240" w:line="360" w:lineRule="auto"/>
        <w:ind w:left="851" w:right="851"/>
        <w:jc w:val="both"/>
        <w:rPr>
          <w:rFonts w:ascii="Palatino Linotype" w:eastAsia="Times New Roman" w:hAnsi="Palatino Linotype" w:cs="Times New Roman"/>
          <w:i/>
          <w:lang w:eastAsia="es-ES"/>
        </w:rPr>
      </w:pPr>
      <w:r w:rsidRPr="0064404B">
        <w:rPr>
          <w:rFonts w:ascii="Palatino Linotype" w:eastAsia="Times New Roman" w:hAnsi="Palatino Linotype" w:cs="Times New Roman"/>
          <w:b/>
          <w:i/>
          <w:lang w:eastAsia="es-ES"/>
        </w:rPr>
        <w:t>Artículo 160.</w:t>
      </w:r>
      <w:r w:rsidRPr="0064404B">
        <w:rPr>
          <w:rFonts w:ascii="Palatino Linotype" w:eastAsia="Times New Roman" w:hAnsi="Palatino Linotype" w:cs="Times New Roman"/>
          <w:i/>
          <w:lang w:eastAsia="es-ES"/>
        </w:rPr>
        <w:t xml:space="preserve"> Los sujetos obligados deberán otorgar acceso a los documentos que se </w:t>
      </w:r>
      <w:r w:rsidRPr="0064404B">
        <w:rPr>
          <w:rFonts w:ascii="Palatino Linotype" w:eastAsia="Times New Roman" w:hAnsi="Palatino Linotype" w:cs="Times New Roman"/>
          <w:b/>
          <w:i/>
          <w:lang w:eastAsia="es-ES"/>
        </w:rPr>
        <w:t xml:space="preserve"> </w:t>
      </w:r>
      <w:r w:rsidRPr="0064404B">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72FCE58" w14:textId="77777777" w:rsidR="00E856C3" w:rsidRPr="0064404B" w:rsidRDefault="00E856C3" w:rsidP="00E856C3">
      <w:pPr>
        <w:spacing w:before="240" w:line="360" w:lineRule="auto"/>
        <w:ind w:left="851" w:right="851"/>
        <w:jc w:val="both"/>
        <w:rPr>
          <w:rFonts w:ascii="Palatino Linotype" w:eastAsia="Times New Roman" w:hAnsi="Palatino Linotype" w:cs="Times New Roman"/>
          <w:b/>
          <w:i/>
          <w:lang w:eastAsia="es-ES"/>
        </w:rPr>
      </w:pPr>
      <w:r w:rsidRPr="0064404B">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64404B">
        <w:rPr>
          <w:rFonts w:ascii="Palatino Linotype" w:eastAsia="Times New Roman" w:hAnsi="Palatino Linotype" w:cs="Times New Roman"/>
          <w:b/>
          <w:i/>
          <w:lang w:eastAsia="es-ES"/>
        </w:rPr>
        <w:t>[Sic]</w:t>
      </w:r>
    </w:p>
    <w:p w14:paraId="000BF444" w14:textId="77777777" w:rsidR="00E856C3" w:rsidRPr="0064404B" w:rsidRDefault="00E856C3" w:rsidP="00E856C3">
      <w:pPr>
        <w:spacing w:after="0" w:line="360" w:lineRule="auto"/>
        <w:jc w:val="both"/>
        <w:rPr>
          <w:rFonts w:ascii="Palatino Linotype" w:eastAsia="Times New Roman" w:hAnsi="Palatino Linotype" w:cs="Times New Roman"/>
          <w:sz w:val="24"/>
          <w:szCs w:val="24"/>
          <w:lang w:eastAsia="es-ES"/>
        </w:rPr>
      </w:pPr>
    </w:p>
    <w:p w14:paraId="65A69690" w14:textId="77777777" w:rsidR="00E856C3" w:rsidRPr="0064404B" w:rsidRDefault="00E856C3" w:rsidP="00E856C3">
      <w:pPr>
        <w:spacing w:after="0" w:line="360" w:lineRule="auto"/>
        <w:jc w:val="both"/>
        <w:rPr>
          <w:rFonts w:ascii="Palatino Linotype" w:eastAsia="Times New Roman" w:hAnsi="Palatino Linotype" w:cs="Times New Roman"/>
          <w:sz w:val="24"/>
          <w:szCs w:val="24"/>
          <w:lang w:eastAsia="es-ES"/>
        </w:rPr>
      </w:pPr>
      <w:r w:rsidRPr="0064404B">
        <w:rPr>
          <w:rFonts w:ascii="Palatino Linotype" w:eastAsia="Times New Roman" w:hAnsi="Palatino Linotype" w:cs="Times New Roman"/>
          <w:sz w:val="24"/>
          <w:szCs w:val="24"/>
          <w:lang w:eastAsia="es-ES"/>
        </w:rPr>
        <w:t xml:space="preserve">Así que la obligación de los </w:t>
      </w:r>
      <w:r w:rsidRPr="0064404B">
        <w:rPr>
          <w:rFonts w:ascii="Palatino Linotype" w:eastAsia="Times New Roman" w:hAnsi="Palatino Linotype" w:cs="Times New Roman"/>
          <w:b/>
          <w:sz w:val="24"/>
          <w:szCs w:val="24"/>
          <w:lang w:eastAsia="es-ES"/>
        </w:rPr>
        <w:t>Sujetos Obligados</w:t>
      </w:r>
      <w:r w:rsidRPr="0064404B">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4404B">
        <w:rPr>
          <w:rFonts w:ascii="Palatino Linotype" w:eastAsia="Times New Roman" w:hAnsi="Palatino Linotype" w:cs="Times New Roman"/>
          <w:bCs/>
          <w:sz w:val="24"/>
          <w:szCs w:val="24"/>
          <w:lang w:eastAsia="es-ES"/>
        </w:rPr>
        <w:t>de la Ley local en la materia, que se reproduce de la siguiente forma</w:t>
      </w:r>
      <w:r w:rsidRPr="0064404B">
        <w:rPr>
          <w:rFonts w:ascii="Palatino Linotype" w:eastAsia="Times New Roman" w:hAnsi="Palatino Linotype" w:cs="Times New Roman"/>
          <w:sz w:val="24"/>
          <w:szCs w:val="24"/>
          <w:lang w:eastAsia="es-ES"/>
        </w:rPr>
        <w:t>:</w:t>
      </w:r>
    </w:p>
    <w:p w14:paraId="42EB058E" w14:textId="77777777" w:rsidR="00E856C3" w:rsidRPr="0064404B" w:rsidRDefault="00E856C3" w:rsidP="00E856C3">
      <w:pPr>
        <w:spacing w:before="240" w:line="360" w:lineRule="auto"/>
        <w:ind w:left="851" w:right="851"/>
        <w:jc w:val="both"/>
        <w:rPr>
          <w:rFonts w:ascii="Palatino Linotype" w:eastAsia="Times New Roman" w:hAnsi="Palatino Linotype" w:cs="Arial"/>
          <w:b/>
          <w:i/>
          <w:lang w:eastAsia="es-ES"/>
        </w:rPr>
      </w:pPr>
      <w:r w:rsidRPr="0064404B">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4404B">
        <w:rPr>
          <w:rFonts w:ascii="Palatino Linotype" w:eastAsia="Times New Roman" w:hAnsi="Palatino Linotype" w:cs="Arial"/>
          <w:b/>
          <w:i/>
          <w:lang w:eastAsia="es-ES"/>
        </w:rPr>
        <w:t>[Sic]</w:t>
      </w:r>
    </w:p>
    <w:p w14:paraId="1AC52B3C" w14:textId="24E5CDBD" w:rsidR="00100F8E" w:rsidRPr="0064404B" w:rsidRDefault="00100F8E" w:rsidP="0024633A">
      <w:pPr>
        <w:spacing w:before="240" w:line="360" w:lineRule="auto"/>
        <w:ind w:right="851"/>
        <w:jc w:val="both"/>
        <w:rPr>
          <w:rFonts w:ascii="Palatino Linotype" w:eastAsia="Times New Roman" w:hAnsi="Palatino Linotype" w:cs="Arial"/>
          <w:b/>
          <w:i/>
          <w:lang w:eastAsia="es-ES"/>
        </w:rPr>
      </w:pPr>
    </w:p>
    <w:p w14:paraId="316A9366" w14:textId="0038F577" w:rsidR="00E856C3" w:rsidRPr="0064404B" w:rsidRDefault="008028E9" w:rsidP="00E04DB7">
      <w:pPr>
        <w:autoSpaceDE w:val="0"/>
        <w:autoSpaceDN w:val="0"/>
        <w:adjustRightInd w:val="0"/>
        <w:spacing w:before="240" w:line="360" w:lineRule="auto"/>
        <w:jc w:val="both"/>
        <w:rPr>
          <w:rFonts w:ascii="Palatino Linotype" w:hAnsi="Palatino Linotype" w:cs="Arial"/>
          <w:sz w:val="24"/>
          <w:szCs w:val="24"/>
        </w:rPr>
      </w:pPr>
      <w:r w:rsidRPr="0064404B">
        <w:rPr>
          <w:rFonts w:ascii="Palatino Linotype" w:hAnsi="Palatino Linotype" w:cs="Arial"/>
          <w:sz w:val="24"/>
          <w:szCs w:val="24"/>
        </w:rPr>
        <w:t xml:space="preserve">En una aproximación inicial, con relación </w:t>
      </w:r>
      <w:r w:rsidR="007773E6" w:rsidRPr="0064404B">
        <w:rPr>
          <w:rFonts w:ascii="Palatino Linotype" w:hAnsi="Palatino Linotype" w:cs="Arial"/>
          <w:sz w:val="24"/>
          <w:szCs w:val="24"/>
        </w:rPr>
        <w:t xml:space="preserve">a la solicitud de información </w:t>
      </w:r>
      <w:r w:rsidR="00E856C3" w:rsidRPr="0064404B">
        <w:rPr>
          <w:rFonts w:ascii="Palatino Linotype" w:hAnsi="Palatino Linotype" w:cs="Arial"/>
          <w:b/>
          <w:bCs/>
          <w:sz w:val="24"/>
          <w:szCs w:val="24"/>
        </w:rPr>
        <w:t xml:space="preserve">00082/PLEGISLA/IP/2025, </w:t>
      </w:r>
      <w:r w:rsidR="00E856C3" w:rsidRPr="0064404B">
        <w:rPr>
          <w:rFonts w:ascii="Palatino Linotype" w:hAnsi="Palatino Linotype" w:cs="Arial"/>
          <w:sz w:val="24"/>
          <w:szCs w:val="24"/>
        </w:rPr>
        <w:t xml:space="preserve">se desprenden las siguientes consideraciones: </w:t>
      </w:r>
    </w:p>
    <w:p w14:paraId="5EB61A55" w14:textId="77777777" w:rsidR="00133A1D" w:rsidRPr="0064404B" w:rsidRDefault="00133A1D" w:rsidP="00534B69">
      <w:pPr>
        <w:pStyle w:val="Prrafodelista"/>
        <w:numPr>
          <w:ilvl w:val="0"/>
          <w:numId w:val="4"/>
        </w:numPr>
        <w:autoSpaceDE w:val="0"/>
        <w:autoSpaceDN w:val="0"/>
        <w:adjustRightInd w:val="0"/>
        <w:spacing w:before="240" w:line="360" w:lineRule="auto"/>
        <w:jc w:val="both"/>
        <w:rPr>
          <w:rFonts w:ascii="Palatino Linotype" w:hAnsi="Palatino Linotype" w:cs="Arial"/>
        </w:rPr>
      </w:pPr>
      <w:r w:rsidRPr="0064404B">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64404B">
        <w:rPr>
          <w:rFonts w:ascii="Palatino Linotype" w:hAnsi="Palatino Linotype" w:cs="Arial"/>
          <w:b/>
          <w:bCs/>
        </w:rPr>
        <w:t xml:space="preserve">Sujetos Obligados. </w:t>
      </w:r>
    </w:p>
    <w:p w14:paraId="1E2BE2BC" w14:textId="1531D8CE" w:rsidR="00321484" w:rsidRPr="0064404B" w:rsidRDefault="00133A1D" w:rsidP="00534B69">
      <w:pPr>
        <w:pStyle w:val="Prrafodelista"/>
        <w:numPr>
          <w:ilvl w:val="0"/>
          <w:numId w:val="4"/>
        </w:numPr>
        <w:autoSpaceDE w:val="0"/>
        <w:autoSpaceDN w:val="0"/>
        <w:adjustRightInd w:val="0"/>
        <w:spacing w:before="240" w:line="360" w:lineRule="auto"/>
        <w:jc w:val="both"/>
        <w:rPr>
          <w:rFonts w:ascii="Palatino Linotype" w:hAnsi="Palatino Linotype" w:cs="Arial"/>
          <w:b/>
          <w:bCs/>
          <w:i/>
          <w:iCs/>
          <w:sz w:val="20"/>
          <w:szCs w:val="20"/>
        </w:rPr>
      </w:pPr>
      <w:r w:rsidRPr="0064404B">
        <w:rPr>
          <w:rFonts w:ascii="Palatino Linotype" w:hAnsi="Palatino Linotype" w:cs="Arial"/>
        </w:rPr>
        <w:t xml:space="preserve">Que </w:t>
      </w:r>
      <w:r w:rsidR="00E856C3" w:rsidRPr="0064404B">
        <w:rPr>
          <w:rFonts w:ascii="Palatino Linotype" w:hAnsi="Palatino Linotype" w:cs="Arial"/>
        </w:rPr>
        <w:t xml:space="preserve">fueron formulados </w:t>
      </w:r>
      <w:r w:rsidR="00E856C3" w:rsidRPr="0064404B">
        <w:rPr>
          <w:rFonts w:ascii="Palatino Linotype" w:hAnsi="Palatino Linotype" w:cs="Arial"/>
          <w:b/>
          <w:bCs/>
        </w:rPr>
        <w:t>5 -cinco-</w:t>
      </w:r>
      <w:r w:rsidR="00E856C3" w:rsidRPr="0064404B">
        <w:rPr>
          <w:rFonts w:ascii="Palatino Linotype" w:hAnsi="Palatino Linotype" w:cs="Arial"/>
        </w:rPr>
        <w:t xml:space="preserve"> requerimientos que giran entorno a los contratos de obra pública de los años </w:t>
      </w:r>
      <w:r w:rsidR="00E856C3" w:rsidRPr="0064404B">
        <w:rPr>
          <w:rFonts w:ascii="Palatino Linotype" w:hAnsi="Palatino Linotype" w:cs="Arial"/>
          <w:i/>
          <w:iCs/>
        </w:rPr>
        <w:t xml:space="preserve">“2014 y 2015”, </w:t>
      </w:r>
      <w:r w:rsidR="00E856C3" w:rsidRPr="0064404B">
        <w:rPr>
          <w:rFonts w:ascii="Palatino Linotype" w:hAnsi="Palatino Linotype" w:cs="Arial"/>
        </w:rPr>
        <w:t xml:space="preserve">es decir, aquellos celebrados durante el periodo comprendido del uno de enero de dos mil catorce al treinta y uno de diciembre de dos mil quince. </w:t>
      </w:r>
      <w:r w:rsidR="00321484" w:rsidRPr="0064404B">
        <w:rPr>
          <w:rFonts w:ascii="Palatino Linotype" w:hAnsi="Palatino Linotype" w:cs="Arial"/>
        </w:rPr>
        <w:t xml:space="preserve"> </w:t>
      </w:r>
    </w:p>
    <w:p w14:paraId="18929EF6" w14:textId="6CFFAA9A" w:rsidR="00E856C3" w:rsidRPr="0064404B" w:rsidRDefault="00E856C3" w:rsidP="00534B69">
      <w:pPr>
        <w:pStyle w:val="Prrafodelista"/>
        <w:numPr>
          <w:ilvl w:val="0"/>
          <w:numId w:val="4"/>
        </w:numPr>
        <w:autoSpaceDE w:val="0"/>
        <w:autoSpaceDN w:val="0"/>
        <w:adjustRightInd w:val="0"/>
        <w:spacing w:before="240" w:line="360" w:lineRule="auto"/>
        <w:jc w:val="both"/>
        <w:rPr>
          <w:rFonts w:ascii="Palatino Linotype" w:hAnsi="Palatino Linotype" w:cs="Arial"/>
          <w:b/>
          <w:bCs/>
          <w:i/>
          <w:iCs/>
          <w:sz w:val="20"/>
          <w:szCs w:val="20"/>
        </w:rPr>
      </w:pPr>
      <w:r w:rsidRPr="0064404B">
        <w:rPr>
          <w:rFonts w:ascii="Palatino Linotype" w:hAnsi="Palatino Linotype" w:cs="Arial"/>
        </w:rPr>
        <w:t xml:space="preserve">Que el extracto de la solicitud relativo a </w:t>
      </w:r>
      <w:r w:rsidRPr="0064404B">
        <w:rPr>
          <w:rFonts w:ascii="Palatino Linotype" w:hAnsi="Palatino Linotype" w:cs="Arial"/>
          <w:i/>
          <w:iCs/>
        </w:rPr>
        <w:t xml:space="preserve">“y cuanto deben y si ya fueron pagados” </w:t>
      </w:r>
      <w:r w:rsidRPr="0064404B">
        <w:rPr>
          <w:rFonts w:ascii="Palatino Linotype" w:hAnsi="Palatino Linotype" w:cs="Arial"/>
        </w:rPr>
        <w:t xml:space="preserve">se encuentra inmerso en el relativo a </w:t>
      </w:r>
      <w:r w:rsidRPr="0064404B">
        <w:rPr>
          <w:rFonts w:ascii="Palatino Linotype" w:hAnsi="Palatino Linotype" w:cs="Arial"/>
          <w:i/>
          <w:iCs/>
        </w:rPr>
        <w:t>“el estado financiero que guardan”</w:t>
      </w:r>
      <w:r w:rsidRPr="0064404B">
        <w:rPr>
          <w:rFonts w:ascii="Palatino Linotype" w:hAnsi="Palatino Linotype" w:cs="Arial"/>
        </w:rPr>
        <w:t xml:space="preserve">, por ello, se abordarán de forma sintetizada. </w:t>
      </w:r>
    </w:p>
    <w:p w14:paraId="0A3090DE" w14:textId="77777777" w:rsidR="00E856C3" w:rsidRPr="0064404B" w:rsidRDefault="00E856C3" w:rsidP="001534CF">
      <w:pPr>
        <w:spacing w:before="240" w:line="360" w:lineRule="auto"/>
        <w:jc w:val="both"/>
        <w:rPr>
          <w:rFonts w:ascii="Palatino Linotype" w:hAnsi="Palatino Linotype"/>
          <w:sz w:val="24"/>
          <w:szCs w:val="24"/>
        </w:rPr>
      </w:pPr>
    </w:p>
    <w:p w14:paraId="5C2A02B1" w14:textId="34570A3D" w:rsidR="001534CF" w:rsidRPr="0064404B" w:rsidRDefault="001534CF" w:rsidP="001534CF">
      <w:pPr>
        <w:spacing w:before="240" w:line="360" w:lineRule="auto"/>
        <w:jc w:val="both"/>
        <w:rPr>
          <w:rFonts w:ascii="Palatino Linotype" w:hAnsi="Palatino Linotype"/>
          <w:sz w:val="24"/>
          <w:szCs w:val="24"/>
        </w:rPr>
      </w:pPr>
      <w:r w:rsidRPr="0064404B">
        <w:rPr>
          <w:rFonts w:ascii="Palatino Linotype" w:hAnsi="Palatino Linotype"/>
          <w:sz w:val="24"/>
          <w:szCs w:val="24"/>
        </w:rPr>
        <w:t xml:space="preserve">Dichas precisiones, con fundamento en los artículos 13 y 181 cuarto párrafo de la Ley en materia, los cuales a la letra rezan: </w:t>
      </w:r>
    </w:p>
    <w:p w14:paraId="52B63351" w14:textId="77777777" w:rsidR="001534CF" w:rsidRPr="0064404B" w:rsidRDefault="001534CF" w:rsidP="001534CF">
      <w:pPr>
        <w:pStyle w:val="Citas"/>
      </w:pPr>
      <w:r w:rsidRPr="0064404B">
        <w:rPr>
          <w:b/>
          <w:bCs/>
        </w:rPr>
        <w:t xml:space="preserve">“Artículo 13. </w:t>
      </w:r>
      <w:r w:rsidRPr="0064404B">
        <w:t>El Instituto, en el ámbito de sus atribuciones, deberá suplir cualquier deficiencia para garantizar el ejercicio del derecho de acceso a la información.</w:t>
      </w:r>
    </w:p>
    <w:p w14:paraId="32DB7D4C" w14:textId="77777777" w:rsidR="001534CF" w:rsidRPr="0064404B" w:rsidRDefault="001534CF" w:rsidP="001534CF">
      <w:pPr>
        <w:pStyle w:val="Citas"/>
        <w:rPr>
          <w:b/>
        </w:rPr>
      </w:pPr>
      <w:r w:rsidRPr="0064404B">
        <w:rPr>
          <w:b/>
        </w:rPr>
        <w:t xml:space="preserve">Artículo 181. … </w:t>
      </w:r>
    </w:p>
    <w:p w14:paraId="2962A267" w14:textId="77777777" w:rsidR="001534CF" w:rsidRPr="0064404B" w:rsidRDefault="001534CF" w:rsidP="001534CF">
      <w:pPr>
        <w:pStyle w:val="Citas"/>
        <w:rPr>
          <w:b/>
        </w:rPr>
      </w:pPr>
      <w:r w:rsidRPr="0064404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64404B">
        <w:rPr>
          <w:b/>
        </w:rPr>
        <w:t>[Sic]</w:t>
      </w:r>
    </w:p>
    <w:p w14:paraId="47FD226F" w14:textId="77777777" w:rsidR="001534CF" w:rsidRPr="0064404B" w:rsidRDefault="001534CF" w:rsidP="001534CF">
      <w:pPr>
        <w:spacing w:before="240" w:line="360" w:lineRule="auto"/>
        <w:jc w:val="both"/>
        <w:rPr>
          <w:rFonts w:ascii="Palatino Linotype" w:hAnsi="Palatino Linotype"/>
          <w:sz w:val="24"/>
          <w:szCs w:val="24"/>
        </w:rPr>
      </w:pPr>
    </w:p>
    <w:p w14:paraId="551ECE12" w14:textId="188EC209" w:rsidR="001534CF" w:rsidRPr="0064404B" w:rsidRDefault="001534CF" w:rsidP="001534CF">
      <w:pPr>
        <w:spacing w:before="240" w:line="360" w:lineRule="auto"/>
        <w:jc w:val="both"/>
        <w:rPr>
          <w:rFonts w:ascii="Palatino Linotype" w:hAnsi="Palatino Linotype"/>
          <w:sz w:val="24"/>
          <w:szCs w:val="24"/>
        </w:rPr>
      </w:pPr>
      <w:r w:rsidRPr="0064404B">
        <w:rPr>
          <w:rFonts w:ascii="Palatino Linotype" w:hAnsi="Palatino Linotype"/>
          <w:sz w:val="24"/>
          <w:szCs w:val="24"/>
        </w:rPr>
        <w:t xml:space="preserve">Bajo estas líneas argumentativas, al retomar y delimitar los requerimientos formulados por el ahora </w:t>
      </w:r>
      <w:r w:rsidRPr="0064404B">
        <w:rPr>
          <w:rFonts w:ascii="Palatino Linotype" w:hAnsi="Palatino Linotype"/>
          <w:b/>
          <w:bCs/>
          <w:sz w:val="24"/>
          <w:szCs w:val="24"/>
        </w:rPr>
        <w:t xml:space="preserve">Recurrente, </w:t>
      </w:r>
      <w:r w:rsidRPr="0064404B">
        <w:rPr>
          <w:rFonts w:ascii="Palatino Linotype" w:hAnsi="Palatino Linotype"/>
          <w:sz w:val="24"/>
          <w:szCs w:val="24"/>
        </w:rPr>
        <w:t xml:space="preserve">de manera objetiva se precisa que versa en conocer la siguiente información: </w:t>
      </w:r>
    </w:p>
    <w:p w14:paraId="2E9E120D" w14:textId="77777777" w:rsidR="000F7118" w:rsidRPr="0064404B" w:rsidRDefault="000F7118" w:rsidP="00534B69">
      <w:pPr>
        <w:pStyle w:val="Prrafodelista"/>
        <w:numPr>
          <w:ilvl w:val="0"/>
          <w:numId w:val="3"/>
        </w:numPr>
        <w:autoSpaceDE w:val="0"/>
        <w:autoSpaceDN w:val="0"/>
        <w:adjustRightInd w:val="0"/>
        <w:spacing w:before="240" w:line="360" w:lineRule="auto"/>
        <w:jc w:val="both"/>
        <w:rPr>
          <w:rFonts w:ascii="Palatino Linotype" w:hAnsi="Palatino Linotype" w:cs="Arial"/>
          <w:i/>
          <w:iCs/>
        </w:rPr>
      </w:pPr>
      <w:bookmarkStart w:id="1" w:name="_Hlk194315442"/>
      <w:r w:rsidRPr="0064404B">
        <w:rPr>
          <w:rFonts w:ascii="Palatino Linotype" w:hAnsi="Palatino Linotype" w:cs="Arial"/>
        </w:rPr>
        <w:t xml:space="preserve">El o los documentos donde conste el estado financiero que guardan, monto y número, respecto de los contratos de obra pública celebrados por el Ayuntamiento de Naucalpan, del periodo comprendido del uno de enero de dos mil catorce al treinta y uno de diciembre de dos mil quince. </w:t>
      </w:r>
    </w:p>
    <w:p w14:paraId="09E12649" w14:textId="77777777" w:rsidR="000F7118" w:rsidRPr="0064404B" w:rsidRDefault="000F7118" w:rsidP="000F7118">
      <w:pPr>
        <w:pStyle w:val="Prrafodelista"/>
        <w:autoSpaceDE w:val="0"/>
        <w:autoSpaceDN w:val="0"/>
        <w:adjustRightInd w:val="0"/>
        <w:spacing w:before="240" w:line="360" w:lineRule="auto"/>
        <w:ind w:left="720"/>
        <w:jc w:val="both"/>
        <w:rPr>
          <w:rFonts w:ascii="Palatino Linotype" w:hAnsi="Palatino Linotype" w:cs="Arial"/>
        </w:rPr>
      </w:pPr>
    </w:p>
    <w:bookmarkEnd w:id="1"/>
    <w:p w14:paraId="3EF4F0E9" w14:textId="77777777" w:rsidR="00CE3EB5" w:rsidRPr="0064404B" w:rsidRDefault="00CE3EB5" w:rsidP="00E04DB7">
      <w:pPr>
        <w:spacing w:after="0" w:line="360" w:lineRule="auto"/>
        <w:jc w:val="both"/>
        <w:rPr>
          <w:rFonts w:ascii="Palatino Linotype" w:hAnsi="Palatino Linotype" w:cs="Arial"/>
          <w:sz w:val="24"/>
          <w:szCs w:val="24"/>
        </w:rPr>
      </w:pPr>
    </w:p>
    <w:p w14:paraId="079F5378" w14:textId="6C7FBC5A" w:rsidR="00E04DB7" w:rsidRPr="0064404B" w:rsidRDefault="00E04DB7" w:rsidP="00E04DB7">
      <w:pPr>
        <w:spacing w:after="0" w:line="360" w:lineRule="auto"/>
        <w:jc w:val="both"/>
        <w:rPr>
          <w:rFonts w:ascii="Palatino Linotype" w:hAnsi="Palatino Linotype" w:cs="Arial"/>
          <w:noProof/>
          <w:color w:val="000000"/>
          <w:sz w:val="24"/>
          <w:lang w:eastAsia="es-MX"/>
        </w:rPr>
      </w:pPr>
      <w:r w:rsidRPr="0064404B">
        <w:rPr>
          <w:rFonts w:ascii="Palatino Linotype" w:hAnsi="Palatino Linotype" w:cs="Arial"/>
          <w:sz w:val="24"/>
          <w:szCs w:val="24"/>
        </w:rPr>
        <w:t xml:space="preserve">Bajo este contexto, a efecto de identificar las unidades administrativas competentes se traen a colación los </w:t>
      </w:r>
      <w:r w:rsidRPr="0064404B">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r w:rsidR="00321484" w:rsidRPr="0064404B">
        <w:rPr>
          <w:rFonts w:ascii="Palatino Linotype" w:hAnsi="Palatino Linotype" w:cs="Arial"/>
          <w:noProof/>
          <w:color w:val="000000"/>
          <w:sz w:val="24"/>
          <w:lang w:eastAsia="es-MX"/>
        </w:rPr>
        <w:t xml:space="preserve"> </w:t>
      </w:r>
    </w:p>
    <w:p w14:paraId="0651E25D" w14:textId="77777777" w:rsidR="00E04DB7" w:rsidRPr="0064404B" w:rsidRDefault="00E04DB7" w:rsidP="00E04DB7">
      <w:pPr>
        <w:tabs>
          <w:tab w:val="left" w:pos="709"/>
        </w:tabs>
        <w:spacing w:before="240" w:line="360" w:lineRule="auto"/>
        <w:ind w:left="851" w:right="851"/>
        <w:jc w:val="both"/>
        <w:rPr>
          <w:rFonts w:ascii="Palatino Linotype" w:hAnsi="Palatino Linotype"/>
          <w:i/>
        </w:rPr>
      </w:pPr>
      <w:r w:rsidRPr="0064404B">
        <w:rPr>
          <w:rFonts w:ascii="Palatino Linotype" w:hAnsi="Palatino Linotype"/>
          <w:i/>
        </w:rPr>
        <w:t>“Artículo 24. Para el cumplimiento de los objetivos de esta Ley, los sujetos obligados deberán cumplir con las siguientes obligaciones, según corresponda, de acuerdo a su naturaleza:</w:t>
      </w:r>
    </w:p>
    <w:p w14:paraId="19FB59A3" w14:textId="5B3876B0" w:rsidR="006A76AB" w:rsidRPr="0064404B" w:rsidRDefault="006A76AB" w:rsidP="00E04DB7">
      <w:pPr>
        <w:tabs>
          <w:tab w:val="left" w:pos="709"/>
        </w:tabs>
        <w:spacing w:before="240" w:line="360" w:lineRule="auto"/>
        <w:ind w:left="851" w:right="851"/>
        <w:jc w:val="both"/>
        <w:rPr>
          <w:rFonts w:ascii="Palatino Linotype" w:hAnsi="Palatino Linotype"/>
          <w:i/>
        </w:rPr>
      </w:pPr>
      <w:r w:rsidRPr="0064404B">
        <w:rPr>
          <w:rFonts w:ascii="Palatino Linotype" w:hAnsi="Palatino Linotype"/>
          <w:i/>
        </w:rPr>
        <w:t>(…)</w:t>
      </w:r>
    </w:p>
    <w:p w14:paraId="0E65AD01" w14:textId="77777777" w:rsidR="00E04DB7" w:rsidRPr="0064404B" w:rsidRDefault="00E04DB7" w:rsidP="00E04DB7">
      <w:pPr>
        <w:tabs>
          <w:tab w:val="left" w:pos="709"/>
        </w:tabs>
        <w:spacing w:before="240" w:line="360" w:lineRule="auto"/>
        <w:ind w:left="851" w:right="851"/>
        <w:jc w:val="both"/>
        <w:rPr>
          <w:rFonts w:ascii="Palatino Linotype" w:hAnsi="Palatino Linotype"/>
          <w:i/>
        </w:rPr>
      </w:pPr>
      <w:r w:rsidRPr="0064404B">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6DAAC113" w14:textId="77777777" w:rsidR="00E04DB7" w:rsidRPr="0064404B" w:rsidRDefault="00E04DB7" w:rsidP="00E04DB7">
      <w:pPr>
        <w:tabs>
          <w:tab w:val="left" w:pos="709"/>
        </w:tabs>
        <w:spacing w:before="240" w:line="360" w:lineRule="auto"/>
        <w:ind w:left="851" w:right="851"/>
        <w:jc w:val="both"/>
        <w:rPr>
          <w:rFonts w:ascii="Palatino Linotype" w:hAnsi="Palatino Linotype"/>
          <w:b/>
          <w:i/>
        </w:rPr>
      </w:pPr>
      <w:r w:rsidRPr="0064404B">
        <w:rPr>
          <w:rFonts w:ascii="Palatino Linotype" w:hAnsi="Palatino Linotype"/>
          <w:b/>
          <w:i/>
        </w:rPr>
        <w:t>(…)</w:t>
      </w:r>
    </w:p>
    <w:p w14:paraId="4ABDDB34" w14:textId="77777777" w:rsidR="00E04DB7" w:rsidRPr="0064404B" w:rsidRDefault="00E04DB7" w:rsidP="00E04DB7">
      <w:pPr>
        <w:tabs>
          <w:tab w:val="left" w:pos="709"/>
        </w:tabs>
        <w:spacing w:before="240" w:line="360" w:lineRule="auto"/>
        <w:ind w:left="851" w:right="851"/>
        <w:jc w:val="both"/>
        <w:rPr>
          <w:rFonts w:ascii="Palatino Linotype" w:hAnsi="Palatino Linotype"/>
          <w:i/>
        </w:rPr>
      </w:pPr>
      <w:r w:rsidRPr="0064404B">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7D96AD9" w14:textId="4684612D" w:rsidR="006A76AB" w:rsidRPr="0064404B" w:rsidRDefault="006A76AB" w:rsidP="00E04DB7">
      <w:pPr>
        <w:pStyle w:val="INFOEM0"/>
      </w:pPr>
      <w:r w:rsidRPr="0064404B">
        <w:t>(…)</w:t>
      </w:r>
    </w:p>
    <w:p w14:paraId="708F49E8" w14:textId="4EC5F6DA" w:rsidR="00E04DB7" w:rsidRPr="0064404B" w:rsidRDefault="00E04DB7" w:rsidP="00E04DB7">
      <w:pPr>
        <w:pStyle w:val="INFOEM0"/>
      </w:pPr>
      <w:r w:rsidRPr="0064404B">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44133853" w14:textId="75DCDC04" w:rsidR="00E04DB7" w:rsidRPr="0064404B" w:rsidRDefault="00E04DB7" w:rsidP="00E04DB7">
      <w:pPr>
        <w:pStyle w:val="INFOEM0"/>
        <w:rPr>
          <w:b/>
        </w:rPr>
      </w:pPr>
      <w:r w:rsidRPr="0064404B">
        <w:t xml:space="preserve"> (…)” </w:t>
      </w:r>
      <w:r w:rsidRPr="0064404B">
        <w:rPr>
          <w:b/>
        </w:rPr>
        <w:t xml:space="preserve">[Sic] </w:t>
      </w:r>
    </w:p>
    <w:p w14:paraId="3064A97C" w14:textId="7334F5C6" w:rsidR="00E04DB7" w:rsidRPr="0064404B" w:rsidRDefault="00E04DB7" w:rsidP="00E04DB7">
      <w:pPr>
        <w:pStyle w:val="Sinespaciado"/>
        <w:spacing w:line="360" w:lineRule="auto"/>
        <w:jc w:val="both"/>
        <w:rPr>
          <w:rFonts w:ascii="Palatino Linotype" w:hAnsi="Palatino Linotype"/>
        </w:rPr>
      </w:pPr>
    </w:p>
    <w:p w14:paraId="485AB4C1" w14:textId="41D99E40" w:rsidR="00FE31EB" w:rsidRPr="0064404B" w:rsidRDefault="00AB3CCD" w:rsidP="00125647">
      <w:pPr>
        <w:pStyle w:val="Sinespaciado"/>
        <w:spacing w:line="360" w:lineRule="auto"/>
        <w:jc w:val="both"/>
        <w:rPr>
          <w:rFonts w:ascii="Palatino Linotype" w:hAnsi="Palatino Linotype" w:cs="Arial"/>
          <w:b/>
          <w:bCs/>
          <w:noProof/>
          <w:lang w:eastAsia="es-MX"/>
        </w:rPr>
      </w:pPr>
      <w:r w:rsidRPr="0064404B">
        <w:rPr>
          <w:rFonts w:ascii="Palatino Linotype" w:hAnsi="Palatino Linotype"/>
        </w:rPr>
        <w:t xml:space="preserve">Resulta oportuno traer a colación las siguientes imágenes ilustrativas, correspondientes al organigrama del </w:t>
      </w:r>
      <w:r w:rsidRPr="0064404B">
        <w:rPr>
          <w:rFonts w:ascii="Palatino Linotype" w:hAnsi="Palatino Linotype"/>
          <w:b/>
          <w:bCs/>
        </w:rPr>
        <w:t>Sujeto Obligado</w:t>
      </w:r>
      <w:r w:rsidR="00A35411" w:rsidRPr="0064404B">
        <w:rPr>
          <w:rFonts w:ascii="Palatino Linotype" w:hAnsi="Palatino Linotype"/>
          <w:b/>
          <w:bCs/>
        </w:rPr>
        <w:t>:</w:t>
      </w:r>
    </w:p>
    <w:p w14:paraId="4015F789" w14:textId="10A2974D" w:rsidR="00FE31EB" w:rsidRPr="0064404B" w:rsidRDefault="00FE31EB" w:rsidP="008028E9">
      <w:pPr>
        <w:autoSpaceDE w:val="0"/>
        <w:autoSpaceDN w:val="0"/>
        <w:adjustRightInd w:val="0"/>
        <w:spacing w:before="240" w:line="360" w:lineRule="auto"/>
        <w:jc w:val="both"/>
        <w:rPr>
          <w:rFonts w:ascii="Palatino Linotype" w:hAnsi="Palatino Linotype" w:cs="Arial"/>
          <w:b/>
          <w:bCs/>
          <w:noProof/>
          <w:lang w:eastAsia="es-MX"/>
        </w:rPr>
      </w:pPr>
      <w:r w:rsidRPr="0064404B">
        <w:rPr>
          <w:rFonts w:ascii="Palatino Linotype" w:hAnsi="Palatino Linotype" w:cs="Arial"/>
          <w:b/>
          <w:bCs/>
          <w:noProof/>
          <w:lang w:val="es-ES" w:eastAsia="es-ES"/>
        </w:rPr>
        <w:drawing>
          <wp:anchor distT="0" distB="0" distL="114300" distR="114300" simplePos="0" relativeHeight="251867123" behindDoc="0" locked="0" layoutInCell="1" allowOverlap="1" wp14:anchorId="2EEA86B5" wp14:editId="55FD00F8">
            <wp:simplePos x="0" y="0"/>
            <wp:positionH relativeFrom="page">
              <wp:align>center</wp:align>
            </wp:positionH>
            <wp:positionV relativeFrom="paragraph">
              <wp:posOffset>19050</wp:posOffset>
            </wp:positionV>
            <wp:extent cx="5759450" cy="7328535"/>
            <wp:effectExtent l="19050" t="19050" r="12700" b="24765"/>
            <wp:wrapThrough wrapText="bothSides">
              <wp:wrapPolygon edited="0">
                <wp:start x="-71" y="-56"/>
                <wp:lineTo x="-71" y="21617"/>
                <wp:lineTo x="21576" y="21617"/>
                <wp:lineTo x="21576" y="-56"/>
                <wp:lineTo x="-71" y="-56"/>
              </wp:wrapPolygon>
            </wp:wrapThrough>
            <wp:docPr id="3752479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3285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B97E61B" w14:textId="2852CE7F" w:rsidR="00FE31EB" w:rsidRPr="0064404B" w:rsidRDefault="00FE31EB" w:rsidP="008028E9">
      <w:pPr>
        <w:autoSpaceDE w:val="0"/>
        <w:autoSpaceDN w:val="0"/>
        <w:adjustRightInd w:val="0"/>
        <w:spacing w:before="240" w:line="360" w:lineRule="auto"/>
        <w:jc w:val="both"/>
        <w:rPr>
          <w:rFonts w:ascii="Palatino Linotype" w:hAnsi="Palatino Linotype" w:cs="Arial"/>
          <w:b/>
          <w:bCs/>
          <w:noProof/>
          <w:lang w:eastAsia="es-MX"/>
        </w:rPr>
      </w:pPr>
      <w:r w:rsidRPr="0064404B">
        <w:rPr>
          <w:rFonts w:ascii="Palatino Linotype" w:hAnsi="Palatino Linotype" w:cs="Arial"/>
          <w:noProof/>
          <w:sz w:val="24"/>
          <w:szCs w:val="24"/>
          <w:lang w:val="es-ES" w:eastAsia="es-ES"/>
        </w:rPr>
        <w:drawing>
          <wp:anchor distT="0" distB="0" distL="114300" distR="114300" simplePos="0" relativeHeight="251869171" behindDoc="0" locked="0" layoutInCell="1" allowOverlap="1" wp14:anchorId="088ABAAC" wp14:editId="5B961A87">
            <wp:simplePos x="0" y="0"/>
            <wp:positionH relativeFrom="page">
              <wp:align>center</wp:align>
            </wp:positionH>
            <wp:positionV relativeFrom="paragraph">
              <wp:posOffset>29300</wp:posOffset>
            </wp:positionV>
            <wp:extent cx="1454150" cy="1546860"/>
            <wp:effectExtent l="19050" t="19050" r="12700" b="15240"/>
            <wp:wrapThrough wrapText="bothSides">
              <wp:wrapPolygon edited="0">
                <wp:start x="-283" y="-266"/>
                <wp:lineTo x="-283" y="21547"/>
                <wp:lineTo x="21506" y="21547"/>
                <wp:lineTo x="21506" y="-266"/>
                <wp:lineTo x="-283" y="-266"/>
              </wp:wrapPolygon>
            </wp:wrapThrough>
            <wp:docPr id="103445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150" cy="1546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816DE7A" w14:textId="2A701142" w:rsidR="00FE31EB" w:rsidRPr="0064404B" w:rsidRDefault="00FE31EB" w:rsidP="008028E9">
      <w:pPr>
        <w:autoSpaceDE w:val="0"/>
        <w:autoSpaceDN w:val="0"/>
        <w:adjustRightInd w:val="0"/>
        <w:spacing w:before="240" w:line="360" w:lineRule="auto"/>
        <w:jc w:val="both"/>
        <w:rPr>
          <w:rFonts w:ascii="Palatino Linotype" w:hAnsi="Palatino Linotype" w:cs="Arial"/>
          <w:b/>
          <w:bCs/>
          <w:noProof/>
          <w:lang w:eastAsia="es-MX"/>
        </w:rPr>
      </w:pPr>
    </w:p>
    <w:p w14:paraId="68D7531D" w14:textId="77777777" w:rsidR="00FE31EB" w:rsidRPr="0064404B" w:rsidRDefault="00FE31EB" w:rsidP="008028E9">
      <w:pPr>
        <w:autoSpaceDE w:val="0"/>
        <w:autoSpaceDN w:val="0"/>
        <w:adjustRightInd w:val="0"/>
        <w:spacing w:before="240" w:line="360" w:lineRule="auto"/>
        <w:jc w:val="both"/>
        <w:rPr>
          <w:rFonts w:ascii="Palatino Linotype" w:hAnsi="Palatino Linotype" w:cs="Arial"/>
          <w:b/>
          <w:bCs/>
          <w:noProof/>
          <w:lang w:eastAsia="es-MX"/>
        </w:rPr>
      </w:pPr>
    </w:p>
    <w:p w14:paraId="369E8CB5" w14:textId="77777777" w:rsidR="00FE31EB" w:rsidRPr="0064404B" w:rsidRDefault="00FE31EB" w:rsidP="008028E9">
      <w:pPr>
        <w:autoSpaceDE w:val="0"/>
        <w:autoSpaceDN w:val="0"/>
        <w:adjustRightInd w:val="0"/>
        <w:spacing w:before="240" w:line="360" w:lineRule="auto"/>
        <w:jc w:val="both"/>
        <w:rPr>
          <w:rFonts w:ascii="Palatino Linotype" w:hAnsi="Palatino Linotype" w:cs="Arial"/>
          <w:b/>
          <w:bCs/>
          <w:noProof/>
          <w:lang w:eastAsia="es-MX"/>
        </w:rPr>
      </w:pPr>
    </w:p>
    <w:p w14:paraId="4BA7D7B1" w14:textId="77777777" w:rsidR="00FE31EB" w:rsidRPr="0064404B" w:rsidRDefault="00FE31EB" w:rsidP="008028E9">
      <w:pPr>
        <w:autoSpaceDE w:val="0"/>
        <w:autoSpaceDN w:val="0"/>
        <w:adjustRightInd w:val="0"/>
        <w:spacing w:before="240" w:line="360" w:lineRule="auto"/>
        <w:jc w:val="both"/>
        <w:rPr>
          <w:rFonts w:ascii="Palatino Linotype" w:hAnsi="Palatino Linotype" w:cs="Arial"/>
          <w:b/>
          <w:bCs/>
          <w:noProof/>
          <w:lang w:eastAsia="es-MX"/>
        </w:rPr>
      </w:pPr>
    </w:p>
    <w:p w14:paraId="32C56B64" w14:textId="7A237F2A" w:rsidR="001C5B6E" w:rsidRPr="0064404B" w:rsidRDefault="001810AA" w:rsidP="001810AA">
      <w:pPr>
        <w:autoSpaceDE w:val="0"/>
        <w:autoSpaceDN w:val="0"/>
        <w:adjustRightInd w:val="0"/>
        <w:spacing w:before="240" w:line="360" w:lineRule="auto"/>
        <w:jc w:val="both"/>
        <w:rPr>
          <w:rFonts w:ascii="Palatino Linotype" w:hAnsi="Palatino Linotype"/>
          <w:sz w:val="24"/>
          <w:szCs w:val="24"/>
        </w:rPr>
      </w:pPr>
      <w:r w:rsidRPr="0064404B">
        <w:rPr>
          <w:rFonts w:ascii="Palatino Linotype" w:hAnsi="Palatino Linotype" w:cs="Arial"/>
          <w:noProof/>
          <w:sz w:val="24"/>
          <w:szCs w:val="24"/>
        </w:rPr>
        <w:t>D</w:t>
      </w:r>
      <w:r w:rsidR="00E04DB7" w:rsidRPr="0064404B">
        <w:rPr>
          <w:rFonts w:ascii="Palatino Linotype" w:hAnsi="Palatino Linotype"/>
          <w:sz w:val="24"/>
          <w:szCs w:val="24"/>
        </w:rPr>
        <w:t xml:space="preserve">e lo expuesto con anterioridad, se desprende que </w:t>
      </w:r>
      <w:r w:rsidR="00E04DB7" w:rsidRPr="0064404B">
        <w:rPr>
          <w:rFonts w:ascii="Palatino Linotype" w:hAnsi="Palatino Linotype"/>
          <w:b/>
          <w:bCs/>
          <w:sz w:val="24"/>
          <w:szCs w:val="24"/>
        </w:rPr>
        <w:t xml:space="preserve">El Sujeto Obligado </w:t>
      </w:r>
      <w:r w:rsidR="00E04DB7" w:rsidRPr="0064404B">
        <w:rPr>
          <w:rFonts w:ascii="Palatino Linotype" w:hAnsi="Palatino Linotype"/>
          <w:sz w:val="24"/>
          <w:szCs w:val="24"/>
        </w:rPr>
        <w:t xml:space="preserve">se auxilia de </w:t>
      </w:r>
      <w:r w:rsidR="001C5B6E" w:rsidRPr="0064404B">
        <w:rPr>
          <w:rFonts w:ascii="Palatino Linotype" w:hAnsi="Palatino Linotype"/>
          <w:sz w:val="24"/>
          <w:szCs w:val="24"/>
        </w:rPr>
        <w:t xml:space="preserve">7 Dependencias administrativas y 151 unidades administrativas, resultando de nuestro más amplio interés </w:t>
      </w:r>
      <w:r w:rsidR="00FE31EB" w:rsidRPr="0064404B">
        <w:rPr>
          <w:rFonts w:ascii="Palatino Linotype" w:hAnsi="Palatino Linotype"/>
          <w:sz w:val="24"/>
          <w:szCs w:val="24"/>
        </w:rPr>
        <w:t>el</w:t>
      </w:r>
      <w:r w:rsidR="00092C14" w:rsidRPr="0064404B">
        <w:rPr>
          <w:rFonts w:ascii="Palatino Linotype" w:hAnsi="Palatino Linotype"/>
          <w:sz w:val="24"/>
          <w:szCs w:val="24"/>
        </w:rPr>
        <w:t xml:space="preserve"> Órgano Superior de Fiscalización del Estado de México. </w:t>
      </w:r>
    </w:p>
    <w:p w14:paraId="7A8EC369" w14:textId="58973A23" w:rsidR="003F61C4" w:rsidRPr="0064404B" w:rsidRDefault="001C5B6E" w:rsidP="001810AA">
      <w:pPr>
        <w:autoSpaceDE w:val="0"/>
        <w:autoSpaceDN w:val="0"/>
        <w:adjustRightInd w:val="0"/>
        <w:spacing w:before="240" w:line="360" w:lineRule="auto"/>
        <w:jc w:val="both"/>
        <w:rPr>
          <w:rFonts w:ascii="Palatino Linotype" w:hAnsi="Palatino Linotype"/>
          <w:sz w:val="24"/>
          <w:szCs w:val="24"/>
        </w:rPr>
      </w:pPr>
      <w:r w:rsidRPr="0064404B">
        <w:rPr>
          <w:rFonts w:ascii="Palatino Linotype" w:hAnsi="Palatino Linotype"/>
          <w:sz w:val="24"/>
          <w:szCs w:val="24"/>
        </w:rPr>
        <w:t xml:space="preserve">En este tenor, para delimitar las fronteras competenciales de las unidades administrativas en cita, resulta oportuno traer a colación </w:t>
      </w:r>
      <w:r w:rsidR="004E77E1" w:rsidRPr="0064404B">
        <w:rPr>
          <w:rFonts w:ascii="Palatino Linotype" w:hAnsi="Palatino Linotype"/>
          <w:sz w:val="24"/>
          <w:szCs w:val="24"/>
        </w:rPr>
        <w:t xml:space="preserve">los artículos </w:t>
      </w:r>
      <w:r w:rsidR="003F61C4" w:rsidRPr="0064404B">
        <w:rPr>
          <w:rFonts w:ascii="Palatino Linotype" w:hAnsi="Palatino Linotype"/>
          <w:sz w:val="24"/>
          <w:szCs w:val="24"/>
        </w:rPr>
        <w:t xml:space="preserve">13ª y 148 del Reglamento del Poder Legislativo del Estado Libre y Soberano de México; así como el numeral 33 del Reglamento Interior del Órgano Superior de Fiscalización del Estado de México, porciones normativas que disponen a la literalidad lo siguiente: </w:t>
      </w:r>
    </w:p>
    <w:p w14:paraId="2EB3FC01" w14:textId="0E1A45A9" w:rsidR="009178EF" w:rsidRPr="0064404B" w:rsidRDefault="004E77E1" w:rsidP="004E77E1">
      <w:pPr>
        <w:pStyle w:val="Citas"/>
        <w:jc w:val="center"/>
        <w:rPr>
          <w:b/>
          <w:bCs/>
          <w:i w:val="0"/>
          <w:iCs/>
        </w:rPr>
      </w:pPr>
      <w:r w:rsidRPr="0064404B">
        <w:rPr>
          <w:b/>
          <w:bCs/>
          <w:i w:val="0"/>
          <w:iCs/>
        </w:rPr>
        <w:t>REGLAMENTO DEL PODER LEGISLATIVO DEL ESTADO LIBRE Y SOBERANO DE MÉXICO</w:t>
      </w:r>
    </w:p>
    <w:p w14:paraId="24A2EE6D" w14:textId="1AB00C8C" w:rsidR="00AC5196" w:rsidRPr="0064404B" w:rsidRDefault="00AC5196" w:rsidP="00AC5196">
      <w:pPr>
        <w:pStyle w:val="Citas"/>
      </w:pPr>
      <w:r w:rsidRPr="0064404B">
        <w:t>“Artículo 13 A.- Las facultades de las Comisiones Legislativas de manera enunciativa y no limitativa, son las siguientes:</w:t>
      </w:r>
    </w:p>
    <w:p w14:paraId="569B7E49" w14:textId="6D403E1E" w:rsidR="00AC5196" w:rsidRPr="0064404B" w:rsidRDefault="00AC5196" w:rsidP="00AC5196">
      <w:pPr>
        <w:pStyle w:val="Citas"/>
      </w:pPr>
      <w:r w:rsidRPr="0064404B">
        <w:t>(…)</w:t>
      </w:r>
    </w:p>
    <w:p w14:paraId="558924BD" w14:textId="6BE18A16" w:rsidR="00AC5196" w:rsidRPr="0064404B" w:rsidRDefault="00AC5196" w:rsidP="00AC5196">
      <w:pPr>
        <w:pStyle w:val="Citas"/>
      </w:pPr>
      <w:r w:rsidRPr="0064404B">
        <w:t>XX. La Comisión de Vigilancia del Órgano Superior de Fiscalización, conocerá de los temas siguientes:</w:t>
      </w:r>
    </w:p>
    <w:p w14:paraId="0953515D" w14:textId="77777777" w:rsidR="00AC5196" w:rsidRPr="0064404B" w:rsidRDefault="00AC5196" w:rsidP="00AC5196">
      <w:pPr>
        <w:pStyle w:val="Citas"/>
      </w:pPr>
      <w:r w:rsidRPr="0064404B">
        <w:t>a) De la Ley de Fiscalización Superior del Estado de México;</w:t>
      </w:r>
    </w:p>
    <w:p w14:paraId="5C650312" w14:textId="77777777" w:rsidR="00AC5196" w:rsidRPr="0064404B" w:rsidRDefault="00AC5196" w:rsidP="00AC5196">
      <w:pPr>
        <w:pStyle w:val="Citas"/>
      </w:pPr>
      <w:r w:rsidRPr="0064404B">
        <w:t>b) De evaluación del Órgano Superior de Fiscalización del Estado;</w:t>
      </w:r>
    </w:p>
    <w:p w14:paraId="2A33C2C6" w14:textId="77777777" w:rsidR="00AC5196" w:rsidRPr="0064404B" w:rsidRDefault="00AC5196" w:rsidP="00AC5196">
      <w:pPr>
        <w:pStyle w:val="Citas"/>
      </w:pPr>
      <w:r w:rsidRPr="0064404B">
        <w:t>c) Del dictamen relativo a la terna para ocupar el cargo de Auditor Superior del Estado;</w:t>
      </w:r>
    </w:p>
    <w:p w14:paraId="1EC3FBBA" w14:textId="77777777" w:rsidR="00AC5196" w:rsidRPr="0064404B" w:rsidRDefault="00AC5196" w:rsidP="00AC5196">
      <w:pPr>
        <w:pStyle w:val="Citas"/>
      </w:pPr>
      <w:r w:rsidRPr="0064404B">
        <w:t>d) Los relacionados con la licencia, renuncia o remoción del Auditor Superior del Estado; y</w:t>
      </w:r>
    </w:p>
    <w:p w14:paraId="1BAD7975" w14:textId="53BF8A24" w:rsidR="00AC5196" w:rsidRPr="0064404B" w:rsidRDefault="00AC5196" w:rsidP="00AC5196">
      <w:pPr>
        <w:pStyle w:val="Citas"/>
        <w:rPr>
          <w:b/>
          <w:bCs/>
          <w:u w:val="single"/>
        </w:rPr>
      </w:pPr>
      <w:r w:rsidRPr="0064404B">
        <w:rPr>
          <w:b/>
          <w:bCs/>
          <w:u w:val="single"/>
        </w:rPr>
        <w:t>e) Revisar, analizar, aclarar y discutir, los documentos e informes que le sean entregados por el Órgano Superior de Fiscalización;</w:t>
      </w:r>
    </w:p>
    <w:p w14:paraId="65103C80" w14:textId="4A015E3C" w:rsidR="00AC5196" w:rsidRPr="0064404B" w:rsidRDefault="00AC5196" w:rsidP="00AC5196">
      <w:pPr>
        <w:pStyle w:val="Citas"/>
      </w:pPr>
      <w:r w:rsidRPr="0064404B">
        <w:t>f) Los asuntos que se le asignen en la Legislatura, en la Diputación Permanente o en la Junta de Coordinación Política.</w:t>
      </w:r>
    </w:p>
    <w:p w14:paraId="7AE185DC" w14:textId="2E657055" w:rsidR="00794930" w:rsidRPr="0064404B" w:rsidRDefault="00AC5196" w:rsidP="00AC5196">
      <w:pPr>
        <w:pStyle w:val="Citas"/>
        <w:rPr>
          <w:b/>
          <w:bCs/>
        </w:rPr>
      </w:pPr>
      <w:r w:rsidRPr="0064404B">
        <w:t>Artículo 148.- El Organo Superior de Fiscalización del Estado de México, se regirá por lo dispuesto en su ley y su reglamento interior</w:t>
      </w:r>
      <w:r w:rsidR="003F61C4" w:rsidRPr="0064404B">
        <w:t xml:space="preserve">” </w:t>
      </w:r>
      <w:r w:rsidR="003F61C4" w:rsidRPr="0064404B">
        <w:rPr>
          <w:b/>
          <w:bCs/>
        </w:rPr>
        <w:t>(Sic)</w:t>
      </w:r>
    </w:p>
    <w:p w14:paraId="06621B62" w14:textId="77777777" w:rsidR="00AC5196" w:rsidRPr="0064404B" w:rsidRDefault="00AC5196" w:rsidP="00092C14">
      <w:pPr>
        <w:pStyle w:val="Citas"/>
        <w:rPr>
          <w:b/>
          <w:bCs/>
          <w:i w:val="0"/>
          <w:iCs/>
        </w:rPr>
      </w:pPr>
    </w:p>
    <w:p w14:paraId="0C813C21" w14:textId="467B61C2" w:rsidR="00092C14" w:rsidRPr="0064404B" w:rsidRDefault="00092C14" w:rsidP="00092C14">
      <w:pPr>
        <w:pStyle w:val="Citas"/>
        <w:rPr>
          <w:b/>
          <w:bCs/>
          <w:i w:val="0"/>
          <w:iCs/>
        </w:rPr>
      </w:pPr>
      <w:r w:rsidRPr="0064404B">
        <w:rPr>
          <w:b/>
          <w:bCs/>
          <w:i w:val="0"/>
          <w:iCs/>
        </w:rPr>
        <w:t xml:space="preserve">REGLAMENTO INTERIOR DEL ÓRGANO SUPERIOR DE FISCALIZACIÓN DEL ESTADO DE MÉXICO </w:t>
      </w:r>
    </w:p>
    <w:p w14:paraId="55926C96" w14:textId="1FC4FEAF" w:rsidR="00AC5196" w:rsidRPr="0064404B" w:rsidRDefault="003F61C4" w:rsidP="003F61C4">
      <w:pPr>
        <w:pStyle w:val="Citas"/>
      </w:pPr>
      <w:r w:rsidRPr="0064404B">
        <w:t>“</w:t>
      </w:r>
      <w:r w:rsidR="00AC5196" w:rsidRPr="0064404B">
        <w:t>Artículo 33. Los departamentos de las direcciones de Revisión de Información de Entidades</w:t>
      </w:r>
    </w:p>
    <w:p w14:paraId="6D5CA16A" w14:textId="77777777" w:rsidR="00AC5196" w:rsidRPr="0064404B" w:rsidRDefault="00AC5196" w:rsidP="003F61C4">
      <w:pPr>
        <w:pStyle w:val="Citas"/>
      </w:pPr>
      <w:r w:rsidRPr="0064404B">
        <w:t>Fiscalizables “A” y “B” quedan adscritos de la siguiente manera:</w:t>
      </w:r>
    </w:p>
    <w:p w14:paraId="15A95812" w14:textId="77777777" w:rsidR="00AC5196" w:rsidRPr="0064404B" w:rsidRDefault="00AC5196" w:rsidP="003F61C4">
      <w:pPr>
        <w:pStyle w:val="Citas"/>
      </w:pPr>
      <w:r w:rsidRPr="0064404B">
        <w:t>a) Dirección de Revisión de Información de Entidades Fiscalizables “A”;</w:t>
      </w:r>
    </w:p>
    <w:p w14:paraId="1CA4680F" w14:textId="77777777" w:rsidR="00AC5196" w:rsidRPr="0064404B" w:rsidRDefault="00AC5196" w:rsidP="003F61C4">
      <w:pPr>
        <w:pStyle w:val="Citas"/>
      </w:pPr>
      <w:r w:rsidRPr="0064404B">
        <w:t>1. Departamento de Revisión de Información “A1”;</w:t>
      </w:r>
    </w:p>
    <w:p w14:paraId="6A38BFCB" w14:textId="77777777" w:rsidR="00AC5196" w:rsidRPr="0064404B" w:rsidRDefault="00AC5196" w:rsidP="003F61C4">
      <w:pPr>
        <w:pStyle w:val="Citas"/>
      </w:pPr>
      <w:r w:rsidRPr="0064404B">
        <w:t>2. Departamento de Revisión de Información “A2”, y</w:t>
      </w:r>
    </w:p>
    <w:p w14:paraId="1E22BF5E" w14:textId="77777777" w:rsidR="00AC5196" w:rsidRPr="0064404B" w:rsidRDefault="00AC5196" w:rsidP="003F61C4">
      <w:pPr>
        <w:pStyle w:val="Citas"/>
      </w:pPr>
      <w:r w:rsidRPr="0064404B">
        <w:t>3. Departamento de Revisión de Información “A3”.</w:t>
      </w:r>
    </w:p>
    <w:p w14:paraId="36142CDA" w14:textId="77777777" w:rsidR="00AC5196" w:rsidRPr="0064404B" w:rsidRDefault="00AC5196" w:rsidP="003F61C4">
      <w:pPr>
        <w:pStyle w:val="Citas"/>
      </w:pPr>
      <w:r w:rsidRPr="0064404B">
        <w:t>b) Dirección de Revisión de Información de Entidades Fiscalizables “B”;</w:t>
      </w:r>
    </w:p>
    <w:p w14:paraId="3F096769" w14:textId="77777777" w:rsidR="00AC5196" w:rsidRPr="0064404B" w:rsidRDefault="00AC5196" w:rsidP="003F61C4">
      <w:pPr>
        <w:pStyle w:val="Citas"/>
      </w:pPr>
      <w:r w:rsidRPr="0064404B">
        <w:t>1. Departamento de Revisión de Información “B1”;</w:t>
      </w:r>
    </w:p>
    <w:p w14:paraId="66D0F42B" w14:textId="77777777" w:rsidR="00AC5196" w:rsidRPr="0064404B" w:rsidRDefault="00AC5196" w:rsidP="003F61C4">
      <w:pPr>
        <w:pStyle w:val="Citas"/>
      </w:pPr>
      <w:r w:rsidRPr="0064404B">
        <w:t>2. Departamento de Revisión de Información “B2”, y</w:t>
      </w:r>
    </w:p>
    <w:p w14:paraId="7E54A105" w14:textId="79340B55" w:rsidR="00AC5196" w:rsidRPr="0064404B" w:rsidRDefault="00AC5196" w:rsidP="003F61C4">
      <w:pPr>
        <w:pStyle w:val="Citas"/>
      </w:pPr>
      <w:r w:rsidRPr="0064404B">
        <w:t>3. Departamento de Revisión de Información “B3”.</w:t>
      </w:r>
    </w:p>
    <w:p w14:paraId="0CC18E01" w14:textId="29B126ED" w:rsidR="00AC5196" w:rsidRPr="0064404B" w:rsidRDefault="00AC5196" w:rsidP="003F61C4">
      <w:pPr>
        <w:pStyle w:val="Citas"/>
      </w:pPr>
      <w:r w:rsidRPr="0064404B">
        <w:t>Y sus titulares tendrán las atribuciones siguientes:</w:t>
      </w:r>
    </w:p>
    <w:p w14:paraId="4031323D" w14:textId="77777777" w:rsidR="00D7328B" w:rsidRPr="0064404B" w:rsidRDefault="00D7328B" w:rsidP="003F61C4">
      <w:pPr>
        <w:pStyle w:val="Citas"/>
        <w:rPr>
          <w:b/>
          <w:bCs/>
          <w:u w:val="single"/>
        </w:rPr>
      </w:pPr>
      <w:r w:rsidRPr="0064404B">
        <w:rPr>
          <w:b/>
          <w:bCs/>
          <w:u w:val="single"/>
        </w:rPr>
        <w:t>I. Revisar y analizar las cuentas públicas y los informes trimestrales de las entidades fiscalizables;</w:t>
      </w:r>
    </w:p>
    <w:p w14:paraId="04F27330" w14:textId="161C4FBB" w:rsidR="00AC5196" w:rsidRPr="0064404B" w:rsidRDefault="00D7328B" w:rsidP="003F61C4">
      <w:pPr>
        <w:pStyle w:val="Citas"/>
      </w:pPr>
      <w:r w:rsidRPr="0064404B">
        <w:t>II. Integrar el Programa Anual de Auditorías del Órgano Superior, para acordarlo con su superior jerárquico;</w:t>
      </w:r>
    </w:p>
    <w:p w14:paraId="271E7705" w14:textId="08E8E60F" w:rsidR="003F61C4" w:rsidRPr="0064404B" w:rsidRDefault="003F61C4" w:rsidP="003F61C4">
      <w:pPr>
        <w:pStyle w:val="Citas"/>
        <w:rPr>
          <w:b/>
          <w:bCs/>
        </w:rPr>
      </w:pPr>
      <w:r w:rsidRPr="0064404B">
        <w:t xml:space="preserve">(…)” </w:t>
      </w:r>
      <w:r w:rsidRPr="0064404B">
        <w:rPr>
          <w:b/>
          <w:bCs/>
        </w:rPr>
        <w:t>(Sic)</w:t>
      </w:r>
    </w:p>
    <w:p w14:paraId="42ADE838" w14:textId="77777777" w:rsidR="00AC5196" w:rsidRPr="0064404B" w:rsidRDefault="00AC5196" w:rsidP="001810AA">
      <w:pPr>
        <w:autoSpaceDE w:val="0"/>
        <w:autoSpaceDN w:val="0"/>
        <w:adjustRightInd w:val="0"/>
        <w:spacing w:before="240" w:line="360" w:lineRule="auto"/>
        <w:jc w:val="both"/>
        <w:rPr>
          <w:rFonts w:ascii="Palatino Linotype" w:hAnsi="Palatino Linotype"/>
          <w:sz w:val="24"/>
          <w:szCs w:val="24"/>
        </w:rPr>
      </w:pPr>
    </w:p>
    <w:p w14:paraId="6DB34330" w14:textId="3C6CBB35" w:rsidR="00AC5196" w:rsidRPr="0064404B" w:rsidRDefault="00D7328B" w:rsidP="001810AA">
      <w:pPr>
        <w:autoSpaceDE w:val="0"/>
        <w:autoSpaceDN w:val="0"/>
        <w:adjustRightInd w:val="0"/>
        <w:spacing w:before="240" w:line="360" w:lineRule="auto"/>
        <w:jc w:val="both"/>
        <w:rPr>
          <w:rFonts w:ascii="Palatino Linotype" w:hAnsi="Palatino Linotype"/>
          <w:sz w:val="24"/>
          <w:szCs w:val="24"/>
        </w:rPr>
      </w:pPr>
      <w:r w:rsidRPr="0064404B">
        <w:rPr>
          <w:rFonts w:ascii="Palatino Linotype" w:hAnsi="Palatino Linotype"/>
          <w:sz w:val="24"/>
          <w:szCs w:val="24"/>
        </w:rPr>
        <w:t xml:space="preserve">De ahí que deba arribarse a la premisa de que </w:t>
      </w:r>
      <w:r w:rsidR="00C7541D" w:rsidRPr="0064404B">
        <w:rPr>
          <w:rFonts w:ascii="Palatino Linotype" w:hAnsi="Palatino Linotype"/>
          <w:sz w:val="24"/>
          <w:szCs w:val="24"/>
        </w:rPr>
        <w:t xml:space="preserve">el Órgano Superior de Fiscalización es el órgano técnico de la Legislatura del Estado de México que se encarga de revisar y fiscalizar los fondos, cuentas y deudas públicas y actos relativos a la aplicación de los recursos públicos. </w:t>
      </w:r>
    </w:p>
    <w:p w14:paraId="7A4604AD" w14:textId="00B66724" w:rsidR="00C7541D" w:rsidRPr="0064404B" w:rsidRDefault="00C7541D" w:rsidP="001810AA">
      <w:pPr>
        <w:autoSpaceDE w:val="0"/>
        <w:autoSpaceDN w:val="0"/>
        <w:adjustRightInd w:val="0"/>
        <w:spacing w:before="240" w:line="360" w:lineRule="auto"/>
        <w:jc w:val="both"/>
        <w:rPr>
          <w:rFonts w:ascii="Palatino Linotype" w:hAnsi="Palatino Linotype"/>
          <w:sz w:val="24"/>
          <w:szCs w:val="24"/>
        </w:rPr>
      </w:pPr>
      <w:r w:rsidRPr="0064404B">
        <w:rPr>
          <w:rFonts w:ascii="Palatino Linotype" w:hAnsi="Palatino Linotype"/>
          <w:sz w:val="24"/>
          <w:szCs w:val="24"/>
        </w:rPr>
        <w:t xml:space="preserve">Dicho lo anterior, una de las funciones medulares del Órgano Superior de Fiscalización del Estado de México radica en fiscalizar, mediante auditorias y revisiones, la administración de los recursos públicos para informar a la legislatura y sociedad, con el fin de contribuir a la consolidación de mejores gobiernos. </w:t>
      </w:r>
    </w:p>
    <w:p w14:paraId="5851AD81" w14:textId="23A7C346" w:rsidR="002D26D3" w:rsidRPr="0064404B" w:rsidRDefault="002D26D3" w:rsidP="00C66D59">
      <w:pPr>
        <w:spacing w:line="360" w:lineRule="auto"/>
        <w:jc w:val="both"/>
        <w:rPr>
          <w:rFonts w:ascii="Palatino Linotype" w:hAnsi="Palatino Linotype" w:cs="Arial"/>
          <w:bCs/>
          <w:sz w:val="24"/>
          <w:szCs w:val="24"/>
          <w:lang w:val="es-ES"/>
        </w:rPr>
      </w:pPr>
      <w:r w:rsidRPr="0064404B">
        <w:rPr>
          <w:rFonts w:ascii="Palatino Linotype" w:hAnsi="Palatino Linotype" w:cs="Arial"/>
          <w:sz w:val="24"/>
          <w:szCs w:val="24"/>
          <w:lang w:val="es-ES"/>
        </w:rPr>
        <w:t xml:space="preserve">En este sentido, </w:t>
      </w:r>
      <w:r w:rsidR="00092C14" w:rsidRPr="0064404B">
        <w:rPr>
          <w:rFonts w:ascii="Palatino Linotype" w:hAnsi="Palatino Linotype" w:cs="Arial"/>
          <w:sz w:val="24"/>
          <w:szCs w:val="24"/>
          <w:lang w:val="es-ES"/>
        </w:rPr>
        <w:t>de acuerdo con</w:t>
      </w:r>
      <w:r w:rsidRPr="0064404B">
        <w:rPr>
          <w:rFonts w:ascii="Palatino Linotype" w:hAnsi="Palatino Linotype" w:cs="Arial"/>
          <w:sz w:val="24"/>
          <w:szCs w:val="24"/>
          <w:lang w:val="es-ES"/>
        </w:rPr>
        <w:t xml:space="preserve"> la naturaleza de la información solicitada se concluye que ésta es </w:t>
      </w:r>
      <w:r w:rsidR="003F61C4" w:rsidRPr="0064404B">
        <w:rPr>
          <w:rFonts w:ascii="Palatino Linotype" w:hAnsi="Palatino Linotype" w:cs="Arial"/>
          <w:sz w:val="24"/>
          <w:szCs w:val="24"/>
          <w:lang w:val="es-ES"/>
        </w:rPr>
        <w:t xml:space="preserve">generada, poseída o administrada por </w:t>
      </w:r>
      <w:r w:rsidR="003F61C4" w:rsidRPr="0064404B">
        <w:rPr>
          <w:rFonts w:ascii="Palatino Linotype" w:hAnsi="Palatino Linotype" w:cs="Arial"/>
          <w:b/>
          <w:bCs/>
          <w:sz w:val="24"/>
          <w:szCs w:val="24"/>
          <w:lang w:val="es-ES"/>
        </w:rPr>
        <w:t xml:space="preserve">El Sujeto Obligado. </w:t>
      </w:r>
      <w:r w:rsidR="003F61C4" w:rsidRPr="0064404B">
        <w:rPr>
          <w:rFonts w:ascii="Palatino Linotype" w:hAnsi="Palatino Linotype" w:cs="Arial"/>
          <w:sz w:val="24"/>
          <w:szCs w:val="24"/>
          <w:lang w:val="es-ES"/>
        </w:rPr>
        <w:t xml:space="preserve">Adicionalmente, encuadra dentro de las fronteras conceptuales del interés general y el alcance público, </w:t>
      </w:r>
      <w:r w:rsidRPr="0064404B">
        <w:rPr>
          <w:rFonts w:ascii="Palatino Linotype" w:hAnsi="Palatino Linotype" w:cs="Arial"/>
          <w:bCs/>
          <w:sz w:val="24"/>
          <w:szCs w:val="24"/>
          <w:lang w:val="es-ES"/>
        </w:rPr>
        <w:t xml:space="preserve">puesto que la ciudadanía tiene derecho a saber </w:t>
      </w:r>
      <w:r w:rsidR="0052701A" w:rsidRPr="0064404B">
        <w:rPr>
          <w:rFonts w:ascii="Palatino Linotype" w:hAnsi="Palatino Linotype" w:cs="Arial"/>
          <w:bCs/>
          <w:sz w:val="24"/>
          <w:szCs w:val="24"/>
          <w:lang w:val="es-ES"/>
        </w:rPr>
        <w:t>quiénes</w:t>
      </w:r>
      <w:r w:rsidR="004E77E1" w:rsidRPr="0064404B">
        <w:rPr>
          <w:rFonts w:ascii="Palatino Linotype" w:hAnsi="Palatino Linotype" w:cs="Arial"/>
          <w:bCs/>
          <w:sz w:val="24"/>
          <w:szCs w:val="24"/>
          <w:lang w:val="es-ES"/>
        </w:rPr>
        <w:t xml:space="preserve"> son los servidores públicos que ejercen actos de autoridad en atención a las atribuciones conferidas. </w:t>
      </w:r>
      <w:r w:rsidRPr="0064404B">
        <w:rPr>
          <w:rFonts w:ascii="Palatino Linotype" w:hAnsi="Palatino Linotype" w:cs="Arial"/>
          <w:bCs/>
          <w:sz w:val="24"/>
          <w:szCs w:val="24"/>
          <w:lang w:val="es-ES"/>
        </w:rPr>
        <w:t xml:space="preserve">  </w:t>
      </w:r>
    </w:p>
    <w:p w14:paraId="7769ACBC" w14:textId="77777777" w:rsidR="00460632" w:rsidRPr="0064404B" w:rsidRDefault="00460632" w:rsidP="00460632">
      <w:pPr>
        <w:spacing w:line="360" w:lineRule="auto"/>
        <w:jc w:val="both"/>
        <w:rPr>
          <w:rFonts w:ascii="Palatino Linotype" w:hAnsi="Palatino Linotype" w:cs="Arial"/>
          <w:sz w:val="24"/>
          <w:szCs w:val="24"/>
        </w:rPr>
      </w:pPr>
      <w:r w:rsidRPr="0064404B">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2C149325" w14:textId="77777777" w:rsidR="00460632" w:rsidRPr="0064404B" w:rsidRDefault="00460632" w:rsidP="00460632">
      <w:pPr>
        <w:pStyle w:val="Citas"/>
      </w:pPr>
      <w:r w:rsidRPr="0064404B">
        <w:t xml:space="preserve">“Artículo 18. Los sujetos obligados deberán documentar todo acto que derive del ejercicio de sus facultades, competencias o funciones, considerando desde su origen la eventual publicidad y reutilización de la información que generen. </w:t>
      </w:r>
    </w:p>
    <w:p w14:paraId="2C5DCD2E" w14:textId="77777777" w:rsidR="00460632" w:rsidRPr="0064404B" w:rsidRDefault="00460632" w:rsidP="00460632">
      <w:pPr>
        <w:pStyle w:val="Citas"/>
      </w:pPr>
      <w:r w:rsidRPr="0064404B">
        <w:t xml:space="preserve">Artículo 19. Se presume que la información debe existir si se refiere a las facultades, competencias y funciones que los ordenamientos jurídicos aplicables otorgan a los sujetos obligados. </w:t>
      </w:r>
    </w:p>
    <w:p w14:paraId="25953647" w14:textId="77777777" w:rsidR="00460632" w:rsidRPr="0064404B" w:rsidRDefault="00460632" w:rsidP="00460632">
      <w:pPr>
        <w:pStyle w:val="Citas"/>
      </w:pPr>
      <w:r w:rsidRPr="0064404B">
        <w:t xml:space="preserve">En los casos en que ciertas facultades, competencias o funciones no se hayan ejercido, se debe motivar la respuesta en función de las causas que motiven tal circunstancia. </w:t>
      </w:r>
    </w:p>
    <w:p w14:paraId="68501017" w14:textId="77777777" w:rsidR="00460632" w:rsidRPr="0064404B" w:rsidRDefault="00460632" w:rsidP="00460632">
      <w:pPr>
        <w:pStyle w:val="Citas"/>
        <w:rPr>
          <w:b/>
          <w:bCs/>
          <w:sz w:val="24"/>
          <w:szCs w:val="24"/>
        </w:rPr>
      </w:pPr>
      <w:r w:rsidRPr="0064404B">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64404B">
        <w:rPr>
          <w:b/>
          <w:bCs/>
        </w:rPr>
        <w:t>(Sic)</w:t>
      </w:r>
    </w:p>
    <w:p w14:paraId="4836BFD2" w14:textId="77777777" w:rsidR="00460632" w:rsidRPr="0064404B" w:rsidRDefault="00460632" w:rsidP="00E04DB7">
      <w:pPr>
        <w:spacing w:before="240" w:line="360" w:lineRule="auto"/>
        <w:jc w:val="both"/>
        <w:rPr>
          <w:rFonts w:ascii="Palatino Linotype" w:hAnsi="Palatino Linotype"/>
          <w:sz w:val="24"/>
          <w:szCs w:val="24"/>
        </w:rPr>
      </w:pPr>
    </w:p>
    <w:p w14:paraId="3C8457D8" w14:textId="73B3633F" w:rsidR="004E77E1" w:rsidRPr="0064404B" w:rsidRDefault="00E04DB7" w:rsidP="00E04DB7">
      <w:pPr>
        <w:spacing w:before="240" w:line="360" w:lineRule="auto"/>
        <w:jc w:val="both"/>
        <w:rPr>
          <w:rFonts w:ascii="Palatino Linotype" w:hAnsi="Palatino Linotype"/>
          <w:sz w:val="24"/>
          <w:szCs w:val="24"/>
        </w:rPr>
      </w:pPr>
      <w:r w:rsidRPr="0064404B">
        <w:rPr>
          <w:rFonts w:ascii="Palatino Linotype" w:hAnsi="Palatino Linotype"/>
          <w:sz w:val="24"/>
          <w:szCs w:val="24"/>
        </w:rPr>
        <w:t xml:space="preserve">Una vez sentado lo anterior, como se mencionó en el antecedente segundo, </w:t>
      </w:r>
      <w:r w:rsidRPr="0064404B">
        <w:rPr>
          <w:rFonts w:ascii="Palatino Linotype" w:hAnsi="Palatino Linotype"/>
          <w:b/>
          <w:bCs/>
          <w:sz w:val="24"/>
          <w:szCs w:val="24"/>
        </w:rPr>
        <w:t xml:space="preserve">El Sujeto Obligado </w:t>
      </w:r>
      <w:r w:rsidRPr="0064404B">
        <w:rPr>
          <w:rFonts w:ascii="Palatino Linotype" w:hAnsi="Palatino Linotype"/>
          <w:sz w:val="24"/>
          <w:szCs w:val="24"/>
        </w:rPr>
        <w:t>en fecha</w:t>
      </w:r>
      <w:r w:rsidR="004E77E1" w:rsidRPr="0064404B">
        <w:rPr>
          <w:rFonts w:ascii="Palatino Linotype" w:hAnsi="Palatino Linotype"/>
          <w:sz w:val="24"/>
          <w:szCs w:val="24"/>
        </w:rPr>
        <w:t xml:space="preserve"> </w:t>
      </w:r>
      <w:r w:rsidR="00EF4C21" w:rsidRPr="0064404B">
        <w:rPr>
          <w:rFonts w:ascii="Palatino Linotype" w:hAnsi="Palatino Linotype"/>
          <w:b/>
          <w:bCs/>
          <w:sz w:val="24"/>
          <w:szCs w:val="24"/>
        </w:rPr>
        <w:t xml:space="preserve">veinte de febrero de dos mil veinticinco, </w:t>
      </w:r>
      <w:r w:rsidR="00510BCE" w:rsidRPr="0064404B">
        <w:rPr>
          <w:rFonts w:ascii="Palatino Linotype" w:hAnsi="Palatino Linotype"/>
          <w:sz w:val="24"/>
          <w:szCs w:val="24"/>
        </w:rPr>
        <w:t xml:space="preserve">rindió su respuesta a la solicitud de información formulada por el particular, adjuntando para tal efecto lo siguiente: </w:t>
      </w:r>
    </w:p>
    <w:p w14:paraId="7D438025" w14:textId="332D36FB" w:rsidR="00E663AF" w:rsidRPr="0064404B" w:rsidRDefault="00510BCE" w:rsidP="00534B69">
      <w:pPr>
        <w:pStyle w:val="Prrafodelista"/>
        <w:numPr>
          <w:ilvl w:val="0"/>
          <w:numId w:val="6"/>
        </w:numPr>
        <w:spacing w:before="240" w:line="360" w:lineRule="auto"/>
        <w:jc w:val="both"/>
        <w:rPr>
          <w:rFonts w:ascii="Palatino Linotype" w:hAnsi="Palatino Linotype"/>
          <w:b/>
          <w:bCs/>
        </w:rPr>
      </w:pPr>
      <w:r w:rsidRPr="0064404B">
        <w:rPr>
          <w:rFonts w:ascii="Palatino Linotype" w:hAnsi="Palatino Linotype"/>
          <w:b/>
          <w:bCs/>
        </w:rPr>
        <w:t>“</w:t>
      </w:r>
      <w:r w:rsidR="00EF4C21" w:rsidRPr="0064404B">
        <w:rPr>
          <w:rFonts w:ascii="Palatino Linotype" w:hAnsi="Palatino Linotype"/>
          <w:b/>
          <w:bCs/>
        </w:rPr>
        <w:t xml:space="preserve">82 RESPUESTA UI.pdf”: </w:t>
      </w:r>
      <w:r w:rsidR="00EF4C21" w:rsidRPr="0064404B">
        <w:rPr>
          <w:rFonts w:ascii="Palatino Linotype" w:hAnsi="Palatino Linotype"/>
        </w:rPr>
        <w:t xml:space="preserve">Oficio número </w:t>
      </w:r>
      <w:r w:rsidR="00EF4C21" w:rsidRPr="0064404B">
        <w:rPr>
          <w:rFonts w:ascii="Palatino Linotype" w:hAnsi="Palatino Linotype"/>
          <w:b/>
          <w:bCs/>
        </w:rPr>
        <w:t xml:space="preserve">UIPL/0237/2025 </w:t>
      </w:r>
      <w:r w:rsidR="00EF4C21" w:rsidRPr="0064404B">
        <w:rPr>
          <w:rFonts w:ascii="Palatino Linotype" w:hAnsi="Palatino Linotype"/>
        </w:rPr>
        <w:t xml:space="preserve">signado por el titular de la unidad de transparencia, dirigido al solicitante de información, de fecha veinte de febrero de dos mil veinticinco, en términos generales declina competencia a favor del Ayuntamiento de Naucalpan de Juárez, al estimar que es el sujeto obligado encargado de generar y administrar la información que resulta de interés del particular. Asimismo, proporciona dos ligas en formato cerrado correspondientes al portal IPOMEX de dicho sujeto obligado del ámbito municipal. </w:t>
      </w:r>
    </w:p>
    <w:p w14:paraId="0229C3A5" w14:textId="77777777" w:rsidR="00EF4C21" w:rsidRPr="0064404B" w:rsidRDefault="00EF4C21" w:rsidP="00EF4C21">
      <w:pPr>
        <w:spacing w:before="240" w:line="360" w:lineRule="auto"/>
        <w:jc w:val="both"/>
        <w:rPr>
          <w:rFonts w:ascii="Palatino Linotype" w:hAnsi="Palatino Linotype"/>
          <w:b/>
          <w:bCs/>
        </w:rPr>
      </w:pPr>
    </w:p>
    <w:p w14:paraId="56D5A571" w14:textId="77777777" w:rsidR="00EF4C21" w:rsidRPr="0064404B" w:rsidRDefault="00EF4C21" w:rsidP="00EF4C21">
      <w:pPr>
        <w:spacing w:line="360" w:lineRule="auto"/>
        <w:jc w:val="both"/>
        <w:rPr>
          <w:rFonts w:ascii="Palatino Linotype" w:hAnsi="Palatino Linotype"/>
          <w:b/>
          <w:i/>
          <w:sz w:val="24"/>
          <w:szCs w:val="24"/>
        </w:rPr>
      </w:pPr>
      <w:r w:rsidRPr="0064404B">
        <w:rPr>
          <w:rFonts w:ascii="Palatino Linotype" w:hAnsi="Palatino Linotype" w:cs="Arial"/>
          <w:bCs/>
          <w:sz w:val="24"/>
          <w:szCs w:val="24"/>
        </w:rPr>
        <w:t xml:space="preserve">Es así como, derivado de la respuesta emitida por </w:t>
      </w:r>
      <w:r w:rsidRPr="0064404B">
        <w:rPr>
          <w:rFonts w:ascii="Palatino Linotype" w:hAnsi="Palatino Linotype" w:cs="Arial"/>
          <w:b/>
          <w:bCs/>
          <w:sz w:val="24"/>
          <w:szCs w:val="24"/>
        </w:rPr>
        <w:t>El Sujeto Obligado</w:t>
      </w:r>
      <w:r w:rsidRPr="0064404B">
        <w:rPr>
          <w:rFonts w:ascii="Palatino Linotype" w:hAnsi="Palatino Linotype" w:cs="Arial"/>
          <w:bCs/>
          <w:sz w:val="24"/>
          <w:szCs w:val="24"/>
        </w:rPr>
        <w:t xml:space="preserve">, </w:t>
      </w:r>
      <w:r w:rsidRPr="0064404B">
        <w:rPr>
          <w:rFonts w:ascii="Palatino Linotype" w:hAnsi="Palatino Linotype" w:cs="Arial"/>
          <w:b/>
          <w:bCs/>
          <w:sz w:val="24"/>
          <w:szCs w:val="24"/>
        </w:rPr>
        <w:t>El Recurrente</w:t>
      </w:r>
      <w:r w:rsidRPr="0064404B">
        <w:rPr>
          <w:rFonts w:ascii="Palatino Linotype" w:hAnsi="Palatino Linotype" w:cs="Arial"/>
          <w:bCs/>
          <w:sz w:val="24"/>
          <w:szCs w:val="24"/>
        </w:rPr>
        <w:t>, interpuso el presente recurso de revisión, señalando sustancialmente como sus razones o motivos de inconformidad, lo siguiente:</w:t>
      </w:r>
      <w:r w:rsidRPr="0064404B" w:rsidDel="00107C3B">
        <w:rPr>
          <w:rFonts w:ascii="Palatino Linotype" w:hAnsi="Palatino Linotype"/>
          <w:b/>
          <w:i/>
          <w:sz w:val="24"/>
          <w:szCs w:val="24"/>
        </w:rPr>
        <w:t xml:space="preserve"> </w:t>
      </w:r>
    </w:p>
    <w:p w14:paraId="40A2C431" w14:textId="68A304B0" w:rsidR="00EF4C21" w:rsidRPr="0064404B" w:rsidRDefault="00EF4C21" w:rsidP="00EF4C21">
      <w:pPr>
        <w:spacing w:before="240" w:line="360" w:lineRule="auto"/>
        <w:jc w:val="both"/>
        <w:rPr>
          <w:rFonts w:ascii="Palatino Linotype" w:hAnsi="Palatino Linotype" w:cs="Arial"/>
          <w:b/>
          <w:sz w:val="24"/>
        </w:rPr>
      </w:pPr>
      <w:r w:rsidRPr="0064404B">
        <w:rPr>
          <w:rFonts w:ascii="Palatino Linotype" w:hAnsi="Palatino Linotype" w:cs="Arial"/>
          <w:b/>
          <w:sz w:val="24"/>
        </w:rPr>
        <w:t>Acto Impugnado:</w:t>
      </w:r>
    </w:p>
    <w:p w14:paraId="3F4D5382" w14:textId="77777777" w:rsidR="00EF4C21" w:rsidRPr="0064404B" w:rsidRDefault="00EF4C21" w:rsidP="00EF4C21">
      <w:pPr>
        <w:pStyle w:val="Citas"/>
        <w:rPr>
          <w:b/>
          <w:bCs/>
          <w:sz w:val="24"/>
        </w:rPr>
      </w:pPr>
      <w:r w:rsidRPr="0064404B">
        <w:t xml:space="preserve">“la respuesta” </w:t>
      </w:r>
      <w:r w:rsidRPr="0064404B">
        <w:rPr>
          <w:b/>
          <w:bCs/>
        </w:rPr>
        <w:t>(Sic)</w:t>
      </w:r>
    </w:p>
    <w:p w14:paraId="1489758D" w14:textId="77777777" w:rsidR="00EF4C21" w:rsidRPr="0064404B" w:rsidRDefault="00EF4C21" w:rsidP="00EF4C21">
      <w:pPr>
        <w:spacing w:before="240" w:line="360" w:lineRule="auto"/>
        <w:jc w:val="both"/>
        <w:rPr>
          <w:rFonts w:ascii="Palatino Linotype" w:hAnsi="Palatino Linotype" w:cs="Arial"/>
          <w:b/>
          <w:sz w:val="24"/>
        </w:rPr>
      </w:pPr>
      <w:r w:rsidRPr="0064404B">
        <w:rPr>
          <w:rFonts w:ascii="Palatino Linotype" w:hAnsi="Palatino Linotype" w:cs="Arial"/>
          <w:b/>
          <w:sz w:val="24"/>
        </w:rPr>
        <w:t>Razones o motivos de la inconformidad:</w:t>
      </w:r>
    </w:p>
    <w:p w14:paraId="786F5519" w14:textId="77777777" w:rsidR="00EF4C21" w:rsidRPr="0064404B" w:rsidRDefault="00EF4C21" w:rsidP="00EF4C21">
      <w:pPr>
        <w:pStyle w:val="Citas"/>
        <w:rPr>
          <w:b/>
          <w:bCs/>
        </w:rPr>
      </w:pPr>
      <w:r w:rsidRPr="0064404B">
        <w:t xml:space="preserve">“la respuesta emitida por este sujeto obligado carece de la debida fundamentación y motivación, su incompetencia declarada es infundada porque de acuerdo con lo establecido por el artículo 61 fracción XXXII de la constitución política del estado libre y soberano de México indica que corresponde a la legislatura del estado XXXII. Recibir, revisar, fiscalizar y calificar las cuentas públicas del Estado y de los Municipios, del año anterior, mismas que incluirán, en su caso, la información correspondiente a los Poderes Públicos, organismos autónomos, organismos auxiliares, fideicomisos públicos o privados y demás entes públicos que manejen recursos del Estado y Municipios. Para tal efecto, contará con un Órgano Superior de Fiscalización, dotado de autonomía técnica y de gestión en el ejercicio de sus atribuciones y para decidir sobre su organización interna, funcionamiento y resoluciones, en los términos que disponga la legislación aplicable. aunado a ello, el órgano superior de fiscalización del estado de mexico, es un órgano técnico dependiente del poder legislativo estatal, por ende en terminos de lo dispuesto por los artículos 58, 59 y 162 de la Ley de Transparencia y Acceso a la información publica del estado de méxico y municipios este sujeto obligado debió turnar al osfem para que se abocara a la busqueda la información solicitada inicialmente. solicitando que que a este organo revoque la la respuesta impugnada” </w:t>
      </w:r>
      <w:r w:rsidRPr="0064404B">
        <w:rPr>
          <w:b/>
          <w:bCs/>
        </w:rPr>
        <w:t>(Sic)</w:t>
      </w:r>
    </w:p>
    <w:p w14:paraId="652851C3" w14:textId="77777777" w:rsidR="00EF4C21" w:rsidRPr="0064404B" w:rsidRDefault="00EF4C21" w:rsidP="00EF4C21">
      <w:pPr>
        <w:spacing w:before="240" w:line="360" w:lineRule="auto"/>
        <w:jc w:val="both"/>
        <w:rPr>
          <w:rFonts w:ascii="Palatino Linotype" w:hAnsi="Palatino Linotype"/>
          <w:b/>
          <w:bCs/>
        </w:rPr>
      </w:pPr>
    </w:p>
    <w:p w14:paraId="7ED45DA2" w14:textId="77777777" w:rsidR="00EF4C21" w:rsidRPr="0064404B" w:rsidRDefault="00EF4C21" w:rsidP="00EF4C21">
      <w:pPr>
        <w:pStyle w:val="infoemcitas"/>
        <w:tabs>
          <w:tab w:val="left" w:pos="7655"/>
        </w:tabs>
        <w:ind w:left="0" w:right="0"/>
        <w:rPr>
          <w:rFonts w:cs="Arial"/>
          <w:i w:val="0"/>
          <w:color w:val="000000"/>
          <w:sz w:val="24"/>
          <w:lang w:eastAsia="es-MX"/>
        </w:rPr>
      </w:pPr>
      <w:r w:rsidRPr="0064404B">
        <w:rPr>
          <w:i w:val="0"/>
          <w:sz w:val="24"/>
          <w:szCs w:val="24"/>
        </w:rPr>
        <w:t xml:space="preserve">Así las cosas, hasta aquí lo expuesto, resulta inconcuso que los motivos de inconformidad esgrimidos por el particular encuadran dentro del artículo 179, fracciones I y IV de la </w:t>
      </w:r>
      <w:r w:rsidRPr="0064404B">
        <w:rPr>
          <w:rFonts w:cs="Arial"/>
          <w:i w:val="0"/>
          <w:color w:val="000000"/>
          <w:sz w:val="24"/>
          <w:lang w:eastAsia="es-MX"/>
        </w:rPr>
        <w:t xml:space="preserve">Ley de Transparencia y Acceso a la Información Pública del Estado de México y Municipios, cuyo contenido literal es el siguiente: </w:t>
      </w:r>
    </w:p>
    <w:p w14:paraId="3418F9BA" w14:textId="77777777" w:rsidR="00EF4C21" w:rsidRPr="0064404B" w:rsidRDefault="00EF4C21" w:rsidP="00EF4C21">
      <w:pPr>
        <w:pStyle w:val="Citas"/>
      </w:pPr>
      <w:r w:rsidRPr="0064404B">
        <w:t xml:space="preserve"> “Artículo 179. El recurso de revisión es un medio de protección que la Ley otorga a los particulares, para hacer valer su derecho de acceso a la información pública, y procederá en contra de las siguientes causas:</w:t>
      </w:r>
    </w:p>
    <w:p w14:paraId="3D31215F" w14:textId="77777777" w:rsidR="00EF4C21" w:rsidRPr="0064404B" w:rsidRDefault="00EF4C21" w:rsidP="00EF4C21">
      <w:pPr>
        <w:pStyle w:val="Citas"/>
      </w:pPr>
      <w:r w:rsidRPr="0064404B">
        <w:t>I. La negativa a la información solicitada;</w:t>
      </w:r>
    </w:p>
    <w:p w14:paraId="20DA1A52" w14:textId="77777777" w:rsidR="00EF4C21" w:rsidRPr="0064404B" w:rsidRDefault="00EF4C21" w:rsidP="00EF4C21">
      <w:pPr>
        <w:pStyle w:val="Citas"/>
      </w:pPr>
      <w:r w:rsidRPr="0064404B">
        <w:t>(…)</w:t>
      </w:r>
    </w:p>
    <w:p w14:paraId="6A308956" w14:textId="77777777" w:rsidR="00EF4C21" w:rsidRPr="0064404B" w:rsidRDefault="00EF4C21" w:rsidP="00EF4C21">
      <w:pPr>
        <w:pStyle w:val="Citas"/>
      </w:pPr>
      <w:r w:rsidRPr="0064404B">
        <w:t>IV. La declaración de incompetencia por el sujeto obligado;</w:t>
      </w:r>
    </w:p>
    <w:p w14:paraId="6311A85E" w14:textId="77777777" w:rsidR="00EF4C21" w:rsidRPr="0064404B" w:rsidRDefault="00EF4C21" w:rsidP="00EF4C21">
      <w:pPr>
        <w:pStyle w:val="Citas"/>
        <w:rPr>
          <w:b/>
          <w:bCs/>
        </w:rPr>
      </w:pPr>
      <w:r w:rsidRPr="0064404B">
        <w:t xml:space="preserve">(…)” </w:t>
      </w:r>
      <w:r w:rsidRPr="0064404B">
        <w:rPr>
          <w:b/>
          <w:bCs/>
        </w:rPr>
        <w:t>(Sic)</w:t>
      </w:r>
    </w:p>
    <w:p w14:paraId="37750F37" w14:textId="77777777" w:rsidR="00EF4C21" w:rsidRPr="0064404B" w:rsidRDefault="00EF4C21" w:rsidP="00EF4C21">
      <w:pPr>
        <w:spacing w:line="360" w:lineRule="auto"/>
        <w:jc w:val="both"/>
        <w:rPr>
          <w:rFonts w:ascii="Palatino Linotype" w:hAnsi="Palatino Linotype"/>
          <w:b/>
          <w:i/>
          <w:sz w:val="24"/>
          <w:szCs w:val="24"/>
        </w:rPr>
      </w:pPr>
    </w:p>
    <w:p w14:paraId="3EF279DB" w14:textId="77777777" w:rsidR="00EF4C21" w:rsidRPr="0064404B" w:rsidRDefault="00EF4C21" w:rsidP="00EF4C21">
      <w:pPr>
        <w:spacing w:line="360" w:lineRule="auto"/>
        <w:jc w:val="both"/>
        <w:rPr>
          <w:rFonts w:ascii="Palatino Linotype" w:hAnsi="Palatino Linotype"/>
          <w:bCs/>
          <w:sz w:val="24"/>
          <w:szCs w:val="24"/>
        </w:rPr>
      </w:pPr>
      <w:r w:rsidRPr="0064404B">
        <w:rPr>
          <w:rFonts w:ascii="Palatino Linotype" w:hAnsi="Palatino Linotype"/>
          <w:sz w:val="24"/>
          <w:szCs w:val="24"/>
          <w:lang w:val="es-ES_tradnl"/>
        </w:rPr>
        <w:t xml:space="preserve">Asimismo, en la etapa de manifestaciones </w:t>
      </w:r>
      <w:r w:rsidRPr="0064404B">
        <w:rPr>
          <w:rFonts w:ascii="Palatino Linotype" w:hAnsi="Palatino Linotype"/>
          <w:sz w:val="24"/>
          <w:szCs w:val="24"/>
        </w:rPr>
        <w:t xml:space="preserve">se advierte que el </w:t>
      </w:r>
      <w:r w:rsidRPr="0064404B">
        <w:rPr>
          <w:rFonts w:ascii="Palatino Linotype" w:hAnsi="Palatino Linotype"/>
          <w:b/>
          <w:sz w:val="24"/>
          <w:szCs w:val="24"/>
        </w:rPr>
        <w:t xml:space="preserve">Sujeto Obligado </w:t>
      </w:r>
      <w:r w:rsidRPr="0064404B">
        <w:rPr>
          <w:rFonts w:ascii="Palatino Linotype" w:hAnsi="Palatino Linotype"/>
          <w:bCs/>
          <w:sz w:val="24"/>
          <w:szCs w:val="24"/>
        </w:rPr>
        <w:t>rindió su informe justificado en los siguientes términos:</w:t>
      </w:r>
    </w:p>
    <w:p w14:paraId="20D58E7E" w14:textId="27E9D5ED" w:rsidR="00EF4C21" w:rsidRPr="0064404B" w:rsidRDefault="00EF4C21" w:rsidP="00534B69">
      <w:pPr>
        <w:pStyle w:val="Prrafodelista"/>
        <w:numPr>
          <w:ilvl w:val="0"/>
          <w:numId w:val="8"/>
        </w:numPr>
        <w:spacing w:line="360" w:lineRule="auto"/>
        <w:jc w:val="both"/>
        <w:rPr>
          <w:rFonts w:ascii="Palatino Linotype" w:hAnsi="Palatino Linotype"/>
          <w:bCs/>
        </w:rPr>
      </w:pPr>
      <w:r w:rsidRPr="0064404B">
        <w:rPr>
          <w:rFonts w:ascii="Palatino Linotype" w:hAnsi="Palatino Linotype"/>
          <w:bCs/>
        </w:rPr>
        <w:t>“</w:t>
      </w:r>
      <w:r w:rsidRPr="0064404B">
        <w:rPr>
          <w:rFonts w:ascii="Palatino Linotype" w:hAnsi="Palatino Linotype"/>
          <w:b/>
        </w:rPr>
        <w:t xml:space="preserve">Informe justificado RR. 2110-2025 (sol. 0082-2025).pdf”: </w:t>
      </w:r>
      <w:r w:rsidRPr="0064404B">
        <w:rPr>
          <w:rFonts w:ascii="Palatino Linotype" w:hAnsi="Palatino Linotype"/>
          <w:bCs/>
        </w:rPr>
        <w:t xml:space="preserve">Oficio número </w:t>
      </w:r>
      <w:r w:rsidRPr="0064404B">
        <w:rPr>
          <w:rFonts w:ascii="Palatino Linotype" w:hAnsi="Palatino Linotype"/>
          <w:b/>
        </w:rPr>
        <w:t xml:space="preserve">UIPL/0321/2025 </w:t>
      </w:r>
      <w:r w:rsidRPr="0064404B">
        <w:rPr>
          <w:rFonts w:ascii="Palatino Linotype" w:hAnsi="Palatino Linotype"/>
          <w:bCs/>
        </w:rPr>
        <w:t xml:space="preserve">signado por el titular de la unidad de transparencia, dirigido al comisionado presidente, de fecha siete de marzo de dos mil veinticinco, </w:t>
      </w:r>
      <w:r w:rsidR="002F07A8" w:rsidRPr="0064404B">
        <w:rPr>
          <w:rFonts w:ascii="Palatino Linotype" w:hAnsi="Palatino Linotype"/>
          <w:bCs/>
        </w:rPr>
        <w:t>en lo medular expone las siguientes premisas argumentativas:</w:t>
      </w:r>
    </w:p>
    <w:p w14:paraId="780024C0" w14:textId="77777777" w:rsidR="002F07A8" w:rsidRPr="0064404B" w:rsidRDefault="002F07A8" w:rsidP="00534B69">
      <w:pPr>
        <w:pStyle w:val="Prrafodelista"/>
        <w:numPr>
          <w:ilvl w:val="0"/>
          <w:numId w:val="9"/>
        </w:numPr>
        <w:spacing w:line="360" w:lineRule="auto"/>
        <w:jc w:val="both"/>
        <w:rPr>
          <w:rFonts w:ascii="Palatino Linotype" w:hAnsi="Palatino Linotype"/>
          <w:bCs/>
        </w:rPr>
      </w:pPr>
      <w:r w:rsidRPr="0064404B">
        <w:rPr>
          <w:rFonts w:ascii="Palatino Linotype" w:hAnsi="Palatino Linotype"/>
          <w:bCs/>
        </w:rPr>
        <w:t xml:space="preserve">Que desde su óptica se actualiza una causal de improcedencia que conduce al sobreseimiento, al estimar que se amplió la solicitud de información vía recurso de revisión. </w:t>
      </w:r>
    </w:p>
    <w:p w14:paraId="312CE0CC" w14:textId="77777777" w:rsidR="002F07A8" w:rsidRPr="0064404B" w:rsidRDefault="002F07A8" w:rsidP="00534B69">
      <w:pPr>
        <w:pStyle w:val="Prrafodelista"/>
        <w:numPr>
          <w:ilvl w:val="0"/>
          <w:numId w:val="9"/>
        </w:numPr>
        <w:spacing w:line="360" w:lineRule="auto"/>
        <w:jc w:val="both"/>
        <w:rPr>
          <w:rFonts w:ascii="Palatino Linotype" w:hAnsi="Palatino Linotype"/>
          <w:bCs/>
        </w:rPr>
      </w:pPr>
      <w:r w:rsidRPr="0064404B">
        <w:rPr>
          <w:rFonts w:ascii="Palatino Linotype" w:hAnsi="Palatino Linotype"/>
          <w:bCs/>
        </w:rPr>
        <w:t xml:space="preserve">Que turnó la solicitud de información al servidor público habilitado adscrito al Órgano Superior de Fiscalización del Estado de México, quien señaló que </w:t>
      </w:r>
      <w:r w:rsidRPr="0064404B">
        <w:rPr>
          <w:rFonts w:ascii="Palatino Linotype" w:hAnsi="Palatino Linotype"/>
          <w:bCs/>
          <w:i/>
          <w:iCs/>
        </w:rPr>
        <w:t xml:space="preserve">“no localizó la información requerida debido a que las entidades fiscalizables no proporcionan a este Órgano, base de datos y/o reporte concentrado que la contenga”. </w:t>
      </w:r>
    </w:p>
    <w:p w14:paraId="1747530C" w14:textId="77777777" w:rsidR="002F07A8" w:rsidRPr="0064404B" w:rsidRDefault="002F07A8" w:rsidP="002F07A8">
      <w:pPr>
        <w:pStyle w:val="Prrafodelista"/>
        <w:spacing w:line="360" w:lineRule="auto"/>
        <w:ind w:left="1080"/>
        <w:jc w:val="both"/>
        <w:rPr>
          <w:rFonts w:ascii="Palatino Linotype" w:hAnsi="Palatino Linotype"/>
          <w:bCs/>
        </w:rPr>
      </w:pPr>
    </w:p>
    <w:p w14:paraId="0C6CDA3E" w14:textId="602CDCDE" w:rsidR="002F07A8" w:rsidRPr="0064404B" w:rsidRDefault="002F07A8" w:rsidP="00534B69">
      <w:pPr>
        <w:pStyle w:val="Prrafodelista"/>
        <w:numPr>
          <w:ilvl w:val="0"/>
          <w:numId w:val="9"/>
        </w:numPr>
        <w:spacing w:line="360" w:lineRule="auto"/>
        <w:jc w:val="both"/>
        <w:rPr>
          <w:rFonts w:ascii="Palatino Linotype" w:hAnsi="Palatino Linotype"/>
          <w:bCs/>
        </w:rPr>
      </w:pPr>
      <w:r w:rsidRPr="0064404B">
        <w:rPr>
          <w:rFonts w:ascii="Palatino Linotype" w:hAnsi="Palatino Linotype"/>
          <w:bCs/>
        </w:rPr>
        <w:t xml:space="preserve">Que la información financiera del Ayuntamiento de Naucalpan de Juárez pudiera encuadrar como obligaciones de transparencia común, correspondientes al artículo 92 fracciones XXV “información financiera sobre el presupuesto asignado”, XXIX “información sobre procesos de adjudicación directa, invitación restringida y licitación” y XXX “resultado de la dictaminación de los estados financieros”, proporcionando dos ligas electrónicas en formato cerrado. </w:t>
      </w:r>
    </w:p>
    <w:p w14:paraId="263AD924" w14:textId="77777777" w:rsidR="002F07A8" w:rsidRPr="0064404B" w:rsidRDefault="002F07A8" w:rsidP="002F07A8">
      <w:pPr>
        <w:pStyle w:val="Prrafodelista"/>
        <w:rPr>
          <w:rFonts w:ascii="Palatino Linotype" w:hAnsi="Palatino Linotype"/>
          <w:bCs/>
        </w:rPr>
      </w:pPr>
    </w:p>
    <w:p w14:paraId="74CE37AD" w14:textId="77777777" w:rsidR="002F07A8" w:rsidRPr="0064404B" w:rsidRDefault="002F07A8" w:rsidP="002F07A8">
      <w:pPr>
        <w:pStyle w:val="Prrafodelista"/>
        <w:spacing w:line="360" w:lineRule="auto"/>
        <w:ind w:left="1080"/>
        <w:jc w:val="both"/>
        <w:rPr>
          <w:rFonts w:ascii="Palatino Linotype" w:hAnsi="Palatino Linotype"/>
          <w:bCs/>
        </w:rPr>
      </w:pPr>
    </w:p>
    <w:p w14:paraId="7B383AB7" w14:textId="04BCF64A" w:rsidR="00EF4C21" w:rsidRPr="0064404B" w:rsidRDefault="00EF4C21" w:rsidP="00534B69">
      <w:pPr>
        <w:pStyle w:val="Prrafodelista"/>
        <w:numPr>
          <w:ilvl w:val="0"/>
          <w:numId w:val="8"/>
        </w:numPr>
        <w:spacing w:line="360" w:lineRule="auto"/>
        <w:jc w:val="both"/>
        <w:rPr>
          <w:rFonts w:ascii="Palatino Linotype" w:hAnsi="Palatino Linotype"/>
          <w:bCs/>
        </w:rPr>
      </w:pPr>
      <w:r w:rsidRPr="0064404B">
        <w:rPr>
          <w:rFonts w:ascii="Palatino Linotype" w:hAnsi="Palatino Linotype"/>
          <w:b/>
        </w:rPr>
        <w:t xml:space="preserve">“Oficio manifestaciones OSFEM.pdf”: </w:t>
      </w:r>
      <w:r w:rsidR="002F07A8" w:rsidRPr="0064404B">
        <w:rPr>
          <w:rFonts w:ascii="Palatino Linotype" w:hAnsi="Palatino Linotype"/>
          <w:bCs/>
        </w:rPr>
        <w:t xml:space="preserve">Oficio número </w:t>
      </w:r>
      <w:r w:rsidR="002F07A8" w:rsidRPr="0064404B">
        <w:rPr>
          <w:rFonts w:ascii="Palatino Linotype" w:hAnsi="Palatino Linotype"/>
          <w:b/>
        </w:rPr>
        <w:t xml:space="preserve">OSFEM/UAJ/DJC/SPH/016/2025 </w:t>
      </w:r>
      <w:r w:rsidR="002F07A8" w:rsidRPr="0064404B">
        <w:rPr>
          <w:rFonts w:ascii="Palatino Linotype" w:hAnsi="Palatino Linotype"/>
          <w:bCs/>
        </w:rPr>
        <w:t xml:space="preserve">signado por el servidor público habilitado adscrito al Órgano Superior de Fiscalización del Estado de México, dirigido al titular de la unidad de información del poder legislativo, de fecha cinco de marzo de dos mil veinticinco, </w:t>
      </w:r>
      <w:r w:rsidR="00FC5E7C" w:rsidRPr="0064404B">
        <w:rPr>
          <w:rFonts w:ascii="Palatino Linotype" w:hAnsi="Palatino Linotype"/>
          <w:bCs/>
        </w:rPr>
        <w:t xml:space="preserve">en términos generales refiere que no le son proporcionadas bases de datos y/o reportes concentrados; por ello se sugiere formular la solicitud al Ayuntamiento de Naucalpan de Juárez. </w:t>
      </w:r>
    </w:p>
    <w:p w14:paraId="185C44E8" w14:textId="77777777" w:rsidR="00EF4C21" w:rsidRPr="0064404B" w:rsidRDefault="00EF4C21" w:rsidP="00EF4C21">
      <w:pPr>
        <w:spacing w:before="240" w:line="360" w:lineRule="auto"/>
        <w:jc w:val="both"/>
        <w:rPr>
          <w:rFonts w:ascii="Palatino Linotype" w:hAnsi="Palatino Linotype"/>
          <w:b/>
          <w:bCs/>
        </w:rPr>
      </w:pPr>
    </w:p>
    <w:p w14:paraId="3C7F9AE6" w14:textId="1F538DC8" w:rsidR="00FC5E7C" w:rsidRPr="0064404B" w:rsidRDefault="00FC5E7C" w:rsidP="00FC5E7C">
      <w:pPr>
        <w:spacing w:after="0" w:line="360" w:lineRule="auto"/>
        <w:jc w:val="both"/>
        <w:rPr>
          <w:rStyle w:val="apple-style-span"/>
          <w:rFonts w:ascii="Palatino Linotype" w:hAnsi="Palatino Linotype" w:cs="Arial"/>
          <w:bCs/>
          <w:color w:val="000000"/>
          <w:sz w:val="24"/>
          <w:szCs w:val="24"/>
        </w:rPr>
      </w:pPr>
      <w:r w:rsidRPr="0064404B">
        <w:rPr>
          <w:rFonts w:ascii="Palatino Linotype" w:hAnsi="Palatino Linotype"/>
          <w:bCs/>
          <w:iCs/>
          <w:sz w:val="24"/>
          <w:szCs w:val="24"/>
        </w:rPr>
        <w:t xml:space="preserve">En las generalizaciones anteriores, a efecto de dirimir la controversia planteada, resulta oportuno señalar </w:t>
      </w:r>
      <w:r w:rsidR="00B00518" w:rsidRPr="0064404B">
        <w:rPr>
          <w:rFonts w:ascii="Palatino Linotype" w:hAnsi="Palatino Linotype"/>
          <w:bCs/>
          <w:iCs/>
          <w:sz w:val="24"/>
          <w:szCs w:val="24"/>
        </w:rPr>
        <w:t>que al</w:t>
      </w:r>
      <w:r w:rsidRPr="0064404B">
        <w:rPr>
          <w:rStyle w:val="apple-style-span"/>
          <w:rFonts w:ascii="Palatino Linotype" w:hAnsi="Palatino Linotype" w:cs="Arial"/>
          <w:color w:val="000000"/>
          <w:sz w:val="24"/>
          <w:szCs w:val="24"/>
        </w:rPr>
        <w:t xml:space="preserve"> Órgano Superior de Fiscalización de esta entidad federativa, le asiste la facultad de emitir los </w:t>
      </w:r>
      <w:r w:rsidRPr="0064404B">
        <w:rPr>
          <w:rStyle w:val="apple-style-span"/>
          <w:rFonts w:ascii="Palatino Linotype" w:hAnsi="Palatino Linotype" w:cs="Arial"/>
          <w:b/>
          <w:color w:val="000000"/>
          <w:sz w:val="24"/>
          <w:szCs w:val="24"/>
        </w:rPr>
        <w:t>Lineamientos para la Integración del Informe Mensual</w:t>
      </w:r>
      <w:r w:rsidRPr="0064404B">
        <w:rPr>
          <w:rStyle w:val="apple-style-span"/>
          <w:rFonts w:ascii="Palatino Linotype" w:hAnsi="Palatino Linotype" w:cs="Arial"/>
          <w:color w:val="000000"/>
          <w:sz w:val="24"/>
          <w:szCs w:val="24"/>
        </w:rPr>
        <w:t xml:space="preserve">, en términos la fracción XI del artículo 8 de la Ley de Fiscalización Superior del Estado de México, que señalan: </w:t>
      </w:r>
    </w:p>
    <w:p w14:paraId="06664592" w14:textId="77777777" w:rsidR="00FC5E7C" w:rsidRPr="0064404B" w:rsidRDefault="00FC5E7C" w:rsidP="00FC5E7C">
      <w:pPr>
        <w:autoSpaceDE w:val="0"/>
        <w:autoSpaceDN w:val="0"/>
        <w:adjustRightInd w:val="0"/>
        <w:spacing w:before="240" w:line="360" w:lineRule="auto"/>
        <w:ind w:left="851" w:right="851"/>
        <w:jc w:val="both"/>
        <w:rPr>
          <w:rFonts w:ascii="Palatino Linotype" w:hAnsi="Palatino Linotype" w:cs="Arial"/>
          <w:i/>
        </w:rPr>
      </w:pPr>
      <w:r w:rsidRPr="0064404B">
        <w:rPr>
          <w:rFonts w:ascii="Palatino Linotype" w:hAnsi="Palatino Linotype" w:cs="Arial"/>
          <w:b/>
          <w:bCs/>
          <w:i/>
        </w:rPr>
        <w:t xml:space="preserve">“Artículo 8. </w:t>
      </w:r>
      <w:r w:rsidRPr="0064404B">
        <w:rPr>
          <w:rFonts w:ascii="Palatino Linotype" w:hAnsi="Palatino Linotype" w:cs="Arial"/>
          <w:i/>
        </w:rPr>
        <w:t>El Órgano Superior tendrá las siguientes atribuciones:</w:t>
      </w:r>
    </w:p>
    <w:p w14:paraId="1C87A79E" w14:textId="77777777" w:rsidR="00FC5E7C" w:rsidRPr="0064404B" w:rsidRDefault="00FC5E7C" w:rsidP="00FC5E7C">
      <w:pPr>
        <w:autoSpaceDE w:val="0"/>
        <w:autoSpaceDN w:val="0"/>
        <w:adjustRightInd w:val="0"/>
        <w:spacing w:before="240" w:line="360" w:lineRule="auto"/>
        <w:ind w:left="851" w:right="851"/>
        <w:jc w:val="both"/>
        <w:rPr>
          <w:rFonts w:ascii="Palatino Linotype" w:hAnsi="Palatino Linotype" w:cs="Arial"/>
          <w:i/>
        </w:rPr>
      </w:pPr>
      <w:r w:rsidRPr="0064404B">
        <w:rPr>
          <w:rFonts w:ascii="Palatino Linotype" w:hAnsi="Palatino Linotype" w:cs="Arial"/>
          <w:b/>
          <w:bCs/>
          <w:i/>
        </w:rPr>
        <w:t xml:space="preserve">XI. </w:t>
      </w:r>
      <w:r w:rsidRPr="0064404B">
        <w:rPr>
          <w:rFonts w:ascii="Palatino Linotype" w:hAnsi="Palatino Linotype" w:cs="Arial"/>
          <w:i/>
        </w:rPr>
        <w:t>Establecer los lineamientos, criterios, procedimientos, métodos y sistemas para las acciones de control y evaluación, necesarios para la fiscalización de las cuentas públicas y los informes trimestrales;</w:t>
      </w:r>
    </w:p>
    <w:p w14:paraId="1B360702" w14:textId="77777777" w:rsidR="00FC5E7C" w:rsidRPr="0064404B" w:rsidRDefault="00FC5E7C" w:rsidP="00FC5E7C">
      <w:pPr>
        <w:autoSpaceDE w:val="0"/>
        <w:autoSpaceDN w:val="0"/>
        <w:adjustRightInd w:val="0"/>
        <w:spacing w:before="240" w:line="360" w:lineRule="auto"/>
        <w:ind w:left="851" w:right="851"/>
        <w:jc w:val="both"/>
        <w:rPr>
          <w:rStyle w:val="apple-style-span"/>
          <w:rFonts w:ascii="Palatino Linotype" w:hAnsi="Palatino Linotype" w:cs="Arial"/>
          <w:b/>
          <w:i/>
          <w:color w:val="000000"/>
        </w:rPr>
      </w:pPr>
      <w:r w:rsidRPr="0064404B">
        <w:rPr>
          <w:rStyle w:val="apple-style-span"/>
          <w:rFonts w:ascii="Palatino Linotype" w:hAnsi="Palatino Linotype" w:cs="Arial"/>
          <w:color w:val="000000"/>
        </w:rPr>
        <w:t xml:space="preserve">(…)” </w:t>
      </w:r>
      <w:r w:rsidRPr="0064404B">
        <w:rPr>
          <w:rStyle w:val="apple-style-span"/>
          <w:rFonts w:ascii="Palatino Linotype" w:hAnsi="Palatino Linotype" w:cs="Arial"/>
          <w:b/>
          <w:i/>
          <w:color w:val="000000"/>
        </w:rPr>
        <w:t>(Sic)</w:t>
      </w:r>
    </w:p>
    <w:p w14:paraId="02B78A75" w14:textId="77777777" w:rsidR="00FC5E7C" w:rsidRPr="0064404B" w:rsidRDefault="00FC5E7C" w:rsidP="00FC5E7C">
      <w:pPr>
        <w:autoSpaceDE w:val="0"/>
        <w:autoSpaceDN w:val="0"/>
        <w:adjustRightInd w:val="0"/>
        <w:spacing w:before="240" w:line="360" w:lineRule="auto"/>
        <w:ind w:right="851"/>
        <w:jc w:val="both"/>
        <w:rPr>
          <w:rStyle w:val="apple-style-span"/>
          <w:rFonts w:ascii="Palatino Linotype" w:hAnsi="Palatino Linotype" w:cs="Arial"/>
          <w:b/>
          <w:i/>
          <w:color w:val="000000"/>
        </w:rPr>
      </w:pPr>
    </w:p>
    <w:p w14:paraId="56475CDB" w14:textId="77777777" w:rsidR="00FC5E7C" w:rsidRPr="0064404B" w:rsidRDefault="00FC5E7C" w:rsidP="00FC5E7C">
      <w:pPr>
        <w:spacing w:line="360" w:lineRule="auto"/>
        <w:jc w:val="both"/>
        <w:rPr>
          <w:rFonts w:ascii="Palatino Linotype" w:hAnsi="Palatino Linotype"/>
          <w:sz w:val="24"/>
          <w:szCs w:val="24"/>
        </w:rPr>
      </w:pPr>
      <w:r w:rsidRPr="0064404B">
        <w:rPr>
          <w:rFonts w:ascii="Palatino Linotype" w:hAnsi="Palatino Linotype"/>
          <w:sz w:val="24"/>
          <w:szCs w:val="24"/>
        </w:rPr>
        <w:t xml:space="preserve">De esta forma, el Órgano Superior de Fiscalización del Estado de México (OSFEM), emite anualmente los Lineamientos para definir los criterios, formatos y documentación necesaria para presentar los informes, dentro de los cuales destaca –en relación con el análisis que nos ocupa-, el informe anual de obras; informe de obras programadas y ejecutadas durante el ejercicio; o incluso el informe anual de construcciones en proceso. </w:t>
      </w:r>
    </w:p>
    <w:p w14:paraId="0AC219CD" w14:textId="77777777" w:rsidR="00FC5E7C" w:rsidRPr="0064404B" w:rsidRDefault="00FC5E7C" w:rsidP="00FC5E7C">
      <w:pPr>
        <w:spacing w:line="360" w:lineRule="auto"/>
        <w:jc w:val="both"/>
        <w:rPr>
          <w:rFonts w:ascii="Palatino Linotype" w:hAnsi="Palatino Linotype"/>
          <w:sz w:val="24"/>
          <w:szCs w:val="24"/>
        </w:rPr>
      </w:pPr>
      <w:r w:rsidRPr="0064404B">
        <w:rPr>
          <w:rFonts w:ascii="Palatino Linotype" w:hAnsi="Palatino Linotype"/>
          <w:sz w:val="24"/>
          <w:szCs w:val="24"/>
        </w:rPr>
        <w:t>Soportes documentales que son susceptibles de reflejar diversos indicadores relativo a las obras públicas, tales como:</w:t>
      </w:r>
    </w:p>
    <w:p w14:paraId="53648897"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Número de contrato</w:t>
      </w:r>
    </w:p>
    <w:p w14:paraId="52D8EEC2"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Ubicación de la obra</w:t>
      </w:r>
    </w:p>
    <w:p w14:paraId="674C6383"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Fecha de inicio y conclusión de la obra</w:t>
      </w:r>
    </w:p>
    <w:p w14:paraId="78928D06"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Avance físico</w:t>
      </w:r>
    </w:p>
    <w:p w14:paraId="293929B9"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Avance financiero</w:t>
      </w:r>
    </w:p>
    <w:p w14:paraId="11027281"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Población beneficiada</w:t>
      </w:r>
    </w:p>
    <w:p w14:paraId="25EF7F9A"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Presupuesto ejercido</w:t>
      </w:r>
    </w:p>
    <w:p w14:paraId="6FFF0E62"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Monto por ejercer</w:t>
      </w:r>
    </w:p>
    <w:p w14:paraId="26D7C4D5"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Presupuesto modificado</w:t>
      </w:r>
    </w:p>
    <w:p w14:paraId="3EA6E357" w14:textId="77777777" w:rsidR="00FC5E7C" w:rsidRPr="0064404B" w:rsidRDefault="00FC5E7C" w:rsidP="00534B69">
      <w:pPr>
        <w:pStyle w:val="Prrafodelista"/>
        <w:numPr>
          <w:ilvl w:val="0"/>
          <w:numId w:val="7"/>
        </w:numPr>
        <w:spacing w:line="360" w:lineRule="auto"/>
        <w:jc w:val="both"/>
        <w:rPr>
          <w:rFonts w:ascii="Palatino Linotype" w:hAnsi="Palatino Linotype"/>
        </w:rPr>
      </w:pPr>
      <w:r w:rsidRPr="0064404B">
        <w:rPr>
          <w:rFonts w:ascii="Palatino Linotype" w:hAnsi="Palatino Linotype"/>
        </w:rPr>
        <w:t xml:space="preserve">Otros </w:t>
      </w:r>
    </w:p>
    <w:p w14:paraId="0D63C9C6" w14:textId="10642DD0" w:rsidR="00FC5E7C" w:rsidRPr="0064404B" w:rsidRDefault="00FC5E7C" w:rsidP="00FC5E7C">
      <w:pPr>
        <w:spacing w:line="360" w:lineRule="auto"/>
        <w:jc w:val="both"/>
        <w:rPr>
          <w:rFonts w:ascii="Palatino Linotype" w:hAnsi="Palatino Linotype"/>
          <w:sz w:val="24"/>
          <w:szCs w:val="24"/>
        </w:rPr>
      </w:pPr>
      <w:r w:rsidRPr="0064404B">
        <w:rPr>
          <w:rFonts w:ascii="Palatino Linotype" w:hAnsi="Palatino Linotype"/>
          <w:sz w:val="24"/>
          <w:szCs w:val="24"/>
        </w:rPr>
        <w:t>Visto de esta forma, estos lineamientos son de observancia general para todos los servidores públicos de las entidades fiscalizables que desempeñen un empleo, cargo o comisión, de cualquier naturaleza en la administración pública municipal y que manejen recursos públicos como lo son los municipios; en atención a ello, el informe mensual deberá ser presentado al Órgano Superior de Fiscalización dentro de los 20 días posteriores al término del mes correspondiente de acuerdo a lo establecido en el artículo 32 de la Ley de Fiscalización Superior del Estado de México, que a la letra dice:</w:t>
      </w:r>
    </w:p>
    <w:p w14:paraId="48405E7C" w14:textId="77777777" w:rsidR="00FC5E7C" w:rsidRPr="0064404B" w:rsidRDefault="00FC5E7C" w:rsidP="00FC5E7C">
      <w:pPr>
        <w:spacing w:before="240" w:line="360" w:lineRule="auto"/>
        <w:ind w:left="851" w:right="851"/>
        <w:jc w:val="both"/>
        <w:rPr>
          <w:rFonts w:ascii="Palatino Linotype" w:hAnsi="Palatino Linotype"/>
          <w:i/>
        </w:rPr>
      </w:pPr>
      <w:r w:rsidRPr="0064404B">
        <w:rPr>
          <w:rFonts w:ascii="Palatino Linotype" w:hAnsi="Palatino Linotype"/>
          <w:b/>
          <w:i/>
        </w:rPr>
        <w:t>“Artículo 32.-</w:t>
      </w:r>
      <w:r w:rsidRPr="0064404B">
        <w:rPr>
          <w:rFonts w:ascii="Palatino Linotype" w:hAnsi="Palatino Linotype"/>
          <w:i/>
        </w:rPr>
        <w:t xml:space="preserve"> El Gobernador del Estado, por conducto del titular de la dependencia competente, presentará a la Legislatura la cuenta pública del Gobierno del Estado del ejercicio fiscal inmediato anterior, a más tardar el quince de mayo de cada año.</w:t>
      </w:r>
    </w:p>
    <w:p w14:paraId="6875A5AB" w14:textId="77777777" w:rsidR="00FC5E7C" w:rsidRPr="0064404B" w:rsidRDefault="00FC5E7C" w:rsidP="00FC5E7C">
      <w:pPr>
        <w:spacing w:before="240" w:line="360" w:lineRule="auto"/>
        <w:ind w:left="851" w:right="851"/>
        <w:jc w:val="both"/>
        <w:rPr>
          <w:rFonts w:ascii="Palatino Linotype" w:hAnsi="Palatino Linotype"/>
          <w:b/>
          <w:i/>
        </w:rPr>
      </w:pPr>
      <w:r w:rsidRPr="0064404B">
        <w:rPr>
          <w:rFonts w:ascii="Palatino Linotype" w:hAnsi="Palatino Linotype"/>
          <w:b/>
          <w:i/>
        </w:rPr>
        <w:t>Los Presidentes Municipales presentarán a la Legislatura las cuentas públicas anuales</w:t>
      </w:r>
      <w:r w:rsidRPr="0064404B">
        <w:rPr>
          <w:rFonts w:ascii="Palatino Linotype" w:hAnsi="Palatino Linotype"/>
          <w:i/>
        </w:rPr>
        <w:t xml:space="preserve"> de sus respectivos municipios, del ejercicio fiscal inmediato anterior, </w:t>
      </w:r>
      <w:r w:rsidRPr="0064404B">
        <w:rPr>
          <w:rFonts w:ascii="Palatino Linotype" w:hAnsi="Palatino Linotype"/>
          <w:b/>
          <w:i/>
        </w:rPr>
        <w:t>dentro de los quince primeros días del mes de marzo</w:t>
      </w:r>
      <w:r w:rsidRPr="0064404B">
        <w:rPr>
          <w:rFonts w:ascii="Palatino Linotype" w:hAnsi="Palatino Linotype"/>
          <w:i/>
        </w:rPr>
        <w:t xml:space="preserve"> de cada año; </w:t>
      </w:r>
      <w:r w:rsidRPr="0064404B">
        <w:rPr>
          <w:rFonts w:ascii="Palatino Linotype" w:hAnsi="Palatino Linotype"/>
          <w:b/>
          <w:i/>
        </w:rPr>
        <w:t>asimism</w:t>
      </w:r>
      <w:r w:rsidRPr="0064404B">
        <w:rPr>
          <w:rFonts w:ascii="Palatino Linotype" w:hAnsi="Palatino Linotype"/>
          <w:i/>
        </w:rPr>
        <w:t xml:space="preserve">o, </w:t>
      </w:r>
      <w:r w:rsidRPr="0064404B">
        <w:rPr>
          <w:rFonts w:ascii="Palatino Linotype" w:hAnsi="Palatino Linotype"/>
          <w:b/>
          <w:i/>
          <w:u w:val="single"/>
        </w:rPr>
        <w:t>los informes mensuales</w:t>
      </w:r>
      <w:r w:rsidRPr="0064404B">
        <w:rPr>
          <w:rFonts w:ascii="Palatino Linotype" w:hAnsi="Palatino Linotype"/>
          <w:i/>
        </w:rPr>
        <w:t xml:space="preserve"> los deberán presentar </w:t>
      </w:r>
      <w:r w:rsidRPr="0064404B">
        <w:rPr>
          <w:rFonts w:ascii="Palatino Linotype" w:hAnsi="Palatino Linotype"/>
          <w:b/>
          <w:i/>
          <w:u w:val="single"/>
        </w:rPr>
        <w:t xml:space="preserve">dentro de los veinte días posteriores al término del mes correspondiente.” </w:t>
      </w:r>
      <w:r w:rsidRPr="0064404B">
        <w:rPr>
          <w:rFonts w:ascii="Palatino Linotype" w:hAnsi="Palatino Linotype"/>
          <w:b/>
          <w:i/>
        </w:rPr>
        <w:t>[Sic]</w:t>
      </w:r>
    </w:p>
    <w:p w14:paraId="32B1597F" w14:textId="77777777" w:rsidR="00FC5E7C" w:rsidRPr="0064404B" w:rsidRDefault="00FC5E7C" w:rsidP="00FC5E7C">
      <w:pPr>
        <w:spacing w:line="360" w:lineRule="auto"/>
        <w:jc w:val="both"/>
        <w:rPr>
          <w:rFonts w:ascii="Palatino Linotype" w:hAnsi="Palatino Linotype" w:cs="Arial"/>
        </w:rPr>
      </w:pPr>
    </w:p>
    <w:p w14:paraId="5BF35189" w14:textId="5751D9C8" w:rsidR="00FC5E7C" w:rsidRPr="0064404B" w:rsidRDefault="00FC5E7C" w:rsidP="00FC5E7C">
      <w:pPr>
        <w:spacing w:line="360" w:lineRule="auto"/>
        <w:jc w:val="both"/>
        <w:rPr>
          <w:rFonts w:ascii="Palatino Linotype" w:hAnsi="Palatino Linotype" w:cs="Arial"/>
          <w:sz w:val="24"/>
          <w:szCs w:val="24"/>
        </w:rPr>
      </w:pPr>
      <w:r w:rsidRPr="0064404B">
        <w:rPr>
          <w:rFonts w:ascii="Palatino Linotype" w:hAnsi="Palatino Linotype" w:cs="Arial"/>
          <w:sz w:val="24"/>
          <w:szCs w:val="24"/>
        </w:rPr>
        <w:t xml:space="preserve">En este sentido se comprende que la postura del </w:t>
      </w:r>
      <w:r w:rsidRPr="0064404B">
        <w:rPr>
          <w:rFonts w:ascii="Palatino Linotype" w:hAnsi="Palatino Linotype" w:cs="Arial"/>
          <w:b/>
          <w:bCs/>
          <w:sz w:val="24"/>
          <w:szCs w:val="24"/>
        </w:rPr>
        <w:t xml:space="preserve">Sujeto Obligado </w:t>
      </w:r>
      <w:r w:rsidRPr="0064404B">
        <w:rPr>
          <w:rFonts w:ascii="Palatino Linotype" w:hAnsi="Palatino Linotype" w:cs="Arial"/>
          <w:sz w:val="24"/>
          <w:szCs w:val="24"/>
        </w:rPr>
        <w:t xml:space="preserve">redundó en declinar competencia de forma oportuna al </w:t>
      </w:r>
      <w:r w:rsidRPr="0064404B">
        <w:rPr>
          <w:rFonts w:ascii="Palatino Linotype" w:hAnsi="Palatino Linotype" w:cs="Arial"/>
          <w:b/>
          <w:bCs/>
          <w:sz w:val="24"/>
          <w:szCs w:val="24"/>
        </w:rPr>
        <w:t xml:space="preserve">Ayuntamiento de Naucalpan de Juárez, </w:t>
      </w:r>
      <w:r w:rsidR="00354286" w:rsidRPr="0064404B">
        <w:rPr>
          <w:rFonts w:ascii="Palatino Linotype" w:hAnsi="Palatino Linotype" w:cs="Arial"/>
          <w:sz w:val="24"/>
          <w:szCs w:val="24"/>
        </w:rPr>
        <w:t xml:space="preserve">al tratarse de un sujeto obligado competente en el ámbito municipal. </w:t>
      </w:r>
    </w:p>
    <w:p w14:paraId="000FEB15" w14:textId="77777777" w:rsidR="00354286" w:rsidRPr="0064404B" w:rsidRDefault="00354286" w:rsidP="00354286">
      <w:pPr>
        <w:spacing w:before="240" w:line="360" w:lineRule="auto"/>
        <w:jc w:val="both"/>
        <w:rPr>
          <w:rFonts w:ascii="Palatino Linotype" w:eastAsia="Palatino Linotype" w:hAnsi="Palatino Linotype" w:cs="Palatino Linotype"/>
          <w:sz w:val="24"/>
          <w:szCs w:val="24"/>
          <w:lang w:val="es-ES_tradnl"/>
        </w:rPr>
      </w:pPr>
      <w:r w:rsidRPr="0064404B">
        <w:rPr>
          <w:rFonts w:ascii="Palatino Linotype" w:hAnsi="Palatino Linotype" w:cs="Arial"/>
          <w:sz w:val="24"/>
          <w:szCs w:val="24"/>
        </w:rPr>
        <w:t>Bajo este contexto, se comprende que</w:t>
      </w:r>
      <w:r w:rsidRPr="0064404B">
        <w:rPr>
          <w:rFonts w:ascii="Palatino Linotype" w:hAnsi="Palatino Linotype" w:cs="Arial"/>
        </w:rPr>
        <w:t xml:space="preserve"> </w:t>
      </w:r>
      <w:r w:rsidRPr="0064404B">
        <w:rPr>
          <w:rFonts w:ascii="Palatino Linotype" w:eastAsia="Palatino Linotype" w:hAnsi="Palatino Linotype" w:cs="Palatino Linotype"/>
          <w:sz w:val="24"/>
          <w:szCs w:val="24"/>
          <w:lang w:val="es-ES_tradnl"/>
        </w:rPr>
        <w:t>ante las diversas solicitudes tanto de información pública como del ejercicio de los derechos ARCO, se tiene que, en ocasiones, los solicitantes interponen sus solicitudes ante un sujeto obligado que no es el que cuenta con las facultades, competencias o atribuciones para generar, poseer o administrar la información o datos solicitados.</w:t>
      </w:r>
    </w:p>
    <w:p w14:paraId="7DBA36FA" w14:textId="77777777" w:rsidR="00354286" w:rsidRPr="0064404B" w:rsidRDefault="00354286" w:rsidP="00354286">
      <w:pPr>
        <w:spacing w:line="360" w:lineRule="auto"/>
        <w:ind w:right="39"/>
        <w:jc w:val="both"/>
        <w:rPr>
          <w:rFonts w:ascii="Palatino Linotype" w:eastAsia="Palatino Linotype" w:hAnsi="Palatino Linotype" w:cs="Palatino Linotype"/>
          <w:sz w:val="24"/>
          <w:szCs w:val="24"/>
          <w:lang w:val="es-ES_tradnl"/>
        </w:rPr>
      </w:pPr>
      <w:r w:rsidRPr="0064404B">
        <w:rPr>
          <w:rFonts w:ascii="Palatino Linotype" w:eastAsia="Palatino Linotype" w:hAnsi="Palatino Linotype" w:cs="Palatino Linotype"/>
          <w:sz w:val="24"/>
          <w:szCs w:val="24"/>
          <w:lang w:val="es-ES_tradnl"/>
        </w:rPr>
        <w:t>Ante dicha situación, la Ley de Transparencia estatal prevé en su artículo 167, lo siguiente:</w:t>
      </w:r>
    </w:p>
    <w:p w14:paraId="6BDC176B" w14:textId="77777777" w:rsidR="00354286" w:rsidRPr="0064404B" w:rsidRDefault="00354286" w:rsidP="00354286">
      <w:pPr>
        <w:spacing w:line="360" w:lineRule="auto"/>
        <w:ind w:left="567" w:right="606"/>
        <w:jc w:val="both"/>
        <w:rPr>
          <w:rFonts w:ascii="Palatino Linotype" w:eastAsia="Palatino Linotype" w:hAnsi="Palatino Linotype" w:cs="Palatino Linotype"/>
          <w:b/>
          <w:bCs/>
          <w:i/>
          <w:iCs/>
          <w:sz w:val="24"/>
          <w:szCs w:val="24"/>
          <w:u w:val="single"/>
        </w:rPr>
      </w:pPr>
      <w:r w:rsidRPr="0064404B">
        <w:rPr>
          <w:rFonts w:ascii="Palatino Linotype" w:eastAsia="Palatino Linotype" w:hAnsi="Palatino Linotype" w:cs="Palatino Linotype"/>
          <w:b/>
          <w:i/>
          <w:iCs/>
          <w:sz w:val="24"/>
          <w:szCs w:val="24"/>
          <w:u w:val="single"/>
        </w:rPr>
        <w:t xml:space="preserve">“Artículo 167. </w:t>
      </w:r>
      <w:r w:rsidRPr="0064404B">
        <w:rPr>
          <w:rFonts w:ascii="Palatino Linotype" w:eastAsia="Palatino Linotype" w:hAnsi="Palatino Linotype" w:cs="Palatino Linotype"/>
          <w:b/>
          <w:bCs/>
          <w:i/>
          <w:iCs/>
          <w:sz w:val="24"/>
          <w:szCs w:val="24"/>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757B626C" w14:textId="77777777" w:rsidR="00354286" w:rsidRPr="0064404B" w:rsidRDefault="00354286" w:rsidP="00354286">
      <w:pPr>
        <w:spacing w:line="360" w:lineRule="auto"/>
        <w:ind w:left="567" w:right="606"/>
        <w:jc w:val="both"/>
        <w:rPr>
          <w:rFonts w:ascii="Palatino Linotype" w:eastAsia="Palatino Linotype" w:hAnsi="Palatino Linotype" w:cs="Palatino Linotype"/>
          <w:i/>
          <w:iCs/>
          <w:sz w:val="24"/>
          <w:szCs w:val="24"/>
        </w:rPr>
      </w:pPr>
      <w:r w:rsidRPr="0064404B">
        <w:rPr>
          <w:rFonts w:ascii="Palatino Linotype" w:eastAsia="Palatino Linotype" w:hAnsi="Palatino Linotype" w:cs="Palatino Linotype"/>
          <w:i/>
          <w:iCs/>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197BC17F" w14:textId="77777777" w:rsidR="00354286" w:rsidRPr="0064404B" w:rsidRDefault="00354286" w:rsidP="00354286">
      <w:pPr>
        <w:spacing w:line="360" w:lineRule="auto"/>
        <w:ind w:left="567" w:right="606"/>
        <w:jc w:val="both"/>
        <w:rPr>
          <w:rFonts w:ascii="Palatino Linotype" w:eastAsia="Palatino Linotype" w:hAnsi="Palatino Linotype" w:cs="Palatino Linotype"/>
          <w:b/>
          <w:bCs/>
          <w:i/>
          <w:iCs/>
          <w:sz w:val="24"/>
          <w:szCs w:val="24"/>
        </w:rPr>
      </w:pPr>
      <w:r w:rsidRPr="0064404B">
        <w:rPr>
          <w:rFonts w:ascii="Palatino Linotype" w:eastAsia="Palatino Linotype" w:hAnsi="Palatino Linotype" w:cs="Palatino Linotype"/>
          <w:i/>
          <w:iCs/>
          <w:sz w:val="24"/>
          <w:szCs w:val="24"/>
        </w:rPr>
        <w:t xml:space="preserve">Si transcurrido el plazo señalado en el primer párrafo de este artículo, el sujeto obligado no declina la competencia en los términos establecidos, podrá canalizar la solicitud ante el sujeto obligado competente.” </w:t>
      </w:r>
      <w:r w:rsidRPr="0064404B">
        <w:rPr>
          <w:rFonts w:ascii="Palatino Linotype" w:eastAsia="Palatino Linotype" w:hAnsi="Palatino Linotype" w:cs="Palatino Linotype"/>
          <w:b/>
          <w:bCs/>
          <w:i/>
          <w:iCs/>
          <w:sz w:val="24"/>
          <w:szCs w:val="24"/>
        </w:rPr>
        <w:t>(Sic)</w:t>
      </w:r>
    </w:p>
    <w:p w14:paraId="3BBAED25" w14:textId="77777777" w:rsidR="00354286" w:rsidRPr="0064404B" w:rsidRDefault="00354286" w:rsidP="00354286">
      <w:pPr>
        <w:spacing w:line="360" w:lineRule="auto"/>
        <w:ind w:right="39"/>
        <w:jc w:val="both"/>
        <w:rPr>
          <w:rFonts w:ascii="Palatino Linotype" w:eastAsia="Palatino Linotype" w:hAnsi="Palatino Linotype" w:cs="Palatino Linotype"/>
          <w:sz w:val="24"/>
          <w:szCs w:val="24"/>
          <w:lang w:val="es-ES_tradnl"/>
        </w:rPr>
      </w:pPr>
    </w:p>
    <w:p w14:paraId="0D286D46" w14:textId="77777777" w:rsidR="00354286" w:rsidRPr="0064404B" w:rsidRDefault="00354286" w:rsidP="00354286">
      <w:pPr>
        <w:spacing w:line="360" w:lineRule="auto"/>
        <w:ind w:right="39"/>
        <w:jc w:val="both"/>
        <w:rPr>
          <w:rFonts w:ascii="Palatino Linotype" w:eastAsia="Palatino Linotype" w:hAnsi="Palatino Linotype" w:cs="Palatino Linotype"/>
          <w:sz w:val="24"/>
          <w:szCs w:val="24"/>
          <w:lang w:val="es-ES_tradnl"/>
        </w:rPr>
      </w:pPr>
      <w:r w:rsidRPr="0064404B">
        <w:rPr>
          <w:rFonts w:ascii="Palatino Linotype" w:eastAsia="Palatino Linotype" w:hAnsi="Palatino Linotype" w:cs="Palatino Linotype"/>
          <w:sz w:val="24"/>
          <w:szCs w:val="24"/>
          <w:lang w:val="es-ES_tradnl"/>
        </w:rPr>
        <w:t>Del artículo en cita se desprenden las siguientes premisas:</w:t>
      </w:r>
    </w:p>
    <w:p w14:paraId="62F4DF2F" w14:textId="77777777" w:rsidR="00354286" w:rsidRPr="0064404B" w:rsidRDefault="00354286" w:rsidP="00534B69">
      <w:pPr>
        <w:pStyle w:val="Prrafodelista"/>
        <w:numPr>
          <w:ilvl w:val="0"/>
          <w:numId w:val="10"/>
        </w:numPr>
        <w:spacing w:line="360" w:lineRule="auto"/>
        <w:ind w:right="39"/>
        <w:contextualSpacing/>
        <w:jc w:val="both"/>
        <w:rPr>
          <w:rFonts w:ascii="Palatino Linotype" w:eastAsia="Palatino Linotype" w:hAnsi="Palatino Linotype" w:cs="Palatino Linotype"/>
          <w:lang w:val="es-ES_tradnl"/>
        </w:rPr>
      </w:pPr>
      <w:r w:rsidRPr="0064404B">
        <w:rPr>
          <w:rFonts w:ascii="Palatino Linotype" w:eastAsia="Palatino Linotype" w:hAnsi="Palatino Linotype" w:cs="Palatino Linotype"/>
          <w:lang w:val="es-ES_tradnl"/>
        </w:rPr>
        <w:t>Que en los supuestos en los que las unidades de transparencia determinen una notoria incompetencia, esta situación se deberá hacer del conocimiento del Recurrente en un término de tres días hábiles posteriores al ingreso de la solicitud y, de ser posible, orientarlo para que dirija su solicitud ante el sujeto obligado competente.</w:t>
      </w:r>
    </w:p>
    <w:p w14:paraId="6722F639" w14:textId="77777777" w:rsidR="00354286" w:rsidRPr="0064404B" w:rsidRDefault="00354286" w:rsidP="00534B69">
      <w:pPr>
        <w:pStyle w:val="Prrafodelista"/>
        <w:numPr>
          <w:ilvl w:val="0"/>
          <w:numId w:val="10"/>
        </w:numPr>
        <w:spacing w:line="360" w:lineRule="auto"/>
        <w:ind w:right="39"/>
        <w:contextualSpacing/>
        <w:jc w:val="both"/>
        <w:rPr>
          <w:rFonts w:ascii="Palatino Linotype" w:eastAsia="Palatino Linotype" w:hAnsi="Palatino Linotype" w:cs="Palatino Linotype"/>
          <w:lang w:val="es-ES_tradnl"/>
        </w:rPr>
      </w:pPr>
      <w:r w:rsidRPr="0064404B">
        <w:rPr>
          <w:rFonts w:ascii="Palatino Linotype" w:eastAsia="Palatino Linotype" w:hAnsi="Palatino Linotype" w:cs="Palatino Linotype"/>
          <w:lang w:val="es-ES_tradnl"/>
        </w:rPr>
        <w:t>Que si los sujetos obligados están facultados parcialmente para atender la solicitud están constreñidos a atender dicha parte y notificar la incompetencia en los términos señalados.</w:t>
      </w:r>
    </w:p>
    <w:p w14:paraId="434CD4FB" w14:textId="77777777" w:rsidR="00354286" w:rsidRPr="0064404B" w:rsidRDefault="00354286" w:rsidP="00534B69">
      <w:pPr>
        <w:pStyle w:val="Prrafodelista"/>
        <w:numPr>
          <w:ilvl w:val="0"/>
          <w:numId w:val="10"/>
        </w:numPr>
        <w:spacing w:line="360" w:lineRule="auto"/>
        <w:ind w:right="39"/>
        <w:contextualSpacing/>
        <w:jc w:val="both"/>
        <w:rPr>
          <w:rFonts w:ascii="Palatino Linotype" w:eastAsia="Palatino Linotype" w:hAnsi="Palatino Linotype" w:cs="Palatino Linotype"/>
          <w:lang w:val="es-ES_tradnl"/>
        </w:rPr>
      </w:pPr>
      <w:r w:rsidRPr="0064404B">
        <w:rPr>
          <w:rFonts w:ascii="Palatino Linotype" w:eastAsia="Palatino Linotype" w:hAnsi="Palatino Linotype" w:cs="Palatino Linotype"/>
          <w:lang w:val="es-ES_tradnl"/>
        </w:rPr>
        <w:t>Que una vez transcurridos los tres días establecidos y el sujeto obligado no ha declinado la competencia, puede canalizar la solicitud ante el sujeto obligado competente; empero, esto es potestativo.</w:t>
      </w:r>
    </w:p>
    <w:p w14:paraId="759366B7" w14:textId="77777777" w:rsidR="00354286" w:rsidRPr="0064404B" w:rsidRDefault="00354286" w:rsidP="00354286">
      <w:pPr>
        <w:spacing w:line="360" w:lineRule="auto"/>
        <w:ind w:right="39"/>
        <w:jc w:val="both"/>
        <w:rPr>
          <w:rFonts w:ascii="Palatino Linotype" w:eastAsia="Palatino Linotype" w:hAnsi="Palatino Linotype" w:cs="Palatino Linotype"/>
          <w:sz w:val="24"/>
          <w:szCs w:val="24"/>
          <w:lang w:val="es-ES_tradnl"/>
        </w:rPr>
      </w:pPr>
    </w:p>
    <w:p w14:paraId="32D869E6" w14:textId="77777777" w:rsidR="00354286" w:rsidRPr="0064404B" w:rsidRDefault="00354286" w:rsidP="00354286">
      <w:pPr>
        <w:spacing w:line="360" w:lineRule="auto"/>
        <w:ind w:right="39"/>
        <w:jc w:val="both"/>
        <w:rPr>
          <w:rFonts w:ascii="Palatino Linotype" w:eastAsia="Palatino Linotype" w:hAnsi="Palatino Linotype" w:cs="Palatino Linotype"/>
          <w:bCs/>
          <w:sz w:val="24"/>
          <w:szCs w:val="24"/>
        </w:rPr>
      </w:pPr>
      <w:r w:rsidRPr="0064404B">
        <w:rPr>
          <w:rFonts w:ascii="Palatino Linotype" w:eastAsia="Palatino Linotype" w:hAnsi="Palatino Linotype" w:cs="Palatino Linotype"/>
          <w:sz w:val="24"/>
          <w:szCs w:val="24"/>
          <w:lang w:val="es-ES_tradnl"/>
        </w:rPr>
        <w:t xml:space="preserve">En ese sentido, dicho artículo indica a los sujetos obligado el procedimiento que deben seguir en los supuestos en los que la incompetencia sea notoria o se trate de una incompetencia parcial; sin embargo, conviene resaltar el significado de «notorio», el cual el </w:t>
      </w:r>
      <w:r w:rsidRPr="0064404B">
        <w:rPr>
          <w:rFonts w:ascii="Palatino Linotype" w:eastAsia="Palatino Linotype" w:hAnsi="Palatino Linotype" w:cs="Palatino Linotype"/>
          <w:bCs/>
          <w:sz w:val="24"/>
          <w:szCs w:val="24"/>
        </w:rPr>
        <w:t>Diccionario de la Real Academia Española</w:t>
      </w:r>
      <w:r w:rsidRPr="0064404B">
        <w:rPr>
          <w:rFonts w:ascii="Palatino Linotype" w:eastAsia="Palatino Linotype" w:hAnsi="Palatino Linotype" w:cs="Palatino Linotype"/>
          <w:bCs/>
          <w:sz w:val="24"/>
          <w:szCs w:val="24"/>
          <w:vertAlign w:val="superscript"/>
        </w:rPr>
        <w:footnoteReference w:id="1"/>
      </w:r>
      <w:r w:rsidRPr="0064404B">
        <w:rPr>
          <w:rFonts w:ascii="Palatino Linotype" w:eastAsia="Palatino Linotype" w:hAnsi="Palatino Linotype" w:cs="Palatino Linotype"/>
          <w:bCs/>
          <w:sz w:val="24"/>
          <w:szCs w:val="24"/>
        </w:rPr>
        <w:t xml:space="preserve"> determinó lo siguiente:</w:t>
      </w:r>
    </w:p>
    <w:p w14:paraId="33637A4B" w14:textId="77777777" w:rsidR="00354286" w:rsidRPr="0064404B" w:rsidRDefault="00354286" w:rsidP="00354286">
      <w:pPr>
        <w:spacing w:line="360" w:lineRule="auto"/>
        <w:ind w:left="567" w:right="39"/>
        <w:jc w:val="both"/>
        <w:rPr>
          <w:rFonts w:ascii="Palatino Linotype" w:eastAsia="Palatino Linotype" w:hAnsi="Palatino Linotype" w:cs="Palatino Linotype"/>
          <w:b/>
          <w:bCs/>
          <w:i/>
          <w:sz w:val="24"/>
          <w:szCs w:val="24"/>
        </w:rPr>
      </w:pPr>
      <w:r w:rsidRPr="0064404B">
        <w:rPr>
          <w:rFonts w:ascii="Palatino Linotype" w:eastAsia="Palatino Linotype" w:hAnsi="Palatino Linotype" w:cs="Palatino Linotype"/>
          <w:b/>
          <w:bCs/>
          <w:i/>
          <w:sz w:val="24"/>
          <w:szCs w:val="24"/>
        </w:rPr>
        <w:t>“notorio, ria</w:t>
      </w:r>
    </w:p>
    <w:p w14:paraId="0A574BA4" w14:textId="77777777" w:rsidR="00354286" w:rsidRPr="0064404B" w:rsidRDefault="00354286" w:rsidP="00354286">
      <w:pPr>
        <w:spacing w:line="360" w:lineRule="auto"/>
        <w:ind w:left="567" w:right="39"/>
        <w:jc w:val="both"/>
        <w:rPr>
          <w:rFonts w:ascii="Palatino Linotype" w:eastAsia="Palatino Linotype" w:hAnsi="Palatino Linotype" w:cs="Palatino Linotype"/>
          <w:bCs/>
          <w:i/>
          <w:sz w:val="24"/>
          <w:szCs w:val="24"/>
        </w:rPr>
      </w:pPr>
      <w:r w:rsidRPr="0064404B">
        <w:rPr>
          <w:rFonts w:ascii="Palatino Linotype" w:eastAsia="Palatino Linotype" w:hAnsi="Palatino Linotype" w:cs="Palatino Linotype"/>
          <w:bCs/>
          <w:i/>
          <w:sz w:val="24"/>
          <w:szCs w:val="24"/>
        </w:rPr>
        <w:t xml:space="preserve">Del bajo latín </w:t>
      </w:r>
      <w:r w:rsidRPr="0064404B">
        <w:rPr>
          <w:rFonts w:ascii="Palatino Linotype" w:eastAsia="Palatino Linotype" w:hAnsi="Palatino Linotype" w:cs="Palatino Linotype"/>
          <w:bCs/>
          <w:sz w:val="24"/>
          <w:szCs w:val="24"/>
        </w:rPr>
        <w:t>notorius</w:t>
      </w:r>
      <w:r w:rsidRPr="0064404B">
        <w:rPr>
          <w:rFonts w:ascii="Palatino Linotype" w:eastAsia="Palatino Linotype" w:hAnsi="Palatino Linotype" w:cs="Palatino Linotype"/>
          <w:bCs/>
          <w:i/>
          <w:iCs/>
          <w:sz w:val="24"/>
          <w:szCs w:val="24"/>
        </w:rPr>
        <w:t>.</w:t>
      </w:r>
    </w:p>
    <w:p w14:paraId="51FD957D" w14:textId="77777777" w:rsidR="00354286" w:rsidRPr="0064404B" w:rsidRDefault="00354286" w:rsidP="00534B69">
      <w:pPr>
        <w:numPr>
          <w:ilvl w:val="0"/>
          <w:numId w:val="11"/>
        </w:numPr>
        <w:spacing w:after="0" w:line="360" w:lineRule="auto"/>
        <w:ind w:left="993" w:right="39"/>
        <w:jc w:val="both"/>
        <w:rPr>
          <w:rFonts w:ascii="Palatino Linotype" w:eastAsia="Palatino Linotype" w:hAnsi="Palatino Linotype" w:cs="Palatino Linotype"/>
          <w:bCs/>
          <w:i/>
          <w:sz w:val="24"/>
          <w:szCs w:val="24"/>
        </w:rPr>
      </w:pPr>
      <w:r w:rsidRPr="0064404B">
        <w:rPr>
          <w:rFonts w:ascii="Palatino Linotype" w:eastAsia="Palatino Linotype" w:hAnsi="Palatino Linotype" w:cs="Palatino Linotype"/>
          <w:bCs/>
          <w:i/>
          <w:sz w:val="24"/>
          <w:szCs w:val="24"/>
        </w:rPr>
        <w:t>adj. Público y sabido por todos.</w:t>
      </w:r>
    </w:p>
    <w:p w14:paraId="085CBE1F" w14:textId="77777777" w:rsidR="00354286" w:rsidRPr="0064404B" w:rsidRDefault="00354286" w:rsidP="00534B69">
      <w:pPr>
        <w:numPr>
          <w:ilvl w:val="0"/>
          <w:numId w:val="11"/>
        </w:numPr>
        <w:spacing w:after="0" w:line="360" w:lineRule="auto"/>
        <w:ind w:left="993" w:right="39"/>
        <w:jc w:val="both"/>
        <w:rPr>
          <w:rFonts w:ascii="Palatino Linotype" w:eastAsia="Palatino Linotype" w:hAnsi="Palatino Linotype" w:cs="Palatino Linotype"/>
          <w:bCs/>
          <w:i/>
          <w:sz w:val="24"/>
          <w:szCs w:val="24"/>
        </w:rPr>
      </w:pPr>
      <w:r w:rsidRPr="0064404B">
        <w:rPr>
          <w:rFonts w:ascii="Palatino Linotype" w:eastAsia="Palatino Linotype" w:hAnsi="Palatino Linotype" w:cs="Palatino Linotype"/>
          <w:bCs/>
          <w:i/>
          <w:sz w:val="24"/>
          <w:szCs w:val="24"/>
        </w:rPr>
        <w:t xml:space="preserve">adj. </w:t>
      </w:r>
      <w:r w:rsidRPr="0064404B">
        <w:rPr>
          <w:rFonts w:ascii="Palatino Linotype" w:eastAsia="Palatino Linotype" w:hAnsi="Palatino Linotype" w:cs="Palatino Linotype"/>
          <w:b/>
          <w:i/>
          <w:sz w:val="24"/>
          <w:szCs w:val="24"/>
          <w:u w:val="single"/>
        </w:rPr>
        <w:t>Claro, evidente</w:t>
      </w:r>
      <w:r w:rsidRPr="0064404B">
        <w:rPr>
          <w:rFonts w:ascii="Palatino Linotype" w:eastAsia="Palatino Linotype" w:hAnsi="Palatino Linotype" w:cs="Palatino Linotype"/>
          <w:bCs/>
          <w:i/>
          <w:sz w:val="24"/>
          <w:szCs w:val="24"/>
        </w:rPr>
        <w:t>.</w:t>
      </w:r>
    </w:p>
    <w:p w14:paraId="68F65957" w14:textId="77777777" w:rsidR="00354286" w:rsidRPr="0064404B" w:rsidRDefault="00354286" w:rsidP="00534B69">
      <w:pPr>
        <w:numPr>
          <w:ilvl w:val="0"/>
          <w:numId w:val="11"/>
        </w:numPr>
        <w:spacing w:after="0" w:line="360" w:lineRule="auto"/>
        <w:ind w:left="993" w:right="39"/>
        <w:jc w:val="both"/>
        <w:rPr>
          <w:rFonts w:ascii="Palatino Linotype" w:eastAsia="Palatino Linotype" w:hAnsi="Palatino Linotype" w:cs="Palatino Linotype"/>
          <w:bCs/>
          <w:i/>
          <w:sz w:val="24"/>
          <w:szCs w:val="24"/>
        </w:rPr>
      </w:pPr>
      <w:r w:rsidRPr="0064404B">
        <w:rPr>
          <w:rFonts w:ascii="Palatino Linotype" w:eastAsia="Palatino Linotype" w:hAnsi="Palatino Linotype" w:cs="Palatino Linotype"/>
          <w:bCs/>
          <w:i/>
          <w:sz w:val="24"/>
          <w:szCs w:val="24"/>
        </w:rPr>
        <w:t xml:space="preserve">adj. Importante, relevante o famoso.” </w:t>
      </w:r>
      <w:r w:rsidRPr="0064404B">
        <w:rPr>
          <w:rFonts w:ascii="Palatino Linotype" w:eastAsia="Palatino Linotype" w:hAnsi="Palatino Linotype" w:cs="Palatino Linotype"/>
          <w:b/>
          <w:i/>
          <w:sz w:val="24"/>
          <w:szCs w:val="24"/>
        </w:rPr>
        <w:t>(Sic)</w:t>
      </w:r>
    </w:p>
    <w:p w14:paraId="4DCE53A5" w14:textId="77777777" w:rsidR="00354286" w:rsidRPr="0064404B" w:rsidRDefault="00354286" w:rsidP="00354286">
      <w:pPr>
        <w:spacing w:line="360" w:lineRule="auto"/>
        <w:ind w:right="39"/>
        <w:jc w:val="both"/>
        <w:rPr>
          <w:rFonts w:ascii="Palatino Linotype" w:eastAsia="Palatino Linotype" w:hAnsi="Palatino Linotype" w:cs="Palatino Linotype"/>
          <w:bCs/>
          <w:sz w:val="24"/>
          <w:szCs w:val="24"/>
        </w:rPr>
      </w:pPr>
    </w:p>
    <w:p w14:paraId="7F6BB023" w14:textId="77777777" w:rsidR="00354286" w:rsidRPr="0064404B" w:rsidRDefault="00354286" w:rsidP="00354286">
      <w:pPr>
        <w:spacing w:line="360" w:lineRule="auto"/>
        <w:ind w:right="39"/>
        <w:jc w:val="both"/>
        <w:rPr>
          <w:rFonts w:ascii="Palatino Linotype" w:eastAsia="Palatino Linotype" w:hAnsi="Palatino Linotype" w:cs="Palatino Linotype"/>
          <w:bCs/>
          <w:sz w:val="24"/>
          <w:szCs w:val="24"/>
        </w:rPr>
      </w:pPr>
      <w:r w:rsidRPr="0064404B">
        <w:rPr>
          <w:rFonts w:ascii="Palatino Linotype" w:eastAsia="Palatino Linotype" w:hAnsi="Palatino Linotype" w:cs="Palatino Linotype"/>
          <w:bCs/>
          <w:sz w:val="24"/>
          <w:szCs w:val="24"/>
        </w:rPr>
        <w:t>Así, la segunda acepción de notorio es lo que resulta claro y evidente, por lo que se estima que existe una laguna legal debido a que la Ley de Transparencia Local no establece qué se debe llevar a cabo cuando la incompetencia no sea notoria, o bien cuando existan facultades concurrentes entre dos o más sujetos obligados para generar la información solicitada por los particulares.</w:t>
      </w:r>
    </w:p>
    <w:p w14:paraId="61512EB1" w14:textId="77777777" w:rsidR="00354286" w:rsidRPr="0064404B" w:rsidRDefault="00354286" w:rsidP="00354286">
      <w:pPr>
        <w:spacing w:line="360" w:lineRule="auto"/>
        <w:ind w:right="39"/>
        <w:jc w:val="both"/>
        <w:rPr>
          <w:rFonts w:ascii="Palatino Linotype" w:eastAsia="Palatino Linotype" w:hAnsi="Palatino Linotype" w:cs="Palatino Linotype"/>
          <w:bCs/>
          <w:sz w:val="24"/>
          <w:szCs w:val="24"/>
        </w:rPr>
      </w:pPr>
      <w:r w:rsidRPr="0064404B">
        <w:rPr>
          <w:rFonts w:ascii="Palatino Linotype" w:eastAsia="Palatino Linotype" w:hAnsi="Palatino Linotype" w:cs="Palatino Linotype"/>
          <w:bCs/>
          <w:sz w:val="24"/>
          <w:szCs w:val="24"/>
        </w:rPr>
        <w:t>Ante dicha laguna, el Pleno del Instituto realizó una interpretación a lo dispuesto en los artículos 49 fracción II y 167 de la Ley de la materia y se emitió el criterio reiterado 01/19, en el que se estableció lo siguiente:</w:t>
      </w:r>
    </w:p>
    <w:p w14:paraId="02791F6F" w14:textId="77777777" w:rsidR="00354286" w:rsidRPr="0064404B" w:rsidRDefault="00354286" w:rsidP="00354286">
      <w:pPr>
        <w:spacing w:line="360" w:lineRule="auto"/>
        <w:ind w:left="567" w:right="606"/>
        <w:jc w:val="both"/>
        <w:rPr>
          <w:rFonts w:ascii="Palatino Linotype" w:eastAsia="Palatino Linotype" w:hAnsi="Palatino Linotype" w:cs="Palatino Linotype"/>
          <w:b/>
          <w:i/>
          <w:iCs/>
          <w:sz w:val="24"/>
          <w:szCs w:val="24"/>
        </w:rPr>
      </w:pPr>
      <w:r w:rsidRPr="0064404B">
        <w:rPr>
          <w:rFonts w:ascii="Palatino Linotype" w:eastAsia="Palatino Linotype" w:hAnsi="Palatino Linotype" w:cs="Palatino Linotype"/>
          <w:b/>
          <w:i/>
          <w:iCs/>
          <w:sz w:val="24"/>
          <w:szCs w:val="24"/>
        </w:rPr>
        <w:t>“DECLARATORIA DE INCOMPETENCIA DEL SUJETO OBLIGADO. SUPUESTO PARA CONFIRMARLA POR ACUERDO DEL COMITÉ DE TRANSPARENCIA.</w:t>
      </w:r>
    </w:p>
    <w:p w14:paraId="7BB7A4B6" w14:textId="77777777" w:rsidR="00354286" w:rsidRPr="0064404B" w:rsidRDefault="00354286" w:rsidP="00354286">
      <w:pPr>
        <w:spacing w:line="360" w:lineRule="auto"/>
        <w:ind w:left="567" w:right="606"/>
        <w:jc w:val="both"/>
        <w:rPr>
          <w:rFonts w:ascii="Palatino Linotype" w:eastAsia="Palatino Linotype" w:hAnsi="Palatino Linotype" w:cs="Palatino Linotype"/>
          <w:b/>
          <w:i/>
          <w:iCs/>
          <w:sz w:val="24"/>
          <w:szCs w:val="24"/>
        </w:rPr>
      </w:pPr>
      <w:r w:rsidRPr="0064404B">
        <w:rPr>
          <w:rFonts w:ascii="Palatino Linotype" w:eastAsia="Palatino Linotype" w:hAnsi="Palatino Linotype" w:cs="Palatino Linotype"/>
          <w:bCs/>
          <w:i/>
          <w:iCs/>
          <w:sz w:val="24"/>
          <w:szCs w:val="24"/>
        </w:rPr>
        <w:t xml:space="preserve">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 </w:t>
      </w:r>
      <w:r w:rsidRPr="0064404B">
        <w:rPr>
          <w:rFonts w:ascii="Palatino Linotype" w:eastAsia="Palatino Linotype" w:hAnsi="Palatino Linotype" w:cs="Palatino Linotype"/>
          <w:b/>
          <w:i/>
          <w:iCs/>
          <w:sz w:val="24"/>
          <w:szCs w:val="24"/>
        </w:rPr>
        <w:t>(Sic)</w:t>
      </w:r>
    </w:p>
    <w:p w14:paraId="4F36CD95" w14:textId="77777777" w:rsidR="00354286" w:rsidRPr="0064404B" w:rsidRDefault="00354286" w:rsidP="00354286">
      <w:pPr>
        <w:spacing w:line="360" w:lineRule="auto"/>
        <w:ind w:right="39"/>
        <w:jc w:val="both"/>
        <w:rPr>
          <w:rFonts w:ascii="Palatino Linotype" w:eastAsia="Palatino Linotype" w:hAnsi="Palatino Linotype" w:cs="Palatino Linotype"/>
          <w:bCs/>
          <w:sz w:val="24"/>
          <w:szCs w:val="24"/>
        </w:rPr>
      </w:pPr>
    </w:p>
    <w:p w14:paraId="102E231C" w14:textId="39361EF0" w:rsidR="00354286" w:rsidRPr="0064404B" w:rsidRDefault="00A51FBB" w:rsidP="00354286">
      <w:pPr>
        <w:spacing w:line="360" w:lineRule="auto"/>
        <w:ind w:right="39"/>
        <w:jc w:val="both"/>
        <w:rPr>
          <w:rFonts w:ascii="Palatino Linotype" w:eastAsia="Palatino Linotype" w:hAnsi="Palatino Linotype" w:cs="Palatino Linotype"/>
          <w:bCs/>
          <w:sz w:val="24"/>
          <w:szCs w:val="24"/>
        </w:rPr>
      </w:pPr>
      <w:r w:rsidRPr="0064404B">
        <w:rPr>
          <w:rFonts w:ascii="Palatino Linotype" w:eastAsia="Palatino Linotype" w:hAnsi="Palatino Linotype" w:cs="Palatino Linotype"/>
          <w:bCs/>
          <w:sz w:val="24"/>
          <w:szCs w:val="24"/>
        </w:rPr>
        <w:t>Así</w:t>
      </w:r>
      <w:r w:rsidR="00354286" w:rsidRPr="0064404B">
        <w:rPr>
          <w:rFonts w:ascii="Palatino Linotype" w:eastAsia="Palatino Linotype" w:hAnsi="Palatino Linotype" w:cs="Palatino Linotype"/>
          <w:bCs/>
          <w:sz w:val="24"/>
          <w:szCs w:val="24"/>
        </w:rPr>
        <w:t xml:space="preserve"> se ha concluido que 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55059C46" w14:textId="77777777" w:rsidR="00354286" w:rsidRPr="0064404B" w:rsidRDefault="00354286" w:rsidP="00354286">
      <w:pPr>
        <w:spacing w:line="360" w:lineRule="auto"/>
        <w:ind w:right="39"/>
        <w:jc w:val="both"/>
        <w:rPr>
          <w:rFonts w:ascii="Palatino Linotype" w:eastAsia="Palatino Linotype" w:hAnsi="Palatino Linotype" w:cs="Palatino Linotype"/>
          <w:bCs/>
          <w:sz w:val="24"/>
          <w:szCs w:val="24"/>
        </w:rPr>
      </w:pPr>
      <w:r w:rsidRPr="0064404B">
        <w:rPr>
          <w:rFonts w:ascii="Palatino Linotype" w:eastAsia="Palatino Linotype" w:hAnsi="Palatino Linotype" w:cs="Palatino Linotype"/>
          <w:bCs/>
          <w:sz w:val="24"/>
          <w:szCs w:val="24"/>
        </w:rPr>
        <w:t xml:space="preserve">Cabe señalar que este Instituto también ordenaba la entrega del acuerdo del Comité de Transparencia también se ordena cuando los sujetos obligados no hacen del conocimiento la incompetencia dentro del término de tres días establecido en el artículo 167 referido anteriormente; no obstante, dado que la Ley de la materia no establece expresamente qué se debe realizar ante dicha situación, </w:t>
      </w:r>
      <w:r w:rsidRPr="0064404B">
        <w:rPr>
          <w:rFonts w:ascii="Palatino Linotype" w:eastAsia="Palatino Linotype" w:hAnsi="Palatino Linotype" w:cs="Palatino Linotype"/>
          <w:b/>
          <w:sz w:val="24"/>
          <w:szCs w:val="24"/>
        </w:rPr>
        <w:t xml:space="preserve">se estima </w:t>
      </w:r>
      <w:r w:rsidRPr="0064404B">
        <w:rPr>
          <w:rFonts w:ascii="Palatino Linotype" w:eastAsia="Palatino Linotype" w:hAnsi="Palatino Linotype" w:cs="Palatino Linotype"/>
          <w:bCs/>
          <w:sz w:val="24"/>
          <w:szCs w:val="24"/>
        </w:rPr>
        <w:t>innecesario continuar con el criterio de ordenar la entrega del acuerdo del Comité de Transparencia cuando los sujetos obligados rebasen los tres días y la incompetencia sea notoria, puesto que ordenar a los sujetos obligados emitir dicho acuerdo implica una carga a las autoridades en virtud de que la incompetencia ya fue declarada y ésta es clara y evidente.</w:t>
      </w:r>
    </w:p>
    <w:p w14:paraId="5348FE9F" w14:textId="77777777" w:rsidR="00354286" w:rsidRPr="0064404B" w:rsidRDefault="00354286" w:rsidP="00354286">
      <w:pPr>
        <w:spacing w:line="360" w:lineRule="auto"/>
        <w:ind w:right="39"/>
        <w:jc w:val="both"/>
        <w:rPr>
          <w:rFonts w:ascii="Palatino Linotype" w:eastAsia="Palatino Linotype" w:hAnsi="Palatino Linotype" w:cs="Palatino Linotype"/>
          <w:bCs/>
          <w:sz w:val="24"/>
          <w:szCs w:val="24"/>
          <w:lang w:val="es-ES"/>
        </w:rPr>
      </w:pPr>
      <w:r w:rsidRPr="0064404B">
        <w:rPr>
          <w:rFonts w:ascii="Palatino Linotype" w:eastAsia="Palatino Linotype" w:hAnsi="Palatino Linotype" w:cs="Palatino Linotype"/>
          <w:bCs/>
          <w:sz w:val="24"/>
          <w:szCs w:val="24"/>
          <w:lang w:val="es-ES"/>
        </w:rPr>
        <w:t>En conclusión, se estima que el acuerdo del Comité de Transparencia sólo debe ser ordenado cuando la incompetencia no sea notoria, o bien, cuando mediante el estudio correspondiente del caso en concreto se determine que existen facultades concurrentes entre dos o más sujetos obligados para generar, poseer o administrar la información solicitada.</w:t>
      </w:r>
    </w:p>
    <w:p w14:paraId="325D07C2" w14:textId="77777777" w:rsidR="00354286" w:rsidRPr="0064404B" w:rsidRDefault="00354286" w:rsidP="00354286">
      <w:pPr>
        <w:spacing w:before="240" w:line="360" w:lineRule="auto"/>
        <w:jc w:val="both"/>
        <w:rPr>
          <w:rFonts w:ascii="Palatino Linotype" w:eastAsia="Palatino Linotype" w:hAnsi="Palatino Linotype" w:cs="Palatino Linotype"/>
          <w:bCs/>
          <w:color w:val="000000"/>
        </w:rPr>
      </w:pPr>
      <w:r w:rsidRPr="0064404B">
        <w:rPr>
          <w:rFonts w:ascii="Palatino Linotype" w:eastAsia="Palatino Linotype" w:hAnsi="Palatino Linotype" w:cs="Palatino Linotype"/>
          <w:bCs/>
          <w:color w:val="000000"/>
          <w:sz w:val="24"/>
          <w:szCs w:val="24"/>
          <w:lang w:val="es-ES"/>
        </w:rPr>
        <w:t>De esta manera, en el caso en particular, la declinación de competencia no resulta suficiente para atender el derecho de acceso a la información.</w:t>
      </w:r>
      <w:r w:rsidRPr="0064404B">
        <w:rPr>
          <w:rFonts w:ascii="Palatino Linotype" w:eastAsia="Palatino Linotype" w:hAnsi="Palatino Linotype" w:cs="Palatino Linotype"/>
          <w:bCs/>
          <w:color w:val="000000"/>
        </w:rPr>
        <w:t xml:space="preserve"> </w:t>
      </w:r>
    </w:p>
    <w:p w14:paraId="228BC761" w14:textId="68035BCD" w:rsidR="00354286" w:rsidRPr="0064404B" w:rsidRDefault="00354286" w:rsidP="00354286">
      <w:pPr>
        <w:pStyle w:val="Sinespaciado"/>
        <w:spacing w:line="360" w:lineRule="auto"/>
        <w:jc w:val="both"/>
        <w:rPr>
          <w:rFonts w:ascii="Palatino Linotype" w:hAnsi="Palatino Linotype" w:cs="Arial"/>
        </w:rPr>
      </w:pPr>
      <w:r w:rsidRPr="0064404B">
        <w:rPr>
          <w:rFonts w:ascii="Palatino Linotype" w:hAnsi="Palatino Linotype" w:cs="Arial"/>
        </w:rPr>
        <w:t xml:space="preserve">En las generalizaciones anteriores, se arriba a la conclusión de que </w:t>
      </w:r>
      <w:r w:rsidRPr="0064404B">
        <w:rPr>
          <w:rFonts w:ascii="Palatino Linotype" w:hAnsi="Palatino Linotype" w:cs="Arial"/>
          <w:b/>
          <w:bCs/>
        </w:rPr>
        <w:t xml:space="preserve">El Sujeto Obligado </w:t>
      </w:r>
      <w:r w:rsidRPr="0064404B">
        <w:rPr>
          <w:rFonts w:ascii="Palatino Linotype" w:hAnsi="Palatino Linotype" w:cs="Arial"/>
        </w:rPr>
        <w:t xml:space="preserve">declinó competencia de forma oportuna, es decir, observó el plazo previsto en el numeral 167 de la Ley de Transparencia local. Sin embargo, no tomó en consideración que </w:t>
      </w:r>
      <w:r w:rsidR="00406805" w:rsidRPr="0064404B">
        <w:rPr>
          <w:rFonts w:ascii="Palatino Linotype" w:hAnsi="Palatino Linotype" w:cs="Arial"/>
        </w:rPr>
        <w:t>el derecho de acceso a la información pública engloba las actividades relativas a generar, poseer o administrar la información.</w:t>
      </w:r>
    </w:p>
    <w:p w14:paraId="5394D24E" w14:textId="255B2C93" w:rsidR="00354286" w:rsidRPr="0064404B" w:rsidRDefault="00354286" w:rsidP="00354286">
      <w:pPr>
        <w:spacing w:before="240" w:line="360" w:lineRule="auto"/>
        <w:jc w:val="both"/>
        <w:rPr>
          <w:rFonts w:ascii="Palatino Linotype" w:hAnsi="Palatino Linotype"/>
          <w:sz w:val="24"/>
          <w:szCs w:val="24"/>
        </w:rPr>
      </w:pPr>
      <w:r w:rsidRPr="0064404B">
        <w:rPr>
          <w:rFonts w:ascii="Palatino Linotype" w:hAnsi="Palatino Linotype"/>
          <w:sz w:val="24"/>
          <w:szCs w:val="24"/>
        </w:rPr>
        <w:t>En resumidas cuentas, frente a la concurrencia de facultades, resulta procedente ordenar una búsqueda exhaustiva y razonable y hacer entrega, en versión pública de ser procedente, de la siguiente información:</w:t>
      </w:r>
    </w:p>
    <w:p w14:paraId="5D4DA91F" w14:textId="77777777" w:rsidR="000F7118" w:rsidRPr="0064404B" w:rsidRDefault="000F7118" w:rsidP="00534B69">
      <w:pPr>
        <w:pStyle w:val="Prrafodelista"/>
        <w:numPr>
          <w:ilvl w:val="0"/>
          <w:numId w:val="12"/>
        </w:numPr>
        <w:autoSpaceDE w:val="0"/>
        <w:autoSpaceDN w:val="0"/>
        <w:adjustRightInd w:val="0"/>
        <w:spacing w:before="240" w:line="360" w:lineRule="auto"/>
        <w:jc w:val="both"/>
        <w:rPr>
          <w:rFonts w:ascii="Palatino Linotype" w:hAnsi="Palatino Linotype" w:cs="Arial"/>
          <w:i/>
          <w:iCs/>
        </w:rPr>
      </w:pPr>
      <w:bookmarkStart w:id="2" w:name="_Hlk194315488"/>
      <w:r w:rsidRPr="0064404B">
        <w:rPr>
          <w:rFonts w:ascii="Palatino Linotype" w:hAnsi="Palatino Linotype" w:cs="Arial"/>
        </w:rPr>
        <w:t xml:space="preserve">El o los documentos donde conste el estado financiero que guardan, monto y número, respecto de los contratos de obra pública celebrados por el Ayuntamiento de Naucalpan, del periodo comprendido del uno de enero de dos mil catorce al treinta y uno de diciembre de dos mil quince. </w:t>
      </w:r>
    </w:p>
    <w:p w14:paraId="63D2C58C" w14:textId="77777777" w:rsidR="000F7118" w:rsidRPr="0064404B" w:rsidRDefault="000F7118" w:rsidP="000F7118">
      <w:pPr>
        <w:pStyle w:val="Prrafodelista"/>
        <w:autoSpaceDE w:val="0"/>
        <w:autoSpaceDN w:val="0"/>
        <w:adjustRightInd w:val="0"/>
        <w:spacing w:before="240" w:line="360" w:lineRule="auto"/>
        <w:ind w:left="720"/>
        <w:jc w:val="both"/>
        <w:rPr>
          <w:rFonts w:ascii="Palatino Linotype" w:hAnsi="Palatino Linotype" w:cs="Arial"/>
        </w:rPr>
      </w:pPr>
    </w:p>
    <w:bookmarkEnd w:id="2"/>
    <w:p w14:paraId="458D2A19" w14:textId="77777777" w:rsidR="00354286" w:rsidRPr="0064404B" w:rsidRDefault="00354286" w:rsidP="00FC5E7C">
      <w:pPr>
        <w:spacing w:line="360" w:lineRule="auto"/>
        <w:jc w:val="both"/>
        <w:rPr>
          <w:rFonts w:ascii="Palatino Linotype" w:hAnsi="Palatino Linotype" w:cs="Arial"/>
          <w:sz w:val="24"/>
          <w:szCs w:val="24"/>
          <w:lang w:val="es-ES"/>
        </w:rPr>
      </w:pPr>
    </w:p>
    <w:p w14:paraId="0F153ECF" w14:textId="77777777" w:rsidR="00354286" w:rsidRPr="0064404B" w:rsidRDefault="00354286" w:rsidP="00354286">
      <w:pPr>
        <w:pStyle w:val="Citas"/>
        <w:ind w:left="0" w:right="-18"/>
        <w:rPr>
          <w:i w:val="0"/>
          <w:iCs/>
          <w:sz w:val="24"/>
          <w:szCs w:val="24"/>
        </w:rPr>
      </w:pPr>
      <w:r w:rsidRPr="0064404B">
        <w:rPr>
          <w:i w:val="0"/>
          <w:iCs/>
          <w:sz w:val="24"/>
          <w:szCs w:val="24"/>
        </w:rPr>
        <w:t xml:space="preserve">Siendo las cosas así, resulta óbice señalar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07B173C6" w14:textId="77777777" w:rsidR="00354286" w:rsidRPr="0064404B" w:rsidRDefault="00354286" w:rsidP="00354286">
      <w:pPr>
        <w:pStyle w:val="Sinespaciado"/>
        <w:autoSpaceDE w:val="0"/>
        <w:autoSpaceDN w:val="0"/>
        <w:adjustRightInd w:val="0"/>
        <w:spacing w:before="240" w:line="360" w:lineRule="auto"/>
        <w:jc w:val="both"/>
        <w:rPr>
          <w:rFonts w:ascii="Palatino Linotype" w:hAnsi="Palatino Linotype" w:cs="Arial"/>
        </w:rPr>
      </w:pPr>
      <w:r w:rsidRPr="0064404B">
        <w:rPr>
          <w:rFonts w:ascii="Palatino Linotype" w:hAnsi="Palatino Linotype"/>
          <w:iCs/>
          <w:lang w:val="es-ES"/>
        </w:rPr>
        <w:t xml:space="preserve">Por otra parte, es conveniente acotar que </w:t>
      </w:r>
      <w:r w:rsidRPr="0064404B">
        <w:rPr>
          <w:rFonts w:ascii="Palatino Linotype" w:hAnsi="Palatino Linotype"/>
        </w:rPr>
        <w:t xml:space="preserve">los soportes </w:t>
      </w:r>
      <w:r w:rsidRPr="0064404B">
        <w:rPr>
          <w:rFonts w:ascii="Palatino Linotype" w:hAnsi="Palatino Linotype" w:cs="Arial"/>
        </w:rPr>
        <w:t>generados por los entes públicos se encuentran supeditados a un ciclo vital de los documentos, por ello, una vez que los soportes generados se consideran como trámite concluido, pasan a formar parte del Archivo en Trámite por dos años; concluido el plazo, se transfieren al Archivo de Concentración para mantenerse ahí por un plazo de conservación de conservación precaucional de:</w:t>
      </w:r>
    </w:p>
    <w:p w14:paraId="3DB32F06" w14:textId="77777777" w:rsidR="00354286" w:rsidRPr="0064404B" w:rsidRDefault="00354286" w:rsidP="00534B69">
      <w:pPr>
        <w:pStyle w:val="Sinespaciado"/>
        <w:numPr>
          <w:ilvl w:val="0"/>
          <w:numId w:val="13"/>
        </w:numPr>
        <w:autoSpaceDE w:val="0"/>
        <w:autoSpaceDN w:val="0"/>
        <w:adjustRightInd w:val="0"/>
        <w:spacing w:before="240" w:line="360" w:lineRule="auto"/>
        <w:jc w:val="both"/>
        <w:rPr>
          <w:rFonts w:ascii="Palatino Linotype" w:hAnsi="Palatino Linotype" w:cs="Arial"/>
          <w:bCs/>
        </w:rPr>
      </w:pPr>
      <w:r w:rsidRPr="0064404B">
        <w:rPr>
          <w:rFonts w:ascii="Palatino Linotype" w:hAnsi="Palatino Linotype" w:cs="Arial"/>
          <w:bCs/>
        </w:rPr>
        <w:t xml:space="preserve">6 años para los expedientes con información administrativa. </w:t>
      </w:r>
    </w:p>
    <w:p w14:paraId="1E1FC695" w14:textId="77777777" w:rsidR="00354286" w:rsidRPr="0064404B" w:rsidRDefault="00354286" w:rsidP="00534B69">
      <w:pPr>
        <w:pStyle w:val="Sinespaciado"/>
        <w:numPr>
          <w:ilvl w:val="0"/>
          <w:numId w:val="13"/>
        </w:numPr>
        <w:autoSpaceDE w:val="0"/>
        <w:autoSpaceDN w:val="0"/>
        <w:adjustRightInd w:val="0"/>
        <w:spacing w:before="240" w:line="360" w:lineRule="auto"/>
        <w:jc w:val="both"/>
        <w:rPr>
          <w:rFonts w:ascii="Palatino Linotype" w:hAnsi="Palatino Linotype" w:cs="Arial"/>
          <w:bCs/>
        </w:rPr>
      </w:pPr>
      <w:r w:rsidRPr="0064404B">
        <w:rPr>
          <w:rFonts w:ascii="Palatino Linotype" w:hAnsi="Palatino Linotype" w:cs="Arial"/>
          <w:bCs/>
        </w:rPr>
        <w:t xml:space="preserve">6 años como mínimo para expedientes con información fiscal y presupuestal contable. </w:t>
      </w:r>
    </w:p>
    <w:p w14:paraId="44120DF5" w14:textId="77777777" w:rsidR="00354286" w:rsidRPr="0064404B" w:rsidRDefault="00354286" w:rsidP="00534B69">
      <w:pPr>
        <w:pStyle w:val="Sinespaciado"/>
        <w:numPr>
          <w:ilvl w:val="0"/>
          <w:numId w:val="13"/>
        </w:numPr>
        <w:autoSpaceDE w:val="0"/>
        <w:autoSpaceDN w:val="0"/>
        <w:adjustRightInd w:val="0"/>
        <w:spacing w:before="240" w:line="360" w:lineRule="auto"/>
        <w:jc w:val="both"/>
        <w:rPr>
          <w:rFonts w:ascii="Palatino Linotype" w:hAnsi="Palatino Linotype" w:cs="Arial"/>
        </w:rPr>
      </w:pPr>
      <w:r w:rsidRPr="0064404B">
        <w:rPr>
          <w:rFonts w:ascii="Palatino Linotype" w:hAnsi="Palatino Linotype" w:cs="Arial"/>
        </w:rPr>
        <w:t xml:space="preserve">12 años como mínimo para expedientes con información jurídico-legal, obra pública y activo fijo. </w:t>
      </w:r>
    </w:p>
    <w:p w14:paraId="03AE42F4" w14:textId="77777777" w:rsidR="00354286" w:rsidRPr="0064404B" w:rsidRDefault="00354286" w:rsidP="00354286">
      <w:pPr>
        <w:spacing w:before="240" w:line="360" w:lineRule="auto"/>
        <w:jc w:val="both"/>
        <w:rPr>
          <w:rFonts w:ascii="Palatino Linotype" w:hAnsi="Palatino Linotype" w:cs="Arial"/>
        </w:rPr>
      </w:pPr>
    </w:p>
    <w:p w14:paraId="4F4B410A" w14:textId="77777777" w:rsidR="00354286" w:rsidRPr="0064404B" w:rsidRDefault="00354286" w:rsidP="00354286">
      <w:pPr>
        <w:tabs>
          <w:tab w:val="left" w:pos="709"/>
        </w:tabs>
        <w:spacing w:after="0" w:line="360" w:lineRule="auto"/>
        <w:jc w:val="both"/>
        <w:rPr>
          <w:rFonts w:ascii="Palatino Linotype" w:hAnsi="Palatino Linotype"/>
          <w:sz w:val="24"/>
          <w:szCs w:val="24"/>
        </w:rPr>
      </w:pPr>
      <w:r w:rsidRPr="0064404B">
        <w:rPr>
          <w:rFonts w:ascii="Palatino Linotype" w:hAnsi="Palatino Linotype" w:cs="Arial"/>
          <w:sz w:val="24"/>
          <w:szCs w:val="24"/>
        </w:rPr>
        <w:t xml:space="preserve">Se comprende entonces que una vez que concluyen dichos periodos, los documentos pueden causar baja documental o bien, formar parte del Archivo Histórico. Debido a lo anterior, resulta necesario realizar la declaratoria de inexistencia de la información, la cual </w:t>
      </w:r>
      <w:r w:rsidRPr="0064404B">
        <w:rPr>
          <w:rFonts w:ascii="Palatino Linotype" w:hAnsi="Palatino Linotype"/>
          <w:iCs/>
          <w:sz w:val="24"/>
          <w:szCs w:val="24"/>
        </w:rPr>
        <w:t>deberá de realizarse</w:t>
      </w:r>
      <w:r w:rsidRPr="0064404B">
        <w:rPr>
          <w:rFonts w:ascii="Palatino Linotype" w:hAnsi="Palatino Linotype"/>
          <w:sz w:val="24"/>
          <w:szCs w:val="24"/>
        </w:rPr>
        <w:t xml:space="preserve"> conforme a lo establecido en lo dispuesto por los artículos 19, 49 fracciones II y XIII, 169 y 170 de la Ley de Transparencia y Acceso a la Información Pública del Estado de México y Municipios, cuyo contenido es el siguiente:</w:t>
      </w:r>
    </w:p>
    <w:p w14:paraId="150AF188" w14:textId="77777777" w:rsidR="00354286" w:rsidRPr="0064404B" w:rsidRDefault="00354286" w:rsidP="00354286">
      <w:pPr>
        <w:tabs>
          <w:tab w:val="left" w:pos="709"/>
        </w:tabs>
        <w:spacing w:before="240" w:line="360" w:lineRule="auto"/>
        <w:ind w:left="851" w:right="851"/>
        <w:jc w:val="both"/>
        <w:rPr>
          <w:rFonts w:ascii="Palatino Linotype" w:hAnsi="Palatino Linotype"/>
          <w:i/>
          <w:szCs w:val="24"/>
        </w:rPr>
      </w:pPr>
      <w:r w:rsidRPr="0064404B">
        <w:rPr>
          <w:rFonts w:ascii="Palatino Linotype" w:hAnsi="Palatino Linotype"/>
          <w:b/>
          <w:bCs/>
          <w:i/>
          <w:iCs/>
          <w:szCs w:val="24"/>
        </w:rPr>
        <w:t xml:space="preserve">“Artículo 19. </w:t>
      </w:r>
      <w:r w:rsidRPr="0064404B">
        <w:rPr>
          <w:rFonts w:ascii="Palatino Linotype" w:hAnsi="Palatino Linotype"/>
          <w:b/>
          <w:i/>
          <w:iCs/>
          <w:szCs w:val="24"/>
          <w:u w:val="single"/>
        </w:rPr>
        <w:t>Se presume que la información debe existir si se refiere a las facultades, competencias y funciones que los ordenamientos jurídicos aplicables otorgan a los sujetos obligados.</w:t>
      </w:r>
      <w:r w:rsidRPr="0064404B">
        <w:rPr>
          <w:rFonts w:ascii="Palatino Linotype" w:hAnsi="Palatino Linotype"/>
          <w:i/>
          <w:iCs/>
          <w:szCs w:val="24"/>
          <w:u w:val="single"/>
        </w:rPr>
        <w:t> </w:t>
      </w:r>
    </w:p>
    <w:p w14:paraId="5FE09A2A" w14:textId="77777777" w:rsidR="00354286" w:rsidRPr="0064404B" w:rsidRDefault="00354286" w:rsidP="00354286">
      <w:pPr>
        <w:tabs>
          <w:tab w:val="left" w:pos="709"/>
        </w:tabs>
        <w:spacing w:before="240" w:line="360" w:lineRule="auto"/>
        <w:ind w:left="851" w:right="851"/>
        <w:jc w:val="both"/>
        <w:rPr>
          <w:rFonts w:ascii="Palatino Linotype" w:hAnsi="Palatino Linotype"/>
          <w:b/>
          <w:i/>
          <w:szCs w:val="24"/>
        </w:rPr>
      </w:pPr>
      <w:r w:rsidRPr="0064404B">
        <w:rPr>
          <w:rFonts w:ascii="Palatino Linotype" w:hAnsi="Palatino Linotype"/>
          <w:b/>
          <w:i/>
          <w:iCs/>
          <w:szCs w:val="24"/>
        </w:rPr>
        <w:t>(…)</w:t>
      </w:r>
    </w:p>
    <w:p w14:paraId="46871A18" w14:textId="77777777" w:rsidR="00354286" w:rsidRPr="0064404B" w:rsidRDefault="00354286" w:rsidP="00354286">
      <w:pPr>
        <w:tabs>
          <w:tab w:val="left" w:pos="709"/>
        </w:tabs>
        <w:spacing w:before="240" w:line="360" w:lineRule="auto"/>
        <w:ind w:left="851" w:right="851"/>
        <w:jc w:val="both"/>
        <w:rPr>
          <w:rFonts w:ascii="Palatino Linotype" w:hAnsi="Palatino Linotype"/>
          <w:i/>
          <w:szCs w:val="24"/>
        </w:rPr>
      </w:pPr>
      <w:r w:rsidRPr="0064404B">
        <w:rPr>
          <w:rFonts w:ascii="Palatino Linotype" w:hAnsi="Palatino Linotype"/>
          <w:i/>
          <w:iCs/>
          <w:szCs w:val="24"/>
        </w:rPr>
        <w:t xml:space="preserve">Si el sujeto obligado, en el ejercicio de sus atribuciones, debía generar, poseer o administrar la información, pero ésta no se encuentra, </w:t>
      </w:r>
      <w:r w:rsidRPr="0064404B">
        <w:rPr>
          <w:rFonts w:ascii="Palatino Linotype" w:hAnsi="Palatino Linotype"/>
          <w:b/>
          <w:i/>
          <w:iCs/>
          <w:szCs w:val="24"/>
          <w:u w:val="single"/>
        </w:rPr>
        <w:t>el Comité de transparencia deberá emitir un acuerdo de inexistencia, debidamente fundado y motivado, en el que detalle las razones del por qué no obra en sus archivos.</w:t>
      </w:r>
    </w:p>
    <w:p w14:paraId="4800E695" w14:textId="77777777" w:rsidR="00354286" w:rsidRPr="0064404B" w:rsidRDefault="00354286" w:rsidP="00354286">
      <w:pPr>
        <w:tabs>
          <w:tab w:val="left" w:pos="709"/>
        </w:tabs>
        <w:spacing w:before="240" w:line="360" w:lineRule="auto"/>
        <w:ind w:left="851" w:right="851"/>
        <w:jc w:val="both"/>
        <w:rPr>
          <w:rFonts w:ascii="Palatino Linotype" w:hAnsi="Palatino Linotype"/>
          <w:i/>
          <w:szCs w:val="24"/>
        </w:rPr>
      </w:pPr>
      <w:r w:rsidRPr="0064404B">
        <w:rPr>
          <w:rFonts w:ascii="Palatino Linotype" w:hAnsi="Palatino Linotype"/>
          <w:b/>
          <w:bCs/>
          <w:i/>
          <w:iCs/>
          <w:szCs w:val="24"/>
        </w:rPr>
        <w:t>Artículo 49.</w:t>
      </w:r>
      <w:r w:rsidRPr="0064404B">
        <w:rPr>
          <w:rFonts w:ascii="Palatino Linotype" w:hAnsi="Palatino Linotype"/>
          <w:i/>
          <w:iCs/>
          <w:szCs w:val="24"/>
        </w:rPr>
        <w:t xml:space="preserve"> Los </w:t>
      </w:r>
      <w:r w:rsidRPr="0064404B">
        <w:rPr>
          <w:rFonts w:ascii="Palatino Linotype" w:hAnsi="Palatino Linotype"/>
          <w:b/>
          <w:i/>
          <w:iCs/>
          <w:szCs w:val="24"/>
          <w:u w:val="single"/>
        </w:rPr>
        <w:t>Comités de Transparencia</w:t>
      </w:r>
      <w:r w:rsidRPr="0064404B">
        <w:rPr>
          <w:rFonts w:ascii="Palatino Linotype" w:hAnsi="Palatino Linotype"/>
          <w:i/>
          <w:iCs/>
          <w:szCs w:val="24"/>
          <w:u w:val="single"/>
        </w:rPr>
        <w:t xml:space="preserve"> </w:t>
      </w:r>
      <w:r w:rsidRPr="0064404B">
        <w:rPr>
          <w:rFonts w:ascii="Palatino Linotype" w:hAnsi="Palatino Linotype"/>
          <w:i/>
          <w:iCs/>
          <w:szCs w:val="24"/>
        </w:rPr>
        <w:t>tendrán las siguientes atribuciones:</w:t>
      </w:r>
    </w:p>
    <w:p w14:paraId="659AB021" w14:textId="77777777" w:rsidR="00354286" w:rsidRPr="0064404B" w:rsidRDefault="00354286" w:rsidP="00354286">
      <w:pPr>
        <w:tabs>
          <w:tab w:val="left" w:pos="709"/>
        </w:tabs>
        <w:spacing w:before="240" w:line="360" w:lineRule="auto"/>
        <w:ind w:left="851" w:right="851"/>
        <w:jc w:val="both"/>
        <w:rPr>
          <w:rFonts w:ascii="Palatino Linotype" w:hAnsi="Palatino Linotype"/>
          <w:i/>
          <w:szCs w:val="24"/>
        </w:rPr>
      </w:pPr>
      <w:r w:rsidRPr="0064404B">
        <w:rPr>
          <w:rFonts w:ascii="Palatino Linotype" w:hAnsi="Palatino Linotype"/>
          <w:b/>
          <w:i/>
          <w:szCs w:val="24"/>
        </w:rPr>
        <w:t>II.</w:t>
      </w:r>
      <w:r w:rsidRPr="0064404B">
        <w:rPr>
          <w:rFonts w:ascii="Palatino Linotype" w:hAnsi="Palatino Linotype"/>
          <w:i/>
          <w:szCs w:val="24"/>
        </w:rPr>
        <w:t xml:space="preserve"> Confirmar, modificar o revocar las determinaciones que en materia de ampliación del plazo de respuesta, clasificación de la información</w:t>
      </w:r>
      <w:r w:rsidRPr="0064404B">
        <w:rPr>
          <w:rFonts w:ascii="Palatino Linotype" w:hAnsi="Palatino Linotype"/>
          <w:i/>
          <w:szCs w:val="24"/>
          <w:u w:val="single"/>
        </w:rPr>
        <w:t xml:space="preserve"> </w:t>
      </w:r>
      <w:r w:rsidRPr="0064404B">
        <w:rPr>
          <w:rFonts w:ascii="Palatino Linotype" w:hAnsi="Palatino Linotype"/>
          <w:b/>
          <w:i/>
          <w:szCs w:val="24"/>
          <w:u w:val="single"/>
        </w:rPr>
        <w:t>y declaración de inexistencia</w:t>
      </w:r>
      <w:r w:rsidRPr="0064404B">
        <w:rPr>
          <w:rFonts w:ascii="Palatino Linotype" w:hAnsi="Palatino Linotype"/>
          <w:i/>
          <w:szCs w:val="24"/>
          <w:u w:val="single"/>
        </w:rPr>
        <w:t xml:space="preserve"> </w:t>
      </w:r>
      <w:r w:rsidRPr="0064404B">
        <w:rPr>
          <w:rFonts w:ascii="Palatino Linotype" w:hAnsi="Palatino Linotype"/>
          <w:i/>
          <w:szCs w:val="24"/>
        </w:rPr>
        <w:t>o de incompetencia realicen los titulares de las áreas de los sujetos obligados;</w:t>
      </w:r>
    </w:p>
    <w:p w14:paraId="7A63BF32" w14:textId="77777777" w:rsidR="00354286" w:rsidRPr="0064404B" w:rsidRDefault="00354286" w:rsidP="00354286">
      <w:pPr>
        <w:tabs>
          <w:tab w:val="left" w:pos="709"/>
        </w:tabs>
        <w:spacing w:before="240" w:line="360" w:lineRule="auto"/>
        <w:ind w:left="851" w:right="851"/>
        <w:jc w:val="both"/>
        <w:rPr>
          <w:rFonts w:ascii="Palatino Linotype" w:hAnsi="Palatino Linotype"/>
          <w:b/>
          <w:i/>
          <w:szCs w:val="24"/>
        </w:rPr>
      </w:pPr>
      <w:r w:rsidRPr="0064404B">
        <w:rPr>
          <w:rFonts w:ascii="Palatino Linotype" w:hAnsi="Palatino Linotype"/>
          <w:b/>
          <w:i/>
          <w:szCs w:val="24"/>
        </w:rPr>
        <w:t xml:space="preserve">XIII. </w:t>
      </w:r>
      <w:r w:rsidRPr="0064404B">
        <w:rPr>
          <w:rFonts w:ascii="Palatino Linotype" w:hAnsi="Palatino Linotype"/>
          <w:b/>
          <w:i/>
          <w:szCs w:val="24"/>
          <w:u w:val="single"/>
        </w:rPr>
        <w:t>Dictaminar las declaratorias de inexistencia de la información que les remitan las unidades administrativas y resolver en consecuencia</w:t>
      </w:r>
      <w:r w:rsidRPr="0064404B">
        <w:rPr>
          <w:rFonts w:ascii="Palatino Linotype" w:hAnsi="Palatino Linotype"/>
          <w:b/>
          <w:i/>
          <w:szCs w:val="24"/>
        </w:rPr>
        <w:t>;</w:t>
      </w:r>
    </w:p>
    <w:p w14:paraId="5FAADFDE" w14:textId="77777777" w:rsidR="00354286" w:rsidRPr="0064404B" w:rsidRDefault="00354286" w:rsidP="00354286">
      <w:pPr>
        <w:tabs>
          <w:tab w:val="left" w:pos="709"/>
        </w:tabs>
        <w:spacing w:before="240" w:line="360" w:lineRule="auto"/>
        <w:ind w:left="851" w:right="851"/>
        <w:jc w:val="both"/>
        <w:rPr>
          <w:rFonts w:ascii="Palatino Linotype" w:hAnsi="Palatino Linotype"/>
          <w:i/>
          <w:szCs w:val="24"/>
        </w:rPr>
      </w:pPr>
      <w:r w:rsidRPr="0064404B">
        <w:rPr>
          <w:rFonts w:ascii="Palatino Linotype" w:hAnsi="Palatino Linotype"/>
          <w:b/>
          <w:i/>
          <w:szCs w:val="24"/>
        </w:rPr>
        <w:t xml:space="preserve">Artículo 169. </w:t>
      </w:r>
      <w:r w:rsidRPr="0064404B">
        <w:rPr>
          <w:rFonts w:ascii="Palatino Linotype" w:hAnsi="Palatino Linotype"/>
          <w:i/>
          <w:szCs w:val="24"/>
        </w:rPr>
        <w:t>Cuando la información no se encuentre en los archivos del sujeto obligado, el Comité de Transparencia:</w:t>
      </w:r>
    </w:p>
    <w:p w14:paraId="395B277C" w14:textId="77777777" w:rsidR="00354286" w:rsidRPr="0064404B" w:rsidRDefault="00354286" w:rsidP="00354286">
      <w:pPr>
        <w:tabs>
          <w:tab w:val="left" w:pos="709"/>
        </w:tabs>
        <w:spacing w:before="240" w:line="360" w:lineRule="auto"/>
        <w:ind w:left="851" w:right="851"/>
        <w:jc w:val="both"/>
        <w:rPr>
          <w:rFonts w:ascii="Palatino Linotype" w:hAnsi="Palatino Linotype"/>
          <w:b/>
          <w:i/>
          <w:szCs w:val="24"/>
        </w:rPr>
      </w:pPr>
      <w:r w:rsidRPr="0064404B">
        <w:rPr>
          <w:rFonts w:ascii="Palatino Linotype" w:hAnsi="Palatino Linotype"/>
          <w:b/>
          <w:bCs/>
          <w:i/>
          <w:szCs w:val="24"/>
        </w:rPr>
        <w:t xml:space="preserve">I. </w:t>
      </w:r>
      <w:r w:rsidRPr="0064404B">
        <w:rPr>
          <w:rFonts w:ascii="Palatino Linotype" w:hAnsi="Palatino Linotype"/>
          <w:i/>
          <w:szCs w:val="24"/>
        </w:rPr>
        <w:t>Analizará el caso y tomará las medidas necesarias para localizar la información;</w:t>
      </w:r>
    </w:p>
    <w:p w14:paraId="79067FBC" w14:textId="77777777" w:rsidR="00354286" w:rsidRPr="0064404B" w:rsidRDefault="00354286" w:rsidP="00354286">
      <w:pPr>
        <w:tabs>
          <w:tab w:val="left" w:pos="709"/>
        </w:tabs>
        <w:spacing w:before="240" w:line="360" w:lineRule="auto"/>
        <w:ind w:left="851" w:right="851"/>
        <w:jc w:val="both"/>
        <w:rPr>
          <w:rFonts w:ascii="Palatino Linotype" w:hAnsi="Palatino Linotype"/>
          <w:b/>
          <w:i/>
          <w:szCs w:val="24"/>
        </w:rPr>
      </w:pPr>
      <w:r w:rsidRPr="0064404B">
        <w:rPr>
          <w:rFonts w:ascii="Palatino Linotype" w:hAnsi="Palatino Linotype"/>
          <w:b/>
          <w:bCs/>
          <w:i/>
          <w:szCs w:val="24"/>
        </w:rPr>
        <w:t xml:space="preserve">II. </w:t>
      </w:r>
      <w:r w:rsidRPr="0064404B">
        <w:rPr>
          <w:rFonts w:ascii="Palatino Linotype" w:hAnsi="Palatino Linotype"/>
          <w:b/>
          <w:i/>
          <w:szCs w:val="24"/>
          <w:u w:val="single"/>
        </w:rPr>
        <w:t>Expedirá una resolución que confirme la inexistencia del documento;</w:t>
      </w:r>
    </w:p>
    <w:p w14:paraId="095F3846" w14:textId="77777777" w:rsidR="00354286" w:rsidRPr="0064404B" w:rsidRDefault="00354286" w:rsidP="00354286">
      <w:pPr>
        <w:tabs>
          <w:tab w:val="left" w:pos="709"/>
        </w:tabs>
        <w:spacing w:before="240" w:line="360" w:lineRule="auto"/>
        <w:ind w:left="851" w:right="851"/>
        <w:jc w:val="both"/>
        <w:rPr>
          <w:rFonts w:ascii="Palatino Linotype" w:hAnsi="Palatino Linotype"/>
          <w:b/>
          <w:i/>
          <w:szCs w:val="24"/>
        </w:rPr>
      </w:pPr>
      <w:r w:rsidRPr="0064404B">
        <w:rPr>
          <w:rFonts w:ascii="Palatino Linotype" w:hAnsi="Palatino Linotype"/>
          <w:b/>
          <w:bCs/>
          <w:i/>
          <w:szCs w:val="24"/>
        </w:rPr>
        <w:t xml:space="preserve">III. </w:t>
      </w:r>
      <w:r w:rsidRPr="0064404B">
        <w:rPr>
          <w:rFonts w:ascii="Palatino Linotype" w:hAnsi="Palatino Linotype"/>
          <w:i/>
          <w:szCs w:val="24"/>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4FE9B57" w14:textId="77777777" w:rsidR="00354286" w:rsidRPr="0064404B" w:rsidRDefault="00354286" w:rsidP="00354286">
      <w:pPr>
        <w:tabs>
          <w:tab w:val="left" w:pos="709"/>
        </w:tabs>
        <w:spacing w:before="240" w:line="360" w:lineRule="auto"/>
        <w:ind w:left="851" w:right="851"/>
        <w:jc w:val="both"/>
        <w:rPr>
          <w:rFonts w:ascii="Palatino Linotype" w:hAnsi="Palatino Linotype"/>
          <w:i/>
          <w:szCs w:val="24"/>
        </w:rPr>
      </w:pPr>
      <w:r w:rsidRPr="0064404B">
        <w:rPr>
          <w:rFonts w:ascii="Palatino Linotype" w:hAnsi="Palatino Linotype"/>
          <w:b/>
          <w:bCs/>
          <w:i/>
          <w:szCs w:val="24"/>
        </w:rPr>
        <w:t xml:space="preserve">IV. </w:t>
      </w:r>
      <w:r w:rsidRPr="0064404B">
        <w:rPr>
          <w:rFonts w:ascii="Palatino Linotype" w:hAnsi="Palatino Linotype"/>
          <w:i/>
          <w:szCs w:val="24"/>
        </w:rPr>
        <w:t>Notificará al órgano interno de control o equivalente del sujeto obligado quien, en su caso, deberá iniciar el procedimiento de responsabilidad administrativa que corresponda.</w:t>
      </w:r>
    </w:p>
    <w:p w14:paraId="569A1E23" w14:textId="77777777" w:rsidR="00354286" w:rsidRPr="0064404B" w:rsidRDefault="00354286" w:rsidP="00354286">
      <w:pPr>
        <w:tabs>
          <w:tab w:val="left" w:pos="709"/>
        </w:tabs>
        <w:spacing w:before="240" w:line="360" w:lineRule="auto"/>
        <w:ind w:left="851" w:right="851"/>
        <w:jc w:val="both"/>
        <w:rPr>
          <w:rFonts w:ascii="Palatino Linotype" w:hAnsi="Palatino Linotype"/>
          <w:i/>
          <w:szCs w:val="24"/>
        </w:rPr>
      </w:pPr>
      <w:r w:rsidRPr="0064404B">
        <w:rPr>
          <w:rFonts w:ascii="Palatino Linotype" w:hAnsi="Palatino Linotype"/>
          <w:i/>
          <w:szCs w:val="24"/>
        </w:rPr>
        <w:t>La Unidad de Transparencia deberá notificarlo al solicitante por escrito, en un plazo que no exceda de quince días hábiles contados a partir del día siguiente a la presentación de la solicitud.</w:t>
      </w:r>
    </w:p>
    <w:p w14:paraId="71831421" w14:textId="77777777" w:rsidR="00354286" w:rsidRPr="0064404B" w:rsidRDefault="00354286" w:rsidP="00354286">
      <w:pPr>
        <w:tabs>
          <w:tab w:val="left" w:pos="709"/>
        </w:tabs>
        <w:spacing w:before="240" w:line="360" w:lineRule="auto"/>
        <w:ind w:left="851" w:right="851"/>
        <w:jc w:val="both"/>
        <w:rPr>
          <w:rFonts w:ascii="Palatino Linotype" w:hAnsi="Palatino Linotype"/>
          <w:i/>
          <w:szCs w:val="24"/>
        </w:rPr>
      </w:pPr>
      <w:r w:rsidRPr="0064404B">
        <w:rPr>
          <w:rFonts w:ascii="Palatino Linotype" w:hAnsi="Palatino Linotype"/>
          <w:i/>
          <w:szCs w:val="24"/>
        </w:rPr>
        <w:t>Este plazo podrá ampliarse hasta por otros siete días hábiles, siempre que existan razones para ello, debiendo notificarse por escrito al solicitante.</w:t>
      </w:r>
    </w:p>
    <w:p w14:paraId="4CA83A03" w14:textId="77777777" w:rsidR="00354286" w:rsidRPr="0064404B" w:rsidRDefault="00354286" w:rsidP="00354286">
      <w:pPr>
        <w:tabs>
          <w:tab w:val="left" w:pos="709"/>
        </w:tabs>
        <w:spacing w:before="240" w:line="360" w:lineRule="auto"/>
        <w:ind w:left="851" w:right="851"/>
        <w:jc w:val="both"/>
        <w:rPr>
          <w:rFonts w:ascii="Palatino Linotype" w:hAnsi="Palatino Linotype"/>
          <w:b/>
          <w:i/>
          <w:szCs w:val="24"/>
        </w:rPr>
      </w:pPr>
      <w:r w:rsidRPr="0064404B">
        <w:rPr>
          <w:rFonts w:ascii="Palatino Linotype" w:hAnsi="Palatino Linotype"/>
          <w:b/>
          <w:i/>
          <w:szCs w:val="24"/>
        </w:rPr>
        <w:t>Artículo 170</w:t>
      </w:r>
      <w:r w:rsidRPr="0064404B">
        <w:rPr>
          <w:rFonts w:ascii="Palatino Linotype" w:hAnsi="Palatino Linotype"/>
          <w:b/>
          <w:bCs/>
          <w:i/>
          <w:iCs/>
          <w:szCs w:val="24"/>
        </w:rPr>
        <w:t>.</w:t>
      </w:r>
      <w:r w:rsidRPr="0064404B">
        <w:rPr>
          <w:rFonts w:ascii="Palatino Linotype" w:hAnsi="Palatino Linotype"/>
          <w:i/>
          <w:iCs/>
          <w:szCs w:val="24"/>
        </w:rPr>
        <w:t xml:space="preserve"> </w:t>
      </w:r>
      <w:r w:rsidRPr="0064404B">
        <w:rPr>
          <w:rFonts w:ascii="Palatino Linotype" w:hAnsi="Palatino Linotype"/>
          <w:b/>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64404B">
        <w:rPr>
          <w:rFonts w:ascii="Palatino Linotype" w:hAnsi="Palatino Linotype"/>
          <w:b/>
          <w:i/>
          <w:iCs/>
          <w:szCs w:val="24"/>
        </w:rPr>
        <w:t>”</w:t>
      </w:r>
      <w:r w:rsidRPr="0064404B">
        <w:rPr>
          <w:rFonts w:ascii="Palatino Linotype" w:hAnsi="Palatino Linotype"/>
          <w:i/>
          <w:iCs/>
          <w:szCs w:val="24"/>
        </w:rPr>
        <w:t xml:space="preserve"> </w:t>
      </w:r>
      <w:r w:rsidRPr="0064404B">
        <w:rPr>
          <w:rFonts w:ascii="Palatino Linotype" w:hAnsi="Palatino Linotype"/>
          <w:b/>
          <w:i/>
          <w:iCs/>
          <w:szCs w:val="24"/>
        </w:rPr>
        <w:t>[Sic]</w:t>
      </w:r>
    </w:p>
    <w:p w14:paraId="6CC66106" w14:textId="77777777" w:rsidR="00354286" w:rsidRPr="0064404B" w:rsidRDefault="00354286" w:rsidP="00354286">
      <w:pPr>
        <w:tabs>
          <w:tab w:val="left" w:pos="709"/>
        </w:tabs>
        <w:spacing w:after="0" w:line="240" w:lineRule="auto"/>
        <w:ind w:left="567" w:right="567"/>
        <w:jc w:val="both"/>
        <w:rPr>
          <w:rFonts w:ascii="Palatino Linotype" w:hAnsi="Palatino Linotype"/>
          <w:i/>
          <w:szCs w:val="24"/>
        </w:rPr>
      </w:pPr>
    </w:p>
    <w:p w14:paraId="11851E84" w14:textId="77777777" w:rsidR="00354286" w:rsidRPr="0064404B" w:rsidRDefault="00354286" w:rsidP="00354286">
      <w:pPr>
        <w:tabs>
          <w:tab w:val="left" w:pos="709"/>
        </w:tabs>
        <w:spacing w:after="0" w:line="360" w:lineRule="auto"/>
        <w:jc w:val="both"/>
        <w:rPr>
          <w:rFonts w:ascii="Palatino Linotype" w:hAnsi="Palatino Linotype" w:cs="Arial"/>
          <w:sz w:val="24"/>
          <w:szCs w:val="24"/>
        </w:rPr>
      </w:pPr>
    </w:p>
    <w:p w14:paraId="3AF060D4" w14:textId="7B0106B2" w:rsidR="00354286" w:rsidRPr="0064404B" w:rsidRDefault="00354286" w:rsidP="00354286">
      <w:pPr>
        <w:tabs>
          <w:tab w:val="left" w:pos="709"/>
        </w:tabs>
        <w:spacing w:after="0" w:line="360" w:lineRule="auto"/>
        <w:jc w:val="both"/>
        <w:rPr>
          <w:rFonts w:ascii="Palatino Linotype" w:hAnsi="Palatino Linotype" w:cs="Arial"/>
          <w:sz w:val="24"/>
          <w:szCs w:val="24"/>
        </w:rPr>
      </w:pPr>
      <w:r w:rsidRPr="0064404B">
        <w:rPr>
          <w:rFonts w:ascii="Palatino Linotype" w:hAnsi="Palatino Linotype" w:cs="Arial"/>
          <w:sz w:val="24"/>
          <w:szCs w:val="24"/>
        </w:rPr>
        <w:t>En observancia a lo anterior,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además, que resulta aplicable el criterio de interpretación en el orden administrativo número 0003-11 emitido por Acuerdo del Pleno del Instituto de Transparencia y Acceso a la Información Pública del Estado de México y Municipios, que a la letra dice:</w:t>
      </w:r>
    </w:p>
    <w:p w14:paraId="32BF8BAB" w14:textId="77777777" w:rsidR="00354286" w:rsidRPr="0064404B" w:rsidRDefault="00354286" w:rsidP="00354286">
      <w:pPr>
        <w:tabs>
          <w:tab w:val="left" w:pos="709"/>
        </w:tabs>
        <w:spacing w:before="240" w:line="360" w:lineRule="auto"/>
        <w:ind w:left="851" w:right="851"/>
        <w:jc w:val="center"/>
        <w:rPr>
          <w:rFonts w:ascii="Palatino Linotype" w:hAnsi="Palatino Linotype" w:cs="Arial"/>
          <w:b/>
          <w:i/>
          <w:szCs w:val="24"/>
        </w:rPr>
      </w:pPr>
      <w:r w:rsidRPr="0064404B">
        <w:rPr>
          <w:rFonts w:ascii="Palatino Linotype" w:hAnsi="Palatino Linotype" w:cs="Arial"/>
          <w:i/>
          <w:szCs w:val="24"/>
        </w:rPr>
        <w:t>“</w:t>
      </w:r>
      <w:r w:rsidRPr="0064404B">
        <w:rPr>
          <w:rFonts w:ascii="Palatino Linotype" w:hAnsi="Palatino Linotype" w:cs="Arial"/>
          <w:b/>
          <w:i/>
          <w:szCs w:val="24"/>
        </w:rPr>
        <w:t>CRITERIO 003-11.</w:t>
      </w:r>
    </w:p>
    <w:p w14:paraId="795DF31D" w14:textId="77777777" w:rsidR="00354286" w:rsidRPr="0064404B" w:rsidRDefault="00354286" w:rsidP="00354286">
      <w:pPr>
        <w:tabs>
          <w:tab w:val="left" w:pos="709"/>
        </w:tabs>
        <w:spacing w:before="240" w:line="360" w:lineRule="auto"/>
        <w:ind w:left="851" w:right="851"/>
        <w:jc w:val="both"/>
        <w:rPr>
          <w:rFonts w:ascii="Palatino Linotype" w:hAnsi="Palatino Linotype" w:cs="Arial"/>
          <w:i/>
          <w:szCs w:val="24"/>
          <w:u w:val="single"/>
        </w:rPr>
      </w:pPr>
      <w:r w:rsidRPr="0064404B">
        <w:rPr>
          <w:rFonts w:ascii="Palatino Linotype" w:hAnsi="Palatino Linotype" w:cs="Arial"/>
          <w:b/>
          <w:i/>
          <w:szCs w:val="24"/>
        </w:rPr>
        <w:t>INEXISTENCIA, CONCEPTO DE, EN MATERIA DE TRANSPARENCIA</w:t>
      </w:r>
      <w:r w:rsidRPr="0064404B">
        <w:rPr>
          <w:rFonts w:ascii="Palatino Linotype" w:hAnsi="Palatino Linotype" w:cs="Arial"/>
          <w:i/>
          <w:szCs w:val="24"/>
        </w:rPr>
        <w:t xml:space="preserve">. La interpretación sistemática de los artículos 29 y 30, fracción VIII, de la Ley de Transparencia y Acceso a la Información Pública del Estado de México y Municipios, permite concluir que la </w:t>
      </w:r>
      <w:r w:rsidRPr="0064404B">
        <w:rPr>
          <w:rFonts w:ascii="Palatino Linotype" w:hAnsi="Palatino Linotype" w:cs="Arial"/>
          <w:b/>
          <w:i/>
          <w:szCs w:val="24"/>
          <w:u w:val="single"/>
        </w:rPr>
        <w:t>inexistencia de la información</w:t>
      </w:r>
      <w:r w:rsidRPr="0064404B">
        <w:rPr>
          <w:rFonts w:ascii="Palatino Linotype" w:hAnsi="Palatino Linotype" w:cs="Arial"/>
          <w:i/>
          <w:szCs w:val="24"/>
        </w:rPr>
        <w:t xml:space="preserve"> en el derecho de acceso a la información pública </w:t>
      </w:r>
      <w:r w:rsidRPr="0064404B">
        <w:rPr>
          <w:rFonts w:ascii="Palatino Linotype" w:hAnsi="Palatino Linotype" w:cs="Arial"/>
          <w:b/>
          <w:i/>
          <w:szCs w:val="24"/>
          <w:u w:val="single"/>
        </w:rPr>
        <w:t>conlleva necesariamente a los siguientes supuestos:</w:t>
      </w:r>
    </w:p>
    <w:p w14:paraId="24449121" w14:textId="77777777" w:rsidR="00354286" w:rsidRPr="0064404B" w:rsidRDefault="00354286" w:rsidP="00354286">
      <w:pPr>
        <w:tabs>
          <w:tab w:val="left" w:pos="709"/>
        </w:tabs>
        <w:spacing w:before="240" w:line="360" w:lineRule="auto"/>
        <w:ind w:left="851" w:right="851"/>
        <w:jc w:val="both"/>
        <w:rPr>
          <w:rFonts w:ascii="Palatino Linotype" w:hAnsi="Palatino Linotype" w:cs="Arial"/>
          <w:i/>
          <w:szCs w:val="24"/>
        </w:rPr>
      </w:pPr>
      <w:r w:rsidRPr="0064404B">
        <w:rPr>
          <w:rFonts w:ascii="Palatino Linotype" w:hAnsi="Palatino Linotype" w:cs="Arial"/>
          <w:i/>
          <w:szCs w:val="24"/>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7580608C" w14:textId="77777777" w:rsidR="00354286" w:rsidRPr="0064404B" w:rsidRDefault="00354286" w:rsidP="00354286">
      <w:pPr>
        <w:tabs>
          <w:tab w:val="left" w:pos="709"/>
        </w:tabs>
        <w:spacing w:before="240" w:line="360" w:lineRule="auto"/>
        <w:ind w:left="851" w:right="851"/>
        <w:jc w:val="both"/>
        <w:rPr>
          <w:rFonts w:ascii="Palatino Linotype" w:hAnsi="Palatino Linotype" w:cs="Arial"/>
          <w:i/>
          <w:szCs w:val="24"/>
        </w:rPr>
      </w:pPr>
      <w:r w:rsidRPr="0064404B">
        <w:rPr>
          <w:rFonts w:ascii="Palatino Linotype" w:hAnsi="Palatino Linotype" w:cs="Arial"/>
          <w:i/>
          <w:szCs w:val="24"/>
        </w:rPr>
        <w:t>b) En los casos en que por las atribuciones conferidas al Sujeto Obligado éste debió generar, administrar o poseer la información, pero en incumplimiento a la normatividad respectiva no llevó a cabo ninguna de esas acciones.</w:t>
      </w:r>
    </w:p>
    <w:p w14:paraId="5904D896" w14:textId="77777777" w:rsidR="00354286" w:rsidRPr="0064404B" w:rsidRDefault="00354286" w:rsidP="00354286">
      <w:pPr>
        <w:tabs>
          <w:tab w:val="left" w:pos="709"/>
        </w:tabs>
        <w:spacing w:before="240" w:line="360" w:lineRule="auto"/>
        <w:ind w:left="851" w:right="851"/>
        <w:jc w:val="both"/>
        <w:rPr>
          <w:rFonts w:ascii="Palatino Linotype" w:hAnsi="Palatino Linotype" w:cs="Arial"/>
          <w:b/>
          <w:i/>
          <w:szCs w:val="24"/>
        </w:rPr>
      </w:pPr>
      <w:r w:rsidRPr="0064404B">
        <w:rPr>
          <w:rFonts w:ascii="Palatino Linotype" w:hAnsi="Palatino Linotype" w:cs="Arial"/>
          <w:i/>
          <w:szCs w:val="24"/>
        </w:rPr>
        <w:t xml:space="preserve">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  </w:t>
      </w:r>
      <w:r w:rsidRPr="0064404B">
        <w:rPr>
          <w:rFonts w:ascii="Palatino Linotype" w:hAnsi="Palatino Linotype" w:cs="Arial"/>
          <w:b/>
          <w:i/>
          <w:szCs w:val="24"/>
        </w:rPr>
        <w:t>[Sic]</w:t>
      </w:r>
    </w:p>
    <w:p w14:paraId="740D0147" w14:textId="77777777" w:rsidR="00354286" w:rsidRPr="0064404B" w:rsidRDefault="00354286" w:rsidP="00354286">
      <w:pPr>
        <w:tabs>
          <w:tab w:val="left" w:pos="709"/>
        </w:tabs>
        <w:spacing w:after="0" w:line="360" w:lineRule="auto"/>
        <w:jc w:val="both"/>
        <w:rPr>
          <w:rFonts w:ascii="Palatino Linotype" w:hAnsi="Palatino Linotype" w:cs="Arial"/>
          <w:sz w:val="24"/>
          <w:szCs w:val="24"/>
          <w:lang w:val="es-ES_tradnl"/>
        </w:rPr>
      </w:pPr>
    </w:p>
    <w:p w14:paraId="29F5EAE7" w14:textId="614D784D" w:rsidR="00354286" w:rsidRPr="0064404B" w:rsidRDefault="00354286" w:rsidP="00354286">
      <w:pPr>
        <w:tabs>
          <w:tab w:val="left" w:pos="709"/>
        </w:tabs>
        <w:spacing w:after="0" w:line="360" w:lineRule="auto"/>
        <w:jc w:val="both"/>
        <w:rPr>
          <w:rFonts w:ascii="Palatino Linotype" w:hAnsi="Palatino Linotype" w:cs="Arial"/>
          <w:sz w:val="24"/>
          <w:szCs w:val="24"/>
        </w:rPr>
      </w:pPr>
      <w:r w:rsidRPr="0064404B">
        <w:rPr>
          <w:rFonts w:ascii="Palatino Linotype" w:hAnsi="Palatino Linotype" w:cs="Arial"/>
          <w:sz w:val="24"/>
          <w:szCs w:val="24"/>
          <w:lang w:val="es-ES_tradnl"/>
        </w:rPr>
        <w:t xml:space="preserve">Bajo éste tenor se debe destacar que para que se declare la inexistencia de la información deberá de encuadrar en dos hipótesis, la primera de ellas corresponde a que en atribuciones, competencias o funciones del </w:t>
      </w:r>
      <w:r w:rsidRPr="0064404B">
        <w:rPr>
          <w:rFonts w:ascii="Palatino Linotype" w:hAnsi="Palatino Linotype" w:cs="Arial"/>
          <w:b/>
          <w:sz w:val="24"/>
          <w:szCs w:val="24"/>
          <w:lang w:val="es-ES_tradnl"/>
        </w:rPr>
        <w:t>Sujeto Obligado</w:t>
      </w:r>
      <w:r w:rsidRPr="0064404B">
        <w:rPr>
          <w:rFonts w:ascii="Palatino Linotype" w:hAnsi="Palatino Linotype" w:cs="Arial"/>
          <w:sz w:val="24"/>
          <w:szCs w:val="24"/>
          <w:lang w:val="es-ES_tradnl"/>
        </w:rPr>
        <w:t xml:space="preserve"> debió de haber generado, administrado o poseído la información ordenada pero por algún motivo éste no cuenta con ella, el segundo supuesto corresponde a que debió haber existencia previa de la documentación y la falta posterior de la misma en los archivos del Sujeto Obligado, esto es que la información se generó, poseyó o administró en el marco de sus atribuciones, pero no la conserva por diversas razones (destrucción física, desaparición física, sustracción ilícita, baja documental, etcétera).</w:t>
      </w:r>
    </w:p>
    <w:p w14:paraId="5A4175C9" w14:textId="77777777" w:rsidR="00354286" w:rsidRPr="0064404B" w:rsidRDefault="00354286" w:rsidP="00354286">
      <w:pPr>
        <w:spacing w:before="240" w:after="240" w:line="360" w:lineRule="auto"/>
        <w:jc w:val="both"/>
        <w:rPr>
          <w:rFonts w:ascii="Palatino Linotype" w:hAnsi="Palatino Linotype"/>
          <w:b/>
          <w:bCs/>
          <w:sz w:val="28"/>
          <w:szCs w:val="28"/>
        </w:rPr>
      </w:pPr>
    </w:p>
    <w:p w14:paraId="1C508001" w14:textId="77777777" w:rsidR="00354286" w:rsidRPr="0064404B" w:rsidRDefault="00354286" w:rsidP="00354286">
      <w:pPr>
        <w:spacing w:before="240" w:after="240" w:line="360" w:lineRule="auto"/>
        <w:jc w:val="both"/>
        <w:rPr>
          <w:rFonts w:ascii="Palatino Linotype" w:hAnsi="Palatino Linotype"/>
          <w:b/>
          <w:sz w:val="28"/>
          <w:szCs w:val="28"/>
        </w:rPr>
      </w:pPr>
      <w:r w:rsidRPr="0064404B">
        <w:rPr>
          <w:rFonts w:ascii="Palatino Linotype" w:hAnsi="Palatino Linotype"/>
          <w:b/>
          <w:bCs/>
          <w:sz w:val="28"/>
          <w:szCs w:val="28"/>
        </w:rPr>
        <w:t>De la</w:t>
      </w:r>
      <w:r w:rsidRPr="0064404B">
        <w:rPr>
          <w:rFonts w:ascii="Palatino Linotype" w:hAnsi="Palatino Linotype"/>
          <w:bCs/>
          <w:sz w:val="24"/>
          <w:szCs w:val="24"/>
        </w:rPr>
        <w:t xml:space="preserve"> </w:t>
      </w:r>
      <w:r w:rsidRPr="0064404B">
        <w:rPr>
          <w:rFonts w:ascii="Palatino Linotype" w:hAnsi="Palatino Linotype"/>
          <w:b/>
          <w:sz w:val="28"/>
          <w:szCs w:val="28"/>
        </w:rPr>
        <w:t xml:space="preserve">Versión Pública </w:t>
      </w:r>
    </w:p>
    <w:p w14:paraId="574B73FD" w14:textId="77777777" w:rsidR="00354286" w:rsidRPr="0064404B" w:rsidRDefault="00354286" w:rsidP="00354286">
      <w:pPr>
        <w:tabs>
          <w:tab w:val="left" w:pos="7938"/>
        </w:tabs>
        <w:spacing w:before="240" w:after="240" w:line="360" w:lineRule="auto"/>
        <w:jc w:val="both"/>
        <w:rPr>
          <w:rFonts w:ascii="Palatino Linotype" w:eastAsia="Arial Unicode MS" w:hAnsi="Palatino Linotype" w:cs="Arial"/>
          <w:sz w:val="24"/>
          <w:szCs w:val="24"/>
        </w:rPr>
      </w:pPr>
      <w:r w:rsidRPr="0064404B">
        <w:rPr>
          <w:rFonts w:ascii="Palatino Linotype" w:eastAsia="Arial Unicode MS" w:hAnsi="Palatino Linotype" w:cs="Arial"/>
          <w:sz w:val="24"/>
          <w:szCs w:val="24"/>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04AD91A6" w14:textId="77777777" w:rsidR="00354286" w:rsidRPr="0064404B" w:rsidRDefault="00354286" w:rsidP="00354286">
      <w:pPr>
        <w:spacing w:before="240" w:line="360" w:lineRule="auto"/>
        <w:ind w:left="851" w:right="851"/>
        <w:jc w:val="both"/>
        <w:rPr>
          <w:rFonts w:ascii="Palatino Linotype" w:hAnsi="Palatino Linotype" w:cs="Arial"/>
          <w:i/>
        </w:rPr>
      </w:pPr>
      <w:r w:rsidRPr="0064404B">
        <w:rPr>
          <w:rFonts w:ascii="Palatino Linotype" w:hAnsi="Palatino Linotype" w:cs="Arial"/>
          <w:i/>
        </w:rPr>
        <w:t>“Artículo 3. Para los efectos de la presente Ley se entenderá por:</w:t>
      </w:r>
    </w:p>
    <w:p w14:paraId="11B92D87" w14:textId="77777777" w:rsidR="00354286" w:rsidRPr="0064404B" w:rsidRDefault="00354286" w:rsidP="00354286">
      <w:pPr>
        <w:spacing w:before="240" w:line="360" w:lineRule="auto"/>
        <w:ind w:left="851" w:right="851"/>
        <w:jc w:val="both"/>
        <w:rPr>
          <w:rFonts w:ascii="Palatino Linotype" w:hAnsi="Palatino Linotype" w:cs="Arial"/>
          <w:i/>
        </w:rPr>
      </w:pPr>
      <w:r w:rsidRPr="0064404B">
        <w:rPr>
          <w:rFonts w:ascii="Palatino Linotype" w:hAnsi="Palatino Linotype" w:cs="Arial"/>
          <w:i/>
        </w:rPr>
        <w:t>(…)</w:t>
      </w:r>
    </w:p>
    <w:p w14:paraId="08144B92" w14:textId="77777777" w:rsidR="00354286" w:rsidRPr="0064404B" w:rsidRDefault="00354286" w:rsidP="00354286">
      <w:pPr>
        <w:spacing w:before="240" w:line="360" w:lineRule="auto"/>
        <w:ind w:left="851" w:right="851"/>
        <w:jc w:val="both"/>
        <w:rPr>
          <w:rFonts w:ascii="Palatino Linotype" w:hAnsi="Palatino Linotype" w:cs="Arial"/>
          <w:b/>
          <w:i/>
        </w:rPr>
      </w:pPr>
      <w:r w:rsidRPr="0064404B">
        <w:rPr>
          <w:rFonts w:ascii="Palatino Linotype" w:hAnsi="Palatino Linotype" w:cs="Arial"/>
          <w:b/>
          <w:i/>
          <w:u w:val="single"/>
        </w:rPr>
        <w:t>IX. Datos personales:</w:t>
      </w:r>
      <w:r w:rsidRPr="0064404B">
        <w:rPr>
          <w:rFonts w:ascii="Palatino Linotype" w:hAnsi="Palatino Linotype" w:cs="Arial"/>
          <w:b/>
          <w:i/>
        </w:rPr>
        <w:t xml:space="preserve"> </w:t>
      </w:r>
      <w:r w:rsidRPr="0064404B">
        <w:rPr>
          <w:rFonts w:ascii="Palatino Linotype" w:hAnsi="Palatino Linotype" w:cs="Arial"/>
          <w:i/>
        </w:rPr>
        <w:t>La información concerniente a una persona, identificada o identificable según lo dispuesto por la Ley de Protección de Datos Personales del Estado de México;</w:t>
      </w:r>
    </w:p>
    <w:p w14:paraId="0DA3C402" w14:textId="77777777" w:rsidR="00354286" w:rsidRPr="0064404B" w:rsidRDefault="00354286" w:rsidP="00354286">
      <w:pPr>
        <w:spacing w:before="240" w:line="360" w:lineRule="auto"/>
        <w:ind w:left="851" w:right="851"/>
        <w:jc w:val="both"/>
        <w:rPr>
          <w:rFonts w:ascii="Palatino Linotype" w:hAnsi="Palatino Linotype" w:cs="Arial"/>
          <w:b/>
          <w:i/>
        </w:rPr>
      </w:pPr>
      <w:r w:rsidRPr="0064404B">
        <w:rPr>
          <w:rFonts w:ascii="Palatino Linotype" w:hAnsi="Palatino Linotype" w:cs="Arial"/>
          <w:b/>
          <w:i/>
        </w:rPr>
        <w:t>(…)</w:t>
      </w:r>
    </w:p>
    <w:p w14:paraId="5EA33B65" w14:textId="77777777" w:rsidR="00354286" w:rsidRPr="0064404B" w:rsidRDefault="00354286" w:rsidP="00354286">
      <w:pPr>
        <w:spacing w:before="240" w:line="360" w:lineRule="auto"/>
        <w:ind w:left="851" w:right="851"/>
        <w:jc w:val="both"/>
        <w:rPr>
          <w:rFonts w:ascii="Palatino Linotype" w:hAnsi="Palatino Linotype" w:cs="Arial"/>
          <w:b/>
          <w:i/>
        </w:rPr>
      </w:pPr>
      <w:r w:rsidRPr="0064404B">
        <w:rPr>
          <w:rFonts w:ascii="Palatino Linotype" w:hAnsi="Palatino Linotype" w:cs="Arial"/>
          <w:b/>
          <w:i/>
          <w:u w:val="single"/>
        </w:rPr>
        <w:t>XLV. Versión pública:</w:t>
      </w:r>
      <w:r w:rsidRPr="0064404B">
        <w:rPr>
          <w:rFonts w:ascii="Palatino Linotype" w:hAnsi="Palatino Linotype" w:cs="Arial"/>
          <w:b/>
          <w:i/>
        </w:rPr>
        <w:t xml:space="preserve"> </w:t>
      </w:r>
      <w:r w:rsidRPr="0064404B">
        <w:rPr>
          <w:rFonts w:ascii="Palatino Linotype" w:hAnsi="Palatino Linotype" w:cs="Arial"/>
          <w:i/>
        </w:rPr>
        <w:t>Documento en el que se elimine, suprime o borra la información clasificada como reservada o confidencial para permitir su acceso.</w:t>
      </w:r>
    </w:p>
    <w:p w14:paraId="372A7426" w14:textId="77777777" w:rsidR="00354286" w:rsidRPr="0064404B" w:rsidRDefault="00354286" w:rsidP="00354286">
      <w:pPr>
        <w:spacing w:before="240" w:line="360" w:lineRule="auto"/>
        <w:ind w:left="851" w:right="851"/>
        <w:jc w:val="both"/>
        <w:rPr>
          <w:rFonts w:ascii="Palatino Linotype" w:hAnsi="Palatino Linotype" w:cs="Arial"/>
          <w:b/>
          <w:i/>
        </w:rPr>
      </w:pPr>
      <w:r w:rsidRPr="0064404B">
        <w:rPr>
          <w:rFonts w:ascii="Palatino Linotype" w:hAnsi="Palatino Linotype" w:cs="Arial"/>
          <w:i/>
        </w:rPr>
        <w:t xml:space="preserve">Artículo 122. </w:t>
      </w:r>
      <w:r w:rsidRPr="0064404B">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72B6A334" w14:textId="77777777" w:rsidR="00354286" w:rsidRPr="0064404B" w:rsidRDefault="00354286" w:rsidP="00354286">
      <w:pPr>
        <w:spacing w:before="240" w:line="360" w:lineRule="auto"/>
        <w:ind w:left="851" w:right="851"/>
        <w:jc w:val="both"/>
        <w:rPr>
          <w:rFonts w:ascii="Palatino Linotype" w:hAnsi="Palatino Linotype" w:cs="Arial"/>
          <w:i/>
        </w:rPr>
      </w:pPr>
      <w:r w:rsidRPr="0064404B">
        <w:rPr>
          <w:rFonts w:ascii="Palatino Linotype" w:hAnsi="Palatino Linotype" w:cs="Arial"/>
          <w:i/>
        </w:rPr>
        <w:t>[…]</w:t>
      </w:r>
    </w:p>
    <w:p w14:paraId="639FF414" w14:textId="77777777" w:rsidR="00354286" w:rsidRPr="0064404B" w:rsidRDefault="00354286" w:rsidP="00354286">
      <w:pPr>
        <w:spacing w:before="240" w:line="360" w:lineRule="auto"/>
        <w:ind w:left="851" w:right="851"/>
        <w:jc w:val="both"/>
        <w:rPr>
          <w:rFonts w:ascii="Palatino Linotype" w:hAnsi="Palatino Linotype" w:cs="Arial"/>
          <w:i/>
        </w:rPr>
      </w:pPr>
      <w:r w:rsidRPr="0064404B">
        <w:rPr>
          <w:rFonts w:ascii="Palatino Linotype" w:hAnsi="Palatino Linotype" w:cs="Arial"/>
          <w:i/>
        </w:rPr>
        <w:t>Artículo 132. La clasificación de la información se llevará a cabo en el momento en que:</w:t>
      </w:r>
    </w:p>
    <w:p w14:paraId="0A639C94" w14:textId="77777777" w:rsidR="00354286" w:rsidRPr="0064404B" w:rsidRDefault="00354286" w:rsidP="00354286">
      <w:pPr>
        <w:spacing w:before="240" w:line="360" w:lineRule="auto"/>
        <w:ind w:left="851" w:right="851"/>
        <w:jc w:val="both"/>
        <w:rPr>
          <w:rFonts w:ascii="Palatino Linotype" w:hAnsi="Palatino Linotype" w:cs="Arial"/>
          <w:i/>
        </w:rPr>
      </w:pPr>
      <w:r w:rsidRPr="0064404B">
        <w:rPr>
          <w:rFonts w:ascii="Palatino Linotype" w:hAnsi="Palatino Linotype" w:cs="Arial"/>
          <w:i/>
        </w:rPr>
        <w:t>[…]</w:t>
      </w:r>
    </w:p>
    <w:p w14:paraId="2A7A902A" w14:textId="77777777" w:rsidR="00354286" w:rsidRPr="0064404B" w:rsidRDefault="00354286" w:rsidP="00354286">
      <w:pPr>
        <w:spacing w:before="240" w:line="360" w:lineRule="auto"/>
        <w:ind w:left="851" w:right="851"/>
        <w:jc w:val="both"/>
        <w:rPr>
          <w:rFonts w:ascii="Palatino Linotype" w:hAnsi="Palatino Linotype" w:cs="Arial"/>
          <w:b/>
          <w:i/>
          <w:u w:val="single"/>
        </w:rPr>
      </w:pPr>
      <w:r w:rsidRPr="0064404B">
        <w:rPr>
          <w:rFonts w:ascii="Palatino Linotype" w:hAnsi="Palatino Linotype" w:cs="Arial"/>
          <w:b/>
          <w:i/>
          <w:u w:val="single"/>
        </w:rPr>
        <w:t>II. Se determine mediante resolución de autoridad competente; o</w:t>
      </w:r>
    </w:p>
    <w:p w14:paraId="3AF97027" w14:textId="77777777" w:rsidR="00354286" w:rsidRPr="0064404B" w:rsidRDefault="00354286" w:rsidP="00354286">
      <w:pPr>
        <w:spacing w:before="240" w:line="360" w:lineRule="auto"/>
        <w:ind w:left="851" w:right="851"/>
        <w:jc w:val="both"/>
        <w:rPr>
          <w:rFonts w:ascii="Palatino Linotype" w:hAnsi="Palatino Linotype" w:cs="Arial"/>
          <w:b/>
          <w:i/>
        </w:rPr>
      </w:pPr>
      <w:r w:rsidRPr="0064404B">
        <w:rPr>
          <w:rFonts w:ascii="Palatino Linotype" w:hAnsi="Palatino Linotype" w:cs="Arial"/>
          <w:b/>
          <w:i/>
        </w:rPr>
        <w:t>(…)</w:t>
      </w:r>
    </w:p>
    <w:p w14:paraId="0E505A4B" w14:textId="77777777" w:rsidR="00354286" w:rsidRPr="0064404B" w:rsidRDefault="00354286" w:rsidP="00354286">
      <w:pPr>
        <w:spacing w:before="240" w:line="360" w:lineRule="auto"/>
        <w:ind w:left="851" w:right="851"/>
        <w:jc w:val="both"/>
        <w:rPr>
          <w:rFonts w:ascii="Palatino Linotype" w:hAnsi="Palatino Linotype" w:cs="Arial"/>
          <w:b/>
          <w:i/>
        </w:rPr>
      </w:pPr>
      <w:r w:rsidRPr="0064404B">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64404B">
        <w:rPr>
          <w:rFonts w:ascii="Palatino Linotype" w:hAnsi="Palatino Linotype" w:cs="Arial"/>
          <w:b/>
          <w:i/>
        </w:rPr>
        <w:t xml:space="preserve"> </w:t>
      </w:r>
      <w:r w:rsidRPr="0064404B">
        <w:rPr>
          <w:rFonts w:ascii="Palatino Linotype" w:hAnsi="Palatino Linotype" w:cs="Arial"/>
          <w:b/>
          <w:i/>
          <w:u w:val="single"/>
        </w:rPr>
        <w:t xml:space="preserve">de manera genérica y fundando y motivando su clasificación.” </w:t>
      </w:r>
      <w:r w:rsidRPr="0064404B">
        <w:rPr>
          <w:rFonts w:ascii="Palatino Linotype" w:hAnsi="Palatino Linotype" w:cs="Arial"/>
          <w:b/>
          <w:i/>
        </w:rPr>
        <w:t>[Sic]</w:t>
      </w:r>
    </w:p>
    <w:p w14:paraId="3BA4A5B8" w14:textId="77777777" w:rsidR="00354286" w:rsidRPr="0064404B" w:rsidRDefault="00354286" w:rsidP="00354286">
      <w:pPr>
        <w:spacing w:after="0" w:line="360" w:lineRule="auto"/>
        <w:ind w:right="51"/>
        <w:jc w:val="both"/>
        <w:rPr>
          <w:rFonts w:ascii="Palatino Linotype" w:eastAsia="Arial Unicode MS" w:hAnsi="Palatino Linotype" w:cs="Arial"/>
          <w:sz w:val="24"/>
          <w:szCs w:val="24"/>
        </w:rPr>
      </w:pPr>
    </w:p>
    <w:p w14:paraId="36765FB5" w14:textId="6F5AF791" w:rsidR="00354286" w:rsidRPr="0064404B" w:rsidRDefault="00354286" w:rsidP="00354286">
      <w:pPr>
        <w:spacing w:after="0" w:line="360" w:lineRule="auto"/>
        <w:ind w:right="51"/>
        <w:jc w:val="both"/>
        <w:rPr>
          <w:rFonts w:ascii="Palatino Linotype" w:hAnsi="Palatino Linotype" w:cs="Arial"/>
          <w:sz w:val="24"/>
          <w:szCs w:val="24"/>
        </w:rPr>
      </w:pPr>
      <w:r w:rsidRPr="0064404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64404B">
        <w:rPr>
          <w:rFonts w:ascii="Palatino Linotype" w:hAnsi="Palatino Linotype" w:cs="Arial"/>
          <w:b/>
          <w:sz w:val="24"/>
          <w:szCs w:val="24"/>
        </w:rPr>
        <w:t>LINEAMIENTOS GENERALES EN MATERIA DE CLASIFICACIÓN Y DESCLASIFICACIÓN DE LA INFORMACIÓN, ASÍ COMO PARA LA ELABORACIÓN DE VERSIONES PÚBLICAS</w:t>
      </w:r>
      <w:r w:rsidR="000C6BE2" w:rsidRPr="0064404B">
        <w:rPr>
          <w:rFonts w:ascii="Palatino Linotype" w:hAnsi="Palatino Linotype" w:cs="Arial"/>
          <w:b/>
          <w:sz w:val="24"/>
          <w:szCs w:val="24"/>
        </w:rPr>
        <w:t xml:space="preserve"> </w:t>
      </w:r>
      <w:r w:rsidRPr="0064404B">
        <w:rPr>
          <w:rFonts w:ascii="Palatino Linotype" w:hAnsi="Palatino Linotype" w:cs="Arial"/>
          <w:sz w:val="24"/>
          <w:szCs w:val="24"/>
        </w:rPr>
        <w:t>publicados en el Diario Oficial de la Federación en fecha quince de abril de dos mil dieciséis, mediante Acuerdo del Consejo Nacional del Sistema Nacional de Transparencia, Acceso a la Información Pública y Protección de Datos Personales</w:t>
      </w:r>
      <w:r w:rsidR="00CF0D61" w:rsidRPr="0064404B">
        <w:rPr>
          <w:rFonts w:ascii="Palatino Linotype" w:hAnsi="Palatino Linotype" w:cs="Arial"/>
          <w:sz w:val="24"/>
          <w:szCs w:val="24"/>
        </w:rPr>
        <w:t xml:space="preserve">. </w:t>
      </w:r>
    </w:p>
    <w:p w14:paraId="149352D5" w14:textId="77777777" w:rsidR="0061744C" w:rsidRPr="0064404B" w:rsidRDefault="0061744C" w:rsidP="00F06D25">
      <w:pPr>
        <w:spacing w:after="0" w:line="360" w:lineRule="auto"/>
        <w:jc w:val="both"/>
        <w:rPr>
          <w:rFonts w:ascii="Palatino Linotype" w:hAnsi="Palatino Linotype" w:cs="Arial"/>
          <w:sz w:val="24"/>
          <w:szCs w:val="24"/>
        </w:rPr>
      </w:pPr>
    </w:p>
    <w:p w14:paraId="3256DEEA" w14:textId="0546B2E8" w:rsidR="005F4E5A" w:rsidRPr="0064404B" w:rsidRDefault="005F4E5A" w:rsidP="005F4E5A">
      <w:pPr>
        <w:spacing w:after="0" w:line="360" w:lineRule="auto"/>
        <w:jc w:val="both"/>
        <w:rPr>
          <w:rFonts w:ascii="Palatino Linotype" w:hAnsi="Palatino Linotype" w:cs="Arial"/>
          <w:sz w:val="24"/>
          <w:szCs w:val="24"/>
        </w:rPr>
      </w:pPr>
      <w:r w:rsidRPr="0064404B">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64404B">
        <w:rPr>
          <w:rFonts w:ascii="Palatino Linotype" w:eastAsia="Times New Roman" w:hAnsi="Palatino Linotype" w:cs="Times New Roman"/>
          <w:b/>
          <w:bCs/>
          <w:sz w:val="24"/>
          <w:szCs w:val="24"/>
          <w:lang w:eastAsia="es-ES"/>
        </w:rPr>
        <w:t>El</w:t>
      </w:r>
      <w:r w:rsidRPr="0064404B">
        <w:rPr>
          <w:rFonts w:ascii="Palatino Linotype" w:eastAsia="Times New Roman" w:hAnsi="Palatino Linotype" w:cs="Times New Roman"/>
          <w:b/>
          <w:sz w:val="24"/>
          <w:szCs w:val="24"/>
          <w:lang w:eastAsia="es-ES"/>
        </w:rPr>
        <w:t xml:space="preserve"> Recurrente</w:t>
      </w:r>
      <w:r w:rsidRPr="0064404B">
        <w:rPr>
          <w:rFonts w:ascii="Palatino Linotype" w:eastAsia="Times New Roman" w:hAnsi="Palatino Linotype" w:cs="Times New Roman"/>
          <w:sz w:val="24"/>
          <w:szCs w:val="24"/>
          <w:lang w:eastAsia="es-ES"/>
        </w:rPr>
        <w:t xml:space="preserve"> en su medio de impugnación que fue materia de estudio, por ello </w:t>
      </w:r>
      <w:r w:rsidRPr="0064404B">
        <w:rPr>
          <w:rFonts w:ascii="Palatino Linotype" w:eastAsia="Times New Roman" w:hAnsi="Palatino Linotype" w:cs="Arial"/>
          <w:sz w:val="24"/>
          <w:szCs w:val="24"/>
          <w:lang w:eastAsia="es-ES"/>
        </w:rPr>
        <w:t>con fundamento en la</w:t>
      </w:r>
      <w:r w:rsidRPr="0064404B">
        <w:rPr>
          <w:rFonts w:ascii="Palatino Linotype" w:eastAsia="Times New Roman" w:hAnsi="Palatino Linotype" w:cs="Arial"/>
          <w:b/>
          <w:sz w:val="24"/>
          <w:szCs w:val="24"/>
          <w:lang w:eastAsia="es-ES"/>
        </w:rPr>
        <w:t xml:space="preserve"> </w:t>
      </w:r>
      <w:r w:rsidRPr="0064404B">
        <w:rPr>
          <w:rFonts w:ascii="Palatino Linotype" w:eastAsia="Times New Roman" w:hAnsi="Palatino Linotype" w:cs="Arial"/>
          <w:b/>
          <w:bCs/>
          <w:i/>
          <w:sz w:val="24"/>
          <w:szCs w:val="24"/>
          <w:lang w:eastAsia="es-ES"/>
        </w:rPr>
        <w:t>primera hipótesis</w:t>
      </w:r>
      <w:r w:rsidRPr="0064404B">
        <w:rPr>
          <w:rFonts w:ascii="Palatino Linotype" w:eastAsia="Times New Roman" w:hAnsi="Palatino Linotype" w:cs="Arial"/>
          <w:b/>
          <w:sz w:val="24"/>
          <w:szCs w:val="24"/>
          <w:lang w:eastAsia="es-ES"/>
        </w:rPr>
        <w:t xml:space="preserve"> </w:t>
      </w:r>
      <w:r w:rsidRPr="0064404B">
        <w:rPr>
          <w:rFonts w:ascii="Palatino Linotype" w:eastAsia="Times New Roman" w:hAnsi="Palatino Linotype" w:cs="Arial"/>
          <w:sz w:val="24"/>
          <w:szCs w:val="24"/>
          <w:lang w:eastAsia="es-ES"/>
        </w:rPr>
        <w:t>de la fracción</w:t>
      </w:r>
      <w:r w:rsidRPr="0064404B">
        <w:rPr>
          <w:rFonts w:ascii="Palatino Linotype" w:eastAsia="Times New Roman" w:hAnsi="Palatino Linotype" w:cs="Arial"/>
          <w:b/>
          <w:sz w:val="24"/>
          <w:szCs w:val="24"/>
          <w:lang w:eastAsia="es-ES"/>
        </w:rPr>
        <w:t xml:space="preserve"> </w:t>
      </w:r>
      <w:r w:rsidRPr="0064404B">
        <w:rPr>
          <w:rFonts w:ascii="Palatino Linotype" w:eastAsia="Times New Roman" w:hAnsi="Palatino Linotype" w:cs="Arial"/>
          <w:sz w:val="24"/>
          <w:szCs w:val="24"/>
          <w:lang w:eastAsia="es-ES"/>
        </w:rPr>
        <w:t>III, del artículo 186,</w:t>
      </w:r>
      <w:r w:rsidRPr="0064404B">
        <w:rPr>
          <w:rFonts w:ascii="Palatino Linotype" w:eastAsia="Times New Roman" w:hAnsi="Palatino Linotype" w:cs="Arial"/>
          <w:b/>
          <w:sz w:val="24"/>
          <w:szCs w:val="24"/>
          <w:lang w:eastAsia="es-ES"/>
        </w:rPr>
        <w:t xml:space="preserve"> </w:t>
      </w:r>
      <w:r w:rsidRPr="0064404B">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64404B">
        <w:rPr>
          <w:rFonts w:ascii="Palatino Linotype" w:eastAsia="Times New Roman" w:hAnsi="Palatino Linotype" w:cs="Arial"/>
          <w:b/>
          <w:sz w:val="24"/>
          <w:szCs w:val="24"/>
          <w:lang w:eastAsia="es-ES"/>
        </w:rPr>
        <w:t xml:space="preserve">REVOCA </w:t>
      </w:r>
      <w:r w:rsidRPr="0064404B">
        <w:rPr>
          <w:rFonts w:ascii="Palatino Linotype" w:eastAsia="Times New Roman" w:hAnsi="Palatino Linotype" w:cs="Arial"/>
          <w:sz w:val="24"/>
          <w:szCs w:val="24"/>
          <w:lang w:eastAsia="es-ES"/>
        </w:rPr>
        <w:t>la respuesta a la solicitud de información número</w:t>
      </w:r>
      <w:r w:rsidRPr="0064404B">
        <w:rPr>
          <w:rFonts w:ascii="Palatino Linotype" w:eastAsia="Times New Roman" w:hAnsi="Palatino Linotype" w:cs="Times New Roman"/>
          <w:b/>
          <w:sz w:val="24"/>
          <w:szCs w:val="24"/>
          <w:lang w:eastAsia="es-ES"/>
        </w:rPr>
        <w:t xml:space="preserve"> </w:t>
      </w:r>
      <w:r w:rsidR="00354286" w:rsidRPr="0064404B">
        <w:rPr>
          <w:rFonts w:ascii="Palatino Linotype" w:hAnsi="Palatino Linotype" w:cs="Arial"/>
          <w:b/>
          <w:sz w:val="24"/>
          <w:szCs w:val="24"/>
        </w:rPr>
        <w:t>00082/PLEGISLA/IP/2025</w:t>
      </w:r>
      <w:r w:rsidRPr="0064404B">
        <w:rPr>
          <w:rFonts w:ascii="Palatino Linotype" w:hAnsi="Palatino Linotype" w:cs="Arial"/>
          <w:b/>
          <w:sz w:val="24"/>
          <w:szCs w:val="24"/>
        </w:rPr>
        <w:t xml:space="preserve"> </w:t>
      </w:r>
      <w:r w:rsidRPr="0064404B">
        <w:rPr>
          <w:rFonts w:ascii="Palatino Linotype" w:hAnsi="Palatino Linotype" w:cs="Arial"/>
          <w:sz w:val="24"/>
          <w:szCs w:val="24"/>
        </w:rPr>
        <w:t xml:space="preserve">que ha sido materia del presente fallo. </w:t>
      </w:r>
    </w:p>
    <w:p w14:paraId="49B2753C" w14:textId="77777777" w:rsidR="005F4E5A" w:rsidRPr="0064404B" w:rsidRDefault="005F4E5A" w:rsidP="005F4E5A">
      <w:pPr>
        <w:spacing w:after="0" w:line="360" w:lineRule="auto"/>
        <w:jc w:val="both"/>
        <w:rPr>
          <w:rFonts w:ascii="Palatino Linotype" w:eastAsia="Times New Roman" w:hAnsi="Palatino Linotype" w:cs="Times New Roman"/>
          <w:sz w:val="24"/>
          <w:szCs w:val="24"/>
          <w:lang w:eastAsia="es-ES"/>
        </w:rPr>
      </w:pPr>
    </w:p>
    <w:p w14:paraId="5E486629" w14:textId="77777777" w:rsidR="005F4E5A" w:rsidRPr="0064404B" w:rsidRDefault="005F4E5A" w:rsidP="005F4E5A">
      <w:pPr>
        <w:spacing w:after="0" w:line="360" w:lineRule="auto"/>
        <w:jc w:val="both"/>
        <w:rPr>
          <w:rFonts w:ascii="Palatino Linotype" w:eastAsia="Times New Roman" w:hAnsi="Palatino Linotype" w:cs="Times New Roman"/>
          <w:sz w:val="24"/>
          <w:szCs w:val="24"/>
          <w:lang w:eastAsia="es-ES"/>
        </w:rPr>
      </w:pPr>
      <w:r w:rsidRPr="0064404B">
        <w:rPr>
          <w:rFonts w:ascii="Palatino Linotype" w:eastAsia="Times New Roman" w:hAnsi="Palatino Linotype" w:cs="Times New Roman"/>
          <w:sz w:val="24"/>
          <w:szCs w:val="24"/>
          <w:lang w:eastAsia="es-ES"/>
        </w:rPr>
        <w:t>Por lo antes expuesto y fundado es de resolverse y,</w:t>
      </w:r>
    </w:p>
    <w:p w14:paraId="1A840F82" w14:textId="63E5BEAF" w:rsidR="005F4E5A" w:rsidRPr="0064404B" w:rsidRDefault="005F4E5A" w:rsidP="005F4E5A">
      <w:pPr>
        <w:spacing w:after="0" w:line="360" w:lineRule="auto"/>
        <w:jc w:val="both"/>
        <w:rPr>
          <w:rFonts w:ascii="Palatino Linotype" w:eastAsia="Times New Roman" w:hAnsi="Palatino Linotype" w:cs="Times New Roman"/>
          <w:sz w:val="24"/>
          <w:szCs w:val="24"/>
          <w:lang w:eastAsia="es-ES"/>
        </w:rPr>
      </w:pPr>
    </w:p>
    <w:p w14:paraId="5753B52F" w14:textId="77777777" w:rsidR="005F4E5A" w:rsidRPr="0064404B" w:rsidRDefault="005F4E5A" w:rsidP="005F4E5A">
      <w:pPr>
        <w:spacing w:before="240" w:after="240" w:line="360" w:lineRule="auto"/>
        <w:jc w:val="center"/>
        <w:rPr>
          <w:rFonts w:ascii="Palatino Linotype" w:hAnsi="Palatino Linotype"/>
          <w:b/>
          <w:spacing w:val="60"/>
          <w:sz w:val="24"/>
          <w:szCs w:val="24"/>
        </w:rPr>
      </w:pPr>
      <w:r w:rsidRPr="0064404B">
        <w:rPr>
          <w:rFonts w:ascii="Palatino Linotype" w:hAnsi="Palatino Linotype"/>
          <w:b/>
          <w:spacing w:val="60"/>
          <w:sz w:val="24"/>
          <w:szCs w:val="24"/>
        </w:rPr>
        <w:t>S E RESUELVE</w:t>
      </w:r>
    </w:p>
    <w:p w14:paraId="415AA670" w14:textId="3AA5E949" w:rsidR="005F4E5A" w:rsidRPr="0064404B" w:rsidRDefault="005F4E5A" w:rsidP="005F4E5A">
      <w:pPr>
        <w:spacing w:before="240" w:line="360" w:lineRule="auto"/>
        <w:jc w:val="both"/>
        <w:rPr>
          <w:rFonts w:ascii="Palatino Linotype" w:hAnsi="Palatino Linotype" w:cs="Arial"/>
          <w:sz w:val="24"/>
          <w:szCs w:val="24"/>
        </w:rPr>
      </w:pPr>
      <w:r w:rsidRPr="0064404B">
        <w:rPr>
          <w:rFonts w:ascii="Palatino Linotype" w:hAnsi="Palatino Linotype" w:cs="Arial"/>
          <w:b/>
          <w:sz w:val="28"/>
          <w:szCs w:val="28"/>
          <w:lang w:val="es-ES_tradnl"/>
        </w:rPr>
        <w:t>PRIMERO.</w:t>
      </w:r>
      <w:r w:rsidRPr="0064404B">
        <w:rPr>
          <w:rFonts w:ascii="Palatino Linotype" w:hAnsi="Palatino Linotype" w:cs="Arial"/>
          <w:sz w:val="24"/>
          <w:szCs w:val="24"/>
          <w:lang w:val="es-ES_tradnl"/>
        </w:rPr>
        <w:t xml:space="preserve"> </w:t>
      </w:r>
      <w:r w:rsidRPr="0064404B">
        <w:rPr>
          <w:rFonts w:ascii="Palatino Linotype" w:hAnsi="Palatino Linotype" w:cs="Arial"/>
          <w:sz w:val="24"/>
          <w:szCs w:val="24"/>
        </w:rPr>
        <w:t xml:space="preserve">Se </w:t>
      </w:r>
      <w:r w:rsidRPr="0064404B">
        <w:rPr>
          <w:rFonts w:ascii="Palatino Linotype" w:hAnsi="Palatino Linotype" w:cs="Arial"/>
          <w:b/>
          <w:sz w:val="24"/>
          <w:szCs w:val="24"/>
        </w:rPr>
        <w:t xml:space="preserve">REVOCA </w:t>
      </w:r>
      <w:r w:rsidRPr="0064404B">
        <w:rPr>
          <w:rFonts w:ascii="Palatino Linotype" w:hAnsi="Palatino Linotype" w:cs="Arial"/>
          <w:sz w:val="24"/>
          <w:szCs w:val="24"/>
        </w:rPr>
        <w:t xml:space="preserve">la respuesta entregada por </w:t>
      </w:r>
      <w:r w:rsidRPr="0064404B">
        <w:rPr>
          <w:rFonts w:ascii="Palatino Linotype" w:hAnsi="Palatino Linotype" w:cs="Arial"/>
          <w:b/>
          <w:sz w:val="24"/>
          <w:szCs w:val="24"/>
        </w:rPr>
        <w:t xml:space="preserve">EL SUJETO OBLIGADO, </w:t>
      </w:r>
      <w:r w:rsidRPr="0064404B">
        <w:rPr>
          <w:rFonts w:ascii="Palatino Linotype" w:hAnsi="Palatino Linotype" w:cs="Arial"/>
          <w:sz w:val="24"/>
          <w:szCs w:val="24"/>
        </w:rPr>
        <w:t xml:space="preserve">a la solicitud de información número </w:t>
      </w:r>
      <w:r w:rsidR="00354286" w:rsidRPr="0064404B">
        <w:rPr>
          <w:rFonts w:ascii="Palatino Linotype" w:hAnsi="Palatino Linotype" w:cs="Arial"/>
          <w:b/>
          <w:sz w:val="24"/>
          <w:szCs w:val="24"/>
        </w:rPr>
        <w:t>00082/PLEGISLA/IP/</w:t>
      </w:r>
      <w:r w:rsidR="00406805" w:rsidRPr="0064404B">
        <w:rPr>
          <w:rFonts w:ascii="Palatino Linotype" w:hAnsi="Palatino Linotype" w:cs="Arial"/>
          <w:b/>
          <w:sz w:val="24"/>
          <w:szCs w:val="24"/>
        </w:rPr>
        <w:t xml:space="preserve">2025 </w:t>
      </w:r>
      <w:r w:rsidR="00406805" w:rsidRPr="0064404B">
        <w:rPr>
          <w:rFonts w:ascii="Palatino Linotype" w:hAnsi="Palatino Linotype" w:cs="Arial"/>
          <w:bCs/>
          <w:sz w:val="24"/>
          <w:szCs w:val="24"/>
        </w:rPr>
        <w:t>por</w:t>
      </w:r>
      <w:r w:rsidRPr="0064404B">
        <w:rPr>
          <w:rFonts w:ascii="Palatino Linotype" w:hAnsi="Palatino Linotype" w:cs="Arial"/>
          <w:sz w:val="24"/>
          <w:szCs w:val="24"/>
        </w:rPr>
        <w:t xml:space="preserve"> resultar fundados los motivos de inconformidad que arguye </w:t>
      </w:r>
      <w:r w:rsidRPr="0064404B">
        <w:rPr>
          <w:rFonts w:ascii="Palatino Linotype" w:hAnsi="Palatino Linotype" w:cs="Arial"/>
          <w:b/>
          <w:sz w:val="24"/>
          <w:szCs w:val="24"/>
        </w:rPr>
        <w:t xml:space="preserve">EL RECURRENTE, </w:t>
      </w:r>
      <w:r w:rsidRPr="0064404B">
        <w:rPr>
          <w:rFonts w:ascii="Palatino Linotype" w:hAnsi="Palatino Linotype" w:cs="Arial"/>
          <w:sz w:val="24"/>
          <w:szCs w:val="24"/>
        </w:rPr>
        <w:t xml:space="preserve">en términos del considerando </w:t>
      </w:r>
      <w:r w:rsidRPr="0064404B">
        <w:rPr>
          <w:rFonts w:ascii="Palatino Linotype" w:hAnsi="Palatino Linotype" w:cs="Arial"/>
          <w:b/>
          <w:sz w:val="24"/>
          <w:szCs w:val="24"/>
        </w:rPr>
        <w:t xml:space="preserve">CUARTO </w:t>
      </w:r>
      <w:r w:rsidRPr="0064404B">
        <w:rPr>
          <w:rFonts w:ascii="Palatino Linotype" w:hAnsi="Palatino Linotype" w:cs="Arial"/>
          <w:sz w:val="24"/>
          <w:szCs w:val="24"/>
        </w:rPr>
        <w:t xml:space="preserve">de la presente resolución. </w:t>
      </w:r>
    </w:p>
    <w:p w14:paraId="4BDB10FC" w14:textId="77777777" w:rsidR="005E4BC2" w:rsidRPr="0064404B" w:rsidRDefault="005E4BC2" w:rsidP="005F4E5A">
      <w:pPr>
        <w:spacing w:before="240" w:line="360" w:lineRule="auto"/>
        <w:jc w:val="both"/>
        <w:rPr>
          <w:rFonts w:ascii="Palatino Linotype" w:hAnsi="Palatino Linotype" w:cs="Arial"/>
          <w:sz w:val="24"/>
          <w:szCs w:val="24"/>
        </w:rPr>
      </w:pPr>
    </w:p>
    <w:p w14:paraId="3DBD26AC" w14:textId="0C2ACED5" w:rsidR="00354286" w:rsidRPr="0064404B" w:rsidRDefault="00354286" w:rsidP="00354286">
      <w:pPr>
        <w:autoSpaceDE w:val="0"/>
        <w:autoSpaceDN w:val="0"/>
        <w:adjustRightInd w:val="0"/>
        <w:spacing w:before="240" w:line="360" w:lineRule="auto"/>
        <w:ind w:right="49"/>
        <w:jc w:val="both"/>
        <w:rPr>
          <w:rFonts w:ascii="Palatino Linotype" w:hAnsi="Palatino Linotype" w:cs="Arial"/>
          <w:sz w:val="24"/>
          <w:szCs w:val="24"/>
        </w:rPr>
      </w:pPr>
      <w:r w:rsidRPr="0064404B">
        <w:rPr>
          <w:rFonts w:ascii="Palatino Linotype" w:hAnsi="Palatino Linotype" w:cs="Arial"/>
          <w:b/>
          <w:sz w:val="24"/>
          <w:szCs w:val="24"/>
        </w:rPr>
        <w:t>SEGUNDO.</w:t>
      </w:r>
      <w:r w:rsidRPr="0064404B">
        <w:rPr>
          <w:rFonts w:ascii="Palatino Linotype" w:hAnsi="Palatino Linotype" w:cs="Arial"/>
          <w:sz w:val="24"/>
          <w:szCs w:val="24"/>
        </w:rPr>
        <w:t xml:space="preserve"> Se </w:t>
      </w:r>
      <w:r w:rsidRPr="0064404B">
        <w:rPr>
          <w:rFonts w:ascii="Palatino Linotype" w:hAnsi="Palatino Linotype" w:cs="Arial"/>
          <w:b/>
          <w:sz w:val="24"/>
          <w:szCs w:val="24"/>
        </w:rPr>
        <w:t>ORDENA</w:t>
      </w:r>
      <w:r w:rsidRPr="0064404B">
        <w:rPr>
          <w:rFonts w:ascii="Palatino Linotype" w:hAnsi="Palatino Linotype" w:cs="Arial"/>
          <w:sz w:val="24"/>
          <w:szCs w:val="24"/>
        </w:rPr>
        <w:t xml:space="preserve"> al </w:t>
      </w:r>
      <w:r w:rsidRPr="0064404B">
        <w:rPr>
          <w:rFonts w:ascii="Palatino Linotype" w:hAnsi="Palatino Linotype" w:cs="Arial"/>
          <w:b/>
          <w:sz w:val="24"/>
          <w:szCs w:val="24"/>
        </w:rPr>
        <w:t>SUJETO OBLIGADO</w:t>
      </w:r>
      <w:r w:rsidRPr="0064404B">
        <w:rPr>
          <w:rFonts w:ascii="Palatino Linotype" w:hAnsi="Palatino Linotype" w:cs="Arial"/>
          <w:sz w:val="24"/>
          <w:szCs w:val="24"/>
        </w:rPr>
        <w:t xml:space="preserve"> realizar una búsqueda exhaustiva y razonable a fin de entregar al </w:t>
      </w:r>
      <w:r w:rsidRPr="0064404B">
        <w:rPr>
          <w:rFonts w:ascii="Palatino Linotype" w:hAnsi="Palatino Linotype" w:cs="Arial"/>
          <w:b/>
          <w:bCs/>
          <w:sz w:val="24"/>
          <w:szCs w:val="24"/>
        </w:rPr>
        <w:t xml:space="preserve">RECURRENTE, </w:t>
      </w:r>
      <w:r w:rsidRPr="0064404B">
        <w:rPr>
          <w:rFonts w:ascii="Palatino Linotype" w:eastAsia="Times New Roman" w:hAnsi="Palatino Linotype" w:cs="Arial"/>
          <w:b/>
          <w:sz w:val="24"/>
          <w:szCs w:val="24"/>
          <w:lang w:eastAsia="es-ES"/>
        </w:rPr>
        <w:t xml:space="preserve">vía </w:t>
      </w:r>
      <w:r w:rsidRPr="0064404B">
        <w:rPr>
          <w:rFonts w:ascii="Palatino Linotype" w:hAnsi="Palatino Linotype" w:cs="Arial"/>
          <w:sz w:val="24"/>
          <w:szCs w:val="24"/>
        </w:rPr>
        <w:t xml:space="preserve">Sistema de Acceso a la Información Mexiquense </w:t>
      </w:r>
      <w:r w:rsidRPr="0064404B">
        <w:rPr>
          <w:rFonts w:ascii="Palatino Linotype" w:hAnsi="Palatino Linotype" w:cs="Arial"/>
          <w:b/>
          <w:sz w:val="24"/>
          <w:szCs w:val="24"/>
        </w:rPr>
        <w:t>(SAIMEX),</w:t>
      </w:r>
      <w:r w:rsidRPr="0064404B">
        <w:rPr>
          <w:rFonts w:ascii="Palatino Linotype" w:hAnsi="Palatino Linotype" w:cs="Arial"/>
          <w:b/>
          <w:bCs/>
          <w:sz w:val="24"/>
          <w:szCs w:val="24"/>
        </w:rPr>
        <w:t xml:space="preserve"> </w:t>
      </w:r>
      <w:r w:rsidRPr="0064404B">
        <w:rPr>
          <w:rFonts w:ascii="Palatino Linotype" w:hAnsi="Palatino Linotype" w:cs="Arial"/>
          <w:sz w:val="24"/>
          <w:szCs w:val="24"/>
        </w:rPr>
        <w:t xml:space="preserve">en términos del Considerando </w:t>
      </w:r>
      <w:r w:rsidRPr="0064404B">
        <w:rPr>
          <w:rFonts w:ascii="Palatino Linotype" w:hAnsi="Palatino Linotype" w:cs="Arial"/>
          <w:b/>
          <w:sz w:val="24"/>
          <w:szCs w:val="24"/>
        </w:rPr>
        <w:t xml:space="preserve">CUARTO </w:t>
      </w:r>
      <w:r w:rsidRPr="0064404B">
        <w:rPr>
          <w:rFonts w:ascii="Palatino Linotype" w:hAnsi="Palatino Linotype" w:cs="Arial"/>
          <w:sz w:val="24"/>
          <w:szCs w:val="24"/>
        </w:rPr>
        <w:t>de esta resolución</w:t>
      </w:r>
      <w:r w:rsidRPr="0064404B">
        <w:rPr>
          <w:rFonts w:ascii="Palatino Linotype" w:hAnsi="Palatino Linotype" w:cs="Arial"/>
          <w:b/>
          <w:sz w:val="24"/>
          <w:szCs w:val="24"/>
        </w:rPr>
        <w:t xml:space="preserve">, </w:t>
      </w:r>
      <w:r w:rsidRPr="0064404B">
        <w:rPr>
          <w:rFonts w:ascii="Palatino Linotype" w:hAnsi="Palatino Linotype" w:cs="Arial"/>
          <w:sz w:val="24"/>
          <w:szCs w:val="24"/>
        </w:rPr>
        <w:t>en versión pública de ser procedente, de lo siguiente:</w:t>
      </w:r>
    </w:p>
    <w:p w14:paraId="0D1145ED" w14:textId="77777777" w:rsidR="000F7118" w:rsidRPr="0064404B" w:rsidRDefault="000F7118" w:rsidP="00534B69">
      <w:pPr>
        <w:pStyle w:val="Prrafodelista"/>
        <w:numPr>
          <w:ilvl w:val="0"/>
          <w:numId w:val="5"/>
        </w:numPr>
        <w:autoSpaceDE w:val="0"/>
        <w:autoSpaceDN w:val="0"/>
        <w:adjustRightInd w:val="0"/>
        <w:spacing w:before="240" w:line="360" w:lineRule="auto"/>
        <w:jc w:val="both"/>
        <w:rPr>
          <w:rFonts w:ascii="Palatino Linotype" w:hAnsi="Palatino Linotype" w:cs="Arial"/>
          <w:i/>
          <w:iCs/>
        </w:rPr>
      </w:pPr>
      <w:bookmarkStart w:id="3" w:name="_Hlk121218568"/>
      <w:r w:rsidRPr="0064404B">
        <w:rPr>
          <w:rFonts w:ascii="Palatino Linotype" w:hAnsi="Palatino Linotype" w:cs="Arial"/>
          <w:i/>
          <w:iCs/>
        </w:rPr>
        <w:t xml:space="preserve">El o los documentos donde conste el estado financiero que guardan, monto y número, respecto de los contratos de obra pública celebrados por el Ayuntamiento de Naucalpan, del periodo comprendido del uno de enero de dos mil catorce al treinta y uno de diciembre de dos mil quince. </w:t>
      </w:r>
    </w:p>
    <w:bookmarkEnd w:id="3"/>
    <w:p w14:paraId="44BCCC65" w14:textId="77777777" w:rsidR="005F4E5A" w:rsidRPr="0064404B" w:rsidRDefault="005F4E5A" w:rsidP="005F4E5A">
      <w:pPr>
        <w:pStyle w:val="Prrafodelista"/>
        <w:spacing w:before="240" w:line="360" w:lineRule="auto"/>
        <w:ind w:left="782"/>
        <w:jc w:val="both"/>
        <w:rPr>
          <w:rFonts w:ascii="Palatino Linotype" w:hAnsi="Palatino Linotype" w:cs="Arial"/>
          <w:i/>
        </w:rPr>
      </w:pPr>
      <w:r w:rsidRPr="0064404B">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1FD5CB6A" w14:textId="0687493E" w:rsidR="00B25042" w:rsidRPr="0064404B" w:rsidRDefault="00B25042" w:rsidP="00B25042">
      <w:pPr>
        <w:pStyle w:val="Prrafodelista"/>
        <w:spacing w:before="240" w:line="360" w:lineRule="auto"/>
        <w:ind w:left="720"/>
        <w:jc w:val="both"/>
        <w:rPr>
          <w:rFonts w:ascii="Palatino Linotype" w:hAnsi="Palatino Linotype" w:cs="Arial"/>
          <w:i/>
        </w:rPr>
      </w:pPr>
      <w:r w:rsidRPr="0064404B">
        <w:rPr>
          <w:rFonts w:ascii="Palatino Linotype" w:hAnsi="Palatino Linotype" w:cs="Arial"/>
          <w:i/>
        </w:rPr>
        <w:t xml:space="preserve">En referencia al punto 1, una vez realizada la búsqueda exhaustiva y razonable para el caso de no contar con la información resulta procedente ordenar Acuerdo que emita el Comité de Transparencia por el cual se declare formalmente la inexistencia de la información. </w:t>
      </w:r>
    </w:p>
    <w:p w14:paraId="572FBA31" w14:textId="77777777" w:rsidR="00406805" w:rsidRPr="0064404B" w:rsidRDefault="00406805" w:rsidP="00B25042">
      <w:pPr>
        <w:pStyle w:val="Prrafodelista"/>
        <w:spacing w:before="240" w:line="360" w:lineRule="auto"/>
        <w:ind w:left="720"/>
        <w:jc w:val="both"/>
        <w:rPr>
          <w:rFonts w:ascii="Palatino Linotype" w:hAnsi="Palatino Linotype" w:cs="Arial"/>
          <w:i/>
        </w:rPr>
      </w:pPr>
    </w:p>
    <w:p w14:paraId="22912844" w14:textId="77777777" w:rsidR="00B25042" w:rsidRPr="0064404B" w:rsidRDefault="00B25042" w:rsidP="00B25042">
      <w:pPr>
        <w:autoSpaceDE w:val="0"/>
        <w:autoSpaceDN w:val="0"/>
        <w:adjustRightInd w:val="0"/>
        <w:spacing w:line="360" w:lineRule="auto"/>
        <w:ind w:right="49"/>
        <w:jc w:val="both"/>
        <w:rPr>
          <w:rFonts w:ascii="Palatino Linotype" w:hAnsi="Palatino Linotype" w:cstheme="minorHAnsi"/>
          <w:sz w:val="24"/>
          <w:szCs w:val="24"/>
        </w:rPr>
      </w:pPr>
      <w:r w:rsidRPr="0064404B">
        <w:rPr>
          <w:rFonts w:ascii="Palatino Linotype" w:hAnsi="Palatino Linotype" w:cs="Arial"/>
          <w:b/>
          <w:sz w:val="28"/>
          <w:szCs w:val="28"/>
        </w:rPr>
        <w:t>TERCERO.</w:t>
      </w:r>
      <w:r w:rsidRPr="0064404B">
        <w:rPr>
          <w:rFonts w:ascii="Palatino Linotype" w:hAnsi="Palatino Linotype" w:cs="Arial"/>
          <w:b/>
          <w:sz w:val="24"/>
          <w:szCs w:val="24"/>
        </w:rPr>
        <w:t xml:space="preserve"> </w:t>
      </w:r>
      <w:r w:rsidRPr="0064404B">
        <w:rPr>
          <w:rFonts w:ascii="Palatino Linotype" w:hAnsi="Palatino Linotype" w:cstheme="minorHAnsi"/>
          <w:b/>
          <w:sz w:val="24"/>
          <w:szCs w:val="24"/>
        </w:rPr>
        <w:t>NOTIFÍQUESE</w:t>
      </w:r>
      <w:r w:rsidRPr="0064404B">
        <w:rPr>
          <w:rFonts w:ascii="Palatino Linotype" w:hAnsi="Palatino Linotype" w:cstheme="minorHAnsi"/>
          <w:i/>
          <w:sz w:val="24"/>
          <w:szCs w:val="24"/>
        </w:rPr>
        <w:t xml:space="preserve"> </w:t>
      </w:r>
      <w:r w:rsidRPr="0064404B">
        <w:rPr>
          <w:rFonts w:ascii="Palatino Linotype" w:hAnsi="Palatino Linotype" w:cstheme="minorHAnsi"/>
          <w:sz w:val="24"/>
          <w:szCs w:val="24"/>
        </w:rPr>
        <w:t xml:space="preserve">la presente resolución al Titular de la Unidad de Transparencia del Sujeto Obligado, </w:t>
      </w:r>
      <w:r w:rsidRPr="0064404B">
        <w:rPr>
          <w:rFonts w:ascii="Palatino Linotype" w:eastAsia="Times New Roman" w:hAnsi="Palatino Linotype" w:cs="Arial"/>
          <w:b/>
          <w:sz w:val="24"/>
          <w:szCs w:val="24"/>
          <w:lang w:eastAsia="es-ES"/>
        </w:rPr>
        <w:t xml:space="preserve">vía </w:t>
      </w:r>
      <w:r w:rsidRPr="0064404B">
        <w:rPr>
          <w:rFonts w:ascii="Palatino Linotype" w:hAnsi="Palatino Linotype" w:cs="Arial"/>
          <w:sz w:val="24"/>
          <w:szCs w:val="24"/>
        </w:rPr>
        <w:t xml:space="preserve">Sistema de Acceso a la Información Mexiquense </w:t>
      </w:r>
      <w:r w:rsidRPr="0064404B">
        <w:rPr>
          <w:rFonts w:ascii="Palatino Linotype" w:hAnsi="Palatino Linotype" w:cs="Arial"/>
          <w:b/>
          <w:sz w:val="24"/>
          <w:szCs w:val="24"/>
        </w:rPr>
        <w:t xml:space="preserve">(SAIMEX), </w:t>
      </w:r>
      <w:r w:rsidRPr="0064404B">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28EDF" w14:textId="77777777" w:rsidR="00B25042" w:rsidRPr="0064404B" w:rsidRDefault="00B25042" w:rsidP="00B25042">
      <w:pPr>
        <w:autoSpaceDE w:val="0"/>
        <w:autoSpaceDN w:val="0"/>
        <w:adjustRightInd w:val="0"/>
        <w:spacing w:line="360" w:lineRule="auto"/>
        <w:ind w:right="49"/>
        <w:jc w:val="both"/>
        <w:rPr>
          <w:rFonts w:ascii="Palatino Linotype" w:hAnsi="Palatino Linotype" w:cs="Arial"/>
          <w:sz w:val="24"/>
          <w:szCs w:val="24"/>
        </w:rPr>
      </w:pPr>
    </w:p>
    <w:p w14:paraId="03EFD682" w14:textId="77777777" w:rsidR="00B25042" w:rsidRPr="0064404B" w:rsidRDefault="00B25042" w:rsidP="00B2504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64404B">
        <w:rPr>
          <w:rFonts w:ascii="Palatino Linotype" w:eastAsia="Times New Roman" w:hAnsi="Palatino Linotype" w:cs="Arial"/>
          <w:b/>
          <w:sz w:val="28"/>
          <w:szCs w:val="28"/>
          <w:lang w:eastAsia="es-ES"/>
        </w:rPr>
        <w:t>CUARTO.</w:t>
      </w:r>
      <w:r w:rsidRPr="0064404B">
        <w:rPr>
          <w:rFonts w:ascii="Palatino Linotype" w:eastAsia="Times New Roman" w:hAnsi="Palatino Linotype" w:cs="Arial"/>
          <w:b/>
          <w:sz w:val="24"/>
          <w:szCs w:val="24"/>
          <w:lang w:eastAsia="es-ES"/>
        </w:rPr>
        <w:t xml:space="preserve"> </w:t>
      </w:r>
      <w:r w:rsidRPr="0064404B">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64404B">
        <w:rPr>
          <w:rFonts w:ascii="Palatino Linotype" w:eastAsia="Times New Roman" w:hAnsi="Palatino Linotype" w:cs="Arial"/>
          <w:b/>
          <w:sz w:val="24"/>
          <w:szCs w:val="24"/>
          <w:lang w:eastAsia="es-ES"/>
        </w:rPr>
        <w:t>Sujeto Obligado</w:t>
      </w:r>
      <w:r w:rsidRPr="0064404B">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2304F65F" w14:textId="77777777" w:rsidR="00B25042" w:rsidRPr="0064404B" w:rsidRDefault="00B25042" w:rsidP="00B25042">
      <w:pPr>
        <w:spacing w:after="0" w:line="360" w:lineRule="auto"/>
        <w:jc w:val="both"/>
        <w:rPr>
          <w:rFonts w:ascii="Palatino Linotype" w:eastAsia="Times New Roman" w:hAnsi="Palatino Linotype" w:cs="Arial"/>
          <w:b/>
          <w:sz w:val="28"/>
          <w:szCs w:val="28"/>
          <w:lang w:eastAsia="es-ES"/>
        </w:rPr>
      </w:pPr>
    </w:p>
    <w:p w14:paraId="106C5662" w14:textId="16DB4BF4" w:rsidR="00B25042" w:rsidRPr="0064404B" w:rsidRDefault="00B25042" w:rsidP="00B25042">
      <w:pPr>
        <w:spacing w:after="0" w:line="360" w:lineRule="auto"/>
        <w:jc w:val="both"/>
        <w:rPr>
          <w:rFonts w:ascii="Palatino Linotype" w:hAnsi="Palatino Linotype"/>
          <w:sz w:val="24"/>
          <w:szCs w:val="24"/>
        </w:rPr>
      </w:pPr>
      <w:r w:rsidRPr="0064404B">
        <w:rPr>
          <w:rFonts w:ascii="Palatino Linotype" w:eastAsia="Times New Roman" w:hAnsi="Palatino Linotype" w:cs="Arial"/>
          <w:b/>
          <w:sz w:val="28"/>
          <w:szCs w:val="28"/>
          <w:lang w:eastAsia="es-ES"/>
        </w:rPr>
        <w:t>QUINTO.</w:t>
      </w:r>
      <w:r w:rsidRPr="0064404B">
        <w:rPr>
          <w:rFonts w:ascii="Palatino Linotype" w:eastAsia="Times New Roman" w:hAnsi="Palatino Linotype" w:cs="Arial"/>
          <w:b/>
          <w:sz w:val="24"/>
          <w:szCs w:val="24"/>
          <w:lang w:eastAsia="es-ES"/>
        </w:rPr>
        <w:t xml:space="preserve"> NOTIFÍQUESE </w:t>
      </w:r>
      <w:r w:rsidRPr="0064404B">
        <w:rPr>
          <w:rFonts w:ascii="Palatino Linotype" w:eastAsia="Times New Roman" w:hAnsi="Palatino Linotype" w:cs="Arial"/>
          <w:sz w:val="24"/>
          <w:szCs w:val="24"/>
          <w:lang w:eastAsia="es-ES"/>
        </w:rPr>
        <w:t xml:space="preserve">la presente resolución al </w:t>
      </w:r>
      <w:r w:rsidRPr="0064404B">
        <w:rPr>
          <w:rFonts w:ascii="Palatino Linotype" w:eastAsia="Times New Roman" w:hAnsi="Palatino Linotype" w:cs="Arial"/>
          <w:b/>
          <w:sz w:val="24"/>
          <w:szCs w:val="24"/>
          <w:lang w:eastAsia="es-ES"/>
        </w:rPr>
        <w:t xml:space="preserve">RECURRENTE vía </w:t>
      </w:r>
      <w:r w:rsidRPr="0064404B">
        <w:rPr>
          <w:rFonts w:ascii="Palatino Linotype" w:hAnsi="Palatino Linotype" w:cs="Arial"/>
          <w:sz w:val="24"/>
          <w:szCs w:val="24"/>
        </w:rPr>
        <w:t xml:space="preserve">Sistema de Acceso a la Información Mexiquense </w:t>
      </w:r>
      <w:r w:rsidRPr="0064404B">
        <w:rPr>
          <w:rFonts w:ascii="Palatino Linotype" w:hAnsi="Palatino Linotype" w:cs="Arial"/>
          <w:b/>
          <w:sz w:val="24"/>
          <w:szCs w:val="24"/>
        </w:rPr>
        <w:t xml:space="preserve">(SAIMEX) </w:t>
      </w:r>
      <w:r w:rsidRPr="0064404B">
        <w:rPr>
          <w:rFonts w:ascii="Palatino Linotype" w:eastAsia="Times New Roman" w:hAnsi="Palatino Linotype" w:cs="Arial"/>
          <w:sz w:val="24"/>
          <w:szCs w:val="24"/>
          <w:lang w:eastAsia="es-ES"/>
        </w:rPr>
        <w:t xml:space="preserve">y hágase de su conocimiento que, </w:t>
      </w:r>
      <w:r w:rsidRPr="0064404B">
        <w:rPr>
          <w:rFonts w:ascii="Palatino Linotype" w:eastAsia="Times New Roman" w:hAnsi="Palatino Linotype" w:cs="Times New Roman"/>
          <w:color w:val="222222"/>
          <w:sz w:val="24"/>
          <w:szCs w:val="24"/>
          <w:shd w:val="clear" w:color="auto" w:fill="FFFFFF"/>
          <w:lang w:eastAsia="es-ES"/>
        </w:rPr>
        <w:t xml:space="preserve">de conformidad con lo </w:t>
      </w:r>
      <w:r w:rsidRPr="0064404B">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64404B">
        <w:rPr>
          <w:rFonts w:ascii="Palatino Linotype" w:eastAsia="Times New Roman" w:hAnsi="Palatino Linotype" w:cs="Times New Roman"/>
          <w:color w:val="222222"/>
          <w:sz w:val="24"/>
          <w:szCs w:val="24"/>
          <w:shd w:val="clear" w:color="auto" w:fill="FFFFFF"/>
          <w:lang w:eastAsia="es-ES"/>
        </w:rPr>
        <w:t xml:space="preserve">leyes </w:t>
      </w:r>
      <w:r w:rsidRPr="0064404B">
        <w:rPr>
          <w:rFonts w:ascii="Palatino Linotype" w:eastAsia="Times New Roman" w:hAnsi="Palatino Linotype" w:cs="Times New Roman"/>
          <w:color w:val="222222"/>
          <w:sz w:val="24"/>
          <w:szCs w:val="24"/>
          <w:lang w:eastAsia="es-ES"/>
        </w:rPr>
        <w:t>aplicables.</w:t>
      </w:r>
    </w:p>
    <w:p w14:paraId="1709914A" w14:textId="185CD5EE" w:rsidR="001A7216" w:rsidRPr="0064404B"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A9F2BA4" w14:textId="3D3BE468" w:rsidR="000F7118" w:rsidRPr="0064404B" w:rsidRDefault="000F7118" w:rsidP="000F7118">
      <w:pPr>
        <w:spacing w:line="360" w:lineRule="auto"/>
        <w:jc w:val="both"/>
        <w:rPr>
          <w:rFonts w:ascii="Palatino Linotype" w:hAnsi="Palatino Linotype" w:cs="Arial"/>
        </w:rPr>
      </w:pPr>
      <w:r w:rsidRPr="0064404B">
        <w:rPr>
          <w:rFonts w:ascii="Palatino Linotype" w:hAnsi="Palatino Linotype" w:cs="Arial"/>
        </w:rPr>
        <w:t>ASÍ LO RESUELVE, POR UNANIMIDAD DE VOTOS EL PLENO DEL</w:t>
      </w:r>
      <w:r w:rsidRPr="0064404B">
        <w:rPr>
          <w:rFonts w:ascii="Palatino Linotype" w:eastAsia="Arial Unicode MS" w:hAnsi="Palatino Linotype" w:cs="Arial"/>
        </w:rPr>
        <w:t xml:space="preserve"> INSTITUTO DE TRANSPARENCIA, ACCESO A LA INFORMACIÓN PÚBLICA Y PROTECCIÓN DE DATOS PERSONALES DEL ESTADO DE MÉXICO Y MUNICIPIOS</w:t>
      </w:r>
      <w:r w:rsidRPr="0064404B">
        <w:rPr>
          <w:rFonts w:ascii="Palatino Linotype" w:hAnsi="Palatino Linotype" w:cs="Arial"/>
        </w:rPr>
        <w:t>, CONFORMADO POR LOS COMISIONADOS JOSÉ MARTÍNEZ VILCHIS, MARÍA DEL ROSARIO MEJÍA AYALA, SHARON CRISTINA MORALES MARTÍNEZ, LUIS GUSTAVO PARRA NORIEGA Y GUADALUPE RAMÍREZ PEÑA, EN LA D</w:t>
      </w:r>
      <w:r w:rsidR="002C5B92" w:rsidRPr="0064404B">
        <w:rPr>
          <w:rFonts w:ascii="Palatino Linotype" w:hAnsi="Palatino Linotype" w:cs="Arial"/>
        </w:rPr>
        <w:t>É</w:t>
      </w:r>
      <w:r w:rsidRPr="0064404B">
        <w:rPr>
          <w:rFonts w:ascii="Palatino Linotype" w:hAnsi="Palatino Linotype" w:cs="Arial"/>
        </w:rPr>
        <w:t xml:space="preserve">CIMA SEGUNDA SESIÓN ORDINARIA CELEBRADA EL DOS DE ABRIL DE DOS MIL VEINTICINCO, ANTE EL SECRETARIO TÉCNICO DEL PLENO, ALEXIS TAPIA RAMÍREZ. </w:t>
      </w:r>
    </w:p>
    <w:p w14:paraId="375A05D3" w14:textId="77777777" w:rsidR="000F7118" w:rsidRPr="0064404B" w:rsidRDefault="000F7118" w:rsidP="000F7118">
      <w:pPr>
        <w:spacing w:line="360" w:lineRule="auto"/>
        <w:jc w:val="both"/>
        <w:rPr>
          <w:rFonts w:ascii="Palatino Linotype" w:hAnsi="Palatino Linotype" w:cs="Arial"/>
          <w:sz w:val="18"/>
          <w:szCs w:val="18"/>
        </w:rPr>
      </w:pPr>
      <w:r w:rsidRPr="0064404B">
        <w:rPr>
          <w:rFonts w:ascii="Palatino Linotype" w:hAnsi="Palatino Linotype" w:cs="Arial"/>
          <w:sz w:val="18"/>
          <w:szCs w:val="18"/>
        </w:rPr>
        <w:t>CCR/JCMA</w:t>
      </w:r>
    </w:p>
    <w:p w14:paraId="3E36548D" w14:textId="58816459" w:rsidR="000F7118" w:rsidRPr="00B25042" w:rsidRDefault="003E1419" w:rsidP="00BE17E0">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64404B">
        <w:rPr>
          <w:rFonts w:ascii="Palatino Linotype" w:hAnsi="Palatino Linotype"/>
          <w:bCs/>
          <w:noProof/>
          <w:sz w:val="18"/>
          <w:szCs w:val="18"/>
        </w:rPr>
        <mc:AlternateContent>
          <mc:Choice Requires="wps">
            <w:drawing>
              <wp:anchor distT="0" distB="0" distL="114300" distR="114300" simplePos="0" relativeHeight="251870195" behindDoc="0" locked="0" layoutInCell="1" allowOverlap="1" wp14:anchorId="76F38345" wp14:editId="7FD685D7">
                <wp:simplePos x="0" y="0"/>
                <wp:positionH relativeFrom="column">
                  <wp:posOffset>-59055</wp:posOffset>
                </wp:positionH>
                <wp:positionV relativeFrom="paragraph">
                  <wp:posOffset>138430</wp:posOffset>
                </wp:positionV>
                <wp:extent cx="5859780" cy="3383280"/>
                <wp:effectExtent l="0" t="0" r="26670" b="26670"/>
                <wp:wrapNone/>
                <wp:docPr id="428015100" name="Conector recto 1"/>
                <wp:cNvGraphicFramePr/>
                <a:graphic xmlns:a="http://schemas.openxmlformats.org/drawingml/2006/main">
                  <a:graphicData uri="http://schemas.microsoft.com/office/word/2010/wordprocessingShape">
                    <wps:wsp>
                      <wps:cNvCnPr/>
                      <wps:spPr>
                        <a:xfrm>
                          <a:off x="0" y="0"/>
                          <a:ext cx="5859780" cy="3383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3FC02F5" id="Conector recto 1" o:spid="_x0000_s1026" style="position:absolute;z-index:251870195;visibility:visible;mso-wrap-style:square;mso-wrap-distance-left:9pt;mso-wrap-distance-top:0;mso-wrap-distance-right:9pt;mso-wrap-distance-bottom:0;mso-position-horizontal:absolute;mso-position-horizontal-relative:text;mso-position-vertical:absolute;mso-position-vertical-relative:text" from="-4.65pt,10.9pt" to="456.75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" strokecolor="#5b9bd5 [3204]" strokeweight=".5pt">
                <v:stroke joinstyle="miter"/>
              </v:line>
            </w:pict>
          </mc:Fallback>
        </mc:AlternateContent>
      </w:r>
      <w:bookmarkStart w:id="4" w:name="_GoBack"/>
      <w:bookmarkEnd w:id="4"/>
    </w:p>
    <w:p w14:paraId="51BAC58A" w14:textId="0539221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988BD3" w14:textId="0238CAE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7CD1B65" w14:textId="72A0C7D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D202F6C" w14:textId="4784595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3BDB26C6"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A9F5F16"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85F32F3"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EB28BE3"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322E593"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E7842D1"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BDD4075"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9CA8AA8"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E5FBB6E"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90F30A3"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82EE9B" w14:textId="77777777" w:rsidR="005E4BC2" w:rsidRDefault="005E4BC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5E4BC2" w:rsidSect="00163521">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AE143" w14:textId="77777777" w:rsidR="00B545FE" w:rsidRDefault="00B545FE" w:rsidP="006168E4">
      <w:pPr>
        <w:spacing w:after="0" w:line="240" w:lineRule="auto"/>
      </w:pPr>
      <w:r>
        <w:separator/>
      </w:r>
    </w:p>
  </w:endnote>
  <w:endnote w:type="continuationSeparator" w:id="0">
    <w:p w14:paraId="094AC59D" w14:textId="77777777" w:rsidR="00B545FE" w:rsidRDefault="00B545FE"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C73D" w14:textId="447B8F16"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404B">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4404B">
      <w:rPr>
        <w:rFonts w:ascii="Palatino Linotype" w:hAnsi="Palatino Linotype"/>
        <w:bCs/>
        <w:noProof/>
        <w:sz w:val="20"/>
      </w:rPr>
      <w:t>14</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E9FD" w14:textId="2979FB7B"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404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4404B">
      <w:rPr>
        <w:rFonts w:ascii="Palatino Linotype" w:hAnsi="Palatino Linotype"/>
        <w:bCs/>
        <w:noProof/>
        <w:sz w:val="20"/>
      </w:rPr>
      <w:t>12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26E3D" w14:textId="77777777" w:rsidR="00B545FE" w:rsidRDefault="00B545FE" w:rsidP="006168E4">
      <w:pPr>
        <w:spacing w:after="0" w:line="240" w:lineRule="auto"/>
      </w:pPr>
      <w:r>
        <w:separator/>
      </w:r>
    </w:p>
  </w:footnote>
  <w:footnote w:type="continuationSeparator" w:id="0">
    <w:p w14:paraId="008F59F3" w14:textId="77777777" w:rsidR="00B545FE" w:rsidRDefault="00B545FE" w:rsidP="006168E4">
      <w:pPr>
        <w:spacing w:after="0" w:line="240" w:lineRule="auto"/>
      </w:pPr>
      <w:r>
        <w:continuationSeparator/>
      </w:r>
    </w:p>
  </w:footnote>
  <w:footnote w:id="1">
    <w:p w14:paraId="38A3DBD6" w14:textId="77777777" w:rsidR="00354286" w:rsidRDefault="00354286" w:rsidP="00354286">
      <w:pPr>
        <w:pStyle w:val="Textonotapie"/>
      </w:pPr>
      <w:r>
        <w:rPr>
          <w:rStyle w:val="Refdenotaalpie"/>
        </w:rPr>
        <w:footnoteRef/>
      </w:r>
      <w:r>
        <w:t xml:space="preserve"> Consultado en </w:t>
      </w:r>
      <w:hyperlink r:id="rId1" w:history="1">
        <w:r w:rsidRPr="00BA0135">
          <w:rPr>
            <w:rStyle w:val="Hipervnculo"/>
          </w:rPr>
          <w:t>https://dle.rae.es/notorio</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EBE3" w14:textId="4F3246F0" w:rsidR="00FC2D20" w:rsidRDefault="00FC2D20">
    <w:pPr>
      <w:pStyle w:val="Encabezado"/>
    </w:pPr>
    <w:r>
      <w:rPr>
        <w:rFonts w:ascii="Palatino Linotype" w:hAnsi="Palatino Linotype" w:cs="Arial"/>
        <w:b/>
        <w:noProof/>
        <w:szCs w:val="20"/>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0157D2AF"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F71C7">
            <w:rPr>
              <w:rFonts w:ascii="Palatino Linotype" w:hAnsi="Palatino Linotype" w:cs="Arial"/>
              <w:bCs/>
              <w:sz w:val="24"/>
              <w:lang w:eastAsia="es-MX"/>
            </w:rPr>
            <w:t>2110</w:t>
          </w:r>
          <w:r>
            <w:rPr>
              <w:rFonts w:ascii="Palatino Linotype" w:hAnsi="Palatino Linotype" w:cs="Arial"/>
              <w:bCs/>
              <w:sz w:val="24"/>
              <w:lang w:eastAsia="es-MX"/>
            </w:rPr>
            <w:t>/INFOEM/IP/RR/202</w:t>
          </w:r>
          <w:r w:rsidR="00FF71C7">
            <w:rPr>
              <w:rFonts w:ascii="Palatino Linotype" w:hAnsi="Palatino Linotype" w:cs="Arial"/>
              <w:bCs/>
              <w:sz w:val="24"/>
              <w:lang w:eastAsia="es-MX"/>
            </w:rPr>
            <w:t>5</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70B087DF" w:rsidR="00FC2D20" w:rsidRPr="00F06FED" w:rsidRDefault="00FC2D20" w:rsidP="001B1CE0">
          <w:pPr>
            <w:spacing w:after="120" w:line="256" w:lineRule="auto"/>
            <w:ind w:left="639" w:right="214"/>
            <w:jc w:val="both"/>
            <w:rPr>
              <w:rFonts w:ascii="Palatino Linotype" w:hAnsi="Palatino Linotype" w:cs="Arial"/>
            </w:rPr>
          </w:pPr>
          <w:r>
            <w:rPr>
              <w:rFonts w:ascii="Palatino Linotype" w:hAnsi="Palatino Linotype" w:cs="Arial"/>
            </w:rPr>
            <w:t xml:space="preserve">Poder Legislativo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4D33A877"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F71C7">
            <w:rPr>
              <w:rFonts w:ascii="Palatino Linotype" w:hAnsi="Palatino Linotype" w:cs="Arial"/>
              <w:bCs/>
              <w:sz w:val="24"/>
              <w:lang w:eastAsia="es-MX"/>
            </w:rPr>
            <w:t>2110</w:t>
          </w:r>
          <w:r>
            <w:rPr>
              <w:rFonts w:ascii="Palatino Linotype" w:hAnsi="Palatino Linotype" w:cs="Arial"/>
              <w:bCs/>
              <w:sz w:val="24"/>
              <w:lang w:eastAsia="es-MX"/>
            </w:rPr>
            <w:t>/INFOEM/IP/RR/202</w:t>
          </w:r>
          <w:r w:rsidR="00FF71C7">
            <w:rPr>
              <w:rFonts w:ascii="Palatino Linotype" w:hAnsi="Palatino Linotype" w:cs="Arial"/>
              <w:bCs/>
              <w:sz w:val="24"/>
              <w:lang w:eastAsia="es-MX"/>
            </w:rPr>
            <w:t>5</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32E17140" w:rsidR="00FC2D20" w:rsidRPr="00E93E68" w:rsidRDefault="00FC2D20" w:rsidP="00B667E5">
          <w:pPr>
            <w:spacing w:after="120" w:line="256" w:lineRule="auto"/>
            <w:ind w:right="214"/>
            <w:jc w:val="both"/>
            <w:rPr>
              <w:rFonts w:ascii="Palatino Linotype" w:hAnsi="Palatino Linotype" w:cs="Arial"/>
            </w:rPr>
          </w:pPr>
          <w:r>
            <w:rPr>
              <w:rFonts w:ascii="Palatino Linotype" w:hAnsi="Palatino Linotype" w:cs="Arial"/>
            </w:rPr>
            <w:t xml:space="preserve">            </w:t>
          </w:r>
          <w:r w:rsidR="00534B69">
            <w:rPr>
              <w:rFonts w:ascii="Palatino Linotype" w:hAnsi="Palatino Linotype" w:cs="Arial"/>
            </w:rPr>
            <w:t>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7089A937" w:rsidR="00FC2D20" w:rsidRDefault="00FC2D20"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Poder Legislativo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0F4F"/>
    <w:multiLevelType w:val="hybridMultilevel"/>
    <w:tmpl w:val="0CB87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797452"/>
    <w:multiLevelType w:val="hybridMultilevel"/>
    <w:tmpl w:val="38B01ACA"/>
    <w:lvl w:ilvl="0" w:tplc="80EEAAA6">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31670BE"/>
    <w:multiLevelType w:val="hybridMultilevel"/>
    <w:tmpl w:val="0F14E1AA"/>
    <w:lvl w:ilvl="0" w:tplc="FFFFFFFF">
      <w:start w:val="1"/>
      <w:numFmt w:val="decimal"/>
      <w:lvlText w:val="%1."/>
      <w:lvlJc w:val="left"/>
      <w:pPr>
        <w:ind w:left="782" w:hanging="360"/>
      </w:p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3" w15:restartNumberingAfterBreak="0">
    <w:nsid w:val="145659A8"/>
    <w:multiLevelType w:val="hybridMultilevel"/>
    <w:tmpl w:val="DFA680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C06D41"/>
    <w:multiLevelType w:val="hybridMultilevel"/>
    <w:tmpl w:val="475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FB82FF3"/>
    <w:multiLevelType w:val="hybridMultilevel"/>
    <w:tmpl w:val="8B14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61511"/>
    <w:multiLevelType w:val="hybridMultilevel"/>
    <w:tmpl w:val="6B2E4278"/>
    <w:lvl w:ilvl="0" w:tplc="B3F44DF6">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509A6F0E"/>
    <w:multiLevelType w:val="hybridMultilevel"/>
    <w:tmpl w:val="3A3A0E74"/>
    <w:lvl w:ilvl="0" w:tplc="EB525228">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5160AC"/>
    <w:multiLevelType w:val="hybridMultilevel"/>
    <w:tmpl w:val="00A2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9"/>
  </w:num>
  <w:num w:numId="5">
    <w:abstractNumId w:val="2"/>
  </w:num>
  <w:num w:numId="6">
    <w:abstractNumId w:val="3"/>
  </w:num>
  <w:num w:numId="7">
    <w:abstractNumId w:val="0"/>
  </w:num>
  <w:num w:numId="8">
    <w:abstractNumId w:val="11"/>
  </w:num>
  <w:num w:numId="9">
    <w:abstractNumId w:val="10"/>
  </w:num>
  <w:num w:numId="10">
    <w:abstractNumId w:val="12"/>
  </w:num>
  <w:num w:numId="11">
    <w:abstractNumId w:val="7"/>
  </w:num>
  <w:num w:numId="12">
    <w:abstractNumId w:val="8"/>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4D01"/>
    <w:rsid w:val="000451BE"/>
    <w:rsid w:val="00045379"/>
    <w:rsid w:val="00045CB8"/>
    <w:rsid w:val="0005031B"/>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2A03"/>
    <w:rsid w:val="00073E78"/>
    <w:rsid w:val="00073FC2"/>
    <w:rsid w:val="000740DB"/>
    <w:rsid w:val="00076AE0"/>
    <w:rsid w:val="0007756F"/>
    <w:rsid w:val="00077A41"/>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6BE2"/>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118"/>
    <w:rsid w:val="000F7389"/>
    <w:rsid w:val="00100C19"/>
    <w:rsid w:val="00100F8E"/>
    <w:rsid w:val="0010154B"/>
    <w:rsid w:val="00104A18"/>
    <w:rsid w:val="00104B9D"/>
    <w:rsid w:val="00105B75"/>
    <w:rsid w:val="00105F91"/>
    <w:rsid w:val="00106372"/>
    <w:rsid w:val="001108D8"/>
    <w:rsid w:val="00111DCD"/>
    <w:rsid w:val="00112C29"/>
    <w:rsid w:val="00114965"/>
    <w:rsid w:val="00114CF9"/>
    <w:rsid w:val="00116FA7"/>
    <w:rsid w:val="00120642"/>
    <w:rsid w:val="001228AB"/>
    <w:rsid w:val="001233A3"/>
    <w:rsid w:val="001235C3"/>
    <w:rsid w:val="00124807"/>
    <w:rsid w:val="00124855"/>
    <w:rsid w:val="001254F5"/>
    <w:rsid w:val="00125561"/>
    <w:rsid w:val="00125647"/>
    <w:rsid w:val="001272C6"/>
    <w:rsid w:val="001311AB"/>
    <w:rsid w:val="00131843"/>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3521"/>
    <w:rsid w:val="0016745C"/>
    <w:rsid w:val="0017022E"/>
    <w:rsid w:val="00170562"/>
    <w:rsid w:val="00170FD1"/>
    <w:rsid w:val="001710C0"/>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5E9A"/>
    <w:rsid w:val="00196DCE"/>
    <w:rsid w:val="001A02EC"/>
    <w:rsid w:val="001A169E"/>
    <w:rsid w:val="001A1756"/>
    <w:rsid w:val="001A1FDD"/>
    <w:rsid w:val="001A30F5"/>
    <w:rsid w:val="001A4643"/>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0A48"/>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3C2"/>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63F6"/>
    <w:rsid w:val="00241038"/>
    <w:rsid w:val="002417A0"/>
    <w:rsid w:val="002420E3"/>
    <w:rsid w:val="002432D3"/>
    <w:rsid w:val="002448CB"/>
    <w:rsid w:val="00245C21"/>
    <w:rsid w:val="0024633A"/>
    <w:rsid w:val="0024703B"/>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136"/>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5B9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7A8"/>
    <w:rsid w:val="002F098B"/>
    <w:rsid w:val="002F14AA"/>
    <w:rsid w:val="002F2198"/>
    <w:rsid w:val="002F37BE"/>
    <w:rsid w:val="002F3F85"/>
    <w:rsid w:val="002F4577"/>
    <w:rsid w:val="002F4E06"/>
    <w:rsid w:val="002F6424"/>
    <w:rsid w:val="00300966"/>
    <w:rsid w:val="00300D0B"/>
    <w:rsid w:val="00303522"/>
    <w:rsid w:val="00304D88"/>
    <w:rsid w:val="003056A2"/>
    <w:rsid w:val="00306096"/>
    <w:rsid w:val="00306FB6"/>
    <w:rsid w:val="003107AB"/>
    <w:rsid w:val="003111C0"/>
    <w:rsid w:val="003116EE"/>
    <w:rsid w:val="003154F2"/>
    <w:rsid w:val="0031645D"/>
    <w:rsid w:val="0031700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4286"/>
    <w:rsid w:val="003551AD"/>
    <w:rsid w:val="00355A06"/>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419"/>
    <w:rsid w:val="003E16E1"/>
    <w:rsid w:val="003E2624"/>
    <w:rsid w:val="003E34C9"/>
    <w:rsid w:val="003E4B54"/>
    <w:rsid w:val="003E53AC"/>
    <w:rsid w:val="003E55DB"/>
    <w:rsid w:val="003E7555"/>
    <w:rsid w:val="003E7FD3"/>
    <w:rsid w:val="003F0EB3"/>
    <w:rsid w:val="003F332C"/>
    <w:rsid w:val="003F3E41"/>
    <w:rsid w:val="003F6008"/>
    <w:rsid w:val="003F61C4"/>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805"/>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2BF"/>
    <w:rsid w:val="00470F88"/>
    <w:rsid w:val="00472649"/>
    <w:rsid w:val="00474273"/>
    <w:rsid w:val="00475574"/>
    <w:rsid w:val="00475F48"/>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455B"/>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0621F"/>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3DDF"/>
    <w:rsid w:val="0052701A"/>
    <w:rsid w:val="0052735A"/>
    <w:rsid w:val="00527EBC"/>
    <w:rsid w:val="005305EA"/>
    <w:rsid w:val="00530E3E"/>
    <w:rsid w:val="005311BB"/>
    <w:rsid w:val="005314E4"/>
    <w:rsid w:val="00533DF5"/>
    <w:rsid w:val="00534B69"/>
    <w:rsid w:val="005366C6"/>
    <w:rsid w:val="005371E7"/>
    <w:rsid w:val="005402C2"/>
    <w:rsid w:val="00540538"/>
    <w:rsid w:val="00540775"/>
    <w:rsid w:val="00540C92"/>
    <w:rsid w:val="00541143"/>
    <w:rsid w:val="005412B1"/>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4F8"/>
    <w:rsid w:val="00576C2F"/>
    <w:rsid w:val="00576E97"/>
    <w:rsid w:val="005771DE"/>
    <w:rsid w:val="00577C71"/>
    <w:rsid w:val="00580802"/>
    <w:rsid w:val="00581064"/>
    <w:rsid w:val="00581A22"/>
    <w:rsid w:val="005833A8"/>
    <w:rsid w:val="00583431"/>
    <w:rsid w:val="0058483E"/>
    <w:rsid w:val="005854A5"/>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182C"/>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482F"/>
    <w:rsid w:val="005E4BC2"/>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404B"/>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C7F"/>
    <w:rsid w:val="006A3E53"/>
    <w:rsid w:val="006A4322"/>
    <w:rsid w:val="006A5961"/>
    <w:rsid w:val="006A6FF3"/>
    <w:rsid w:val="006A76AB"/>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0A8F"/>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8A3"/>
    <w:rsid w:val="00711536"/>
    <w:rsid w:val="00712203"/>
    <w:rsid w:val="007129C0"/>
    <w:rsid w:val="007142B5"/>
    <w:rsid w:val="00714663"/>
    <w:rsid w:val="00714C96"/>
    <w:rsid w:val="00716BFE"/>
    <w:rsid w:val="0072048E"/>
    <w:rsid w:val="007234D1"/>
    <w:rsid w:val="00724441"/>
    <w:rsid w:val="00725B1D"/>
    <w:rsid w:val="0072666C"/>
    <w:rsid w:val="00730EFA"/>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7AA"/>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A7F"/>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45ED"/>
    <w:rsid w:val="00985C4C"/>
    <w:rsid w:val="0098704B"/>
    <w:rsid w:val="00987A07"/>
    <w:rsid w:val="0099059B"/>
    <w:rsid w:val="00991E43"/>
    <w:rsid w:val="00993821"/>
    <w:rsid w:val="00994280"/>
    <w:rsid w:val="0099517B"/>
    <w:rsid w:val="009970B5"/>
    <w:rsid w:val="009A0D0A"/>
    <w:rsid w:val="009A0FAE"/>
    <w:rsid w:val="009A1D94"/>
    <w:rsid w:val="009A200B"/>
    <w:rsid w:val="009A2418"/>
    <w:rsid w:val="009A3184"/>
    <w:rsid w:val="009A3F82"/>
    <w:rsid w:val="009A5659"/>
    <w:rsid w:val="009A64BD"/>
    <w:rsid w:val="009A686F"/>
    <w:rsid w:val="009A6ACC"/>
    <w:rsid w:val="009B1636"/>
    <w:rsid w:val="009B33A8"/>
    <w:rsid w:val="009B3487"/>
    <w:rsid w:val="009B3978"/>
    <w:rsid w:val="009B4510"/>
    <w:rsid w:val="009B5029"/>
    <w:rsid w:val="009B5F5A"/>
    <w:rsid w:val="009B75F7"/>
    <w:rsid w:val="009B7C61"/>
    <w:rsid w:val="009C0DC9"/>
    <w:rsid w:val="009C1104"/>
    <w:rsid w:val="009C3793"/>
    <w:rsid w:val="009C451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47F47"/>
    <w:rsid w:val="00A503DF"/>
    <w:rsid w:val="00A50DA3"/>
    <w:rsid w:val="00A51FBB"/>
    <w:rsid w:val="00A535E3"/>
    <w:rsid w:val="00A540E1"/>
    <w:rsid w:val="00A560C7"/>
    <w:rsid w:val="00A570A7"/>
    <w:rsid w:val="00A572E9"/>
    <w:rsid w:val="00A57B77"/>
    <w:rsid w:val="00A625E2"/>
    <w:rsid w:val="00A62AA3"/>
    <w:rsid w:val="00A62B55"/>
    <w:rsid w:val="00A64C80"/>
    <w:rsid w:val="00A65143"/>
    <w:rsid w:val="00A67EF9"/>
    <w:rsid w:val="00A70411"/>
    <w:rsid w:val="00A70F3D"/>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00E9"/>
    <w:rsid w:val="00AA1687"/>
    <w:rsid w:val="00AA1F1C"/>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196"/>
    <w:rsid w:val="00AC7C82"/>
    <w:rsid w:val="00AD1553"/>
    <w:rsid w:val="00AD1580"/>
    <w:rsid w:val="00AD25F0"/>
    <w:rsid w:val="00AD2EBD"/>
    <w:rsid w:val="00AD38C5"/>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638"/>
    <w:rsid w:val="00AF6F51"/>
    <w:rsid w:val="00AF74DA"/>
    <w:rsid w:val="00B00518"/>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042"/>
    <w:rsid w:val="00B25262"/>
    <w:rsid w:val="00B2573C"/>
    <w:rsid w:val="00B272A6"/>
    <w:rsid w:val="00B30856"/>
    <w:rsid w:val="00B31395"/>
    <w:rsid w:val="00B32CD3"/>
    <w:rsid w:val="00B3475C"/>
    <w:rsid w:val="00B34866"/>
    <w:rsid w:val="00B34CA9"/>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45FE"/>
    <w:rsid w:val="00B5693B"/>
    <w:rsid w:val="00B56B5D"/>
    <w:rsid w:val="00B576A9"/>
    <w:rsid w:val="00B57E3B"/>
    <w:rsid w:val="00B61DC9"/>
    <w:rsid w:val="00B658D4"/>
    <w:rsid w:val="00B667E5"/>
    <w:rsid w:val="00B66C9E"/>
    <w:rsid w:val="00B705ED"/>
    <w:rsid w:val="00B70E50"/>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27F2"/>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300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541D"/>
    <w:rsid w:val="00C76C40"/>
    <w:rsid w:val="00C77685"/>
    <w:rsid w:val="00C77815"/>
    <w:rsid w:val="00C80ED6"/>
    <w:rsid w:val="00C82277"/>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A00C0"/>
    <w:rsid w:val="00CA190D"/>
    <w:rsid w:val="00CA1C79"/>
    <w:rsid w:val="00CA30DB"/>
    <w:rsid w:val="00CA3159"/>
    <w:rsid w:val="00CA491B"/>
    <w:rsid w:val="00CA6D58"/>
    <w:rsid w:val="00CA6FDA"/>
    <w:rsid w:val="00CA7073"/>
    <w:rsid w:val="00CA764C"/>
    <w:rsid w:val="00CA7E48"/>
    <w:rsid w:val="00CB3B6F"/>
    <w:rsid w:val="00CB3D57"/>
    <w:rsid w:val="00CB427A"/>
    <w:rsid w:val="00CB4566"/>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0D61"/>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357A"/>
    <w:rsid w:val="00D33619"/>
    <w:rsid w:val="00D35089"/>
    <w:rsid w:val="00D3586F"/>
    <w:rsid w:val="00D40C02"/>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81D"/>
    <w:rsid w:val="00D67D98"/>
    <w:rsid w:val="00D72D16"/>
    <w:rsid w:val="00D7328B"/>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8D1"/>
    <w:rsid w:val="00E53AB7"/>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56C3"/>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C21"/>
    <w:rsid w:val="00EF4DFA"/>
    <w:rsid w:val="00EF4E6C"/>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17226"/>
    <w:rsid w:val="00F20356"/>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242A"/>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E7C"/>
    <w:rsid w:val="00FC5F82"/>
    <w:rsid w:val="00FD01CA"/>
    <w:rsid w:val="00FD21A8"/>
    <w:rsid w:val="00FD4599"/>
    <w:rsid w:val="00FD4784"/>
    <w:rsid w:val="00FD4FE7"/>
    <w:rsid w:val="00FD65FE"/>
    <w:rsid w:val="00FD6B22"/>
    <w:rsid w:val="00FD725C"/>
    <w:rsid w:val="00FE0FAF"/>
    <w:rsid w:val="00FE31EB"/>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 w:val="00FF7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TtuloCar">
    <w:name w:val="Título Car"/>
    <w:basedOn w:val="Fuentedeprrafopredeter"/>
    <w:link w:val="Ttul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le.rae.es/noto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DB60-D03B-463F-909F-E501442C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8497</Words>
  <Characters>46735</Characters>
  <Application>Microsoft Office Word</Application>
  <DocSecurity>0</DocSecurity>
  <Lines>389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20</cp:revision>
  <cp:lastPrinted>2018-12-04T20:35:00Z</cp:lastPrinted>
  <dcterms:created xsi:type="dcterms:W3CDTF">2025-03-23T18:51:00Z</dcterms:created>
  <dcterms:modified xsi:type="dcterms:W3CDTF">2025-05-14T15:31:00Z</dcterms:modified>
</cp:coreProperties>
</file>