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31C" w:rsidRDefault="0067631C">
      <w:pPr>
        <w:widowControl w:val="0"/>
        <w:pBdr>
          <w:top w:val="nil"/>
          <w:left w:val="nil"/>
          <w:bottom w:val="nil"/>
          <w:right w:val="nil"/>
          <w:between w:val="nil"/>
        </w:pBdr>
        <w:spacing w:after="0" w:line="276" w:lineRule="auto"/>
        <w:jc w:val="left"/>
      </w:pPr>
    </w:p>
    <w:p w:rsidR="0067631C" w:rsidRDefault="00C41490">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67631C" w:rsidRDefault="0067631C">
      <w:pPr>
        <w:spacing w:after="0" w:line="360" w:lineRule="auto"/>
        <w:rPr>
          <w:b/>
          <w:color w:val="FF0000"/>
        </w:rPr>
      </w:pPr>
    </w:p>
    <w:p w:rsidR="0067631C" w:rsidRDefault="00C41490">
      <w:pPr>
        <w:spacing w:after="0" w:line="360" w:lineRule="auto"/>
      </w:pPr>
      <w:bookmarkStart w:id="0" w:name="_heading=h.oj2ye2wcnsc7" w:colFirst="0" w:colLast="0"/>
      <w:bookmarkEnd w:id="0"/>
      <w:r>
        <w:rPr>
          <w:b/>
        </w:rPr>
        <w:t xml:space="preserve">VISTO </w:t>
      </w:r>
      <w:r>
        <w:t xml:space="preserve">el expediente electrónico conformado con motivo de los Recursos de Revisión </w:t>
      </w:r>
      <w:r w:rsidRPr="002458F6">
        <w:rPr>
          <w:b/>
        </w:rPr>
        <w:t>05851/INFOEM/IP/RR/2025 y 05852/INFOEM/IP/RR/2025</w:t>
      </w:r>
      <w:r>
        <w:t xml:space="preserve">, interpuestos por </w:t>
      </w:r>
      <w:r w:rsidR="005352C1" w:rsidRPr="005352C1">
        <w:rPr>
          <w:b/>
          <w:highlight w:val="black"/>
        </w:rPr>
        <w:t>XXX</w:t>
      </w:r>
      <w:r w:rsidR="005352C1">
        <w:rPr>
          <w:b/>
          <w:highlight w:val="black"/>
        </w:rPr>
        <w:t>X</w:t>
      </w:r>
      <w:r w:rsidR="005352C1" w:rsidRPr="005352C1">
        <w:rPr>
          <w:b/>
          <w:highlight w:val="black"/>
        </w:rPr>
        <w:t>XXX</w:t>
      </w:r>
      <w:r w:rsidRPr="005352C1">
        <w:rPr>
          <w:b/>
          <w:highlight w:val="black"/>
        </w:rPr>
        <w:t xml:space="preserve"> </w:t>
      </w:r>
      <w:r w:rsidR="005352C1" w:rsidRPr="005352C1">
        <w:rPr>
          <w:b/>
          <w:highlight w:val="black"/>
        </w:rPr>
        <w:t>XXXXXXXXXXX</w:t>
      </w:r>
      <w:r w:rsidRPr="002458F6">
        <w:rPr>
          <w:b/>
        </w:rPr>
        <w:t>,</w:t>
      </w:r>
      <w:r>
        <w:t xml:space="preserve"> en lo sucesivo la persona Recurrente o Particular, en contra de la respuesta del Sujeto Obligado, </w:t>
      </w:r>
      <w:r w:rsidRPr="002458F6">
        <w:rPr>
          <w:b/>
        </w:rPr>
        <w:t>Secretaría de la Contraloría</w:t>
      </w:r>
      <w:r>
        <w:t>, a las solicitudes de acceso a la información pública 00191/SECOGEM/IP/2025 y 00190/SECOGEM/IP/2025, se emite la presente Resolución, con base en los Antecedentes y Considerandos que se exponen a continuación:</w:t>
      </w:r>
      <w:bookmarkStart w:id="1" w:name="_GoBack"/>
      <w:bookmarkEnd w:id="1"/>
    </w:p>
    <w:p w:rsidR="0067631C" w:rsidRDefault="0067631C">
      <w:pPr>
        <w:spacing w:after="0" w:line="360" w:lineRule="auto"/>
        <w:rPr>
          <w:b/>
          <w:color w:val="FF0000"/>
        </w:rPr>
      </w:pPr>
    </w:p>
    <w:p w:rsidR="0067631C" w:rsidRDefault="00C41490">
      <w:pPr>
        <w:spacing w:after="0" w:line="360" w:lineRule="auto"/>
        <w:jc w:val="center"/>
        <w:rPr>
          <w:b/>
        </w:rPr>
      </w:pPr>
      <w:r>
        <w:rPr>
          <w:b/>
        </w:rPr>
        <w:t>A N T E C E D E N T E S</w:t>
      </w:r>
    </w:p>
    <w:p w:rsidR="0067631C" w:rsidRDefault="0067631C">
      <w:pPr>
        <w:spacing w:after="0" w:line="360" w:lineRule="auto"/>
        <w:jc w:val="center"/>
        <w:rPr>
          <w:b/>
        </w:rPr>
      </w:pPr>
    </w:p>
    <w:p w:rsidR="0067631C" w:rsidRDefault="00C41490">
      <w:pPr>
        <w:spacing w:after="0" w:line="360" w:lineRule="auto"/>
        <w:rPr>
          <w:b/>
        </w:rPr>
      </w:pPr>
      <w:r>
        <w:rPr>
          <w:b/>
        </w:rPr>
        <w:t>I. Presentación de las solicitudes de información</w:t>
      </w:r>
    </w:p>
    <w:p w:rsidR="0067631C" w:rsidRDefault="0067631C">
      <w:pPr>
        <w:spacing w:after="0" w:line="360" w:lineRule="auto"/>
        <w:rPr>
          <w:b/>
          <w:color w:val="FF0000"/>
        </w:rPr>
      </w:pPr>
    </w:p>
    <w:p w:rsidR="0067631C" w:rsidRDefault="00C41490">
      <w:pPr>
        <w:spacing w:after="0" w:line="360" w:lineRule="auto"/>
      </w:pPr>
      <w:r>
        <w:t>El veinticinco de abril de dos mil veinticinco, la persona Solicitante presentó dos solicitudes de acceso a la información, a través del Sistema de Acceso a la Información Mexiquense (SAIMEX), ante la Secretaría de la Contraloría, en los siguientes términos:</w:t>
      </w:r>
    </w:p>
    <w:p w:rsidR="0067631C" w:rsidRDefault="0067631C">
      <w:pPr>
        <w:spacing w:after="0" w:line="360" w:lineRule="auto"/>
        <w:rPr>
          <w:color w:val="FF0000"/>
        </w:rPr>
      </w:pPr>
    </w:p>
    <w:p w:rsidR="0067631C" w:rsidRDefault="00C41490">
      <w:pPr>
        <w:tabs>
          <w:tab w:val="left" w:pos="4667"/>
        </w:tabs>
        <w:spacing w:after="0" w:line="360" w:lineRule="auto"/>
        <w:ind w:left="567" w:right="567"/>
        <w:rPr>
          <w:b/>
          <w:i/>
          <w:sz w:val="20"/>
          <w:szCs w:val="20"/>
        </w:rPr>
      </w:pPr>
      <w:r>
        <w:rPr>
          <w:b/>
          <w:i/>
          <w:sz w:val="20"/>
          <w:szCs w:val="20"/>
        </w:rPr>
        <w:t xml:space="preserve">00191/SECOGEM/IP/2025 </w:t>
      </w:r>
    </w:p>
    <w:p w:rsidR="0067631C" w:rsidRDefault="00C41490">
      <w:pPr>
        <w:tabs>
          <w:tab w:val="left" w:pos="4667"/>
        </w:tabs>
        <w:spacing w:after="0" w:line="360" w:lineRule="auto"/>
        <w:ind w:left="567" w:right="567"/>
        <w:rPr>
          <w:b/>
          <w:i/>
          <w:sz w:val="20"/>
          <w:szCs w:val="20"/>
        </w:rPr>
      </w:pPr>
      <w:r>
        <w:rPr>
          <w:b/>
          <w:i/>
          <w:sz w:val="20"/>
          <w:szCs w:val="20"/>
        </w:rPr>
        <w:t>“DESCRIPCIÓN CLARA Y PRECISA DE LA INFORMACIÓN SOLICITADA</w:t>
      </w:r>
    </w:p>
    <w:p w:rsidR="0067631C" w:rsidRDefault="00C41490">
      <w:pPr>
        <w:spacing w:after="0" w:line="360" w:lineRule="auto"/>
        <w:ind w:left="567" w:right="567"/>
        <w:rPr>
          <w:i/>
          <w:sz w:val="20"/>
          <w:szCs w:val="20"/>
        </w:rPr>
      </w:pPr>
      <w:r>
        <w:rPr>
          <w:i/>
          <w:sz w:val="20"/>
          <w:szCs w:val="20"/>
        </w:rPr>
        <w:t xml:space="preserve">REQUIERO COPIA DE LA DECLARACIÓN DE INTERESES Y DE LA declaración de situación patrimonial, PRESENTADA POR JANET MINUTTI RODRÍGUEZ, DENTRO DE TODOS Y CADA UNO DE LOS PLAZOS A QUE SE REFIERE LA LEY DE RESPONSABILIDADES ADMINISTRATIVAS DEL ESTADO DE MÉXICO Y </w:t>
      </w:r>
      <w:r>
        <w:rPr>
          <w:i/>
          <w:sz w:val="20"/>
          <w:szCs w:val="20"/>
        </w:rPr>
        <w:lastRenderedPageBreak/>
        <w:t>MUNICIPIOS. ASÍ COMO COPIA DEL ACUSE DE RECIBO DE DICHAS DECLARACIONES.” (Sic)</w:t>
      </w:r>
    </w:p>
    <w:p w:rsidR="0067631C" w:rsidRDefault="0067631C">
      <w:pPr>
        <w:tabs>
          <w:tab w:val="left" w:pos="4667"/>
        </w:tabs>
        <w:spacing w:after="0" w:line="360" w:lineRule="auto"/>
        <w:ind w:left="567" w:right="567"/>
        <w:rPr>
          <w:b/>
          <w:i/>
          <w:sz w:val="20"/>
          <w:szCs w:val="20"/>
        </w:rPr>
      </w:pPr>
    </w:p>
    <w:p w:rsidR="0067631C" w:rsidRDefault="00C41490">
      <w:pPr>
        <w:tabs>
          <w:tab w:val="left" w:pos="4667"/>
        </w:tabs>
        <w:spacing w:after="0" w:line="360" w:lineRule="auto"/>
        <w:ind w:left="567" w:right="567"/>
        <w:rPr>
          <w:b/>
          <w:i/>
          <w:sz w:val="20"/>
          <w:szCs w:val="20"/>
        </w:rPr>
      </w:pPr>
      <w:r>
        <w:rPr>
          <w:b/>
          <w:i/>
          <w:sz w:val="20"/>
          <w:szCs w:val="20"/>
        </w:rPr>
        <w:t xml:space="preserve">00190/SECOGEM/IP/2025 </w:t>
      </w:r>
    </w:p>
    <w:p w:rsidR="0067631C" w:rsidRDefault="00C41490">
      <w:pPr>
        <w:tabs>
          <w:tab w:val="left" w:pos="4667"/>
        </w:tabs>
        <w:spacing w:after="0" w:line="360" w:lineRule="auto"/>
        <w:ind w:left="567" w:right="567"/>
        <w:rPr>
          <w:b/>
          <w:i/>
          <w:sz w:val="20"/>
          <w:szCs w:val="20"/>
        </w:rPr>
      </w:pPr>
      <w:r>
        <w:rPr>
          <w:b/>
          <w:i/>
          <w:sz w:val="20"/>
          <w:szCs w:val="20"/>
        </w:rPr>
        <w:t xml:space="preserve"> “DESCRIPCIÓN CLARA Y PRECISA DE LA INFORMACIÓN SOLICITADA</w:t>
      </w:r>
    </w:p>
    <w:p w:rsidR="0067631C" w:rsidRDefault="00C41490">
      <w:pPr>
        <w:spacing w:after="0" w:line="360" w:lineRule="auto"/>
        <w:ind w:left="567" w:right="567"/>
        <w:rPr>
          <w:i/>
          <w:sz w:val="20"/>
          <w:szCs w:val="20"/>
        </w:rPr>
      </w:pPr>
      <w:r>
        <w:rPr>
          <w:i/>
          <w:sz w:val="20"/>
          <w:szCs w:val="20"/>
        </w:rPr>
        <w:t>EQUIERO COPIA DE LA DECLARACIÓN DE INTERESES Y DE LA declaración de situación patrimonial, PRESENTADA POR JUAN MINUTTI LOPEZ, DENTRO DE TODOS Y CADA UNO DE LOS PLAZOS A QUE SE REFIERE LA LEY DE RESPONSABILIDADES ADMINISTRATIVAS DEL ESTADO DE MÉXICO Y MUNICIPIOS. ASÍ COMO COPIA DEL ACUSE DE RECIBO DE DICHAS DECLARACIONES.” (Sic)</w:t>
      </w:r>
    </w:p>
    <w:p w:rsidR="0067631C" w:rsidRDefault="0067631C">
      <w:pPr>
        <w:tabs>
          <w:tab w:val="left" w:pos="4667"/>
        </w:tabs>
        <w:spacing w:after="0" w:line="360" w:lineRule="auto"/>
        <w:ind w:right="567"/>
        <w:rPr>
          <w:i/>
          <w:sz w:val="20"/>
          <w:szCs w:val="20"/>
        </w:rPr>
      </w:pPr>
    </w:p>
    <w:p w:rsidR="0067631C" w:rsidRDefault="00C41490">
      <w:pPr>
        <w:tabs>
          <w:tab w:val="left" w:pos="4667"/>
        </w:tabs>
        <w:spacing w:after="0" w:line="360" w:lineRule="auto"/>
        <w:ind w:right="567"/>
      </w:pPr>
      <w:r>
        <w:t>En todas las solicitudes estableció como modalidad de entrega a través del SAIMEX.</w:t>
      </w:r>
    </w:p>
    <w:p w:rsidR="0067631C" w:rsidRDefault="0067631C">
      <w:pPr>
        <w:tabs>
          <w:tab w:val="left" w:pos="4667"/>
        </w:tabs>
        <w:spacing w:after="0" w:line="360" w:lineRule="auto"/>
        <w:ind w:left="567" w:right="567"/>
        <w:rPr>
          <w:b/>
          <w:i/>
          <w:sz w:val="20"/>
          <w:szCs w:val="20"/>
        </w:rPr>
      </w:pPr>
    </w:p>
    <w:p w:rsidR="0067631C" w:rsidRDefault="00C41490">
      <w:pPr>
        <w:spacing w:after="0" w:line="360" w:lineRule="auto"/>
        <w:rPr>
          <w:b/>
        </w:rPr>
      </w:pPr>
      <w:r>
        <w:rPr>
          <w:b/>
        </w:rPr>
        <w:t>II. Respuestas del Sujeto Obligado</w:t>
      </w:r>
    </w:p>
    <w:p w:rsidR="0067631C" w:rsidRDefault="0067631C">
      <w:pPr>
        <w:spacing w:after="0" w:line="360" w:lineRule="auto"/>
        <w:rPr>
          <w:b/>
          <w:color w:val="FF0000"/>
        </w:rPr>
      </w:pPr>
    </w:p>
    <w:p w:rsidR="0067631C" w:rsidRDefault="00C41490">
      <w:pPr>
        <w:spacing w:after="0" w:line="360" w:lineRule="auto"/>
      </w:pPr>
      <w:bookmarkStart w:id="2" w:name="_heading=h.gjdgxs" w:colFirst="0" w:colLast="0"/>
      <w:bookmarkEnd w:id="2"/>
      <w:r>
        <w:t>El catorce de mayo de dos mil veinticinco, la Secretaría de la Contraloría, notificó la respuesta a las solicitudes, a través del Sistema de Acceso a la Información Mexiquense (SAIMEX), por medio de los siguientes oficios:</w:t>
      </w:r>
    </w:p>
    <w:p w:rsidR="0067631C" w:rsidRDefault="0067631C">
      <w:pPr>
        <w:spacing w:after="0" w:line="360" w:lineRule="auto"/>
      </w:pPr>
    </w:p>
    <w:p w:rsidR="0067631C" w:rsidRDefault="00C41490">
      <w:pPr>
        <w:tabs>
          <w:tab w:val="left" w:pos="4667"/>
        </w:tabs>
        <w:spacing w:after="0" w:line="360" w:lineRule="auto"/>
        <w:ind w:left="567" w:right="567"/>
        <w:rPr>
          <w:b/>
          <w:i/>
          <w:sz w:val="20"/>
          <w:szCs w:val="20"/>
        </w:rPr>
      </w:pPr>
      <w:r>
        <w:rPr>
          <w:b/>
          <w:i/>
          <w:sz w:val="20"/>
          <w:szCs w:val="20"/>
        </w:rPr>
        <w:t xml:space="preserve">FOLIO DE LA SOLICITUD 00191/SECOGEM/IP/2025 </w:t>
      </w:r>
    </w:p>
    <w:p w:rsidR="0067631C" w:rsidRDefault="00C41490">
      <w:pPr>
        <w:spacing w:after="0" w:line="360" w:lineRule="auto"/>
      </w:pPr>
      <w:r>
        <w:t>-Oficio número 218030000L-1280/2025 de fecha dos de mayo de dos mil veinticinco, suscrito por la titular del registro de declaraciones y dirigido al encargado de despacho de la subsecretaria de responsabilidades administrativas, donde refiere brindar la respuesta de conformidad con lo siguiente:</w:t>
      </w:r>
    </w:p>
    <w:p w:rsidR="0067631C" w:rsidRDefault="0067631C">
      <w:pPr>
        <w:spacing w:after="0" w:line="360" w:lineRule="auto"/>
      </w:pPr>
    </w:p>
    <w:p w:rsidR="0067631C" w:rsidRDefault="00C41490">
      <w:pPr>
        <w:pBdr>
          <w:top w:val="nil"/>
          <w:left w:val="nil"/>
          <w:bottom w:val="nil"/>
          <w:right w:val="nil"/>
          <w:between w:val="nil"/>
        </w:pBdr>
        <w:spacing w:after="0" w:line="360" w:lineRule="auto"/>
        <w:ind w:left="567" w:right="567"/>
        <w:rPr>
          <w:i/>
          <w:color w:val="000000"/>
          <w:sz w:val="20"/>
          <w:szCs w:val="20"/>
        </w:rPr>
      </w:pPr>
      <w:r>
        <w:rPr>
          <w:color w:val="000000"/>
          <w:sz w:val="20"/>
          <w:szCs w:val="20"/>
        </w:rPr>
        <w:t>“</w:t>
      </w:r>
      <w:r>
        <w:rPr>
          <w:i/>
          <w:color w:val="000000"/>
          <w:sz w:val="20"/>
          <w:szCs w:val="20"/>
        </w:rPr>
        <w:t xml:space="preserve">De conformidad con los artículos 30 y 34 de la ley de responsabilidades administrativas, refiere del </w:t>
      </w:r>
      <w:proofErr w:type="spellStart"/>
      <w:r>
        <w:rPr>
          <w:i/>
          <w:color w:val="000000"/>
          <w:sz w:val="20"/>
          <w:szCs w:val="20"/>
        </w:rPr>
        <w:t>articulo</w:t>
      </w:r>
      <w:proofErr w:type="spellEnd"/>
      <w:r>
        <w:rPr>
          <w:i/>
          <w:color w:val="000000"/>
          <w:sz w:val="20"/>
          <w:szCs w:val="20"/>
        </w:rPr>
        <w:t xml:space="preserve"> citado anteriormente, que las declaraciones patrimoniales serán publicas salvo los rubros cuya publicidad pueda afectar la vida privada y los datos personales, además de presentarse dentro de los sesenta días naturales de su ingreso al servicio público por primera vez o reingreso </w:t>
      </w:r>
      <w:r>
        <w:rPr>
          <w:i/>
          <w:color w:val="000000"/>
          <w:sz w:val="20"/>
          <w:szCs w:val="20"/>
        </w:rPr>
        <w:lastRenderedPageBreak/>
        <w:t xml:space="preserve">después de sesenta días de la conclusión de su ultimo encargo. En virtud de lo anterior me permito informarle que se localizaron dentro del sistema back office </w:t>
      </w:r>
      <w:proofErr w:type="spellStart"/>
      <w:r>
        <w:rPr>
          <w:i/>
          <w:color w:val="000000"/>
          <w:sz w:val="20"/>
          <w:szCs w:val="20"/>
        </w:rPr>
        <w:t>Declaranet</w:t>
      </w:r>
      <w:proofErr w:type="spellEnd"/>
      <w:r>
        <w:rPr>
          <w:i/>
          <w:color w:val="000000"/>
          <w:sz w:val="20"/>
          <w:szCs w:val="20"/>
        </w:rPr>
        <w:t xml:space="preserve">, </w:t>
      </w:r>
      <w:r>
        <w:rPr>
          <w:b/>
          <w:i/>
          <w:color w:val="000000"/>
          <w:sz w:val="20"/>
          <w:szCs w:val="20"/>
          <w:u w:val="single"/>
        </w:rPr>
        <w:t xml:space="preserve">los movimientos de declaración inicial 2023 presentada el 22 de diciembre. Declaración por Conclusión 2024, presentada el 15 de mayo de 2024, así como el movimiento de declaración inicial 2024, presentada el 14 de mayo de 2024, presentadas por la C. Janet </w:t>
      </w:r>
      <w:proofErr w:type="spellStart"/>
      <w:r>
        <w:rPr>
          <w:b/>
          <w:i/>
          <w:color w:val="000000"/>
          <w:sz w:val="20"/>
          <w:szCs w:val="20"/>
          <w:u w:val="single"/>
        </w:rPr>
        <w:t>Minutti</w:t>
      </w:r>
      <w:proofErr w:type="spellEnd"/>
      <w:r>
        <w:rPr>
          <w:b/>
          <w:i/>
          <w:color w:val="000000"/>
          <w:sz w:val="20"/>
          <w:szCs w:val="20"/>
          <w:u w:val="single"/>
        </w:rPr>
        <w:t xml:space="preserve"> Rodríguez, dicho documentos se adjuntan en versión pública</w:t>
      </w:r>
      <w:r>
        <w:rPr>
          <w:i/>
          <w:color w:val="000000"/>
          <w:sz w:val="20"/>
          <w:szCs w:val="20"/>
        </w:rPr>
        <w:t>. Finalmente, lo que hace al acuse de recibido de las declaraciones patrimoniales y de interés se adjunta en versión pública. “</w:t>
      </w:r>
    </w:p>
    <w:p w:rsidR="0067631C" w:rsidRDefault="0067631C">
      <w:pPr>
        <w:pBdr>
          <w:top w:val="nil"/>
          <w:left w:val="nil"/>
          <w:bottom w:val="nil"/>
          <w:right w:val="nil"/>
          <w:between w:val="nil"/>
        </w:pBdr>
        <w:spacing w:after="0" w:line="360" w:lineRule="auto"/>
        <w:ind w:left="720"/>
        <w:rPr>
          <w:i/>
          <w:color w:val="000000"/>
        </w:rPr>
      </w:pPr>
    </w:p>
    <w:p w:rsidR="0067631C" w:rsidRDefault="00C41490">
      <w:pPr>
        <w:spacing w:after="0" w:line="360" w:lineRule="auto"/>
        <w:rPr>
          <w:b/>
        </w:rPr>
      </w:pPr>
      <w:r>
        <w:t xml:space="preserve">- </w:t>
      </w:r>
      <w:r>
        <w:rPr>
          <w:b/>
          <w:u w:val="single"/>
        </w:rPr>
        <w:t xml:space="preserve">Digitaliza el cuadro de clasificación correspondiente a los acuses y así mismo </w:t>
      </w:r>
      <w:proofErr w:type="gramStart"/>
      <w:r>
        <w:rPr>
          <w:b/>
          <w:u w:val="single"/>
        </w:rPr>
        <w:t>los</w:t>
      </w:r>
      <w:proofErr w:type="gramEnd"/>
      <w:r>
        <w:rPr>
          <w:b/>
          <w:u w:val="single"/>
        </w:rPr>
        <w:t xml:space="preserve"> entrega en versión publica</w:t>
      </w:r>
      <w:r>
        <w:t xml:space="preserve">, de Declaraciones de situación patrimonial, y de intereses inicial 2023, presentada el 22 de diciembre de 2024. Declaración por conclusión 2024 presentada el 15 de mayo de 2024 y Declaración Inicial 2024 presentada el 14 de mayo de 2024, </w:t>
      </w:r>
      <w:r>
        <w:rPr>
          <w:b/>
        </w:rPr>
        <w:t>donde testan QR, Folio y Cadena Digital del acuse de presentación de las declaraciones de situación patrimonial y de intereses.</w:t>
      </w:r>
    </w:p>
    <w:p w:rsidR="0067631C" w:rsidRDefault="0067631C">
      <w:pPr>
        <w:spacing w:after="0" w:line="360" w:lineRule="auto"/>
        <w:rPr>
          <w:b/>
        </w:rPr>
      </w:pPr>
    </w:p>
    <w:p w:rsidR="0067631C" w:rsidRDefault="00C41490">
      <w:pPr>
        <w:spacing w:after="0" w:line="360" w:lineRule="auto"/>
      </w:pPr>
      <w:r>
        <w:t xml:space="preserve">-Digitaliza la Declaración Patrimonial y de Intereses de la C. Janet </w:t>
      </w:r>
      <w:proofErr w:type="spellStart"/>
      <w:r>
        <w:t>Minutti</w:t>
      </w:r>
      <w:proofErr w:type="spellEnd"/>
      <w:r>
        <w:t xml:space="preserve"> Rodríguez en versión íntegra correspondiente a la inicial de 2023 y 2024 así como la de conclusión de 2024.</w:t>
      </w:r>
    </w:p>
    <w:p w:rsidR="0067631C" w:rsidRDefault="0067631C">
      <w:pPr>
        <w:spacing w:after="0" w:line="360" w:lineRule="auto"/>
      </w:pPr>
    </w:p>
    <w:p w:rsidR="0067631C" w:rsidRDefault="00C41490">
      <w:pPr>
        <w:spacing w:after="0" w:line="360" w:lineRule="auto"/>
      </w:pPr>
      <w:r>
        <w:t>-Digitalizan la resolución por medio de la cual confirman la clasificación parcial de la información como confidencial en los acuses de recibido donde refiere como dato personal el QR, número de folio o ID, y cadena digital, esto de conformidad con la ley de datos en sus artículos 4, 25 y 40.</w:t>
      </w:r>
    </w:p>
    <w:p w:rsidR="0067631C" w:rsidRDefault="0067631C">
      <w:pPr>
        <w:spacing w:after="0" w:line="360" w:lineRule="auto"/>
      </w:pPr>
    </w:p>
    <w:p w:rsidR="0067631C" w:rsidRDefault="00C41490">
      <w:pPr>
        <w:spacing w:after="0" w:line="360" w:lineRule="auto"/>
      </w:pPr>
      <w:r>
        <w:t>-Digitalizan el Acta de la Octava Sesión del comité de transparencia donde aprueban la clasificación parcial de la información como confidencial, de conformidad con el artículo 143 fracción 1 y 147 de la ley de transparencia del estado de México, esto con la finalidad de testar el correo electrónico de los formatos de declaración 2022 y modificación para los años 2020 al 2023 y por conclusión 2022 y 2024.</w:t>
      </w:r>
    </w:p>
    <w:p w:rsidR="0067631C" w:rsidRDefault="0067631C">
      <w:pPr>
        <w:spacing w:after="0" w:line="360" w:lineRule="auto"/>
        <w:rPr>
          <w:b/>
          <w:i/>
          <w:sz w:val="20"/>
          <w:szCs w:val="20"/>
        </w:rPr>
      </w:pPr>
    </w:p>
    <w:p w:rsidR="0067631C" w:rsidRDefault="0067631C">
      <w:pPr>
        <w:spacing w:after="0" w:line="360" w:lineRule="auto"/>
        <w:rPr>
          <w:b/>
          <w:i/>
          <w:sz w:val="20"/>
          <w:szCs w:val="20"/>
        </w:rPr>
      </w:pPr>
    </w:p>
    <w:p w:rsidR="0067631C" w:rsidRDefault="00C41490">
      <w:pPr>
        <w:tabs>
          <w:tab w:val="left" w:pos="4667"/>
        </w:tabs>
        <w:spacing w:after="0" w:line="360" w:lineRule="auto"/>
        <w:ind w:left="567" w:right="567"/>
        <w:rPr>
          <w:b/>
          <w:i/>
          <w:sz w:val="20"/>
          <w:szCs w:val="20"/>
        </w:rPr>
      </w:pPr>
      <w:r>
        <w:rPr>
          <w:b/>
          <w:i/>
          <w:sz w:val="20"/>
          <w:szCs w:val="20"/>
        </w:rPr>
        <w:t>FOLIO DE LA SOLICITUD00190/SECOGEM/IP/2025</w:t>
      </w:r>
    </w:p>
    <w:p w:rsidR="0067631C" w:rsidRDefault="0067631C">
      <w:pPr>
        <w:tabs>
          <w:tab w:val="left" w:pos="4667"/>
        </w:tabs>
        <w:spacing w:after="0" w:line="360" w:lineRule="auto"/>
        <w:ind w:right="567"/>
        <w:rPr>
          <w:b/>
          <w:i/>
          <w:sz w:val="20"/>
          <w:szCs w:val="20"/>
        </w:rPr>
      </w:pPr>
    </w:p>
    <w:p w:rsidR="0067631C" w:rsidRDefault="00C41490">
      <w:pPr>
        <w:spacing w:after="0" w:line="360" w:lineRule="auto"/>
      </w:pPr>
      <w:r>
        <w:t>- Oficio número 218030000L-1280/2025 de fecha dos de mayo de dos mil veinticinco, suscrito por la titular de registro de declaraciones y dirigido al encargado de despacho de la subsecretaria de responsabilidades administrativas, donde refiere brindar la respuesta de conformidad con lo siguiente:</w:t>
      </w:r>
    </w:p>
    <w:p w:rsidR="0067631C" w:rsidRDefault="0067631C">
      <w:pPr>
        <w:spacing w:after="0" w:line="360" w:lineRule="auto"/>
      </w:pPr>
    </w:p>
    <w:p w:rsidR="0067631C" w:rsidRDefault="00C41490">
      <w:pPr>
        <w:pBdr>
          <w:top w:val="nil"/>
          <w:left w:val="nil"/>
          <w:bottom w:val="nil"/>
          <w:right w:val="nil"/>
          <w:between w:val="nil"/>
        </w:pBdr>
        <w:spacing w:after="0" w:line="360" w:lineRule="auto"/>
        <w:ind w:left="567" w:right="567"/>
        <w:rPr>
          <w:i/>
          <w:color w:val="000000"/>
          <w:sz w:val="20"/>
          <w:szCs w:val="20"/>
        </w:rPr>
      </w:pPr>
      <w:r>
        <w:rPr>
          <w:color w:val="000000"/>
          <w:sz w:val="20"/>
          <w:szCs w:val="20"/>
        </w:rPr>
        <w:t>“</w:t>
      </w:r>
      <w:r>
        <w:rPr>
          <w:i/>
          <w:color w:val="000000"/>
          <w:sz w:val="20"/>
          <w:szCs w:val="20"/>
        </w:rPr>
        <w:t xml:space="preserve">De conformidad con los artículos 30 y 34 de la ley de responsabilidades administrativas, refiere del </w:t>
      </w:r>
      <w:proofErr w:type="spellStart"/>
      <w:r>
        <w:rPr>
          <w:i/>
          <w:color w:val="000000"/>
          <w:sz w:val="20"/>
          <w:szCs w:val="20"/>
        </w:rPr>
        <w:t>articulo</w:t>
      </w:r>
      <w:proofErr w:type="spellEnd"/>
      <w:r>
        <w:rPr>
          <w:i/>
          <w:color w:val="000000"/>
          <w:sz w:val="20"/>
          <w:szCs w:val="20"/>
        </w:rPr>
        <w:t xml:space="preserve"> citado anteriormente, que las declaraciones patrimoniales serán publicas salvo los rubros cuya publicidad pueda afectar la vida privada y los datos personales, además de presentarse dentro de los sesenta días naturales de su ingreso al servicio público por primera vez o reingreso después de sesenta días de la conclusión de su ultimo encargo. En virtud de lo anterior me permito informarle que se localizaron dentro del sistema back office </w:t>
      </w:r>
      <w:proofErr w:type="spellStart"/>
      <w:r>
        <w:rPr>
          <w:i/>
          <w:color w:val="000000"/>
          <w:sz w:val="20"/>
          <w:szCs w:val="20"/>
        </w:rPr>
        <w:t>Declaranet</w:t>
      </w:r>
      <w:proofErr w:type="spellEnd"/>
      <w:r>
        <w:rPr>
          <w:i/>
          <w:color w:val="000000"/>
          <w:sz w:val="20"/>
          <w:szCs w:val="20"/>
        </w:rPr>
        <w:t xml:space="preserve">, </w:t>
      </w:r>
      <w:r>
        <w:rPr>
          <w:b/>
          <w:i/>
          <w:color w:val="000000"/>
          <w:sz w:val="20"/>
          <w:szCs w:val="20"/>
          <w:u w:val="single"/>
        </w:rPr>
        <w:t xml:space="preserve">los movimientos de declaración por modificación 2020, presentada el 13 de mayo de 2021, Declaración por conclusión 2022, presentada el 18 de abril de 2022, Declaración por modificación 2021 presentada el 30 de mayo de 2022, Declaración Inicial 2022, presentada el 1 de agosto de 2022, Declaración por modificación 2022 presentada el 11 de mayo de 2023, Declaración por modificación 2023, presentada el 7 de mayo de 2024, así como Declaración por conclusión 2024 presentada el 5 de febrero de 2025, </w:t>
      </w:r>
      <w:r>
        <w:rPr>
          <w:i/>
          <w:color w:val="000000"/>
          <w:sz w:val="20"/>
          <w:szCs w:val="20"/>
        </w:rPr>
        <w:t xml:space="preserve">presentadas por el C. Juan </w:t>
      </w:r>
      <w:proofErr w:type="spellStart"/>
      <w:r>
        <w:rPr>
          <w:i/>
          <w:color w:val="000000"/>
          <w:sz w:val="20"/>
          <w:szCs w:val="20"/>
        </w:rPr>
        <w:t>Minutti</w:t>
      </w:r>
      <w:proofErr w:type="spellEnd"/>
      <w:r>
        <w:rPr>
          <w:i/>
          <w:color w:val="000000"/>
          <w:sz w:val="20"/>
          <w:szCs w:val="20"/>
        </w:rPr>
        <w:t xml:space="preserve"> López, dichos documentos fueron emitidos en versión íntegra lo que se adjunta son en versión publica de las antes referidas.</w:t>
      </w:r>
    </w:p>
    <w:p w:rsidR="0067631C" w:rsidRDefault="0067631C">
      <w:pPr>
        <w:pBdr>
          <w:top w:val="nil"/>
          <w:left w:val="nil"/>
          <w:bottom w:val="nil"/>
          <w:right w:val="nil"/>
          <w:between w:val="nil"/>
        </w:pBdr>
        <w:spacing w:after="0" w:line="360" w:lineRule="auto"/>
        <w:ind w:left="720"/>
        <w:rPr>
          <w:color w:val="000000"/>
        </w:rPr>
      </w:pPr>
    </w:p>
    <w:p w:rsidR="0067631C" w:rsidRDefault="00C41490">
      <w:pPr>
        <w:spacing w:after="0" w:line="360" w:lineRule="auto"/>
      </w:pPr>
      <w:r>
        <w:t xml:space="preserve">-Digitalizan el Acta de la Octava Sesión del comité de transparencia donde aprueban la clasificación parcial de la información como confidencial, de conformidad con el artículo 143 fracción 1 y 147 de la ley de transparencia del estado de México, esto con la finalidad de las versiones públicas en los acuses de recibido de las Declaraciones patrimoniales iniciales de 2023 y 2024 así como la concluida de 2024. </w:t>
      </w:r>
    </w:p>
    <w:p w:rsidR="0067631C" w:rsidRDefault="0067631C">
      <w:pPr>
        <w:spacing w:after="0" w:line="360" w:lineRule="auto"/>
      </w:pPr>
    </w:p>
    <w:p w:rsidR="0067631C" w:rsidRDefault="00C41490">
      <w:pPr>
        <w:spacing w:after="0" w:line="360" w:lineRule="auto"/>
      </w:pPr>
      <w:r>
        <w:t>-Digitalizan la resolución por medio de la cual confirman la clasificación parcial de la información como confidencial en los acuses de recibido donde refiere como dato personal el QR, número de folio o ID, y cadena digital, esto de conformidad con la ley de datos en sus artículos 4, 25 y 40, así como para testar el correo electrónico en los formatos remitidos.</w:t>
      </w:r>
    </w:p>
    <w:p w:rsidR="0067631C" w:rsidRDefault="0067631C">
      <w:pPr>
        <w:spacing w:after="0" w:line="360" w:lineRule="auto"/>
      </w:pPr>
    </w:p>
    <w:p w:rsidR="0067631C" w:rsidRDefault="00C41490">
      <w:pPr>
        <w:spacing w:after="0" w:line="360" w:lineRule="auto"/>
        <w:rPr>
          <w:b/>
        </w:rPr>
      </w:pPr>
      <w:r>
        <w:t>-</w:t>
      </w:r>
      <w:r>
        <w:rPr>
          <w:b/>
          <w:u w:val="single"/>
        </w:rPr>
        <w:t>Digitaliza el cuadro de clasificación correspondiente a los acuses y así mismo los entrega en versión publica</w:t>
      </w:r>
      <w:r>
        <w:t xml:space="preserve">, de la Declaración de modificación 2020, Declaración de conclusión 2022, Declaración de modificación 2021, Declaración Inicial 2022, Declaración de modificación 2022, Declaración de modificación 2023 y Declaración de conclusión 2025, </w:t>
      </w:r>
      <w:r>
        <w:rPr>
          <w:b/>
        </w:rPr>
        <w:t>donde testan QR, Folio y Cadena Digital del acuse de presentación de las declaraciones de situación patrimonial y de intereses.</w:t>
      </w:r>
    </w:p>
    <w:p w:rsidR="0067631C" w:rsidRDefault="0067631C">
      <w:pPr>
        <w:spacing w:after="0" w:line="360" w:lineRule="auto"/>
      </w:pPr>
    </w:p>
    <w:p w:rsidR="0067631C" w:rsidRDefault="00C41490">
      <w:pPr>
        <w:tabs>
          <w:tab w:val="left" w:pos="4667"/>
        </w:tabs>
        <w:spacing w:after="0" w:line="360" w:lineRule="auto"/>
        <w:ind w:right="567"/>
      </w:pPr>
      <w:r>
        <w:t xml:space="preserve">- </w:t>
      </w:r>
      <w:r>
        <w:rPr>
          <w:b/>
          <w:u w:val="single"/>
        </w:rPr>
        <w:t>Digitaliza cuadro de clasificación parcial para las declaraciones inicial de 2022, por modificación 2020 al 2023, y por conclusión del 2022 y 2024</w:t>
      </w:r>
      <w:r>
        <w:t xml:space="preserve"> donde se testa </w:t>
      </w:r>
      <w:r>
        <w:rPr>
          <w:b/>
        </w:rPr>
        <w:t>el correo electrónico</w:t>
      </w:r>
      <w:r>
        <w:t xml:space="preserve">, así mismo adjuntan las mismas declaraciones Patrimoniales y de Intereses del C. Juan </w:t>
      </w:r>
      <w:proofErr w:type="spellStart"/>
      <w:r>
        <w:t>Minutti</w:t>
      </w:r>
      <w:proofErr w:type="spellEnd"/>
      <w:r>
        <w:t xml:space="preserve"> López en versión íntegra.</w:t>
      </w:r>
    </w:p>
    <w:p w:rsidR="0067631C" w:rsidRDefault="0067631C">
      <w:pPr>
        <w:spacing w:after="0" w:line="360" w:lineRule="auto"/>
      </w:pPr>
    </w:p>
    <w:p w:rsidR="0067631C" w:rsidRDefault="00C41490">
      <w:pPr>
        <w:spacing w:after="0" w:line="360" w:lineRule="auto"/>
        <w:rPr>
          <w:b/>
        </w:rPr>
      </w:pPr>
      <w:r>
        <w:rPr>
          <w:b/>
        </w:rPr>
        <w:t>III. Interposición de los Recursos de Revisión</w:t>
      </w:r>
    </w:p>
    <w:p w:rsidR="0067631C" w:rsidRDefault="0067631C">
      <w:pPr>
        <w:spacing w:after="0" w:line="360" w:lineRule="auto"/>
        <w:rPr>
          <w:color w:val="FF0000"/>
        </w:rPr>
      </w:pPr>
    </w:p>
    <w:p w:rsidR="0067631C" w:rsidRDefault="00C41490">
      <w:pPr>
        <w:widowControl w:val="0"/>
        <w:spacing w:after="0" w:line="360" w:lineRule="auto"/>
      </w:pPr>
      <w:r>
        <w:t xml:space="preserve">El </w:t>
      </w:r>
      <w:proofErr w:type="spellStart"/>
      <w:r>
        <w:t>veintidos</w:t>
      </w:r>
      <w:proofErr w:type="spellEnd"/>
      <w:r>
        <w:t xml:space="preserve"> de mayo de dos mil veinticinco, se recibieron en este Instituto, a través del Sistema de Acceso a la Información Mexiquense (SAIMEX), dos Recursos de Revisión, interpuestos por la persona Recurrente, en contra de la respuesta del Sujeto Obligado, en los mismos términos conforme a lo siguiente: </w:t>
      </w:r>
    </w:p>
    <w:p w:rsidR="0067631C" w:rsidRDefault="0067631C">
      <w:pPr>
        <w:widowControl w:val="0"/>
        <w:spacing w:after="0" w:line="360" w:lineRule="auto"/>
      </w:pPr>
    </w:p>
    <w:p w:rsidR="0067631C" w:rsidRDefault="00C41490">
      <w:pPr>
        <w:tabs>
          <w:tab w:val="left" w:pos="4667"/>
        </w:tabs>
        <w:spacing w:after="0" w:line="360" w:lineRule="auto"/>
        <w:ind w:left="567" w:right="567"/>
        <w:rPr>
          <w:b/>
          <w:i/>
          <w:sz w:val="20"/>
          <w:szCs w:val="20"/>
        </w:rPr>
      </w:pPr>
      <w:r>
        <w:rPr>
          <w:b/>
          <w:i/>
          <w:sz w:val="20"/>
          <w:szCs w:val="20"/>
        </w:rPr>
        <w:t>FOLIO DE LA SOLICITUD: 00191/SECOGEM/IP/2025</w:t>
      </w:r>
    </w:p>
    <w:p w:rsidR="0067631C" w:rsidRDefault="00C41490">
      <w:pPr>
        <w:spacing w:after="0" w:line="360" w:lineRule="auto"/>
        <w:ind w:left="567" w:right="567"/>
        <w:rPr>
          <w:i/>
          <w:sz w:val="20"/>
          <w:szCs w:val="20"/>
        </w:rPr>
      </w:pPr>
      <w:r>
        <w:rPr>
          <w:b/>
          <w:i/>
          <w:sz w:val="20"/>
          <w:szCs w:val="20"/>
        </w:rPr>
        <w:t>‘’ACTO IMPUGNADO</w:t>
      </w:r>
    </w:p>
    <w:p w:rsidR="0067631C" w:rsidRDefault="00C41490">
      <w:pPr>
        <w:spacing w:after="0" w:line="360" w:lineRule="auto"/>
        <w:ind w:left="567" w:right="567"/>
        <w:rPr>
          <w:i/>
          <w:sz w:val="20"/>
          <w:szCs w:val="20"/>
        </w:rPr>
      </w:pPr>
      <w:r>
        <w:rPr>
          <w:i/>
          <w:sz w:val="20"/>
          <w:szCs w:val="20"/>
        </w:rPr>
        <w:lastRenderedPageBreak/>
        <w:t>LA ENTREGA DE INFORMACIÓN INCOMPLETA” (Sic.)</w:t>
      </w:r>
    </w:p>
    <w:p w:rsidR="0067631C" w:rsidRDefault="0067631C">
      <w:pPr>
        <w:spacing w:after="0" w:line="360" w:lineRule="auto"/>
        <w:ind w:left="567" w:right="567"/>
        <w:rPr>
          <w:i/>
          <w:sz w:val="20"/>
          <w:szCs w:val="20"/>
        </w:rPr>
      </w:pPr>
    </w:p>
    <w:p w:rsidR="0067631C" w:rsidRDefault="00C41490">
      <w:pPr>
        <w:spacing w:after="0" w:line="360" w:lineRule="auto"/>
        <w:ind w:left="567" w:right="567"/>
        <w:rPr>
          <w:b/>
          <w:i/>
          <w:sz w:val="20"/>
          <w:szCs w:val="20"/>
        </w:rPr>
      </w:pPr>
      <w:r>
        <w:rPr>
          <w:b/>
          <w:i/>
          <w:sz w:val="20"/>
          <w:szCs w:val="20"/>
        </w:rPr>
        <w:t>‘’RAZONES O MOTIVOS DE LA INCONFORMIDAD</w:t>
      </w:r>
    </w:p>
    <w:p w:rsidR="0067631C" w:rsidRDefault="00C41490">
      <w:pPr>
        <w:spacing w:after="0" w:line="360" w:lineRule="auto"/>
        <w:ind w:left="567" w:right="567"/>
        <w:rPr>
          <w:i/>
          <w:sz w:val="20"/>
          <w:szCs w:val="20"/>
        </w:rPr>
      </w:pPr>
      <w:r>
        <w:rPr>
          <w:i/>
          <w:sz w:val="20"/>
          <w:szCs w:val="20"/>
        </w:rPr>
        <w:t>EL SUSCRITO SOLICITÉ COPIA DE TODAS LAS DECLARACIONES PRESENTADAS POR DICHO SERVIDOR PÚBLICO, EN CADA PERIODO A QUE SE REFIERE LA LEY DE LA MATERIA, EN EL CASO, EL ARTÍCULO 34 Y 46 DE LA LEY DE RESPONSABILIDADES ADMINISTRATIVAS DEL ESTADO DE MÉXICO Y MUNICIPIOS SEÑALA LOS PLAZOS Y LAS OCASIONES EN QUE DICHO SERVIDOR PÚBLICO DEBE PRESENTAR DICHAS DECLARACIONES, PERO EN ESTE CASO EL SUJETO OBLIGADO ME REMITIÓ UNA SOLA, DEL AÑO 2023, Y NO REMITIÓ LA DEL 2025 Y 2024. POR LO QUE DICHA INFORMACIÓN ESTÁ INCOMPLETA. EN SU CASO, REQUIERO QUE EL COMITÉ DE TRANSPARENCIA DECLARE LA INEXISTENCIA, DE SER EL CASO.” (Sic.)</w:t>
      </w:r>
    </w:p>
    <w:p w:rsidR="0067631C" w:rsidRDefault="0067631C">
      <w:pPr>
        <w:widowControl w:val="0"/>
        <w:spacing w:after="0" w:line="360" w:lineRule="auto"/>
      </w:pPr>
    </w:p>
    <w:p w:rsidR="0067631C" w:rsidRDefault="00C41490">
      <w:pPr>
        <w:tabs>
          <w:tab w:val="left" w:pos="4667"/>
        </w:tabs>
        <w:spacing w:after="0" w:line="360" w:lineRule="auto"/>
        <w:ind w:left="567" w:right="567"/>
        <w:rPr>
          <w:b/>
          <w:i/>
          <w:sz w:val="20"/>
          <w:szCs w:val="20"/>
        </w:rPr>
      </w:pPr>
      <w:r>
        <w:rPr>
          <w:b/>
          <w:i/>
          <w:sz w:val="20"/>
          <w:szCs w:val="20"/>
        </w:rPr>
        <w:t>FOLIO DE LA SOLICITUD 00190/SECOGEM/IP/2025</w:t>
      </w:r>
    </w:p>
    <w:p w:rsidR="0067631C" w:rsidRDefault="00C41490">
      <w:pPr>
        <w:spacing w:after="0" w:line="360" w:lineRule="auto"/>
        <w:ind w:left="567" w:right="567"/>
        <w:rPr>
          <w:i/>
          <w:sz w:val="20"/>
          <w:szCs w:val="20"/>
        </w:rPr>
      </w:pPr>
      <w:r>
        <w:rPr>
          <w:b/>
          <w:i/>
          <w:sz w:val="20"/>
          <w:szCs w:val="20"/>
        </w:rPr>
        <w:t>‘’ACTO IMPUGNADO</w:t>
      </w:r>
    </w:p>
    <w:p w:rsidR="0067631C" w:rsidRDefault="00C41490">
      <w:pPr>
        <w:spacing w:after="0" w:line="360" w:lineRule="auto"/>
        <w:ind w:left="567" w:right="567"/>
        <w:rPr>
          <w:i/>
          <w:sz w:val="20"/>
          <w:szCs w:val="20"/>
        </w:rPr>
      </w:pPr>
      <w:r>
        <w:rPr>
          <w:i/>
          <w:sz w:val="20"/>
          <w:szCs w:val="20"/>
        </w:rPr>
        <w:t>INFORMACIÓN INCOMPLETA” (Sic.)</w:t>
      </w:r>
    </w:p>
    <w:p w:rsidR="0067631C" w:rsidRDefault="0067631C">
      <w:pPr>
        <w:spacing w:after="0" w:line="360" w:lineRule="auto"/>
        <w:ind w:left="567" w:right="567"/>
        <w:rPr>
          <w:i/>
          <w:sz w:val="20"/>
          <w:szCs w:val="20"/>
        </w:rPr>
      </w:pPr>
    </w:p>
    <w:p w:rsidR="0067631C" w:rsidRDefault="00C41490">
      <w:pPr>
        <w:spacing w:after="0" w:line="360" w:lineRule="auto"/>
        <w:ind w:left="567" w:right="567"/>
        <w:rPr>
          <w:b/>
          <w:i/>
          <w:sz w:val="20"/>
          <w:szCs w:val="20"/>
        </w:rPr>
      </w:pPr>
      <w:r>
        <w:rPr>
          <w:b/>
          <w:i/>
          <w:sz w:val="20"/>
          <w:szCs w:val="20"/>
        </w:rPr>
        <w:t>‘’RAZONES O MOTIVOS DE LA INCONFORMIDAD</w:t>
      </w:r>
    </w:p>
    <w:p w:rsidR="0067631C" w:rsidRDefault="00C41490">
      <w:pPr>
        <w:spacing w:after="0" w:line="360" w:lineRule="auto"/>
        <w:ind w:left="567" w:right="567"/>
        <w:rPr>
          <w:i/>
          <w:sz w:val="20"/>
          <w:szCs w:val="20"/>
        </w:rPr>
      </w:pPr>
      <w:r>
        <w:rPr>
          <w:i/>
          <w:sz w:val="20"/>
          <w:szCs w:val="20"/>
        </w:rPr>
        <w:t>EL SUSCRITO SOLICITÉ COPIA DE TODAS LAS DECLARACIONES PRESENTADAS POR DICHO SERVIDOR PÚBLICO, EN CADA PERIODO A QUE SE REFIERE LA LEY DE LA MATERIA, EN EL CASO, EL ARTÍCULO 34 Y 46 DE LA LEY DE RESPONSABILIDADES ADMINISTRATIVAS DEL ESTADO DE MÉXICO Y MUNICIPIOS SEÑALA LOS PLAZOS Y LAS OCASIONES EN QUE DICHO SERVIDOR PÚBLICO DEBE PRESENTAR DICHAS DECLARACIONES, PERO EN ESTE CASO EL SUJETO OBLIGADO ME REMITIÓ UNA SOLA, DEL AÑO 2023, Y NO REMITIÓ LA DEL 2025 Y 2024. POR LO QUE DICHA INFORMACIÓN ESTÁ INCOMPLETA. EN SU CASO, REQUIERO QUE EL COMITÉ DE TRANSPARENCIA DECLARE LA INEXISTENCIA, DE SER EL CASO.” (Sic.)</w:t>
      </w:r>
    </w:p>
    <w:p w:rsidR="0067631C" w:rsidRDefault="0067631C">
      <w:pPr>
        <w:widowControl w:val="0"/>
        <w:spacing w:after="0" w:line="360" w:lineRule="auto"/>
      </w:pPr>
    </w:p>
    <w:p w:rsidR="0067631C" w:rsidRDefault="0067631C">
      <w:pPr>
        <w:widowControl w:val="0"/>
        <w:spacing w:after="0" w:line="360" w:lineRule="auto"/>
      </w:pPr>
    </w:p>
    <w:p w:rsidR="0067631C" w:rsidRDefault="00C41490">
      <w:pPr>
        <w:spacing w:after="0" w:line="360" w:lineRule="auto"/>
        <w:rPr>
          <w:b/>
        </w:rPr>
      </w:pPr>
      <w:r>
        <w:rPr>
          <w:b/>
        </w:rPr>
        <w:t>IV. Trámite de los Recursos de Revisión ante este Instituto</w:t>
      </w:r>
    </w:p>
    <w:p w:rsidR="0067631C" w:rsidRDefault="0067631C">
      <w:pPr>
        <w:spacing w:after="0" w:line="360" w:lineRule="auto"/>
        <w:rPr>
          <w:b/>
          <w:color w:val="FF0000"/>
        </w:rPr>
      </w:pPr>
    </w:p>
    <w:p w:rsidR="0067631C" w:rsidRDefault="00C41490">
      <w:pPr>
        <w:spacing w:after="0" w:line="360" w:lineRule="auto"/>
        <w:rPr>
          <w:b/>
        </w:rPr>
      </w:pPr>
      <w:r>
        <w:rPr>
          <w:b/>
        </w:rPr>
        <w:t xml:space="preserve">a) Turno de los Medios de Impugnación. </w:t>
      </w:r>
      <w:r>
        <w:t>El veintidós de mayo de dos mil veinticinco, el Sistema de Acceso a la Información Mexiquense (SAIMEX), asignó el número de expediente</w:t>
      </w:r>
      <w:r>
        <w:rPr>
          <w:b/>
        </w:rPr>
        <w:t xml:space="preserve"> 05851/INFOEM/IP/RR/2025, 05852/INFOEM/IP/RR/2025, </w:t>
      </w:r>
      <w:r>
        <w:t xml:space="preserve">a los Medios de Impugnación que nos ocupan, con base en el sistema aprobado por el Pleno de este Órgano Garante y los turnaron a los </w:t>
      </w:r>
      <w:r>
        <w:rPr>
          <w:b/>
        </w:rPr>
        <w:t xml:space="preserve">Comisionados Luis Gustavo Parra Noriega, Guadalupe Ramírez Peña y Sharon Cristina Morales Martínez, </w:t>
      </w:r>
      <w:r>
        <w:t>respectivamente, para los efectos del artículo 185, fracción I de la Ley de Transparencia y Acceso a la Información Pública del Estado de México y Municipios.</w:t>
      </w:r>
    </w:p>
    <w:p w:rsidR="0067631C" w:rsidRDefault="0067631C">
      <w:pPr>
        <w:spacing w:after="0" w:line="360" w:lineRule="auto"/>
        <w:rPr>
          <w:color w:val="FF0000"/>
        </w:rPr>
      </w:pPr>
    </w:p>
    <w:p w:rsidR="0067631C" w:rsidRDefault="00C41490">
      <w:pPr>
        <w:spacing w:after="0" w:line="360" w:lineRule="auto"/>
      </w:pPr>
      <w:r>
        <w:rPr>
          <w:b/>
        </w:rPr>
        <w:t xml:space="preserve">b) Admisión del Recurso de Revisión. </w:t>
      </w:r>
      <w:r>
        <w:t xml:space="preserve">El veintisiete y veintiocho de mayo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67631C" w:rsidRDefault="0067631C">
      <w:pPr>
        <w:spacing w:after="0" w:line="360" w:lineRule="auto"/>
        <w:rPr>
          <w:color w:val="FF0000"/>
        </w:rPr>
      </w:pPr>
    </w:p>
    <w:p w:rsidR="0067631C" w:rsidRDefault="00C41490">
      <w:pPr>
        <w:spacing w:after="0" w:line="360" w:lineRule="auto"/>
        <w:rPr>
          <w:b/>
          <w:color w:val="0D0D0D"/>
        </w:rPr>
      </w:pPr>
      <w:r>
        <w:rPr>
          <w:b/>
        </w:rPr>
        <w:t>c) Acumulación de los asuntos.</w:t>
      </w:r>
      <w:r>
        <w:t xml:space="preserve"> El cuatro de junio de dos mil veinticinco, el Pleno del Instituto de Transparencia, Acceso a la Información Pública y Protección de Datos Personales del Estado de México y Municipios, durante la Vigésima Sesión Ordinaria,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w:t>
      </w:r>
      <w:r>
        <w:lastRenderedPageBreak/>
        <w:t xml:space="preserve">del Estado de México y Municipios, de conformidad con su artículo 195 de dicho ordenamiento, </w:t>
      </w:r>
      <w:r>
        <w:rPr>
          <w:b/>
        </w:rPr>
        <w:t xml:space="preserve">decretó </w:t>
      </w:r>
      <w:r>
        <w:t>la acumulación del Recurso de Revisión</w:t>
      </w:r>
      <w:r>
        <w:rPr>
          <w:b/>
          <w:color w:val="0D0D0D"/>
        </w:rPr>
        <w:t xml:space="preserve"> </w:t>
      </w:r>
      <w:r>
        <w:rPr>
          <w:b/>
        </w:rPr>
        <w:t xml:space="preserve">05852/INFOEM/IP/RR/2025, </w:t>
      </w:r>
      <w:r>
        <w:t>al diverso</w:t>
      </w:r>
      <w:r>
        <w:rPr>
          <w:b/>
          <w:color w:val="0D0D0D"/>
        </w:rPr>
        <w:t xml:space="preserve"> </w:t>
      </w:r>
      <w:r>
        <w:rPr>
          <w:b/>
        </w:rPr>
        <w:t>05851/INFOEM/IP/RR/2025,</w:t>
      </w:r>
      <w:r>
        <w:t xml:space="preserve"> por ser este último el más antiguo, sustanciado bajo el índice de esta Ponencia.</w:t>
      </w:r>
    </w:p>
    <w:p w:rsidR="0067631C" w:rsidRDefault="0067631C">
      <w:pPr>
        <w:spacing w:after="0" w:line="360" w:lineRule="auto"/>
        <w:rPr>
          <w:b/>
        </w:rPr>
      </w:pPr>
    </w:p>
    <w:p w:rsidR="0067631C" w:rsidRDefault="00C41490">
      <w:pPr>
        <w:spacing w:after="0" w:line="360" w:lineRule="auto"/>
      </w:pPr>
      <w:r>
        <w:rPr>
          <w:b/>
        </w:rPr>
        <w:t>d) Informe Justificado o manifestaciones.</w:t>
      </w:r>
      <w:r>
        <w:t xml:space="preserve"> El cinco de junio de dos mil veinticinco, se recibió a través del Sistema de Acceso a la Información Mexiquense (SAIMEX), los Informes Justificados, de conformidad con lo siguiente:</w:t>
      </w:r>
    </w:p>
    <w:p w:rsidR="0067631C" w:rsidRDefault="0067631C">
      <w:pPr>
        <w:spacing w:after="0" w:line="360" w:lineRule="auto"/>
        <w:rPr>
          <w:sz w:val="20"/>
          <w:szCs w:val="20"/>
        </w:rPr>
      </w:pPr>
    </w:p>
    <w:p w:rsidR="0067631C" w:rsidRDefault="00C41490">
      <w:pPr>
        <w:spacing w:after="0" w:line="360" w:lineRule="auto"/>
        <w:rPr>
          <w:b/>
          <w:i/>
          <w:sz w:val="20"/>
          <w:szCs w:val="20"/>
        </w:rPr>
      </w:pPr>
      <w:r>
        <w:rPr>
          <w:b/>
          <w:i/>
          <w:sz w:val="20"/>
          <w:szCs w:val="20"/>
        </w:rPr>
        <w:t>FOLIO DE LA SOLICITUD</w:t>
      </w:r>
      <w:r>
        <w:rPr>
          <w:i/>
          <w:sz w:val="20"/>
          <w:szCs w:val="20"/>
        </w:rPr>
        <w:t xml:space="preserve">: </w:t>
      </w:r>
      <w:r>
        <w:rPr>
          <w:b/>
          <w:i/>
          <w:sz w:val="20"/>
          <w:szCs w:val="20"/>
        </w:rPr>
        <w:t>00191/SECOGEM/IP/2025</w:t>
      </w:r>
    </w:p>
    <w:p w:rsidR="0067631C" w:rsidRDefault="0067631C">
      <w:pPr>
        <w:spacing w:after="0" w:line="360" w:lineRule="auto"/>
        <w:rPr>
          <w:i/>
          <w:sz w:val="20"/>
          <w:szCs w:val="20"/>
        </w:rPr>
      </w:pPr>
    </w:p>
    <w:p w:rsidR="0067631C" w:rsidRDefault="00C41490">
      <w:pPr>
        <w:numPr>
          <w:ilvl w:val="0"/>
          <w:numId w:val="2"/>
        </w:numPr>
        <w:pBdr>
          <w:top w:val="nil"/>
          <w:left w:val="nil"/>
          <w:bottom w:val="nil"/>
          <w:right w:val="nil"/>
          <w:between w:val="nil"/>
        </w:pBdr>
        <w:spacing w:after="0" w:line="360" w:lineRule="auto"/>
      </w:pPr>
      <w:r>
        <w:rPr>
          <w:color w:val="000000"/>
        </w:rPr>
        <w:t>Oficio número 21803000030000L-1470/2025, de fecha dos de junio de dos mil veinticinco, suscrito por el titular de la dirección de registro de declaraciones y dirigido al encargado de la subsecretaria de responsabilidades administrativas donde refiere que: “</w:t>
      </w:r>
      <w:r>
        <w:rPr>
          <w:b/>
          <w:i/>
          <w:color w:val="000000"/>
          <w:u w:val="single"/>
        </w:rPr>
        <w:t xml:space="preserve">derivado de la inconformidad, esta autoridad menciona que cuanto hace a la declaración de modificación 2024, se </w:t>
      </w:r>
      <w:proofErr w:type="spellStart"/>
      <w:r>
        <w:rPr>
          <w:b/>
          <w:i/>
          <w:color w:val="000000"/>
          <w:u w:val="single"/>
        </w:rPr>
        <w:t>declaro</w:t>
      </w:r>
      <w:proofErr w:type="spellEnd"/>
      <w:r>
        <w:rPr>
          <w:b/>
          <w:i/>
          <w:color w:val="000000"/>
          <w:u w:val="single"/>
        </w:rPr>
        <w:t xml:space="preserve"> lo referente a 2023, la cual se presenta durante mayo 2024, le informo que no se encontró registro del movimiento por modificación 2024, toda vez que la C, Janet, no se encontraba obligada a presentar la declaración en comento por haber causado baja del empleo cargo o comisión, en fecha 15 de marzo de 2024, a través de la cual declaro que los ingresos percibidos en el año 2023 y los percibidos de 2024 hasta el momento de su baja, por lo que finalmente es de mencionarle que la declaración 2025 en la cual se declaran los ingresos percibidos del 2024, la cual se presenta en mayo 2025, a la fecha no se encuentra registrada y mucho menos presentada, motivo por el cual esta autoridad se encuentra imposibilitada en proporcionar la información requerida.”</w:t>
      </w:r>
    </w:p>
    <w:p w:rsidR="0067631C" w:rsidRDefault="0067631C">
      <w:pPr>
        <w:spacing w:after="0" w:line="360" w:lineRule="auto"/>
        <w:rPr>
          <w:b/>
          <w:sz w:val="20"/>
          <w:szCs w:val="20"/>
        </w:rPr>
      </w:pPr>
    </w:p>
    <w:p w:rsidR="0067631C" w:rsidRDefault="00C41490">
      <w:pPr>
        <w:spacing w:after="0" w:line="360" w:lineRule="auto"/>
        <w:rPr>
          <w:b/>
          <w:i/>
          <w:sz w:val="20"/>
          <w:szCs w:val="20"/>
        </w:rPr>
      </w:pPr>
      <w:r>
        <w:rPr>
          <w:b/>
          <w:i/>
          <w:sz w:val="20"/>
          <w:szCs w:val="20"/>
        </w:rPr>
        <w:t>FOLIO DE LA SOLICITUD: 00190/SECOGEM/IP/2025</w:t>
      </w:r>
    </w:p>
    <w:p w:rsidR="0067631C" w:rsidRDefault="00C41490">
      <w:pPr>
        <w:numPr>
          <w:ilvl w:val="0"/>
          <w:numId w:val="2"/>
        </w:numPr>
        <w:pBdr>
          <w:top w:val="nil"/>
          <w:left w:val="nil"/>
          <w:bottom w:val="nil"/>
          <w:right w:val="nil"/>
          <w:between w:val="nil"/>
        </w:pBdr>
        <w:spacing w:after="0" w:line="360" w:lineRule="auto"/>
        <w:rPr>
          <w:color w:val="000000"/>
          <w:sz w:val="24"/>
          <w:szCs w:val="24"/>
          <w:u w:val="single"/>
        </w:rPr>
      </w:pPr>
      <w:r>
        <w:rPr>
          <w:color w:val="000000"/>
        </w:rPr>
        <w:lastRenderedPageBreak/>
        <w:t>Oficio número 21803000030000L-1471/2025, de fecha dos de junio de dos mil veinticinco, suscrito por el titular de la dirección de registro de declaraciones y dirigido al encargado de la subsecretaria de responsabilidades administrativas donde refiere lo siguiente: “</w:t>
      </w:r>
      <w:r>
        <w:rPr>
          <w:b/>
          <w:i/>
          <w:color w:val="000000"/>
          <w:u w:val="single"/>
        </w:rPr>
        <w:t xml:space="preserve">derivado de la inconformidad, y por cuanto hace a la declaración de modificación patrimonial 2024, la cual se declaran ingresos percibidos de 2023, la cual se presenta en mayo 2024, le informo que dicha declaración fue presentada el 7 de mayo de 2024, tal como se hizo constar en su momento con la versión publica remitida en respuesta. Finalmente es de mencionarle que la declaración de modificación 2025, la cual se declaran ingresos 2024, y se presenta en mayo 2025, al momento no se encontró registro de movimiento por modificación 2025, toda vez que el C. Juan </w:t>
      </w:r>
      <w:proofErr w:type="spellStart"/>
      <w:r>
        <w:rPr>
          <w:b/>
          <w:i/>
          <w:color w:val="000000"/>
          <w:u w:val="single"/>
        </w:rPr>
        <w:t>Minutti</w:t>
      </w:r>
      <w:proofErr w:type="spellEnd"/>
      <w:r>
        <w:rPr>
          <w:b/>
          <w:i/>
          <w:color w:val="000000"/>
          <w:u w:val="single"/>
        </w:rPr>
        <w:t>, no se encuentra obligado a presentar la declaración en comento por haber causado baja del empleo, cargo o comisión,  en fecha 31 de diciembre de 2024, y en consecuencia presento una declaración por conclusión la cual tiene como fecha de entrega 5 de febrero de 2025 a través de los cuales declaro los ingresos percibidos en 2024 hasta el momento de su baja.</w:t>
      </w:r>
    </w:p>
    <w:p w:rsidR="0067631C" w:rsidRDefault="0067631C">
      <w:pPr>
        <w:spacing w:after="0" w:line="360" w:lineRule="auto"/>
      </w:pPr>
    </w:p>
    <w:p w:rsidR="0067631C" w:rsidRDefault="00C41490">
      <w:pPr>
        <w:spacing w:after="0" w:line="360" w:lineRule="auto"/>
        <w:rPr>
          <w:b/>
        </w:rPr>
      </w:pPr>
      <w:r>
        <w:rPr>
          <w:b/>
        </w:rPr>
        <w:t>e) Vista del Informe Justificado.</w:t>
      </w:r>
      <w:r>
        <w:t xml:space="preserve"> El quince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rsidR="0067631C" w:rsidRDefault="0067631C">
      <w:pPr>
        <w:spacing w:after="0" w:line="360" w:lineRule="auto"/>
        <w:rPr>
          <w:b/>
        </w:rPr>
      </w:pPr>
    </w:p>
    <w:p w:rsidR="0067631C" w:rsidRDefault="00C41490">
      <w:pPr>
        <w:spacing w:after="0" w:line="360" w:lineRule="auto"/>
        <w:rPr>
          <w:b/>
        </w:rPr>
      </w:pPr>
      <w:r>
        <w:rPr>
          <w:b/>
        </w:rPr>
        <w:t xml:space="preserve">f) Ampliación de plazo para resolver. </w:t>
      </w:r>
      <w:r>
        <w:t xml:space="preserve">El dieciséis de octubre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lastRenderedPageBreak/>
        <w:t>Recurso de Revisión que nos ocupa; acto que fue notificado a las partes, mediante el Sistema de Acceso a la Información Mexiquense (SAIMEX).</w:t>
      </w:r>
    </w:p>
    <w:p w:rsidR="0067631C" w:rsidRDefault="0067631C">
      <w:pPr>
        <w:spacing w:after="0" w:line="360" w:lineRule="auto"/>
        <w:rPr>
          <w:b/>
        </w:rPr>
      </w:pPr>
    </w:p>
    <w:p w:rsidR="0067631C" w:rsidRDefault="00C41490">
      <w:pPr>
        <w:spacing w:after="0" w:line="360" w:lineRule="auto"/>
      </w:pPr>
      <w:r>
        <w:rPr>
          <w:b/>
        </w:rPr>
        <w:t>g) Cierre de instrucción.</w:t>
      </w:r>
      <w:r>
        <w:t xml:space="preserve"> El veintidós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67631C" w:rsidRDefault="0067631C">
      <w:pPr>
        <w:spacing w:after="0" w:line="360" w:lineRule="auto"/>
        <w:ind w:right="-28"/>
      </w:pPr>
    </w:p>
    <w:p w:rsidR="0067631C" w:rsidRDefault="00C41490">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67631C" w:rsidRDefault="0067631C">
      <w:pPr>
        <w:spacing w:after="0" w:line="360" w:lineRule="auto"/>
        <w:rPr>
          <w:b/>
        </w:rPr>
      </w:pPr>
    </w:p>
    <w:p w:rsidR="0067631C" w:rsidRDefault="00C41490">
      <w:pPr>
        <w:spacing w:after="0" w:line="360" w:lineRule="auto"/>
        <w:jc w:val="center"/>
        <w:rPr>
          <w:b/>
        </w:rPr>
      </w:pPr>
      <w:r>
        <w:rPr>
          <w:b/>
        </w:rPr>
        <w:t>C O N S I D E R A N D O S</w:t>
      </w:r>
    </w:p>
    <w:p w:rsidR="0067631C" w:rsidRDefault="0067631C">
      <w:pPr>
        <w:spacing w:after="0" w:line="360" w:lineRule="auto"/>
        <w:jc w:val="center"/>
        <w:rPr>
          <w:b/>
        </w:rPr>
      </w:pPr>
    </w:p>
    <w:p w:rsidR="0067631C" w:rsidRDefault="00C41490">
      <w:pPr>
        <w:spacing w:after="0" w:line="360" w:lineRule="auto"/>
        <w:rPr>
          <w:b/>
        </w:rPr>
      </w:pPr>
      <w:r>
        <w:rPr>
          <w:b/>
        </w:rPr>
        <w:t>PRIMERO</w:t>
      </w:r>
      <w:r>
        <w:t xml:space="preserve">. </w:t>
      </w:r>
      <w:r>
        <w:rPr>
          <w:b/>
        </w:rPr>
        <w:t>Competencia</w:t>
      </w:r>
    </w:p>
    <w:p w:rsidR="0067631C" w:rsidRDefault="0067631C">
      <w:pPr>
        <w:spacing w:after="0" w:line="360" w:lineRule="auto"/>
        <w:rPr>
          <w:b/>
          <w:color w:val="FF0000"/>
        </w:rPr>
      </w:pPr>
    </w:p>
    <w:p w:rsidR="0067631C" w:rsidRDefault="00C41490">
      <w:pPr>
        <w:spacing w:after="0" w:line="360" w:lineRule="auto"/>
      </w:pPr>
      <w:bookmarkStart w:id="3" w:name="_heading=h.30j0zll" w:colFirst="0" w:colLast="0"/>
      <w:bookmarkEnd w:id="3"/>
      <w: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w:t>
      </w:r>
      <w:r>
        <w:lastRenderedPageBreak/>
        <w:t>Instituto de Transparencia, Acceso a la Información Pública y Protección de Datos Personales del Estado de México y Municipios.</w:t>
      </w:r>
    </w:p>
    <w:p w:rsidR="0067631C" w:rsidRDefault="0067631C">
      <w:pPr>
        <w:spacing w:after="0" w:line="360" w:lineRule="auto"/>
        <w:rPr>
          <w:b/>
          <w:color w:val="FF0000"/>
        </w:rPr>
      </w:pPr>
    </w:p>
    <w:p w:rsidR="0067631C" w:rsidRDefault="00C41490">
      <w:pPr>
        <w:spacing w:after="0" w:line="360" w:lineRule="auto"/>
      </w:pPr>
      <w:r>
        <w:rPr>
          <w:b/>
        </w:rPr>
        <w:t>SEGUNDO</w:t>
      </w:r>
      <w:r>
        <w:t xml:space="preserve">. </w:t>
      </w:r>
      <w:r>
        <w:rPr>
          <w:b/>
        </w:rPr>
        <w:t>Causales de improcedencia y sobreseimiento</w:t>
      </w:r>
    </w:p>
    <w:p w:rsidR="0067631C" w:rsidRDefault="0067631C">
      <w:pPr>
        <w:spacing w:after="0" w:line="360" w:lineRule="auto"/>
        <w:rPr>
          <w:color w:val="FF0000"/>
        </w:rPr>
      </w:pPr>
    </w:p>
    <w:p w:rsidR="0067631C" w:rsidRDefault="00C41490">
      <w:pPr>
        <w:spacing w:after="0" w:line="360" w:lineRule="auto"/>
      </w:pPr>
      <w:r>
        <w:t xml:space="preserve">De las constancias que forma parte del Recurso de Revisión que se analiza, se advierte que previo al estudio del fondo de la </w:t>
      </w:r>
      <w:proofErr w:type="spellStart"/>
      <w:r>
        <w:rPr>
          <w:i/>
        </w:rPr>
        <w:t>litis</w:t>
      </w:r>
      <w:proofErr w:type="spellEnd"/>
      <w:r>
        <w:t>, es necesario estudiar las causales de improcedencia y sobreseimiento que se adviertan, para determinar lo que en Derecho proceda.</w:t>
      </w:r>
    </w:p>
    <w:p w:rsidR="0067631C" w:rsidRDefault="0067631C">
      <w:pPr>
        <w:spacing w:after="0" w:line="360" w:lineRule="auto"/>
        <w:rPr>
          <w:b/>
          <w:color w:val="FF0000"/>
        </w:rPr>
      </w:pPr>
    </w:p>
    <w:p w:rsidR="0067631C" w:rsidRDefault="00C41490">
      <w:pPr>
        <w:spacing w:after="0" w:line="360" w:lineRule="auto"/>
        <w:rPr>
          <w:b/>
        </w:rPr>
      </w:pPr>
      <w:r>
        <w:rPr>
          <w:b/>
        </w:rPr>
        <w:t>Causales de improcedencia</w:t>
      </w:r>
    </w:p>
    <w:p w:rsidR="0067631C" w:rsidRDefault="0067631C">
      <w:pPr>
        <w:spacing w:after="0" w:line="360" w:lineRule="auto"/>
        <w:rPr>
          <w:color w:val="FF0000"/>
        </w:rPr>
      </w:pPr>
    </w:p>
    <w:p w:rsidR="0067631C" w:rsidRDefault="00C41490">
      <w:pPr>
        <w:spacing w:after="0" w:line="360" w:lineRule="auto"/>
      </w:pPr>
      <w: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7631C" w:rsidRDefault="0067631C">
      <w:pPr>
        <w:spacing w:after="0" w:line="360" w:lineRule="auto"/>
        <w:rPr>
          <w:color w:val="FF0000"/>
        </w:rPr>
      </w:pPr>
    </w:p>
    <w:p w:rsidR="0067631C" w:rsidRDefault="00C41490">
      <w:pPr>
        <w:spacing w:after="0" w:line="360" w:lineRule="auto"/>
      </w:pPr>
      <w:r>
        <w:t>En el presente caso, </w:t>
      </w:r>
      <w:r>
        <w:rPr>
          <w:b/>
        </w:rPr>
        <w:t>no se actualiza ninguna de las causales de improcedencia</w:t>
      </w:r>
      <w: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67631C" w:rsidRDefault="0067631C">
      <w:pPr>
        <w:spacing w:after="0" w:line="360" w:lineRule="auto"/>
        <w:rPr>
          <w:color w:val="FF0000"/>
        </w:rPr>
      </w:pPr>
    </w:p>
    <w:p w:rsidR="0067631C" w:rsidRDefault="00C41490">
      <w:pPr>
        <w:spacing w:after="0" w:line="360" w:lineRule="auto"/>
      </w:pPr>
      <w:r>
        <w:lastRenderedPageBreak/>
        <w:t>Por lo cual, se actualizan las causales de procedencia del Recurso de Revisión señaladas en el artículo 179, fracción V, de la Ley en cita, pues la parte Recurrente se inconformó de la entrega de información incompleta</w:t>
      </w:r>
    </w:p>
    <w:p w:rsidR="0067631C" w:rsidRDefault="0067631C">
      <w:pPr>
        <w:spacing w:after="0" w:line="360" w:lineRule="auto"/>
      </w:pPr>
    </w:p>
    <w:p w:rsidR="0067631C" w:rsidRDefault="00C41490">
      <w:pPr>
        <w:spacing w:after="0" w:line="360" w:lineRule="auto"/>
      </w:pPr>
      <w:r>
        <w:rPr>
          <w:b/>
        </w:rPr>
        <w:t>Causales de sobreseimiento</w:t>
      </w:r>
    </w:p>
    <w:p w:rsidR="0067631C" w:rsidRDefault="0067631C">
      <w:pPr>
        <w:spacing w:after="0" w:line="360" w:lineRule="auto"/>
      </w:pPr>
    </w:p>
    <w:p w:rsidR="0067631C" w:rsidRDefault="00C41490">
      <w:pPr>
        <w:spacing w:after="0" w:line="360" w:lineRule="auto"/>
      </w:pPr>
      <w:r>
        <w:t>Por ser de previo y especial pronunciamiento, este Instituto analiza si se actualiza alguna causal de sobreseimiento.</w:t>
      </w:r>
    </w:p>
    <w:p w:rsidR="0067631C" w:rsidRDefault="0067631C">
      <w:pPr>
        <w:spacing w:after="0" w:line="360" w:lineRule="auto"/>
      </w:pPr>
    </w:p>
    <w:p w:rsidR="0067631C" w:rsidRDefault="00C41490">
      <w:pPr>
        <w:spacing w:after="0" w:line="360" w:lineRule="auto"/>
      </w:pPr>
      <w: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67631C" w:rsidRDefault="0067631C">
      <w:pPr>
        <w:spacing w:after="0" w:line="360" w:lineRule="auto"/>
      </w:pPr>
    </w:p>
    <w:p w:rsidR="0067631C" w:rsidRDefault="00C41490">
      <w:pPr>
        <w:spacing w:after="0" w:line="360" w:lineRule="auto"/>
      </w:pPr>
      <w:r>
        <w:t xml:space="preserve">Por tales motivos, se considera procedente entrar al fondo del presente asunto. </w:t>
      </w:r>
    </w:p>
    <w:p w:rsidR="0067631C" w:rsidRDefault="0067631C">
      <w:pPr>
        <w:spacing w:after="0" w:line="360" w:lineRule="auto"/>
        <w:rPr>
          <w:b/>
        </w:rPr>
      </w:pPr>
    </w:p>
    <w:p w:rsidR="0067631C" w:rsidRDefault="00C41490">
      <w:pPr>
        <w:spacing w:after="0" w:line="360" w:lineRule="auto"/>
        <w:rPr>
          <w:b/>
        </w:rPr>
      </w:pPr>
      <w:r>
        <w:rPr>
          <w:b/>
        </w:rPr>
        <w:t>TERCERO. Determinación de la Controversia</w:t>
      </w:r>
    </w:p>
    <w:p w:rsidR="0067631C" w:rsidRDefault="0067631C">
      <w:pPr>
        <w:spacing w:after="0" w:line="360" w:lineRule="auto"/>
        <w:rPr>
          <w:color w:val="FF0000"/>
        </w:rPr>
      </w:pPr>
    </w:p>
    <w:p w:rsidR="0067631C" w:rsidRDefault="00C41490">
      <w:pPr>
        <w:spacing w:after="0" w:line="360" w:lineRule="auto"/>
        <w:rPr>
          <w:color w:val="000000"/>
        </w:rPr>
      </w:pPr>
      <w:r>
        <w:rPr>
          <w:color w:val="000000"/>
        </w:rPr>
        <w:t xml:space="preserve">Con el objetivo de ilustrar la controversia planteada, resulta conveniente precisar, que una vez realizado el estudio de las constancias que integran el expediente en el que se actúa, se desprende que el Particular, por medio de dos solicitudes de información, requirió  copia del acuse de recibido así como la declaración de intereses y situación patrimonial, presentado por Juan </w:t>
      </w:r>
      <w:proofErr w:type="spellStart"/>
      <w:r>
        <w:rPr>
          <w:color w:val="000000"/>
        </w:rPr>
        <w:t>Minutti</w:t>
      </w:r>
      <w:proofErr w:type="spellEnd"/>
      <w:r>
        <w:rPr>
          <w:color w:val="000000"/>
        </w:rPr>
        <w:t xml:space="preserve"> López y Janet </w:t>
      </w:r>
      <w:proofErr w:type="spellStart"/>
      <w:r>
        <w:rPr>
          <w:color w:val="000000"/>
        </w:rPr>
        <w:t>Minutti</w:t>
      </w:r>
      <w:proofErr w:type="spellEnd"/>
      <w:r>
        <w:rPr>
          <w:color w:val="000000"/>
        </w:rPr>
        <w:t xml:space="preserve"> Rodríguez  dentro de todos y cada uno de los plazos  </w:t>
      </w:r>
      <w:r>
        <w:rPr>
          <w:color w:val="000000"/>
        </w:rPr>
        <w:lastRenderedPageBreak/>
        <w:t>a los que se refiere la ley de responsabilidades administrativas del Estado de México y Municipios.</w:t>
      </w:r>
    </w:p>
    <w:p w:rsidR="0067631C" w:rsidRDefault="0067631C">
      <w:pPr>
        <w:spacing w:after="0" w:line="360" w:lineRule="auto"/>
        <w:rPr>
          <w:color w:val="000000"/>
        </w:rPr>
      </w:pPr>
    </w:p>
    <w:p w:rsidR="0067631C" w:rsidRDefault="00C41490">
      <w:pPr>
        <w:spacing w:after="0" w:line="360" w:lineRule="auto"/>
      </w:pPr>
      <w:r>
        <w:t xml:space="preserve">En respuesta, el Sujeto Obligado, por medio de la Dirección de Registro de Declaraciones y Sanciones, remitió los acuses así como las declaraciones patrimoniales y de intereses correspondientes de 2023 a 2024 de la C. Janet </w:t>
      </w:r>
      <w:proofErr w:type="spellStart"/>
      <w:r>
        <w:t>Minutti</w:t>
      </w:r>
      <w:proofErr w:type="spellEnd"/>
      <w:r>
        <w:t xml:space="preserve"> Rodríguez en cuanto al C. Juan </w:t>
      </w:r>
      <w:proofErr w:type="spellStart"/>
      <w:r>
        <w:t>Minutti</w:t>
      </w:r>
      <w:proofErr w:type="spellEnd"/>
      <w:r>
        <w:t xml:space="preserve"> López se remitieron del 2020 al 2025; por lo que el particular, se inconformó de la entrega de información incompleta, al señalar que le debían entregar la información faltante de 2024 y 2025, lo cual se actualiza el supuesto previsto en el artículo 179, fracción V, de la Ley de Transparencia y Acceso a la Información Pública del Estado de México y Municipios.  </w:t>
      </w:r>
    </w:p>
    <w:p w:rsidR="0067631C" w:rsidRDefault="0067631C">
      <w:pPr>
        <w:spacing w:after="0" w:line="360" w:lineRule="auto"/>
      </w:pPr>
    </w:p>
    <w:p w:rsidR="0067631C" w:rsidRDefault="00C41490">
      <w:pPr>
        <w:spacing w:after="0" w:line="360" w:lineRule="auto"/>
        <w:rPr>
          <w:sz w:val="24"/>
          <w:szCs w:val="24"/>
          <w:u w:val="single"/>
        </w:rPr>
      </w:pPr>
      <w:r>
        <w:t xml:space="preserve">Así las cosas, una vez admitido y notificado el Recurso de Revisión a las partes, el Sujeto Obligado por medio del informe justificado menciono por </w:t>
      </w:r>
      <w:r>
        <w:rPr>
          <w:b/>
          <w:i/>
        </w:rPr>
        <w:t xml:space="preserve">cuanto hace a la declaración de modificación 2024, se declaró lo referente a 2023, la cual se presenta durante mayo 2024, le informo que no se encontró registro del movimiento por modificación 2024, toda vez que la </w:t>
      </w:r>
      <w:r>
        <w:rPr>
          <w:b/>
          <w:i/>
          <w:u w:val="single"/>
        </w:rPr>
        <w:t xml:space="preserve">C, Janet </w:t>
      </w:r>
      <w:proofErr w:type="spellStart"/>
      <w:r>
        <w:rPr>
          <w:b/>
          <w:i/>
          <w:u w:val="single"/>
        </w:rPr>
        <w:t>Minutti</w:t>
      </w:r>
      <w:proofErr w:type="spellEnd"/>
      <w:r>
        <w:rPr>
          <w:b/>
          <w:i/>
        </w:rPr>
        <w:t>, no se encontraba obligada a presentar la declaración en comento por haber causado baja del empleo cargo o comisión, en fecha 15 de marzo de 2024, a través de la cual declaro que los ingresos percibidos en el año 2023 y los percibidos de 2024 hasta el momento de su baja, por lo que finalmente es de mencionarle que la declaración 2025 en la cual se declaran los ingresos percibidos del 2024, la cual se presenta en mayo 20225, a la fecha no se encuentra registrada y mucho menos presentada, motivo por el cual esta autoridad se encuentra imposibilitada en proporcionar la información requerida.</w:t>
      </w:r>
    </w:p>
    <w:p w:rsidR="0067631C" w:rsidRDefault="0067631C">
      <w:pPr>
        <w:spacing w:after="0" w:line="360" w:lineRule="auto"/>
        <w:ind w:left="360"/>
        <w:rPr>
          <w:b/>
          <w:i/>
          <w:u w:val="single"/>
        </w:rPr>
      </w:pPr>
    </w:p>
    <w:p w:rsidR="0067631C" w:rsidRDefault="00C41490">
      <w:pPr>
        <w:spacing w:after="0" w:line="360" w:lineRule="auto"/>
        <w:rPr>
          <w:sz w:val="24"/>
          <w:szCs w:val="24"/>
          <w:u w:val="single"/>
        </w:rPr>
      </w:pPr>
      <w:r>
        <w:t>Ahora bien lo que concierne a la segunda solicitud refiere el sujeto obligado que por “</w:t>
      </w:r>
      <w:r>
        <w:rPr>
          <w:b/>
          <w:i/>
        </w:rPr>
        <w:t xml:space="preserve">cuanto hace a la declaración de modificación patrimonial 2024, la cual se declaran ingresos percibidos de 2023, la cual se presenta en mayo 2024, le informo que dicha declaración fue presentada el 7 de mayo de 2024, tal como se hizo constar en su momento con la versión </w:t>
      </w:r>
      <w:r>
        <w:rPr>
          <w:b/>
          <w:i/>
        </w:rPr>
        <w:lastRenderedPageBreak/>
        <w:t xml:space="preserve">publica remitida en respuesta. Finalmente es de mencionarle que la declaración de modificación 2025, la cual se declaran ingresos 2024, y se presenta en mayo 2025, al momento no se encontró registro de movimiento por modificación 2025, toda vez que el </w:t>
      </w:r>
      <w:r>
        <w:rPr>
          <w:b/>
          <w:i/>
          <w:u w:val="single"/>
        </w:rPr>
        <w:t xml:space="preserve">C. Juan </w:t>
      </w:r>
      <w:proofErr w:type="spellStart"/>
      <w:r>
        <w:rPr>
          <w:b/>
          <w:i/>
          <w:u w:val="single"/>
        </w:rPr>
        <w:t>Minutti</w:t>
      </w:r>
      <w:proofErr w:type="spellEnd"/>
      <w:r>
        <w:rPr>
          <w:b/>
          <w:i/>
        </w:rPr>
        <w:t>, no se encuentra obligado a presentar la declaración en comento por haber causado baja del empleo, cargo o comisión,  en fecha 31 de diciembre de 2024, y en consecuencia presento una declaración por conclusión la cual tiene como fecha de entrega 5 de febrero de 2025 a través de los cuales declaro los ingresos percibidos en 2024 hasta el momento de su baja.”</w:t>
      </w:r>
    </w:p>
    <w:p w:rsidR="0067631C" w:rsidRDefault="0067631C">
      <w:pPr>
        <w:tabs>
          <w:tab w:val="left" w:pos="4962"/>
        </w:tabs>
        <w:spacing w:after="0" w:line="360" w:lineRule="auto"/>
        <w:rPr>
          <w:color w:val="FF0000"/>
        </w:rPr>
      </w:pPr>
    </w:p>
    <w:p w:rsidR="0067631C" w:rsidRDefault="00C41490">
      <w:pPr>
        <w:shd w:val="clear" w:color="auto" w:fill="FFFFFF"/>
        <w:spacing w:after="0" w:line="360" w:lineRule="auto"/>
        <w:rPr>
          <w:rFonts w:ascii="Times New Roman" w:eastAsia="Times New Roman" w:hAnsi="Times New Roman" w:cs="Times New Roman"/>
          <w:color w:val="222222"/>
          <w:sz w:val="20"/>
          <w:szCs w:val="20"/>
        </w:rPr>
      </w:pPr>
      <w:r>
        <w:rPr>
          <w:color w:val="222222"/>
        </w:rPr>
        <w:t>Conforme a lo analizado, se puede advertir que el ahora Recurrente no se inconformó de lo solicitado en relación con </w:t>
      </w:r>
      <w:r>
        <w:rPr>
          <w:b/>
          <w:color w:val="222222"/>
        </w:rPr>
        <w:t>las Declaraciones Patrimoniales y de Intereses así como sus acuses, de los años 2020, 2021, 2022, y 2023</w:t>
      </w:r>
      <w:r>
        <w:rPr>
          <w:color w:val="222222"/>
        </w:rPr>
        <w:t>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rsidR="0067631C" w:rsidRDefault="00C41490">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rsidR="0067631C" w:rsidRDefault="00C41490">
      <w:pPr>
        <w:shd w:val="clear" w:color="auto" w:fill="FFFFFF"/>
        <w:spacing w:after="0" w:line="360" w:lineRule="auto"/>
        <w:rPr>
          <w:rFonts w:ascii="Times New Roman" w:eastAsia="Times New Roman" w:hAnsi="Times New Roman" w:cs="Times New Roman"/>
          <w:color w:val="222222"/>
          <w:sz w:val="20"/>
          <w:szCs w:val="20"/>
        </w:rPr>
      </w:pPr>
      <w:r>
        <w:rPr>
          <w:color w:val="222222"/>
        </w:rPr>
        <w:t>De la misma manera resulta aplicable el criterio sostenido por el Poder Judicial de la Federación de rubro </w:t>
      </w:r>
      <w:r>
        <w:rPr>
          <w:b/>
          <w:color w:val="222222"/>
        </w:rPr>
        <w:t>ACTOS CONSENTIDOS TÁCITAMENTE</w:t>
      </w:r>
      <w:r>
        <w:rPr>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67631C" w:rsidRDefault="00C41490">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rsidR="0067631C" w:rsidRDefault="00C41490">
      <w:pPr>
        <w:shd w:val="clear" w:color="auto" w:fill="FFFFFF"/>
        <w:spacing w:after="0" w:line="360" w:lineRule="auto"/>
        <w:rPr>
          <w:rFonts w:ascii="Times New Roman" w:eastAsia="Times New Roman" w:hAnsi="Times New Roman" w:cs="Times New Roman"/>
          <w:color w:val="222222"/>
          <w:sz w:val="20"/>
          <w:szCs w:val="20"/>
        </w:rPr>
      </w:pPr>
      <w:r>
        <w:rPr>
          <w:color w:val="222222"/>
        </w:rPr>
        <w:lastRenderedPageBreak/>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Pr>
          <w:b/>
          <w:color w:val="222222"/>
        </w:rPr>
        <w:t>quedaron firmes.</w:t>
      </w:r>
    </w:p>
    <w:p w:rsidR="0067631C" w:rsidRDefault="00C41490">
      <w:pPr>
        <w:shd w:val="clear" w:color="auto" w:fill="FFFFFF"/>
        <w:spacing w:after="0" w:line="360" w:lineRule="auto"/>
        <w:rPr>
          <w:rFonts w:ascii="Times New Roman" w:eastAsia="Times New Roman" w:hAnsi="Times New Roman" w:cs="Times New Roman"/>
          <w:color w:val="222222"/>
          <w:sz w:val="20"/>
          <w:szCs w:val="20"/>
        </w:rPr>
      </w:pPr>
      <w:r>
        <w:rPr>
          <w:color w:val="222222"/>
        </w:rPr>
        <w:t> </w:t>
      </w:r>
    </w:p>
    <w:p w:rsidR="0067631C" w:rsidRDefault="00C41490">
      <w:pPr>
        <w:shd w:val="clear" w:color="auto" w:fill="FFFFFF"/>
        <w:spacing w:after="0" w:line="360" w:lineRule="auto"/>
        <w:rPr>
          <w:rFonts w:ascii="Times New Roman" w:eastAsia="Times New Roman" w:hAnsi="Times New Roman" w:cs="Times New Roman"/>
          <w:color w:val="222222"/>
        </w:rPr>
      </w:pPr>
      <w:r>
        <w:rPr>
          <w:color w:val="222222"/>
        </w:rPr>
        <w:t>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información entregada por el Sujeto Obligado, para atender lo referente a </w:t>
      </w:r>
      <w:r>
        <w:rPr>
          <w:b/>
          <w:color w:val="222222"/>
        </w:rPr>
        <w:t>las Declaraciones Patrimoniales y de Intereses así como sus acuses, de los años 2020, 2021, 2022, y 2023;</w:t>
      </w:r>
      <w:r>
        <w:rPr>
          <w:color w:val="222222"/>
        </w:rPr>
        <w:t xml:space="preserve"> y únicamente se entrará al análisis del informe sobre </w:t>
      </w:r>
      <w:r>
        <w:rPr>
          <w:b/>
          <w:color w:val="222222"/>
          <w:u w:val="single"/>
        </w:rPr>
        <w:t>las Declaraciones Patrimoniales y de Intereses así como sus acuses, de los años 2024 y 2025.</w:t>
      </w:r>
      <w:r>
        <w:rPr>
          <w:color w:val="222222"/>
        </w:rPr>
        <w:t> </w:t>
      </w:r>
    </w:p>
    <w:p w:rsidR="0067631C" w:rsidRDefault="0067631C">
      <w:pPr>
        <w:tabs>
          <w:tab w:val="left" w:pos="4962"/>
        </w:tabs>
        <w:spacing w:after="0" w:line="360" w:lineRule="auto"/>
        <w:rPr>
          <w:color w:val="FF0000"/>
        </w:rPr>
      </w:pPr>
    </w:p>
    <w:p w:rsidR="0067631C" w:rsidRDefault="00C41490">
      <w:pPr>
        <w:tabs>
          <w:tab w:val="left" w:pos="4962"/>
        </w:tabs>
        <w:spacing w:after="0" w:line="360" w:lineRule="auto"/>
      </w:pPr>
      <w:r>
        <w:t xml:space="preserve">Lo anterior, se desprende de las documentales que obran en el expediente de referencia, materia de la presente resolución, consistente en: las solicitudes de acceso a la información, las respuestas entregadas, los escritos </w:t>
      </w:r>
      <w:proofErr w:type="spellStart"/>
      <w:r>
        <w:t>recursales</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67631C" w:rsidRDefault="0067631C">
      <w:pPr>
        <w:spacing w:after="0" w:line="360" w:lineRule="auto"/>
        <w:rPr>
          <w:b/>
        </w:rPr>
      </w:pPr>
    </w:p>
    <w:p w:rsidR="0067631C" w:rsidRDefault="00C41490">
      <w:pPr>
        <w:spacing w:after="0" w:line="360" w:lineRule="auto"/>
        <w:rPr>
          <w:b/>
        </w:rPr>
      </w:pPr>
      <w:r>
        <w:rPr>
          <w:b/>
        </w:rPr>
        <w:t>CUARTO. Marco normativo aplicable en materia de transparencia y acceso a la información pública</w:t>
      </w:r>
    </w:p>
    <w:p w:rsidR="0067631C" w:rsidRDefault="0067631C">
      <w:pPr>
        <w:spacing w:after="0" w:line="360" w:lineRule="auto"/>
        <w:rPr>
          <w:color w:val="FF0000"/>
        </w:rPr>
      </w:pPr>
    </w:p>
    <w:p w:rsidR="0067631C" w:rsidRDefault="00C41490">
      <w:pPr>
        <w:spacing w:after="0" w:line="360" w:lineRule="auto"/>
      </w:pPr>
      <w: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7631C" w:rsidRDefault="0067631C">
      <w:pPr>
        <w:spacing w:after="0" w:line="360" w:lineRule="auto"/>
      </w:pPr>
    </w:p>
    <w:p w:rsidR="0067631C" w:rsidRDefault="00C41490">
      <w:pPr>
        <w:spacing w:after="0" w:line="360" w:lineRule="auto"/>
      </w:pPr>
      <w: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67631C" w:rsidRDefault="0067631C">
      <w:pPr>
        <w:spacing w:after="0" w:line="360" w:lineRule="auto"/>
      </w:pPr>
    </w:p>
    <w:p w:rsidR="0067631C" w:rsidRDefault="00C41490">
      <w:pPr>
        <w:spacing w:after="0" w:line="360" w:lineRule="auto"/>
      </w:pPr>
      <w: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67631C" w:rsidRDefault="0067631C">
      <w:pPr>
        <w:spacing w:after="0" w:line="360" w:lineRule="auto"/>
      </w:pPr>
    </w:p>
    <w:p w:rsidR="0067631C" w:rsidRDefault="00C41490">
      <w:pPr>
        <w:spacing w:after="0" w:line="360" w:lineRule="auto"/>
      </w:pPr>
      <w:r>
        <w:t>Por su parte, la Ley de Transparencia y Acceso a la Información Pública del Estado de México y Municipios (Reglamentaria del artículo 5° de la Constitución Local), establece lo siguiente:</w:t>
      </w:r>
    </w:p>
    <w:p w:rsidR="0067631C" w:rsidRDefault="0067631C">
      <w:pPr>
        <w:spacing w:after="0" w:line="360" w:lineRule="auto"/>
      </w:pPr>
    </w:p>
    <w:p w:rsidR="0067631C" w:rsidRDefault="00C41490">
      <w:pPr>
        <w:spacing w:after="0" w:line="360" w:lineRule="auto"/>
      </w:pPr>
      <w:r>
        <w:t>El artículo 12, que, quienes generen, recopilen, administren, manejen, procesen, archiven o conserven información pública serán responsables de la misma.</w:t>
      </w:r>
    </w:p>
    <w:p w:rsidR="0067631C" w:rsidRDefault="0067631C">
      <w:pPr>
        <w:spacing w:after="0" w:line="360" w:lineRule="auto"/>
      </w:pPr>
    </w:p>
    <w:p w:rsidR="0067631C" w:rsidRDefault="00C41490">
      <w:pPr>
        <w:widowControl w:val="0"/>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rsidR="0067631C" w:rsidRDefault="0067631C">
      <w:pPr>
        <w:spacing w:after="0" w:line="360" w:lineRule="auto"/>
      </w:pPr>
    </w:p>
    <w:p w:rsidR="0067631C" w:rsidRDefault="00C41490">
      <w:pPr>
        <w:spacing w:after="0" w:line="360" w:lineRule="auto"/>
      </w:pPr>
      <w:r>
        <w:t xml:space="preserve">El artículo 19, que, se presume que la información debe existir si se refiere a las facultades, competencias y funciones que los ordenamientos jurídicos aplicables otorgan a los sujetos </w:t>
      </w:r>
      <w:r>
        <w:lastRenderedPageBreak/>
        <w:t>obligados y en caso de que dichas facultades no se hayan ejercido, se deberá motivar la respuesta en función de las causas que motivaron tal circunstancia.</w:t>
      </w:r>
    </w:p>
    <w:p w:rsidR="0067631C" w:rsidRDefault="0067631C">
      <w:pPr>
        <w:spacing w:after="0" w:line="360" w:lineRule="auto"/>
      </w:pPr>
    </w:p>
    <w:p w:rsidR="0067631C" w:rsidRDefault="00C41490">
      <w:pPr>
        <w:spacing w:after="0" w:line="360" w:lineRule="auto"/>
        <w:rPr>
          <w:b/>
        </w:rPr>
      </w:pPr>
      <w:r>
        <w:rPr>
          <w:b/>
        </w:rPr>
        <w:t>Quinto. Estudio de Fondo</w:t>
      </w:r>
    </w:p>
    <w:p w:rsidR="0067631C" w:rsidRDefault="0067631C">
      <w:pPr>
        <w:spacing w:after="0" w:line="360" w:lineRule="auto"/>
        <w:rPr>
          <w:b/>
        </w:rPr>
      </w:pPr>
    </w:p>
    <w:p w:rsidR="0067631C" w:rsidRDefault="00C41490">
      <w:pPr>
        <w:spacing w:after="0" w:line="360" w:lineRule="auto"/>
      </w:pPr>
      <w:r>
        <w:t xml:space="preserve">Expuestas las posturas de las partes, se procede al análisis de los agravios hechos valer por la persona Recurrente, sin embargo, en principio es necesario contextualizar la solicitud de información.  </w:t>
      </w:r>
    </w:p>
    <w:p w:rsidR="0067631C" w:rsidRDefault="0067631C">
      <w:pPr>
        <w:spacing w:after="0" w:line="360" w:lineRule="auto"/>
      </w:pPr>
    </w:p>
    <w:p w:rsidR="0067631C" w:rsidRDefault="00C41490">
      <w:pPr>
        <w:tabs>
          <w:tab w:val="left" w:pos="4962"/>
        </w:tabs>
        <w:spacing w:after="0" w:line="360" w:lineRule="auto"/>
        <w:ind w:right="-28"/>
      </w:pPr>
      <w:r>
        <w:t>Conforme al Manual General de Organización de la Secretaría de la Contraloría, este cuenta con la Dirección de Registro de Declaraciones y de Sanciones, encargada de realizar la recepción, registro y resguardo de las declaraciones de situación patrimonial y de intereses; así como el acuse de presentación de la declaración fiscal de las y los servidores públicos de las Administraciones Públicas Estatal y Municipal, por medio de las siguientes atribuciones:</w:t>
      </w:r>
    </w:p>
    <w:p w:rsidR="0067631C" w:rsidRDefault="0067631C">
      <w:pPr>
        <w:tabs>
          <w:tab w:val="left" w:pos="4962"/>
        </w:tabs>
        <w:spacing w:after="0" w:line="360" w:lineRule="auto"/>
        <w:ind w:right="-28"/>
      </w:pPr>
    </w:p>
    <w:p w:rsidR="0067631C" w:rsidRDefault="00C41490">
      <w:pPr>
        <w:numPr>
          <w:ilvl w:val="0"/>
          <w:numId w:val="3"/>
        </w:numPr>
        <w:pBdr>
          <w:top w:val="nil"/>
          <w:left w:val="nil"/>
          <w:bottom w:val="nil"/>
          <w:right w:val="nil"/>
          <w:between w:val="nil"/>
        </w:pBdr>
        <w:spacing w:after="0" w:line="360" w:lineRule="auto"/>
        <w:rPr>
          <w:color w:val="000000"/>
        </w:rPr>
      </w:pPr>
      <w:r>
        <w:rPr>
          <w:color w:val="000000"/>
        </w:rPr>
        <w:t>Coordinar que la presentación de las declaraciones de situación patrimonial, y de intereses, y, en su caso, el acuse de la presentación de la declaración fiscal;</w:t>
      </w:r>
    </w:p>
    <w:p w:rsidR="0067631C" w:rsidRDefault="0067631C">
      <w:pPr>
        <w:pBdr>
          <w:top w:val="nil"/>
          <w:left w:val="nil"/>
          <w:bottom w:val="nil"/>
          <w:right w:val="nil"/>
          <w:between w:val="nil"/>
        </w:pBdr>
        <w:spacing w:after="0" w:line="360" w:lineRule="auto"/>
        <w:ind w:left="720"/>
        <w:rPr>
          <w:color w:val="000000"/>
        </w:rPr>
      </w:pPr>
    </w:p>
    <w:p w:rsidR="0067631C" w:rsidRDefault="00C41490">
      <w:pPr>
        <w:numPr>
          <w:ilvl w:val="0"/>
          <w:numId w:val="3"/>
        </w:numPr>
        <w:pBdr>
          <w:top w:val="nil"/>
          <w:left w:val="nil"/>
          <w:bottom w:val="nil"/>
          <w:right w:val="nil"/>
          <w:between w:val="nil"/>
        </w:pBdr>
        <w:spacing w:after="0" w:line="360" w:lineRule="auto"/>
        <w:rPr>
          <w:color w:val="000000"/>
        </w:rPr>
      </w:pPr>
      <w:r>
        <w:rPr>
          <w:color w:val="000000"/>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rsidR="0067631C" w:rsidRDefault="0067631C">
      <w:pPr>
        <w:pBdr>
          <w:top w:val="nil"/>
          <w:left w:val="nil"/>
          <w:bottom w:val="nil"/>
          <w:right w:val="nil"/>
          <w:between w:val="nil"/>
        </w:pBdr>
        <w:spacing w:after="0" w:line="240" w:lineRule="auto"/>
        <w:ind w:left="720"/>
        <w:rPr>
          <w:color w:val="000000"/>
        </w:rPr>
      </w:pPr>
    </w:p>
    <w:p w:rsidR="0067631C" w:rsidRDefault="00C41490">
      <w:pPr>
        <w:numPr>
          <w:ilvl w:val="0"/>
          <w:numId w:val="3"/>
        </w:numPr>
        <w:pBdr>
          <w:top w:val="nil"/>
          <w:left w:val="nil"/>
          <w:bottom w:val="nil"/>
          <w:right w:val="nil"/>
          <w:between w:val="nil"/>
        </w:pBdr>
        <w:spacing w:after="0" w:line="360" w:lineRule="auto"/>
        <w:rPr>
          <w:color w:val="000000"/>
        </w:rPr>
      </w:pPr>
      <w:r>
        <w:rPr>
          <w:color w:val="000000"/>
        </w:rPr>
        <w:t>Recibir, registrar y resguardar las declaraciones de situación patrimonial, de intereses y, en su caso, el acuse de presentación de la declaración fiscal que presenten las y los servidores públicos;</w:t>
      </w:r>
    </w:p>
    <w:p w:rsidR="0067631C" w:rsidRDefault="0067631C">
      <w:pPr>
        <w:spacing w:after="0" w:line="360" w:lineRule="auto"/>
      </w:pPr>
    </w:p>
    <w:p w:rsidR="0067631C" w:rsidRDefault="00C41490">
      <w:pPr>
        <w:spacing w:after="0" w:line="360" w:lineRule="auto"/>
      </w:pPr>
      <w:r>
        <w:lastRenderedPageBreak/>
        <w:t xml:space="preserve">Aunado a lo anterior, en la página oficial de la Secretaría de la Contraloría, en el apartado de Declaración Patrimonial y de Intereses, precisa que dicha dependencia ofrece el portal </w:t>
      </w:r>
      <w:proofErr w:type="spellStart"/>
      <w:r>
        <w:rPr>
          <w:b/>
        </w:rPr>
        <w:t>Decl@ranet</w:t>
      </w:r>
      <w:proofErr w:type="spellEnd"/>
      <w:r>
        <w:t>, con la finalidad de facilitar a los servidores públicos del Estado de México, presenten su Declaración de Situación Patrimonial, Declaración de Intereses o Posible Conflicto de Intereses y presentación de Constancia de Declaración Fiscal.</w:t>
      </w:r>
    </w:p>
    <w:p w:rsidR="0067631C" w:rsidRDefault="0067631C">
      <w:pPr>
        <w:spacing w:after="0" w:line="360" w:lineRule="auto"/>
      </w:pPr>
    </w:p>
    <w:p w:rsidR="0067631C" w:rsidRDefault="00C41490">
      <w:pPr>
        <w:spacing w:after="0" w:line="360" w:lineRule="auto"/>
      </w:pPr>
      <w:r>
        <w:t xml:space="preserve">Además, que el díptico denominado “Sistema </w:t>
      </w:r>
      <w:proofErr w:type="spellStart"/>
      <w:r>
        <w:t>Declaranet</w:t>
      </w:r>
      <w:proofErr w:type="spellEnd"/>
      <w:r>
        <w:t xml:space="preserve">”, precisa que dicho sistema es administrado por la </w:t>
      </w:r>
      <w:r>
        <w:rPr>
          <w:b/>
        </w:rPr>
        <w:t>Secretaría de la Contraloría</w:t>
      </w:r>
      <w:r>
        <w:t>, y cuyo fin es los servidores públicos del Poder Ejecutivo y los ciento veinticinco Ayuntamientos, presenten su Manifestación de Bienes o Declaración Patrimonial.</w:t>
      </w:r>
    </w:p>
    <w:p w:rsidR="0067631C" w:rsidRDefault="0067631C">
      <w:pPr>
        <w:spacing w:after="0" w:line="360" w:lineRule="auto"/>
      </w:pPr>
    </w:p>
    <w:p w:rsidR="0067631C" w:rsidRDefault="00C41490">
      <w:pPr>
        <w:spacing w:after="0" w:line="360" w:lineRule="auto"/>
      </w:pPr>
      <w:r>
        <w:t xml:space="preserve">Como se logra observar, el Sistema </w:t>
      </w:r>
      <w:proofErr w:type="spellStart"/>
      <w:r>
        <w:t>Decl@ranet</w:t>
      </w:r>
      <w:proofErr w:type="spellEnd"/>
      <w: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Pr>
          <w:b/>
        </w:rPr>
        <w:t>Secretaría de la Contraloría</w:t>
      </w:r>
      <w:r>
        <w:t xml:space="preserve">, que precisa que dicha dependencia cuenta con diversas unidades administrativas para el ejercicio de sus funciones, entre las cuales se encuentra la </w:t>
      </w:r>
      <w:r>
        <w:rPr>
          <w:b/>
          <w:u w:val="single"/>
        </w:rPr>
        <w:t>Dirección de Registro de Declaraciones y de Sanciones</w:t>
      </w:r>
      <w:r>
        <w:rPr>
          <w:b/>
        </w:rPr>
        <w:t>, encargada de realizar la recepción, registro y resguardo de las declaraciones de situación patrimonial de los servidores públicos de las Administraciones Públicas Estatal y Municipal.</w:t>
      </w:r>
    </w:p>
    <w:p w:rsidR="0067631C" w:rsidRDefault="0067631C">
      <w:pPr>
        <w:spacing w:after="0" w:line="360" w:lineRule="auto"/>
      </w:pPr>
    </w:p>
    <w:p w:rsidR="0067631C" w:rsidRDefault="00C41490">
      <w:pPr>
        <w:spacing w:after="0" w:line="360" w:lineRule="auto"/>
      </w:pPr>
      <w:r>
        <w:t xml:space="preserve">Conforme a lo anterior, se logra vislumbrar que la pretensión de la persona Recurrente es obtener </w:t>
      </w:r>
      <w:r>
        <w:rPr>
          <w:color w:val="000000"/>
        </w:rPr>
        <w:t>los acuses así como las declaraciones de intereses y situación patrimonial</w:t>
      </w:r>
      <w:r>
        <w:t xml:space="preserve"> de los siguientes servidores públicos:</w:t>
      </w:r>
    </w:p>
    <w:p w:rsidR="0067631C" w:rsidRDefault="0067631C">
      <w:pPr>
        <w:spacing w:after="0" w:line="360" w:lineRule="auto"/>
      </w:pPr>
    </w:p>
    <w:p w:rsidR="0067631C" w:rsidRDefault="00C41490">
      <w:pPr>
        <w:numPr>
          <w:ilvl w:val="0"/>
          <w:numId w:val="1"/>
        </w:numPr>
        <w:pBdr>
          <w:top w:val="nil"/>
          <w:left w:val="nil"/>
          <w:bottom w:val="nil"/>
          <w:right w:val="nil"/>
          <w:between w:val="nil"/>
        </w:pBdr>
        <w:spacing w:after="0" w:line="360" w:lineRule="auto"/>
        <w:rPr>
          <w:color w:val="000000"/>
        </w:rPr>
      </w:pPr>
      <w:r>
        <w:rPr>
          <w:color w:val="000000"/>
        </w:rPr>
        <w:t xml:space="preserve">Janet </w:t>
      </w:r>
      <w:proofErr w:type="spellStart"/>
      <w:r>
        <w:rPr>
          <w:color w:val="000000"/>
        </w:rPr>
        <w:t>Minutti</w:t>
      </w:r>
      <w:proofErr w:type="spellEnd"/>
      <w:r>
        <w:rPr>
          <w:color w:val="000000"/>
        </w:rPr>
        <w:t xml:space="preserve"> Rodríguez</w:t>
      </w:r>
    </w:p>
    <w:p w:rsidR="0067631C" w:rsidRDefault="00C41490">
      <w:pPr>
        <w:numPr>
          <w:ilvl w:val="0"/>
          <w:numId w:val="1"/>
        </w:numPr>
        <w:pBdr>
          <w:top w:val="nil"/>
          <w:left w:val="nil"/>
          <w:bottom w:val="nil"/>
          <w:right w:val="nil"/>
          <w:between w:val="nil"/>
        </w:pBdr>
        <w:spacing w:after="0" w:line="360" w:lineRule="auto"/>
        <w:rPr>
          <w:color w:val="000000"/>
        </w:rPr>
      </w:pPr>
      <w:r>
        <w:rPr>
          <w:color w:val="000000"/>
        </w:rPr>
        <w:t xml:space="preserve">Juan </w:t>
      </w:r>
      <w:proofErr w:type="spellStart"/>
      <w:r>
        <w:rPr>
          <w:color w:val="000000"/>
        </w:rPr>
        <w:t>Minutti</w:t>
      </w:r>
      <w:proofErr w:type="spellEnd"/>
      <w:r>
        <w:rPr>
          <w:color w:val="000000"/>
        </w:rPr>
        <w:t xml:space="preserve"> López</w:t>
      </w:r>
    </w:p>
    <w:p w:rsidR="0067631C" w:rsidRDefault="0067631C">
      <w:pPr>
        <w:spacing w:after="0" w:line="360" w:lineRule="auto"/>
      </w:pPr>
    </w:p>
    <w:p w:rsidR="0067631C" w:rsidRDefault="00C41490">
      <w:pPr>
        <w:spacing w:after="0" w:line="360" w:lineRule="auto"/>
      </w:pPr>
      <w:r>
        <w:t xml:space="preserve">Establecida dicha circunstancia, de las constancias que obran en el expediente electrónico, se advierte que el Sujeto Obligado, turnó la solicitud de información a la </w:t>
      </w:r>
      <w:r>
        <w:rPr>
          <w:b/>
          <w:u w:val="single"/>
        </w:rPr>
        <w:t>Dirección de Registro de Declaraciones y de Sanciones</w:t>
      </w:r>
      <w: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67631C" w:rsidRDefault="0067631C">
      <w:pPr>
        <w:spacing w:after="0" w:line="360" w:lineRule="auto"/>
      </w:pPr>
    </w:p>
    <w:p w:rsidR="0067631C" w:rsidRDefault="00C41490">
      <w:pPr>
        <w:spacing w:after="0" w:line="360" w:lineRule="auto"/>
      </w:pPr>
      <w: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todas las áreas competentes para conocer de la información solicitada.</w:t>
      </w:r>
    </w:p>
    <w:p w:rsidR="0067631C" w:rsidRDefault="0067631C">
      <w:pPr>
        <w:spacing w:after="0" w:line="360" w:lineRule="auto"/>
        <w:rPr>
          <w:b/>
        </w:rPr>
      </w:pPr>
    </w:p>
    <w:p w:rsidR="0067631C" w:rsidRDefault="00C41490">
      <w:pPr>
        <w:spacing w:after="0" w:line="360" w:lineRule="auto"/>
      </w:pPr>
      <w:r>
        <w:rPr>
          <w:color w:val="000000"/>
        </w:rPr>
        <w:t xml:space="preserve">Ahora bien, en respuesta la </w:t>
      </w:r>
      <w:r>
        <w:rPr>
          <w:b/>
          <w:u w:val="single"/>
        </w:rPr>
        <w:t>Dirección de Registro de Declaraciones y de Sanciones</w:t>
      </w:r>
      <w:r>
        <w:rPr>
          <w:color w:val="000000"/>
        </w:rPr>
        <w:t xml:space="preserve">, adjunto </w:t>
      </w:r>
      <w:r>
        <w:t xml:space="preserve">los acuses así como las declaraciones patrimoniales y de intereses correspondientes de 2023 a 2024 de la C. Janet </w:t>
      </w:r>
      <w:proofErr w:type="spellStart"/>
      <w:r>
        <w:t>Minutti</w:t>
      </w:r>
      <w:proofErr w:type="spellEnd"/>
      <w:r>
        <w:t xml:space="preserve"> Rodríguez en cuanto al C. Juan </w:t>
      </w:r>
      <w:proofErr w:type="spellStart"/>
      <w:r>
        <w:t>Minutti</w:t>
      </w:r>
      <w:proofErr w:type="spellEnd"/>
      <w:r>
        <w:t xml:space="preserve"> López se remitieron del 2020 al 2025. Derivado de esto la inconformidad se centró en que no se remitieron los años 2024 y 2025, por lo que a través de Informe Justificado el sujeto obligado refirió los motivos por los cuales se encontraba imposibilitado a proporcionar dicha información. Cabe traer un cuadro para su análisis.</w:t>
      </w:r>
    </w:p>
    <w:p w:rsidR="0067631C" w:rsidRDefault="0067631C">
      <w:pPr>
        <w:spacing w:after="0" w:line="360" w:lineRule="auto"/>
      </w:pPr>
    </w:p>
    <w:tbl>
      <w:tblPr>
        <w:tblStyle w:val="a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3402"/>
        <w:gridCol w:w="1134"/>
      </w:tblGrid>
      <w:tr w:rsidR="0067631C">
        <w:trPr>
          <w:trHeight w:val="1270"/>
        </w:trPr>
        <w:tc>
          <w:tcPr>
            <w:tcW w:w="1413" w:type="dxa"/>
            <w:shd w:val="clear" w:color="auto" w:fill="EEECE1"/>
          </w:tcPr>
          <w:p w:rsidR="0067631C" w:rsidRDefault="00C41490">
            <w:pPr>
              <w:spacing w:line="360" w:lineRule="auto"/>
              <w:rPr>
                <w:sz w:val="20"/>
                <w:szCs w:val="20"/>
              </w:rPr>
            </w:pPr>
            <w:r>
              <w:rPr>
                <w:sz w:val="20"/>
                <w:szCs w:val="20"/>
              </w:rPr>
              <w:lastRenderedPageBreak/>
              <w:t>Declaración Patrimonial y Acuses</w:t>
            </w:r>
          </w:p>
          <w:p w:rsidR="0067631C" w:rsidRDefault="0067631C">
            <w:pPr>
              <w:spacing w:line="360" w:lineRule="auto"/>
              <w:rPr>
                <w:color w:val="000000"/>
                <w:sz w:val="20"/>
                <w:szCs w:val="20"/>
              </w:rPr>
            </w:pPr>
          </w:p>
        </w:tc>
        <w:tc>
          <w:tcPr>
            <w:tcW w:w="2977" w:type="dxa"/>
            <w:shd w:val="clear" w:color="auto" w:fill="EEECE1"/>
          </w:tcPr>
          <w:p w:rsidR="0067631C" w:rsidRDefault="00C41490">
            <w:pPr>
              <w:spacing w:line="360" w:lineRule="auto"/>
              <w:rPr>
                <w:color w:val="000000"/>
                <w:sz w:val="20"/>
                <w:szCs w:val="20"/>
              </w:rPr>
            </w:pPr>
            <w:r>
              <w:rPr>
                <w:color w:val="000000"/>
                <w:sz w:val="20"/>
                <w:szCs w:val="20"/>
              </w:rPr>
              <w:t xml:space="preserve">C. Janet </w:t>
            </w:r>
            <w:proofErr w:type="spellStart"/>
            <w:r>
              <w:rPr>
                <w:color w:val="000000"/>
                <w:sz w:val="20"/>
                <w:szCs w:val="20"/>
              </w:rPr>
              <w:t>Minutti</w:t>
            </w:r>
            <w:proofErr w:type="spellEnd"/>
            <w:r>
              <w:rPr>
                <w:color w:val="000000"/>
                <w:sz w:val="20"/>
                <w:szCs w:val="20"/>
              </w:rPr>
              <w:t xml:space="preserve"> Rodríguez </w:t>
            </w:r>
          </w:p>
        </w:tc>
        <w:tc>
          <w:tcPr>
            <w:tcW w:w="3402" w:type="dxa"/>
            <w:shd w:val="clear" w:color="auto" w:fill="EEECE1"/>
          </w:tcPr>
          <w:p w:rsidR="0067631C" w:rsidRDefault="00C41490">
            <w:pPr>
              <w:spacing w:line="360" w:lineRule="auto"/>
              <w:rPr>
                <w:color w:val="000000"/>
                <w:sz w:val="20"/>
                <w:szCs w:val="20"/>
              </w:rPr>
            </w:pPr>
            <w:r>
              <w:rPr>
                <w:color w:val="000000"/>
                <w:sz w:val="20"/>
                <w:szCs w:val="20"/>
              </w:rPr>
              <w:t xml:space="preserve">C. Juan </w:t>
            </w:r>
            <w:proofErr w:type="spellStart"/>
            <w:r>
              <w:rPr>
                <w:color w:val="000000"/>
                <w:sz w:val="20"/>
                <w:szCs w:val="20"/>
              </w:rPr>
              <w:t>Minutti</w:t>
            </w:r>
            <w:proofErr w:type="spellEnd"/>
            <w:r>
              <w:rPr>
                <w:color w:val="000000"/>
                <w:sz w:val="20"/>
                <w:szCs w:val="20"/>
              </w:rPr>
              <w:t xml:space="preserve"> López</w:t>
            </w:r>
          </w:p>
        </w:tc>
        <w:tc>
          <w:tcPr>
            <w:tcW w:w="1134" w:type="dxa"/>
            <w:shd w:val="clear" w:color="auto" w:fill="EEECE1"/>
          </w:tcPr>
          <w:p w:rsidR="0067631C" w:rsidRDefault="00C41490">
            <w:pPr>
              <w:spacing w:line="360" w:lineRule="auto"/>
              <w:rPr>
                <w:color w:val="000000"/>
                <w:sz w:val="20"/>
                <w:szCs w:val="20"/>
              </w:rPr>
            </w:pPr>
            <w:r>
              <w:rPr>
                <w:color w:val="000000"/>
                <w:sz w:val="20"/>
                <w:szCs w:val="20"/>
              </w:rPr>
              <w:t>Colmo</w:t>
            </w:r>
          </w:p>
        </w:tc>
      </w:tr>
      <w:tr w:rsidR="0067631C">
        <w:tc>
          <w:tcPr>
            <w:tcW w:w="1413" w:type="dxa"/>
          </w:tcPr>
          <w:p w:rsidR="0067631C" w:rsidRDefault="00C41490">
            <w:pPr>
              <w:spacing w:line="360" w:lineRule="auto"/>
              <w:rPr>
                <w:color w:val="000000"/>
                <w:sz w:val="20"/>
                <w:szCs w:val="20"/>
              </w:rPr>
            </w:pPr>
            <w:r>
              <w:rPr>
                <w:color w:val="000000"/>
                <w:sz w:val="20"/>
                <w:szCs w:val="20"/>
              </w:rPr>
              <w:t>2024</w:t>
            </w:r>
          </w:p>
        </w:tc>
        <w:tc>
          <w:tcPr>
            <w:tcW w:w="2977" w:type="dxa"/>
          </w:tcPr>
          <w:p w:rsidR="0067631C" w:rsidRDefault="00C41490">
            <w:pPr>
              <w:spacing w:line="360" w:lineRule="auto"/>
              <w:rPr>
                <w:color w:val="000000"/>
                <w:sz w:val="20"/>
                <w:szCs w:val="20"/>
              </w:rPr>
            </w:pPr>
            <w:r>
              <w:rPr>
                <w:b/>
                <w:color w:val="000000"/>
                <w:sz w:val="20"/>
                <w:szCs w:val="20"/>
              </w:rPr>
              <w:t>Remitió la Declaración Patrimonial inicial el 14 de mayo 2024 y de conclusión 2024</w:t>
            </w:r>
            <w:r>
              <w:rPr>
                <w:color w:val="000000"/>
                <w:sz w:val="20"/>
                <w:szCs w:val="20"/>
              </w:rPr>
              <w:t xml:space="preserve"> el 15 de mayo del mismo año</w:t>
            </w:r>
          </w:p>
        </w:tc>
        <w:tc>
          <w:tcPr>
            <w:tcW w:w="3402" w:type="dxa"/>
          </w:tcPr>
          <w:p w:rsidR="0067631C" w:rsidRDefault="00C41490">
            <w:pPr>
              <w:spacing w:line="360" w:lineRule="auto"/>
              <w:rPr>
                <w:color w:val="000000"/>
                <w:sz w:val="20"/>
                <w:szCs w:val="20"/>
              </w:rPr>
            </w:pPr>
            <w:r>
              <w:rPr>
                <w:b/>
                <w:color w:val="000000"/>
                <w:sz w:val="20"/>
                <w:szCs w:val="20"/>
              </w:rPr>
              <w:t>Remitió la Declaración Patrimonial, 2024</w:t>
            </w:r>
            <w:r>
              <w:rPr>
                <w:color w:val="000000"/>
                <w:sz w:val="20"/>
                <w:szCs w:val="20"/>
              </w:rPr>
              <w:t>, la cual se declaran ingresos percibidos en 2023 y se presentó el 7 de mayo de 2024.</w:t>
            </w:r>
          </w:p>
        </w:tc>
        <w:tc>
          <w:tcPr>
            <w:tcW w:w="1134" w:type="dxa"/>
          </w:tcPr>
          <w:p w:rsidR="0067631C" w:rsidRDefault="00C41490">
            <w:pPr>
              <w:spacing w:line="360" w:lineRule="auto"/>
              <w:rPr>
                <w:color w:val="000000"/>
                <w:sz w:val="20"/>
                <w:szCs w:val="20"/>
              </w:rPr>
            </w:pPr>
            <w:r>
              <w:rPr>
                <w:color w:val="000000"/>
                <w:sz w:val="20"/>
                <w:szCs w:val="20"/>
              </w:rPr>
              <w:t xml:space="preserve">      SI</w:t>
            </w:r>
          </w:p>
        </w:tc>
      </w:tr>
      <w:tr w:rsidR="0067631C">
        <w:tc>
          <w:tcPr>
            <w:tcW w:w="1413" w:type="dxa"/>
          </w:tcPr>
          <w:p w:rsidR="0067631C" w:rsidRDefault="00C41490">
            <w:pPr>
              <w:spacing w:line="360" w:lineRule="auto"/>
              <w:rPr>
                <w:color w:val="000000"/>
                <w:sz w:val="20"/>
                <w:szCs w:val="20"/>
              </w:rPr>
            </w:pPr>
            <w:r>
              <w:rPr>
                <w:color w:val="000000"/>
                <w:sz w:val="20"/>
                <w:szCs w:val="20"/>
              </w:rPr>
              <w:t>2025</w:t>
            </w:r>
          </w:p>
        </w:tc>
        <w:tc>
          <w:tcPr>
            <w:tcW w:w="2977" w:type="dxa"/>
          </w:tcPr>
          <w:p w:rsidR="0067631C" w:rsidRDefault="00C41490">
            <w:pPr>
              <w:spacing w:line="360" w:lineRule="auto"/>
              <w:rPr>
                <w:color w:val="000000"/>
                <w:sz w:val="20"/>
                <w:szCs w:val="20"/>
              </w:rPr>
            </w:pPr>
            <w:r>
              <w:rPr>
                <w:color w:val="000000"/>
                <w:sz w:val="20"/>
                <w:szCs w:val="20"/>
              </w:rPr>
              <w:t>Ya que la declaración 2024 declara lo referente a 2023, presentada en mayo 2024.</w:t>
            </w:r>
          </w:p>
          <w:p w:rsidR="0067631C" w:rsidRDefault="00C41490">
            <w:pPr>
              <w:spacing w:line="360" w:lineRule="auto"/>
              <w:rPr>
                <w:color w:val="000000"/>
                <w:sz w:val="20"/>
                <w:szCs w:val="20"/>
              </w:rPr>
            </w:pPr>
            <w:r>
              <w:rPr>
                <w:color w:val="000000"/>
                <w:sz w:val="20"/>
                <w:szCs w:val="20"/>
              </w:rPr>
              <w:t>Lo que concierne a 2025, la cual se declaran ingresos de 2024, y se presenta en mayo 2025, a la fecha no se encuentra registrada ni presentada derivado de   conformidad con la normatividad se encuentra dentro del plazo para presentarla</w:t>
            </w:r>
          </w:p>
        </w:tc>
        <w:tc>
          <w:tcPr>
            <w:tcW w:w="3402" w:type="dxa"/>
          </w:tcPr>
          <w:p w:rsidR="0067631C" w:rsidRDefault="00C41490">
            <w:pPr>
              <w:spacing w:line="360" w:lineRule="auto"/>
              <w:rPr>
                <w:color w:val="000000"/>
                <w:sz w:val="20"/>
                <w:szCs w:val="20"/>
              </w:rPr>
            </w:pPr>
            <w:r>
              <w:rPr>
                <w:b/>
                <w:color w:val="000000"/>
                <w:sz w:val="20"/>
                <w:szCs w:val="20"/>
              </w:rPr>
              <w:t>Remitió la declaración de conclusión 2024</w:t>
            </w:r>
            <w:r>
              <w:rPr>
                <w:color w:val="000000"/>
                <w:sz w:val="20"/>
                <w:szCs w:val="20"/>
              </w:rPr>
              <w:t xml:space="preserve">, en fecha 31 de diciembre de 2024.  </w:t>
            </w:r>
            <w:proofErr w:type="gramStart"/>
            <w:r>
              <w:rPr>
                <w:color w:val="000000"/>
                <w:sz w:val="20"/>
                <w:szCs w:val="20"/>
              </w:rPr>
              <w:t>ya</w:t>
            </w:r>
            <w:proofErr w:type="gramEnd"/>
            <w:r>
              <w:rPr>
                <w:color w:val="000000"/>
                <w:sz w:val="20"/>
                <w:szCs w:val="20"/>
              </w:rPr>
              <w:t xml:space="preserve"> que en Informe Justificado refirió que la declaración 2025 se declara ingresos percibidos en 2024 y se presenta en mayo 2025. Aunado a que de conformidad con la normatividad se encuentra vigente ya que en mayo 2025 es la fecha límite para presentarla</w:t>
            </w:r>
          </w:p>
        </w:tc>
        <w:tc>
          <w:tcPr>
            <w:tcW w:w="1134" w:type="dxa"/>
          </w:tcPr>
          <w:p w:rsidR="0067631C" w:rsidRDefault="00C41490">
            <w:pPr>
              <w:spacing w:line="360" w:lineRule="auto"/>
              <w:jc w:val="center"/>
              <w:rPr>
                <w:color w:val="000000"/>
                <w:sz w:val="20"/>
                <w:szCs w:val="20"/>
              </w:rPr>
            </w:pPr>
            <w:r>
              <w:rPr>
                <w:color w:val="000000"/>
                <w:sz w:val="20"/>
                <w:szCs w:val="20"/>
              </w:rPr>
              <w:t>SI</w:t>
            </w:r>
          </w:p>
        </w:tc>
      </w:tr>
    </w:tbl>
    <w:p w:rsidR="0067631C" w:rsidRDefault="0067631C">
      <w:pPr>
        <w:spacing w:after="0" w:line="360" w:lineRule="auto"/>
        <w:rPr>
          <w:color w:val="000000"/>
        </w:rPr>
      </w:pPr>
    </w:p>
    <w:p w:rsidR="0067631C" w:rsidRDefault="00C41490">
      <w:pPr>
        <w:spacing w:after="0" w:line="360" w:lineRule="auto"/>
        <w:rPr>
          <w:color w:val="000000"/>
        </w:rPr>
      </w:pPr>
      <w:r>
        <w:rPr>
          <w:color w:val="000000"/>
        </w:rPr>
        <w:t>En esa tesitura, se concluye que el Sujeto Obligado satisfizo el derecho de acceso a la información del Solicitante, pues precisó que no contaba con la información de las Declaraciones que se presentaban durante el dos mil veinticinco, ya que se encontraban dentro del plazo para presentarlas; es decir, el Sujeto Obligado indicó que no contaba con las mismas, pues no las habían presentado las dos personas solicitadas, pues tenían hasta el treinta y uno de mayo de dos mil veinticinco, para realizar dicha acción.</w:t>
      </w:r>
    </w:p>
    <w:p w:rsidR="0067631C" w:rsidRDefault="0067631C">
      <w:pPr>
        <w:spacing w:after="0" w:line="360" w:lineRule="auto"/>
        <w:rPr>
          <w:color w:val="000000"/>
        </w:rPr>
      </w:pPr>
    </w:p>
    <w:p w:rsidR="0067631C" w:rsidRDefault="00C41490">
      <w:pPr>
        <w:spacing w:after="0" w:line="360" w:lineRule="auto"/>
        <w:rPr>
          <w:color w:val="000000"/>
        </w:rPr>
      </w:pPr>
      <w:r>
        <w:lastRenderedPageBreak/>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rsidR="0067631C" w:rsidRDefault="0067631C">
      <w:pPr>
        <w:spacing w:after="0" w:line="360" w:lineRule="auto"/>
        <w:rPr>
          <w:color w:val="000000"/>
        </w:rPr>
      </w:pPr>
    </w:p>
    <w:p w:rsidR="0067631C" w:rsidRDefault="00C41490">
      <w:pPr>
        <w:spacing w:after="0" w:line="360" w:lineRule="auto"/>
      </w:pPr>
      <w: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67631C" w:rsidRDefault="0067631C">
      <w:pPr>
        <w:spacing w:after="0" w:line="360" w:lineRule="auto"/>
      </w:pPr>
    </w:p>
    <w:p w:rsidR="0067631C" w:rsidRDefault="00C41490">
      <w:pPr>
        <w:spacing w:after="0" w:line="360" w:lineRule="auto"/>
      </w:pPr>
      <w:r>
        <w:t xml:space="preserve">Así, es posible concluir que la </w:t>
      </w:r>
      <w:r>
        <w:rPr>
          <w:b/>
        </w:rPr>
        <w:t>inexistencia</w:t>
      </w:r>
      <w: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rsidR="0067631C" w:rsidRDefault="0067631C">
      <w:pPr>
        <w:spacing w:after="0" w:line="360" w:lineRule="auto"/>
        <w:rPr>
          <w:color w:val="000000"/>
        </w:rPr>
      </w:pPr>
    </w:p>
    <w:p w:rsidR="0067631C" w:rsidRDefault="00C41490">
      <w:pPr>
        <w:spacing w:after="0" w:line="360" w:lineRule="auto"/>
      </w:pPr>
      <w:r>
        <w:t>Así, se logra colegir que parte de la información solicitada por el ahora Recurrente es inexistente, pues el Sujeto Obligado, realizó una búsqueda exhaustiva y razonable en los archivos de las unidades administrativas competentes y estas señalaron los motivos por los cuales no contaba con la peticionado, a saber, porque a la fecha de presentación de la solicitud, no se habían presentado las declaraciones, pues se encontraban en plazo para realizarlo, al tener hasta finales de mayo del presente ejercicio fiscal;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rsidR="0067631C" w:rsidRDefault="0067631C">
      <w:pPr>
        <w:spacing w:after="0" w:line="360" w:lineRule="auto"/>
        <w:rPr>
          <w:b/>
        </w:rPr>
      </w:pPr>
    </w:p>
    <w:p w:rsidR="0067631C" w:rsidRDefault="00C41490">
      <w:pPr>
        <w:spacing w:after="0" w:line="360" w:lineRule="auto"/>
      </w:pPr>
      <w: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67631C" w:rsidRDefault="0067631C">
      <w:pPr>
        <w:spacing w:after="0" w:line="360" w:lineRule="auto"/>
        <w:rPr>
          <w:b/>
        </w:rPr>
      </w:pPr>
    </w:p>
    <w:p w:rsidR="0067631C" w:rsidRDefault="00C41490">
      <w:pPr>
        <w:spacing w:after="0" w:line="360" w:lineRule="auto"/>
      </w:pPr>
      <w:r>
        <w:rPr>
          <w:color w:val="000000"/>
        </w:rPr>
        <w:t>Ahora bien, respecto a las Declaraciones Patrimoniales y de Intereses presentadas durante el dos mil veinticuatro, tal como se precisó en el cuadro anterior, fueron proporcionaras por el Solicitante, pues proporcionó aquellas de modificación, inició y conclusión registradas durante dicho ejercicio fiscal, lo cual da cuenta de lo peticionado; d</w:t>
      </w:r>
      <w: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67631C" w:rsidRDefault="0067631C">
      <w:pPr>
        <w:tabs>
          <w:tab w:val="left" w:pos="4962"/>
        </w:tabs>
        <w:spacing w:after="0" w:line="360" w:lineRule="auto"/>
      </w:pPr>
    </w:p>
    <w:p w:rsidR="0067631C" w:rsidRDefault="00C41490">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rsidR="0067631C" w:rsidRDefault="0067631C">
      <w:pPr>
        <w:spacing w:after="0" w:line="360" w:lineRule="auto"/>
      </w:pPr>
    </w:p>
    <w:p w:rsidR="0067631C" w:rsidRDefault="00C41490">
      <w:pPr>
        <w:spacing w:after="0" w:line="360" w:lineRule="auto"/>
      </w:pPr>
      <w:r>
        <w:lastRenderedPageBreak/>
        <w:t>De tales circunstancias, se concluye que los sujetos obligados únicamente se encuentran constreñidos a proporcionar los documentos que den cuenta de la información solicitada, como obren en sus archivos, sin tener que elaborarlos a las necesidades de la persona Recurrente; lo cual aconteció pues proporcionó los documentos que daban cuenta de lo peticionado.</w:t>
      </w:r>
    </w:p>
    <w:p w:rsidR="0067631C" w:rsidRDefault="0067631C">
      <w:pPr>
        <w:spacing w:after="0" w:line="360" w:lineRule="auto"/>
      </w:pPr>
    </w:p>
    <w:p w:rsidR="0067631C" w:rsidRDefault="00C41490">
      <w:pPr>
        <w:spacing w:after="0" w:line="360" w:lineRule="auto"/>
      </w:pPr>
      <w:r>
        <w:t>Ahora bien, cabe precisar que en algunas declaraciones se clasificó el correo electrónico; por lo que, se procede analizar si dicho datos es público o privado; para lo cual, es necesario traer a colación la Resolución derivada del Acuerdo del Comité de Transparencia número ACT/SECOGEM/EXT/COMT/8ª/2025/QUINTO, en la cual se precisa que dicho dato es particular, es decir, no corresponde al institucional.</w:t>
      </w:r>
    </w:p>
    <w:p w:rsidR="0067631C" w:rsidRDefault="0067631C">
      <w:pPr>
        <w:spacing w:after="0" w:line="360" w:lineRule="auto"/>
      </w:pPr>
    </w:p>
    <w:p w:rsidR="0067631C" w:rsidRDefault="00C41490">
      <w:pPr>
        <w:tabs>
          <w:tab w:val="left" w:pos="4962"/>
        </w:tabs>
        <w:spacing w:after="0" w:line="360" w:lineRule="auto"/>
        <w:rPr>
          <w:color w:val="000000"/>
        </w:rPr>
      </w:pPr>
      <w:r>
        <w:t xml:space="preserve">Al respecto, resulta procedente analizar si dichos datos son públicos o privados; en principio, cabe mencionar que el artículo </w:t>
      </w:r>
      <w:r>
        <w:rPr>
          <w:color w:val="000000"/>
        </w:rPr>
        <w:t>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rsidR="0067631C" w:rsidRDefault="0067631C">
      <w:pPr>
        <w:spacing w:after="0" w:line="360" w:lineRule="auto"/>
        <w:ind w:right="-93"/>
        <w:rPr>
          <w:color w:val="000000"/>
        </w:rPr>
      </w:pPr>
    </w:p>
    <w:p w:rsidR="0067631C" w:rsidRDefault="00C41490">
      <w:pPr>
        <w:spacing w:after="0" w:line="360" w:lineRule="auto"/>
        <w:ind w:right="-93"/>
        <w:rPr>
          <w:color w:val="000000"/>
        </w:rPr>
      </w:pPr>
      <w:r>
        <w:rPr>
          <w:color w:val="000000"/>
        </w:rPr>
        <w:t>Asimismo, el artículo 145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67631C" w:rsidRDefault="0067631C">
      <w:pPr>
        <w:spacing w:after="0" w:line="360" w:lineRule="auto"/>
        <w:ind w:right="-93"/>
        <w:rPr>
          <w:color w:val="000000"/>
        </w:rPr>
      </w:pPr>
    </w:p>
    <w:p w:rsidR="0067631C" w:rsidRDefault="00C41490">
      <w:pPr>
        <w:spacing w:after="0" w:line="360" w:lineRule="auto"/>
        <w:ind w:right="-93"/>
        <w:rPr>
          <w:color w:val="000000"/>
        </w:rPr>
      </w:pPr>
      <w:r>
        <w:rPr>
          <w:color w:val="000000"/>
        </w:rPr>
        <w:lastRenderedPageBreak/>
        <w:t>En términos de lo expuesto, la documentación y aquellos datos que se consideren confidenciales, serán una limitante del derecho de acceso a la información, siempre y cuando:</w:t>
      </w:r>
    </w:p>
    <w:p w:rsidR="0067631C" w:rsidRDefault="0067631C">
      <w:pPr>
        <w:spacing w:after="0" w:line="360" w:lineRule="auto"/>
        <w:ind w:right="-93"/>
        <w:rPr>
          <w:color w:val="000000"/>
        </w:rPr>
      </w:pPr>
    </w:p>
    <w:p w:rsidR="0067631C" w:rsidRDefault="00C41490">
      <w:pPr>
        <w:numPr>
          <w:ilvl w:val="0"/>
          <w:numId w:val="4"/>
        </w:numPr>
        <w:spacing w:after="0" w:line="360" w:lineRule="auto"/>
        <w:ind w:right="-93"/>
      </w:pPr>
      <w:r>
        <w:t xml:space="preserve">Se trate de datos personales o información privada; esto es, información concerniente a una persona física o jurídico colectiva y que esta sea identificada o identificable. </w:t>
      </w:r>
    </w:p>
    <w:p w:rsidR="0067631C" w:rsidRDefault="0067631C">
      <w:pPr>
        <w:spacing w:after="0" w:line="360" w:lineRule="auto"/>
        <w:ind w:right="-93"/>
      </w:pPr>
    </w:p>
    <w:p w:rsidR="0067631C" w:rsidRDefault="00C41490">
      <w:pPr>
        <w:numPr>
          <w:ilvl w:val="0"/>
          <w:numId w:val="4"/>
        </w:numPr>
        <w:spacing w:after="0" w:line="360" w:lineRule="auto"/>
        <w:ind w:right="-93"/>
      </w:pPr>
      <w:r>
        <w:t>Para la difusión de los datos, se requiera el consentimiento del titular.</w:t>
      </w:r>
    </w:p>
    <w:p w:rsidR="0067631C" w:rsidRDefault="0067631C">
      <w:pPr>
        <w:spacing w:after="0" w:line="360" w:lineRule="auto"/>
        <w:ind w:right="-93"/>
        <w:rPr>
          <w:color w:val="FF0000"/>
        </w:rPr>
      </w:pPr>
    </w:p>
    <w:p w:rsidR="0067631C" w:rsidRDefault="00C41490">
      <w:pPr>
        <w:spacing w:after="0" w:line="360" w:lineRule="auto"/>
        <w:ind w:right="-93"/>
        <w:rPr>
          <w:color w:val="000000"/>
        </w:rPr>
      </w:pPr>
      <w:r>
        <w:rPr>
          <w:color w:val="000000"/>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rsidR="0067631C" w:rsidRDefault="0067631C">
      <w:pPr>
        <w:spacing w:after="0" w:line="360" w:lineRule="auto"/>
        <w:ind w:right="-93"/>
        <w:rPr>
          <w:color w:val="000000"/>
        </w:rPr>
      </w:pPr>
    </w:p>
    <w:p w:rsidR="0067631C" w:rsidRDefault="00C41490">
      <w:pPr>
        <w:spacing w:after="0" w:line="360" w:lineRule="auto"/>
        <w:ind w:right="-93"/>
        <w:rPr>
          <w:color w:val="000000"/>
        </w:rPr>
      </w:pPr>
      <w:r>
        <w:rPr>
          <w:color w:val="000000"/>
        </w:rPr>
        <w:t>Además, en el artículo 5° de dicho ordenamiento jurídico, establece que es la Ley aplicable para todo tratamiento de datos personales.</w:t>
      </w:r>
    </w:p>
    <w:p w:rsidR="0067631C" w:rsidRDefault="0067631C">
      <w:pPr>
        <w:spacing w:after="0" w:line="360" w:lineRule="auto"/>
        <w:ind w:right="-93"/>
        <w:rPr>
          <w:color w:val="000000"/>
        </w:rPr>
      </w:pPr>
    </w:p>
    <w:p w:rsidR="0067631C" w:rsidRDefault="00C41490">
      <w:pPr>
        <w:spacing w:after="0" w:line="360" w:lineRule="auto"/>
        <w:ind w:right="-93"/>
        <w:rPr>
          <w:color w:val="000000"/>
        </w:rPr>
      </w:pPr>
      <w:r>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 si el dato mencionado es confidencial o público.</w:t>
      </w:r>
    </w:p>
    <w:p w:rsidR="0067631C" w:rsidRDefault="0067631C">
      <w:pPr>
        <w:spacing w:after="0" w:line="360" w:lineRule="auto"/>
        <w:ind w:right="-93"/>
        <w:rPr>
          <w:color w:val="000000"/>
        </w:rPr>
      </w:pPr>
    </w:p>
    <w:p w:rsidR="0067631C" w:rsidRDefault="00C41490">
      <w:pPr>
        <w:spacing w:after="0" w:line="360" w:lineRule="auto"/>
      </w:pPr>
      <w: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67631C" w:rsidRDefault="0067631C">
      <w:pPr>
        <w:spacing w:after="0" w:line="360" w:lineRule="auto"/>
      </w:pPr>
    </w:p>
    <w:p w:rsidR="0067631C" w:rsidRDefault="00C41490">
      <w:pPr>
        <w:spacing w:after="0" w:line="360" w:lineRule="auto"/>
      </w:pPr>
      <w:r>
        <w:t>En ese sentido,  cabe señalar que el correo electrónico en estudio fue proporcionado por un servidor público en su carácter y uso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rsidR="0067631C" w:rsidRDefault="0067631C">
      <w:pPr>
        <w:spacing w:after="0" w:line="360" w:lineRule="auto"/>
        <w:ind w:right="-93"/>
        <w:rPr>
          <w:color w:val="000000"/>
        </w:rPr>
      </w:pPr>
    </w:p>
    <w:p w:rsidR="0067631C" w:rsidRDefault="00C41490">
      <w:pPr>
        <w:spacing w:after="0" w:line="360" w:lineRule="auto"/>
      </w:pPr>
      <w:r>
        <w:t xml:space="preserve">En ese orden de ideas, este Instituto revisó la Resolución emitida por el Comité de Transparencia, proporcionada en Respuesta, en donde de manera fundada y motivada, acredita la clasificación de la Declaración Patrimonial y de Intereses del servidor público y válida la versión pública, por lo que, atendió lo establecido en el artículo 168 de la Ley de Transparencia y Acceso a la Información Pública del Estado de México y Municipios. Así, se concluye que, durante la sustanciación del Medio de Impugnación, el Sujeto Obligado proporcionó los documentos faltantes, en versión pública, cumpliendo con las formalidades establecidas en la Ley de la materia, lo cual da como resultado que el agravio sea </w:t>
      </w:r>
      <w:r>
        <w:rPr>
          <w:b/>
        </w:rPr>
        <w:t xml:space="preserve">INFUNDADO, </w:t>
      </w:r>
      <w:r>
        <w:t>pues desde respuesta dio la información que obraba en sus archivos de manera correcta y señaló las razones por las cuales no contaba con declaraciones del dos mil veinticinco.</w:t>
      </w:r>
    </w:p>
    <w:p w:rsidR="0067631C" w:rsidRDefault="0067631C">
      <w:pPr>
        <w:spacing w:after="0" w:line="360" w:lineRule="auto"/>
        <w:rPr>
          <w:color w:val="000000"/>
        </w:rPr>
      </w:pPr>
    </w:p>
    <w:p w:rsidR="0067631C" w:rsidRDefault="00C41490">
      <w:pPr>
        <w:spacing w:after="0" w:line="360" w:lineRule="auto"/>
        <w:rPr>
          <w:b/>
        </w:rPr>
      </w:pPr>
      <w:r>
        <w:rPr>
          <w:b/>
        </w:rPr>
        <w:t>SEXTO. Decisión</w:t>
      </w:r>
    </w:p>
    <w:p w:rsidR="0067631C" w:rsidRDefault="0067631C">
      <w:pPr>
        <w:spacing w:after="0" w:line="360" w:lineRule="auto"/>
      </w:pPr>
    </w:p>
    <w:p w:rsidR="0067631C" w:rsidRDefault="00C41490">
      <w:pPr>
        <w:spacing w:after="0" w:line="360" w:lineRule="auto"/>
        <w:rPr>
          <w:color w:val="000000"/>
        </w:rPr>
      </w:pPr>
      <w:r>
        <w:t xml:space="preserve">Con fundamento en el artículo 186, fracción III, de la Ley de Transparencia y Acceso a la Información Pública del Estado de México y Municipios, este Instituto considera procedente </w:t>
      </w:r>
      <w:r>
        <w:rPr>
          <w:b/>
        </w:rPr>
        <w:t>CONFIRMAR</w:t>
      </w:r>
      <w:r>
        <w:t xml:space="preserve"> la respuesta otorgada a las solicitudes de información 00191/SECOGEM/IP/2025 y 00190/SECOGEM/IP/2025.</w:t>
      </w:r>
    </w:p>
    <w:p w:rsidR="0067631C" w:rsidRDefault="0067631C">
      <w:pPr>
        <w:tabs>
          <w:tab w:val="left" w:pos="4962"/>
        </w:tabs>
        <w:spacing w:after="0" w:line="360" w:lineRule="auto"/>
      </w:pPr>
    </w:p>
    <w:p w:rsidR="0067631C" w:rsidRDefault="00C41490">
      <w:pPr>
        <w:spacing w:after="0" w:line="360" w:lineRule="auto"/>
        <w:rPr>
          <w:b/>
        </w:rPr>
      </w:pPr>
      <w:r>
        <w:rPr>
          <w:b/>
        </w:rPr>
        <w:t>Términos de la Resolución para conocimiento del Particular</w:t>
      </w:r>
    </w:p>
    <w:p w:rsidR="0067631C" w:rsidRDefault="0067631C">
      <w:pPr>
        <w:spacing w:after="0" w:line="360" w:lineRule="auto"/>
        <w:ind w:right="-28"/>
        <w:rPr>
          <w:b/>
          <w:color w:val="000000"/>
        </w:rPr>
      </w:pPr>
    </w:p>
    <w:p w:rsidR="0067631C" w:rsidRDefault="00C41490">
      <w:pPr>
        <w:spacing w:after="0" w:line="360" w:lineRule="auto"/>
      </w:pPr>
      <w:r>
        <w:rPr>
          <w:color w:val="000000"/>
        </w:rPr>
        <w:t xml:space="preserve">Se le hace del conocimiento al Particular que en el presente caso, se determinó confirmar la respuesta, pues el Sujeto Obligado, </w:t>
      </w:r>
      <w:r>
        <w:t>proporcionó la información solicitada que obra en sus archivos y por tanto, se tuvo por atendida la solicitud de información.</w:t>
      </w:r>
    </w:p>
    <w:p w:rsidR="0067631C" w:rsidRDefault="0067631C">
      <w:pPr>
        <w:spacing w:after="0" w:line="360" w:lineRule="auto"/>
      </w:pPr>
    </w:p>
    <w:p w:rsidR="0067631C" w:rsidRDefault="00C41490">
      <w:pPr>
        <w:spacing w:after="0" w:line="360" w:lineRule="auto"/>
      </w:pPr>
      <w: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67631C" w:rsidRDefault="0067631C">
      <w:pPr>
        <w:spacing w:after="0" w:line="360" w:lineRule="auto"/>
      </w:pPr>
    </w:p>
    <w:p w:rsidR="0067631C" w:rsidRDefault="00C41490">
      <w:pPr>
        <w:spacing w:after="0" w:line="360" w:lineRule="auto"/>
      </w:pPr>
      <w:r>
        <w:t>Por lo expuesto y fundado, este Pleno:</w:t>
      </w:r>
    </w:p>
    <w:p w:rsidR="0067631C" w:rsidRDefault="0067631C">
      <w:pPr>
        <w:spacing w:after="0" w:line="360" w:lineRule="auto"/>
      </w:pPr>
    </w:p>
    <w:p w:rsidR="0067631C" w:rsidRDefault="00C41490">
      <w:pPr>
        <w:spacing w:after="0" w:line="360" w:lineRule="auto"/>
        <w:jc w:val="center"/>
        <w:rPr>
          <w:b/>
        </w:rPr>
      </w:pPr>
      <w:r>
        <w:rPr>
          <w:b/>
        </w:rPr>
        <w:t>R E S U E L V E</w:t>
      </w:r>
    </w:p>
    <w:p w:rsidR="0067631C" w:rsidRDefault="0067631C">
      <w:pPr>
        <w:spacing w:after="0" w:line="360" w:lineRule="auto"/>
        <w:jc w:val="center"/>
        <w:rPr>
          <w:b/>
        </w:rPr>
      </w:pPr>
    </w:p>
    <w:p w:rsidR="0067631C" w:rsidRDefault="00C41490">
      <w:pPr>
        <w:spacing w:after="0" w:line="360" w:lineRule="auto"/>
        <w:rPr>
          <w:color w:val="000000"/>
        </w:rPr>
      </w:pPr>
      <w:r>
        <w:rPr>
          <w:b/>
        </w:rPr>
        <w:t>PRIMERO.</w:t>
      </w:r>
      <w:r>
        <w:t xml:space="preserve"> Se</w:t>
      </w:r>
      <w:r>
        <w:rPr>
          <w:color w:val="000000"/>
        </w:rPr>
        <w:t xml:space="preserve"> </w:t>
      </w:r>
      <w:r>
        <w:rPr>
          <w:b/>
          <w:color w:val="000000"/>
        </w:rPr>
        <w:t xml:space="preserve">CONFIRMA </w:t>
      </w:r>
      <w:r>
        <w:rPr>
          <w:color w:val="000000"/>
        </w:rPr>
        <w:t xml:space="preserve">la respuesta entregada por la </w:t>
      </w:r>
      <w:r>
        <w:t>Secretaría</w:t>
      </w:r>
      <w:r>
        <w:rPr>
          <w:color w:val="000000"/>
        </w:rPr>
        <w:t xml:space="preserve"> de la Contraloría a la solicitud de acceso a la información </w:t>
      </w:r>
      <w:r>
        <w:rPr>
          <w:b/>
          <w:color w:val="000000"/>
        </w:rPr>
        <w:t>00191/SECOGEM/IP/2025 y 00190/SECOGEM/IP/2025</w:t>
      </w:r>
      <w:r>
        <w:rPr>
          <w:color w:val="000000"/>
        </w:rPr>
        <w:t xml:space="preserve">, por resultar </w:t>
      </w:r>
      <w:r>
        <w:rPr>
          <w:b/>
          <w:color w:val="000000"/>
        </w:rPr>
        <w:t>INFUNDADAS</w:t>
      </w:r>
      <w:r>
        <w:rPr>
          <w:color w:val="000000"/>
        </w:rPr>
        <w:t xml:space="preserve"> las razones o motivos de inconformidad hechas valer por el Recurrente, en términos de los Considerandos QUINTO y SEXTO de esta Resolución.</w:t>
      </w:r>
    </w:p>
    <w:p w:rsidR="0067631C" w:rsidRDefault="0067631C">
      <w:pPr>
        <w:spacing w:after="0" w:line="360" w:lineRule="auto"/>
        <w:rPr>
          <w:b/>
        </w:rPr>
      </w:pPr>
    </w:p>
    <w:p w:rsidR="0067631C" w:rsidRDefault="00C41490">
      <w:pPr>
        <w:spacing w:after="0" w:line="360" w:lineRule="auto"/>
        <w:rPr>
          <w:i/>
        </w:rPr>
      </w:pPr>
      <w:r>
        <w:rPr>
          <w:b/>
        </w:rPr>
        <w:lastRenderedPageBreak/>
        <w:t xml:space="preserve">SEGUNDO. NOTIFÍQUESE VÁ SAIMEX </w:t>
      </w:r>
      <w:r>
        <w:t>la presente resolución al Titular de la Unidad de Transparencia del Sujeto Obligado.</w:t>
      </w:r>
    </w:p>
    <w:p w:rsidR="0067631C" w:rsidRDefault="0067631C">
      <w:pPr>
        <w:spacing w:after="0" w:line="360" w:lineRule="auto"/>
      </w:pPr>
    </w:p>
    <w:p w:rsidR="0067631C" w:rsidRDefault="00C41490">
      <w:pPr>
        <w:spacing w:after="0" w:line="360" w:lineRule="auto"/>
        <w:rPr>
          <w:b/>
        </w:rPr>
      </w:pPr>
      <w:r>
        <w:rPr>
          <w:b/>
        </w:rPr>
        <w:t>TERCERO. NOTIFÍQUESE</w:t>
      </w:r>
      <w:r>
        <w:t xml:space="preserve"> </w:t>
      </w:r>
      <w:r>
        <w:rPr>
          <w:b/>
        </w:rPr>
        <w:t>VÍA SAIMEX</w:t>
      </w:r>
      <w:r>
        <w:t xml:space="preserve"> 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7631C" w:rsidRDefault="0067631C">
      <w:pPr>
        <w:spacing w:after="0" w:line="360" w:lineRule="auto"/>
        <w:rPr>
          <w:color w:val="000000"/>
        </w:rPr>
      </w:pPr>
    </w:p>
    <w:p w:rsidR="0067631C" w:rsidRDefault="00C41490">
      <w:pPr>
        <w:spacing w:after="0" w:line="360" w:lineRule="auto"/>
      </w:pPr>
      <w:r>
        <w:t xml:space="preserve">ASÍ, POR </w:t>
      </w:r>
      <w:r>
        <w:rPr>
          <w:b/>
        </w:rPr>
        <w:t>UNANIMIDAD</w:t>
      </w:r>
      <w:r>
        <w:t xml:space="preserve"> DE VOTOS, LO RESOLVIERON Y FIRMAN LOS COMISIONADOS DEL INSTITUTO DE TRANSPARENCIA, ACCESO A LA INFORMACIÓN PÚBLICA Y PROTECCIÓN DE DATOS PERSONALES DEL ESTADO DE MÉXICO Y MUNICIPIOS, CONFORMADO POR LOS COMI</w:t>
      </w:r>
      <w:r w:rsidR="00172797">
        <w:t>SIONADOS JOSÉ MARTÍNEZ VILCHIS</w:t>
      </w:r>
      <w:r>
        <w:t>,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pPr>
    </w:p>
    <w:p w:rsidR="0067631C" w:rsidRDefault="0067631C">
      <w:pPr>
        <w:spacing w:after="0" w:line="360" w:lineRule="auto"/>
        <w:rPr>
          <w:b/>
        </w:rPr>
      </w:pPr>
    </w:p>
    <w:sectPr w:rsidR="0067631C">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5B5" w:rsidRDefault="00DC75B5">
      <w:pPr>
        <w:spacing w:after="0" w:line="240" w:lineRule="auto"/>
      </w:pPr>
      <w:r>
        <w:separator/>
      </w:r>
    </w:p>
  </w:endnote>
  <w:endnote w:type="continuationSeparator" w:id="0">
    <w:p w:rsidR="00DC75B5" w:rsidRDefault="00DC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1C" w:rsidRDefault="00C4149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3004E">
      <w:rPr>
        <w:b/>
        <w:noProof/>
        <w:color w:val="000000"/>
        <w:sz w:val="24"/>
        <w:szCs w:val="24"/>
      </w:rPr>
      <w:t>28</w:t>
    </w:r>
    <w:r>
      <w:rPr>
        <w:b/>
        <w:color w:val="000000"/>
        <w:sz w:val="24"/>
        <w:szCs w:val="24"/>
      </w:rPr>
      <w:fldChar w:fldCharType="end"/>
    </w:r>
  </w:p>
  <w:p w:rsidR="0067631C" w:rsidRDefault="0067631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1C" w:rsidRDefault="00C4149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52C1">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52C1">
      <w:rPr>
        <w:b/>
        <w:noProof/>
        <w:color w:val="000000"/>
        <w:sz w:val="24"/>
        <w:szCs w:val="24"/>
      </w:rPr>
      <w:t>28</w:t>
    </w:r>
    <w:r>
      <w:rPr>
        <w:b/>
        <w:color w:val="000000"/>
        <w:sz w:val="24"/>
        <w:szCs w:val="24"/>
      </w:rPr>
      <w:fldChar w:fldCharType="end"/>
    </w:r>
  </w:p>
  <w:p w:rsidR="0067631C" w:rsidRDefault="0067631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1C" w:rsidRDefault="00C4149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52C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52C1">
      <w:rPr>
        <w:b/>
        <w:noProof/>
        <w:color w:val="000000"/>
        <w:sz w:val="24"/>
        <w:szCs w:val="24"/>
      </w:rPr>
      <w:t>28</w:t>
    </w:r>
    <w:r>
      <w:rPr>
        <w:b/>
        <w:color w:val="000000"/>
        <w:sz w:val="24"/>
        <w:szCs w:val="24"/>
      </w:rPr>
      <w:fldChar w:fldCharType="end"/>
    </w:r>
  </w:p>
  <w:p w:rsidR="0067631C" w:rsidRDefault="0067631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5B5" w:rsidRDefault="00DC75B5">
      <w:pPr>
        <w:spacing w:after="0" w:line="240" w:lineRule="auto"/>
      </w:pPr>
      <w:r>
        <w:separator/>
      </w:r>
    </w:p>
  </w:footnote>
  <w:footnote w:type="continuationSeparator" w:id="0">
    <w:p w:rsidR="00DC75B5" w:rsidRDefault="00DC7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1C" w:rsidRDefault="0067631C">
    <w:pPr>
      <w:widowControl w:val="0"/>
      <w:pBdr>
        <w:top w:val="nil"/>
        <w:left w:val="nil"/>
        <w:bottom w:val="nil"/>
        <w:right w:val="nil"/>
        <w:between w:val="nil"/>
      </w:pBdr>
      <w:spacing w:after="0" w:line="276" w:lineRule="auto"/>
      <w:jc w:val="left"/>
      <w:rPr>
        <w:color w:val="000000"/>
      </w:rPr>
    </w:pPr>
  </w:p>
  <w:tbl>
    <w:tblPr>
      <w:tblStyle w:val="a4"/>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7631C">
      <w:trPr>
        <w:trHeight w:val="132"/>
      </w:trPr>
      <w:tc>
        <w:tcPr>
          <w:tcW w:w="0" w:type="auto"/>
        </w:tcPr>
        <w:p w:rsidR="0067631C" w:rsidRDefault="00C41490">
          <w:pPr>
            <w:tabs>
              <w:tab w:val="right" w:pos="8838"/>
            </w:tabs>
            <w:ind w:right="-105"/>
            <w:rPr>
              <w:b/>
            </w:rPr>
          </w:pPr>
          <w:r>
            <w:rPr>
              <w:b/>
            </w:rPr>
            <w:t>Recurso de Revisión:</w:t>
          </w:r>
        </w:p>
      </w:tc>
      <w:tc>
        <w:tcPr>
          <w:tcW w:w="0" w:type="auto"/>
        </w:tcPr>
        <w:p w:rsidR="0067631C" w:rsidRDefault="00C41490">
          <w:pPr>
            <w:tabs>
              <w:tab w:val="right" w:pos="8838"/>
            </w:tabs>
            <w:ind w:left="-28" w:right="-32"/>
          </w:pPr>
          <w:r>
            <w:t>03846/INFOEM/IP/RR/2020</w:t>
          </w:r>
        </w:p>
      </w:tc>
    </w:tr>
    <w:tr w:rsidR="0067631C">
      <w:trPr>
        <w:trHeight w:val="261"/>
      </w:trPr>
      <w:tc>
        <w:tcPr>
          <w:tcW w:w="0" w:type="auto"/>
        </w:tcPr>
        <w:p w:rsidR="0067631C" w:rsidRDefault="00C41490">
          <w:pPr>
            <w:tabs>
              <w:tab w:val="right" w:pos="8838"/>
            </w:tabs>
            <w:ind w:right="-105"/>
            <w:rPr>
              <w:b/>
            </w:rPr>
          </w:pPr>
          <w:r>
            <w:rPr>
              <w:b/>
            </w:rPr>
            <w:t>Sujeto Obligado:</w:t>
          </w:r>
        </w:p>
      </w:tc>
      <w:tc>
        <w:tcPr>
          <w:tcW w:w="0" w:type="auto"/>
        </w:tcPr>
        <w:p w:rsidR="0067631C" w:rsidRDefault="00C41490">
          <w:pPr>
            <w:tabs>
              <w:tab w:val="right" w:pos="8838"/>
            </w:tabs>
            <w:ind w:right="-32"/>
          </w:pPr>
          <w:r>
            <w:t xml:space="preserve">Ayuntamiento de </w:t>
          </w:r>
          <w:proofErr w:type="spellStart"/>
          <w:r>
            <w:t>Temascalcingo</w:t>
          </w:r>
          <w:proofErr w:type="spellEnd"/>
        </w:p>
      </w:tc>
    </w:tr>
    <w:tr w:rsidR="0067631C">
      <w:trPr>
        <w:trHeight w:val="261"/>
      </w:trPr>
      <w:tc>
        <w:tcPr>
          <w:tcW w:w="0" w:type="auto"/>
        </w:tcPr>
        <w:p w:rsidR="0067631C" w:rsidRDefault="00C41490">
          <w:pPr>
            <w:tabs>
              <w:tab w:val="right" w:pos="8838"/>
            </w:tabs>
            <w:ind w:right="-105"/>
            <w:rPr>
              <w:b/>
            </w:rPr>
          </w:pPr>
          <w:r>
            <w:rPr>
              <w:b/>
            </w:rPr>
            <w:t>Comisionado Ponente:</w:t>
          </w:r>
        </w:p>
      </w:tc>
      <w:tc>
        <w:tcPr>
          <w:tcW w:w="0" w:type="auto"/>
        </w:tcPr>
        <w:p w:rsidR="0067631C" w:rsidRDefault="00C41490">
          <w:pPr>
            <w:tabs>
              <w:tab w:val="right" w:pos="8838"/>
            </w:tabs>
            <w:ind w:right="-32"/>
            <w:rPr>
              <w:b/>
            </w:rPr>
          </w:pPr>
          <w:r>
            <w:t>Luis Gustavo Parra Noriega</w:t>
          </w:r>
        </w:p>
      </w:tc>
    </w:tr>
  </w:tbl>
  <w:p w:rsidR="0067631C" w:rsidRDefault="00DC75B5">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1C" w:rsidRDefault="0067631C">
    <w:pPr>
      <w:widowControl w:val="0"/>
      <w:pBdr>
        <w:top w:val="nil"/>
        <w:left w:val="nil"/>
        <w:bottom w:val="nil"/>
        <w:right w:val="nil"/>
        <w:between w:val="nil"/>
      </w:pBdr>
      <w:spacing w:after="0" w:line="276" w:lineRule="auto"/>
      <w:jc w:val="left"/>
    </w:pPr>
  </w:p>
  <w:tbl>
    <w:tblPr>
      <w:tblStyle w:val="a5"/>
      <w:tblW w:w="6803"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67631C">
      <w:trPr>
        <w:trHeight w:val="138"/>
      </w:trPr>
      <w:tc>
        <w:tcPr>
          <w:tcW w:w="2551" w:type="dxa"/>
          <w:vAlign w:val="center"/>
        </w:tcPr>
        <w:p w:rsidR="0067631C" w:rsidRDefault="00C41490">
          <w:pPr>
            <w:tabs>
              <w:tab w:val="right" w:pos="8838"/>
            </w:tabs>
            <w:ind w:right="-105"/>
            <w:jc w:val="left"/>
            <w:rPr>
              <w:b/>
            </w:rPr>
          </w:pPr>
          <w:r>
            <w:rPr>
              <w:b/>
            </w:rPr>
            <w:t>Recurso de Revisión:</w:t>
          </w:r>
        </w:p>
      </w:tc>
      <w:tc>
        <w:tcPr>
          <w:tcW w:w="4252" w:type="dxa"/>
        </w:tcPr>
        <w:p w:rsidR="0067631C" w:rsidRDefault="00C41490">
          <w:pPr>
            <w:tabs>
              <w:tab w:val="right" w:pos="8838"/>
            </w:tabs>
            <w:ind w:left="-113" w:right="57"/>
          </w:pPr>
          <w:r>
            <w:t>05851/INFOEM/IP/RR/2025 y acumulado</w:t>
          </w:r>
        </w:p>
      </w:tc>
    </w:tr>
    <w:tr w:rsidR="0067631C">
      <w:trPr>
        <w:trHeight w:val="273"/>
      </w:trPr>
      <w:tc>
        <w:tcPr>
          <w:tcW w:w="2551" w:type="dxa"/>
        </w:tcPr>
        <w:p w:rsidR="0067631C" w:rsidRDefault="00C41490">
          <w:pPr>
            <w:tabs>
              <w:tab w:val="right" w:pos="8838"/>
            </w:tabs>
            <w:ind w:right="-105"/>
            <w:rPr>
              <w:b/>
            </w:rPr>
          </w:pPr>
          <w:r>
            <w:rPr>
              <w:b/>
            </w:rPr>
            <w:t>Sujeto Obligado:</w:t>
          </w:r>
        </w:p>
      </w:tc>
      <w:tc>
        <w:tcPr>
          <w:tcW w:w="4252" w:type="dxa"/>
        </w:tcPr>
        <w:p w:rsidR="0067631C" w:rsidRDefault="00C41490">
          <w:pPr>
            <w:tabs>
              <w:tab w:val="right" w:pos="8838"/>
            </w:tabs>
            <w:ind w:left="-113" w:right="-113"/>
          </w:pPr>
          <w:r>
            <w:t>Secretaría de la Contraloría</w:t>
          </w:r>
        </w:p>
      </w:tc>
    </w:tr>
    <w:tr w:rsidR="0067631C">
      <w:trPr>
        <w:trHeight w:val="273"/>
      </w:trPr>
      <w:tc>
        <w:tcPr>
          <w:tcW w:w="2551" w:type="dxa"/>
        </w:tcPr>
        <w:p w:rsidR="0067631C" w:rsidRDefault="00C41490">
          <w:pPr>
            <w:tabs>
              <w:tab w:val="right" w:pos="8838"/>
            </w:tabs>
            <w:ind w:right="-105"/>
            <w:rPr>
              <w:b/>
            </w:rPr>
          </w:pPr>
          <w:r>
            <w:rPr>
              <w:b/>
            </w:rPr>
            <w:t>Comisionado Ponente:</w:t>
          </w:r>
        </w:p>
      </w:tc>
      <w:tc>
        <w:tcPr>
          <w:tcW w:w="4252" w:type="dxa"/>
        </w:tcPr>
        <w:p w:rsidR="0067631C" w:rsidRDefault="00C41490">
          <w:pPr>
            <w:tabs>
              <w:tab w:val="right" w:pos="8838"/>
            </w:tabs>
            <w:ind w:left="-113" w:right="-170"/>
            <w:rPr>
              <w:b/>
            </w:rPr>
          </w:pPr>
          <w:r>
            <w:t>Luis Gustavo Parra Noriega</w:t>
          </w:r>
        </w:p>
      </w:tc>
    </w:tr>
  </w:tbl>
  <w:p w:rsidR="0067631C" w:rsidRDefault="00DC75B5">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1C" w:rsidRDefault="0067631C">
    <w:pPr>
      <w:widowControl w:val="0"/>
      <w:pBdr>
        <w:top w:val="nil"/>
        <w:left w:val="nil"/>
        <w:bottom w:val="nil"/>
        <w:right w:val="nil"/>
        <w:between w:val="nil"/>
      </w:pBdr>
      <w:spacing w:after="0" w:line="276" w:lineRule="auto"/>
      <w:ind w:right="-141"/>
      <w:jc w:val="left"/>
      <w:rPr>
        <w:color w:val="000000"/>
      </w:rPr>
    </w:pPr>
  </w:p>
  <w:tbl>
    <w:tblPr>
      <w:tblStyle w:val="a6"/>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7631C">
      <w:trPr>
        <w:trHeight w:val="132"/>
      </w:trPr>
      <w:tc>
        <w:tcPr>
          <w:tcW w:w="2551" w:type="dxa"/>
        </w:tcPr>
        <w:p w:rsidR="0067631C" w:rsidRDefault="00C41490">
          <w:pPr>
            <w:tabs>
              <w:tab w:val="right" w:pos="8838"/>
            </w:tabs>
            <w:ind w:right="-105"/>
            <w:rPr>
              <w:b/>
            </w:rPr>
          </w:pPr>
          <w:r>
            <w:rPr>
              <w:b/>
            </w:rPr>
            <w:t>Recurso de Revisión:</w:t>
          </w:r>
        </w:p>
      </w:tc>
      <w:tc>
        <w:tcPr>
          <w:tcW w:w="4253" w:type="dxa"/>
        </w:tcPr>
        <w:p w:rsidR="0067631C" w:rsidRDefault="00C41490">
          <w:pPr>
            <w:tabs>
              <w:tab w:val="right" w:pos="8838"/>
            </w:tabs>
            <w:ind w:left="-111" w:right="-32"/>
          </w:pPr>
          <w:r>
            <w:t>05851/INFOEM/IP/RR/2025 y acumulado</w:t>
          </w:r>
        </w:p>
      </w:tc>
    </w:tr>
    <w:tr w:rsidR="0067631C">
      <w:trPr>
        <w:trHeight w:val="132"/>
      </w:trPr>
      <w:tc>
        <w:tcPr>
          <w:tcW w:w="2551" w:type="dxa"/>
        </w:tcPr>
        <w:p w:rsidR="0067631C" w:rsidRDefault="00C41490">
          <w:pPr>
            <w:tabs>
              <w:tab w:val="left" w:pos="1875"/>
            </w:tabs>
            <w:ind w:right="-105"/>
            <w:rPr>
              <w:b/>
            </w:rPr>
          </w:pPr>
          <w:r>
            <w:rPr>
              <w:b/>
            </w:rPr>
            <w:t>Recurrente:</w:t>
          </w:r>
          <w:r>
            <w:rPr>
              <w:b/>
            </w:rPr>
            <w:tab/>
          </w:r>
        </w:p>
      </w:tc>
      <w:tc>
        <w:tcPr>
          <w:tcW w:w="4253" w:type="dxa"/>
        </w:tcPr>
        <w:p w:rsidR="0067631C" w:rsidRDefault="005352C1">
          <w:pPr>
            <w:tabs>
              <w:tab w:val="right" w:pos="8838"/>
            </w:tabs>
            <w:ind w:left="-113"/>
          </w:pPr>
          <w:r w:rsidRPr="005352C1">
            <w:rPr>
              <w:highlight w:val="black"/>
            </w:rPr>
            <w:t>XXXXXXXXXXXXXXXXXX</w:t>
          </w:r>
        </w:p>
      </w:tc>
    </w:tr>
    <w:tr w:rsidR="0067631C">
      <w:trPr>
        <w:trHeight w:val="261"/>
      </w:trPr>
      <w:tc>
        <w:tcPr>
          <w:tcW w:w="2551" w:type="dxa"/>
        </w:tcPr>
        <w:p w:rsidR="0067631C" w:rsidRDefault="00C41490">
          <w:pPr>
            <w:tabs>
              <w:tab w:val="right" w:pos="8838"/>
            </w:tabs>
            <w:ind w:right="-105"/>
            <w:rPr>
              <w:b/>
            </w:rPr>
          </w:pPr>
          <w:r>
            <w:rPr>
              <w:b/>
            </w:rPr>
            <w:t>Sujeto Obligado:</w:t>
          </w:r>
        </w:p>
      </w:tc>
      <w:tc>
        <w:tcPr>
          <w:tcW w:w="4253" w:type="dxa"/>
        </w:tcPr>
        <w:p w:rsidR="0067631C" w:rsidRDefault="00C41490">
          <w:pPr>
            <w:tabs>
              <w:tab w:val="right" w:pos="8838"/>
            </w:tabs>
            <w:ind w:left="-111" w:right="-32"/>
          </w:pPr>
          <w:r>
            <w:t>Secretaría de la Contraloría</w:t>
          </w:r>
        </w:p>
      </w:tc>
    </w:tr>
    <w:tr w:rsidR="0067631C">
      <w:trPr>
        <w:trHeight w:val="261"/>
      </w:trPr>
      <w:tc>
        <w:tcPr>
          <w:tcW w:w="2551" w:type="dxa"/>
        </w:tcPr>
        <w:p w:rsidR="0067631C" w:rsidRDefault="00C41490">
          <w:pPr>
            <w:tabs>
              <w:tab w:val="right" w:pos="8838"/>
            </w:tabs>
            <w:ind w:right="-105"/>
            <w:rPr>
              <w:b/>
            </w:rPr>
          </w:pPr>
          <w:r>
            <w:rPr>
              <w:b/>
            </w:rPr>
            <w:t>Comisionado Ponente:</w:t>
          </w:r>
        </w:p>
      </w:tc>
      <w:tc>
        <w:tcPr>
          <w:tcW w:w="4253" w:type="dxa"/>
        </w:tcPr>
        <w:p w:rsidR="0067631C" w:rsidRDefault="00C41490">
          <w:pPr>
            <w:tabs>
              <w:tab w:val="right" w:pos="8838"/>
            </w:tabs>
            <w:ind w:left="-111" w:right="-32"/>
            <w:rPr>
              <w:b/>
            </w:rPr>
          </w:pPr>
          <w:r>
            <w:t>Luis Gustavo Parra Noriega</w:t>
          </w:r>
        </w:p>
      </w:tc>
    </w:tr>
  </w:tbl>
  <w:p w:rsidR="0067631C" w:rsidRDefault="00DC75B5">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A1E67"/>
    <w:multiLevelType w:val="multilevel"/>
    <w:tmpl w:val="FDE4D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DC1156"/>
    <w:multiLevelType w:val="multilevel"/>
    <w:tmpl w:val="AB20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356796"/>
    <w:multiLevelType w:val="multilevel"/>
    <w:tmpl w:val="6B5C08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640531"/>
    <w:multiLevelType w:val="multilevel"/>
    <w:tmpl w:val="8C0E9EA8"/>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1C"/>
    <w:rsid w:val="00172797"/>
    <w:rsid w:val="002458F6"/>
    <w:rsid w:val="0043004E"/>
    <w:rsid w:val="005352C1"/>
    <w:rsid w:val="0067631C"/>
    <w:rsid w:val="007561BA"/>
    <w:rsid w:val="00A00E6B"/>
    <w:rsid w:val="00AD64B6"/>
    <w:rsid w:val="00C41490"/>
    <w:rsid w:val="00DC7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3A89EC-8C2E-4D62-BDD9-0204F659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 w:type="paragraph" w:styleId="Textodeglobo">
    <w:name w:val="Balloon Text"/>
    <w:basedOn w:val="Normal"/>
    <w:link w:val="TextodegloboCar"/>
    <w:uiPriority w:val="99"/>
    <w:semiHidden/>
    <w:unhideWhenUsed/>
    <w:rsid w:val="00256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900"/>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172797"/>
    <w:pPr>
      <w:spacing w:before="240" w:after="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jrtygd/LwLKFv4CefperZbYkg==">CgMxLjAyDmgub2oyeWUyd2Nuc2M3MghoLmdqZGd4czIJaC4zMGowemxsOAByITFfdnNaQzhlNFRyd3ZZZEpwQTB1UzV6dTZVUUZoeEwwQg==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54EF7F-7900-42B7-A919-3FDB0854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7156</Words>
  <Characters>39362</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2025-10-24T01:22:00Z</cp:lastPrinted>
  <dcterms:created xsi:type="dcterms:W3CDTF">2025-10-24T01:22:00Z</dcterms:created>
  <dcterms:modified xsi:type="dcterms:W3CDTF">2025-10-31T00:29:00Z</dcterms:modified>
</cp:coreProperties>
</file>