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44B55" w14:textId="77777777" w:rsidR="005F3002" w:rsidRPr="007E60E3" w:rsidRDefault="008C4497">
      <w:pPr>
        <w:spacing w:line="360" w:lineRule="auto"/>
        <w:jc w:val="both"/>
        <w:rPr>
          <w:rFonts w:ascii="Palatino Linotype" w:eastAsia="Palatino Linotype" w:hAnsi="Palatino Linotype" w:cs="Palatino Linotype"/>
          <w:sz w:val="22"/>
          <w:szCs w:val="22"/>
        </w:rPr>
      </w:pPr>
      <w:r w:rsidRPr="00912D7F">
        <w:rPr>
          <w:rFonts w:ascii="Palatino Linotype" w:eastAsia="Palatino Linotype" w:hAnsi="Palatino Linotype" w:cs="Palatino Linotype"/>
          <w:sz w:val="22"/>
          <w:szCs w:val="22"/>
        </w:rPr>
        <w:t xml:space="preserve">                                                                                                                                                          </w:t>
      </w:r>
      <w:r w:rsidRPr="007E60E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veintiocho de mayo de dos mil veinticinco. </w:t>
      </w:r>
    </w:p>
    <w:p w14:paraId="422AB32D"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7B28A122" w14:textId="1E751D4E"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VISTO</w:t>
      </w:r>
      <w:r w:rsidRPr="007E60E3">
        <w:rPr>
          <w:rFonts w:ascii="Palatino Linotype" w:eastAsia="Palatino Linotype" w:hAnsi="Palatino Linotype" w:cs="Palatino Linotype"/>
          <w:sz w:val="22"/>
          <w:szCs w:val="22"/>
        </w:rPr>
        <w:t xml:space="preserve"> el expediente formado con motivo del recurso de revisión </w:t>
      </w:r>
      <w:r w:rsidRPr="007E60E3">
        <w:rPr>
          <w:rFonts w:ascii="Palatino Linotype" w:eastAsia="Palatino Linotype" w:hAnsi="Palatino Linotype" w:cs="Palatino Linotype"/>
          <w:b/>
          <w:sz w:val="22"/>
          <w:szCs w:val="22"/>
        </w:rPr>
        <w:t>03144/INFOEM/IP/RR/2025</w:t>
      </w:r>
      <w:r w:rsidRPr="007E60E3">
        <w:rPr>
          <w:rFonts w:ascii="Palatino Linotype" w:eastAsia="Palatino Linotype" w:hAnsi="Palatino Linotype" w:cs="Palatino Linotype"/>
          <w:sz w:val="22"/>
          <w:szCs w:val="22"/>
        </w:rPr>
        <w:t>, por</w:t>
      </w:r>
      <w:r w:rsidRPr="007E60E3">
        <w:rPr>
          <w:rFonts w:ascii="Palatino Linotype" w:eastAsia="Palatino Linotype" w:hAnsi="Palatino Linotype" w:cs="Palatino Linotype"/>
          <w:b/>
          <w:sz w:val="22"/>
          <w:szCs w:val="22"/>
        </w:rPr>
        <w:t xml:space="preserve"> </w:t>
      </w:r>
      <w:r w:rsidRPr="007E60E3">
        <w:rPr>
          <w:rFonts w:ascii="Palatino Linotype" w:eastAsia="Palatino Linotype" w:hAnsi="Palatino Linotype" w:cs="Palatino Linotype"/>
          <w:sz w:val="22"/>
          <w:szCs w:val="22"/>
        </w:rPr>
        <w:t>interpuesto por</w:t>
      </w:r>
      <w:r w:rsidRPr="007E60E3">
        <w:rPr>
          <w:rFonts w:ascii="Palatino Linotype" w:eastAsia="Palatino Linotype" w:hAnsi="Palatino Linotype" w:cs="Palatino Linotype"/>
          <w:b/>
          <w:sz w:val="22"/>
          <w:szCs w:val="22"/>
        </w:rPr>
        <w:t xml:space="preserve"> </w:t>
      </w:r>
      <w:r w:rsidR="00F21354" w:rsidRPr="00F21354">
        <w:rPr>
          <w:rFonts w:ascii="Palatino Linotype" w:eastAsia="Palatino Linotype" w:hAnsi="Palatino Linotype" w:cs="Palatino Linotype"/>
          <w:b/>
          <w:sz w:val="22"/>
          <w:szCs w:val="22"/>
        </w:rPr>
        <w:t>XXXX XXXXXX XXXXX</w:t>
      </w:r>
      <w:r w:rsidRPr="007E60E3">
        <w:rPr>
          <w:rFonts w:ascii="Palatino Linotype" w:eastAsia="Palatino Linotype" w:hAnsi="Palatino Linotype" w:cs="Palatino Linotype"/>
          <w:b/>
          <w:sz w:val="22"/>
          <w:szCs w:val="22"/>
        </w:rPr>
        <w:t xml:space="preserve">, </w:t>
      </w:r>
      <w:r w:rsidRPr="007E60E3">
        <w:rPr>
          <w:rFonts w:ascii="Palatino Linotype" w:eastAsia="Palatino Linotype" w:hAnsi="Palatino Linotype" w:cs="Palatino Linotype"/>
          <w:sz w:val="22"/>
          <w:szCs w:val="22"/>
        </w:rPr>
        <w:t xml:space="preserve">en lo sucesivo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 xml:space="preserve"> en contra de la respuesta a su solicitud por parte del </w:t>
      </w:r>
      <w:r w:rsidRPr="007E60E3">
        <w:rPr>
          <w:rFonts w:ascii="Palatino Linotype" w:eastAsia="Palatino Linotype" w:hAnsi="Palatino Linotype" w:cs="Palatino Linotype"/>
          <w:b/>
          <w:sz w:val="22"/>
          <w:szCs w:val="22"/>
        </w:rPr>
        <w:t xml:space="preserve">Ayuntamiento de Chalco, </w:t>
      </w:r>
      <w:r w:rsidRPr="007E60E3">
        <w:rPr>
          <w:rFonts w:ascii="Palatino Linotype" w:eastAsia="Palatino Linotype" w:hAnsi="Palatino Linotype" w:cs="Palatino Linotype"/>
          <w:sz w:val="22"/>
          <w:szCs w:val="22"/>
        </w:rPr>
        <w:t xml:space="preserve">en lo sucesivo el </w:t>
      </w:r>
      <w:r w:rsidRPr="007E60E3">
        <w:rPr>
          <w:rFonts w:ascii="Palatino Linotype" w:eastAsia="Palatino Linotype" w:hAnsi="Palatino Linotype" w:cs="Palatino Linotype"/>
          <w:b/>
          <w:sz w:val="22"/>
          <w:szCs w:val="22"/>
        </w:rPr>
        <w:t xml:space="preserve">Sujeto Obligado, </w:t>
      </w:r>
      <w:r w:rsidRPr="007E60E3">
        <w:rPr>
          <w:rFonts w:ascii="Palatino Linotype" w:eastAsia="Palatino Linotype" w:hAnsi="Palatino Linotype" w:cs="Palatino Linotype"/>
          <w:sz w:val="22"/>
          <w:szCs w:val="22"/>
        </w:rPr>
        <w:t xml:space="preserve">se procede a dictar la presente resolución con base en los siguientes:  </w:t>
      </w:r>
    </w:p>
    <w:p w14:paraId="60BA82BF" w14:textId="77777777" w:rsidR="005F3002" w:rsidRPr="007E60E3" w:rsidRDefault="008C4497">
      <w:pPr>
        <w:spacing w:line="360" w:lineRule="auto"/>
        <w:jc w:val="center"/>
        <w:rPr>
          <w:rFonts w:ascii="Palatino Linotype" w:eastAsia="Palatino Linotype" w:hAnsi="Palatino Linotype" w:cs="Palatino Linotype"/>
          <w:b/>
          <w:sz w:val="22"/>
          <w:szCs w:val="22"/>
        </w:rPr>
      </w:pPr>
      <w:r w:rsidRPr="007E60E3">
        <w:rPr>
          <w:rFonts w:ascii="Palatino Linotype" w:eastAsia="Palatino Linotype" w:hAnsi="Palatino Linotype" w:cs="Palatino Linotype"/>
          <w:b/>
          <w:sz w:val="22"/>
          <w:szCs w:val="22"/>
        </w:rPr>
        <w:t>I. A N T E C E D E N T E S</w:t>
      </w:r>
    </w:p>
    <w:p w14:paraId="6E36BAB7"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1. Solicitud de acceso a la información.</w:t>
      </w:r>
      <w:r w:rsidRPr="007E60E3">
        <w:rPr>
          <w:rFonts w:ascii="Palatino Linotype" w:eastAsia="Palatino Linotype" w:hAnsi="Palatino Linotype" w:cs="Palatino Linotype"/>
          <w:sz w:val="22"/>
          <w:szCs w:val="22"/>
        </w:rPr>
        <w:t xml:space="preserve"> Con fecha </w:t>
      </w:r>
      <w:r w:rsidRPr="007E60E3">
        <w:rPr>
          <w:rFonts w:ascii="Palatino Linotype" w:eastAsia="Palatino Linotype" w:hAnsi="Palatino Linotype" w:cs="Palatino Linotype"/>
          <w:b/>
          <w:sz w:val="22"/>
          <w:szCs w:val="22"/>
        </w:rPr>
        <w:t>diecinueve de febrero de dos mil veinticinco</w:t>
      </w:r>
      <w:r w:rsidRPr="007E60E3">
        <w:rPr>
          <w:rFonts w:ascii="Palatino Linotype" w:eastAsia="Palatino Linotype" w:hAnsi="Palatino Linotype" w:cs="Palatino Linotype"/>
          <w:sz w:val="22"/>
          <w:szCs w:val="22"/>
        </w:rPr>
        <w:t xml:space="preserve">,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 xml:space="preserve"> formuló una solicitud, a través del Sistema de Acceso a la Información Mexiquense, en lo subsecuente el </w:t>
      </w:r>
      <w:r w:rsidRPr="007E60E3">
        <w:rPr>
          <w:rFonts w:ascii="Palatino Linotype" w:eastAsia="Palatino Linotype" w:hAnsi="Palatino Linotype" w:cs="Palatino Linotype"/>
          <w:b/>
          <w:sz w:val="22"/>
          <w:szCs w:val="22"/>
        </w:rPr>
        <w:t>SAIMEX,</w:t>
      </w:r>
      <w:r w:rsidRPr="007E60E3">
        <w:rPr>
          <w:rFonts w:ascii="Palatino Linotype" w:eastAsia="Palatino Linotype" w:hAnsi="Palatino Linotype" w:cs="Palatino Linotype"/>
          <w:sz w:val="22"/>
          <w:szCs w:val="22"/>
        </w:rPr>
        <w:t xml:space="preserve"> ante 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la solicitud de acceso a la información pública, a la que se le asignó el número</w:t>
      </w:r>
      <w:r w:rsidRPr="007E60E3">
        <w:rPr>
          <w:rFonts w:ascii="Palatino Linotype" w:eastAsia="Palatino Linotype" w:hAnsi="Palatino Linotype" w:cs="Palatino Linotype"/>
          <w:b/>
          <w:sz w:val="22"/>
          <w:szCs w:val="22"/>
        </w:rPr>
        <w:t xml:space="preserve"> 00052/CHALCO/IP/2025, </w:t>
      </w:r>
      <w:r w:rsidRPr="007E60E3">
        <w:rPr>
          <w:rFonts w:ascii="Palatino Linotype" w:eastAsia="Palatino Linotype" w:hAnsi="Palatino Linotype" w:cs="Palatino Linotype"/>
          <w:sz w:val="22"/>
          <w:szCs w:val="22"/>
        </w:rPr>
        <w:t xml:space="preserve">mediante la cual requirió la información siguiente:  </w:t>
      </w:r>
    </w:p>
    <w:p w14:paraId="44A5FCCF" w14:textId="77777777" w:rsidR="005F3002" w:rsidRPr="007E60E3" w:rsidRDefault="005F3002">
      <w:pPr>
        <w:ind w:left="851" w:right="616"/>
        <w:jc w:val="both"/>
        <w:rPr>
          <w:rFonts w:ascii="Palatino Linotype" w:eastAsia="Palatino Linotype" w:hAnsi="Palatino Linotype" w:cs="Palatino Linotype"/>
          <w:i/>
          <w:sz w:val="22"/>
          <w:szCs w:val="22"/>
        </w:rPr>
      </w:pPr>
      <w:bookmarkStart w:id="0" w:name="_heading=h.gjdgxs" w:colFirst="0" w:colLast="0"/>
      <w:bookmarkEnd w:id="0"/>
    </w:p>
    <w:p w14:paraId="2EE074A1"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“Solicito en versión PDF los documentos que correspondan a la </w:t>
      </w:r>
      <w:proofErr w:type="spellStart"/>
      <w:r w:rsidRPr="007E60E3">
        <w:rPr>
          <w:rFonts w:ascii="Palatino Linotype" w:eastAsia="Palatino Linotype" w:hAnsi="Palatino Linotype" w:cs="Palatino Linotype"/>
          <w:i/>
          <w:sz w:val="22"/>
          <w:szCs w:val="22"/>
        </w:rPr>
        <w:t>Nomina</w:t>
      </w:r>
      <w:proofErr w:type="spellEnd"/>
      <w:r w:rsidRPr="007E60E3">
        <w:rPr>
          <w:rFonts w:ascii="Palatino Linotype" w:eastAsia="Palatino Linotype" w:hAnsi="Palatino Linotype" w:cs="Palatino Linotype"/>
          <w:i/>
          <w:sz w:val="22"/>
          <w:szCs w:val="22"/>
        </w:rPr>
        <w:t xml:space="preserve"> de la Primera y Segunda Quincena de Enero y Primera Quincena de Febrero del año 2025, la cual solicito en versión publica, en formato PDF, de todos los Servidores Públicos que se encuentran laborando en </w:t>
      </w:r>
      <w:proofErr w:type="spellStart"/>
      <w:r w:rsidRPr="007E60E3">
        <w:rPr>
          <w:rFonts w:ascii="Palatino Linotype" w:eastAsia="Palatino Linotype" w:hAnsi="Palatino Linotype" w:cs="Palatino Linotype"/>
          <w:i/>
          <w:sz w:val="22"/>
          <w:szCs w:val="22"/>
        </w:rPr>
        <w:t>nomina</w:t>
      </w:r>
      <w:proofErr w:type="spellEnd"/>
      <w:r w:rsidRPr="007E60E3">
        <w:rPr>
          <w:rFonts w:ascii="Palatino Linotype" w:eastAsia="Palatino Linotype" w:hAnsi="Palatino Linotype" w:cs="Palatino Linotype"/>
          <w:i/>
          <w:sz w:val="22"/>
          <w:szCs w:val="22"/>
        </w:rPr>
        <w:t>, sindicato, de confianza, honorarios, etc.” (Sic)</w:t>
      </w:r>
    </w:p>
    <w:p w14:paraId="73E71FC0" w14:textId="77777777" w:rsidR="005F3002" w:rsidRPr="007E60E3" w:rsidRDefault="005F3002">
      <w:pPr>
        <w:ind w:left="851" w:right="902"/>
        <w:jc w:val="both"/>
        <w:rPr>
          <w:rFonts w:ascii="Palatino Linotype" w:eastAsia="Palatino Linotype" w:hAnsi="Palatino Linotype" w:cs="Palatino Linotype"/>
          <w:i/>
          <w:sz w:val="22"/>
          <w:szCs w:val="22"/>
        </w:rPr>
      </w:pPr>
    </w:p>
    <w:p w14:paraId="04B9EBBC"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Modalidad de Entrega:</w:t>
      </w:r>
      <w:r w:rsidRPr="007E60E3">
        <w:rPr>
          <w:rFonts w:ascii="Palatino Linotype" w:eastAsia="Palatino Linotype" w:hAnsi="Palatino Linotype" w:cs="Palatino Linotype"/>
          <w:sz w:val="22"/>
          <w:szCs w:val="22"/>
        </w:rPr>
        <w:t xml:space="preserve"> A través de SAIMEX.</w:t>
      </w:r>
    </w:p>
    <w:p w14:paraId="6B953CD2"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574B46F7" w14:textId="77777777" w:rsidR="005F3002" w:rsidRPr="007E60E3" w:rsidRDefault="008C4497">
      <w:pPr>
        <w:spacing w:line="360" w:lineRule="auto"/>
        <w:jc w:val="both"/>
        <w:rPr>
          <w:rFonts w:ascii="Palatino Linotype" w:eastAsia="Palatino Linotype" w:hAnsi="Palatino Linotype" w:cs="Palatino Linotype"/>
          <w:b/>
          <w:sz w:val="22"/>
          <w:szCs w:val="22"/>
        </w:rPr>
      </w:pPr>
      <w:r w:rsidRPr="007E60E3">
        <w:rPr>
          <w:rFonts w:ascii="Palatino Linotype" w:eastAsia="Palatino Linotype" w:hAnsi="Palatino Linotype" w:cs="Palatino Linotype"/>
          <w:b/>
          <w:sz w:val="22"/>
          <w:szCs w:val="22"/>
        </w:rPr>
        <w:t xml:space="preserve">2. Respuesta. </w:t>
      </w:r>
      <w:r w:rsidRPr="007E60E3">
        <w:rPr>
          <w:rFonts w:ascii="Palatino Linotype" w:eastAsia="Palatino Linotype" w:hAnsi="Palatino Linotype" w:cs="Palatino Linotype"/>
          <w:sz w:val="22"/>
          <w:szCs w:val="22"/>
        </w:rPr>
        <w:t xml:space="preserve">Con fecha </w:t>
      </w:r>
      <w:r w:rsidRPr="007E60E3">
        <w:rPr>
          <w:rFonts w:ascii="Palatino Linotype" w:eastAsia="Palatino Linotype" w:hAnsi="Palatino Linotype" w:cs="Palatino Linotype"/>
          <w:b/>
          <w:sz w:val="22"/>
          <w:szCs w:val="22"/>
        </w:rPr>
        <w:t>trece de marzo de dos mil veinticinco</w:t>
      </w:r>
      <w:r w:rsidRPr="007E60E3">
        <w:rPr>
          <w:rFonts w:ascii="Palatino Linotype" w:eastAsia="Palatino Linotype" w:hAnsi="Palatino Linotype" w:cs="Palatino Linotype"/>
          <w:sz w:val="22"/>
          <w:szCs w:val="22"/>
        </w:rPr>
        <w:t xml:space="preserve">, el </w:t>
      </w:r>
      <w:r w:rsidRPr="007E60E3">
        <w:rPr>
          <w:rFonts w:ascii="Palatino Linotype" w:eastAsia="Palatino Linotype" w:hAnsi="Palatino Linotype" w:cs="Palatino Linotype"/>
          <w:b/>
          <w:sz w:val="22"/>
          <w:szCs w:val="22"/>
        </w:rPr>
        <w:t xml:space="preserve">SUJETO OBLIGADO </w:t>
      </w:r>
      <w:r w:rsidRPr="007E60E3">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7DEE432D"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38940032" w14:textId="77777777" w:rsidR="005F3002" w:rsidRPr="007E60E3" w:rsidRDefault="005F3002">
      <w:pPr>
        <w:ind w:left="851" w:right="616"/>
        <w:jc w:val="both"/>
        <w:rPr>
          <w:rFonts w:ascii="Palatino Linotype" w:eastAsia="Palatino Linotype" w:hAnsi="Palatino Linotype" w:cs="Palatino Linotype"/>
          <w:i/>
          <w:sz w:val="22"/>
          <w:szCs w:val="22"/>
        </w:rPr>
      </w:pPr>
    </w:p>
    <w:p w14:paraId="20D858E8"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En seguimiento a la solicitud de información registrada con el número de folio 00052/CHALCO/IP/2025, al respecto le informo que, la responsable de atender su requerimiento de información fue la </w:t>
      </w:r>
      <w:proofErr w:type="spellStart"/>
      <w:r w:rsidRPr="007E60E3">
        <w:rPr>
          <w:rFonts w:ascii="Palatino Linotype" w:eastAsia="Palatino Linotype" w:hAnsi="Palatino Linotype" w:cs="Palatino Linotype"/>
          <w:i/>
          <w:sz w:val="22"/>
          <w:szCs w:val="22"/>
        </w:rPr>
        <w:t>Lic</w:t>
      </w:r>
      <w:proofErr w:type="spellEnd"/>
      <w:r w:rsidRPr="007E60E3">
        <w:rPr>
          <w:rFonts w:ascii="Palatino Linotype" w:eastAsia="Palatino Linotype" w:hAnsi="Palatino Linotype" w:cs="Palatino Linotype"/>
          <w:i/>
          <w:sz w:val="22"/>
          <w:szCs w:val="22"/>
        </w:rPr>
        <w:t xml:space="preserve">, Lidia Vega Luna, </w:t>
      </w:r>
      <w:r w:rsidRPr="007E60E3">
        <w:rPr>
          <w:rFonts w:ascii="Palatino Linotype" w:eastAsia="Palatino Linotype" w:hAnsi="Palatino Linotype" w:cs="Palatino Linotype"/>
          <w:b/>
          <w:i/>
          <w:sz w:val="22"/>
          <w:szCs w:val="22"/>
        </w:rPr>
        <w:t>Directora de Administración</w:t>
      </w:r>
      <w:r w:rsidRPr="007E60E3">
        <w:rPr>
          <w:rFonts w:ascii="Palatino Linotype" w:eastAsia="Palatino Linotype" w:hAnsi="Palatino Linotype" w:cs="Palatino Linotype"/>
          <w:i/>
          <w:sz w:val="22"/>
          <w:szCs w:val="22"/>
        </w:rPr>
        <w:t xml:space="preserve">; Quien emitió respuesta en los siguientes términos: “ Con fundamento en lo que dispone el artículo 12 de la Ley de Transparencia y Acceso a la Información del Estado de México y Municipios, se le refiere que, </w:t>
      </w:r>
      <w:r w:rsidRPr="007E60E3">
        <w:rPr>
          <w:rFonts w:ascii="Palatino Linotype" w:eastAsia="Palatino Linotype" w:hAnsi="Palatino Linotype" w:cs="Palatino Linotype"/>
          <w:b/>
          <w:i/>
          <w:sz w:val="22"/>
          <w:szCs w:val="22"/>
        </w:rPr>
        <w:t>después de una búsqueda dentro de los archivos físicos y digitales que obran en la Subdirección de Recursos Humanos dependiente de esta Dirección, se le anexa a la presente de manera digital en formato PDF, la copia simple de la primera y segunda quincena del mes de enero y de la primera quincena del mes de febrero 2025</w:t>
      </w:r>
      <w:r w:rsidRPr="007E60E3">
        <w:rPr>
          <w:rFonts w:ascii="Palatino Linotype" w:eastAsia="Palatino Linotype" w:hAnsi="Palatino Linotype" w:cs="Palatino Linotype"/>
          <w:i/>
          <w:sz w:val="22"/>
          <w:szCs w:val="22"/>
        </w:rPr>
        <w:t xml:space="preserve">. Por lo anterior, dichas documentales se adjuntan </w:t>
      </w:r>
      <w:r w:rsidRPr="007E60E3">
        <w:rPr>
          <w:rFonts w:ascii="Palatino Linotype" w:eastAsia="Palatino Linotype" w:hAnsi="Palatino Linotype" w:cs="Palatino Linotype"/>
          <w:b/>
          <w:i/>
          <w:sz w:val="22"/>
          <w:szCs w:val="22"/>
        </w:rPr>
        <w:t>en Versión Pública las cuales fueron aprobadas a través del Acuerdo CHALCO/CTMCH/EXT/05/QUINTO de la Quinta Sesión Extraordinaria del Comité de Transparencia del Gobierno de Chalco 2025-2027</w:t>
      </w:r>
      <w:r w:rsidRPr="007E60E3">
        <w:rPr>
          <w:rFonts w:ascii="Palatino Linotype" w:eastAsia="Palatino Linotype" w:hAnsi="Palatino Linotype" w:cs="Palatino Linotype"/>
          <w:i/>
          <w:sz w:val="22"/>
          <w:szCs w:val="22"/>
        </w:rPr>
        <w:t>” 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y 178 de la Ley de la materia, en caso de considerar que la respuesta es desfavorable a su solicitud.</w:t>
      </w:r>
    </w:p>
    <w:p w14:paraId="26D76E7C"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ATENTAMENTE</w:t>
      </w:r>
    </w:p>
    <w:p w14:paraId="31B65959"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LIC. ANA MARÍA MORALES AROCHI” (Sic)</w:t>
      </w:r>
    </w:p>
    <w:p w14:paraId="3B8E7E0E"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6486A6F1"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adjuntó los siguientes archivos electrónicos:</w:t>
      </w:r>
    </w:p>
    <w:p w14:paraId="1CBF4CCF" w14:textId="77777777" w:rsidR="005F3002" w:rsidRPr="007E60E3" w:rsidRDefault="008C4497">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SEGUNDA QUINCENA ENERO.pdf:</w:t>
      </w:r>
      <w:r w:rsidRPr="007E60E3">
        <w:rPr>
          <w:rFonts w:ascii="Palatino Linotype" w:eastAsia="Palatino Linotype" w:hAnsi="Palatino Linotype" w:cs="Palatino Linotype"/>
          <w:sz w:val="22"/>
          <w:szCs w:val="22"/>
        </w:rPr>
        <w:t xml:space="preserve"> contiene la Nómina de la Segunda quincena de enero de dos mil veinticinco del Ayuntamiento de Chalco, consistente en cinco fojas. </w:t>
      </w:r>
    </w:p>
    <w:p w14:paraId="71F27232" w14:textId="77777777" w:rsidR="005F3002" w:rsidRPr="007E60E3" w:rsidRDefault="008C4497">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PRIMERA QUINCENA FEBRERO.pdf:</w:t>
      </w:r>
      <w:r w:rsidRPr="007E60E3">
        <w:rPr>
          <w:rFonts w:ascii="Palatino Linotype" w:eastAsia="Palatino Linotype" w:hAnsi="Palatino Linotype" w:cs="Palatino Linotype"/>
          <w:sz w:val="22"/>
          <w:szCs w:val="22"/>
        </w:rPr>
        <w:t xml:space="preserve"> contiene la Nómina de la Primera quincena de febrero de dos mil veinticinco del Ayuntamiento de Chalco, consistente en seis fojas. </w:t>
      </w:r>
    </w:p>
    <w:p w14:paraId="7D13CF90" w14:textId="77777777" w:rsidR="005F3002" w:rsidRPr="007E60E3" w:rsidRDefault="008C4497">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lastRenderedPageBreak/>
        <w:t>PRIMERA QUINCENA ENERO.pdf</w:t>
      </w:r>
      <w:r w:rsidRPr="007E60E3">
        <w:rPr>
          <w:rFonts w:ascii="Palatino Linotype" w:eastAsia="Palatino Linotype" w:hAnsi="Palatino Linotype" w:cs="Palatino Linotype"/>
          <w:sz w:val="22"/>
          <w:szCs w:val="22"/>
        </w:rPr>
        <w:t>: contiene la Nómina de la Primera quincena de enero de dos mil veinticinco del Ayuntamiento de Chalco, consistente en cuatro fojas.</w:t>
      </w:r>
    </w:p>
    <w:p w14:paraId="7C0EBAA0" w14:textId="77777777" w:rsidR="005F3002" w:rsidRPr="007E60E3" w:rsidRDefault="008C4497">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Quinta Sesión Extraordinaria.pdf</w:t>
      </w:r>
      <w:r w:rsidRPr="007E60E3">
        <w:rPr>
          <w:rFonts w:ascii="Palatino Linotype" w:eastAsia="Palatino Linotype" w:hAnsi="Palatino Linotype" w:cs="Palatino Linotype"/>
          <w:sz w:val="22"/>
          <w:szCs w:val="22"/>
        </w:rPr>
        <w:t xml:space="preserve">: Acta de la Quinta Sesión Extra Ordinaria del Comité de Transparencia Municipal de Chalco 2025-2027, de fecha seis de marzo del año dos mil veinticinco, misma en la que se aprobó la clasificación de la información como confidencial, referente a los datos personales en la nómina correspondiente a la segunda quincena de enero y primera quincena de febrero del 2025. </w:t>
      </w:r>
    </w:p>
    <w:p w14:paraId="5C1A7AF1" w14:textId="77777777" w:rsidR="005F3002" w:rsidRPr="007E60E3" w:rsidRDefault="005F3002">
      <w:pPr>
        <w:spacing w:line="360" w:lineRule="auto"/>
        <w:ind w:right="49"/>
        <w:jc w:val="both"/>
        <w:rPr>
          <w:rFonts w:ascii="Palatino Linotype" w:eastAsia="Palatino Linotype" w:hAnsi="Palatino Linotype" w:cs="Palatino Linotype"/>
          <w:b/>
          <w:sz w:val="22"/>
          <w:szCs w:val="22"/>
        </w:rPr>
      </w:pPr>
    </w:p>
    <w:p w14:paraId="7EEB6243"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 xml:space="preserve">3. Interposición del recurso de revisión. </w:t>
      </w:r>
      <w:r w:rsidRPr="007E60E3">
        <w:rPr>
          <w:rFonts w:ascii="Palatino Linotype" w:eastAsia="Palatino Linotype" w:hAnsi="Palatino Linotype" w:cs="Palatino Linotype"/>
          <w:sz w:val="22"/>
          <w:szCs w:val="22"/>
        </w:rPr>
        <w:t xml:space="preserve">Inconforme con los términos de la respuesta emitida por parte del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el </w:t>
      </w:r>
      <w:r w:rsidR="000A7D9F" w:rsidRPr="007E60E3">
        <w:rPr>
          <w:rFonts w:ascii="Palatino Linotype" w:eastAsia="Palatino Linotype" w:hAnsi="Palatino Linotype" w:cs="Palatino Linotype"/>
          <w:b/>
          <w:sz w:val="22"/>
          <w:szCs w:val="22"/>
        </w:rPr>
        <w:t>dieciocho de marzo</w:t>
      </w:r>
      <w:r w:rsidRPr="007E60E3">
        <w:rPr>
          <w:rFonts w:ascii="Palatino Linotype" w:eastAsia="Palatino Linotype" w:hAnsi="Palatino Linotype" w:cs="Palatino Linotype"/>
          <w:b/>
          <w:sz w:val="22"/>
          <w:szCs w:val="22"/>
        </w:rPr>
        <w:t xml:space="preserve"> del año dos mil veinticinco,</w:t>
      </w:r>
      <w:r w:rsidRPr="007E60E3">
        <w:rPr>
          <w:rFonts w:ascii="Palatino Linotype" w:eastAsia="Palatino Linotype" w:hAnsi="Palatino Linotype" w:cs="Palatino Linotype"/>
          <w:sz w:val="22"/>
          <w:szCs w:val="22"/>
        </w:rPr>
        <w:t xml:space="preserve">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 xml:space="preserve"> interpuso el recurso de revisión a través de </w:t>
      </w:r>
      <w:r w:rsidRPr="007E60E3">
        <w:rPr>
          <w:rFonts w:ascii="Palatino Linotype" w:eastAsia="Palatino Linotype" w:hAnsi="Palatino Linotype" w:cs="Palatino Linotype"/>
          <w:b/>
          <w:sz w:val="22"/>
          <w:szCs w:val="22"/>
        </w:rPr>
        <w:t xml:space="preserve">SAIMEX, </w:t>
      </w:r>
      <w:r w:rsidRPr="007E60E3">
        <w:rPr>
          <w:rFonts w:ascii="Palatino Linotype" w:eastAsia="Palatino Linotype" w:hAnsi="Palatino Linotype" w:cs="Palatino Linotype"/>
          <w:sz w:val="22"/>
          <w:szCs w:val="22"/>
        </w:rPr>
        <w:t>en donde se manifestó de la siguiente manera:</w:t>
      </w:r>
    </w:p>
    <w:p w14:paraId="2725A811" w14:textId="77777777" w:rsidR="005F3002" w:rsidRPr="007E60E3" w:rsidRDefault="008C4497">
      <w:pPr>
        <w:pBdr>
          <w:top w:val="nil"/>
          <w:left w:val="nil"/>
          <w:bottom w:val="nil"/>
          <w:right w:val="nil"/>
          <w:between w:val="nil"/>
        </w:pBdr>
        <w:tabs>
          <w:tab w:val="left" w:pos="2745"/>
        </w:tabs>
        <w:spacing w:line="360" w:lineRule="auto"/>
        <w:ind w:left="851" w:right="616"/>
        <w:jc w:val="both"/>
        <w:rPr>
          <w:rFonts w:ascii="Palatino Linotype" w:eastAsia="Palatino Linotype" w:hAnsi="Palatino Linotype" w:cs="Palatino Linotype"/>
          <w:b/>
          <w:sz w:val="22"/>
          <w:szCs w:val="22"/>
        </w:rPr>
      </w:pPr>
      <w:r w:rsidRPr="007E60E3">
        <w:rPr>
          <w:rFonts w:ascii="Palatino Linotype" w:eastAsia="Palatino Linotype" w:hAnsi="Palatino Linotype" w:cs="Palatino Linotype"/>
          <w:b/>
          <w:sz w:val="22"/>
          <w:szCs w:val="22"/>
        </w:rPr>
        <w:t xml:space="preserve">Acto impugnado: </w:t>
      </w:r>
    </w:p>
    <w:p w14:paraId="6AAD543D"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“Respuesta a la solicitud” (Sic)</w:t>
      </w:r>
    </w:p>
    <w:p w14:paraId="16858D9E" w14:textId="77777777" w:rsidR="005F3002" w:rsidRPr="007E60E3" w:rsidRDefault="005F3002">
      <w:pPr>
        <w:ind w:left="851" w:right="616"/>
        <w:jc w:val="both"/>
        <w:rPr>
          <w:rFonts w:ascii="Palatino Linotype" w:eastAsia="Palatino Linotype" w:hAnsi="Palatino Linotype" w:cs="Palatino Linotype"/>
          <w:i/>
          <w:sz w:val="22"/>
          <w:szCs w:val="22"/>
        </w:rPr>
      </w:pPr>
    </w:p>
    <w:p w14:paraId="1C9697A1" w14:textId="77777777" w:rsidR="005F3002" w:rsidRPr="007E60E3" w:rsidRDefault="008C4497">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Razones o motivos de inconformidad</w:t>
      </w:r>
      <w:r w:rsidRPr="007E60E3">
        <w:rPr>
          <w:rFonts w:ascii="Palatino Linotype" w:eastAsia="Palatino Linotype" w:hAnsi="Palatino Linotype" w:cs="Palatino Linotype"/>
          <w:sz w:val="22"/>
          <w:szCs w:val="22"/>
        </w:rPr>
        <w:t>:</w:t>
      </w:r>
    </w:p>
    <w:p w14:paraId="5843BBED"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bookmarkStart w:id="1" w:name="_heading=h.30j0zll" w:colFirst="0" w:colLast="0"/>
      <w:bookmarkEnd w:id="1"/>
      <w:r w:rsidRPr="007E60E3">
        <w:rPr>
          <w:rFonts w:ascii="Palatino Linotype" w:eastAsia="Palatino Linotype" w:hAnsi="Palatino Linotype" w:cs="Palatino Linotype"/>
          <w:i/>
          <w:sz w:val="22"/>
          <w:szCs w:val="22"/>
        </w:rPr>
        <w:t>“Los archivos contenidos en la respuesta no son legibles y se denota mala fe de la autoridad para permitir el acceso a la información.” (Sic)</w:t>
      </w:r>
    </w:p>
    <w:p w14:paraId="398D5508" w14:textId="77777777" w:rsidR="005F3002" w:rsidRPr="007E60E3" w:rsidRDefault="005F300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7E03D6E4" w14:textId="77777777" w:rsidR="005F3002" w:rsidRPr="007E60E3" w:rsidRDefault="008C4497">
      <w:pPr>
        <w:spacing w:line="360" w:lineRule="auto"/>
        <w:ind w:right="51"/>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 xml:space="preserve">4. Turno. </w:t>
      </w:r>
      <w:r w:rsidRPr="007E60E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E60E3">
        <w:rPr>
          <w:rFonts w:ascii="Palatino Linotype" w:eastAsia="Palatino Linotype" w:hAnsi="Palatino Linotype" w:cs="Palatino Linotype"/>
          <w:b/>
          <w:sz w:val="22"/>
          <w:szCs w:val="22"/>
        </w:rPr>
        <w:t xml:space="preserve">Guadalupe Ramírez Peña, </w:t>
      </w:r>
      <w:r w:rsidRPr="007E60E3">
        <w:rPr>
          <w:rFonts w:ascii="Palatino Linotype" w:eastAsia="Palatino Linotype" w:hAnsi="Palatino Linotype" w:cs="Palatino Linotype"/>
          <w:sz w:val="22"/>
          <w:szCs w:val="22"/>
        </w:rPr>
        <w:t xml:space="preserve">a efecto de que analizara sobre su admisión o su </w:t>
      </w:r>
      <w:proofErr w:type="spellStart"/>
      <w:r w:rsidRPr="007E60E3">
        <w:rPr>
          <w:rFonts w:ascii="Palatino Linotype" w:eastAsia="Palatino Linotype" w:hAnsi="Palatino Linotype" w:cs="Palatino Linotype"/>
          <w:sz w:val="22"/>
          <w:szCs w:val="22"/>
        </w:rPr>
        <w:t>desechamiento</w:t>
      </w:r>
      <w:proofErr w:type="spellEnd"/>
      <w:r w:rsidRPr="007E60E3">
        <w:rPr>
          <w:rFonts w:ascii="Palatino Linotype" w:eastAsia="Palatino Linotype" w:hAnsi="Palatino Linotype" w:cs="Palatino Linotype"/>
          <w:sz w:val="22"/>
          <w:szCs w:val="22"/>
        </w:rPr>
        <w:t>.</w:t>
      </w:r>
    </w:p>
    <w:p w14:paraId="7457D180" w14:textId="77777777" w:rsidR="005F3002" w:rsidRPr="007E60E3" w:rsidRDefault="005F3002">
      <w:pPr>
        <w:spacing w:line="360" w:lineRule="auto"/>
        <w:ind w:right="51"/>
        <w:jc w:val="both"/>
        <w:rPr>
          <w:rFonts w:ascii="Palatino Linotype" w:eastAsia="Palatino Linotype" w:hAnsi="Palatino Linotype" w:cs="Palatino Linotype"/>
          <w:sz w:val="22"/>
          <w:szCs w:val="22"/>
        </w:rPr>
      </w:pPr>
    </w:p>
    <w:p w14:paraId="680D1242"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lastRenderedPageBreak/>
        <w:t>5. Admisión del Recurso de revisión.</w:t>
      </w:r>
      <w:r w:rsidRPr="007E60E3">
        <w:rPr>
          <w:rFonts w:ascii="Palatino Linotype" w:eastAsia="Palatino Linotype" w:hAnsi="Palatino Linotype" w:cs="Palatino Linotype"/>
          <w:sz w:val="22"/>
          <w:szCs w:val="22"/>
        </w:rPr>
        <w:t xml:space="preserve"> Con fecha</w:t>
      </w:r>
      <w:r w:rsidRPr="007E60E3">
        <w:rPr>
          <w:rFonts w:ascii="Palatino Linotype" w:eastAsia="Palatino Linotype" w:hAnsi="Palatino Linotype" w:cs="Palatino Linotype"/>
          <w:b/>
          <w:sz w:val="22"/>
          <w:szCs w:val="22"/>
        </w:rPr>
        <w:t xml:space="preserve"> veintiuno de marzo de dos mil veinticinco, </w:t>
      </w:r>
      <w:r w:rsidRPr="007E60E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E60E3">
        <w:rPr>
          <w:rFonts w:ascii="Palatino Linotype" w:eastAsia="Palatino Linotype" w:hAnsi="Palatino Linotype" w:cs="Palatino Linotype"/>
          <w:b/>
          <w:sz w:val="22"/>
          <w:szCs w:val="22"/>
        </w:rPr>
        <w:t xml:space="preserve">Sujeto Obligado </w:t>
      </w:r>
      <w:r w:rsidRPr="007E60E3">
        <w:rPr>
          <w:rFonts w:ascii="Palatino Linotype" w:eastAsia="Palatino Linotype" w:hAnsi="Palatino Linotype" w:cs="Palatino Linotype"/>
          <w:sz w:val="22"/>
          <w:szCs w:val="22"/>
        </w:rPr>
        <w:t>presentara su informe justificado.</w:t>
      </w:r>
    </w:p>
    <w:p w14:paraId="58826A6E"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1E39F2DA" w14:textId="77777777" w:rsidR="005F3002" w:rsidRPr="007E60E3" w:rsidRDefault="008C449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bookmarkStart w:id="2" w:name="_heading=h.2s8eyo1" w:colFirst="0" w:colLast="0"/>
      <w:bookmarkEnd w:id="2"/>
      <w:r w:rsidRPr="007E60E3">
        <w:rPr>
          <w:rFonts w:ascii="Palatino Linotype" w:eastAsia="Palatino Linotype" w:hAnsi="Palatino Linotype" w:cs="Palatino Linotype"/>
          <w:b/>
          <w:sz w:val="22"/>
          <w:szCs w:val="22"/>
        </w:rPr>
        <w:t>6. Manifestaciones</w:t>
      </w:r>
      <w:r w:rsidRPr="007E60E3">
        <w:rPr>
          <w:rFonts w:ascii="Palatino Linotype" w:eastAsia="Palatino Linotype" w:hAnsi="Palatino Linotype" w:cs="Palatino Linotype"/>
          <w:sz w:val="22"/>
          <w:szCs w:val="22"/>
        </w:rPr>
        <w:t>. De las constancias que obran en el expediente electrónico del SAIMEX, se aprecia que, tanto el Sujeto Obligado como el Recurrente fueron omisos en realizar manifestaciones; se inserta imagen de referencia:</w:t>
      </w:r>
    </w:p>
    <w:p w14:paraId="30265676" w14:textId="77777777" w:rsidR="005F3002" w:rsidRPr="007E60E3" w:rsidRDefault="008C449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noProof/>
          <w:sz w:val="22"/>
          <w:szCs w:val="22"/>
          <w:lang w:val="es-MX"/>
        </w:rPr>
        <w:drawing>
          <wp:inline distT="0" distB="0" distL="0" distR="0" wp14:anchorId="7E38277B" wp14:editId="4B4F9577">
            <wp:extent cx="5533488" cy="1205872"/>
            <wp:effectExtent l="0" t="0" r="0" b="0"/>
            <wp:docPr id="770201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33488" cy="1205872"/>
                    </a:xfrm>
                    <a:prstGeom prst="rect">
                      <a:avLst/>
                    </a:prstGeom>
                    <a:ln/>
                  </pic:spPr>
                </pic:pic>
              </a:graphicData>
            </a:graphic>
          </wp:inline>
        </w:drawing>
      </w:r>
    </w:p>
    <w:p w14:paraId="49CFA85C" w14:textId="77777777" w:rsidR="005F3002" w:rsidRPr="007E60E3" w:rsidRDefault="005F300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sz w:val="22"/>
          <w:szCs w:val="22"/>
        </w:rPr>
      </w:pPr>
    </w:p>
    <w:p w14:paraId="3E7AB3CE" w14:textId="77777777" w:rsidR="005F3002" w:rsidRPr="007E60E3" w:rsidRDefault="008C449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 xml:space="preserve">7. Ampliación de plazo. </w:t>
      </w:r>
      <w:r w:rsidRPr="007E60E3">
        <w:rPr>
          <w:rFonts w:ascii="Palatino Linotype" w:eastAsia="Palatino Linotype" w:hAnsi="Palatino Linotype" w:cs="Palatino Linotype"/>
          <w:sz w:val="22"/>
          <w:szCs w:val="22"/>
        </w:rPr>
        <w:t xml:space="preserve">El </w:t>
      </w:r>
      <w:r w:rsidRPr="007E60E3">
        <w:rPr>
          <w:rFonts w:ascii="Palatino Linotype" w:eastAsia="Palatino Linotype" w:hAnsi="Palatino Linotype" w:cs="Palatino Linotype"/>
          <w:b/>
          <w:sz w:val="22"/>
          <w:szCs w:val="22"/>
        </w:rPr>
        <w:t xml:space="preserve">veintidós de mayo de dos mil veinticinco, </w:t>
      </w:r>
      <w:r w:rsidRPr="007E60E3">
        <w:rPr>
          <w:rFonts w:ascii="Palatino Linotype" w:eastAsia="Palatino Linotype" w:hAnsi="Palatino Linotype" w:cs="Palatino Linotype"/>
          <w:sz w:val="22"/>
          <w:szCs w:val="22"/>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0450AC46" w14:textId="77777777" w:rsidR="005F3002" w:rsidRPr="007E60E3" w:rsidRDefault="005F3002">
      <w:pPr>
        <w:spacing w:line="360" w:lineRule="auto"/>
        <w:jc w:val="both"/>
        <w:rPr>
          <w:rFonts w:ascii="Palatino Linotype" w:eastAsia="Palatino Linotype" w:hAnsi="Palatino Linotype" w:cs="Palatino Linotype"/>
          <w:b/>
          <w:sz w:val="22"/>
          <w:szCs w:val="22"/>
        </w:rPr>
      </w:pPr>
    </w:p>
    <w:p w14:paraId="25EDA304"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 xml:space="preserve">8. Cierre de instrucción. </w:t>
      </w:r>
      <w:r w:rsidRPr="007E60E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de </w:t>
      </w:r>
      <w:r w:rsidRPr="007E60E3">
        <w:rPr>
          <w:rFonts w:ascii="Palatino Linotype" w:eastAsia="Palatino Linotype" w:hAnsi="Palatino Linotype" w:cs="Palatino Linotype"/>
          <w:b/>
          <w:sz w:val="22"/>
          <w:szCs w:val="22"/>
        </w:rPr>
        <w:t xml:space="preserve">veintidós de mayo de dos mil veinticinco, </w:t>
      </w:r>
      <w:r w:rsidRPr="007E60E3">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p>
    <w:p w14:paraId="2893A307"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42E1FD76"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72C5815D" w14:textId="77777777" w:rsidR="005F3002" w:rsidRPr="007E60E3" w:rsidRDefault="008C4497">
      <w:pPr>
        <w:widowControl w:val="0"/>
        <w:spacing w:line="360" w:lineRule="auto"/>
        <w:jc w:val="center"/>
        <w:rPr>
          <w:rFonts w:ascii="Palatino Linotype" w:eastAsia="Palatino Linotype" w:hAnsi="Palatino Linotype" w:cs="Palatino Linotype"/>
          <w:b/>
          <w:sz w:val="22"/>
          <w:szCs w:val="22"/>
        </w:rPr>
      </w:pPr>
      <w:r w:rsidRPr="007E60E3">
        <w:rPr>
          <w:rFonts w:ascii="Palatino Linotype" w:eastAsia="Palatino Linotype" w:hAnsi="Palatino Linotype" w:cs="Palatino Linotype"/>
          <w:b/>
          <w:sz w:val="22"/>
          <w:szCs w:val="22"/>
        </w:rPr>
        <w:t>II. C O N S I D E R A N D O S</w:t>
      </w:r>
    </w:p>
    <w:p w14:paraId="1E00C366" w14:textId="77777777" w:rsidR="005F3002" w:rsidRPr="007E60E3" w:rsidRDefault="005F3002">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1E54E837"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Primero. Competencia.</w:t>
      </w:r>
      <w:r w:rsidRPr="007E60E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A5D3663"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24FC347B" w14:textId="77777777" w:rsidR="005F3002" w:rsidRPr="007E60E3" w:rsidRDefault="008C4497">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7E60E3">
        <w:rPr>
          <w:rFonts w:ascii="Palatino Linotype" w:eastAsia="Palatino Linotype" w:hAnsi="Palatino Linotype" w:cs="Palatino Linotype"/>
          <w:b/>
          <w:sz w:val="22"/>
          <w:szCs w:val="22"/>
        </w:rPr>
        <w:t xml:space="preserve">Segundo. Oportunidad y Procedibilidad del Recurso de Revisión. </w:t>
      </w:r>
      <w:r w:rsidRPr="007E60E3">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A761537"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1F18EA93"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19EBCC2B" w14:textId="77777777" w:rsidR="005F3002" w:rsidRPr="007E60E3" w:rsidRDefault="005F3002">
      <w:pPr>
        <w:spacing w:line="276" w:lineRule="auto"/>
        <w:ind w:left="851" w:right="616"/>
        <w:jc w:val="both"/>
        <w:rPr>
          <w:rFonts w:ascii="Palatino Linotype" w:eastAsia="Palatino Linotype" w:hAnsi="Palatino Linotype" w:cs="Palatino Linotype"/>
          <w:i/>
          <w:sz w:val="22"/>
          <w:szCs w:val="22"/>
        </w:rPr>
      </w:pPr>
    </w:p>
    <w:p w14:paraId="06043B08"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 xml:space="preserve">Artículo 178. </w:t>
      </w:r>
      <w:r w:rsidRPr="007E60E3">
        <w:rPr>
          <w:rFonts w:ascii="Palatino Linotype" w:eastAsia="Palatino Linotype" w:hAnsi="Palatino Linotype" w:cs="Palatino Linotype"/>
          <w:i/>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7E60E3">
        <w:rPr>
          <w:rFonts w:ascii="Palatino Linotype" w:eastAsia="Palatino Linotype" w:hAnsi="Palatino Linotype" w:cs="Palatino Linotype"/>
          <w:i/>
          <w:sz w:val="22"/>
          <w:szCs w:val="22"/>
        </w:rPr>
        <w:lastRenderedPageBreak/>
        <w:t>dentro de los quince días hábiles, siguientes a la fecha de la notificación de la respuesta.”</w:t>
      </w:r>
    </w:p>
    <w:p w14:paraId="6B59583A" w14:textId="77777777" w:rsidR="005F3002" w:rsidRPr="007E60E3" w:rsidRDefault="005F3002">
      <w:pPr>
        <w:spacing w:line="276" w:lineRule="auto"/>
        <w:ind w:left="851" w:right="616"/>
        <w:jc w:val="both"/>
        <w:rPr>
          <w:rFonts w:ascii="Palatino Linotype" w:eastAsia="Palatino Linotype" w:hAnsi="Palatino Linotype" w:cs="Palatino Linotype"/>
          <w:i/>
          <w:sz w:val="22"/>
          <w:szCs w:val="22"/>
        </w:rPr>
      </w:pPr>
    </w:p>
    <w:p w14:paraId="5D9A9D5C"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remitió la respuesta a la solicitud de información el </w:t>
      </w:r>
      <w:r w:rsidRPr="007E60E3">
        <w:rPr>
          <w:rFonts w:ascii="Palatino Linotype" w:eastAsia="Palatino Linotype" w:hAnsi="Palatino Linotype" w:cs="Palatino Linotype"/>
          <w:b/>
          <w:sz w:val="22"/>
          <w:szCs w:val="22"/>
        </w:rPr>
        <w:t xml:space="preserve">trece de marzo de dos mil veinticinco, </w:t>
      </w:r>
      <w:r w:rsidRPr="007E60E3">
        <w:rPr>
          <w:rFonts w:ascii="Palatino Linotype" w:eastAsia="Palatino Linotype" w:hAnsi="Palatino Linotype" w:cs="Palatino Linotype"/>
          <w:sz w:val="22"/>
          <w:szCs w:val="22"/>
        </w:rPr>
        <w:t xml:space="preserve">mientras que el recurso de revisión interpuesto por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 xml:space="preserve">, se tuvo por presentado el día </w:t>
      </w:r>
      <w:r w:rsidRPr="007E60E3">
        <w:rPr>
          <w:rFonts w:ascii="Palatino Linotype" w:eastAsia="Palatino Linotype" w:hAnsi="Palatino Linotype" w:cs="Palatino Linotype"/>
          <w:b/>
          <w:sz w:val="22"/>
          <w:szCs w:val="22"/>
        </w:rPr>
        <w:t>dieciocho de marzo del año dos mil veinticinco</w:t>
      </w:r>
      <w:r w:rsidRPr="007E60E3">
        <w:rPr>
          <w:rFonts w:ascii="Palatino Linotype" w:eastAsia="Palatino Linotype" w:hAnsi="Palatino Linotype" w:cs="Palatino Linotype"/>
          <w:sz w:val="22"/>
          <w:szCs w:val="22"/>
        </w:rPr>
        <w:t>; esto es, al segundo día hábil siguiente en que tuvo conocimiento de la respuesta.</w:t>
      </w:r>
    </w:p>
    <w:p w14:paraId="0F93A8AB"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2EBA5E39"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EBD69BA"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038DE72E"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IX de la ley de la materia, que a la letra dice:</w:t>
      </w:r>
    </w:p>
    <w:p w14:paraId="75EA84AF" w14:textId="77777777" w:rsidR="005F3002" w:rsidRPr="007E60E3" w:rsidRDefault="005F3002">
      <w:pPr>
        <w:ind w:left="851" w:right="1041"/>
        <w:jc w:val="both"/>
        <w:rPr>
          <w:rFonts w:ascii="Palatino Linotype" w:eastAsia="Palatino Linotype" w:hAnsi="Palatino Linotype" w:cs="Palatino Linotype"/>
          <w:i/>
          <w:sz w:val="22"/>
          <w:szCs w:val="22"/>
        </w:rPr>
      </w:pPr>
    </w:p>
    <w:p w14:paraId="40F11786"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 xml:space="preserve">Artículo 179. </w:t>
      </w:r>
      <w:r w:rsidRPr="007E60E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C204385"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7CCB4F55"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14:paraId="1EAF6033"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(Sic)</w:t>
      </w:r>
    </w:p>
    <w:p w14:paraId="490A42CB" w14:textId="77777777" w:rsidR="005F3002" w:rsidRPr="007E60E3" w:rsidRDefault="005F3002">
      <w:pPr>
        <w:ind w:left="851" w:right="1041"/>
        <w:jc w:val="both"/>
        <w:rPr>
          <w:rFonts w:ascii="Palatino Linotype" w:eastAsia="Palatino Linotype" w:hAnsi="Palatino Linotype" w:cs="Palatino Linotype"/>
          <w:i/>
          <w:sz w:val="22"/>
          <w:szCs w:val="22"/>
        </w:rPr>
      </w:pPr>
    </w:p>
    <w:p w14:paraId="29B13D6A"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lastRenderedPageBreak/>
        <w:t>Tercero. Materia de Revisión</w:t>
      </w:r>
      <w:r w:rsidRPr="007E60E3">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7E60E3">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7E60E3">
        <w:rPr>
          <w:rFonts w:ascii="Palatino Linotype" w:eastAsia="Palatino Linotype" w:hAnsi="Palatino Linotype" w:cs="Palatino Linotype"/>
          <w:sz w:val="22"/>
          <w:szCs w:val="22"/>
        </w:rPr>
        <w:t xml:space="preserve">del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 o en su defecto, en caso de ser procedente, ordenar la entrega de información.</w:t>
      </w:r>
    </w:p>
    <w:p w14:paraId="0F8DD2EB"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4EE138D1"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 xml:space="preserve">Cuarto. Estudio de fondo del asunto. </w:t>
      </w:r>
      <w:r w:rsidRPr="007E60E3">
        <w:rPr>
          <w:rFonts w:ascii="Palatino Linotype" w:eastAsia="Palatino Linotype" w:hAnsi="Palatino Linotype" w:cs="Palatino Linotype"/>
          <w:sz w:val="22"/>
          <w:szCs w:val="22"/>
        </w:rPr>
        <w:t xml:space="preserve">Es conveniente analizar si la respuesta del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14D93A7" w14:textId="77777777" w:rsidR="005F3002" w:rsidRPr="007E60E3" w:rsidRDefault="005F3002">
      <w:pPr>
        <w:ind w:left="709" w:right="760"/>
        <w:jc w:val="both"/>
        <w:rPr>
          <w:rFonts w:ascii="Palatino Linotype" w:eastAsia="Palatino Linotype" w:hAnsi="Palatino Linotype" w:cs="Palatino Linotype"/>
          <w:i/>
          <w:sz w:val="22"/>
          <w:szCs w:val="22"/>
        </w:rPr>
      </w:pPr>
    </w:p>
    <w:p w14:paraId="08262C76" w14:textId="77777777" w:rsidR="005F3002" w:rsidRPr="007E60E3" w:rsidRDefault="008C4497">
      <w:pPr>
        <w:ind w:left="709" w:right="760"/>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Artículo 4</w:t>
      </w:r>
      <w:r w:rsidRPr="007E60E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B846696" w14:textId="77777777" w:rsidR="005F3002" w:rsidRPr="007E60E3" w:rsidRDefault="008C4497">
      <w:pPr>
        <w:ind w:left="709" w:right="760"/>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E60E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160596A" w14:textId="77777777" w:rsidR="005F3002" w:rsidRPr="007E60E3" w:rsidRDefault="008C4497">
      <w:pPr>
        <w:ind w:left="709" w:right="760"/>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E60E3">
        <w:rPr>
          <w:rFonts w:ascii="Palatino Linotype" w:eastAsia="Palatino Linotype" w:hAnsi="Palatino Linotype" w:cs="Palatino Linotype"/>
          <w:i/>
          <w:sz w:val="22"/>
          <w:szCs w:val="22"/>
        </w:rPr>
        <w:t>.”</w:t>
      </w:r>
    </w:p>
    <w:p w14:paraId="485317F1"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36CA49A0"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9774722" w14:textId="77777777" w:rsidR="005F3002" w:rsidRPr="007E60E3" w:rsidRDefault="005F3002">
      <w:pPr>
        <w:ind w:left="567" w:right="758"/>
        <w:jc w:val="both"/>
        <w:rPr>
          <w:rFonts w:ascii="Palatino Linotype" w:eastAsia="Palatino Linotype" w:hAnsi="Palatino Linotype" w:cs="Palatino Linotype"/>
          <w:b/>
          <w:i/>
          <w:sz w:val="22"/>
          <w:szCs w:val="22"/>
        </w:rPr>
      </w:pPr>
    </w:p>
    <w:p w14:paraId="3FF0AC2F"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Artículo 12.-</w:t>
      </w:r>
      <w:r w:rsidRPr="007E60E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F0A4FD5" w14:textId="77777777" w:rsidR="005F3002" w:rsidRPr="007E60E3" w:rsidRDefault="005F3002">
      <w:pPr>
        <w:ind w:left="851" w:right="616"/>
        <w:jc w:val="both"/>
        <w:rPr>
          <w:rFonts w:ascii="Palatino Linotype" w:eastAsia="Palatino Linotype" w:hAnsi="Palatino Linotype" w:cs="Palatino Linotype"/>
          <w:i/>
          <w:sz w:val="22"/>
          <w:szCs w:val="22"/>
        </w:rPr>
      </w:pPr>
    </w:p>
    <w:p w14:paraId="19A5602B" w14:textId="77777777" w:rsidR="005F3002" w:rsidRPr="007E60E3" w:rsidRDefault="008C4497">
      <w:pPr>
        <w:ind w:left="851" w:right="616"/>
        <w:jc w:val="both"/>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8671787" w14:textId="77777777" w:rsidR="005F3002" w:rsidRPr="007E60E3" w:rsidRDefault="005F3002">
      <w:pPr>
        <w:ind w:left="567" w:right="758"/>
        <w:jc w:val="both"/>
        <w:rPr>
          <w:rFonts w:ascii="Palatino Linotype" w:eastAsia="Palatino Linotype" w:hAnsi="Palatino Linotype" w:cs="Palatino Linotype"/>
          <w:i/>
          <w:sz w:val="22"/>
          <w:szCs w:val="22"/>
        </w:rPr>
      </w:pPr>
    </w:p>
    <w:p w14:paraId="25FE81F1" w14:textId="77777777" w:rsidR="005F3002" w:rsidRPr="007E60E3" w:rsidRDefault="008C4497">
      <w:pPr>
        <w:spacing w:line="360" w:lineRule="auto"/>
        <w:ind w:right="-93"/>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FCBC39B" w14:textId="77777777" w:rsidR="005F3002" w:rsidRPr="007E60E3" w:rsidRDefault="005F3002">
      <w:pPr>
        <w:spacing w:line="360" w:lineRule="auto"/>
        <w:ind w:right="-93"/>
        <w:jc w:val="both"/>
        <w:rPr>
          <w:rFonts w:ascii="Palatino Linotype" w:eastAsia="Palatino Linotype" w:hAnsi="Palatino Linotype" w:cs="Palatino Linotype"/>
          <w:sz w:val="22"/>
          <w:szCs w:val="22"/>
        </w:rPr>
      </w:pPr>
    </w:p>
    <w:p w14:paraId="371BEEF8" w14:textId="77777777" w:rsidR="005F3002" w:rsidRPr="007E60E3" w:rsidRDefault="008C4497">
      <w:pPr>
        <w:spacing w:line="360" w:lineRule="auto"/>
        <w:jc w:val="both"/>
        <w:rPr>
          <w:rFonts w:ascii="Palatino Linotype" w:eastAsia="Palatino Linotype" w:hAnsi="Palatino Linotype" w:cs="Palatino Linotype"/>
          <w:b/>
          <w:sz w:val="22"/>
          <w:szCs w:val="22"/>
        </w:rPr>
      </w:pPr>
      <w:r w:rsidRPr="007E60E3">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7E60E3">
        <w:rPr>
          <w:rFonts w:ascii="Palatino Linotype" w:eastAsia="Palatino Linotype" w:hAnsi="Palatino Linotype" w:cs="Palatino Linotype"/>
          <w:b/>
          <w:sz w:val="22"/>
          <w:szCs w:val="22"/>
        </w:rPr>
        <w:t xml:space="preserve"> </w:t>
      </w:r>
    </w:p>
    <w:p w14:paraId="45AB7BE2" w14:textId="77777777" w:rsidR="005F3002" w:rsidRPr="007E60E3" w:rsidRDefault="005F3002">
      <w:pPr>
        <w:ind w:left="851" w:right="850"/>
        <w:jc w:val="both"/>
        <w:rPr>
          <w:rFonts w:ascii="Palatino Linotype" w:eastAsia="Palatino Linotype" w:hAnsi="Palatino Linotype" w:cs="Palatino Linotype"/>
          <w:sz w:val="22"/>
          <w:szCs w:val="22"/>
        </w:rPr>
      </w:pPr>
    </w:p>
    <w:p w14:paraId="5EBC5422"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No existe obligación de elaborar documentos ad hoc para atender las solicitudes de acceso a la información.</w:t>
      </w:r>
      <w:r w:rsidRPr="007E60E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w:t>
      </w:r>
      <w:r w:rsidRPr="007E60E3">
        <w:rPr>
          <w:rFonts w:ascii="Palatino Linotype" w:eastAsia="Palatino Linotype" w:hAnsi="Palatino Linotype" w:cs="Palatino Linotype"/>
          <w:i/>
          <w:sz w:val="22"/>
          <w:szCs w:val="22"/>
        </w:rPr>
        <w:lastRenderedPageBreak/>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9F47DAE"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Resoluciones: </w:t>
      </w:r>
    </w:p>
    <w:p w14:paraId="33867A8B"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4917E390"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3481E694"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w:t>
      </w:r>
    </w:p>
    <w:p w14:paraId="76777861" w14:textId="77777777" w:rsidR="005F3002" w:rsidRPr="007E60E3" w:rsidRDefault="005F3002">
      <w:pPr>
        <w:spacing w:line="360" w:lineRule="auto"/>
        <w:ind w:right="-93"/>
        <w:jc w:val="both"/>
        <w:rPr>
          <w:rFonts w:ascii="Palatino Linotype" w:eastAsia="Palatino Linotype" w:hAnsi="Palatino Linotype" w:cs="Palatino Linotype"/>
          <w:sz w:val="22"/>
          <w:szCs w:val="22"/>
        </w:rPr>
      </w:pPr>
    </w:p>
    <w:p w14:paraId="60521F6A"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98C2137"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1FE3108D"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4FEB555"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1A7F5BFE"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w:t>
      </w:r>
      <w:r w:rsidRPr="007E60E3">
        <w:rPr>
          <w:rFonts w:ascii="Palatino Linotype" w:eastAsia="Palatino Linotype" w:hAnsi="Palatino Linotype" w:cs="Palatino Linotype"/>
          <w:sz w:val="22"/>
          <w:szCs w:val="22"/>
        </w:rPr>
        <w:lastRenderedPageBreak/>
        <w:t xml:space="preserve">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2F8D825" w14:textId="77777777" w:rsidR="005F3002" w:rsidRPr="007E60E3" w:rsidRDefault="005F3002">
      <w:pPr>
        <w:ind w:left="851" w:right="899"/>
        <w:jc w:val="both"/>
        <w:rPr>
          <w:rFonts w:ascii="Palatino Linotype" w:eastAsia="Palatino Linotype" w:hAnsi="Palatino Linotype" w:cs="Palatino Linotype"/>
          <w:i/>
          <w:sz w:val="22"/>
          <w:szCs w:val="22"/>
        </w:rPr>
      </w:pPr>
    </w:p>
    <w:p w14:paraId="3F88D81C"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 xml:space="preserve">Artículo 3. </w:t>
      </w:r>
      <w:r w:rsidRPr="007E60E3">
        <w:rPr>
          <w:rFonts w:ascii="Palatino Linotype" w:eastAsia="Palatino Linotype" w:hAnsi="Palatino Linotype" w:cs="Palatino Linotype"/>
          <w:i/>
          <w:sz w:val="22"/>
          <w:szCs w:val="22"/>
        </w:rPr>
        <w:t>Para los efectos de la presente Ley se entenderá por:</w:t>
      </w:r>
    </w:p>
    <w:p w14:paraId="7FD78DBF"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0B65E7F4"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XI. Documento:</w:t>
      </w:r>
      <w:r w:rsidRPr="007E60E3">
        <w:rPr>
          <w:rFonts w:ascii="Palatino Linotype" w:eastAsia="Palatino Linotype" w:hAnsi="Palatino Linotype" w:cs="Palatino Linotype"/>
          <w:i/>
          <w:sz w:val="22"/>
          <w:szCs w:val="22"/>
        </w:rPr>
        <w:t xml:space="preserve"> Los expedientes, reportes, estudios, actas</w:t>
      </w:r>
      <w:r w:rsidRPr="007E60E3">
        <w:rPr>
          <w:rFonts w:ascii="Palatino Linotype" w:eastAsia="Palatino Linotype" w:hAnsi="Palatino Linotype" w:cs="Palatino Linotype"/>
          <w:b/>
          <w:i/>
          <w:sz w:val="22"/>
          <w:szCs w:val="22"/>
        </w:rPr>
        <w:t>,</w:t>
      </w:r>
      <w:r w:rsidRPr="007E60E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F803004" w14:textId="77777777" w:rsidR="005F3002" w:rsidRPr="007E60E3" w:rsidRDefault="005F3002">
      <w:pPr>
        <w:ind w:left="851" w:right="899"/>
        <w:jc w:val="both"/>
        <w:rPr>
          <w:rFonts w:ascii="Palatino Linotype" w:eastAsia="Palatino Linotype" w:hAnsi="Palatino Linotype" w:cs="Palatino Linotype"/>
          <w:sz w:val="22"/>
          <w:szCs w:val="22"/>
        </w:rPr>
      </w:pPr>
    </w:p>
    <w:p w14:paraId="53BEE204"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CF1A81D" w14:textId="77777777" w:rsidR="005F3002" w:rsidRPr="007E60E3" w:rsidRDefault="005F3002">
      <w:pPr>
        <w:ind w:left="851" w:right="899"/>
        <w:jc w:val="both"/>
        <w:rPr>
          <w:rFonts w:ascii="Palatino Linotype" w:eastAsia="Palatino Linotype" w:hAnsi="Palatino Linotype" w:cs="Palatino Linotype"/>
          <w:sz w:val="22"/>
          <w:szCs w:val="22"/>
        </w:rPr>
      </w:pPr>
    </w:p>
    <w:p w14:paraId="3DCB599F" w14:textId="77777777" w:rsidR="005F3002" w:rsidRPr="007E60E3" w:rsidRDefault="008C4497">
      <w:pPr>
        <w:ind w:left="851" w:right="616"/>
        <w:jc w:val="both"/>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b/>
          <w:sz w:val="22"/>
          <w:szCs w:val="22"/>
        </w:rPr>
        <w:t>“</w:t>
      </w:r>
      <w:r w:rsidRPr="007E60E3">
        <w:rPr>
          <w:rFonts w:ascii="Palatino Linotype" w:eastAsia="Palatino Linotype" w:hAnsi="Palatino Linotype" w:cs="Palatino Linotype"/>
          <w:b/>
          <w:i/>
          <w:sz w:val="22"/>
          <w:szCs w:val="22"/>
        </w:rPr>
        <w:t>CRITERIO 0002-11</w:t>
      </w:r>
    </w:p>
    <w:p w14:paraId="3D39F09E"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E60E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D0BEA7"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En </w:t>
      </w:r>
      <w:proofErr w:type="gramStart"/>
      <w:r w:rsidRPr="007E60E3">
        <w:rPr>
          <w:rFonts w:ascii="Palatino Linotype" w:eastAsia="Palatino Linotype" w:hAnsi="Palatino Linotype" w:cs="Palatino Linotype"/>
          <w:i/>
          <w:sz w:val="22"/>
          <w:szCs w:val="22"/>
        </w:rPr>
        <w:t>consecuencia</w:t>
      </w:r>
      <w:proofErr w:type="gramEnd"/>
      <w:r w:rsidRPr="007E60E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D2F0407"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E60E3">
        <w:rPr>
          <w:rFonts w:ascii="Palatino Linotype" w:eastAsia="Palatino Linotype" w:hAnsi="Palatino Linotype" w:cs="Palatino Linotype"/>
          <w:i/>
          <w:sz w:val="22"/>
          <w:szCs w:val="22"/>
        </w:rPr>
        <w:t>que</w:t>
      </w:r>
      <w:proofErr w:type="gramEnd"/>
      <w:r w:rsidRPr="007E60E3">
        <w:rPr>
          <w:rFonts w:ascii="Palatino Linotype" w:eastAsia="Palatino Linotype" w:hAnsi="Palatino Linotype" w:cs="Palatino Linotype"/>
          <w:i/>
          <w:sz w:val="22"/>
          <w:szCs w:val="22"/>
        </w:rPr>
        <w:t xml:space="preserve"> en ejercicio de las atribuciones conferidas, sea generada por los Sujetos Obligados;</w:t>
      </w:r>
    </w:p>
    <w:p w14:paraId="1FBA6805" w14:textId="77777777" w:rsidR="005F3002" w:rsidRPr="007E60E3" w:rsidRDefault="008C4497">
      <w:pPr>
        <w:ind w:left="851" w:right="616"/>
        <w:jc w:val="both"/>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b/>
          <w:i/>
          <w:sz w:val="22"/>
          <w:szCs w:val="22"/>
        </w:rPr>
        <w:lastRenderedPageBreak/>
        <w:t xml:space="preserve">2) Que se trate de información registrada en cualquier soporte documental, </w:t>
      </w:r>
      <w:proofErr w:type="gramStart"/>
      <w:r w:rsidRPr="007E60E3">
        <w:rPr>
          <w:rFonts w:ascii="Palatino Linotype" w:eastAsia="Palatino Linotype" w:hAnsi="Palatino Linotype" w:cs="Palatino Linotype"/>
          <w:b/>
          <w:i/>
          <w:sz w:val="22"/>
          <w:szCs w:val="22"/>
        </w:rPr>
        <w:t>que</w:t>
      </w:r>
      <w:proofErr w:type="gramEnd"/>
      <w:r w:rsidRPr="007E60E3">
        <w:rPr>
          <w:rFonts w:ascii="Palatino Linotype" w:eastAsia="Palatino Linotype" w:hAnsi="Palatino Linotype" w:cs="Palatino Linotype"/>
          <w:b/>
          <w:i/>
          <w:sz w:val="22"/>
          <w:szCs w:val="22"/>
        </w:rPr>
        <w:t xml:space="preserve"> en ejercicio de las atribuciones conferidas, sea administrada por los Sujetos Obligados, y</w:t>
      </w:r>
    </w:p>
    <w:p w14:paraId="4D355BBC" w14:textId="77777777" w:rsidR="005F3002" w:rsidRPr="007E60E3" w:rsidRDefault="008C4497">
      <w:pPr>
        <w:ind w:left="851" w:right="616"/>
        <w:jc w:val="both"/>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7E60E3">
        <w:rPr>
          <w:rFonts w:ascii="Palatino Linotype" w:eastAsia="Palatino Linotype" w:hAnsi="Palatino Linotype" w:cs="Palatino Linotype"/>
          <w:b/>
          <w:i/>
          <w:sz w:val="22"/>
          <w:szCs w:val="22"/>
        </w:rPr>
        <w:t>que</w:t>
      </w:r>
      <w:proofErr w:type="gramEnd"/>
      <w:r w:rsidRPr="007E60E3">
        <w:rPr>
          <w:rFonts w:ascii="Palatino Linotype" w:eastAsia="Palatino Linotype" w:hAnsi="Palatino Linotype" w:cs="Palatino Linotype"/>
          <w:b/>
          <w:i/>
          <w:sz w:val="22"/>
          <w:szCs w:val="22"/>
        </w:rPr>
        <w:t xml:space="preserve"> en ejercicio de las atribuciones conferidas, se encuentre en posesión de los Sujetos Obligados.”</w:t>
      </w:r>
    </w:p>
    <w:p w14:paraId="130D25EC"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7A74946A"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el particular requirió al </w:t>
      </w:r>
      <w:r w:rsidRPr="007E60E3">
        <w:rPr>
          <w:rFonts w:ascii="Palatino Linotype" w:eastAsia="Palatino Linotype" w:hAnsi="Palatino Linotype" w:cs="Palatino Linotype"/>
          <w:b/>
          <w:sz w:val="22"/>
          <w:szCs w:val="22"/>
        </w:rPr>
        <w:t>Ayuntamiento de Chalco</w:t>
      </w:r>
      <w:r w:rsidRPr="007E60E3">
        <w:rPr>
          <w:rFonts w:ascii="Palatino Linotype" w:eastAsia="Palatino Linotype" w:hAnsi="Palatino Linotype" w:cs="Palatino Linotype"/>
          <w:sz w:val="22"/>
          <w:szCs w:val="22"/>
        </w:rPr>
        <w:t xml:space="preserve">, lo siguiente: </w:t>
      </w:r>
    </w:p>
    <w:p w14:paraId="656EA3DC"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60912AC7" w14:textId="77777777" w:rsidR="005F3002" w:rsidRPr="007E60E3" w:rsidRDefault="008C4497">
      <w:pPr>
        <w:numPr>
          <w:ilvl w:val="0"/>
          <w:numId w:val="3"/>
        </w:numPr>
        <w:pBdr>
          <w:top w:val="nil"/>
          <w:left w:val="nil"/>
          <w:bottom w:val="nil"/>
          <w:right w:val="nil"/>
          <w:between w:val="nil"/>
        </w:pBdr>
        <w:spacing w:line="360" w:lineRule="auto"/>
        <w:ind w:right="616"/>
        <w:jc w:val="both"/>
        <w:rPr>
          <w:rFonts w:ascii="Palatino Linotype" w:eastAsia="Palatino Linotype" w:hAnsi="Palatino Linotype" w:cs="Palatino Linotype"/>
          <w:b/>
          <w:sz w:val="22"/>
          <w:szCs w:val="22"/>
        </w:rPr>
      </w:pPr>
      <w:r w:rsidRPr="007E60E3">
        <w:rPr>
          <w:rFonts w:ascii="Palatino Linotype" w:eastAsia="Palatino Linotype" w:hAnsi="Palatino Linotype" w:cs="Palatino Linotype"/>
          <w:b/>
          <w:sz w:val="22"/>
          <w:szCs w:val="22"/>
        </w:rPr>
        <w:t>Nómina de la Primera y Segunda Quincena de Enero; así como la Primera Quincena de Febrero del año 2025, de todos los servidores públicos incluyendo sindicalizados, de confianza, honorarios, etc., en versión pública y en formato PDF</w:t>
      </w:r>
      <w:r w:rsidRPr="007E60E3">
        <w:rPr>
          <w:rFonts w:ascii="Palatino Linotype" w:eastAsia="Palatino Linotype" w:hAnsi="Palatino Linotype" w:cs="Palatino Linotype"/>
          <w:sz w:val="22"/>
          <w:szCs w:val="22"/>
        </w:rPr>
        <w:t>.</w:t>
      </w:r>
    </w:p>
    <w:p w14:paraId="3C22F7CC" w14:textId="77777777" w:rsidR="005F3002" w:rsidRPr="007E60E3" w:rsidRDefault="005F3002">
      <w:pPr>
        <w:pBdr>
          <w:top w:val="nil"/>
          <w:left w:val="nil"/>
          <w:bottom w:val="nil"/>
          <w:right w:val="nil"/>
          <w:between w:val="nil"/>
        </w:pBdr>
        <w:spacing w:line="360" w:lineRule="auto"/>
        <w:ind w:left="720" w:right="616"/>
        <w:jc w:val="both"/>
        <w:rPr>
          <w:rFonts w:ascii="Palatino Linotype" w:eastAsia="Palatino Linotype" w:hAnsi="Palatino Linotype" w:cs="Palatino Linotype"/>
          <w:b/>
          <w:sz w:val="22"/>
          <w:szCs w:val="22"/>
        </w:rPr>
      </w:pPr>
    </w:p>
    <w:p w14:paraId="24892F58"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En respuesta, la </w:t>
      </w:r>
      <w:proofErr w:type="gramStart"/>
      <w:r w:rsidRPr="007E60E3">
        <w:rPr>
          <w:rFonts w:ascii="Palatino Linotype" w:eastAsia="Palatino Linotype" w:hAnsi="Palatino Linotype" w:cs="Palatino Linotype"/>
          <w:sz w:val="22"/>
          <w:szCs w:val="22"/>
        </w:rPr>
        <w:t>Directora</w:t>
      </w:r>
      <w:proofErr w:type="gramEnd"/>
      <w:r w:rsidRPr="007E60E3">
        <w:rPr>
          <w:rFonts w:ascii="Palatino Linotype" w:eastAsia="Palatino Linotype" w:hAnsi="Palatino Linotype" w:cs="Palatino Linotype"/>
          <w:sz w:val="22"/>
          <w:szCs w:val="22"/>
        </w:rPr>
        <w:t xml:space="preserve"> de Administración informó que después de una búsqueda dentro de los archivos de la Subdirección de Recursos Humanos, hace entrega de la nómina correspondiente a la primera y segunda quincena del mes de enero y de la primera quincena del mes de febrero 2025 en versión pública, las cuales fueron aprobadas a través del Acuerdo número CHALCO/CTMCH/EXT/05/QUINTO de la Quinta Sesión Extraordinaria del Comité de Transparencia del Gobierno de Chalco 2025-2027. </w:t>
      </w:r>
    </w:p>
    <w:p w14:paraId="3DE9FB77"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5460DC6C"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El Recurrente se inconformó medularmente porque el documento proporcionado es ilegible y no permite el acceso a la información.</w:t>
      </w:r>
    </w:p>
    <w:p w14:paraId="22F4ED0F"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2937196A"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bookmarkStart w:id="4" w:name="_heading=h.8fgfguidwomy" w:colFirst="0" w:colLast="0"/>
      <w:bookmarkEnd w:id="4"/>
      <w:r w:rsidRPr="007E60E3">
        <w:rPr>
          <w:rFonts w:ascii="Palatino Linotype" w:eastAsia="Palatino Linotype" w:hAnsi="Palatino Linotype" w:cs="Palatino Linotype"/>
          <w:sz w:val="22"/>
          <w:szCs w:val="22"/>
        </w:rPr>
        <w:t xml:space="preserve">No obstante, se resalta que si bien la parte </w:t>
      </w:r>
      <w:r w:rsidRPr="007E60E3">
        <w:rPr>
          <w:rFonts w:ascii="Palatino Linotype" w:eastAsia="Palatino Linotype" w:hAnsi="Palatino Linotype" w:cs="Palatino Linotype"/>
          <w:b/>
          <w:sz w:val="22"/>
          <w:szCs w:val="22"/>
        </w:rPr>
        <w:t>Recurrente impugnó</w:t>
      </w:r>
      <w:r w:rsidRPr="007E60E3">
        <w:rPr>
          <w:rFonts w:ascii="Palatino Linotype" w:eastAsia="Palatino Linotype" w:hAnsi="Palatino Linotype" w:cs="Palatino Linotype"/>
          <w:sz w:val="22"/>
          <w:szCs w:val="22"/>
        </w:rPr>
        <w:t xml:space="preserve"> la respuesta del </w:t>
      </w:r>
      <w:r w:rsidRPr="007E60E3">
        <w:rPr>
          <w:rFonts w:ascii="Palatino Linotype" w:eastAsia="Palatino Linotype" w:hAnsi="Palatino Linotype" w:cs="Palatino Linotype"/>
          <w:b/>
          <w:sz w:val="22"/>
          <w:szCs w:val="22"/>
        </w:rPr>
        <w:t xml:space="preserve">Sujeto Obligado </w:t>
      </w:r>
      <w:r w:rsidRPr="007E60E3">
        <w:rPr>
          <w:rFonts w:ascii="Palatino Linotype" w:eastAsia="Palatino Linotype" w:hAnsi="Palatino Linotype" w:cs="Palatino Linotype"/>
          <w:sz w:val="22"/>
          <w:szCs w:val="22"/>
        </w:rPr>
        <w:t xml:space="preserve">en atención a que los documentos entregados no se encuentran legibles; lo cierto es que no expresó razón o motivo de inconformidad respecto al personal contratado por </w:t>
      </w:r>
      <w:r w:rsidRPr="007E60E3">
        <w:rPr>
          <w:rFonts w:ascii="Palatino Linotype" w:eastAsia="Palatino Linotype" w:hAnsi="Palatino Linotype" w:cs="Palatino Linotype"/>
          <w:sz w:val="22"/>
          <w:szCs w:val="22"/>
        </w:rPr>
        <w:lastRenderedPageBreak/>
        <w:t xml:space="preserve">honorarios. En este tenor, la parte de la información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satisface parte de la solicitud presentada.</w:t>
      </w:r>
    </w:p>
    <w:p w14:paraId="41D6BD7E"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66305746"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Lo anterior es así, debido a que cuando un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 xml:space="preserve"> impugna la respuesta del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w:t>
      </w:r>
      <w:r w:rsidRPr="007E60E3">
        <w:rPr>
          <w:rFonts w:ascii="Palatino Linotype" w:eastAsia="Palatino Linotype" w:hAnsi="Palatino Linotype" w:cs="Palatino Linotype"/>
          <w:b/>
          <w:sz w:val="22"/>
          <w:szCs w:val="22"/>
        </w:rPr>
        <w:t>la parte Recurrente</w:t>
      </w:r>
      <w:r w:rsidRPr="007E60E3">
        <w:rPr>
          <w:rFonts w:ascii="Palatino Linotype" w:eastAsia="Palatino Linotype" w:hAnsi="Palatino Linotype" w:cs="Palatino Linotype"/>
          <w:sz w:val="22"/>
          <w:szCs w:val="22"/>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79103BA" w14:textId="77777777" w:rsidR="005F3002" w:rsidRPr="007E60E3" w:rsidRDefault="005F3002">
      <w:pPr>
        <w:spacing w:line="276" w:lineRule="auto"/>
        <w:ind w:left="851" w:right="616"/>
        <w:jc w:val="both"/>
        <w:rPr>
          <w:rFonts w:ascii="Palatino Linotype" w:eastAsia="Palatino Linotype" w:hAnsi="Palatino Linotype" w:cs="Palatino Linotype"/>
          <w:i/>
          <w:sz w:val="22"/>
          <w:szCs w:val="22"/>
        </w:rPr>
      </w:pPr>
    </w:p>
    <w:p w14:paraId="4148D49B"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 xml:space="preserve">REVISIÓN EN AMPARO. LOS RESOLUTIVOS NO COMBATIDOS DEBEN DECLARARSE FIRMES. </w:t>
      </w:r>
      <w:r w:rsidRPr="007E60E3">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2111694" w14:textId="77777777" w:rsidR="005F3002" w:rsidRPr="007E60E3" w:rsidRDefault="005F3002">
      <w:pPr>
        <w:spacing w:line="276" w:lineRule="auto"/>
        <w:ind w:left="851" w:right="616"/>
        <w:jc w:val="both"/>
        <w:rPr>
          <w:rFonts w:ascii="Palatino Linotype" w:eastAsia="Palatino Linotype" w:hAnsi="Palatino Linotype" w:cs="Palatino Linotype"/>
          <w:i/>
          <w:sz w:val="22"/>
          <w:szCs w:val="22"/>
        </w:rPr>
      </w:pPr>
    </w:p>
    <w:p w14:paraId="049BDE32"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Consecuentemente, se reitera que la parte de la solicitud que no fue impugnada debe declararse consentida por la parte</w:t>
      </w:r>
      <w:r w:rsidRPr="007E60E3">
        <w:rPr>
          <w:rFonts w:ascii="Palatino Linotype" w:eastAsia="Palatino Linotype" w:hAnsi="Palatino Linotype" w:cs="Palatino Linotype"/>
          <w:b/>
          <w:sz w:val="22"/>
          <w:szCs w:val="22"/>
        </w:rPr>
        <w:t xml:space="preserve"> Recurrente</w:t>
      </w:r>
      <w:r w:rsidRPr="007E60E3">
        <w:rPr>
          <w:rFonts w:ascii="Palatino Linotype" w:eastAsia="Palatino Linotype" w:hAnsi="Palatino Linotype" w:cs="Palatino Linotype"/>
          <w:sz w:val="22"/>
          <w:szCs w:val="22"/>
        </w:rPr>
        <w:t>, en razón de que no se realizaron manifestaciones de inconformidad, por lo que no pueden producirse efectos jurídicos tendentes a revocar, confirmar o modificar el acto reclamado ya que se infiere un consentimiento de la parte</w:t>
      </w:r>
      <w:r w:rsidRPr="007E60E3">
        <w:rPr>
          <w:rFonts w:ascii="Palatino Linotype" w:eastAsia="Palatino Linotype" w:hAnsi="Palatino Linotype" w:cs="Palatino Linotype"/>
          <w:b/>
          <w:sz w:val="22"/>
          <w:szCs w:val="22"/>
        </w:rPr>
        <w:t xml:space="preserve"> Recurrente</w:t>
      </w:r>
      <w:r w:rsidRPr="007E60E3">
        <w:rPr>
          <w:rFonts w:ascii="Palatino Linotype" w:eastAsia="Palatino Linotype" w:hAnsi="Palatino Linotype" w:cs="Palatino Linotype"/>
          <w:sz w:val="22"/>
          <w:szCs w:val="22"/>
        </w:rPr>
        <w:t xml:space="preserve"> ante la falta de impugnación eficaz. </w:t>
      </w:r>
    </w:p>
    <w:p w14:paraId="6AA7E101"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456FD016"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Sirve de sustento a lo anterior por analogía la tesis jurisprudencial número VI.3o.C. J/60, publicada en el Semanario Judicial de la Federación y su Gaceta bajo el número de registro 176,608 que a la letra dice:</w:t>
      </w:r>
    </w:p>
    <w:p w14:paraId="6D8EA4F8"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145BBB27"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 xml:space="preserve">ACTOS CONSENTIDOS. SON LOS QUE NO SE IMPUGNAN MEDIANTE EL RECURSO IDÓNEO. </w:t>
      </w:r>
      <w:r w:rsidRPr="007E60E3">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7E60E3">
        <w:rPr>
          <w:rFonts w:ascii="Palatino Linotype" w:eastAsia="Palatino Linotype" w:hAnsi="Palatino Linotype" w:cs="Palatino Linotype"/>
          <w:i/>
          <w:sz w:val="22"/>
          <w:szCs w:val="22"/>
        </w:rPr>
        <w:t>ya que</w:t>
      </w:r>
      <w:proofErr w:type="gramEnd"/>
      <w:r w:rsidRPr="007E60E3">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E2780CA" w14:textId="77777777" w:rsidR="005F3002" w:rsidRPr="007E60E3" w:rsidRDefault="005F3002">
      <w:pPr>
        <w:spacing w:line="276" w:lineRule="auto"/>
        <w:ind w:left="851" w:right="616"/>
        <w:jc w:val="both"/>
        <w:rPr>
          <w:rFonts w:ascii="Palatino Linotype" w:eastAsia="Palatino Linotype" w:hAnsi="Palatino Linotype" w:cs="Palatino Linotype"/>
          <w:sz w:val="22"/>
          <w:szCs w:val="22"/>
        </w:rPr>
      </w:pPr>
    </w:p>
    <w:p w14:paraId="6C849302"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Ahora bien, a efecto de garantizar el efectivo ejercicio del derecho de acceso a la información pública que asiste al particular, resulta conveniente reiterar que el presente análisis versará en estricto sentido respecto a la nómina que le fue entregada en respuesta. </w:t>
      </w:r>
    </w:p>
    <w:p w14:paraId="35089476"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25343987"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Expuestas la postura de las partes, conviene recordar que el área del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que atendió la solicitud de información fue el </w:t>
      </w:r>
      <w:proofErr w:type="gramStart"/>
      <w:r w:rsidRPr="007E60E3">
        <w:rPr>
          <w:rFonts w:ascii="Palatino Linotype" w:eastAsia="Palatino Linotype" w:hAnsi="Palatino Linotype" w:cs="Palatino Linotype"/>
          <w:sz w:val="22"/>
          <w:szCs w:val="22"/>
        </w:rPr>
        <w:t>Director</w:t>
      </w:r>
      <w:proofErr w:type="gramEnd"/>
      <w:r w:rsidRPr="007E60E3">
        <w:rPr>
          <w:rFonts w:ascii="Palatino Linotype" w:eastAsia="Palatino Linotype" w:hAnsi="Palatino Linotype" w:cs="Palatino Linotype"/>
          <w:sz w:val="22"/>
          <w:szCs w:val="22"/>
        </w:rPr>
        <w:t xml:space="preserve"> de Administración, siendo el competente para generar, conocer y administrar la información solicitada en términos de lo señalado por el Manual de Organización de la Dirección de Administración de Chalco, que refiere: </w:t>
      </w:r>
    </w:p>
    <w:p w14:paraId="5F8FAE88" w14:textId="77777777" w:rsidR="005F3002" w:rsidRPr="007E60E3" w:rsidRDefault="005F300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62783FB"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“1. </w:t>
      </w:r>
      <w:r w:rsidRPr="007E60E3">
        <w:rPr>
          <w:rFonts w:ascii="Palatino Linotype" w:eastAsia="Palatino Linotype" w:hAnsi="Palatino Linotype" w:cs="Palatino Linotype"/>
          <w:b/>
          <w:i/>
          <w:sz w:val="22"/>
          <w:szCs w:val="22"/>
        </w:rPr>
        <w:t>Dirección de Administración</w:t>
      </w:r>
    </w:p>
    <w:p w14:paraId="54FEEF3A"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Objetivo: Administrar y supervisar la correcta asignación de los recursos humanos y materiales de las Dependencias Administrativas que integran el Gobierno de Chalco.</w:t>
      </w:r>
    </w:p>
    <w:p w14:paraId="532C6301"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b/>
          <w:i/>
          <w:sz w:val="22"/>
          <w:szCs w:val="22"/>
        </w:rPr>
        <w:t>Funciones:</w:t>
      </w:r>
    </w:p>
    <w:p w14:paraId="68DEFC85"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1. Planear y organizar los recursos humanos, materiales y servicios generales del Gobierno Municipal;</w:t>
      </w:r>
    </w:p>
    <w:p w14:paraId="4D8A6E61"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2. Establecer y autorizar los objetivos, políticas y planes de trabajo de la Dirección;</w:t>
      </w:r>
    </w:p>
    <w:p w14:paraId="52B966F0"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3. Gestionar cursos y capacitaciones para el desarrollo de los Servidores Públicos Municipales;</w:t>
      </w:r>
    </w:p>
    <w:p w14:paraId="2DAEEE03"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4. Vigilar el correcto uso de los sistemas de recursos humanos</w:t>
      </w:r>
      <w:r w:rsidRPr="007E60E3">
        <w:rPr>
          <w:rFonts w:ascii="Palatino Linotype" w:eastAsia="Palatino Linotype" w:hAnsi="Palatino Linotype" w:cs="Palatino Linotype"/>
          <w:i/>
          <w:sz w:val="22"/>
          <w:szCs w:val="22"/>
        </w:rPr>
        <w:t xml:space="preserve">, catálogo de puestos, capacitación, </w:t>
      </w:r>
      <w:r w:rsidRPr="007E60E3">
        <w:rPr>
          <w:rFonts w:ascii="Palatino Linotype" w:eastAsia="Palatino Linotype" w:hAnsi="Palatino Linotype" w:cs="Palatino Linotype"/>
          <w:b/>
          <w:i/>
          <w:sz w:val="22"/>
          <w:szCs w:val="22"/>
        </w:rPr>
        <w:t>plantilla de personal,</w:t>
      </w:r>
      <w:r w:rsidRPr="007E60E3">
        <w:rPr>
          <w:rFonts w:ascii="Palatino Linotype" w:eastAsia="Palatino Linotype" w:hAnsi="Palatino Linotype" w:cs="Palatino Linotype"/>
          <w:i/>
          <w:sz w:val="22"/>
          <w:szCs w:val="22"/>
        </w:rPr>
        <w:t xml:space="preserve"> incidencias, </w:t>
      </w:r>
      <w:r w:rsidRPr="007E60E3">
        <w:rPr>
          <w:rFonts w:ascii="Palatino Linotype" w:eastAsia="Palatino Linotype" w:hAnsi="Palatino Linotype" w:cs="Palatino Linotype"/>
          <w:b/>
          <w:i/>
          <w:sz w:val="22"/>
          <w:szCs w:val="22"/>
        </w:rPr>
        <w:t>remuneraciones,</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i/>
          <w:sz w:val="22"/>
          <w:szCs w:val="22"/>
        </w:rPr>
        <w:lastRenderedPageBreak/>
        <w:t>tabuladores de sueldo,</w:t>
      </w:r>
      <w:r w:rsidRPr="007E60E3">
        <w:rPr>
          <w:rFonts w:ascii="Palatino Linotype" w:eastAsia="Palatino Linotype" w:hAnsi="Palatino Linotype" w:cs="Palatino Linotype"/>
          <w:b/>
          <w:i/>
          <w:sz w:val="22"/>
          <w:szCs w:val="22"/>
        </w:rPr>
        <w:t xml:space="preserve"> pagos de nómina,</w:t>
      </w:r>
      <w:r w:rsidRPr="007E60E3">
        <w:rPr>
          <w:rFonts w:ascii="Palatino Linotype" w:eastAsia="Palatino Linotype" w:hAnsi="Palatino Linotype" w:cs="Palatino Linotype"/>
          <w:i/>
          <w:sz w:val="22"/>
          <w:szCs w:val="22"/>
        </w:rPr>
        <w:t xml:space="preserve"> evaluación del desempeño, seguridad social de los Servidores Públicos Municipales, así como prestaciones de ley;</w:t>
      </w:r>
    </w:p>
    <w:p w14:paraId="2AEDC75A"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5. Autorizar los movimientos de personal, descuentos, retenciones, bonificaciones, suspensión de pagos y recuperación de salarios no devengados</w:t>
      </w:r>
      <w:r w:rsidRPr="007E60E3">
        <w:rPr>
          <w:rFonts w:ascii="Palatino Linotype" w:eastAsia="Palatino Linotype" w:hAnsi="Palatino Linotype" w:cs="Palatino Linotype"/>
          <w:i/>
          <w:sz w:val="22"/>
          <w:szCs w:val="22"/>
        </w:rPr>
        <w:t>;</w:t>
      </w:r>
    </w:p>
    <w:p w14:paraId="7F058E80"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6. Expedir constancias y todas las documentales derivadas de la guarda y custodia de los expedientes del personal;</w:t>
      </w:r>
    </w:p>
    <w:p w14:paraId="1338B74B"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01DC7637"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1.1. Subdirección de Recursos Humanos.</w:t>
      </w:r>
    </w:p>
    <w:p w14:paraId="01AFD7C7"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Funciones:</w:t>
      </w:r>
    </w:p>
    <w:p w14:paraId="51F59ED2"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1. Coadyuvar con la </w:t>
      </w:r>
      <w:proofErr w:type="gramStart"/>
      <w:r w:rsidRPr="007E60E3">
        <w:rPr>
          <w:rFonts w:ascii="Palatino Linotype" w:eastAsia="Palatino Linotype" w:hAnsi="Palatino Linotype" w:cs="Palatino Linotype"/>
          <w:i/>
          <w:sz w:val="22"/>
          <w:szCs w:val="22"/>
        </w:rPr>
        <w:t>Directora</w:t>
      </w:r>
      <w:proofErr w:type="gramEnd"/>
      <w:r w:rsidRPr="007E60E3">
        <w:rPr>
          <w:rFonts w:ascii="Palatino Linotype" w:eastAsia="Palatino Linotype" w:hAnsi="Palatino Linotype" w:cs="Palatino Linotype"/>
          <w:i/>
          <w:sz w:val="22"/>
          <w:szCs w:val="22"/>
        </w:rPr>
        <w:t xml:space="preserve"> en la elaboración de los objetivos, políticas y planes de trabajo de la Dirección;</w:t>
      </w:r>
    </w:p>
    <w:p w14:paraId="56DAD199"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 xml:space="preserve">2. Realizar los movimientos de nómina de los servidores públicos, retenciones y bonificaciones, </w:t>
      </w:r>
      <w:r w:rsidRPr="007E60E3">
        <w:rPr>
          <w:rFonts w:ascii="Palatino Linotype" w:eastAsia="Palatino Linotype" w:hAnsi="Palatino Linotype" w:cs="Palatino Linotype"/>
          <w:i/>
          <w:sz w:val="22"/>
          <w:szCs w:val="22"/>
        </w:rPr>
        <w:t>con estricto apego a las disposiciones legales y normativas aplicables;</w:t>
      </w:r>
    </w:p>
    <w:p w14:paraId="23A7C1AF"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3. Solicitar a la Tesorería Municipal el pago de nómina de los Servidores Públicos de este Gobierno Municipal;</w:t>
      </w:r>
    </w:p>
    <w:p w14:paraId="75BE2E03" w14:textId="77777777" w:rsidR="005F3002" w:rsidRPr="007E60E3" w:rsidRDefault="008C4497">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1BF82852"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A2F95C0"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Expuesto lo anterior queda claro que la Dirección de Administración, es la unidad administrativa competente que cuenta con atribuciones para generar, poseer y administrar la información solicitada en ejercicio de sus funciones, por lo que la Unidad de Transparencia turnó la solicitud de información al servidor público habilitado competente, acreditando con ello la correcta búsqueda exhaustiva y razonable de la información, en términos del procedimiento establecido en el artículo 162 de la Ley de la materia. </w:t>
      </w:r>
    </w:p>
    <w:p w14:paraId="2E90B6ED"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C66337" w14:textId="77777777" w:rsidR="005F3002" w:rsidRPr="007E60E3" w:rsidRDefault="008C4497">
      <w:pPr>
        <w:tabs>
          <w:tab w:val="left" w:pos="4962"/>
        </w:tabs>
        <w:spacing w:line="360" w:lineRule="auto"/>
        <w:ind w:right="-28"/>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Precisado lo anterior, respecto de la nómina solicitada, nos lleva a precisar que en nuestra legislación del Estado de México no existe como tal una definición de </w:t>
      </w:r>
      <w:r w:rsidRPr="007E60E3">
        <w:rPr>
          <w:rFonts w:ascii="Palatino Linotype" w:eastAsia="Palatino Linotype" w:hAnsi="Palatino Linotype" w:cs="Palatino Linotype"/>
          <w:b/>
          <w:i/>
          <w:sz w:val="22"/>
          <w:szCs w:val="22"/>
        </w:rPr>
        <w:t>“nómina”</w:t>
      </w:r>
      <w:r w:rsidRPr="007E60E3">
        <w:rPr>
          <w:rFonts w:ascii="Palatino Linotype" w:eastAsia="Palatino Linotype" w:hAnsi="Palatino Linotype" w:cs="Palatino Linotype"/>
          <w:sz w:val="22"/>
          <w:szCs w:val="22"/>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w:t>
      </w:r>
      <w:r w:rsidRPr="007E60E3">
        <w:rPr>
          <w:rFonts w:ascii="Palatino Linotype" w:eastAsia="Palatino Linotype" w:hAnsi="Palatino Linotype" w:cs="Palatino Linotype"/>
          <w:sz w:val="22"/>
          <w:szCs w:val="22"/>
        </w:rPr>
        <w:lastRenderedPageBreak/>
        <w:t>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55D8E289" w14:textId="77777777" w:rsidR="005F3002" w:rsidRPr="007E60E3" w:rsidRDefault="005F3002">
      <w:pPr>
        <w:tabs>
          <w:tab w:val="left" w:pos="4962"/>
        </w:tabs>
        <w:spacing w:line="360" w:lineRule="auto"/>
        <w:ind w:right="-28"/>
        <w:jc w:val="both"/>
        <w:rPr>
          <w:rFonts w:ascii="Palatino Linotype" w:eastAsia="Palatino Linotype" w:hAnsi="Palatino Linotype" w:cs="Palatino Linotype"/>
          <w:sz w:val="22"/>
          <w:szCs w:val="22"/>
        </w:rPr>
      </w:pPr>
    </w:p>
    <w:p w14:paraId="7C778C64"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 xml:space="preserve">NÓMINA </w:t>
      </w:r>
      <w:r w:rsidRPr="007E60E3">
        <w:rPr>
          <w:rFonts w:ascii="Palatino Linotype" w:eastAsia="Palatino Linotype" w:hAnsi="Palatino Linotype" w:cs="Palatino Linotype"/>
          <w:i/>
          <w:sz w:val="22"/>
          <w:szCs w:val="22"/>
        </w:rPr>
        <w:t>Listado general de los trabajadores de una institución, en</w:t>
      </w:r>
      <w:r w:rsidRPr="007E60E3">
        <w:rPr>
          <w:rFonts w:ascii="Palatino Linotype" w:eastAsia="Palatino Linotype" w:hAnsi="Palatino Linotype" w:cs="Palatino Linotype"/>
          <w:b/>
          <w:i/>
          <w:sz w:val="22"/>
          <w:szCs w:val="22"/>
        </w:rPr>
        <w:t xml:space="preserve"> </w:t>
      </w:r>
      <w:r w:rsidRPr="007E60E3">
        <w:rPr>
          <w:rFonts w:ascii="Palatino Linotype" w:eastAsia="Palatino Linotype" w:hAnsi="Palatino Linotype" w:cs="Palatino Linotype"/>
          <w:i/>
          <w:sz w:val="22"/>
          <w:szCs w:val="22"/>
        </w:rPr>
        <w:t>el cual se asientan las percepciones brutas, deducciones y</w:t>
      </w:r>
      <w:r w:rsidRPr="007E60E3">
        <w:rPr>
          <w:rFonts w:ascii="Palatino Linotype" w:eastAsia="Palatino Linotype" w:hAnsi="Palatino Linotype" w:cs="Palatino Linotype"/>
          <w:b/>
          <w:i/>
          <w:sz w:val="22"/>
          <w:szCs w:val="22"/>
        </w:rPr>
        <w:t xml:space="preserve"> </w:t>
      </w:r>
      <w:r w:rsidRPr="007E60E3">
        <w:rPr>
          <w:rFonts w:ascii="Palatino Linotype" w:eastAsia="Palatino Linotype" w:hAnsi="Palatino Linotype" w:cs="Palatino Linotype"/>
          <w:i/>
          <w:sz w:val="22"/>
          <w:szCs w:val="22"/>
        </w:rPr>
        <w:t>alcance neto de las mismas; la nómina es utilizada para</w:t>
      </w:r>
      <w:r w:rsidRPr="007E60E3">
        <w:rPr>
          <w:rFonts w:ascii="Palatino Linotype" w:eastAsia="Palatino Linotype" w:hAnsi="Palatino Linotype" w:cs="Palatino Linotype"/>
          <w:b/>
          <w:i/>
          <w:sz w:val="22"/>
          <w:szCs w:val="22"/>
        </w:rPr>
        <w:t xml:space="preserve"> </w:t>
      </w:r>
      <w:r w:rsidRPr="007E60E3">
        <w:rPr>
          <w:rFonts w:ascii="Palatino Linotype" w:eastAsia="Palatino Linotype" w:hAnsi="Palatino Linotype" w:cs="Palatino Linotype"/>
          <w:i/>
          <w:sz w:val="22"/>
          <w:szCs w:val="22"/>
        </w:rPr>
        <w:t>efectuar los pagos periódicos (semanales, quincenales o</w:t>
      </w:r>
      <w:r w:rsidRPr="007E60E3">
        <w:rPr>
          <w:rFonts w:ascii="Palatino Linotype" w:eastAsia="Palatino Linotype" w:hAnsi="Palatino Linotype" w:cs="Palatino Linotype"/>
          <w:b/>
          <w:i/>
          <w:sz w:val="22"/>
          <w:szCs w:val="22"/>
        </w:rPr>
        <w:t xml:space="preserve"> </w:t>
      </w:r>
      <w:r w:rsidRPr="007E60E3">
        <w:rPr>
          <w:rFonts w:ascii="Palatino Linotype" w:eastAsia="Palatino Linotype" w:hAnsi="Palatino Linotype" w:cs="Palatino Linotype"/>
          <w:i/>
          <w:sz w:val="22"/>
          <w:szCs w:val="22"/>
        </w:rPr>
        <w:t>mensuales) a los trabajadores por concepto de sueldos y</w:t>
      </w:r>
      <w:r w:rsidRPr="007E60E3">
        <w:rPr>
          <w:rFonts w:ascii="Palatino Linotype" w:eastAsia="Palatino Linotype" w:hAnsi="Palatino Linotype" w:cs="Palatino Linotype"/>
          <w:b/>
          <w:i/>
          <w:sz w:val="22"/>
          <w:szCs w:val="22"/>
        </w:rPr>
        <w:t xml:space="preserve"> </w:t>
      </w:r>
      <w:r w:rsidRPr="007E60E3">
        <w:rPr>
          <w:rFonts w:ascii="Palatino Linotype" w:eastAsia="Palatino Linotype" w:hAnsi="Palatino Linotype" w:cs="Palatino Linotype"/>
          <w:i/>
          <w:sz w:val="22"/>
          <w:szCs w:val="22"/>
        </w:rPr>
        <w:t>salarios</w:t>
      </w:r>
      <w:proofErr w:type="gramStart"/>
      <w:r w:rsidRPr="007E60E3">
        <w:rPr>
          <w:rFonts w:ascii="Palatino Linotype" w:eastAsia="Palatino Linotype" w:hAnsi="Palatino Linotype" w:cs="Palatino Linotype"/>
          <w:i/>
          <w:sz w:val="22"/>
          <w:szCs w:val="22"/>
        </w:rPr>
        <w:t>.”(</w:t>
      </w:r>
      <w:proofErr w:type="gramEnd"/>
      <w:r w:rsidRPr="007E60E3">
        <w:rPr>
          <w:rFonts w:ascii="Palatino Linotype" w:eastAsia="Palatino Linotype" w:hAnsi="Palatino Linotype" w:cs="Palatino Linotype"/>
          <w:i/>
          <w:sz w:val="22"/>
          <w:szCs w:val="22"/>
        </w:rPr>
        <w:t>Sic)</w:t>
      </w:r>
    </w:p>
    <w:p w14:paraId="1151CFD8" w14:textId="77777777" w:rsidR="005F3002" w:rsidRPr="007E60E3" w:rsidRDefault="005F3002">
      <w:pPr>
        <w:spacing w:line="360" w:lineRule="auto"/>
        <w:ind w:right="-93"/>
        <w:jc w:val="both"/>
        <w:rPr>
          <w:rFonts w:ascii="Palatino Linotype" w:eastAsia="Palatino Linotype" w:hAnsi="Palatino Linotype" w:cs="Palatino Linotype"/>
          <w:sz w:val="22"/>
          <w:szCs w:val="22"/>
        </w:rPr>
      </w:pPr>
    </w:p>
    <w:p w14:paraId="0A9F3A29"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En base a lo anterior, conviene a traer lo establecido por el artículo 804, fracción II, de la Ley Federal de Trabajo, el cual a la letra establece: </w:t>
      </w:r>
    </w:p>
    <w:p w14:paraId="1986DC36" w14:textId="77777777" w:rsidR="005F3002" w:rsidRPr="007E60E3" w:rsidRDefault="005F3002">
      <w:pPr>
        <w:ind w:left="851" w:right="851"/>
        <w:jc w:val="both"/>
        <w:rPr>
          <w:rFonts w:ascii="Palatino Linotype" w:eastAsia="Palatino Linotype" w:hAnsi="Palatino Linotype" w:cs="Palatino Linotype"/>
          <w:i/>
          <w:sz w:val="22"/>
          <w:szCs w:val="22"/>
        </w:rPr>
      </w:pPr>
    </w:p>
    <w:p w14:paraId="65BAC8A0"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Artículo 804.-</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b/>
          <w:i/>
          <w:sz w:val="22"/>
          <w:szCs w:val="22"/>
        </w:rPr>
        <w:t>El patrón tiene obligación de conservar y exhibir en juicio los documentos que a continuación se precisan</w:t>
      </w:r>
      <w:r w:rsidRPr="007E60E3">
        <w:rPr>
          <w:rFonts w:ascii="Palatino Linotype" w:eastAsia="Palatino Linotype" w:hAnsi="Palatino Linotype" w:cs="Palatino Linotype"/>
          <w:i/>
          <w:sz w:val="22"/>
          <w:szCs w:val="22"/>
        </w:rPr>
        <w:t>:</w:t>
      </w:r>
    </w:p>
    <w:p w14:paraId="49AF8721" w14:textId="77777777" w:rsidR="005F3002" w:rsidRPr="007E60E3" w:rsidRDefault="005F3002">
      <w:pPr>
        <w:spacing w:line="276" w:lineRule="auto"/>
        <w:ind w:left="851" w:right="616"/>
        <w:jc w:val="both"/>
        <w:rPr>
          <w:rFonts w:ascii="Palatino Linotype" w:eastAsia="Palatino Linotype" w:hAnsi="Palatino Linotype" w:cs="Palatino Linotype"/>
          <w:i/>
          <w:sz w:val="22"/>
          <w:szCs w:val="22"/>
        </w:rPr>
      </w:pPr>
    </w:p>
    <w:p w14:paraId="6DDFD121"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II.</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b/>
          <w:i/>
          <w:sz w:val="22"/>
          <w:szCs w:val="22"/>
        </w:rPr>
        <w:t>Listas de raya o nómina de personal</w:t>
      </w:r>
      <w:r w:rsidRPr="007E60E3">
        <w:rPr>
          <w:rFonts w:ascii="Palatino Linotype" w:eastAsia="Palatino Linotype" w:hAnsi="Palatino Linotype" w:cs="Palatino Linotype"/>
          <w:i/>
          <w:sz w:val="22"/>
          <w:szCs w:val="22"/>
        </w:rPr>
        <w:t xml:space="preserve">, cuando se lleven en el centro de trabajo; o recibos de pagos de salarios; </w:t>
      </w:r>
    </w:p>
    <w:p w14:paraId="3E66DE84"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0B734DCA"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7E60E3">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7E60E3">
        <w:rPr>
          <w:rFonts w:ascii="Palatino Linotype" w:eastAsia="Palatino Linotype" w:hAnsi="Palatino Linotype" w:cs="Palatino Linotype"/>
          <w:i/>
          <w:sz w:val="22"/>
          <w:szCs w:val="22"/>
        </w:rPr>
        <w:t>; y los mencionados en la fracción V, conforme lo señalen las Leyes que los rijan.” (Sic)</w:t>
      </w:r>
    </w:p>
    <w:p w14:paraId="617BFE12"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6CCEE183"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De lo precedente, se concluye que la nómina, </w:t>
      </w:r>
      <w:r w:rsidRPr="007E60E3">
        <w:rPr>
          <w:rFonts w:ascii="Palatino Linotype" w:eastAsia="Palatino Linotype" w:hAnsi="Palatino Linotype" w:cs="Palatino Linotype"/>
          <w:sz w:val="22"/>
          <w:szCs w:val="22"/>
          <w:u w:val="single"/>
        </w:rPr>
        <w:t>es el registro utilizado para efectuar los pagos a los trabajadores por concepto de sueldos y salarios</w:t>
      </w:r>
      <w:r w:rsidRPr="007E60E3">
        <w:rPr>
          <w:rFonts w:ascii="Palatino Linotype" w:eastAsia="Palatino Linotype" w:hAnsi="Palatino Linotype" w:cs="Palatino Linotype"/>
          <w:sz w:val="22"/>
          <w:szCs w:val="22"/>
        </w:rPr>
        <w:t xml:space="preserve">, el cual se compone por el conjunto de trabajadores en el que </w:t>
      </w:r>
      <w:r w:rsidRPr="007E60E3">
        <w:rPr>
          <w:rFonts w:ascii="Palatino Linotype" w:eastAsia="Palatino Linotype" w:hAnsi="Palatino Linotype" w:cs="Palatino Linotype"/>
          <w:b/>
          <w:sz w:val="22"/>
          <w:szCs w:val="22"/>
        </w:rPr>
        <w:t>se asientan las percepciones brutas, deducciones y la cantidad neta a pagar</w:t>
      </w:r>
      <w:r w:rsidRPr="007E60E3">
        <w:rPr>
          <w:rFonts w:ascii="Palatino Linotype" w:eastAsia="Palatino Linotype" w:hAnsi="Palatino Linotype" w:cs="Palatino Linotype"/>
          <w:sz w:val="22"/>
          <w:szCs w:val="22"/>
        </w:rPr>
        <w:t>.</w:t>
      </w:r>
    </w:p>
    <w:p w14:paraId="57AE4AC9"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5477E5F2"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En ese contexto, tratándose de servidores públicos de los Municipios la Ley del Trabajo de los Servidores Públicos del Estado y Municipios, en su artículo 220-K, establece lo siguiente:</w:t>
      </w:r>
    </w:p>
    <w:p w14:paraId="16BD6875"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7B5D076C" w14:textId="77777777" w:rsidR="005F3002" w:rsidRPr="007E60E3" w:rsidRDefault="008C4497">
      <w:pPr>
        <w:tabs>
          <w:tab w:val="left" w:pos="9072"/>
        </w:tabs>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“ARTÍCULO 220 K.-</w:t>
      </w:r>
      <w:r w:rsidRPr="007E60E3">
        <w:rPr>
          <w:rFonts w:ascii="Palatino Linotype" w:eastAsia="Palatino Linotype" w:hAnsi="Palatino Linotype" w:cs="Palatino Linotype"/>
          <w:i/>
          <w:sz w:val="22"/>
          <w:szCs w:val="22"/>
        </w:rPr>
        <w:t xml:space="preserve"> La </w:t>
      </w:r>
      <w:r w:rsidRPr="007E60E3">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b/>
          <w:i/>
          <w:sz w:val="22"/>
          <w:szCs w:val="22"/>
        </w:rPr>
        <w:t>se precisan</w:t>
      </w:r>
      <w:r w:rsidRPr="007E60E3">
        <w:rPr>
          <w:rFonts w:ascii="Palatino Linotype" w:eastAsia="Palatino Linotype" w:hAnsi="Palatino Linotype" w:cs="Palatino Linotype"/>
          <w:i/>
          <w:sz w:val="22"/>
          <w:szCs w:val="22"/>
        </w:rPr>
        <w:t>:</w:t>
      </w:r>
    </w:p>
    <w:p w14:paraId="3AF2BFE8" w14:textId="77777777" w:rsidR="005F3002" w:rsidRPr="007E60E3" w:rsidRDefault="008C4497">
      <w:pPr>
        <w:tabs>
          <w:tab w:val="left" w:pos="9072"/>
        </w:tabs>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0DB902EC" w14:textId="77777777" w:rsidR="005F3002" w:rsidRPr="007E60E3" w:rsidRDefault="008C4497">
      <w:pPr>
        <w:tabs>
          <w:tab w:val="left" w:pos="9072"/>
        </w:tabs>
        <w:spacing w:line="276" w:lineRule="auto"/>
        <w:ind w:left="851" w:right="616"/>
        <w:jc w:val="both"/>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i/>
          <w:sz w:val="22"/>
          <w:szCs w:val="22"/>
        </w:rPr>
        <w:t xml:space="preserve">II. </w:t>
      </w:r>
      <w:r w:rsidRPr="007E60E3">
        <w:rPr>
          <w:rFonts w:ascii="Palatino Linotype" w:eastAsia="Palatino Linotype" w:hAnsi="Palatino Linotype" w:cs="Palatino Linotype"/>
          <w:b/>
          <w:i/>
          <w:sz w:val="22"/>
          <w:szCs w:val="22"/>
        </w:rPr>
        <w:t>Recibos de pagos de salarios o</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b/>
          <w:i/>
          <w:sz w:val="22"/>
          <w:szCs w:val="22"/>
        </w:rPr>
        <w:t>las constancias documentales del pago de salario</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b/>
          <w:i/>
          <w:sz w:val="22"/>
          <w:szCs w:val="22"/>
        </w:rPr>
        <w:t>cuando sea por depósito o mediante información electrónica;</w:t>
      </w:r>
    </w:p>
    <w:p w14:paraId="0DB1D0D5" w14:textId="77777777" w:rsidR="005F3002" w:rsidRPr="007E60E3" w:rsidRDefault="008C4497">
      <w:pPr>
        <w:tabs>
          <w:tab w:val="left" w:pos="9072"/>
        </w:tabs>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79A53E96" w14:textId="77777777" w:rsidR="005F3002" w:rsidRPr="007E60E3" w:rsidRDefault="008C4497">
      <w:pPr>
        <w:tabs>
          <w:tab w:val="left" w:pos="9072"/>
        </w:tabs>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35EFE12" w14:textId="77777777" w:rsidR="005F3002" w:rsidRPr="007E60E3" w:rsidRDefault="008C4497">
      <w:pPr>
        <w:tabs>
          <w:tab w:val="left" w:pos="9072"/>
        </w:tabs>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7E45E2DC" w14:textId="77777777" w:rsidR="005F3002" w:rsidRPr="007E60E3" w:rsidRDefault="005F3002">
      <w:pPr>
        <w:tabs>
          <w:tab w:val="left" w:pos="9072"/>
        </w:tabs>
        <w:ind w:left="851" w:right="851"/>
        <w:jc w:val="both"/>
        <w:rPr>
          <w:rFonts w:ascii="Palatino Linotype" w:eastAsia="Palatino Linotype" w:hAnsi="Palatino Linotype" w:cs="Palatino Linotype"/>
          <w:i/>
          <w:sz w:val="22"/>
          <w:szCs w:val="22"/>
        </w:rPr>
      </w:pPr>
    </w:p>
    <w:p w14:paraId="5A1D0875" w14:textId="77777777" w:rsidR="005F3002" w:rsidRPr="007E60E3" w:rsidRDefault="008C4497">
      <w:pPr>
        <w:spacing w:line="360" w:lineRule="auto"/>
        <w:ind w:right="51"/>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6DA5822" w14:textId="77777777" w:rsidR="005F3002" w:rsidRPr="007E60E3" w:rsidRDefault="005F3002">
      <w:pPr>
        <w:spacing w:line="360" w:lineRule="auto"/>
        <w:ind w:right="51"/>
        <w:jc w:val="both"/>
        <w:rPr>
          <w:rFonts w:ascii="Palatino Linotype" w:eastAsia="Palatino Linotype" w:hAnsi="Palatino Linotype" w:cs="Palatino Linotype"/>
          <w:sz w:val="22"/>
          <w:szCs w:val="22"/>
        </w:rPr>
      </w:pPr>
    </w:p>
    <w:p w14:paraId="2173CBD9" w14:textId="77777777" w:rsidR="005F3002" w:rsidRPr="007E60E3" w:rsidRDefault="008C4497">
      <w:pPr>
        <w:tabs>
          <w:tab w:val="right" w:pos="8505"/>
        </w:tabs>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Una vez precisado lo que antecede, es necesario analizar la Ley de Fiscalización Superior del Estado de México, toda vez que señala que los municipios que conforman el Estado de México, entre ellos 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es considerado como ente fiscalizable, como así lo señala el artículo 4 fracción II de la Ley de Fiscalización Superior del Estado de México, el cual refiere:</w:t>
      </w:r>
    </w:p>
    <w:p w14:paraId="725FFFD9"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lastRenderedPageBreak/>
        <w:t>“</w:t>
      </w:r>
      <w:r w:rsidRPr="007E60E3">
        <w:rPr>
          <w:rFonts w:ascii="Palatino Linotype" w:eastAsia="Palatino Linotype" w:hAnsi="Palatino Linotype" w:cs="Palatino Linotype"/>
          <w:b/>
          <w:i/>
          <w:sz w:val="22"/>
          <w:szCs w:val="22"/>
        </w:rPr>
        <w:t xml:space="preserve">Artículo 4. </w:t>
      </w:r>
      <w:r w:rsidRPr="007E60E3">
        <w:rPr>
          <w:rFonts w:ascii="Palatino Linotype" w:eastAsia="Palatino Linotype" w:hAnsi="Palatino Linotype" w:cs="Palatino Linotype"/>
          <w:i/>
          <w:sz w:val="22"/>
          <w:szCs w:val="22"/>
        </w:rPr>
        <w:t>Son sujetos de fiscalización:</w:t>
      </w:r>
    </w:p>
    <w:p w14:paraId="67E714A0"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270F3470" w14:textId="77777777" w:rsidR="005F3002" w:rsidRPr="007E60E3" w:rsidRDefault="008C4497">
      <w:pPr>
        <w:numPr>
          <w:ilvl w:val="0"/>
          <w:numId w:val="4"/>
        </w:numPr>
        <w:pBdr>
          <w:top w:val="nil"/>
          <w:left w:val="nil"/>
          <w:bottom w:val="nil"/>
          <w:right w:val="nil"/>
          <w:between w:val="nil"/>
        </w:pBdr>
        <w:ind w:left="851" w:right="851" w:firstLine="0"/>
        <w:jc w:val="both"/>
        <w:rPr>
          <w:rFonts w:ascii="Palatino Linotype" w:eastAsia="Palatino Linotype" w:hAnsi="Palatino Linotype" w:cs="Palatino Linotype"/>
          <w:b/>
          <w:sz w:val="22"/>
          <w:szCs w:val="22"/>
        </w:rPr>
      </w:pPr>
      <w:r w:rsidRPr="007E60E3">
        <w:rPr>
          <w:rFonts w:ascii="Palatino Linotype" w:eastAsia="Palatino Linotype" w:hAnsi="Palatino Linotype" w:cs="Palatino Linotype"/>
          <w:i/>
          <w:sz w:val="22"/>
          <w:szCs w:val="22"/>
        </w:rPr>
        <w:t>Los municipios del Estado de México…” (Sic)</w:t>
      </w:r>
    </w:p>
    <w:p w14:paraId="0D5B7F43"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0A2DE743"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como así se advierte a continuación:</w:t>
      </w:r>
    </w:p>
    <w:p w14:paraId="1E0DB87A" w14:textId="77777777" w:rsidR="005F3002" w:rsidRPr="007E60E3" w:rsidRDefault="005F3002">
      <w:pPr>
        <w:ind w:left="851" w:right="616"/>
        <w:jc w:val="both"/>
        <w:rPr>
          <w:rFonts w:ascii="Palatino Linotype" w:eastAsia="Palatino Linotype" w:hAnsi="Palatino Linotype" w:cs="Palatino Linotype"/>
          <w:b/>
          <w:i/>
          <w:sz w:val="22"/>
          <w:szCs w:val="22"/>
        </w:rPr>
      </w:pPr>
    </w:p>
    <w:p w14:paraId="0F6AF092"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 xml:space="preserve">“Artículo 8. </w:t>
      </w:r>
      <w:r w:rsidRPr="007E60E3">
        <w:rPr>
          <w:rFonts w:ascii="Palatino Linotype" w:eastAsia="Palatino Linotype" w:hAnsi="Palatino Linotype" w:cs="Palatino Linotype"/>
          <w:i/>
          <w:sz w:val="22"/>
          <w:szCs w:val="22"/>
        </w:rPr>
        <w:t>El Órgano Superior tendrá las siguientes atribuciones:</w:t>
      </w:r>
    </w:p>
    <w:p w14:paraId="149BD920"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39E54A10" w14:textId="77777777" w:rsidR="005F3002" w:rsidRPr="007E60E3" w:rsidRDefault="008C4497">
      <w:pPr>
        <w:spacing w:line="276" w:lineRule="auto"/>
        <w:ind w:left="851" w:right="616"/>
        <w:jc w:val="both"/>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b/>
          <w:i/>
          <w:sz w:val="22"/>
          <w:szCs w:val="22"/>
        </w:rPr>
        <w:t>XI. Establecer los lineamientos</w:t>
      </w:r>
      <w:r w:rsidRPr="007E60E3">
        <w:rPr>
          <w:rFonts w:ascii="Palatino Linotype" w:eastAsia="Palatino Linotype" w:hAnsi="Palatino Linotype" w:cs="Palatino Linotype"/>
          <w:i/>
          <w:sz w:val="22"/>
          <w:szCs w:val="22"/>
        </w:rPr>
        <w:t xml:space="preserve">, criterios, procedimientos, métodos y sistemas </w:t>
      </w:r>
      <w:r w:rsidRPr="007E60E3">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sz w:val="22"/>
          <w:szCs w:val="22"/>
        </w:rPr>
        <w:t>” (</w:t>
      </w:r>
      <w:r w:rsidRPr="007E60E3">
        <w:rPr>
          <w:rFonts w:ascii="Palatino Linotype" w:eastAsia="Palatino Linotype" w:hAnsi="Palatino Linotype" w:cs="Palatino Linotype"/>
          <w:i/>
          <w:sz w:val="22"/>
          <w:szCs w:val="22"/>
        </w:rPr>
        <w:t>Sic)</w:t>
      </w:r>
    </w:p>
    <w:p w14:paraId="2C570C73"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228559F1"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Dentro de los cuales ubicamos en su módulo cuatro la información relacionada a la nómina, como se advierte en las siguientes imágenes sustraídas de dichos lineamientos:</w:t>
      </w:r>
    </w:p>
    <w:p w14:paraId="70D834EF" w14:textId="77777777" w:rsidR="005F3002" w:rsidRPr="007E60E3" w:rsidRDefault="008C4497">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7E60E3">
        <w:rPr>
          <w:rFonts w:ascii="Palatino Linotype" w:eastAsia="Palatino Linotype" w:hAnsi="Palatino Linotype" w:cs="Palatino Linotype"/>
          <w:noProof/>
          <w:sz w:val="22"/>
          <w:szCs w:val="22"/>
          <w:lang w:val="es-MX"/>
        </w:rPr>
        <w:drawing>
          <wp:inline distT="0" distB="0" distL="0" distR="0" wp14:anchorId="4725D2C4" wp14:editId="11138F8F">
            <wp:extent cx="4151865" cy="2951122"/>
            <wp:effectExtent l="0" t="0" r="0" b="0"/>
            <wp:docPr id="7702015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151865" cy="2951122"/>
                    </a:xfrm>
                    <a:prstGeom prst="rect">
                      <a:avLst/>
                    </a:prstGeom>
                    <a:ln/>
                  </pic:spPr>
                </pic:pic>
              </a:graphicData>
            </a:graphic>
          </wp:inline>
        </w:drawing>
      </w:r>
      <w:r w:rsidRPr="007E60E3">
        <w:rPr>
          <w:noProof/>
          <w:lang w:val="es-MX"/>
        </w:rPr>
        <mc:AlternateContent>
          <mc:Choice Requires="wpg">
            <w:drawing>
              <wp:anchor distT="0" distB="0" distL="114300" distR="114300" simplePos="0" relativeHeight="251658240" behindDoc="0" locked="0" layoutInCell="1" hidden="0" allowOverlap="1" wp14:anchorId="36771912" wp14:editId="1209A341">
                <wp:simplePos x="0" y="0"/>
                <wp:positionH relativeFrom="column">
                  <wp:posOffset>774700</wp:posOffset>
                </wp:positionH>
                <wp:positionV relativeFrom="paragraph">
                  <wp:posOffset>1778000</wp:posOffset>
                </wp:positionV>
                <wp:extent cx="4086225" cy="381000"/>
                <wp:effectExtent l="0" t="0" r="0" b="0"/>
                <wp:wrapNone/>
                <wp:docPr id="770201580" name="Rectángulo 770201580"/>
                <wp:cNvGraphicFramePr/>
                <a:graphic xmlns:a="http://schemas.openxmlformats.org/drawingml/2006/main">
                  <a:graphicData uri="http://schemas.microsoft.com/office/word/2010/wordprocessingShape">
                    <wps:wsp>
                      <wps:cNvSpPr/>
                      <wps:spPr>
                        <a:xfrm>
                          <a:off x="3321938" y="3608550"/>
                          <a:ext cx="4048125" cy="342900"/>
                        </a:xfrm>
                        <a:prstGeom prst="rect">
                          <a:avLst/>
                        </a:prstGeom>
                        <a:noFill/>
                        <a:ln w="19050" cap="flat" cmpd="sng">
                          <a:solidFill>
                            <a:srgbClr val="FF0000"/>
                          </a:solidFill>
                          <a:prstDash val="solid"/>
                          <a:round/>
                          <a:headEnd type="none" w="sm" len="sm"/>
                          <a:tailEnd type="none" w="sm" len="sm"/>
                        </a:ln>
                      </wps:spPr>
                      <wps:txbx>
                        <w:txbxContent>
                          <w:p w14:paraId="6E2BBEC5" w14:textId="77777777" w:rsidR="005F3002" w:rsidRDefault="005F3002">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774700</wp:posOffset>
                </wp:positionH>
                <wp:positionV relativeFrom="paragraph">
                  <wp:posOffset>1778000</wp:posOffset>
                </wp:positionV>
                <wp:extent cx="4086225" cy="381000"/>
                <wp:effectExtent b="0" l="0" r="0" t="0"/>
                <wp:wrapNone/>
                <wp:docPr id="770201580"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4086225" cy="381000"/>
                        </a:xfrm>
                        <a:prstGeom prst="rect"/>
                        <a:ln/>
                      </pic:spPr>
                    </pic:pic>
                  </a:graphicData>
                </a:graphic>
              </wp:anchor>
            </w:drawing>
          </mc:Fallback>
        </mc:AlternateContent>
      </w:r>
    </w:p>
    <w:p w14:paraId="3173B27B"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92E3B0"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 xml:space="preserve">Dentro de los cuales ubicamos, la información referente a la conciliación de nómina que de manera enunciativa más no limitativa puede colmar las peticiones de la parte </w:t>
      </w:r>
      <w:r w:rsidRPr="007E60E3">
        <w:rPr>
          <w:rFonts w:ascii="Palatino Linotype" w:eastAsia="Palatino Linotype" w:hAnsi="Palatino Linotype" w:cs="Palatino Linotype"/>
          <w:b/>
          <w:sz w:val="22"/>
          <w:szCs w:val="22"/>
        </w:rPr>
        <w:t>Recurrent</w:t>
      </w:r>
      <w:r w:rsidRPr="007E60E3">
        <w:rPr>
          <w:rFonts w:ascii="Palatino Linotype" w:eastAsia="Palatino Linotype" w:hAnsi="Palatino Linotype" w:cs="Palatino Linotype"/>
          <w:sz w:val="22"/>
          <w:szCs w:val="22"/>
        </w:rPr>
        <w:t xml:space="preserve">e, toda vez que es información que se genera de forma quincenal, que es como lo solicita el particular. </w:t>
      </w:r>
    </w:p>
    <w:p w14:paraId="2435A9F6"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39C5FFBC"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Además, de que dicha información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BF0A011"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5939A509"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u w:val="single"/>
        </w:rPr>
      </w:pPr>
      <w:r w:rsidRPr="007E60E3">
        <w:rPr>
          <w:rFonts w:ascii="Palatino Linotype" w:eastAsia="Palatino Linotype" w:hAnsi="Palatino Linotype" w:cs="Palatino Linotype"/>
          <w:i/>
          <w:sz w:val="22"/>
          <w:szCs w:val="22"/>
          <w:u w:val="single"/>
        </w:rPr>
        <w:t>“</w:t>
      </w:r>
      <w:r w:rsidRPr="007E60E3">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7E60E3">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7E60E3">
        <w:rPr>
          <w:rFonts w:ascii="Palatino Linotype" w:eastAsia="Palatino Linotype" w:hAnsi="Palatino Linotype" w:cs="Palatino Linotype"/>
          <w:b/>
          <w:i/>
          <w:sz w:val="22"/>
          <w:szCs w:val="22"/>
          <w:u w:val="single"/>
        </w:rPr>
        <w:t>que reciba y ejerza recursos públicos</w:t>
      </w:r>
      <w:r w:rsidRPr="007E60E3">
        <w:rPr>
          <w:rFonts w:ascii="Palatino Linotype" w:eastAsia="Palatino Linotype" w:hAnsi="Palatino Linotype" w:cs="Palatino Linotype"/>
          <w:i/>
          <w:sz w:val="22"/>
          <w:szCs w:val="22"/>
        </w:rPr>
        <w:t xml:space="preserve"> o realice actos de autoridad </w:t>
      </w:r>
      <w:r w:rsidRPr="007E60E3">
        <w:rPr>
          <w:rFonts w:ascii="Palatino Linotype" w:eastAsia="Palatino Linotype" w:hAnsi="Palatino Linotype" w:cs="Palatino Linotype"/>
          <w:b/>
          <w:i/>
          <w:sz w:val="22"/>
          <w:szCs w:val="22"/>
          <w:u w:val="single"/>
        </w:rPr>
        <w:t>en el ámbito de competencia del Estado de México y sus municipios</w:t>
      </w:r>
      <w:r w:rsidRPr="007E60E3">
        <w:rPr>
          <w:rFonts w:ascii="Palatino Linotype" w:eastAsia="Palatino Linotype" w:hAnsi="Palatino Linotype" w:cs="Palatino Linotype"/>
          <w:i/>
          <w:sz w:val="22"/>
          <w:szCs w:val="22"/>
          <w:u w:val="single"/>
        </w:rPr>
        <w:t>.</w:t>
      </w:r>
    </w:p>
    <w:p w14:paraId="137D23A9"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42CDD89F"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6DFC1783" w14:textId="77777777" w:rsidR="005F3002" w:rsidRPr="007E60E3" w:rsidRDefault="008C4497">
      <w:pPr>
        <w:spacing w:line="276" w:lineRule="auto"/>
        <w:ind w:left="851" w:right="616"/>
        <w:jc w:val="both"/>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b/>
          <w:i/>
          <w:sz w:val="22"/>
          <w:szCs w:val="22"/>
          <w:u w:val="single"/>
        </w:rPr>
        <w:t>IV. Los ayuntamientos</w:t>
      </w:r>
      <w:r w:rsidRPr="007E60E3">
        <w:rPr>
          <w:rFonts w:ascii="Palatino Linotype" w:eastAsia="Palatino Linotype" w:hAnsi="Palatino Linotype" w:cs="Palatino Linotype"/>
          <w:b/>
          <w:i/>
          <w:sz w:val="22"/>
          <w:szCs w:val="22"/>
        </w:rPr>
        <w:t xml:space="preserve"> y las dependencias, organismos, órganos y entidades de la administración municipal;</w:t>
      </w:r>
    </w:p>
    <w:p w14:paraId="7B1EEEED"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6CC1017E" w14:textId="77777777" w:rsidR="005F3002" w:rsidRPr="007E60E3" w:rsidRDefault="008C4497">
      <w:pPr>
        <w:spacing w:line="276" w:lineRule="auto"/>
        <w:ind w:left="851" w:right="616"/>
        <w:jc w:val="both"/>
        <w:rPr>
          <w:rFonts w:ascii="Palatino Linotype" w:eastAsia="Palatino Linotype" w:hAnsi="Palatino Linotype" w:cs="Palatino Linotype"/>
          <w:b/>
          <w:i/>
          <w:sz w:val="22"/>
          <w:szCs w:val="22"/>
          <w:u w:val="single"/>
        </w:rPr>
      </w:pPr>
      <w:r w:rsidRPr="007E60E3">
        <w:rPr>
          <w:rFonts w:ascii="Palatino Linotype" w:eastAsia="Palatino Linotype" w:hAnsi="Palatino Linotype" w:cs="Palatino Linotype"/>
          <w:b/>
          <w:i/>
          <w:sz w:val="22"/>
          <w:szCs w:val="22"/>
          <w:u w:val="single"/>
        </w:rPr>
        <w:t xml:space="preserve">Los sujetos obligados deberán hacer pública toda aquella información relativa a los montos y las personas a quienes entreguen, por cualquier </w:t>
      </w:r>
      <w:r w:rsidRPr="007E60E3">
        <w:rPr>
          <w:rFonts w:ascii="Palatino Linotype" w:eastAsia="Palatino Linotype" w:hAnsi="Palatino Linotype" w:cs="Palatino Linotype"/>
          <w:b/>
          <w:i/>
          <w:sz w:val="22"/>
          <w:szCs w:val="22"/>
          <w:u w:val="single"/>
        </w:rPr>
        <w:lastRenderedPageBreak/>
        <w:t>motivo, recursos públicos, así como los informes que dichas personas les entreguen sobre el uso y destino de dichos recursos.</w:t>
      </w:r>
    </w:p>
    <w:p w14:paraId="4363214E"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Los servidores públicos deberán transparentar sus </w:t>
      </w:r>
      <w:proofErr w:type="gramStart"/>
      <w:r w:rsidRPr="007E60E3">
        <w:rPr>
          <w:rFonts w:ascii="Palatino Linotype" w:eastAsia="Palatino Linotype" w:hAnsi="Palatino Linotype" w:cs="Palatino Linotype"/>
          <w:i/>
          <w:sz w:val="22"/>
          <w:szCs w:val="22"/>
        </w:rPr>
        <w:t>acciones</w:t>
      </w:r>
      <w:proofErr w:type="gramEnd"/>
      <w:r w:rsidRPr="007E60E3">
        <w:rPr>
          <w:rFonts w:ascii="Palatino Linotype" w:eastAsia="Palatino Linotype" w:hAnsi="Palatino Linotype" w:cs="Palatino Linotype"/>
          <w:i/>
          <w:sz w:val="22"/>
          <w:szCs w:val="22"/>
        </w:rPr>
        <w:t xml:space="preserve"> así como garantizar y respetar el derecho de acceso a la información pública.” </w:t>
      </w:r>
    </w:p>
    <w:p w14:paraId="4D0181C8" w14:textId="77777777" w:rsidR="005F3002" w:rsidRPr="007E60E3" w:rsidRDefault="008C4497">
      <w:pP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(Énfasis Añadido)</w:t>
      </w:r>
    </w:p>
    <w:p w14:paraId="4DDCA455"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24992015"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7E60E3">
        <w:rPr>
          <w:rFonts w:ascii="Palatino Linotype" w:eastAsia="Palatino Linotype" w:hAnsi="Palatino Linotype" w:cs="Palatino Linotype"/>
          <w:b/>
          <w:sz w:val="22"/>
          <w:szCs w:val="22"/>
        </w:rPr>
        <w:t>01/2003</w:t>
      </w:r>
      <w:r w:rsidRPr="007E60E3">
        <w:rPr>
          <w:rFonts w:ascii="Palatino Linotype" w:eastAsia="Palatino Linotype" w:hAnsi="Palatino Linotype" w:cs="Palatino Linotype"/>
          <w:sz w:val="22"/>
          <w:szCs w:val="22"/>
        </w:rPr>
        <w:t xml:space="preserve"> y </w:t>
      </w:r>
      <w:r w:rsidRPr="007E60E3">
        <w:rPr>
          <w:rFonts w:ascii="Palatino Linotype" w:eastAsia="Palatino Linotype" w:hAnsi="Palatino Linotype" w:cs="Palatino Linotype"/>
          <w:b/>
          <w:sz w:val="22"/>
          <w:szCs w:val="22"/>
        </w:rPr>
        <w:t>02/2003</w:t>
      </w:r>
      <w:r w:rsidRPr="007E60E3">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217078E2"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72DA32DE" w14:textId="77777777" w:rsidR="005F3002" w:rsidRPr="007E60E3" w:rsidRDefault="008C4497">
      <w:pPr>
        <w:ind w:left="851" w:right="616"/>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b/>
          <w:i/>
          <w:sz w:val="22"/>
          <w:szCs w:val="22"/>
        </w:rPr>
        <w:t>“Criterio 01/2003.</w:t>
      </w:r>
    </w:p>
    <w:p w14:paraId="37DE5467"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7E60E3">
        <w:rPr>
          <w:rFonts w:ascii="Palatino Linotype" w:eastAsia="Palatino Linotype" w:hAnsi="Palatino Linotype" w:cs="Palatino Linotype"/>
          <w:i/>
          <w:sz w:val="22"/>
          <w:szCs w:val="22"/>
        </w:rPr>
        <w:t xml:space="preserve"> </w:t>
      </w:r>
    </w:p>
    <w:p w14:paraId="6758C0AB" w14:textId="77777777" w:rsidR="005F3002" w:rsidRPr="007E60E3" w:rsidRDefault="008C4497">
      <w:pPr>
        <w:ind w:left="851" w:right="616"/>
        <w:jc w:val="both"/>
        <w:rPr>
          <w:rFonts w:ascii="Palatino Linotype" w:eastAsia="Palatino Linotype" w:hAnsi="Palatino Linotype" w:cs="Palatino Linotype"/>
          <w:i/>
          <w:sz w:val="22"/>
          <w:szCs w:val="22"/>
          <w:u w:val="single"/>
        </w:rPr>
      </w:pPr>
      <w:r w:rsidRPr="007E60E3">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E60E3">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E60E3">
        <w:rPr>
          <w:rFonts w:ascii="Palatino Linotype" w:eastAsia="Palatino Linotype" w:hAnsi="Palatino Linotype" w:cs="Palatino Linotype"/>
          <w:i/>
          <w:sz w:val="22"/>
          <w:szCs w:val="22"/>
          <w:u w:val="single"/>
        </w:rPr>
        <w:t>…”</w:t>
      </w:r>
    </w:p>
    <w:p w14:paraId="52E44460" w14:textId="77777777" w:rsidR="005F3002" w:rsidRPr="007E60E3" w:rsidRDefault="005F3002">
      <w:pPr>
        <w:ind w:left="851" w:right="616"/>
        <w:jc w:val="both"/>
        <w:rPr>
          <w:rFonts w:ascii="Palatino Linotype" w:eastAsia="Palatino Linotype" w:hAnsi="Palatino Linotype" w:cs="Palatino Linotype"/>
          <w:i/>
          <w:sz w:val="22"/>
          <w:szCs w:val="22"/>
        </w:rPr>
      </w:pPr>
    </w:p>
    <w:p w14:paraId="1A1FF211" w14:textId="77777777" w:rsidR="005F3002" w:rsidRPr="007E60E3" w:rsidRDefault="008C4497">
      <w:pPr>
        <w:ind w:left="851" w:right="616"/>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b/>
          <w:i/>
          <w:sz w:val="22"/>
          <w:szCs w:val="22"/>
        </w:rPr>
        <w:t>“Criterio 02/2003.</w:t>
      </w:r>
    </w:p>
    <w:p w14:paraId="56962BD3"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7E60E3">
        <w:rPr>
          <w:rFonts w:ascii="Palatino Linotype" w:eastAsia="Palatino Linotype" w:hAnsi="Palatino Linotype" w:cs="Palatino Linotype"/>
          <w:i/>
          <w:sz w:val="22"/>
          <w:szCs w:val="22"/>
        </w:rPr>
        <w:t xml:space="preserve"> </w:t>
      </w:r>
    </w:p>
    <w:p w14:paraId="5A1C1997" w14:textId="77777777" w:rsidR="005F3002" w:rsidRPr="007E60E3" w:rsidRDefault="008C4497">
      <w:pPr>
        <w:ind w:left="851" w:right="616"/>
        <w:jc w:val="both"/>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w:t>
      </w:r>
      <w:r w:rsidRPr="007E60E3">
        <w:rPr>
          <w:rFonts w:ascii="Palatino Linotype" w:eastAsia="Palatino Linotype" w:hAnsi="Palatino Linotype" w:cs="Palatino Linotype"/>
          <w:i/>
          <w:sz w:val="22"/>
          <w:szCs w:val="22"/>
        </w:rPr>
        <w:lastRenderedPageBreak/>
        <w:t xml:space="preserve">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E60E3">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E60E3">
        <w:rPr>
          <w:rFonts w:ascii="Palatino Linotype" w:eastAsia="Palatino Linotype" w:hAnsi="Palatino Linotype" w:cs="Palatino Linotype"/>
          <w:i/>
          <w:sz w:val="22"/>
          <w:szCs w:val="22"/>
        </w:rPr>
        <w:t xml:space="preserve"> el sistema de compensación…” </w:t>
      </w:r>
      <w:r w:rsidRPr="007E60E3">
        <w:rPr>
          <w:rFonts w:ascii="Palatino Linotype" w:eastAsia="Palatino Linotype" w:hAnsi="Palatino Linotype" w:cs="Palatino Linotype"/>
          <w:b/>
          <w:i/>
          <w:sz w:val="22"/>
          <w:szCs w:val="22"/>
        </w:rPr>
        <w:t>[Sic]</w:t>
      </w:r>
    </w:p>
    <w:p w14:paraId="030E8AD4" w14:textId="77777777" w:rsidR="005F3002" w:rsidRPr="007E60E3" w:rsidRDefault="005F3002">
      <w:pPr>
        <w:spacing w:line="360" w:lineRule="auto"/>
        <w:ind w:right="-93"/>
        <w:jc w:val="both"/>
        <w:rPr>
          <w:rFonts w:ascii="Palatino Linotype" w:eastAsia="Palatino Linotype" w:hAnsi="Palatino Linotype" w:cs="Palatino Linotype"/>
          <w:sz w:val="22"/>
          <w:szCs w:val="22"/>
        </w:rPr>
      </w:pPr>
    </w:p>
    <w:p w14:paraId="5FF099BE" w14:textId="77777777" w:rsidR="005F3002" w:rsidRPr="007E60E3" w:rsidRDefault="008C4497">
      <w:pPr>
        <w:tabs>
          <w:tab w:val="left" w:pos="709"/>
        </w:tabs>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Aunado a que, se trata de una obligación de transparencia en términos de lo señalado por el artículo 92 fracción VIII de la Ley de Transparencia y Acceso a la Información Pública del Estado de México y Municipios vigente, que señala:</w:t>
      </w:r>
    </w:p>
    <w:p w14:paraId="2C46E6BE" w14:textId="77777777" w:rsidR="005F3002" w:rsidRPr="007E60E3" w:rsidRDefault="005F3002">
      <w:pPr>
        <w:tabs>
          <w:tab w:val="left" w:pos="709"/>
        </w:tabs>
        <w:spacing w:line="360" w:lineRule="auto"/>
        <w:jc w:val="both"/>
        <w:rPr>
          <w:rFonts w:ascii="Palatino Linotype" w:eastAsia="Palatino Linotype" w:hAnsi="Palatino Linotype" w:cs="Palatino Linotype"/>
          <w:sz w:val="22"/>
          <w:szCs w:val="22"/>
        </w:rPr>
      </w:pPr>
    </w:p>
    <w:p w14:paraId="370ED3E7"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Artículo 92.</w:t>
      </w:r>
      <w:r w:rsidRPr="007E60E3">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EE40654"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1CD3B450" w14:textId="77777777" w:rsidR="005F3002" w:rsidRPr="007E60E3" w:rsidRDefault="008C4497">
      <w:pPr>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VIII.</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7E60E3">
        <w:rPr>
          <w:rFonts w:ascii="Palatino Linotype" w:eastAsia="Palatino Linotype" w:hAnsi="Palatino Linotype" w:cs="Palatino Linotype"/>
          <w:i/>
          <w:sz w:val="22"/>
          <w:szCs w:val="22"/>
        </w:rPr>
        <w:t>, señalando la periodicidad de dicha remuneración;</w:t>
      </w:r>
    </w:p>
    <w:p w14:paraId="00B914D8"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57614349"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Dicho lo anterior, es necesario recordar que la Dirección de Administración hizo entrega de las nóminas en versión pública, adjuntando con ello, los siguientes documentos: </w:t>
      </w:r>
    </w:p>
    <w:p w14:paraId="495F36CA"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noProof/>
          <w:sz w:val="22"/>
          <w:szCs w:val="22"/>
          <w:lang w:val="es-MX"/>
        </w:rPr>
        <w:lastRenderedPageBreak/>
        <w:drawing>
          <wp:inline distT="0" distB="0" distL="0" distR="0" wp14:anchorId="16C8B4AE" wp14:editId="2CC8364D">
            <wp:extent cx="5612130" cy="2182495"/>
            <wp:effectExtent l="0" t="0" r="0" b="0"/>
            <wp:docPr id="7702015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2130" cy="2182495"/>
                    </a:xfrm>
                    <a:prstGeom prst="rect">
                      <a:avLst/>
                    </a:prstGeom>
                    <a:ln/>
                  </pic:spPr>
                </pic:pic>
              </a:graphicData>
            </a:graphic>
          </wp:inline>
        </w:drawing>
      </w:r>
    </w:p>
    <w:p w14:paraId="64C5BE92"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noProof/>
          <w:sz w:val="22"/>
          <w:szCs w:val="22"/>
          <w:lang w:val="es-MX"/>
        </w:rPr>
        <w:drawing>
          <wp:inline distT="0" distB="0" distL="0" distR="0" wp14:anchorId="17D7FF91" wp14:editId="54741E1D">
            <wp:extent cx="5612130" cy="2192020"/>
            <wp:effectExtent l="0" t="0" r="0" b="0"/>
            <wp:docPr id="7702015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2130" cy="2192020"/>
                    </a:xfrm>
                    <a:prstGeom prst="rect">
                      <a:avLst/>
                    </a:prstGeom>
                    <a:ln/>
                  </pic:spPr>
                </pic:pic>
              </a:graphicData>
            </a:graphic>
          </wp:inline>
        </w:drawing>
      </w:r>
    </w:p>
    <w:p w14:paraId="112CC30E"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noProof/>
          <w:sz w:val="22"/>
          <w:szCs w:val="22"/>
          <w:lang w:val="es-MX"/>
        </w:rPr>
        <w:drawing>
          <wp:inline distT="0" distB="0" distL="0" distR="0" wp14:anchorId="05B42078" wp14:editId="6A4E5E94">
            <wp:extent cx="5612130" cy="1798955"/>
            <wp:effectExtent l="0" t="0" r="0" b="0"/>
            <wp:docPr id="7702015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1798955"/>
                    </a:xfrm>
                    <a:prstGeom prst="rect">
                      <a:avLst/>
                    </a:prstGeom>
                    <a:ln/>
                  </pic:spPr>
                </pic:pic>
              </a:graphicData>
            </a:graphic>
          </wp:inline>
        </w:drawing>
      </w:r>
    </w:p>
    <w:p w14:paraId="7D43A5A8" w14:textId="77777777" w:rsidR="005F3002" w:rsidRPr="007E60E3" w:rsidRDefault="008C44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Tal y como se aprecia, la información proporcionada corresponde con la información que requirió el particular; sin embargo, como lo señaló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 la información resulta ilegible, impidiendo que se conozca a detalle la información que contiene, es decir, no se advierte el nombre de los servidores públicos, las unidades administrativas, percepciones y deducciones, etc.</w:t>
      </w:r>
    </w:p>
    <w:p w14:paraId="2737195D" w14:textId="77777777" w:rsidR="005F3002" w:rsidRPr="007E60E3" w:rsidRDefault="008C4497">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 xml:space="preserve">Bajo ese tenor no se pasa por alto que el hacer entrega de un documento cuya información se encuentre ilegible, deja en incertidumbre al particular, violentando con su respuesta el Derecho de Acceso a la Información. </w:t>
      </w:r>
    </w:p>
    <w:p w14:paraId="07D4DE07" w14:textId="77777777" w:rsidR="005F3002" w:rsidRPr="007E60E3" w:rsidRDefault="008C4497">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Es decir, la información documental que entregue 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0C5672D6" w14:textId="77777777" w:rsidR="005F3002" w:rsidRPr="007E60E3" w:rsidRDefault="008C4497">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Sirve de apoyo a lo anterior como criterio orientador la tesis número II. 1°. C.T. 55 C, publicada en el Semanario Judicial de la Federación y su Gaceta bajo el número de3 registro 201,412, que a la letra dice:</w:t>
      </w:r>
    </w:p>
    <w:p w14:paraId="6B80295F" w14:textId="77777777" w:rsidR="005F3002" w:rsidRPr="007E60E3" w:rsidRDefault="008C4497">
      <w:pPr>
        <w:ind w:left="851" w:right="851"/>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“COTEJO DE COPIAS FOTOSTÁTICAS ILEGIBLES. AL NO SER POSIBLE CONSTATAR SU AUTENTICIDAD ES INÚTIL E INTRASCENDENTE SU PERFECCIONAMIENTO, POR LO QUE LA JUNTA ESTÁ IMPEDIDA PARA ORDENAR SU DESAHOGO.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2EC0131B" w14:textId="77777777" w:rsidR="005F3002" w:rsidRPr="007E60E3" w:rsidRDefault="008C4497">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En conclusión, 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al momento en que dé respuesta a cualquier solicitud de acceso a la información deberá revisar y verificar que la documentación que remitió en su respuesta y que resultó ilegible o indebidamente escaneada, sea entregada </w:t>
      </w:r>
      <w:r w:rsidRPr="007E60E3">
        <w:rPr>
          <w:rFonts w:ascii="Palatino Linotype" w:eastAsia="Palatino Linotype" w:hAnsi="Palatino Linotype" w:cs="Palatino Linotype"/>
          <w:sz w:val="22"/>
          <w:szCs w:val="22"/>
        </w:rPr>
        <w:lastRenderedPageBreak/>
        <w:t xml:space="preserve">de manera adecuada, para que este Instituto tenga por satisfecho el derecho de acceso a la información ejercido por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w:t>
      </w:r>
    </w:p>
    <w:p w14:paraId="19A9B460"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Ahora bien y toda vez que la inconformidad de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 xml:space="preserve"> versa sobre que la información entregada en respuesta no garantiza lo establecido por el artículo 11 de la Ley de la Materia, que señala:</w:t>
      </w:r>
    </w:p>
    <w:p w14:paraId="1E7977E1" w14:textId="77777777" w:rsidR="005F3002" w:rsidRPr="007E60E3" w:rsidRDefault="008C4497">
      <w:pPr>
        <w:spacing w:before="240" w:after="240"/>
        <w:ind w:left="851" w:right="900"/>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34F8C4A3" w14:textId="77777777" w:rsidR="005F3002" w:rsidRPr="007E60E3" w:rsidRDefault="008C4497">
      <w:pPr>
        <w:spacing w:before="240" w:after="240"/>
        <w:ind w:left="851" w:right="900"/>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 </w:t>
      </w:r>
    </w:p>
    <w:p w14:paraId="469C6925" w14:textId="77777777" w:rsidR="005F3002" w:rsidRPr="007E60E3" w:rsidRDefault="008C44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Por lo que, hasta este punto, resultan fundados los motivos o razones de inconformidad hechos valer por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w:t>
      </w:r>
    </w:p>
    <w:p w14:paraId="797A98AA" w14:textId="77777777" w:rsidR="005F3002" w:rsidRPr="007E60E3" w:rsidRDefault="005F300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F3FA4FF" w14:textId="77777777" w:rsidR="005F3002" w:rsidRPr="007E60E3" w:rsidRDefault="008C4497">
      <w:pPr>
        <w:widowControl w:val="0"/>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Ahora bien, cabe hacer mención que 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en aras de garantizar el derecho de acceso a la información de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 xml:space="preserve">, también hizo entrega de Acta del Comité en el que se aprobó la clasificación de la información como confidencial respecto a los datos personales contenidos, siendo estos los siguientes: </w:t>
      </w:r>
    </w:p>
    <w:p w14:paraId="77A9B28F" w14:textId="77777777" w:rsidR="005F3002" w:rsidRPr="007E60E3" w:rsidRDefault="005F3002">
      <w:pPr>
        <w:widowControl w:val="0"/>
        <w:spacing w:line="360" w:lineRule="auto"/>
        <w:jc w:val="both"/>
        <w:rPr>
          <w:rFonts w:ascii="Palatino Linotype" w:eastAsia="Palatino Linotype" w:hAnsi="Palatino Linotype" w:cs="Palatino Linotype"/>
          <w:sz w:val="22"/>
          <w:szCs w:val="22"/>
        </w:rPr>
      </w:pPr>
    </w:p>
    <w:p w14:paraId="443415C1" w14:textId="77777777" w:rsidR="005F3002" w:rsidRPr="007E60E3" w:rsidRDefault="008C4497">
      <w:pPr>
        <w:widowControl w:val="0"/>
        <w:spacing w:line="360" w:lineRule="auto"/>
        <w:jc w:val="center"/>
        <w:rPr>
          <w:rFonts w:ascii="Palatino Linotype" w:eastAsia="Palatino Linotype" w:hAnsi="Palatino Linotype" w:cs="Palatino Linotype"/>
          <w:sz w:val="22"/>
          <w:szCs w:val="22"/>
        </w:rPr>
      </w:pPr>
      <w:r w:rsidRPr="007E60E3">
        <w:rPr>
          <w:rFonts w:ascii="Palatino Linotype" w:eastAsia="Palatino Linotype" w:hAnsi="Palatino Linotype" w:cs="Palatino Linotype"/>
          <w:noProof/>
          <w:sz w:val="22"/>
          <w:szCs w:val="22"/>
          <w:lang w:val="es-MX"/>
        </w:rPr>
        <w:lastRenderedPageBreak/>
        <w:drawing>
          <wp:inline distT="0" distB="0" distL="0" distR="0" wp14:anchorId="5B8F3C70" wp14:editId="210E8B60">
            <wp:extent cx="4828697" cy="4091116"/>
            <wp:effectExtent l="0" t="0" r="0" b="0"/>
            <wp:docPr id="7702015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828697" cy="4091116"/>
                    </a:xfrm>
                    <a:prstGeom prst="rect">
                      <a:avLst/>
                    </a:prstGeom>
                    <a:ln/>
                  </pic:spPr>
                </pic:pic>
              </a:graphicData>
            </a:graphic>
          </wp:inline>
        </w:drawing>
      </w:r>
    </w:p>
    <w:p w14:paraId="1D33660E" w14:textId="77777777" w:rsidR="005F3002" w:rsidRPr="007E60E3" w:rsidRDefault="005F3002">
      <w:pPr>
        <w:widowControl w:val="0"/>
        <w:spacing w:line="360" w:lineRule="auto"/>
        <w:jc w:val="both"/>
        <w:rPr>
          <w:rFonts w:ascii="Palatino Linotype" w:eastAsia="Palatino Linotype" w:hAnsi="Palatino Linotype" w:cs="Palatino Linotype"/>
          <w:sz w:val="22"/>
          <w:szCs w:val="22"/>
        </w:rPr>
      </w:pPr>
    </w:p>
    <w:p w14:paraId="57DEF1DD" w14:textId="77777777" w:rsidR="005F3002" w:rsidRPr="007E60E3" w:rsidRDefault="008C4497">
      <w:pPr>
        <w:widowControl w:val="0"/>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Por lo que este Instituto considera oportuno analizar si procede o no la clasificación de esta información, teniendo en cuenta lo siguiente: </w:t>
      </w:r>
    </w:p>
    <w:p w14:paraId="1EF18FC4"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251BEF" w14:textId="77777777" w:rsidR="005F3002" w:rsidRPr="007E60E3" w:rsidRDefault="008C4497">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7E60E3">
        <w:rPr>
          <w:rFonts w:ascii="Palatino Linotype" w:eastAsia="Palatino Linotype" w:hAnsi="Palatino Linotype" w:cs="Palatino Linotype"/>
          <w:b/>
          <w:sz w:val="22"/>
          <w:szCs w:val="22"/>
        </w:rPr>
        <w:t>Clave Única de Registro de Población (CURP)</w:t>
      </w:r>
    </w:p>
    <w:p w14:paraId="0EAD6F7A"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Referente 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E9A5205" w14:textId="77777777" w:rsidR="005F3002" w:rsidRPr="007E60E3" w:rsidRDefault="005F3002">
      <w:pPr>
        <w:spacing w:line="360" w:lineRule="auto"/>
        <w:rPr>
          <w:rFonts w:ascii="Palatino Linotype" w:eastAsia="Palatino Linotype" w:hAnsi="Palatino Linotype" w:cs="Palatino Linotype"/>
          <w:sz w:val="22"/>
          <w:szCs w:val="22"/>
        </w:rPr>
      </w:pPr>
    </w:p>
    <w:p w14:paraId="71495438"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Argumento que es compartido por el Instituto Nacional de Transparencia, Acceso a la Información y Protección de Datos Personales, INAI, conforme al criterio 18/17, el cual refiere:</w:t>
      </w:r>
    </w:p>
    <w:p w14:paraId="2530D059"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CB59E4D" w14:textId="77777777" w:rsidR="005F3002" w:rsidRPr="007E60E3" w:rsidRDefault="005F300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E86E41D" w14:textId="77777777" w:rsidR="005F3002" w:rsidRPr="007E60E3" w:rsidRDefault="008C4497">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7E60E3">
        <w:rPr>
          <w:rFonts w:ascii="Palatino Linotype" w:eastAsia="Palatino Linotype" w:hAnsi="Palatino Linotype" w:cs="Palatino Linotype"/>
          <w:b/>
          <w:sz w:val="22"/>
          <w:szCs w:val="22"/>
        </w:rPr>
        <w:t>Registro Federal de Contribuyentes (RFC)</w:t>
      </w:r>
    </w:p>
    <w:p w14:paraId="57E9F4D7"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7E60E3">
        <w:rPr>
          <w:rFonts w:ascii="Palatino Linotype" w:eastAsia="Palatino Linotype" w:hAnsi="Palatino Linotype" w:cs="Palatino Linotype"/>
          <w:sz w:val="22"/>
          <w:szCs w:val="22"/>
        </w:rPr>
        <w:t>homoclave</w:t>
      </w:r>
      <w:proofErr w:type="spellEnd"/>
      <w:r w:rsidRPr="007E60E3">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4562C0CF"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88BA3D5"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0190C08" w14:textId="77777777" w:rsidR="005F3002" w:rsidRPr="007E60E3" w:rsidRDefault="005F3002">
      <w:pPr>
        <w:spacing w:line="360" w:lineRule="auto"/>
        <w:rPr>
          <w:rFonts w:ascii="Palatino Linotype" w:eastAsia="Palatino Linotype" w:hAnsi="Palatino Linotype" w:cs="Palatino Linotype"/>
          <w:sz w:val="22"/>
          <w:szCs w:val="22"/>
        </w:rPr>
      </w:pPr>
    </w:p>
    <w:p w14:paraId="7BEF46E0"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19/17, el cual es del tenor literal siguiente:</w:t>
      </w:r>
    </w:p>
    <w:p w14:paraId="257EF384" w14:textId="77777777" w:rsidR="005F3002" w:rsidRPr="007E60E3" w:rsidRDefault="005F3002">
      <w:pPr>
        <w:pBdr>
          <w:top w:val="nil"/>
          <w:left w:val="nil"/>
          <w:bottom w:val="nil"/>
          <w:right w:val="nil"/>
          <w:between w:val="nil"/>
        </w:pBdr>
        <w:ind w:left="864" w:right="616"/>
        <w:jc w:val="both"/>
        <w:rPr>
          <w:rFonts w:ascii="Palatino Linotype" w:eastAsia="Palatino Linotype" w:hAnsi="Palatino Linotype" w:cs="Palatino Linotype"/>
          <w:i/>
          <w:sz w:val="22"/>
          <w:szCs w:val="22"/>
        </w:rPr>
      </w:pPr>
    </w:p>
    <w:p w14:paraId="1250D769"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Registro Federal de Contribuyentes (RFC) de personas físicas</w:t>
      </w:r>
      <w:r w:rsidRPr="007E60E3">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4264A36C" w14:textId="77777777" w:rsidR="005F3002" w:rsidRPr="007E60E3" w:rsidRDefault="005F3002">
      <w:pPr>
        <w:rPr>
          <w:rFonts w:ascii="Palatino Linotype" w:eastAsia="Palatino Linotype" w:hAnsi="Palatino Linotype" w:cs="Palatino Linotype"/>
          <w:sz w:val="22"/>
          <w:szCs w:val="22"/>
        </w:rPr>
      </w:pPr>
    </w:p>
    <w:p w14:paraId="29DE3CA1"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 xml:space="preserve">Así, el Registro Federal de Contribuyentes, RFC, se vincula al nombre de su titular y permite identificar la edad de la persona, su fecha de nacimiento, así como su </w:t>
      </w:r>
      <w:proofErr w:type="spellStart"/>
      <w:r w:rsidRPr="007E60E3">
        <w:rPr>
          <w:rFonts w:ascii="Palatino Linotype" w:eastAsia="Palatino Linotype" w:hAnsi="Palatino Linotype" w:cs="Palatino Linotype"/>
          <w:sz w:val="22"/>
          <w:szCs w:val="22"/>
        </w:rPr>
        <w:t>homoclave</w:t>
      </w:r>
      <w:proofErr w:type="spellEnd"/>
      <w:r w:rsidRPr="007E60E3">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DC8B086"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28DBD3" w14:textId="77777777" w:rsidR="005F3002" w:rsidRPr="007E60E3" w:rsidRDefault="008C4497">
      <w:pPr>
        <w:numPr>
          <w:ilvl w:val="0"/>
          <w:numId w:val="5"/>
        </w:numPr>
        <w:pBdr>
          <w:top w:val="nil"/>
          <w:left w:val="nil"/>
          <w:bottom w:val="nil"/>
          <w:right w:val="nil"/>
          <w:between w:val="nil"/>
        </w:pBdr>
        <w:spacing w:line="360" w:lineRule="auto"/>
        <w:rPr>
          <w:rFonts w:ascii="Palatino Linotype" w:eastAsia="Palatino Linotype" w:hAnsi="Palatino Linotype" w:cs="Palatino Linotype"/>
          <w:b/>
          <w:sz w:val="22"/>
          <w:szCs w:val="22"/>
        </w:rPr>
      </w:pPr>
      <w:r w:rsidRPr="007E60E3">
        <w:rPr>
          <w:rFonts w:ascii="Palatino Linotype" w:eastAsia="Palatino Linotype" w:hAnsi="Palatino Linotype" w:cs="Palatino Linotype"/>
          <w:b/>
          <w:sz w:val="22"/>
          <w:szCs w:val="22"/>
        </w:rPr>
        <w:t>Número de seguridad (ISESEMYM)</w:t>
      </w:r>
    </w:p>
    <w:p w14:paraId="6585EAA4"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 por lo que debe ser clasificado como confidencial con fundamento en la fracción I del artículo 143 de la Ley de la Materia vigente en la Entidad.</w:t>
      </w:r>
    </w:p>
    <w:p w14:paraId="5D87903C" w14:textId="77777777" w:rsidR="005F3002" w:rsidRPr="007E60E3" w:rsidRDefault="005F300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4B534E6" w14:textId="77777777" w:rsidR="005F3002" w:rsidRPr="007E60E3" w:rsidRDefault="008C4497">
      <w:pPr>
        <w:numPr>
          <w:ilvl w:val="0"/>
          <w:numId w:val="5"/>
        </w:numPr>
        <w:pBdr>
          <w:top w:val="nil"/>
          <w:left w:val="nil"/>
          <w:bottom w:val="nil"/>
          <w:right w:val="nil"/>
          <w:between w:val="nil"/>
        </w:pBdr>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Préstamos o descuentos de carácter personal.</w:t>
      </w:r>
    </w:p>
    <w:p w14:paraId="26BB32FF" w14:textId="77777777" w:rsidR="005F3002" w:rsidRPr="007E60E3" w:rsidRDefault="005F3002">
      <w:pPr>
        <w:pBdr>
          <w:top w:val="nil"/>
          <w:left w:val="nil"/>
          <w:bottom w:val="nil"/>
          <w:right w:val="nil"/>
          <w:between w:val="nil"/>
        </w:pBdr>
        <w:ind w:left="720"/>
        <w:rPr>
          <w:rFonts w:ascii="Palatino Linotype" w:eastAsia="Palatino Linotype" w:hAnsi="Palatino Linotype" w:cs="Palatino Linotype"/>
          <w:sz w:val="22"/>
          <w:szCs w:val="22"/>
        </w:rPr>
      </w:pPr>
    </w:p>
    <w:p w14:paraId="76A03980"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Por cuanto hace a los </w:t>
      </w:r>
      <w:r w:rsidRPr="007E60E3">
        <w:rPr>
          <w:rFonts w:ascii="Palatino Linotype" w:eastAsia="Palatino Linotype" w:hAnsi="Palatino Linotype" w:cs="Palatino Linotype"/>
          <w:b/>
          <w:sz w:val="22"/>
          <w:szCs w:val="22"/>
        </w:rPr>
        <w:t>préstamos o descuentos de carácter personal</w:t>
      </w:r>
      <w:r w:rsidRPr="007E60E3">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7BCACDAC"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412829"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14AE7D4C" w14:textId="77777777" w:rsidR="005F3002" w:rsidRPr="007E60E3" w:rsidRDefault="005F3002">
      <w:pPr>
        <w:spacing w:line="360" w:lineRule="auto"/>
        <w:rPr>
          <w:rFonts w:ascii="Palatino Linotype" w:eastAsia="Palatino Linotype" w:hAnsi="Palatino Linotype" w:cs="Palatino Linotype"/>
          <w:sz w:val="22"/>
          <w:szCs w:val="22"/>
        </w:rPr>
      </w:pPr>
    </w:p>
    <w:p w14:paraId="05097C45"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 xml:space="preserve">ARTÍCULO 84. </w:t>
      </w:r>
      <w:r w:rsidRPr="007E60E3">
        <w:rPr>
          <w:rFonts w:ascii="Palatino Linotype" w:eastAsia="Palatino Linotype" w:hAnsi="Palatino Linotype" w:cs="Palatino Linotype"/>
          <w:i/>
          <w:sz w:val="22"/>
          <w:szCs w:val="22"/>
        </w:rPr>
        <w:t>Sólo podrán hacerse retenciones, descuentos o deducciones al sueldo de los servidores públicos por concepto de:</w:t>
      </w:r>
    </w:p>
    <w:p w14:paraId="57F10442"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I. Gravámenes fiscales relacionados con el sueldo;</w:t>
      </w:r>
    </w:p>
    <w:p w14:paraId="543D43B9"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lastRenderedPageBreak/>
        <w:t>II. Deudas contraídas con las instituciones públicas o dependencias por concepto de anticipos de sueldo, pagos hechos con exceso, errores o pérdidas debidamente comprobados;</w:t>
      </w:r>
    </w:p>
    <w:p w14:paraId="4D5BF1B0"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III. Cuotas sindicales;</w:t>
      </w:r>
    </w:p>
    <w:p w14:paraId="5B53D2D7"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39CC5D25"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01E2284"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4F1F0622"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VII. Faltas de puntualidad o de asistencia injustificadas;</w:t>
      </w:r>
    </w:p>
    <w:p w14:paraId="743B1AA5"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VIII. Pensiones alimenticias ordenadas por la autoridad judicial;</w:t>
      </w:r>
      <w:r w:rsidRPr="007E60E3">
        <w:rPr>
          <w:rFonts w:ascii="Palatino Linotype" w:eastAsia="Palatino Linotype" w:hAnsi="Palatino Linotype" w:cs="Palatino Linotype"/>
          <w:i/>
          <w:sz w:val="22"/>
          <w:szCs w:val="22"/>
        </w:rPr>
        <w:t xml:space="preserve"> o</w:t>
      </w:r>
    </w:p>
    <w:p w14:paraId="1A7A130C"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IX. Cualquier otro convenido con instituciones de servicios y aceptado por el servidor público.</w:t>
      </w:r>
    </w:p>
    <w:p w14:paraId="58396470"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CCEF58E" w14:textId="77777777" w:rsidR="005F3002" w:rsidRPr="007E60E3" w:rsidRDefault="005F3002">
      <w:pPr>
        <w:spacing w:line="360" w:lineRule="auto"/>
        <w:rPr>
          <w:rFonts w:ascii="Palatino Linotype" w:eastAsia="Palatino Linotype" w:hAnsi="Palatino Linotype" w:cs="Palatino Linotype"/>
          <w:sz w:val="22"/>
          <w:szCs w:val="22"/>
        </w:rPr>
      </w:pPr>
    </w:p>
    <w:p w14:paraId="1AAF0C66"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87B674B"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36719A" w14:textId="77777777" w:rsidR="005F3002" w:rsidRPr="007E60E3" w:rsidRDefault="008C449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De este modo se advierte que en efecto los </w:t>
      </w:r>
      <w:proofErr w:type="gramStart"/>
      <w:r w:rsidRPr="007E60E3">
        <w:rPr>
          <w:rFonts w:ascii="Palatino Linotype" w:eastAsia="Palatino Linotype" w:hAnsi="Palatino Linotype" w:cs="Palatino Linotype"/>
          <w:sz w:val="22"/>
          <w:szCs w:val="22"/>
        </w:rPr>
        <w:t>datos referido</w:t>
      </w:r>
      <w:proofErr w:type="gramEnd"/>
      <w:r w:rsidRPr="007E60E3">
        <w:rPr>
          <w:rFonts w:ascii="Palatino Linotype" w:eastAsia="Palatino Linotype" w:hAnsi="Palatino Linotype" w:cs="Palatino Linotype"/>
          <w:sz w:val="22"/>
          <w:szCs w:val="22"/>
        </w:rPr>
        <w:t xml:space="preserve"> en el acta son información clasificada como confidencial; sin embargo, no debe pasa por alto que el hacer entrega de un documento </w:t>
      </w:r>
      <w:r w:rsidRPr="007E60E3">
        <w:rPr>
          <w:rFonts w:ascii="Palatino Linotype" w:eastAsia="Palatino Linotype" w:hAnsi="Palatino Linotype" w:cs="Palatino Linotype"/>
          <w:sz w:val="22"/>
          <w:szCs w:val="22"/>
        </w:rPr>
        <w:lastRenderedPageBreak/>
        <w:t>cuya información se encuentre ilegible, deja en incertidumbre al particular, violentando con su respuesta el Derecho de Acceso a la Información.</w:t>
      </w:r>
    </w:p>
    <w:p w14:paraId="60B0F41D" w14:textId="77777777" w:rsidR="005F3002" w:rsidRPr="007E60E3" w:rsidRDefault="005F3002">
      <w:pPr>
        <w:pBdr>
          <w:top w:val="nil"/>
          <w:left w:val="nil"/>
          <w:bottom w:val="nil"/>
          <w:right w:val="nil"/>
          <w:between w:val="nil"/>
        </w:pBdr>
        <w:spacing w:line="360" w:lineRule="auto"/>
        <w:ind w:right="142"/>
        <w:jc w:val="both"/>
        <w:rPr>
          <w:rFonts w:ascii="Palatino Linotype" w:eastAsia="Palatino Linotype" w:hAnsi="Palatino Linotype" w:cs="Palatino Linotype"/>
          <w:sz w:val="22"/>
          <w:szCs w:val="22"/>
        </w:rPr>
      </w:pPr>
    </w:p>
    <w:p w14:paraId="7F91EE33" w14:textId="77777777" w:rsidR="005F3002" w:rsidRPr="007E60E3" w:rsidRDefault="008C4497">
      <w:pPr>
        <w:pBdr>
          <w:top w:val="nil"/>
          <w:left w:val="nil"/>
          <w:bottom w:val="nil"/>
          <w:right w:val="nil"/>
          <w:between w:val="nil"/>
        </w:pBdr>
        <w:spacing w:line="360" w:lineRule="auto"/>
        <w:ind w:right="142"/>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Es decir, la información documental que entregue 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1C6C096C" w14:textId="77777777" w:rsidR="005F3002" w:rsidRPr="007E60E3" w:rsidRDefault="005F3002">
      <w:pPr>
        <w:pBdr>
          <w:top w:val="nil"/>
          <w:left w:val="nil"/>
          <w:bottom w:val="nil"/>
          <w:right w:val="nil"/>
          <w:between w:val="nil"/>
        </w:pBdr>
        <w:spacing w:line="360" w:lineRule="auto"/>
        <w:ind w:right="142"/>
        <w:jc w:val="both"/>
        <w:rPr>
          <w:rFonts w:ascii="Palatino Linotype" w:eastAsia="Palatino Linotype" w:hAnsi="Palatino Linotype" w:cs="Palatino Linotype"/>
          <w:sz w:val="22"/>
          <w:szCs w:val="22"/>
        </w:rPr>
      </w:pPr>
    </w:p>
    <w:p w14:paraId="77B2477A" w14:textId="77777777" w:rsidR="005F3002" w:rsidRPr="007E60E3" w:rsidRDefault="008C4497">
      <w:pPr>
        <w:pBdr>
          <w:top w:val="nil"/>
          <w:left w:val="nil"/>
          <w:bottom w:val="nil"/>
          <w:right w:val="nil"/>
          <w:between w:val="nil"/>
        </w:pBdr>
        <w:spacing w:line="360" w:lineRule="auto"/>
        <w:ind w:right="142"/>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Sirve de apoyo a lo anterior como criterio orientador la tesis número II. 1°. C.T. 55 C, publicada en el Semanario Judicial de la Federación y su Gaceta bajo el número de3 registro 201,412, que a la letra dice:</w:t>
      </w:r>
    </w:p>
    <w:p w14:paraId="0D6D0BF5" w14:textId="77777777" w:rsidR="005F3002" w:rsidRPr="007E60E3" w:rsidRDefault="005F3002">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2B707A91" w14:textId="77777777" w:rsidR="005F3002" w:rsidRPr="007E60E3" w:rsidRDefault="008C4497">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COTEJO DE COPIAS FOTOSTÁTICAS ILEGIBLES. AL NO SER POSIBLE CONSTATAR SU AUTENTICIDAD ES INÚTIL E INTRASCENDENTE SU PERFECCIONAMIENTO, POR LO QUE LA JUNTA ESTÁ IMPEDIDA PARA ORDENAR SU DESAHOGO.</w:t>
      </w:r>
      <w:r w:rsidRPr="007E60E3">
        <w:rPr>
          <w:rFonts w:ascii="Palatino Linotype" w:eastAsia="Palatino Linotype" w:hAnsi="Palatino Linotype" w:cs="Palatino Linotype"/>
          <w:i/>
          <w:sz w:val="22"/>
          <w:szCs w:val="22"/>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151AC7DF" w14:textId="77777777" w:rsidR="005F3002" w:rsidRPr="007E60E3" w:rsidRDefault="005F3002">
      <w:pPr>
        <w:pBdr>
          <w:top w:val="nil"/>
          <w:left w:val="nil"/>
          <w:bottom w:val="nil"/>
          <w:right w:val="nil"/>
          <w:between w:val="nil"/>
        </w:pBdr>
        <w:spacing w:line="360" w:lineRule="auto"/>
        <w:ind w:right="142"/>
        <w:jc w:val="both"/>
        <w:rPr>
          <w:rFonts w:ascii="Palatino Linotype" w:eastAsia="Palatino Linotype" w:hAnsi="Palatino Linotype" w:cs="Palatino Linotype"/>
          <w:sz w:val="22"/>
          <w:szCs w:val="22"/>
        </w:rPr>
      </w:pPr>
    </w:p>
    <w:p w14:paraId="3F727C85" w14:textId="77777777" w:rsidR="005F3002" w:rsidRPr="007E60E3" w:rsidRDefault="008C4497">
      <w:pPr>
        <w:pBdr>
          <w:top w:val="nil"/>
          <w:left w:val="nil"/>
          <w:bottom w:val="nil"/>
          <w:right w:val="nil"/>
          <w:between w:val="nil"/>
        </w:pBdr>
        <w:spacing w:line="360" w:lineRule="auto"/>
        <w:ind w:right="142"/>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En conclusión, 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al momento en que dé respuesta a cualquier solicitud de acceso a la información deberá revisar y verificar que la documentación sea entregada </w:t>
      </w:r>
      <w:r w:rsidRPr="007E60E3">
        <w:rPr>
          <w:rFonts w:ascii="Palatino Linotype" w:eastAsia="Palatino Linotype" w:hAnsi="Palatino Linotype" w:cs="Palatino Linotype"/>
          <w:sz w:val="22"/>
          <w:szCs w:val="22"/>
        </w:rPr>
        <w:lastRenderedPageBreak/>
        <w:t xml:space="preserve">de manera adecuada, para que este Instituto tenga por satisfecho el derecho de acceso a la información ejercido por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w:t>
      </w:r>
    </w:p>
    <w:p w14:paraId="261FD13C"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DAAB940"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Entonces, al haberse determinado que la respuesta no satisface los requerimientos del particular por el hecho de que no permite conocer de manera completa su contenido al corresponder a documentos ilegibles, se determina ordenar la entrega de la nómina de la Primera quincena de enero a la Primera Quincena de Febrero de dos mil veinticinco, remitidos en respuesta de forma legible, en versión pública.</w:t>
      </w:r>
    </w:p>
    <w:p w14:paraId="0991868C"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E3687A"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 xml:space="preserve">Quinto. Versión Pública. </w:t>
      </w:r>
      <w:r w:rsidRPr="007E60E3">
        <w:rPr>
          <w:rFonts w:ascii="Palatino Linotype" w:eastAsia="Palatino Linotype" w:hAnsi="Palatino Linotype" w:cs="Palatino Linotype"/>
          <w:sz w:val="22"/>
          <w:szCs w:val="22"/>
        </w:rPr>
        <w:t>Como fue debidamente apuntado, el</w:t>
      </w:r>
      <w:r w:rsidRPr="007E60E3">
        <w:rPr>
          <w:rFonts w:ascii="Palatino Linotype" w:eastAsia="Palatino Linotype" w:hAnsi="Palatino Linotype" w:cs="Palatino Linotype"/>
          <w:b/>
          <w:sz w:val="22"/>
          <w:szCs w:val="22"/>
        </w:rPr>
        <w:t xml:space="preserve"> Sujeto Obligado</w:t>
      </w:r>
      <w:r w:rsidRPr="007E60E3">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652BCBF6"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5C3C8CAF" w14:textId="77777777" w:rsidR="005F3002" w:rsidRPr="007E60E3" w:rsidRDefault="008C449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9EDFA21" w14:textId="77777777" w:rsidR="005F3002" w:rsidRPr="007E60E3" w:rsidRDefault="005F300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9A194AF" w14:textId="77777777" w:rsidR="005F3002" w:rsidRPr="007E60E3" w:rsidRDefault="008C449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6D1EF78" w14:textId="77777777" w:rsidR="005F3002" w:rsidRPr="007E60E3" w:rsidRDefault="005F300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EDC85AA" w14:textId="77777777" w:rsidR="005F3002" w:rsidRPr="007E60E3" w:rsidRDefault="008C449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Al respecto, los artículos 3, fracciones IX, XX, XXI, XXXII, XLV; 6, 91, 137, 143 fracción I, de la Ley de Transparencia y Acceso a la Información Pública del Estado de México y Municipios vigente establecen:</w:t>
      </w:r>
    </w:p>
    <w:p w14:paraId="4D00B801" w14:textId="77777777" w:rsidR="005F3002" w:rsidRPr="007E60E3" w:rsidRDefault="005F3002">
      <w:pPr>
        <w:spacing w:line="360" w:lineRule="auto"/>
        <w:rPr>
          <w:rFonts w:ascii="Palatino Linotype" w:eastAsia="Palatino Linotype" w:hAnsi="Palatino Linotype" w:cs="Palatino Linotype"/>
          <w:sz w:val="22"/>
          <w:szCs w:val="22"/>
        </w:rPr>
      </w:pPr>
    </w:p>
    <w:p w14:paraId="2F9FD1C3"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 </w:t>
      </w:r>
      <w:r w:rsidRPr="007E60E3">
        <w:rPr>
          <w:rFonts w:ascii="Palatino Linotype" w:eastAsia="Palatino Linotype" w:hAnsi="Palatino Linotype" w:cs="Palatino Linotype"/>
          <w:b/>
          <w:i/>
          <w:sz w:val="22"/>
          <w:szCs w:val="22"/>
        </w:rPr>
        <w:t>Artículo 3.</w:t>
      </w:r>
      <w:r w:rsidRPr="007E60E3">
        <w:rPr>
          <w:rFonts w:ascii="Palatino Linotype" w:eastAsia="Palatino Linotype" w:hAnsi="Palatino Linotype" w:cs="Palatino Linotype"/>
          <w:i/>
          <w:sz w:val="22"/>
          <w:szCs w:val="22"/>
        </w:rPr>
        <w:t xml:space="preserve"> Para los efectos de la presente Ley se entenderá por:</w:t>
      </w:r>
    </w:p>
    <w:p w14:paraId="213EDFB0"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04181F1C"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IX. Datos personales</w:t>
      </w:r>
      <w:r w:rsidRPr="007E60E3">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C6E232E"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1848636C"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XX. Información clasificada</w:t>
      </w:r>
      <w:r w:rsidRPr="007E60E3">
        <w:rPr>
          <w:rFonts w:ascii="Palatino Linotype" w:eastAsia="Palatino Linotype" w:hAnsi="Palatino Linotype" w:cs="Palatino Linotype"/>
          <w:i/>
          <w:sz w:val="22"/>
          <w:szCs w:val="22"/>
        </w:rPr>
        <w:t>: Aquella considerada por la presente Ley como reservada o confidencial;</w:t>
      </w:r>
    </w:p>
    <w:p w14:paraId="2C1AD331"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XXI. Información confidencial</w:t>
      </w:r>
      <w:r w:rsidRPr="007E60E3">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24D80B"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4C80DE49"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XXXII. Protección de Datos Personales</w:t>
      </w:r>
      <w:r w:rsidRPr="007E60E3">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6DC6A85"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50EF152E"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XLV. Versión pública</w:t>
      </w:r>
      <w:r w:rsidRPr="007E60E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F0C6DA2"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 Artículo 6</w:t>
      </w:r>
      <w:r w:rsidRPr="007E60E3">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AD6DD95"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 (…)</w:t>
      </w:r>
    </w:p>
    <w:p w14:paraId="3FFF6F2D"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Artículo 91.</w:t>
      </w:r>
      <w:r w:rsidRPr="007E60E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558E737"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7EAB08F6"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lastRenderedPageBreak/>
        <w:t>Artículo 137.</w:t>
      </w:r>
      <w:r w:rsidRPr="007E60E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283B95C"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 Artículo 143.</w:t>
      </w:r>
      <w:r w:rsidRPr="007E60E3">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26AB8CB"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I.</w:t>
      </w:r>
      <w:r w:rsidRPr="007E60E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3400A55" w14:textId="77777777" w:rsidR="005F3002" w:rsidRPr="007E60E3" w:rsidRDefault="008C4497">
      <w:pPr>
        <w:pBdr>
          <w:top w:val="nil"/>
          <w:left w:val="nil"/>
          <w:bottom w:val="nil"/>
          <w:right w:val="nil"/>
          <w:between w:val="nil"/>
        </w:pBdr>
        <w:spacing w:line="276" w:lineRule="auto"/>
        <w:ind w:left="862" w:right="862"/>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6AD92D67" w14:textId="77777777" w:rsidR="005F3002" w:rsidRPr="007E60E3" w:rsidRDefault="005F3002">
      <w:pPr>
        <w:spacing w:line="360" w:lineRule="auto"/>
        <w:rPr>
          <w:rFonts w:ascii="Palatino Linotype" w:eastAsia="Palatino Linotype" w:hAnsi="Palatino Linotype" w:cs="Palatino Linotype"/>
          <w:sz w:val="22"/>
          <w:szCs w:val="22"/>
        </w:rPr>
      </w:pPr>
    </w:p>
    <w:p w14:paraId="28AFB00C" w14:textId="77777777" w:rsidR="005F3002" w:rsidRPr="007E60E3" w:rsidRDefault="008C4497">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E60E3">
        <w:rPr>
          <w:rFonts w:ascii="Palatino Linotype" w:eastAsia="Palatino Linotype" w:hAnsi="Palatino Linotype" w:cs="Palatino Linotype"/>
          <w:b/>
          <w:sz w:val="22"/>
          <w:szCs w:val="22"/>
        </w:rPr>
        <w:t xml:space="preserve">Sujeto Obligado </w:t>
      </w:r>
      <w:r w:rsidRPr="007E60E3">
        <w:rPr>
          <w:rFonts w:ascii="Palatino Linotype" w:eastAsia="Palatino Linotype" w:hAnsi="Palatino Linotype" w:cs="Palatino Linotype"/>
          <w:sz w:val="22"/>
          <w:szCs w:val="22"/>
        </w:rPr>
        <w:t>deberá proceder a testar los datos personales que se encuentre contenidos en los documentos a entregar para satisfacer el derecho de acceso a la información pública de la parte</w:t>
      </w:r>
      <w:r w:rsidRPr="007E60E3">
        <w:rPr>
          <w:rFonts w:ascii="Palatino Linotype" w:eastAsia="Palatino Linotype" w:hAnsi="Palatino Linotype" w:cs="Palatino Linotype"/>
          <w:b/>
          <w:sz w:val="22"/>
          <w:szCs w:val="22"/>
        </w:rPr>
        <w:t xml:space="preserve"> Recurrente,</w:t>
      </w:r>
      <w:r w:rsidRPr="007E60E3">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70177ED" w14:textId="77777777" w:rsidR="005F3002" w:rsidRPr="007E60E3" w:rsidRDefault="005F3002">
      <w:pPr>
        <w:spacing w:line="360" w:lineRule="auto"/>
        <w:rPr>
          <w:rFonts w:ascii="Palatino Linotype" w:eastAsia="Palatino Linotype" w:hAnsi="Palatino Linotype" w:cs="Palatino Linotype"/>
          <w:sz w:val="22"/>
          <w:szCs w:val="22"/>
        </w:rPr>
      </w:pPr>
    </w:p>
    <w:p w14:paraId="0E62A873" w14:textId="77777777" w:rsidR="005F3002" w:rsidRPr="007E60E3" w:rsidRDefault="008C4497">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14:paraId="79E5063C" w14:textId="77777777" w:rsidR="005F3002" w:rsidRPr="007E60E3" w:rsidRDefault="005F3002">
      <w:pPr>
        <w:spacing w:line="360" w:lineRule="auto"/>
        <w:rPr>
          <w:rFonts w:ascii="Palatino Linotype" w:eastAsia="Palatino Linotype" w:hAnsi="Palatino Linotype" w:cs="Palatino Linotype"/>
          <w:sz w:val="22"/>
          <w:szCs w:val="22"/>
        </w:rPr>
      </w:pPr>
    </w:p>
    <w:p w14:paraId="622D306B"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w:t>
      </w:r>
      <w:r w:rsidRPr="007E60E3">
        <w:rPr>
          <w:rFonts w:ascii="Palatino Linotype" w:eastAsia="Palatino Linotype" w:hAnsi="Palatino Linotype" w:cs="Palatino Linotype"/>
          <w:sz w:val="22"/>
          <w:szCs w:val="22"/>
        </w:rPr>
        <w:lastRenderedPageBreak/>
        <w:t xml:space="preserve">posesión del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E60E3">
        <w:rPr>
          <w:rFonts w:ascii="Palatino Linotype" w:eastAsia="Palatino Linotype" w:hAnsi="Palatino Linotype" w:cs="Palatino Linotype"/>
          <w:b/>
          <w:sz w:val="22"/>
          <w:szCs w:val="22"/>
        </w:rPr>
        <w:t>Registro Federal de Contribuyentes</w:t>
      </w:r>
      <w:r w:rsidRPr="007E60E3">
        <w:rPr>
          <w:rFonts w:ascii="Palatino Linotype" w:eastAsia="Palatino Linotype" w:hAnsi="Palatino Linotype" w:cs="Palatino Linotype"/>
          <w:sz w:val="22"/>
          <w:szCs w:val="22"/>
        </w:rPr>
        <w:t xml:space="preserve"> (RFC), la </w:t>
      </w:r>
      <w:r w:rsidRPr="007E60E3">
        <w:rPr>
          <w:rFonts w:ascii="Palatino Linotype" w:eastAsia="Palatino Linotype" w:hAnsi="Palatino Linotype" w:cs="Palatino Linotype"/>
          <w:b/>
          <w:sz w:val="22"/>
          <w:szCs w:val="22"/>
        </w:rPr>
        <w:t>Clave Única de Registro de Población</w:t>
      </w:r>
      <w:r w:rsidRPr="007E60E3">
        <w:rPr>
          <w:rFonts w:ascii="Palatino Linotype" w:eastAsia="Palatino Linotype" w:hAnsi="Palatino Linotype" w:cs="Palatino Linotype"/>
          <w:sz w:val="22"/>
          <w:szCs w:val="22"/>
        </w:rPr>
        <w:t xml:space="preserve"> (CURP), la </w:t>
      </w:r>
      <w:r w:rsidRPr="007E60E3">
        <w:rPr>
          <w:rFonts w:ascii="Palatino Linotype" w:eastAsia="Palatino Linotype" w:hAnsi="Palatino Linotype" w:cs="Palatino Linotype"/>
          <w:b/>
          <w:sz w:val="22"/>
          <w:szCs w:val="22"/>
        </w:rPr>
        <w:t>Clave de cualquier tipo de seguridad social</w:t>
      </w:r>
      <w:r w:rsidRPr="007E60E3">
        <w:rPr>
          <w:rFonts w:ascii="Palatino Linotype" w:eastAsia="Palatino Linotype" w:hAnsi="Palatino Linotype" w:cs="Palatino Linotype"/>
          <w:sz w:val="22"/>
          <w:szCs w:val="22"/>
        </w:rPr>
        <w:t xml:space="preserve"> (ISSEMYM, u otros), los </w:t>
      </w:r>
      <w:r w:rsidRPr="007E60E3">
        <w:rPr>
          <w:rFonts w:ascii="Palatino Linotype" w:eastAsia="Palatino Linotype" w:hAnsi="Palatino Linotype" w:cs="Palatino Linotype"/>
          <w:b/>
          <w:sz w:val="22"/>
          <w:szCs w:val="22"/>
        </w:rPr>
        <w:t>números de cuentas bancarias</w:t>
      </w:r>
      <w:r w:rsidRPr="007E60E3">
        <w:rPr>
          <w:rFonts w:ascii="Palatino Linotype" w:eastAsia="Palatino Linotype" w:hAnsi="Palatino Linotype" w:cs="Palatino Linotype"/>
          <w:sz w:val="22"/>
          <w:szCs w:val="22"/>
        </w:rPr>
        <w:t xml:space="preserve">, claves estandarizadas – interbancarias - (CLABES) y de tarjetas, los </w:t>
      </w:r>
      <w:r w:rsidRPr="007E60E3">
        <w:rPr>
          <w:rFonts w:ascii="Palatino Linotype" w:eastAsia="Palatino Linotype" w:hAnsi="Palatino Linotype" w:cs="Palatino Linotype"/>
          <w:b/>
          <w:sz w:val="22"/>
          <w:szCs w:val="22"/>
        </w:rPr>
        <w:t>préstamos o descuentos</w:t>
      </w:r>
      <w:r w:rsidRPr="007E60E3">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7E60E3">
        <w:rPr>
          <w:rFonts w:ascii="Palatino Linotype" w:eastAsia="Palatino Linotype" w:hAnsi="Palatino Linotype" w:cs="Palatino Linotype"/>
          <w:b/>
          <w:sz w:val="22"/>
          <w:szCs w:val="22"/>
        </w:rPr>
        <w:t xml:space="preserve"> número de empleado, </w:t>
      </w:r>
      <w:r w:rsidRPr="007E60E3">
        <w:rPr>
          <w:rFonts w:ascii="Palatino Linotype" w:eastAsia="Palatino Linotype" w:hAnsi="Palatino Linotype" w:cs="Palatino Linotype"/>
          <w:sz w:val="22"/>
          <w:szCs w:val="22"/>
        </w:rPr>
        <w:t xml:space="preserve">así como de ser el caso, el </w:t>
      </w:r>
      <w:r w:rsidRPr="007E60E3">
        <w:rPr>
          <w:rFonts w:ascii="Palatino Linotype" w:eastAsia="Palatino Linotype" w:hAnsi="Palatino Linotype" w:cs="Palatino Linotype"/>
          <w:b/>
          <w:sz w:val="22"/>
          <w:szCs w:val="22"/>
        </w:rPr>
        <w:t>folio fiscal</w:t>
      </w:r>
      <w:r w:rsidRPr="007E60E3">
        <w:rPr>
          <w:rFonts w:ascii="Palatino Linotype" w:eastAsia="Palatino Linotype" w:hAnsi="Palatino Linotype" w:cs="Palatino Linotype"/>
          <w:sz w:val="22"/>
          <w:szCs w:val="22"/>
        </w:rPr>
        <w:t xml:space="preserve">, la  </w:t>
      </w:r>
      <w:r w:rsidRPr="007E60E3">
        <w:rPr>
          <w:rFonts w:ascii="Palatino Linotype" w:eastAsia="Palatino Linotype" w:hAnsi="Palatino Linotype" w:cs="Palatino Linotype"/>
          <w:b/>
          <w:sz w:val="22"/>
          <w:szCs w:val="22"/>
        </w:rPr>
        <w:t xml:space="preserve">cadena original, </w:t>
      </w:r>
      <w:r w:rsidRPr="007E60E3">
        <w:rPr>
          <w:rFonts w:ascii="Palatino Linotype" w:eastAsia="Palatino Linotype" w:hAnsi="Palatino Linotype" w:cs="Palatino Linotype"/>
          <w:sz w:val="22"/>
          <w:szCs w:val="22"/>
        </w:rPr>
        <w:t>los</w:t>
      </w:r>
      <w:r w:rsidRPr="007E60E3">
        <w:rPr>
          <w:rFonts w:ascii="Palatino Linotype" w:eastAsia="Palatino Linotype" w:hAnsi="Palatino Linotype" w:cs="Palatino Linotype"/>
          <w:b/>
          <w:sz w:val="22"/>
          <w:szCs w:val="22"/>
        </w:rPr>
        <w:t xml:space="preserve"> códigos bidimensionales o códigos QR,</w:t>
      </w:r>
      <w:r w:rsidRPr="007E60E3">
        <w:rPr>
          <w:rFonts w:ascii="Palatino Linotype" w:eastAsia="Palatino Linotype" w:hAnsi="Palatino Linotype" w:cs="Palatino Linotype"/>
          <w:sz w:val="22"/>
          <w:szCs w:val="22"/>
        </w:rPr>
        <w:t xml:space="preserve"> y cualquier información de carácter fiscal, bajo las siguientes consideraciones. </w:t>
      </w:r>
    </w:p>
    <w:p w14:paraId="7AA76630" w14:textId="77777777" w:rsidR="005F3002" w:rsidRPr="007E60E3" w:rsidRDefault="005F3002">
      <w:pPr>
        <w:spacing w:line="360" w:lineRule="auto"/>
        <w:rPr>
          <w:rFonts w:ascii="Palatino Linotype" w:eastAsia="Palatino Linotype" w:hAnsi="Palatino Linotype" w:cs="Palatino Linotype"/>
          <w:sz w:val="22"/>
          <w:szCs w:val="22"/>
        </w:rPr>
      </w:pPr>
    </w:p>
    <w:p w14:paraId="0308402B" w14:textId="77777777" w:rsidR="005F3002" w:rsidRPr="007E60E3" w:rsidRDefault="008C4497">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estos a personas ajenas a su titular.</w:t>
      </w:r>
    </w:p>
    <w:p w14:paraId="6E92677E" w14:textId="77777777" w:rsidR="005F3002" w:rsidRPr="007E60E3" w:rsidRDefault="005F3002">
      <w:pPr>
        <w:spacing w:line="360" w:lineRule="auto"/>
        <w:rPr>
          <w:rFonts w:ascii="Palatino Linotype" w:eastAsia="Palatino Linotype" w:hAnsi="Palatino Linotype" w:cs="Palatino Linotype"/>
          <w:sz w:val="22"/>
          <w:szCs w:val="22"/>
        </w:rPr>
      </w:pPr>
    </w:p>
    <w:p w14:paraId="01993D9F"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7E60E3">
        <w:rPr>
          <w:rFonts w:ascii="Palatino Linotype" w:eastAsia="Palatino Linotype" w:hAnsi="Palatino Linotype" w:cs="Palatino Linotype"/>
          <w:sz w:val="22"/>
          <w:szCs w:val="22"/>
        </w:rPr>
        <w:t>homoclave</w:t>
      </w:r>
      <w:proofErr w:type="spellEnd"/>
      <w:r w:rsidRPr="007E60E3">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6EDDB614"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9F1BBF"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4F844C7" w14:textId="77777777" w:rsidR="005F3002" w:rsidRPr="007E60E3" w:rsidRDefault="005F3002">
      <w:pPr>
        <w:spacing w:line="360" w:lineRule="auto"/>
        <w:rPr>
          <w:rFonts w:ascii="Palatino Linotype" w:eastAsia="Palatino Linotype" w:hAnsi="Palatino Linotype" w:cs="Palatino Linotype"/>
          <w:sz w:val="22"/>
          <w:szCs w:val="22"/>
        </w:rPr>
      </w:pPr>
    </w:p>
    <w:p w14:paraId="537370B1"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Lo anterior es compartido por el Instituto Nacional de Transparencia, Acceso a la Información y Protección de Datos Personales, INAI, a través del Criterio 19/17, el cual es del tenor literal siguiente:</w:t>
      </w:r>
    </w:p>
    <w:p w14:paraId="0EB70D72" w14:textId="77777777" w:rsidR="005F3002" w:rsidRPr="007E60E3" w:rsidRDefault="005F3002">
      <w:pPr>
        <w:spacing w:line="360" w:lineRule="auto"/>
        <w:rPr>
          <w:rFonts w:ascii="Palatino Linotype" w:eastAsia="Palatino Linotype" w:hAnsi="Palatino Linotype" w:cs="Palatino Linotype"/>
          <w:sz w:val="22"/>
          <w:szCs w:val="22"/>
        </w:rPr>
      </w:pPr>
    </w:p>
    <w:p w14:paraId="1F8B8B68" w14:textId="77777777" w:rsidR="005F3002" w:rsidRPr="007E60E3" w:rsidRDefault="008C4497">
      <w:pPr>
        <w:pBdr>
          <w:top w:val="nil"/>
          <w:left w:val="nil"/>
          <w:bottom w:val="nil"/>
          <w:right w:val="nil"/>
          <w:between w:val="nil"/>
        </w:pBdr>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 Registro Federal de Contribuyentes (RFC) de personas físicas</w:t>
      </w:r>
      <w:r w:rsidRPr="007E60E3">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476FE913" w14:textId="77777777" w:rsidR="005F3002" w:rsidRPr="007E60E3" w:rsidRDefault="005F3002">
      <w:pPr>
        <w:rPr>
          <w:rFonts w:ascii="Palatino Linotype" w:eastAsia="Palatino Linotype" w:hAnsi="Palatino Linotype" w:cs="Palatino Linotype"/>
          <w:sz w:val="22"/>
          <w:szCs w:val="22"/>
        </w:rPr>
      </w:pPr>
    </w:p>
    <w:p w14:paraId="2B4D6501"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7E60E3">
        <w:rPr>
          <w:rFonts w:ascii="Palatino Linotype" w:eastAsia="Palatino Linotype" w:hAnsi="Palatino Linotype" w:cs="Palatino Linotype"/>
          <w:sz w:val="22"/>
          <w:szCs w:val="22"/>
        </w:rPr>
        <w:t>homoclave</w:t>
      </w:r>
      <w:proofErr w:type="spellEnd"/>
      <w:r w:rsidRPr="007E60E3">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328AECE"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C6EDB3"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C99D634" w14:textId="77777777" w:rsidR="005F3002" w:rsidRPr="007E60E3" w:rsidRDefault="005F3002">
      <w:pPr>
        <w:spacing w:line="360" w:lineRule="auto"/>
        <w:rPr>
          <w:rFonts w:ascii="Palatino Linotype" w:eastAsia="Palatino Linotype" w:hAnsi="Palatino Linotype" w:cs="Palatino Linotype"/>
          <w:sz w:val="22"/>
          <w:szCs w:val="22"/>
        </w:rPr>
      </w:pPr>
    </w:p>
    <w:p w14:paraId="54BB4B20"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Argumento que es compartido por el Instituto Nacional de Transparencia, Acceso a la Información y Protección de Datos Personales, INAI, conforme al criterio 18/17, el cual refiere:</w:t>
      </w:r>
    </w:p>
    <w:p w14:paraId="303DFA58" w14:textId="77777777" w:rsidR="005F3002" w:rsidRPr="007E60E3" w:rsidRDefault="008C4497">
      <w:pPr>
        <w:pBdr>
          <w:top w:val="nil"/>
          <w:left w:val="nil"/>
          <w:bottom w:val="nil"/>
          <w:right w:val="nil"/>
          <w:between w:val="nil"/>
        </w:pBdr>
        <w:spacing w:line="360" w:lineRule="auto"/>
        <w:ind w:left="864" w:right="864"/>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 </w:t>
      </w:r>
    </w:p>
    <w:p w14:paraId="54B9D523"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8329161" w14:textId="77777777" w:rsidR="005F3002" w:rsidRPr="007E60E3" w:rsidRDefault="005F3002">
      <w:pPr>
        <w:spacing w:line="360" w:lineRule="auto"/>
        <w:rPr>
          <w:rFonts w:ascii="Palatino Linotype" w:eastAsia="Palatino Linotype" w:hAnsi="Palatino Linotype" w:cs="Palatino Linotype"/>
          <w:sz w:val="22"/>
          <w:szCs w:val="22"/>
        </w:rPr>
      </w:pPr>
    </w:p>
    <w:p w14:paraId="47002522"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6B9D5C98" w14:textId="77777777" w:rsidR="005F3002" w:rsidRPr="007E60E3" w:rsidRDefault="005F3002">
      <w:pPr>
        <w:spacing w:line="360" w:lineRule="auto"/>
        <w:rPr>
          <w:rFonts w:ascii="Palatino Linotype" w:eastAsia="Palatino Linotype" w:hAnsi="Palatino Linotype" w:cs="Palatino Linotype"/>
          <w:sz w:val="22"/>
          <w:szCs w:val="22"/>
        </w:rPr>
      </w:pPr>
    </w:p>
    <w:p w14:paraId="0EF62BDB"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14FD351F" w14:textId="77777777" w:rsidR="005F3002" w:rsidRPr="007E60E3" w:rsidRDefault="005F3002">
      <w:pPr>
        <w:spacing w:line="360" w:lineRule="auto"/>
        <w:rPr>
          <w:rFonts w:ascii="Palatino Linotype" w:eastAsia="Palatino Linotype" w:hAnsi="Palatino Linotype" w:cs="Palatino Linotype"/>
          <w:sz w:val="22"/>
          <w:szCs w:val="22"/>
        </w:rPr>
      </w:pPr>
    </w:p>
    <w:p w14:paraId="50EBA174"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A9DCC02" w14:textId="77777777" w:rsidR="005F3002" w:rsidRPr="007E60E3" w:rsidRDefault="005F3002">
      <w:pPr>
        <w:spacing w:line="360" w:lineRule="auto"/>
        <w:rPr>
          <w:rFonts w:ascii="Palatino Linotype" w:eastAsia="Palatino Linotype" w:hAnsi="Palatino Linotype" w:cs="Palatino Linotype"/>
          <w:sz w:val="22"/>
          <w:szCs w:val="22"/>
        </w:rPr>
      </w:pPr>
    </w:p>
    <w:p w14:paraId="12A86602"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15E292D" w14:textId="77777777" w:rsidR="005F3002" w:rsidRPr="007E60E3" w:rsidRDefault="005F3002">
      <w:pPr>
        <w:spacing w:line="360" w:lineRule="auto"/>
        <w:rPr>
          <w:rFonts w:ascii="Palatino Linotype" w:eastAsia="Palatino Linotype" w:hAnsi="Palatino Linotype" w:cs="Palatino Linotype"/>
          <w:sz w:val="22"/>
          <w:szCs w:val="22"/>
        </w:rPr>
      </w:pPr>
    </w:p>
    <w:p w14:paraId="745E8401"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En esa virtud, este Pleno determina que dicha información no puede ser del dominio público, toda vez que se podría dar un uso inadecuado a la misma o cometer algún ilícito o fraude como ya ha sido expuesto. </w:t>
      </w:r>
    </w:p>
    <w:p w14:paraId="68FB0057"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48EBB1"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08868FDD"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D49CB5C"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Lo argumentado encuentra sustento en los criterios 10/17 y 11/17 emitidos por el Instituto Nacional de Transparencia, Acceso a la Información y Protección de Datos Personales, INAI, que llevan por rubro y texto los siguientes:</w:t>
      </w:r>
    </w:p>
    <w:p w14:paraId="030B4183" w14:textId="77777777" w:rsidR="005F3002" w:rsidRPr="007E60E3" w:rsidRDefault="005F3002">
      <w:pPr>
        <w:spacing w:line="360" w:lineRule="auto"/>
        <w:rPr>
          <w:rFonts w:ascii="Palatino Linotype" w:eastAsia="Palatino Linotype" w:hAnsi="Palatino Linotype" w:cs="Palatino Linotype"/>
          <w:sz w:val="22"/>
          <w:szCs w:val="22"/>
        </w:rPr>
      </w:pPr>
    </w:p>
    <w:p w14:paraId="61DCF28D"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Cuentas bancarias y/o CLABE interbancaria de personas físicas y morales privadas.</w:t>
      </w:r>
      <w:r w:rsidRPr="007E60E3">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451F702" w14:textId="77777777" w:rsidR="005F3002" w:rsidRPr="007E60E3" w:rsidRDefault="005F3002">
      <w:pPr>
        <w:spacing w:line="276" w:lineRule="auto"/>
        <w:ind w:left="864" w:right="616"/>
        <w:rPr>
          <w:rFonts w:ascii="Palatino Linotype" w:eastAsia="Palatino Linotype" w:hAnsi="Palatino Linotype" w:cs="Palatino Linotype"/>
          <w:sz w:val="22"/>
          <w:szCs w:val="22"/>
        </w:rPr>
      </w:pPr>
    </w:p>
    <w:p w14:paraId="077DF07B"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7E60E3">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57F4FC4" w14:textId="77777777" w:rsidR="005F3002" w:rsidRPr="007E60E3" w:rsidRDefault="005F3002">
      <w:pPr>
        <w:rPr>
          <w:rFonts w:ascii="Palatino Linotype" w:eastAsia="Palatino Linotype" w:hAnsi="Palatino Linotype" w:cs="Palatino Linotype"/>
          <w:sz w:val="22"/>
          <w:szCs w:val="22"/>
        </w:rPr>
      </w:pPr>
    </w:p>
    <w:p w14:paraId="0023C4B6"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lastRenderedPageBreak/>
        <w:t xml:space="preserve">Con relación al </w:t>
      </w:r>
      <w:r w:rsidRPr="007E60E3">
        <w:rPr>
          <w:rFonts w:ascii="Palatino Linotype" w:eastAsia="Palatino Linotype" w:hAnsi="Palatino Linotype" w:cs="Palatino Linotype"/>
          <w:b/>
          <w:sz w:val="22"/>
          <w:szCs w:val="22"/>
        </w:rPr>
        <w:t>número de empleado</w:t>
      </w:r>
      <w:r w:rsidRPr="007E60E3">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773E1790" w14:textId="77777777" w:rsidR="005F3002" w:rsidRPr="007E60E3" w:rsidRDefault="005F300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41AD7EA"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34DA03C0" w14:textId="77777777" w:rsidR="005F3002" w:rsidRPr="007E60E3" w:rsidRDefault="005F3002">
      <w:pPr>
        <w:spacing w:line="360" w:lineRule="auto"/>
        <w:rPr>
          <w:rFonts w:ascii="Palatino Linotype" w:eastAsia="Palatino Linotype" w:hAnsi="Palatino Linotype" w:cs="Palatino Linotype"/>
          <w:sz w:val="22"/>
          <w:szCs w:val="22"/>
        </w:rPr>
      </w:pPr>
    </w:p>
    <w:p w14:paraId="2ACEAB20" w14:textId="77777777" w:rsidR="005F3002" w:rsidRPr="007E60E3" w:rsidRDefault="008C4497">
      <w:pPr>
        <w:pBdr>
          <w:top w:val="nil"/>
          <w:left w:val="nil"/>
          <w:bottom w:val="nil"/>
          <w:right w:val="nil"/>
          <w:between w:val="nil"/>
        </w:pBdr>
        <w:spacing w:line="276" w:lineRule="auto"/>
        <w:ind w:left="862"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i/>
          <w:sz w:val="22"/>
          <w:szCs w:val="22"/>
        </w:rPr>
        <w:t xml:space="preserve">Número de empleado. </w:t>
      </w:r>
      <w:r w:rsidRPr="007E60E3">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587C450" w14:textId="77777777" w:rsidR="005F3002" w:rsidRPr="007E60E3" w:rsidRDefault="005F3002">
      <w:pPr>
        <w:spacing w:line="360" w:lineRule="auto"/>
        <w:rPr>
          <w:rFonts w:ascii="Palatino Linotype" w:eastAsia="Palatino Linotype" w:hAnsi="Palatino Linotype" w:cs="Palatino Linotype"/>
          <w:sz w:val="22"/>
          <w:szCs w:val="22"/>
        </w:rPr>
      </w:pPr>
    </w:p>
    <w:p w14:paraId="54831B29"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7E60E3">
        <w:rPr>
          <w:rFonts w:ascii="Palatino Linotype" w:eastAsia="Palatino Linotype" w:hAnsi="Palatino Linotype" w:cs="Palatino Linotype"/>
          <w:b/>
          <w:sz w:val="22"/>
          <w:szCs w:val="22"/>
        </w:rPr>
        <w:t>EL SUJETO OBLIGADO</w:t>
      </w:r>
      <w:r w:rsidRPr="007E60E3">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w:t>
      </w:r>
      <w:r w:rsidRPr="007E60E3">
        <w:rPr>
          <w:rFonts w:ascii="Palatino Linotype" w:eastAsia="Palatino Linotype" w:hAnsi="Palatino Linotype" w:cs="Palatino Linotype"/>
          <w:sz w:val="22"/>
          <w:szCs w:val="22"/>
        </w:rPr>
        <w:lastRenderedPageBreak/>
        <w:t>confidencial, a través del Acuerdo emitido por su Comité de Transparencia conforme a la ley de la materia.</w:t>
      </w:r>
    </w:p>
    <w:p w14:paraId="44B5D587" w14:textId="77777777" w:rsidR="005F3002" w:rsidRPr="007E60E3" w:rsidRDefault="008C4497">
      <w:pPr>
        <w:spacing w:line="360" w:lineRule="auto"/>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br/>
      </w:r>
      <w:r w:rsidRPr="007E60E3">
        <w:rPr>
          <w:rFonts w:ascii="Palatino Linotype" w:eastAsia="Palatino Linotype" w:hAnsi="Palatino Linotype" w:cs="Palatino Linotype"/>
          <w:b/>
          <w:sz w:val="22"/>
          <w:szCs w:val="22"/>
        </w:rPr>
        <w:t>De la información fiscal</w:t>
      </w:r>
      <w:r w:rsidRPr="007E60E3">
        <w:rPr>
          <w:rFonts w:ascii="Palatino Linotype" w:eastAsia="Palatino Linotype" w:hAnsi="Palatino Linotype" w:cs="Palatino Linotype"/>
          <w:sz w:val="22"/>
          <w:szCs w:val="22"/>
        </w:rPr>
        <w:t>: </w:t>
      </w:r>
    </w:p>
    <w:p w14:paraId="0ECD6986"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La </w:t>
      </w:r>
      <w:r w:rsidRPr="007E60E3">
        <w:rPr>
          <w:rFonts w:ascii="Palatino Linotype" w:eastAsia="Palatino Linotype" w:hAnsi="Palatino Linotype" w:cs="Palatino Linotype"/>
          <w:b/>
          <w:sz w:val="22"/>
          <w:szCs w:val="22"/>
        </w:rPr>
        <w:t>Cadena Original</w:t>
      </w:r>
      <w:r w:rsidRPr="007E60E3">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7955E61C" w14:textId="77777777" w:rsidR="005F3002" w:rsidRPr="007E60E3" w:rsidRDefault="005F3002">
      <w:pPr>
        <w:spacing w:line="360" w:lineRule="auto"/>
        <w:rPr>
          <w:rFonts w:ascii="Palatino Linotype" w:eastAsia="Palatino Linotype" w:hAnsi="Palatino Linotype" w:cs="Palatino Linotype"/>
          <w:sz w:val="22"/>
          <w:szCs w:val="22"/>
        </w:rPr>
      </w:pPr>
    </w:p>
    <w:p w14:paraId="6F69B55B"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Los </w:t>
      </w:r>
      <w:r w:rsidRPr="007E60E3">
        <w:rPr>
          <w:rFonts w:ascii="Palatino Linotype" w:eastAsia="Palatino Linotype" w:hAnsi="Palatino Linotype" w:cs="Palatino Linotype"/>
          <w:b/>
          <w:sz w:val="22"/>
          <w:szCs w:val="22"/>
        </w:rPr>
        <w:t>códigos bidimensionales</w:t>
      </w:r>
      <w:r w:rsidRPr="007E60E3">
        <w:rPr>
          <w:rFonts w:ascii="Palatino Linotype" w:eastAsia="Palatino Linotype" w:hAnsi="Palatino Linotype" w:cs="Palatino Linotype"/>
          <w:sz w:val="22"/>
          <w:szCs w:val="22"/>
        </w:rPr>
        <w:t xml:space="preserve"> o </w:t>
      </w:r>
      <w:r w:rsidRPr="007E60E3">
        <w:rPr>
          <w:rFonts w:ascii="Palatino Linotype" w:eastAsia="Palatino Linotype" w:hAnsi="Palatino Linotype" w:cs="Palatino Linotype"/>
          <w:b/>
          <w:sz w:val="22"/>
          <w:szCs w:val="22"/>
        </w:rPr>
        <w:t xml:space="preserve">códigos QR, </w:t>
      </w:r>
      <w:r w:rsidRPr="007E60E3">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7E60E3">
        <w:rPr>
          <w:rFonts w:ascii="Palatino Linotype" w:eastAsia="Palatino Linotype" w:hAnsi="Palatino Linotype" w:cs="Palatino Linotype"/>
          <w:b/>
          <w:sz w:val="22"/>
          <w:szCs w:val="22"/>
        </w:rPr>
        <w:t xml:space="preserve">Sujeto Obligado </w:t>
      </w:r>
      <w:r w:rsidRPr="007E60E3">
        <w:rPr>
          <w:rFonts w:ascii="Palatino Linotype" w:eastAsia="Palatino Linotype" w:hAnsi="Palatino Linotype" w:cs="Palatino Linotype"/>
          <w:sz w:val="22"/>
          <w:szCs w:val="22"/>
        </w:rPr>
        <w:t>analizar dicha circunstancia con la finalidad de determinar si se actualiza algún supuesto de confidencialidad.</w:t>
      </w:r>
    </w:p>
    <w:p w14:paraId="455F678F" w14:textId="77777777" w:rsidR="005F3002" w:rsidRPr="007E60E3" w:rsidRDefault="005F3002">
      <w:pPr>
        <w:spacing w:line="360" w:lineRule="auto"/>
        <w:rPr>
          <w:rFonts w:ascii="Palatino Linotype" w:eastAsia="Palatino Linotype" w:hAnsi="Palatino Linotype" w:cs="Palatino Linotype"/>
          <w:sz w:val="22"/>
          <w:szCs w:val="22"/>
        </w:rPr>
      </w:pPr>
    </w:p>
    <w:p w14:paraId="7814AA65"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En tal sentido, si derivado del análisis efectuado por </w:t>
      </w:r>
      <w:r w:rsidRPr="007E60E3">
        <w:rPr>
          <w:rFonts w:ascii="Palatino Linotype" w:eastAsia="Palatino Linotype" w:hAnsi="Palatino Linotype" w:cs="Palatino Linotype"/>
          <w:b/>
          <w:sz w:val="22"/>
          <w:szCs w:val="22"/>
        </w:rPr>
        <w:t xml:space="preserve">EL SUJETO OBLIGADO </w:t>
      </w:r>
      <w:r w:rsidRPr="007E60E3">
        <w:rPr>
          <w:rFonts w:ascii="Palatino Linotype" w:eastAsia="Palatino Linotype" w:hAnsi="Palatino Linotype" w:cs="Palatino Linotype"/>
          <w:sz w:val="22"/>
          <w:szCs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4BD9CF8A" w14:textId="77777777" w:rsidR="005F3002" w:rsidRPr="007E60E3" w:rsidRDefault="005F3002">
      <w:pPr>
        <w:spacing w:line="360" w:lineRule="auto"/>
        <w:rPr>
          <w:rFonts w:ascii="Palatino Linotype" w:eastAsia="Palatino Linotype" w:hAnsi="Palatino Linotype" w:cs="Palatino Linotype"/>
          <w:sz w:val="22"/>
          <w:szCs w:val="22"/>
        </w:rPr>
      </w:pPr>
    </w:p>
    <w:p w14:paraId="7DFBBBDE"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7E60E3">
        <w:rPr>
          <w:rFonts w:ascii="Palatino Linotype" w:eastAsia="Palatino Linotype" w:hAnsi="Palatino Linotype" w:cs="Palatino Linotype"/>
          <w:b/>
          <w:sz w:val="22"/>
          <w:szCs w:val="22"/>
          <w:u w:val="single"/>
        </w:rPr>
        <w:t>razones, motivos o circunstancias especiales</w:t>
      </w:r>
      <w:r w:rsidRPr="007E60E3">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3D633294" w14:textId="77777777" w:rsidR="005F3002" w:rsidRPr="007E60E3" w:rsidRDefault="005F3002">
      <w:pPr>
        <w:spacing w:line="360" w:lineRule="auto"/>
        <w:rPr>
          <w:rFonts w:ascii="Palatino Linotype" w:eastAsia="Palatino Linotype" w:hAnsi="Palatino Linotype" w:cs="Palatino Linotype"/>
          <w:sz w:val="22"/>
          <w:szCs w:val="22"/>
        </w:rPr>
      </w:pPr>
    </w:p>
    <w:p w14:paraId="21982638" w14:textId="77777777" w:rsidR="005F3002" w:rsidRPr="007E60E3" w:rsidRDefault="008C4497">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7E60E3">
        <w:rPr>
          <w:rFonts w:ascii="Palatino Linotype" w:eastAsia="Palatino Linotype" w:hAnsi="Palatino Linotype" w:cs="Palatino Linotype"/>
          <w:sz w:val="22"/>
          <w:szCs w:val="22"/>
        </w:rPr>
        <w:t>Responsable</w:t>
      </w:r>
      <w:proofErr w:type="gramEnd"/>
      <w:r w:rsidRPr="007E60E3">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4FEECA3" w14:textId="77777777" w:rsidR="005F3002" w:rsidRPr="007E60E3" w:rsidRDefault="005F3002">
      <w:pPr>
        <w:spacing w:line="360" w:lineRule="auto"/>
        <w:rPr>
          <w:rFonts w:ascii="Palatino Linotype" w:eastAsia="Palatino Linotype" w:hAnsi="Palatino Linotype" w:cs="Palatino Linotype"/>
          <w:sz w:val="22"/>
          <w:szCs w:val="22"/>
        </w:rPr>
      </w:pPr>
    </w:p>
    <w:p w14:paraId="22C90F32"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Artículo 49. Los Comités de Transparencia tendrán las siguientes atribuciones:</w:t>
      </w:r>
    </w:p>
    <w:p w14:paraId="1658ACCF"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62EA4B27"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VIII. Aprobar, modificar o revocar la clasificación de la información;</w:t>
      </w:r>
    </w:p>
    <w:p w14:paraId="5151FBB9"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lastRenderedPageBreak/>
        <w:t>(…)</w:t>
      </w:r>
    </w:p>
    <w:p w14:paraId="5132B8E7"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Artículo 53. Las Unidades de Transparencia tendrán las siguientes funciones:</w:t>
      </w:r>
    </w:p>
    <w:p w14:paraId="21EC67D0"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05574DA4"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X. Presentar ante el Comité, el proyecto de clasificación de información…</w:t>
      </w:r>
    </w:p>
    <w:p w14:paraId="014A2D1A"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15B0EB7B"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Artículo 59. Los servidores públicos habilitados tendrán las funciones siguientes:</w:t>
      </w:r>
    </w:p>
    <w:p w14:paraId="3F468788"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0FCA3414"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5B3C9FF5" w14:textId="77777777" w:rsidR="005F3002" w:rsidRPr="007E60E3" w:rsidRDefault="008C4497">
      <w:pPr>
        <w:pBdr>
          <w:top w:val="nil"/>
          <w:left w:val="nil"/>
          <w:bottom w:val="nil"/>
          <w:right w:val="nil"/>
          <w:between w:val="nil"/>
        </w:pBdr>
        <w:spacing w:line="276" w:lineRule="auto"/>
        <w:ind w:left="864" w:right="616"/>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p>
    <w:p w14:paraId="3FD158CA" w14:textId="77777777" w:rsidR="005F3002" w:rsidRPr="007E60E3" w:rsidRDefault="005F3002">
      <w:pPr>
        <w:rPr>
          <w:rFonts w:ascii="Palatino Linotype" w:eastAsia="Palatino Linotype" w:hAnsi="Palatino Linotype" w:cs="Palatino Linotype"/>
          <w:sz w:val="22"/>
          <w:szCs w:val="22"/>
        </w:rPr>
      </w:pPr>
    </w:p>
    <w:p w14:paraId="5D480E9B"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0652641" w14:textId="77777777" w:rsidR="005F3002" w:rsidRPr="007E60E3" w:rsidRDefault="005F3002">
      <w:pPr>
        <w:spacing w:line="360" w:lineRule="auto"/>
        <w:rPr>
          <w:rFonts w:ascii="Palatino Linotype" w:eastAsia="Palatino Linotype" w:hAnsi="Palatino Linotype" w:cs="Palatino Linotype"/>
          <w:sz w:val="22"/>
          <w:szCs w:val="22"/>
        </w:rPr>
      </w:pPr>
    </w:p>
    <w:p w14:paraId="33794C34" w14:textId="77777777" w:rsidR="005F3002" w:rsidRPr="007E60E3" w:rsidRDefault="008C44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F6D3065" w14:textId="77777777" w:rsidR="005F3002" w:rsidRPr="007E60E3" w:rsidRDefault="005F3002">
      <w:pPr>
        <w:spacing w:line="360" w:lineRule="auto"/>
        <w:rPr>
          <w:rFonts w:ascii="Palatino Linotype" w:eastAsia="Palatino Linotype" w:hAnsi="Palatino Linotype" w:cs="Palatino Linotype"/>
          <w:sz w:val="22"/>
          <w:szCs w:val="22"/>
        </w:rPr>
      </w:pPr>
    </w:p>
    <w:p w14:paraId="2AE673CD" w14:textId="77777777" w:rsidR="005F3002" w:rsidRPr="007E60E3" w:rsidRDefault="008C4497">
      <w:pPr>
        <w:pBdr>
          <w:top w:val="nil"/>
          <w:left w:val="nil"/>
          <w:bottom w:val="nil"/>
          <w:right w:val="nil"/>
          <w:between w:val="nil"/>
        </w:pBdr>
        <w:spacing w:line="276" w:lineRule="auto"/>
        <w:ind w:left="864" w:right="864"/>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i/>
          <w:sz w:val="22"/>
          <w:szCs w:val="22"/>
        </w:rPr>
        <w:t>“</w:t>
      </w:r>
      <w:r w:rsidRPr="007E60E3">
        <w:rPr>
          <w:rFonts w:ascii="Palatino Linotype" w:eastAsia="Palatino Linotype" w:hAnsi="Palatino Linotype" w:cs="Palatino Linotype"/>
          <w:b/>
          <w:i/>
          <w:sz w:val="22"/>
          <w:szCs w:val="22"/>
        </w:rPr>
        <w:t xml:space="preserve">Artículo 149. </w:t>
      </w:r>
      <w:r w:rsidRPr="007E60E3">
        <w:rPr>
          <w:rFonts w:ascii="Palatino Linotype" w:eastAsia="Palatino Linotype" w:hAnsi="Palatino Linotype" w:cs="Palatino Linotype"/>
          <w:i/>
          <w:sz w:val="22"/>
          <w:szCs w:val="22"/>
        </w:rPr>
        <w:t>El acuerdo que clasifique la información como confidencial deberá contener un razonamiento lógico en el que demuestre que la información se encuentra en alguna o algunas de las hipótesis previstas en la presente Ley.”</w:t>
      </w:r>
    </w:p>
    <w:p w14:paraId="65F54288" w14:textId="77777777" w:rsidR="005F3002" w:rsidRPr="007E60E3" w:rsidRDefault="005F3002">
      <w:pPr>
        <w:rPr>
          <w:rFonts w:ascii="Palatino Linotype" w:eastAsia="Palatino Linotype" w:hAnsi="Palatino Linotype" w:cs="Palatino Linotype"/>
          <w:sz w:val="22"/>
          <w:szCs w:val="22"/>
        </w:rPr>
      </w:pPr>
    </w:p>
    <w:p w14:paraId="0D064B0E" w14:textId="77777777" w:rsidR="005F3002" w:rsidRPr="007E60E3" w:rsidRDefault="008C4497">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Es decir, el</w:t>
      </w:r>
      <w:r w:rsidRPr="007E60E3">
        <w:rPr>
          <w:rFonts w:ascii="Palatino Linotype" w:eastAsia="Palatino Linotype" w:hAnsi="Palatino Linotype" w:cs="Palatino Linotype"/>
          <w:b/>
          <w:sz w:val="22"/>
          <w:szCs w:val="22"/>
        </w:rPr>
        <w:t xml:space="preserve"> Sujeto Obligado</w:t>
      </w:r>
      <w:r w:rsidRPr="007E60E3">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w:t>
      </w:r>
      <w:r w:rsidRPr="007E60E3">
        <w:rPr>
          <w:rFonts w:ascii="Palatino Linotype" w:eastAsia="Palatino Linotype" w:hAnsi="Palatino Linotype" w:cs="Palatino Linotype"/>
          <w:sz w:val="22"/>
          <w:szCs w:val="22"/>
        </w:rPr>
        <w:lastRenderedPageBreak/>
        <w:t>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579FDED" w14:textId="77777777" w:rsidR="005F3002" w:rsidRPr="007E60E3" w:rsidRDefault="005F3002">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740F3C85" w14:textId="77777777" w:rsidR="005F3002" w:rsidRPr="007E60E3" w:rsidRDefault="008C449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Por último, respecto a la versión pública de los documentos que contenga la información solicitada, cabe señalar que el Comité de Transparencia del </w:t>
      </w:r>
      <w:r w:rsidRPr="007E60E3">
        <w:rPr>
          <w:rFonts w:ascii="Palatino Linotype" w:eastAsia="Palatino Linotype" w:hAnsi="Palatino Linotype" w:cs="Palatino Linotype"/>
          <w:b/>
          <w:sz w:val="22"/>
          <w:szCs w:val="22"/>
        </w:rPr>
        <w:t xml:space="preserve">Sujeto Obligado, </w:t>
      </w:r>
      <w:r w:rsidRPr="007E60E3">
        <w:rPr>
          <w:rFonts w:ascii="Palatino Linotype" w:eastAsia="Palatino Linotype" w:hAnsi="Palatino Linotype" w:cs="Palatino Linotype"/>
          <w:sz w:val="22"/>
          <w:szCs w:val="22"/>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0791A8D7" w14:textId="77777777" w:rsidR="005F3002" w:rsidRPr="007E60E3" w:rsidRDefault="005F3002">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7A06F095"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Artículo 132.</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b/>
          <w:i/>
          <w:sz w:val="22"/>
          <w:szCs w:val="22"/>
        </w:rPr>
        <w:t>La clasificación de la información se llevará a cabo en el momento en que:</w:t>
      </w:r>
    </w:p>
    <w:p w14:paraId="774871F9"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w:t>
      </w:r>
    </w:p>
    <w:p w14:paraId="31494263"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II.</w:t>
      </w:r>
      <w:r w:rsidRPr="007E60E3">
        <w:rPr>
          <w:rFonts w:ascii="Palatino Linotype" w:eastAsia="Palatino Linotype" w:hAnsi="Palatino Linotype" w:cs="Palatino Linotype"/>
          <w:i/>
          <w:sz w:val="22"/>
          <w:szCs w:val="22"/>
        </w:rPr>
        <w:t xml:space="preserve"> Se determine mediante resolución de autoridad competente; o</w:t>
      </w:r>
    </w:p>
    <w:p w14:paraId="62849D37"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III</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b/>
          <w:i/>
          <w:sz w:val="22"/>
          <w:szCs w:val="22"/>
        </w:rPr>
        <w:t>Se generen versiones públicas para dar cumplimiento a las obligaciones de transparencia previstas en esta Ley</w:t>
      </w:r>
      <w:r w:rsidRPr="007E60E3">
        <w:rPr>
          <w:rFonts w:ascii="Palatino Linotype" w:eastAsia="Palatino Linotype" w:hAnsi="Palatino Linotype" w:cs="Palatino Linotype"/>
          <w:i/>
          <w:sz w:val="22"/>
          <w:szCs w:val="22"/>
        </w:rPr>
        <w:t>.</w:t>
      </w:r>
    </w:p>
    <w:p w14:paraId="14902B3D" w14:textId="77777777" w:rsidR="005F3002" w:rsidRPr="007E60E3" w:rsidRDefault="005F300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9D777FB"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roofErr w:type="gramStart"/>
      <w:r w:rsidRPr="007E60E3">
        <w:rPr>
          <w:rFonts w:ascii="Palatino Linotype" w:eastAsia="Palatino Linotype" w:hAnsi="Palatino Linotype" w:cs="Palatino Linotype"/>
          <w:b/>
          <w:i/>
          <w:sz w:val="22"/>
          <w:szCs w:val="22"/>
        </w:rPr>
        <w:t>Segundo.-</w:t>
      </w:r>
      <w:proofErr w:type="gramEnd"/>
      <w:r w:rsidRPr="007E60E3">
        <w:rPr>
          <w:rFonts w:ascii="Palatino Linotype" w:eastAsia="Palatino Linotype" w:hAnsi="Palatino Linotype" w:cs="Palatino Linotype"/>
          <w:i/>
          <w:sz w:val="22"/>
          <w:szCs w:val="22"/>
        </w:rPr>
        <w:t xml:space="preserve"> Para efectos de los presentes Lineamientos Generales, se entenderá por:</w:t>
      </w:r>
    </w:p>
    <w:p w14:paraId="5A22DA8F"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w:t>
      </w:r>
      <w:r w:rsidRPr="007E60E3">
        <w:rPr>
          <w:rFonts w:ascii="Palatino Linotype" w:eastAsia="Palatino Linotype" w:hAnsi="Palatino Linotype" w:cs="Palatino Linotype"/>
          <w:i/>
          <w:sz w:val="22"/>
          <w:szCs w:val="22"/>
        </w:rPr>
        <w:t>)</w:t>
      </w:r>
    </w:p>
    <w:p w14:paraId="06277BE4"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XVIII.</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b/>
          <w:i/>
          <w:sz w:val="22"/>
          <w:szCs w:val="22"/>
        </w:rPr>
        <w:t>Versión pública:</w:t>
      </w:r>
      <w:r w:rsidRPr="007E60E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7E60E3">
        <w:rPr>
          <w:rFonts w:ascii="Palatino Linotype" w:eastAsia="Palatino Linotype" w:hAnsi="Palatino Linotype" w:cs="Palatino Linotype"/>
          <w:b/>
          <w:i/>
          <w:sz w:val="22"/>
          <w:szCs w:val="22"/>
        </w:rPr>
        <w:t>fundando y motivando la</w:t>
      </w:r>
      <w:r w:rsidRPr="007E60E3">
        <w:rPr>
          <w:rFonts w:ascii="Palatino Linotype" w:eastAsia="Palatino Linotype" w:hAnsi="Palatino Linotype" w:cs="Palatino Linotype"/>
          <w:i/>
          <w:sz w:val="22"/>
          <w:szCs w:val="22"/>
        </w:rPr>
        <w:t xml:space="preserve"> reserva o </w:t>
      </w:r>
      <w:r w:rsidRPr="007E60E3">
        <w:rPr>
          <w:rFonts w:ascii="Palatino Linotype" w:eastAsia="Palatino Linotype" w:hAnsi="Palatino Linotype" w:cs="Palatino Linotype"/>
          <w:b/>
          <w:i/>
          <w:sz w:val="22"/>
          <w:szCs w:val="22"/>
        </w:rPr>
        <w:t>confidencialidad</w:t>
      </w:r>
      <w:r w:rsidRPr="007E60E3">
        <w:rPr>
          <w:rFonts w:ascii="Palatino Linotype" w:eastAsia="Palatino Linotype" w:hAnsi="Palatino Linotype" w:cs="Palatino Linotype"/>
          <w:i/>
          <w:sz w:val="22"/>
          <w:szCs w:val="22"/>
        </w:rPr>
        <w:t>, a través de la resolución que para tal efecto emita el Comité de Transparencia.</w:t>
      </w:r>
    </w:p>
    <w:p w14:paraId="33C8886F"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w:t>
      </w:r>
      <w:r w:rsidRPr="007E60E3">
        <w:rPr>
          <w:rFonts w:ascii="Palatino Linotype" w:eastAsia="Palatino Linotype" w:hAnsi="Palatino Linotype" w:cs="Palatino Linotype"/>
          <w:i/>
          <w:sz w:val="22"/>
          <w:szCs w:val="22"/>
        </w:rPr>
        <w:t>)</w:t>
      </w:r>
    </w:p>
    <w:p w14:paraId="2F26E36A"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lastRenderedPageBreak/>
        <w:t>Cuarto.</w:t>
      </w:r>
      <w:r w:rsidRPr="007E60E3">
        <w:rPr>
          <w:rFonts w:ascii="Palatino Linotype" w:eastAsia="Palatino Linotype" w:hAnsi="Palatino Linotype" w:cs="Palatino Linotype"/>
          <w:i/>
          <w:sz w:val="22"/>
          <w:szCs w:val="22"/>
        </w:rPr>
        <w:t xml:space="preserve"> </w:t>
      </w:r>
      <w:r w:rsidRPr="007E60E3">
        <w:rPr>
          <w:rFonts w:ascii="Palatino Linotype" w:eastAsia="Palatino Linotype" w:hAnsi="Palatino Linotype" w:cs="Palatino Linotype"/>
          <w:b/>
          <w:i/>
          <w:sz w:val="22"/>
          <w:szCs w:val="22"/>
        </w:rPr>
        <w:t>Para clasificar la información como</w:t>
      </w:r>
      <w:r w:rsidRPr="007E60E3">
        <w:rPr>
          <w:rFonts w:ascii="Palatino Linotype" w:eastAsia="Palatino Linotype" w:hAnsi="Palatino Linotype" w:cs="Palatino Linotype"/>
          <w:i/>
          <w:sz w:val="22"/>
          <w:szCs w:val="22"/>
        </w:rPr>
        <w:t xml:space="preserve"> reservada o </w:t>
      </w:r>
      <w:r w:rsidRPr="007E60E3">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7E60E3">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1EF323A"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06690F1" w14:textId="77777777" w:rsidR="005F3002" w:rsidRPr="007E60E3" w:rsidRDefault="005F300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9D35E66"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Quinto.</w:t>
      </w:r>
      <w:r w:rsidRPr="007E60E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D9284E" w14:textId="77777777" w:rsidR="005F3002" w:rsidRPr="007E60E3" w:rsidRDefault="005F300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1EBE320"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Sexto.</w:t>
      </w:r>
      <w:r w:rsidRPr="007E60E3">
        <w:rPr>
          <w:rFonts w:ascii="Palatino Linotype" w:eastAsia="Palatino Linotype" w:hAnsi="Palatino Linotype" w:cs="Palatino Linotype"/>
          <w:i/>
          <w:sz w:val="22"/>
          <w:szCs w:val="22"/>
        </w:rPr>
        <w:t xml:space="preserve"> Se deroga. </w:t>
      </w:r>
    </w:p>
    <w:p w14:paraId="5174EB3C" w14:textId="77777777" w:rsidR="005F3002" w:rsidRPr="007E60E3" w:rsidRDefault="005F300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D7147E0"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Séptimo.</w:t>
      </w:r>
      <w:r w:rsidRPr="007E60E3">
        <w:rPr>
          <w:rFonts w:ascii="Palatino Linotype" w:eastAsia="Palatino Linotype" w:hAnsi="Palatino Linotype" w:cs="Palatino Linotype"/>
          <w:i/>
          <w:sz w:val="22"/>
          <w:szCs w:val="22"/>
        </w:rPr>
        <w:t xml:space="preserve"> La clasificación de la información se llevará a cabo en el momento en que:</w:t>
      </w:r>
    </w:p>
    <w:p w14:paraId="4DDF1625"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I.</w:t>
      </w:r>
      <w:r w:rsidRPr="007E60E3">
        <w:rPr>
          <w:rFonts w:ascii="Palatino Linotype" w:eastAsia="Palatino Linotype" w:hAnsi="Palatino Linotype" w:cs="Palatino Linotype"/>
          <w:i/>
          <w:sz w:val="22"/>
          <w:szCs w:val="22"/>
        </w:rPr>
        <w:t xml:space="preserve"> Se reciba una solicitud de acceso a la información;</w:t>
      </w:r>
    </w:p>
    <w:p w14:paraId="02616502"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6D6CAFDA"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 xml:space="preserve">III. </w:t>
      </w:r>
      <w:r w:rsidRPr="007E60E3">
        <w:rPr>
          <w:rFonts w:ascii="Palatino Linotype" w:eastAsia="Palatino Linotype" w:hAnsi="Palatino Linotype" w:cs="Palatino Linotype"/>
          <w:i/>
          <w:sz w:val="22"/>
          <w:szCs w:val="22"/>
        </w:rPr>
        <w:t>Se generen versiones públicas para dar cumplimiento a las obligaciones de transparencia previstas en la Ley General, la Ley Federal y las correspondientes de las entidades federativas.</w:t>
      </w:r>
    </w:p>
    <w:p w14:paraId="7DA32BE4"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Los titulares de las áreas deberán revisar la información requerida al momento de la recepción de una solicitud de acceso, para verificar, conforme a su naturaleza, si encuadra en una causal de reserva o de confidencialidad.</w:t>
      </w:r>
    </w:p>
    <w:p w14:paraId="77D7B7BF" w14:textId="77777777" w:rsidR="005F3002" w:rsidRPr="007E60E3" w:rsidRDefault="005F300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9B10636"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Octavo.</w:t>
      </w:r>
      <w:r w:rsidRPr="007E60E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74807C8"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15F460A"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lastRenderedPageBreak/>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6F0EEB49" w14:textId="77777777" w:rsidR="005F3002" w:rsidRPr="007E60E3" w:rsidRDefault="005F300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A6540E3"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Noveno.</w:t>
      </w:r>
      <w:r w:rsidRPr="007E60E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771790" w14:textId="77777777" w:rsidR="005F3002" w:rsidRPr="007E60E3" w:rsidRDefault="005F300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8CFB3A6"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Décimo.</w:t>
      </w:r>
      <w:r w:rsidRPr="007E60E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132BB3F6"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EA390E1" w14:textId="77777777" w:rsidR="005F3002" w:rsidRPr="007E60E3" w:rsidRDefault="005F300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3F9B72B" w14:textId="77777777" w:rsidR="005F3002" w:rsidRPr="007E60E3" w:rsidRDefault="008C449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b/>
          <w:i/>
          <w:sz w:val="22"/>
          <w:szCs w:val="22"/>
        </w:rPr>
        <w:t>Décimo primero.</w:t>
      </w:r>
      <w:r w:rsidRPr="007E60E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DF4C5A4"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024ECFF7" w14:textId="77777777" w:rsidR="005F3002" w:rsidRPr="007E60E3" w:rsidRDefault="008C4497">
      <w:pPr>
        <w:pBdr>
          <w:top w:val="nil"/>
          <w:left w:val="nil"/>
          <w:bottom w:val="nil"/>
          <w:right w:val="nil"/>
          <w:between w:val="nil"/>
        </w:pBdr>
        <w:spacing w:line="360" w:lineRule="auto"/>
        <w:jc w:val="both"/>
      </w:pPr>
      <w:r w:rsidRPr="007E60E3">
        <w:rPr>
          <w:rFonts w:ascii="Palatino Linotype" w:eastAsia="Palatino Linotype" w:hAnsi="Palatino Linotype" w:cs="Palatino Linotype"/>
          <w:sz w:val="22"/>
          <w:szCs w:val="22"/>
        </w:rPr>
        <w:t xml:space="preserve">Por otro lado, derivado de la información que se ordena entregar pudiera existir información de la </w:t>
      </w:r>
      <w:r w:rsidRPr="007E60E3">
        <w:rPr>
          <w:rFonts w:ascii="Palatino Linotype" w:eastAsia="Palatino Linotype" w:hAnsi="Palatino Linotype" w:cs="Palatino Linotype"/>
          <w:b/>
          <w:sz w:val="22"/>
          <w:szCs w:val="22"/>
        </w:rPr>
        <w:t>Dirección de Seguridad Pública del Ayuntamiento o su equivalente,</w:t>
      </w:r>
      <w:r w:rsidRPr="007E60E3">
        <w:rPr>
          <w:rFonts w:ascii="Palatino Linotype" w:eastAsia="Palatino Linotype" w:hAnsi="Palatino Linotype" w:cs="Palatino Linotype"/>
          <w:sz w:val="22"/>
          <w:szCs w:val="22"/>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w:t>
      </w:r>
      <w:r w:rsidRPr="007E60E3">
        <w:rPr>
          <w:rFonts w:ascii="Palatino Linotype" w:eastAsia="Palatino Linotype" w:hAnsi="Palatino Linotype" w:cs="Palatino Linotype"/>
          <w:sz w:val="22"/>
          <w:szCs w:val="22"/>
        </w:rPr>
        <w:lastRenderedPageBreak/>
        <w:t xml:space="preserve">proteger los datos de los servidores públicos que integran dicha Dirección, por lo que deberá testarse de igual manera sólo el nombre de los servidores públicos de la Policía Municipal </w:t>
      </w:r>
      <w:r w:rsidRPr="007E60E3">
        <w:rPr>
          <w:rFonts w:ascii="Palatino Linotype" w:eastAsia="Palatino Linotype" w:hAnsi="Palatino Linotype" w:cs="Palatino Linotype"/>
          <w:b/>
          <w:sz w:val="22"/>
          <w:szCs w:val="22"/>
        </w:rPr>
        <w:t>que desempeñen funciones operativas</w:t>
      </w:r>
      <w:r w:rsidRPr="007E60E3">
        <w:rPr>
          <w:rFonts w:ascii="Palatino Linotype" w:eastAsia="Palatino Linotype" w:hAnsi="Palatino Linotype" w:cs="Palatino Linotype"/>
          <w:sz w:val="22"/>
          <w:szCs w:val="22"/>
        </w:rPr>
        <w:t>.</w:t>
      </w:r>
    </w:p>
    <w:p w14:paraId="248CF0BA" w14:textId="77777777" w:rsidR="005F3002" w:rsidRPr="007E60E3" w:rsidRDefault="005F3002">
      <w:pPr>
        <w:spacing w:line="360" w:lineRule="auto"/>
      </w:pPr>
    </w:p>
    <w:p w14:paraId="4DFBD9AD" w14:textId="77777777" w:rsidR="005F3002" w:rsidRPr="007E60E3" w:rsidRDefault="008C4497">
      <w:pPr>
        <w:pBdr>
          <w:top w:val="nil"/>
          <w:left w:val="nil"/>
          <w:bottom w:val="nil"/>
          <w:right w:val="nil"/>
          <w:between w:val="nil"/>
        </w:pBdr>
        <w:spacing w:line="360" w:lineRule="auto"/>
        <w:jc w:val="both"/>
      </w:pPr>
      <w:r w:rsidRPr="007E60E3">
        <w:rPr>
          <w:rFonts w:ascii="Palatino Linotype" w:eastAsia="Palatino Linotype" w:hAnsi="Palatino Linotype" w:cs="Palatino Linotype"/>
          <w:sz w:val="22"/>
          <w:szCs w:val="22"/>
        </w:rPr>
        <w:t xml:space="preserve">Al respecto, la información </w:t>
      </w:r>
      <w:r w:rsidRPr="007E60E3">
        <w:rPr>
          <w:rFonts w:ascii="Palatino Linotype" w:eastAsia="Palatino Linotype" w:hAnsi="Palatino Linotype" w:cs="Palatino Linotype"/>
          <w:b/>
          <w:sz w:val="22"/>
          <w:szCs w:val="22"/>
        </w:rPr>
        <w:t>de los elementos que realizan funciones operativas, entre ellos su nombre debe ser protegido</w:t>
      </w:r>
      <w:r w:rsidRPr="007E60E3">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51DAA4FA" w14:textId="77777777" w:rsidR="005F3002" w:rsidRPr="007E60E3" w:rsidRDefault="005F3002">
      <w:pPr>
        <w:spacing w:line="360" w:lineRule="auto"/>
      </w:pPr>
    </w:p>
    <w:p w14:paraId="4BF7F093" w14:textId="77777777" w:rsidR="005F3002" w:rsidRPr="007E60E3" w:rsidRDefault="008C4497">
      <w:pPr>
        <w:pBdr>
          <w:top w:val="nil"/>
          <w:left w:val="nil"/>
          <w:bottom w:val="nil"/>
          <w:right w:val="nil"/>
          <w:between w:val="nil"/>
        </w:pBdr>
        <w:spacing w:line="360" w:lineRule="auto"/>
        <w:jc w:val="both"/>
      </w:pPr>
      <w:r w:rsidRPr="007E60E3">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la solicitud,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01D50482" w14:textId="77777777" w:rsidR="005F3002" w:rsidRPr="007E60E3" w:rsidRDefault="005F3002">
      <w:pPr>
        <w:spacing w:line="360" w:lineRule="auto"/>
      </w:pPr>
    </w:p>
    <w:p w14:paraId="641A9F2E" w14:textId="77777777" w:rsidR="005F3002" w:rsidRPr="007E60E3" w:rsidRDefault="008C4497">
      <w:pPr>
        <w:pBdr>
          <w:top w:val="nil"/>
          <w:left w:val="nil"/>
          <w:bottom w:val="nil"/>
          <w:right w:val="nil"/>
          <w:between w:val="nil"/>
        </w:pBdr>
        <w:spacing w:line="360" w:lineRule="auto"/>
        <w:jc w:val="both"/>
      </w:pPr>
      <w:r w:rsidRPr="007E60E3">
        <w:rPr>
          <w:rFonts w:ascii="Palatino Linotype" w:eastAsia="Palatino Linotype" w:hAnsi="Palatino Linotype" w:cs="Palatino Linotype"/>
          <w:sz w:val="22"/>
          <w:szCs w:val="22"/>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w:t>
      </w:r>
      <w:r w:rsidRPr="007E60E3">
        <w:rPr>
          <w:rFonts w:ascii="Palatino Linotype" w:eastAsia="Palatino Linotype" w:hAnsi="Palatino Linotype" w:cs="Palatino Linotype"/>
          <w:sz w:val="22"/>
          <w:szCs w:val="22"/>
        </w:rPr>
        <w:lastRenderedPageBreak/>
        <w:t>pública para la preservación del orden y la paz pública, por lo que, no se trata de una medida desproporcional, ni excesiva.</w:t>
      </w:r>
    </w:p>
    <w:p w14:paraId="6C598B24" w14:textId="77777777" w:rsidR="005F3002" w:rsidRPr="007E60E3" w:rsidRDefault="005F3002">
      <w:pPr>
        <w:spacing w:line="360" w:lineRule="auto"/>
      </w:pPr>
    </w:p>
    <w:p w14:paraId="423BD658" w14:textId="77777777" w:rsidR="005F3002" w:rsidRPr="007E60E3" w:rsidRDefault="008C4497">
      <w:pPr>
        <w:pBdr>
          <w:top w:val="nil"/>
          <w:left w:val="nil"/>
          <w:bottom w:val="nil"/>
          <w:right w:val="nil"/>
          <w:between w:val="nil"/>
        </w:pBdr>
        <w:spacing w:line="360" w:lineRule="auto"/>
        <w:jc w:val="both"/>
      </w:pPr>
      <w:r w:rsidRPr="007E60E3">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0C9AC7F6" w14:textId="77777777" w:rsidR="005F3002" w:rsidRPr="007E60E3" w:rsidRDefault="005F3002">
      <w:pPr>
        <w:spacing w:line="360" w:lineRule="auto"/>
      </w:pPr>
    </w:p>
    <w:p w14:paraId="28F5E19D" w14:textId="77777777" w:rsidR="005F3002" w:rsidRPr="007E60E3" w:rsidRDefault="008C4497">
      <w:pPr>
        <w:pBdr>
          <w:top w:val="nil"/>
          <w:left w:val="nil"/>
          <w:bottom w:val="nil"/>
          <w:right w:val="nil"/>
          <w:between w:val="nil"/>
        </w:pBdr>
        <w:spacing w:line="360" w:lineRule="auto"/>
        <w:jc w:val="both"/>
      </w:pPr>
      <w:r w:rsidRPr="007E60E3">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que establece lo siguiente:</w:t>
      </w:r>
    </w:p>
    <w:p w14:paraId="7BDD152E" w14:textId="77777777" w:rsidR="005F3002" w:rsidRPr="007E60E3" w:rsidRDefault="008C4497">
      <w:pPr>
        <w:pBdr>
          <w:top w:val="nil"/>
          <w:left w:val="nil"/>
          <w:bottom w:val="nil"/>
          <w:right w:val="nil"/>
          <w:between w:val="nil"/>
        </w:pBdr>
        <w:spacing w:line="276" w:lineRule="auto"/>
        <w:ind w:left="993" w:right="616"/>
        <w:jc w:val="both"/>
      </w:pPr>
      <w:r w:rsidRPr="007E60E3">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7E60E3">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7E60E3">
        <w:rPr>
          <w:rFonts w:ascii="Palatino Linotype" w:eastAsia="Palatino Linotype" w:hAnsi="Palatino Linotype" w:cs="Palatino Linotype"/>
          <w:i/>
          <w:sz w:val="22"/>
          <w:szCs w:val="22"/>
        </w:rPr>
        <w:t>obstante</w:t>
      </w:r>
      <w:proofErr w:type="gramEnd"/>
      <w:r w:rsidRPr="007E60E3">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w:t>
      </w:r>
      <w:r w:rsidRPr="007E60E3">
        <w:rPr>
          <w:rFonts w:ascii="Palatino Linotype" w:eastAsia="Palatino Linotype" w:hAnsi="Palatino Linotype" w:cs="Palatino Linotype"/>
          <w:i/>
          <w:sz w:val="22"/>
          <w:szCs w:val="22"/>
        </w:rPr>
        <w:lastRenderedPageBreak/>
        <w:t>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B827B0C" w14:textId="77777777" w:rsidR="005F3002" w:rsidRPr="007E60E3" w:rsidRDefault="005F3002">
      <w:pPr>
        <w:spacing w:line="360" w:lineRule="auto"/>
      </w:pPr>
    </w:p>
    <w:p w14:paraId="07B76696" w14:textId="77777777" w:rsidR="005F3002" w:rsidRPr="007E60E3" w:rsidRDefault="008C4497">
      <w:pPr>
        <w:pBdr>
          <w:top w:val="nil"/>
          <w:left w:val="nil"/>
          <w:bottom w:val="nil"/>
          <w:right w:val="nil"/>
          <w:between w:val="nil"/>
        </w:pBdr>
        <w:spacing w:line="360" w:lineRule="auto"/>
        <w:jc w:val="both"/>
      </w:pPr>
      <w:r w:rsidRPr="007E60E3">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7E60E3">
        <w:rPr>
          <w:rFonts w:ascii="Palatino Linotype" w:eastAsia="Palatino Linotype" w:hAnsi="Palatino Linotype" w:cs="Palatino Linotype"/>
          <w:b/>
          <w:sz w:val="22"/>
          <w:szCs w:val="22"/>
        </w:rPr>
        <w:t>funciones de carácter operativo.</w:t>
      </w:r>
    </w:p>
    <w:p w14:paraId="21E73946" w14:textId="77777777" w:rsidR="005F3002" w:rsidRPr="007E60E3" w:rsidRDefault="005F3002">
      <w:pPr>
        <w:spacing w:line="360" w:lineRule="auto"/>
      </w:pPr>
    </w:p>
    <w:p w14:paraId="3E8CEF6C" w14:textId="77777777" w:rsidR="005F3002" w:rsidRPr="007E60E3" w:rsidRDefault="008C4497">
      <w:pPr>
        <w:pBdr>
          <w:top w:val="nil"/>
          <w:left w:val="nil"/>
          <w:bottom w:val="nil"/>
          <w:right w:val="nil"/>
          <w:between w:val="nil"/>
        </w:pBdr>
        <w:spacing w:line="360" w:lineRule="auto"/>
        <w:jc w:val="both"/>
      </w:pPr>
      <w:r w:rsidRPr="007E60E3">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14:paraId="3FC9D687" w14:textId="77777777" w:rsidR="005F3002" w:rsidRPr="007E60E3" w:rsidRDefault="005F3002">
      <w:pPr>
        <w:spacing w:line="360" w:lineRule="auto"/>
      </w:pPr>
    </w:p>
    <w:p w14:paraId="3D37E025" w14:textId="77777777" w:rsidR="005F3002" w:rsidRPr="007E60E3" w:rsidRDefault="008C4497">
      <w:pPr>
        <w:pBdr>
          <w:top w:val="nil"/>
          <w:left w:val="nil"/>
          <w:bottom w:val="nil"/>
          <w:right w:val="nil"/>
          <w:between w:val="nil"/>
        </w:pBdr>
        <w:ind w:left="851" w:right="616"/>
        <w:jc w:val="both"/>
      </w:pPr>
      <w:r w:rsidRPr="007E60E3">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7E60E3">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E60E3">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7E60E3">
        <w:rPr>
          <w:rFonts w:ascii="Palatino Linotype" w:eastAsia="Palatino Linotype" w:hAnsi="Palatino Linotype" w:cs="Palatino Linotype"/>
          <w:i/>
          <w:sz w:val="22"/>
          <w:szCs w:val="22"/>
        </w:rPr>
        <w:t xml:space="preserve"> por lo que hace al interés social, se </w:t>
      </w:r>
      <w:r w:rsidRPr="007E60E3">
        <w:rPr>
          <w:rFonts w:ascii="Palatino Linotype" w:eastAsia="Palatino Linotype" w:hAnsi="Palatino Linotype" w:cs="Palatino Linotype"/>
          <w:i/>
          <w:sz w:val="22"/>
          <w:szCs w:val="22"/>
        </w:rPr>
        <w:lastRenderedPageBreak/>
        <w:t xml:space="preserve">cuenta con normas que tienden a proteger la averiguación de los delitos, la salud y la moral públicas, </w:t>
      </w:r>
      <w:r w:rsidRPr="007E60E3">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p>
    <w:p w14:paraId="239EC2E3" w14:textId="77777777" w:rsidR="005F3002" w:rsidRPr="007E60E3" w:rsidRDefault="005F3002">
      <w:pPr>
        <w:ind w:left="851"/>
      </w:pPr>
    </w:p>
    <w:p w14:paraId="1CA730F8" w14:textId="77777777" w:rsidR="005F3002" w:rsidRPr="007E60E3" w:rsidRDefault="008C4497">
      <w:pPr>
        <w:pBdr>
          <w:top w:val="nil"/>
          <w:left w:val="nil"/>
          <w:bottom w:val="nil"/>
          <w:right w:val="nil"/>
          <w:between w:val="nil"/>
        </w:pBdr>
        <w:ind w:left="851" w:right="616"/>
        <w:jc w:val="both"/>
      </w:pPr>
      <w:r w:rsidRPr="007E60E3">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7E60E3">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E60E3">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E60E3">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50E5DE7"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23354F85"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7E60E3">
        <w:rPr>
          <w:rFonts w:ascii="Palatino Linotype" w:eastAsia="Palatino Linotype" w:hAnsi="Palatino Linotype" w:cs="Palatino Linotype"/>
          <w:b/>
          <w:sz w:val="22"/>
          <w:szCs w:val="22"/>
        </w:rPr>
        <w:t>Recurrente</w:t>
      </w:r>
      <w:r w:rsidRPr="007E60E3">
        <w:rPr>
          <w:rFonts w:ascii="Palatino Linotype" w:eastAsia="Palatino Linotype" w:hAnsi="Palatino Linotype" w:cs="Palatino Linotype"/>
          <w:sz w:val="22"/>
          <w:szCs w:val="22"/>
        </w:rPr>
        <w:t xml:space="preserve"> dentro del recurso de revisión </w:t>
      </w:r>
      <w:r w:rsidRPr="007E60E3">
        <w:rPr>
          <w:rFonts w:ascii="Palatino Linotype" w:eastAsia="Palatino Linotype" w:hAnsi="Palatino Linotype" w:cs="Palatino Linotype"/>
          <w:b/>
          <w:sz w:val="22"/>
          <w:szCs w:val="22"/>
        </w:rPr>
        <w:t>03144/INFOEM/IP/RR/2025</w:t>
      </w:r>
      <w:r w:rsidRPr="007E60E3">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por lo que se </w:t>
      </w:r>
      <w:r w:rsidRPr="007E60E3">
        <w:rPr>
          <w:rFonts w:ascii="Palatino Linotype" w:eastAsia="Palatino Linotype" w:hAnsi="Palatino Linotype" w:cs="Palatino Linotype"/>
          <w:b/>
          <w:sz w:val="22"/>
          <w:szCs w:val="22"/>
        </w:rPr>
        <w:t xml:space="preserve">MODIFICA </w:t>
      </w:r>
      <w:r w:rsidRPr="007E60E3">
        <w:rPr>
          <w:rFonts w:ascii="Palatino Linotype" w:eastAsia="Palatino Linotype" w:hAnsi="Palatino Linotype" w:cs="Palatino Linotype"/>
          <w:sz w:val="22"/>
          <w:szCs w:val="22"/>
        </w:rPr>
        <w:t xml:space="preserve">la respuesta del </w:t>
      </w:r>
      <w:r w:rsidRPr="007E60E3">
        <w:rPr>
          <w:rFonts w:ascii="Palatino Linotype" w:eastAsia="Palatino Linotype" w:hAnsi="Palatino Linotype" w:cs="Palatino Linotype"/>
          <w:b/>
          <w:sz w:val="22"/>
          <w:szCs w:val="22"/>
        </w:rPr>
        <w:t xml:space="preserve">SUJETO OBLIGADO </w:t>
      </w:r>
      <w:r w:rsidRPr="007E60E3">
        <w:rPr>
          <w:rFonts w:ascii="Palatino Linotype" w:eastAsia="Palatino Linotype" w:hAnsi="Palatino Linotype" w:cs="Palatino Linotype"/>
          <w:sz w:val="22"/>
          <w:szCs w:val="22"/>
        </w:rPr>
        <w:t xml:space="preserve">a la solicitud de información </w:t>
      </w:r>
      <w:r w:rsidRPr="007E60E3">
        <w:rPr>
          <w:rFonts w:ascii="Palatino Linotype" w:eastAsia="Palatino Linotype" w:hAnsi="Palatino Linotype" w:cs="Palatino Linotype"/>
          <w:b/>
          <w:sz w:val="22"/>
          <w:szCs w:val="22"/>
        </w:rPr>
        <w:t>00052/CHALCO/IP/2025.</w:t>
      </w:r>
      <w:r w:rsidRPr="007E60E3">
        <w:rPr>
          <w:rFonts w:ascii="Palatino Linotype" w:eastAsia="Palatino Linotype" w:hAnsi="Palatino Linotype" w:cs="Palatino Linotype"/>
          <w:sz w:val="22"/>
          <w:szCs w:val="22"/>
        </w:rPr>
        <w:t xml:space="preserve"> </w:t>
      </w:r>
    </w:p>
    <w:p w14:paraId="4F386AAC"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42611BA8" w14:textId="77777777" w:rsidR="005F3002" w:rsidRPr="007E60E3" w:rsidRDefault="008C4497">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7E60E3">
        <w:rPr>
          <w:rFonts w:ascii="Palatino Linotype" w:eastAsia="Palatino Linotype" w:hAnsi="Palatino Linotype" w:cs="Palatino Linotype"/>
          <w:b/>
          <w:sz w:val="22"/>
          <w:szCs w:val="22"/>
        </w:rPr>
        <w:t>R E S U E L V E:</w:t>
      </w:r>
    </w:p>
    <w:p w14:paraId="226EC756" w14:textId="77777777" w:rsidR="005F3002" w:rsidRPr="007E60E3" w:rsidRDefault="005F3002">
      <w:pPr>
        <w:spacing w:line="360" w:lineRule="auto"/>
        <w:jc w:val="both"/>
        <w:rPr>
          <w:rFonts w:ascii="Palatino Linotype" w:eastAsia="Palatino Linotype" w:hAnsi="Palatino Linotype" w:cs="Palatino Linotype"/>
          <w:b/>
          <w:sz w:val="22"/>
          <w:szCs w:val="22"/>
        </w:rPr>
      </w:pPr>
    </w:p>
    <w:p w14:paraId="0EE1F6C7" w14:textId="77777777" w:rsidR="005F3002" w:rsidRPr="007E60E3" w:rsidRDefault="008C4497">
      <w:pPr>
        <w:spacing w:line="360" w:lineRule="auto"/>
        <w:jc w:val="both"/>
        <w:rPr>
          <w:rFonts w:ascii="Palatino Linotype" w:eastAsia="Palatino Linotype" w:hAnsi="Palatino Linotype" w:cs="Palatino Linotype"/>
          <w:b/>
          <w:sz w:val="22"/>
          <w:szCs w:val="22"/>
        </w:rPr>
      </w:pPr>
      <w:r w:rsidRPr="007E60E3">
        <w:rPr>
          <w:rFonts w:ascii="Palatino Linotype" w:eastAsia="Palatino Linotype" w:hAnsi="Palatino Linotype" w:cs="Palatino Linotype"/>
          <w:b/>
          <w:sz w:val="22"/>
          <w:szCs w:val="22"/>
        </w:rPr>
        <w:t xml:space="preserve">Primero. </w:t>
      </w:r>
      <w:r w:rsidRPr="007E60E3">
        <w:rPr>
          <w:rFonts w:ascii="Palatino Linotype" w:eastAsia="Palatino Linotype" w:hAnsi="Palatino Linotype" w:cs="Palatino Linotype"/>
          <w:sz w:val="22"/>
          <w:szCs w:val="22"/>
        </w:rPr>
        <w:t xml:space="preserve">Resultan </w:t>
      </w:r>
      <w:r w:rsidRPr="007E60E3">
        <w:rPr>
          <w:rFonts w:ascii="Palatino Linotype" w:eastAsia="Palatino Linotype" w:hAnsi="Palatino Linotype" w:cs="Palatino Linotype"/>
          <w:b/>
          <w:sz w:val="22"/>
          <w:szCs w:val="22"/>
        </w:rPr>
        <w:t>fundadas</w:t>
      </w:r>
      <w:r w:rsidRPr="007E60E3">
        <w:rPr>
          <w:rFonts w:ascii="Palatino Linotype" w:eastAsia="Palatino Linotype" w:hAnsi="Palatino Linotype" w:cs="Palatino Linotype"/>
          <w:sz w:val="22"/>
          <w:szCs w:val="22"/>
        </w:rPr>
        <w:t xml:space="preserve"> las razones o motivos de inconformidad hechos valer por la parte</w:t>
      </w:r>
      <w:r w:rsidRPr="007E60E3">
        <w:rPr>
          <w:rFonts w:ascii="Palatino Linotype" w:eastAsia="Palatino Linotype" w:hAnsi="Palatino Linotype" w:cs="Palatino Linotype"/>
          <w:b/>
          <w:sz w:val="22"/>
          <w:szCs w:val="22"/>
        </w:rPr>
        <w:t xml:space="preserve"> Recurrente</w:t>
      </w:r>
      <w:r w:rsidRPr="007E60E3">
        <w:rPr>
          <w:rFonts w:ascii="Palatino Linotype" w:eastAsia="Palatino Linotype" w:hAnsi="Palatino Linotype" w:cs="Palatino Linotype"/>
          <w:sz w:val="22"/>
          <w:szCs w:val="22"/>
        </w:rPr>
        <w:t xml:space="preserve"> en el recurso de revisión </w:t>
      </w:r>
      <w:r w:rsidRPr="007E60E3">
        <w:rPr>
          <w:rFonts w:ascii="Palatino Linotype" w:eastAsia="Palatino Linotype" w:hAnsi="Palatino Linotype" w:cs="Palatino Linotype"/>
          <w:b/>
          <w:sz w:val="22"/>
          <w:szCs w:val="22"/>
        </w:rPr>
        <w:t>03144/INFOEM/IP/RR/2025</w:t>
      </w:r>
      <w:r w:rsidRPr="007E60E3">
        <w:rPr>
          <w:rFonts w:ascii="Palatino Linotype" w:eastAsia="Palatino Linotype" w:hAnsi="Palatino Linotype" w:cs="Palatino Linotype"/>
          <w:sz w:val="22"/>
          <w:szCs w:val="22"/>
        </w:rPr>
        <w:t xml:space="preserve">; por lo que, en términos del </w:t>
      </w:r>
      <w:r w:rsidRPr="007E60E3">
        <w:rPr>
          <w:rFonts w:ascii="Palatino Linotype" w:eastAsia="Palatino Linotype" w:hAnsi="Palatino Linotype" w:cs="Palatino Linotype"/>
          <w:b/>
          <w:sz w:val="22"/>
          <w:szCs w:val="22"/>
        </w:rPr>
        <w:t>Considerando</w:t>
      </w:r>
      <w:r w:rsidRPr="007E60E3">
        <w:rPr>
          <w:rFonts w:ascii="Palatino Linotype" w:eastAsia="Palatino Linotype" w:hAnsi="Palatino Linotype" w:cs="Palatino Linotype"/>
          <w:sz w:val="22"/>
          <w:szCs w:val="22"/>
        </w:rPr>
        <w:t xml:space="preserve"> </w:t>
      </w:r>
      <w:r w:rsidRPr="007E60E3">
        <w:rPr>
          <w:rFonts w:ascii="Palatino Linotype" w:eastAsia="Palatino Linotype" w:hAnsi="Palatino Linotype" w:cs="Palatino Linotype"/>
          <w:b/>
          <w:sz w:val="22"/>
          <w:szCs w:val="22"/>
        </w:rPr>
        <w:t xml:space="preserve">Cuarto </w:t>
      </w:r>
      <w:r w:rsidRPr="007E60E3">
        <w:rPr>
          <w:rFonts w:ascii="Palatino Linotype" w:eastAsia="Palatino Linotype" w:hAnsi="Palatino Linotype" w:cs="Palatino Linotype"/>
          <w:sz w:val="22"/>
          <w:szCs w:val="22"/>
        </w:rPr>
        <w:t xml:space="preserve">de esta resolución, se </w:t>
      </w:r>
      <w:r w:rsidRPr="007E60E3">
        <w:rPr>
          <w:rFonts w:ascii="Palatino Linotype" w:eastAsia="Palatino Linotype" w:hAnsi="Palatino Linotype" w:cs="Palatino Linotype"/>
          <w:b/>
          <w:sz w:val="22"/>
          <w:szCs w:val="22"/>
        </w:rPr>
        <w:t xml:space="preserve">MODIFICA </w:t>
      </w:r>
      <w:r w:rsidRPr="007E60E3">
        <w:rPr>
          <w:rFonts w:ascii="Palatino Linotype" w:eastAsia="Palatino Linotype" w:hAnsi="Palatino Linotype" w:cs="Palatino Linotype"/>
          <w:sz w:val="22"/>
          <w:szCs w:val="22"/>
        </w:rPr>
        <w:t xml:space="preserve">la respuesta emitida por el </w:t>
      </w:r>
      <w:r w:rsidRPr="007E60E3">
        <w:rPr>
          <w:rFonts w:ascii="Palatino Linotype" w:eastAsia="Palatino Linotype" w:hAnsi="Palatino Linotype" w:cs="Palatino Linotype"/>
          <w:b/>
          <w:sz w:val="22"/>
          <w:szCs w:val="22"/>
        </w:rPr>
        <w:t xml:space="preserve">Sujeto Obligado. </w:t>
      </w:r>
    </w:p>
    <w:p w14:paraId="0DC4DD2E"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5465D99E"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bookmarkStart w:id="5" w:name="_heading=h.lnxbz9" w:colFirst="0" w:colLast="0"/>
      <w:bookmarkEnd w:id="5"/>
      <w:r w:rsidRPr="007E60E3">
        <w:rPr>
          <w:rFonts w:ascii="Palatino Linotype" w:eastAsia="Palatino Linotype" w:hAnsi="Palatino Linotype" w:cs="Palatino Linotype"/>
          <w:b/>
          <w:sz w:val="22"/>
          <w:szCs w:val="22"/>
        </w:rPr>
        <w:t xml:space="preserve">Segundo. </w:t>
      </w:r>
      <w:r w:rsidRPr="007E60E3">
        <w:rPr>
          <w:rFonts w:ascii="Palatino Linotype" w:eastAsia="Palatino Linotype" w:hAnsi="Palatino Linotype" w:cs="Palatino Linotype"/>
          <w:sz w:val="22"/>
          <w:szCs w:val="22"/>
        </w:rPr>
        <w:t xml:space="preserve">Se </w:t>
      </w:r>
      <w:r w:rsidRPr="007E60E3">
        <w:rPr>
          <w:rFonts w:ascii="Palatino Linotype" w:eastAsia="Palatino Linotype" w:hAnsi="Palatino Linotype" w:cs="Palatino Linotype"/>
          <w:b/>
          <w:sz w:val="22"/>
          <w:szCs w:val="22"/>
        </w:rPr>
        <w:t>Ordena</w:t>
      </w:r>
      <w:r w:rsidRPr="007E60E3">
        <w:rPr>
          <w:rFonts w:ascii="Palatino Linotype" w:eastAsia="Palatino Linotype" w:hAnsi="Palatino Linotype" w:cs="Palatino Linotype"/>
          <w:sz w:val="22"/>
          <w:szCs w:val="22"/>
        </w:rPr>
        <w:t xml:space="preserve"> al </w:t>
      </w:r>
      <w:r w:rsidRPr="007E60E3">
        <w:rPr>
          <w:rFonts w:ascii="Palatino Linotype" w:eastAsia="Palatino Linotype" w:hAnsi="Palatino Linotype" w:cs="Palatino Linotype"/>
          <w:b/>
          <w:sz w:val="22"/>
          <w:szCs w:val="22"/>
        </w:rPr>
        <w:t>Sujeto Obligado</w:t>
      </w:r>
      <w:r w:rsidRPr="007E60E3">
        <w:rPr>
          <w:rFonts w:ascii="Palatino Linotype" w:eastAsia="Palatino Linotype" w:hAnsi="Palatino Linotype" w:cs="Palatino Linotype"/>
          <w:sz w:val="22"/>
          <w:szCs w:val="22"/>
        </w:rPr>
        <w:t xml:space="preserve">, en términos del Considerando </w:t>
      </w:r>
      <w:r w:rsidRPr="007E60E3">
        <w:rPr>
          <w:rFonts w:ascii="Palatino Linotype" w:eastAsia="Palatino Linotype" w:hAnsi="Palatino Linotype" w:cs="Palatino Linotype"/>
          <w:b/>
          <w:sz w:val="22"/>
          <w:szCs w:val="22"/>
        </w:rPr>
        <w:t xml:space="preserve">Cuarto y Quinto </w:t>
      </w:r>
      <w:r w:rsidRPr="007E60E3">
        <w:rPr>
          <w:rFonts w:ascii="Palatino Linotype" w:eastAsia="Palatino Linotype" w:hAnsi="Palatino Linotype" w:cs="Palatino Linotype"/>
          <w:sz w:val="22"/>
          <w:szCs w:val="22"/>
        </w:rPr>
        <w:t xml:space="preserve">de esta resolución, haga entrega vía SAIMEX, </w:t>
      </w:r>
      <w:r w:rsidRPr="007E60E3">
        <w:rPr>
          <w:rFonts w:ascii="Palatino Linotype" w:eastAsia="Palatino Linotype" w:hAnsi="Palatino Linotype" w:cs="Palatino Linotype"/>
        </w:rPr>
        <w:t>en formato PDF o en el que se haya generado</w:t>
      </w:r>
      <w:r w:rsidRPr="007E60E3">
        <w:rPr>
          <w:rFonts w:ascii="Palatino Linotype" w:eastAsia="Palatino Linotype" w:hAnsi="Palatino Linotype" w:cs="Palatino Linotype"/>
          <w:sz w:val="22"/>
          <w:szCs w:val="22"/>
        </w:rPr>
        <w:t xml:space="preserve">, en versión pública, y correctamente </w:t>
      </w:r>
      <w:proofErr w:type="gramStart"/>
      <w:r w:rsidRPr="007E60E3">
        <w:rPr>
          <w:rFonts w:ascii="Palatino Linotype" w:eastAsia="Palatino Linotype" w:hAnsi="Palatino Linotype" w:cs="Palatino Linotype"/>
          <w:sz w:val="22"/>
          <w:szCs w:val="22"/>
        </w:rPr>
        <w:t>digitalizada,  la</w:t>
      </w:r>
      <w:proofErr w:type="gramEnd"/>
      <w:r w:rsidRPr="007E60E3">
        <w:rPr>
          <w:rFonts w:ascii="Palatino Linotype" w:eastAsia="Palatino Linotype" w:hAnsi="Palatino Linotype" w:cs="Palatino Linotype"/>
          <w:sz w:val="22"/>
          <w:szCs w:val="22"/>
        </w:rPr>
        <w:t xml:space="preserve"> siguiente información:</w:t>
      </w:r>
    </w:p>
    <w:p w14:paraId="625A6D2B"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421B049B" w14:textId="77777777" w:rsidR="005F3002" w:rsidRPr="007E60E3" w:rsidRDefault="008C4497">
      <w:pPr>
        <w:numPr>
          <w:ilvl w:val="0"/>
          <w:numId w:val="6"/>
        </w:numPr>
        <w:pBdr>
          <w:top w:val="nil"/>
          <w:left w:val="nil"/>
          <w:bottom w:val="nil"/>
          <w:right w:val="nil"/>
          <w:between w:val="nil"/>
        </w:pBdr>
        <w:spacing w:line="276" w:lineRule="auto"/>
        <w:ind w:right="900"/>
        <w:jc w:val="both"/>
        <w:rPr>
          <w:rFonts w:ascii="Palatino Linotype" w:eastAsia="Palatino Linotype" w:hAnsi="Palatino Linotype" w:cs="Palatino Linotype"/>
          <w:b/>
          <w:i/>
          <w:sz w:val="22"/>
          <w:szCs w:val="22"/>
        </w:rPr>
      </w:pPr>
      <w:r w:rsidRPr="007E60E3">
        <w:rPr>
          <w:rFonts w:ascii="Palatino Linotype" w:eastAsia="Palatino Linotype" w:hAnsi="Palatino Linotype" w:cs="Palatino Linotype"/>
          <w:b/>
          <w:i/>
          <w:sz w:val="22"/>
          <w:szCs w:val="22"/>
        </w:rPr>
        <w:t xml:space="preserve">La conciliación de nómina correspondiente a la Primera y Segunda quincena de enero; así como de la Primera Quincena de Febrero de dos mil veinticinco, de todo el personal del ayuntamiento. </w:t>
      </w:r>
    </w:p>
    <w:p w14:paraId="218C7D0F" w14:textId="77777777" w:rsidR="005F3002" w:rsidRPr="007E60E3" w:rsidRDefault="005F3002">
      <w:pPr>
        <w:pBdr>
          <w:top w:val="nil"/>
          <w:left w:val="nil"/>
          <w:bottom w:val="nil"/>
          <w:right w:val="nil"/>
          <w:between w:val="nil"/>
        </w:pBdr>
        <w:spacing w:line="276" w:lineRule="auto"/>
        <w:ind w:left="720" w:right="900"/>
        <w:jc w:val="both"/>
        <w:rPr>
          <w:rFonts w:ascii="Palatino Linotype" w:eastAsia="Palatino Linotype" w:hAnsi="Palatino Linotype" w:cs="Palatino Linotype"/>
          <w:b/>
          <w:i/>
          <w:sz w:val="22"/>
          <w:szCs w:val="22"/>
        </w:rPr>
      </w:pPr>
    </w:p>
    <w:p w14:paraId="25A67E9E" w14:textId="77777777" w:rsidR="005F3002" w:rsidRPr="007E60E3" w:rsidRDefault="008C4497">
      <w:pPr>
        <w:pBdr>
          <w:top w:val="nil"/>
          <w:left w:val="nil"/>
          <w:bottom w:val="nil"/>
          <w:right w:val="nil"/>
          <w:between w:val="nil"/>
        </w:pBdr>
        <w:spacing w:line="276" w:lineRule="auto"/>
        <w:ind w:left="720" w:right="900"/>
        <w:jc w:val="both"/>
        <w:rPr>
          <w:rFonts w:ascii="Palatino Linotype" w:eastAsia="Palatino Linotype" w:hAnsi="Palatino Linotype" w:cs="Palatino Linotype"/>
          <w:i/>
          <w:sz w:val="22"/>
          <w:szCs w:val="22"/>
        </w:rPr>
      </w:pPr>
      <w:r w:rsidRPr="007E60E3">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7E60E3">
        <w:rPr>
          <w:rFonts w:ascii="Palatino Linotype" w:eastAsia="Palatino Linotype" w:hAnsi="Palatino Linotype" w:cs="Palatino Linotype"/>
          <w:b/>
          <w:i/>
          <w:sz w:val="22"/>
          <w:szCs w:val="22"/>
        </w:rPr>
        <w:t>Recurrente</w:t>
      </w:r>
      <w:r w:rsidRPr="007E60E3">
        <w:rPr>
          <w:rFonts w:ascii="Palatino Linotype" w:eastAsia="Palatino Linotype" w:hAnsi="Palatino Linotype" w:cs="Palatino Linotype"/>
          <w:i/>
          <w:sz w:val="22"/>
          <w:szCs w:val="22"/>
        </w:rPr>
        <w:t xml:space="preserve">. </w:t>
      </w:r>
    </w:p>
    <w:p w14:paraId="7F5448E3" w14:textId="77777777" w:rsidR="005F3002" w:rsidRPr="007E60E3" w:rsidRDefault="005F3002">
      <w:pPr>
        <w:spacing w:line="360" w:lineRule="auto"/>
        <w:jc w:val="both"/>
        <w:rPr>
          <w:rFonts w:ascii="Palatino Linotype" w:eastAsia="Palatino Linotype" w:hAnsi="Palatino Linotype" w:cs="Palatino Linotype"/>
          <w:b/>
          <w:sz w:val="22"/>
          <w:szCs w:val="22"/>
        </w:rPr>
      </w:pPr>
    </w:p>
    <w:p w14:paraId="5F7D3655" w14:textId="77777777" w:rsidR="005F3002" w:rsidRPr="007E60E3"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 xml:space="preserve">Tercero.  Notifíquese vía SAIMEX, </w:t>
      </w:r>
      <w:r w:rsidRPr="007E60E3">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7E60E3">
        <w:rPr>
          <w:rFonts w:ascii="Palatino Linotype" w:eastAsia="Palatino Linotype" w:hAnsi="Palatino Linotype" w:cs="Palatino Linotype"/>
          <w:sz w:val="22"/>
          <w:szCs w:val="22"/>
        </w:rPr>
        <w:lastRenderedPageBreak/>
        <w:t xml:space="preserve">conformidad con lo previsto en los artículos 198, 200, fracción III; 214, 215 y 216 de la Ley de Transparencia y Acceso a la Información Pública del Estado de México y Municipios. </w:t>
      </w:r>
    </w:p>
    <w:p w14:paraId="619A3D1C" w14:textId="77777777" w:rsidR="005F3002" w:rsidRPr="007E60E3" w:rsidRDefault="005F3002">
      <w:pPr>
        <w:spacing w:line="360" w:lineRule="auto"/>
        <w:jc w:val="both"/>
        <w:rPr>
          <w:rFonts w:ascii="Palatino Linotype" w:eastAsia="Palatino Linotype" w:hAnsi="Palatino Linotype" w:cs="Palatino Linotype"/>
          <w:sz w:val="22"/>
          <w:szCs w:val="22"/>
        </w:rPr>
      </w:pPr>
    </w:p>
    <w:p w14:paraId="75273A07"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 xml:space="preserve">Cuarto. </w:t>
      </w:r>
      <w:r w:rsidRPr="007E60E3">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EA1D18"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3C6B19FB" w14:textId="77777777" w:rsidR="005F3002" w:rsidRPr="007E60E3" w:rsidRDefault="008C4497">
      <w:pPr>
        <w:spacing w:line="360" w:lineRule="auto"/>
        <w:ind w:right="49"/>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b/>
          <w:sz w:val="22"/>
          <w:szCs w:val="22"/>
        </w:rPr>
        <w:t xml:space="preserve">Quinto. Notifíquese vía SAIMEX, </w:t>
      </w:r>
      <w:r w:rsidRPr="007E60E3">
        <w:rPr>
          <w:rFonts w:ascii="Palatino Linotype" w:eastAsia="Palatino Linotype" w:hAnsi="Palatino Linotype" w:cs="Palatino Linotype"/>
          <w:sz w:val="22"/>
          <w:szCs w:val="22"/>
        </w:rPr>
        <w:t>a</w:t>
      </w:r>
      <w:r w:rsidRPr="007E60E3">
        <w:rPr>
          <w:rFonts w:ascii="Palatino Linotype" w:eastAsia="Palatino Linotype" w:hAnsi="Palatino Linotype" w:cs="Palatino Linotype"/>
          <w:b/>
          <w:sz w:val="22"/>
          <w:szCs w:val="22"/>
        </w:rPr>
        <w:t xml:space="preserve"> la parte Recurrente</w:t>
      </w:r>
      <w:r w:rsidRPr="007E60E3">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3D07A30" w14:textId="77777777" w:rsidR="005F3002" w:rsidRPr="007E60E3" w:rsidRDefault="005F3002">
      <w:pPr>
        <w:spacing w:line="360" w:lineRule="auto"/>
        <w:ind w:right="49"/>
        <w:jc w:val="both"/>
        <w:rPr>
          <w:rFonts w:ascii="Palatino Linotype" w:eastAsia="Palatino Linotype" w:hAnsi="Palatino Linotype" w:cs="Palatino Linotype"/>
          <w:sz w:val="22"/>
          <w:szCs w:val="22"/>
        </w:rPr>
      </w:pPr>
    </w:p>
    <w:p w14:paraId="1FEC72A2" w14:textId="77777777" w:rsidR="005F3002" w:rsidRPr="00912D7F" w:rsidRDefault="008C4497">
      <w:pPr>
        <w:spacing w:line="360" w:lineRule="auto"/>
        <w:jc w:val="both"/>
        <w:rPr>
          <w:rFonts w:ascii="Palatino Linotype" w:eastAsia="Palatino Linotype" w:hAnsi="Palatino Linotype" w:cs="Palatino Linotype"/>
          <w:sz w:val="22"/>
          <w:szCs w:val="22"/>
        </w:rPr>
      </w:pPr>
      <w:r w:rsidRPr="007E60E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521CE0" w:rsidRPr="007E60E3">
        <w:rPr>
          <w:rFonts w:ascii="Palatino Linotype" w:eastAsia="Palatino Linotype" w:hAnsi="Palatino Linotype" w:cs="Palatino Linotype"/>
          <w:sz w:val="22"/>
          <w:szCs w:val="22"/>
        </w:rPr>
        <w:t xml:space="preserve">ARON CRISTINA MORALES MARTÍNEZ (AUSENCIA JUSTIFICADA) </w:t>
      </w:r>
      <w:r w:rsidRPr="007E60E3">
        <w:rPr>
          <w:rFonts w:ascii="Palatino Linotype" w:eastAsia="Palatino Linotype" w:hAnsi="Palatino Linotype" w:cs="Palatino Linotype"/>
          <w:sz w:val="22"/>
          <w:szCs w:val="22"/>
        </w:rPr>
        <w:t>Y GUADALUPE RAMÍREZ PEÑA</w:t>
      </w:r>
      <w:r w:rsidR="00521CE0" w:rsidRPr="007E60E3">
        <w:rPr>
          <w:rFonts w:ascii="Palatino Linotype" w:eastAsia="Palatino Linotype" w:hAnsi="Palatino Linotype" w:cs="Palatino Linotype"/>
          <w:sz w:val="22"/>
          <w:szCs w:val="22"/>
        </w:rPr>
        <w:t xml:space="preserve"> (EMITIENDO VOTO PARTICULAR)</w:t>
      </w:r>
      <w:r w:rsidRPr="007E60E3">
        <w:rPr>
          <w:rFonts w:ascii="Palatino Linotype" w:eastAsia="Palatino Linotype" w:hAnsi="Palatino Linotype" w:cs="Palatino Linotype"/>
          <w:sz w:val="22"/>
          <w:szCs w:val="22"/>
        </w:rPr>
        <w:t>; EN LA DÉCIMA NOVENA SESIÓN ORDINARIA CELEBRADA EL VEINTIOCHO DE MAYO DEL DOS MIL VEINTICINCO, ANTE EL SECRETARIO TÉCNICO DEL PLENO ALEXIS TAPIA RAMÍREZ.</w:t>
      </w:r>
    </w:p>
    <w:p w14:paraId="4CF6799B" w14:textId="77777777" w:rsidR="005F3002" w:rsidRPr="00912D7F" w:rsidRDefault="005F3002">
      <w:pPr>
        <w:spacing w:line="360" w:lineRule="auto"/>
        <w:jc w:val="both"/>
        <w:rPr>
          <w:rFonts w:ascii="Palatino Linotype" w:eastAsia="Palatino Linotype" w:hAnsi="Palatino Linotype" w:cs="Palatino Linotype"/>
          <w:sz w:val="22"/>
          <w:szCs w:val="22"/>
        </w:rPr>
      </w:pPr>
    </w:p>
    <w:p w14:paraId="26A41776" w14:textId="77777777" w:rsidR="005F3002" w:rsidRPr="00912D7F" w:rsidRDefault="005F3002">
      <w:pPr>
        <w:spacing w:line="360" w:lineRule="auto"/>
        <w:jc w:val="both"/>
        <w:rPr>
          <w:rFonts w:ascii="Palatino Linotype" w:eastAsia="Palatino Linotype" w:hAnsi="Palatino Linotype" w:cs="Palatino Linotype"/>
          <w:sz w:val="22"/>
          <w:szCs w:val="22"/>
        </w:rPr>
      </w:pPr>
    </w:p>
    <w:p w14:paraId="0024CFC8" w14:textId="77777777" w:rsidR="005F3002" w:rsidRPr="00912D7F" w:rsidRDefault="005F3002">
      <w:pPr>
        <w:spacing w:line="360" w:lineRule="auto"/>
        <w:jc w:val="both"/>
        <w:rPr>
          <w:rFonts w:ascii="Palatino Linotype" w:eastAsia="Palatino Linotype" w:hAnsi="Palatino Linotype" w:cs="Palatino Linotype"/>
          <w:sz w:val="22"/>
          <w:szCs w:val="22"/>
        </w:rPr>
      </w:pPr>
    </w:p>
    <w:p w14:paraId="1F43CAD4" w14:textId="77777777" w:rsidR="005F3002" w:rsidRPr="00912D7F" w:rsidRDefault="005F3002">
      <w:pPr>
        <w:spacing w:line="360" w:lineRule="auto"/>
        <w:jc w:val="both"/>
        <w:rPr>
          <w:rFonts w:ascii="Palatino Linotype" w:eastAsia="Palatino Linotype" w:hAnsi="Palatino Linotype" w:cs="Palatino Linotype"/>
          <w:sz w:val="22"/>
          <w:szCs w:val="22"/>
        </w:rPr>
      </w:pPr>
    </w:p>
    <w:p w14:paraId="06C8F013" w14:textId="77777777" w:rsidR="005F3002" w:rsidRPr="00912D7F" w:rsidRDefault="005F3002">
      <w:pPr>
        <w:spacing w:line="360" w:lineRule="auto"/>
        <w:jc w:val="both"/>
        <w:rPr>
          <w:rFonts w:ascii="Palatino Linotype" w:eastAsia="Palatino Linotype" w:hAnsi="Palatino Linotype" w:cs="Palatino Linotype"/>
          <w:sz w:val="22"/>
          <w:szCs w:val="22"/>
        </w:rPr>
      </w:pPr>
    </w:p>
    <w:p w14:paraId="65AECE95" w14:textId="77777777" w:rsidR="000A7D9F" w:rsidRPr="00912D7F" w:rsidRDefault="000A7D9F">
      <w:pPr>
        <w:spacing w:line="360" w:lineRule="auto"/>
        <w:jc w:val="both"/>
        <w:rPr>
          <w:rFonts w:ascii="Palatino Linotype" w:eastAsia="Palatino Linotype" w:hAnsi="Palatino Linotype" w:cs="Palatino Linotype"/>
          <w:sz w:val="22"/>
          <w:szCs w:val="22"/>
        </w:rPr>
      </w:pPr>
    </w:p>
    <w:sectPr w:rsidR="000A7D9F" w:rsidRPr="00912D7F">
      <w:headerReference w:type="default" r:id="rId15"/>
      <w:footerReference w:type="default" r:id="rId16"/>
      <w:headerReference w:type="first" r:id="rId17"/>
      <w:footerReference w:type="first" r:id="rId18"/>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368E4" w14:textId="77777777" w:rsidR="009444A5" w:rsidRDefault="009444A5">
      <w:r>
        <w:separator/>
      </w:r>
    </w:p>
  </w:endnote>
  <w:endnote w:type="continuationSeparator" w:id="0">
    <w:p w14:paraId="6E9DF399" w14:textId="77777777" w:rsidR="009444A5" w:rsidRDefault="00944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BC79C" w14:textId="77777777" w:rsidR="005F3002" w:rsidRDefault="008C449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E60E3">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E60E3">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0DE577A7" w14:textId="77777777" w:rsidR="005F3002" w:rsidRDefault="005F300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8B24" w14:textId="77777777" w:rsidR="005F3002" w:rsidRDefault="008C449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E60E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E60E3">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3FFDAC89" w14:textId="77777777" w:rsidR="005F3002" w:rsidRDefault="005F300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FBCE7" w14:textId="77777777" w:rsidR="009444A5" w:rsidRDefault="009444A5">
      <w:r>
        <w:separator/>
      </w:r>
    </w:p>
  </w:footnote>
  <w:footnote w:type="continuationSeparator" w:id="0">
    <w:p w14:paraId="259808DC" w14:textId="77777777" w:rsidR="009444A5" w:rsidRDefault="009444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F7A1" w14:textId="77777777" w:rsidR="005F3002" w:rsidRDefault="008C449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209DA26" wp14:editId="2F02D1F3">
          <wp:simplePos x="0" y="0"/>
          <wp:positionH relativeFrom="column">
            <wp:posOffset>-1080127</wp:posOffset>
          </wp:positionH>
          <wp:positionV relativeFrom="paragraph">
            <wp:posOffset>-488307</wp:posOffset>
          </wp:positionV>
          <wp:extent cx="7809865" cy="10165715"/>
          <wp:effectExtent l="0" t="0" r="0" b="0"/>
          <wp:wrapNone/>
          <wp:docPr id="7702015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5F3002" w14:paraId="621E5C1D" w14:textId="77777777">
      <w:tc>
        <w:tcPr>
          <w:tcW w:w="2489" w:type="dxa"/>
          <w:shd w:val="clear" w:color="auto" w:fill="auto"/>
        </w:tcPr>
        <w:p w14:paraId="33D9A093" w14:textId="77777777" w:rsidR="005F3002" w:rsidRDefault="008C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EF1ED03" w14:textId="77777777" w:rsidR="005F3002" w:rsidRDefault="008C449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03144/INFOEM/IP/RR/2025</w:t>
          </w:r>
        </w:p>
      </w:tc>
    </w:tr>
    <w:tr w:rsidR="005F3002" w14:paraId="7B841EAF" w14:textId="77777777">
      <w:trPr>
        <w:trHeight w:val="228"/>
      </w:trPr>
      <w:tc>
        <w:tcPr>
          <w:tcW w:w="2489" w:type="dxa"/>
          <w:shd w:val="clear" w:color="auto" w:fill="auto"/>
          <w:vAlign w:val="center"/>
        </w:tcPr>
        <w:p w14:paraId="41C09E13" w14:textId="77777777" w:rsidR="005F3002" w:rsidRDefault="008C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57D1B11" w14:textId="77777777" w:rsidR="005F3002" w:rsidRDefault="008C449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Chalco</w:t>
          </w:r>
        </w:p>
      </w:tc>
    </w:tr>
    <w:tr w:rsidR="005F3002" w14:paraId="14A40842" w14:textId="77777777">
      <w:tc>
        <w:tcPr>
          <w:tcW w:w="2489" w:type="dxa"/>
          <w:shd w:val="clear" w:color="auto" w:fill="auto"/>
          <w:vAlign w:val="center"/>
        </w:tcPr>
        <w:p w14:paraId="169A12AB" w14:textId="77777777" w:rsidR="005F3002" w:rsidRDefault="008C449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FCADD99" w14:textId="77777777" w:rsidR="005F3002" w:rsidRDefault="008C449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3DD7F00" w14:textId="77777777" w:rsidR="005F3002" w:rsidRDefault="008C449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91F5" w14:textId="77777777" w:rsidR="005F3002" w:rsidRDefault="008C449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ae"/>
      <w:tblW w:w="5670" w:type="dxa"/>
      <w:tblInd w:w="3261" w:type="dxa"/>
      <w:tblLayout w:type="fixed"/>
      <w:tblLook w:val="0400" w:firstRow="0" w:lastRow="0" w:firstColumn="0" w:lastColumn="0" w:noHBand="0" w:noVBand="1"/>
    </w:tblPr>
    <w:tblGrid>
      <w:gridCol w:w="2551"/>
      <w:gridCol w:w="3119"/>
    </w:tblGrid>
    <w:tr w:rsidR="005F3002" w14:paraId="79086996" w14:textId="77777777">
      <w:tc>
        <w:tcPr>
          <w:tcW w:w="2551" w:type="dxa"/>
          <w:shd w:val="clear" w:color="auto" w:fill="auto"/>
          <w:vAlign w:val="center"/>
        </w:tcPr>
        <w:p w14:paraId="38CA39A6" w14:textId="77777777" w:rsidR="005F3002" w:rsidRDefault="008C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1126062" w14:textId="77777777" w:rsidR="005F3002" w:rsidRDefault="008C449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03144/INFOEM/IP/RR/2025</w:t>
          </w:r>
        </w:p>
      </w:tc>
    </w:tr>
    <w:tr w:rsidR="005F3002" w14:paraId="00733338" w14:textId="77777777">
      <w:trPr>
        <w:trHeight w:val="130"/>
      </w:trPr>
      <w:tc>
        <w:tcPr>
          <w:tcW w:w="2551" w:type="dxa"/>
          <w:shd w:val="clear" w:color="auto" w:fill="auto"/>
          <w:vAlign w:val="center"/>
        </w:tcPr>
        <w:p w14:paraId="52C7A577" w14:textId="77777777" w:rsidR="005F3002" w:rsidRDefault="008C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0239761" w14:textId="107C38E6" w:rsidR="005F3002" w:rsidRDefault="00F2135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 XXXXX</w:t>
          </w:r>
          <w:r w:rsidR="008C4497">
            <w:rPr>
              <w:rFonts w:ascii="Palatino Linotype" w:eastAsia="Palatino Linotype" w:hAnsi="Palatino Linotype" w:cs="Palatino Linotype"/>
              <w:b/>
              <w:sz w:val="22"/>
              <w:szCs w:val="22"/>
            </w:rPr>
            <w:t xml:space="preserve"> </w:t>
          </w:r>
          <w:r w:rsidR="008C4497">
            <w:rPr>
              <w:noProof/>
              <w:lang w:val="es-MX"/>
            </w:rPr>
            <w:drawing>
              <wp:anchor distT="0" distB="0" distL="0" distR="0" simplePos="0" relativeHeight="251659264" behindDoc="1" locked="0" layoutInCell="1" hidden="0" allowOverlap="1" wp14:anchorId="1A3D3192" wp14:editId="38A35CCC">
                <wp:simplePos x="0" y="0"/>
                <wp:positionH relativeFrom="column">
                  <wp:posOffset>-4425307</wp:posOffset>
                </wp:positionH>
                <wp:positionV relativeFrom="paragraph">
                  <wp:posOffset>-361942</wp:posOffset>
                </wp:positionV>
                <wp:extent cx="7809865" cy="10165715"/>
                <wp:effectExtent l="0" t="0" r="0" b="0"/>
                <wp:wrapNone/>
                <wp:docPr id="7702015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5F3002" w14:paraId="1D2FB00E" w14:textId="77777777">
      <w:trPr>
        <w:trHeight w:val="228"/>
      </w:trPr>
      <w:tc>
        <w:tcPr>
          <w:tcW w:w="2551" w:type="dxa"/>
          <w:shd w:val="clear" w:color="auto" w:fill="auto"/>
          <w:vAlign w:val="center"/>
        </w:tcPr>
        <w:p w14:paraId="5E8089B0" w14:textId="77777777" w:rsidR="005F3002" w:rsidRDefault="008C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42F1470" w14:textId="77777777" w:rsidR="005F3002" w:rsidRDefault="008C4497">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Chalco</w:t>
          </w:r>
        </w:p>
      </w:tc>
    </w:tr>
    <w:tr w:rsidR="005F3002" w14:paraId="4BC370D3" w14:textId="77777777">
      <w:tc>
        <w:tcPr>
          <w:tcW w:w="2551" w:type="dxa"/>
          <w:shd w:val="clear" w:color="auto" w:fill="auto"/>
          <w:vAlign w:val="center"/>
        </w:tcPr>
        <w:p w14:paraId="4981D8BC" w14:textId="77777777" w:rsidR="005F3002" w:rsidRDefault="008C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564815C" w14:textId="77777777" w:rsidR="005F3002" w:rsidRDefault="008C449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CC36A8" w14:textId="77777777" w:rsidR="005F3002" w:rsidRDefault="005F300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DA6"/>
    <w:multiLevelType w:val="multilevel"/>
    <w:tmpl w:val="D898C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B65951"/>
    <w:multiLevelType w:val="multilevel"/>
    <w:tmpl w:val="640A2C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D81220"/>
    <w:multiLevelType w:val="multilevel"/>
    <w:tmpl w:val="3670B5E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3E823271"/>
    <w:multiLevelType w:val="multilevel"/>
    <w:tmpl w:val="A9BAF4C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DA7D51"/>
    <w:multiLevelType w:val="multilevel"/>
    <w:tmpl w:val="D09EE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5F49BC"/>
    <w:multiLevelType w:val="multilevel"/>
    <w:tmpl w:val="0F78D7B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02"/>
    <w:rsid w:val="000A7D9F"/>
    <w:rsid w:val="00521CE0"/>
    <w:rsid w:val="005F3002"/>
    <w:rsid w:val="007E60E3"/>
    <w:rsid w:val="008C4497"/>
    <w:rsid w:val="00912D7F"/>
    <w:rsid w:val="009444A5"/>
    <w:rsid w:val="00D26A08"/>
    <w:rsid w:val="00F21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488E3"/>
  <w15:docId w15:val="{9F0E697D-FC82-4A69-812E-4E1EA675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8.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HVFeyAQGDcZ0pW9SN+vLMLGngA==">CgMxLjAyCGguZ2pkZ3hzMgloLjMwajB6bGwyCWguMnM4ZXlvMTIIaC50eWpjd3QyDmguOGZnZmd1aWR3b215MghoLmxueGJ6OTgAciExYTNtLTN2c1NkR0xibmpFMU9BaE5MNVBhV0lPVHZPOGI=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13869</Words>
  <Characters>76280</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2025-05-30T19:10:00Z</cp:lastPrinted>
  <dcterms:created xsi:type="dcterms:W3CDTF">2025-06-11T19:05:00Z</dcterms:created>
  <dcterms:modified xsi:type="dcterms:W3CDTF">2025-06-11T19:05:00Z</dcterms:modified>
</cp:coreProperties>
</file>