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C8C" w:rsidRPr="00586164" w:rsidRDefault="00D27932" w:rsidP="00236468">
      <w:pPr>
        <w:tabs>
          <w:tab w:val="left" w:pos="3465"/>
        </w:tabs>
        <w:spacing w:line="360" w:lineRule="auto"/>
        <w:ind w:right="-7"/>
        <w:jc w:val="both"/>
        <w:rPr>
          <w:rFonts w:ascii="Palatino Linotype" w:eastAsia="Palatino Linotype" w:hAnsi="Palatino Linotype" w:cs="Palatino Linotype"/>
          <w:b/>
          <w:color w:val="000000" w:themeColor="text1"/>
        </w:rPr>
      </w:pPr>
      <w:bookmarkStart w:id="0" w:name="_GoBack"/>
      <w:bookmarkEnd w:id="0"/>
      <w:r w:rsidRPr="0058616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586164">
        <w:rPr>
          <w:rFonts w:ascii="Palatino Linotype" w:eastAsia="Palatino Linotype" w:hAnsi="Palatino Linotype" w:cs="Palatino Linotype"/>
          <w:b/>
          <w:color w:val="000000" w:themeColor="text1"/>
        </w:rPr>
        <w:t xml:space="preserve">de fecha </w:t>
      </w:r>
      <w:r w:rsidR="00236468" w:rsidRPr="00586164">
        <w:rPr>
          <w:rFonts w:ascii="Palatino Linotype" w:eastAsia="Palatino Linotype" w:hAnsi="Palatino Linotype" w:cs="Palatino Linotype"/>
          <w:b/>
          <w:color w:val="000000" w:themeColor="text1"/>
        </w:rPr>
        <w:t xml:space="preserve">diez </w:t>
      </w:r>
      <w:r w:rsidR="00702C8A" w:rsidRPr="00586164">
        <w:rPr>
          <w:rFonts w:ascii="Palatino Linotype" w:eastAsia="Palatino Linotype" w:hAnsi="Palatino Linotype" w:cs="Palatino Linotype"/>
          <w:b/>
          <w:color w:val="000000" w:themeColor="text1"/>
        </w:rPr>
        <w:t>(</w:t>
      </w:r>
      <w:r w:rsidR="00236468" w:rsidRPr="00586164">
        <w:rPr>
          <w:rFonts w:ascii="Palatino Linotype" w:eastAsia="Palatino Linotype" w:hAnsi="Palatino Linotype" w:cs="Palatino Linotype"/>
          <w:b/>
          <w:color w:val="000000" w:themeColor="text1"/>
        </w:rPr>
        <w:t>10</w:t>
      </w:r>
      <w:r w:rsidR="00702C8A" w:rsidRPr="00586164">
        <w:rPr>
          <w:rFonts w:ascii="Palatino Linotype" w:eastAsia="Palatino Linotype" w:hAnsi="Palatino Linotype" w:cs="Palatino Linotype"/>
          <w:b/>
          <w:color w:val="000000" w:themeColor="text1"/>
        </w:rPr>
        <w:t>) de septiembre</w:t>
      </w:r>
      <w:r w:rsidRPr="00586164">
        <w:rPr>
          <w:rFonts w:ascii="Palatino Linotype" w:eastAsia="Palatino Linotype" w:hAnsi="Palatino Linotype" w:cs="Palatino Linotype"/>
          <w:b/>
          <w:color w:val="000000" w:themeColor="text1"/>
        </w:rPr>
        <w:t xml:space="preserve"> de dos mil veinticinco.</w:t>
      </w:r>
    </w:p>
    <w:p w:rsidR="00CC7C8C" w:rsidRPr="00586164" w:rsidRDefault="00CC7C8C" w:rsidP="00236468">
      <w:pPr>
        <w:tabs>
          <w:tab w:val="left" w:pos="3465"/>
        </w:tabs>
        <w:spacing w:line="360" w:lineRule="auto"/>
        <w:ind w:right="-7"/>
        <w:jc w:val="both"/>
        <w:rPr>
          <w:rFonts w:ascii="Palatino Linotype" w:eastAsia="Palatino Linotype" w:hAnsi="Palatino Linotype" w:cs="Palatino Linotype"/>
          <w:color w:val="000000" w:themeColor="text1"/>
        </w:rPr>
      </w:pPr>
    </w:p>
    <w:p w:rsidR="00CC7C8C" w:rsidRPr="00586164" w:rsidRDefault="00D27932" w:rsidP="00236468">
      <w:pPr>
        <w:spacing w:line="360" w:lineRule="auto"/>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b/>
          <w:color w:val="000000" w:themeColor="text1"/>
        </w:rPr>
        <w:t xml:space="preserve">VISTAS </w:t>
      </w:r>
      <w:r w:rsidRPr="00586164">
        <w:rPr>
          <w:rFonts w:ascii="Palatino Linotype" w:eastAsia="Palatino Linotype" w:hAnsi="Palatino Linotype" w:cs="Palatino Linotype"/>
          <w:color w:val="000000" w:themeColor="text1"/>
        </w:rPr>
        <w:t xml:space="preserve">las constancias para resolver el Recurso de Revisión </w:t>
      </w:r>
      <w:r w:rsidR="00AF2514" w:rsidRPr="00586164">
        <w:rPr>
          <w:rFonts w:ascii="Palatino Linotype" w:eastAsia="Palatino Linotype" w:hAnsi="Palatino Linotype" w:cs="Palatino Linotype"/>
          <w:b/>
          <w:color w:val="000000" w:themeColor="text1"/>
        </w:rPr>
        <w:t>04183</w:t>
      </w:r>
      <w:r w:rsidRPr="00586164">
        <w:rPr>
          <w:rFonts w:ascii="Palatino Linotype" w:eastAsia="Palatino Linotype" w:hAnsi="Palatino Linotype" w:cs="Palatino Linotype"/>
          <w:b/>
          <w:color w:val="000000" w:themeColor="text1"/>
        </w:rPr>
        <w:t>/INFOEM/IP/RR/2025</w:t>
      </w:r>
      <w:r w:rsidRPr="00586164">
        <w:rPr>
          <w:rFonts w:ascii="Palatino Linotype" w:eastAsia="Palatino Linotype" w:hAnsi="Palatino Linotype" w:cs="Palatino Linotype"/>
          <w:color w:val="000000" w:themeColor="text1"/>
        </w:rPr>
        <w:t xml:space="preserve">, promovido por </w:t>
      </w:r>
      <w:r w:rsidR="002D7EA2">
        <w:rPr>
          <w:rFonts w:ascii="Palatino Linotype" w:eastAsia="Palatino Linotype" w:hAnsi="Palatino Linotype" w:cs="Palatino Linotype"/>
          <w:b/>
          <w:color w:val="000000" w:themeColor="text1"/>
        </w:rPr>
        <w:t>XXXX</w:t>
      </w:r>
      <w:r w:rsidRPr="00586164">
        <w:rPr>
          <w:rFonts w:ascii="Palatino Linotype" w:eastAsia="Palatino Linotype" w:hAnsi="Palatino Linotype" w:cs="Palatino Linotype"/>
          <w:color w:val="000000" w:themeColor="text1"/>
        </w:rPr>
        <w:t xml:space="preserve">, en lo sucesivo </w:t>
      </w:r>
      <w:r w:rsidRPr="00586164">
        <w:rPr>
          <w:rFonts w:ascii="Palatino Linotype" w:eastAsia="Palatino Linotype" w:hAnsi="Palatino Linotype" w:cs="Palatino Linotype"/>
          <w:b/>
          <w:color w:val="000000" w:themeColor="text1"/>
        </w:rPr>
        <w:t>EL RECURRENTE</w:t>
      </w:r>
      <w:r w:rsidRPr="00586164">
        <w:rPr>
          <w:rFonts w:ascii="Palatino Linotype" w:eastAsia="Palatino Linotype" w:hAnsi="Palatino Linotype" w:cs="Palatino Linotype"/>
          <w:color w:val="000000" w:themeColor="text1"/>
        </w:rPr>
        <w:t xml:space="preserve">, en contra de la respuesta otorgada a la solicitud de información </w:t>
      </w:r>
      <w:r w:rsidR="00AF2514" w:rsidRPr="00586164">
        <w:rPr>
          <w:rFonts w:ascii="Palatino Linotype" w:eastAsia="Palatino Linotype" w:hAnsi="Palatino Linotype" w:cs="Palatino Linotype"/>
          <w:b/>
          <w:color w:val="000000" w:themeColor="text1"/>
        </w:rPr>
        <w:t>01240/TOLUCA/IP/2025</w:t>
      </w:r>
      <w:r w:rsidRPr="00586164">
        <w:rPr>
          <w:rFonts w:ascii="Palatino Linotype" w:eastAsia="Palatino Linotype" w:hAnsi="Palatino Linotype" w:cs="Palatino Linotype"/>
          <w:color w:val="000000" w:themeColor="text1"/>
        </w:rPr>
        <w:t xml:space="preserve">, por parte del </w:t>
      </w:r>
      <w:r w:rsidRPr="00586164">
        <w:rPr>
          <w:rFonts w:ascii="Palatino Linotype" w:eastAsia="Palatino Linotype" w:hAnsi="Palatino Linotype" w:cs="Palatino Linotype"/>
          <w:b/>
          <w:color w:val="000000" w:themeColor="text1"/>
        </w:rPr>
        <w:t xml:space="preserve">Ayuntamiento de Toluca, </w:t>
      </w:r>
      <w:r w:rsidRPr="00586164">
        <w:rPr>
          <w:rFonts w:ascii="Palatino Linotype" w:eastAsia="Palatino Linotype" w:hAnsi="Palatino Linotype" w:cs="Palatino Linotype"/>
          <w:color w:val="000000" w:themeColor="text1"/>
        </w:rPr>
        <w:t xml:space="preserve">en adelante el </w:t>
      </w:r>
      <w:r w:rsidRPr="00586164">
        <w:rPr>
          <w:rFonts w:ascii="Palatino Linotype" w:eastAsia="Palatino Linotype" w:hAnsi="Palatino Linotype" w:cs="Palatino Linotype"/>
          <w:b/>
          <w:color w:val="000000" w:themeColor="text1"/>
        </w:rPr>
        <w:t>SUJETO OBLIGADO</w:t>
      </w:r>
      <w:r w:rsidRPr="00586164">
        <w:rPr>
          <w:rFonts w:ascii="Palatino Linotype" w:eastAsia="Palatino Linotype" w:hAnsi="Palatino Linotype" w:cs="Palatino Linotype"/>
          <w:color w:val="000000" w:themeColor="text1"/>
        </w:rPr>
        <w:t>, se emite la presente resolución con base en los siguientes:</w:t>
      </w:r>
    </w:p>
    <w:p w:rsidR="00CC7C8C" w:rsidRPr="00586164" w:rsidRDefault="00CC7C8C" w:rsidP="00236468">
      <w:pPr>
        <w:spacing w:line="360" w:lineRule="auto"/>
        <w:ind w:right="-7"/>
        <w:jc w:val="both"/>
        <w:rPr>
          <w:rFonts w:ascii="Palatino Linotype" w:eastAsia="Palatino Linotype" w:hAnsi="Palatino Linotype" w:cs="Palatino Linotype"/>
          <w:color w:val="000000" w:themeColor="text1"/>
        </w:rPr>
      </w:pPr>
    </w:p>
    <w:p w:rsidR="00CC7C8C" w:rsidRPr="00586164" w:rsidRDefault="00D27932" w:rsidP="00236468">
      <w:pPr>
        <w:pStyle w:val="Ttulo1"/>
        <w:spacing w:before="0" w:line="360" w:lineRule="auto"/>
        <w:ind w:right="-7"/>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586164">
        <w:rPr>
          <w:rFonts w:ascii="Palatino Linotype" w:eastAsia="Palatino Linotype" w:hAnsi="Palatino Linotype" w:cs="Palatino Linotype"/>
          <w:b/>
          <w:color w:val="000000" w:themeColor="text1"/>
          <w:sz w:val="24"/>
          <w:szCs w:val="24"/>
        </w:rPr>
        <w:t>A N T E C E D E N T E S</w:t>
      </w:r>
    </w:p>
    <w:p w:rsidR="00CC7C8C" w:rsidRPr="00586164" w:rsidRDefault="00CC7C8C" w:rsidP="00236468">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u w:val="single"/>
        </w:rPr>
      </w:pPr>
    </w:p>
    <w:p w:rsidR="00CC7C8C" w:rsidRPr="00586164" w:rsidRDefault="00D27932" w:rsidP="00236468">
      <w:pPr>
        <w:numPr>
          <w:ilvl w:val="0"/>
          <w:numId w:val="5"/>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El </w:t>
      </w:r>
      <w:r w:rsidR="00AF2514" w:rsidRPr="00586164">
        <w:rPr>
          <w:rFonts w:ascii="Palatino Linotype" w:eastAsia="Palatino Linotype" w:hAnsi="Palatino Linotype" w:cs="Palatino Linotype"/>
          <w:b/>
          <w:color w:val="000000" w:themeColor="text1"/>
        </w:rPr>
        <w:t>veintiocho</w:t>
      </w:r>
      <w:r w:rsidRPr="00586164">
        <w:rPr>
          <w:rFonts w:ascii="Palatino Linotype" w:eastAsia="Palatino Linotype" w:hAnsi="Palatino Linotype" w:cs="Palatino Linotype"/>
          <w:b/>
          <w:color w:val="000000" w:themeColor="text1"/>
        </w:rPr>
        <w:t xml:space="preserve"> de febrero de dos mil veinticinco</w:t>
      </w:r>
      <w:r w:rsidRPr="00586164">
        <w:rPr>
          <w:rFonts w:ascii="Palatino Linotype" w:eastAsia="Palatino Linotype" w:hAnsi="Palatino Linotype" w:cs="Palatino Linotype"/>
          <w:color w:val="000000" w:themeColor="text1"/>
        </w:rPr>
        <w:t>,</w:t>
      </w:r>
      <w:r w:rsidRPr="00586164">
        <w:rPr>
          <w:rFonts w:ascii="Palatino Linotype" w:eastAsia="Palatino Linotype" w:hAnsi="Palatino Linotype" w:cs="Palatino Linotype"/>
          <w:b/>
          <w:color w:val="000000" w:themeColor="text1"/>
        </w:rPr>
        <w:t xml:space="preserve"> </w:t>
      </w:r>
      <w:r w:rsidRPr="00586164">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586164">
        <w:rPr>
          <w:rFonts w:ascii="Palatino Linotype" w:eastAsia="Palatino Linotype" w:hAnsi="Palatino Linotype" w:cs="Palatino Linotype"/>
          <w:b/>
          <w:color w:val="000000" w:themeColor="text1"/>
        </w:rPr>
        <w:t>solicitud de información pública</w:t>
      </w:r>
      <w:r w:rsidRPr="00586164">
        <w:rPr>
          <w:rFonts w:ascii="Palatino Linotype" w:eastAsia="Palatino Linotype" w:hAnsi="Palatino Linotype" w:cs="Palatino Linotype"/>
          <w:color w:val="000000" w:themeColor="text1"/>
        </w:rPr>
        <w:t>:</w:t>
      </w:r>
    </w:p>
    <w:p w:rsidR="00CC7C8C" w:rsidRPr="00586164" w:rsidRDefault="00CC7C8C" w:rsidP="00236468">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CC7C8C" w:rsidRPr="00586164" w:rsidRDefault="00D27932" w:rsidP="0023646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 “</w:t>
      </w:r>
      <w:r w:rsidR="00AF2514" w:rsidRPr="00586164">
        <w:rPr>
          <w:rFonts w:ascii="Palatino Linotype" w:eastAsia="Palatino Linotype" w:hAnsi="Palatino Linotype" w:cs="Palatino Linotype"/>
          <w:i/>
          <w:color w:val="000000" w:themeColor="text1"/>
        </w:rPr>
        <w:t>SI YA FUERON LAS ELECCIÓN PARA AUTORIDADES AUXILIARES, SE SOLICITA EL MODELO DE LA BOLETA, UNA BOLETA DE CADA UNA DE LAS DELEGACIONES QUE INTEGRA TOLUCA, ELPRESUPUETO ASIGNADO PARA CADA PROCESO, EL NOMBRE DE REPRESENTANTES DEL MUNICIPIO POR MESA POR DELEGACION Y SUBDELEGACIÓN, LOS RESULTADOS DE CADA PLANILLA</w:t>
      </w:r>
      <w:r w:rsidRPr="00586164">
        <w:rPr>
          <w:rFonts w:ascii="Palatino Linotype" w:eastAsia="Palatino Linotype" w:hAnsi="Palatino Linotype" w:cs="Palatino Linotype"/>
          <w:i/>
          <w:color w:val="000000" w:themeColor="text1"/>
        </w:rPr>
        <w:t>” (Sic)</w:t>
      </w:r>
    </w:p>
    <w:p w:rsidR="00CC7C8C" w:rsidRPr="00586164" w:rsidRDefault="00CC7C8C" w:rsidP="00236468">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CC7C8C" w:rsidRPr="00586164" w:rsidRDefault="00D27932" w:rsidP="00236468">
      <w:pPr>
        <w:numPr>
          <w:ilvl w:val="0"/>
          <w:numId w:val="1"/>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Se eligió como modalidad de entrega de la información: A través del </w:t>
      </w:r>
      <w:r w:rsidRPr="00586164">
        <w:rPr>
          <w:rFonts w:ascii="Palatino Linotype" w:eastAsia="Palatino Linotype" w:hAnsi="Palatino Linotype" w:cs="Palatino Linotype"/>
          <w:b/>
          <w:color w:val="000000" w:themeColor="text1"/>
        </w:rPr>
        <w:t>SAIMEX.</w:t>
      </w:r>
    </w:p>
    <w:p w:rsidR="00CC7C8C" w:rsidRPr="00586164" w:rsidRDefault="00CC7C8C" w:rsidP="00236468">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rsidR="00CC7C8C" w:rsidRPr="00586164" w:rsidRDefault="00D27932" w:rsidP="00236468">
      <w:pPr>
        <w:numPr>
          <w:ilvl w:val="0"/>
          <w:numId w:val="5"/>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El</w:t>
      </w:r>
      <w:r w:rsidRPr="00586164">
        <w:rPr>
          <w:rFonts w:ascii="Palatino Linotype" w:eastAsia="Palatino Linotype" w:hAnsi="Palatino Linotype" w:cs="Palatino Linotype"/>
          <w:b/>
          <w:color w:val="000000" w:themeColor="text1"/>
        </w:rPr>
        <w:t xml:space="preserve"> </w:t>
      </w:r>
      <w:r w:rsidR="00AF2514" w:rsidRPr="00586164">
        <w:rPr>
          <w:rFonts w:ascii="Palatino Linotype" w:eastAsia="Palatino Linotype" w:hAnsi="Palatino Linotype" w:cs="Palatino Linotype"/>
          <w:b/>
          <w:color w:val="000000" w:themeColor="text1"/>
        </w:rPr>
        <w:t>veinticinco</w:t>
      </w:r>
      <w:r w:rsidRPr="00586164">
        <w:rPr>
          <w:rFonts w:ascii="Palatino Linotype" w:eastAsia="Palatino Linotype" w:hAnsi="Palatino Linotype" w:cs="Palatino Linotype"/>
          <w:b/>
          <w:color w:val="000000" w:themeColor="text1"/>
        </w:rPr>
        <w:t xml:space="preserve"> de marzo de dos mil veinticinco</w:t>
      </w:r>
      <w:r w:rsidRPr="00586164">
        <w:rPr>
          <w:rFonts w:ascii="Palatino Linotype" w:eastAsia="Palatino Linotype" w:hAnsi="Palatino Linotype" w:cs="Palatino Linotype"/>
          <w:color w:val="000000" w:themeColor="text1"/>
        </w:rPr>
        <w:t>, el Sujeto Obligado</w:t>
      </w:r>
      <w:r w:rsidRPr="00586164">
        <w:rPr>
          <w:rFonts w:ascii="Palatino Linotype" w:eastAsia="Palatino Linotype" w:hAnsi="Palatino Linotype" w:cs="Palatino Linotype"/>
          <w:b/>
          <w:color w:val="000000" w:themeColor="text1"/>
        </w:rPr>
        <w:t>,</w:t>
      </w:r>
      <w:r w:rsidRPr="00586164">
        <w:rPr>
          <w:rFonts w:ascii="Palatino Linotype" w:eastAsia="Palatino Linotype" w:hAnsi="Palatino Linotype" w:cs="Palatino Linotype"/>
          <w:color w:val="000000" w:themeColor="text1"/>
        </w:rPr>
        <w:t xml:space="preserve"> dio </w:t>
      </w:r>
      <w:r w:rsidRPr="00586164">
        <w:rPr>
          <w:rFonts w:ascii="Palatino Linotype" w:eastAsia="Palatino Linotype" w:hAnsi="Palatino Linotype" w:cs="Palatino Linotype"/>
          <w:b/>
          <w:color w:val="000000" w:themeColor="text1"/>
        </w:rPr>
        <w:t>respuesta</w:t>
      </w:r>
      <w:r w:rsidRPr="00586164">
        <w:rPr>
          <w:rFonts w:ascii="Palatino Linotype" w:eastAsia="Palatino Linotype" w:hAnsi="Palatino Linotype" w:cs="Palatino Linotype"/>
          <w:color w:val="000000" w:themeColor="text1"/>
        </w:rPr>
        <w:t xml:space="preserve"> a través del siguiente archivo electrónico</w:t>
      </w:r>
      <w:r w:rsidRPr="00586164">
        <w:rPr>
          <w:rFonts w:ascii="Palatino Linotype" w:eastAsia="Palatino Linotype" w:hAnsi="Palatino Linotype" w:cs="Palatino Linotype"/>
          <w:b/>
          <w:i/>
          <w:color w:val="000000" w:themeColor="text1"/>
        </w:rPr>
        <w:t>:</w:t>
      </w:r>
    </w:p>
    <w:p w:rsidR="00AF2514" w:rsidRPr="00586164" w:rsidRDefault="00AF2514" w:rsidP="00236468">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 xml:space="preserve">SA anexo SAIMEX 01240.pdf </w:t>
      </w:r>
    </w:p>
    <w:p w:rsidR="00CC7C8C" w:rsidRPr="00586164" w:rsidRDefault="00D27932" w:rsidP="00236468">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lastRenderedPageBreak/>
        <w:t xml:space="preserve">Oficio </w:t>
      </w:r>
      <w:r w:rsidR="005854CC" w:rsidRPr="00586164">
        <w:rPr>
          <w:rFonts w:ascii="Palatino Linotype" w:eastAsia="Palatino Linotype" w:hAnsi="Palatino Linotype" w:cs="Palatino Linotype"/>
          <w:color w:val="000000" w:themeColor="text1"/>
        </w:rPr>
        <w:t>SA/01098/2025 de fecha 25 de marzo de 2025, firmado por el Secretario del Ayuntamiento y Servidor Público Habilitado, manifestando lo siguiente:</w:t>
      </w:r>
    </w:p>
    <w:p w:rsidR="005854CC" w:rsidRPr="00586164" w:rsidRDefault="005854CC" w:rsidP="00236468">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5854CC" w:rsidRPr="00586164" w:rsidRDefault="005854CC" w:rsidP="00236468">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i/>
          <w:color w:val="000000" w:themeColor="text1"/>
        </w:rPr>
        <w:t xml:space="preserve">“se procedió a realizar la búsqueda exhaustiva y razonable en los archivos que obran en la Secretaría del Ayuntamiento, en este sentido y de acuerdo a las facultades, competencias y funciones, se hace del conocimiento que </w:t>
      </w:r>
      <w:r w:rsidRPr="00586164">
        <w:rPr>
          <w:rFonts w:ascii="Palatino Linotype" w:eastAsia="Palatino Linotype" w:hAnsi="Palatino Linotype" w:cs="Palatino Linotype"/>
          <w:b/>
          <w:i/>
          <w:color w:val="000000" w:themeColor="text1"/>
        </w:rPr>
        <w:t>no se localizó expresión documental</w:t>
      </w:r>
      <w:r w:rsidRPr="00586164">
        <w:rPr>
          <w:rFonts w:ascii="Palatino Linotype" w:eastAsia="Palatino Linotype" w:hAnsi="Palatino Linotype" w:cs="Palatino Linotype"/>
          <w:i/>
          <w:color w:val="000000" w:themeColor="text1"/>
        </w:rPr>
        <w:t xml:space="preserve"> que de atención a su pretensión, </w:t>
      </w:r>
      <w:r w:rsidRPr="00586164">
        <w:rPr>
          <w:rFonts w:ascii="Palatino Linotype" w:eastAsia="Palatino Linotype" w:hAnsi="Palatino Linotype" w:cs="Palatino Linotype"/>
          <w:b/>
          <w:i/>
          <w:color w:val="000000" w:themeColor="text1"/>
        </w:rPr>
        <w:t>en razón de que a la fecha se encuentra en proceso la renovación de Autoridades Auxiliares</w:t>
      </w:r>
      <w:r w:rsidRPr="00586164">
        <w:rPr>
          <w:rFonts w:ascii="Palatino Linotype" w:eastAsia="Palatino Linotype" w:hAnsi="Palatino Linotype" w:cs="Palatino Linotype"/>
          <w:i/>
          <w:color w:val="000000" w:themeColor="text1"/>
        </w:rPr>
        <w:t xml:space="preserve"> del Municipio de Toluca, Estado de México.” (Sic)</w:t>
      </w:r>
    </w:p>
    <w:p w:rsidR="00CC7C8C" w:rsidRPr="00586164" w:rsidRDefault="00CC7C8C" w:rsidP="00236468">
      <w:pPr>
        <w:pBdr>
          <w:top w:val="nil"/>
          <w:left w:val="nil"/>
          <w:bottom w:val="nil"/>
          <w:right w:val="nil"/>
          <w:between w:val="nil"/>
        </w:pBdr>
        <w:ind w:right="-7"/>
        <w:jc w:val="both"/>
        <w:rPr>
          <w:rFonts w:ascii="Palatino Linotype" w:eastAsia="Palatino Linotype" w:hAnsi="Palatino Linotype" w:cs="Palatino Linotype"/>
          <w:b/>
          <w:color w:val="000000" w:themeColor="text1"/>
        </w:rPr>
      </w:pPr>
    </w:p>
    <w:p w:rsidR="00CC7C8C" w:rsidRPr="00586164" w:rsidRDefault="00CC7C8C" w:rsidP="00236468">
      <w:pPr>
        <w:pBdr>
          <w:top w:val="nil"/>
          <w:left w:val="nil"/>
          <w:bottom w:val="nil"/>
          <w:right w:val="nil"/>
          <w:between w:val="nil"/>
        </w:pBdr>
        <w:tabs>
          <w:tab w:val="left" w:pos="567"/>
        </w:tabs>
        <w:ind w:right="-7"/>
        <w:jc w:val="both"/>
        <w:rPr>
          <w:rFonts w:ascii="Palatino Linotype" w:eastAsia="Palatino Linotype" w:hAnsi="Palatino Linotype" w:cs="Palatino Linotype"/>
          <w:b/>
          <w:color w:val="000000" w:themeColor="text1"/>
        </w:rPr>
      </w:pPr>
    </w:p>
    <w:p w:rsidR="00CC7C8C" w:rsidRPr="00586164" w:rsidRDefault="00D27932" w:rsidP="00236468">
      <w:pPr>
        <w:numPr>
          <w:ilvl w:val="0"/>
          <w:numId w:val="5"/>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El</w:t>
      </w:r>
      <w:r w:rsidRPr="00586164">
        <w:rPr>
          <w:rFonts w:ascii="Palatino Linotype" w:eastAsia="Palatino Linotype" w:hAnsi="Palatino Linotype" w:cs="Palatino Linotype"/>
          <w:b/>
          <w:color w:val="000000" w:themeColor="text1"/>
        </w:rPr>
        <w:t xml:space="preserve"> </w:t>
      </w:r>
      <w:r w:rsidR="00827FA6" w:rsidRPr="00586164">
        <w:rPr>
          <w:rFonts w:ascii="Palatino Linotype" w:eastAsia="Palatino Linotype" w:hAnsi="Palatino Linotype" w:cs="Palatino Linotype"/>
          <w:b/>
          <w:color w:val="000000" w:themeColor="text1"/>
        </w:rPr>
        <w:t>ocho de abril</w:t>
      </w:r>
      <w:r w:rsidRPr="00586164">
        <w:rPr>
          <w:rFonts w:ascii="Palatino Linotype" w:eastAsia="Palatino Linotype" w:hAnsi="Palatino Linotype" w:cs="Palatino Linotype"/>
          <w:b/>
          <w:color w:val="000000" w:themeColor="text1"/>
        </w:rPr>
        <w:t xml:space="preserve"> de dos mil veinticinco</w:t>
      </w:r>
      <w:r w:rsidRPr="00586164">
        <w:rPr>
          <w:rFonts w:ascii="Palatino Linotype" w:eastAsia="Palatino Linotype" w:hAnsi="Palatino Linotype" w:cs="Palatino Linotype"/>
          <w:color w:val="000000" w:themeColor="text1"/>
        </w:rPr>
        <w:t xml:space="preserve">, el particular interpuso el </w:t>
      </w:r>
      <w:r w:rsidRPr="00586164">
        <w:rPr>
          <w:rFonts w:ascii="Palatino Linotype" w:eastAsia="Palatino Linotype" w:hAnsi="Palatino Linotype" w:cs="Palatino Linotype"/>
          <w:b/>
          <w:color w:val="000000" w:themeColor="text1"/>
        </w:rPr>
        <w:t>recurso de revisión</w:t>
      </w:r>
      <w:r w:rsidRPr="00586164">
        <w:rPr>
          <w:rFonts w:ascii="Palatino Linotype" w:eastAsia="Palatino Linotype" w:hAnsi="Palatino Linotype" w:cs="Palatino Linotype"/>
          <w:color w:val="000000" w:themeColor="text1"/>
        </w:rPr>
        <w:t xml:space="preserve"> al que se le asignó el folio </w:t>
      </w:r>
      <w:r w:rsidR="00827FA6" w:rsidRPr="00586164">
        <w:rPr>
          <w:rFonts w:ascii="Palatino Linotype" w:eastAsia="Palatino Linotype" w:hAnsi="Palatino Linotype" w:cs="Palatino Linotype"/>
          <w:b/>
          <w:color w:val="000000" w:themeColor="text1"/>
        </w:rPr>
        <w:t>04183</w:t>
      </w:r>
      <w:r w:rsidRPr="00586164">
        <w:rPr>
          <w:rFonts w:ascii="Palatino Linotype" w:eastAsia="Palatino Linotype" w:hAnsi="Palatino Linotype" w:cs="Palatino Linotype"/>
          <w:b/>
          <w:color w:val="000000" w:themeColor="text1"/>
        </w:rPr>
        <w:t xml:space="preserve">/INFOEM/IP/RR/2025 </w:t>
      </w:r>
      <w:r w:rsidRPr="00586164">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CC7C8C" w:rsidRPr="00586164" w:rsidRDefault="00CC7C8C" w:rsidP="00236468">
      <w:pPr>
        <w:pBdr>
          <w:top w:val="nil"/>
          <w:left w:val="nil"/>
          <w:bottom w:val="nil"/>
          <w:right w:val="nil"/>
          <w:between w:val="nil"/>
        </w:pBdr>
        <w:tabs>
          <w:tab w:val="left" w:pos="0"/>
        </w:tabs>
        <w:ind w:right="-7"/>
        <w:jc w:val="both"/>
        <w:rPr>
          <w:rFonts w:ascii="Palatino Linotype" w:eastAsia="Palatino Linotype" w:hAnsi="Palatino Linotype" w:cs="Palatino Linotype"/>
          <w:color w:val="000000" w:themeColor="text1"/>
        </w:rPr>
      </w:pPr>
    </w:p>
    <w:p w:rsidR="00CC7C8C" w:rsidRPr="00C72430" w:rsidRDefault="00D27932" w:rsidP="00C72430">
      <w:pPr>
        <w:pStyle w:val="Prrafodelista"/>
        <w:numPr>
          <w:ilvl w:val="0"/>
          <w:numId w:val="16"/>
        </w:numPr>
        <w:pBdr>
          <w:top w:val="nil"/>
          <w:left w:val="nil"/>
          <w:bottom w:val="nil"/>
          <w:right w:val="nil"/>
          <w:between w:val="nil"/>
        </w:pBdr>
        <w:ind w:right="-7"/>
        <w:jc w:val="both"/>
        <w:rPr>
          <w:rFonts w:ascii="Palatino Linotype" w:eastAsia="Palatino Linotype" w:hAnsi="Palatino Linotype" w:cs="Palatino Linotype"/>
          <w:i/>
          <w:color w:val="000000" w:themeColor="text1"/>
        </w:rPr>
      </w:pPr>
      <w:bookmarkStart w:id="2" w:name="_heading=h.30j0zll" w:colFirst="0" w:colLast="0"/>
      <w:bookmarkEnd w:id="2"/>
      <w:r w:rsidRPr="00C72430">
        <w:rPr>
          <w:rFonts w:ascii="Palatino Linotype" w:eastAsia="Palatino Linotype" w:hAnsi="Palatino Linotype" w:cs="Palatino Linotype"/>
          <w:b/>
          <w:color w:val="000000" w:themeColor="text1"/>
        </w:rPr>
        <w:t xml:space="preserve">Acto impugnado: </w:t>
      </w:r>
      <w:r w:rsidRPr="00C72430">
        <w:rPr>
          <w:rFonts w:ascii="Palatino Linotype" w:eastAsia="Palatino Linotype" w:hAnsi="Palatino Linotype" w:cs="Palatino Linotype"/>
          <w:i/>
          <w:color w:val="000000" w:themeColor="text1"/>
        </w:rPr>
        <w:t>“</w:t>
      </w:r>
      <w:r w:rsidR="00827FA6" w:rsidRPr="00C72430">
        <w:rPr>
          <w:rFonts w:ascii="Palatino Linotype" w:eastAsia="Palatino Linotype" w:hAnsi="Palatino Linotype" w:cs="Palatino Linotype"/>
          <w:i/>
          <w:color w:val="000000" w:themeColor="text1"/>
        </w:rPr>
        <w:t>Faltan atender puntos de la solicitud</w:t>
      </w:r>
      <w:r w:rsidRPr="00C72430">
        <w:rPr>
          <w:rFonts w:ascii="Palatino Linotype" w:eastAsia="Palatino Linotype" w:hAnsi="Palatino Linotype" w:cs="Palatino Linotype"/>
          <w:i/>
          <w:color w:val="000000" w:themeColor="text1"/>
        </w:rPr>
        <w:t>” (Sic)</w:t>
      </w:r>
    </w:p>
    <w:p w:rsidR="00CC7C8C" w:rsidRPr="00586164" w:rsidRDefault="00CC7C8C" w:rsidP="00236468">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CC7C8C" w:rsidRPr="00C72430" w:rsidRDefault="00D27932" w:rsidP="00C72430">
      <w:pPr>
        <w:pStyle w:val="Prrafodelista"/>
        <w:numPr>
          <w:ilvl w:val="0"/>
          <w:numId w:val="16"/>
        </w:numPr>
        <w:pBdr>
          <w:top w:val="nil"/>
          <w:left w:val="nil"/>
          <w:bottom w:val="nil"/>
          <w:right w:val="nil"/>
          <w:between w:val="nil"/>
        </w:pBdr>
        <w:ind w:right="-7"/>
        <w:jc w:val="both"/>
        <w:rPr>
          <w:rFonts w:ascii="Palatino Linotype" w:eastAsia="Palatino Linotype" w:hAnsi="Palatino Linotype" w:cs="Palatino Linotype"/>
          <w:i/>
          <w:color w:val="000000" w:themeColor="text1"/>
        </w:rPr>
      </w:pPr>
      <w:bookmarkStart w:id="3" w:name="_heading=h.1fob9te" w:colFirst="0" w:colLast="0"/>
      <w:bookmarkEnd w:id="3"/>
      <w:r w:rsidRPr="00C72430">
        <w:rPr>
          <w:rFonts w:ascii="Palatino Linotype" w:eastAsia="Palatino Linotype" w:hAnsi="Palatino Linotype" w:cs="Palatino Linotype"/>
          <w:b/>
          <w:color w:val="000000" w:themeColor="text1"/>
        </w:rPr>
        <w:t xml:space="preserve">Razones o Motivos de inconformidad: </w:t>
      </w:r>
      <w:r w:rsidRPr="00C72430">
        <w:rPr>
          <w:rFonts w:ascii="Palatino Linotype" w:eastAsia="Palatino Linotype" w:hAnsi="Palatino Linotype" w:cs="Palatino Linotype"/>
          <w:i/>
          <w:color w:val="000000" w:themeColor="text1"/>
        </w:rPr>
        <w:t>“</w:t>
      </w:r>
      <w:r w:rsidR="00827FA6" w:rsidRPr="00C72430">
        <w:rPr>
          <w:rFonts w:ascii="Palatino Linotype" w:eastAsia="Palatino Linotype" w:hAnsi="Palatino Linotype" w:cs="Palatino Linotype"/>
          <w:i/>
          <w:color w:val="000000" w:themeColor="text1"/>
        </w:rPr>
        <w:t>No atiende toda la solicitud</w:t>
      </w:r>
      <w:r w:rsidRPr="00C72430">
        <w:rPr>
          <w:rFonts w:ascii="Palatino Linotype" w:eastAsia="Palatino Linotype" w:hAnsi="Palatino Linotype" w:cs="Palatino Linotype"/>
          <w:i/>
          <w:color w:val="000000" w:themeColor="text1"/>
        </w:rPr>
        <w:t xml:space="preserve">” </w:t>
      </w:r>
      <w:r w:rsidRPr="00C72430">
        <w:rPr>
          <w:rFonts w:ascii="Palatino Linotype" w:eastAsia="Palatino Linotype" w:hAnsi="Palatino Linotype" w:cs="Palatino Linotype"/>
          <w:color w:val="000000" w:themeColor="text1"/>
        </w:rPr>
        <w:t>(Sic)</w:t>
      </w:r>
    </w:p>
    <w:p w:rsidR="00CC7C8C" w:rsidRPr="00586164" w:rsidRDefault="00CC7C8C" w:rsidP="00236468">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i/>
          <w:color w:val="000000" w:themeColor="text1"/>
          <w:u w:val="single"/>
        </w:rPr>
      </w:pPr>
    </w:p>
    <w:p w:rsidR="00CC7C8C" w:rsidRPr="00586164" w:rsidRDefault="00D27932" w:rsidP="00236468">
      <w:pPr>
        <w:numPr>
          <w:ilvl w:val="0"/>
          <w:numId w:val="5"/>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586164">
        <w:rPr>
          <w:rFonts w:ascii="Palatino Linotype" w:eastAsia="Palatino Linotype" w:hAnsi="Palatino Linotype" w:cs="Palatino Linotype"/>
          <w:b/>
          <w:color w:val="000000" w:themeColor="text1"/>
        </w:rPr>
        <w:t xml:space="preserve">acuerdo de admisión </w:t>
      </w:r>
      <w:r w:rsidRPr="00586164">
        <w:rPr>
          <w:rFonts w:ascii="Palatino Linotype" w:eastAsia="Palatino Linotype" w:hAnsi="Palatino Linotype" w:cs="Palatino Linotype"/>
          <w:color w:val="000000" w:themeColor="text1"/>
        </w:rPr>
        <w:t xml:space="preserve">de fecha </w:t>
      </w:r>
      <w:r w:rsidR="00827FA6" w:rsidRPr="00586164">
        <w:rPr>
          <w:rFonts w:ascii="Palatino Linotype" w:eastAsia="Palatino Linotype" w:hAnsi="Palatino Linotype" w:cs="Palatino Linotype"/>
          <w:b/>
          <w:color w:val="000000" w:themeColor="text1"/>
        </w:rPr>
        <w:t>once de abril</w:t>
      </w:r>
      <w:r w:rsidRPr="00586164">
        <w:rPr>
          <w:rFonts w:ascii="Palatino Linotype" w:eastAsia="Palatino Linotype" w:hAnsi="Palatino Linotype" w:cs="Palatino Linotype"/>
          <w:b/>
          <w:color w:val="000000" w:themeColor="text1"/>
        </w:rPr>
        <w:t xml:space="preserve"> dos mil veinticinco, </w:t>
      </w:r>
      <w:r w:rsidRPr="00586164">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586164">
        <w:rPr>
          <w:rFonts w:ascii="Palatino Linotype" w:eastAsia="Palatino Linotype" w:hAnsi="Palatino Linotype" w:cs="Palatino Linotype"/>
          <w:b/>
          <w:color w:val="000000" w:themeColor="text1"/>
        </w:rPr>
        <w:t xml:space="preserve">SUJETO OBLIGADO </w:t>
      </w:r>
      <w:r w:rsidRPr="00586164">
        <w:rPr>
          <w:rFonts w:ascii="Palatino Linotype" w:eastAsia="Palatino Linotype" w:hAnsi="Palatino Linotype" w:cs="Palatino Linotype"/>
          <w:color w:val="000000" w:themeColor="text1"/>
        </w:rPr>
        <w:t>presentara el Informe Justificado procedente.</w:t>
      </w:r>
    </w:p>
    <w:p w:rsidR="00CC7C8C" w:rsidRPr="00586164" w:rsidRDefault="00CC7C8C" w:rsidP="00236468">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rsidR="00CC7C8C" w:rsidRPr="00586164" w:rsidRDefault="00D27932" w:rsidP="00236468">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El Recurrente</w:t>
      </w:r>
      <w:r w:rsidRPr="00586164">
        <w:rPr>
          <w:rFonts w:ascii="Palatino Linotype" w:eastAsia="Palatino Linotype" w:hAnsi="Palatino Linotype" w:cs="Palatino Linotype"/>
          <w:b/>
          <w:color w:val="000000" w:themeColor="text1"/>
        </w:rPr>
        <w:t xml:space="preserve"> </w:t>
      </w:r>
      <w:r w:rsidRPr="00586164">
        <w:rPr>
          <w:rFonts w:ascii="Palatino Linotype" w:eastAsia="Palatino Linotype" w:hAnsi="Palatino Linotype" w:cs="Palatino Linotype"/>
          <w:color w:val="000000" w:themeColor="text1"/>
        </w:rPr>
        <w:t>dejó de realizar manifestaciones que a su derecho conviniera y asistiera. Por su parte, el Sujeto Obligado,</w:t>
      </w:r>
      <w:r w:rsidRPr="00586164">
        <w:rPr>
          <w:rFonts w:ascii="Palatino Linotype" w:eastAsia="Palatino Linotype" w:hAnsi="Palatino Linotype" w:cs="Palatino Linotype"/>
          <w:b/>
          <w:color w:val="000000" w:themeColor="text1"/>
        </w:rPr>
        <w:t xml:space="preserve"> </w:t>
      </w:r>
      <w:r w:rsidRPr="00586164">
        <w:rPr>
          <w:rFonts w:ascii="Palatino Linotype" w:eastAsia="Palatino Linotype" w:hAnsi="Palatino Linotype" w:cs="Palatino Linotype"/>
          <w:color w:val="000000" w:themeColor="text1"/>
        </w:rPr>
        <w:t>el</w:t>
      </w:r>
      <w:r w:rsidRPr="00586164">
        <w:rPr>
          <w:rFonts w:ascii="Palatino Linotype" w:eastAsia="Palatino Linotype" w:hAnsi="Palatino Linotype" w:cs="Palatino Linotype"/>
          <w:b/>
          <w:color w:val="000000" w:themeColor="text1"/>
        </w:rPr>
        <w:t xml:space="preserve"> </w:t>
      </w:r>
      <w:r w:rsidR="00827FA6" w:rsidRPr="00586164">
        <w:rPr>
          <w:rFonts w:ascii="Palatino Linotype" w:eastAsia="Palatino Linotype" w:hAnsi="Palatino Linotype" w:cs="Palatino Linotype"/>
          <w:b/>
          <w:color w:val="000000" w:themeColor="text1"/>
        </w:rPr>
        <w:t>veintinueve</w:t>
      </w:r>
      <w:r w:rsidRPr="00586164">
        <w:rPr>
          <w:rFonts w:ascii="Palatino Linotype" w:eastAsia="Palatino Linotype" w:hAnsi="Palatino Linotype" w:cs="Palatino Linotype"/>
          <w:b/>
          <w:color w:val="000000" w:themeColor="text1"/>
        </w:rPr>
        <w:t xml:space="preserve"> de abril de dos mil veinticinco </w:t>
      </w:r>
      <w:r w:rsidRPr="00586164">
        <w:rPr>
          <w:rFonts w:ascii="Palatino Linotype" w:eastAsia="Palatino Linotype" w:hAnsi="Palatino Linotype" w:cs="Palatino Linotype"/>
          <w:color w:val="000000" w:themeColor="text1"/>
        </w:rPr>
        <w:t xml:space="preserve">presentó informe justificado a través del archivo digital siguiente: </w:t>
      </w:r>
    </w:p>
    <w:p w:rsidR="00CC7C8C" w:rsidRPr="00586164" w:rsidRDefault="00D27932" w:rsidP="00236468">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lastRenderedPageBreak/>
        <w:tab/>
      </w:r>
      <w:r w:rsidR="00827FA6" w:rsidRPr="00586164">
        <w:rPr>
          <w:rFonts w:ascii="Palatino Linotype" w:eastAsia="Palatino Linotype" w:hAnsi="Palatino Linotype" w:cs="Palatino Linotype"/>
          <w:b/>
          <w:i/>
          <w:color w:val="000000" w:themeColor="text1"/>
        </w:rPr>
        <w:t>Ratificación 04183.pdf</w:t>
      </w:r>
    </w:p>
    <w:p w:rsidR="00CC7C8C" w:rsidRPr="00586164" w:rsidRDefault="00D27932" w:rsidP="00236468">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Escrito de fecha </w:t>
      </w:r>
      <w:r w:rsidR="00827FA6" w:rsidRPr="00586164">
        <w:rPr>
          <w:rFonts w:ascii="Palatino Linotype" w:eastAsia="Palatino Linotype" w:hAnsi="Palatino Linotype" w:cs="Palatino Linotype"/>
          <w:color w:val="000000" w:themeColor="text1"/>
        </w:rPr>
        <w:t>29</w:t>
      </w:r>
      <w:r w:rsidRPr="00586164">
        <w:rPr>
          <w:rFonts w:ascii="Palatino Linotype" w:eastAsia="Palatino Linotype" w:hAnsi="Palatino Linotype" w:cs="Palatino Linotype"/>
          <w:color w:val="000000" w:themeColor="text1"/>
        </w:rPr>
        <w:t xml:space="preserve"> de abril de 2025, </w:t>
      </w:r>
      <w:r w:rsidR="00827FA6" w:rsidRPr="00586164">
        <w:rPr>
          <w:rFonts w:ascii="Palatino Linotype" w:eastAsia="Palatino Linotype" w:hAnsi="Palatino Linotype" w:cs="Palatino Linotype"/>
          <w:color w:val="000000" w:themeColor="text1"/>
        </w:rPr>
        <w:t>suscrito</w:t>
      </w:r>
      <w:r w:rsidRPr="00586164">
        <w:rPr>
          <w:rFonts w:ascii="Palatino Linotype" w:eastAsia="Palatino Linotype" w:hAnsi="Palatino Linotype" w:cs="Palatino Linotype"/>
          <w:color w:val="000000" w:themeColor="text1"/>
        </w:rPr>
        <w:t xml:space="preserve"> por el Titular de la Unidad de Transparencia en el qu</w:t>
      </w:r>
      <w:r w:rsidR="00827FA6" w:rsidRPr="00586164">
        <w:rPr>
          <w:rFonts w:ascii="Palatino Linotype" w:eastAsia="Palatino Linotype" w:hAnsi="Palatino Linotype" w:cs="Palatino Linotype"/>
          <w:color w:val="000000" w:themeColor="text1"/>
        </w:rPr>
        <w:t>e ratifica la respuesta inicial, emitida por la SECRETARIA DEL AYUNTAMIENTO y Servidor Público Habilitado.</w:t>
      </w:r>
    </w:p>
    <w:p w:rsidR="00CC7C8C" w:rsidRPr="00586164" w:rsidRDefault="00CC7C8C" w:rsidP="00236468">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rsidR="00CC7C8C" w:rsidRPr="00586164" w:rsidRDefault="00D27932" w:rsidP="00236468">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bookmarkStart w:id="4" w:name="_heading=h.3znysh7" w:colFirst="0" w:colLast="0"/>
      <w:bookmarkEnd w:id="4"/>
      <w:r w:rsidRPr="00586164">
        <w:rPr>
          <w:rFonts w:ascii="Palatino Linotype" w:eastAsia="Palatino Linotype" w:hAnsi="Palatino Linotype" w:cs="Palatino Linotype"/>
          <w:color w:val="000000" w:themeColor="text1"/>
        </w:rPr>
        <w:t>En fecha</w:t>
      </w:r>
      <w:r w:rsidRPr="00586164">
        <w:rPr>
          <w:rFonts w:ascii="Palatino Linotype" w:eastAsia="Palatino Linotype" w:hAnsi="Palatino Linotype" w:cs="Palatino Linotype"/>
          <w:b/>
          <w:color w:val="000000" w:themeColor="text1"/>
        </w:rPr>
        <w:t xml:space="preserve"> </w:t>
      </w:r>
      <w:r w:rsidR="00F054B2" w:rsidRPr="00586164">
        <w:rPr>
          <w:rFonts w:ascii="Palatino Linotype" w:eastAsia="Palatino Linotype" w:hAnsi="Palatino Linotype" w:cs="Palatino Linotype"/>
          <w:b/>
          <w:color w:val="000000" w:themeColor="text1"/>
        </w:rPr>
        <w:t>dos de junio</w:t>
      </w:r>
      <w:r w:rsidRPr="00586164">
        <w:rPr>
          <w:rFonts w:ascii="Palatino Linotype" w:eastAsia="Palatino Linotype" w:hAnsi="Palatino Linotype" w:cs="Palatino Linotype"/>
          <w:b/>
          <w:color w:val="000000" w:themeColor="text1"/>
        </w:rPr>
        <w:t xml:space="preserve"> de dos mil veinticinco</w:t>
      </w:r>
      <w:r w:rsidRPr="00586164">
        <w:rPr>
          <w:rFonts w:ascii="Palatino Linotype" w:eastAsia="Palatino Linotype" w:hAnsi="Palatino Linotype" w:cs="Palatino Linotype"/>
          <w:color w:val="000000" w:themeColor="text1"/>
        </w:rPr>
        <w:t>, se acordó ampliar el plazo para resolver el presente Recurso de Revisión.</w:t>
      </w:r>
    </w:p>
    <w:p w:rsidR="00CC7C8C" w:rsidRPr="00586164" w:rsidRDefault="00CC7C8C" w:rsidP="00236468">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CC7C8C" w:rsidRPr="00586164" w:rsidRDefault="00D27932" w:rsidP="00236468">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color w:val="000000" w:themeColor="text1"/>
        </w:rPr>
        <w:t xml:space="preserve">Seguidamente, en fecha </w:t>
      </w:r>
      <w:r w:rsidR="00F054B2" w:rsidRPr="00586164">
        <w:rPr>
          <w:rFonts w:ascii="Palatino Linotype" w:eastAsia="Palatino Linotype" w:hAnsi="Palatino Linotype" w:cs="Palatino Linotype"/>
          <w:b/>
          <w:color w:val="000000" w:themeColor="text1"/>
        </w:rPr>
        <w:t>dos de septiembre</w:t>
      </w:r>
      <w:r w:rsidRPr="00586164">
        <w:rPr>
          <w:rFonts w:ascii="Palatino Linotype" w:eastAsia="Palatino Linotype" w:hAnsi="Palatino Linotype" w:cs="Palatino Linotype"/>
          <w:b/>
          <w:color w:val="000000" w:themeColor="text1"/>
        </w:rPr>
        <w:t xml:space="preserve"> de dos mil veinticinco</w:t>
      </w:r>
      <w:r w:rsidRPr="00586164">
        <w:rPr>
          <w:rFonts w:ascii="Palatino Linotype" w:eastAsia="Palatino Linotype" w:hAnsi="Palatino Linotype" w:cs="Palatino Linotype"/>
          <w:color w:val="000000" w:themeColor="text1"/>
        </w:rPr>
        <w:t xml:space="preserve">, la Comisionada Ponente dictó el </w:t>
      </w:r>
      <w:r w:rsidRPr="00586164">
        <w:rPr>
          <w:rFonts w:ascii="Palatino Linotype" w:eastAsia="Palatino Linotype" w:hAnsi="Palatino Linotype" w:cs="Palatino Linotype"/>
          <w:b/>
          <w:color w:val="000000" w:themeColor="text1"/>
        </w:rPr>
        <w:t>cierre del periodo de instrucción</w:t>
      </w:r>
      <w:r w:rsidRPr="00586164">
        <w:rPr>
          <w:rFonts w:ascii="Palatino Linotype" w:eastAsia="Palatino Linotype" w:hAnsi="Palatino Linotype" w:cs="Palatino Linotype"/>
          <w:color w:val="000000" w:themeColor="text1"/>
        </w:rPr>
        <w:t xml:space="preserve"> y, ordenó la resolución que conforme a Derecho proceda:</w:t>
      </w:r>
    </w:p>
    <w:p w:rsidR="00CC7C8C" w:rsidRPr="00586164" w:rsidRDefault="00CC7C8C" w:rsidP="00236468">
      <w:pPr>
        <w:pBdr>
          <w:top w:val="nil"/>
          <w:left w:val="nil"/>
          <w:bottom w:val="nil"/>
          <w:right w:val="nil"/>
          <w:between w:val="nil"/>
        </w:pBdr>
        <w:ind w:right="-7"/>
        <w:rPr>
          <w:rFonts w:ascii="Palatino Linotype" w:eastAsia="Palatino Linotype" w:hAnsi="Palatino Linotype" w:cs="Palatino Linotype"/>
          <w:b/>
          <w:color w:val="000000" w:themeColor="text1"/>
        </w:rPr>
      </w:pPr>
    </w:p>
    <w:p w:rsidR="00CC7C8C" w:rsidRPr="00586164" w:rsidRDefault="00D27932" w:rsidP="00236468">
      <w:pPr>
        <w:keepNext/>
        <w:keepLines/>
        <w:spacing w:line="360" w:lineRule="auto"/>
        <w:ind w:right="-7"/>
        <w:jc w:val="center"/>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color w:val="000000" w:themeColor="text1"/>
        </w:rPr>
        <w:t xml:space="preserve">C O N S I D E R A N D O </w:t>
      </w:r>
    </w:p>
    <w:p w:rsidR="00CC7C8C" w:rsidRPr="00586164" w:rsidRDefault="00CC7C8C" w:rsidP="00236468">
      <w:pPr>
        <w:spacing w:line="360" w:lineRule="auto"/>
        <w:ind w:right="-7"/>
        <w:rPr>
          <w:rFonts w:ascii="Palatino Linotype" w:eastAsia="Palatino Linotype" w:hAnsi="Palatino Linotype" w:cs="Palatino Linotype"/>
          <w:color w:val="000000" w:themeColor="text1"/>
        </w:rPr>
      </w:pPr>
    </w:p>
    <w:p w:rsidR="00CC7C8C" w:rsidRPr="00586164" w:rsidRDefault="00D27932" w:rsidP="00236468">
      <w:pPr>
        <w:keepNext/>
        <w:keepLines/>
        <w:spacing w:line="360" w:lineRule="auto"/>
        <w:ind w:right="-7"/>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color w:val="000000" w:themeColor="text1"/>
        </w:rPr>
        <w:t>PRIMERO. De la competencia</w:t>
      </w:r>
    </w:p>
    <w:p w:rsidR="00CC7C8C" w:rsidRPr="00586164" w:rsidRDefault="00D27932" w:rsidP="00236468">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séptimo, trigésimo octavo y trigésimo noveno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CC7C8C" w:rsidRPr="00586164" w:rsidRDefault="00CC7C8C" w:rsidP="00236468">
      <w:pPr>
        <w:tabs>
          <w:tab w:val="left" w:pos="426"/>
        </w:tabs>
        <w:spacing w:line="360" w:lineRule="auto"/>
        <w:ind w:right="-7"/>
        <w:jc w:val="both"/>
        <w:rPr>
          <w:rFonts w:ascii="Palatino Linotype" w:eastAsia="Palatino Linotype" w:hAnsi="Palatino Linotype" w:cs="Palatino Linotype"/>
          <w:color w:val="000000" w:themeColor="text1"/>
        </w:rPr>
      </w:pPr>
    </w:p>
    <w:p w:rsidR="00CC7C8C" w:rsidRPr="00586164" w:rsidRDefault="00D27932" w:rsidP="00236468">
      <w:pPr>
        <w:keepNext/>
        <w:keepLines/>
        <w:spacing w:line="360" w:lineRule="auto"/>
        <w:ind w:right="-7"/>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color w:val="000000" w:themeColor="text1"/>
        </w:rPr>
        <w:lastRenderedPageBreak/>
        <w:t>SEGUNDO. De la oportunidad y procedencia.</w:t>
      </w:r>
    </w:p>
    <w:p w:rsidR="00CC7C8C" w:rsidRPr="00586164" w:rsidRDefault="00D27932" w:rsidP="00236468">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El medio de impugnación fue presentado a través del </w:t>
      </w:r>
      <w:r w:rsidRPr="00586164">
        <w:rPr>
          <w:rFonts w:ascii="Palatino Linotype" w:eastAsia="Palatino Linotype" w:hAnsi="Palatino Linotype" w:cs="Palatino Linotype"/>
          <w:b/>
          <w:color w:val="000000" w:themeColor="text1"/>
        </w:rPr>
        <w:t>SAIMEX,</w:t>
      </w:r>
      <w:r w:rsidRPr="00586164">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586164">
        <w:rPr>
          <w:rFonts w:ascii="Palatino Linotype" w:eastAsia="Palatino Linotype" w:hAnsi="Palatino Linotype" w:cs="Palatino Linotype"/>
          <w:b/>
          <w:color w:val="000000" w:themeColor="text1"/>
        </w:rPr>
        <w:t>SUJETO OBLIGADO</w:t>
      </w:r>
      <w:r w:rsidRPr="00586164">
        <w:rPr>
          <w:rFonts w:ascii="Palatino Linotype" w:eastAsia="Palatino Linotype" w:hAnsi="Palatino Linotype" w:cs="Palatino Linotype"/>
          <w:color w:val="000000" w:themeColor="text1"/>
        </w:rPr>
        <w:t xml:space="preserve"> entregó respuesta el </w:t>
      </w:r>
      <w:r w:rsidR="00844D8C" w:rsidRPr="00586164">
        <w:rPr>
          <w:rFonts w:ascii="Palatino Linotype" w:eastAsia="Palatino Linotype" w:hAnsi="Palatino Linotype" w:cs="Palatino Linotype"/>
          <w:b/>
          <w:color w:val="000000" w:themeColor="text1"/>
        </w:rPr>
        <w:t>veinticinco</w:t>
      </w:r>
      <w:r w:rsidRPr="00586164">
        <w:rPr>
          <w:rFonts w:ascii="Palatino Linotype" w:eastAsia="Palatino Linotype" w:hAnsi="Palatino Linotype" w:cs="Palatino Linotype"/>
          <w:b/>
          <w:color w:val="000000" w:themeColor="text1"/>
        </w:rPr>
        <w:t xml:space="preserve"> de marzo de dos mil veinticinco</w:t>
      </w:r>
      <w:r w:rsidRPr="00586164">
        <w:rPr>
          <w:rFonts w:ascii="Palatino Linotype" w:eastAsia="Palatino Linotype" w:hAnsi="Palatino Linotype" w:cs="Palatino Linotype"/>
          <w:color w:val="000000" w:themeColor="text1"/>
        </w:rPr>
        <w:t xml:space="preserve">, de tal forma que el plazo para interponer el recurso transcurrió del </w:t>
      </w:r>
      <w:r w:rsidR="00844D8C" w:rsidRPr="00586164">
        <w:rPr>
          <w:rFonts w:ascii="Palatino Linotype" w:eastAsia="Palatino Linotype" w:hAnsi="Palatino Linotype" w:cs="Palatino Linotype"/>
          <w:b/>
          <w:color w:val="000000" w:themeColor="text1"/>
        </w:rPr>
        <w:t>veintiséis</w:t>
      </w:r>
      <w:r w:rsidRPr="00586164">
        <w:rPr>
          <w:rFonts w:ascii="Palatino Linotype" w:eastAsia="Palatino Linotype" w:hAnsi="Palatino Linotype" w:cs="Palatino Linotype"/>
          <w:b/>
          <w:color w:val="000000" w:themeColor="text1"/>
        </w:rPr>
        <w:t xml:space="preserve"> de marzo al </w:t>
      </w:r>
      <w:r w:rsidR="00BD5755" w:rsidRPr="00586164">
        <w:rPr>
          <w:rFonts w:ascii="Palatino Linotype" w:eastAsia="Palatino Linotype" w:hAnsi="Palatino Linotype" w:cs="Palatino Linotype"/>
          <w:b/>
          <w:color w:val="000000" w:themeColor="text1"/>
        </w:rPr>
        <w:t>veintidós</w:t>
      </w:r>
      <w:r w:rsidRPr="00586164">
        <w:rPr>
          <w:rFonts w:ascii="Palatino Linotype" w:eastAsia="Palatino Linotype" w:hAnsi="Palatino Linotype" w:cs="Palatino Linotype"/>
          <w:b/>
          <w:color w:val="000000" w:themeColor="text1"/>
        </w:rPr>
        <w:t xml:space="preserve"> de abril de dos mil veinticinco, </w:t>
      </w:r>
      <w:r w:rsidRPr="00586164">
        <w:rPr>
          <w:rFonts w:ascii="Palatino Linotype" w:eastAsia="Palatino Linotype" w:hAnsi="Palatino Linotype" w:cs="Palatino Linotype"/>
          <w:color w:val="000000" w:themeColor="text1"/>
        </w:rPr>
        <w:t xml:space="preserve">en consecuencia, si el </w:t>
      </w:r>
      <w:r w:rsidRPr="00586164">
        <w:rPr>
          <w:rFonts w:ascii="Palatino Linotype" w:eastAsia="Palatino Linotype" w:hAnsi="Palatino Linotype" w:cs="Palatino Linotype"/>
          <w:b/>
          <w:color w:val="000000" w:themeColor="text1"/>
        </w:rPr>
        <w:t>PARTICULAR</w:t>
      </w:r>
      <w:r w:rsidRPr="00586164">
        <w:rPr>
          <w:rFonts w:ascii="Palatino Linotype" w:eastAsia="Palatino Linotype" w:hAnsi="Palatino Linotype" w:cs="Palatino Linotype"/>
          <w:color w:val="000000" w:themeColor="text1"/>
        </w:rPr>
        <w:t xml:space="preserve"> presentó su inconformidad el </w:t>
      </w:r>
      <w:r w:rsidR="00BD5755" w:rsidRPr="00586164">
        <w:rPr>
          <w:rFonts w:ascii="Palatino Linotype" w:eastAsia="Palatino Linotype" w:hAnsi="Palatino Linotype" w:cs="Palatino Linotype"/>
          <w:b/>
          <w:color w:val="000000" w:themeColor="text1"/>
        </w:rPr>
        <w:t xml:space="preserve">ocho de abril </w:t>
      </w:r>
      <w:r w:rsidRPr="00586164">
        <w:rPr>
          <w:rFonts w:ascii="Palatino Linotype" w:eastAsia="Palatino Linotype" w:hAnsi="Palatino Linotype" w:cs="Palatino Linotype"/>
          <w:b/>
          <w:color w:val="000000" w:themeColor="text1"/>
        </w:rPr>
        <w:t>de dos mil veinticinco</w:t>
      </w:r>
      <w:r w:rsidRPr="00586164">
        <w:rPr>
          <w:rFonts w:ascii="Palatino Linotype" w:eastAsia="Palatino Linotype" w:hAnsi="Palatino Linotype" w:cs="Palatino Linotype"/>
          <w:color w:val="000000" w:themeColor="text1"/>
        </w:rPr>
        <w:t xml:space="preserve">, este  se encuentra dentro de los márgenes temporales previstos en el artículo 178 de la </w:t>
      </w:r>
      <w:r w:rsidRPr="00586164">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586164">
        <w:rPr>
          <w:rFonts w:ascii="Palatino Linotype" w:eastAsia="Palatino Linotype" w:hAnsi="Palatino Linotype" w:cs="Palatino Linotype"/>
          <w:color w:val="000000" w:themeColor="text1"/>
        </w:rPr>
        <w:t xml:space="preserve">vigente.  </w:t>
      </w:r>
    </w:p>
    <w:p w:rsidR="00CC7C8C" w:rsidRPr="00586164" w:rsidRDefault="00CC7C8C" w:rsidP="00236468">
      <w:pPr>
        <w:spacing w:line="360" w:lineRule="auto"/>
        <w:ind w:right="-7"/>
        <w:jc w:val="both"/>
        <w:rPr>
          <w:rFonts w:ascii="Palatino Linotype" w:eastAsia="Palatino Linotype" w:hAnsi="Palatino Linotype" w:cs="Palatino Linotype"/>
          <w:color w:val="000000" w:themeColor="text1"/>
        </w:rPr>
      </w:pPr>
      <w:bookmarkStart w:id="5" w:name="_heading=h.2et92p0" w:colFirst="0" w:colLast="0"/>
      <w:bookmarkEnd w:id="5"/>
    </w:p>
    <w:p w:rsidR="00CC7C8C" w:rsidRPr="00586164" w:rsidRDefault="00D27932" w:rsidP="00236468">
      <w:pPr>
        <w:pStyle w:val="Ttulo2"/>
        <w:ind w:right="-7"/>
        <w:rPr>
          <w:rFonts w:ascii="Palatino Linotype" w:eastAsia="Palatino Linotype" w:hAnsi="Palatino Linotype" w:cs="Palatino Linotype"/>
          <w:b/>
          <w:i/>
          <w:color w:val="000000" w:themeColor="text1"/>
          <w:sz w:val="24"/>
          <w:szCs w:val="24"/>
        </w:rPr>
      </w:pPr>
      <w:r w:rsidRPr="00586164">
        <w:rPr>
          <w:rFonts w:ascii="Palatino Linotype" w:eastAsia="Palatino Linotype" w:hAnsi="Palatino Linotype" w:cs="Palatino Linotype"/>
          <w:b/>
          <w:color w:val="000000" w:themeColor="text1"/>
          <w:sz w:val="24"/>
          <w:szCs w:val="24"/>
        </w:rPr>
        <w:t xml:space="preserve">TERCERO. Del planteamiento de la </w:t>
      </w:r>
      <w:r w:rsidRPr="00586164">
        <w:rPr>
          <w:rFonts w:ascii="Palatino Linotype" w:eastAsia="Palatino Linotype" w:hAnsi="Palatino Linotype" w:cs="Palatino Linotype"/>
          <w:b/>
          <w:i/>
          <w:color w:val="000000" w:themeColor="text1"/>
          <w:sz w:val="24"/>
          <w:szCs w:val="24"/>
        </w:rPr>
        <w:t>Litis.</w:t>
      </w:r>
    </w:p>
    <w:p w:rsidR="00CC7C8C" w:rsidRPr="00586164" w:rsidRDefault="00D27932"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Se solicitó tener acceso, a la información que a continuación se simplifica:</w:t>
      </w:r>
    </w:p>
    <w:p w:rsidR="009D3D25" w:rsidRPr="00586164" w:rsidRDefault="00D27932" w:rsidP="0023646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 </w:t>
      </w:r>
      <w:r w:rsidR="009D3D25" w:rsidRPr="00586164">
        <w:rPr>
          <w:rFonts w:ascii="Palatino Linotype" w:eastAsia="Palatino Linotype" w:hAnsi="Palatino Linotype" w:cs="Palatino Linotype"/>
          <w:i/>
          <w:color w:val="000000" w:themeColor="text1"/>
        </w:rPr>
        <w:t>Si ya fueron las elecciones para autoridades auxiliares, se solicita:</w:t>
      </w:r>
    </w:p>
    <w:p w:rsidR="009D3D25" w:rsidRPr="00586164" w:rsidRDefault="009D3D25" w:rsidP="00236468">
      <w:pPr>
        <w:numPr>
          <w:ilvl w:val="0"/>
          <w:numId w:val="3"/>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 El modelo de la boleta. </w:t>
      </w:r>
    </w:p>
    <w:p w:rsidR="009D3D25" w:rsidRPr="00586164" w:rsidRDefault="009D3D25" w:rsidP="00236468">
      <w:pPr>
        <w:numPr>
          <w:ilvl w:val="0"/>
          <w:numId w:val="3"/>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Una boleta de cada una de las delegaciones que integra Toluca. </w:t>
      </w:r>
    </w:p>
    <w:p w:rsidR="009D3D25" w:rsidRPr="00586164" w:rsidRDefault="009D3D25" w:rsidP="00236468">
      <w:pPr>
        <w:numPr>
          <w:ilvl w:val="0"/>
          <w:numId w:val="3"/>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El presupuesto asignado para cada proceso.</w:t>
      </w:r>
    </w:p>
    <w:p w:rsidR="009D3D25" w:rsidRPr="00586164" w:rsidRDefault="009D3D25" w:rsidP="00236468">
      <w:pPr>
        <w:numPr>
          <w:ilvl w:val="0"/>
          <w:numId w:val="3"/>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El nombre de representantes del municipio por mesa por delegación y subdelegación.</w:t>
      </w:r>
    </w:p>
    <w:p w:rsidR="009D3D25" w:rsidRPr="00586164" w:rsidRDefault="009D3D25" w:rsidP="00236468">
      <w:pPr>
        <w:numPr>
          <w:ilvl w:val="0"/>
          <w:numId w:val="3"/>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Los resultados de cada planilla.</w:t>
      </w:r>
    </w:p>
    <w:p w:rsidR="00CC7C8C" w:rsidRPr="00586164" w:rsidRDefault="00CC7C8C" w:rsidP="00236468">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CC7C8C" w:rsidRPr="00586164" w:rsidRDefault="00CC7C8C" w:rsidP="00236468">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CC7C8C" w:rsidRPr="00586164" w:rsidRDefault="00D27932"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En respuesta, el Sujeto Obligado</w:t>
      </w:r>
      <w:r w:rsidRPr="00586164">
        <w:rPr>
          <w:rFonts w:ascii="Palatino Linotype" w:eastAsia="Palatino Linotype" w:hAnsi="Palatino Linotype" w:cs="Palatino Linotype"/>
          <w:b/>
          <w:color w:val="000000" w:themeColor="text1"/>
        </w:rPr>
        <w:t xml:space="preserve"> </w:t>
      </w:r>
      <w:r w:rsidRPr="00586164">
        <w:rPr>
          <w:rFonts w:ascii="Palatino Linotype" w:eastAsia="Palatino Linotype" w:hAnsi="Palatino Linotype" w:cs="Palatino Linotype"/>
          <w:color w:val="000000" w:themeColor="text1"/>
        </w:rPr>
        <w:t xml:space="preserve">remitió el archivo ya descrito en el anterior párrafo 2, inconforme con la respuesta, se interpuso recurso de revisión argumentando sustancialmente </w:t>
      </w:r>
      <w:r w:rsidR="00AF3A4E" w:rsidRPr="00586164">
        <w:rPr>
          <w:rFonts w:ascii="Palatino Linotype" w:eastAsia="Palatino Linotype" w:hAnsi="Palatino Linotype" w:cs="Palatino Linotype"/>
          <w:color w:val="000000" w:themeColor="text1"/>
        </w:rPr>
        <w:t>que faltan atender puntos de la solicitud</w:t>
      </w:r>
      <w:r w:rsidRPr="00586164">
        <w:rPr>
          <w:rFonts w:ascii="Palatino Linotype" w:eastAsia="Palatino Linotype" w:hAnsi="Palatino Linotype" w:cs="Palatino Linotype"/>
          <w:color w:val="000000" w:themeColor="text1"/>
        </w:rPr>
        <w:t>.</w:t>
      </w:r>
    </w:p>
    <w:p w:rsidR="00CC7C8C" w:rsidRPr="00586164" w:rsidRDefault="00CC7C8C" w:rsidP="00236468">
      <w:pPr>
        <w:ind w:right="-7"/>
        <w:jc w:val="both"/>
        <w:rPr>
          <w:rFonts w:ascii="Palatino Linotype" w:eastAsia="Palatino Linotype" w:hAnsi="Palatino Linotype" w:cs="Palatino Linotype"/>
          <w:i/>
          <w:color w:val="000000" w:themeColor="text1"/>
        </w:rPr>
      </w:pPr>
    </w:p>
    <w:p w:rsidR="00CC7C8C" w:rsidRPr="00586164" w:rsidRDefault="00D27932"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00AF3A4E" w:rsidRPr="00586164">
        <w:rPr>
          <w:rFonts w:ascii="Palatino Linotype" w:eastAsia="Palatino Linotype" w:hAnsi="Palatino Linotype" w:cs="Palatino Linotype"/>
          <w:b/>
          <w:color w:val="000000" w:themeColor="text1"/>
        </w:rPr>
        <w:t>artículo 179, fracción V</w:t>
      </w:r>
      <w:r w:rsidRPr="00586164">
        <w:rPr>
          <w:rFonts w:ascii="Palatino Linotype" w:eastAsia="Palatino Linotype" w:hAnsi="Palatino Linotype" w:cs="Palatino Linotype"/>
          <w:b/>
          <w:color w:val="000000" w:themeColor="text1"/>
        </w:rPr>
        <w:t xml:space="preserve">, de la Ley de Transparencia y Acceso a la Información Pública del Estado </w:t>
      </w:r>
      <w:r w:rsidRPr="00586164">
        <w:rPr>
          <w:rFonts w:ascii="Palatino Linotype" w:eastAsia="Palatino Linotype" w:hAnsi="Palatino Linotype" w:cs="Palatino Linotype"/>
          <w:b/>
          <w:color w:val="000000" w:themeColor="text1"/>
        </w:rPr>
        <w:lastRenderedPageBreak/>
        <w:t>de México y Municipios</w:t>
      </w:r>
      <w:r w:rsidRPr="00586164">
        <w:rPr>
          <w:rFonts w:ascii="Palatino Linotype" w:eastAsia="Palatino Linotype" w:hAnsi="Palatino Linotype" w:cs="Palatino Linotype"/>
          <w:color w:val="000000" w:themeColor="text1"/>
        </w:rPr>
        <w:t xml:space="preserve">; fracción que determina la hipótesis relativa </w:t>
      </w:r>
      <w:r w:rsidR="00AF3A4E" w:rsidRPr="00586164">
        <w:rPr>
          <w:rFonts w:ascii="Palatino Linotype" w:eastAsia="Palatino Linotype" w:hAnsi="Palatino Linotype" w:cs="Palatino Linotype"/>
          <w:b/>
          <w:color w:val="000000" w:themeColor="text1"/>
        </w:rPr>
        <w:t>la entrega de información incompleta</w:t>
      </w:r>
      <w:r w:rsidRPr="00586164">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586164">
        <w:rPr>
          <w:rFonts w:ascii="Palatino Linotype" w:eastAsia="Palatino Linotype" w:hAnsi="Palatino Linotype" w:cs="Palatino Linotype"/>
          <w:b/>
          <w:color w:val="000000" w:themeColor="text1"/>
        </w:rPr>
        <w:t xml:space="preserve"> </w:t>
      </w:r>
      <w:r w:rsidRPr="00586164">
        <w:rPr>
          <w:rFonts w:ascii="Palatino Linotype" w:eastAsia="Palatino Linotype" w:hAnsi="Palatino Linotype" w:cs="Palatino Linotype"/>
          <w:color w:val="000000" w:themeColor="text1"/>
        </w:rPr>
        <w:t>señalada.</w:t>
      </w:r>
    </w:p>
    <w:p w:rsidR="00CC7C8C" w:rsidRPr="00586164" w:rsidRDefault="00CC7C8C" w:rsidP="00236468">
      <w:pPr>
        <w:spacing w:line="360" w:lineRule="auto"/>
        <w:ind w:right="-7"/>
        <w:rPr>
          <w:rFonts w:ascii="Palatino Linotype" w:eastAsia="Palatino Linotype" w:hAnsi="Palatino Linotype" w:cs="Palatino Linotype"/>
          <w:color w:val="000000" w:themeColor="text1"/>
        </w:rPr>
      </w:pPr>
    </w:p>
    <w:p w:rsidR="00CC7C8C" w:rsidRPr="00586164" w:rsidRDefault="00D27932" w:rsidP="00236468">
      <w:pPr>
        <w:pStyle w:val="Ttulo2"/>
        <w:ind w:right="-7"/>
        <w:rPr>
          <w:rFonts w:ascii="Palatino Linotype" w:eastAsia="Palatino Linotype" w:hAnsi="Palatino Linotype" w:cs="Palatino Linotype"/>
          <w:b/>
          <w:color w:val="000000" w:themeColor="text1"/>
          <w:sz w:val="24"/>
          <w:szCs w:val="24"/>
        </w:rPr>
      </w:pPr>
      <w:bookmarkStart w:id="6" w:name="_heading=h.1t3h5sf" w:colFirst="0" w:colLast="0"/>
      <w:bookmarkEnd w:id="6"/>
      <w:r w:rsidRPr="00586164">
        <w:rPr>
          <w:rFonts w:ascii="Palatino Linotype" w:eastAsia="Palatino Linotype" w:hAnsi="Palatino Linotype" w:cs="Palatino Linotype"/>
          <w:b/>
          <w:color w:val="000000" w:themeColor="text1"/>
          <w:sz w:val="24"/>
          <w:szCs w:val="24"/>
        </w:rPr>
        <w:t>CUARTO. Del estudio y resolución del asunto.</w:t>
      </w:r>
    </w:p>
    <w:p w:rsidR="00CC7C8C" w:rsidRPr="00586164" w:rsidRDefault="00D27932"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CC7C8C" w:rsidRPr="00586164" w:rsidRDefault="00CC7C8C" w:rsidP="00236468">
      <w:pPr>
        <w:spacing w:line="360" w:lineRule="auto"/>
        <w:ind w:right="-7"/>
        <w:jc w:val="both"/>
        <w:rPr>
          <w:rFonts w:ascii="Palatino Linotype" w:eastAsia="Palatino Linotype" w:hAnsi="Palatino Linotype" w:cs="Palatino Linotype"/>
          <w:color w:val="000000" w:themeColor="text1"/>
        </w:rPr>
      </w:pPr>
    </w:p>
    <w:p w:rsidR="00CC7C8C" w:rsidRPr="00586164" w:rsidRDefault="00D27932"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C7C8C" w:rsidRPr="00586164" w:rsidRDefault="00CC7C8C" w:rsidP="00236468">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rsidR="00CC7C8C" w:rsidRPr="00586164" w:rsidRDefault="00D27932"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w:t>
      </w:r>
      <w:r w:rsidRPr="00586164">
        <w:rPr>
          <w:rFonts w:ascii="Palatino Linotype" w:eastAsia="Palatino Linotype" w:hAnsi="Palatino Linotype" w:cs="Palatino Linotype"/>
          <w:color w:val="000000" w:themeColor="text1"/>
        </w:rPr>
        <w:lastRenderedPageBreak/>
        <w:t>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CC7C8C" w:rsidRPr="00586164" w:rsidRDefault="00CC7C8C" w:rsidP="00236468">
      <w:pPr>
        <w:ind w:right="-7"/>
        <w:jc w:val="both"/>
        <w:rPr>
          <w:rFonts w:ascii="Palatino Linotype" w:eastAsia="Palatino Linotype" w:hAnsi="Palatino Linotype" w:cs="Palatino Linotype"/>
          <w:color w:val="000000" w:themeColor="text1"/>
        </w:rPr>
      </w:pPr>
    </w:p>
    <w:p w:rsidR="00CC7C8C" w:rsidRPr="00586164" w:rsidRDefault="00D27932" w:rsidP="00236468">
      <w:pPr>
        <w:numPr>
          <w:ilvl w:val="0"/>
          <w:numId w:val="6"/>
        </w:numPr>
        <w:pBdr>
          <w:top w:val="nil"/>
          <w:left w:val="nil"/>
          <w:bottom w:val="nil"/>
          <w:right w:val="nil"/>
          <w:between w:val="nil"/>
        </w:pBdr>
        <w:spacing w:line="360" w:lineRule="auto"/>
        <w:ind w:left="0" w:right="-7" w:firstLine="0"/>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color w:val="000000" w:themeColor="text1"/>
        </w:rPr>
        <w:t>Del Sujeto Obligado.</w:t>
      </w:r>
    </w:p>
    <w:p w:rsidR="00CC7C8C" w:rsidRPr="00586164" w:rsidRDefault="00D27932" w:rsidP="00236468">
      <w:pPr>
        <w:numPr>
          <w:ilvl w:val="0"/>
          <w:numId w:val="5"/>
        </w:numPr>
        <w:spacing w:line="360" w:lineRule="auto"/>
        <w:ind w:left="0" w:right="-7" w:firstLine="0"/>
        <w:jc w:val="both"/>
        <w:rPr>
          <w:rFonts w:ascii="Palatino Linotype" w:hAnsi="Palatino Linotype"/>
          <w:color w:val="000000" w:themeColor="text1"/>
        </w:rPr>
      </w:pPr>
      <w:r w:rsidRPr="00586164">
        <w:rPr>
          <w:rFonts w:ascii="Palatino Linotype" w:eastAsia="Palatino Linotype" w:hAnsi="Palatino Linotype" w:cs="Palatino Linotype"/>
          <w:color w:val="000000" w:themeColor="text1"/>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y se auxiliará de diversas dependencias, organismos descentralizados y órganos autónomos, , de conformidad con el artículo 90, del Bando Municipal 2025:</w:t>
      </w:r>
    </w:p>
    <w:p w:rsidR="00CC7C8C" w:rsidRPr="00586164" w:rsidRDefault="00D27932" w:rsidP="00236468">
      <w:pPr>
        <w:ind w:right="-7"/>
        <w:jc w:val="center"/>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Bando Municipal 2025</w:t>
      </w:r>
    </w:p>
    <w:p w:rsidR="00CC7C8C" w:rsidRPr="00586164" w:rsidRDefault="00CC7C8C" w:rsidP="00236468">
      <w:pPr>
        <w:ind w:right="-7"/>
        <w:jc w:val="center"/>
        <w:rPr>
          <w:rFonts w:ascii="Palatino Linotype" w:eastAsia="Palatino Linotype" w:hAnsi="Palatino Linotype" w:cs="Palatino Linotype"/>
          <w:b/>
          <w:i/>
          <w:color w:val="000000" w:themeColor="text1"/>
        </w:rPr>
      </w:pPr>
    </w:p>
    <w:p w:rsidR="00CC7C8C" w:rsidRPr="00586164" w:rsidRDefault="00D2793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b/>
          <w:i/>
          <w:color w:val="000000" w:themeColor="text1"/>
        </w:rPr>
        <w:t xml:space="preserve">Artículo 90. </w:t>
      </w:r>
      <w:r w:rsidRPr="00586164">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CC7C8C" w:rsidRPr="00586164" w:rsidRDefault="00CC7C8C" w:rsidP="00236468">
      <w:pPr>
        <w:ind w:right="-7"/>
        <w:jc w:val="both"/>
        <w:rPr>
          <w:rFonts w:ascii="Palatino Linotype" w:eastAsia="Palatino Linotype" w:hAnsi="Palatino Linotype" w:cs="Palatino Linotype"/>
          <w:i/>
          <w:color w:val="000000" w:themeColor="text1"/>
        </w:rPr>
      </w:pPr>
    </w:p>
    <w:p w:rsidR="00CC7C8C" w:rsidRPr="00586164" w:rsidRDefault="00D27932" w:rsidP="00236468">
      <w:pPr>
        <w:ind w:right="-7"/>
        <w:jc w:val="both"/>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 xml:space="preserve">I. DEPENDENCIAS: </w:t>
      </w:r>
    </w:p>
    <w:p w:rsidR="00CC7C8C" w:rsidRPr="00586164" w:rsidRDefault="00D27932" w:rsidP="00236468">
      <w:pPr>
        <w:ind w:right="-7"/>
        <w:jc w:val="both"/>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 xml:space="preserve">1. Secretaría del Ayuntamiento; </w:t>
      </w:r>
    </w:p>
    <w:p w:rsidR="00CC7C8C" w:rsidRPr="00586164" w:rsidRDefault="00D2793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2. Tesorería Municipal; </w:t>
      </w:r>
    </w:p>
    <w:p w:rsidR="00CC7C8C" w:rsidRPr="00586164" w:rsidRDefault="00D2793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3. Órgano Interno de Control; </w:t>
      </w:r>
    </w:p>
    <w:p w:rsidR="00CC7C8C" w:rsidRPr="00586164" w:rsidRDefault="00D2793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4. Dirección General de Gobierno; </w:t>
      </w:r>
    </w:p>
    <w:p w:rsidR="00CC7C8C" w:rsidRPr="00586164" w:rsidRDefault="00D2793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lastRenderedPageBreak/>
        <w:t xml:space="preserve">5. Dirección General de Seguridad y Protección; </w:t>
      </w:r>
    </w:p>
    <w:p w:rsidR="00CC7C8C" w:rsidRPr="00586164" w:rsidRDefault="00D2793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6. Dirección General de Administración; </w:t>
      </w:r>
    </w:p>
    <w:p w:rsidR="00CC7C8C" w:rsidRPr="00586164" w:rsidRDefault="00D2793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7. Dirección General de Medio Ambiente; </w:t>
      </w:r>
    </w:p>
    <w:p w:rsidR="00CC7C8C" w:rsidRPr="00586164" w:rsidRDefault="00D2793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8. Dirección General de Servicios Públicos; </w:t>
      </w:r>
    </w:p>
    <w:p w:rsidR="00CC7C8C" w:rsidRPr="00586164" w:rsidRDefault="00D2793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9. Dirección General de Innovación, Planeación y Gestión Urbana; </w:t>
      </w:r>
    </w:p>
    <w:p w:rsidR="00CC7C8C" w:rsidRPr="00586164" w:rsidRDefault="00D2793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10. Dirección General de Obras Públicas; </w:t>
      </w:r>
    </w:p>
    <w:p w:rsidR="00CC7C8C" w:rsidRPr="00586164" w:rsidRDefault="00D2793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11. Dirección General de Desarrollo Económico; </w:t>
      </w:r>
    </w:p>
    <w:p w:rsidR="00CC7C8C" w:rsidRPr="00586164" w:rsidRDefault="00D2793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12. Dirección General de Bienestar; y </w:t>
      </w:r>
    </w:p>
    <w:p w:rsidR="00CC7C8C" w:rsidRPr="00586164" w:rsidRDefault="00D2793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13. Dirección General de Educación, Cultura y Turismo.</w:t>
      </w:r>
    </w:p>
    <w:p w:rsidR="00CC7C8C" w:rsidRPr="00586164" w:rsidRDefault="00D2793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p>
    <w:p w:rsidR="00CC7C8C" w:rsidRPr="00586164" w:rsidRDefault="00CC7C8C" w:rsidP="00236468">
      <w:pPr>
        <w:spacing w:line="360" w:lineRule="auto"/>
        <w:ind w:right="-7"/>
        <w:jc w:val="both"/>
        <w:rPr>
          <w:rFonts w:ascii="Palatino Linotype" w:eastAsia="Palatino Linotype" w:hAnsi="Palatino Linotype" w:cs="Palatino Linotype"/>
          <w:color w:val="000000" w:themeColor="text1"/>
        </w:rPr>
      </w:pPr>
    </w:p>
    <w:p w:rsidR="00ED1031" w:rsidRPr="00586164" w:rsidRDefault="00ED1031"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La </w:t>
      </w:r>
      <w:r w:rsidRPr="00586164">
        <w:rPr>
          <w:rFonts w:ascii="Palatino Linotype" w:eastAsia="Palatino Linotype" w:hAnsi="Palatino Linotype" w:cs="Palatino Linotype"/>
          <w:b/>
          <w:color w:val="000000" w:themeColor="text1"/>
        </w:rPr>
        <w:t>Secretaría del Ayuntamiento</w:t>
      </w:r>
      <w:r w:rsidRPr="00586164">
        <w:rPr>
          <w:rFonts w:ascii="Palatino Linotype" w:eastAsia="Palatino Linotype" w:hAnsi="Palatino Linotype" w:cs="Palatino Linotype"/>
          <w:color w:val="000000" w:themeColor="text1"/>
        </w:rPr>
        <w:t xml:space="preserve"> dentro de sus funciones tiene la de apoyar a la comisión edilicia transitoria en el proceso de elección de delegados, subdelegados y consejos de participación ciudadana, de conformidad con el Código Reglamentario Municipal de Toluca, artículo 3.13, fracción XXIII.</w:t>
      </w:r>
    </w:p>
    <w:p w:rsidR="00ED1031" w:rsidRPr="00586164" w:rsidRDefault="00ED1031" w:rsidP="00236468">
      <w:pPr>
        <w:spacing w:line="360" w:lineRule="auto"/>
        <w:ind w:right="-7"/>
        <w:jc w:val="both"/>
        <w:rPr>
          <w:rFonts w:ascii="Palatino Linotype" w:eastAsia="Palatino Linotype" w:hAnsi="Palatino Linotype" w:cs="Palatino Linotype"/>
          <w:color w:val="000000" w:themeColor="text1"/>
        </w:rPr>
      </w:pPr>
    </w:p>
    <w:p w:rsidR="00CC7C8C" w:rsidRPr="00586164" w:rsidRDefault="00D27932"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La </w:t>
      </w:r>
      <w:r w:rsidRPr="00586164">
        <w:rPr>
          <w:rFonts w:ascii="Palatino Linotype" w:eastAsia="Palatino Linotype" w:hAnsi="Palatino Linotype" w:cs="Palatino Linotype"/>
          <w:b/>
          <w:color w:val="000000" w:themeColor="text1"/>
        </w:rPr>
        <w:t>Secretaría del Ayuntamiento</w:t>
      </w:r>
      <w:r w:rsidRPr="00586164">
        <w:rPr>
          <w:rFonts w:ascii="Palatino Linotype" w:eastAsia="Palatino Linotype" w:hAnsi="Palatino Linotype" w:cs="Palatino Linotype"/>
          <w:color w:val="000000" w:themeColor="text1"/>
        </w:rPr>
        <w:t xml:space="preserve"> tiene dentro de sus objetivos el de Planear, organizar y dirigir las responsabilidades del gobierno municipal en materia de planeación del desarrollo; transparencia y acceso ciudadano a la información pública; desarrollo institucional; </w:t>
      </w:r>
      <w:r w:rsidRPr="00586164">
        <w:rPr>
          <w:rFonts w:ascii="Palatino Linotype" w:eastAsia="Palatino Linotype" w:hAnsi="Palatino Linotype" w:cs="Palatino Linotype"/>
          <w:b/>
          <w:color w:val="000000" w:themeColor="text1"/>
        </w:rPr>
        <w:t>operación y funcionamiento de las autoridades auxiliares</w:t>
      </w:r>
      <w:r w:rsidRPr="00586164">
        <w:rPr>
          <w:rFonts w:ascii="Palatino Linotype" w:eastAsia="Palatino Linotype" w:hAnsi="Palatino Linotype" w:cs="Palatino Linotype"/>
          <w:color w:val="000000" w:themeColor="text1"/>
        </w:rPr>
        <w:t>, y dentro de sus funciones las siguientes, de conformidad con el Manual General de Organización del Sector Central de la Administración Pública Municipal vigente:</w:t>
      </w:r>
    </w:p>
    <w:p w:rsidR="00CC7C8C" w:rsidRPr="00586164" w:rsidRDefault="00D27932" w:rsidP="00236468">
      <w:pPr>
        <w:ind w:right="-7"/>
        <w:jc w:val="center"/>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Manual General de Organización del Sector Central de la Administración Pública Municipal</w:t>
      </w:r>
    </w:p>
    <w:p w:rsidR="00CC7C8C" w:rsidRPr="00586164" w:rsidRDefault="00CC7C8C" w:rsidP="00236468">
      <w:pPr>
        <w:ind w:right="-7"/>
        <w:jc w:val="center"/>
        <w:rPr>
          <w:rFonts w:ascii="Palatino Linotype" w:eastAsia="Palatino Linotype" w:hAnsi="Palatino Linotype" w:cs="Palatino Linotype"/>
          <w:b/>
          <w:i/>
          <w:color w:val="000000" w:themeColor="text1"/>
        </w:rPr>
      </w:pPr>
    </w:p>
    <w:p w:rsidR="00CC7C8C" w:rsidRPr="00586164" w:rsidRDefault="00D27932" w:rsidP="00236468">
      <w:pPr>
        <w:ind w:right="-7"/>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2010A0000 Secretaría del Ayuntamiento</w:t>
      </w:r>
    </w:p>
    <w:p w:rsidR="00CC7C8C" w:rsidRPr="00586164" w:rsidRDefault="00D27932" w:rsidP="00236468">
      <w:pPr>
        <w:ind w:right="-7"/>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w:t>
      </w:r>
    </w:p>
    <w:p w:rsidR="00CC7C8C" w:rsidRPr="00586164" w:rsidRDefault="00D27932" w:rsidP="00236468">
      <w:pPr>
        <w:ind w:right="-7"/>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 xml:space="preserve">Funciones: </w:t>
      </w:r>
    </w:p>
    <w:p w:rsidR="00CC7C8C" w:rsidRPr="00586164" w:rsidRDefault="00D27932" w:rsidP="00236468">
      <w:pPr>
        <w:ind w:right="-7"/>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w:t>
      </w:r>
    </w:p>
    <w:p w:rsidR="00A60BF2" w:rsidRPr="00586164" w:rsidRDefault="00A60BF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lastRenderedPageBreak/>
        <w:t xml:space="preserve">25. </w:t>
      </w:r>
      <w:r w:rsidRPr="00586164">
        <w:rPr>
          <w:rFonts w:ascii="Palatino Linotype" w:eastAsia="Palatino Linotype" w:hAnsi="Palatino Linotype" w:cs="Palatino Linotype"/>
          <w:b/>
          <w:i/>
          <w:color w:val="000000" w:themeColor="text1"/>
        </w:rPr>
        <w:t>Coordinar el proceso de elección de las y los delegados y subdelegados, consejos de participación ciudadana y las y los jefes de manzana del Municipio de Toluca</w:t>
      </w:r>
      <w:r w:rsidRPr="00586164">
        <w:rPr>
          <w:rFonts w:ascii="Palatino Linotype" w:eastAsia="Palatino Linotype" w:hAnsi="Palatino Linotype" w:cs="Palatino Linotype"/>
          <w:i/>
          <w:color w:val="000000" w:themeColor="text1"/>
        </w:rPr>
        <w:t xml:space="preserve"> y mantener comunicación permanente con estas autoridades para coadyuvar en el desarrollo de sus programas de trabajo;</w:t>
      </w:r>
    </w:p>
    <w:p w:rsidR="00A60BF2" w:rsidRPr="00586164" w:rsidRDefault="00A60BF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26. </w:t>
      </w:r>
      <w:r w:rsidRPr="00586164">
        <w:rPr>
          <w:rFonts w:ascii="Palatino Linotype" w:eastAsia="Palatino Linotype" w:hAnsi="Palatino Linotype" w:cs="Palatino Linotype"/>
          <w:b/>
          <w:i/>
          <w:color w:val="000000" w:themeColor="text1"/>
        </w:rPr>
        <w:t>Dirigir y coordinar la selección de las y los ciudadanos que pretendan ser electos como delegados, subdelegados e integrantes de los consejos de participación ciudadana</w:t>
      </w:r>
      <w:r w:rsidRPr="00586164">
        <w:rPr>
          <w:rFonts w:ascii="Palatino Linotype" w:eastAsia="Palatino Linotype" w:hAnsi="Palatino Linotype" w:cs="Palatino Linotype"/>
          <w:i/>
          <w:color w:val="000000" w:themeColor="text1"/>
        </w:rPr>
        <w:t>;</w:t>
      </w:r>
    </w:p>
    <w:p w:rsidR="00CC7C8C" w:rsidRPr="00586164" w:rsidRDefault="00D2793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27. Coadyuvar, </w:t>
      </w:r>
      <w:r w:rsidRPr="00586164">
        <w:rPr>
          <w:rFonts w:ascii="Palatino Linotype" w:eastAsia="Palatino Linotype" w:hAnsi="Palatino Linotype" w:cs="Palatino Linotype"/>
          <w:b/>
          <w:i/>
          <w:color w:val="000000" w:themeColor="text1"/>
        </w:rPr>
        <w:t>fungir como enlace permanente entre las Autoridades Auxiliares</w:t>
      </w:r>
      <w:r w:rsidRPr="00586164">
        <w:rPr>
          <w:rFonts w:ascii="Palatino Linotype" w:eastAsia="Palatino Linotype" w:hAnsi="Palatino Linotype" w:cs="Palatino Linotype"/>
          <w:i/>
          <w:color w:val="000000" w:themeColor="text1"/>
        </w:rPr>
        <w:t>, Comités de Participación Ciudadana y el Ayuntamiento, para la ejecución de sus planes de trabajo, seguimiento a las peticiones o solicitudes presentadas y promover que se rinda cuenta de los mismos, a través de los informes anuales;</w:t>
      </w:r>
    </w:p>
    <w:p w:rsidR="00CC7C8C" w:rsidRPr="00586164" w:rsidRDefault="00D27932" w:rsidP="00236468">
      <w:pPr>
        <w:spacing w:line="360" w:lineRule="auto"/>
        <w:ind w:right="-7"/>
        <w:jc w:val="both"/>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i/>
          <w:color w:val="000000" w:themeColor="text1"/>
        </w:rPr>
        <w:t>…</w:t>
      </w:r>
    </w:p>
    <w:p w:rsidR="00CC7C8C" w:rsidRPr="00586164" w:rsidRDefault="00CC7C8C" w:rsidP="00236468">
      <w:pPr>
        <w:spacing w:line="360" w:lineRule="auto"/>
        <w:ind w:right="-7"/>
        <w:jc w:val="both"/>
        <w:rPr>
          <w:rFonts w:ascii="Palatino Linotype" w:eastAsia="Palatino Linotype" w:hAnsi="Palatino Linotype" w:cs="Palatino Linotype"/>
          <w:color w:val="000000" w:themeColor="text1"/>
        </w:rPr>
      </w:pPr>
    </w:p>
    <w:p w:rsidR="00F76226" w:rsidRPr="00586164" w:rsidRDefault="00F76226" w:rsidP="00236468">
      <w:pPr>
        <w:numPr>
          <w:ilvl w:val="0"/>
          <w:numId w:val="5"/>
        </w:numPr>
        <w:spacing w:line="360" w:lineRule="auto"/>
        <w:ind w:left="0" w:right="-7" w:firstLine="0"/>
        <w:jc w:val="both"/>
        <w:rPr>
          <w:rFonts w:ascii="Palatino Linotype" w:hAnsi="Palatino Linotype"/>
          <w:color w:val="000000" w:themeColor="text1"/>
        </w:rPr>
      </w:pPr>
      <w:r w:rsidRPr="00586164">
        <w:rPr>
          <w:rFonts w:ascii="Palatino Linotype" w:eastAsia="Palatino Linotype" w:hAnsi="Palatino Linotype" w:cs="Palatino Linotype"/>
          <w:color w:val="000000" w:themeColor="text1"/>
        </w:rPr>
        <w:t xml:space="preserve">De lo expuesto es de precisar que la respuesta fue emitida por el Servidor Público Habilitado de la </w:t>
      </w:r>
      <w:r w:rsidRPr="00586164">
        <w:rPr>
          <w:rFonts w:ascii="Palatino Linotype" w:eastAsia="Palatino Linotype" w:hAnsi="Palatino Linotype" w:cs="Palatino Linotype"/>
          <w:b/>
          <w:color w:val="000000" w:themeColor="text1"/>
        </w:rPr>
        <w:t>Secretaría del Ayuntamiento</w:t>
      </w:r>
      <w:r w:rsidRPr="00586164">
        <w:rPr>
          <w:rFonts w:ascii="Palatino Linotype" w:eastAsia="Palatino Linotype" w:hAnsi="Palatino Linotype" w:cs="Palatino Linotype"/>
          <w:color w:val="000000" w:themeColor="text1"/>
        </w:rPr>
        <w:t xml:space="preserve">, por lo que podemos advertir que </w:t>
      </w:r>
      <w:r w:rsidRPr="00586164">
        <w:rPr>
          <w:rFonts w:ascii="Palatino Linotype" w:eastAsia="Palatino Linotype" w:hAnsi="Palatino Linotype" w:cs="Palatino Linotype"/>
          <w:b/>
          <w:color w:val="000000" w:themeColor="text1"/>
        </w:rPr>
        <w:t xml:space="preserve">EL SUJETO OBLIGADO </w:t>
      </w:r>
      <w:r w:rsidRPr="00586164">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F76226" w:rsidRPr="00586164" w:rsidRDefault="00F76226" w:rsidP="00236468">
      <w:pPr>
        <w:spacing w:line="360" w:lineRule="auto"/>
        <w:ind w:right="-7"/>
        <w:jc w:val="both"/>
        <w:rPr>
          <w:rFonts w:ascii="Palatino Linotype" w:hAnsi="Palatino Linotype"/>
          <w:color w:val="000000" w:themeColor="text1"/>
        </w:rPr>
      </w:pPr>
    </w:p>
    <w:p w:rsidR="00F76226" w:rsidRPr="00586164" w:rsidRDefault="00F7622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b/>
          <w:i/>
          <w:color w:val="000000" w:themeColor="text1"/>
        </w:rPr>
        <w:t>XXXIX.</w:t>
      </w:r>
      <w:r w:rsidRPr="00586164">
        <w:rPr>
          <w:rFonts w:ascii="Palatino Linotype" w:eastAsia="Palatino Linotype" w:hAnsi="Palatino Linotype" w:cs="Palatino Linotype"/>
          <w:i/>
          <w:color w:val="000000" w:themeColor="text1"/>
        </w:rPr>
        <w:t xml:space="preserve"> </w:t>
      </w:r>
      <w:r w:rsidRPr="00586164">
        <w:rPr>
          <w:rFonts w:ascii="Palatino Linotype" w:eastAsia="Palatino Linotype" w:hAnsi="Palatino Linotype" w:cs="Palatino Linotype"/>
          <w:b/>
          <w:i/>
          <w:color w:val="000000" w:themeColor="text1"/>
        </w:rPr>
        <w:t>Servidor público habilitado</w:t>
      </w:r>
      <w:r w:rsidRPr="00586164">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F76226" w:rsidRPr="00586164" w:rsidRDefault="00F76226" w:rsidP="00236468">
      <w:pPr>
        <w:spacing w:line="360" w:lineRule="auto"/>
        <w:ind w:right="-7"/>
        <w:jc w:val="both"/>
        <w:rPr>
          <w:rFonts w:ascii="Palatino Linotype" w:eastAsia="Palatino Linotype" w:hAnsi="Palatino Linotype" w:cs="Palatino Linotype"/>
          <w:color w:val="000000" w:themeColor="text1"/>
        </w:rPr>
      </w:pPr>
    </w:p>
    <w:p w:rsidR="00F76226" w:rsidRPr="00586164" w:rsidRDefault="00F76226" w:rsidP="00236468">
      <w:pPr>
        <w:numPr>
          <w:ilvl w:val="0"/>
          <w:numId w:val="5"/>
        </w:numPr>
        <w:spacing w:line="360" w:lineRule="auto"/>
        <w:ind w:left="0" w:right="-7" w:firstLine="0"/>
        <w:jc w:val="both"/>
        <w:rPr>
          <w:rFonts w:ascii="Palatino Linotype" w:hAnsi="Palatino Linotype"/>
          <w:color w:val="000000" w:themeColor="text1"/>
        </w:rPr>
      </w:pPr>
      <w:r w:rsidRPr="00586164">
        <w:rPr>
          <w:rFonts w:ascii="Palatino Linotype" w:eastAsia="Palatino Linotype" w:hAnsi="Palatino Linotype" w:cs="Palatino Linotype"/>
          <w:color w:val="000000" w:themeColor="text1"/>
        </w:rPr>
        <w:lastRenderedPageBreak/>
        <w:t>Así las cosas, se advierte que efectivamente la Unidad de Transparencia cumplió con lo establecido en el artículo 162 de la Ley de Transparencia y Acceso a la Información Pública del Estado de México y Municipios, el cual menciona lo siguiente:</w:t>
      </w:r>
    </w:p>
    <w:p w:rsidR="00F76226" w:rsidRPr="00586164" w:rsidRDefault="00F7622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r w:rsidRPr="00586164">
        <w:rPr>
          <w:rFonts w:ascii="Palatino Linotype" w:eastAsia="Palatino Linotype" w:hAnsi="Palatino Linotype" w:cs="Palatino Linotype"/>
          <w:b/>
          <w:i/>
          <w:color w:val="000000" w:themeColor="text1"/>
        </w:rPr>
        <w:t>Artículo 162.</w:t>
      </w:r>
      <w:r w:rsidRPr="00586164">
        <w:rPr>
          <w:rFonts w:ascii="Palatino Linotype" w:eastAsia="Palatino Linotype" w:hAnsi="Palatino Linotype" w:cs="Palatino Linotype"/>
          <w:i/>
          <w:color w:val="000000" w:themeColor="text1"/>
        </w:rPr>
        <w:t xml:space="preserve"> Las unidades de transparencia deberán garantizar que las solicitudes se turnen a </w:t>
      </w:r>
      <w:r w:rsidRPr="00586164">
        <w:rPr>
          <w:rFonts w:ascii="Palatino Linotype" w:eastAsia="Palatino Linotype" w:hAnsi="Palatino Linotype" w:cs="Palatino Linotype"/>
          <w:b/>
          <w:i/>
          <w:color w:val="000000" w:themeColor="text1"/>
        </w:rPr>
        <w:t>todas las Áreas competentes</w:t>
      </w:r>
      <w:r w:rsidRPr="00586164">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F76226" w:rsidRPr="00586164" w:rsidRDefault="00F76226" w:rsidP="00236468">
      <w:pPr>
        <w:spacing w:line="360" w:lineRule="auto"/>
        <w:ind w:right="-7"/>
        <w:jc w:val="both"/>
        <w:rPr>
          <w:rFonts w:ascii="Palatino Linotype" w:eastAsia="Palatino Linotype" w:hAnsi="Palatino Linotype" w:cs="Palatino Linotype"/>
          <w:color w:val="000000" w:themeColor="text1"/>
        </w:rPr>
      </w:pPr>
    </w:p>
    <w:p w:rsidR="00F76226" w:rsidRPr="00586164" w:rsidRDefault="00F76226" w:rsidP="00236468">
      <w:pPr>
        <w:numPr>
          <w:ilvl w:val="0"/>
          <w:numId w:val="5"/>
        </w:numPr>
        <w:spacing w:line="360" w:lineRule="auto"/>
        <w:ind w:left="0" w:right="-7" w:firstLine="0"/>
        <w:jc w:val="both"/>
        <w:rPr>
          <w:rFonts w:ascii="Palatino Linotype" w:hAnsi="Palatino Linotype"/>
          <w:color w:val="000000" w:themeColor="text1"/>
        </w:rPr>
      </w:pPr>
      <w:r w:rsidRPr="00586164">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F76226" w:rsidRPr="00586164" w:rsidRDefault="00F7622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r w:rsidRPr="00586164">
        <w:rPr>
          <w:rFonts w:ascii="Palatino Linotype" w:eastAsia="Palatino Linotype" w:hAnsi="Palatino Linotype" w:cs="Palatino Linotype"/>
          <w:b/>
          <w:i/>
          <w:color w:val="000000" w:themeColor="text1"/>
        </w:rPr>
        <w:t xml:space="preserve">Artículo 3. </w:t>
      </w:r>
      <w:r w:rsidRPr="00586164">
        <w:rPr>
          <w:rFonts w:ascii="Palatino Linotype" w:eastAsia="Palatino Linotype" w:hAnsi="Palatino Linotype" w:cs="Palatino Linotype"/>
          <w:i/>
          <w:color w:val="000000" w:themeColor="text1"/>
        </w:rPr>
        <w:t>Para los efectos de la presente Ley se entenderá por:</w:t>
      </w:r>
    </w:p>
    <w:p w:rsidR="00F76226" w:rsidRPr="00586164" w:rsidRDefault="00F7622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p>
    <w:p w:rsidR="00F76226" w:rsidRPr="00586164" w:rsidRDefault="00F7622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b/>
          <w:i/>
          <w:color w:val="000000" w:themeColor="text1"/>
        </w:rPr>
        <w:t>XI. Documento:</w:t>
      </w:r>
      <w:r w:rsidRPr="00586164">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76226" w:rsidRPr="00586164" w:rsidRDefault="00F76226" w:rsidP="00236468">
      <w:pPr>
        <w:spacing w:line="360" w:lineRule="auto"/>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p>
    <w:p w:rsidR="00F76226" w:rsidRPr="00586164" w:rsidRDefault="00F76226" w:rsidP="00236468">
      <w:pPr>
        <w:ind w:right="-7"/>
        <w:jc w:val="both"/>
        <w:rPr>
          <w:rFonts w:ascii="Palatino Linotype" w:eastAsia="Palatino Linotype" w:hAnsi="Palatino Linotype" w:cs="Palatino Linotype"/>
          <w:color w:val="000000" w:themeColor="text1"/>
        </w:rPr>
      </w:pPr>
    </w:p>
    <w:p w:rsidR="00F76226" w:rsidRPr="00586164" w:rsidRDefault="00F76226" w:rsidP="00236468">
      <w:pPr>
        <w:numPr>
          <w:ilvl w:val="0"/>
          <w:numId w:val="5"/>
        </w:numPr>
        <w:spacing w:line="360" w:lineRule="auto"/>
        <w:ind w:left="0" w:right="-7" w:firstLine="0"/>
        <w:jc w:val="both"/>
        <w:rPr>
          <w:rFonts w:ascii="Palatino Linotype" w:hAnsi="Palatino Linotype"/>
          <w:color w:val="000000" w:themeColor="text1"/>
        </w:rPr>
      </w:pPr>
      <w:r w:rsidRPr="00586164">
        <w:rPr>
          <w:rFonts w:ascii="Palatino Linotype" w:eastAsia="Palatino Linotype" w:hAnsi="Palatino Linotype" w:cs="Palatino Linotype"/>
          <w:color w:val="000000" w:themeColor="text1"/>
        </w:rPr>
        <w:t xml:space="preserve">Siendo aplicable el Criterio de interpretación en el orden administrativo número 0002-11, emitido por Acuerdo del Pleno del Instituto de Transparencia y Acceso a la </w:t>
      </w:r>
      <w:r w:rsidRPr="00586164">
        <w:rPr>
          <w:rFonts w:ascii="Palatino Linotype" w:eastAsia="Palatino Linotype" w:hAnsi="Palatino Linotype" w:cs="Palatino Linotype"/>
          <w:color w:val="000000" w:themeColor="text1"/>
        </w:rPr>
        <w:lastRenderedPageBreak/>
        <w:t>Información Pública del Estado de México y Municipios; publicado en el Periódico Oficial del Gobierno del Estado Libre y Soberano de México “Gaceta del Gobierno”, el diecinueve de octubre de dos mil once, cuyo rubro y texto dispone:</w:t>
      </w:r>
    </w:p>
    <w:p w:rsidR="00F76226" w:rsidRPr="00586164" w:rsidRDefault="00F76226" w:rsidP="00236468">
      <w:pPr>
        <w:ind w:right="-7"/>
        <w:jc w:val="both"/>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color w:val="000000" w:themeColor="text1"/>
        </w:rPr>
        <w:t>“</w:t>
      </w:r>
      <w:r w:rsidRPr="00586164">
        <w:rPr>
          <w:rFonts w:ascii="Palatino Linotype" w:eastAsia="Palatino Linotype" w:hAnsi="Palatino Linotype" w:cs="Palatino Linotype"/>
          <w:b/>
          <w:i/>
          <w:color w:val="000000" w:themeColor="text1"/>
        </w:rPr>
        <w:t>CRITERIO 0002-11</w:t>
      </w:r>
    </w:p>
    <w:p w:rsidR="00F76226" w:rsidRPr="00586164" w:rsidRDefault="00F7622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586164">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76226" w:rsidRPr="00586164" w:rsidRDefault="00F7622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F76226" w:rsidRPr="00586164" w:rsidRDefault="00F76226" w:rsidP="00236468">
      <w:pPr>
        <w:ind w:right="-7"/>
        <w:jc w:val="both"/>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 xml:space="preserve">1) </w:t>
      </w:r>
      <w:r w:rsidRPr="00586164">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F76226" w:rsidRPr="00586164" w:rsidRDefault="00F7622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F76226" w:rsidRPr="00586164" w:rsidRDefault="00F7622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F76226" w:rsidRPr="00586164" w:rsidRDefault="00F76226" w:rsidP="00236468">
      <w:pPr>
        <w:tabs>
          <w:tab w:val="left" w:pos="851"/>
        </w:tabs>
        <w:spacing w:line="360" w:lineRule="auto"/>
        <w:ind w:right="-7"/>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(Énfasis Añadido)</w:t>
      </w:r>
    </w:p>
    <w:p w:rsidR="00F76226" w:rsidRPr="00586164" w:rsidRDefault="00F76226" w:rsidP="00236468">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F76226" w:rsidRPr="00586164" w:rsidRDefault="00F76226" w:rsidP="00236468">
      <w:pPr>
        <w:numPr>
          <w:ilvl w:val="0"/>
          <w:numId w:val="5"/>
        </w:numPr>
        <w:spacing w:line="360" w:lineRule="auto"/>
        <w:ind w:left="0" w:right="-7" w:firstLine="0"/>
        <w:jc w:val="both"/>
        <w:rPr>
          <w:rFonts w:ascii="Palatino Linotype" w:hAnsi="Palatino Linotype"/>
          <w:color w:val="000000" w:themeColor="text1"/>
        </w:rPr>
      </w:pPr>
      <w:r w:rsidRPr="00586164">
        <w:rPr>
          <w:rFonts w:ascii="Palatino Linotype" w:eastAsia="Palatino Linotype" w:hAnsi="Palatino Linotype" w:cs="Palatino Linotype"/>
          <w:color w:val="000000" w:themeColor="text1"/>
        </w:rPr>
        <w:t>Por su parte los artículos 160 y 166, de la Ley local en la materia, que se reproduce de la siguiente forma:</w:t>
      </w:r>
    </w:p>
    <w:p w:rsidR="00F76226" w:rsidRPr="00586164" w:rsidRDefault="00F7622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r w:rsidRPr="00586164">
        <w:rPr>
          <w:rFonts w:ascii="Palatino Linotype" w:eastAsia="Palatino Linotype" w:hAnsi="Palatino Linotype" w:cs="Palatino Linotype"/>
          <w:b/>
          <w:i/>
          <w:color w:val="000000" w:themeColor="text1"/>
        </w:rPr>
        <w:t>Artículo 160.</w:t>
      </w:r>
      <w:r w:rsidRPr="00586164">
        <w:rPr>
          <w:rFonts w:ascii="Palatino Linotype" w:eastAsia="Palatino Linotype" w:hAnsi="Palatino Linotype" w:cs="Palatino Linotype"/>
          <w:i/>
          <w:color w:val="000000" w:themeColor="text1"/>
        </w:rPr>
        <w:t xml:space="preserve"> </w:t>
      </w:r>
      <w:r w:rsidRPr="00586164">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586164">
        <w:rPr>
          <w:rFonts w:ascii="Palatino Linotype" w:eastAsia="Palatino Linotype" w:hAnsi="Palatino Linotype" w:cs="Palatino Linotype"/>
          <w:i/>
          <w:color w:val="000000" w:themeColor="text1"/>
        </w:rPr>
        <w:t>.</w:t>
      </w:r>
    </w:p>
    <w:p w:rsidR="00F76226" w:rsidRPr="00586164" w:rsidRDefault="00F76226" w:rsidP="00236468">
      <w:pPr>
        <w:ind w:right="-7"/>
        <w:jc w:val="both"/>
        <w:rPr>
          <w:rFonts w:ascii="Palatino Linotype" w:eastAsia="Palatino Linotype" w:hAnsi="Palatino Linotype" w:cs="Palatino Linotype"/>
          <w:i/>
          <w:color w:val="000000" w:themeColor="text1"/>
        </w:rPr>
      </w:pPr>
    </w:p>
    <w:p w:rsidR="00F76226" w:rsidRPr="00586164" w:rsidRDefault="00F7622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F76226" w:rsidRPr="00586164" w:rsidRDefault="00F76226" w:rsidP="00236468">
      <w:pPr>
        <w:ind w:right="-7"/>
        <w:jc w:val="both"/>
        <w:rPr>
          <w:rFonts w:ascii="Palatino Linotype" w:eastAsia="Palatino Linotype" w:hAnsi="Palatino Linotype" w:cs="Palatino Linotype"/>
          <w:i/>
          <w:color w:val="000000" w:themeColor="text1"/>
          <w:u w:val="single"/>
        </w:rPr>
      </w:pPr>
      <w:r w:rsidRPr="00586164">
        <w:rPr>
          <w:rFonts w:ascii="Palatino Linotype" w:eastAsia="Palatino Linotype" w:hAnsi="Palatino Linotype" w:cs="Palatino Linotype"/>
          <w:b/>
          <w:i/>
          <w:color w:val="000000" w:themeColor="text1"/>
        </w:rPr>
        <w:t>Artículo 166.</w:t>
      </w:r>
      <w:r w:rsidRPr="00586164">
        <w:rPr>
          <w:rFonts w:ascii="Palatino Linotype" w:eastAsia="Palatino Linotype" w:hAnsi="Palatino Linotype" w:cs="Palatino Linotype"/>
          <w:i/>
          <w:color w:val="000000" w:themeColor="text1"/>
        </w:rPr>
        <w:t xml:space="preserve"> </w:t>
      </w:r>
      <w:r w:rsidRPr="00586164">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F76226" w:rsidRPr="00586164" w:rsidRDefault="00F76226" w:rsidP="00236468">
      <w:pPr>
        <w:spacing w:line="360" w:lineRule="auto"/>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lastRenderedPageBreak/>
        <w:t>(Énfasis añadido)</w:t>
      </w:r>
    </w:p>
    <w:p w:rsidR="00F76226" w:rsidRPr="00586164" w:rsidRDefault="00F76226" w:rsidP="00236468">
      <w:pPr>
        <w:ind w:right="-7"/>
        <w:jc w:val="both"/>
        <w:rPr>
          <w:rFonts w:ascii="Palatino Linotype" w:eastAsia="Palatino Linotype" w:hAnsi="Palatino Linotype" w:cs="Palatino Linotype"/>
          <w:color w:val="000000" w:themeColor="text1"/>
        </w:rPr>
      </w:pPr>
    </w:p>
    <w:p w:rsidR="00F76226" w:rsidRPr="00586164" w:rsidRDefault="00F76226" w:rsidP="00236468">
      <w:pPr>
        <w:numPr>
          <w:ilvl w:val="0"/>
          <w:numId w:val="5"/>
        </w:numPr>
        <w:spacing w:line="360" w:lineRule="auto"/>
        <w:ind w:left="0" w:right="-7" w:firstLine="0"/>
        <w:jc w:val="both"/>
        <w:rPr>
          <w:rFonts w:ascii="Palatino Linotype" w:hAnsi="Palatino Linotype"/>
          <w:color w:val="000000" w:themeColor="text1"/>
        </w:rPr>
      </w:pPr>
      <w:r w:rsidRPr="00586164">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F76226" w:rsidRPr="00586164" w:rsidRDefault="00F76226" w:rsidP="00236468">
      <w:pPr>
        <w:spacing w:line="360" w:lineRule="auto"/>
        <w:ind w:right="-7"/>
        <w:jc w:val="both"/>
        <w:rPr>
          <w:rFonts w:ascii="Palatino Linotype" w:eastAsia="Palatino Linotype" w:hAnsi="Palatino Linotype" w:cs="Palatino Linotype"/>
          <w:color w:val="000000" w:themeColor="text1"/>
        </w:rPr>
      </w:pPr>
    </w:p>
    <w:p w:rsidR="00C02D5F" w:rsidRPr="00586164" w:rsidRDefault="00F76226"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Ahora bien, es de precisar que el particular requirió </w:t>
      </w:r>
      <w:r w:rsidR="00C02D5F" w:rsidRPr="00586164">
        <w:rPr>
          <w:rFonts w:ascii="Palatino Linotype" w:eastAsia="Palatino Linotype" w:hAnsi="Palatino Linotype" w:cs="Palatino Linotype"/>
          <w:color w:val="000000" w:themeColor="text1"/>
        </w:rPr>
        <w:t>tener acceso, a la siguiente información:</w:t>
      </w:r>
    </w:p>
    <w:p w:rsidR="00C02D5F" w:rsidRPr="00586164" w:rsidRDefault="00C02D5F" w:rsidP="0023646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 Si ya fueron las elecciones para autoridades auxiliares, se solicita:</w:t>
      </w:r>
    </w:p>
    <w:p w:rsidR="00C02D5F" w:rsidRPr="00586164" w:rsidRDefault="00C02D5F" w:rsidP="00236468">
      <w:pPr>
        <w:numPr>
          <w:ilvl w:val="0"/>
          <w:numId w:val="13"/>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 El modelo de la boleta. </w:t>
      </w:r>
    </w:p>
    <w:p w:rsidR="00C02D5F" w:rsidRPr="00586164" w:rsidRDefault="00C02D5F" w:rsidP="00236468">
      <w:pPr>
        <w:numPr>
          <w:ilvl w:val="0"/>
          <w:numId w:val="13"/>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Una boleta de cada una de las delegaciones que integra Toluca. </w:t>
      </w:r>
    </w:p>
    <w:p w:rsidR="00C02D5F" w:rsidRPr="00586164" w:rsidRDefault="00C02D5F" w:rsidP="00236468">
      <w:pPr>
        <w:numPr>
          <w:ilvl w:val="0"/>
          <w:numId w:val="13"/>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El presupuesto asignado para cada proceso.</w:t>
      </w:r>
    </w:p>
    <w:p w:rsidR="00C02D5F" w:rsidRPr="00586164" w:rsidRDefault="00C02D5F" w:rsidP="00236468">
      <w:pPr>
        <w:numPr>
          <w:ilvl w:val="0"/>
          <w:numId w:val="13"/>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El nombre de representantes del municipio por mesa por delegación y subdelegación.</w:t>
      </w:r>
    </w:p>
    <w:p w:rsidR="00C02D5F" w:rsidRPr="00586164" w:rsidRDefault="00C02D5F" w:rsidP="00236468">
      <w:pPr>
        <w:numPr>
          <w:ilvl w:val="0"/>
          <w:numId w:val="13"/>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Los resultados de cada planilla.</w:t>
      </w:r>
    </w:p>
    <w:p w:rsidR="00C02D5F" w:rsidRDefault="00C02D5F" w:rsidP="00236468">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C72430" w:rsidRPr="00586164" w:rsidRDefault="00C72430" w:rsidP="00236468">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443F19" w:rsidRPr="00C72430" w:rsidRDefault="00C02D5F" w:rsidP="00236468">
      <w:pPr>
        <w:numPr>
          <w:ilvl w:val="0"/>
          <w:numId w:val="5"/>
        </w:numPr>
        <w:spacing w:line="360" w:lineRule="auto"/>
        <w:ind w:left="0" w:right="-7" w:firstLine="0"/>
        <w:jc w:val="both"/>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color w:val="000000" w:themeColor="text1"/>
        </w:rPr>
        <w:t xml:space="preserve">En respuesta el Sujeto Obligado </w:t>
      </w:r>
      <w:r w:rsidR="00443F19" w:rsidRPr="00586164">
        <w:rPr>
          <w:rFonts w:ascii="Palatino Linotype" w:eastAsia="Palatino Linotype" w:hAnsi="Palatino Linotype" w:cs="Palatino Linotype"/>
          <w:color w:val="000000" w:themeColor="text1"/>
        </w:rPr>
        <w:t xml:space="preserve">a través del servidor público habilitado de la Secretaría del Ayuntamiento refirió que </w:t>
      </w:r>
      <w:r w:rsidR="00443F19" w:rsidRPr="00586164">
        <w:rPr>
          <w:rFonts w:ascii="Palatino Linotype" w:eastAsia="Palatino Linotype" w:hAnsi="Palatino Linotype" w:cs="Palatino Linotype"/>
          <w:i/>
          <w:color w:val="000000" w:themeColor="text1"/>
        </w:rPr>
        <w:t xml:space="preserve">“se procedió a realizar la búsqueda exhaustiva y razonable en los archivos que obran en la Secretaría del Ayuntamiento, en este sentido y de acuerdo a las facultades, competencias y funciones, se hace del conocimiento que </w:t>
      </w:r>
      <w:r w:rsidR="00443F19" w:rsidRPr="00586164">
        <w:rPr>
          <w:rFonts w:ascii="Palatino Linotype" w:eastAsia="Palatino Linotype" w:hAnsi="Palatino Linotype" w:cs="Palatino Linotype"/>
          <w:b/>
          <w:i/>
          <w:color w:val="000000" w:themeColor="text1"/>
        </w:rPr>
        <w:t>no se localizó expresión documental</w:t>
      </w:r>
      <w:r w:rsidR="00443F19" w:rsidRPr="00586164">
        <w:rPr>
          <w:rFonts w:ascii="Palatino Linotype" w:eastAsia="Palatino Linotype" w:hAnsi="Palatino Linotype" w:cs="Palatino Linotype"/>
          <w:i/>
          <w:color w:val="000000" w:themeColor="text1"/>
        </w:rPr>
        <w:t xml:space="preserve"> que de atención a su pretensión, </w:t>
      </w:r>
      <w:r w:rsidR="00443F19" w:rsidRPr="00586164">
        <w:rPr>
          <w:rFonts w:ascii="Palatino Linotype" w:eastAsia="Palatino Linotype" w:hAnsi="Palatino Linotype" w:cs="Palatino Linotype"/>
          <w:b/>
          <w:i/>
          <w:color w:val="000000" w:themeColor="text1"/>
        </w:rPr>
        <w:t>en razón de que a la fecha se encuentra en proceso la renovación de Autoridades Auxiliares</w:t>
      </w:r>
      <w:r w:rsidR="00443F19" w:rsidRPr="00586164">
        <w:rPr>
          <w:rFonts w:ascii="Palatino Linotype" w:eastAsia="Palatino Linotype" w:hAnsi="Palatino Linotype" w:cs="Palatino Linotype"/>
          <w:i/>
          <w:color w:val="000000" w:themeColor="text1"/>
        </w:rPr>
        <w:t xml:space="preserve"> del Municipio de Toluca, Estado de México.” (Sic)</w:t>
      </w:r>
      <w:r w:rsidR="00443F19" w:rsidRPr="00586164">
        <w:rPr>
          <w:rFonts w:ascii="Palatino Linotype" w:eastAsia="Palatino Linotype" w:hAnsi="Palatino Linotype" w:cs="Palatino Linotype"/>
          <w:color w:val="000000" w:themeColor="text1"/>
        </w:rPr>
        <w:t>, circunstancia de la cual se dolió el recurrente al señalar que no se atiende toda la solicitud, posteriormente en informe justificado se ratifica la respuesta inicial.</w:t>
      </w:r>
    </w:p>
    <w:p w:rsidR="00C72430" w:rsidRPr="00586164" w:rsidRDefault="00C72430" w:rsidP="00C72430">
      <w:pPr>
        <w:spacing w:line="360" w:lineRule="auto"/>
        <w:ind w:right="-7"/>
        <w:jc w:val="both"/>
        <w:rPr>
          <w:rFonts w:ascii="Palatino Linotype" w:eastAsia="Palatino Linotype" w:hAnsi="Palatino Linotype" w:cs="Palatino Linotype"/>
          <w:b/>
          <w:i/>
          <w:color w:val="000000" w:themeColor="text1"/>
        </w:rPr>
      </w:pPr>
    </w:p>
    <w:p w:rsidR="00CC7C8C" w:rsidRPr="00586164" w:rsidRDefault="00443F19" w:rsidP="00236468">
      <w:pPr>
        <w:numPr>
          <w:ilvl w:val="0"/>
          <w:numId w:val="5"/>
        </w:numPr>
        <w:spacing w:line="360" w:lineRule="auto"/>
        <w:ind w:left="0" w:right="-7" w:firstLine="0"/>
        <w:jc w:val="both"/>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color w:val="000000" w:themeColor="text1"/>
        </w:rPr>
        <w:lastRenderedPageBreak/>
        <w:t>En razón de lo anterior se analizará la naturaleza de la información requerida, e</w:t>
      </w:r>
      <w:r w:rsidR="00D27932" w:rsidRPr="00586164">
        <w:rPr>
          <w:rFonts w:ascii="Palatino Linotype" w:eastAsia="Palatino Linotype" w:hAnsi="Palatino Linotype" w:cs="Palatino Linotype"/>
          <w:color w:val="000000" w:themeColor="text1"/>
        </w:rPr>
        <w:t>n este sentido es dable precisar lo establecido en la Ley Orgánica Municipal del Estado de México</w:t>
      </w:r>
      <w:r w:rsidR="00A73EBE" w:rsidRPr="00586164">
        <w:rPr>
          <w:rFonts w:ascii="Palatino Linotype" w:eastAsia="Palatino Linotype" w:hAnsi="Palatino Linotype" w:cs="Palatino Linotype"/>
          <w:color w:val="000000" w:themeColor="text1"/>
        </w:rPr>
        <w:t>, el Bando Municipal 2025</w:t>
      </w:r>
      <w:r w:rsidR="00D27932" w:rsidRPr="00586164">
        <w:rPr>
          <w:rFonts w:ascii="Palatino Linotype" w:eastAsia="Palatino Linotype" w:hAnsi="Palatino Linotype" w:cs="Palatino Linotype"/>
          <w:color w:val="000000" w:themeColor="text1"/>
        </w:rPr>
        <w:t xml:space="preserve"> y el Código Reglamentario Municipal de Toluca, respecto de las </w:t>
      </w:r>
      <w:r w:rsidR="00D27932" w:rsidRPr="00586164">
        <w:rPr>
          <w:rFonts w:ascii="Palatino Linotype" w:eastAsia="Palatino Linotype" w:hAnsi="Palatino Linotype" w:cs="Palatino Linotype"/>
          <w:b/>
          <w:color w:val="000000" w:themeColor="text1"/>
        </w:rPr>
        <w:t>Autoridades Auxiliares</w:t>
      </w:r>
      <w:r w:rsidR="00D27932" w:rsidRPr="00586164">
        <w:rPr>
          <w:rFonts w:ascii="Palatino Linotype" w:eastAsia="Palatino Linotype" w:hAnsi="Palatino Linotype" w:cs="Palatino Linotype"/>
          <w:color w:val="000000" w:themeColor="text1"/>
        </w:rPr>
        <w:t>, lo siguiente:</w:t>
      </w:r>
    </w:p>
    <w:p w:rsidR="00CC7C8C" w:rsidRPr="00586164" w:rsidRDefault="00D27932" w:rsidP="00236468">
      <w:pPr>
        <w:ind w:right="-7"/>
        <w:jc w:val="center"/>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Ley Orgánica Municipal del Estado de México</w:t>
      </w:r>
    </w:p>
    <w:p w:rsidR="00CC7C8C" w:rsidRPr="00586164" w:rsidRDefault="00CC7C8C" w:rsidP="00236468">
      <w:pPr>
        <w:ind w:right="-7"/>
        <w:jc w:val="both"/>
        <w:rPr>
          <w:rFonts w:ascii="Palatino Linotype" w:eastAsia="Palatino Linotype" w:hAnsi="Palatino Linotype" w:cs="Palatino Linotype"/>
          <w:b/>
          <w:i/>
          <w:color w:val="000000" w:themeColor="text1"/>
        </w:rPr>
      </w:pPr>
    </w:p>
    <w:p w:rsidR="00CC7C8C" w:rsidRPr="00586164" w:rsidRDefault="00D27932" w:rsidP="00236468">
      <w:pPr>
        <w:ind w:right="-7"/>
        <w:jc w:val="center"/>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De las Autoridades Auxiliares</w:t>
      </w:r>
    </w:p>
    <w:p w:rsidR="00CC7C8C" w:rsidRPr="00586164" w:rsidRDefault="00CC7C8C" w:rsidP="00236468">
      <w:pPr>
        <w:ind w:right="-7"/>
        <w:jc w:val="center"/>
        <w:rPr>
          <w:rFonts w:ascii="Palatino Linotype" w:eastAsia="Palatino Linotype" w:hAnsi="Palatino Linotype" w:cs="Palatino Linotype"/>
          <w:b/>
          <w:i/>
          <w:color w:val="000000" w:themeColor="text1"/>
        </w:rPr>
      </w:pPr>
    </w:p>
    <w:p w:rsidR="00CC7C8C" w:rsidRPr="00586164" w:rsidRDefault="00D2793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b/>
          <w:i/>
          <w:color w:val="000000" w:themeColor="text1"/>
        </w:rPr>
        <w:t>Artículo 56</w:t>
      </w:r>
      <w:r w:rsidRPr="00586164">
        <w:rPr>
          <w:rFonts w:ascii="Palatino Linotype" w:eastAsia="Palatino Linotype" w:hAnsi="Palatino Linotype" w:cs="Palatino Linotype"/>
          <w:i/>
          <w:color w:val="000000" w:themeColor="text1"/>
        </w:rPr>
        <w:t xml:space="preserve">.- </w:t>
      </w:r>
      <w:r w:rsidRPr="00586164">
        <w:rPr>
          <w:rFonts w:ascii="Palatino Linotype" w:eastAsia="Palatino Linotype" w:hAnsi="Palatino Linotype" w:cs="Palatino Linotype"/>
          <w:b/>
          <w:i/>
          <w:color w:val="000000" w:themeColor="text1"/>
        </w:rPr>
        <w:t xml:space="preserve">Son autoridades auxiliares municipales, las personas titulares de las </w:t>
      </w:r>
      <w:r w:rsidRPr="00586164">
        <w:rPr>
          <w:rFonts w:ascii="Palatino Linotype" w:eastAsia="Palatino Linotype" w:hAnsi="Palatino Linotype" w:cs="Palatino Linotype"/>
          <w:b/>
          <w:i/>
          <w:color w:val="000000" w:themeColor="text1"/>
          <w:u w:val="single"/>
        </w:rPr>
        <w:t>delegaciones</w:t>
      </w:r>
      <w:r w:rsidRPr="00586164">
        <w:rPr>
          <w:rFonts w:ascii="Palatino Linotype" w:eastAsia="Palatino Linotype" w:hAnsi="Palatino Linotype" w:cs="Palatino Linotype"/>
          <w:i/>
          <w:color w:val="000000" w:themeColor="text1"/>
          <w:u w:val="single"/>
        </w:rPr>
        <w:t xml:space="preserve">, </w:t>
      </w:r>
      <w:r w:rsidRPr="00586164">
        <w:rPr>
          <w:rFonts w:ascii="Palatino Linotype" w:eastAsia="Palatino Linotype" w:hAnsi="Palatino Linotype" w:cs="Palatino Linotype"/>
          <w:b/>
          <w:i/>
          <w:color w:val="000000" w:themeColor="text1"/>
          <w:u w:val="single"/>
        </w:rPr>
        <w:t>subdelegaciones, jefaturas de sector, de sección y de manzana</w:t>
      </w:r>
      <w:r w:rsidRPr="00586164">
        <w:rPr>
          <w:rFonts w:ascii="Palatino Linotype" w:eastAsia="Palatino Linotype" w:hAnsi="Palatino Linotype" w:cs="Palatino Linotype"/>
          <w:b/>
          <w:i/>
          <w:color w:val="000000" w:themeColor="text1"/>
        </w:rPr>
        <w:t xml:space="preserve"> que designe el Ayuntamiento</w:t>
      </w:r>
      <w:r w:rsidRPr="00586164">
        <w:rPr>
          <w:rFonts w:ascii="Palatino Linotype" w:eastAsia="Palatino Linotype" w:hAnsi="Palatino Linotype" w:cs="Palatino Linotype"/>
          <w:i/>
          <w:color w:val="000000" w:themeColor="text1"/>
        </w:rPr>
        <w:t xml:space="preserve">. Para la elección y designación de autoridades auxiliares, se deberá observar en todo momento los principios de igualdad, equidad y garantizar la paridad de género. </w:t>
      </w:r>
    </w:p>
    <w:p w:rsidR="00CC7C8C" w:rsidRPr="00586164" w:rsidRDefault="00CC7C8C" w:rsidP="00236468">
      <w:pPr>
        <w:ind w:right="-7"/>
        <w:jc w:val="both"/>
        <w:rPr>
          <w:rFonts w:ascii="Palatino Linotype" w:eastAsia="Palatino Linotype" w:hAnsi="Palatino Linotype" w:cs="Palatino Linotype"/>
          <w:i/>
          <w:color w:val="000000" w:themeColor="text1"/>
        </w:rPr>
      </w:pPr>
    </w:p>
    <w:p w:rsidR="007D25F5" w:rsidRPr="00586164" w:rsidRDefault="00D27932"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b/>
          <w:i/>
          <w:color w:val="000000" w:themeColor="text1"/>
        </w:rPr>
        <w:t>Artículo 57</w:t>
      </w:r>
      <w:r w:rsidRPr="00586164">
        <w:rPr>
          <w:rFonts w:ascii="Palatino Linotype" w:eastAsia="Palatino Linotype" w:hAnsi="Palatino Linotype" w:cs="Palatino Linotype"/>
          <w:i/>
          <w:color w:val="000000" w:themeColor="text1"/>
        </w:rPr>
        <w:t xml:space="preserve">.- Las autoridades auxiliares municipales ejercerán, en sus respectivas jurisdicciones, las atribuciones que les delegue el Ayuntamiento, para mantener el orden, la tranquilidad, la paz social, la seguridad y la protección de las personas vecinas, conforme a lo establecido en esta Ley, el Bando Municipal y los reglamentos respectivos. </w:t>
      </w:r>
    </w:p>
    <w:p w:rsidR="00CC7C8C" w:rsidRPr="00586164" w:rsidRDefault="00D27932" w:rsidP="00236468">
      <w:pPr>
        <w:ind w:right="-7"/>
        <w:jc w:val="both"/>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w:t>
      </w:r>
      <w:r w:rsidRPr="00586164">
        <w:rPr>
          <w:rFonts w:ascii="Palatino Linotype" w:eastAsia="Palatino Linotype" w:hAnsi="Palatino Linotype" w:cs="Palatino Linotype"/>
          <w:b/>
          <w:i/>
          <w:color w:val="000000" w:themeColor="text1"/>
        </w:rPr>
        <w:tab/>
      </w:r>
    </w:p>
    <w:p w:rsidR="007D25F5" w:rsidRPr="00586164" w:rsidRDefault="007D25F5" w:rsidP="00236468">
      <w:pPr>
        <w:ind w:right="-7"/>
        <w:jc w:val="both"/>
        <w:rPr>
          <w:rFonts w:ascii="Palatino Linotype" w:eastAsia="Palatino Linotype" w:hAnsi="Palatino Linotype" w:cs="Palatino Linotype"/>
          <w:b/>
          <w:i/>
          <w:color w:val="000000" w:themeColor="text1"/>
        </w:rPr>
      </w:pPr>
    </w:p>
    <w:p w:rsidR="00324CDB" w:rsidRPr="00586164" w:rsidRDefault="007D25F5"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b/>
          <w:i/>
          <w:color w:val="000000" w:themeColor="text1"/>
        </w:rPr>
        <w:t>Artículo 59.- La elección de las personas titulares de las Delegaciones y Subdelegaciones</w:t>
      </w:r>
      <w:r w:rsidRPr="00586164">
        <w:rPr>
          <w:rFonts w:ascii="Palatino Linotype" w:eastAsia="Palatino Linotype" w:hAnsi="Palatino Linotype" w:cs="Palatino Linotype"/>
          <w:i/>
          <w:color w:val="000000" w:themeColor="text1"/>
        </w:rPr>
        <w:t xml:space="preserve"> será mediante voto libre, secreto y directo de las personas vecinas de la localidad y </w:t>
      </w:r>
      <w:r w:rsidRPr="00586164">
        <w:rPr>
          <w:rFonts w:ascii="Palatino Linotype" w:eastAsia="Palatino Linotype" w:hAnsi="Palatino Linotype" w:cs="Palatino Linotype"/>
          <w:b/>
          <w:i/>
          <w:color w:val="000000" w:themeColor="text1"/>
        </w:rPr>
        <w:t>se sujetará al procedimiento establecido en la convocatoria que al efecto expida el Ayuntamiento</w:t>
      </w:r>
      <w:r w:rsidRPr="00586164">
        <w:rPr>
          <w:rFonts w:ascii="Palatino Linotype" w:eastAsia="Palatino Linotype" w:hAnsi="Palatino Linotype" w:cs="Palatino Linotype"/>
          <w:i/>
          <w:color w:val="000000" w:themeColor="text1"/>
        </w:rPr>
        <w:t xml:space="preserve">, misma que deberá establecer la obligación de que las candidaturas sean ocupadas paritariamente. Por cada persona titular de Delegación y Subdelegación deberá elegirse un suplente del mismo género o mujer. Bajo ninguna circunstancia estará permitido que el cargo de suplente sea ocupado por un hombre, si la persona titular recae en una mujer. Es responsabilidad de los ayuntamientos observar los principios de igualdad, equidad y garantizar la paridad de género, entre mujeres y hombres para integrar las delegaciones municipales. </w:t>
      </w:r>
    </w:p>
    <w:p w:rsidR="00324CDB" w:rsidRPr="00586164" w:rsidRDefault="00324CDB" w:rsidP="00236468">
      <w:pPr>
        <w:ind w:right="-7"/>
        <w:jc w:val="both"/>
        <w:rPr>
          <w:rFonts w:ascii="Palatino Linotype" w:eastAsia="Palatino Linotype" w:hAnsi="Palatino Linotype" w:cs="Palatino Linotype"/>
          <w:i/>
          <w:color w:val="000000" w:themeColor="text1"/>
        </w:rPr>
      </w:pPr>
    </w:p>
    <w:p w:rsidR="00324CDB" w:rsidRPr="00586164" w:rsidRDefault="007D25F5"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Los ayuntamientos podrán celebrar convenios con el Instituto Electoral del Estado de México en términos de lo establecido en el artículo 11, párrafo décimo cuarto en la Constitución Política del Estado Libre y Soberano de México con treinta días de anticipación de la expedición la convocatoria. </w:t>
      </w:r>
    </w:p>
    <w:p w:rsidR="00324CDB" w:rsidRPr="00586164" w:rsidRDefault="00324CDB" w:rsidP="00236468">
      <w:pPr>
        <w:ind w:right="-7"/>
        <w:jc w:val="both"/>
        <w:rPr>
          <w:rFonts w:ascii="Palatino Linotype" w:eastAsia="Palatino Linotype" w:hAnsi="Palatino Linotype" w:cs="Palatino Linotype"/>
          <w:i/>
          <w:color w:val="000000" w:themeColor="text1"/>
        </w:rPr>
      </w:pPr>
    </w:p>
    <w:p w:rsidR="00324CDB" w:rsidRPr="00586164" w:rsidRDefault="007D25F5" w:rsidP="00236468">
      <w:pPr>
        <w:ind w:right="-7"/>
        <w:jc w:val="both"/>
        <w:rPr>
          <w:rFonts w:ascii="Palatino Linotype" w:eastAsia="Palatino Linotype" w:hAnsi="Palatino Linotype" w:cs="Palatino Linotype"/>
          <w:b/>
          <w:i/>
          <w:color w:val="000000" w:themeColor="text1"/>
          <w:u w:val="single"/>
        </w:rPr>
      </w:pPr>
      <w:r w:rsidRPr="00586164">
        <w:rPr>
          <w:rFonts w:ascii="Palatino Linotype" w:eastAsia="Palatino Linotype" w:hAnsi="Palatino Linotype" w:cs="Palatino Linotype"/>
          <w:b/>
          <w:i/>
          <w:color w:val="000000" w:themeColor="text1"/>
        </w:rPr>
        <w:lastRenderedPageBreak/>
        <w:t xml:space="preserve">La elección de los Delegados y Subdelegados </w:t>
      </w:r>
      <w:r w:rsidRPr="00586164">
        <w:rPr>
          <w:rFonts w:ascii="Palatino Linotype" w:eastAsia="Palatino Linotype" w:hAnsi="Palatino Linotype" w:cs="Palatino Linotype"/>
          <w:b/>
          <w:i/>
          <w:color w:val="000000" w:themeColor="text1"/>
          <w:u w:val="single"/>
        </w:rPr>
        <w:t xml:space="preserve">se realizará en la fecha señalada en la convocatoria, entre el segundo domingo de marzo y el 30 de ese mes del primer año de gobierno del Ayuntamiento. </w:t>
      </w:r>
    </w:p>
    <w:p w:rsidR="00324CDB" w:rsidRPr="00586164" w:rsidRDefault="00324CDB" w:rsidP="00236468">
      <w:pPr>
        <w:ind w:right="-7"/>
        <w:jc w:val="both"/>
        <w:rPr>
          <w:rFonts w:ascii="Palatino Linotype" w:eastAsia="Palatino Linotype" w:hAnsi="Palatino Linotype" w:cs="Palatino Linotype"/>
          <w:i/>
          <w:color w:val="000000" w:themeColor="text1"/>
        </w:rPr>
      </w:pPr>
    </w:p>
    <w:p w:rsidR="007D25F5" w:rsidRPr="00586164" w:rsidRDefault="007D25F5"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rsidR="00A73EBE" w:rsidRPr="00586164" w:rsidRDefault="00A73EBE" w:rsidP="00236468">
      <w:pPr>
        <w:ind w:right="-7"/>
        <w:jc w:val="both"/>
        <w:rPr>
          <w:rFonts w:ascii="Palatino Linotype" w:eastAsia="Palatino Linotype" w:hAnsi="Palatino Linotype" w:cs="Palatino Linotype"/>
          <w:i/>
          <w:color w:val="000000" w:themeColor="text1"/>
        </w:rPr>
      </w:pPr>
    </w:p>
    <w:p w:rsidR="00A73EBE" w:rsidRPr="00586164" w:rsidRDefault="00A73EBE" w:rsidP="00236468">
      <w:pPr>
        <w:ind w:right="-7"/>
        <w:jc w:val="center"/>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Bando Municipal 2025</w:t>
      </w:r>
    </w:p>
    <w:p w:rsidR="00A73EBE" w:rsidRPr="00586164" w:rsidRDefault="00A73EBE" w:rsidP="00236468">
      <w:pPr>
        <w:ind w:right="-7"/>
        <w:jc w:val="center"/>
        <w:rPr>
          <w:rFonts w:ascii="Palatino Linotype" w:eastAsia="Palatino Linotype" w:hAnsi="Palatino Linotype" w:cs="Palatino Linotype"/>
          <w:b/>
          <w:i/>
          <w:color w:val="000000" w:themeColor="text1"/>
        </w:rPr>
      </w:pPr>
    </w:p>
    <w:p w:rsidR="00A73EBE" w:rsidRPr="00586164" w:rsidRDefault="00A73EBE" w:rsidP="00236468">
      <w:pPr>
        <w:ind w:right="-7"/>
        <w:jc w:val="both"/>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 xml:space="preserve">DE LAS AUTORIDADES AUXILIARES Y CONSEJOS DE PARTICIPACIÓN CIUDADANA </w:t>
      </w:r>
    </w:p>
    <w:p w:rsidR="00A73EBE" w:rsidRPr="00586164" w:rsidRDefault="00A73EBE" w:rsidP="00236468">
      <w:pPr>
        <w:ind w:right="-7"/>
        <w:jc w:val="both"/>
        <w:rPr>
          <w:rFonts w:ascii="Palatino Linotype" w:eastAsia="Palatino Linotype" w:hAnsi="Palatino Linotype" w:cs="Palatino Linotype"/>
          <w:i/>
          <w:color w:val="000000" w:themeColor="text1"/>
        </w:rPr>
      </w:pPr>
    </w:p>
    <w:p w:rsidR="00A73EBE" w:rsidRPr="00586164" w:rsidRDefault="00A73EBE" w:rsidP="00236468">
      <w:pPr>
        <w:ind w:right="-7"/>
        <w:jc w:val="both"/>
        <w:rPr>
          <w:rFonts w:ascii="Palatino Linotype" w:eastAsia="Palatino Linotype" w:hAnsi="Palatino Linotype" w:cs="Palatino Linotype"/>
          <w:b/>
          <w:i/>
          <w:color w:val="000000" w:themeColor="text1"/>
          <w:u w:val="single"/>
        </w:rPr>
      </w:pPr>
      <w:r w:rsidRPr="00586164">
        <w:rPr>
          <w:rFonts w:ascii="Palatino Linotype" w:eastAsia="Palatino Linotype" w:hAnsi="Palatino Linotype" w:cs="Palatino Linotype"/>
          <w:i/>
          <w:color w:val="000000" w:themeColor="text1"/>
        </w:rPr>
        <w:t xml:space="preserve">Artículo 40. El Ayuntamiento, para el cumplimiento de sus atribuciones, convocará a elecciones de delegadas o delegados, subdelegadas o subdelegados municipales y Consejos de Participación Ciudadana, promoviendo la participación vecinal. </w:t>
      </w:r>
      <w:r w:rsidRPr="00586164">
        <w:rPr>
          <w:rFonts w:ascii="Palatino Linotype" w:eastAsia="Palatino Linotype" w:hAnsi="Palatino Linotype" w:cs="Palatino Linotype"/>
          <w:b/>
          <w:i/>
          <w:color w:val="000000" w:themeColor="text1"/>
        </w:rPr>
        <w:t xml:space="preserve">La </w:t>
      </w:r>
      <w:r w:rsidRPr="00586164">
        <w:rPr>
          <w:rFonts w:ascii="Palatino Linotype" w:eastAsia="Palatino Linotype" w:hAnsi="Palatino Linotype" w:cs="Palatino Linotype"/>
          <w:b/>
          <w:i/>
          <w:color w:val="000000" w:themeColor="text1"/>
          <w:u w:val="single"/>
        </w:rPr>
        <w:t>elección se llevará a cabo el último domingo de marzo del primer año de gobierno del Ayuntamiento.</w:t>
      </w:r>
    </w:p>
    <w:p w:rsidR="00737BE8" w:rsidRPr="00586164" w:rsidRDefault="00737BE8"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p>
    <w:p w:rsidR="00737BE8" w:rsidRPr="00586164" w:rsidRDefault="00737BE8"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Son Autoridades Auxiliares en el Municipio: </w:t>
      </w:r>
    </w:p>
    <w:p w:rsidR="00737BE8" w:rsidRPr="00586164" w:rsidRDefault="00737BE8"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I. Las y los delegados; </w:t>
      </w:r>
    </w:p>
    <w:p w:rsidR="00737BE8" w:rsidRPr="00586164" w:rsidRDefault="00737BE8"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II. Las y los subdelegados; </w:t>
      </w:r>
    </w:p>
    <w:p w:rsidR="00737BE8" w:rsidRPr="00586164" w:rsidRDefault="00737BE8"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III. Las y los jefes de sección o sector; y </w:t>
      </w:r>
    </w:p>
    <w:p w:rsidR="00737BE8" w:rsidRPr="00586164" w:rsidRDefault="00737BE8"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IV. Las y los jefes de manzana.</w:t>
      </w:r>
    </w:p>
    <w:p w:rsidR="00F52B2C" w:rsidRPr="00586164" w:rsidRDefault="00F52B2C"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p>
    <w:p w:rsidR="00FC3BC5" w:rsidRPr="00586164" w:rsidRDefault="00FC3BC5" w:rsidP="00236468">
      <w:pPr>
        <w:ind w:right="-7"/>
        <w:jc w:val="both"/>
        <w:rPr>
          <w:rFonts w:ascii="Palatino Linotype" w:eastAsia="Palatino Linotype" w:hAnsi="Palatino Linotype" w:cs="Palatino Linotype"/>
          <w:i/>
          <w:color w:val="000000" w:themeColor="text1"/>
        </w:rPr>
      </w:pPr>
    </w:p>
    <w:p w:rsidR="00FC3BC5" w:rsidRPr="00586164" w:rsidRDefault="00FC3BC5" w:rsidP="00236468">
      <w:pPr>
        <w:ind w:right="-7"/>
        <w:jc w:val="center"/>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Código Reglamentario Municipal de Toluca</w:t>
      </w:r>
    </w:p>
    <w:p w:rsidR="007766D6" w:rsidRPr="00586164" w:rsidRDefault="007766D6" w:rsidP="00236468">
      <w:pPr>
        <w:ind w:right="-7"/>
        <w:jc w:val="center"/>
        <w:rPr>
          <w:rFonts w:ascii="Palatino Linotype" w:eastAsia="Palatino Linotype" w:hAnsi="Palatino Linotype" w:cs="Palatino Linotype"/>
          <w:b/>
          <w:i/>
          <w:color w:val="000000" w:themeColor="text1"/>
        </w:rPr>
      </w:pPr>
    </w:p>
    <w:p w:rsidR="007766D6" w:rsidRPr="00586164" w:rsidRDefault="007766D6" w:rsidP="00236468">
      <w:pPr>
        <w:ind w:right="-7"/>
        <w:jc w:val="center"/>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 xml:space="preserve">DE LA ELECCIÓN DE LAS Y LOS DELEGADOS Y LAS Y LOS SUBDELEGADOS </w:t>
      </w:r>
    </w:p>
    <w:p w:rsidR="007766D6" w:rsidRPr="00586164" w:rsidRDefault="007766D6" w:rsidP="00236468">
      <w:pPr>
        <w:ind w:right="-7"/>
        <w:jc w:val="both"/>
        <w:rPr>
          <w:rFonts w:ascii="Palatino Linotype" w:eastAsia="Palatino Linotype" w:hAnsi="Palatino Linotype" w:cs="Palatino Linotype"/>
          <w:i/>
          <w:color w:val="000000" w:themeColor="text1"/>
        </w:rPr>
      </w:pPr>
    </w:p>
    <w:p w:rsidR="007766D6" w:rsidRPr="00586164" w:rsidRDefault="007766D6" w:rsidP="00236468">
      <w:pPr>
        <w:ind w:right="-7"/>
        <w:jc w:val="both"/>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i/>
          <w:color w:val="000000" w:themeColor="text1"/>
        </w:rPr>
        <w:t xml:space="preserve">Artículo 4.4. </w:t>
      </w:r>
      <w:r w:rsidRPr="00586164">
        <w:rPr>
          <w:rFonts w:ascii="Palatino Linotype" w:eastAsia="Palatino Linotype" w:hAnsi="Palatino Linotype" w:cs="Palatino Linotype"/>
          <w:b/>
          <w:i/>
          <w:color w:val="000000" w:themeColor="text1"/>
        </w:rPr>
        <w:t>La elección</w:t>
      </w:r>
      <w:r w:rsidRPr="00586164">
        <w:rPr>
          <w:rFonts w:ascii="Palatino Linotype" w:eastAsia="Palatino Linotype" w:hAnsi="Palatino Linotype" w:cs="Palatino Linotype"/>
          <w:i/>
          <w:color w:val="000000" w:themeColor="text1"/>
        </w:rPr>
        <w:t xml:space="preserve"> de las y los Delegados y las y los Subdelegados </w:t>
      </w:r>
      <w:r w:rsidRPr="00586164">
        <w:rPr>
          <w:rFonts w:ascii="Palatino Linotype" w:eastAsia="Palatino Linotype" w:hAnsi="Palatino Linotype" w:cs="Palatino Linotype"/>
          <w:b/>
          <w:i/>
          <w:color w:val="000000" w:themeColor="text1"/>
        </w:rPr>
        <w:t>se realizará</w:t>
      </w:r>
      <w:r w:rsidRPr="00586164">
        <w:rPr>
          <w:rFonts w:ascii="Palatino Linotype" w:eastAsia="Palatino Linotype" w:hAnsi="Palatino Linotype" w:cs="Palatino Linotype"/>
          <w:i/>
          <w:color w:val="000000" w:themeColor="text1"/>
        </w:rPr>
        <w:t xml:space="preserve"> en la fecha señalada en la convocatoria, </w:t>
      </w:r>
      <w:r w:rsidRPr="00586164">
        <w:rPr>
          <w:rFonts w:ascii="Palatino Linotype" w:eastAsia="Palatino Linotype" w:hAnsi="Palatino Linotype" w:cs="Palatino Linotype"/>
          <w:b/>
          <w:i/>
          <w:color w:val="000000" w:themeColor="text1"/>
        </w:rPr>
        <w:t>entre el segundo domingo de marzo y el 30 de ese mes del primer año de gobierno del Ayuntamiento.</w:t>
      </w:r>
    </w:p>
    <w:p w:rsidR="007766D6" w:rsidRPr="00586164" w:rsidRDefault="007766D6" w:rsidP="00236468">
      <w:pPr>
        <w:ind w:right="-7"/>
        <w:jc w:val="both"/>
        <w:rPr>
          <w:rFonts w:ascii="Palatino Linotype" w:eastAsia="Palatino Linotype" w:hAnsi="Palatino Linotype" w:cs="Palatino Linotype"/>
          <w:b/>
          <w:i/>
          <w:color w:val="000000" w:themeColor="text1"/>
        </w:rPr>
      </w:pPr>
    </w:p>
    <w:p w:rsidR="007766D6" w:rsidRPr="00586164" w:rsidRDefault="007766D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La convocatoria deberá expedirse cuando menos diez días antes de la elección. Sus nombramientos serán firmados por la o el Presidente Municipal y la o el Secretario del Ayuntamiento, entregándose a los electos a más tardar el día en que entren en funciones, que será el 15 de abril del mismo año. </w:t>
      </w:r>
    </w:p>
    <w:p w:rsidR="007766D6" w:rsidRPr="00586164" w:rsidRDefault="007766D6" w:rsidP="00236468">
      <w:pPr>
        <w:ind w:right="-7"/>
        <w:jc w:val="both"/>
        <w:rPr>
          <w:rFonts w:ascii="Palatino Linotype" w:eastAsia="Palatino Linotype" w:hAnsi="Palatino Linotype" w:cs="Palatino Linotype"/>
          <w:i/>
          <w:color w:val="000000" w:themeColor="text1"/>
        </w:rPr>
      </w:pPr>
    </w:p>
    <w:p w:rsidR="007766D6" w:rsidRPr="00586164" w:rsidRDefault="007766D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El presente Código Reglamentario contempla la elección de las y los Delegados y las y los Subdelegados mediante voto libre, directo y secreto o designación por el Ayuntamiento, según sea el caso, lo cual se llevará a cabo de la siguiente manera: </w:t>
      </w:r>
    </w:p>
    <w:p w:rsidR="007766D6" w:rsidRPr="00586164" w:rsidRDefault="007766D6" w:rsidP="00236468">
      <w:pPr>
        <w:ind w:right="-7"/>
        <w:jc w:val="both"/>
        <w:rPr>
          <w:rFonts w:ascii="Palatino Linotype" w:eastAsia="Palatino Linotype" w:hAnsi="Palatino Linotype" w:cs="Palatino Linotype"/>
          <w:i/>
          <w:color w:val="000000" w:themeColor="text1"/>
        </w:rPr>
      </w:pPr>
    </w:p>
    <w:p w:rsidR="007766D6" w:rsidRPr="00586164" w:rsidRDefault="007766D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I. Elección mediante voto libre, directo y secreto. </w:t>
      </w:r>
    </w:p>
    <w:p w:rsidR="007766D6" w:rsidRPr="00586164" w:rsidRDefault="007766D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Se realizará en aquellas circunscripciones territoriales en donde se registraron dos o más planillas, la Comisión Edilicia Transitoria instalará las mesas receptoras de votos necesarias en cada circunscripción territorial enunciada en el Bando Municipal, para determinar la voluntad de los ciudadanos, garantizando los principios de certeza, imparcialidad, independencia, legalidad, máxima publicidad, objetividad y paridad de género; </w:t>
      </w:r>
    </w:p>
    <w:p w:rsidR="007766D6" w:rsidRPr="00586164" w:rsidRDefault="007766D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II. Designación por el Ayuntamiento. </w:t>
      </w:r>
    </w:p>
    <w:p w:rsidR="007766D6" w:rsidRPr="00586164" w:rsidRDefault="007766D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En aquellas circunscripciones territoriales en donde no se registró planilla, será facultad del Ayuntamiento designar a las y los Delegados y subdelegados correspondientes, a efecto de que las circunscripciones territoriales cuenten con representación; y En aquellas circunscripciones territoriales, donde se registre una sola planilla, será ésta la que entrará en funciones para el periodo correspondiente.</w:t>
      </w:r>
    </w:p>
    <w:p w:rsidR="00F52B2C" w:rsidRPr="00586164" w:rsidRDefault="00F52B2C" w:rsidP="00236468">
      <w:pPr>
        <w:ind w:right="-7"/>
        <w:jc w:val="center"/>
        <w:rPr>
          <w:rFonts w:ascii="Palatino Linotype" w:eastAsia="Palatino Linotype" w:hAnsi="Palatino Linotype" w:cs="Palatino Linotype"/>
          <w:b/>
          <w:i/>
          <w:color w:val="000000" w:themeColor="text1"/>
        </w:rPr>
      </w:pPr>
    </w:p>
    <w:p w:rsidR="00CC7C8C" w:rsidRPr="00586164" w:rsidRDefault="00CC7C8C" w:rsidP="00236468">
      <w:pPr>
        <w:ind w:right="-7"/>
        <w:jc w:val="both"/>
        <w:rPr>
          <w:rFonts w:ascii="Palatino Linotype" w:eastAsia="Palatino Linotype" w:hAnsi="Palatino Linotype" w:cs="Palatino Linotype"/>
          <w:b/>
          <w:i/>
          <w:color w:val="000000" w:themeColor="text1"/>
        </w:rPr>
      </w:pPr>
    </w:p>
    <w:p w:rsidR="00FA238E" w:rsidRPr="00586164" w:rsidRDefault="00D27932"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bookmarkStart w:id="7" w:name="_heading=h.q8k59z41fr3g" w:colFirst="0" w:colLast="0"/>
      <w:bookmarkEnd w:id="7"/>
      <w:r w:rsidRPr="00586164">
        <w:rPr>
          <w:rFonts w:ascii="Palatino Linotype" w:eastAsia="Palatino Linotype" w:hAnsi="Palatino Linotype" w:cs="Palatino Linotype"/>
          <w:color w:val="000000" w:themeColor="text1"/>
        </w:rPr>
        <w:t xml:space="preserve">Del análisis de la normatividad referida es de precisar que </w:t>
      </w:r>
      <w:r w:rsidR="00FA238E" w:rsidRPr="00586164">
        <w:rPr>
          <w:rFonts w:ascii="Palatino Linotype" w:eastAsia="Palatino Linotype" w:hAnsi="Palatino Linotype" w:cs="Palatino Linotype"/>
          <w:color w:val="000000" w:themeColor="text1"/>
        </w:rPr>
        <w:t xml:space="preserve">la elección de las y los Delegados y las y los Subdelegados se realizará en la fecha señalada en la convocatoria, entre el segundo domingo de marzo y el 30 de ese mes del primer año de gobierno del Ayuntamiento, de tal forma que en la Gaceta Municipal Especial de fecha 26 de febrero de 2025, volumen cinco, año uno, consultable en el link </w:t>
      </w:r>
      <w:hyperlink r:id="rId8" w:history="1">
        <w:r w:rsidR="00FA238E" w:rsidRPr="00586164">
          <w:rPr>
            <w:rStyle w:val="Hipervnculo"/>
            <w:rFonts w:ascii="Palatino Linotype" w:eastAsia="Palatino Linotype" w:hAnsi="Palatino Linotype" w:cs="Palatino Linotype"/>
            <w:color w:val="000000" w:themeColor="text1"/>
          </w:rPr>
          <w:t>https://www2.toluca.gob.mx/wp-content/uploads/2025/03/05-Gaceta-26-de-febrero-de-2025.pdf</w:t>
        </w:r>
      </w:hyperlink>
      <w:r w:rsidR="00FA238E" w:rsidRPr="00586164">
        <w:rPr>
          <w:rFonts w:ascii="Palatino Linotype" w:eastAsia="Palatino Linotype" w:hAnsi="Palatino Linotype" w:cs="Palatino Linotype"/>
          <w:color w:val="000000" w:themeColor="text1"/>
        </w:rPr>
        <w:t xml:space="preserve"> se aprueba la </w:t>
      </w:r>
      <w:r w:rsidR="00493CBB" w:rsidRPr="00586164">
        <w:rPr>
          <w:rFonts w:ascii="Palatino Linotype" w:eastAsia="Palatino Linotype" w:hAnsi="Palatino Linotype" w:cs="Palatino Linotype"/>
          <w:color w:val="000000" w:themeColor="text1"/>
        </w:rPr>
        <w:t>convocatoria para la elección de Delegados y Subdelegados del Municipio de Toluca.</w:t>
      </w:r>
    </w:p>
    <w:p w:rsidR="00493CBB" w:rsidRPr="00586164" w:rsidRDefault="00493CBB" w:rsidP="00236468">
      <w:pPr>
        <w:spacing w:line="360" w:lineRule="auto"/>
        <w:ind w:right="-7"/>
        <w:jc w:val="both"/>
        <w:rPr>
          <w:rFonts w:ascii="Palatino Linotype" w:eastAsia="Palatino Linotype" w:hAnsi="Palatino Linotype" w:cs="Palatino Linotype"/>
          <w:color w:val="000000" w:themeColor="text1"/>
        </w:rPr>
      </w:pPr>
    </w:p>
    <w:p w:rsidR="00493CBB" w:rsidRDefault="00493CBB"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Dicha convocatoria en su base octava, establece que – </w:t>
      </w:r>
      <w:r w:rsidRPr="00586164">
        <w:rPr>
          <w:rFonts w:ascii="Palatino Linotype" w:eastAsia="Palatino Linotype" w:hAnsi="Palatino Linotype" w:cs="Palatino Linotype"/>
          <w:b/>
          <w:color w:val="000000" w:themeColor="text1"/>
        </w:rPr>
        <w:t>El periodo de registro de planillas</w:t>
      </w:r>
      <w:r w:rsidRPr="00586164">
        <w:rPr>
          <w:rFonts w:ascii="Palatino Linotype" w:eastAsia="Palatino Linotype" w:hAnsi="Palatino Linotype" w:cs="Palatino Linotype"/>
          <w:color w:val="000000" w:themeColor="text1"/>
        </w:rPr>
        <w:t xml:space="preserve"> para delegados quedará abierto el día lunes 10 de marzo de 2025, en un horario de 10:00 a 18:00 horas y para subdelegados el día martes 11 de marzo de 2025, en un horario de 10:00 a 18:00 hora. En la base décimo séptima, establece - </w:t>
      </w:r>
      <w:r w:rsidRPr="00586164">
        <w:rPr>
          <w:rFonts w:ascii="Palatino Linotype" w:eastAsia="Palatino Linotype" w:hAnsi="Palatino Linotype" w:cs="Palatino Linotype"/>
          <w:b/>
          <w:color w:val="000000" w:themeColor="text1"/>
        </w:rPr>
        <w:t xml:space="preserve">La elección de Delegados y </w:t>
      </w:r>
      <w:r w:rsidRPr="00586164">
        <w:rPr>
          <w:rFonts w:ascii="Palatino Linotype" w:eastAsia="Palatino Linotype" w:hAnsi="Palatino Linotype" w:cs="Palatino Linotype"/>
          <w:b/>
          <w:color w:val="000000" w:themeColor="text1"/>
        </w:rPr>
        <w:lastRenderedPageBreak/>
        <w:t>Subdelegados</w:t>
      </w:r>
      <w:r w:rsidRPr="00586164">
        <w:rPr>
          <w:rFonts w:ascii="Palatino Linotype" w:eastAsia="Palatino Linotype" w:hAnsi="Palatino Linotype" w:cs="Palatino Linotype"/>
          <w:color w:val="000000" w:themeColor="text1"/>
        </w:rPr>
        <w:t xml:space="preserve">, se llevará a cabo el </w:t>
      </w:r>
      <w:r w:rsidRPr="00586164">
        <w:rPr>
          <w:rFonts w:ascii="Palatino Linotype" w:eastAsia="Palatino Linotype" w:hAnsi="Palatino Linotype" w:cs="Palatino Linotype"/>
          <w:b/>
          <w:color w:val="000000" w:themeColor="text1"/>
        </w:rPr>
        <w:t>domingo 30 de marzo del presente año</w:t>
      </w:r>
      <w:r w:rsidRPr="00586164">
        <w:rPr>
          <w:rFonts w:ascii="Palatino Linotype" w:eastAsia="Palatino Linotype" w:hAnsi="Palatino Linotype" w:cs="Palatino Linotype"/>
          <w:color w:val="000000" w:themeColor="text1"/>
        </w:rPr>
        <w:t>, mediante el sufragio libre, secreto, directo, personal e intransferible, en el horario comprendido de 10:00 a 17:00 horas, en cada una de las Delegaciones y Subdelegaciones.</w:t>
      </w:r>
    </w:p>
    <w:p w:rsidR="00C72430" w:rsidRDefault="00C72430" w:rsidP="00C72430">
      <w:pPr>
        <w:pStyle w:val="Prrafodelista"/>
        <w:rPr>
          <w:rFonts w:ascii="Palatino Linotype" w:eastAsia="Palatino Linotype" w:hAnsi="Palatino Linotype" w:cs="Palatino Linotype"/>
          <w:color w:val="000000" w:themeColor="text1"/>
        </w:rPr>
      </w:pPr>
    </w:p>
    <w:p w:rsidR="00C72430" w:rsidRPr="00586164" w:rsidRDefault="00C72430" w:rsidP="00C72430">
      <w:pPr>
        <w:spacing w:line="360" w:lineRule="auto"/>
        <w:ind w:right="-7"/>
        <w:jc w:val="both"/>
        <w:rPr>
          <w:rFonts w:ascii="Palatino Linotype" w:eastAsia="Palatino Linotype" w:hAnsi="Palatino Linotype" w:cs="Palatino Linotype"/>
          <w:color w:val="000000" w:themeColor="text1"/>
        </w:rPr>
      </w:pPr>
    </w:p>
    <w:p w:rsidR="00D91241" w:rsidRPr="00586164" w:rsidRDefault="00D91241"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El Manual de Organización del Proceso Electoral para la Renovación de Delegados, Subdelegados y Consejos de Participación Ciudadana del Municipio de Toluca, México 2025, </w:t>
      </w:r>
      <w:r w:rsidR="00A82ED1" w:rsidRPr="00586164">
        <w:rPr>
          <w:rFonts w:ascii="Palatino Linotype" w:eastAsia="Palatino Linotype" w:hAnsi="Palatino Linotype" w:cs="Palatino Linotype"/>
          <w:color w:val="000000" w:themeColor="text1"/>
        </w:rPr>
        <w:t xml:space="preserve">consultable en el link </w:t>
      </w:r>
      <w:hyperlink r:id="rId9" w:history="1">
        <w:r w:rsidR="00A82ED1" w:rsidRPr="00586164">
          <w:rPr>
            <w:rStyle w:val="Hipervnculo"/>
            <w:rFonts w:ascii="Palatino Linotype" w:eastAsia="Palatino Linotype" w:hAnsi="Palatino Linotype" w:cs="Palatino Linotype"/>
            <w:color w:val="000000" w:themeColor="text1"/>
          </w:rPr>
          <w:t>https://www2.toluca.gob.mx/wp-content/uploads/2025/02/manual_org_28_02_25_APROBADO.pdf</w:t>
        </w:r>
      </w:hyperlink>
      <w:r w:rsidR="00A82ED1" w:rsidRPr="00586164">
        <w:rPr>
          <w:rFonts w:ascii="Palatino Linotype" w:eastAsia="Palatino Linotype" w:hAnsi="Palatino Linotype" w:cs="Palatino Linotype"/>
          <w:color w:val="000000" w:themeColor="text1"/>
        </w:rPr>
        <w:t xml:space="preserve"> </w:t>
      </w:r>
      <w:r w:rsidRPr="00586164">
        <w:rPr>
          <w:rFonts w:ascii="Palatino Linotype" w:eastAsia="Palatino Linotype" w:hAnsi="Palatino Linotype" w:cs="Palatino Linotype"/>
          <w:color w:val="000000" w:themeColor="text1"/>
        </w:rPr>
        <w:t>establece en el anexo 1, calendario electoral</w:t>
      </w:r>
      <w:r w:rsidR="00FA1A3C" w:rsidRPr="00586164">
        <w:rPr>
          <w:rFonts w:ascii="Palatino Linotype" w:eastAsia="Palatino Linotype" w:hAnsi="Palatino Linotype" w:cs="Palatino Linotype"/>
          <w:color w:val="000000" w:themeColor="text1"/>
        </w:rPr>
        <w:t xml:space="preserve">, dentro de las fechas relevantes para el caso concreto, </w:t>
      </w:r>
      <w:r w:rsidRPr="00586164">
        <w:rPr>
          <w:rFonts w:ascii="Palatino Linotype" w:eastAsia="Palatino Linotype" w:hAnsi="Palatino Linotype" w:cs="Palatino Linotype"/>
          <w:color w:val="000000" w:themeColor="text1"/>
        </w:rPr>
        <w:t xml:space="preserve">el inicio de publicación de la convocatoria el 26 de febrero, </w:t>
      </w:r>
      <w:r w:rsidR="00FA1A3C" w:rsidRPr="00586164">
        <w:rPr>
          <w:rFonts w:ascii="Palatino Linotype" w:eastAsia="Palatino Linotype" w:hAnsi="Palatino Linotype" w:cs="Palatino Linotype"/>
          <w:color w:val="000000" w:themeColor="text1"/>
        </w:rPr>
        <w:t>la publicación final de las planillas procedentes el 20 de marzo, el inicio de impresión de la documentación electoral el 22 de marzo y la jornada electiva el 30 de marzo.</w:t>
      </w:r>
    </w:p>
    <w:p w:rsidR="00A82ED1" w:rsidRPr="00586164" w:rsidRDefault="00A82ED1" w:rsidP="00236468">
      <w:pPr>
        <w:spacing w:line="360" w:lineRule="auto"/>
        <w:ind w:right="-7"/>
        <w:jc w:val="center"/>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noProof/>
          <w:color w:val="000000" w:themeColor="text1"/>
          <w:lang w:val="es-MX"/>
        </w:rPr>
        <w:lastRenderedPageBreak/>
        <w:drawing>
          <wp:inline distT="0" distB="0" distL="0" distR="0" wp14:anchorId="6D13E011" wp14:editId="23531F0C">
            <wp:extent cx="3712033" cy="4212430"/>
            <wp:effectExtent l="152400" t="152400" r="365125" b="3600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27120" cy="4229551"/>
                    </a:xfrm>
                    <a:prstGeom prst="rect">
                      <a:avLst/>
                    </a:prstGeom>
                    <a:ln>
                      <a:noFill/>
                    </a:ln>
                    <a:effectLst>
                      <a:outerShdw blurRad="292100" dist="139700" dir="2700000" algn="tl" rotWithShape="0">
                        <a:srgbClr val="333333">
                          <a:alpha val="65000"/>
                        </a:srgbClr>
                      </a:outerShdw>
                    </a:effectLst>
                  </pic:spPr>
                </pic:pic>
              </a:graphicData>
            </a:graphic>
          </wp:inline>
        </w:drawing>
      </w:r>
    </w:p>
    <w:p w:rsidR="00FA1A3C" w:rsidRPr="00586164" w:rsidRDefault="00A82ED1" w:rsidP="00236468">
      <w:pPr>
        <w:spacing w:line="360" w:lineRule="auto"/>
        <w:ind w:right="-7"/>
        <w:jc w:val="center"/>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noProof/>
          <w:color w:val="000000" w:themeColor="text1"/>
          <w:lang w:val="es-MX"/>
        </w:rPr>
        <w:lastRenderedPageBreak/>
        <w:drawing>
          <wp:inline distT="0" distB="0" distL="0" distR="0" wp14:anchorId="27F6085D" wp14:editId="3AD3EA36">
            <wp:extent cx="4948201" cy="2773504"/>
            <wp:effectExtent l="152400" t="152400" r="367030" b="3702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0142" cy="2780197"/>
                    </a:xfrm>
                    <a:prstGeom prst="rect">
                      <a:avLst/>
                    </a:prstGeom>
                    <a:ln>
                      <a:noFill/>
                    </a:ln>
                    <a:effectLst>
                      <a:outerShdw blurRad="292100" dist="139700" dir="2700000" algn="tl" rotWithShape="0">
                        <a:srgbClr val="333333">
                          <a:alpha val="65000"/>
                        </a:srgbClr>
                      </a:outerShdw>
                    </a:effectLst>
                  </pic:spPr>
                </pic:pic>
              </a:graphicData>
            </a:graphic>
          </wp:inline>
        </w:drawing>
      </w:r>
    </w:p>
    <w:p w:rsidR="0021780D" w:rsidRPr="00586164" w:rsidRDefault="00FA1A3C" w:rsidP="00236468">
      <w:pPr>
        <w:numPr>
          <w:ilvl w:val="0"/>
          <w:numId w:val="5"/>
        </w:numPr>
        <w:spacing w:line="360" w:lineRule="auto"/>
        <w:ind w:left="0" w:right="-7" w:firstLine="0"/>
        <w:jc w:val="both"/>
        <w:rPr>
          <w:rFonts w:ascii="Palatino Linotype" w:eastAsia="Palatino Linotype" w:hAnsi="Palatino Linotype" w:cs="Palatino Linotype"/>
          <w:b/>
          <w:color w:val="000000" w:themeColor="text1"/>
          <w:u w:val="single"/>
        </w:rPr>
      </w:pPr>
      <w:r w:rsidRPr="00586164">
        <w:rPr>
          <w:rFonts w:ascii="Palatino Linotype" w:eastAsia="Palatino Linotype" w:hAnsi="Palatino Linotype" w:cs="Palatino Linotype"/>
          <w:color w:val="000000" w:themeColor="text1"/>
        </w:rPr>
        <w:t xml:space="preserve">En razón de lo expuesto es evidente que la información solicitada relativa a </w:t>
      </w:r>
      <w:r w:rsidRPr="00586164">
        <w:rPr>
          <w:rFonts w:ascii="Palatino Linotype" w:eastAsia="Palatino Linotype" w:hAnsi="Palatino Linotype" w:cs="Palatino Linotype"/>
          <w:i/>
          <w:color w:val="000000" w:themeColor="text1"/>
        </w:rPr>
        <w:t xml:space="preserve">Una boleta de cada una de las delegaciones que integra Toluca, El nombre de representantes del municipio por mesa por delegación y subdelegación y Los resultados de cada planilla, </w:t>
      </w:r>
      <w:r w:rsidRPr="00586164">
        <w:rPr>
          <w:rFonts w:ascii="Palatino Linotype" w:eastAsia="Palatino Linotype" w:hAnsi="Palatino Linotype" w:cs="Palatino Linotype"/>
          <w:color w:val="000000" w:themeColor="text1"/>
        </w:rPr>
        <w:t xml:space="preserve">no se había generado a la fecha de la solicitud por no haberse desarrollado aún la jornada electoral; asimismo, </w:t>
      </w:r>
      <w:r w:rsidRPr="00586164">
        <w:rPr>
          <w:rFonts w:ascii="Palatino Linotype" w:eastAsia="Palatino Linotype" w:hAnsi="Palatino Linotype" w:cs="Palatino Linotype"/>
          <w:i/>
          <w:color w:val="000000" w:themeColor="text1"/>
        </w:rPr>
        <w:t>El modelo de la boleta</w:t>
      </w:r>
      <w:r w:rsidRPr="00586164">
        <w:rPr>
          <w:rFonts w:ascii="Palatino Linotype" w:eastAsia="Palatino Linotype" w:hAnsi="Palatino Linotype" w:cs="Palatino Linotype"/>
          <w:color w:val="000000" w:themeColor="text1"/>
        </w:rPr>
        <w:t>, a la fecha de la solicitud es una documental que podía no obrar aún en los archivos del Sujeto Obligado, máxime el pronunciamiento del servidor público habilitado de la unidad administrativa competente</w:t>
      </w:r>
      <w:r w:rsidR="003F0C67" w:rsidRPr="00586164">
        <w:rPr>
          <w:rFonts w:ascii="Palatino Linotype" w:eastAsia="Palatino Linotype" w:hAnsi="Palatino Linotype" w:cs="Palatino Linotype"/>
          <w:color w:val="000000" w:themeColor="text1"/>
        </w:rPr>
        <w:t>,</w:t>
      </w:r>
      <w:r w:rsidRPr="00586164">
        <w:rPr>
          <w:rFonts w:ascii="Palatino Linotype" w:eastAsia="Palatino Linotype" w:hAnsi="Palatino Linotype" w:cs="Palatino Linotype"/>
          <w:color w:val="000000" w:themeColor="text1"/>
        </w:rPr>
        <w:t xml:space="preserve"> que señalo </w:t>
      </w:r>
      <w:r w:rsidR="005E2BA7" w:rsidRPr="00586164">
        <w:rPr>
          <w:rFonts w:ascii="Palatino Linotype" w:eastAsia="Palatino Linotype" w:hAnsi="Palatino Linotype" w:cs="Palatino Linotype"/>
          <w:color w:val="000000" w:themeColor="text1"/>
        </w:rPr>
        <w:t>que después de la búsqueda exhaustiva y razonable en los archivos de la misma, no se localizó documental que diera atención al requerimiento realizado, en virtud de encontrarse en proceso la renovación de autoridades auxiliares</w:t>
      </w:r>
      <w:r w:rsidR="0021780D" w:rsidRPr="00586164">
        <w:rPr>
          <w:rFonts w:ascii="Palatino Linotype" w:eastAsia="Palatino Linotype" w:hAnsi="Palatino Linotype" w:cs="Palatino Linotype"/>
          <w:color w:val="000000" w:themeColor="text1"/>
        </w:rPr>
        <w:t xml:space="preserve">, respuesta ratificada en Informe Justificado; por lo que es de referir que, </w:t>
      </w:r>
      <w:r w:rsidR="0021780D" w:rsidRPr="00586164">
        <w:rPr>
          <w:rFonts w:ascii="Palatino Linotype" w:eastAsia="Palatino Linotype" w:hAnsi="Palatino Linotype" w:cs="Palatino Linotype"/>
          <w:b/>
          <w:color w:val="000000" w:themeColor="text1"/>
        </w:rPr>
        <w:t>nos encontramos ante un hecho negativo</w:t>
      </w:r>
      <w:r w:rsidR="0021780D" w:rsidRPr="00586164">
        <w:rPr>
          <w:rFonts w:ascii="Palatino Linotype" w:eastAsia="Palatino Linotype" w:hAnsi="Palatino Linotype" w:cs="Palatino Linotype"/>
          <w:color w:val="000000" w:themeColor="text1"/>
        </w:rPr>
        <w:t xml:space="preserve">, por lo que no resulta aplicable el artículo 19, de la Ley de la materia que nos constriñe a la emisión de un acuerdo de inexistencia, resultando aplicable la siguiente tesis: </w:t>
      </w:r>
    </w:p>
    <w:p w:rsidR="0021780D" w:rsidRPr="00586164" w:rsidRDefault="0021780D" w:rsidP="0023646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lastRenderedPageBreak/>
        <w:t>«</w:t>
      </w:r>
      <w:r w:rsidRPr="00586164">
        <w:rPr>
          <w:rFonts w:ascii="Palatino Linotype" w:eastAsia="Palatino Linotype" w:hAnsi="Palatino Linotype" w:cs="Palatino Linotype"/>
          <w:b/>
          <w:i/>
          <w:color w:val="000000" w:themeColor="text1"/>
        </w:rPr>
        <w:t>HECHOS NEGATIVOS, NO SON SUSCEPTIBLES DE DEMOSTRACIÓN.</w:t>
      </w:r>
    </w:p>
    <w:p w:rsidR="0021780D" w:rsidRPr="00586164" w:rsidRDefault="0021780D" w:rsidP="0023646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21780D" w:rsidRPr="00586164" w:rsidRDefault="0021780D" w:rsidP="00236468">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21780D" w:rsidRPr="00586164" w:rsidRDefault="0021780D" w:rsidP="0023646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21780D" w:rsidRPr="00586164" w:rsidRDefault="0021780D" w:rsidP="00236468">
      <w:pPr>
        <w:spacing w:line="360" w:lineRule="auto"/>
        <w:ind w:right="-7"/>
        <w:jc w:val="both"/>
        <w:rPr>
          <w:rFonts w:ascii="Palatino Linotype" w:eastAsia="Palatino Linotype" w:hAnsi="Palatino Linotype" w:cs="Palatino Linotype"/>
          <w:color w:val="000000" w:themeColor="text1"/>
        </w:rPr>
      </w:pPr>
    </w:p>
    <w:p w:rsidR="0021780D" w:rsidRPr="00586164" w:rsidRDefault="0021780D" w:rsidP="00236468">
      <w:pPr>
        <w:numPr>
          <w:ilvl w:val="0"/>
          <w:numId w:val="5"/>
        </w:numPr>
        <w:spacing w:line="360" w:lineRule="auto"/>
        <w:ind w:left="0" w:right="-7" w:firstLine="0"/>
        <w:jc w:val="both"/>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color w:val="000000" w:themeColor="text1"/>
        </w:rPr>
        <w:t xml:space="preserve">De lo que se desprende que es materialmente imposible realizar la entrega de alguna documental que no ha generado el </w:t>
      </w:r>
      <w:r w:rsidRPr="00586164">
        <w:rPr>
          <w:rFonts w:ascii="Palatino Linotype" w:eastAsia="Palatino Linotype" w:hAnsi="Palatino Linotype" w:cs="Palatino Linotype"/>
          <w:b/>
          <w:color w:val="000000" w:themeColor="text1"/>
        </w:rPr>
        <w:t>SUJETO OBLIGADO</w:t>
      </w:r>
      <w:r w:rsidRPr="00586164">
        <w:rPr>
          <w:rFonts w:ascii="Palatino Linotype" w:eastAsia="Palatino Linotype" w:hAnsi="Palatino Linotype" w:cs="Palatino Linotype"/>
          <w:color w:val="000000" w:themeColor="text1"/>
        </w:rPr>
        <w:t xml:space="preserve">, por lo que el requerimiento hecho por el particular </w:t>
      </w:r>
      <w:r w:rsidRPr="00586164">
        <w:rPr>
          <w:rFonts w:ascii="Palatino Linotype" w:eastAsia="Palatino Linotype" w:hAnsi="Palatino Linotype" w:cs="Palatino Linotype"/>
          <w:b/>
          <w:color w:val="000000" w:themeColor="text1"/>
        </w:rPr>
        <w:t>se tiene por atendido de manera parcial</w:t>
      </w:r>
      <w:r w:rsidRPr="00586164">
        <w:rPr>
          <w:rFonts w:ascii="Palatino Linotype" w:eastAsia="Palatino Linotype" w:hAnsi="Palatino Linotype" w:cs="Palatino Linotype"/>
          <w:color w:val="000000" w:themeColor="text1"/>
        </w:rPr>
        <w:t>.</w:t>
      </w:r>
    </w:p>
    <w:p w:rsidR="0021780D" w:rsidRPr="00586164" w:rsidRDefault="0021780D" w:rsidP="00236468">
      <w:pPr>
        <w:spacing w:line="360" w:lineRule="auto"/>
        <w:ind w:right="-7"/>
        <w:jc w:val="both"/>
        <w:rPr>
          <w:rFonts w:ascii="Palatino Linotype" w:eastAsia="Palatino Linotype" w:hAnsi="Palatino Linotype" w:cs="Palatino Linotype"/>
          <w:b/>
          <w:color w:val="000000" w:themeColor="text1"/>
        </w:rPr>
      </w:pPr>
    </w:p>
    <w:p w:rsidR="00D72906" w:rsidRPr="00586164" w:rsidRDefault="0021780D" w:rsidP="00236468">
      <w:pPr>
        <w:numPr>
          <w:ilvl w:val="0"/>
          <w:numId w:val="5"/>
        </w:numPr>
        <w:spacing w:line="360" w:lineRule="auto"/>
        <w:ind w:left="0" w:right="-7" w:firstLine="0"/>
        <w:jc w:val="both"/>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color w:val="000000" w:themeColor="text1"/>
        </w:rPr>
        <w:t xml:space="preserve">Ahora bien, respecto del punto de solicitud relativo a </w:t>
      </w:r>
      <w:r w:rsidR="00FA1A3C" w:rsidRPr="00586164">
        <w:rPr>
          <w:rFonts w:ascii="Palatino Linotype" w:eastAsia="Palatino Linotype" w:hAnsi="Palatino Linotype" w:cs="Palatino Linotype"/>
          <w:i/>
          <w:color w:val="000000" w:themeColor="text1"/>
        </w:rPr>
        <w:t>El presupu</w:t>
      </w:r>
      <w:r w:rsidRPr="00586164">
        <w:rPr>
          <w:rFonts w:ascii="Palatino Linotype" w:eastAsia="Palatino Linotype" w:hAnsi="Palatino Linotype" w:cs="Palatino Linotype"/>
          <w:i/>
          <w:color w:val="000000" w:themeColor="text1"/>
        </w:rPr>
        <w:t>esto asignado para cada proceso</w:t>
      </w:r>
      <w:r w:rsidRPr="00586164">
        <w:rPr>
          <w:rFonts w:ascii="Palatino Linotype" w:eastAsia="Palatino Linotype" w:hAnsi="Palatino Linotype" w:cs="Palatino Linotype"/>
          <w:color w:val="000000" w:themeColor="text1"/>
        </w:rPr>
        <w:t xml:space="preserve">, es de </w:t>
      </w:r>
      <w:r w:rsidR="00D72906" w:rsidRPr="00586164">
        <w:rPr>
          <w:rFonts w:ascii="Palatino Linotype" w:eastAsia="Palatino Linotype" w:hAnsi="Palatino Linotype" w:cs="Palatino Linotype"/>
          <w:color w:val="000000" w:themeColor="text1"/>
        </w:rPr>
        <w:t xml:space="preserve">En este contexto es de mencionar que de la Ley Orgánica Municipal del Estado de México, y </w:t>
      </w:r>
      <w:r w:rsidR="00260DF5" w:rsidRPr="00586164">
        <w:rPr>
          <w:rFonts w:ascii="Palatino Linotype" w:eastAsia="Palatino Linotype" w:hAnsi="Palatino Linotype" w:cs="Palatino Linotype"/>
          <w:color w:val="000000" w:themeColor="text1"/>
        </w:rPr>
        <w:t xml:space="preserve">el </w:t>
      </w:r>
      <w:r w:rsidR="00D72906" w:rsidRPr="00586164">
        <w:rPr>
          <w:rFonts w:ascii="Palatino Linotype" w:eastAsia="Palatino Linotype" w:hAnsi="Palatino Linotype" w:cs="Palatino Linotype"/>
          <w:color w:val="000000" w:themeColor="text1"/>
        </w:rPr>
        <w:t xml:space="preserve">Código Reglamentario Municipal, la </w:t>
      </w:r>
      <w:r w:rsidR="00D72906" w:rsidRPr="00586164">
        <w:rPr>
          <w:rFonts w:ascii="Palatino Linotype" w:eastAsia="Palatino Linotype" w:hAnsi="Palatino Linotype" w:cs="Palatino Linotype"/>
          <w:b/>
          <w:color w:val="000000" w:themeColor="text1"/>
        </w:rPr>
        <w:t xml:space="preserve">Tesorería Municipal </w:t>
      </w:r>
      <w:r w:rsidR="00D72906" w:rsidRPr="00586164">
        <w:rPr>
          <w:rFonts w:ascii="Palatino Linotype" w:eastAsia="Palatino Linotype" w:hAnsi="Palatino Linotype" w:cs="Palatino Linotype"/>
          <w:color w:val="000000" w:themeColor="text1"/>
        </w:rPr>
        <w:t>cuenta con las atribuciones y facultades siguientes:</w:t>
      </w:r>
    </w:p>
    <w:p w:rsidR="00D72906" w:rsidRPr="00586164" w:rsidRDefault="00D72906" w:rsidP="00236468">
      <w:pPr>
        <w:ind w:right="-7"/>
        <w:jc w:val="center"/>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Ley Orgánica Municipal del Estado de México</w:t>
      </w:r>
    </w:p>
    <w:p w:rsidR="00D72906" w:rsidRPr="00586164" w:rsidRDefault="00D72906" w:rsidP="00236468">
      <w:pPr>
        <w:ind w:right="-7"/>
        <w:jc w:val="both"/>
        <w:rPr>
          <w:rFonts w:ascii="Palatino Linotype" w:eastAsia="Palatino Linotype" w:hAnsi="Palatino Linotype" w:cs="Palatino Linotype"/>
          <w:i/>
          <w:color w:val="000000" w:themeColor="text1"/>
        </w:rPr>
      </w:pPr>
    </w:p>
    <w:p w:rsidR="00D72906" w:rsidRPr="00586164" w:rsidRDefault="00D72906" w:rsidP="00236468">
      <w:pPr>
        <w:ind w:right="-7"/>
        <w:jc w:val="center"/>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De la Tesorería Municipal</w:t>
      </w:r>
    </w:p>
    <w:p w:rsidR="00D72906" w:rsidRPr="00586164" w:rsidRDefault="00D72906" w:rsidP="00236468">
      <w:pPr>
        <w:ind w:right="-7"/>
        <w:jc w:val="center"/>
        <w:rPr>
          <w:rFonts w:ascii="Palatino Linotype" w:eastAsia="Palatino Linotype" w:hAnsi="Palatino Linotype" w:cs="Palatino Linotype"/>
          <w:b/>
          <w:i/>
          <w:color w:val="000000" w:themeColor="text1"/>
        </w:rPr>
      </w:pPr>
    </w:p>
    <w:p w:rsidR="00D72906" w:rsidRPr="00586164" w:rsidRDefault="00D7290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b/>
          <w:i/>
          <w:color w:val="000000" w:themeColor="text1"/>
        </w:rPr>
        <w:t>Artículo 93.-</w:t>
      </w:r>
      <w:r w:rsidRPr="00586164">
        <w:rPr>
          <w:rFonts w:ascii="Palatino Linotype" w:eastAsia="Palatino Linotype" w:hAnsi="Palatino Linotype" w:cs="Palatino Linotype"/>
          <w:i/>
          <w:color w:val="000000" w:themeColor="text1"/>
        </w:rPr>
        <w:t xml:space="preserve"> La tesorería municipal es el órgano encargado de la recaudación de los ingresos municipales y responsable de realizar las erogaciones que haga el ayuntamiento.</w:t>
      </w:r>
    </w:p>
    <w:p w:rsidR="00D72906" w:rsidRPr="00586164" w:rsidRDefault="00D7290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p>
    <w:p w:rsidR="00D72906" w:rsidRPr="00586164" w:rsidRDefault="00D7290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b/>
          <w:i/>
          <w:color w:val="000000" w:themeColor="text1"/>
        </w:rPr>
        <w:t>Artículo 95.-</w:t>
      </w:r>
      <w:r w:rsidRPr="00586164">
        <w:rPr>
          <w:rFonts w:ascii="Palatino Linotype" w:eastAsia="Palatino Linotype" w:hAnsi="Palatino Linotype" w:cs="Palatino Linotype"/>
          <w:i/>
          <w:color w:val="000000" w:themeColor="text1"/>
        </w:rPr>
        <w:t xml:space="preserve"> Son atribuciones del tesorero municipal:</w:t>
      </w:r>
    </w:p>
    <w:p w:rsidR="00D72906" w:rsidRPr="00586164" w:rsidRDefault="00D72906" w:rsidP="00236468">
      <w:pPr>
        <w:ind w:right="-7"/>
        <w:jc w:val="both"/>
        <w:rPr>
          <w:rFonts w:ascii="Palatino Linotype" w:eastAsia="Palatino Linotype" w:hAnsi="Palatino Linotype" w:cs="Palatino Linotype"/>
          <w:i/>
          <w:color w:val="000000" w:themeColor="text1"/>
        </w:rPr>
      </w:pPr>
    </w:p>
    <w:p w:rsidR="00D72906" w:rsidRPr="00586164" w:rsidRDefault="00D7290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I. Administrar la hacienda pública municipal, de conformidad con las disposiciones legales aplicables;</w:t>
      </w:r>
    </w:p>
    <w:p w:rsidR="00D72906" w:rsidRPr="00586164" w:rsidRDefault="00D7290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p>
    <w:p w:rsidR="00D72906" w:rsidRPr="00586164" w:rsidRDefault="00D7290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IV. Llevar los registros contables, financieros y administrativos de los ingresos, egresos, e inventarios;</w:t>
      </w:r>
    </w:p>
    <w:p w:rsidR="00D72906" w:rsidRPr="00586164" w:rsidRDefault="00D7290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V. Proporcionar oportunamente al ayuntamiento todos los datos o informes que sean necesarios para la formulación del Presupuesto de Egresos Municipales, vigilando que se ajuste a las disposiciones de esta Ley y otros ordenamientos aplicables;</w:t>
      </w:r>
    </w:p>
    <w:p w:rsidR="00D72906" w:rsidRPr="00586164" w:rsidRDefault="00D72906"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lastRenderedPageBreak/>
        <w:t>…</w:t>
      </w:r>
    </w:p>
    <w:p w:rsidR="00D72906" w:rsidRPr="00586164" w:rsidRDefault="00D72906" w:rsidP="00236468">
      <w:pPr>
        <w:ind w:right="-7"/>
        <w:jc w:val="both"/>
        <w:rPr>
          <w:rFonts w:ascii="Palatino Linotype" w:eastAsia="Palatino Linotype" w:hAnsi="Palatino Linotype" w:cs="Palatino Linotype"/>
          <w:i/>
          <w:color w:val="000000" w:themeColor="text1"/>
        </w:rPr>
      </w:pPr>
    </w:p>
    <w:p w:rsidR="00D72906" w:rsidRPr="00586164" w:rsidRDefault="00D72906" w:rsidP="00236468">
      <w:pPr>
        <w:ind w:right="-7"/>
        <w:jc w:val="center"/>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Código Reglamentario Municipal</w:t>
      </w:r>
    </w:p>
    <w:p w:rsidR="00260DF5" w:rsidRPr="00586164" w:rsidRDefault="00260DF5" w:rsidP="00236468">
      <w:pPr>
        <w:ind w:right="-7"/>
        <w:jc w:val="center"/>
        <w:rPr>
          <w:rFonts w:ascii="Palatino Linotype" w:eastAsia="Palatino Linotype" w:hAnsi="Palatino Linotype" w:cs="Palatino Linotype"/>
          <w:b/>
          <w:i/>
          <w:color w:val="000000" w:themeColor="text1"/>
        </w:rPr>
      </w:pPr>
    </w:p>
    <w:p w:rsidR="00260DF5" w:rsidRPr="00586164" w:rsidRDefault="00260DF5"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Artículo 3.21. La o el titular de la Tesorería Municipal tendrá las siguientes atribuciones:</w:t>
      </w:r>
    </w:p>
    <w:p w:rsidR="00260DF5" w:rsidRPr="00586164" w:rsidRDefault="00260DF5"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p>
    <w:p w:rsidR="00260DF5" w:rsidRPr="00586164" w:rsidRDefault="00260DF5"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XV. Proponer al Ayuntamiento los presupuestos de ingresos y egresos los cuales deberán ser elaborados y etiquetados con perspectiva de género, informar de su ejercicio y sugerir las modificaciones, en caso necesario;</w:t>
      </w:r>
    </w:p>
    <w:p w:rsidR="00260DF5" w:rsidRPr="00586164" w:rsidRDefault="00260DF5"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p>
    <w:p w:rsidR="00FA1A3C" w:rsidRPr="00586164" w:rsidRDefault="00FA1A3C" w:rsidP="00236468">
      <w:pPr>
        <w:spacing w:line="360" w:lineRule="auto"/>
        <w:ind w:right="-7"/>
        <w:jc w:val="both"/>
        <w:rPr>
          <w:rFonts w:ascii="Palatino Linotype" w:eastAsia="Palatino Linotype" w:hAnsi="Palatino Linotype" w:cs="Palatino Linotype"/>
          <w:i/>
          <w:color w:val="000000" w:themeColor="text1"/>
        </w:rPr>
      </w:pPr>
    </w:p>
    <w:p w:rsidR="00D72906" w:rsidRPr="00586164" w:rsidRDefault="00D72906"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Ahora bien, es dable esta</w:t>
      </w:r>
      <w:r w:rsidR="00260DF5" w:rsidRPr="00586164">
        <w:rPr>
          <w:rFonts w:ascii="Palatino Linotype" w:eastAsia="Palatino Linotype" w:hAnsi="Palatino Linotype" w:cs="Palatino Linotype"/>
          <w:color w:val="000000" w:themeColor="text1"/>
        </w:rPr>
        <w:t>blecer q</w:t>
      </w:r>
      <w:r w:rsidRPr="00586164">
        <w:rPr>
          <w:rFonts w:ascii="Palatino Linotype" w:eastAsia="Palatino Linotype" w:hAnsi="Palatino Linotype" w:cs="Palatino Linotype"/>
          <w:color w:val="000000" w:themeColor="text1"/>
        </w:rPr>
        <w:t>ue la información solicitada se encuentra relacionada con las obligaciones de transparencia previstas en los artículos 92, fracción VIII y XXV, y 94, fracciones I, inciso b) II, incisos a) y b), de la Ley de Transparencia y Acceso a la Información Pública del Estado de México y Municipios, a saber:</w:t>
      </w:r>
    </w:p>
    <w:p w:rsidR="00D72906" w:rsidRPr="00586164" w:rsidRDefault="00D72906" w:rsidP="00236468">
      <w:pPr>
        <w:tabs>
          <w:tab w:val="left" w:pos="7655"/>
        </w:tabs>
        <w:ind w:right="-7"/>
        <w:jc w:val="both"/>
        <w:rPr>
          <w:rFonts w:ascii="Palatino Linotype" w:eastAsia="Palatino Linotype" w:hAnsi="Palatino Linotype" w:cs="Palatino Linotype"/>
          <w:b/>
          <w:i/>
          <w:color w:val="000000" w:themeColor="text1"/>
        </w:rPr>
      </w:pPr>
    </w:p>
    <w:p w:rsidR="00D72906" w:rsidRPr="00586164" w:rsidRDefault="00D72906" w:rsidP="00236468">
      <w:pPr>
        <w:tabs>
          <w:tab w:val="left" w:pos="7655"/>
        </w:tabs>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b/>
          <w:i/>
          <w:color w:val="000000" w:themeColor="text1"/>
        </w:rPr>
        <w:t>Artículo 92</w:t>
      </w:r>
      <w:r w:rsidRPr="00586164">
        <w:rPr>
          <w:rFonts w:ascii="Palatino Linotype" w:eastAsia="Palatino Linotype" w:hAnsi="Palatino Linotype" w:cs="Palatino Linotype"/>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72906" w:rsidRPr="00586164" w:rsidRDefault="00D72906" w:rsidP="00236468">
      <w:pPr>
        <w:tabs>
          <w:tab w:val="left" w:pos="7655"/>
        </w:tabs>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p>
    <w:p w:rsidR="00D72906" w:rsidRPr="00586164" w:rsidRDefault="00D72906" w:rsidP="00236468">
      <w:pPr>
        <w:tabs>
          <w:tab w:val="left" w:pos="7655"/>
        </w:tabs>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b/>
          <w:i/>
          <w:color w:val="000000" w:themeColor="text1"/>
        </w:rPr>
        <w:t>XXV. La información financiera sobre el presupuesto asignado</w:t>
      </w:r>
      <w:r w:rsidRPr="00586164">
        <w:rPr>
          <w:rFonts w:ascii="Palatino Linotype" w:eastAsia="Palatino Linotype" w:hAnsi="Palatino Linotype" w:cs="Palatino Linotype"/>
          <w:i/>
          <w:color w:val="000000" w:themeColor="text1"/>
        </w:rPr>
        <w:t>, así como los informes del ejercicio trimestral del gasto, en términos de la Ley General de Contabilidad Gubernamental y demás disposiciones jurídicas aplicables;</w:t>
      </w:r>
    </w:p>
    <w:p w:rsidR="00D72906" w:rsidRPr="00586164" w:rsidRDefault="00D72906" w:rsidP="00236468">
      <w:pPr>
        <w:tabs>
          <w:tab w:val="left" w:pos="7655"/>
        </w:tabs>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w:t>
      </w:r>
    </w:p>
    <w:p w:rsidR="00D72906" w:rsidRPr="00586164" w:rsidRDefault="00D72906" w:rsidP="00236468">
      <w:pPr>
        <w:tabs>
          <w:tab w:val="left" w:pos="7655"/>
        </w:tabs>
        <w:ind w:right="-7"/>
        <w:jc w:val="both"/>
        <w:rPr>
          <w:rFonts w:ascii="Palatino Linotype" w:eastAsia="Palatino Linotype" w:hAnsi="Palatino Linotype" w:cs="Palatino Linotype"/>
          <w:color w:val="000000" w:themeColor="text1"/>
        </w:rPr>
      </w:pPr>
    </w:p>
    <w:p w:rsidR="00D72906" w:rsidRPr="00586164" w:rsidRDefault="00D72906" w:rsidP="00236468">
      <w:pPr>
        <w:tabs>
          <w:tab w:val="left" w:pos="7655"/>
        </w:tabs>
        <w:ind w:right="-7"/>
        <w:jc w:val="center"/>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De las Obligaciones de Transparencia</w:t>
      </w:r>
    </w:p>
    <w:p w:rsidR="00D72906" w:rsidRPr="00586164" w:rsidRDefault="00D72906" w:rsidP="00236468">
      <w:pPr>
        <w:tabs>
          <w:tab w:val="left" w:pos="7655"/>
        </w:tabs>
        <w:ind w:right="-7"/>
        <w:jc w:val="center"/>
        <w:rPr>
          <w:rFonts w:ascii="Palatino Linotype" w:eastAsia="Palatino Linotype" w:hAnsi="Palatino Linotype" w:cs="Palatino Linotype"/>
          <w:b/>
          <w:i/>
          <w:color w:val="000000" w:themeColor="text1"/>
        </w:rPr>
      </w:pPr>
      <w:r w:rsidRPr="00586164">
        <w:rPr>
          <w:rFonts w:ascii="Palatino Linotype" w:eastAsia="Palatino Linotype" w:hAnsi="Palatino Linotype" w:cs="Palatino Linotype"/>
          <w:b/>
          <w:i/>
          <w:color w:val="000000" w:themeColor="text1"/>
        </w:rPr>
        <w:t>Específicas de los Sujetos Obligados</w:t>
      </w:r>
    </w:p>
    <w:p w:rsidR="00D72906" w:rsidRPr="00586164" w:rsidRDefault="00D72906" w:rsidP="00236468">
      <w:pPr>
        <w:tabs>
          <w:tab w:val="left" w:pos="7655"/>
        </w:tabs>
        <w:ind w:right="-7"/>
        <w:jc w:val="both"/>
        <w:rPr>
          <w:rFonts w:ascii="Palatino Linotype" w:eastAsia="Palatino Linotype" w:hAnsi="Palatino Linotype" w:cs="Palatino Linotype"/>
          <w:i/>
          <w:color w:val="000000" w:themeColor="text1"/>
        </w:rPr>
      </w:pPr>
    </w:p>
    <w:p w:rsidR="00D72906" w:rsidRPr="00586164" w:rsidRDefault="00D72906" w:rsidP="00236468">
      <w:pPr>
        <w:tabs>
          <w:tab w:val="left" w:pos="7655"/>
        </w:tabs>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b/>
          <w:i/>
          <w:color w:val="000000" w:themeColor="text1"/>
        </w:rPr>
        <w:t>Artículo 94</w:t>
      </w:r>
      <w:r w:rsidRPr="00586164">
        <w:rPr>
          <w:rFonts w:ascii="Palatino Linotype" w:eastAsia="Palatino Linotype" w:hAnsi="Palatino Linotype" w:cs="Palatino Linotype"/>
          <w:i/>
          <w:color w:val="000000" w:themeColor="text1"/>
        </w:rPr>
        <w:t>. Además de las obligaciones de transparencia común a que se refiere el Capítulo II de este Título, los sujetos obligados del Poder Ejecutivo Local y municipales, deberán poner a disposición del público y actualizar la siguiente información:</w:t>
      </w:r>
    </w:p>
    <w:p w:rsidR="00D72906" w:rsidRPr="00586164" w:rsidRDefault="00D72906" w:rsidP="00236468">
      <w:pPr>
        <w:tabs>
          <w:tab w:val="left" w:pos="7655"/>
        </w:tabs>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I. En el caso del Poder Ejecutivo y los Municipios, en el ámbito de su competencia:</w:t>
      </w:r>
    </w:p>
    <w:p w:rsidR="00D72906" w:rsidRPr="00586164" w:rsidRDefault="00D72906" w:rsidP="00236468">
      <w:pPr>
        <w:tabs>
          <w:tab w:val="left" w:pos="7655"/>
        </w:tabs>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p>
    <w:p w:rsidR="00D72906" w:rsidRPr="00586164" w:rsidRDefault="00D72906" w:rsidP="00236468">
      <w:pPr>
        <w:tabs>
          <w:tab w:val="left" w:pos="7655"/>
        </w:tabs>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lastRenderedPageBreak/>
        <w:t xml:space="preserve">b) </w:t>
      </w:r>
      <w:r w:rsidRPr="00586164">
        <w:rPr>
          <w:rFonts w:ascii="Palatino Linotype" w:eastAsia="Palatino Linotype" w:hAnsi="Palatino Linotype" w:cs="Palatino Linotype"/>
          <w:b/>
          <w:i/>
          <w:color w:val="000000" w:themeColor="text1"/>
        </w:rPr>
        <w:t>El presupuesto de egresos y las fórmulas de distribución de los recursos otorgados</w:t>
      </w:r>
      <w:r w:rsidRPr="00586164">
        <w:rPr>
          <w:rFonts w:ascii="Palatino Linotype" w:eastAsia="Palatino Linotype" w:hAnsi="Palatino Linotype" w:cs="Palatino Linotype"/>
          <w:i/>
          <w:color w:val="000000" w:themeColor="text1"/>
        </w:rPr>
        <w:t>;</w:t>
      </w:r>
    </w:p>
    <w:p w:rsidR="00D72906" w:rsidRPr="00586164" w:rsidRDefault="00D72906" w:rsidP="00236468">
      <w:pPr>
        <w:tabs>
          <w:tab w:val="left" w:pos="7655"/>
        </w:tabs>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p>
    <w:p w:rsidR="00D72906" w:rsidRDefault="00D72906" w:rsidP="00236468">
      <w:pPr>
        <w:tabs>
          <w:tab w:val="left" w:pos="7655"/>
        </w:tabs>
        <w:ind w:right="-7"/>
        <w:jc w:val="both"/>
        <w:rPr>
          <w:rFonts w:ascii="Palatino Linotype" w:eastAsia="Palatino Linotype" w:hAnsi="Palatino Linotype" w:cs="Palatino Linotype"/>
          <w:i/>
          <w:color w:val="000000" w:themeColor="text1"/>
        </w:rPr>
      </w:pPr>
    </w:p>
    <w:p w:rsidR="00C72430" w:rsidRPr="00586164" w:rsidRDefault="00C72430" w:rsidP="00236468">
      <w:pPr>
        <w:tabs>
          <w:tab w:val="left" w:pos="7655"/>
        </w:tabs>
        <w:ind w:right="-7"/>
        <w:jc w:val="both"/>
        <w:rPr>
          <w:rFonts w:ascii="Palatino Linotype" w:eastAsia="Palatino Linotype" w:hAnsi="Palatino Linotype" w:cs="Palatino Linotype"/>
          <w:i/>
          <w:color w:val="000000" w:themeColor="text1"/>
        </w:rPr>
      </w:pPr>
    </w:p>
    <w:p w:rsidR="00260DF5" w:rsidRPr="00586164" w:rsidRDefault="00260DF5"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Aunado a lo anterior, es necesario destacar que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rsidR="00260DF5" w:rsidRPr="00586164" w:rsidRDefault="00260DF5"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b/>
          <w:i/>
          <w:color w:val="000000" w:themeColor="text1"/>
        </w:rPr>
        <w:t>“Artículo 342</w:t>
      </w:r>
      <w:r w:rsidRPr="00586164">
        <w:rPr>
          <w:rFonts w:ascii="Palatino Linotype" w:eastAsia="Palatino Linotype" w:hAnsi="Palatino Linotype" w:cs="Palatino Linotype"/>
          <w:i/>
          <w:color w:val="000000" w:themeColor="text1"/>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260DF5" w:rsidRPr="00586164" w:rsidRDefault="00260DF5" w:rsidP="00236468">
      <w:pPr>
        <w:ind w:right="-7"/>
        <w:jc w:val="both"/>
        <w:rPr>
          <w:rFonts w:ascii="Palatino Linotype" w:eastAsia="Palatino Linotype" w:hAnsi="Palatino Linotype" w:cs="Palatino Linotype"/>
          <w:i/>
          <w:color w:val="000000" w:themeColor="text1"/>
        </w:rPr>
      </w:pPr>
    </w:p>
    <w:p w:rsidR="00260DF5" w:rsidRPr="00586164" w:rsidRDefault="00260DF5"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rsidR="00260DF5" w:rsidRPr="00586164" w:rsidRDefault="00260DF5" w:rsidP="00236468">
      <w:pPr>
        <w:ind w:right="-7"/>
        <w:jc w:val="both"/>
        <w:rPr>
          <w:rFonts w:ascii="Palatino Linotype" w:eastAsia="Palatino Linotype" w:hAnsi="Palatino Linotype" w:cs="Palatino Linotype"/>
          <w:i/>
          <w:color w:val="000000" w:themeColor="text1"/>
        </w:rPr>
      </w:pPr>
    </w:p>
    <w:p w:rsidR="00260DF5" w:rsidRPr="00586164" w:rsidRDefault="00260DF5"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b/>
          <w:i/>
          <w:color w:val="000000" w:themeColor="text1"/>
        </w:rPr>
        <w:t>Artículo 343</w:t>
      </w:r>
      <w:r w:rsidRPr="00586164">
        <w:rPr>
          <w:rFonts w:ascii="Palatino Linotype" w:eastAsia="Palatino Linotype" w:hAnsi="Palatino Linotype" w:cs="Palatino Linotype"/>
          <w:i/>
          <w:color w:val="000000" w:themeColor="text1"/>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260DF5" w:rsidRPr="00586164" w:rsidRDefault="00260DF5" w:rsidP="00236468">
      <w:pPr>
        <w:ind w:right="-7"/>
        <w:jc w:val="both"/>
        <w:rPr>
          <w:rFonts w:ascii="Palatino Linotype" w:eastAsia="Palatino Linotype" w:hAnsi="Palatino Linotype" w:cs="Palatino Linotype"/>
          <w:i/>
          <w:color w:val="000000" w:themeColor="text1"/>
        </w:rPr>
      </w:pPr>
    </w:p>
    <w:p w:rsidR="00260DF5" w:rsidRPr="00586164" w:rsidRDefault="00260DF5"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El sistema de contabilidad sobre base acumulativa total, se sustentará en las normas emitidas por el Consejo Nacional de Armonización Contable.</w:t>
      </w:r>
    </w:p>
    <w:p w:rsidR="00260DF5" w:rsidRPr="00586164" w:rsidRDefault="00260DF5" w:rsidP="00236468">
      <w:pPr>
        <w:ind w:right="-7"/>
        <w:jc w:val="both"/>
        <w:rPr>
          <w:rFonts w:ascii="Palatino Linotype" w:eastAsia="Palatino Linotype" w:hAnsi="Palatino Linotype" w:cs="Palatino Linotype"/>
          <w:i/>
          <w:color w:val="000000" w:themeColor="text1"/>
        </w:rPr>
      </w:pPr>
    </w:p>
    <w:p w:rsidR="00260DF5" w:rsidRPr="00586164" w:rsidRDefault="00260DF5"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b/>
          <w:i/>
          <w:color w:val="000000" w:themeColor="text1"/>
        </w:rPr>
        <w:t>Artículo 344</w:t>
      </w:r>
      <w:r w:rsidRPr="00586164">
        <w:rPr>
          <w:rFonts w:ascii="Palatino Linotype" w:eastAsia="Palatino Linotype" w:hAnsi="Palatino Linotype" w:cs="Palatino Linotype"/>
          <w:i/>
          <w:color w:val="000000" w:themeColor="text1"/>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rsidR="00260DF5" w:rsidRPr="00586164" w:rsidRDefault="00260DF5" w:rsidP="00236468">
      <w:pPr>
        <w:ind w:right="-7"/>
        <w:jc w:val="both"/>
        <w:rPr>
          <w:rFonts w:ascii="Palatino Linotype" w:eastAsia="Palatino Linotype" w:hAnsi="Palatino Linotype" w:cs="Palatino Linotype"/>
          <w:i/>
          <w:color w:val="000000" w:themeColor="text1"/>
        </w:rPr>
      </w:pPr>
    </w:p>
    <w:p w:rsidR="00260DF5" w:rsidRPr="00586164" w:rsidRDefault="00260DF5"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Todo registro contable y presupuestal deberá estar soportado con los documentos de registro, justificativos y comprobatorios originales, en copias certificadas o en medios electrónicos, según </w:t>
      </w:r>
      <w:r w:rsidRPr="00586164">
        <w:rPr>
          <w:rFonts w:ascii="Palatino Linotype" w:eastAsia="Palatino Linotype" w:hAnsi="Palatino Linotype" w:cs="Palatino Linotype"/>
          <w:i/>
          <w:color w:val="000000" w:themeColor="text1"/>
        </w:rPr>
        <w:lastRenderedPageBreak/>
        <w:t xml:space="preserve">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rsidR="00260DF5" w:rsidRPr="00586164" w:rsidRDefault="00260DF5" w:rsidP="00236468">
      <w:pPr>
        <w:ind w:right="-7"/>
        <w:jc w:val="both"/>
        <w:rPr>
          <w:rFonts w:ascii="Palatino Linotype" w:eastAsia="Palatino Linotype" w:hAnsi="Palatino Linotype" w:cs="Palatino Linotype"/>
          <w:i/>
          <w:color w:val="000000" w:themeColor="text1"/>
        </w:rPr>
      </w:pPr>
    </w:p>
    <w:p w:rsidR="00260DF5" w:rsidRPr="00586164" w:rsidRDefault="00260DF5"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Tratándose de documentos de carácter histórico, se estará a lo dispuesto por la legislación de la materia. </w:t>
      </w:r>
    </w:p>
    <w:p w:rsidR="00260DF5" w:rsidRPr="00586164" w:rsidRDefault="00260DF5" w:rsidP="00236468">
      <w:pPr>
        <w:ind w:right="-7"/>
        <w:jc w:val="both"/>
        <w:rPr>
          <w:rFonts w:ascii="Palatino Linotype" w:eastAsia="Palatino Linotype" w:hAnsi="Palatino Linotype" w:cs="Palatino Linotype"/>
          <w:i/>
          <w:color w:val="000000" w:themeColor="text1"/>
        </w:rPr>
      </w:pPr>
    </w:p>
    <w:p w:rsidR="00260DF5" w:rsidRPr="00586164" w:rsidRDefault="00260DF5"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b/>
          <w:i/>
          <w:color w:val="000000" w:themeColor="text1"/>
        </w:rPr>
        <w:t>Artículo 345</w:t>
      </w:r>
      <w:r w:rsidRPr="00586164">
        <w:rPr>
          <w:rFonts w:ascii="Palatino Linotype" w:eastAsia="Palatino Linotype" w:hAnsi="Palatino Linotype" w:cs="Palatino Linotype"/>
          <w:i/>
          <w:color w:val="000000" w:themeColor="text1"/>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rsidR="00260DF5" w:rsidRPr="00586164" w:rsidRDefault="00260DF5" w:rsidP="00236468">
      <w:pPr>
        <w:ind w:right="-7"/>
        <w:jc w:val="both"/>
        <w:rPr>
          <w:rFonts w:ascii="Palatino Linotype" w:eastAsia="Palatino Linotype" w:hAnsi="Palatino Linotype" w:cs="Palatino Linotype"/>
          <w:i/>
          <w:color w:val="000000" w:themeColor="text1"/>
        </w:rPr>
      </w:pPr>
    </w:p>
    <w:p w:rsidR="00260DF5" w:rsidRPr="00586164" w:rsidRDefault="00260DF5"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rsidR="00260DF5" w:rsidRPr="00586164" w:rsidRDefault="00260DF5" w:rsidP="00236468">
      <w:pPr>
        <w:ind w:right="-7"/>
        <w:jc w:val="both"/>
        <w:rPr>
          <w:rFonts w:ascii="Palatino Linotype" w:eastAsia="Palatino Linotype" w:hAnsi="Palatino Linotype" w:cs="Palatino Linotype"/>
          <w:i/>
          <w:color w:val="000000" w:themeColor="text1"/>
        </w:rPr>
      </w:pPr>
    </w:p>
    <w:p w:rsidR="00260DF5" w:rsidRPr="00586164" w:rsidRDefault="00260DF5" w:rsidP="00236468">
      <w:pPr>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El plazo señalado en este artículo empezará a contar a partir de la publicación en el Periódico Oficial, del decreto correspondiente.”</w:t>
      </w:r>
    </w:p>
    <w:p w:rsidR="00260DF5" w:rsidRPr="00586164" w:rsidRDefault="00260DF5" w:rsidP="00236468">
      <w:pPr>
        <w:tabs>
          <w:tab w:val="left" w:pos="3374"/>
        </w:tabs>
        <w:spacing w:line="360" w:lineRule="auto"/>
        <w:ind w:right="-7"/>
        <w:rPr>
          <w:rFonts w:ascii="Palatino Linotype" w:eastAsia="Palatino Linotype" w:hAnsi="Palatino Linotype" w:cs="Palatino Linotype"/>
          <w:i/>
          <w:color w:val="000000" w:themeColor="text1"/>
        </w:rPr>
      </w:pPr>
    </w:p>
    <w:p w:rsidR="00260DF5" w:rsidRPr="00586164" w:rsidRDefault="00260DF5"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rsidR="00260DF5" w:rsidRPr="00586164" w:rsidRDefault="00260DF5" w:rsidP="00236468">
      <w:pPr>
        <w:tabs>
          <w:tab w:val="left" w:pos="3374"/>
        </w:tabs>
        <w:spacing w:line="360" w:lineRule="auto"/>
        <w:ind w:right="-7"/>
        <w:rPr>
          <w:rFonts w:ascii="Palatino Linotype" w:eastAsia="Palatino Linotype" w:hAnsi="Palatino Linotype" w:cs="Palatino Linotype"/>
          <w:color w:val="000000" w:themeColor="text1"/>
        </w:rPr>
      </w:pPr>
    </w:p>
    <w:p w:rsidR="00260DF5" w:rsidRPr="00586164" w:rsidRDefault="00260DF5"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lastRenderedPageBreak/>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rsidR="00260DF5" w:rsidRPr="00586164" w:rsidRDefault="00260DF5" w:rsidP="00236468">
      <w:pPr>
        <w:tabs>
          <w:tab w:val="left" w:pos="3374"/>
        </w:tabs>
        <w:spacing w:line="360" w:lineRule="auto"/>
        <w:ind w:right="-7"/>
        <w:rPr>
          <w:rFonts w:ascii="Palatino Linotype" w:eastAsia="Palatino Linotype" w:hAnsi="Palatino Linotype" w:cs="Palatino Linotype"/>
          <w:color w:val="000000" w:themeColor="text1"/>
        </w:rPr>
      </w:pPr>
    </w:p>
    <w:p w:rsidR="00260DF5" w:rsidRPr="00586164" w:rsidRDefault="00260DF5"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También es importante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260DF5" w:rsidRPr="00586164" w:rsidRDefault="00260DF5" w:rsidP="00236468">
      <w:pPr>
        <w:tabs>
          <w:tab w:val="left" w:pos="3374"/>
        </w:tabs>
        <w:ind w:right="-7"/>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r w:rsidRPr="00586164">
        <w:rPr>
          <w:rFonts w:ascii="Palatino Linotype" w:eastAsia="Palatino Linotype" w:hAnsi="Palatino Linotype" w:cs="Palatino Linotype"/>
          <w:b/>
          <w:i/>
          <w:color w:val="000000" w:themeColor="text1"/>
        </w:rPr>
        <w:t>REGISTRO CONTABLE</w:t>
      </w:r>
      <w:r w:rsidRPr="00586164">
        <w:rPr>
          <w:rFonts w:ascii="Palatino Linotype" w:eastAsia="Palatino Linotype" w:hAnsi="Palatino Linotype" w:cs="Palatino Linotype"/>
          <w:i/>
          <w:color w:val="000000" w:themeColor="text1"/>
        </w:rPr>
        <w:t xml:space="preserve"> </w:t>
      </w:r>
    </w:p>
    <w:p w:rsidR="00260DF5" w:rsidRPr="00586164" w:rsidRDefault="00260DF5" w:rsidP="00236468">
      <w:pPr>
        <w:tabs>
          <w:tab w:val="left" w:pos="3374"/>
        </w:tabs>
        <w:ind w:right="-7"/>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Asiento que se realiza en los libros de contabilidad de las actividades relacionadas con el ingreso y egresos de un ente económico.”</w:t>
      </w:r>
    </w:p>
    <w:p w:rsidR="00260DF5" w:rsidRPr="00586164" w:rsidRDefault="00260DF5" w:rsidP="00236468">
      <w:pPr>
        <w:tabs>
          <w:tab w:val="left" w:pos="3374"/>
        </w:tabs>
        <w:ind w:right="-7"/>
        <w:rPr>
          <w:rFonts w:ascii="Palatino Linotype" w:eastAsia="Palatino Linotype" w:hAnsi="Palatino Linotype" w:cs="Palatino Linotype"/>
          <w:i/>
          <w:color w:val="000000" w:themeColor="text1"/>
        </w:rPr>
      </w:pPr>
    </w:p>
    <w:p w:rsidR="00260DF5" w:rsidRPr="00586164" w:rsidRDefault="00260DF5" w:rsidP="00236468">
      <w:pPr>
        <w:tabs>
          <w:tab w:val="left" w:pos="3374"/>
        </w:tabs>
        <w:ind w:right="-7"/>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r w:rsidRPr="00586164">
        <w:rPr>
          <w:rFonts w:ascii="Palatino Linotype" w:eastAsia="Palatino Linotype" w:hAnsi="Palatino Linotype" w:cs="Palatino Linotype"/>
          <w:b/>
          <w:i/>
          <w:color w:val="000000" w:themeColor="text1"/>
        </w:rPr>
        <w:t>REGISTRO PRESUPUESTARIO</w:t>
      </w:r>
    </w:p>
    <w:p w:rsidR="00260DF5" w:rsidRPr="00586164" w:rsidRDefault="00260DF5" w:rsidP="00236468">
      <w:pPr>
        <w:tabs>
          <w:tab w:val="left" w:pos="3374"/>
        </w:tabs>
        <w:ind w:right="-7"/>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Asiento contable de las erogaciones realizadas por las dependencias y entidades con relación a la asignación, modificación y ejercicio de los recursos presupuestarios que se les hayan autorizado.”</w:t>
      </w:r>
    </w:p>
    <w:p w:rsidR="00260DF5" w:rsidRPr="00586164" w:rsidRDefault="00260DF5" w:rsidP="00236468">
      <w:pPr>
        <w:tabs>
          <w:tab w:val="left" w:pos="3374"/>
        </w:tabs>
        <w:spacing w:line="360" w:lineRule="auto"/>
        <w:ind w:right="-7"/>
        <w:rPr>
          <w:rFonts w:ascii="Palatino Linotype" w:eastAsia="Palatino Linotype" w:hAnsi="Palatino Linotype" w:cs="Palatino Linotype"/>
          <w:color w:val="000000" w:themeColor="text1"/>
        </w:rPr>
      </w:pPr>
    </w:p>
    <w:p w:rsidR="00260DF5" w:rsidRPr="00586164" w:rsidRDefault="00260DF5"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Asimismo, en el artículo 125, cuarto y quinto párrafos de la Constitución Política del Estado Libre y Soberano de México, dispone: </w:t>
      </w:r>
    </w:p>
    <w:p w:rsidR="00260DF5" w:rsidRPr="00586164" w:rsidRDefault="00260DF5" w:rsidP="00236468">
      <w:pPr>
        <w:ind w:right="-7"/>
        <w:jc w:val="both"/>
        <w:rPr>
          <w:rFonts w:ascii="Palatino Linotype" w:eastAsia="Palatino Linotype" w:hAnsi="Palatino Linotype" w:cs="Palatino Linotype"/>
          <w:color w:val="000000" w:themeColor="text1"/>
        </w:rPr>
      </w:pPr>
    </w:p>
    <w:p w:rsidR="00260DF5" w:rsidRPr="00586164" w:rsidRDefault="00260DF5" w:rsidP="00236468">
      <w:pPr>
        <w:tabs>
          <w:tab w:val="left" w:pos="1134"/>
        </w:tabs>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lastRenderedPageBreak/>
        <w:t>“</w:t>
      </w:r>
      <w:r w:rsidRPr="00586164">
        <w:rPr>
          <w:rFonts w:ascii="Palatino Linotype" w:eastAsia="Palatino Linotype" w:hAnsi="Palatino Linotype" w:cs="Palatino Linotype"/>
          <w:b/>
          <w:i/>
          <w:color w:val="000000" w:themeColor="text1"/>
        </w:rPr>
        <w:t>Artículo 125.-</w:t>
      </w:r>
      <w:r w:rsidRPr="00586164">
        <w:rPr>
          <w:rFonts w:ascii="Palatino Linotype" w:eastAsia="Palatino Linotype" w:hAnsi="Palatino Linotype" w:cs="Palatino Linotype"/>
          <w:i/>
          <w:color w:val="000000" w:themeColor="text1"/>
        </w:rPr>
        <w:t xml:space="preserve"> Los municipios administrarán libremente su hacienda, la cual se formará de los rendimientos de los bienes que les pertenezcan, así como de las contribuciones y otros ingresos que la ley establezca, y en todo caso:</w:t>
      </w:r>
    </w:p>
    <w:p w:rsidR="00260DF5" w:rsidRPr="00586164" w:rsidRDefault="00260DF5" w:rsidP="00236468">
      <w:pPr>
        <w:tabs>
          <w:tab w:val="left" w:pos="1134"/>
        </w:tabs>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p>
    <w:p w:rsidR="00260DF5" w:rsidRPr="00586164" w:rsidRDefault="00260DF5" w:rsidP="00236468">
      <w:pPr>
        <w:tabs>
          <w:tab w:val="left" w:pos="851"/>
        </w:tabs>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 xml:space="preserve">Los Ayuntamientos podrán celebrar sesiones extraordinarias de cabildo cuando la Ley de ingresos aprobada por la Legislatura, implique adecuaciones a su Presupuesto de Egresos, asi como por la asignación de las participaciones y aportaciones federales y estatales. Estas sesiones tendrán como único objeto concordar con el Presupuesto de Egresos. </w:t>
      </w:r>
      <w:r w:rsidRPr="00586164">
        <w:rPr>
          <w:rFonts w:ascii="Palatino Linotype" w:eastAsia="Palatino Linotype" w:hAnsi="Palatino Linotype" w:cs="Palatino Linotype"/>
          <w:b/>
          <w:i/>
          <w:color w:val="000000" w:themeColor="text1"/>
        </w:rPr>
        <w:t>La Presidenta o el Presidente Municipal, promulgará y publicará el Presupuesto de Egresos Municipal, a más tardar el día 25 de febrero de cada año debiendo enviarlo al Órgano Superior de Fiscalización en la misma fecha</w:t>
      </w:r>
      <w:r w:rsidRPr="00586164">
        <w:rPr>
          <w:rFonts w:ascii="Palatino Linotype" w:eastAsia="Palatino Linotype" w:hAnsi="Palatino Linotype" w:cs="Palatino Linotype"/>
          <w:i/>
          <w:color w:val="000000" w:themeColor="text1"/>
        </w:rPr>
        <w:t xml:space="preserve">. </w:t>
      </w:r>
    </w:p>
    <w:p w:rsidR="00260DF5" w:rsidRPr="00586164" w:rsidRDefault="00260DF5" w:rsidP="00236468">
      <w:pPr>
        <w:tabs>
          <w:tab w:val="left" w:pos="851"/>
        </w:tabs>
        <w:ind w:right="-7"/>
        <w:jc w:val="both"/>
        <w:rPr>
          <w:rFonts w:ascii="Palatino Linotype" w:eastAsia="Palatino Linotype" w:hAnsi="Palatino Linotype" w:cs="Palatino Linotype"/>
          <w:i/>
          <w:color w:val="000000" w:themeColor="text1"/>
        </w:rPr>
      </w:pPr>
    </w:p>
    <w:p w:rsidR="00260DF5" w:rsidRPr="00586164" w:rsidRDefault="00260DF5" w:rsidP="00236468">
      <w:pPr>
        <w:tabs>
          <w:tab w:val="left" w:pos="851"/>
        </w:tabs>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b/>
          <w:i/>
          <w:color w:val="000000" w:themeColor="text1"/>
        </w:rPr>
        <w:t xml:space="preserve">El Presupuesto deberá incluir los tabuladores desglosados de las remuneraciones que perciban las y los servidores públicos municipales, </w:t>
      </w:r>
      <w:r w:rsidRPr="00586164">
        <w:rPr>
          <w:rFonts w:ascii="Palatino Linotype" w:eastAsia="Palatino Linotype" w:hAnsi="Palatino Linotype" w:cs="Palatino Linotype"/>
          <w:i/>
          <w:color w:val="000000" w:themeColor="text1"/>
        </w:rPr>
        <w:t xml:space="preserve">sujetándose a lo dispuesto en el artículo 147 de esta Constitución.” </w:t>
      </w:r>
    </w:p>
    <w:p w:rsidR="00260DF5" w:rsidRDefault="00260DF5" w:rsidP="00236468">
      <w:pPr>
        <w:ind w:right="-7"/>
        <w:jc w:val="both"/>
        <w:rPr>
          <w:rFonts w:ascii="Palatino Linotype" w:eastAsia="Palatino Linotype" w:hAnsi="Palatino Linotype" w:cs="Palatino Linotype"/>
          <w:color w:val="000000" w:themeColor="text1"/>
        </w:rPr>
      </w:pPr>
    </w:p>
    <w:p w:rsidR="00C72430" w:rsidRPr="00586164" w:rsidRDefault="00C72430" w:rsidP="00236468">
      <w:pPr>
        <w:ind w:right="-7"/>
        <w:jc w:val="both"/>
        <w:rPr>
          <w:rFonts w:ascii="Palatino Linotype" w:eastAsia="Palatino Linotype" w:hAnsi="Palatino Linotype" w:cs="Palatino Linotype"/>
          <w:color w:val="000000" w:themeColor="text1"/>
        </w:rPr>
      </w:pPr>
    </w:p>
    <w:p w:rsidR="00260DF5" w:rsidRPr="00586164" w:rsidRDefault="00260DF5"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Por su parte, el artículo 47 de la Ley de Fiscalización Superior del Estado de México indica que:</w:t>
      </w:r>
    </w:p>
    <w:p w:rsidR="00260DF5" w:rsidRPr="00586164" w:rsidRDefault="00260DF5" w:rsidP="00236468">
      <w:pPr>
        <w:tabs>
          <w:tab w:val="left" w:pos="851"/>
        </w:tabs>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r w:rsidRPr="00586164">
        <w:rPr>
          <w:rFonts w:ascii="Palatino Linotype" w:eastAsia="Palatino Linotype" w:hAnsi="Palatino Linotype" w:cs="Palatino Linotype"/>
          <w:b/>
          <w:i/>
          <w:color w:val="000000" w:themeColor="text1"/>
        </w:rPr>
        <w:t>Artículo 47.-</w:t>
      </w:r>
      <w:r w:rsidRPr="00586164">
        <w:rPr>
          <w:rFonts w:ascii="Palatino Linotype" w:eastAsia="Palatino Linotype" w:hAnsi="Palatino Linotype" w:cs="Palatino Linotype"/>
          <w:i/>
          <w:color w:val="000000" w:themeColor="text1"/>
        </w:rPr>
        <w:t xml:space="preserve"> </w:t>
      </w:r>
      <w:r w:rsidRPr="00586164">
        <w:rPr>
          <w:rFonts w:ascii="Palatino Linotype" w:eastAsia="Palatino Linotype" w:hAnsi="Palatino Linotype" w:cs="Palatino Linotype"/>
          <w:b/>
          <w:i/>
          <w:color w:val="000000" w:themeColor="text1"/>
        </w:rPr>
        <w:t>Los</w:t>
      </w:r>
      <w:r w:rsidRPr="00586164">
        <w:rPr>
          <w:rFonts w:ascii="Palatino Linotype" w:eastAsia="Palatino Linotype" w:hAnsi="Palatino Linotype" w:cs="Palatino Linotype"/>
          <w:i/>
          <w:color w:val="000000" w:themeColor="text1"/>
        </w:rPr>
        <w:t xml:space="preserve"> </w:t>
      </w:r>
      <w:r w:rsidRPr="00586164">
        <w:rPr>
          <w:rFonts w:ascii="Palatino Linotype" w:eastAsia="Palatino Linotype" w:hAnsi="Palatino Linotype" w:cs="Palatino Linotype"/>
          <w:b/>
          <w:i/>
          <w:color w:val="000000" w:themeColor="text1"/>
        </w:rPr>
        <w:t>Presidentes Municipales y los Síndicos estarán obligados a informar al Órgano Superior, a más tardar el 25 de febrero de cada año, el Presupuesto de Egresos Municipal que haya aprobado el Ayuntamiento correspondiente</w:t>
      </w:r>
      <w:r w:rsidRPr="00586164">
        <w:rPr>
          <w:rFonts w:ascii="Palatino Linotype" w:eastAsia="Palatino Linotype" w:hAnsi="Palatino Linotype" w:cs="Palatino Linotype"/>
          <w:i/>
          <w:color w:val="000000" w:themeColor="text1"/>
        </w:rPr>
        <w:t xml:space="preserve">.” </w:t>
      </w:r>
    </w:p>
    <w:p w:rsidR="00260DF5" w:rsidRDefault="00260DF5" w:rsidP="00236468">
      <w:pPr>
        <w:tabs>
          <w:tab w:val="left" w:pos="851"/>
        </w:tabs>
        <w:ind w:right="-7"/>
        <w:jc w:val="both"/>
        <w:rPr>
          <w:rFonts w:ascii="Palatino Linotype" w:eastAsia="Palatino Linotype" w:hAnsi="Palatino Linotype" w:cs="Palatino Linotype"/>
          <w:i/>
          <w:color w:val="000000" w:themeColor="text1"/>
        </w:rPr>
      </w:pPr>
    </w:p>
    <w:p w:rsidR="00C72430" w:rsidRPr="00586164" w:rsidRDefault="00C72430" w:rsidP="00236468">
      <w:pPr>
        <w:tabs>
          <w:tab w:val="left" w:pos="851"/>
        </w:tabs>
        <w:ind w:right="-7"/>
        <w:jc w:val="both"/>
        <w:rPr>
          <w:rFonts w:ascii="Palatino Linotype" w:eastAsia="Palatino Linotype" w:hAnsi="Palatino Linotype" w:cs="Palatino Linotype"/>
          <w:i/>
          <w:color w:val="000000" w:themeColor="text1"/>
        </w:rPr>
      </w:pPr>
    </w:p>
    <w:p w:rsidR="00260DF5" w:rsidRPr="00586164" w:rsidRDefault="00260DF5"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Aunado a lo anterior, el artículo 351 segundo párrafo del Código Financiero del Estado de México y Municipios establece que:</w:t>
      </w:r>
    </w:p>
    <w:p w:rsidR="00260DF5" w:rsidRPr="00586164" w:rsidRDefault="00260DF5" w:rsidP="00236468">
      <w:pPr>
        <w:tabs>
          <w:tab w:val="left" w:pos="851"/>
        </w:tabs>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i/>
          <w:color w:val="000000" w:themeColor="text1"/>
        </w:rPr>
        <w:t>“</w:t>
      </w:r>
      <w:r w:rsidRPr="00586164">
        <w:rPr>
          <w:rFonts w:ascii="Palatino Linotype" w:eastAsia="Palatino Linotype" w:hAnsi="Palatino Linotype" w:cs="Palatino Linotype"/>
          <w:b/>
          <w:i/>
          <w:color w:val="000000" w:themeColor="text1"/>
        </w:rPr>
        <w:t>Artículo 351.-</w:t>
      </w:r>
      <w:r w:rsidRPr="00586164">
        <w:rPr>
          <w:rFonts w:ascii="Palatino Linotype" w:eastAsia="Palatino Linotype" w:hAnsi="Palatino Linotype" w:cs="Palatino Linotype"/>
          <w:i/>
          <w:color w:val="000000" w:themeColor="text1"/>
        </w:rPr>
        <w:t xml:space="preserve"> …</w:t>
      </w:r>
    </w:p>
    <w:p w:rsidR="00260DF5" w:rsidRPr="00586164" w:rsidRDefault="00260DF5" w:rsidP="00236468">
      <w:pPr>
        <w:tabs>
          <w:tab w:val="left" w:pos="851"/>
        </w:tabs>
        <w:ind w:right="-7"/>
        <w:jc w:val="both"/>
        <w:rPr>
          <w:rFonts w:ascii="Palatino Linotype" w:eastAsia="Palatino Linotype" w:hAnsi="Palatino Linotype" w:cs="Palatino Linotype"/>
          <w:i/>
          <w:color w:val="000000" w:themeColor="text1"/>
        </w:rPr>
      </w:pPr>
    </w:p>
    <w:p w:rsidR="00260DF5" w:rsidRPr="00586164" w:rsidRDefault="00260DF5" w:rsidP="00236468">
      <w:pPr>
        <w:tabs>
          <w:tab w:val="left" w:pos="851"/>
        </w:tabs>
        <w:ind w:right="-7"/>
        <w:jc w:val="both"/>
        <w:rPr>
          <w:rFonts w:ascii="Palatino Linotype" w:eastAsia="Palatino Linotype" w:hAnsi="Palatino Linotype" w:cs="Palatino Linotype"/>
          <w:i/>
          <w:color w:val="000000" w:themeColor="text1"/>
        </w:rPr>
      </w:pPr>
      <w:r w:rsidRPr="00586164">
        <w:rPr>
          <w:rFonts w:ascii="Palatino Linotype" w:eastAsia="Palatino Linotype" w:hAnsi="Palatino Linotype" w:cs="Palatino Linotype"/>
          <w:b/>
          <w:i/>
          <w:color w:val="000000" w:themeColor="text1"/>
        </w:rPr>
        <w:t xml:space="preserve">Los Ayuntamientos al aprobar en forma definitiva su presupuesto de egresos, deberán publicar en la "Gaceta Municipal" </w:t>
      </w:r>
      <w:r w:rsidRPr="00586164">
        <w:rPr>
          <w:rFonts w:ascii="Palatino Linotype" w:eastAsia="Palatino Linotype" w:hAnsi="Palatino Linotype" w:cs="Palatino Linotype"/>
          <w:i/>
          <w:color w:val="000000" w:themeColor="text1"/>
        </w:rPr>
        <w:t xml:space="preserve">de manera clara y entendible, todas y cada una de las partidas que lo integran, </w:t>
      </w:r>
      <w:r w:rsidRPr="00586164">
        <w:rPr>
          <w:rFonts w:ascii="Palatino Linotype" w:eastAsia="Palatino Linotype" w:hAnsi="Palatino Linotype" w:cs="Palatino Linotype"/>
          <w:b/>
          <w:i/>
          <w:color w:val="000000" w:themeColor="text1"/>
        </w:rPr>
        <w:t>las remuneraciones de todo tipo aprobadas para los miembros del ayuntamiento y para los servidores públicos en genera</w:t>
      </w:r>
      <w:r w:rsidRPr="00586164">
        <w:rPr>
          <w:rFonts w:ascii="Palatino Linotype" w:eastAsia="Palatino Linotype" w:hAnsi="Palatino Linotype" w:cs="Palatino Linotype"/>
          <w:i/>
          <w:color w:val="000000" w:themeColor="text1"/>
        </w:rPr>
        <w:t xml:space="preserve">l, incluyendo mandos medios y superiores de la administración municipal, a más tardar el 25 de febrero del año para el cual habrá de aplicar dicho presupuesto.” </w:t>
      </w:r>
    </w:p>
    <w:p w:rsidR="00CC7C8C" w:rsidRPr="00586164" w:rsidRDefault="003E1A6F"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lastRenderedPageBreak/>
        <w:t xml:space="preserve">De lo antes estudiado, es de referir de manera enunciativa mas no limitativa que una de las unidades administrativas en las que pudiera obrar la información que es de interés para el solicitante, pudiera obrar en la </w:t>
      </w:r>
      <w:r w:rsidRPr="00586164">
        <w:rPr>
          <w:rFonts w:ascii="Palatino Linotype" w:eastAsia="Palatino Linotype" w:hAnsi="Palatino Linotype" w:cs="Palatino Linotype"/>
          <w:b/>
          <w:color w:val="000000" w:themeColor="text1"/>
        </w:rPr>
        <w:t>Tesorería Municipal</w:t>
      </w:r>
      <w:r w:rsidRPr="00586164">
        <w:rPr>
          <w:rFonts w:ascii="Palatino Linotype" w:eastAsia="Palatino Linotype" w:hAnsi="Palatino Linotype" w:cs="Palatino Linotype"/>
          <w:color w:val="000000" w:themeColor="text1"/>
        </w:rPr>
        <w:t xml:space="preserve">, por lo que es dable ordenar su entrega, previa búsqueda exhaustiva y razonable en todas aquellas áreas en las que de acuerdo a sus funciones y atribuciones pudiera obrar la información, ya que </w:t>
      </w:r>
      <w:r w:rsidR="007B3EEF" w:rsidRPr="00586164">
        <w:rPr>
          <w:rFonts w:ascii="Palatino Linotype" w:eastAsia="Palatino Linotype" w:hAnsi="Palatino Linotype" w:cs="Palatino Linotype"/>
          <w:color w:val="000000" w:themeColor="text1"/>
        </w:rPr>
        <w:t>la misma</w:t>
      </w:r>
      <w:r w:rsidR="00260DF5" w:rsidRPr="00586164">
        <w:rPr>
          <w:rFonts w:ascii="Palatino Linotype" w:eastAsia="Palatino Linotype" w:hAnsi="Palatino Linotype" w:cs="Palatino Linotype"/>
          <w:color w:val="000000" w:themeColor="text1"/>
        </w:rPr>
        <w:t xml:space="preserve"> es de interés general y de alcance público, puesto que la ciudadanía tiene derecho a saber cuál es el gasto ejercido por los entes públicos, y toda vez que la </w:t>
      </w:r>
      <w:r w:rsidR="007B3EEF" w:rsidRPr="00586164">
        <w:rPr>
          <w:rFonts w:ascii="Palatino Linotype" w:eastAsia="Palatino Linotype" w:hAnsi="Palatino Linotype" w:cs="Palatino Linotype"/>
          <w:b/>
          <w:color w:val="000000" w:themeColor="text1"/>
        </w:rPr>
        <w:t>Tesorería Municipal</w:t>
      </w:r>
      <w:r w:rsidR="007B3EEF" w:rsidRPr="00586164">
        <w:rPr>
          <w:rFonts w:ascii="Palatino Linotype" w:eastAsia="Palatino Linotype" w:hAnsi="Palatino Linotype" w:cs="Palatino Linotype"/>
          <w:color w:val="000000" w:themeColor="text1"/>
        </w:rPr>
        <w:t xml:space="preserve"> </w:t>
      </w:r>
      <w:r w:rsidR="00260DF5" w:rsidRPr="00586164">
        <w:rPr>
          <w:rFonts w:ascii="Palatino Linotype" w:eastAsia="Palatino Linotype" w:hAnsi="Palatino Linotype" w:cs="Palatino Linotype"/>
          <w:color w:val="000000" w:themeColor="text1"/>
        </w:rPr>
        <w:t xml:space="preserve">es el órgano responsable de realizar las erogaciones que haga el ayuntamiento, y al no existir pronunciamiento al respecto del </w:t>
      </w:r>
      <w:r w:rsidR="00260DF5" w:rsidRPr="00586164">
        <w:rPr>
          <w:rFonts w:ascii="Palatino Linotype" w:eastAsia="Palatino Linotype" w:hAnsi="Palatino Linotype" w:cs="Palatino Linotype"/>
          <w:i/>
          <w:color w:val="000000" w:themeColor="text1"/>
        </w:rPr>
        <w:t>El presupuesto asignado para la elección de Delegados y Subdelegados del Municipio de Toluca</w:t>
      </w:r>
      <w:r w:rsidR="00260DF5" w:rsidRPr="00586164">
        <w:rPr>
          <w:rFonts w:ascii="Palatino Linotype" w:eastAsia="Palatino Linotype" w:hAnsi="Palatino Linotype" w:cs="Palatino Linotype"/>
          <w:color w:val="000000" w:themeColor="text1"/>
        </w:rPr>
        <w:t>, misma que se llevó a cabo el 30 de marzo de 2025, este órgano considera que la información pudiera existir al tratarse de obligaciones que la normatividad impone a los sujetos obligados</w:t>
      </w:r>
      <w:r w:rsidR="00DE611B" w:rsidRPr="00586164">
        <w:rPr>
          <w:rFonts w:ascii="Palatino Linotype" w:eastAsia="Palatino Linotype" w:hAnsi="Palatino Linotype" w:cs="Palatino Linotype"/>
          <w:color w:val="000000" w:themeColor="text1"/>
        </w:rPr>
        <w:t>.</w:t>
      </w:r>
    </w:p>
    <w:p w:rsidR="00260DF5" w:rsidRPr="00586164" w:rsidRDefault="00260DF5" w:rsidP="00236468">
      <w:pPr>
        <w:spacing w:line="360" w:lineRule="auto"/>
        <w:ind w:right="-7"/>
        <w:jc w:val="both"/>
        <w:rPr>
          <w:rFonts w:ascii="Palatino Linotype" w:eastAsia="Palatino Linotype" w:hAnsi="Palatino Linotype" w:cs="Palatino Linotype"/>
          <w:color w:val="000000" w:themeColor="text1"/>
        </w:rPr>
      </w:pPr>
    </w:p>
    <w:p w:rsidR="00CC7C8C" w:rsidRPr="00586164" w:rsidRDefault="00D27932" w:rsidP="00236468">
      <w:pPr>
        <w:numPr>
          <w:ilvl w:val="0"/>
          <w:numId w:val="5"/>
        </w:numPr>
        <w:spacing w:line="360" w:lineRule="auto"/>
        <w:ind w:left="0" w:right="-7" w:firstLine="0"/>
        <w:jc w:val="both"/>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color w:val="000000" w:themeColor="text1"/>
        </w:rPr>
        <w:t xml:space="preserve">En razón de lo expuesto y toda vez que el Sujeto Obligado no proporcionó la información solicitada, resulta procedente </w:t>
      </w:r>
      <w:r w:rsidR="000C4615" w:rsidRPr="00586164">
        <w:rPr>
          <w:rFonts w:ascii="Palatino Linotype" w:eastAsia="Palatino Linotype" w:hAnsi="Palatino Linotype" w:cs="Palatino Linotype"/>
          <w:b/>
          <w:color w:val="000000" w:themeColor="text1"/>
        </w:rPr>
        <w:t>MODIFICAR</w:t>
      </w:r>
      <w:r w:rsidRPr="00586164">
        <w:rPr>
          <w:rFonts w:ascii="Palatino Linotype" w:eastAsia="Palatino Linotype" w:hAnsi="Palatino Linotype" w:cs="Palatino Linotype"/>
          <w:b/>
          <w:color w:val="000000" w:themeColor="text1"/>
        </w:rPr>
        <w:t xml:space="preserve"> </w:t>
      </w:r>
      <w:r w:rsidRPr="00586164">
        <w:rPr>
          <w:rFonts w:ascii="Palatino Linotype" w:eastAsia="Palatino Linotype" w:hAnsi="Palatino Linotype" w:cs="Palatino Linotype"/>
          <w:color w:val="000000" w:themeColor="text1"/>
        </w:rPr>
        <w:t xml:space="preserve">la respuesta y </w:t>
      </w:r>
      <w:r w:rsidRPr="00586164">
        <w:rPr>
          <w:rFonts w:ascii="Palatino Linotype" w:eastAsia="Palatino Linotype" w:hAnsi="Palatino Linotype" w:cs="Palatino Linotype"/>
          <w:b/>
          <w:color w:val="000000" w:themeColor="text1"/>
        </w:rPr>
        <w:t xml:space="preserve">ORDENAR </w:t>
      </w:r>
      <w:r w:rsidRPr="00586164">
        <w:rPr>
          <w:rFonts w:ascii="Palatino Linotype" w:eastAsia="Palatino Linotype" w:hAnsi="Palatino Linotype" w:cs="Palatino Linotype"/>
          <w:color w:val="000000" w:themeColor="text1"/>
        </w:rPr>
        <w:t xml:space="preserve">la entrega, vía Sistema de Acceso a la Información Mexiquense, previa búsqueda exhaustiva y razonable, de ser el caso en versión pública, </w:t>
      </w:r>
      <w:r w:rsidR="00D9217F" w:rsidRPr="00586164">
        <w:rPr>
          <w:rFonts w:ascii="Palatino Linotype" w:eastAsia="Palatino Linotype" w:hAnsi="Palatino Linotype" w:cs="Palatino Linotype"/>
          <w:b/>
          <w:color w:val="000000" w:themeColor="text1"/>
        </w:rPr>
        <w:t xml:space="preserve">el documento en el conste o se advierta el presupuesto asignado para la elección de autoridades auxiliares de la actual administración, al 28 de febrero de 2025. </w:t>
      </w:r>
      <w:r w:rsidR="00D9217F" w:rsidRPr="00586164">
        <w:rPr>
          <w:rFonts w:ascii="Palatino Linotype" w:eastAsia="Palatino Linotype" w:hAnsi="Palatino Linotype" w:cs="Palatino Linotype"/>
          <w:color w:val="000000" w:themeColor="text1"/>
        </w:rPr>
        <w:t xml:space="preserve">Asimismo, para el caso que el </w:t>
      </w:r>
      <w:r w:rsidR="00D9217F" w:rsidRPr="00586164">
        <w:rPr>
          <w:rFonts w:ascii="Palatino Linotype" w:eastAsia="Palatino Linotype" w:hAnsi="Palatino Linotype" w:cs="Palatino Linotype"/>
          <w:b/>
          <w:color w:val="000000" w:themeColor="text1"/>
        </w:rPr>
        <w:t>SUJETO OBLIGADO</w:t>
      </w:r>
      <w:r w:rsidR="00D9217F" w:rsidRPr="00586164">
        <w:rPr>
          <w:rFonts w:ascii="Palatino Linotype" w:eastAsia="Palatino Linotype" w:hAnsi="Palatino Linotype" w:cs="Palatino Linotype"/>
          <w:color w:val="000000" w:themeColor="text1"/>
        </w:rPr>
        <w:t>, luego de la búsqueda exhaustiva y razonable no cuente con la información que se ordena su entrega, por no haberse generado a la fecha de la solicitud, bastará que lo haga del conocimiento del RECURRENTE al momento de dar cumplimiento a la presente Resolución, en términos del artículo 19, párrafo segundo, de la Ley de Transparencia y Acceso a la Información Pública del Estado de México y Municipios.</w:t>
      </w:r>
    </w:p>
    <w:p w:rsidR="00CC7C8C" w:rsidRPr="00586164" w:rsidRDefault="00D27932" w:rsidP="00236468">
      <w:pPr>
        <w:keepNext/>
        <w:keepLines/>
        <w:spacing w:after="160" w:line="360" w:lineRule="auto"/>
        <w:ind w:right="-7"/>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color w:val="000000" w:themeColor="text1"/>
        </w:rPr>
        <w:lastRenderedPageBreak/>
        <w:t>QUINTO. De la versión pública.</w:t>
      </w:r>
    </w:p>
    <w:p w:rsidR="00CC7C8C" w:rsidRPr="00586164" w:rsidRDefault="00D27932" w:rsidP="00236468">
      <w:pPr>
        <w:keepNext/>
        <w:keepLines/>
        <w:numPr>
          <w:ilvl w:val="0"/>
          <w:numId w:val="2"/>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color w:val="000000" w:themeColor="text1"/>
        </w:rPr>
        <w:t xml:space="preserve">Nociones generales. </w:t>
      </w:r>
    </w:p>
    <w:p w:rsidR="00CC7C8C" w:rsidRPr="00586164" w:rsidRDefault="00D27932"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Debido a la información solicitada por el </w:t>
      </w:r>
      <w:r w:rsidRPr="00586164">
        <w:rPr>
          <w:rFonts w:ascii="Palatino Linotype" w:eastAsia="Palatino Linotype" w:hAnsi="Palatino Linotype" w:cs="Palatino Linotype"/>
          <w:b/>
          <w:color w:val="000000" w:themeColor="text1"/>
        </w:rPr>
        <w:t>RECURRENTE</w:t>
      </w:r>
      <w:r w:rsidRPr="00586164">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confidencial, el </w:t>
      </w:r>
      <w:r w:rsidRPr="00586164">
        <w:rPr>
          <w:rFonts w:ascii="Palatino Linotype" w:eastAsia="Palatino Linotype" w:hAnsi="Palatino Linotype" w:cs="Palatino Linotype"/>
          <w:b/>
          <w:color w:val="000000" w:themeColor="text1"/>
        </w:rPr>
        <w:t xml:space="preserve">SUJETO OBLIGADO </w:t>
      </w:r>
      <w:r w:rsidRPr="00586164">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CC7C8C" w:rsidRPr="00586164" w:rsidRDefault="00CC7C8C" w:rsidP="00236468">
      <w:pPr>
        <w:tabs>
          <w:tab w:val="left" w:pos="0"/>
          <w:tab w:val="left" w:pos="284"/>
        </w:tabs>
        <w:spacing w:line="360" w:lineRule="auto"/>
        <w:ind w:right="-7"/>
        <w:jc w:val="both"/>
        <w:rPr>
          <w:rFonts w:ascii="Palatino Linotype" w:eastAsia="Palatino Linotype" w:hAnsi="Palatino Linotype" w:cs="Palatino Linotype"/>
          <w:color w:val="000000" w:themeColor="text1"/>
        </w:rPr>
      </w:pPr>
    </w:p>
    <w:p w:rsidR="00CC7C8C" w:rsidRPr="00586164" w:rsidRDefault="00D27932"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No pasa desapercibido para este Órgano Garante que los sujetos obligados</w:t>
      </w:r>
      <w:r w:rsidRPr="00586164">
        <w:rPr>
          <w:rFonts w:ascii="Palatino Linotype" w:eastAsia="Palatino Linotype" w:hAnsi="Palatino Linotype" w:cs="Palatino Linotype"/>
          <w:b/>
          <w:color w:val="000000" w:themeColor="text1"/>
        </w:rPr>
        <w:t xml:space="preserve"> </w:t>
      </w:r>
      <w:r w:rsidRPr="00586164">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CC7C8C" w:rsidRPr="00586164" w:rsidRDefault="00CC7C8C" w:rsidP="00236468">
      <w:pPr>
        <w:tabs>
          <w:tab w:val="left" w:pos="284"/>
        </w:tabs>
        <w:spacing w:after="160" w:line="360" w:lineRule="auto"/>
        <w:ind w:right="-7"/>
        <w:jc w:val="both"/>
        <w:rPr>
          <w:rFonts w:ascii="Palatino Linotype" w:eastAsia="Palatino Linotype" w:hAnsi="Palatino Linotype" w:cs="Palatino Linotype"/>
          <w:color w:val="000000" w:themeColor="text1"/>
        </w:rPr>
      </w:pPr>
    </w:p>
    <w:tbl>
      <w:tblPr>
        <w:tblStyle w:val="a8"/>
        <w:tblW w:w="9493"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804"/>
      </w:tblGrid>
      <w:tr w:rsidR="00236468" w:rsidRPr="00586164" w:rsidTr="00C72430">
        <w:tc>
          <w:tcPr>
            <w:tcW w:w="2689" w:type="dxa"/>
          </w:tcPr>
          <w:p w:rsidR="00CC7C8C" w:rsidRPr="00586164" w:rsidRDefault="00D27932" w:rsidP="00236468">
            <w:pPr>
              <w:tabs>
                <w:tab w:val="left" w:pos="284"/>
              </w:tabs>
              <w:spacing w:line="360" w:lineRule="auto"/>
              <w:ind w:right="-7"/>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color w:val="000000" w:themeColor="text1"/>
              </w:rPr>
              <w:t>a) Requisitos previos.</w:t>
            </w:r>
          </w:p>
        </w:tc>
        <w:tc>
          <w:tcPr>
            <w:tcW w:w="6804" w:type="dxa"/>
          </w:tcPr>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color w:val="000000" w:themeColor="text1"/>
              </w:rPr>
              <w:lastRenderedPageBreak/>
              <w:t>Al hacerlo tienen que precisar de qué información se trata, señalando el supuesto de clasificación (confidencialidad o reserva).</w:t>
            </w:r>
          </w:p>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586164">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586164">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236468" w:rsidRPr="00586164" w:rsidTr="00C72430">
        <w:tc>
          <w:tcPr>
            <w:tcW w:w="2689" w:type="dxa"/>
          </w:tcPr>
          <w:p w:rsidR="00CC7C8C" w:rsidRPr="00586164" w:rsidRDefault="00D27932" w:rsidP="00236468">
            <w:pPr>
              <w:tabs>
                <w:tab w:val="left" w:pos="284"/>
              </w:tabs>
              <w:spacing w:line="360" w:lineRule="auto"/>
              <w:ind w:right="-7"/>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color w:val="000000" w:themeColor="text1"/>
              </w:rPr>
              <w:lastRenderedPageBreak/>
              <w:t>b) Supuestos de clasificación.</w:t>
            </w:r>
          </w:p>
        </w:tc>
        <w:tc>
          <w:tcPr>
            <w:tcW w:w="6804" w:type="dxa"/>
          </w:tcPr>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w:t>
            </w:r>
            <w:r w:rsidRPr="00586164">
              <w:rPr>
                <w:rFonts w:ascii="Palatino Linotype" w:eastAsia="Palatino Linotype" w:hAnsi="Palatino Linotype" w:cs="Palatino Linotype"/>
                <w:color w:val="000000" w:themeColor="text1"/>
              </w:rPr>
              <w:lastRenderedPageBreak/>
              <w:t>debe realizarse de manera restrictiva y limitada, por lo que debe acreditarse que se cumple con esta condición y no se pueden ampliar las excepciones o supuestos de clasificación aduciendo analogía o mayoría de razón.</w:t>
            </w:r>
          </w:p>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El </w:t>
            </w:r>
            <w:r w:rsidRPr="00586164">
              <w:rPr>
                <w:rFonts w:ascii="Palatino Linotype" w:eastAsia="Palatino Linotype" w:hAnsi="Palatino Linotype" w:cs="Palatino Linotype"/>
                <w:b/>
                <w:color w:val="000000" w:themeColor="text1"/>
              </w:rPr>
              <w:t>Sujeto Obligado</w:t>
            </w:r>
            <w:r w:rsidRPr="00586164">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36468" w:rsidRPr="00586164" w:rsidTr="00C72430">
        <w:tc>
          <w:tcPr>
            <w:tcW w:w="2689" w:type="dxa"/>
          </w:tcPr>
          <w:p w:rsidR="00CC7C8C" w:rsidRPr="00586164" w:rsidRDefault="00D27932" w:rsidP="00236468">
            <w:pPr>
              <w:tabs>
                <w:tab w:val="left" w:pos="284"/>
              </w:tabs>
              <w:spacing w:line="360" w:lineRule="auto"/>
              <w:ind w:right="-7"/>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color w:val="000000" w:themeColor="text1"/>
              </w:rPr>
              <w:lastRenderedPageBreak/>
              <w:t>c) Formalidades para emitir el acuerdo de clasificación.</w:t>
            </w:r>
          </w:p>
        </w:tc>
        <w:tc>
          <w:tcPr>
            <w:tcW w:w="6804" w:type="dxa"/>
          </w:tcPr>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Es necesario que </w:t>
            </w:r>
            <w:r w:rsidRPr="00586164">
              <w:rPr>
                <w:rFonts w:ascii="Palatino Linotype" w:eastAsia="Palatino Linotype" w:hAnsi="Palatino Linotype" w:cs="Palatino Linotype"/>
                <w:b/>
                <w:color w:val="000000" w:themeColor="text1"/>
                <w:u w:val="single"/>
              </w:rPr>
              <w:t>el acto reúna con los requisitos elementales</w:t>
            </w:r>
            <w:r w:rsidRPr="00586164">
              <w:rPr>
                <w:rFonts w:ascii="Palatino Linotype" w:eastAsia="Palatino Linotype" w:hAnsi="Palatino Linotype" w:cs="Palatino Linotype"/>
                <w:color w:val="000000" w:themeColor="text1"/>
              </w:rPr>
              <w:t>, entre ellos, que la autoridad que va a emitir el acto de autoridad sea la legalmente facultada para ello.</w:t>
            </w:r>
          </w:p>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586164">
              <w:rPr>
                <w:rFonts w:ascii="Palatino Linotype" w:eastAsia="Palatino Linotype" w:hAnsi="Palatino Linotype" w:cs="Palatino Linotype"/>
                <w:color w:val="000000" w:themeColor="text1"/>
              </w:rPr>
              <w:lastRenderedPageBreak/>
              <w:t>áreas y que son sujetas a control, en primera instancia, por el Comité de Transparencia.</w:t>
            </w:r>
          </w:p>
        </w:tc>
      </w:tr>
      <w:tr w:rsidR="00236468" w:rsidRPr="00586164" w:rsidTr="00C72430">
        <w:tc>
          <w:tcPr>
            <w:tcW w:w="2689" w:type="dxa"/>
          </w:tcPr>
          <w:p w:rsidR="00CC7C8C" w:rsidRPr="00586164" w:rsidRDefault="00CC7C8C" w:rsidP="00236468">
            <w:pPr>
              <w:tabs>
                <w:tab w:val="left" w:pos="284"/>
              </w:tabs>
              <w:spacing w:line="360" w:lineRule="auto"/>
              <w:ind w:right="-7"/>
              <w:rPr>
                <w:rFonts w:ascii="Palatino Linotype" w:eastAsia="Palatino Linotype" w:hAnsi="Palatino Linotype" w:cs="Palatino Linotype"/>
                <w:b/>
                <w:color w:val="000000" w:themeColor="text1"/>
              </w:rPr>
            </w:pPr>
          </w:p>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color w:val="000000" w:themeColor="text1"/>
              </w:rPr>
              <w:t xml:space="preserve">d) Requisitos de fondo del acuerdo de clasificación. </w:t>
            </w:r>
          </w:p>
        </w:tc>
        <w:tc>
          <w:tcPr>
            <w:tcW w:w="6804" w:type="dxa"/>
          </w:tcPr>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86164">
              <w:rPr>
                <w:rFonts w:ascii="Palatino Linotype" w:eastAsia="Palatino Linotype" w:hAnsi="Palatino Linotype" w:cs="Palatino Linotype"/>
                <w:b/>
                <w:color w:val="000000" w:themeColor="text1"/>
              </w:rPr>
              <w:t>Sujetos Obligados</w:t>
            </w:r>
            <w:r w:rsidRPr="00586164">
              <w:rPr>
                <w:rFonts w:ascii="Palatino Linotype" w:eastAsia="Palatino Linotype" w:hAnsi="Palatino Linotype" w:cs="Palatino Linotype"/>
                <w:color w:val="000000" w:themeColor="text1"/>
              </w:rPr>
              <w:t xml:space="preserve">, por lo que deberán fundar y motivar debidamente la clasificación. </w:t>
            </w:r>
          </w:p>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De lo anterior, se desprende que para una correcta </w:t>
            </w:r>
            <w:r w:rsidRPr="00586164">
              <w:rPr>
                <w:rFonts w:ascii="Palatino Linotype" w:eastAsia="Palatino Linotype" w:hAnsi="Palatino Linotype" w:cs="Palatino Linotype"/>
                <w:b/>
                <w:color w:val="000000" w:themeColor="text1"/>
              </w:rPr>
              <w:t>clasificación total o parcial</w:t>
            </w:r>
            <w:r w:rsidRPr="00586164">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586164">
              <w:rPr>
                <w:rFonts w:ascii="Palatino Linotype" w:eastAsia="Palatino Linotype" w:hAnsi="Palatino Linotype" w:cs="Palatino Linotype"/>
                <w:color w:val="000000" w:themeColor="text1"/>
              </w:rPr>
              <w:lastRenderedPageBreak/>
              <w:t>impugnar la decisión, permitiéndole una real y auténtica defensa.</w:t>
            </w:r>
          </w:p>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Ahora bien, </w:t>
            </w:r>
            <w:r w:rsidRPr="00586164">
              <w:rPr>
                <w:rFonts w:ascii="Palatino Linotype" w:eastAsia="Palatino Linotype" w:hAnsi="Palatino Linotype" w:cs="Palatino Linotype"/>
                <w:b/>
                <w:color w:val="000000" w:themeColor="text1"/>
                <w:u w:val="single"/>
              </w:rPr>
              <w:t>para cada caso además de fundar y motivar</w:t>
            </w:r>
            <w:r w:rsidRPr="00586164">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C7C8C" w:rsidRPr="00586164" w:rsidTr="00C72430">
        <w:tc>
          <w:tcPr>
            <w:tcW w:w="2689" w:type="dxa"/>
          </w:tcPr>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804" w:type="dxa"/>
          </w:tcPr>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CC7C8C" w:rsidRPr="00586164" w:rsidRDefault="00D27932" w:rsidP="00236468">
            <w:pPr>
              <w:tabs>
                <w:tab w:val="left" w:pos="284"/>
              </w:tabs>
              <w:spacing w:line="360" w:lineRule="auto"/>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C7C8C" w:rsidRPr="00586164" w:rsidRDefault="00D27932" w:rsidP="00236468">
            <w:pPr>
              <w:tabs>
                <w:tab w:val="left" w:pos="284"/>
              </w:tabs>
              <w:spacing w:line="360" w:lineRule="auto"/>
              <w:ind w:right="-7"/>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C7C8C" w:rsidRPr="00586164" w:rsidRDefault="00CC7C8C" w:rsidP="00236468">
      <w:pPr>
        <w:tabs>
          <w:tab w:val="left" w:pos="284"/>
        </w:tabs>
        <w:spacing w:line="360" w:lineRule="auto"/>
        <w:ind w:right="-7"/>
        <w:rPr>
          <w:rFonts w:ascii="Palatino Linotype" w:eastAsia="Palatino Linotype" w:hAnsi="Palatino Linotype" w:cs="Palatino Linotype"/>
          <w:color w:val="000000" w:themeColor="text1"/>
        </w:rPr>
      </w:pPr>
    </w:p>
    <w:p w:rsidR="00CC7C8C" w:rsidRPr="00586164" w:rsidRDefault="00CC7C8C" w:rsidP="00236468">
      <w:pPr>
        <w:ind w:right="-7"/>
        <w:rPr>
          <w:rFonts w:ascii="Palatino Linotype" w:eastAsia="Palatino Linotype" w:hAnsi="Palatino Linotype" w:cs="Palatino Linotype"/>
          <w:color w:val="000000" w:themeColor="text1"/>
        </w:rPr>
      </w:pPr>
    </w:p>
    <w:p w:rsidR="00CC7C8C" w:rsidRPr="00586164" w:rsidRDefault="00D27932"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En ese sentido, el </w:t>
      </w:r>
      <w:r w:rsidRPr="00586164">
        <w:rPr>
          <w:rFonts w:ascii="Palatino Linotype" w:eastAsia="Palatino Linotype" w:hAnsi="Palatino Linotype" w:cs="Palatino Linotype"/>
          <w:b/>
          <w:color w:val="000000" w:themeColor="text1"/>
        </w:rPr>
        <w:t>SUJETO OBLIGADO</w:t>
      </w:r>
      <w:r w:rsidRPr="00586164">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CC7C8C" w:rsidRPr="00586164" w:rsidRDefault="00CC7C8C" w:rsidP="00236468">
      <w:pPr>
        <w:tabs>
          <w:tab w:val="left" w:pos="284"/>
        </w:tabs>
        <w:spacing w:line="360" w:lineRule="auto"/>
        <w:ind w:right="-7"/>
        <w:jc w:val="both"/>
        <w:rPr>
          <w:rFonts w:ascii="Palatino Linotype" w:eastAsia="Palatino Linotype" w:hAnsi="Palatino Linotype" w:cs="Palatino Linotype"/>
          <w:color w:val="000000" w:themeColor="text1"/>
        </w:rPr>
      </w:pPr>
    </w:p>
    <w:p w:rsidR="00CC7C8C" w:rsidRPr="00586164" w:rsidRDefault="00D27932"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t xml:space="preserve">Derivado de lo establecido en párrafos anteriores, si el </w:t>
      </w:r>
      <w:r w:rsidRPr="00586164">
        <w:rPr>
          <w:rFonts w:ascii="Palatino Linotype" w:eastAsia="Palatino Linotype" w:hAnsi="Palatino Linotype" w:cs="Palatino Linotype"/>
          <w:b/>
          <w:color w:val="000000" w:themeColor="text1"/>
        </w:rPr>
        <w:t>SUJETO OBLIGADO</w:t>
      </w:r>
      <w:r w:rsidRPr="00586164">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CC7C8C" w:rsidRPr="00586164" w:rsidRDefault="00CC7C8C" w:rsidP="00236468">
      <w:pPr>
        <w:spacing w:line="360" w:lineRule="auto"/>
        <w:ind w:right="-7"/>
        <w:jc w:val="both"/>
        <w:rPr>
          <w:rFonts w:ascii="Palatino Linotype" w:hAnsi="Palatino Linotype"/>
          <w:color w:val="000000" w:themeColor="text1"/>
        </w:rPr>
      </w:pPr>
    </w:p>
    <w:p w:rsidR="00CC7C8C" w:rsidRPr="00586164" w:rsidRDefault="00D27932" w:rsidP="00236468">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color w:val="000000" w:themeColor="text1"/>
        </w:rPr>
        <w:lastRenderedPageBreak/>
        <w:t>Por lo expuesto, y con fundamento en lo prescrito en los artículos 5, párrafos trigésimo séptimo, trigésimo octavo y trigésimo noveno fracciones IV y V, de la Constitución Política del Estado Libre y Soberano de México; 2, fracción II; 29, 36 fracciones I y II; 176, 178, 179, 181 y 185 de la Ley de Transparencia y Acceso a la Información Pública del Estado de México y Municipios, este Pleno:</w:t>
      </w:r>
    </w:p>
    <w:p w:rsidR="00CC7C8C" w:rsidRPr="00586164" w:rsidRDefault="00CC7C8C" w:rsidP="00236468">
      <w:pPr>
        <w:ind w:right="-7"/>
        <w:rPr>
          <w:rFonts w:ascii="Palatino Linotype" w:eastAsia="Palatino Linotype" w:hAnsi="Palatino Linotype" w:cs="Palatino Linotype"/>
          <w:color w:val="000000" w:themeColor="text1"/>
        </w:rPr>
      </w:pPr>
    </w:p>
    <w:p w:rsidR="00CC7C8C" w:rsidRPr="00586164" w:rsidRDefault="00D27932" w:rsidP="00236468">
      <w:pPr>
        <w:spacing w:line="360" w:lineRule="auto"/>
        <w:ind w:right="-7"/>
        <w:jc w:val="center"/>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color w:val="000000" w:themeColor="text1"/>
        </w:rPr>
        <w:t>R E S U E L V E</w:t>
      </w:r>
    </w:p>
    <w:p w:rsidR="00CC7C8C" w:rsidRPr="00586164" w:rsidRDefault="00CC7C8C" w:rsidP="00236468">
      <w:pPr>
        <w:spacing w:line="360" w:lineRule="auto"/>
        <w:ind w:right="-7"/>
        <w:jc w:val="center"/>
        <w:rPr>
          <w:rFonts w:ascii="Palatino Linotype" w:eastAsia="Palatino Linotype" w:hAnsi="Palatino Linotype" w:cs="Palatino Linotype"/>
          <w:b/>
          <w:color w:val="000000" w:themeColor="text1"/>
        </w:rPr>
      </w:pPr>
    </w:p>
    <w:p w:rsidR="00CC7C8C" w:rsidRPr="00586164" w:rsidRDefault="00D27932" w:rsidP="00236468">
      <w:pPr>
        <w:spacing w:line="360" w:lineRule="auto"/>
        <w:ind w:right="-7"/>
        <w:jc w:val="both"/>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color w:val="000000" w:themeColor="text1"/>
        </w:rPr>
        <w:t>PRIMERO</w:t>
      </w:r>
      <w:r w:rsidRPr="00586164">
        <w:rPr>
          <w:rFonts w:ascii="Palatino Linotype" w:eastAsia="Palatino Linotype" w:hAnsi="Palatino Linotype" w:cs="Palatino Linotype"/>
          <w:color w:val="000000" w:themeColor="text1"/>
        </w:rPr>
        <w:t xml:space="preserve">. Resultan </w:t>
      </w:r>
      <w:r w:rsidRPr="00586164">
        <w:rPr>
          <w:rFonts w:ascii="Palatino Linotype" w:eastAsia="Palatino Linotype" w:hAnsi="Palatino Linotype" w:cs="Palatino Linotype"/>
          <w:b/>
          <w:color w:val="000000" w:themeColor="text1"/>
        </w:rPr>
        <w:t>FUNDADAS</w:t>
      </w:r>
      <w:r w:rsidRPr="00586164">
        <w:rPr>
          <w:rFonts w:ascii="Palatino Linotype" w:eastAsia="Palatino Linotype" w:hAnsi="Palatino Linotype" w:cs="Palatino Linotype"/>
          <w:color w:val="000000" w:themeColor="text1"/>
        </w:rPr>
        <w:t xml:space="preserve"> las razones o motivos de inconformidad hechos valer en el recurso de revisión </w:t>
      </w:r>
      <w:r w:rsidR="00716728" w:rsidRPr="00586164">
        <w:rPr>
          <w:rFonts w:ascii="Palatino Linotype" w:eastAsia="Palatino Linotype" w:hAnsi="Palatino Linotype" w:cs="Palatino Linotype"/>
          <w:b/>
          <w:color w:val="000000" w:themeColor="text1"/>
        </w:rPr>
        <w:t>04183</w:t>
      </w:r>
      <w:r w:rsidRPr="00586164">
        <w:rPr>
          <w:rFonts w:ascii="Palatino Linotype" w:eastAsia="Palatino Linotype" w:hAnsi="Palatino Linotype" w:cs="Palatino Linotype"/>
          <w:b/>
          <w:color w:val="000000" w:themeColor="text1"/>
        </w:rPr>
        <w:t>/INFOEM/IP/RR/2025</w:t>
      </w:r>
      <w:r w:rsidRPr="00586164">
        <w:rPr>
          <w:rFonts w:ascii="Palatino Linotype" w:eastAsia="Palatino Linotype" w:hAnsi="Palatino Linotype" w:cs="Palatino Linotype"/>
          <w:color w:val="000000" w:themeColor="text1"/>
        </w:rPr>
        <w:t>,</w:t>
      </w:r>
      <w:r w:rsidRPr="00586164">
        <w:rPr>
          <w:rFonts w:ascii="Palatino Linotype" w:eastAsia="Palatino Linotype" w:hAnsi="Palatino Linotype" w:cs="Palatino Linotype"/>
          <w:b/>
          <w:color w:val="000000" w:themeColor="text1"/>
        </w:rPr>
        <w:t xml:space="preserve"> </w:t>
      </w:r>
      <w:r w:rsidRPr="00586164">
        <w:rPr>
          <w:rFonts w:ascii="Palatino Linotype" w:eastAsia="Palatino Linotype" w:hAnsi="Palatino Linotype" w:cs="Palatino Linotype"/>
          <w:color w:val="000000" w:themeColor="text1"/>
        </w:rPr>
        <w:t xml:space="preserve">en términos del </w:t>
      </w:r>
      <w:r w:rsidRPr="00586164">
        <w:rPr>
          <w:rFonts w:ascii="Palatino Linotype" w:eastAsia="Palatino Linotype" w:hAnsi="Palatino Linotype" w:cs="Palatino Linotype"/>
          <w:b/>
          <w:color w:val="000000" w:themeColor="text1"/>
        </w:rPr>
        <w:t xml:space="preserve">Considerando CUARTO </w:t>
      </w:r>
      <w:r w:rsidRPr="00586164">
        <w:rPr>
          <w:rFonts w:ascii="Palatino Linotype" w:eastAsia="Palatino Linotype" w:hAnsi="Palatino Linotype" w:cs="Palatino Linotype"/>
          <w:color w:val="000000" w:themeColor="text1"/>
        </w:rPr>
        <w:t>de la presente resolución</w:t>
      </w:r>
      <w:r w:rsidRPr="00586164">
        <w:rPr>
          <w:rFonts w:ascii="Palatino Linotype" w:eastAsia="Palatino Linotype" w:hAnsi="Palatino Linotype" w:cs="Palatino Linotype"/>
          <w:b/>
          <w:color w:val="000000" w:themeColor="text1"/>
        </w:rPr>
        <w:t>.</w:t>
      </w:r>
    </w:p>
    <w:p w:rsidR="00CC7C8C" w:rsidRPr="00586164" w:rsidRDefault="00CC7C8C" w:rsidP="00236468">
      <w:pPr>
        <w:spacing w:line="360" w:lineRule="auto"/>
        <w:ind w:right="-7"/>
        <w:jc w:val="both"/>
        <w:rPr>
          <w:rFonts w:ascii="Palatino Linotype" w:eastAsia="Palatino Linotype" w:hAnsi="Palatino Linotype" w:cs="Palatino Linotype"/>
          <w:b/>
          <w:color w:val="000000" w:themeColor="text1"/>
        </w:rPr>
      </w:pPr>
    </w:p>
    <w:p w:rsidR="00CC7C8C" w:rsidRPr="00586164" w:rsidRDefault="00D27932" w:rsidP="00236468">
      <w:pPr>
        <w:spacing w:line="360" w:lineRule="auto"/>
        <w:ind w:right="-7"/>
        <w:jc w:val="both"/>
        <w:rPr>
          <w:rFonts w:ascii="Palatino Linotype" w:eastAsia="Palatino Linotype" w:hAnsi="Palatino Linotype" w:cs="Palatino Linotype"/>
          <w:color w:val="000000" w:themeColor="text1"/>
        </w:rPr>
      </w:pPr>
      <w:bookmarkStart w:id="8" w:name="_heading=h.1ksv4uv" w:colFirst="0" w:colLast="0"/>
      <w:bookmarkEnd w:id="8"/>
      <w:r w:rsidRPr="00586164">
        <w:rPr>
          <w:rFonts w:ascii="Palatino Linotype" w:eastAsia="Palatino Linotype" w:hAnsi="Palatino Linotype" w:cs="Palatino Linotype"/>
          <w:b/>
          <w:color w:val="000000" w:themeColor="text1"/>
        </w:rPr>
        <w:t>SEGUNDO.</w:t>
      </w:r>
      <w:r w:rsidRPr="00586164">
        <w:rPr>
          <w:rFonts w:ascii="Palatino Linotype" w:eastAsia="Palatino Linotype" w:hAnsi="Palatino Linotype" w:cs="Palatino Linotype"/>
          <w:color w:val="000000" w:themeColor="text1"/>
        </w:rPr>
        <w:t xml:space="preserve"> Se </w:t>
      </w:r>
      <w:r w:rsidR="00631AEC" w:rsidRPr="00586164">
        <w:rPr>
          <w:rFonts w:ascii="Palatino Linotype" w:eastAsia="Palatino Linotype" w:hAnsi="Palatino Linotype" w:cs="Palatino Linotype"/>
          <w:b/>
          <w:color w:val="000000" w:themeColor="text1"/>
        </w:rPr>
        <w:t>MODIFICA</w:t>
      </w:r>
      <w:r w:rsidRPr="00586164">
        <w:rPr>
          <w:rFonts w:ascii="Palatino Linotype" w:eastAsia="Palatino Linotype" w:hAnsi="Palatino Linotype" w:cs="Palatino Linotype"/>
          <w:b/>
          <w:color w:val="000000" w:themeColor="text1"/>
        </w:rPr>
        <w:t xml:space="preserve"> </w:t>
      </w:r>
      <w:r w:rsidRPr="00586164">
        <w:rPr>
          <w:rFonts w:ascii="Palatino Linotype" w:eastAsia="Palatino Linotype" w:hAnsi="Palatino Linotype" w:cs="Palatino Linotype"/>
          <w:color w:val="000000" w:themeColor="text1"/>
        </w:rPr>
        <w:t xml:space="preserve">la respuesta emitida por el </w:t>
      </w:r>
      <w:r w:rsidRPr="00586164">
        <w:rPr>
          <w:rFonts w:ascii="Palatino Linotype" w:eastAsia="Palatino Linotype" w:hAnsi="Palatino Linotype" w:cs="Palatino Linotype"/>
          <w:b/>
          <w:color w:val="000000" w:themeColor="text1"/>
        </w:rPr>
        <w:t xml:space="preserve">Ayuntamiento de Toluca </w:t>
      </w:r>
      <w:r w:rsidRPr="00586164">
        <w:rPr>
          <w:rFonts w:ascii="Palatino Linotype" w:eastAsia="Palatino Linotype" w:hAnsi="Palatino Linotype" w:cs="Palatino Linotype"/>
          <w:color w:val="000000" w:themeColor="text1"/>
        </w:rPr>
        <w:t xml:space="preserve">y se </w:t>
      </w:r>
      <w:r w:rsidRPr="00586164">
        <w:rPr>
          <w:rFonts w:ascii="Palatino Linotype" w:eastAsia="Palatino Linotype" w:hAnsi="Palatino Linotype" w:cs="Palatino Linotype"/>
          <w:b/>
          <w:color w:val="000000" w:themeColor="text1"/>
        </w:rPr>
        <w:t>ORDENA</w:t>
      </w:r>
      <w:r w:rsidRPr="00586164">
        <w:rPr>
          <w:rFonts w:ascii="Palatino Linotype" w:eastAsia="Palatino Linotype" w:hAnsi="Palatino Linotype" w:cs="Palatino Linotype"/>
          <w:color w:val="000000" w:themeColor="text1"/>
        </w:rPr>
        <w:t xml:space="preserve"> entregar, vía Sistema de Acceso a la Información Mexiquense </w:t>
      </w:r>
      <w:r w:rsidRPr="00586164">
        <w:rPr>
          <w:rFonts w:ascii="Palatino Linotype" w:eastAsia="Palatino Linotype" w:hAnsi="Palatino Linotype" w:cs="Palatino Linotype"/>
          <w:b/>
          <w:color w:val="000000" w:themeColor="text1"/>
        </w:rPr>
        <w:t>(SAIMEX)</w:t>
      </w:r>
      <w:r w:rsidRPr="00586164">
        <w:rPr>
          <w:rFonts w:ascii="Palatino Linotype" w:eastAsia="Palatino Linotype" w:hAnsi="Palatino Linotype" w:cs="Palatino Linotype"/>
          <w:color w:val="000000" w:themeColor="text1"/>
        </w:rPr>
        <w:t>, previa búsqueda exhaustiva y razonable, de ser el caso en versión pública, la siguiente información:</w:t>
      </w:r>
    </w:p>
    <w:p w:rsidR="00CC7C8C" w:rsidRPr="00586164" w:rsidRDefault="00CC7C8C" w:rsidP="00236468">
      <w:pPr>
        <w:spacing w:line="360" w:lineRule="auto"/>
        <w:ind w:right="-7"/>
        <w:jc w:val="both"/>
        <w:rPr>
          <w:rFonts w:ascii="Palatino Linotype" w:eastAsia="Palatino Linotype" w:hAnsi="Palatino Linotype" w:cs="Palatino Linotype"/>
          <w:color w:val="000000" w:themeColor="text1"/>
        </w:rPr>
      </w:pPr>
    </w:p>
    <w:p w:rsidR="00CC7C8C" w:rsidRPr="00586164" w:rsidRDefault="00716728" w:rsidP="00236468">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b/>
          <w:color w:val="000000" w:themeColor="text1"/>
        </w:rPr>
        <w:t>El documento en el conste o se advierta el presupuesto asignado para la elección de autoridades auxiliares de la actual administración, al 28 de febrero de 2025.</w:t>
      </w:r>
    </w:p>
    <w:p w:rsidR="00CC7C8C" w:rsidRPr="00586164" w:rsidRDefault="00CC7C8C" w:rsidP="00236468">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CC7C8C" w:rsidRPr="00586164" w:rsidRDefault="00D27932" w:rsidP="00236468">
      <w:pPr>
        <w:pBdr>
          <w:top w:val="nil"/>
          <w:left w:val="nil"/>
          <w:bottom w:val="nil"/>
          <w:right w:val="nil"/>
          <w:between w:val="nil"/>
        </w:pBdr>
        <w:tabs>
          <w:tab w:val="left" w:pos="8080"/>
        </w:tabs>
        <w:spacing w:line="360" w:lineRule="auto"/>
        <w:ind w:right="-7"/>
        <w:jc w:val="both"/>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color w:val="000000" w:themeColor="text1"/>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w:t>
      </w:r>
      <w:r w:rsidRPr="00586164">
        <w:rPr>
          <w:rFonts w:ascii="Palatino Linotype" w:eastAsia="Palatino Linotype" w:hAnsi="Palatino Linotype" w:cs="Palatino Linotype"/>
          <w:color w:val="000000" w:themeColor="text1"/>
        </w:rPr>
        <w:lastRenderedPageBreak/>
        <w:t xml:space="preserve">soporte documental respectivo objeto de las versiones públicas que se formulen y se pongan a disposición del </w:t>
      </w:r>
      <w:r w:rsidRPr="00586164">
        <w:rPr>
          <w:rFonts w:ascii="Palatino Linotype" w:eastAsia="Palatino Linotype" w:hAnsi="Palatino Linotype" w:cs="Palatino Linotype"/>
          <w:b/>
          <w:color w:val="000000" w:themeColor="text1"/>
        </w:rPr>
        <w:t>RECURRENTE.</w:t>
      </w:r>
    </w:p>
    <w:p w:rsidR="00294A8B" w:rsidRPr="00586164" w:rsidRDefault="00294A8B" w:rsidP="00236468">
      <w:pPr>
        <w:pBdr>
          <w:top w:val="nil"/>
          <w:left w:val="nil"/>
          <w:bottom w:val="nil"/>
          <w:right w:val="nil"/>
          <w:between w:val="nil"/>
        </w:pBdr>
        <w:tabs>
          <w:tab w:val="left" w:pos="8080"/>
        </w:tabs>
        <w:spacing w:line="360" w:lineRule="auto"/>
        <w:ind w:right="-7"/>
        <w:jc w:val="both"/>
        <w:rPr>
          <w:rFonts w:ascii="Palatino Linotype" w:eastAsia="Palatino Linotype" w:hAnsi="Palatino Linotype" w:cs="Palatino Linotype"/>
          <w:b/>
          <w:color w:val="000000" w:themeColor="text1"/>
        </w:rPr>
      </w:pPr>
    </w:p>
    <w:p w:rsidR="00716728" w:rsidRPr="00586164" w:rsidRDefault="00716728" w:rsidP="00236468">
      <w:pPr>
        <w:pBdr>
          <w:top w:val="nil"/>
          <w:left w:val="nil"/>
          <w:bottom w:val="nil"/>
          <w:right w:val="nil"/>
          <w:between w:val="nil"/>
        </w:pBdr>
        <w:tabs>
          <w:tab w:val="left" w:pos="8080"/>
        </w:tabs>
        <w:spacing w:line="360" w:lineRule="auto"/>
        <w:ind w:right="-7"/>
        <w:jc w:val="both"/>
        <w:rPr>
          <w:rFonts w:ascii="Palatino Linotype" w:eastAsia="Palatino Linotype" w:hAnsi="Palatino Linotype" w:cs="Palatino Linotype"/>
          <w:b/>
          <w:color w:val="000000" w:themeColor="text1"/>
        </w:rPr>
      </w:pPr>
      <w:r w:rsidRPr="00586164">
        <w:rPr>
          <w:rFonts w:ascii="Palatino Linotype" w:eastAsia="Palatino Linotype" w:hAnsi="Palatino Linotype" w:cs="Palatino Linotype"/>
          <w:color w:val="000000" w:themeColor="text1"/>
        </w:rPr>
        <w:t xml:space="preserve">Para el caso que el </w:t>
      </w:r>
      <w:r w:rsidRPr="00586164">
        <w:rPr>
          <w:rFonts w:ascii="Palatino Linotype" w:eastAsia="Palatino Linotype" w:hAnsi="Palatino Linotype" w:cs="Palatino Linotype"/>
          <w:b/>
          <w:color w:val="000000" w:themeColor="text1"/>
        </w:rPr>
        <w:t>SUJETO OBLIGADO</w:t>
      </w:r>
      <w:r w:rsidRPr="00586164">
        <w:rPr>
          <w:rFonts w:ascii="Palatino Linotype" w:eastAsia="Palatino Linotype" w:hAnsi="Palatino Linotype" w:cs="Palatino Linotype"/>
          <w:color w:val="000000" w:themeColor="text1"/>
        </w:rPr>
        <w:t>, luego de la búsqueda exhaustiva y razonable no cuente con la información que se ordena su entrega, por no haberse generado a la fecha de la solicitud, bastará que lo haga del conocimiento del RECURRENTE al momento de dar cumplimiento a la presente Resolución, en términos del artículo 19, párrafo segundo, de la Ley de Transparencia y Acceso a la Información Pública del Estado de México y Municipios.</w:t>
      </w:r>
    </w:p>
    <w:p w:rsidR="00CC7C8C" w:rsidRPr="00586164" w:rsidRDefault="00CC7C8C" w:rsidP="00236468">
      <w:pPr>
        <w:spacing w:line="360" w:lineRule="auto"/>
        <w:ind w:right="-7"/>
        <w:jc w:val="both"/>
        <w:rPr>
          <w:rFonts w:ascii="Palatino Linotype" w:eastAsia="Palatino Linotype" w:hAnsi="Palatino Linotype" w:cs="Palatino Linotype"/>
          <w:b/>
          <w:color w:val="000000" w:themeColor="text1"/>
        </w:rPr>
      </w:pPr>
    </w:p>
    <w:p w:rsidR="00CC7C8C" w:rsidRPr="00586164" w:rsidRDefault="00D27932" w:rsidP="00236468">
      <w:pPr>
        <w:spacing w:line="360" w:lineRule="auto"/>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b/>
          <w:color w:val="000000" w:themeColor="text1"/>
        </w:rPr>
        <w:t>TERCERO. NOTIFÍQUESE</w:t>
      </w:r>
      <w:r w:rsidRPr="00586164">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586164">
        <w:rPr>
          <w:rFonts w:ascii="Palatino Linotype" w:eastAsia="Palatino Linotype" w:hAnsi="Palatino Linotype" w:cs="Palatino Linotype"/>
          <w:b/>
          <w:color w:val="000000" w:themeColor="text1"/>
        </w:rPr>
        <w:t xml:space="preserve">dé cumplimiento a lo ordenado dentro del plazo </w:t>
      </w:r>
      <w:r w:rsidRPr="00586164">
        <w:rPr>
          <w:rFonts w:ascii="Palatino Linotype" w:eastAsia="Palatino Linotype" w:hAnsi="Palatino Linotype" w:cs="Palatino Linotype"/>
          <w:color w:val="000000" w:themeColor="text1"/>
        </w:rPr>
        <w:t>de</w:t>
      </w:r>
      <w:r w:rsidRPr="00586164">
        <w:rPr>
          <w:rFonts w:ascii="Palatino Linotype" w:eastAsia="Palatino Linotype" w:hAnsi="Palatino Linotype" w:cs="Palatino Linotype"/>
          <w:b/>
          <w:color w:val="000000" w:themeColor="text1"/>
        </w:rPr>
        <w:t xml:space="preserve"> diez días hábiles, </w:t>
      </w:r>
      <w:r w:rsidRPr="00586164">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C7C8C" w:rsidRPr="00586164" w:rsidRDefault="00CC7C8C" w:rsidP="00236468">
      <w:pPr>
        <w:spacing w:line="360" w:lineRule="auto"/>
        <w:ind w:right="-7"/>
        <w:jc w:val="both"/>
        <w:rPr>
          <w:rFonts w:ascii="Palatino Linotype" w:eastAsia="Palatino Linotype" w:hAnsi="Palatino Linotype" w:cs="Palatino Linotype"/>
          <w:color w:val="000000" w:themeColor="text1"/>
        </w:rPr>
      </w:pPr>
    </w:p>
    <w:p w:rsidR="00CC7C8C" w:rsidRPr="00586164" w:rsidRDefault="00D27932" w:rsidP="00236468">
      <w:pPr>
        <w:spacing w:line="360" w:lineRule="auto"/>
        <w:ind w:right="-7"/>
        <w:jc w:val="both"/>
        <w:rPr>
          <w:rFonts w:ascii="Palatino Linotype" w:eastAsia="Palatino Linotype" w:hAnsi="Palatino Linotype" w:cs="Palatino Linotype"/>
          <w:color w:val="000000" w:themeColor="text1"/>
        </w:rPr>
      </w:pPr>
      <w:bookmarkStart w:id="9" w:name="_heading=h.3rdcrjn" w:colFirst="0" w:colLast="0"/>
      <w:bookmarkEnd w:id="9"/>
      <w:r w:rsidRPr="00586164">
        <w:rPr>
          <w:rFonts w:ascii="Palatino Linotype" w:eastAsia="Palatino Linotype" w:hAnsi="Palatino Linotype" w:cs="Palatino Linotype"/>
          <w:b/>
          <w:color w:val="000000" w:themeColor="text1"/>
        </w:rPr>
        <w:t xml:space="preserve">CUARTO. </w:t>
      </w:r>
      <w:r w:rsidRPr="00586164">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586164">
        <w:rPr>
          <w:rFonts w:ascii="Palatino Linotype" w:eastAsia="Palatino Linotype" w:hAnsi="Palatino Linotype" w:cs="Palatino Linotype"/>
          <w:b/>
          <w:color w:val="000000" w:themeColor="text1"/>
        </w:rPr>
        <w:lastRenderedPageBreak/>
        <w:t>SUJETO OBLIGADO</w:t>
      </w:r>
      <w:r w:rsidRPr="00586164">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CC7C8C" w:rsidRPr="00586164" w:rsidRDefault="00CC7C8C" w:rsidP="00236468">
      <w:pPr>
        <w:spacing w:line="360" w:lineRule="auto"/>
        <w:ind w:right="-7"/>
        <w:jc w:val="both"/>
        <w:rPr>
          <w:rFonts w:ascii="Palatino Linotype" w:eastAsia="Palatino Linotype" w:hAnsi="Palatino Linotype" w:cs="Palatino Linotype"/>
          <w:color w:val="000000" w:themeColor="text1"/>
        </w:rPr>
      </w:pPr>
    </w:p>
    <w:p w:rsidR="00CC7C8C" w:rsidRPr="00586164" w:rsidRDefault="00D27932" w:rsidP="00236468">
      <w:pPr>
        <w:spacing w:line="360" w:lineRule="auto"/>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b/>
          <w:color w:val="000000" w:themeColor="text1"/>
        </w:rPr>
        <w:t>QUINTO. NOTIFÍQUESE</w:t>
      </w:r>
      <w:r w:rsidRPr="00586164">
        <w:rPr>
          <w:rFonts w:ascii="Palatino Linotype" w:eastAsia="Palatino Linotype" w:hAnsi="Palatino Linotype" w:cs="Palatino Linotype"/>
          <w:color w:val="000000" w:themeColor="text1"/>
        </w:rPr>
        <w:t xml:space="preserve"> la presente resolución a la parte </w:t>
      </w:r>
      <w:r w:rsidRPr="00586164">
        <w:rPr>
          <w:rFonts w:ascii="Palatino Linotype" w:eastAsia="Palatino Linotype" w:hAnsi="Palatino Linotype" w:cs="Palatino Linotype"/>
          <w:b/>
          <w:color w:val="000000" w:themeColor="text1"/>
        </w:rPr>
        <w:t>Recurrente</w:t>
      </w:r>
      <w:r w:rsidRPr="00586164">
        <w:rPr>
          <w:rFonts w:ascii="Palatino Linotype" w:eastAsia="Palatino Linotype" w:hAnsi="Palatino Linotype" w:cs="Palatino Linotype"/>
          <w:color w:val="000000" w:themeColor="text1"/>
        </w:rPr>
        <w:t xml:space="preserve"> a través del Sistema de Acceso a la Información Mexiquense </w:t>
      </w:r>
      <w:r w:rsidRPr="00586164">
        <w:rPr>
          <w:rFonts w:ascii="Palatino Linotype" w:eastAsia="Palatino Linotype" w:hAnsi="Palatino Linotype" w:cs="Palatino Linotype"/>
          <w:b/>
          <w:color w:val="000000" w:themeColor="text1"/>
        </w:rPr>
        <w:t>(SAIMEX)</w:t>
      </w:r>
      <w:r w:rsidR="00236468" w:rsidRPr="00586164">
        <w:rPr>
          <w:rFonts w:ascii="Palatino Linotype" w:eastAsia="Palatino Linotype" w:hAnsi="Palatino Linotype" w:cs="Palatino Linotype"/>
          <w:color w:val="000000" w:themeColor="text1"/>
        </w:rPr>
        <w:t>.</w:t>
      </w:r>
    </w:p>
    <w:p w:rsidR="00236468" w:rsidRPr="00586164" w:rsidRDefault="00236468" w:rsidP="00236468">
      <w:pPr>
        <w:spacing w:line="360" w:lineRule="auto"/>
        <w:ind w:right="-7"/>
        <w:jc w:val="both"/>
        <w:rPr>
          <w:rFonts w:ascii="Palatino Linotype" w:eastAsia="Palatino Linotype" w:hAnsi="Palatino Linotype" w:cs="Palatino Linotype"/>
          <w:color w:val="000000" w:themeColor="text1"/>
        </w:rPr>
      </w:pPr>
    </w:p>
    <w:p w:rsidR="00236468" w:rsidRPr="00586164" w:rsidRDefault="00236468" w:rsidP="00236468">
      <w:pPr>
        <w:tabs>
          <w:tab w:val="left" w:pos="8080"/>
        </w:tabs>
        <w:spacing w:line="360" w:lineRule="auto"/>
        <w:jc w:val="both"/>
        <w:rPr>
          <w:rFonts w:ascii="Palatino Linotype" w:hAnsi="Palatino Linotype"/>
          <w:lang w:val="es-ES"/>
        </w:rPr>
      </w:pPr>
      <w:r w:rsidRPr="00586164">
        <w:rPr>
          <w:rFonts w:ascii="Palatino Linotype" w:hAnsi="Palatino Linotype"/>
          <w:b/>
          <w:lang w:eastAsia="en-US"/>
        </w:rPr>
        <w:t xml:space="preserve">SEXTO. </w:t>
      </w:r>
      <w:r w:rsidRPr="00586164">
        <w:rPr>
          <w:rFonts w:ascii="Palatino Linotype" w:hAnsi="Palatino Linotype"/>
          <w:lang w:eastAsia="en-US"/>
        </w:rPr>
        <w:t>Se hace del conocimiento del</w:t>
      </w:r>
      <w:r w:rsidRPr="00586164">
        <w:rPr>
          <w:rFonts w:ascii="Palatino Linotype" w:hAnsi="Palatino Linotype"/>
          <w:b/>
          <w:lang w:eastAsia="en-US"/>
        </w:rPr>
        <w:t xml:space="preserve"> RECURRENTE </w:t>
      </w:r>
      <w:r w:rsidRPr="00586164">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236468" w:rsidRPr="00586164" w:rsidRDefault="00236468" w:rsidP="00236468">
      <w:pPr>
        <w:spacing w:line="360" w:lineRule="auto"/>
        <w:ind w:right="-7"/>
        <w:jc w:val="both"/>
        <w:rPr>
          <w:rFonts w:ascii="Palatino Linotype" w:eastAsia="Palatino Linotype" w:hAnsi="Palatino Linotype" w:cs="Palatino Linotype"/>
          <w:color w:val="000000" w:themeColor="text1"/>
        </w:rPr>
      </w:pPr>
    </w:p>
    <w:p w:rsidR="00CC7C8C" w:rsidRPr="00236468" w:rsidRDefault="00586164" w:rsidP="00236468">
      <w:pPr>
        <w:spacing w:before="240" w:after="240" w:line="360" w:lineRule="auto"/>
        <w:ind w:right="-7"/>
        <w:jc w:val="both"/>
        <w:rPr>
          <w:rFonts w:ascii="Palatino Linotype" w:eastAsia="Palatino Linotype" w:hAnsi="Palatino Linotype" w:cs="Palatino Linotype"/>
          <w:color w:val="000000" w:themeColor="text1"/>
        </w:rPr>
      </w:pPr>
      <w:r w:rsidRPr="0058616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236468" w:rsidRPr="00586164">
        <w:rPr>
          <w:rFonts w:ascii="Palatino Linotype" w:eastAsia="Palatino Linotype" w:hAnsi="Palatino Linotype" w:cs="Palatino Linotype"/>
        </w:rPr>
        <w:t>.</w:t>
      </w:r>
    </w:p>
    <w:p w:rsidR="00CC7C8C" w:rsidRPr="00236468" w:rsidRDefault="00D27932" w:rsidP="00236468">
      <w:pPr>
        <w:ind w:right="-7"/>
        <w:rPr>
          <w:rFonts w:ascii="Palatino Linotype" w:eastAsia="Palatino Linotype" w:hAnsi="Palatino Linotype" w:cs="Palatino Linotype"/>
          <w:color w:val="000000" w:themeColor="text1"/>
        </w:rPr>
      </w:pPr>
      <w:r w:rsidRPr="00236468">
        <w:rPr>
          <w:rFonts w:ascii="Palatino Linotype" w:hAnsi="Palatino Linotype"/>
          <w:color w:val="000000" w:themeColor="text1"/>
        </w:rPr>
        <w:br w:type="page"/>
      </w:r>
    </w:p>
    <w:p w:rsidR="00CC7C8C" w:rsidRPr="00236468" w:rsidRDefault="00CC7C8C" w:rsidP="00236468">
      <w:pPr>
        <w:spacing w:before="240" w:after="240" w:line="360" w:lineRule="auto"/>
        <w:ind w:right="-7"/>
        <w:jc w:val="both"/>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jc w:val="both"/>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jc w:val="both"/>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jc w:val="both"/>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jc w:val="both"/>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jc w:val="both"/>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jc w:val="both"/>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jc w:val="both"/>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jc w:val="both"/>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jc w:val="both"/>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jc w:val="both"/>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jc w:val="both"/>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jc w:val="both"/>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jc w:val="both"/>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rPr>
          <w:rFonts w:ascii="Palatino Linotype" w:eastAsia="Palatino Linotype" w:hAnsi="Palatino Linotype" w:cs="Palatino Linotype"/>
          <w:color w:val="000000" w:themeColor="text1"/>
        </w:rPr>
      </w:pPr>
    </w:p>
    <w:p w:rsidR="00CC7C8C" w:rsidRPr="00236468" w:rsidRDefault="00CC7C8C" w:rsidP="00236468">
      <w:pPr>
        <w:spacing w:line="360" w:lineRule="auto"/>
        <w:ind w:right="-7"/>
        <w:rPr>
          <w:rFonts w:ascii="Palatino Linotype" w:eastAsia="Palatino Linotype" w:hAnsi="Palatino Linotype" w:cs="Palatino Linotype"/>
          <w:color w:val="000000" w:themeColor="text1"/>
        </w:rPr>
      </w:pPr>
    </w:p>
    <w:p w:rsidR="00CC7C8C" w:rsidRPr="00236468" w:rsidRDefault="00D27932" w:rsidP="00236468">
      <w:pPr>
        <w:tabs>
          <w:tab w:val="left" w:pos="3374"/>
        </w:tabs>
        <w:spacing w:line="360" w:lineRule="auto"/>
        <w:ind w:right="-7"/>
        <w:rPr>
          <w:rFonts w:ascii="Palatino Linotype" w:eastAsia="Palatino Linotype" w:hAnsi="Palatino Linotype" w:cs="Palatino Linotype"/>
          <w:color w:val="000000" w:themeColor="text1"/>
        </w:rPr>
      </w:pPr>
      <w:bookmarkStart w:id="10" w:name="_heading=h.lnxbz9" w:colFirst="0" w:colLast="0"/>
      <w:bookmarkEnd w:id="10"/>
      <w:r w:rsidRPr="00236468">
        <w:rPr>
          <w:rFonts w:ascii="Palatino Linotype" w:eastAsia="Palatino Linotype" w:hAnsi="Palatino Linotype" w:cs="Palatino Linotype"/>
          <w:color w:val="000000" w:themeColor="text1"/>
        </w:rPr>
        <w:tab/>
      </w:r>
    </w:p>
    <w:sectPr w:rsidR="00CC7C8C" w:rsidRPr="00236468" w:rsidSect="00C72430">
      <w:headerReference w:type="even" r:id="rId12"/>
      <w:headerReference w:type="default" r:id="rId13"/>
      <w:footerReference w:type="default" r:id="rId14"/>
      <w:headerReference w:type="first" r:id="rId15"/>
      <w:footerReference w:type="first" r:id="rId16"/>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C19" w:rsidRDefault="00FA4C19">
      <w:r>
        <w:separator/>
      </w:r>
    </w:p>
  </w:endnote>
  <w:endnote w:type="continuationSeparator" w:id="0">
    <w:p w:rsidR="00FA4C19" w:rsidRDefault="00FA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A6F" w:rsidRDefault="003E1A6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D7EA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D7EA2">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rsidR="003E1A6F" w:rsidRDefault="003E1A6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A6F" w:rsidRDefault="003E1A6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D7EA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D7EA2">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rsidR="003E1A6F" w:rsidRDefault="003E1A6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C19" w:rsidRDefault="00FA4C19">
      <w:r>
        <w:separator/>
      </w:r>
    </w:p>
  </w:footnote>
  <w:footnote w:type="continuationSeparator" w:id="0">
    <w:p w:rsidR="00FA4C19" w:rsidRDefault="00FA4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A6F" w:rsidRDefault="00FA4C1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6945" w:type="dxa"/>
      <w:tblInd w:w="3686" w:type="dxa"/>
      <w:tblLayout w:type="fixed"/>
      <w:tblLook w:val="0400" w:firstRow="0" w:lastRow="0" w:firstColumn="0" w:lastColumn="0" w:noHBand="0" w:noVBand="1"/>
    </w:tblPr>
    <w:tblGrid>
      <w:gridCol w:w="2693"/>
      <w:gridCol w:w="4252"/>
    </w:tblGrid>
    <w:tr w:rsidR="003E1A6F" w:rsidTr="00C72430">
      <w:trPr>
        <w:trHeight w:val="227"/>
      </w:trPr>
      <w:tc>
        <w:tcPr>
          <w:tcW w:w="2693" w:type="dxa"/>
        </w:tcPr>
        <w:p w:rsidR="003E1A6F" w:rsidRPr="00236468" w:rsidRDefault="003E1A6F" w:rsidP="00236468">
          <w:pPr>
            <w:jc w:val="right"/>
            <w:rPr>
              <w:rFonts w:ascii="Palatino Linotype" w:eastAsia="Palatino Linotype" w:hAnsi="Palatino Linotype" w:cs="Palatino Linotype"/>
              <w:b/>
            </w:rPr>
          </w:pPr>
          <w:r w:rsidRPr="00236468">
            <w:rPr>
              <w:rFonts w:ascii="Palatino Linotype" w:eastAsia="Palatino Linotype" w:hAnsi="Palatino Linotype" w:cs="Palatino Linotype"/>
              <w:b/>
            </w:rPr>
            <w:t>Recurso de Revisión:</w:t>
          </w:r>
        </w:p>
      </w:tc>
      <w:tc>
        <w:tcPr>
          <w:tcW w:w="4252" w:type="dxa"/>
        </w:tcPr>
        <w:p w:rsidR="003E1A6F" w:rsidRPr="00236468" w:rsidRDefault="003E1A6F" w:rsidP="00236468">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236468">
            <w:rPr>
              <w:rFonts w:ascii="Palatino Linotype" w:eastAsia="Palatino Linotype" w:hAnsi="Palatino Linotype" w:cs="Palatino Linotype"/>
              <w:color w:val="000000"/>
            </w:rPr>
            <w:t>04183/INFOEM/IP/RR/2025</w:t>
          </w:r>
        </w:p>
      </w:tc>
    </w:tr>
    <w:tr w:rsidR="003E1A6F" w:rsidTr="00C72430">
      <w:trPr>
        <w:trHeight w:val="342"/>
      </w:trPr>
      <w:tc>
        <w:tcPr>
          <w:tcW w:w="2693" w:type="dxa"/>
        </w:tcPr>
        <w:p w:rsidR="003E1A6F" w:rsidRPr="00236468" w:rsidRDefault="003E1A6F" w:rsidP="00236468">
          <w:pPr>
            <w:jc w:val="right"/>
            <w:rPr>
              <w:rFonts w:ascii="Palatino Linotype" w:eastAsia="Palatino Linotype" w:hAnsi="Palatino Linotype" w:cs="Palatino Linotype"/>
              <w:b/>
            </w:rPr>
          </w:pPr>
          <w:r w:rsidRPr="00236468">
            <w:rPr>
              <w:rFonts w:ascii="Palatino Linotype" w:eastAsia="Palatino Linotype" w:hAnsi="Palatino Linotype" w:cs="Palatino Linotype"/>
              <w:b/>
            </w:rPr>
            <w:t>Sujeto Obligado:</w:t>
          </w:r>
        </w:p>
      </w:tc>
      <w:tc>
        <w:tcPr>
          <w:tcW w:w="4252" w:type="dxa"/>
        </w:tcPr>
        <w:p w:rsidR="003E1A6F" w:rsidRPr="00236468" w:rsidRDefault="003E1A6F" w:rsidP="00236468">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236468">
            <w:rPr>
              <w:rFonts w:ascii="Palatino Linotype" w:eastAsia="Palatino Linotype" w:hAnsi="Palatino Linotype" w:cs="Palatino Linotype"/>
              <w:color w:val="000000"/>
            </w:rPr>
            <w:t>Ayuntamiento de Toluca</w:t>
          </w:r>
        </w:p>
      </w:tc>
    </w:tr>
    <w:tr w:rsidR="003E1A6F" w:rsidTr="00C72430">
      <w:trPr>
        <w:trHeight w:val="342"/>
      </w:trPr>
      <w:tc>
        <w:tcPr>
          <w:tcW w:w="2693" w:type="dxa"/>
        </w:tcPr>
        <w:p w:rsidR="003E1A6F" w:rsidRPr="00236468" w:rsidRDefault="003E1A6F" w:rsidP="00236468">
          <w:pPr>
            <w:jc w:val="right"/>
            <w:rPr>
              <w:rFonts w:ascii="Palatino Linotype" w:eastAsia="Palatino Linotype" w:hAnsi="Palatino Linotype" w:cs="Palatino Linotype"/>
              <w:b/>
            </w:rPr>
          </w:pPr>
          <w:r w:rsidRPr="00236468">
            <w:rPr>
              <w:rFonts w:ascii="Palatino Linotype" w:eastAsia="Palatino Linotype" w:hAnsi="Palatino Linotype" w:cs="Palatino Linotype"/>
              <w:b/>
            </w:rPr>
            <w:t>Comisionada Ponente:</w:t>
          </w:r>
        </w:p>
      </w:tc>
      <w:tc>
        <w:tcPr>
          <w:tcW w:w="4252" w:type="dxa"/>
        </w:tcPr>
        <w:p w:rsidR="003E1A6F" w:rsidRPr="00236468" w:rsidRDefault="003E1A6F" w:rsidP="00236468">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236468">
            <w:rPr>
              <w:rFonts w:ascii="Palatino Linotype" w:eastAsia="Palatino Linotype" w:hAnsi="Palatino Linotype" w:cs="Palatino Linotype"/>
              <w:color w:val="000000"/>
            </w:rPr>
            <w:t>María del Rosario Mejía Ayala</w:t>
          </w:r>
        </w:p>
      </w:tc>
    </w:tr>
  </w:tbl>
  <w:p w:rsidR="003E1A6F" w:rsidRDefault="00FA4C19">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5.95pt;margin-top:-119.6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6945" w:type="dxa"/>
      <w:tblInd w:w="3261" w:type="dxa"/>
      <w:tblLayout w:type="fixed"/>
      <w:tblLook w:val="0400" w:firstRow="0" w:lastRow="0" w:firstColumn="0" w:lastColumn="0" w:noHBand="0" w:noVBand="1"/>
    </w:tblPr>
    <w:tblGrid>
      <w:gridCol w:w="2693"/>
      <w:gridCol w:w="4252"/>
    </w:tblGrid>
    <w:tr w:rsidR="003E1A6F" w:rsidTr="00236468">
      <w:trPr>
        <w:trHeight w:val="227"/>
      </w:trPr>
      <w:tc>
        <w:tcPr>
          <w:tcW w:w="2693" w:type="dxa"/>
        </w:tcPr>
        <w:p w:rsidR="003E1A6F" w:rsidRPr="00236468" w:rsidRDefault="003E1A6F" w:rsidP="00236468">
          <w:pPr>
            <w:jc w:val="right"/>
            <w:rPr>
              <w:rFonts w:ascii="Palatino Linotype" w:eastAsia="Palatino Linotype" w:hAnsi="Palatino Linotype" w:cs="Palatino Linotype"/>
              <w:b/>
            </w:rPr>
          </w:pPr>
          <w:r w:rsidRPr="00236468">
            <w:rPr>
              <w:rFonts w:ascii="Palatino Linotype" w:eastAsia="Palatino Linotype" w:hAnsi="Palatino Linotype" w:cs="Palatino Linotype"/>
              <w:b/>
            </w:rPr>
            <w:t>Recurso de Revisión:</w:t>
          </w:r>
        </w:p>
      </w:tc>
      <w:tc>
        <w:tcPr>
          <w:tcW w:w="4252" w:type="dxa"/>
        </w:tcPr>
        <w:p w:rsidR="003E1A6F" w:rsidRPr="00236468" w:rsidRDefault="003E1A6F" w:rsidP="00236468">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236468">
            <w:rPr>
              <w:rFonts w:ascii="Palatino Linotype" w:eastAsia="Palatino Linotype" w:hAnsi="Palatino Linotype" w:cs="Palatino Linotype"/>
              <w:color w:val="000000"/>
            </w:rPr>
            <w:t>04183/INFOEM/IP/RR/2025</w:t>
          </w:r>
        </w:p>
      </w:tc>
    </w:tr>
    <w:tr w:rsidR="003E1A6F" w:rsidTr="00236468">
      <w:trPr>
        <w:trHeight w:val="242"/>
      </w:trPr>
      <w:tc>
        <w:tcPr>
          <w:tcW w:w="2693" w:type="dxa"/>
        </w:tcPr>
        <w:p w:rsidR="003E1A6F" w:rsidRPr="00236468" w:rsidRDefault="003E1A6F" w:rsidP="00236468">
          <w:pPr>
            <w:jc w:val="right"/>
            <w:rPr>
              <w:rFonts w:ascii="Palatino Linotype" w:eastAsia="Palatino Linotype" w:hAnsi="Palatino Linotype" w:cs="Palatino Linotype"/>
              <w:b/>
            </w:rPr>
          </w:pPr>
          <w:r w:rsidRPr="00236468">
            <w:rPr>
              <w:rFonts w:ascii="Palatino Linotype" w:eastAsia="Palatino Linotype" w:hAnsi="Palatino Linotype" w:cs="Palatino Linotype"/>
              <w:b/>
            </w:rPr>
            <w:t>Recurrente:</w:t>
          </w:r>
        </w:p>
      </w:tc>
      <w:tc>
        <w:tcPr>
          <w:tcW w:w="4252" w:type="dxa"/>
        </w:tcPr>
        <w:p w:rsidR="003E1A6F" w:rsidRPr="00236468" w:rsidRDefault="002D7EA2" w:rsidP="00236468">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3E1A6F" w:rsidTr="00236468">
      <w:trPr>
        <w:trHeight w:val="342"/>
      </w:trPr>
      <w:tc>
        <w:tcPr>
          <w:tcW w:w="2693" w:type="dxa"/>
        </w:tcPr>
        <w:p w:rsidR="003E1A6F" w:rsidRPr="00236468" w:rsidRDefault="003E1A6F" w:rsidP="00236468">
          <w:pPr>
            <w:jc w:val="right"/>
            <w:rPr>
              <w:rFonts w:ascii="Palatino Linotype" w:eastAsia="Palatino Linotype" w:hAnsi="Palatino Linotype" w:cs="Palatino Linotype"/>
              <w:b/>
            </w:rPr>
          </w:pPr>
          <w:r w:rsidRPr="00236468">
            <w:rPr>
              <w:rFonts w:ascii="Palatino Linotype" w:eastAsia="Palatino Linotype" w:hAnsi="Palatino Linotype" w:cs="Palatino Linotype"/>
              <w:b/>
            </w:rPr>
            <w:t>Sujeto Obligado:</w:t>
          </w:r>
        </w:p>
      </w:tc>
      <w:tc>
        <w:tcPr>
          <w:tcW w:w="4252" w:type="dxa"/>
        </w:tcPr>
        <w:p w:rsidR="003E1A6F" w:rsidRPr="00236468" w:rsidRDefault="003E1A6F" w:rsidP="00236468">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236468">
            <w:rPr>
              <w:rFonts w:ascii="Palatino Linotype" w:eastAsia="Palatino Linotype" w:hAnsi="Palatino Linotype" w:cs="Palatino Linotype"/>
              <w:color w:val="000000"/>
            </w:rPr>
            <w:t>Ayuntamiento de Toluca</w:t>
          </w:r>
        </w:p>
      </w:tc>
    </w:tr>
    <w:tr w:rsidR="003E1A6F" w:rsidTr="00236468">
      <w:trPr>
        <w:trHeight w:val="342"/>
      </w:trPr>
      <w:tc>
        <w:tcPr>
          <w:tcW w:w="2693" w:type="dxa"/>
        </w:tcPr>
        <w:p w:rsidR="003E1A6F" w:rsidRPr="00236468" w:rsidRDefault="003E1A6F" w:rsidP="00236468">
          <w:pPr>
            <w:jc w:val="right"/>
            <w:rPr>
              <w:rFonts w:ascii="Palatino Linotype" w:eastAsia="Palatino Linotype" w:hAnsi="Palatino Linotype" w:cs="Palatino Linotype"/>
              <w:b/>
            </w:rPr>
          </w:pPr>
          <w:r w:rsidRPr="00236468">
            <w:rPr>
              <w:rFonts w:ascii="Palatino Linotype" w:eastAsia="Palatino Linotype" w:hAnsi="Palatino Linotype" w:cs="Palatino Linotype"/>
              <w:b/>
            </w:rPr>
            <w:t>Comisionada Ponente:</w:t>
          </w:r>
        </w:p>
      </w:tc>
      <w:tc>
        <w:tcPr>
          <w:tcW w:w="4252" w:type="dxa"/>
        </w:tcPr>
        <w:p w:rsidR="003E1A6F" w:rsidRPr="00236468" w:rsidRDefault="003E1A6F" w:rsidP="00236468">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236468">
            <w:rPr>
              <w:rFonts w:ascii="Palatino Linotype" w:eastAsia="Palatino Linotype" w:hAnsi="Palatino Linotype" w:cs="Palatino Linotype"/>
              <w:color w:val="000000"/>
            </w:rPr>
            <w:t>María del Rosario Mejía Ayala</w:t>
          </w:r>
        </w:p>
      </w:tc>
    </w:tr>
  </w:tbl>
  <w:p w:rsidR="003E1A6F" w:rsidRDefault="00FA4C19">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C3720"/>
    <w:multiLevelType w:val="multilevel"/>
    <w:tmpl w:val="D22EC41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56358C3"/>
    <w:multiLevelType w:val="multilevel"/>
    <w:tmpl w:val="FF96B7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7C1010"/>
    <w:multiLevelType w:val="multilevel"/>
    <w:tmpl w:val="C4DCE2D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 w15:restartNumberingAfterBreak="0">
    <w:nsid w:val="22D456E7"/>
    <w:multiLevelType w:val="multilevel"/>
    <w:tmpl w:val="3DB82D1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1428D2"/>
    <w:multiLevelType w:val="multilevel"/>
    <w:tmpl w:val="77AA5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8871E1"/>
    <w:multiLevelType w:val="hybridMultilevel"/>
    <w:tmpl w:val="17AA5B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C155A5A"/>
    <w:multiLevelType w:val="multilevel"/>
    <w:tmpl w:val="D556D80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7" w15:restartNumberingAfterBreak="0">
    <w:nsid w:val="2F9B7FC3"/>
    <w:multiLevelType w:val="hybridMultilevel"/>
    <w:tmpl w:val="580AF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9A428F"/>
    <w:multiLevelType w:val="multilevel"/>
    <w:tmpl w:val="5EA68B02"/>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636CA9"/>
    <w:multiLevelType w:val="multilevel"/>
    <w:tmpl w:val="DC425AA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8376C3"/>
    <w:multiLevelType w:val="multilevel"/>
    <w:tmpl w:val="D22EC41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DBE099A"/>
    <w:multiLevelType w:val="multilevel"/>
    <w:tmpl w:val="FD4250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19D6587"/>
    <w:multiLevelType w:val="multilevel"/>
    <w:tmpl w:val="5B064CE0"/>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DB66C0"/>
    <w:multiLevelType w:val="multilevel"/>
    <w:tmpl w:val="56626958"/>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C435A25"/>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11"/>
  </w:num>
  <w:num w:numId="4">
    <w:abstractNumId w:val="4"/>
  </w:num>
  <w:num w:numId="5">
    <w:abstractNumId w:val="3"/>
  </w:num>
  <w:num w:numId="6">
    <w:abstractNumId w:val="6"/>
  </w:num>
  <w:num w:numId="7">
    <w:abstractNumId w:val="14"/>
  </w:num>
  <w:num w:numId="8">
    <w:abstractNumId w:val="9"/>
  </w:num>
  <w:num w:numId="9">
    <w:abstractNumId w:val="15"/>
  </w:num>
  <w:num w:numId="10">
    <w:abstractNumId w:val="10"/>
  </w:num>
  <w:num w:numId="11">
    <w:abstractNumId w:val="5"/>
  </w:num>
  <w:num w:numId="12">
    <w:abstractNumId w:val="12"/>
  </w:num>
  <w:num w:numId="13">
    <w:abstractNumId w:val="0"/>
  </w:num>
  <w:num w:numId="14">
    <w:abstractNumId w:val="8"/>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8C"/>
    <w:rsid w:val="000025F3"/>
    <w:rsid w:val="00033258"/>
    <w:rsid w:val="000C4615"/>
    <w:rsid w:val="00165453"/>
    <w:rsid w:val="00180447"/>
    <w:rsid w:val="001A6E62"/>
    <w:rsid w:val="001B1930"/>
    <w:rsid w:val="00213ADB"/>
    <w:rsid w:val="0021780D"/>
    <w:rsid w:val="00236468"/>
    <w:rsid w:val="00260DF5"/>
    <w:rsid w:val="00274C27"/>
    <w:rsid w:val="00293334"/>
    <w:rsid w:val="00294A8B"/>
    <w:rsid w:val="002D7EA2"/>
    <w:rsid w:val="00324CDB"/>
    <w:rsid w:val="00371CC2"/>
    <w:rsid w:val="003B7F95"/>
    <w:rsid w:val="003E1A6F"/>
    <w:rsid w:val="003F0C67"/>
    <w:rsid w:val="0040396D"/>
    <w:rsid w:val="00443F19"/>
    <w:rsid w:val="004634B1"/>
    <w:rsid w:val="00493CBB"/>
    <w:rsid w:val="00514586"/>
    <w:rsid w:val="005854CC"/>
    <w:rsid w:val="00586164"/>
    <w:rsid w:val="005E2BA7"/>
    <w:rsid w:val="00631AEC"/>
    <w:rsid w:val="00657B12"/>
    <w:rsid w:val="006E638F"/>
    <w:rsid w:val="00702C8A"/>
    <w:rsid w:val="007051F9"/>
    <w:rsid w:val="00716728"/>
    <w:rsid w:val="0073472F"/>
    <w:rsid w:val="00737BE8"/>
    <w:rsid w:val="007766D6"/>
    <w:rsid w:val="007B3EEF"/>
    <w:rsid w:val="007D25F5"/>
    <w:rsid w:val="007F105C"/>
    <w:rsid w:val="00827FA6"/>
    <w:rsid w:val="00844D8C"/>
    <w:rsid w:val="0085069D"/>
    <w:rsid w:val="0093790D"/>
    <w:rsid w:val="009D3D25"/>
    <w:rsid w:val="00A520EF"/>
    <w:rsid w:val="00A60BF2"/>
    <w:rsid w:val="00A73EBE"/>
    <w:rsid w:val="00A82ED1"/>
    <w:rsid w:val="00A93D2A"/>
    <w:rsid w:val="00AA5EC3"/>
    <w:rsid w:val="00AF2514"/>
    <w:rsid w:val="00AF3A4E"/>
    <w:rsid w:val="00BD5755"/>
    <w:rsid w:val="00BE66E4"/>
    <w:rsid w:val="00C02D5F"/>
    <w:rsid w:val="00C72430"/>
    <w:rsid w:val="00CC46CE"/>
    <w:rsid w:val="00CC7C8C"/>
    <w:rsid w:val="00D27932"/>
    <w:rsid w:val="00D72906"/>
    <w:rsid w:val="00D91241"/>
    <w:rsid w:val="00D9217F"/>
    <w:rsid w:val="00DE611B"/>
    <w:rsid w:val="00E7592D"/>
    <w:rsid w:val="00ED1031"/>
    <w:rsid w:val="00F054B2"/>
    <w:rsid w:val="00F52B2C"/>
    <w:rsid w:val="00F76226"/>
    <w:rsid w:val="00FA1A3C"/>
    <w:rsid w:val="00FA1C5D"/>
    <w:rsid w:val="00FA238E"/>
    <w:rsid w:val="00FA4C19"/>
    <w:rsid w:val="00FC3B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B1CE7B9-04DF-42AA-9A59-DFAEF2BE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7"/>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243525">
      <w:bodyDiv w:val="1"/>
      <w:marLeft w:val="0"/>
      <w:marRight w:val="0"/>
      <w:marTop w:val="0"/>
      <w:marBottom w:val="0"/>
      <w:divBdr>
        <w:top w:val="none" w:sz="0" w:space="0" w:color="auto"/>
        <w:left w:val="none" w:sz="0" w:space="0" w:color="auto"/>
        <w:bottom w:val="none" w:sz="0" w:space="0" w:color="auto"/>
        <w:right w:val="none" w:sz="0" w:space="0" w:color="auto"/>
      </w:divBdr>
    </w:div>
    <w:div w:id="1543399092">
      <w:bodyDiv w:val="1"/>
      <w:marLeft w:val="0"/>
      <w:marRight w:val="0"/>
      <w:marTop w:val="0"/>
      <w:marBottom w:val="0"/>
      <w:divBdr>
        <w:top w:val="none" w:sz="0" w:space="0" w:color="auto"/>
        <w:left w:val="none" w:sz="0" w:space="0" w:color="auto"/>
        <w:bottom w:val="none" w:sz="0" w:space="0" w:color="auto"/>
        <w:right w:val="none" w:sz="0" w:space="0" w:color="auto"/>
      </w:divBdr>
    </w:div>
    <w:div w:id="1967588713">
      <w:bodyDiv w:val="1"/>
      <w:marLeft w:val="0"/>
      <w:marRight w:val="0"/>
      <w:marTop w:val="0"/>
      <w:marBottom w:val="0"/>
      <w:divBdr>
        <w:top w:val="none" w:sz="0" w:space="0" w:color="auto"/>
        <w:left w:val="none" w:sz="0" w:space="0" w:color="auto"/>
        <w:bottom w:val="none" w:sz="0" w:space="0" w:color="auto"/>
        <w:right w:val="none" w:sz="0" w:space="0" w:color="auto"/>
      </w:divBdr>
    </w:div>
    <w:div w:id="1970696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2.toluca.gob.mx/wp-content/uploads/2025/03/05-Gaceta-26-de-febrero-de-2025.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2.toluca.gob.mx/wp-content/uploads/2025/02/manual_org_28_02_25_APROBADO.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PpkYdY+Q8uMXp04+7g4Dr38cw==">CgMxLjAyCGguZ2pkZ3hzMgloLjMwajB6bGwyCWguMWZvYjl0ZTIJaC4zem55c2g3MgloLjJldDkycDAyCWguMXQzaDVzZjIOaC5xOGs1OXo0MWZyM2cyCWguMWtzdjR1djIJaC4zcmRjcmpuMghoLmxueGJ6OTgAciExSDVyUHpDUE1DMzVZTTFHQWR1eEdjbm5KRVg5YmpPclY=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34</Pages>
  <Words>8051</Words>
  <Characters>44286</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46</cp:revision>
  <cp:lastPrinted>2025-09-11T17:38:00Z</cp:lastPrinted>
  <dcterms:created xsi:type="dcterms:W3CDTF">2025-08-28T00:02:00Z</dcterms:created>
  <dcterms:modified xsi:type="dcterms:W3CDTF">2025-09-24T23:00:00Z</dcterms:modified>
</cp:coreProperties>
</file>