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FE5A2" w14:textId="77777777" w:rsidR="00215B68" w:rsidRDefault="00215B68">
      <w:pPr>
        <w:widowControl w:val="0"/>
        <w:pBdr>
          <w:top w:val="nil"/>
          <w:left w:val="nil"/>
          <w:bottom w:val="nil"/>
          <w:right w:val="nil"/>
          <w:between w:val="nil"/>
        </w:pBdr>
        <w:spacing w:after="0" w:line="276" w:lineRule="auto"/>
        <w:jc w:val="left"/>
      </w:pPr>
      <w:bookmarkStart w:id="0" w:name="_GoBack"/>
      <w:bookmarkEnd w:id="0"/>
    </w:p>
    <w:p w14:paraId="32693F69" w14:textId="77777777" w:rsidR="00215B68" w:rsidRDefault="005A5B7B">
      <w:pPr>
        <w:pBdr>
          <w:top w:val="nil"/>
          <w:left w:val="nil"/>
          <w:bottom w:val="nil"/>
          <w:right w:val="nil"/>
          <w:between w:val="nil"/>
        </w:pBdr>
        <w:spacing w:after="0" w:line="360" w:lineRule="auto"/>
        <w:jc w:val="left"/>
        <w:rPr>
          <w:color w:val="000000"/>
        </w:rPr>
      </w:pPr>
      <w:r>
        <w:rPr>
          <w:color w:val="000000"/>
        </w:rPr>
        <w:t xml:space="preserve"> </w:t>
      </w:r>
    </w:p>
    <w:p w14:paraId="0AB26488" w14:textId="77777777" w:rsidR="00215B68" w:rsidRPr="00200158" w:rsidRDefault="005A5B7B">
      <w:pPr>
        <w:pBdr>
          <w:top w:val="nil"/>
          <w:left w:val="nil"/>
          <w:bottom w:val="nil"/>
          <w:right w:val="nil"/>
          <w:between w:val="nil"/>
        </w:pBdr>
        <w:spacing w:after="0" w:line="360" w:lineRule="auto"/>
        <w:jc w:val="left"/>
        <w:rPr>
          <w:color w:val="2F5496"/>
        </w:rPr>
      </w:pPr>
      <w:r w:rsidRPr="00200158">
        <w:rPr>
          <w:color w:val="2F5496"/>
        </w:rPr>
        <w:t>Tabla de contenido</w:t>
      </w:r>
    </w:p>
    <w:sdt>
      <w:sdtPr>
        <w:id w:val="2001684653"/>
        <w:docPartObj>
          <w:docPartGallery w:val="Table of Contents"/>
          <w:docPartUnique/>
        </w:docPartObj>
      </w:sdtPr>
      <w:sdtEndPr/>
      <w:sdtContent>
        <w:p w14:paraId="78C77086" w14:textId="77777777" w:rsidR="00215B68" w:rsidRPr="00200158" w:rsidRDefault="005A5B7B">
          <w:pPr>
            <w:pBdr>
              <w:top w:val="nil"/>
              <w:left w:val="nil"/>
              <w:bottom w:val="nil"/>
              <w:right w:val="nil"/>
              <w:between w:val="nil"/>
            </w:pBdr>
            <w:tabs>
              <w:tab w:val="right" w:pos="9204"/>
            </w:tabs>
            <w:spacing w:after="0" w:line="360" w:lineRule="auto"/>
            <w:rPr>
              <w:color w:val="000000"/>
            </w:rPr>
          </w:pPr>
          <w:r w:rsidRPr="00200158">
            <w:fldChar w:fldCharType="begin"/>
          </w:r>
          <w:r w:rsidRPr="00200158">
            <w:instrText xml:space="preserve"> TOC \h \u \z \t "Heading 1,1,Heading 2,2,Heading 3,3,"</w:instrText>
          </w:r>
          <w:r w:rsidRPr="00200158">
            <w:fldChar w:fldCharType="separate"/>
          </w:r>
          <w:hyperlink w:anchor="_heading=h.eo9hxfmrei5q">
            <w:r w:rsidR="00215B68" w:rsidRPr="00200158">
              <w:rPr>
                <w:color w:val="000000"/>
              </w:rPr>
              <w:t>A N T E C E D E N T E S</w:t>
            </w:r>
            <w:r w:rsidR="00215B68" w:rsidRPr="00200158">
              <w:rPr>
                <w:color w:val="000000"/>
              </w:rPr>
              <w:tab/>
              <w:t>2</w:t>
            </w:r>
          </w:hyperlink>
        </w:p>
        <w:p w14:paraId="1634AA96" w14:textId="77777777" w:rsidR="00215B68" w:rsidRPr="00200158" w:rsidRDefault="00CA7C3D">
          <w:pPr>
            <w:pBdr>
              <w:top w:val="nil"/>
              <w:left w:val="nil"/>
              <w:bottom w:val="nil"/>
              <w:right w:val="nil"/>
              <w:between w:val="nil"/>
            </w:pBdr>
            <w:tabs>
              <w:tab w:val="right" w:pos="9204"/>
            </w:tabs>
            <w:spacing w:after="0" w:line="360" w:lineRule="auto"/>
            <w:ind w:left="220"/>
            <w:rPr>
              <w:color w:val="000000"/>
            </w:rPr>
          </w:pPr>
          <w:hyperlink w:anchor="_heading=h.6hbjfhx9azep">
            <w:r w:rsidR="00215B68" w:rsidRPr="00200158">
              <w:rPr>
                <w:color w:val="000000"/>
              </w:rPr>
              <w:t>I. Presentación de la solicitud de información</w:t>
            </w:r>
            <w:r w:rsidR="00215B68" w:rsidRPr="00200158">
              <w:rPr>
                <w:color w:val="000000"/>
              </w:rPr>
              <w:tab/>
              <w:t>2</w:t>
            </w:r>
          </w:hyperlink>
        </w:p>
        <w:p w14:paraId="7D80F12A" w14:textId="77777777" w:rsidR="00215B68" w:rsidRPr="00200158" w:rsidRDefault="00CA7C3D">
          <w:pPr>
            <w:pBdr>
              <w:top w:val="nil"/>
              <w:left w:val="nil"/>
              <w:bottom w:val="nil"/>
              <w:right w:val="nil"/>
              <w:between w:val="nil"/>
            </w:pBdr>
            <w:tabs>
              <w:tab w:val="right" w:pos="9204"/>
            </w:tabs>
            <w:spacing w:after="0" w:line="360" w:lineRule="auto"/>
            <w:ind w:left="220"/>
            <w:rPr>
              <w:color w:val="000000"/>
            </w:rPr>
          </w:pPr>
          <w:hyperlink w:anchor="_heading=h.wf8j712deax5">
            <w:r w:rsidR="00215B68" w:rsidRPr="00200158">
              <w:rPr>
                <w:color w:val="000000"/>
              </w:rPr>
              <w:t>II. Respuesta del Sujeto Obligado</w:t>
            </w:r>
            <w:r w:rsidR="00215B68" w:rsidRPr="00200158">
              <w:rPr>
                <w:color w:val="000000"/>
              </w:rPr>
              <w:tab/>
              <w:t>3</w:t>
            </w:r>
          </w:hyperlink>
        </w:p>
        <w:p w14:paraId="56B0CCB2" w14:textId="77777777" w:rsidR="00215B68" w:rsidRPr="00200158" w:rsidRDefault="00CA7C3D">
          <w:pPr>
            <w:pBdr>
              <w:top w:val="nil"/>
              <w:left w:val="nil"/>
              <w:bottom w:val="nil"/>
              <w:right w:val="nil"/>
              <w:between w:val="nil"/>
            </w:pBdr>
            <w:tabs>
              <w:tab w:val="right" w:pos="9204"/>
            </w:tabs>
            <w:spacing w:after="0" w:line="360" w:lineRule="auto"/>
            <w:ind w:left="220"/>
            <w:rPr>
              <w:color w:val="000000"/>
            </w:rPr>
          </w:pPr>
          <w:hyperlink w:anchor="_heading=h.1ay8uon7g4c">
            <w:r w:rsidR="00215B68" w:rsidRPr="00200158">
              <w:rPr>
                <w:color w:val="000000"/>
              </w:rPr>
              <w:t>III. Interposición del Recurso de Revisión</w:t>
            </w:r>
            <w:r w:rsidR="00215B68" w:rsidRPr="00200158">
              <w:rPr>
                <w:color w:val="000000"/>
              </w:rPr>
              <w:tab/>
              <w:t>3</w:t>
            </w:r>
          </w:hyperlink>
        </w:p>
        <w:p w14:paraId="57A9ACFE" w14:textId="77777777" w:rsidR="00215B68" w:rsidRPr="00200158" w:rsidRDefault="00CA7C3D">
          <w:pPr>
            <w:pBdr>
              <w:top w:val="nil"/>
              <w:left w:val="nil"/>
              <w:bottom w:val="nil"/>
              <w:right w:val="nil"/>
              <w:between w:val="nil"/>
            </w:pBdr>
            <w:tabs>
              <w:tab w:val="right" w:pos="9204"/>
            </w:tabs>
            <w:spacing w:after="0" w:line="360" w:lineRule="auto"/>
            <w:ind w:left="220"/>
            <w:rPr>
              <w:color w:val="000000"/>
            </w:rPr>
          </w:pPr>
          <w:hyperlink w:anchor="_heading=h.9nzp66pu8o97">
            <w:r w:rsidR="00215B68" w:rsidRPr="00200158">
              <w:rPr>
                <w:color w:val="000000"/>
              </w:rPr>
              <w:t>IV. Trámite del Recurso de Revisión ante este Instituto</w:t>
            </w:r>
            <w:r w:rsidR="00215B68" w:rsidRPr="00200158">
              <w:rPr>
                <w:color w:val="000000"/>
              </w:rPr>
              <w:tab/>
              <w:t>4</w:t>
            </w:r>
          </w:hyperlink>
        </w:p>
        <w:p w14:paraId="235E6E6E" w14:textId="77777777" w:rsidR="00215B68" w:rsidRPr="00200158" w:rsidRDefault="00CA7C3D">
          <w:pPr>
            <w:pBdr>
              <w:top w:val="nil"/>
              <w:left w:val="nil"/>
              <w:bottom w:val="nil"/>
              <w:right w:val="nil"/>
              <w:between w:val="nil"/>
            </w:pBdr>
            <w:tabs>
              <w:tab w:val="right" w:pos="9204"/>
            </w:tabs>
            <w:spacing w:after="0" w:line="360" w:lineRule="auto"/>
            <w:rPr>
              <w:color w:val="000000"/>
            </w:rPr>
          </w:pPr>
          <w:hyperlink w:anchor="_heading=h.rmmokj1cqasf">
            <w:r w:rsidR="00215B68" w:rsidRPr="00200158">
              <w:rPr>
                <w:color w:val="000000"/>
              </w:rPr>
              <w:t>C O N S I D E R A N D O S</w:t>
            </w:r>
            <w:r w:rsidR="00215B68" w:rsidRPr="00200158">
              <w:rPr>
                <w:color w:val="000000"/>
              </w:rPr>
              <w:tab/>
              <w:t>7</w:t>
            </w:r>
          </w:hyperlink>
        </w:p>
        <w:p w14:paraId="78BF49D9" w14:textId="77777777" w:rsidR="00215B68" w:rsidRPr="00200158" w:rsidRDefault="00CA7C3D">
          <w:pPr>
            <w:pBdr>
              <w:top w:val="nil"/>
              <w:left w:val="nil"/>
              <w:bottom w:val="nil"/>
              <w:right w:val="nil"/>
              <w:between w:val="nil"/>
            </w:pBdr>
            <w:tabs>
              <w:tab w:val="right" w:pos="9204"/>
            </w:tabs>
            <w:spacing w:after="0" w:line="360" w:lineRule="auto"/>
            <w:ind w:left="220"/>
            <w:rPr>
              <w:color w:val="000000"/>
            </w:rPr>
          </w:pPr>
          <w:hyperlink w:anchor="_heading=h.yoc700umyfj5">
            <w:r w:rsidR="00215B68" w:rsidRPr="00200158">
              <w:rPr>
                <w:color w:val="000000"/>
              </w:rPr>
              <w:t>PRIMERO. Competencia</w:t>
            </w:r>
            <w:r w:rsidR="00215B68" w:rsidRPr="00200158">
              <w:rPr>
                <w:color w:val="000000"/>
              </w:rPr>
              <w:tab/>
              <w:t>7</w:t>
            </w:r>
          </w:hyperlink>
        </w:p>
        <w:p w14:paraId="5D810C81" w14:textId="77777777" w:rsidR="00215B68" w:rsidRPr="00200158" w:rsidRDefault="00CA7C3D">
          <w:pPr>
            <w:pBdr>
              <w:top w:val="nil"/>
              <w:left w:val="nil"/>
              <w:bottom w:val="nil"/>
              <w:right w:val="nil"/>
              <w:between w:val="nil"/>
            </w:pBdr>
            <w:tabs>
              <w:tab w:val="right" w:pos="9204"/>
            </w:tabs>
            <w:spacing w:after="0" w:line="360" w:lineRule="auto"/>
            <w:ind w:left="220"/>
            <w:rPr>
              <w:color w:val="000000"/>
            </w:rPr>
          </w:pPr>
          <w:hyperlink w:anchor="_heading=h.sr41vpbmjt12">
            <w:r w:rsidR="00215B68" w:rsidRPr="00200158">
              <w:rPr>
                <w:color w:val="000000"/>
              </w:rPr>
              <w:t>SEGUNDO. Causales de improcedencia y sobreseimiento</w:t>
            </w:r>
            <w:r w:rsidR="00215B68" w:rsidRPr="00200158">
              <w:rPr>
                <w:color w:val="000000"/>
              </w:rPr>
              <w:tab/>
              <w:t>8</w:t>
            </w:r>
          </w:hyperlink>
        </w:p>
        <w:p w14:paraId="3AC9A8AD" w14:textId="77777777" w:rsidR="00215B68" w:rsidRPr="00200158" w:rsidRDefault="00CA7C3D">
          <w:pPr>
            <w:pBdr>
              <w:top w:val="nil"/>
              <w:left w:val="nil"/>
              <w:bottom w:val="nil"/>
              <w:right w:val="nil"/>
              <w:between w:val="nil"/>
            </w:pBdr>
            <w:tabs>
              <w:tab w:val="right" w:pos="9204"/>
            </w:tabs>
            <w:spacing w:after="0" w:line="360" w:lineRule="auto"/>
            <w:ind w:left="220"/>
            <w:rPr>
              <w:color w:val="000000"/>
            </w:rPr>
          </w:pPr>
          <w:hyperlink w:anchor="_heading=h.2uj5f4ve6ac7">
            <w:r w:rsidR="00215B68" w:rsidRPr="00200158">
              <w:rPr>
                <w:color w:val="000000"/>
              </w:rPr>
              <w:t>TERCERO. Determinación de la Controversia</w:t>
            </w:r>
            <w:r w:rsidR="00215B68" w:rsidRPr="00200158">
              <w:rPr>
                <w:color w:val="000000"/>
              </w:rPr>
              <w:tab/>
              <w:t>9</w:t>
            </w:r>
          </w:hyperlink>
        </w:p>
        <w:p w14:paraId="6558B955" w14:textId="77777777" w:rsidR="00215B68" w:rsidRPr="00200158" w:rsidRDefault="00CA7C3D">
          <w:pPr>
            <w:pBdr>
              <w:top w:val="nil"/>
              <w:left w:val="nil"/>
              <w:bottom w:val="nil"/>
              <w:right w:val="nil"/>
              <w:between w:val="nil"/>
            </w:pBdr>
            <w:tabs>
              <w:tab w:val="right" w:pos="9204"/>
            </w:tabs>
            <w:spacing w:after="0" w:line="360" w:lineRule="auto"/>
            <w:ind w:left="220"/>
            <w:rPr>
              <w:color w:val="000000"/>
            </w:rPr>
          </w:pPr>
          <w:hyperlink w:anchor="_heading=h.41agvrkvjdk">
            <w:r w:rsidR="00215B68" w:rsidRPr="00200158">
              <w:rPr>
                <w:color w:val="000000"/>
              </w:rPr>
              <w:t>CUARTO. Marco normativo aplicable en materia de transparencia y acceso a la información pública</w:t>
            </w:r>
            <w:r w:rsidR="00215B68" w:rsidRPr="00200158">
              <w:rPr>
                <w:color w:val="000000"/>
              </w:rPr>
              <w:tab/>
              <w:t>11</w:t>
            </w:r>
          </w:hyperlink>
        </w:p>
        <w:p w14:paraId="17CACC78" w14:textId="77777777" w:rsidR="00215B68" w:rsidRPr="00200158" w:rsidRDefault="00CA7C3D">
          <w:pPr>
            <w:pBdr>
              <w:top w:val="nil"/>
              <w:left w:val="nil"/>
              <w:bottom w:val="nil"/>
              <w:right w:val="nil"/>
              <w:between w:val="nil"/>
            </w:pBdr>
            <w:tabs>
              <w:tab w:val="right" w:pos="9204"/>
            </w:tabs>
            <w:spacing w:after="0" w:line="360" w:lineRule="auto"/>
            <w:ind w:left="220"/>
            <w:rPr>
              <w:color w:val="000000"/>
            </w:rPr>
          </w:pPr>
          <w:hyperlink w:anchor="_heading=h.jr1lbnlp7uc2">
            <w:r w:rsidR="00215B68" w:rsidRPr="00200158">
              <w:rPr>
                <w:smallCaps/>
                <w:color w:val="000000"/>
              </w:rPr>
              <w:t>QUINTO.</w:t>
            </w:r>
          </w:hyperlink>
          <w:hyperlink w:anchor="_heading=h.jr1lbnlp7uc2">
            <w:r w:rsidR="00215B68" w:rsidRPr="00200158">
              <w:rPr>
                <w:color w:val="000000"/>
              </w:rPr>
              <w:t xml:space="preserve"> Estudio de Fondo</w:t>
            </w:r>
            <w:r w:rsidR="00215B68" w:rsidRPr="00200158">
              <w:rPr>
                <w:color w:val="000000"/>
              </w:rPr>
              <w:tab/>
              <w:t>12</w:t>
            </w:r>
          </w:hyperlink>
        </w:p>
        <w:p w14:paraId="5A12E239" w14:textId="77777777" w:rsidR="00215B68" w:rsidRPr="00200158" w:rsidRDefault="00CA7C3D">
          <w:pPr>
            <w:pBdr>
              <w:top w:val="nil"/>
              <w:left w:val="nil"/>
              <w:bottom w:val="nil"/>
              <w:right w:val="nil"/>
              <w:between w:val="nil"/>
            </w:pBdr>
            <w:tabs>
              <w:tab w:val="right" w:pos="9204"/>
            </w:tabs>
            <w:spacing w:after="0" w:line="360" w:lineRule="auto"/>
            <w:ind w:left="220"/>
            <w:rPr>
              <w:color w:val="000000"/>
            </w:rPr>
          </w:pPr>
          <w:hyperlink w:anchor="_heading=h.nad44hd6kwn">
            <w:r w:rsidR="00215B68" w:rsidRPr="00200158">
              <w:rPr>
                <w:color w:val="000000"/>
              </w:rPr>
              <w:t>SEXTO. Decisión</w:t>
            </w:r>
            <w:r w:rsidR="00215B68" w:rsidRPr="00200158">
              <w:rPr>
                <w:color w:val="000000"/>
              </w:rPr>
              <w:tab/>
              <w:t>16</w:t>
            </w:r>
          </w:hyperlink>
        </w:p>
        <w:p w14:paraId="217D7B40" w14:textId="77777777" w:rsidR="00215B68" w:rsidRPr="00200158" w:rsidRDefault="00CA7C3D">
          <w:pPr>
            <w:pBdr>
              <w:top w:val="nil"/>
              <w:left w:val="nil"/>
              <w:bottom w:val="nil"/>
              <w:right w:val="nil"/>
              <w:between w:val="nil"/>
            </w:pBdr>
            <w:tabs>
              <w:tab w:val="right" w:pos="9204"/>
            </w:tabs>
            <w:spacing w:after="0" w:line="360" w:lineRule="auto"/>
            <w:rPr>
              <w:color w:val="000000"/>
            </w:rPr>
          </w:pPr>
          <w:hyperlink w:anchor="_heading=h.l1jnfcaws8fd">
            <w:r w:rsidR="00215B68" w:rsidRPr="00200158">
              <w:rPr>
                <w:color w:val="000000"/>
              </w:rPr>
              <w:t>R E S U E L V E</w:t>
            </w:r>
            <w:r w:rsidR="00215B68" w:rsidRPr="00200158">
              <w:rPr>
                <w:color w:val="000000"/>
              </w:rPr>
              <w:tab/>
              <w:t>17</w:t>
            </w:r>
          </w:hyperlink>
        </w:p>
        <w:p w14:paraId="65EE1838" w14:textId="77777777" w:rsidR="00215B68" w:rsidRPr="00200158" w:rsidRDefault="005A5B7B">
          <w:pPr>
            <w:spacing w:after="0" w:line="360" w:lineRule="auto"/>
          </w:pPr>
          <w:r w:rsidRPr="00200158">
            <w:fldChar w:fldCharType="end"/>
          </w:r>
        </w:p>
      </w:sdtContent>
    </w:sdt>
    <w:p w14:paraId="7A24119A" w14:textId="77777777" w:rsidR="00215B68" w:rsidRPr="00200158" w:rsidRDefault="005A5B7B">
      <w:pPr>
        <w:spacing w:after="0" w:line="360" w:lineRule="auto"/>
      </w:pPr>
      <w:r w:rsidRPr="00200158">
        <w:br w:type="page"/>
      </w:r>
    </w:p>
    <w:p w14:paraId="54C44B69" w14:textId="77777777" w:rsidR="00215B68" w:rsidRPr="00200158" w:rsidRDefault="00215B68">
      <w:pPr>
        <w:widowControl w:val="0"/>
        <w:pBdr>
          <w:top w:val="nil"/>
          <w:left w:val="nil"/>
          <w:bottom w:val="nil"/>
          <w:right w:val="nil"/>
          <w:between w:val="nil"/>
        </w:pBdr>
        <w:spacing w:after="0" w:line="360" w:lineRule="auto"/>
        <w:jc w:val="left"/>
      </w:pPr>
    </w:p>
    <w:p w14:paraId="098DEEC3" w14:textId="77777777" w:rsidR="00215B68" w:rsidRPr="00200158" w:rsidRDefault="005A5B7B">
      <w:pPr>
        <w:spacing w:after="0" w:line="360" w:lineRule="auto"/>
      </w:pPr>
      <w:r w:rsidRPr="00200158">
        <w:t>Resolución del Pleno del Instituto de Transparencia, Acceso a la Información Pública y Protección de Datos Personales del Estado de México y Municipios, con domicilio en Metepec, Estado de México, de fecha veinte de agosto de dos mil veinticinco.</w:t>
      </w:r>
    </w:p>
    <w:p w14:paraId="250D6CBC" w14:textId="77777777" w:rsidR="00215B68" w:rsidRPr="00200158" w:rsidRDefault="00215B68">
      <w:pPr>
        <w:spacing w:after="0" w:line="360" w:lineRule="auto"/>
        <w:rPr>
          <w:b/>
        </w:rPr>
      </w:pPr>
    </w:p>
    <w:p w14:paraId="0F111D20" w14:textId="43A69405" w:rsidR="00215B68" w:rsidRPr="00200158" w:rsidRDefault="005A5B7B">
      <w:pPr>
        <w:spacing w:after="0" w:line="360" w:lineRule="auto"/>
      </w:pPr>
      <w:r w:rsidRPr="00200158">
        <w:rPr>
          <w:b/>
        </w:rPr>
        <w:t>VISTO</w:t>
      </w:r>
      <w:r w:rsidRPr="00200158">
        <w:t xml:space="preserve"> el expediente conformado con motivo del Recurso de Revisión </w:t>
      </w:r>
      <w:r w:rsidRPr="00660312">
        <w:rPr>
          <w:b/>
          <w:bCs/>
        </w:rPr>
        <w:t>07106/INFOEM/IP/RR/2025</w:t>
      </w:r>
      <w:r w:rsidRPr="00200158">
        <w:rPr>
          <w:bCs/>
        </w:rPr>
        <w:t xml:space="preserve">, interpuesto por </w:t>
      </w:r>
      <w:r w:rsidR="00CA7C3D">
        <w:rPr>
          <w:b/>
          <w:highlight w:val="black"/>
        </w:rPr>
        <w:t>XXXXXXXXXXXXXXXX</w:t>
      </w:r>
      <w:r w:rsidRPr="00200158">
        <w:rPr>
          <w:bCs/>
        </w:rPr>
        <w:t xml:space="preserve">, a quien, en lo sucesivo, se le identificará como la persona Recurrente o Particular, en contra de la respuesta del Sujeto Obligado, </w:t>
      </w:r>
      <w:r w:rsidRPr="00660312">
        <w:rPr>
          <w:b/>
          <w:bCs/>
        </w:rPr>
        <w:t xml:space="preserve">Ayuntamiento de </w:t>
      </w:r>
      <w:proofErr w:type="spellStart"/>
      <w:r w:rsidRPr="00660312">
        <w:rPr>
          <w:b/>
          <w:bCs/>
        </w:rPr>
        <w:t>Mexicaltzingo</w:t>
      </w:r>
      <w:proofErr w:type="spellEnd"/>
      <w:r w:rsidRPr="00200158">
        <w:t>, se emite la presente Resolución, con base en los antecedentes y considerandos que se exponen a continuación:</w:t>
      </w:r>
    </w:p>
    <w:p w14:paraId="1E970A47" w14:textId="77777777" w:rsidR="00215B68" w:rsidRPr="00200158" w:rsidRDefault="00215B68">
      <w:pPr>
        <w:spacing w:after="0" w:line="360" w:lineRule="auto"/>
      </w:pPr>
    </w:p>
    <w:p w14:paraId="2371FB5E" w14:textId="77777777" w:rsidR="00215B68" w:rsidRPr="00200158" w:rsidRDefault="005A5B7B">
      <w:pPr>
        <w:pStyle w:val="Ttulo1"/>
        <w:spacing w:before="0" w:after="0"/>
        <w:rPr>
          <w:sz w:val="22"/>
          <w:szCs w:val="22"/>
        </w:rPr>
      </w:pPr>
      <w:bookmarkStart w:id="1" w:name="_heading=h.eo9hxfmrei5q" w:colFirst="0" w:colLast="0"/>
      <w:bookmarkEnd w:id="1"/>
      <w:r w:rsidRPr="00200158">
        <w:rPr>
          <w:sz w:val="22"/>
          <w:szCs w:val="22"/>
        </w:rPr>
        <w:t>A N T E C E D E N T E S</w:t>
      </w:r>
    </w:p>
    <w:p w14:paraId="66C51A1D" w14:textId="77777777" w:rsidR="00215B68" w:rsidRPr="00200158" w:rsidRDefault="00215B68">
      <w:pPr>
        <w:spacing w:after="0" w:line="360" w:lineRule="auto"/>
      </w:pPr>
      <w:bookmarkStart w:id="2" w:name="_heading=h.gjdgxs" w:colFirst="0" w:colLast="0"/>
      <w:bookmarkEnd w:id="2"/>
    </w:p>
    <w:p w14:paraId="3287C9FD" w14:textId="77777777" w:rsidR="00215B68" w:rsidRPr="00200158" w:rsidRDefault="005A5B7B">
      <w:pPr>
        <w:pStyle w:val="Ttulo2"/>
        <w:spacing w:before="0" w:after="0"/>
      </w:pPr>
      <w:bookmarkStart w:id="3" w:name="_heading=h.6hbjfhx9azep" w:colFirst="0" w:colLast="0"/>
      <w:bookmarkEnd w:id="3"/>
      <w:r w:rsidRPr="00200158">
        <w:t>I. Presentación de la solicitud de información</w:t>
      </w:r>
    </w:p>
    <w:p w14:paraId="1E5CC7A1" w14:textId="77777777" w:rsidR="00215B68" w:rsidRPr="00200158" w:rsidRDefault="00215B68">
      <w:pPr>
        <w:tabs>
          <w:tab w:val="left" w:pos="567"/>
        </w:tabs>
        <w:spacing w:after="0" w:line="360" w:lineRule="auto"/>
      </w:pPr>
    </w:p>
    <w:p w14:paraId="6863215C" w14:textId="77777777" w:rsidR="00215B68" w:rsidRPr="00200158" w:rsidRDefault="005A5B7B">
      <w:pPr>
        <w:spacing w:after="0" w:line="360" w:lineRule="auto"/>
      </w:pPr>
      <w:r w:rsidRPr="00200158">
        <w:t xml:space="preserve">Con fecha veintidós de mayo de dos mil veinticinco, la parte Solicitante presentó una solicitud de acceso a la información pública, a través del Sistema de Acceso a la Información Mexiquense, en lo sucesivo el SAIMEX, ante el </w:t>
      </w:r>
      <w:r w:rsidRPr="00200158">
        <w:rPr>
          <w:b/>
        </w:rPr>
        <w:t xml:space="preserve">Ayuntamiento de </w:t>
      </w:r>
      <w:proofErr w:type="spellStart"/>
      <w:r w:rsidRPr="00200158">
        <w:rPr>
          <w:b/>
        </w:rPr>
        <w:t>Mexicaltzingo</w:t>
      </w:r>
      <w:proofErr w:type="spellEnd"/>
      <w:r w:rsidRPr="00200158">
        <w:t>, en la que requirió lo siguiente:</w:t>
      </w:r>
    </w:p>
    <w:p w14:paraId="3E03B744" w14:textId="77777777" w:rsidR="00215B68" w:rsidRPr="00200158" w:rsidRDefault="00215B68">
      <w:pPr>
        <w:spacing w:after="0" w:line="360" w:lineRule="auto"/>
      </w:pPr>
    </w:p>
    <w:p w14:paraId="2F9A744F" w14:textId="77777777" w:rsidR="00215B68" w:rsidRPr="00200158" w:rsidRDefault="005A5B7B">
      <w:pPr>
        <w:tabs>
          <w:tab w:val="left" w:pos="567"/>
        </w:tabs>
        <w:spacing w:after="0" w:line="360" w:lineRule="auto"/>
        <w:ind w:left="567" w:right="709"/>
        <w:rPr>
          <w:b/>
          <w:sz w:val="20"/>
          <w:szCs w:val="20"/>
        </w:rPr>
      </w:pPr>
      <w:r w:rsidRPr="00200158">
        <w:rPr>
          <w:b/>
          <w:sz w:val="20"/>
          <w:szCs w:val="20"/>
        </w:rPr>
        <w:t>Folio de la solicitud: 00261/MEXICAL/IP/2025</w:t>
      </w:r>
    </w:p>
    <w:p w14:paraId="536CD4E9" w14:textId="77777777" w:rsidR="00215B68" w:rsidRPr="00200158" w:rsidRDefault="005A5B7B">
      <w:pPr>
        <w:tabs>
          <w:tab w:val="left" w:pos="567"/>
        </w:tabs>
        <w:spacing w:after="0" w:line="360" w:lineRule="auto"/>
        <w:ind w:left="567" w:right="709"/>
        <w:rPr>
          <w:b/>
          <w:sz w:val="20"/>
          <w:szCs w:val="20"/>
        </w:rPr>
      </w:pPr>
      <w:r w:rsidRPr="00200158">
        <w:rPr>
          <w:b/>
          <w:sz w:val="20"/>
          <w:szCs w:val="20"/>
        </w:rPr>
        <w:t>DESCRIPCIÓN CLARA Y PRECISA DE LA INFORMACIÓN SOLICITADA</w:t>
      </w:r>
    </w:p>
    <w:p w14:paraId="1130E329" w14:textId="77777777" w:rsidR="00215B68" w:rsidRPr="00200158" w:rsidRDefault="005A5B7B">
      <w:pPr>
        <w:tabs>
          <w:tab w:val="left" w:pos="4667"/>
        </w:tabs>
        <w:spacing w:after="0" w:line="360" w:lineRule="auto"/>
        <w:ind w:left="567" w:right="709"/>
        <w:rPr>
          <w:i/>
          <w:sz w:val="20"/>
          <w:szCs w:val="20"/>
        </w:rPr>
      </w:pPr>
      <w:r w:rsidRPr="00200158">
        <w:rPr>
          <w:i/>
          <w:sz w:val="20"/>
          <w:szCs w:val="20"/>
        </w:rPr>
        <w:t xml:space="preserve">“Solicito saber de manera fundamentada y sustentaba como es que se lleva el control y la autorización para que los vendedores ambulantes se establezcan en un </w:t>
      </w:r>
      <w:proofErr w:type="gramStart"/>
      <w:r w:rsidRPr="00200158">
        <w:rPr>
          <w:i/>
          <w:sz w:val="20"/>
          <w:szCs w:val="20"/>
        </w:rPr>
        <w:t>lugar ,costos</w:t>
      </w:r>
      <w:proofErr w:type="gramEnd"/>
      <w:r w:rsidRPr="00200158">
        <w:rPr>
          <w:i/>
          <w:sz w:val="20"/>
          <w:szCs w:val="20"/>
        </w:rPr>
        <w:t xml:space="preserve"> y requisitos ya que ciudadana me preocupa saber que poco a poco se están adueñando de nuestras calles y el motivo del porque siguen </w:t>
      </w:r>
      <w:proofErr w:type="spellStart"/>
      <w:r w:rsidRPr="00200158">
        <w:rPr>
          <w:i/>
          <w:sz w:val="20"/>
          <w:szCs w:val="20"/>
        </w:rPr>
        <w:t>dejandolos</w:t>
      </w:r>
      <w:proofErr w:type="spellEnd"/>
      <w:r w:rsidRPr="00200158">
        <w:rPr>
          <w:i/>
          <w:sz w:val="20"/>
          <w:szCs w:val="20"/>
        </w:rPr>
        <w:t xml:space="preserve"> vender sin cobrarles, ya que a mí como locataria si me obligan a pagar una licencia y a ellos no.” (Sic.) </w:t>
      </w:r>
    </w:p>
    <w:p w14:paraId="1B8760AE" w14:textId="77777777" w:rsidR="00215B68" w:rsidRPr="00200158" w:rsidRDefault="00215B68">
      <w:pPr>
        <w:tabs>
          <w:tab w:val="left" w:pos="4667"/>
        </w:tabs>
        <w:spacing w:after="0" w:line="360" w:lineRule="auto"/>
        <w:ind w:left="567" w:right="709"/>
        <w:rPr>
          <w:b/>
          <w:sz w:val="20"/>
          <w:szCs w:val="20"/>
        </w:rPr>
      </w:pPr>
    </w:p>
    <w:p w14:paraId="3394C34F" w14:textId="77777777" w:rsidR="00215B68" w:rsidRPr="00200158" w:rsidRDefault="005A5B7B">
      <w:pPr>
        <w:tabs>
          <w:tab w:val="left" w:pos="4667"/>
        </w:tabs>
        <w:spacing w:after="0" w:line="360" w:lineRule="auto"/>
        <w:ind w:left="567" w:right="709"/>
        <w:rPr>
          <w:b/>
          <w:sz w:val="20"/>
          <w:szCs w:val="20"/>
        </w:rPr>
      </w:pPr>
      <w:r w:rsidRPr="00200158">
        <w:rPr>
          <w:b/>
          <w:sz w:val="20"/>
          <w:szCs w:val="20"/>
        </w:rPr>
        <w:t xml:space="preserve">MODALIDAD DE ENTREGA </w:t>
      </w:r>
      <w:r w:rsidRPr="00200158">
        <w:rPr>
          <w:i/>
          <w:sz w:val="20"/>
          <w:szCs w:val="20"/>
        </w:rPr>
        <w:t>“A través del SAIMEX.”</w:t>
      </w:r>
    </w:p>
    <w:p w14:paraId="6D158E34" w14:textId="77777777" w:rsidR="00215B68" w:rsidRPr="00200158" w:rsidRDefault="00215B68">
      <w:pPr>
        <w:tabs>
          <w:tab w:val="left" w:pos="4667"/>
        </w:tabs>
        <w:spacing w:after="0" w:line="360" w:lineRule="auto"/>
        <w:ind w:right="709"/>
        <w:rPr>
          <w:i/>
        </w:rPr>
      </w:pPr>
    </w:p>
    <w:p w14:paraId="6EFD5F4B" w14:textId="77777777" w:rsidR="00215B68" w:rsidRPr="00200158" w:rsidRDefault="005A5B7B">
      <w:pPr>
        <w:pStyle w:val="Ttulo2"/>
        <w:spacing w:before="0" w:after="0"/>
      </w:pPr>
      <w:bookmarkStart w:id="4" w:name="_heading=h.wf8j712deax5" w:colFirst="0" w:colLast="0"/>
      <w:bookmarkEnd w:id="4"/>
      <w:r w:rsidRPr="00200158">
        <w:t>II. Respuesta del Sujeto Obligado</w:t>
      </w:r>
    </w:p>
    <w:p w14:paraId="093DAA93" w14:textId="77777777" w:rsidR="00215B68" w:rsidRPr="00200158" w:rsidRDefault="00215B68">
      <w:pPr>
        <w:spacing w:after="0" w:line="360" w:lineRule="auto"/>
      </w:pPr>
    </w:p>
    <w:p w14:paraId="1DC5734A" w14:textId="77777777" w:rsidR="00215B68" w:rsidRPr="00200158" w:rsidRDefault="005A5B7B">
      <w:pPr>
        <w:spacing w:after="0" w:line="360" w:lineRule="auto"/>
      </w:pPr>
      <w:r w:rsidRPr="00200158">
        <w:t>El doce de junio de dos mil veinticinco, el Sujeto Obligado a través de SAIMEX, dio respuesta, mediante un oficio suscrito por el Director de Desarrollo Económico y Empleo del Sujeto Obligado, en el que informó lo siguiente:</w:t>
      </w:r>
    </w:p>
    <w:p w14:paraId="3AE4A5F7" w14:textId="77777777" w:rsidR="00215B68" w:rsidRPr="00200158" w:rsidRDefault="00215B68">
      <w:pPr>
        <w:spacing w:after="0" w:line="360" w:lineRule="auto"/>
        <w:rPr>
          <w:i/>
        </w:rPr>
      </w:pPr>
    </w:p>
    <w:p w14:paraId="70BFC487" w14:textId="77777777" w:rsidR="00215B68" w:rsidRPr="00200158" w:rsidRDefault="005A5B7B">
      <w:pPr>
        <w:spacing w:after="0" w:line="360" w:lineRule="auto"/>
        <w:ind w:left="567" w:right="709"/>
        <w:rPr>
          <w:i/>
          <w:sz w:val="20"/>
          <w:szCs w:val="20"/>
        </w:rPr>
      </w:pPr>
      <w:r w:rsidRPr="00200158">
        <w:rPr>
          <w:i/>
          <w:sz w:val="20"/>
          <w:szCs w:val="20"/>
        </w:rPr>
        <w:t>“</w:t>
      </w:r>
      <w:r w:rsidRPr="00200158">
        <w:rPr>
          <w:b/>
          <w:i/>
          <w:sz w:val="20"/>
          <w:szCs w:val="20"/>
        </w:rPr>
        <w:t>Esta Dirección no otorga permisos, no realiza cobros, ni otorga lugares para establecer al comercio semifijos de actividad comercial</w:t>
      </w:r>
      <w:r w:rsidRPr="00200158">
        <w:rPr>
          <w:i/>
          <w:sz w:val="20"/>
          <w:szCs w:val="20"/>
        </w:rPr>
        <w:t xml:space="preserve">, todo ello con fundamento en el artículo 164 del Bando Municipal vigente, quien a la letra dice; </w:t>
      </w:r>
    </w:p>
    <w:p w14:paraId="07E35A0B" w14:textId="77777777" w:rsidR="00215B68" w:rsidRPr="00200158" w:rsidRDefault="00215B68">
      <w:pPr>
        <w:spacing w:after="0" w:line="360" w:lineRule="auto"/>
        <w:ind w:left="567" w:right="709"/>
        <w:rPr>
          <w:i/>
          <w:sz w:val="20"/>
          <w:szCs w:val="20"/>
        </w:rPr>
      </w:pPr>
    </w:p>
    <w:p w14:paraId="38021A29" w14:textId="77777777" w:rsidR="00215B68" w:rsidRPr="00200158" w:rsidRDefault="005A5B7B">
      <w:pPr>
        <w:spacing w:after="0" w:line="360" w:lineRule="auto"/>
        <w:ind w:left="567" w:right="709"/>
        <w:rPr>
          <w:i/>
          <w:sz w:val="20"/>
          <w:szCs w:val="20"/>
        </w:rPr>
      </w:pPr>
      <w:r w:rsidRPr="00200158">
        <w:rPr>
          <w:b/>
          <w:i/>
          <w:sz w:val="20"/>
          <w:szCs w:val="20"/>
        </w:rPr>
        <w:t>Artículo 164.- No se permitirá el ejercicio del comercio móvil y semifijo en las principales vialidades del Municipio,</w:t>
      </w:r>
      <w:r w:rsidRPr="00200158">
        <w:rPr>
          <w:i/>
          <w:sz w:val="20"/>
          <w:szCs w:val="20"/>
        </w:rPr>
        <w:t xml:space="preserve"> en las calles de mayor afluencia vehicular, así como frente a edificios públicos, escuelas, hospitales, oficinas de gobierno, terminales de transporte colectivo y demás lugares que determine el Ayuntamiento. La Autoridad Municipal tiene en todo momento la facultad de reubicar a quienes comercialicen en la vía pública o hagan mal uso de los bienes del dominio público. </w:t>
      </w:r>
    </w:p>
    <w:p w14:paraId="43B25948" w14:textId="77777777" w:rsidR="00215B68" w:rsidRPr="00200158" w:rsidRDefault="00215B68">
      <w:pPr>
        <w:spacing w:after="0" w:line="360" w:lineRule="auto"/>
        <w:ind w:left="567" w:right="709"/>
        <w:rPr>
          <w:i/>
          <w:sz w:val="20"/>
          <w:szCs w:val="20"/>
        </w:rPr>
      </w:pPr>
    </w:p>
    <w:p w14:paraId="2C17F673" w14:textId="77777777" w:rsidR="00215B68" w:rsidRPr="00200158" w:rsidRDefault="005A5B7B">
      <w:pPr>
        <w:spacing w:after="0" w:line="360" w:lineRule="auto"/>
        <w:ind w:left="567" w:right="709"/>
        <w:rPr>
          <w:i/>
          <w:sz w:val="20"/>
          <w:szCs w:val="20"/>
        </w:rPr>
      </w:pPr>
      <w:r w:rsidRPr="00200158">
        <w:rPr>
          <w:i/>
          <w:sz w:val="20"/>
          <w:szCs w:val="20"/>
        </w:rPr>
        <w:t xml:space="preserve">Por ultimo le informo que </w:t>
      </w:r>
      <w:r w:rsidRPr="00200158">
        <w:rPr>
          <w:b/>
          <w:i/>
          <w:sz w:val="20"/>
          <w:szCs w:val="20"/>
        </w:rPr>
        <w:t xml:space="preserve">la única actividad comercial en la vía </w:t>
      </w:r>
      <w:proofErr w:type="spellStart"/>
      <w:r w:rsidRPr="00200158">
        <w:rPr>
          <w:b/>
          <w:i/>
          <w:sz w:val="20"/>
          <w:szCs w:val="20"/>
        </w:rPr>
        <w:t>publica</w:t>
      </w:r>
      <w:proofErr w:type="spellEnd"/>
      <w:r w:rsidRPr="00200158">
        <w:rPr>
          <w:b/>
          <w:i/>
          <w:sz w:val="20"/>
          <w:szCs w:val="20"/>
        </w:rPr>
        <w:t xml:space="preserve"> que están establecidos es el tianguis de los días martes y domingo en las calles centrales del municipio</w:t>
      </w:r>
      <w:r w:rsidRPr="00200158">
        <w:rPr>
          <w:i/>
          <w:sz w:val="20"/>
          <w:szCs w:val="20"/>
        </w:rPr>
        <w:t>, quienes están regulados conforme a los artículos 170 y 171 del Bando Municipal Vigente.” (Sic.) (Énfasis añadido)</w:t>
      </w:r>
    </w:p>
    <w:p w14:paraId="2E5664B5" w14:textId="77777777" w:rsidR="00215B68" w:rsidRPr="00200158" w:rsidRDefault="00215B68">
      <w:pPr>
        <w:pBdr>
          <w:top w:val="nil"/>
          <w:left w:val="nil"/>
          <w:bottom w:val="nil"/>
          <w:right w:val="nil"/>
          <w:between w:val="nil"/>
        </w:pBdr>
        <w:spacing w:after="0" w:line="360" w:lineRule="auto"/>
        <w:ind w:right="709"/>
      </w:pPr>
    </w:p>
    <w:p w14:paraId="43623FCE" w14:textId="77777777" w:rsidR="00215B68" w:rsidRPr="00200158" w:rsidRDefault="005A5B7B">
      <w:pPr>
        <w:pStyle w:val="Ttulo2"/>
        <w:spacing w:before="0" w:after="0"/>
      </w:pPr>
      <w:bookmarkStart w:id="5" w:name="_heading=h.1ay8uon7g4c" w:colFirst="0" w:colLast="0"/>
      <w:bookmarkEnd w:id="5"/>
      <w:r w:rsidRPr="00200158">
        <w:t>III. Interposición del Recurso de Revisión</w:t>
      </w:r>
    </w:p>
    <w:p w14:paraId="2B36A9B0" w14:textId="77777777" w:rsidR="00215B68" w:rsidRPr="00200158" w:rsidRDefault="00215B68">
      <w:pPr>
        <w:spacing w:after="0" w:line="360" w:lineRule="auto"/>
        <w:rPr>
          <w:b/>
        </w:rPr>
      </w:pPr>
    </w:p>
    <w:p w14:paraId="6B189555" w14:textId="77777777" w:rsidR="00215B68" w:rsidRPr="00200158" w:rsidRDefault="005A5B7B">
      <w:pPr>
        <w:spacing w:after="0" w:line="360" w:lineRule="auto"/>
      </w:pPr>
      <w:bookmarkStart w:id="6" w:name="_heading=h.2et92p0" w:colFirst="0" w:colLast="0"/>
      <w:bookmarkEnd w:id="6"/>
      <w:r w:rsidRPr="00200158">
        <w:lastRenderedPageBreak/>
        <w:t>Con fecha trece de junio de dos mil veinticinco, se recibió en este Instituto, a través del SAIMEX, el Recurso de Revisión interpuesto por la persona Recurrente, en los siguientes términos:</w:t>
      </w:r>
    </w:p>
    <w:p w14:paraId="2925DA43" w14:textId="77777777" w:rsidR="00215B68" w:rsidRPr="00200158" w:rsidRDefault="00215B68">
      <w:pPr>
        <w:spacing w:after="0" w:line="360" w:lineRule="auto"/>
      </w:pPr>
    </w:p>
    <w:p w14:paraId="2C3303E6" w14:textId="77777777" w:rsidR="00215B68" w:rsidRPr="00200158" w:rsidRDefault="005A5B7B">
      <w:pPr>
        <w:spacing w:after="0" w:line="360" w:lineRule="auto"/>
        <w:ind w:left="567" w:right="709"/>
        <w:rPr>
          <w:b/>
          <w:sz w:val="20"/>
          <w:szCs w:val="20"/>
        </w:rPr>
      </w:pPr>
      <w:r w:rsidRPr="00200158">
        <w:rPr>
          <w:b/>
          <w:sz w:val="20"/>
          <w:szCs w:val="20"/>
        </w:rPr>
        <w:t>ACTO IMPUGNADO</w:t>
      </w:r>
      <w:r w:rsidRPr="00200158">
        <w:rPr>
          <w:b/>
          <w:sz w:val="20"/>
          <w:szCs w:val="20"/>
        </w:rPr>
        <w:tab/>
      </w:r>
    </w:p>
    <w:p w14:paraId="3C2953F0" w14:textId="723343CA" w:rsidR="00215B68" w:rsidRPr="00200158" w:rsidRDefault="005A5B7B">
      <w:pPr>
        <w:spacing w:after="0" w:line="360" w:lineRule="auto"/>
        <w:ind w:left="567" w:right="709"/>
        <w:rPr>
          <w:i/>
          <w:sz w:val="20"/>
          <w:szCs w:val="20"/>
        </w:rPr>
      </w:pPr>
      <w:r w:rsidRPr="00200158">
        <w:rPr>
          <w:i/>
          <w:sz w:val="20"/>
          <w:szCs w:val="20"/>
        </w:rPr>
        <w:t xml:space="preserve">“El titular de D. Económico da una explicación pero </w:t>
      </w:r>
      <w:r w:rsidRPr="00200158">
        <w:rPr>
          <w:b/>
          <w:i/>
          <w:sz w:val="20"/>
          <w:szCs w:val="20"/>
        </w:rPr>
        <w:t>no anexa pruebas</w:t>
      </w:r>
      <w:r w:rsidRPr="00200158">
        <w:rPr>
          <w:i/>
          <w:sz w:val="20"/>
          <w:szCs w:val="20"/>
        </w:rPr>
        <w:t xml:space="preserve"> ya que si como ciudadano estoy comentando porque siguen obstruyendo los comerciantes los espacios es porque se colocan en la entrada de mi casa, por otro lado se sustenta el titular como ciudadano no como profesionista en la forma en que firma, </w:t>
      </w:r>
      <w:r w:rsidRPr="00200158">
        <w:rPr>
          <w:b/>
          <w:i/>
          <w:sz w:val="20"/>
          <w:szCs w:val="20"/>
        </w:rPr>
        <w:t>que profesión tiene el titular de desarrollo económico para tener su puesto</w:t>
      </w:r>
      <w:proofErr w:type="gramStart"/>
      <w:r w:rsidRPr="00200158">
        <w:rPr>
          <w:i/>
          <w:sz w:val="20"/>
          <w:szCs w:val="20"/>
        </w:rPr>
        <w:t>?</w:t>
      </w:r>
      <w:proofErr w:type="gramEnd"/>
      <w:r w:rsidRPr="00200158">
        <w:rPr>
          <w:i/>
          <w:sz w:val="20"/>
          <w:szCs w:val="20"/>
        </w:rPr>
        <w:t xml:space="preserve">” </w:t>
      </w:r>
    </w:p>
    <w:p w14:paraId="1885FFAC" w14:textId="77777777" w:rsidR="00215B68" w:rsidRPr="00200158" w:rsidRDefault="00215B68">
      <w:pPr>
        <w:spacing w:after="0" w:line="360" w:lineRule="auto"/>
        <w:ind w:left="567" w:right="709"/>
        <w:rPr>
          <w:sz w:val="20"/>
          <w:szCs w:val="20"/>
        </w:rPr>
      </w:pPr>
    </w:p>
    <w:p w14:paraId="67AE2905" w14:textId="77777777" w:rsidR="00215B68" w:rsidRPr="00200158" w:rsidRDefault="005A5B7B">
      <w:pPr>
        <w:spacing w:after="0" w:line="360" w:lineRule="auto"/>
        <w:ind w:left="567" w:right="709"/>
        <w:rPr>
          <w:b/>
          <w:sz w:val="20"/>
          <w:szCs w:val="20"/>
        </w:rPr>
      </w:pPr>
      <w:r w:rsidRPr="00200158">
        <w:rPr>
          <w:b/>
          <w:sz w:val="20"/>
          <w:szCs w:val="20"/>
        </w:rPr>
        <w:t>RAZONES O MOTIVOS DE LA INCONFORMIDAD</w:t>
      </w:r>
      <w:r w:rsidRPr="00200158">
        <w:rPr>
          <w:b/>
          <w:sz w:val="20"/>
          <w:szCs w:val="20"/>
        </w:rPr>
        <w:tab/>
      </w:r>
    </w:p>
    <w:p w14:paraId="1F68A638" w14:textId="77777777" w:rsidR="00215B68" w:rsidRPr="00200158" w:rsidRDefault="005A5B7B">
      <w:pPr>
        <w:tabs>
          <w:tab w:val="left" w:pos="4667"/>
        </w:tabs>
        <w:spacing w:after="0" w:line="360" w:lineRule="auto"/>
        <w:ind w:left="567" w:right="709"/>
        <w:rPr>
          <w:i/>
          <w:sz w:val="20"/>
          <w:szCs w:val="20"/>
        </w:rPr>
      </w:pPr>
      <w:r w:rsidRPr="00200158">
        <w:rPr>
          <w:i/>
          <w:sz w:val="20"/>
          <w:szCs w:val="20"/>
        </w:rPr>
        <w:t xml:space="preserve">“Incompetencia por el sujeto obligado así como se percibe como no cuenta con un título profesional.” </w:t>
      </w:r>
    </w:p>
    <w:p w14:paraId="0CBD806C" w14:textId="77777777" w:rsidR="00215B68" w:rsidRPr="00200158" w:rsidRDefault="00215B68">
      <w:pPr>
        <w:tabs>
          <w:tab w:val="left" w:pos="4667"/>
        </w:tabs>
        <w:spacing w:after="0" w:line="360" w:lineRule="auto"/>
      </w:pPr>
    </w:p>
    <w:p w14:paraId="5CF46D0C" w14:textId="77777777" w:rsidR="00215B68" w:rsidRPr="00200158" w:rsidRDefault="005A5B7B">
      <w:pPr>
        <w:pStyle w:val="Ttulo2"/>
        <w:spacing w:before="0" w:after="0"/>
      </w:pPr>
      <w:bookmarkStart w:id="7" w:name="_heading=h.9nzp66pu8o97" w:colFirst="0" w:colLast="0"/>
      <w:bookmarkEnd w:id="7"/>
      <w:r w:rsidRPr="00200158">
        <w:t>IV. Trámite del Recurso de Revisión ante este Instituto</w:t>
      </w:r>
    </w:p>
    <w:p w14:paraId="28085FF2" w14:textId="77777777" w:rsidR="00215B68" w:rsidRPr="00200158" w:rsidRDefault="00215B68">
      <w:pPr>
        <w:spacing w:after="0" w:line="360" w:lineRule="auto"/>
        <w:rPr>
          <w:b/>
        </w:rPr>
      </w:pPr>
    </w:p>
    <w:p w14:paraId="645580AF" w14:textId="77777777" w:rsidR="00215B68" w:rsidRPr="00200158" w:rsidRDefault="005A5B7B">
      <w:pPr>
        <w:spacing w:after="0" w:line="360" w:lineRule="auto"/>
      </w:pPr>
      <w:r w:rsidRPr="00200158">
        <w:rPr>
          <w:b/>
        </w:rPr>
        <w:t>a) Turno del Medio de Impugnación.</w:t>
      </w:r>
      <w:r w:rsidRPr="00200158">
        <w:t xml:space="preserve"> El trece de junio de dos mil veinticinco, el SAIMEX, asignó el número de expediente</w:t>
      </w:r>
      <w:r w:rsidRPr="00200158">
        <w:rPr>
          <w:b/>
        </w:rPr>
        <w:t xml:space="preserve"> 07106/INFOEM/IP/RR/2025, </w:t>
      </w:r>
      <w:r w:rsidRPr="00200158">
        <w:t>al medio de impugnación que nos ocupan, con base en el sistema aprobado por el Pleno de este Órgano Garante y se turnó a la Comisionada Sharon Cristina Morales Martínez, para los efectos del artículo 185, fracción I de la Ley de Transparencia y Acceso a la Información Pública del Estado de México y Municipios.</w:t>
      </w:r>
    </w:p>
    <w:p w14:paraId="3F369523" w14:textId="77777777" w:rsidR="00215B68" w:rsidRPr="00200158" w:rsidRDefault="00215B68">
      <w:pPr>
        <w:spacing w:after="0" w:line="360" w:lineRule="auto"/>
      </w:pPr>
    </w:p>
    <w:p w14:paraId="2C043835" w14:textId="77777777" w:rsidR="00215B68" w:rsidRPr="00200158" w:rsidRDefault="005A5B7B">
      <w:pPr>
        <w:spacing w:after="0" w:line="360" w:lineRule="auto"/>
      </w:pPr>
      <w:r w:rsidRPr="00200158">
        <w:rPr>
          <w:b/>
        </w:rPr>
        <w:t>b) Admisión del Recurso de Revisión.</w:t>
      </w:r>
      <w:r w:rsidRPr="00200158">
        <w:t xml:space="preserve"> El veinte de junio de dos mil veinticinco, se notificó a través del SAIMEX, el acuerdo de admisión del Recurso de Revisión interpuesto por la persona Recurrente en contra del Sujeto Obligado, en términos del artículo 185, fracciones I y II de la Ley de Transparencia y Acceso a la Información Pública del Estado de México y Municipios, en el que se les otorgó un plazo de siete días hábiles posteriores a la misma, para que manifestara lo que a su derecho conviniera y formularán alegatos.</w:t>
      </w:r>
    </w:p>
    <w:p w14:paraId="38ED1096" w14:textId="77777777" w:rsidR="00215B68" w:rsidRPr="00200158" w:rsidRDefault="00215B68">
      <w:pPr>
        <w:spacing w:after="0" w:line="360" w:lineRule="auto"/>
      </w:pPr>
    </w:p>
    <w:p w14:paraId="79A22155" w14:textId="77777777" w:rsidR="00215B68" w:rsidRPr="00200158" w:rsidRDefault="005A5B7B">
      <w:pPr>
        <w:spacing w:after="0" w:line="360" w:lineRule="auto"/>
        <w:rPr>
          <w:color w:val="000000"/>
        </w:rPr>
      </w:pPr>
      <w:r w:rsidRPr="00200158">
        <w:rPr>
          <w:b/>
        </w:rPr>
        <w:t xml:space="preserve">c) </w:t>
      </w:r>
      <w:r w:rsidRPr="00200158">
        <w:rPr>
          <w:b/>
          <w:color w:val="000000"/>
        </w:rPr>
        <w:t xml:space="preserve">Informe Justificado. </w:t>
      </w:r>
      <w:r w:rsidRPr="00200158">
        <w:rPr>
          <w:color w:val="000000"/>
        </w:rPr>
        <w:t>En fecha veintisiete de junio de dos mil veinticinco, se recibió en este Instituto, a través del Sistema de Acceso a la Información Mexiquense (SAIMEX), el Informe Justificado, por parte del Sujeto Obligado, en los siguientes términos:</w:t>
      </w:r>
    </w:p>
    <w:p w14:paraId="5BE5A7B9" w14:textId="77777777" w:rsidR="00215B68" w:rsidRPr="00200158" w:rsidRDefault="00215B68">
      <w:pPr>
        <w:spacing w:after="0" w:line="360" w:lineRule="auto"/>
        <w:rPr>
          <w:color w:val="000000"/>
        </w:rPr>
      </w:pPr>
    </w:p>
    <w:p w14:paraId="14604923" w14:textId="77777777" w:rsidR="00215B68" w:rsidRPr="00200158" w:rsidRDefault="005A5B7B">
      <w:pPr>
        <w:numPr>
          <w:ilvl w:val="0"/>
          <w:numId w:val="1"/>
        </w:numPr>
        <w:pBdr>
          <w:top w:val="nil"/>
          <w:left w:val="nil"/>
          <w:bottom w:val="nil"/>
          <w:right w:val="nil"/>
          <w:between w:val="nil"/>
        </w:pBdr>
        <w:spacing w:after="0" w:line="360" w:lineRule="auto"/>
        <w:rPr>
          <w:b/>
          <w:color w:val="000000"/>
        </w:rPr>
      </w:pPr>
      <w:r w:rsidRPr="00200158">
        <w:rPr>
          <w:color w:val="000000"/>
        </w:rPr>
        <w:t>Oficio suscrito por el Director de Desarrollo Económico y Empleo del Sujeto Obligado, en el que ratificó la respuesta inicial y añadió lo siguiente:</w:t>
      </w:r>
    </w:p>
    <w:p w14:paraId="4CE290E4" w14:textId="77777777" w:rsidR="00215B68" w:rsidRPr="00200158" w:rsidRDefault="00215B68">
      <w:pPr>
        <w:pBdr>
          <w:top w:val="nil"/>
          <w:left w:val="nil"/>
          <w:bottom w:val="nil"/>
          <w:right w:val="nil"/>
          <w:between w:val="nil"/>
        </w:pBdr>
        <w:spacing w:after="0" w:line="360" w:lineRule="auto"/>
        <w:ind w:left="720"/>
        <w:rPr>
          <w:b/>
          <w:color w:val="000000"/>
        </w:rPr>
      </w:pPr>
    </w:p>
    <w:p w14:paraId="2ADD581E" w14:textId="77777777" w:rsidR="00215B68" w:rsidRPr="00200158" w:rsidRDefault="005A5B7B">
      <w:pPr>
        <w:pBdr>
          <w:top w:val="nil"/>
          <w:left w:val="nil"/>
          <w:bottom w:val="nil"/>
          <w:right w:val="nil"/>
          <w:between w:val="nil"/>
        </w:pBdr>
        <w:spacing w:after="0" w:line="360" w:lineRule="auto"/>
        <w:ind w:left="567" w:right="709"/>
        <w:rPr>
          <w:i/>
          <w:color w:val="000000"/>
          <w:sz w:val="20"/>
          <w:szCs w:val="20"/>
        </w:rPr>
      </w:pPr>
      <w:r w:rsidRPr="00200158">
        <w:rPr>
          <w:i/>
          <w:color w:val="000000"/>
          <w:sz w:val="20"/>
          <w:szCs w:val="20"/>
        </w:rPr>
        <w:t xml:space="preserve">“PRIMERO: Derivado de la solicitud en la plataforma SAIMEX de fecha veintidós de mayo de 2025 con folio 00261/MEXICAL/IP/2025 solicitando "solicito saber de manera fundamentada y sustentada como es que se lleva el control y la autorización para que los vendedores ambulantes se establezcan en un lugar, costos y requisitos ya que ciudadana me </w:t>
      </w:r>
      <w:proofErr w:type="spellStart"/>
      <w:r w:rsidRPr="00200158">
        <w:rPr>
          <w:i/>
          <w:color w:val="000000"/>
          <w:sz w:val="20"/>
          <w:szCs w:val="20"/>
        </w:rPr>
        <w:t>preocира</w:t>
      </w:r>
      <w:proofErr w:type="spellEnd"/>
      <w:r w:rsidRPr="00200158">
        <w:rPr>
          <w:i/>
          <w:color w:val="000000"/>
          <w:sz w:val="20"/>
          <w:szCs w:val="20"/>
        </w:rPr>
        <w:t xml:space="preserve"> saber que poco a poco se están adueñando de nuestras calles y el motivo del porque siguen dejándolos vender sin cobrarles, ya que a mí como locataria si me obligan a pagar una licencia y ellos no". </w:t>
      </w:r>
      <w:r w:rsidRPr="00200158">
        <w:rPr>
          <w:b/>
          <w:i/>
          <w:color w:val="000000"/>
          <w:sz w:val="20"/>
          <w:szCs w:val="20"/>
        </w:rPr>
        <w:t>Le informo que el fundamento sustentado se encuentra en el Bando Municipa</w:t>
      </w:r>
      <w:r w:rsidRPr="00200158">
        <w:rPr>
          <w:i/>
          <w:color w:val="000000"/>
          <w:sz w:val="20"/>
          <w:szCs w:val="20"/>
        </w:rPr>
        <w:t xml:space="preserve">l, tal como se mencionó en el oficio PMM/DDE/045/2025 de respuesta a su solicitud anteriormente mencionada y se dio a conocer el articulo 164 mismo que se refiere al comercio móvil y semifijo en las principales vialidades del Municipio, por lo cual se cumple con la fundamentación que solicita. </w:t>
      </w:r>
    </w:p>
    <w:p w14:paraId="088A2FD9" w14:textId="77777777" w:rsidR="00215B68" w:rsidRPr="00200158" w:rsidRDefault="00215B68">
      <w:pPr>
        <w:pBdr>
          <w:top w:val="nil"/>
          <w:left w:val="nil"/>
          <w:bottom w:val="nil"/>
          <w:right w:val="nil"/>
          <w:between w:val="nil"/>
        </w:pBdr>
        <w:spacing w:after="0" w:line="360" w:lineRule="auto"/>
        <w:ind w:left="567" w:right="709"/>
        <w:rPr>
          <w:i/>
          <w:color w:val="000000"/>
          <w:sz w:val="20"/>
          <w:szCs w:val="20"/>
        </w:rPr>
      </w:pPr>
    </w:p>
    <w:p w14:paraId="385A4D1B" w14:textId="77777777" w:rsidR="00215B68" w:rsidRPr="00200158" w:rsidRDefault="005A5B7B">
      <w:pPr>
        <w:pBdr>
          <w:top w:val="nil"/>
          <w:left w:val="nil"/>
          <w:bottom w:val="nil"/>
          <w:right w:val="nil"/>
          <w:between w:val="nil"/>
        </w:pBdr>
        <w:spacing w:after="0" w:line="360" w:lineRule="auto"/>
        <w:ind w:left="567" w:right="709"/>
        <w:rPr>
          <w:i/>
          <w:color w:val="000000"/>
          <w:sz w:val="20"/>
          <w:szCs w:val="20"/>
        </w:rPr>
      </w:pPr>
      <w:r w:rsidRPr="00200158">
        <w:rPr>
          <w:i/>
          <w:color w:val="000000"/>
          <w:sz w:val="20"/>
          <w:szCs w:val="20"/>
        </w:rPr>
        <w:t xml:space="preserve">SEGUNDO: Respecto costos y requisitos ya que ciudadana me preocupa saber que poco а </w:t>
      </w:r>
      <w:proofErr w:type="spellStart"/>
      <w:r w:rsidRPr="00200158">
        <w:rPr>
          <w:i/>
          <w:color w:val="000000"/>
          <w:sz w:val="20"/>
          <w:szCs w:val="20"/>
        </w:rPr>
        <w:t>росо</w:t>
      </w:r>
      <w:proofErr w:type="spellEnd"/>
      <w:r w:rsidRPr="00200158">
        <w:rPr>
          <w:i/>
          <w:color w:val="000000"/>
          <w:sz w:val="20"/>
          <w:szCs w:val="20"/>
        </w:rPr>
        <w:t xml:space="preserve"> se están adueñando de nuestras calles y el motivo del porque siguen dejándolos vender sin cobrarles, ya que a mí como locataria si me obligan a pagar una licencia y ellos no" Al respecto comento que en oficio PMM/DDE/045/2025, se dio respuesta al solicitante que </w:t>
      </w:r>
      <w:r w:rsidRPr="00200158">
        <w:rPr>
          <w:b/>
          <w:i/>
          <w:color w:val="000000"/>
          <w:sz w:val="20"/>
          <w:szCs w:val="20"/>
        </w:rPr>
        <w:t>esta Dirección de Desarrollo Económico y Empleo no otorga permisos, no realiza cobros y no otorga lugares para establecer al comercio semifijos de actividad comercial, todo ello con fundamento en el artículo 164 del Bando Municipal vigente.</w:t>
      </w:r>
      <w:r w:rsidRPr="00200158">
        <w:rPr>
          <w:i/>
          <w:color w:val="000000"/>
          <w:sz w:val="20"/>
          <w:szCs w:val="20"/>
        </w:rPr>
        <w:t xml:space="preserve"> Recordándole que este es la Norma Jurídica fundamental a nivel municipal y establece las bases para su gobierno, administración, la convivencia social y del Desarrollo Económico. Todo ello fundamentado en los artículos 150, 151, 152 y 153 del </w:t>
      </w:r>
      <w:r w:rsidRPr="00200158">
        <w:rPr>
          <w:i/>
          <w:color w:val="000000"/>
          <w:sz w:val="20"/>
          <w:szCs w:val="20"/>
        </w:rPr>
        <w:lastRenderedPageBreak/>
        <w:t>mismo Bando. De igual manera se hace de conocimiento que el pago de la licencia es un derecho o un impuesto y cualquier actividad económica que se realice en un local físico debe contar con la autorización del gobierno municipal y dicho pago es único y se realiza al expedirla, posteriormente cobrando un refrendo anual únicamente.</w:t>
      </w:r>
    </w:p>
    <w:p w14:paraId="7B4CE444" w14:textId="77777777" w:rsidR="00215B68" w:rsidRPr="00200158" w:rsidRDefault="00215B68">
      <w:pPr>
        <w:pBdr>
          <w:top w:val="nil"/>
          <w:left w:val="nil"/>
          <w:bottom w:val="nil"/>
          <w:right w:val="nil"/>
          <w:between w:val="nil"/>
        </w:pBdr>
        <w:spacing w:after="0" w:line="360" w:lineRule="auto"/>
        <w:ind w:left="567" w:right="709"/>
        <w:rPr>
          <w:i/>
          <w:color w:val="000000"/>
          <w:sz w:val="20"/>
          <w:szCs w:val="20"/>
        </w:rPr>
      </w:pPr>
    </w:p>
    <w:p w14:paraId="4FDDEE47" w14:textId="77777777" w:rsidR="00215B68" w:rsidRPr="00200158" w:rsidRDefault="005A5B7B">
      <w:pPr>
        <w:pBdr>
          <w:top w:val="nil"/>
          <w:left w:val="nil"/>
          <w:bottom w:val="nil"/>
          <w:right w:val="nil"/>
          <w:between w:val="nil"/>
        </w:pBdr>
        <w:spacing w:after="0" w:line="360" w:lineRule="auto"/>
        <w:ind w:left="567" w:right="709"/>
        <w:rPr>
          <w:i/>
          <w:color w:val="000000"/>
          <w:sz w:val="20"/>
          <w:szCs w:val="20"/>
        </w:rPr>
      </w:pPr>
      <w:r w:rsidRPr="00200158">
        <w:rPr>
          <w:i/>
          <w:color w:val="000000"/>
          <w:sz w:val="20"/>
          <w:szCs w:val="20"/>
        </w:rPr>
        <w:t xml:space="preserve">TERCERO: En relación a El titular de D. Económico da una explicación, pero no se anexa pruebas ya que si como ciudadano estoy comentando porque siguen obstruyendo los comerciantes los espacios es porque se colocan en la entrada de mi casa. Se invita a acudir a las instalaciones de esta Dirección para tener datos precisos del lugar en cuestión y </w:t>
      </w:r>
      <w:r w:rsidRPr="00200158">
        <w:rPr>
          <w:b/>
          <w:i/>
          <w:color w:val="000000"/>
          <w:sz w:val="20"/>
          <w:szCs w:val="20"/>
        </w:rPr>
        <w:t>llevar a cabo los procedimientos correspondientes</w:t>
      </w:r>
      <w:r w:rsidRPr="00200158">
        <w:rPr>
          <w:i/>
          <w:color w:val="000000"/>
          <w:sz w:val="20"/>
          <w:szCs w:val="20"/>
        </w:rPr>
        <w:t xml:space="preserve"> </w:t>
      </w:r>
      <w:r w:rsidRPr="00200158">
        <w:rPr>
          <w:b/>
          <w:i/>
          <w:color w:val="000000"/>
          <w:sz w:val="20"/>
          <w:szCs w:val="20"/>
        </w:rPr>
        <w:t>y dar una solución a su problemática</w:t>
      </w:r>
      <w:r w:rsidRPr="00200158">
        <w:rPr>
          <w:i/>
          <w:color w:val="000000"/>
          <w:sz w:val="20"/>
          <w:szCs w:val="20"/>
        </w:rPr>
        <w:t>, en vía de colaboración esta Dirección, está en la mejor disposición de ayudarla y poder actuar en ello.</w:t>
      </w:r>
    </w:p>
    <w:p w14:paraId="100AF116" w14:textId="77777777" w:rsidR="00215B68" w:rsidRPr="00200158" w:rsidRDefault="00215B68">
      <w:pPr>
        <w:pBdr>
          <w:top w:val="nil"/>
          <w:left w:val="nil"/>
          <w:bottom w:val="nil"/>
          <w:right w:val="nil"/>
          <w:between w:val="nil"/>
        </w:pBdr>
        <w:spacing w:after="0" w:line="360" w:lineRule="auto"/>
        <w:ind w:left="567" w:right="709"/>
        <w:rPr>
          <w:i/>
          <w:color w:val="000000"/>
          <w:sz w:val="20"/>
          <w:szCs w:val="20"/>
        </w:rPr>
      </w:pPr>
    </w:p>
    <w:p w14:paraId="0ECFA3EC" w14:textId="77777777" w:rsidR="00215B68" w:rsidRPr="00200158" w:rsidRDefault="005A5B7B">
      <w:pPr>
        <w:pBdr>
          <w:top w:val="nil"/>
          <w:left w:val="nil"/>
          <w:bottom w:val="nil"/>
          <w:right w:val="nil"/>
          <w:between w:val="nil"/>
        </w:pBdr>
        <w:spacing w:after="0" w:line="360" w:lineRule="auto"/>
        <w:ind w:left="567" w:right="709"/>
        <w:rPr>
          <w:i/>
          <w:color w:val="000000"/>
          <w:sz w:val="20"/>
          <w:szCs w:val="20"/>
        </w:rPr>
      </w:pPr>
      <w:r w:rsidRPr="00200158">
        <w:rPr>
          <w:i/>
          <w:color w:val="000000"/>
          <w:sz w:val="20"/>
          <w:szCs w:val="20"/>
        </w:rPr>
        <w:t xml:space="preserve">ÚLTIMO: Respecto a ¿se sustenta el titular como ciudadano no como profesionista en la forma en que firma, que profesión tiene el titular de desarrollo económico para tener su puesto?". </w:t>
      </w:r>
      <w:r w:rsidRPr="00200158">
        <w:rPr>
          <w:b/>
          <w:i/>
          <w:color w:val="000000"/>
          <w:sz w:val="20"/>
          <w:szCs w:val="20"/>
        </w:rPr>
        <w:t>Informo que cumple con lo solicitado y establecido en la Ley Orgánica Municipal</w:t>
      </w:r>
      <w:r w:rsidRPr="00200158">
        <w:rPr>
          <w:i/>
          <w:color w:val="000000"/>
          <w:sz w:val="20"/>
          <w:szCs w:val="20"/>
        </w:rPr>
        <w:t>, para ocupar el puesto. Así como esas peticiones no se solicitaron originalmente.”</w:t>
      </w:r>
    </w:p>
    <w:p w14:paraId="4ED060C9" w14:textId="77777777" w:rsidR="00215B68" w:rsidRPr="00200158" w:rsidRDefault="00215B68">
      <w:pPr>
        <w:pBdr>
          <w:top w:val="nil"/>
          <w:left w:val="nil"/>
          <w:bottom w:val="nil"/>
          <w:right w:val="nil"/>
          <w:between w:val="nil"/>
        </w:pBdr>
        <w:spacing w:after="0" w:line="360" w:lineRule="auto"/>
        <w:rPr>
          <w:b/>
          <w:color w:val="000000"/>
        </w:rPr>
      </w:pPr>
    </w:p>
    <w:p w14:paraId="2B1DE6DF" w14:textId="77777777" w:rsidR="00215B68" w:rsidRPr="00200158" w:rsidRDefault="005A5B7B">
      <w:pPr>
        <w:spacing w:after="0" w:line="360" w:lineRule="auto"/>
        <w:rPr>
          <w:color w:val="000000"/>
        </w:rPr>
      </w:pPr>
      <w:r w:rsidRPr="00200158">
        <w:rPr>
          <w:b/>
          <w:color w:val="000000"/>
        </w:rPr>
        <w:t xml:space="preserve">d) Vista de Informe Justificado. </w:t>
      </w:r>
      <w:r w:rsidRPr="00200158">
        <w:rPr>
          <w:color w:val="000000"/>
        </w:rPr>
        <w:t>El doce de agosto de dos mil veinticinco, se notificó a través del SAIMEX, el acuerdo mediante el cual se puso a la vista del Particular el Informe Justificado, proveído por el cual se le otorgó a este último, un término de tres días hábiles contados a partir del día siguiente a la notificación, para que emitiera las manifestaciones que conforme a sus intereses convenga.</w:t>
      </w:r>
    </w:p>
    <w:p w14:paraId="352EC969" w14:textId="77777777" w:rsidR="00215B68" w:rsidRPr="00200158" w:rsidRDefault="00215B68">
      <w:pPr>
        <w:widowControl w:val="0"/>
        <w:spacing w:after="0" w:line="360" w:lineRule="auto"/>
        <w:rPr>
          <w:b/>
        </w:rPr>
      </w:pPr>
    </w:p>
    <w:p w14:paraId="5EF19729" w14:textId="77777777" w:rsidR="00215B68" w:rsidRPr="00200158" w:rsidRDefault="005A5B7B">
      <w:pPr>
        <w:spacing w:after="0" w:line="360" w:lineRule="auto"/>
      </w:pPr>
      <w:r w:rsidRPr="00200158">
        <w:rPr>
          <w:b/>
        </w:rPr>
        <w:t xml:space="preserve">e) Manifestaciones de la parte Recurrente. </w:t>
      </w:r>
      <w:r w:rsidRPr="00200158">
        <w:t>De las constancias que integran el expediente se advierte que el Particular no añadió manifestaciones.</w:t>
      </w:r>
    </w:p>
    <w:p w14:paraId="7540EDD0" w14:textId="77777777" w:rsidR="00215B68" w:rsidRPr="00200158" w:rsidRDefault="00215B68">
      <w:pPr>
        <w:spacing w:after="0" w:line="360" w:lineRule="auto"/>
      </w:pPr>
    </w:p>
    <w:p w14:paraId="56F0304F" w14:textId="77777777" w:rsidR="00215B68" w:rsidRPr="00200158" w:rsidRDefault="005A5B7B">
      <w:pPr>
        <w:spacing w:after="0" w:line="360" w:lineRule="auto"/>
      </w:pPr>
      <w:r w:rsidRPr="00200158">
        <w:rPr>
          <w:b/>
        </w:rPr>
        <w:t>f)</w:t>
      </w:r>
      <w:r w:rsidRPr="00200158">
        <w:t xml:space="preserve"> </w:t>
      </w:r>
      <w:r w:rsidRPr="00200158">
        <w:rPr>
          <w:b/>
        </w:rPr>
        <w:t>Ampliación de plazo para resolver</w:t>
      </w:r>
      <w:r w:rsidRPr="00200158">
        <w:t xml:space="preserve">. El doce de agosto de dos mil veinticinco, el Comisionado Ponente, con fundamento en lo dispuesto por el artículo 181, párrafo tercero, de la Ley de </w:t>
      </w:r>
      <w:r w:rsidRPr="00200158">
        <w:lastRenderedPageBreak/>
        <w:t>Transparencia y Acceso a la Información Pública del Estado de México y Municipios, acordó ampliar por un periodo de quince días, el plazo para resolver el Recurso de Revisión que nos ocupa; acto que fue notificado a las partes el mismo día mediante el SAIMEX.</w:t>
      </w:r>
    </w:p>
    <w:p w14:paraId="577A2854" w14:textId="77777777" w:rsidR="00215B68" w:rsidRPr="00200158" w:rsidRDefault="00215B68">
      <w:pPr>
        <w:spacing w:after="0" w:line="360" w:lineRule="auto"/>
      </w:pPr>
    </w:p>
    <w:p w14:paraId="046A125C" w14:textId="77777777" w:rsidR="00215B68" w:rsidRPr="00200158" w:rsidRDefault="005A5B7B">
      <w:pPr>
        <w:spacing w:after="0" w:line="360" w:lineRule="auto"/>
      </w:pPr>
      <w:r w:rsidRPr="00200158">
        <w:rPr>
          <w:b/>
        </w:rPr>
        <w:t>g) Cierre de instrucción.</w:t>
      </w:r>
      <w:r w:rsidRPr="00200158">
        <w:t xml:space="preserve"> El dieciocho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744EFFDA" w14:textId="77777777" w:rsidR="00215B68" w:rsidRPr="00200158" w:rsidRDefault="00215B68">
      <w:pPr>
        <w:spacing w:after="0" w:line="360" w:lineRule="auto"/>
      </w:pPr>
    </w:p>
    <w:p w14:paraId="15BA4363" w14:textId="77777777" w:rsidR="00215B68" w:rsidRPr="00200158" w:rsidRDefault="005A5B7B">
      <w:pPr>
        <w:spacing w:after="0" w:line="360" w:lineRule="auto"/>
      </w:pPr>
      <w:r w:rsidRPr="00200158">
        <w:t xml:space="preserve">En razón de que fue debidamente sustanciado e integrado el expediente electrónico y no existir diligencia pendiente de desahogo, se emite la resolución que conforme a Derecho proceda, de acuerdo a los siguientes: </w:t>
      </w:r>
    </w:p>
    <w:p w14:paraId="25B7E3BD" w14:textId="77777777" w:rsidR="00215B68" w:rsidRPr="00200158" w:rsidRDefault="00215B68">
      <w:pPr>
        <w:spacing w:after="0" w:line="360" w:lineRule="auto"/>
      </w:pPr>
    </w:p>
    <w:p w14:paraId="1AA89B09" w14:textId="77777777" w:rsidR="00215B68" w:rsidRPr="00200158" w:rsidRDefault="005A5B7B">
      <w:pPr>
        <w:pStyle w:val="Ttulo1"/>
        <w:spacing w:before="0" w:after="0"/>
        <w:rPr>
          <w:sz w:val="22"/>
          <w:szCs w:val="22"/>
        </w:rPr>
      </w:pPr>
      <w:bookmarkStart w:id="8" w:name="_heading=h.rmmokj1cqasf" w:colFirst="0" w:colLast="0"/>
      <w:bookmarkEnd w:id="8"/>
      <w:r w:rsidRPr="00200158">
        <w:rPr>
          <w:sz w:val="22"/>
          <w:szCs w:val="22"/>
        </w:rPr>
        <w:t>C O N S I D E R A N D O S</w:t>
      </w:r>
    </w:p>
    <w:p w14:paraId="515065C9" w14:textId="77777777" w:rsidR="00215B68" w:rsidRPr="00200158" w:rsidRDefault="00215B68">
      <w:pPr>
        <w:spacing w:after="0" w:line="360" w:lineRule="auto"/>
        <w:rPr>
          <w:b/>
        </w:rPr>
      </w:pPr>
    </w:p>
    <w:p w14:paraId="145DAEBB" w14:textId="77777777" w:rsidR="00215B68" w:rsidRPr="00200158" w:rsidRDefault="005A5B7B">
      <w:pPr>
        <w:pStyle w:val="Ttulo2"/>
        <w:spacing w:before="0" w:after="0"/>
      </w:pPr>
      <w:bookmarkStart w:id="9" w:name="_heading=h.yoc700umyfj5" w:colFirst="0" w:colLast="0"/>
      <w:bookmarkEnd w:id="9"/>
      <w:r w:rsidRPr="00200158">
        <w:t>PRIMERO. Competencia</w:t>
      </w:r>
    </w:p>
    <w:p w14:paraId="6905062F" w14:textId="77777777" w:rsidR="00215B68" w:rsidRPr="00200158" w:rsidRDefault="00215B68">
      <w:pPr>
        <w:spacing w:after="0" w:line="360" w:lineRule="auto"/>
      </w:pPr>
    </w:p>
    <w:p w14:paraId="00CB3981" w14:textId="0BBB4E97" w:rsidR="00215B68" w:rsidRPr="00200158" w:rsidRDefault="00200158">
      <w:pPr>
        <w:spacing w:after="0" w:line="360" w:lineRule="auto"/>
      </w:pPr>
      <w:r w:rsidRPr="00200158">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w:t>
      </w:r>
      <w:r w:rsidRPr="00200158">
        <w:lastRenderedPageBreak/>
        <w:t>Interior del Instituto de Transparencia, Acceso a la Información Pública y Protección de Datos Personales del Estado de México y Municipios.</w:t>
      </w:r>
    </w:p>
    <w:p w14:paraId="0F69CA15" w14:textId="77777777" w:rsidR="00215B68" w:rsidRPr="00200158" w:rsidRDefault="00215B68">
      <w:pPr>
        <w:spacing w:after="0" w:line="360" w:lineRule="auto"/>
      </w:pPr>
    </w:p>
    <w:p w14:paraId="687A2E4A" w14:textId="77777777" w:rsidR="00215B68" w:rsidRPr="00200158" w:rsidRDefault="005A5B7B">
      <w:pPr>
        <w:pStyle w:val="Ttulo2"/>
        <w:spacing w:before="0" w:after="0"/>
      </w:pPr>
      <w:bookmarkStart w:id="10" w:name="_heading=h.sr41vpbmjt12" w:colFirst="0" w:colLast="0"/>
      <w:bookmarkEnd w:id="10"/>
      <w:r w:rsidRPr="00200158">
        <w:t>SEGUNDO. Causales de improcedencia y sobreseimiento</w:t>
      </w:r>
    </w:p>
    <w:p w14:paraId="324ECE19" w14:textId="77777777" w:rsidR="00215B68" w:rsidRPr="00200158" w:rsidRDefault="00215B68">
      <w:pPr>
        <w:spacing w:after="0" w:line="360" w:lineRule="auto"/>
      </w:pPr>
    </w:p>
    <w:p w14:paraId="144564F5" w14:textId="77777777" w:rsidR="00215B68" w:rsidRPr="00200158" w:rsidRDefault="005A5B7B">
      <w:pPr>
        <w:spacing w:after="0" w:line="360" w:lineRule="auto"/>
      </w:pPr>
      <w:r w:rsidRPr="00200158">
        <w:t xml:space="preserve">De las constancias que forman parte del Recurso de Revisión que se analiza, se advierte que previo al estudio del fondo de la </w:t>
      </w:r>
      <w:proofErr w:type="spellStart"/>
      <w:r w:rsidRPr="00200158">
        <w:rPr>
          <w:i/>
        </w:rPr>
        <w:t>litis</w:t>
      </w:r>
      <w:proofErr w:type="spellEnd"/>
      <w:r w:rsidRPr="00200158">
        <w:t>, es necesario estudiar las causales de improcedencia y sobreseimiento que se adviertan, para determinar lo que en Derecho proceda.</w:t>
      </w:r>
    </w:p>
    <w:p w14:paraId="453ED69B" w14:textId="77777777" w:rsidR="00215B68" w:rsidRPr="00200158" w:rsidRDefault="00215B68">
      <w:pPr>
        <w:spacing w:after="0" w:line="360" w:lineRule="auto"/>
      </w:pPr>
    </w:p>
    <w:p w14:paraId="16BBDCB7" w14:textId="77777777" w:rsidR="00215B68" w:rsidRPr="00200158" w:rsidRDefault="005A5B7B">
      <w:pPr>
        <w:spacing w:after="0" w:line="360" w:lineRule="auto"/>
        <w:rPr>
          <w:b/>
        </w:rPr>
      </w:pPr>
      <w:r w:rsidRPr="00200158">
        <w:rPr>
          <w:b/>
        </w:rPr>
        <w:t>Causales de improcedencia</w:t>
      </w:r>
    </w:p>
    <w:p w14:paraId="400F1B3E" w14:textId="77777777" w:rsidR="00215B68" w:rsidRPr="00200158" w:rsidRDefault="00215B68">
      <w:pPr>
        <w:spacing w:after="0" w:line="360" w:lineRule="auto"/>
      </w:pPr>
    </w:p>
    <w:p w14:paraId="1E94ED4C" w14:textId="77777777" w:rsidR="00215B68" w:rsidRPr="00200158" w:rsidRDefault="005A5B7B">
      <w:pPr>
        <w:spacing w:after="0" w:line="360" w:lineRule="auto"/>
      </w:pPr>
      <w:r w:rsidRPr="00200158">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200158">
        <w:t>./</w:t>
      </w:r>
      <w:proofErr w:type="gramEnd"/>
      <w:r w:rsidRPr="00200158">
        <w:t>J. 163/2005</w:t>
      </w:r>
      <w:r w:rsidRPr="00200158">
        <w:rPr>
          <w:b/>
        </w:rPr>
        <w:t xml:space="preserve"> </w:t>
      </w:r>
      <w:r w:rsidRPr="00200158">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6032EE" w14:textId="77777777" w:rsidR="00215B68" w:rsidRPr="00200158" w:rsidRDefault="00215B68">
      <w:pPr>
        <w:spacing w:after="0" w:line="360" w:lineRule="auto"/>
      </w:pPr>
    </w:p>
    <w:p w14:paraId="4F8EC8C0" w14:textId="77777777" w:rsidR="00215B68" w:rsidRPr="00200158" w:rsidRDefault="005A5B7B">
      <w:pPr>
        <w:spacing w:after="0" w:line="360" w:lineRule="auto"/>
      </w:pPr>
      <w:r w:rsidRPr="00200158">
        <w:t xml:space="preserve">En el presente caso, </w:t>
      </w:r>
      <w:r w:rsidRPr="00200158">
        <w:rPr>
          <w:b/>
        </w:rPr>
        <w:t>no se actualiza ninguna de las causales de improcedencia</w:t>
      </w:r>
      <w:r w:rsidRPr="00200158">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33B843FE" w14:textId="77777777" w:rsidR="00215B68" w:rsidRPr="00200158" w:rsidRDefault="00215B68">
      <w:pPr>
        <w:spacing w:after="0" w:line="360" w:lineRule="auto"/>
        <w:rPr>
          <w:b/>
        </w:rPr>
      </w:pPr>
    </w:p>
    <w:p w14:paraId="3F1543BC" w14:textId="77777777" w:rsidR="00215B68" w:rsidRPr="00200158" w:rsidRDefault="005A5B7B">
      <w:pPr>
        <w:spacing w:after="0" w:line="360" w:lineRule="auto"/>
        <w:ind w:right="-28"/>
        <w:rPr>
          <w:b/>
        </w:rPr>
      </w:pPr>
      <w:r w:rsidRPr="00200158">
        <w:rPr>
          <w:b/>
        </w:rPr>
        <w:lastRenderedPageBreak/>
        <w:t>Causales de sobreseimiento</w:t>
      </w:r>
    </w:p>
    <w:p w14:paraId="2DD462AF" w14:textId="77777777" w:rsidR="00215B68" w:rsidRPr="00200158" w:rsidRDefault="00215B68">
      <w:pPr>
        <w:spacing w:after="0" w:line="360" w:lineRule="auto"/>
        <w:ind w:right="-28"/>
      </w:pPr>
    </w:p>
    <w:p w14:paraId="47DA8FD1" w14:textId="77777777" w:rsidR="00215B68" w:rsidRPr="00200158" w:rsidRDefault="005A5B7B">
      <w:pPr>
        <w:spacing w:after="0" w:line="360" w:lineRule="auto"/>
      </w:pPr>
      <w:r w:rsidRPr="00200158">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200158">
        <w:rPr>
          <w:b/>
        </w:rPr>
        <w:t xml:space="preserve"> </w:t>
      </w:r>
      <w:r w:rsidRPr="00200158">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26CC2044" w14:textId="77777777" w:rsidR="00215B68" w:rsidRPr="00200158" w:rsidRDefault="00215B68">
      <w:pPr>
        <w:spacing w:after="0" w:line="360" w:lineRule="auto"/>
      </w:pPr>
    </w:p>
    <w:p w14:paraId="7FFE9449" w14:textId="77777777" w:rsidR="00215B68" w:rsidRPr="00200158" w:rsidRDefault="005A5B7B">
      <w:pPr>
        <w:pStyle w:val="Ttulo2"/>
        <w:spacing w:before="0" w:after="0"/>
      </w:pPr>
      <w:bookmarkStart w:id="11" w:name="_heading=h.2uj5f4ve6ac7" w:colFirst="0" w:colLast="0"/>
      <w:bookmarkEnd w:id="11"/>
      <w:r w:rsidRPr="00200158">
        <w:t>TERCERO. Determinación de la Controversia</w:t>
      </w:r>
    </w:p>
    <w:p w14:paraId="648BAE93" w14:textId="77777777" w:rsidR="00215B68" w:rsidRPr="00200158" w:rsidRDefault="00215B68">
      <w:pPr>
        <w:tabs>
          <w:tab w:val="left" w:pos="4962"/>
        </w:tabs>
        <w:spacing w:after="0" w:line="360" w:lineRule="auto"/>
      </w:pPr>
    </w:p>
    <w:p w14:paraId="5DB5398F" w14:textId="77777777" w:rsidR="00215B68" w:rsidRPr="00200158" w:rsidRDefault="005A5B7B">
      <w:pPr>
        <w:tabs>
          <w:tab w:val="left" w:pos="4962"/>
        </w:tabs>
        <w:spacing w:after="0" w:line="360" w:lineRule="auto"/>
      </w:pPr>
      <w:r w:rsidRPr="00200158">
        <w:t>La parte Solicitante requirió, en atención a una expresión documental, lo siguiente:</w:t>
      </w:r>
    </w:p>
    <w:p w14:paraId="0C6DFBF8" w14:textId="77777777" w:rsidR="00215B68" w:rsidRPr="00200158" w:rsidRDefault="005A5B7B">
      <w:pPr>
        <w:numPr>
          <w:ilvl w:val="0"/>
          <w:numId w:val="2"/>
        </w:numPr>
        <w:pBdr>
          <w:top w:val="nil"/>
          <w:left w:val="nil"/>
          <w:bottom w:val="nil"/>
          <w:right w:val="nil"/>
          <w:between w:val="nil"/>
        </w:pBdr>
        <w:tabs>
          <w:tab w:val="left" w:pos="4962"/>
        </w:tabs>
        <w:spacing w:after="0" w:line="360" w:lineRule="auto"/>
        <w:rPr>
          <w:color w:val="000000"/>
        </w:rPr>
      </w:pPr>
      <w:r w:rsidRPr="00200158">
        <w:rPr>
          <w:color w:val="000000"/>
        </w:rPr>
        <w:t>La forma en la que se lleva a cabo el control y autorización para los vendedores ambulantes, costos, requisitos, lo anterior de manera fundada y motivada.</w:t>
      </w:r>
    </w:p>
    <w:p w14:paraId="72680479" w14:textId="77777777" w:rsidR="00215B68" w:rsidRPr="00200158" w:rsidRDefault="00215B68">
      <w:pPr>
        <w:tabs>
          <w:tab w:val="left" w:pos="4962"/>
        </w:tabs>
        <w:spacing w:after="0" w:line="360" w:lineRule="auto"/>
      </w:pPr>
    </w:p>
    <w:p w14:paraId="1B809CAE" w14:textId="77777777" w:rsidR="00215B68" w:rsidRPr="00200158" w:rsidRDefault="005A5B7B">
      <w:pPr>
        <w:tabs>
          <w:tab w:val="left" w:pos="4962"/>
        </w:tabs>
        <w:spacing w:after="0" w:line="360" w:lineRule="auto"/>
      </w:pPr>
      <w:r w:rsidRPr="00200158">
        <w:t xml:space="preserve">En respuesta, el Sujeto Obligado a través del Director de Desarrollo Económico y Empleo del Sujeto Obligado informó que no otorga permisos, no realizan cobros ni otorgan lugares para establecer al comercio semifijo de actividad comercial, dado que no se encuentra permitido conforme al artículo 164 del Bando Municipal vigente, además señaló que la única actividad comercial en vía pública que está establecida es el tianguis de los días martes y domingo en las calles centrales del Municipio. </w:t>
      </w:r>
    </w:p>
    <w:p w14:paraId="30078977" w14:textId="77777777" w:rsidR="00215B68" w:rsidRPr="00200158" w:rsidRDefault="00215B68">
      <w:pPr>
        <w:tabs>
          <w:tab w:val="left" w:pos="4962"/>
        </w:tabs>
        <w:spacing w:after="0" w:line="360" w:lineRule="auto"/>
      </w:pPr>
    </w:p>
    <w:p w14:paraId="2C31744C" w14:textId="77777777" w:rsidR="00215B68" w:rsidRPr="00200158" w:rsidRDefault="005A5B7B">
      <w:pPr>
        <w:tabs>
          <w:tab w:val="left" w:pos="4962"/>
        </w:tabs>
        <w:spacing w:after="0" w:line="360" w:lineRule="auto"/>
      </w:pPr>
      <w:r w:rsidRPr="00200158">
        <w:t xml:space="preserve">Derivado de la respuesta, la parte Recurrente se inconformó bajo el argumento de que, el Titular de la Dirección de Desarrollo Económico no anexó pruebas y señaló que en la entrada de su casa se colocan vendedores, además solicitó conocer la profesión que dicho Titular. </w:t>
      </w:r>
    </w:p>
    <w:p w14:paraId="004747D4" w14:textId="77777777" w:rsidR="00215B68" w:rsidRPr="00200158" w:rsidRDefault="005A5B7B">
      <w:pPr>
        <w:tabs>
          <w:tab w:val="left" w:pos="4962"/>
        </w:tabs>
        <w:spacing w:after="0" w:line="360" w:lineRule="auto"/>
        <w:rPr>
          <w:color w:val="000000"/>
        </w:rPr>
      </w:pPr>
      <w:r w:rsidRPr="00200158">
        <w:lastRenderedPageBreak/>
        <w:t xml:space="preserve">Al respecto, cabe señalar que la profesión del Titular de la Dirección de Desarrollo Económico no formó parte de la solicitud inicial, sino que se trata de un nuevo elemento adicionado en el Recurso de Revisión, al respecto, se configura lo que se conoce como </w:t>
      </w:r>
      <w:r w:rsidRPr="00200158">
        <w:rPr>
          <w:b/>
          <w:i/>
        </w:rPr>
        <w:t xml:space="preserve">plus </w:t>
      </w:r>
      <w:proofErr w:type="spellStart"/>
      <w:r w:rsidRPr="00200158">
        <w:rPr>
          <w:b/>
          <w:i/>
        </w:rPr>
        <w:t>petitio</w:t>
      </w:r>
      <w:proofErr w:type="spellEnd"/>
      <w:r w:rsidRPr="00200158">
        <w:rPr>
          <w:i/>
        </w:rPr>
        <w:t xml:space="preserve">, </w:t>
      </w:r>
      <w:r w:rsidRPr="00200158">
        <w:t xml:space="preserve">que consiste en una ampliación a su requerimiento informativo, argumentos que no son susceptibles de ser valorados en términos de la fracción VII del Artículo 191 de la </w:t>
      </w:r>
      <w:r w:rsidRPr="00200158">
        <w:rPr>
          <w:color w:val="000000"/>
        </w:rPr>
        <w:t xml:space="preserve">Ley de Transparencia y Acceso a la Información Pública del Estado de México y Municipios, el cual señala la improcedencia cuando la persona Recurrente amplíe su solicitud en el recurso de revisión, </w:t>
      </w:r>
      <w:r w:rsidRPr="00200158">
        <w:rPr>
          <w:b/>
          <w:color w:val="000000"/>
          <w:u w:val="single"/>
        </w:rPr>
        <w:t>únicamente respecto de los nuevos contenidos</w:t>
      </w:r>
      <w:r w:rsidRPr="00200158">
        <w:rPr>
          <w:color w:val="000000"/>
        </w:rPr>
        <w:t>. Por lo cual el requerimiento realizado a través del medio de impugnación configura un nuevo contenido que pretende ampliar la solicitud, situación que no será sujeta de análisis por resultar improcedente. Sin embargo, se dejan a salvo sus derechos para que, en caso de así requerirlo, realice una nueva solicitud de información en la que solicite cualquier información adicional.</w:t>
      </w:r>
    </w:p>
    <w:p w14:paraId="499B36AE" w14:textId="77777777" w:rsidR="00215B68" w:rsidRPr="00200158" w:rsidRDefault="00215B68">
      <w:pPr>
        <w:tabs>
          <w:tab w:val="left" w:pos="4962"/>
        </w:tabs>
        <w:spacing w:after="0" w:line="360" w:lineRule="auto"/>
      </w:pPr>
    </w:p>
    <w:p w14:paraId="628D808F" w14:textId="77777777" w:rsidR="00215B68" w:rsidRPr="00200158" w:rsidRDefault="005A5B7B">
      <w:pPr>
        <w:tabs>
          <w:tab w:val="left" w:pos="4962"/>
        </w:tabs>
        <w:spacing w:after="0" w:line="360" w:lineRule="auto"/>
      </w:pPr>
      <w:r w:rsidRPr="00200158">
        <w:t xml:space="preserve">En consecuencia, subsiste únicamente su motivo de agravio respecto a las pruebas que sustentan el argumento otorgado en respuesta por el Director de Desarrollo Económico. </w:t>
      </w:r>
    </w:p>
    <w:p w14:paraId="6989E3E2" w14:textId="77777777" w:rsidR="00215B68" w:rsidRPr="00200158" w:rsidRDefault="00215B68">
      <w:pPr>
        <w:tabs>
          <w:tab w:val="left" w:pos="4962"/>
        </w:tabs>
        <w:spacing w:after="0" w:line="360" w:lineRule="auto"/>
      </w:pPr>
    </w:p>
    <w:p w14:paraId="69F8518E" w14:textId="77777777" w:rsidR="00215B68" w:rsidRPr="00200158" w:rsidRDefault="005A5B7B">
      <w:pPr>
        <w:tabs>
          <w:tab w:val="left" w:pos="4962"/>
        </w:tabs>
        <w:spacing w:after="0" w:line="360" w:lineRule="auto"/>
      </w:pPr>
      <w:r w:rsidRPr="00200158">
        <w:t xml:space="preserve">Durante la sustanciación del Recurso de Revisión, el Sujeto Obligado ratificó su respuesta inicial y señaló que ya proporcionó el fundamento legal, que corresponde al Bando Municipal en su artículo 164, reiteró que no otorga permisos, ni realiza cobros, ni otorga lugares para la actividad comercial en cuestión, además, invitó a la Particular a que se presente en las oficinas para iniciar los procedimientos correspondientes y ayudarle a solucionar su problema, por su parte, la persona Recurrente omitió añadir mayores elementos de análisis. </w:t>
      </w:r>
    </w:p>
    <w:p w14:paraId="765DA979" w14:textId="77777777" w:rsidR="00215B68" w:rsidRPr="00200158" w:rsidRDefault="00215B68">
      <w:pPr>
        <w:tabs>
          <w:tab w:val="left" w:pos="4962"/>
        </w:tabs>
        <w:spacing w:after="0" w:line="360" w:lineRule="auto"/>
      </w:pPr>
    </w:p>
    <w:p w14:paraId="023B6E96" w14:textId="77777777" w:rsidR="00215B68" w:rsidRPr="00200158" w:rsidRDefault="005A5B7B">
      <w:pPr>
        <w:tabs>
          <w:tab w:val="left" w:pos="4962"/>
        </w:tabs>
        <w:spacing w:after="0" w:line="360" w:lineRule="auto"/>
      </w:pPr>
      <w:r w:rsidRPr="00200158">
        <w:t>Así pues, de las constancias que integran el expediente, se advierte que en el asunto que nos ocupa, se actualiza la causal de procedencia señalada en el artículo 179, fracción I, de la Ley de la materia; por la negativa a la información solicitada.</w:t>
      </w:r>
    </w:p>
    <w:p w14:paraId="3D0E2C10" w14:textId="77777777" w:rsidR="00215B68" w:rsidRPr="00200158" w:rsidRDefault="00215B68">
      <w:pPr>
        <w:tabs>
          <w:tab w:val="left" w:pos="4962"/>
        </w:tabs>
        <w:spacing w:after="0" w:line="360" w:lineRule="auto"/>
      </w:pPr>
    </w:p>
    <w:p w14:paraId="63BD24CD" w14:textId="77777777" w:rsidR="00215B68" w:rsidRPr="00200158" w:rsidRDefault="005A5B7B">
      <w:pPr>
        <w:tabs>
          <w:tab w:val="left" w:pos="4962"/>
        </w:tabs>
        <w:spacing w:after="0" w:line="360" w:lineRule="auto"/>
      </w:pPr>
      <w:r w:rsidRPr="00200158">
        <w:lastRenderedPageBreak/>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A39A5C9" w14:textId="77777777" w:rsidR="00215B68" w:rsidRPr="00200158" w:rsidRDefault="00215B68">
      <w:pPr>
        <w:spacing w:after="0" w:line="360" w:lineRule="auto"/>
      </w:pPr>
    </w:p>
    <w:p w14:paraId="4099FDA4" w14:textId="77777777" w:rsidR="00215B68" w:rsidRPr="00200158" w:rsidRDefault="005A5B7B">
      <w:pPr>
        <w:pStyle w:val="Ttulo2"/>
        <w:spacing w:before="0" w:after="0"/>
      </w:pPr>
      <w:bookmarkStart w:id="12" w:name="_heading=h.41agvrkvjdk" w:colFirst="0" w:colLast="0"/>
      <w:bookmarkEnd w:id="12"/>
      <w:r w:rsidRPr="00200158">
        <w:t>CUARTO. Marco normativo aplicable en materia de transparencia y acceso a la información pública</w:t>
      </w:r>
    </w:p>
    <w:p w14:paraId="6EA44C73" w14:textId="77777777" w:rsidR="00215B68" w:rsidRPr="00200158" w:rsidRDefault="00215B68">
      <w:pPr>
        <w:spacing w:after="0" w:line="360" w:lineRule="auto"/>
      </w:pPr>
    </w:p>
    <w:p w14:paraId="3015C9BF" w14:textId="77777777" w:rsidR="00215B68" w:rsidRPr="00200158" w:rsidRDefault="005A5B7B">
      <w:pPr>
        <w:spacing w:after="0" w:line="360" w:lineRule="auto"/>
      </w:pPr>
      <w:r w:rsidRPr="00200158">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EE96280" w14:textId="77777777" w:rsidR="00215B68" w:rsidRPr="00200158" w:rsidRDefault="00215B68">
      <w:pPr>
        <w:spacing w:after="0" w:line="360" w:lineRule="auto"/>
      </w:pPr>
    </w:p>
    <w:p w14:paraId="6A74B897" w14:textId="77777777" w:rsidR="00215B68" w:rsidRPr="00200158" w:rsidRDefault="005A5B7B">
      <w:pPr>
        <w:spacing w:after="0" w:line="360" w:lineRule="auto"/>
      </w:pPr>
      <w:r w:rsidRPr="00200158">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ADA6EDF" w14:textId="77777777" w:rsidR="00215B68" w:rsidRPr="00200158" w:rsidRDefault="00215B68">
      <w:pPr>
        <w:spacing w:after="0" w:line="360" w:lineRule="auto"/>
      </w:pPr>
    </w:p>
    <w:p w14:paraId="48DC17B6" w14:textId="77777777" w:rsidR="00215B68" w:rsidRPr="00200158" w:rsidRDefault="005A5B7B">
      <w:pPr>
        <w:spacing w:after="0" w:line="360" w:lineRule="auto"/>
      </w:pPr>
      <w:r w:rsidRPr="00200158">
        <w:t>Por su parte, la Ley de Transparencia y Acceso a la Información Pública del Estado de México y Municipios (Reglamentaria del artículo 5° de la Constitución Local), establece lo siguiente:</w:t>
      </w:r>
    </w:p>
    <w:p w14:paraId="3E866B85" w14:textId="77777777" w:rsidR="00215B68" w:rsidRPr="00200158" w:rsidRDefault="00215B68">
      <w:pPr>
        <w:spacing w:after="0" w:line="360" w:lineRule="auto"/>
      </w:pPr>
    </w:p>
    <w:p w14:paraId="45D7B551" w14:textId="77777777" w:rsidR="00215B68" w:rsidRPr="00200158" w:rsidRDefault="005A5B7B">
      <w:pPr>
        <w:spacing w:after="0" w:line="360" w:lineRule="auto"/>
      </w:pPr>
      <w:r w:rsidRPr="00200158">
        <w:t>El artículo 12 dice que, quienes generen, recopilen, administren, manejen, procesen, archiven o conserven información pública serán responsables de la misma.</w:t>
      </w:r>
    </w:p>
    <w:p w14:paraId="7F53C2C2" w14:textId="77777777" w:rsidR="00215B68" w:rsidRPr="00200158" w:rsidRDefault="00215B68">
      <w:pPr>
        <w:spacing w:after="0" w:line="360" w:lineRule="auto"/>
      </w:pPr>
    </w:p>
    <w:p w14:paraId="4B63809D" w14:textId="77777777" w:rsidR="00215B68" w:rsidRPr="00200158" w:rsidRDefault="005A5B7B">
      <w:pPr>
        <w:spacing w:after="0" w:line="360" w:lineRule="auto"/>
      </w:pPr>
      <w:r w:rsidRPr="00200158">
        <w:t>El artículo 18, que, los Sujetos Obligados deberán documentar todo acto que derive del ejercicio de sus facultades, competencias o funciones, considerando desde su origen la eventual publicidad y reutilización de la información que generen.</w:t>
      </w:r>
    </w:p>
    <w:p w14:paraId="4349F5DB" w14:textId="77777777" w:rsidR="00215B68" w:rsidRPr="00200158" w:rsidRDefault="00215B68">
      <w:pPr>
        <w:spacing w:after="0" w:line="360" w:lineRule="auto"/>
      </w:pPr>
    </w:p>
    <w:p w14:paraId="07699ED7" w14:textId="77777777" w:rsidR="00215B68" w:rsidRPr="00200158" w:rsidRDefault="005A5B7B">
      <w:pPr>
        <w:spacing w:after="0" w:line="360" w:lineRule="auto"/>
      </w:pPr>
      <w:r w:rsidRPr="00200158">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9FF4E22" w14:textId="77777777" w:rsidR="00215B68" w:rsidRPr="00200158" w:rsidRDefault="00215B68">
      <w:pPr>
        <w:pStyle w:val="Ttulo2"/>
        <w:spacing w:before="0" w:after="0"/>
        <w:rPr>
          <w:smallCaps/>
        </w:rPr>
      </w:pPr>
    </w:p>
    <w:p w14:paraId="526558C0" w14:textId="77777777" w:rsidR="00215B68" w:rsidRPr="00200158" w:rsidRDefault="005A5B7B">
      <w:pPr>
        <w:pStyle w:val="Ttulo2"/>
        <w:spacing w:before="0" w:after="0"/>
      </w:pPr>
      <w:bookmarkStart w:id="13" w:name="_heading=h.jr1lbnlp7uc2" w:colFirst="0" w:colLast="0"/>
      <w:bookmarkEnd w:id="13"/>
      <w:r w:rsidRPr="00200158">
        <w:rPr>
          <w:smallCaps/>
        </w:rPr>
        <w:t>QUINTO.</w:t>
      </w:r>
      <w:r w:rsidRPr="00200158">
        <w:t xml:space="preserve"> Estudio de Fondo</w:t>
      </w:r>
    </w:p>
    <w:p w14:paraId="150A94E5" w14:textId="77777777" w:rsidR="00215B68" w:rsidRPr="00200158" w:rsidRDefault="00215B68">
      <w:pPr>
        <w:spacing w:after="0" w:line="360" w:lineRule="auto"/>
      </w:pPr>
    </w:p>
    <w:p w14:paraId="51FED22F" w14:textId="77777777" w:rsidR="00215B68" w:rsidRPr="00200158" w:rsidRDefault="005A5B7B">
      <w:pPr>
        <w:spacing w:after="0" w:line="360" w:lineRule="auto"/>
      </w:pPr>
      <w:r w:rsidRPr="00200158">
        <w:t xml:space="preserve">En este sentido, se atrae al estudio el artículo 31, fracción XLVI de la Ley Orgánica Municipal del Estado de México, que prevé que dentro de las atribuciones de los ayuntamientos, se encuentra la de promover la ejecución de programas de dignificación, calidad y mejora permanente del servicio público de los mercados, así como del comercio semifijo, con el objeto de impulsar su rentabilidad y desarrollo digno en beneficio de las y los habitantes del Municipio, así pues, el Sujeto Obligado al ser un </w:t>
      </w:r>
      <w:r w:rsidRPr="00200158">
        <w:rPr>
          <w:b/>
        </w:rPr>
        <w:t xml:space="preserve">Municipio del Estado de México tiene atribuciones para conocer del comercio semifijo y del servicio de mercados. </w:t>
      </w:r>
    </w:p>
    <w:p w14:paraId="37D2295F" w14:textId="77777777" w:rsidR="00215B68" w:rsidRPr="00200158" w:rsidRDefault="00215B68">
      <w:pPr>
        <w:spacing w:after="0" w:line="360" w:lineRule="auto"/>
      </w:pPr>
    </w:p>
    <w:p w14:paraId="1489E241" w14:textId="77777777" w:rsidR="00215B68" w:rsidRPr="00200158" w:rsidRDefault="005A5B7B">
      <w:pPr>
        <w:spacing w:after="0" w:line="360" w:lineRule="auto"/>
        <w:rPr>
          <w:b/>
        </w:rPr>
      </w:pPr>
      <w:r w:rsidRPr="00200158">
        <w:t xml:space="preserve">Sumado a lo anterior, el mismo artículo citado en sus fracciones I Ter y XXIV </w:t>
      </w:r>
      <w:proofErr w:type="spellStart"/>
      <w:r w:rsidRPr="00200158">
        <w:t>Sexties</w:t>
      </w:r>
      <w:proofErr w:type="spellEnd"/>
      <w:r w:rsidRPr="00200158">
        <w:t xml:space="preserve">, señala que el Ayuntamiento tiene atribuciones para el otorgamiento de licencias o permisos provisionales de funcionamiento para negocios de bajo riesgo que no impliquen riesgos sanitarios, ambientales o de protección civil. </w:t>
      </w:r>
      <w:r w:rsidRPr="00200158">
        <w:rPr>
          <w:b/>
        </w:rPr>
        <w:t xml:space="preserve"> Por lo que, el Sujeto Obligado tiene competencia para conocer de los permisos o licencias de funcionamiento. </w:t>
      </w:r>
    </w:p>
    <w:p w14:paraId="08B988B2" w14:textId="77777777" w:rsidR="00215B68" w:rsidRPr="00200158" w:rsidRDefault="00215B68">
      <w:pPr>
        <w:spacing w:after="0" w:line="360" w:lineRule="auto"/>
        <w:rPr>
          <w:b/>
        </w:rPr>
      </w:pPr>
    </w:p>
    <w:p w14:paraId="50BDC72A" w14:textId="77777777" w:rsidR="00215B68" w:rsidRPr="00200158" w:rsidRDefault="005A5B7B">
      <w:pPr>
        <w:spacing w:after="0" w:line="360" w:lineRule="auto"/>
        <w:rPr>
          <w:b/>
        </w:rPr>
      </w:pPr>
      <w:r w:rsidRPr="00200158">
        <w:t xml:space="preserve">Por su parte, los artículos 154, 155 y 156 del Bando Municipal del Sujeto Obligado, vigente, señalan que la Dirección de Desarrollo Económico y Empleo puede otorgar permisos provisionales, y son los encargados de atender las solicitudes para la apertura de unidades económicas. </w:t>
      </w:r>
      <w:r w:rsidRPr="00200158">
        <w:rPr>
          <w:b/>
        </w:rPr>
        <w:t xml:space="preserve"> Por lo que, se parecía que la Dirección de Desarrollo Económico y Empleo resulta el área competente para conocer de lo solicitado. </w:t>
      </w:r>
    </w:p>
    <w:p w14:paraId="1B8E806F" w14:textId="77777777" w:rsidR="00215B68" w:rsidRPr="00200158" w:rsidRDefault="00215B68">
      <w:pPr>
        <w:spacing w:after="0" w:line="360" w:lineRule="auto"/>
      </w:pPr>
    </w:p>
    <w:p w14:paraId="44E1E490" w14:textId="77777777" w:rsidR="00215B68" w:rsidRPr="00200158" w:rsidRDefault="005A5B7B">
      <w:pPr>
        <w:spacing w:after="0" w:line="360" w:lineRule="auto"/>
        <w:rPr>
          <w:b/>
        </w:rPr>
      </w:pPr>
      <w:r w:rsidRPr="00200158">
        <w:t xml:space="preserve">Por su parte, el artículo 164 del Bando Municipal, refiere, tal y como se señaló en respuesta, que no se permite el ejercicio del comercio móvil y semifijo en las principales vialidades del Municipio, así como en las calles de mayor afluencia vehicular, frente a edificios públicos, escuelas, hospitales, oficinas de gobierno, terminales de transporte colectivo y demás lugares que determine el Ayuntamiento. </w:t>
      </w:r>
      <w:r w:rsidRPr="00200158">
        <w:rPr>
          <w:b/>
        </w:rPr>
        <w:t xml:space="preserve"> Por lo que existe una prohibición para realizar dicha actividad en algunas áreas. </w:t>
      </w:r>
    </w:p>
    <w:p w14:paraId="290A31AB" w14:textId="77777777" w:rsidR="00215B68" w:rsidRPr="00200158" w:rsidRDefault="00215B68">
      <w:pPr>
        <w:spacing w:after="0" w:line="360" w:lineRule="auto"/>
        <w:rPr>
          <w:b/>
        </w:rPr>
      </w:pPr>
    </w:p>
    <w:p w14:paraId="0720404C" w14:textId="77777777" w:rsidR="00215B68" w:rsidRPr="00200158" w:rsidRDefault="005A5B7B">
      <w:pPr>
        <w:spacing w:after="0" w:line="360" w:lineRule="auto"/>
      </w:pPr>
      <w:r w:rsidRPr="00200158">
        <w:t xml:space="preserve">Cabe precisar que de conformidad con los artículos 170 y 171 del mismo Bando Municipal, el Sujeto Obligado a través de la Dirección de Desarrollo Económico y Empleo regulará la designación de lugares de tianguistas, quienes deberán cubrir con el pago respectivo. </w:t>
      </w:r>
    </w:p>
    <w:p w14:paraId="7B4F488C" w14:textId="77777777" w:rsidR="00215B68" w:rsidRPr="00200158" w:rsidRDefault="00215B68">
      <w:pPr>
        <w:spacing w:after="0" w:line="360" w:lineRule="auto"/>
      </w:pPr>
    </w:p>
    <w:p w14:paraId="2B9F11C1" w14:textId="77777777" w:rsidR="00215B68" w:rsidRPr="00200158" w:rsidRDefault="005A5B7B">
      <w:pPr>
        <w:spacing w:after="0" w:line="360" w:lineRule="auto"/>
      </w:pPr>
      <w:r w:rsidRPr="00200158">
        <w:t>En este contexto normativo, se debe recordar que la parte Recurrente solicitó</w:t>
      </w:r>
      <w:r w:rsidRPr="00200158">
        <w:rPr>
          <w:b/>
        </w:rPr>
        <w:t xml:space="preserve"> la entrega de la forma en la que se lleva a cabo el control y autorización para los vendedores ambulantes, costos, requisitos, lo anterior de manera fundada y motivada.</w:t>
      </w:r>
    </w:p>
    <w:p w14:paraId="1078EC5D" w14:textId="77777777" w:rsidR="00215B68" w:rsidRPr="00200158" w:rsidRDefault="00215B68">
      <w:pPr>
        <w:spacing w:after="0" w:line="360" w:lineRule="auto"/>
      </w:pPr>
    </w:p>
    <w:p w14:paraId="0A1057B2" w14:textId="65E13776" w:rsidR="00215B68" w:rsidRPr="00200158" w:rsidRDefault="005A5B7B">
      <w:pPr>
        <w:spacing w:after="0" w:line="360" w:lineRule="auto"/>
      </w:pPr>
      <w:r w:rsidRPr="00200158">
        <w:t xml:space="preserve">Ante dicha circunstancia, es necesario precisar </w:t>
      </w:r>
      <w:r w:rsidR="00400B6F" w:rsidRPr="00200158">
        <w:t>qué</w:t>
      </w:r>
      <w:r w:rsidRPr="00200158">
        <w:t xml:space="preserve"> tanto de la respuesta como del informe justificado, se pronunció el Director de Desarrollo Económico, por lo que resulta necesario hacer referencia al </w:t>
      </w:r>
      <w:r w:rsidRPr="00200158">
        <w:rPr>
          <w:b/>
        </w:rPr>
        <w:t>procedimiento de búsqueda que deben seguir los Sujetos Obligados para localizar la información,</w:t>
      </w:r>
      <w:r w:rsidRPr="00200158">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0010C13" w14:textId="77777777" w:rsidR="00215B68" w:rsidRPr="00200158" w:rsidRDefault="00215B68">
      <w:pPr>
        <w:spacing w:after="0" w:line="360" w:lineRule="auto"/>
      </w:pPr>
    </w:p>
    <w:p w14:paraId="33390886" w14:textId="77777777" w:rsidR="00215B68" w:rsidRPr="00200158" w:rsidRDefault="005A5B7B">
      <w:pPr>
        <w:spacing w:after="0" w:line="360" w:lineRule="auto"/>
      </w:pPr>
      <w:r w:rsidRPr="00200158">
        <w:lastRenderedPageBreak/>
        <w:t xml:space="preserve">Conforme a lo expuesto en líneas anteriores se logra advertir </w:t>
      </w:r>
      <w:r w:rsidRPr="00200158">
        <w:rPr>
          <w:b/>
        </w:rPr>
        <w:t xml:space="preserve">que el Sujeto Obligado cumplió parcialmente con el procedimiento de búsqueda </w:t>
      </w:r>
      <w:r w:rsidRPr="00200158">
        <w:t xml:space="preserve">previsto en el artículo 162 de la Ley de Transparencia y Acceso a la Información Pública del Estado de México y Municipios, toda vez que turnó la solicitud de información a algunas de las áreas competentes para conocer la información. </w:t>
      </w:r>
    </w:p>
    <w:p w14:paraId="2E08CB6E" w14:textId="77777777" w:rsidR="00215B68" w:rsidRPr="00200158" w:rsidRDefault="00215B68">
      <w:pPr>
        <w:spacing w:after="0" w:line="360" w:lineRule="auto"/>
      </w:pPr>
    </w:p>
    <w:p w14:paraId="22711121" w14:textId="77777777" w:rsidR="00215B68" w:rsidRPr="00200158" w:rsidRDefault="005A5B7B">
      <w:pPr>
        <w:spacing w:after="0" w:line="360" w:lineRule="auto"/>
      </w:pPr>
      <w:r w:rsidRPr="00200158">
        <w:t>En este contexto, se aprecia que se realizó la búsqueda de la información solicitada en el área que conoce de lo solicitado, sin embargo, derivado de la búsqueda de la información se aprecia que el Sujeto Obligado manifestó que no emite permisos, que no realiza cobros ni otorgan lugares para establecer al comercio semifijo de actividad comercial, dado que no se encuentra permitido conforme al artículo 164 del Bando Municipal vigente, además señaló que la única actividad comercial en vía pública que está establecida es el tianguis de los días martes y domingo en las calles centrales del Municipio.</w:t>
      </w:r>
    </w:p>
    <w:p w14:paraId="66AAF47B" w14:textId="77777777" w:rsidR="00215B68" w:rsidRPr="00200158" w:rsidRDefault="00215B68">
      <w:pPr>
        <w:spacing w:after="0" w:line="360" w:lineRule="auto"/>
      </w:pPr>
    </w:p>
    <w:p w14:paraId="4771F630" w14:textId="77777777" w:rsidR="00215B68" w:rsidRPr="00200158" w:rsidRDefault="005A5B7B">
      <w:pPr>
        <w:spacing w:after="0" w:line="360" w:lineRule="auto"/>
      </w:pPr>
      <w:r w:rsidRPr="00200158">
        <w:t xml:space="preserve">En atención a ello, se aprecia que el Sujeto Obligado a través del área competente se pronunció y señaló debidamente que no realiza la actividad de la que se requiere la información, y si bien la parte Recurrente se inconformó al señalar que requiere pruebas de ello, basta mencionar que el artículo 164 del Bando Municipal no permite la actividad y por tanto, resulta consecuente que no se emitan permisos por una actividad no permitida, por ello, se aprecia que se trata de un hecho negativo, del cual no es posible acreditarse con alguna documental, dado que su mera expresión comprende la inexistencia de la información. </w:t>
      </w:r>
    </w:p>
    <w:p w14:paraId="79FE71AA" w14:textId="77777777" w:rsidR="00215B68" w:rsidRPr="00200158" w:rsidRDefault="00215B68">
      <w:pPr>
        <w:spacing w:after="0" w:line="360" w:lineRule="auto"/>
      </w:pPr>
    </w:p>
    <w:p w14:paraId="315B8BFB" w14:textId="77777777" w:rsidR="00215B68" w:rsidRPr="00200158" w:rsidRDefault="005A5B7B">
      <w:pPr>
        <w:spacing w:after="0" w:line="360" w:lineRule="auto"/>
      </w:pPr>
      <w:r w:rsidRPr="00200158">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2015F487" w14:textId="77777777" w:rsidR="00215B68" w:rsidRPr="00200158" w:rsidRDefault="00215B68">
      <w:pPr>
        <w:spacing w:after="0" w:line="360" w:lineRule="auto"/>
      </w:pPr>
    </w:p>
    <w:p w14:paraId="05529871" w14:textId="77777777" w:rsidR="00215B68" w:rsidRPr="00200158" w:rsidRDefault="005A5B7B">
      <w:pPr>
        <w:spacing w:after="0" w:line="360" w:lineRule="auto"/>
      </w:pPr>
      <w:r w:rsidRPr="00200158">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4CAEDFC5" w14:textId="77777777" w:rsidR="00215B68" w:rsidRPr="00200158" w:rsidRDefault="00215B68">
      <w:pPr>
        <w:spacing w:after="0" w:line="360" w:lineRule="auto"/>
      </w:pPr>
    </w:p>
    <w:p w14:paraId="6BCB75A9" w14:textId="77777777" w:rsidR="00215B68" w:rsidRPr="00200158" w:rsidRDefault="005A5B7B">
      <w:pPr>
        <w:spacing w:after="0" w:line="360" w:lineRule="auto"/>
      </w:pPr>
      <w:r w:rsidRPr="00200158">
        <w:t xml:space="preserve">Así, es posible concluir que la </w:t>
      </w:r>
      <w:r w:rsidRPr="00200158">
        <w:rPr>
          <w:b/>
        </w:rPr>
        <w:t>inexistencia</w:t>
      </w:r>
      <w:r w:rsidRPr="00200158">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776DC037" w14:textId="77777777" w:rsidR="00215B68" w:rsidRPr="00200158" w:rsidRDefault="00215B68">
      <w:pPr>
        <w:spacing w:after="0" w:line="360" w:lineRule="auto"/>
      </w:pPr>
    </w:p>
    <w:p w14:paraId="4873E681" w14:textId="77777777" w:rsidR="00215B68" w:rsidRPr="00200158" w:rsidRDefault="005A5B7B">
      <w:pPr>
        <w:spacing w:after="0" w:line="360" w:lineRule="auto"/>
      </w:pPr>
      <w:r w:rsidRPr="00200158">
        <w:t>En ese sentido, se logra colegir que la información solicitada por el ahora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215ECBB1" w14:textId="77777777" w:rsidR="00215B68" w:rsidRPr="00200158" w:rsidRDefault="00215B68">
      <w:pPr>
        <w:spacing w:after="0" w:line="360" w:lineRule="auto"/>
      </w:pPr>
    </w:p>
    <w:p w14:paraId="4CB8FD32" w14:textId="77777777" w:rsidR="00215B68" w:rsidRPr="00200158" w:rsidRDefault="005A5B7B">
      <w:pPr>
        <w:spacing w:after="0" w:line="360" w:lineRule="auto"/>
      </w:pPr>
      <w:r w:rsidRPr="00200158">
        <w:t>De la misma manera, el Criterio Orientador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apuntó a su existencia.</w:t>
      </w:r>
    </w:p>
    <w:p w14:paraId="6FD65455" w14:textId="77777777" w:rsidR="00215B68" w:rsidRPr="00200158" w:rsidRDefault="00215B68">
      <w:pPr>
        <w:spacing w:after="0" w:line="360" w:lineRule="auto"/>
      </w:pPr>
    </w:p>
    <w:p w14:paraId="0C6E33AC" w14:textId="77777777" w:rsidR="00215B68" w:rsidRPr="00200158" w:rsidRDefault="005A5B7B">
      <w:pPr>
        <w:spacing w:after="0" w:line="360" w:lineRule="auto"/>
      </w:pPr>
      <w:r w:rsidRPr="00200158">
        <w:lastRenderedPageBreak/>
        <w:t>Al respecto, dicho criterio aplica al caso en concreto, ya que, no se localizó algún indicio de que el Sujeto Obligado cuente con la información requerida; por lo cual, se considera que el Sujeto Obligado señaló las razones por las cuales no contaba con lo requerido y cumplió con el segundo párrafo, del artículo 19 de la Ley de Transparencia y Acceso a la Información Pública del Estado de México y Municipios.</w:t>
      </w:r>
    </w:p>
    <w:p w14:paraId="7AC10B72" w14:textId="77777777" w:rsidR="00215B68" w:rsidRPr="00200158" w:rsidRDefault="00215B68">
      <w:pPr>
        <w:spacing w:after="0" w:line="360" w:lineRule="auto"/>
      </w:pPr>
    </w:p>
    <w:p w14:paraId="5AE11CEF" w14:textId="4CE3C5A3" w:rsidR="00215B68" w:rsidRPr="00200158" w:rsidRDefault="005A5B7B">
      <w:pPr>
        <w:tabs>
          <w:tab w:val="left" w:pos="3962"/>
        </w:tabs>
        <w:spacing w:after="0" w:line="360" w:lineRule="auto"/>
        <w:rPr>
          <w:b/>
        </w:rPr>
      </w:pPr>
      <w:r w:rsidRPr="00200158">
        <w:t xml:space="preserve">Así, se concluye que, desde respuesta, el Sujeto Obligado señaló que no cuenta con lo peticionado, dado que no otorga permisos, ni realiza cobros, ni otorga lugares, por tanto, no cuenta con una forma para llevar a cabo el control y autorizaciones para vendedores ambulantes, ni costos, ni requisitos, dado que se trata de una actividad que no está permitida, salvo la excepción del tianguis en los términos precisados por el Sujeto Obligado, sin embargo, este último no fue motivo de la controversia, por tanto, se tiene por atendida la solicitud de información; por lo que, se considera que el agravio es </w:t>
      </w:r>
      <w:r w:rsidRPr="00200158">
        <w:rPr>
          <w:b/>
        </w:rPr>
        <w:t>INFUNDAD</w:t>
      </w:r>
      <w:r w:rsidR="00400B6F" w:rsidRPr="00200158">
        <w:rPr>
          <w:b/>
        </w:rPr>
        <w:t>.</w:t>
      </w:r>
    </w:p>
    <w:p w14:paraId="091FD4DE" w14:textId="77777777" w:rsidR="00215B68" w:rsidRPr="00200158" w:rsidRDefault="00215B68">
      <w:pPr>
        <w:spacing w:after="0" w:line="360" w:lineRule="auto"/>
      </w:pPr>
    </w:p>
    <w:p w14:paraId="25360C89" w14:textId="77777777" w:rsidR="00215B68" w:rsidRPr="00200158" w:rsidRDefault="005A5B7B">
      <w:pPr>
        <w:pStyle w:val="Ttulo2"/>
        <w:spacing w:before="0" w:after="0"/>
        <w:rPr>
          <w:b w:val="0"/>
        </w:rPr>
      </w:pPr>
      <w:bookmarkStart w:id="14" w:name="_heading=h.nad44hd6kwn" w:colFirst="0" w:colLast="0"/>
      <w:bookmarkEnd w:id="14"/>
      <w:r w:rsidRPr="00200158">
        <w:t>SEXTO. Decisión</w:t>
      </w:r>
    </w:p>
    <w:p w14:paraId="258BACFA" w14:textId="77777777" w:rsidR="00215B68" w:rsidRPr="00200158" w:rsidRDefault="00215B68">
      <w:pPr>
        <w:spacing w:after="0" w:line="360" w:lineRule="auto"/>
        <w:rPr>
          <w:b/>
        </w:rPr>
      </w:pPr>
    </w:p>
    <w:p w14:paraId="7A77B80D" w14:textId="77777777" w:rsidR="00215B68" w:rsidRPr="00200158" w:rsidRDefault="005A5B7B">
      <w:pPr>
        <w:tabs>
          <w:tab w:val="left" w:pos="4962"/>
        </w:tabs>
        <w:spacing w:after="0" w:line="360" w:lineRule="auto"/>
      </w:pPr>
      <w:r w:rsidRPr="00200158">
        <w:t xml:space="preserve">Con fundamento en el artículo 186, fracción II, de la Ley de Transparencia y Acceso a la Información Pública del Estado de México y Municipios, este Instituto considera procedente </w:t>
      </w:r>
      <w:r w:rsidRPr="00200158">
        <w:rPr>
          <w:b/>
        </w:rPr>
        <w:t xml:space="preserve">CONFIRMAR </w:t>
      </w:r>
      <w:r w:rsidRPr="00200158">
        <w:t xml:space="preserve">la respuesta otorgada por el Sujeto Obligado. </w:t>
      </w:r>
    </w:p>
    <w:p w14:paraId="5DDCC4A1" w14:textId="77777777" w:rsidR="00215B68" w:rsidRPr="00200158" w:rsidRDefault="00215B68">
      <w:pPr>
        <w:spacing w:after="0" w:line="360" w:lineRule="auto"/>
      </w:pPr>
    </w:p>
    <w:p w14:paraId="797042B4" w14:textId="77777777" w:rsidR="00215B68" w:rsidRPr="00200158" w:rsidRDefault="005A5B7B">
      <w:pPr>
        <w:spacing w:after="0" w:line="360" w:lineRule="auto"/>
        <w:rPr>
          <w:b/>
        </w:rPr>
      </w:pPr>
      <w:r w:rsidRPr="00200158">
        <w:rPr>
          <w:b/>
        </w:rPr>
        <w:t>Términos de la Resolución para la parte Recurrente:</w:t>
      </w:r>
    </w:p>
    <w:p w14:paraId="62BBFB02" w14:textId="77777777" w:rsidR="00215B68" w:rsidRPr="00200158" w:rsidRDefault="00215B68">
      <w:pPr>
        <w:spacing w:after="0" w:line="360" w:lineRule="auto"/>
      </w:pPr>
    </w:p>
    <w:p w14:paraId="6099733C" w14:textId="77777777" w:rsidR="00215B68" w:rsidRPr="00200158" w:rsidRDefault="005A5B7B">
      <w:pPr>
        <w:spacing w:after="0" w:line="360" w:lineRule="auto"/>
        <w:rPr>
          <w:u w:val="single"/>
        </w:rPr>
      </w:pPr>
      <w:r w:rsidRPr="00200158">
        <w:rPr>
          <w:u w:val="single"/>
        </w:rPr>
        <w:t xml:space="preserve">Se hace del conocimiento de parte Recurrente que este Organismo Garante determinó confirmar la respuesta, en virtud de que el Sujeto Obligado manifestó que se trata de una actividad que no está permitida y, por tanto, no genera la documentación en la que conste la forma en la que lleva a cabo el control y autorización para los vendedores ambulantes, costos, requisitos, en consecuencia, se advierte una inexistencia de la información. </w:t>
      </w:r>
    </w:p>
    <w:p w14:paraId="79E6BA22" w14:textId="77777777" w:rsidR="00215B68" w:rsidRPr="00200158" w:rsidRDefault="00215B68">
      <w:pPr>
        <w:spacing w:after="0" w:line="360" w:lineRule="auto"/>
        <w:rPr>
          <w:u w:val="single"/>
        </w:rPr>
      </w:pPr>
    </w:p>
    <w:p w14:paraId="237F956D" w14:textId="77777777" w:rsidR="00215B68" w:rsidRPr="00200158" w:rsidRDefault="005A5B7B">
      <w:pPr>
        <w:spacing w:after="0" w:line="360" w:lineRule="auto"/>
        <w:rPr>
          <w:u w:val="single"/>
        </w:rPr>
      </w:pPr>
      <w:r w:rsidRPr="00200158">
        <w:rPr>
          <w:u w:val="single"/>
        </w:rPr>
        <w:t xml:space="preserve">Sin embargo, se dejan a salvo sus derechos a fin de requerir a través de una nueva solicitud de información vía SAIMEX, requiera cualquier otra información que sea de su interés, como el grado académico de personas servidoras públicas, dado que, los Recursos de Revisión no pueden ser utilizados como instrumento para requerir más información de la que fue solicitada inicialmente. </w:t>
      </w:r>
    </w:p>
    <w:p w14:paraId="70943FCD" w14:textId="77777777" w:rsidR="00215B68" w:rsidRPr="00200158" w:rsidRDefault="00215B68">
      <w:pPr>
        <w:spacing w:after="0" w:line="360" w:lineRule="auto"/>
        <w:rPr>
          <w:u w:val="single"/>
        </w:rPr>
      </w:pPr>
    </w:p>
    <w:p w14:paraId="02608713" w14:textId="77777777" w:rsidR="00215B68" w:rsidRPr="00200158" w:rsidRDefault="005A5B7B">
      <w:pPr>
        <w:spacing w:after="0" w:line="360" w:lineRule="auto"/>
        <w:rPr>
          <w:u w:val="single"/>
        </w:rPr>
      </w:pPr>
      <w:r w:rsidRPr="00200158">
        <w:rPr>
          <w:u w:val="single"/>
        </w:rPr>
        <w:t xml:space="preserve"> La labor del INFOEM, es apoyar a la población para acceder a la información pública y garantizar la protección de sus datos personales.</w:t>
      </w:r>
    </w:p>
    <w:p w14:paraId="4C2A9115" w14:textId="77777777" w:rsidR="00215B68" w:rsidRPr="00200158" w:rsidRDefault="00215B68">
      <w:pPr>
        <w:spacing w:after="0" w:line="360" w:lineRule="auto"/>
        <w:rPr>
          <w:u w:val="single"/>
        </w:rPr>
      </w:pPr>
    </w:p>
    <w:p w14:paraId="180CC0C7" w14:textId="77777777" w:rsidR="00215B68" w:rsidRPr="00200158" w:rsidRDefault="005A5B7B">
      <w:pPr>
        <w:pStyle w:val="Ttulo1"/>
        <w:spacing w:before="0" w:after="0"/>
        <w:rPr>
          <w:b w:val="0"/>
          <w:sz w:val="22"/>
          <w:szCs w:val="22"/>
        </w:rPr>
      </w:pPr>
      <w:bookmarkStart w:id="15" w:name="_heading=h.l1jnfcaws8fd" w:colFirst="0" w:colLast="0"/>
      <w:bookmarkEnd w:id="15"/>
      <w:r w:rsidRPr="00200158">
        <w:rPr>
          <w:sz w:val="22"/>
          <w:szCs w:val="22"/>
        </w:rPr>
        <w:t>R E S U E L V E</w:t>
      </w:r>
    </w:p>
    <w:p w14:paraId="3C4C5D39" w14:textId="77777777" w:rsidR="00215B68" w:rsidRPr="00200158" w:rsidRDefault="00215B68">
      <w:pPr>
        <w:spacing w:after="0" w:line="360" w:lineRule="auto"/>
        <w:rPr>
          <w:b/>
        </w:rPr>
      </w:pPr>
    </w:p>
    <w:p w14:paraId="58A11FC2" w14:textId="77777777" w:rsidR="00215B68" w:rsidRPr="00200158" w:rsidRDefault="005A5B7B">
      <w:pPr>
        <w:tabs>
          <w:tab w:val="left" w:pos="4962"/>
        </w:tabs>
        <w:spacing w:after="0" w:line="360" w:lineRule="auto"/>
      </w:pPr>
      <w:r w:rsidRPr="00200158">
        <w:rPr>
          <w:b/>
        </w:rPr>
        <w:t>PRIMERO.</w:t>
      </w:r>
      <w:r w:rsidRPr="00200158">
        <w:t xml:space="preserve"> Se </w:t>
      </w:r>
      <w:r w:rsidRPr="00200158">
        <w:rPr>
          <w:b/>
        </w:rPr>
        <w:t xml:space="preserve">CONFIRMA </w:t>
      </w:r>
      <w:r w:rsidRPr="00200158">
        <w:t xml:space="preserve">la respuesta entregada por el Sujeto Obligado a la solicitud de acceso a la información con número de folio </w:t>
      </w:r>
      <w:r w:rsidRPr="00200158">
        <w:rPr>
          <w:b/>
        </w:rPr>
        <w:t>00261/MEXICAL/IP/2025</w:t>
      </w:r>
      <w:r w:rsidRPr="00200158">
        <w:t xml:space="preserve">, por resultar </w:t>
      </w:r>
      <w:r w:rsidRPr="00200158">
        <w:rPr>
          <w:b/>
        </w:rPr>
        <w:t>INFUNDADAS</w:t>
      </w:r>
      <w:r w:rsidRPr="00200158">
        <w:t xml:space="preserve"> las razones o motivos de inconformidad hechas valer por la persona Recurrente, en términos de los Considerandos QUINTO y SEXTO de esta Resolución.</w:t>
      </w:r>
    </w:p>
    <w:p w14:paraId="384C3D54" w14:textId="77777777" w:rsidR="00215B68" w:rsidRPr="00200158" w:rsidRDefault="00215B68">
      <w:pPr>
        <w:spacing w:after="0" w:line="360" w:lineRule="auto"/>
      </w:pPr>
    </w:p>
    <w:p w14:paraId="5FD98FE9" w14:textId="77777777" w:rsidR="00215B68" w:rsidRPr="00200158" w:rsidRDefault="005A5B7B">
      <w:pPr>
        <w:tabs>
          <w:tab w:val="left" w:pos="4962"/>
        </w:tabs>
        <w:spacing w:after="0" w:line="360" w:lineRule="auto"/>
        <w:rPr>
          <w:b/>
        </w:rPr>
      </w:pPr>
      <w:bookmarkStart w:id="16" w:name="_heading=h.argy21qnkmhr" w:colFirst="0" w:colLast="0"/>
      <w:bookmarkEnd w:id="16"/>
      <w:r w:rsidRPr="00200158">
        <w:rPr>
          <w:b/>
        </w:rPr>
        <w:t xml:space="preserve">SEGUNDO. NOTIFÍQUESE POR SAIMEX </w:t>
      </w:r>
      <w:r w:rsidRPr="00200158">
        <w:t>la presente Resolución, al Titular de la Unidad de Transparencia del Sujeto Obligado.</w:t>
      </w:r>
    </w:p>
    <w:p w14:paraId="3872DA07" w14:textId="77777777" w:rsidR="00215B68" w:rsidRPr="00200158" w:rsidRDefault="00215B68">
      <w:pPr>
        <w:tabs>
          <w:tab w:val="left" w:pos="4962"/>
        </w:tabs>
        <w:spacing w:after="0" w:line="360" w:lineRule="auto"/>
        <w:rPr>
          <w:b/>
          <w:i/>
        </w:rPr>
      </w:pPr>
    </w:p>
    <w:p w14:paraId="2923061A" w14:textId="77777777" w:rsidR="00215B68" w:rsidRPr="00200158" w:rsidRDefault="005A5B7B">
      <w:pPr>
        <w:tabs>
          <w:tab w:val="left" w:pos="4962"/>
        </w:tabs>
        <w:spacing w:after="0" w:line="360" w:lineRule="auto"/>
        <w:rPr>
          <w:b/>
        </w:rPr>
      </w:pPr>
      <w:r w:rsidRPr="00200158">
        <w:rPr>
          <w:b/>
        </w:rPr>
        <w:t xml:space="preserve">TERCERO. NOTIFÍQUESE POR SAIMEX </w:t>
      </w:r>
      <w:r w:rsidRPr="00200158">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FADD8D4" w14:textId="77777777" w:rsidR="00215B68" w:rsidRPr="00200158" w:rsidRDefault="00215B68">
      <w:pPr>
        <w:spacing w:after="0" w:line="360" w:lineRule="auto"/>
      </w:pPr>
    </w:p>
    <w:p w14:paraId="0B641E80" w14:textId="01036732" w:rsidR="00215B68" w:rsidRDefault="005A5B7B">
      <w:pPr>
        <w:spacing w:after="0" w:line="360" w:lineRule="auto"/>
      </w:pPr>
      <w:r w:rsidRPr="00200158">
        <w:t xml:space="preserve">ASÍ LO RESUELVE, POR </w:t>
      </w:r>
      <w:r w:rsidRPr="00200158">
        <w:rPr>
          <w:b/>
        </w:rPr>
        <w:t>UNANIMIDAD</w:t>
      </w:r>
      <w:r w:rsidRPr="00200158">
        <w:t xml:space="preserve"> DE VOTOS EL PLENO DEL INSTITUTO DE TRANSPARENCIA, ACCESO A LA INFORMACIÓN PÚBLICA Y PROTECCIÓN DE DATOS </w:t>
      </w:r>
      <w:r w:rsidRPr="00200158">
        <w:lastRenderedPageBreak/>
        <w:t>PERSONALES DEL ESTADO DE MÉXICO Y MUNICIPIOS, CONFORMADO POR LOS COMISIONADOS JOSÉ MARTÍNEZ VILCHIS</w:t>
      </w:r>
      <w:r w:rsidR="00200158">
        <w:t xml:space="preserve"> (AUSENCIA JUSTIFICADA)</w:t>
      </w:r>
      <w:r w:rsidRPr="00200158">
        <w:t>, MARÍA DEL ROSARIO MEJÍA AYALA, SHARON CRISTINA MORALES MARTÍNEZ, LUIS GUSTAVO PARRA Y GUADALUPE RAMÍREZ PEÑA, EN LA VIGÉSIMA NOVENA SESIÓN ORDINARIA, CELEBRADA EL VEINTE DE AGOSTO DE DOS MIL VEINTICINCO, ANTE EL SECRETARIO TÉCNICO DEL PLENO, ALEXIS TAPIA RAMÍREZ.</w:t>
      </w:r>
    </w:p>
    <w:p w14:paraId="1AF2D40B" w14:textId="77777777" w:rsidR="00215B68" w:rsidRDefault="00215B68">
      <w:pPr>
        <w:pStyle w:val="Ttulo2"/>
        <w:spacing w:before="0" w:after="0"/>
        <w:rPr>
          <w:b w:val="0"/>
        </w:rPr>
      </w:pPr>
    </w:p>
    <w:p w14:paraId="70BD5EAB" w14:textId="77777777" w:rsidR="00215B68" w:rsidRDefault="00215B68">
      <w:pPr>
        <w:spacing w:after="0" w:line="360" w:lineRule="auto"/>
      </w:pPr>
    </w:p>
    <w:p w14:paraId="2BE5BA90" w14:textId="77777777" w:rsidR="00215B68" w:rsidRDefault="00215B68">
      <w:pPr>
        <w:spacing w:after="0" w:line="360" w:lineRule="auto"/>
      </w:pPr>
    </w:p>
    <w:p w14:paraId="2732E448" w14:textId="77777777" w:rsidR="00215B68" w:rsidRDefault="00215B68">
      <w:pPr>
        <w:spacing w:after="0" w:line="360" w:lineRule="auto"/>
      </w:pPr>
    </w:p>
    <w:p w14:paraId="666C59F2" w14:textId="77777777" w:rsidR="00215B68" w:rsidRDefault="00215B68">
      <w:pPr>
        <w:spacing w:after="0" w:line="360" w:lineRule="auto"/>
      </w:pPr>
    </w:p>
    <w:p w14:paraId="65C3972B" w14:textId="77777777" w:rsidR="00215B68" w:rsidRDefault="00215B68">
      <w:pPr>
        <w:spacing w:after="0" w:line="360" w:lineRule="auto"/>
      </w:pPr>
    </w:p>
    <w:p w14:paraId="1B8B28EF" w14:textId="77777777" w:rsidR="00215B68" w:rsidRDefault="00215B68">
      <w:pPr>
        <w:spacing w:after="0" w:line="360" w:lineRule="auto"/>
      </w:pPr>
    </w:p>
    <w:p w14:paraId="44AE2A45" w14:textId="77777777" w:rsidR="00215B68" w:rsidRDefault="00215B68">
      <w:pPr>
        <w:spacing w:after="0" w:line="360" w:lineRule="auto"/>
      </w:pPr>
    </w:p>
    <w:p w14:paraId="689883E9" w14:textId="77777777" w:rsidR="00215B68" w:rsidRDefault="00215B68">
      <w:pPr>
        <w:spacing w:after="0" w:line="360" w:lineRule="auto"/>
      </w:pPr>
    </w:p>
    <w:p w14:paraId="3E098299" w14:textId="77777777" w:rsidR="00215B68" w:rsidRDefault="00215B68">
      <w:pPr>
        <w:spacing w:after="0" w:line="360" w:lineRule="auto"/>
      </w:pPr>
    </w:p>
    <w:p w14:paraId="0DE3F237" w14:textId="77777777" w:rsidR="00215B68" w:rsidRDefault="00215B68">
      <w:pPr>
        <w:spacing w:after="0" w:line="360" w:lineRule="auto"/>
      </w:pPr>
    </w:p>
    <w:p w14:paraId="7CCFD828" w14:textId="77777777" w:rsidR="00215B68" w:rsidRDefault="00215B68">
      <w:pPr>
        <w:spacing w:after="0" w:line="360" w:lineRule="auto"/>
      </w:pPr>
    </w:p>
    <w:p w14:paraId="4CA46EDE" w14:textId="77777777" w:rsidR="00215B68" w:rsidRDefault="00215B68">
      <w:pPr>
        <w:spacing w:after="0" w:line="360" w:lineRule="auto"/>
      </w:pPr>
    </w:p>
    <w:p w14:paraId="5B3E09B2" w14:textId="77777777" w:rsidR="00215B68" w:rsidRDefault="00215B68">
      <w:pPr>
        <w:spacing w:after="0" w:line="360" w:lineRule="auto"/>
      </w:pPr>
    </w:p>
    <w:p w14:paraId="7606E3B4" w14:textId="77777777" w:rsidR="00215B68" w:rsidRDefault="00215B68">
      <w:pPr>
        <w:spacing w:after="0" w:line="360" w:lineRule="auto"/>
      </w:pPr>
    </w:p>
    <w:p w14:paraId="015A5BC4" w14:textId="77777777" w:rsidR="00215B68" w:rsidRDefault="00215B68">
      <w:pPr>
        <w:spacing w:after="0" w:line="360" w:lineRule="auto"/>
      </w:pPr>
    </w:p>
    <w:p w14:paraId="027F2CEC" w14:textId="77777777" w:rsidR="00215B68" w:rsidRDefault="00215B68">
      <w:pPr>
        <w:spacing w:after="0" w:line="360" w:lineRule="auto"/>
      </w:pPr>
    </w:p>
    <w:p w14:paraId="63EB0E7C" w14:textId="77777777" w:rsidR="00215B68" w:rsidRDefault="00215B68">
      <w:pPr>
        <w:spacing w:after="0" w:line="360" w:lineRule="auto"/>
      </w:pPr>
    </w:p>
    <w:p w14:paraId="4B978B97" w14:textId="77777777" w:rsidR="00215B68" w:rsidRDefault="00215B68">
      <w:pPr>
        <w:spacing w:after="0" w:line="360" w:lineRule="auto"/>
      </w:pPr>
    </w:p>
    <w:p w14:paraId="0FD2F79A" w14:textId="77777777" w:rsidR="00215B68" w:rsidRDefault="00215B68">
      <w:pPr>
        <w:spacing w:after="0" w:line="360" w:lineRule="auto"/>
      </w:pPr>
    </w:p>
    <w:p w14:paraId="2B7176F5" w14:textId="77777777" w:rsidR="00215B68" w:rsidRDefault="00215B68">
      <w:pPr>
        <w:spacing w:after="0" w:line="360" w:lineRule="auto"/>
      </w:pPr>
    </w:p>
    <w:p w14:paraId="3AED6EB2" w14:textId="77777777" w:rsidR="00215B68" w:rsidRDefault="00215B68">
      <w:pPr>
        <w:spacing w:after="0" w:line="360" w:lineRule="auto"/>
      </w:pPr>
    </w:p>
    <w:p w14:paraId="41BC6666" w14:textId="77777777" w:rsidR="00215B68" w:rsidRDefault="00215B68">
      <w:pPr>
        <w:spacing w:after="0" w:line="360" w:lineRule="auto"/>
      </w:pPr>
    </w:p>
    <w:p w14:paraId="73B138AF" w14:textId="77777777" w:rsidR="00215B68" w:rsidRDefault="00215B68">
      <w:pPr>
        <w:spacing w:after="0" w:line="360" w:lineRule="auto"/>
      </w:pPr>
    </w:p>
    <w:sectPr w:rsidR="00215B68">
      <w:headerReference w:type="even" r:id="rId8"/>
      <w:headerReference w:type="default" r:id="rId9"/>
      <w:footerReference w:type="even" r:id="rId10"/>
      <w:footerReference w:type="default" r:id="rId11"/>
      <w:headerReference w:type="first" r:id="rId12"/>
      <w:footerReference w:type="first" r:id="rId13"/>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C1053" w14:textId="77777777" w:rsidR="00495228" w:rsidRDefault="00495228">
      <w:pPr>
        <w:spacing w:after="0" w:line="240" w:lineRule="auto"/>
      </w:pPr>
      <w:r>
        <w:separator/>
      </w:r>
    </w:p>
  </w:endnote>
  <w:endnote w:type="continuationSeparator" w:id="0">
    <w:p w14:paraId="5B96AC48" w14:textId="77777777" w:rsidR="00495228" w:rsidRDefault="00495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D9CAF" w14:textId="77777777" w:rsidR="00215B68" w:rsidRDefault="005A5B7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A104A">
      <w:rPr>
        <w:b/>
        <w:noProof/>
        <w:color w:val="000000"/>
        <w:sz w:val="24"/>
        <w:szCs w:val="24"/>
      </w:rPr>
      <w:t>19</w:t>
    </w:r>
    <w:r>
      <w:rPr>
        <w:b/>
        <w:color w:val="000000"/>
        <w:sz w:val="24"/>
        <w:szCs w:val="24"/>
      </w:rPr>
      <w:fldChar w:fldCharType="end"/>
    </w:r>
  </w:p>
  <w:p w14:paraId="4ED0A3C4" w14:textId="77777777" w:rsidR="00215B68" w:rsidRDefault="00215B6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37772" w14:textId="77777777" w:rsidR="00215B68" w:rsidRDefault="005A5B7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A7C3D">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A7C3D">
      <w:rPr>
        <w:b/>
        <w:noProof/>
        <w:color w:val="000000"/>
        <w:sz w:val="24"/>
        <w:szCs w:val="24"/>
      </w:rPr>
      <w:t>19</w:t>
    </w:r>
    <w:r>
      <w:rPr>
        <w:b/>
        <w:color w:val="000000"/>
        <w:sz w:val="24"/>
        <w:szCs w:val="24"/>
      </w:rPr>
      <w:fldChar w:fldCharType="end"/>
    </w:r>
  </w:p>
  <w:p w14:paraId="712A2DD9" w14:textId="77777777" w:rsidR="00215B68" w:rsidRDefault="00215B6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6F43" w14:textId="77777777" w:rsidR="00215B68" w:rsidRDefault="005A5B7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A7C3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A7C3D">
      <w:rPr>
        <w:b/>
        <w:noProof/>
        <w:color w:val="000000"/>
        <w:sz w:val="24"/>
        <w:szCs w:val="24"/>
      </w:rPr>
      <w:t>19</w:t>
    </w:r>
    <w:r>
      <w:rPr>
        <w:b/>
        <w:color w:val="000000"/>
        <w:sz w:val="24"/>
        <w:szCs w:val="24"/>
      </w:rPr>
      <w:fldChar w:fldCharType="end"/>
    </w:r>
  </w:p>
  <w:p w14:paraId="54FB4BB5" w14:textId="77777777" w:rsidR="00215B68" w:rsidRDefault="00215B6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9D0CC" w14:textId="77777777" w:rsidR="00495228" w:rsidRDefault="00495228">
      <w:pPr>
        <w:spacing w:after="0" w:line="240" w:lineRule="auto"/>
      </w:pPr>
      <w:r>
        <w:separator/>
      </w:r>
    </w:p>
  </w:footnote>
  <w:footnote w:type="continuationSeparator" w:id="0">
    <w:p w14:paraId="21259EBD" w14:textId="77777777" w:rsidR="00495228" w:rsidRDefault="00495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83071" w14:textId="77777777" w:rsidR="00215B68" w:rsidRDefault="00215B68">
    <w:pPr>
      <w:widowControl w:val="0"/>
      <w:pBdr>
        <w:top w:val="nil"/>
        <w:left w:val="nil"/>
        <w:bottom w:val="nil"/>
        <w:right w:val="nil"/>
        <w:between w:val="nil"/>
      </w:pBdr>
      <w:spacing w:after="0" w:line="276" w:lineRule="auto"/>
      <w:jc w:val="left"/>
      <w:rPr>
        <w:color w:val="000000"/>
      </w:rPr>
    </w:pPr>
  </w:p>
  <w:tbl>
    <w:tblPr>
      <w:tblStyle w:val="affffffc"/>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215B68" w14:paraId="43B1396F" w14:textId="77777777">
      <w:trPr>
        <w:trHeight w:val="141"/>
      </w:trPr>
      <w:tc>
        <w:tcPr>
          <w:tcW w:w="2404" w:type="dxa"/>
        </w:tcPr>
        <w:p w14:paraId="6B671DD7" w14:textId="77777777" w:rsidR="00215B68" w:rsidRDefault="005A5B7B">
          <w:pPr>
            <w:tabs>
              <w:tab w:val="right" w:pos="8838"/>
            </w:tabs>
            <w:ind w:right="-105"/>
            <w:rPr>
              <w:b/>
            </w:rPr>
          </w:pPr>
          <w:r>
            <w:rPr>
              <w:b/>
            </w:rPr>
            <w:t>Recurso de Revisión:</w:t>
          </w:r>
        </w:p>
      </w:tc>
      <w:tc>
        <w:tcPr>
          <w:tcW w:w="3587" w:type="dxa"/>
        </w:tcPr>
        <w:p w14:paraId="6DF0A32F" w14:textId="77777777" w:rsidR="00215B68" w:rsidRDefault="005A5B7B">
          <w:pPr>
            <w:tabs>
              <w:tab w:val="right" w:pos="8838"/>
            </w:tabs>
            <w:ind w:left="-28" w:right="683"/>
          </w:pPr>
          <w:r>
            <w:t>04196/INFOEM/IP/RR/2020</w:t>
          </w:r>
        </w:p>
      </w:tc>
    </w:tr>
    <w:tr w:rsidR="00215B68" w14:paraId="020970F5" w14:textId="77777777">
      <w:trPr>
        <w:trHeight w:val="276"/>
      </w:trPr>
      <w:tc>
        <w:tcPr>
          <w:tcW w:w="2404" w:type="dxa"/>
        </w:tcPr>
        <w:p w14:paraId="00F53ECE" w14:textId="77777777" w:rsidR="00215B68" w:rsidRDefault="005A5B7B">
          <w:pPr>
            <w:tabs>
              <w:tab w:val="right" w:pos="8838"/>
            </w:tabs>
            <w:ind w:right="-105"/>
            <w:rPr>
              <w:b/>
            </w:rPr>
          </w:pPr>
          <w:r>
            <w:rPr>
              <w:b/>
            </w:rPr>
            <w:t>Sujeto Obligado:</w:t>
          </w:r>
        </w:p>
      </w:tc>
      <w:tc>
        <w:tcPr>
          <w:tcW w:w="3587" w:type="dxa"/>
        </w:tcPr>
        <w:p w14:paraId="5B771264" w14:textId="77777777" w:rsidR="00215B68" w:rsidRDefault="005A5B7B">
          <w:pPr>
            <w:tabs>
              <w:tab w:val="right" w:pos="8838"/>
            </w:tabs>
            <w:ind w:right="116"/>
          </w:pPr>
          <w:r>
            <w:t>Ayuntamiento de Chapultepec</w:t>
          </w:r>
        </w:p>
      </w:tc>
    </w:tr>
    <w:tr w:rsidR="00215B68" w14:paraId="45CA4222" w14:textId="77777777">
      <w:trPr>
        <w:trHeight w:val="276"/>
      </w:trPr>
      <w:tc>
        <w:tcPr>
          <w:tcW w:w="2404" w:type="dxa"/>
        </w:tcPr>
        <w:p w14:paraId="3F3F11CA" w14:textId="77777777" w:rsidR="00215B68" w:rsidRDefault="005A5B7B">
          <w:pPr>
            <w:tabs>
              <w:tab w:val="right" w:pos="8838"/>
            </w:tabs>
            <w:ind w:right="-105"/>
            <w:rPr>
              <w:b/>
            </w:rPr>
          </w:pPr>
          <w:r>
            <w:rPr>
              <w:b/>
            </w:rPr>
            <w:t>Comisionado Ponente:</w:t>
          </w:r>
        </w:p>
      </w:tc>
      <w:tc>
        <w:tcPr>
          <w:tcW w:w="3587" w:type="dxa"/>
        </w:tcPr>
        <w:p w14:paraId="719A415B" w14:textId="77777777" w:rsidR="00215B68" w:rsidRDefault="005A5B7B">
          <w:pPr>
            <w:tabs>
              <w:tab w:val="right" w:pos="8838"/>
            </w:tabs>
            <w:ind w:right="-32"/>
          </w:pPr>
          <w:r>
            <w:t>Luis Gustavo Parra Noriega</w:t>
          </w:r>
        </w:p>
      </w:tc>
    </w:tr>
  </w:tbl>
  <w:p w14:paraId="7B57F8C6" w14:textId="77777777" w:rsidR="00215B68" w:rsidRDefault="00CA7C3D">
    <w:pPr>
      <w:pBdr>
        <w:top w:val="nil"/>
        <w:left w:val="nil"/>
        <w:bottom w:val="nil"/>
        <w:right w:val="nil"/>
        <w:between w:val="nil"/>
      </w:pBdr>
      <w:tabs>
        <w:tab w:val="center" w:pos="4419"/>
        <w:tab w:val="right" w:pos="8838"/>
      </w:tabs>
      <w:spacing w:after="0" w:line="240" w:lineRule="auto"/>
      <w:rPr>
        <w:color w:val="000000"/>
      </w:rPr>
    </w:pPr>
    <w:r>
      <w:rPr>
        <w:color w:val="000000"/>
      </w:rPr>
      <w:pict w14:anchorId="5B0F8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AA21" w14:textId="77777777" w:rsidR="00215B68" w:rsidRDefault="00215B68">
    <w:pPr>
      <w:rPr>
        <w:sz w:val="16"/>
        <w:szCs w:val="16"/>
      </w:rPr>
    </w:pPr>
  </w:p>
  <w:tbl>
    <w:tblPr>
      <w:tblStyle w:val="affffffd"/>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215B68" w14:paraId="117E8CF3" w14:textId="77777777">
      <w:trPr>
        <w:trHeight w:val="141"/>
      </w:trPr>
      <w:tc>
        <w:tcPr>
          <w:tcW w:w="2409" w:type="dxa"/>
        </w:tcPr>
        <w:p w14:paraId="11E88271" w14:textId="77777777" w:rsidR="00215B68" w:rsidRDefault="005A5B7B">
          <w:pPr>
            <w:tabs>
              <w:tab w:val="right" w:pos="8838"/>
            </w:tabs>
            <w:ind w:left="-395" w:right="-105" w:firstLine="395"/>
            <w:rPr>
              <w:b/>
            </w:rPr>
          </w:pPr>
          <w:r>
            <w:rPr>
              <w:b/>
            </w:rPr>
            <w:t>Recurso de Revisión:</w:t>
          </w:r>
        </w:p>
      </w:tc>
      <w:tc>
        <w:tcPr>
          <w:tcW w:w="3686" w:type="dxa"/>
        </w:tcPr>
        <w:p w14:paraId="1FE0E359" w14:textId="4BAFE9DA" w:rsidR="00215B68" w:rsidRDefault="00615EF3">
          <w:pPr>
            <w:tabs>
              <w:tab w:val="right" w:pos="8838"/>
            </w:tabs>
            <w:ind w:right="176"/>
            <w:rPr>
              <w:b/>
            </w:rPr>
          </w:pPr>
          <w:r w:rsidRPr="00200158">
            <w:rPr>
              <w:b/>
              <w:bCs/>
            </w:rPr>
            <w:t>07106/INFOEM/IP/RR/2025</w:t>
          </w:r>
        </w:p>
      </w:tc>
    </w:tr>
    <w:tr w:rsidR="00215B68" w14:paraId="772F387D" w14:textId="77777777">
      <w:trPr>
        <w:trHeight w:val="276"/>
      </w:trPr>
      <w:tc>
        <w:tcPr>
          <w:tcW w:w="2409" w:type="dxa"/>
        </w:tcPr>
        <w:p w14:paraId="3EF201EC" w14:textId="77777777" w:rsidR="00215B68" w:rsidRDefault="005A5B7B">
          <w:pPr>
            <w:tabs>
              <w:tab w:val="right" w:pos="8838"/>
            </w:tabs>
            <w:ind w:right="-105"/>
            <w:rPr>
              <w:b/>
            </w:rPr>
          </w:pPr>
          <w:r>
            <w:rPr>
              <w:b/>
            </w:rPr>
            <w:t>Sujeto Obligado:</w:t>
          </w:r>
        </w:p>
      </w:tc>
      <w:tc>
        <w:tcPr>
          <w:tcW w:w="3686" w:type="dxa"/>
        </w:tcPr>
        <w:p w14:paraId="654084B0" w14:textId="77777777" w:rsidR="00215B68" w:rsidRDefault="005A5B7B">
          <w:pPr>
            <w:tabs>
              <w:tab w:val="left" w:pos="3158"/>
              <w:tab w:val="left" w:pos="4292"/>
              <w:tab w:val="right" w:pos="8838"/>
            </w:tabs>
            <w:ind w:right="176"/>
          </w:pPr>
          <w:r>
            <w:t xml:space="preserve">Ayuntamiento de </w:t>
          </w:r>
          <w:proofErr w:type="spellStart"/>
          <w:r>
            <w:t>Mexicaltzingo</w:t>
          </w:r>
          <w:proofErr w:type="spellEnd"/>
        </w:p>
      </w:tc>
    </w:tr>
    <w:tr w:rsidR="00215B68" w14:paraId="4FC276D2" w14:textId="77777777">
      <w:trPr>
        <w:trHeight w:val="276"/>
      </w:trPr>
      <w:tc>
        <w:tcPr>
          <w:tcW w:w="2409" w:type="dxa"/>
        </w:tcPr>
        <w:p w14:paraId="69970A78" w14:textId="77777777" w:rsidR="00215B68" w:rsidRDefault="005A5B7B">
          <w:pPr>
            <w:tabs>
              <w:tab w:val="right" w:pos="8838"/>
            </w:tabs>
            <w:ind w:right="-105"/>
            <w:rPr>
              <w:b/>
            </w:rPr>
          </w:pPr>
          <w:r>
            <w:rPr>
              <w:b/>
            </w:rPr>
            <w:t>Comisionado Ponente:</w:t>
          </w:r>
        </w:p>
      </w:tc>
      <w:tc>
        <w:tcPr>
          <w:tcW w:w="3686" w:type="dxa"/>
        </w:tcPr>
        <w:p w14:paraId="62798F8F" w14:textId="77777777" w:rsidR="00215B68" w:rsidRDefault="005A5B7B">
          <w:pPr>
            <w:tabs>
              <w:tab w:val="right" w:pos="8838"/>
            </w:tabs>
            <w:ind w:right="176"/>
          </w:pPr>
          <w:r>
            <w:t>Luis Gustavo Parra Noriega</w:t>
          </w:r>
        </w:p>
        <w:p w14:paraId="6C85455A" w14:textId="77777777" w:rsidR="00215B68" w:rsidRDefault="00215B68">
          <w:pPr>
            <w:tabs>
              <w:tab w:val="right" w:pos="8838"/>
            </w:tabs>
            <w:ind w:right="176"/>
          </w:pPr>
        </w:p>
      </w:tc>
    </w:tr>
  </w:tbl>
  <w:p w14:paraId="72552A22" w14:textId="77777777" w:rsidR="00215B68" w:rsidRDefault="00CA7C3D">
    <w:pPr>
      <w:pBdr>
        <w:top w:val="nil"/>
        <w:left w:val="nil"/>
        <w:bottom w:val="nil"/>
        <w:right w:val="nil"/>
        <w:between w:val="nil"/>
      </w:pBdr>
      <w:tabs>
        <w:tab w:val="center" w:pos="4419"/>
        <w:tab w:val="right" w:pos="8838"/>
      </w:tabs>
      <w:spacing w:after="0" w:line="240" w:lineRule="auto"/>
      <w:rPr>
        <w:color w:val="000000"/>
      </w:rPr>
    </w:pPr>
    <w:r>
      <w:rPr>
        <w:color w:val="000000"/>
      </w:rPr>
      <w:pict w14:anchorId="7CD2B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491CF" w14:textId="77777777" w:rsidR="00215B68" w:rsidRDefault="00CA7C3D">
    <w:pPr>
      <w:widowControl w:val="0"/>
      <w:pBdr>
        <w:top w:val="nil"/>
        <w:left w:val="nil"/>
        <w:bottom w:val="nil"/>
        <w:right w:val="nil"/>
        <w:between w:val="nil"/>
      </w:pBdr>
      <w:spacing w:after="0" w:line="276" w:lineRule="auto"/>
      <w:jc w:val="left"/>
      <w:rPr>
        <w:color w:val="000000"/>
      </w:rPr>
    </w:pPr>
    <w:r>
      <w:rPr>
        <w:color w:val="000000"/>
      </w:rPr>
      <w:pict w14:anchorId="39CC4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1"/>
          <w10:wrap anchorx="margin" anchory="margin"/>
        </v:shape>
      </w:pict>
    </w:r>
  </w:p>
  <w:tbl>
    <w:tblPr>
      <w:tblStyle w:val="affffffe"/>
      <w:tblW w:w="9214" w:type="dxa"/>
      <w:tblInd w:w="0" w:type="dxa"/>
      <w:tblLayout w:type="fixed"/>
      <w:tblLook w:val="0400" w:firstRow="0" w:lastRow="0" w:firstColumn="0" w:lastColumn="0" w:noHBand="0" w:noVBand="1"/>
    </w:tblPr>
    <w:tblGrid>
      <w:gridCol w:w="2127"/>
      <w:gridCol w:w="7087"/>
    </w:tblGrid>
    <w:tr w:rsidR="00215B68" w14:paraId="73CE29FA" w14:textId="77777777">
      <w:trPr>
        <w:trHeight w:val="1546"/>
      </w:trPr>
      <w:tc>
        <w:tcPr>
          <w:tcW w:w="2127" w:type="dxa"/>
        </w:tcPr>
        <w:p w14:paraId="7AEAA06A" w14:textId="77777777" w:rsidR="00215B68" w:rsidRDefault="00215B68">
          <w:pPr>
            <w:tabs>
              <w:tab w:val="right" w:pos="4273"/>
            </w:tabs>
            <w:rPr>
              <w:rFonts w:ascii="Garamond" w:eastAsia="Garamond" w:hAnsi="Garamond" w:cs="Garamond"/>
              <w:sz w:val="16"/>
              <w:szCs w:val="16"/>
            </w:rPr>
          </w:pPr>
        </w:p>
      </w:tc>
      <w:tc>
        <w:tcPr>
          <w:tcW w:w="7087" w:type="dxa"/>
        </w:tcPr>
        <w:p w14:paraId="16190A22" w14:textId="77777777" w:rsidR="00215B68" w:rsidRDefault="00215B68">
          <w:pPr>
            <w:rPr>
              <w:sz w:val="10"/>
              <w:szCs w:val="10"/>
            </w:rPr>
          </w:pPr>
        </w:p>
        <w:tbl>
          <w:tblPr>
            <w:tblStyle w:val="afffffff"/>
            <w:tblW w:w="5812" w:type="dxa"/>
            <w:tblInd w:w="1167" w:type="dxa"/>
            <w:tblLayout w:type="fixed"/>
            <w:tblLook w:val="0400" w:firstRow="0" w:lastRow="0" w:firstColumn="0" w:lastColumn="0" w:noHBand="0" w:noVBand="1"/>
          </w:tblPr>
          <w:tblGrid>
            <w:gridCol w:w="2410"/>
            <w:gridCol w:w="3402"/>
          </w:tblGrid>
          <w:tr w:rsidR="00215B68" w14:paraId="1362A939" w14:textId="77777777">
            <w:trPr>
              <w:trHeight w:val="427"/>
            </w:trPr>
            <w:tc>
              <w:tcPr>
                <w:tcW w:w="2410" w:type="dxa"/>
                <w:vAlign w:val="bottom"/>
              </w:tcPr>
              <w:p w14:paraId="59A66522" w14:textId="77777777" w:rsidR="00215B68" w:rsidRPr="00200158" w:rsidRDefault="005A5B7B">
                <w:pPr>
                  <w:tabs>
                    <w:tab w:val="right" w:pos="8838"/>
                  </w:tabs>
                  <w:ind w:right="-105"/>
                  <w:rPr>
                    <w:b/>
                  </w:rPr>
                </w:pPr>
                <w:r w:rsidRPr="00200158">
                  <w:rPr>
                    <w:b/>
                  </w:rPr>
                  <w:t>Recurso de Revisión:</w:t>
                </w:r>
              </w:p>
            </w:tc>
            <w:tc>
              <w:tcPr>
                <w:tcW w:w="3402" w:type="dxa"/>
              </w:tcPr>
              <w:p w14:paraId="5F82BEB0" w14:textId="77777777" w:rsidR="00215B68" w:rsidRPr="00200158" w:rsidRDefault="00215B68">
                <w:pPr>
                  <w:tabs>
                    <w:tab w:val="right" w:pos="8838"/>
                  </w:tabs>
                  <w:ind w:left="-28" w:right="-107"/>
                  <w:rPr>
                    <w:b/>
                  </w:rPr>
                </w:pPr>
              </w:p>
              <w:p w14:paraId="35DA5103" w14:textId="1B2F81A0" w:rsidR="00215B68" w:rsidRPr="00200158" w:rsidRDefault="00615EF3">
                <w:pPr>
                  <w:tabs>
                    <w:tab w:val="right" w:pos="8838"/>
                  </w:tabs>
                  <w:ind w:left="-28" w:right="-107"/>
                  <w:rPr>
                    <w:b/>
                  </w:rPr>
                </w:pPr>
                <w:r w:rsidRPr="00200158">
                  <w:rPr>
                    <w:b/>
                    <w:bCs/>
                  </w:rPr>
                  <w:t>07106/INFOEM/IP/RR/2025</w:t>
                </w:r>
              </w:p>
            </w:tc>
          </w:tr>
          <w:tr w:rsidR="00215B68" w14:paraId="600CF008" w14:textId="77777777">
            <w:trPr>
              <w:trHeight w:val="141"/>
            </w:trPr>
            <w:tc>
              <w:tcPr>
                <w:tcW w:w="2410" w:type="dxa"/>
              </w:tcPr>
              <w:p w14:paraId="4B02ADF9" w14:textId="77777777" w:rsidR="00215B68" w:rsidRDefault="005A5B7B">
                <w:pPr>
                  <w:tabs>
                    <w:tab w:val="right" w:pos="8838"/>
                  </w:tabs>
                  <w:ind w:right="-105"/>
                  <w:rPr>
                    <w:b/>
                  </w:rPr>
                </w:pPr>
                <w:r>
                  <w:rPr>
                    <w:b/>
                  </w:rPr>
                  <w:t>Recurrente:</w:t>
                </w:r>
              </w:p>
            </w:tc>
            <w:tc>
              <w:tcPr>
                <w:tcW w:w="3402" w:type="dxa"/>
              </w:tcPr>
              <w:p w14:paraId="40D90120" w14:textId="2530FD64" w:rsidR="00215B68" w:rsidRDefault="00CA7C3D">
                <w:pPr>
                  <w:tabs>
                    <w:tab w:val="right" w:pos="8838"/>
                  </w:tabs>
                  <w:ind w:right="-107"/>
                </w:pPr>
                <w:r>
                  <w:rPr>
                    <w:b/>
                    <w:highlight w:val="black"/>
                  </w:rPr>
                  <w:t>XXXXXXXXXXXXXXXXXXXX</w:t>
                </w:r>
              </w:p>
            </w:tc>
          </w:tr>
          <w:tr w:rsidR="00215B68" w14:paraId="511B2E1E" w14:textId="77777777">
            <w:trPr>
              <w:trHeight w:val="276"/>
            </w:trPr>
            <w:tc>
              <w:tcPr>
                <w:tcW w:w="2410" w:type="dxa"/>
              </w:tcPr>
              <w:p w14:paraId="6B6140B7" w14:textId="77777777" w:rsidR="00215B68" w:rsidRDefault="005A5B7B">
                <w:pPr>
                  <w:tabs>
                    <w:tab w:val="right" w:pos="8838"/>
                  </w:tabs>
                  <w:ind w:right="-105"/>
                  <w:rPr>
                    <w:b/>
                  </w:rPr>
                </w:pPr>
                <w:r>
                  <w:rPr>
                    <w:b/>
                  </w:rPr>
                  <w:t>Sujeto Obligado:</w:t>
                </w:r>
              </w:p>
            </w:tc>
            <w:tc>
              <w:tcPr>
                <w:tcW w:w="3402" w:type="dxa"/>
              </w:tcPr>
              <w:p w14:paraId="0CFC9635" w14:textId="77777777" w:rsidR="00215B68" w:rsidRDefault="005A5B7B">
                <w:pPr>
                  <w:tabs>
                    <w:tab w:val="right" w:pos="8838"/>
                  </w:tabs>
                  <w:ind w:right="33"/>
                </w:pPr>
                <w:r>
                  <w:t xml:space="preserve">Ayuntamiento de </w:t>
                </w:r>
                <w:proofErr w:type="spellStart"/>
                <w:r>
                  <w:t>Mexicaltzingo</w:t>
                </w:r>
                <w:proofErr w:type="spellEnd"/>
              </w:p>
            </w:tc>
          </w:tr>
          <w:tr w:rsidR="00215B68" w14:paraId="7847A012" w14:textId="77777777">
            <w:trPr>
              <w:trHeight w:val="276"/>
            </w:trPr>
            <w:tc>
              <w:tcPr>
                <w:tcW w:w="2410" w:type="dxa"/>
              </w:tcPr>
              <w:p w14:paraId="1AC51DF3" w14:textId="77777777" w:rsidR="00215B68" w:rsidRDefault="005A5B7B">
                <w:pPr>
                  <w:tabs>
                    <w:tab w:val="right" w:pos="8838"/>
                  </w:tabs>
                  <w:ind w:right="-105"/>
                  <w:rPr>
                    <w:b/>
                  </w:rPr>
                </w:pPr>
                <w:r>
                  <w:rPr>
                    <w:b/>
                  </w:rPr>
                  <w:t>Comisionado Ponente:</w:t>
                </w:r>
              </w:p>
            </w:tc>
            <w:tc>
              <w:tcPr>
                <w:tcW w:w="3402" w:type="dxa"/>
              </w:tcPr>
              <w:p w14:paraId="171AC015" w14:textId="77777777" w:rsidR="00215B68" w:rsidRDefault="005A5B7B">
                <w:pPr>
                  <w:tabs>
                    <w:tab w:val="right" w:pos="8838"/>
                  </w:tabs>
                  <w:ind w:right="-107"/>
                </w:pPr>
                <w:r>
                  <w:t>Luis Gustavo Parra Noriega</w:t>
                </w:r>
              </w:p>
            </w:tc>
          </w:tr>
        </w:tbl>
        <w:p w14:paraId="6ED4C673" w14:textId="77777777" w:rsidR="00215B68" w:rsidRDefault="00215B68">
          <w:pPr>
            <w:tabs>
              <w:tab w:val="right" w:pos="8838"/>
            </w:tabs>
            <w:ind w:left="-28"/>
            <w:rPr>
              <w:rFonts w:ascii="Arial" w:eastAsia="Arial" w:hAnsi="Arial" w:cs="Arial"/>
              <w:b/>
            </w:rPr>
          </w:pPr>
        </w:p>
      </w:tc>
    </w:tr>
  </w:tbl>
  <w:p w14:paraId="472D53EE" w14:textId="77777777" w:rsidR="00215B68" w:rsidRDefault="00215B6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0B3697"/>
    <w:multiLevelType w:val="multilevel"/>
    <w:tmpl w:val="1DD014EE"/>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E022B1"/>
    <w:multiLevelType w:val="multilevel"/>
    <w:tmpl w:val="2AFC4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B68"/>
    <w:rsid w:val="00200158"/>
    <w:rsid w:val="00215B68"/>
    <w:rsid w:val="003D4525"/>
    <w:rsid w:val="00400B6F"/>
    <w:rsid w:val="00495228"/>
    <w:rsid w:val="00536EBA"/>
    <w:rsid w:val="005A5B7B"/>
    <w:rsid w:val="005F47C0"/>
    <w:rsid w:val="00615EF3"/>
    <w:rsid w:val="00660312"/>
    <w:rsid w:val="006B7F49"/>
    <w:rsid w:val="00955B2E"/>
    <w:rsid w:val="009A104A"/>
    <w:rsid w:val="00CA7C3D"/>
    <w:rsid w:val="00EA51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719B23"/>
  <w15:docId w15:val="{24699B79-4904-41BA-9647-D2EB3A1C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4"/>
    <w:pPr>
      <w:spacing w:after="0" w:line="240" w:lineRule="auto"/>
    </w:pPr>
    <w:tblPr>
      <w:tblStyleRowBandSize w:val="1"/>
      <w:tblStyleColBandSize w:val="1"/>
      <w:tblCellMar>
        <w:left w:w="108" w:type="dxa"/>
        <w:right w:w="108" w:type="dxa"/>
      </w:tblCellMar>
    </w:tblPr>
  </w:style>
  <w:style w:type="table" w:customStyle="1" w:styleId="a0">
    <w:basedOn w:val="TableNormalf4"/>
    <w:pPr>
      <w:spacing w:after="0" w:line="240" w:lineRule="auto"/>
    </w:pPr>
    <w:tblPr>
      <w:tblStyleRowBandSize w:val="1"/>
      <w:tblStyleColBandSize w:val="1"/>
      <w:tblCellMar>
        <w:left w:w="108" w:type="dxa"/>
        <w:right w:w="108" w:type="dxa"/>
      </w:tblCellMar>
    </w:tblPr>
  </w:style>
  <w:style w:type="table" w:customStyle="1" w:styleId="a1">
    <w:basedOn w:val="TableNormalf4"/>
    <w:tblPr>
      <w:tblStyleRowBandSize w:val="1"/>
      <w:tblStyleColBandSize w:val="1"/>
      <w:tblCellMar>
        <w:left w:w="115" w:type="dxa"/>
        <w:right w:w="115" w:type="dxa"/>
      </w:tblCellMar>
    </w:tblPr>
  </w:style>
  <w:style w:type="table" w:customStyle="1" w:styleId="a2">
    <w:basedOn w:val="TableNormalf4"/>
    <w:pPr>
      <w:spacing w:after="0" w:line="240" w:lineRule="auto"/>
    </w:pPr>
    <w:tblPr>
      <w:tblStyleRowBandSize w:val="1"/>
      <w:tblStyleColBandSize w:val="1"/>
      <w:tblCellMar>
        <w:left w:w="108" w:type="dxa"/>
        <w:right w:w="108" w:type="dxa"/>
      </w:tblCellMar>
    </w:tblPr>
  </w:style>
  <w:style w:type="paragraph" w:styleId="Ttulode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4"/>
    <w:pPr>
      <w:spacing w:after="0" w:line="240" w:lineRule="auto"/>
    </w:pPr>
    <w:tblPr>
      <w:tblStyleRowBandSize w:val="1"/>
      <w:tblStyleColBandSize w:val="1"/>
      <w:tblCellMar>
        <w:left w:w="108" w:type="dxa"/>
        <w:right w:w="108" w:type="dxa"/>
      </w:tblCellMar>
    </w:tblPr>
  </w:style>
  <w:style w:type="table" w:customStyle="1" w:styleId="a4">
    <w:basedOn w:val="TableNormalf4"/>
    <w:pPr>
      <w:spacing w:after="0" w:line="240" w:lineRule="auto"/>
    </w:pPr>
    <w:tblPr>
      <w:tblStyleRowBandSize w:val="1"/>
      <w:tblStyleColBandSize w:val="1"/>
      <w:tblCellMar>
        <w:left w:w="108" w:type="dxa"/>
        <w:right w:w="108" w:type="dxa"/>
      </w:tblCellMar>
    </w:tblPr>
  </w:style>
  <w:style w:type="table" w:customStyle="1" w:styleId="a5">
    <w:basedOn w:val="TableNormalf4"/>
    <w:pPr>
      <w:spacing w:after="0" w:line="240" w:lineRule="auto"/>
    </w:pPr>
    <w:tblPr>
      <w:tblStyleRowBandSize w:val="1"/>
      <w:tblStyleColBandSize w:val="1"/>
      <w:tblCellMar>
        <w:left w:w="108" w:type="dxa"/>
        <w:right w:w="108" w:type="dxa"/>
      </w:tblCellMar>
    </w:tblPr>
  </w:style>
  <w:style w:type="table" w:customStyle="1" w:styleId="a6">
    <w:basedOn w:val="TableNormalf4"/>
    <w:pPr>
      <w:spacing w:after="0" w:line="240" w:lineRule="auto"/>
    </w:pPr>
    <w:tblPr>
      <w:tblStyleRowBandSize w:val="1"/>
      <w:tblStyleColBandSize w:val="1"/>
      <w:tblCellMar>
        <w:left w:w="108" w:type="dxa"/>
        <w:right w:w="108" w:type="dxa"/>
      </w:tblCellMar>
    </w:tblPr>
  </w:style>
  <w:style w:type="table" w:customStyle="1" w:styleId="a7">
    <w:basedOn w:val="TableNormalf3"/>
    <w:pPr>
      <w:spacing w:after="0" w:line="240" w:lineRule="auto"/>
    </w:pPr>
    <w:tblPr>
      <w:tblStyleRowBandSize w:val="1"/>
      <w:tblStyleColBandSize w:val="1"/>
      <w:tblCellMar>
        <w:left w:w="108" w:type="dxa"/>
        <w:right w:w="108" w:type="dxa"/>
      </w:tblCellMar>
    </w:tblPr>
  </w:style>
  <w:style w:type="table" w:customStyle="1" w:styleId="a8">
    <w:basedOn w:val="TableNormalf3"/>
    <w:pPr>
      <w:spacing w:after="0" w:line="240" w:lineRule="auto"/>
    </w:pPr>
    <w:tblPr>
      <w:tblStyleRowBandSize w:val="1"/>
      <w:tblStyleColBandSize w:val="1"/>
      <w:tblCellMar>
        <w:left w:w="108" w:type="dxa"/>
        <w:right w:w="108" w:type="dxa"/>
      </w:tblCellMar>
    </w:tblPr>
  </w:style>
  <w:style w:type="table" w:customStyle="1" w:styleId="a9">
    <w:basedOn w:val="TableNormalf3"/>
    <w:pPr>
      <w:spacing w:after="0" w:line="240" w:lineRule="auto"/>
    </w:pPr>
    <w:tblPr>
      <w:tblStyleRowBandSize w:val="1"/>
      <w:tblStyleColBandSize w:val="1"/>
      <w:tblCellMar>
        <w:left w:w="108" w:type="dxa"/>
        <w:right w:w="108" w:type="dxa"/>
      </w:tblCellMar>
    </w:tblPr>
  </w:style>
  <w:style w:type="table" w:customStyle="1" w:styleId="aa">
    <w:basedOn w:val="TableNormalf3"/>
    <w:pPr>
      <w:spacing w:after="0" w:line="240" w:lineRule="auto"/>
    </w:pPr>
    <w:tblPr>
      <w:tblStyleRowBandSize w:val="1"/>
      <w:tblStyleColBandSize w:val="1"/>
      <w:tblCellMar>
        <w:left w:w="108" w:type="dxa"/>
        <w:right w:w="108" w:type="dxa"/>
      </w:tblCellMar>
    </w:tblPr>
  </w:style>
  <w:style w:type="table" w:customStyle="1" w:styleId="ab">
    <w:basedOn w:val="TableNormalf2"/>
    <w:pPr>
      <w:spacing w:after="0" w:line="240" w:lineRule="auto"/>
    </w:pPr>
    <w:tblPr>
      <w:tblStyleRowBandSize w:val="1"/>
      <w:tblStyleColBandSize w:val="1"/>
      <w:tblCellMar>
        <w:left w:w="108" w:type="dxa"/>
        <w:right w:w="108" w:type="dxa"/>
      </w:tblCellMar>
    </w:tblPr>
  </w:style>
  <w:style w:type="table" w:customStyle="1" w:styleId="ac">
    <w:basedOn w:val="TableNormalf2"/>
    <w:pPr>
      <w:spacing w:after="0" w:line="240" w:lineRule="auto"/>
    </w:pPr>
    <w:tblPr>
      <w:tblStyleRowBandSize w:val="1"/>
      <w:tblStyleColBandSize w:val="1"/>
      <w:tblCellMar>
        <w:left w:w="108" w:type="dxa"/>
        <w:right w:w="108" w:type="dxa"/>
      </w:tblCellMar>
    </w:tblPr>
  </w:style>
  <w:style w:type="table" w:customStyle="1" w:styleId="ad">
    <w:basedOn w:val="TableNormalf2"/>
    <w:pPr>
      <w:spacing w:after="0" w:line="240" w:lineRule="auto"/>
    </w:pPr>
    <w:tblPr>
      <w:tblStyleRowBandSize w:val="1"/>
      <w:tblStyleColBandSize w:val="1"/>
      <w:tblCellMar>
        <w:left w:w="108" w:type="dxa"/>
        <w:right w:w="108" w:type="dxa"/>
      </w:tblCellMar>
    </w:tblPr>
  </w:style>
  <w:style w:type="table" w:customStyle="1" w:styleId="ae">
    <w:basedOn w:val="TableNormalf2"/>
    <w:pPr>
      <w:spacing w:after="0" w:line="240" w:lineRule="auto"/>
    </w:pPr>
    <w:tblPr>
      <w:tblStyleRowBandSize w:val="1"/>
      <w:tblStyleColBandSize w:val="1"/>
      <w:tblCellMar>
        <w:left w:w="108" w:type="dxa"/>
        <w:right w:w="108" w:type="dxa"/>
      </w:tblCellMar>
    </w:tblPr>
  </w:style>
  <w:style w:type="table" w:customStyle="1" w:styleId="af">
    <w:basedOn w:val="TableNormalf1"/>
    <w:pPr>
      <w:spacing w:after="0" w:line="240" w:lineRule="auto"/>
    </w:pPr>
    <w:tblPr>
      <w:tblStyleRowBandSize w:val="1"/>
      <w:tblStyleColBandSize w:val="1"/>
      <w:tblCellMar>
        <w:left w:w="108" w:type="dxa"/>
        <w:right w:w="108" w:type="dxa"/>
      </w:tblCellMar>
    </w:tblPr>
  </w:style>
  <w:style w:type="table" w:customStyle="1" w:styleId="af0">
    <w:basedOn w:val="TableNormalf1"/>
    <w:pPr>
      <w:spacing w:after="0" w:line="240" w:lineRule="auto"/>
    </w:pPr>
    <w:tblPr>
      <w:tblStyleRowBandSize w:val="1"/>
      <w:tblStyleColBandSize w:val="1"/>
      <w:tblCellMar>
        <w:left w:w="108" w:type="dxa"/>
        <w:right w:w="108" w:type="dxa"/>
      </w:tblCellMar>
    </w:tblPr>
  </w:style>
  <w:style w:type="table" w:customStyle="1" w:styleId="af1">
    <w:basedOn w:val="TableNormalf1"/>
    <w:pPr>
      <w:spacing w:after="0" w:line="240" w:lineRule="auto"/>
    </w:pPr>
    <w:tblPr>
      <w:tblStyleRowBandSize w:val="1"/>
      <w:tblStyleColBandSize w:val="1"/>
      <w:tblCellMar>
        <w:left w:w="108" w:type="dxa"/>
        <w:right w:w="108" w:type="dxa"/>
      </w:tblCellMar>
    </w:tblPr>
  </w:style>
  <w:style w:type="table" w:customStyle="1" w:styleId="af2">
    <w:basedOn w:val="TableNormalf1"/>
    <w:pPr>
      <w:spacing w:after="0" w:line="240" w:lineRule="auto"/>
    </w:pPr>
    <w:tblPr>
      <w:tblStyleRowBandSize w:val="1"/>
      <w:tblStyleColBandSize w:val="1"/>
      <w:tblCellMar>
        <w:left w:w="108" w:type="dxa"/>
        <w:right w:w="108" w:type="dxa"/>
      </w:tblCellMar>
    </w:tblPr>
  </w:style>
  <w:style w:type="table" w:customStyle="1" w:styleId="af3">
    <w:basedOn w:val="TableNormalf0"/>
    <w:pPr>
      <w:spacing w:after="0" w:line="240" w:lineRule="auto"/>
    </w:pPr>
    <w:tblPr>
      <w:tblStyleRowBandSize w:val="1"/>
      <w:tblStyleColBandSize w:val="1"/>
      <w:tblCellMar>
        <w:left w:w="108" w:type="dxa"/>
        <w:right w:w="108" w:type="dxa"/>
      </w:tblCellMar>
    </w:tblPr>
  </w:style>
  <w:style w:type="table" w:customStyle="1" w:styleId="af4">
    <w:basedOn w:val="TableNormalf0"/>
    <w:pPr>
      <w:spacing w:after="0" w:line="240" w:lineRule="auto"/>
    </w:pPr>
    <w:tblPr>
      <w:tblStyleRowBandSize w:val="1"/>
      <w:tblStyleColBandSize w:val="1"/>
      <w:tblCellMar>
        <w:left w:w="108" w:type="dxa"/>
        <w:right w:w="108" w:type="dxa"/>
      </w:tblCellMar>
    </w:tblPr>
  </w:style>
  <w:style w:type="table" w:customStyle="1" w:styleId="af5">
    <w:basedOn w:val="TableNormalf0"/>
    <w:pPr>
      <w:spacing w:after="0" w:line="240" w:lineRule="auto"/>
    </w:pPr>
    <w:tblPr>
      <w:tblStyleRowBandSize w:val="1"/>
      <w:tblStyleColBandSize w:val="1"/>
      <w:tblCellMar>
        <w:left w:w="108" w:type="dxa"/>
        <w:right w:w="108" w:type="dxa"/>
      </w:tblCellMar>
    </w:tblPr>
  </w:style>
  <w:style w:type="table" w:customStyle="1" w:styleId="af6">
    <w:basedOn w:val="TableNormalf0"/>
    <w:pPr>
      <w:spacing w:after="0" w:line="240" w:lineRule="auto"/>
    </w:pPr>
    <w:tblPr>
      <w:tblStyleRowBandSize w:val="1"/>
      <w:tblStyleColBandSize w:val="1"/>
      <w:tblCellMar>
        <w:left w:w="108" w:type="dxa"/>
        <w:right w:w="108" w:type="dxa"/>
      </w:tblCellMar>
    </w:tblPr>
  </w:style>
  <w:style w:type="table" w:customStyle="1" w:styleId="af7">
    <w:basedOn w:val="TableNormalf"/>
    <w:pPr>
      <w:spacing w:after="0" w:line="240" w:lineRule="auto"/>
    </w:pPr>
    <w:tblPr>
      <w:tblStyleRowBandSize w:val="1"/>
      <w:tblStyleColBandSize w:val="1"/>
      <w:tblCellMar>
        <w:left w:w="108" w:type="dxa"/>
        <w:right w:w="108" w:type="dxa"/>
      </w:tblCellMar>
    </w:tblPr>
  </w:style>
  <w:style w:type="table" w:customStyle="1" w:styleId="af8">
    <w:basedOn w:val="TableNormalf"/>
    <w:pPr>
      <w:spacing w:after="0" w:line="240" w:lineRule="auto"/>
    </w:pPr>
    <w:tblPr>
      <w:tblStyleRowBandSize w:val="1"/>
      <w:tblStyleColBandSize w:val="1"/>
      <w:tblCellMar>
        <w:left w:w="108" w:type="dxa"/>
        <w:right w:w="108" w:type="dxa"/>
      </w:tblCellMar>
    </w:tblPr>
  </w:style>
  <w:style w:type="table" w:customStyle="1" w:styleId="af9">
    <w:basedOn w:val="TableNormalf"/>
    <w:pPr>
      <w:spacing w:after="0" w:line="240" w:lineRule="auto"/>
    </w:pPr>
    <w:tblPr>
      <w:tblStyleRowBandSize w:val="1"/>
      <w:tblStyleColBandSize w:val="1"/>
      <w:tblCellMar>
        <w:left w:w="108" w:type="dxa"/>
        <w:right w:w="108" w:type="dxa"/>
      </w:tblCellMar>
    </w:tblPr>
  </w:style>
  <w:style w:type="table" w:customStyle="1" w:styleId="afa">
    <w:basedOn w:val="TableNormalf"/>
    <w:pPr>
      <w:spacing w:after="0" w:line="240" w:lineRule="auto"/>
    </w:pPr>
    <w:tblPr>
      <w:tblStyleRowBandSize w:val="1"/>
      <w:tblStyleColBandSize w:val="1"/>
      <w:tblCellMar>
        <w:left w:w="108" w:type="dxa"/>
        <w:right w:w="108" w:type="dxa"/>
      </w:tblCellMar>
    </w:tblPr>
  </w:style>
  <w:style w:type="table" w:customStyle="1" w:styleId="afb">
    <w:basedOn w:val="TableNormale"/>
    <w:pPr>
      <w:spacing w:after="0" w:line="240" w:lineRule="auto"/>
    </w:pPr>
    <w:tblPr>
      <w:tblStyleRowBandSize w:val="1"/>
      <w:tblStyleColBandSize w:val="1"/>
      <w:tblCellMar>
        <w:left w:w="108" w:type="dxa"/>
        <w:right w:w="108" w:type="dxa"/>
      </w:tblCellMar>
    </w:tblPr>
  </w:style>
  <w:style w:type="table" w:customStyle="1" w:styleId="afc">
    <w:basedOn w:val="TableNormale"/>
    <w:pPr>
      <w:spacing w:after="0" w:line="240" w:lineRule="auto"/>
    </w:pPr>
    <w:tblPr>
      <w:tblStyleRowBandSize w:val="1"/>
      <w:tblStyleColBandSize w:val="1"/>
      <w:tblCellMar>
        <w:left w:w="108" w:type="dxa"/>
        <w:right w:w="108" w:type="dxa"/>
      </w:tblCellMar>
    </w:tblPr>
  </w:style>
  <w:style w:type="table" w:customStyle="1" w:styleId="afd">
    <w:basedOn w:val="TableNormale"/>
    <w:pPr>
      <w:spacing w:after="0" w:line="240" w:lineRule="auto"/>
    </w:pPr>
    <w:tblPr>
      <w:tblStyleRowBandSize w:val="1"/>
      <w:tblStyleColBandSize w:val="1"/>
      <w:tblCellMar>
        <w:left w:w="108" w:type="dxa"/>
        <w:right w:w="108" w:type="dxa"/>
      </w:tblCellMar>
    </w:tblPr>
  </w:style>
  <w:style w:type="table" w:customStyle="1" w:styleId="afe">
    <w:basedOn w:val="TableNormale"/>
    <w:pPr>
      <w:spacing w:after="0" w:line="240" w:lineRule="auto"/>
    </w:pPr>
    <w:tblPr>
      <w:tblStyleRowBandSize w:val="1"/>
      <w:tblStyleColBandSize w:val="1"/>
      <w:tblCellMar>
        <w:left w:w="108" w:type="dxa"/>
        <w:right w:w="108" w:type="dxa"/>
      </w:tblCellMar>
    </w:tblPr>
  </w:style>
  <w:style w:type="table" w:customStyle="1" w:styleId="aff">
    <w:basedOn w:val="TableNormald"/>
    <w:pPr>
      <w:spacing w:after="0" w:line="240" w:lineRule="auto"/>
    </w:pPr>
    <w:tblPr>
      <w:tblStyleRowBandSize w:val="1"/>
      <w:tblStyleColBandSize w:val="1"/>
      <w:tblCellMar>
        <w:left w:w="108" w:type="dxa"/>
        <w:right w:w="108" w:type="dxa"/>
      </w:tblCellMar>
    </w:tblPr>
  </w:style>
  <w:style w:type="table" w:customStyle="1" w:styleId="aff0">
    <w:basedOn w:val="TableNormald"/>
    <w:pPr>
      <w:spacing w:after="0" w:line="240" w:lineRule="auto"/>
    </w:pPr>
    <w:tblPr>
      <w:tblStyleRowBandSize w:val="1"/>
      <w:tblStyleColBandSize w:val="1"/>
      <w:tblCellMar>
        <w:left w:w="108" w:type="dxa"/>
        <w:right w:w="108" w:type="dxa"/>
      </w:tblCellMar>
    </w:tblPr>
  </w:style>
  <w:style w:type="table" w:customStyle="1" w:styleId="aff1">
    <w:basedOn w:val="TableNormald"/>
    <w:pPr>
      <w:spacing w:after="0" w:line="240" w:lineRule="auto"/>
    </w:pPr>
    <w:tblPr>
      <w:tblStyleRowBandSize w:val="1"/>
      <w:tblStyleColBandSize w:val="1"/>
      <w:tblCellMar>
        <w:left w:w="108" w:type="dxa"/>
        <w:right w:w="108" w:type="dxa"/>
      </w:tblCellMar>
    </w:tblPr>
  </w:style>
  <w:style w:type="table" w:customStyle="1" w:styleId="aff2">
    <w:basedOn w:val="TableNormald"/>
    <w:pPr>
      <w:spacing w:after="0" w:line="240" w:lineRule="auto"/>
    </w:pPr>
    <w:tblPr>
      <w:tblStyleRowBandSize w:val="1"/>
      <w:tblStyleColBandSize w:val="1"/>
      <w:tblCellMar>
        <w:left w:w="108" w:type="dxa"/>
        <w:right w:w="108" w:type="dxa"/>
      </w:tblCellMar>
    </w:tblPr>
  </w:style>
  <w:style w:type="table" w:customStyle="1" w:styleId="aff3">
    <w:basedOn w:val="TableNormalc"/>
    <w:pPr>
      <w:spacing w:after="0" w:line="240" w:lineRule="auto"/>
    </w:pPr>
    <w:tblPr>
      <w:tblStyleRowBandSize w:val="1"/>
      <w:tblStyleColBandSize w:val="1"/>
      <w:tblCellMar>
        <w:left w:w="108" w:type="dxa"/>
        <w:right w:w="108" w:type="dxa"/>
      </w:tblCellMar>
    </w:tblPr>
  </w:style>
  <w:style w:type="table" w:customStyle="1" w:styleId="aff4">
    <w:basedOn w:val="TableNormalc"/>
    <w:pPr>
      <w:spacing w:after="0" w:line="240" w:lineRule="auto"/>
    </w:pPr>
    <w:tblPr>
      <w:tblStyleRowBandSize w:val="1"/>
      <w:tblStyleColBandSize w:val="1"/>
      <w:tblCellMar>
        <w:left w:w="108" w:type="dxa"/>
        <w:right w:w="108" w:type="dxa"/>
      </w:tblCellMar>
    </w:tblPr>
  </w:style>
  <w:style w:type="table" w:customStyle="1" w:styleId="aff5">
    <w:basedOn w:val="TableNormalc"/>
    <w:pPr>
      <w:spacing w:after="0" w:line="240" w:lineRule="auto"/>
    </w:pPr>
    <w:tblPr>
      <w:tblStyleRowBandSize w:val="1"/>
      <w:tblStyleColBandSize w:val="1"/>
      <w:tblCellMar>
        <w:left w:w="108" w:type="dxa"/>
        <w:right w:w="108" w:type="dxa"/>
      </w:tblCellMar>
    </w:tblPr>
  </w:style>
  <w:style w:type="table" w:customStyle="1" w:styleId="aff6">
    <w:basedOn w:val="TableNormalc"/>
    <w:pPr>
      <w:spacing w:after="0" w:line="240" w:lineRule="auto"/>
    </w:pPr>
    <w:tblPr>
      <w:tblStyleRowBandSize w:val="1"/>
      <w:tblStyleColBandSize w:val="1"/>
      <w:tblCellMar>
        <w:left w:w="108" w:type="dxa"/>
        <w:right w:w="108" w:type="dxa"/>
      </w:tblCellMar>
    </w:tblPr>
  </w:style>
  <w:style w:type="table" w:customStyle="1" w:styleId="aff7">
    <w:basedOn w:val="TableNormalb"/>
    <w:pPr>
      <w:spacing w:after="0" w:line="240" w:lineRule="auto"/>
    </w:pPr>
    <w:tblPr>
      <w:tblStyleRowBandSize w:val="1"/>
      <w:tblStyleColBandSize w:val="1"/>
      <w:tblCellMar>
        <w:left w:w="108" w:type="dxa"/>
        <w:right w:w="108" w:type="dxa"/>
      </w:tblCellMar>
    </w:tblPr>
  </w:style>
  <w:style w:type="table" w:customStyle="1" w:styleId="aff8">
    <w:basedOn w:val="TableNormalb"/>
    <w:pPr>
      <w:spacing w:after="0" w:line="240" w:lineRule="auto"/>
    </w:pPr>
    <w:tblPr>
      <w:tblStyleRowBandSize w:val="1"/>
      <w:tblStyleColBandSize w:val="1"/>
      <w:tblCellMar>
        <w:left w:w="108" w:type="dxa"/>
        <w:right w:w="108" w:type="dxa"/>
      </w:tblCellMar>
    </w:tblPr>
  </w:style>
  <w:style w:type="table" w:customStyle="1" w:styleId="aff9">
    <w:basedOn w:val="TableNormalb"/>
    <w:pPr>
      <w:spacing w:after="0" w:line="240" w:lineRule="auto"/>
    </w:pPr>
    <w:tblPr>
      <w:tblStyleRowBandSize w:val="1"/>
      <w:tblStyleColBandSize w:val="1"/>
      <w:tblCellMar>
        <w:left w:w="108" w:type="dxa"/>
        <w:right w:w="108" w:type="dxa"/>
      </w:tblCellMar>
    </w:tblPr>
  </w:style>
  <w:style w:type="table" w:customStyle="1" w:styleId="affa">
    <w:basedOn w:val="TableNormalb"/>
    <w:pPr>
      <w:spacing w:after="0" w:line="240" w:lineRule="auto"/>
    </w:pPr>
    <w:tblPr>
      <w:tblStyleRowBandSize w:val="1"/>
      <w:tblStyleColBandSize w:val="1"/>
      <w:tblCellMar>
        <w:left w:w="108" w:type="dxa"/>
        <w:right w:w="108" w:type="dxa"/>
      </w:tblCellMar>
    </w:tblPr>
  </w:style>
  <w:style w:type="table" w:customStyle="1" w:styleId="affb">
    <w:basedOn w:val="TableNormalb"/>
    <w:pPr>
      <w:spacing w:after="0" w:line="240" w:lineRule="auto"/>
    </w:pPr>
    <w:tblPr>
      <w:tblStyleRowBandSize w:val="1"/>
      <w:tblStyleColBandSize w:val="1"/>
      <w:tblCellMar>
        <w:left w:w="108" w:type="dxa"/>
        <w:right w:w="108" w:type="dxa"/>
      </w:tblCellMar>
    </w:tblPr>
  </w:style>
  <w:style w:type="table" w:customStyle="1" w:styleId="affc">
    <w:basedOn w:val="TableNormalb"/>
    <w:pPr>
      <w:spacing w:after="0" w:line="240" w:lineRule="auto"/>
    </w:pPr>
    <w:tblPr>
      <w:tblStyleRowBandSize w:val="1"/>
      <w:tblStyleColBandSize w:val="1"/>
      <w:tblCellMar>
        <w:left w:w="108" w:type="dxa"/>
        <w:right w:w="108" w:type="dxa"/>
      </w:tblCellMar>
    </w:tblPr>
  </w:style>
  <w:style w:type="table" w:customStyle="1" w:styleId="affd">
    <w:basedOn w:val="TableNormalb"/>
    <w:pPr>
      <w:spacing w:after="0" w:line="240" w:lineRule="auto"/>
    </w:pPr>
    <w:tblPr>
      <w:tblStyleRowBandSize w:val="1"/>
      <w:tblStyleColBandSize w:val="1"/>
      <w:tblCellMar>
        <w:left w:w="108" w:type="dxa"/>
        <w:right w:w="108" w:type="dxa"/>
      </w:tblCellMar>
    </w:tblPr>
  </w:style>
  <w:style w:type="table" w:customStyle="1" w:styleId="affe">
    <w:basedOn w:val="TableNormalb"/>
    <w:pPr>
      <w:spacing w:after="0" w:line="240" w:lineRule="auto"/>
    </w:pPr>
    <w:tblPr>
      <w:tblStyleRowBandSize w:val="1"/>
      <w:tblStyleColBandSize w:val="1"/>
      <w:tblCellMar>
        <w:left w:w="108" w:type="dxa"/>
        <w:right w:w="108" w:type="dxa"/>
      </w:tblCellMar>
    </w:tblPr>
  </w:style>
  <w:style w:type="table" w:customStyle="1" w:styleId="afff">
    <w:basedOn w:val="TableNormalb"/>
    <w:pPr>
      <w:spacing w:after="0" w:line="240" w:lineRule="auto"/>
    </w:pPr>
    <w:tblPr>
      <w:tblStyleRowBandSize w:val="1"/>
      <w:tblStyleColBandSize w:val="1"/>
      <w:tblCellMar>
        <w:left w:w="108" w:type="dxa"/>
        <w:right w:w="108" w:type="dxa"/>
      </w:tblCellMar>
    </w:tblPr>
  </w:style>
  <w:style w:type="table" w:customStyle="1" w:styleId="afff0">
    <w:basedOn w:val="TableNormalb"/>
    <w:pPr>
      <w:spacing w:after="0" w:line="240" w:lineRule="auto"/>
    </w:pPr>
    <w:tblPr>
      <w:tblStyleRowBandSize w:val="1"/>
      <w:tblStyleColBandSize w:val="1"/>
      <w:tblCellMar>
        <w:left w:w="108" w:type="dxa"/>
        <w:right w:w="108" w:type="dxa"/>
      </w:tblCellMar>
    </w:tblPr>
  </w:style>
  <w:style w:type="table" w:customStyle="1" w:styleId="afff1">
    <w:basedOn w:val="TableNormalb"/>
    <w:pPr>
      <w:spacing w:after="0" w:line="240" w:lineRule="auto"/>
    </w:pPr>
    <w:tblPr>
      <w:tblStyleRowBandSize w:val="1"/>
      <w:tblStyleColBandSize w:val="1"/>
      <w:tblCellMar>
        <w:left w:w="108" w:type="dxa"/>
        <w:right w:w="108" w:type="dxa"/>
      </w:tblCellMar>
    </w:tblPr>
  </w:style>
  <w:style w:type="table" w:customStyle="1" w:styleId="afff2">
    <w:basedOn w:val="TableNormalb"/>
    <w:pPr>
      <w:spacing w:after="0" w:line="240" w:lineRule="auto"/>
    </w:pPr>
    <w:tblPr>
      <w:tblStyleRowBandSize w:val="1"/>
      <w:tblStyleColBandSize w:val="1"/>
      <w:tblCellMar>
        <w:left w:w="108" w:type="dxa"/>
        <w:right w:w="108" w:type="dxa"/>
      </w:tblCellMar>
    </w:tblPr>
  </w:style>
  <w:style w:type="table" w:customStyle="1" w:styleId="afff3">
    <w:basedOn w:val="TableNormalb"/>
    <w:pPr>
      <w:spacing w:after="0" w:line="240" w:lineRule="auto"/>
    </w:pPr>
    <w:tblPr>
      <w:tblStyleRowBandSize w:val="1"/>
      <w:tblStyleColBandSize w:val="1"/>
      <w:tblCellMar>
        <w:left w:w="108" w:type="dxa"/>
        <w:right w:w="108" w:type="dxa"/>
      </w:tblCellMar>
    </w:tblPr>
  </w:style>
  <w:style w:type="table" w:customStyle="1" w:styleId="afff4">
    <w:basedOn w:val="TableNormalb"/>
    <w:pPr>
      <w:spacing w:after="0" w:line="240" w:lineRule="auto"/>
    </w:pPr>
    <w:tblPr>
      <w:tblStyleRowBandSize w:val="1"/>
      <w:tblStyleColBandSize w:val="1"/>
      <w:tblCellMar>
        <w:left w:w="108" w:type="dxa"/>
        <w:right w:w="108" w:type="dxa"/>
      </w:tblCellMar>
    </w:tblPr>
  </w:style>
  <w:style w:type="table" w:customStyle="1" w:styleId="afff5">
    <w:basedOn w:val="TableNormalb"/>
    <w:pPr>
      <w:spacing w:after="0" w:line="240" w:lineRule="auto"/>
    </w:pPr>
    <w:tblPr>
      <w:tblStyleRowBandSize w:val="1"/>
      <w:tblStyleColBandSize w:val="1"/>
      <w:tblCellMar>
        <w:left w:w="108" w:type="dxa"/>
        <w:right w:w="108" w:type="dxa"/>
      </w:tblCellMar>
    </w:tblPr>
  </w:style>
  <w:style w:type="table" w:customStyle="1" w:styleId="afff6">
    <w:basedOn w:val="TableNormalb"/>
    <w:pPr>
      <w:spacing w:after="0" w:line="240" w:lineRule="auto"/>
    </w:pPr>
    <w:tblPr>
      <w:tblStyleRowBandSize w:val="1"/>
      <w:tblStyleColBandSize w:val="1"/>
      <w:tblCellMar>
        <w:left w:w="108" w:type="dxa"/>
        <w:right w:w="108" w:type="dxa"/>
      </w:tblCellMar>
    </w:tblPr>
  </w:style>
  <w:style w:type="table" w:customStyle="1" w:styleId="afff7">
    <w:basedOn w:val="TableNormalb"/>
    <w:pPr>
      <w:spacing w:after="0" w:line="240" w:lineRule="auto"/>
    </w:pPr>
    <w:tblPr>
      <w:tblStyleRowBandSize w:val="1"/>
      <w:tblStyleColBandSize w:val="1"/>
      <w:tblCellMar>
        <w:left w:w="108" w:type="dxa"/>
        <w:right w:w="108" w:type="dxa"/>
      </w:tblCellMar>
    </w:tblPr>
  </w:style>
  <w:style w:type="table" w:customStyle="1" w:styleId="afff8">
    <w:basedOn w:val="TableNormalb"/>
    <w:pPr>
      <w:spacing w:after="0" w:line="240" w:lineRule="auto"/>
    </w:pPr>
    <w:tblPr>
      <w:tblStyleRowBandSize w:val="1"/>
      <w:tblStyleColBandSize w:val="1"/>
      <w:tblCellMar>
        <w:left w:w="108" w:type="dxa"/>
        <w:right w:w="108" w:type="dxa"/>
      </w:tblCellMar>
    </w:tblPr>
  </w:style>
  <w:style w:type="table" w:customStyle="1" w:styleId="afff9">
    <w:basedOn w:val="TableNormalb"/>
    <w:pPr>
      <w:spacing w:after="0" w:line="240" w:lineRule="auto"/>
    </w:pPr>
    <w:tblPr>
      <w:tblStyleRowBandSize w:val="1"/>
      <w:tblStyleColBandSize w:val="1"/>
      <w:tblCellMar>
        <w:left w:w="108" w:type="dxa"/>
        <w:right w:w="108" w:type="dxa"/>
      </w:tblCellMar>
    </w:tblPr>
  </w:style>
  <w:style w:type="table" w:customStyle="1" w:styleId="afffa">
    <w:basedOn w:val="TableNormalb"/>
    <w:pPr>
      <w:spacing w:after="0" w:line="240" w:lineRule="auto"/>
    </w:pPr>
    <w:tblPr>
      <w:tblStyleRowBandSize w:val="1"/>
      <w:tblStyleColBandSize w:val="1"/>
      <w:tblCellMar>
        <w:left w:w="108" w:type="dxa"/>
        <w:right w:w="108" w:type="dxa"/>
      </w:tblCellMar>
    </w:tblPr>
  </w:style>
  <w:style w:type="table" w:customStyle="1" w:styleId="afffb">
    <w:basedOn w:val="TableNormalb"/>
    <w:pPr>
      <w:spacing w:after="0" w:line="240" w:lineRule="auto"/>
    </w:pPr>
    <w:tblPr>
      <w:tblStyleRowBandSize w:val="1"/>
      <w:tblStyleColBandSize w:val="1"/>
      <w:tblCellMar>
        <w:left w:w="108" w:type="dxa"/>
        <w:right w:w="108" w:type="dxa"/>
      </w:tblCellMar>
    </w:tblPr>
  </w:style>
  <w:style w:type="table" w:customStyle="1" w:styleId="afffc">
    <w:basedOn w:val="TableNormalb"/>
    <w:pPr>
      <w:spacing w:after="0" w:line="240" w:lineRule="auto"/>
    </w:pPr>
    <w:tblPr>
      <w:tblStyleRowBandSize w:val="1"/>
      <w:tblStyleColBandSize w:val="1"/>
      <w:tblCellMar>
        <w:left w:w="108" w:type="dxa"/>
        <w:right w:w="108" w:type="dxa"/>
      </w:tblCellMar>
    </w:tblPr>
  </w:style>
  <w:style w:type="table" w:customStyle="1" w:styleId="afffd">
    <w:basedOn w:val="TableNormala"/>
    <w:pPr>
      <w:spacing w:after="0" w:line="240" w:lineRule="auto"/>
    </w:pPr>
    <w:tblPr>
      <w:tblStyleRowBandSize w:val="1"/>
      <w:tblStyleColBandSize w:val="1"/>
      <w:tblCellMar>
        <w:left w:w="108" w:type="dxa"/>
        <w:right w:w="108" w:type="dxa"/>
      </w:tblCellMar>
    </w:tblPr>
  </w:style>
  <w:style w:type="table" w:customStyle="1" w:styleId="afffe">
    <w:basedOn w:val="TableNormala"/>
    <w:pPr>
      <w:spacing w:after="0" w:line="240" w:lineRule="auto"/>
    </w:pPr>
    <w:tblPr>
      <w:tblStyleRowBandSize w:val="1"/>
      <w:tblStyleColBandSize w:val="1"/>
      <w:tblCellMar>
        <w:left w:w="108" w:type="dxa"/>
        <w:right w:w="108" w:type="dxa"/>
      </w:tblCellMar>
    </w:tblPr>
  </w:style>
  <w:style w:type="table" w:customStyle="1" w:styleId="affff">
    <w:basedOn w:val="TableNormala"/>
    <w:pPr>
      <w:spacing w:after="0" w:line="240" w:lineRule="auto"/>
    </w:pPr>
    <w:tblPr>
      <w:tblStyleRowBandSize w:val="1"/>
      <w:tblStyleColBandSize w:val="1"/>
      <w:tblCellMar>
        <w:left w:w="108" w:type="dxa"/>
        <w:right w:w="108" w:type="dxa"/>
      </w:tblCellMar>
    </w:tblPr>
  </w:style>
  <w:style w:type="table" w:customStyle="1" w:styleId="affff0">
    <w:basedOn w:val="TableNormala"/>
    <w:pPr>
      <w:spacing w:after="0" w:line="240" w:lineRule="auto"/>
    </w:pPr>
    <w:tblPr>
      <w:tblStyleRowBandSize w:val="1"/>
      <w:tblStyleColBandSize w:val="1"/>
      <w:tblCellMar>
        <w:left w:w="108" w:type="dxa"/>
        <w:right w:w="108" w:type="dxa"/>
      </w:tblCellMar>
    </w:tblPr>
  </w:style>
  <w:style w:type="table" w:customStyle="1" w:styleId="affff1">
    <w:basedOn w:val="TableNormala"/>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9"/>
    <w:pPr>
      <w:spacing w:after="0" w:line="240" w:lineRule="auto"/>
    </w:pPr>
    <w:tblPr>
      <w:tblStyleRowBandSize w:val="1"/>
      <w:tblStyleColBandSize w:val="1"/>
      <w:tblCellMar>
        <w:left w:w="108" w:type="dxa"/>
        <w:right w:w="108" w:type="dxa"/>
      </w:tblCellMar>
    </w:tblPr>
  </w:style>
  <w:style w:type="table" w:customStyle="1" w:styleId="affff3">
    <w:basedOn w:val="TableNormal9"/>
    <w:pPr>
      <w:spacing w:after="0" w:line="240" w:lineRule="auto"/>
    </w:pPr>
    <w:tblPr>
      <w:tblStyleRowBandSize w:val="1"/>
      <w:tblStyleColBandSize w:val="1"/>
      <w:tblCellMar>
        <w:left w:w="108" w:type="dxa"/>
        <w:right w:w="108" w:type="dxa"/>
      </w:tblCellMar>
    </w:tblPr>
  </w:style>
  <w:style w:type="table" w:customStyle="1" w:styleId="affff4">
    <w:basedOn w:val="TableNormal9"/>
    <w:pPr>
      <w:spacing w:after="0" w:line="240" w:lineRule="auto"/>
    </w:pPr>
    <w:tblPr>
      <w:tblStyleRowBandSize w:val="1"/>
      <w:tblStyleColBandSize w:val="1"/>
      <w:tblCellMar>
        <w:left w:w="108" w:type="dxa"/>
        <w:right w:w="108" w:type="dxa"/>
      </w:tblCellMar>
    </w:tblPr>
  </w:style>
  <w:style w:type="table" w:customStyle="1" w:styleId="affff5">
    <w:basedOn w:val="TableNormal9"/>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8"/>
    <w:pPr>
      <w:spacing w:after="0" w:line="240" w:lineRule="auto"/>
    </w:pPr>
    <w:tblPr>
      <w:tblStyleRowBandSize w:val="1"/>
      <w:tblStyleColBandSize w:val="1"/>
      <w:tblCellMar>
        <w:left w:w="108" w:type="dxa"/>
        <w:right w:w="108" w:type="dxa"/>
      </w:tblCellMar>
    </w:tblPr>
  </w:style>
  <w:style w:type="table" w:customStyle="1" w:styleId="affff7">
    <w:basedOn w:val="TableNormal8"/>
    <w:pPr>
      <w:spacing w:after="0" w:line="240" w:lineRule="auto"/>
    </w:pPr>
    <w:tblPr>
      <w:tblStyleRowBandSize w:val="1"/>
      <w:tblStyleColBandSize w:val="1"/>
      <w:tblCellMar>
        <w:left w:w="108" w:type="dxa"/>
        <w:right w:w="108" w:type="dxa"/>
      </w:tblCellMar>
    </w:tblPr>
  </w:style>
  <w:style w:type="table" w:customStyle="1" w:styleId="affff8">
    <w:basedOn w:val="TableNormal8"/>
    <w:pPr>
      <w:spacing w:after="0" w:line="240" w:lineRule="auto"/>
    </w:pPr>
    <w:tblPr>
      <w:tblStyleRowBandSize w:val="1"/>
      <w:tblStyleColBandSize w:val="1"/>
      <w:tblCellMar>
        <w:left w:w="108" w:type="dxa"/>
        <w:right w:w="108" w:type="dxa"/>
      </w:tblCellMar>
    </w:tblPr>
  </w:style>
  <w:style w:type="table" w:customStyle="1" w:styleId="affff9">
    <w:basedOn w:val="TableNormal8"/>
    <w:pPr>
      <w:spacing w:after="0" w:line="240" w:lineRule="auto"/>
    </w:pPr>
    <w:tblPr>
      <w:tblStyleRowBandSize w:val="1"/>
      <w:tblStyleColBandSize w:val="1"/>
      <w:tblCellMar>
        <w:left w:w="108" w:type="dxa"/>
        <w:right w:w="108" w:type="dxa"/>
      </w:tblCellMar>
    </w:tblPr>
  </w:style>
  <w:style w:type="table" w:customStyle="1" w:styleId="affffa">
    <w:basedOn w:val="TableNormal8"/>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7"/>
    <w:pPr>
      <w:spacing w:after="0" w:line="240" w:lineRule="auto"/>
    </w:pPr>
    <w:tblPr>
      <w:tblStyleRowBandSize w:val="1"/>
      <w:tblStyleColBandSize w:val="1"/>
      <w:tblCellMar>
        <w:left w:w="108" w:type="dxa"/>
        <w:right w:w="108" w:type="dxa"/>
      </w:tblCellMar>
    </w:tblPr>
  </w:style>
  <w:style w:type="table" w:customStyle="1" w:styleId="affffc">
    <w:basedOn w:val="TableNormal7"/>
    <w:pPr>
      <w:spacing w:after="0" w:line="240" w:lineRule="auto"/>
    </w:pPr>
    <w:tblPr>
      <w:tblStyleRowBandSize w:val="1"/>
      <w:tblStyleColBandSize w:val="1"/>
      <w:tblCellMar>
        <w:left w:w="108" w:type="dxa"/>
        <w:right w:w="108" w:type="dxa"/>
      </w:tblCellMar>
    </w:tblPr>
  </w:style>
  <w:style w:type="table" w:customStyle="1" w:styleId="affffd">
    <w:basedOn w:val="TableNormal7"/>
    <w:pPr>
      <w:spacing w:after="0" w:line="240" w:lineRule="auto"/>
    </w:pPr>
    <w:tblPr>
      <w:tblStyleRowBandSize w:val="1"/>
      <w:tblStyleColBandSize w:val="1"/>
      <w:tblCellMar>
        <w:left w:w="108" w:type="dxa"/>
        <w:right w:w="108" w:type="dxa"/>
      </w:tblCellMar>
    </w:tblPr>
  </w:style>
  <w:style w:type="table" w:customStyle="1" w:styleId="affffe">
    <w:basedOn w:val="TableNormal7"/>
    <w:pPr>
      <w:spacing w:after="0" w:line="240" w:lineRule="auto"/>
    </w:pPr>
    <w:tblPr>
      <w:tblStyleRowBandSize w:val="1"/>
      <w:tblStyleColBandSize w:val="1"/>
      <w:tblCellMar>
        <w:left w:w="108" w:type="dxa"/>
        <w:right w:w="108" w:type="dxa"/>
      </w:tblCellMar>
    </w:tblPr>
  </w:style>
  <w:style w:type="table" w:customStyle="1" w:styleId="afffff">
    <w:basedOn w:val="TableNormal6"/>
    <w:pPr>
      <w:spacing w:after="0" w:line="240" w:lineRule="auto"/>
    </w:pPr>
    <w:tblPr>
      <w:tblStyleRowBandSize w:val="1"/>
      <w:tblStyleColBandSize w:val="1"/>
      <w:tblCellMar>
        <w:left w:w="108" w:type="dxa"/>
        <w:right w:w="108" w:type="dxa"/>
      </w:tblCellMar>
    </w:tblPr>
  </w:style>
  <w:style w:type="table" w:customStyle="1" w:styleId="afffff0">
    <w:basedOn w:val="TableNormal6"/>
    <w:pPr>
      <w:spacing w:after="0" w:line="240" w:lineRule="auto"/>
    </w:pPr>
    <w:tblPr>
      <w:tblStyleRowBandSize w:val="1"/>
      <w:tblStyleColBandSize w:val="1"/>
      <w:tblCellMar>
        <w:left w:w="108" w:type="dxa"/>
        <w:right w:w="108" w:type="dxa"/>
      </w:tblCellMar>
    </w:tblPr>
  </w:style>
  <w:style w:type="table" w:customStyle="1" w:styleId="afffff1">
    <w:basedOn w:val="TableNormal6"/>
    <w:pPr>
      <w:spacing w:after="0" w:line="240" w:lineRule="auto"/>
    </w:pPr>
    <w:tblPr>
      <w:tblStyleRowBandSize w:val="1"/>
      <w:tblStyleColBandSize w:val="1"/>
      <w:tblCellMar>
        <w:left w:w="108" w:type="dxa"/>
        <w:right w:w="108" w:type="dxa"/>
      </w:tblCellMar>
    </w:tblPr>
  </w:style>
  <w:style w:type="table" w:customStyle="1" w:styleId="afffff2">
    <w:basedOn w:val="TableNormal6"/>
    <w:pPr>
      <w:spacing w:after="0" w:line="240" w:lineRule="auto"/>
    </w:pPr>
    <w:tblPr>
      <w:tblStyleRowBandSize w:val="1"/>
      <w:tblStyleColBandSize w:val="1"/>
      <w:tblCellMar>
        <w:left w:w="108" w:type="dxa"/>
        <w:right w:w="108" w:type="dxa"/>
      </w:tblCellMar>
    </w:tblPr>
  </w:style>
  <w:style w:type="table" w:customStyle="1" w:styleId="afffff3">
    <w:basedOn w:val="TableNormal6"/>
    <w:pPr>
      <w:spacing w:after="0" w:line="240" w:lineRule="auto"/>
    </w:pPr>
    <w:tblPr>
      <w:tblStyleRowBandSize w:val="1"/>
      <w:tblStyleColBandSize w:val="1"/>
      <w:tblCellMar>
        <w:left w:w="108" w:type="dxa"/>
        <w:right w:w="108" w:type="dxa"/>
      </w:tblCellMar>
    </w:tblPr>
  </w:style>
  <w:style w:type="table" w:customStyle="1" w:styleId="afffff4">
    <w:basedOn w:val="TableNormal5"/>
    <w:pPr>
      <w:spacing w:after="0" w:line="240" w:lineRule="auto"/>
    </w:pPr>
    <w:tblPr>
      <w:tblStyleRowBandSize w:val="1"/>
      <w:tblStyleColBandSize w:val="1"/>
      <w:tblCellMar>
        <w:left w:w="108" w:type="dxa"/>
        <w:right w:w="108" w:type="dxa"/>
      </w:tblCellMar>
    </w:tblPr>
  </w:style>
  <w:style w:type="table" w:customStyle="1" w:styleId="afffff5">
    <w:basedOn w:val="TableNormal5"/>
    <w:pPr>
      <w:spacing w:after="0" w:line="240" w:lineRule="auto"/>
    </w:pPr>
    <w:tblPr>
      <w:tblStyleRowBandSize w:val="1"/>
      <w:tblStyleColBandSize w:val="1"/>
      <w:tblCellMar>
        <w:left w:w="108" w:type="dxa"/>
        <w:right w:w="108" w:type="dxa"/>
      </w:tblCellMar>
    </w:tblPr>
  </w:style>
  <w:style w:type="table" w:customStyle="1" w:styleId="afffff6">
    <w:basedOn w:val="TableNormal5"/>
    <w:pPr>
      <w:spacing w:after="0" w:line="240" w:lineRule="auto"/>
    </w:pPr>
    <w:tblPr>
      <w:tblStyleRowBandSize w:val="1"/>
      <w:tblStyleColBandSize w:val="1"/>
      <w:tblCellMar>
        <w:left w:w="108" w:type="dxa"/>
        <w:right w:w="108" w:type="dxa"/>
      </w:tblCellMar>
    </w:tblPr>
  </w:style>
  <w:style w:type="table" w:customStyle="1" w:styleId="afffff7">
    <w:basedOn w:val="TableNormal5"/>
    <w:pPr>
      <w:spacing w:after="0" w:line="240" w:lineRule="auto"/>
    </w:pPr>
    <w:tblPr>
      <w:tblStyleRowBandSize w:val="1"/>
      <w:tblStyleColBandSize w:val="1"/>
      <w:tblCellMar>
        <w:left w:w="108" w:type="dxa"/>
        <w:right w:w="108" w:type="dxa"/>
      </w:tblCellMar>
    </w:tblPr>
  </w:style>
  <w:style w:type="table" w:customStyle="1" w:styleId="afffff8">
    <w:basedOn w:val="TableNormal4"/>
    <w:pPr>
      <w:spacing w:after="0" w:line="240" w:lineRule="auto"/>
    </w:pPr>
    <w:tblPr>
      <w:tblStyleRowBandSize w:val="1"/>
      <w:tblStyleColBandSize w:val="1"/>
      <w:tblCellMar>
        <w:left w:w="108" w:type="dxa"/>
        <w:right w:w="108" w:type="dxa"/>
      </w:tblCellMar>
    </w:tblPr>
  </w:style>
  <w:style w:type="table" w:customStyle="1" w:styleId="afffff9">
    <w:basedOn w:val="TableNormal4"/>
    <w:pPr>
      <w:spacing w:after="0" w:line="240" w:lineRule="auto"/>
    </w:pPr>
    <w:tblPr>
      <w:tblStyleRowBandSize w:val="1"/>
      <w:tblStyleColBandSize w:val="1"/>
      <w:tblCellMar>
        <w:left w:w="108" w:type="dxa"/>
        <w:right w:w="108" w:type="dxa"/>
      </w:tblCellMar>
    </w:tblPr>
  </w:style>
  <w:style w:type="table" w:customStyle="1" w:styleId="afffffa">
    <w:basedOn w:val="TableNormal4"/>
    <w:pPr>
      <w:spacing w:after="0" w:line="240" w:lineRule="auto"/>
    </w:pPr>
    <w:tblPr>
      <w:tblStyleRowBandSize w:val="1"/>
      <w:tblStyleColBandSize w:val="1"/>
      <w:tblCellMar>
        <w:left w:w="108" w:type="dxa"/>
        <w:right w:w="108" w:type="dxa"/>
      </w:tblCellMar>
    </w:tblPr>
  </w:style>
  <w:style w:type="table" w:customStyle="1" w:styleId="afffffb">
    <w:basedOn w:val="TableNormal4"/>
    <w:pPr>
      <w:spacing w:after="0" w:line="240" w:lineRule="auto"/>
    </w:pPr>
    <w:tblPr>
      <w:tblStyleRowBandSize w:val="1"/>
      <w:tblStyleColBandSize w:val="1"/>
      <w:tblCellMar>
        <w:left w:w="108" w:type="dxa"/>
        <w:right w:w="108" w:type="dxa"/>
      </w:tblCellMar>
    </w:tblPr>
  </w:style>
  <w:style w:type="table" w:customStyle="1" w:styleId="afffffc">
    <w:basedOn w:val="TableNormal4"/>
    <w:pPr>
      <w:spacing w:after="0" w:line="240" w:lineRule="auto"/>
    </w:pPr>
    <w:tblPr>
      <w:tblStyleRowBandSize w:val="1"/>
      <w:tblStyleColBandSize w:val="1"/>
      <w:tblCellMar>
        <w:left w:w="108" w:type="dxa"/>
        <w:right w:w="108" w:type="dxa"/>
      </w:tblCellMar>
    </w:tblPr>
  </w:style>
  <w:style w:type="table" w:customStyle="1" w:styleId="afffffd">
    <w:basedOn w:val="TableNormal4"/>
    <w:pPr>
      <w:spacing w:after="0" w:line="240" w:lineRule="auto"/>
    </w:pPr>
    <w:tblPr>
      <w:tblStyleRowBandSize w:val="1"/>
      <w:tblStyleColBandSize w:val="1"/>
      <w:tblCellMar>
        <w:left w:w="108" w:type="dxa"/>
        <w:right w:w="108" w:type="dxa"/>
      </w:tblCellMar>
    </w:tblPr>
  </w:style>
  <w:style w:type="table" w:customStyle="1" w:styleId="afffffe">
    <w:basedOn w:val="TableNormal3"/>
    <w:pPr>
      <w:spacing w:after="0" w:line="240" w:lineRule="auto"/>
    </w:pPr>
    <w:tblPr>
      <w:tblStyleRowBandSize w:val="1"/>
      <w:tblStyleColBandSize w:val="1"/>
      <w:tblCellMar>
        <w:left w:w="108" w:type="dxa"/>
        <w:right w:w="108" w:type="dxa"/>
      </w:tblCellMar>
    </w:tblPr>
  </w:style>
  <w:style w:type="table" w:customStyle="1" w:styleId="affffff">
    <w:basedOn w:val="TableNormal3"/>
    <w:pPr>
      <w:spacing w:after="0" w:line="240" w:lineRule="auto"/>
    </w:pPr>
    <w:tblPr>
      <w:tblStyleRowBandSize w:val="1"/>
      <w:tblStyleColBandSize w:val="1"/>
      <w:tblCellMar>
        <w:left w:w="108" w:type="dxa"/>
        <w:right w:w="108" w:type="dxa"/>
      </w:tblCellMar>
    </w:tblPr>
  </w:style>
  <w:style w:type="table" w:customStyle="1" w:styleId="affffff0">
    <w:basedOn w:val="TableNormal3"/>
    <w:pPr>
      <w:spacing w:after="0" w:line="240" w:lineRule="auto"/>
    </w:pPr>
    <w:tblPr>
      <w:tblStyleRowBandSize w:val="1"/>
      <w:tblStyleColBandSize w:val="1"/>
      <w:tblCellMar>
        <w:left w:w="108" w:type="dxa"/>
        <w:right w:w="108" w:type="dxa"/>
      </w:tblCellMar>
    </w:tblPr>
  </w:style>
  <w:style w:type="table" w:customStyle="1" w:styleId="affffff1">
    <w:basedOn w:val="TableNormal3"/>
    <w:pPr>
      <w:spacing w:after="0" w:line="240" w:lineRule="auto"/>
    </w:pPr>
    <w:tblPr>
      <w:tblStyleRowBandSize w:val="1"/>
      <w:tblStyleColBandSize w:val="1"/>
      <w:tblCellMar>
        <w:left w:w="108" w:type="dxa"/>
        <w:right w:w="108" w:type="dxa"/>
      </w:tblCellMar>
    </w:tblPr>
  </w:style>
  <w:style w:type="table" w:customStyle="1" w:styleId="affffff2">
    <w:basedOn w:val="TableNormal3"/>
    <w:pPr>
      <w:spacing w:after="0" w:line="240" w:lineRule="auto"/>
    </w:pPr>
    <w:tblPr>
      <w:tblStyleRowBandSize w:val="1"/>
      <w:tblStyleColBandSize w:val="1"/>
      <w:tblCellMar>
        <w:left w:w="108" w:type="dxa"/>
        <w:right w:w="108" w:type="dxa"/>
      </w:tblCellMar>
    </w:tblPr>
  </w:style>
  <w:style w:type="table" w:customStyle="1" w:styleId="affffff3">
    <w:basedOn w:val="TableNormal3"/>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00432B"/>
    <w:rPr>
      <w:color w:val="605E5C"/>
      <w:shd w:val="clear" w:color="auto" w:fill="E1DFDD"/>
    </w:rPr>
  </w:style>
  <w:style w:type="table" w:customStyle="1" w:styleId="affffff4">
    <w:basedOn w:val="TableNormal2"/>
    <w:pPr>
      <w:spacing w:after="0" w:line="240" w:lineRule="auto"/>
    </w:pPr>
    <w:tblPr>
      <w:tblStyleRowBandSize w:val="1"/>
      <w:tblStyleColBandSize w:val="1"/>
      <w:tblCellMar>
        <w:left w:w="108" w:type="dxa"/>
        <w:right w:w="108" w:type="dxa"/>
      </w:tblCellMar>
    </w:tblPr>
  </w:style>
  <w:style w:type="table" w:customStyle="1" w:styleId="affffff5">
    <w:basedOn w:val="TableNormal2"/>
    <w:pPr>
      <w:spacing w:after="0" w:line="240" w:lineRule="auto"/>
    </w:pPr>
    <w:tblPr>
      <w:tblStyleRowBandSize w:val="1"/>
      <w:tblStyleColBandSize w:val="1"/>
      <w:tblCellMar>
        <w:left w:w="108" w:type="dxa"/>
        <w:right w:w="108" w:type="dxa"/>
      </w:tblCellMar>
    </w:tblPr>
  </w:style>
  <w:style w:type="table" w:customStyle="1" w:styleId="affffff6">
    <w:basedOn w:val="TableNormal2"/>
    <w:pPr>
      <w:spacing w:after="0" w:line="240" w:lineRule="auto"/>
    </w:pPr>
    <w:tblPr>
      <w:tblStyleRowBandSize w:val="1"/>
      <w:tblStyleColBandSize w:val="1"/>
      <w:tblCellMar>
        <w:left w:w="108" w:type="dxa"/>
        <w:right w:w="108" w:type="dxa"/>
      </w:tblCellMar>
    </w:tblPr>
  </w:style>
  <w:style w:type="table" w:customStyle="1" w:styleId="affffff7">
    <w:basedOn w:val="TableNormal2"/>
    <w:pPr>
      <w:spacing w:after="0" w:line="240" w:lineRule="auto"/>
    </w:pPr>
    <w:tblPr>
      <w:tblStyleRowBandSize w:val="1"/>
      <w:tblStyleColBandSize w:val="1"/>
      <w:tblCellMar>
        <w:left w:w="108" w:type="dxa"/>
        <w:right w:w="108" w:type="dxa"/>
      </w:tblCellMar>
    </w:tblPr>
  </w:style>
  <w:style w:type="table" w:customStyle="1" w:styleId="affffff8">
    <w:basedOn w:val="TableNormal1"/>
    <w:pPr>
      <w:spacing w:after="0" w:line="240" w:lineRule="auto"/>
    </w:pPr>
    <w:tblPr>
      <w:tblStyleRowBandSize w:val="1"/>
      <w:tblStyleColBandSize w:val="1"/>
      <w:tblCellMar>
        <w:left w:w="108" w:type="dxa"/>
        <w:right w:w="108" w:type="dxa"/>
      </w:tblCellMar>
    </w:tblPr>
  </w:style>
  <w:style w:type="table" w:customStyle="1" w:styleId="affffff9">
    <w:basedOn w:val="TableNormal1"/>
    <w:pPr>
      <w:spacing w:after="0" w:line="240" w:lineRule="auto"/>
    </w:pPr>
    <w:tblPr>
      <w:tblStyleRowBandSize w:val="1"/>
      <w:tblStyleColBandSize w:val="1"/>
      <w:tblCellMar>
        <w:left w:w="108" w:type="dxa"/>
        <w:right w:w="108" w:type="dxa"/>
      </w:tblCellMar>
    </w:tblPr>
  </w:style>
  <w:style w:type="table" w:customStyle="1" w:styleId="affffffa">
    <w:basedOn w:val="TableNormal1"/>
    <w:pPr>
      <w:spacing w:after="0" w:line="240" w:lineRule="auto"/>
    </w:pPr>
    <w:tblPr>
      <w:tblStyleRowBandSize w:val="1"/>
      <w:tblStyleColBandSize w:val="1"/>
      <w:tblCellMar>
        <w:left w:w="108" w:type="dxa"/>
        <w:right w:w="108" w:type="dxa"/>
      </w:tblCellMar>
    </w:tblPr>
  </w:style>
  <w:style w:type="table" w:customStyle="1" w:styleId="affffffb">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c">
    <w:basedOn w:val="TableNormal0"/>
    <w:pPr>
      <w:spacing w:after="0" w:line="240" w:lineRule="auto"/>
    </w:pPr>
    <w:tblPr>
      <w:tblStyleRowBandSize w:val="1"/>
      <w:tblStyleColBandSize w:val="1"/>
      <w:tblCellMar>
        <w:left w:w="108" w:type="dxa"/>
        <w:right w:w="108" w:type="dxa"/>
      </w:tblCellMar>
    </w:tblPr>
  </w:style>
  <w:style w:type="table" w:customStyle="1" w:styleId="affffffd">
    <w:basedOn w:val="TableNormal0"/>
    <w:pPr>
      <w:spacing w:after="0" w:line="240" w:lineRule="auto"/>
    </w:pPr>
    <w:tblPr>
      <w:tblStyleRowBandSize w:val="1"/>
      <w:tblStyleColBandSize w:val="1"/>
      <w:tblCellMar>
        <w:left w:w="108" w:type="dxa"/>
        <w:right w:w="108" w:type="dxa"/>
      </w:tblCellMar>
    </w:tblPr>
  </w:style>
  <w:style w:type="table" w:customStyle="1" w:styleId="affffffe">
    <w:basedOn w:val="TableNormal0"/>
    <w:pPr>
      <w:spacing w:after="0" w:line="240" w:lineRule="auto"/>
    </w:pPr>
    <w:tblPr>
      <w:tblStyleRowBandSize w:val="1"/>
      <w:tblStyleColBandSize w:val="1"/>
      <w:tblCellMar>
        <w:left w:w="108" w:type="dxa"/>
        <w:right w:w="108" w:type="dxa"/>
      </w:tblCellMar>
    </w:tblPr>
  </w:style>
  <w:style w:type="table" w:customStyle="1" w:styleId="afffffff">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yrXcS5FbGLvkS8g9K6auNfspQ==">CgMxLjAyDmguZW85aHhmbXJlaTVxMghoLmdqZGd4czIOaC42aGJqZmh4OWF6ZXAyDmgud2Y4ajcxMmRlYXg1Mg1oLjFheTh1b243ZzRjMgloLjJldDkycDAyDmguOW56cDY2cHU4bzk3Mg5oLnJtbW9rajFjcWFzZjIOaC55b2M3MDB1bXlmajUyDmguc3I0MXZwYm1qdDEyMg5oLjJ1ajVmNHZlNmFjNzINaC40MWFndnJrdmpkazIOaC5qcjFsYm5scDd1YzIyDWgubmFkNDRoZDZrd24yDmgubDFqbmZjYXdzOGZkMg5oLmFyZ3kyMXFua21ocjgAciExWXZqdW1TWnNqbVNDWmo5QXlEQ3U3blU2Wi00VmwyQ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4647</Words>
  <Characters>25560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Infoem-401</cp:lastModifiedBy>
  <cp:revision>4</cp:revision>
  <cp:lastPrinted>2025-08-22T16:13:00Z</cp:lastPrinted>
  <dcterms:created xsi:type="dcterms:W3CDTF">2025-08-22T16:13:00Z</dcterms:created>
  <dcterms:modified xsi:type="dcterms:W3CDTF">2025-09-25T21:23:00Z</dcterms:modified>
</cp:coreProperties>
</file>