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F2C0C" w14:textId="5AA39F66"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bookmarkStart w:id="0" w:name="_Hlk207873578"/>
      <w:bookmarkEnd w:id="0"/>
      <w:r w:rsidRPr="00844A38">
        <w:rPr>
          <w:rFonts w:eastAsia="Palatino Linotype" w:cs="Palatino Linotype"/>
          <w:color w:val="000000"/>
          <w:szCs w:val="24"/>
        </w:rPr>
        <w:t>Resolución del Pleno del Instituto de Transparencia, Acceso a la Informaci</w:t>
      </w:r>
      <w:bookmarkStart w:id="1" w:name="_GoBack"/>
      <w:bookmarkEnd w:id="1"/>
      <w:r w:rsidRPr="00844A38">
        <w:rPr>
          <w:rFonts w:eastAsia="Palatino Linotype" w:cs="Palatino Linotype"/>
          <w:color w:val="000000"/>
          <w:szCs w:val="24"/>
        </w:rPr>
        <w:t xml:space="preserve">ón Pública y Protección de Datos Personales del Estado de México y Municipios, con domicilio en Metepec, Estado de </w:t>
      </w:r>
      <w:r w:rsidR="008B2951" w:rsidRPr="00844A38">
        <w:rPr>
          <w:rFonts w:eastAsia="Palatino Linotype" w:cs="Palatino Linotype"/>
          <w:color w:val="000000"/>
          <w:szCs w:val="24"/>
        </w:rPr>
        <w:t xml:space="preserve">México, </w:t>
      </w:r>
      <w:r w:rsidR="00A71D3C" w:rsidRPr="00844A38">
        <w:rPr>
          <w:rFonts w:eastAsia="Palatino Linotype" w:cs="Palatino Linotype"/>
          <w:color w:val="000000"/>
          <w:szCs w:val="24"/>
        </w:rPr>
        <w:t>a</w:t>
      </w:r>
      <w:r w:rsidR="00BF5EB0" w:rsidRPr="00844A38">
        <w:rPr>
          <w:rFonts w:eastAsia="Palatino Linotype" w:cs="Palatino Linotype"/>
          <w:color w:val="000000"/>
          <w:szCs w:val="24"/>
        </w:rPr>
        <w:t xml:space="preserve"> </w:t>
      </w:r>
      <w:r w:rsidR="00446B1D">
        <w:rPr>
          <w:rFonts w:eastAsia="Palatino Linotype" w:cs="Palatino Linotype"/>
          <w:color w:val="000000"/>
          <w:szCs w:val="24"/>
        </w:rPr>
        <w:t>dieciocho</w:t>
      </w:r>
      <w:r w:rsidR="005532D3" w:rsidRPr="00844A38">
        <w:rPr>
          <w:rFonts w:eastAsia="Palatino Linotype" w:cs="Palatino Linotype"/>
          <w:color w:val="000000"/>
          <w:szCs w:val="24"/>
        </w:rPr>
        <w:t xml:space="preserve"> </w:t>
      </w:r>
      <w:r w:rsidR="00446B1D">
        <w:rPr>
          <w:rFonts w:eastAsia="Palatino Linotype" w:cs="Palatino Linotype"/>
          <w:color w:val="000000"/>
          <w:szCs w:val="24"/>
        </w:rPr>
        <w:t xml:space="preserve">de septiembre </w:t>
      </w:r>
      <w:r w:rsidR="005532D3" w:rsidRPr="00844A38">
        <w:rPr>
          <w:rFonts w:eastAsia="Palatino Linotype" w:cs="Palatino Linotype"/>
          <w:color w:val="000000"/>
          <w:szCs w:val="24"/>
        </w:rPr>
        <w:t>de dos mil veinticinco</w:t>
      </w:r>
      <w:r w:rsidRPr="00844A38">
        <w:rPr>
          <w:rFonts w:eastAsia="Palatino Linotype" w:cs="Palatino Linotype"/>
          <w:color w:val="000000"/>
          <w:szCs w:val="24"/>
        </w:rPr>
        <w:t>.</w:t>
      </w:r>
    </w:p>
    <w:p w14:paraId="60399B74"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5D0023E"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b/>
          <w:color w:val="000000"/>
          <w:szCs w:val="24"/>
        </w:rPr>
        <w:t>VISTO</w:t>
      </w:r>
      <w:r w:rsidRPr="00844A38">
        <w:rPr>
          <w:rFonts w:eastAsia="Palatino Linotype" w:cs="Palatino Linotype"/>
          <w:color w:val="000000"/>
          <w:szCs w:val="24"/>
        </w:rPr>
        <w:t xml:space="preserve"> el expediente electrónico formado con motivo del recurso de revisión número </w:t>
      </w:r>
      <w:r w:rsidR="00F63A31" w:rsidRPr="00F63A31">
        <w:rPr>
          <w:rFonts w:eastAsia="Palatino Linotype" w:cs="Palatino Linotype"/>
          <w:b/>
          <w:color w:val="000000"/>
          <w:szCs w:val="24"/>
        </w:rPr>
        <w:t>0</w:t>
      </w:r>
      <w:r w:rsidR="00D11C2C">
        <w:rPr>
          <w:rFonts w:eastAsia="Palatino Linotype" w:cs="Palatino Linotype"/>
          <w:b/>
          <w:color w:val="000000"/>
          <w:szCs w:val="24"/>
        </w:rPr>
        <w:t>6310</w:t>
      </w:r>
      <w:r w:rsidR="00F63A31" w:rsidRPr="00F63A31">
        <w:rPr>
          <w:rFonts w:eastAsia="Palatino Linotype" w:cs="Palatino Linotype"/>
          <w:b/>
          <w:color w:val="000000"/>
          <w:szCs w:val="24"/>
        </w:rPr>
        <w:t>/INFOEM/IP/RR/2025</w:t>
      </w:r>
      <w:r w:rsidR="00B54BC7" w:rsidRPr="00844A38">
        <w:rPr>
          <w:rFonts w:eastAsia="Palatino Linotype" w:cs="Palatino Linotype"/>
          <w:color w:val="000000"/>
          <w:szCs w:val="24"/>
        </w:rPr>
        <w:t xml:space="preserve">, </w:t>
      </w:r>
      <w:r w:rsidR="009F1B49" w:rsidRPr="00844A38">
        <w:rPr>
          <w:rFonts w:cs="Arial"/>
          <w:szCs w:val="24"/>
        </w:rPr>
        <w:t>interpuesto por un particular que al momento de ingresar la solicitud de información e interponer el recurso de revisión, no señaló nombre o seudónimo con el cual desee ser identificado,</w:t>
      </w:r>
      <w:r w:rsidR="009F1B49" w:rsidRPr="00844A38">
        <w:rPr>
          <w:rFonts w:cs="Arial"/>
          <w:b/>
          <w:szCs w:val="24"/>
        </w:rPr>
        <w:t xml:space="preserve"> </w:t>
      </w:r>
      <w:r w:rsidR="009F1B49" w:rsidRPr="00844A38">
        <w:rPr>
          <w:rFonts w:cs="Arial"/>
          <w:szCs w:val="24"/>
        </w:rPr>
        <w:t xml:space="preserve">en lo sucesivo </w:t>
      </w:r>
      <w:r w:rsidR="009F1B49" w:rsidRPr="00844A38">
        <w:rPr>
          <w:rFonts w:cs="Arial"/>
          <w:b/>
          <w:szCs w:val="24"/>
        </w:rPr>
        <w:t>El Recurrente</w:t>
      </w:r>
      <w:r w:rsidRPr="00844A38">
        <w:rPr>
          <w:rFonts w:eastAsia="Palatino Linotype" w:cs="Palatino Linotype"/>
          <w:color w:val="000000"/>
          <w:szCs w:val="24"/>
        </w:rPr>
        <w:t>, en contra de la respuesta de</w:t>
      </w:r>
      <w:r w:rsidR="00B54BC7" w:rsidRPr="00844A38">
        <w:rPr>
          <w:rFonts w:eastAsia="Palatino Linotype" w:cs="Palatino Linotype"/>
          <w:color w:val="000000"/>
          <w:szCs w:val="24"/>
        </w:rPr>
        <w:t>l</w:t>
      </w:r>
      <w:r w:rsidRPr="00844A38">
        <w:rPr>
          <w:rFonts w:eastAsia="Palatino Linotype" w:cs="Palatino Linotype"/>
          <w:color w:val="000000"/>
          <w:szCs w:val="24"/>
        </w:rPr>
        <w:t xml:space="preserve"> </w:t>
      </w:r>
      <w:r w:rsidR="00D11C2C" w:rsidRPr="00D11C2C">
        <w:rPr>
          <w:rFonts w:eastAsia="Palatino Linotype" w:cs="Palatino Linotype"/>
          <w:b/>
          <w:color w:val="000000"/>
          <w:szCs w:val="24"/>
        </w:rPr>
        <w:t>Instituto Electoral del Estado de México</w:t>
      </w:r>
      <w:r w:rsidR="0051074E" w:rsidRPr="00844A38">
        <w:rPr>
          <w:rFonts w:eastAsia="Palatino Linotype" w:cs="Palatino Linotype"/>
          <w:color w:val="000000"/>
          <w:szCs w:val="24"/>
        </w:rPr>
        <w:t xml:space="preserve">, </w:t>
      </w:r>
      <w:r w:rsidRPr="00844A38">
        <w:rPr>
          <w:rFonts w:eastAsia="Palatino Linotype" w:cs="Palatino Linotype"/>
          <w:color w:val="000000"/>
          <w:szCs w:val="24"/>
        </w:rPr>
        <w:t>en lo subsecuente</w:t>
      </w:r>
      <w:r w:rsidRPr="00844A38">
        <w:rPr>
          <w:rFonts w:eastAsia="Palatino Linotype" w:cs="Palatino Linotype"/>
          <w:b/>
          <w:color w:val="000000"/>
          <w:szCs w:val="24"/>
        </w:rPr>
        <w:t xml:space="preserve"> </w:t>
      </w:r>
      <w:r w:rsidRPr="00844A38">
        <w:rPr>
          <w:rFonts w:eastAsia="Palatino Linotype" w:cs="Palatino Linotype"/>
          <w:color w:val="000000"/>
          <w:szCs w:val="24"/>
        </w:rPr>
        <w:t>el</w:t>
      </w:r>
      <w:r w:rsidRPr="00844A38">
        <w:rPr>
          <w:rFonts w:eastAsia="Palatino Linotype" w:cs="Palatino Linotype"/>
          <w:b/>
          <w:color w:val="000000"/>
          <w:szCs w:val="24"/>
        </w:rPr>
        <w:t xml:space="preserve"> Sujeto Obligado, </w:t>
      </w:r>
      <w:r w:rsidRPr="00844A38">
        <w:rPr>
          <w:rFonts w:eastAsia="Palatino Linotype" w:cs="Palatino Linotype"/>
          <w:color w:val="000000"/>
          <w:szCs w:val="24"/>
        </w:rPr>
        <w:t>se procede a dictar la presente resolución.</w:t>
      </w:r>
    </w:p>
    <w:p w14:paraId="2E2053C2"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844A38" w:rsidRDefault="00A970D5" w:rsidP="006922F5">
      <w:pPr>
        <w:pStyle w:val="Ttulo1"/>
        <w:rPr>
          <w:rFonts w:eastAsia="Palatino Linotype"/>
          <w:lang w:val="es-ES_tradnl"/>
        </w:rPr>
      </w:pPr>
      <w:r w:rsidRPr="00844A38">
        <w:rPr>
          <w:rFonts w:eastAsia="Palatino Linotype"/>
          <w:lang w:val="es-ES_tradnl"/>
        </w:rPr>
        <w:t>A N T E C E D E N T E S</w:t>
      </w:r>
    </w:p>
    <w:p w14:paraId="32F88820"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844A38" w:rsidRDefault="00A970D5" w:rsidP="006922F5">
      <w:pPr>
        <w:pStyle w:val="Ttulo2"/>
        <w:rPr>
          <w:rFonts w:eastAsia="Palatino Linotype"/>
        </w:rPr>
      </w:pPr>
      <w:r w:rsidRPr="00844A38">
        <w:rPr>
          <w:rFonts w:eastAsia="Palatino Linotype"/>
        </w:rPr>
        <w:t>PRIMERO. De la Solicitud de Información.</w:t>
      </w:r>
    </w:p>
    <w:p w14:paraId="0870C154" w14:textId="09778337" w:rsidR="00A970D5" w:rsidRPr="00844A38" w:rsidRDefault="00B36B86"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Con </w:t>
      </w:r>
      <w:r w:rsidR="00A71D3C" w:rsidRPr="00844A38">
        <w:rPr>
          <w:rFonts w:eastAsia="Palatino Linotype" w:cs="Palatino Linotype"/>
          <w:color w:val="000000"/>
          <w:szCs w:val="24"/>
        </w:rPr>
        <w:t xml:space="preserve">fecha </w:t>
      </w:r>
      <w:r w:rsidR="00EE1F8D">
        <w:rPr>
          <w:rFonts w:eastAsia="Palatino Linotype" w:cs="Palatino Linotype"/>
          <w:color w:val="000000"/>
          <w:szCs w:val="24"/>
        </w:rPr>
        <w:t>nueve de mayo</w:t>
      </w:r>
      <w:r w:rsidR="005F7F98" w:rsidRPr="00844A38">
        <w:rPr>
          <w:rFonts w:eastAsia="Palatino Linotype" w:cs="Palatino Linotype"/>
          <w:color w:val="000000"/>
          <w:szCs w:val="24"/>
        </w:rPr>
        <w:t xml:space="preserve"> de dos mil veinticinco</w:t>
      </w:r>
      <w:r w:rsidR="00B54BC7" w:rsidRPr="00844A38">
        <w:rPr>
          <w:rFonts w:eastAsia="Palatino Linotype" w:cs="Palatino Linotype"/>
          <w:color w:val="000000"/>
          <w:szCs w:val="24"/>
        </w:rPr>
        <w:t xml:space="preserve">, </w:t>
      </w:r>
      <w:r w:rsidR="005F7F98" w:rsidRPr="00844A38">
        <w:rPr>
          <w:rFonts w:eastAsia="Palatino Linotype" w:cs="Palatino Linotype"/>
          <w:color w:val="000000"/>
          <w:szCs w:val="24"/>
        </w:rPr>
        <w:t>el</w:t>
      </w:r>
      <w:r w:rsidR="00A970D5" w:rsidRPr="00844A38">
        <w:rPr>
          <w:rFonts w:eastAsia="Palatino Linotype" w:cs="Palatino Linotype"/>
          <w:color w:val="000000"/>
          <w:szCs w:val="24"/>
        </w:rPr>
        <w:t xml:space="preserve"> </w:t>
      </w:r>
      <w:r w:rsidR="00A970D5" w:rsidRPr="00844A38">
        <w:rPr>
          <w:rFonts w:eastAsia="Palatino Linotype" w:cs="Palatino Linotype"/>
          <w:b/>
          <w:color w:val="000000"/>
          <w:szCs w:val="24"/>
        </w:rPr>
        <w:t xml:space="preserve">Recurrente </w:t>
      </w:r>
      <w:r w:rsidR="005B03AE" w:rsidRPr="00844A38">
        <w:rPr>
          <w:rFonts w:eastAsiaTheme="minorHAnsi" w:cs="Arial"/>
          <w:lang w:val="es-MX" w:eastAsia="en-US"/>
        </w:rPr>
        <w:t xml:space="preserve">presentó a través del Sistema de Acceso a la Información Mexiquense </w:t>
      </w:r>
      <w:r w:rsidR="005B03AE" w:rsidRPr="00844A38">
        <w:rPr>
          <w:rFonts w:eastAsiaTheme="minorHAnsi" w:cs="Arial"/>
          <w:b/>
          <w:lang w:val="es-MX" w:eastAsia="en-US"/>
        </w:rPr>
        <w:t>(SAIMEX),</w:t>
      </w:r>
      <w:r w:rsidR="005B03AE" w:rsidRPr="00844A38">
        <w:rPr>
          <w:rFonts w:eastAsiaTheme="minorHAnsi" w:cs="Arial"/>
          <w:lang w:val="es-MX" w:eastAsia="en-US"/>
        </w:rPr>
        <w:t xml:space="preserve"> ante el </w:t>
      </w:r>
      <w:r w:rsidR="005B03AE" w:rsidRPr="00844A38">
        <w:rPr>
          <w:rFonts w:eastAsiaTheme="minorHAnsi" w:cs="Arial"/>
          <w:b/>
          <w:lang w:val="es-MX" w:eastAsia="en-US"/>
        </w:rPr>
        <w:t>Sujeto Obligado</w:t>
      </w:r>
      <w:r w:rsidR="005B03AE" w:rsidRPr="00844A38">
        <w:rPr>
          <w:rFonts w:eastAsiaTheme="minorHAnsi" w:cs="Arial"/>
          <w:lang w:val="es-MX" w:eastAsia="en-US"/>
        </w:rPr>
        <w:t xml:space="preserve">, la solicitud de acceso a la información pública, a la que se le asignó el número de expediente </w:t>
      </w:r>
      <w:r w:rsidR="00EE1F8D" w:rsidRPr="00EE1F8D">
        <w:rPr>
          <w:rFonts w:eastAsiaTheme="minorHAnsi" w:cs="Arial"/>
          <w:b/>
          <w:lang w:val="es-MX" w:eastAsia="en-US"/>
        </w:rPr>
        <w:t>00766/IEEM/IP/2025</w:t>
      </w:r>
      <w:r w:rsidR="00A970D5" w:rsidRPr="00844A38">
        <w:rPr>
          <w:rFonts w:eastAsia="Palatino Linotype" w:cs="Palatino Linotype"/>
          <w:color w:val="000000"/>
          <w:szCs w:val="24"/>
        </w:rPr>
        <w:t>,</w:t>
      </w:r>
      <w:r w:rsidR="00A970D5" w:rsidRPr="00844A38">
        <w:rPr>
          <w:rFonts w:eastAsia="Palatino Linotype" w:cs="Palatino Linotype"/>
          <w:b/>
          <w:color w:val="000000"/>
          <w:szCs w:val="24"/>
        </w:rPr>
        <w:t xml:space="preserve"> </w:t>
      </w:r>
      <w:r w:rsidR="00A970D5" w:rsidRPr="00844A38">
        <w:rPr>
          <w:rFonts w:eastAsia="Palatino Linotype" w:cs="Palatino Linotype"/>
          <w:color w:val="000000"/>
          <w:szCs w:val="24"/>
        </w:rPr>
        <w:t>mediante la cual solicitó información en el tenor siguiente:</w:t>
      </w:r>
    </w:p>
    <w:p w14:paraId="68B56D82"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3CD583F7" w:rsidR="00A970D5" w:rsidRPr="00844A38" w:rsidRDefault="00A970D5" w:rsidP="006922F5">
      <w:pPr>
        <w:pStyle w:val="Fundamentos"/>
      </w:pPr>
      <w:r w:rsidRPr="00844A38">
        <w:t>“</w:t>
      </w:r>
      <w:r w:rsidR="00EE1F8D" w:rsidRPr="00EE1F8D">
        <w:t>Me podrían entregar el listado de las personas que fueron designadas como SEL y como CAEL para esta elección de 2025 y cómo se aplicó el principio de paridad de género establecido en la Constitución Política de los Estados Unidos Mexicanos para garantizar 50% mujeres y 50% hombres-</w:t>
      </w:r>
      <w:r w:rsidRPr="00844A38">
        <w:t xml:space="preserve">” </w:t>
      </w:r>
      <w:r w:rsidR="00D7260C" w:rsidRPr="00844A38">
        <w:t>(</w:t>
      </w:r>
      <w:r w:rsidRPr="00844A38">
        <w:t>Sic</w:t>
      </w:r>
      <w:r w:rsidR="00D7260C" w:rsidRPr="00844A38">
        <w:t>)</w:t>
      </w:r>
    </w:p>
    <w:p w14:paraId="40BBECCB"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844A38" w:rsidRDefault="00A970D5" w:rsidP="006922F5">
      <w:pPr>
        <w:pBdr>
          <w:top w:val="nil"/>
          <w:left w:val="nil"/>
          <w:bottom w:val="nil"/>
          <w:right w:val="nil"/>
          <w:between w:val="nil"/>
        </w:pBdr>
        <w:contextualSpacing/>
        <w:rPr>
          <w:rFonts w:eastAsia="Palatino Linotype" w:cs="Palatino Linotype"/>
          <w:b/>
          <w:color w:val="000000"/>
          <w:szCs w:val="24"/>
        </w:rPr>
      </w:pPr>
      <w:r w:rsidRPr="00844A38">
        <w:rPr>
          <w:rFonts w:eastAsia="Palatino Linotype" w:cs="Palatino Linotype"/>
          <w:color w:val="000000"/>
          <w:szCs w:val="24"/>
        </w:rPr>
        <w:t xml:space="preserve">Modalidad de entrega: </w:t>
      </w:r>
      <w:r w:rsidRPr="00844A38">
        <w:rPr>
          <w:rFonts w:eastAsia="Palatino Linotype" w:cs="Palatino Linotype"/>
          <w:b/>
          <w:color w:val="000000"/>
          <w:szCs w:val="24"/>
        </w:rPr>
        <w:t>A través del SAIMEX</w:t>
      </w:r>
      <w:r w:rsidRPr="00844A38">
        <w:rPr>
          <w:rFonts w:eastAsia="Palatino Linotype" w:cs="Palatino Linotype"/>
          <w:color w:val="000000"/>
          <w:szCs w:val="24"/>
        </w:rPr>
        <w:t>.</w:t>
      </w:r>
    </w:p>
    <w:p w14:paraId="035FB8D4" w14:textId="77777777" w:rsidR="003938ED" w:rsidRPr="00844A38"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844A38" w:rsidRDefault="002D2F64" w:rsidP="006922F5">
      <w:pPr>
        <w:pStyle w:val="Ttulo2"/>
        <w:rPr>
          <w:rFonts w:eastAsia="Palatino Linotype"/>
        </w:rPr>
      </w:pPr>
      <w:r w:rsidRPr="00844A38">
        <w:rPr>
          <w:rFonts w:eastAsia="Palatino Linotype"/>
        </w:rPr>
        <w:lastRenderedPageBreak/>
        <w:t>SEGUNDO</w:t>
      </w:r>
      <w:r w:rsidR="00A970D5" w:rsidRPr="00844A38">
        <w:rPr>
          <w:rFonts w:eastAsia="Palatino Linotype"/>
        </w:rPr>
        <w:t>. De la respuesta del Sujeto Obligado.</w:t>
      </w:r>
    </w:p>
    <w:p w14:paraId="2EE6F294" w14:textId="178E641D"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De las constancias que obran en el expediente electrónico, se observa qu</w:t>
      </w:r>
      <w:r w:rsidR="00614724" w:rsidRPr="00844A38">
        <w:rPr>
          <w:rFonts w:eastAsia="Palatino Linotype" w:cs="Palatino Linotype"/>
          <w:color w:val="000000"/>
          <w:szCs w:val="24"/>
        </w:rPr>
        <w:t xml:space="preserve">e el día </w:t>
      </w:r>
      <w:r w:rsidR="00EE1F8D">
        <w:rPr>
          <w:rFonts w:eastAsia="Palatino Linotype" w:cs="Palatino Linotype"/>
          <w:color w:val="000000"/>
          <w:szCs w:val="24"/>
        </w:rPr>
        <w:t>veintinueve de mayo</w:t>
      </w:r>
      <w:r w:rsidR="005F7F98" w:rsidRPr="00844A38">
        <w:rPr>
          <w:rFonts w:eastAsia="Palatino Linotype" w:cs="Palatino Linotype"/>
          <w:color w:val="000000"/>
          <w:szCs w:val="24"/>
        </w:rPr>
        <w:t xml:space="preserve"> de dos mil veinticinco</w:t>
      </w:r>
      <w:r w:rsidRPr="00844A38">
        <w:rPr>
          <w:rFonts w:eastAsia="Palatino Linotype" w:cs="Palatino Linotype"/>
          <w:color w:val="000000"/>
          <w:szCs w:val="24"/>
        </w:rPr>
        <w:t xml:space="preserve">, el </w:t>
      </w:r>
      <w:r w:rsidRPr="00844A38">
        <w:rPr>
          <w:rFonts w:eastAsia="Palatino Linotype" w:cs="Palatino Linotype"/>
          <w:b/>
          <w:color w:val="000000"/>
          <w:szCs w:val="24"/>
        </w:rPr>
        <w:t>Sujeto Obligado</w:t>
      </w:r>
      <w:r w:rsidRPr="00844A38">
        <w:rPr>
          <w:rFonts w:eastAsia="Palatino Linotype" w:cs="Palatino Linotype"/>
          <w:color w:val="000000"/>
          <w:szCs w:val="24"/>
        </w:rPr>
        <w:t xml:space="preserve"> dio respuest</w:t>
      </w:r>
      <w:r w:rsidR="009F4FF4" w:rsidRPr="00844A38">
        <w:rPr>
          <w:rFonts w:eastAsia="Palatino Linotype" w:cs="Palatino Linotype"/>
          <w:color w:val="000000"/>
          <w:szCs w:val="24"/>
        </w:rPr>
        <w:t>a a la solicitud de información</w:t>
      </w:r>
      <w:r w:rsidRPr="00844A38">
        <w:rPr>
          <w:rFonts w:eastAsia="Palatino Linotype" w:cs="Palatino Linotype"/>
          <w:color w:val="000000"/>
          <w:szCs w:val="24"/>
        </w:rPr>
        <w:t xml:space="preserve"> manifestando lo siguiente:</w:t>
      </w:r>
    </w:p>
    <w:p w14:paraId="6CF4EC0F"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02C8676A" w14:textId="77777777" w:rsidR="00EE1F8D" w:rsidRDefault="00A970D5" w:rsidP="00EE1F8D">
      <w:pPr>
        <w:pStyle w:val="Fundamentos"/>
      </w:pPr>
      <w:r w:rsidRPr="00844A38">
        <w:t>“</w:t>
      </w:r>
      <w:r w:rsidR="00EE1F8D">
        <w:t>Folio de la solicitud: 00766/IEEM/IP/2025</w:t>
      </w:r>
    </w:p>
    <w:p w14:paraId="2A22BA6E" w14:textId="77777777" w:rsidR="00EE1F8D" w:rsidRDefault="00EE1F8D" w:rsidP="00EE1F8D">
      <w:pPr>
        <w:pStyle w:val="Fundamentos"/>
      </w:pPr>
    </w:p>
    <w:p w14:paraId="5D340CAC" w14:textId="77777777" w:rsidR="00EE1F8D" w:rsidRDefault="00EE1F8D" w:rsidP="00EE1F8D">
      <w:pPr>
        <w:pStyle w:val="Fundamentos"/>
        <w:jc w:val="right"/>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30D7010C" w14:textId="77777777" w:rsidR="00EE1F8D" w:rsidRDefault="00EE1F8D" w:rsidP="00EE1F8D">
      <w:pPr>
        <w:pStyle w:val="Fundamentos"/>
      </w:pPr>
      <w:r>
        <w:t>Se adjunta respuesta a su solicitud de información.</w:t>
      </w:r>
    </w:p>
    <w:p w14:paraId="1156E21C" w14:textId="77777777" w:rsidR="00EE1F8D" w:rsidRDefault="00EE1F8D" w:rsidP="00EE1F8D">
      <w:pPr>
        <w:pStyle w:val="Fundamentos"/>
      </w:pPr>
    </w:p>
    <w:p w14:paraId="434FFCAE" w14:textId="77777777" w:rsidR="00EE1F8D" w:rsidRDefault="00EE1F8D" w:rsidP="00EE1F8D">
      <w:pPr>
        <w:pStyle w:val="Fundamentos"/>
      </w:pPr>
      <w:r>
        <w:t>ATENTAMENTE</w:t>
      </w:r>
    </w:p>
    <w:p w14:paraId="3FE4A9EF" w14:textId="6E9D7873" w:rsidR="00A970D5" w:rsidRPr="00844A38" w:rsidRDefault="00EE1F8D" w:rsidP="00EE1F8D">
      <w:pPr>
        <w:pStyle w:val="Fundamentos"/>
      </w:pPr>
      <w:r>
        <w:t>MAESTRA LILIBETH ÁLVAREZ RODRÍGUEZ</w:t>
      </w:r>
      <w:r w:rsidR="00A970D5" w:rsidRPr="00844A38">
        <w:t>” (Sic)</w:t>
      </w:r>
    </w:p>
    <w:p w14:paraId="4E8ED7CF"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4EB4C948" w14:textId="791E5BDF" w:rsidR="001107C4" w:rsidRPr="00844A38" w:rsidRDefault="001107C4" w:rsidP="00EE1F8D">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El </w:t>
      </w:r>
      <w:r w:rsidRPr="007D7C88">
        <w:rPr>
          <w:rFonts w:eastAsia="Palatino Linotype" w:cs="Palatino Linotype"/>
          <w:b/>
          <w:bCs/>
          <w:color w:val="000000"/>
          <w:szCs w:val="24"/>
        </w:rPr>
        <w:t>Sujeto Obligado</w:t>
      </w:r>
      <w:r w:rsidRPr="00844A38">
        <w:rPr>
          <w:rFonts w:eastAsia="Palatino Linotype" w:cs="Palatino Linotype"/>
          <w:color w:val="000000"/>
          <w:szCs w:val="24"/>
        </w:rPr>
        <w:t xml:space="preserve"> </w:t>
      </w:r>
      <w:r w:rsidR="00663B72" w:rsidRPr="00844A38">
        <w:rPr>
          <w:rFonts w:eastAsia="Palatino Linotype" w:cs="Palatino Linotype"/>
          <w:color w:val="000000"/>
          <w:szCs w:val="24"/>
        </w:rPr>
        <w:t xml:space="preserve">anexó a la respuesta </w:t>
      </w:r>
      <w:r w:rsidR="00EE1F8D">
        <w:rPr>
          <w:rFonts w:eastAsia="Palatino Linotype" w:cs="Palatino Linotype"/>
          <w:color w:val="000000"/>
          <w:szCs w:val="24"/>
        </w:rPr>
        <w:t>los</w:t>
      </w:r>
      <w:r w:rsidR="00663B72" w:rsidRPr="00844A38">
        <w:rPr>
          <w:rFonts w:eastAsia="Palatino Linotype" w:cs="Palatino Linotype"/>
          <w:color w:val="000000"/>
          <w:szCs w:val="24"/>
        </w:rPr>
        <w:t xml:space="preserve"> documento</w:t>
      </w:r>
      <w:r w:rsidR="00EE1F8D">
        <w:rPr>
          <w:rFonts w:eastAsia="Palatino Linotype" w:cs="Palatino Linotype"/>
          <w:color w:val="000000"/>
          <w:szCs w:val="24"/>
        </w:rPr>
        <w:t>s</w:t>
      </w:r>
      <w:r w:rsidR="00663B72" w:rsidRPr="00844A38">
        <w:rPr>
          <w:rFonts w:eastAsia="Palatino Linotype" w:cs="Palatino Linotype"/>
          <w:color w:val="000000"/>
          <w:szCs w:val="24"/>
        </w:rPr>
        <w:t xml:space="preserve"> </w:t>
      </w:r>
      <w:r w:rsidR="005F7F98" w:rsidRPr="00844A38">
        <w:rPr>
          <w:rFonts w:eastAsia="Palatino Linotype" w:cs="Palatino Linotype"/>
          <w:color w:val="000000"/>
          <w:szCs w:val="24"/>
        </w:rPr>
        <w:t>electrónico</w:t>
      </w:r>
      <w:r w:rsidR="00EE1F8D">
        <w:rPr>
          <w:rFonts w:eastAsia="Palatino Linotype" w:cs="Palatino Linotype"/>
          <w:color w:val="000000"/>
          <w:szCs w:val="24"/>
        </w:rPr>
        <w:t>s</w:t>
      </w:r>
      <w:r w:rsidR="005F7F98" w:rsidRPr="00844A38">
        <w:rPr>
          <w:rFonts w:eastAsia="Palatino Linotype" w:cs="Palatino Linotype"/>
          <w:color w:val="000000"/>
          <w:szCs w:val="24"/>
        </w:rPr>
        <w:t xml:space="preserve"> </w:t>
      </w:r>
      <w:r w:rsidR="00663B72" w:rsidRPr="00844A38">
        <w:rPr>
          <w:rFonts w:eastAsia="Palatino Linotype" w:cs="Palatino Linotype"/>
          <w:color w:val="000000"/>
          <w:szCs w:val="24"/>
        </w:rPr>
        <w:t>denominado</w:t>
      </w:r>
      <w:r w:rsidR="00EE1F8D">
        <w:rPr>
          <w:rFonts w:eastAsia="Palatino Linotype" w:cs="Palatino Linotype"/>
          <w:color w:val="000000"/>
          <w:szCs w:val="24"/>
        </w:rPr>
        <w:t>s</w:t>
      </w:r>
      <w:r w:rsidR="00C5042D" w:rsidRPr="00844A38">
        <w:rPr>
          <w:rFonts w:eastAsia="Palatino Linotype" w:cs="Palatino Linotype"/>
          <w:b/>
          <w:bCs/>
          <w:color w:val="000000"/>
          <w:szCs w:val="24"/>
        </w:rPr>
        <w:t xml:space="preserve"> </w:t>
      </w:r>
      <w:r w:rsidR="00EE1F8D" w:rsidRPr="00EE1F8D">
        <w:rPr>
          <w:rFonts w:eastAsia="Palatino Linotype" w:cs="Palatino Linotype"/>
          <w:b/>
          <w:bCs/>
          <w:color w:val="000000"/>
          <w:szCs w:val="24"/>
        </w:rPr>
        <w:t>"RESPUESTA 766-2025 DPC.pdf", "Solicitud info 00766-IEEM-IP-2025 UCG.docx"</w:t>
      </w:r>
      <w:r w:rsidR="00297372">
        <w:rPr>
          <w:rFonts w:eastAsia="Palatino Linotype" w:cs="Palatino Linotype"/>
          <w:b/>
          <w:bCs/>
          <w:color w:val="000000"/>
          <w:szCs w:val="24"/>
        </w:rPr>
        <w:t xml:space="preserve">, </w:t>
      </w:r>
      <w:r w:rsidR="00EE1F8D" w:rsidRPr="00EE1F8D">
        <w:rPr>
          <w:rFonts w:eastAsia="Palatino Linotype" w:cs="Palatino Linotype"/>
          <w:b/>
          <w:bCs/>
          <w:color w:val="000000"/>
          <w:szCs w:val="24"/>
        </w:rPr>
        <w:t xml:space="preserve">"766-2025 DPC.docx", "OFICIO RESPUESTA 00766-2025 UT.pdf" </w:t>
      </w:r>
      <w:r w:rsidR="00EE1F8D" w:rsidRPr="00297372">
        <w:rPr>
          <w:rFonts w:eastAsia="Palatino Linotype" w:cs="Palatino Linotype"/>
          <w:bCs/>
          <w:color w:val="000000"/>
          <w:szCs w:val="24"/>
        </w:rPr>
        <w:t>y</w:t>
      </w:r>
      <w:r w:rsidR="00EE1F8D" w:rsidRPr="00EE1F8D">
        <w:rPr>
          <w:rFonts w:eastAsia="Palatino Linotype" w:cs="Palatino Linotype"/>
          <w:b/>
          <w:bCs/>
          <w:color w:val="000000"/>
          <w:szCs w:val="24"/>
        </w:rPr>
        <w:t xml:space="preserve"> "RESPUESTA 766-2025 UCG.pdf"</w:t>
      </w:r>
      <w:r w:rsidR="00EE1F8D">
        <w:rPr>
          <w:rFonts w:eastAsia="Palatino Linotype" w:cs="Palatino Linotype"/>
          <w:b/>
          <w:bCs/>
          <w:color w:val="000000"/>
          <w:szCs w:val="24"/>
        </w:rPr>
        <w:t>, los</w:t>
      </w:r>
      <w:r w:rsidR="00831867" w:rsidRPr="00844A38">
        <w:rPr>
          <w:rFonts w:eastAsia="Palatino Linotype" w:cs="Palatino Linotype"/>
          <w:color w:val="000000"/>
          <w:szCs w:val="24"/>
        </w:rPr>
        <w:t xml:space="preserve"> cual</w:t>
      </w:r>
      <w:r w:rsidR="00297372">
        <w:rPr>
          <w:rFonts w:eastAsia="Palatino Linotype" w:cs="Palatino Linotype"/>
          <w:color w:val="000000"/>
          <w:szCs w:val="24"/>
        </w:rPr>
        <w:t>es</w:t>
      </w:r>
      <w:r w:rsidR="008C004B" w:rsidRPr="00844A38">
        <w:rPr>
          <w:rFonts w:eastAsia="Palatino Linotype" w:cs="Palatino Linotype"/>
          <w:color w:val="000000"/>
          <w:szCs w:val="24"/>
        </w:rPr>
        <w:t xml:space="preserve"> no se reproduce</w:t>
      </w:r>
      <w:r w:rsidR="00297372">
        <w:rPr>
          <w:rFonts w:eastAsia="Palatino Linotype" w:cs="Palatino Linotype"/>
          <w:color w:val="000000"/>
          <w:szCs w:val="24"/>
        </w:rPr>
        <w:t>n</w:t>
      </w:r>
      <w:r w:rsidR="007D7C88">
        <w:rPr>
          <w:rFonts w:eastAsia="Palatino Linotype" w:cs="Palatino Linotype"/>
          <w:color w:val="000000"/>
          <w:szCs w:val="24"/>
        </w:rPr>
        <w:t xml:space="preserve"> </w:t>
      </w:r>
      <w:r w:rsidR="008C004B" w:rsidRPr="00844A38">
        <w:rPr>
          <w:rFonts w:eastAsia="Palatino Linotype" w:cs="Palatino Linotype"/>
          <w:color w:val="000000"/>
          <w:szCs w:val="24"/>
        </w:rPr>
        <w:t xml:space="preserve">por ser del conocimiento de las partes; no obstante, se hará </w:t>
      </w:r>
      <w:r w:rsidR="007A414E" w:rsidRPr="00844A38">
        <w:rPr>
          <w:rFonts w:eastAsia="Palatino Linotype" w:cs="Palatino Linotype"/>
          <w:color w:val="000000"/>
          <w:szCs w:val="24"/>
        </w:rPr>
        <w:t>el análisis de su contenido en el estudio correspondiente</w:t>
      </w:r>
      <w:r w:rsidR="00E75DEB" w:rsidRPr="00844A38">
        <w:rPr>
          <w:rFonts w:eastAsia="Palatino Linotype" w:cs="Palatino Linotype"/>
          <w:color w:val="000000"/>
          <w:szCs w:val="24"/>
        </w:rPr>
        <w:t>.</w:t>
      </w:r>
    </w:p>
    <w:p w14:paraId="7DFE8599" w14:textId="77777777" w:rsidR="00475720" w:rsidRPr="00844A38"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2F49525C" w:rsidR="00475720" w:rsidRPr="00844A38" w:rsidRDefault="00475720" w:rsidP="00475720">
      <w:pPr>
        <w:rPr>
          <w:rFonts w:eastAsiaTheme="minorHAnsi" w:cs="Arial"/>
          <w:b/>
          <w:sz w:val="26"/>
          <w:szCs w:val="26"/>
          <w:lang w:val="es-MX" w:eastAsia="en-US"/>
        </w:rPr>
      </w:pPr>
      <w:r w:rsidRPr="00844A38">
        <w:rPr>
          <w:rFonts w:eastAsiaTheme="minorHAnsi" w:cs="Arial"/>
          <w:b/>
          <w:sz w:val="26"/>
          <w:szCs w:val="26"/>
          <w:lang w:val="es-MX" w:eastAsia="en-US"/>
        </w:rPr>
        <w:t>TERCERO. Del recurso de revisión.</w:t>
      </w:r>
    </w:p>
    <w:p w14:paraId="21898AC9" w14:textId="42BCB3CE" w:rsidR="00475720" w:rsidRPr="00844A38" w:rsidRDefault="00475720" w:rsidP="00475720">
      <w:pPr>
        <w:rPr>
          <w:rFonts w:eastAsiaTheme="minorHAnsi" w:cs="Arial"/>
          <w:lang w:val="es-MX" w:eastAsia="en-US"/>
        </w:rPr>
      </w:pPr>
      <w:r w:rsidRPr="00844A38">
        <w:rPr>
          <w:rFonts w:eastAsiaTheme="minorHAnsi" w:cs="Arial"/>
          <w:lang w:val="es-MX" w:eastAsia="en-US"/>
        </w:rPr>
        <w:t xml:space="preserve">Inconforme con la respuesta por parte del </w:t>
      </w:r>
      <w:r w:rsidRPr="00844A38">
        <w:rPr>
          <w:rFonts w:eastAsiaTheme="minorHAnsi" w:cs="Arial"/>
          <w:b/>
          <w:lang w:val="es-MX" w:eastAsia="en-US"/>
        </w:rPr>
        <w:t>Sujeto Obligado</w:t>
      </w:r>
      <w:r w:rsidRPr="00844A38">
        <w:rPr>
          <w:rFonts w:eastAsiaTheme="minorHAnsi" w:cs="Arial"/>
          <w:lang w:val="es-MX" w:eastAsia="en-US"/>
        </w:rPr>
        <w:t xml:space="preserve">, </w:t>
      </w:r>
      <w:r w:rsidR="005F7F98" w:rsidRPr="00844A38">
        <w:rPr>
          <w:rFonts w:eastAsiaTheme="minorHAnsi" w:cs="Arial"/>
          <w:lang w:val="es-MX" w:eastAsia="en-US"/>
        </w:rPr>
        <w:t>el</w:t>
      </w:r>
      <w:r w:rsidRPr="00844A38">
        <w:rPr>
          <w:rFonts w:eastAsiaTheme="minorHAnsi" w:cs="Arial"/>
          <w:lang w:val="es-MX" w:eastAsia="en-US"/>
        </w:rPr>
        <w:t xml:space="preserve"> ahora </w:t>
      </w:r>
      <w:r w:rsidRPr="00844A38">
        <w:rPr>
          <w:rFonts w:eastAsiaTheme="minorHAnsi" w:cs="Arial"/>
          <w:b/>
          <w:lang w:val="es-MX" w:eastAsia="en-US"/>
        </w:rPr>
        <w:t>Recurrente</w:t>
      </w:r>
      <w:r w:rsidRPr="00844A38">
        <w:rPr>
          <w:rFonts w:eastAsiaTheme="minorHAnsi" w:cs="Arial"/>
          <w:lang w:val="es-MX" w:eastAsia="en-US"/>
        </w:rPr>
        <w:t xml:space="preserve"> interpuso el presente recurso de revisión en fecha </w:t>
      </w:r>
      <w:r w:rsidR="00297372">
        <w:rPr>
          <w:rFonts w:eastAsiaTheme="minorHAnsi" w:cs="Arial"/>
          <w:lang w:val="es-MX" w:eastAsia="en-US"/>
        </w:rPr>
        <w:t>treinta de mayo</w:t>
      </w:r>
      <w:r w:rsidR="005F7F98" w:rsidRPr="00844A38">
        <w:rPr>
          <w:rFonts w:eastAsiaTheme="minorHAnsi" w:cs="Arial"/>
          <w:lang w:val="es-MX" w:eastAsia="en-US"/>
        </w:rPr>
        <w:t xml:space="preserve"> de dos mil veinticinco</w:t>
      </w:r>
      <w:r w:rsidRPr="00844A38">
        <w:rPr>
          <w:rFonts w:eastAsiaTheme="minorHAnsi" w:cs="Arial"/>
          <w:lang w:val="es-MX" w:eastAsia="en-US"/>
        </w:rPr>
        <w:t>, el cual fue registrado</w:t>
      </w:r>
      <w:r w:rsidRPr="00844A38">
        <w:rPr>
          <w:rFonts w:eastAsiaTheme="minorHAnsi" w:cs="Arial"/>
          <w:b/>
          <w:lang w:val="es-MX" w:eastAsia="en-US"/>
        </w:rPr>
        <w:t xml:space="preserve"> </w:t>
      </w:r>
      <w:r w:rsidRPr="00844A38">
        <w:rPr>
          <w:rFonts w:eastAsiaTheme="minorHAnsi" w:cs="Arial"/>
          <w:lang w:val="es-MX" w:eastAsia="en-US"/>
        </w:rPr>
        <w:t xml:space="preserve">en el sistema electrónico con el expediente número </w:t>
      </w:r>
      <w:r w:rsidR="008E6D6A" w:rsidRPr="008E6D6A">
        <w:rPr>
          <w:rFonts w:eastAsiaTheme="minorHAnsi" w:cs="Arial"/>
          <w:b/>
          <w:bCs/>
          <w:lang w:val="es-MX"/>
        </w:rPr>
        <w:t>0</w:t>
      </w:r>
      <w:r w:rsidR="004D0BD9">
        <w:rPr>
          <w:rFonts w:eastAsiaTheme="minorHAnsi" w:cs="Arial"/>
          <w:b/>
          <w:bCs/>
          <w:lang w:val="es-MX"/>
        </w:rPr>
        <w:t>6310</w:t>
      </w:r>
      <w:r w:rsidR="008E6D6A" w:rsidRPr="008E6D6A">
        <w:rPr>
          <w:rFonts w:eastAsiaTheme="minorHAnsi" w:cs="Arial"/>
          <w:b/>
          <w:bCs/>
          <w:lang w:val="es-MX"/>
        </w:rPr>
        <w:t>/INFOEM/IP/RR/2025</w:t>
      </w:r>
      <w:r w:rsidRPr="00844A38">
        <w:rPr>
          <w:rFonts w:eastAsiaTheme="minorHAnsi" w:cs="Arial"/>
          <w:lang w:val="es-MX" w:eastAsia="en-US"/>
        </w:rPr>
        <w:t>, en el cual aduce, las siguientes manifestaciones:</w:t>
      </w:r>
    </w:p>
    <w:p w14:paraId="1A3BE0A3" w14:textId="77777777" w:rsidR="00475720" w:rsidRPr="00844A38" w:rsidRDefault="00475720" w:rsidP="00475720">
      <w:pPr>
        <w:rPr>
          <w:rFonts w:eastAsiaTheme="minorHAnsi" w:cs="Arial"/>
          <w:lang w:val="es-MX" w:eastAsia="en-US"/>
        </w:rPr>
      </w:pPr>
    </w:p>
    <w:p w14:paraId="2C6B8A48" w14:textId="77777777" w:rsidR="00475720" w:rsidRPr="00844A38" w:rsidRDefault="00475720" w:rsidP="00475720">
      <w:pPr>
        <w:rPr>
          <w:sz w:val="8"/>
          <w:lang w:val="es-MX"/>
        </w:rPr>
      </w:pPr>
    </w:p>
    <w:p w14:paraId="34A4BD14" w14:textId="77777777" w:rsidR="00475720" w:rsidRPr="00844A38" w:rsidRDefault="00475720" w:rsidP="00BA5930">
      <w:pPr>
        <w:numPr>
          <w:ilvl w:val="0"/>
          <w:numId w:val="14"/>
        </w:numPr>
        <w:spacing w:line="259" w:lineRule="auto"/>
        <w:ind w:left="567" w:right="567"/>
        <w:rPr>
          <w:rFonts w:cs="Arial"/>
          <w:b/>
          <w:sz w:val="26"/>
          <w:szCs w:val="26"/>
        </w:rPr>
      </w:pPr>
      <w:r w:rsidRPr="00844A38">
        <w:rPr>
          <w:rFonts w:cs="Arial"/>
          <w:b/>
          <w:sz w:val="26"/>
          <w:szCs w:val="26"/>
        </w:rPr>
        <w:lastRenderedPageBreak/>
        <w:t>Acto Impugnado:</w:t>
      </w:r>
    </w:p>
    <w:p w14:paraId="42E70C1A" w14:textId="147A9F3D" w:rsidR="00475720" w:rsidRPr="00844A38" w:rsidRDefault="00475720" w:rsidP="005C4D70">
      <w:pPr>
        <w:spacing w:line="276" w:lineRule="auto"/>
        <w:ind w:left="567" w:right="567"/>
        <w:rPr>
          <w:rFonts w:eastAsiaTheme="minorHAnsi" w:cstheme="minorBidi"/>
          <w:i/>
          <w:color w:val="000000"/>
          <w:sz w:val="22"/>
          <w:lang w:val="es-MX" w:eastAsia="en-US"/>
        </w:rPr>
      </w:pPr>
      <w:r w:rsidRPr="00844A38">
        <w:rPr>
          <w:rFonts w:eastAsiaTheme="minorHAnsi" w:cstheme="minorBidi"/>
          <w:i/>
          <w:color w:val="000000"/>
          <w:sz w:val="22"/>
          <w:lang w:val="es-MX" w:eastAsia="en-US"/>
        </w:rPr>
        <w:t>“</w:t>
      </w:r>
      <w:r w:rsidR="004D0BD9" w:rsidRPr="004D0BD9">
        <w:rPr>
          <w:rFonts w:eastAsiaTheme="minorHAnsi" w:cstheme="minorBidi"/>
          <w:i/>
          <w:color w:val="000000"/>
          <w:sz w:val="22"/>
          <w:lang w:val="es-MX" w:eastAsia="en-US"/>
        </w:rPr>
        <w:t>Entrega incompleta</w:t>
      </w:r>
      <w:r w:rsidRPr="00844A38">
        <w:rPr>
          <w:rFonts w:eastAsiaTheme="minorHAnsi" w:cstheme="minorBidi"/>
          <w:i/>
          <w:color w:val="000000"/>
          <w:sz w:val="22"/>
          <w:lang w:val="es-MX" w:eastAsia="en-US"/>
        </w:rPr>
        <w:t>” (Sic).</w:t>
      </w:r>
    </w:p>
    <w:p w14:paraId="6B19B1B1" w14:textId="77777777" w:rsidR="00475720" w:rsidRPr="00844A38" w:rsidRDefault="00475720" w:rsidP="00475720">
      <w:pPr>
        <w:spacing w:line="276" w:lineRule="auto"/>
        <w:ind w:left="567" w:right="567"/>
        <w:rPr>
          <w:i/>
          <w:sz w:val="22"/>
          <w:lang w:val="es-MX"/>
        </w:rPr>
      </w:pPr>
    </w:p>
    <w:p w14:paraId="34C80974" w14:textId="77777777" w:rsidR="00475720" w:rsidRPr="00844A38" w:rsidRDefault="00475720" w:rsidP="00BA5930">
      <w:pPr>
        <w:pStyle w:val="Prrafodelista"/>
        <w:numPr>
          <w:ilvl w:val="0"/>
          <w:numId w:val="14"/>
        </w:numPr>
        <w:spacing w:line="240" w:lineRule="auto"/>
        <w:ind w:left="567" w:right="567"/>
        <w:rPr>
          <w:i/>
          <w:sz w:val="26"/>
          <w:szCs w:val="26"/>
          <w:lang w:val="es-MX" w:eastAsia="es-MX"/>
        </w:rPr>
      </w:pPr>
      <w:r w:rsidRPr="00844A38">
        <w:rPr>
          <w:rFonts w:cs="Arial"/>
          <w:b/>
          <w:sz w:val="26"/>
          <w:szCs w:val="26"/>
        </w:rPr>
        <w:t>Razones o Motivos de Inconformidad</w:t>
      </w:r>
      <w:r w:rsidRPr="00844A38">
        <w:rPr>
          <w:rFonts w:cs="Arial"/>
          <w:sz w:val="26"/>
          <w:szCs w:val="26"/>
        </w:rPr>
        <w:t xml:space="preserve">: </w:t>
      </w:r>
    </w:p>
    <w:p w14:paraId="062596E0" w14:textId="2FE07913" w:rsidR="00475720" w:rsidRPr="00844A38" w:rsidRDefault="00475720" w:rsidP="00475720">
      <w:pPr>
        <w:spacing w:line="276" w:lineRule="auto"/>
        <w:ind w:left="567" w:right="567"/>
        <w:rPr>
          <w:i/>
          <w:sz w:val="22"/>
          <w:lang w:val="es-MX"/>
        </w:rPr>
      </w:pPr>
      <w:r w:rsidRPr="00844A38">
        <w:rPr>
          <w:rFonts w:eastAsiaTheme="minorHAnsi" w:cs="Arial"/>
          <w:i/>
          <w:sz w:val="22"/>
          <w:lang w:val="es-MX" w:eastAsia="en-US"/>
        </w:rPr>
        <w:t>“</w:t>
      </w:r>
      <w:r w:rsidR="004D0BD9" w:rsidRPr="004D0BD9">
        <w:rPr>
          <w:rFonts w:eastAsiaTheme="minorHAnsi" w:cstheme="minorBidi"/>
          <w:i/>
          <w:color w:val="000000"/>
          <w:sz w:val="22"/>
          <w:lang w:val="es-MX" w:eastAsia="en-US"/>
        </w:rPr>
        <w:t>Se omite atender esta parte de mi solicitud: "... cómo se aplicó el principio de paridad de género establecido en la Constitución Política de los Estados Unidos Mexicanos para garantizar 50% mujeres y 50% hombres."</w:t>
      </w:r>
      <w:r w:rsidRPr="00844A38">
        <w:rPr>
          <w:rFonts w:eastAsiaTheme="minorHAnsi" w:cstheme="minorBidi"/>
          <w:i/>
          <w:color w:val="000000"/>
          <w:sz w:val="22"/>
          <w:lang w:val="es-MX" w:eastAsia="en-US"/>
        </w:rPr>
        <w:t xml:space="preserve"> (Sic)</w:t>
      </w:r>
    </w:p>
    <w:p w14:paraId="7FF632BF" w14:textId="77777777" w:rsidR="00145715" w:rsidRPr="00844A38" w:rsidRDefault="00145715" w:rsidP="00475720">
      <w:pPr>
        <w:rPr>
          <w:rFonts w:eastAsiaTheme="minorHAnsi" w:cs="Arial"/>
          <w:b/>
          <w:sz w:val="26"/>
          <w:szCs w:val="26"/>
          <w:lang w:val="es-MX" w:eastAsia="en-US"/>
        </w:rPr>
      </w:pPr>
    </w:p>
    <w:p w14:paraId="46176C36" w14:textId="6A775B4B" w:rsidR="00475720" w:rsidRPr="00844A38" w:rsidRDefault="00475720" w:rsidP="00475720">
      <w:pPr>
        <w:rPr>
          <w:rFonts w:eastAsiaTheme="minorHAnsi" w:cs="Arial"/>
          <w:b/>
          <w:sz w:val="26"/>
          <w:szCs w:val="26"/>
          <w:lang w:val="es-MX" w:eastAsia="en-US"/>
        </w:rPr>
      </w:pPr>
      <w:r w:rsidRPr="00844A38">
        <w:rPr>
          <w:rFonts w:eastAsiaTheme="minorHAnsi" w:cs="Arial"/>
          <w:b/>
          <w:sz w:val="26"/>
          <w:szCs w:val="26"/>
          <w:lang w:val="es-MX" w:eastAsia="en-US"/>
        </w:rPr>
        <w:t>CUARTO. Del turno del recurso de revisión.</w:t>
      </w:r>
    </w:p>
    <w:p w14:paraId="76C79A58" w14:textId="10C96C45" w:rsidR="00475720" w:rsidRPr="00844A38" w:rsidRDefault="00475720" w:rsidP="00475720">
      <w:pPr>
        <w:rPr>
          <w:rFonts w:eastAsiaTheme="minorHAnsi" w:cs="Arial"/>
          <w:lang w:val="es-MX" w:eastAsia="en-US"/>
        </w:rPr>
      </w:pPr>
      <w:r w:rsidRPr="00844A38">
        <w:rPr>
          <w:rFonts w:eastAsiaTheme="minorHAnsi" w:cs="Arial"/>
          <w:lang w:val="es-MX" w:eastAsia="en-US"/>
        </w:rPr>
        <w:t xml:space="preserve">Medio de impugnación que le fue turnado al Comisionado </w:t>
      </w:r>
      <w:r w:rsidRPr="00844A38">
        <w:rPr>
          <w:rFonts w:eastAsiaTheme="minorHAnsi" w:cs="Arial"/>
          <w:b/>
          <w:bCs/>
          <w:lang w:val="es-MX" w:eastAsia="en-US"/>
        </w:rPr>
        <w:t>Presidente J</w:t>
      </w:r>
      <w:r w:rsidRPr="00844A38">
        <w:rPr>
          <w:rFonts w:eastAsiaTheme="minorHAnsi" w:cs="Arial"/>
          <w:b/>
          <w:lang w:val="es-MX" w:eastAsia="en-US"/>
        </w:rPr>
        <w:t>osé Martínez Vilchis</w:t>
      </w:r>
      <w:r w:rsidRPr="00844A38">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D0BD9">
        <w:rPr>
          <w:rFonts w:eastAsiaTheme="minorHAnsi" w:cs="Arial"/>
          <w:lang w:val="es-MX" w:eastAsia="en-US"/>
        </w:rPr>
        <w:t>dos de junio</w:t>
      </w:r>
      <w:r w:rsidR="005F7F98" w:rsidRPr="00844A38">
        <w:rPr>
          <w:rFonts w:eastAsiaTheme="minorHAnsi" w:cs="Arial"/>
          <w:lang w:val="es-MX" w:eastAsia="en-US"/>
        </w:rPr>
        <w:t xml:space="preserve"> de dos mil veinticinco</w:t>
      </w:r>
      <w:r w:rsidRPr="00844A38">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844A38" w:rsidRDefault="00475720" w:rsidP="00475720">
      <w:pPr>
        <w:rPr>
          <w:rFonts w:eastAsiaTheme="minorHAnsi" w:cs="Arial"/>
          <w:lang w:val="es-MX" w:eastAsia="en-US"/>
        </w:rPr>
      </w:pPr>
    </w:p>
    <w:p w14:paraId="627909BE" w14:textId="54B096B4" w:rsidR="00475720" w:rsidRPr="00844A38" w:rsidRDefault="00475720" w:rsidP="00475720">
      <w:pPr>
        <w:rPr>
          <w:rFonts w:eastAsiaTheme="minorHAnsi" w:cs="Arial"/>
          <w:b/>
          <w:sz w:val="26"/>
          <w:szCs w:val="26"/>
          <w:lang w:val="es-MX" w:eastAsia="en-US"/>
        </w:rPr>
      </w:pPr>
      <w:r w:rsidRPr="00844A38">
        <w:rPr>
          <w:rFonts w:eastAsiaTheme="minorHAnsi" w:cs="Arial"/>
          <w:b/>
          <w:sz w:val="26"/>
          <w:szCs w:val="26"/>
          <w:lang w:val="es-MX" w:eastAsia="en-US"/>
        </w:rPr>
        <w:t>QUINTO. De la etapa de manifestaciones y/o alegatos.</w:t>
      </w:r>
    </w:p>
    <w:p w14:paraId="1A4B5B4D" w14:textId="4E66E868" w:rsidR="004D0BD9" w:rsidRDefault="00541D2D" w:rsidP="00541D2D">
      <w:pPr>
        <w:rPr>
          <w:rFonts w:eastAsiaTheme="minorHAnsi" w:cs="Arial"/>
          <w:szCs w:val="24"/>
          <w:lang w:val="es-ES" w:eastAsia="es-ES"/>
        </w:rPr>
      </w:pPr>
      <w:r w:rsidRPr="00541D2D">
        <w:rPr>
          <w:rFonts w:eastAsiaTheme="minorHAnsi" w:cs="Arial"/>
          <w:szCs w:val="24"/>
          <w:lang w:val="es-ES" w:eastAsia="es-ES"/>
        </w:rPr>
        <w:t xml:space="preserve">Así, una vez abierta la etapa de instrucción, en el sumario se observa que </w:t>
      </w:r>
      <w:r w:rsidRPr="00541D2D">
        <w:rPr>
          <w:rFonts w:eastAsiaTheme="minorHAnsi" w:cs="Arial"/>
          <w:b/>
          <w:bCs/>
          <w:szCs w:val="24"/>
          <w:lang w:val="es-ES" w:eastAsia="es-ES"/>
        </w:rPr>
        <w:t>el Sujeto Obligado</w:t>
      </w:r>
      <w:r w:rsidRPr="00541D2D">
        <w:rPr>
          <w:rFonts w:eastAsiaTheme="minorHAnsi" w:cs="Arial"/>
          <w:szCs w:val="24"/>
          <w:lang w:val="es-ES" w:eastAsia="es-ES"/>
        </w:rPr>
        <w:t xml:space="preserve"> en fecha </w:t>
      </w:r>
      <w:r w:rsidR="009C3623">
        <w:rPr>
          <w:rFonts w:eastAsiaTheme="minorHAnsi" w:cs="Arial"/>
          <w:szCs w:val="24"/>
          <w:lang w:val="es-ES" w:eastAsia="es-ES"/>
        </w:rPr>
        <w:t>once de julio</w:t>
      </w:r>
      <w:r w:rsidRPr="00541D2D">
        <w:rPr>
          <w:rFonts w:eastAsiaTheme="minorHAnsi" w:cs="Arial"/>
          <w:szCs w:val="24"/>
          <w:lang w:val="es-ES" w:eastAsia="es-ES"/>
        </w:rPr>
        <w:t xml:space="preserve"> de dos mil veinticinco, presentó su informe justificado,</w:t>
      </w:r>
      <w:r w:rsidR="002629A7">
        <w:rPr>
          <w:rFonts w:eastAsiaTheme="minorHAnsi" w:cs="Arial"/>
          <w:szCs w:val="24"/>
          <w:lang w:val="es-ES" w:eastAsia="es-ES"/>
        </w:rPr>
        <w:t xml:space="preserve"> </w:t>
      </w:r>
      <w:r w:rsidR="004D0BD9">
        <w:rPr>
          <w:rFonts w:eastAsiaTheme="minorHAnsi" w:cs="Arial"/>
          <w:szCs w:val="24"/>
          <w:lang w:val="es-ES" w:eastAsia="es-ES"/>
        </w:rPr>
        <w:t xml:space="preserve">a través de </w:t>
      </w:r>
      <w:r w:rsidR="004D0BD9" w:rsidRPr="004D0BD9">
        <w:rPr>
          <w:rFonts w:eastAsiaTheme="minorHAnsi" w:cs="Arial"/>
          <w:szCs w:val="24"/>
          <w:u w:val="single"/>
          <w:lang w:val="es-ES" w:eastAsia="es-ES"/>
        </w:rPr>
        <w:t>6</w:t>
      </w:r>
      <w:r w:rsidR="004D0BD9">
        <w:rPr>
          <w:rFonts w:eastAsiaTheme="minorHAnsi" w:cs="Arial"/>
          <w:szCs w:val="24"/>
          <w:u w:val="single"/>
          <w:lang w:val="es-ES" w:eastAsia="es-ES"/>
        </w:rPr>
        <w:t xml:space="preserve"> </w:t>
      </w:r>
      <w:r w:rsidR="004D0BD9" w:rsidRPr="004D0BD9">
        <w:rPr>
          <w:rFonts w:eastAsiaTheme="minorHAnsi" w:cs="Arial"/>
          <w:szCs w:val="24"/>
          <w:lang w:val="es-ES" w:eastAsia="es-ES"/>
        </w:rPr>
        <w:t>archivos electrónicos</w:t>
      </w:r>
      <w:r w:rsidR="004D0BD9">
        <w:rPr>
          <w:rFonts w:eastAsiaTheme="minorHAnsi" w:cs="Arial"/>
          <w:szCs w:val="24"/>
          <w:lang w:val="es-ES" w:eastAsia="es-ES"/>
        </w:rPr>
        <w:t xml:space="preserve"> de título </w:t>
      </w:r>
      <w:r w:rsidR="002629A7" w:rsidRPr="002629A7">
        <w:rPr>
          <w:rFonts w:eastAsiaTheme="minorHAnsi" w:cs="Arial"/>
          <w:szCs w:val="24"/>
          <w:lang w:val="es-ES" w:eastAsia="es-ES"/>
        </w:rPr>
        <w:t>"INFORME JUSTIFICADO RR 06310-2025 UT.pdf", "a040_25.pdf", "INFORME JUSTIFICADO RR 6310-2025 UT.docx", "INFORME JUSTIFICADO RR 6310-2025 UCG.pdf", "IEEM-DPC-481-2025 Informe justificado RR 6310-2025 DPC.pdf" y "IFORME JUSTIFICADO DPC.docx"</w:t>
      </w:r>
      <w:r w:rsidR="002629A7">
        <w:rPr>
          <w:rFonts w:eastAsiaTheme="minorHAnsi" w:cs="Arial"/>
          <w:szCs w:val="24"/>
          <w:lang w:val="es-ES" w:eastAsia="es-ES"/>
        </w:rPr>
        <w:t xml:space="preserve">, los cuales fueron puestos a la vista en fecha cinco de septiembre de la anualidad en curso. </w:t>
      </w:r>
    </w:p>
    <w:p w14:paraId="38E922BA" w14:textId="77777777" w:rsidR="004D0BD9" w:rsidRDefault="004D0BD9" w:rsidP="00541D2D">
      <w:pPr>
        <w:rPr>
          <w:rFonts w:eastAsiaTheme="minorHAnsi" w:cs="Arial"/>
          <w:szCs w:val="24"/>
          <w:lang w:val="es-ES" w:eastAsia="es-ES"/>
        </w:rPr>
      </w:pPr>
    </w:p>
    <w:p w14:paraId="62E5FC7B" w14:textId="77777777" w:rsidR="004D0BD9" w:rsidRDefault="004D0BD9" w:rsidP="00541D2D">
      <w:pPr>
        <w:rPr>
          <w:rFonts w:eastAsiaTheme="minorHAnsi" w:cs="Arial"/>
          <w:szCs w:val="24"/>
          <w:lang w:val="es-ES" w:eastAsia="es-ES"/>
        </w:rPr>
      </w:pPr>
    </w:p>
    <w:p w14:paraId="7A96D9D4" w14:textId="2C6F6862" w:rsidR="00541D2D" w:rsidRPr="00541D2D" w:rsidRDefault="00835466" w:rsidP="00541D2D">
      <w:pPr>
        <w:rPr>
          <w:rFonts w:eastAsiaTheme="minorHAnsi" w:cs="Arial"/>
          <w:szCs w:val="24"/>
          <w:lang w:val="es-ES" w:eastAsia="es-ES"/>
        </w:rPr>
      </w:pPr>
      <w:r>
        <w:rPr>
          <w:rFonts w:eastAsiaTheme="minorHAnsi" w:cs="Arial"/>
          <w:szCs w:val="24"/>
          <w:lang w:val="es-ES" w:eastAsia="es-ES"/>
        </w:rPr>
        <w:lastRenderedPageBreak/>
        <w:t>A</w:t>
      </w:r>
      <w:r w:rsidR="00541D2D" w:rsidRPr="00541D2D">
        <w:rPr>
          <w:rFonts w:eastAsiaTheme="minorHAnsi" w:cs="Arial"/>
          <w:szCs w:val="24"/>
          <w:lang w:val="es-ES" w:eastAsia="es-ES"/>
        </w:rPr>
        <w:t xml:space="preserve">simismo, se hace constar que </w:t>
      </w:r>
      <w:r w:rsidR="009C3623">
        <w:rPr>
          <w:rFonts w:eastAsiaTheme="minorHAnsi" w:cs="Arial"/>
          <w:szCs w:val="24"/>
          <w:lang w:val="es-ES" w:eastAsia="es-ES"/>
        </w:rPr>
        <w:t>el</w:t>
      </w:r>
      <w:r w:rsidR="00541D2D" w:rsidRPr="00541D2D">
        <w:rPr>
          <w:rFonts w:eastAsiaTheme="minorHAnsi" w:cs="Arial"/>
          <w:szCs w:val="24"/>
          <w:lang w:val="es-ES" w:eastAsia="es-ES"/>
        </w:rPr>
        <w:t xml:space="preserve"> </w:t>
      </w:r>
      <w:r w:rsidR="00541D2D" w:rsidRPr="00541D2D">
        <w:rPr>
          <w:rFonts w:eastAsiaTheme="minorHAnsi" w:cs="Arial"/>
          <w:b/>
          <w:bCs/>
          <w:szCs w:val="24"/>
          <w:lang w:val="es-ES" w:eastAsia="es-ES"/>
        </w:rPr>
        <w:t>Recurrente</w:t>
      </w:r>
      <w:r w:rsidR="00541D2D" w:rsidRPr="00541D2D">
        <w:rPr>
          <w:rFonts w:eastAsiaTheme="minorHAnsi" w:cs="Arial"/>
          <w:szCs w:val="24"/>
          <w:lang w:val="es-ES" w:eastAsia="es-ES"/>
        </w:rPr>
        <w:t xml:space="preserve"> fue omis</w:t>
      </w:r>
      <w:r w:rsidR="009C3623">
        <w:rPr>
          <w:rFonts w:eastAsiaTheme="minorHAnsi" w:cs="Arial"/>
          <w:szCs w:val="24"/>
          <w:lang w:val="es-ES" w:eastAsia="es-ES"/>
        </w:rPr>
        <w:t>o</w:t>
      </w:r>
      <w:r w:rsidR="00541D2D" w:rsidRPr="00541D2D">
        <w:rPr>
          <w:rFonts w:eastAsiaTheme="minorHAnsi" w:cs="Arial"/>
          <w:szCs w:val="24"/>
          <w:lang w:val="es-ES" w:eastAsia="es-ES"/>
        </w:rPr>
        <w:t xml:space="preserve"> en presentar sus manifestaciones respecto al informe justificado remitido por el </w:t>
      </w:r>
      <w:r w:rsidR="00541D2D" w:rsidRPr="00541D2D">
        <w:rPr>
          <w:rFonts w:eastAsiaTheme="minorHAnsi" w:cs="Arial"/>
          <w:b/>
          <w:bCs/>
          <w:szCs w:val="24"/>
          <w:lang w:val="es-ES" w:eastAsia="es-ES"/>
        </w:rPr>
        <w:t>Sujeto Obligado</w:t>
      </w:r>
      <w:r w:rsidR="00541D2D" w:rsidRPr="00541D2D">
        <w:rPr>
          <w:rFonts w:eastAsiaTheme="minorHAnsi" w:cs="Arial"/>
          <w:szCs w:val="24"/>
          <w:lang w:val="es-ES" w:eastAsia="es-ES"/>
        </w:rPr>
        <w:t>; finalmente se advierte de las constancias que integran el presente expediente, que no existe prueba alguna que deba desahogarse.</w:t>
      </w:r>
    </w:p>
    <w:p w14:paraId="73DABF5F" w14:textId="339BC9BB" w:rsidR="00C835F6" w:rsidRDefault="00C835F6" w:rsidP="00C835F6">
      <w:pPr>
        <w:jc w:val="center"/>
        <w:rPr>
          <w:rFonts w:cs="Arial"/>
        </w:rPr>
      </w:pPr>
    </w:p>
    <w:p w14:paraId="0C68C56A" w14:textId="77777777" w:rsidR="003338BA" w:rsidRPr="00B407F9" w:rsidRDefault="00475720" w:rsidP="003338BA">
      <w:pPr>
        <w:spacing w:before="240"/>
        <w:rPr>
          <w:b/>
          <w:sz w:val="26"/>
          <w:szCs w:val="26"/>
        </w:rPr>
      </w:pPr>
      <w:r w:rsidRPr="00844A38">
        <w:rPr>
          <w:b/>
          <w:sz w:val="26"/>
          <w:szCs w:val="26"/>
        </w:rPr>
        <w:t>SEXTO</w:t>
      </w:r>
      <w:r w:rsidRPr="00844A38">
        <w:rPr>
          <w:rFonts w:eastAsiaTheme="minorHAnsi" w:cs="Arial"/>
          <w:b/>
          <w:sz w:val="26"/>
          <w:szCs w:val="26"/>
          <w:lang w:val="es-MX" w:eastAsia="en-US"/>
        </w:rPr>
        <w:t xml:space="preserve">. </w:t>
      </w:r>
      <w:r w:rsidR="003338BA" w:rsidRPr="00B407F9">
        <w:rPr>
          <w:b/>
          <w:sz w:val="26"/>
          <w:szCs w:val="26"/>
        </w:rPr>
        <w:t>De la ampliación del término para resolver.</w:t>
      </w:r>
    </w:p>
    <w:p w14:paraId="2A6A1B12" w14:textId="77777777" w:rsidR="003338BA" w:rsidRPr="00C779DD" w:rsidRDefault="003338BA" w:rsidP="003338BA">
      <w:pPr>
        <w:rPr>
          <w:rFonts w:cs="Arial"/>
          <w:szCs w:val="24"/>
        </w:rPr>
      </w:pPr>
      <w:r w:rsidRPr="00C779DD">
        <w:rPr>
          <w:szCs w:val="24"/>
        </w:rPr>
        <w:t xml:space="preserve">En fecha </w:t>
      </w:r>
      <w:r>
        <w:rPr>
          <w:szCs w:val="24"/>
        </w:rPr>
        <w:t>diecisiete de julio</w:t>
      </w:r>
      <w:r w:rsidRPr="00C779DD">
        <w:rPr>
          <w:szCs w:val="24"/>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39D57C8" w14:textId="77777777" w:rsidR="003338BA" w:rsidRDefault="003338BA" w:rsidP="00475720">
      <w:pPr>
        <w:tabs>
          <w:tab w:val="left" w:pos="3206"/>
        </w:tabs>
        <w:rPr>
          <w:rFonts w:eastAsiaTheme="minorHAnsi" w:cs="Arial"/>
          <w:b/>
          <w:sz w:val="26"/>
          <w:szCs w:val="26"/>
          <w:lang w:val="es-MX" w:eastAsia="en-US"/>
        </w:rPr>
      </w:pPr>
    </w:p>
    <w:p w14:paraId="36E8A29D" w14:textId="46246437" w:rsidR="00475720" w:rsidRPr="00844A38" w:rsidRDefault="003338BA" w:rsidP="00475720">
      <w:pPr>
        <w:tabs>
          <w:tab w:val="left" w:pos="3206"/>
        </w:tabs>
        <w:rPr>
          <w:rFonts w:eastAsiaTheme="minorHAnsi" w:cs="Arial"/>
          <w:b/>
          <w:sz w:val="26"/>
          <w:szCs w:val="26"/>
          <w:lang w:val="es-MX" w:eastAsia="en-US"/>
        </w:rPr>
      </w:pPr>
      <w:r w:rsidRPr="003338BA">
        <w:rPr>
          <w:rFonts w:eastAsiaTheme="minorHAnsi" w:cs="Arial"/>
          <w:b/>
          <w:sz w:val="26"/>
          <w:szCs w:val="26"/>
          <w:lang w:val="es-MX" w:eastAsia="en-US"/>
        </w:rPr>
        <w:t xml:space="preserve">SÉPTIMO. </w:t>
      </w:r>
      <w:r w:rsidR="00475720" w:rsidRPr="00844A38">
        <w:rPr>
          <w:rFonts w:eastAsiaTheme="minorHAnsi" w:cs="Arial"/>
          <w:b/>
          <w:sz w:val="26"/>
          <w:szCs w:val="26"/>
          <w:lang w:val="es-MX" w:eastAsia="en-US"/>
        </w:rPr>
        <w:t>Del cierre de instrucción.</w:t>
      </w:r>
      <w:r w:rsidR="00475720" w:rsidRPr="00844A38">
        <w:rPr>
          <w:rFonts w:eastAsiaTheme="minorHAnsi" w:cs="Arial"/>
          <w:b/>
          <w:sz w:val="26"/>
          <w:szCs w:val="26"/>
          <w:lang w:val="es-MX" w:eastAsia="en-US"/>
        </w:rPr>
        <w:tab/>
      </w:r>
    </w:p>
    <w:p w14:paraId="15B32765" w14:textId="30B0DAA0" w:rsidR="00475720" w:rsidRDefault="00475720" w:rsidP="00475720">
      <w:pPr>
        <w:rPr>
          <w:rFonts w:eastAsiaTheme="minorHAnsi" w:cs="Arial"/>
          <w:lang w:val="es-MX" w:eastAsia="en-US"/>
        </w:rPr>
      </w:pPr>
      <w:r w:rsidRPr="00844A38">
        <w:rPr>
          <w:rFonts w:eastAsiaTheme="minorHAnsi" w:cs="Arial"/>
          <w:lang w:val="es-MX" w:eastAsia="en-US"/>
        </w:rPr>
        <w:t xml:space="preserve">Así, una vez transcurrido el término legal, permitió decretarse el cierre de instrucción en fecha </w:t>
      </w:r>
      <w:r w:rsidR="00B1620C">
        <w:rPr>
          <w:rFonts w:eastAsiaTheme="minorHAnsi" w:cs="Arial"/>
          <w:lang w:val="es-MX" w:eastAsia="en-US"/>
        </w:rPr>
        <w:t>doce</w:t>
      </w:r>
      <w:r w:rsidR="008E6D6A">
        <w:rPr>
          <w:rFonts w:eastAsiaTheme="minorHAnsi" w:cs="Arial"/>
          <w:lang w:val="es-MX" w:eastAsia="en-US"/>
        </w:rPr>
        <w:t xml:space="preserve"> de septiembre</w:t>
      </w:r>
      <w:r w:rsidRPr="00844A38">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03D1F74" w14:textId="77777777" w:rsidR="00B407F9" w:rsidRDefault="00B407F9" w:rsidP="00475720">
      <w:pPr>
        <w:rPr>
          <w:rFonts w:eastAsiaTheme="minorHAnsi" w:cs="Arial"/>
          <w:lang w:val="es-MX" w:eastAsia="en-US"/>
        </w:rPr>
      </w:pPr>
    </w:p>
    <w:p w14:paraId="7D255E67" w14:textId="77777777" w:rsidR="003338BA" w:rsidRDefault="003338BA" w:rsidP="00475720">
      <w:pPr>
        <w:rPr>
          <w:rFonts w:eastAsiaTheme="minorHAnsi" w:cs="Arial"/>
          <w:lang w:val="es-MX" w:eastAsia="en-US"/>
        </w:rPr>
      </w:pPr>
    </w:p>
    <w:p w14:paraId="7741CCA2" w14:textId="77777777" w:rsidR="00A970D5" w:rsidRPr="00844A38" w:rsidRDefault="00A970D5" w:rsidP="006922F5">
      <w:pPr>
        <w:pStyle w:val="Ttulo1"/>
        <w:rPr>
          <w:rFonts w:eastAsia="Palatino Linotype"/>
          <w:lang w:val="es-ES_tradnl"/>
        </w:rPr>
      </w:pPr>
      <w:r w:rsidRPr="00844A38">
        <w:rPr>
          <w:rFonts w:eastAsia="Palatino Linotype"/>
          <w:lang w:val="es-ES_tradnl"/>
        </w:rPr>
        <w:t>C O N S I D E R A N D O</w:t>
      </w:r>
    </w:p>
    <w:p w14:paraId="32546275"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844A38"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844A38">
        <w:rPr>
          <w:rFonts w:eastAsia="Palatino Linotype" w:cs="Palatino Linotype"/>
          <w:b/>
          <w:color w:val="000000"/>
          <w:sz w:val="26"/>
          <w:szCs w:val="26"/>
          <w:lang w:val="es-MX"/>
        </w:rPr>
        <w:t>PRIMERO. De la competencia.</w:t>
      </w:r>
    </w:p>
    <w:p w14:paraId="2E9BFECD" w14:textId="4BB929BF" w:rsidR="00281804" w:rsidRPr="00844A38" w:rsidRDefault="009C3623" w:rsidP="00281804">
      <w:pPr>
        <w:pBdr>
          <w:top w:val="nil"/>
          <w:left w:val="nil"/>
          <w:bottom w:val="nil"/>
          <w:right w:val="nil"/>
          <w:between w:val="nil"/>
        </w:pBdr>
        <w:contextualSpacing/>
        <w:rPr>
          <w:rFonts w:eastAsia="Palatino Linotype" w:cs="Palatino Linotype"/>
          <w:color w:val="000000"/>
          <w:szCs w:val="24"/>
          <w:lang w:val="es-MX"/>
        </w:rPr>
      </w:pPr>
      <w:r w:rsidRPr="009C3623">
        <w:rPr>
          <w:rFonts w:eastAsia="Palatino Linotype" w:cs="Palatino Linotype"/>
          <w:color w:val="000000"/>
          <w:szCs w:val="24"/>
          <w:lang w:val="es-MX"/>
        </w:rPr>
        <w:t xml:space="preserve">Este Instituto de Transparencia, Acceso a la Información Pública y Protección de Datos Personales del Estado de México y Municipios es competente para conocer y resolver el </w:t>
      </w:r>
      <w:r w:rsidRPr="009C3623">
        <w:rPr>
          <w:rFonts w:eastAsia="Palatino Linotype" w:cs="Palatino Linotype"/>
          <w:color w:val="000000"/>
          <w:szCs w:val="24"/>
          <w:lang w:val="es-MX"/>
        </w:rPr>
        <w:lastRenderedPageBreak/>
        <w:t>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8AB77F"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844A38"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844A38">
        <w:rPr>
          <w:rFonts w:eastAsia="Palatino Linotype" w:cs="Palatino Linotype"/>
          <w:b/>
          <w:color w:val="000000"/>
          <w:sz w:val="26"/>
          <w:szCs w:val="26"/>
          <w:lang w:val="es-MX"/>
        </w:rPr>
        <w:t xml:space="preserve">SEGUNDO. Sobre los alcances del recurso de revisión. </w:t>
      </w:r>
    </w:p>
    <w:p w14:paraId="04C24794"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2CCB60A" w14:textId="77777777" w:rsidR="009F1B49" w:rsidRPr="00844A38" w:rsidRDefault="009F1B49" w:rsidP="00281804">
      <w:pPr>
        <w:pBdr>
          <w:top w:val="nil"/>
          <w:left w:val="nil"/>
          <w:bottom w:val="nil"/>
          <w:right w:val="nil"/>
          <w:between w:val="nil"/>
        </w:pBdr>
        <w:contextualSpacing/>
        <w:rPr>
          <w:rFonts w:eastAsia="Palatino Linotype" w:cs="Palatino Linotype"/>
          <w:color w:val="000000"/>
          <w:szCs w:val="24"/>
          <w:lang w:val="es-MX"/>
        </w:rPr>
      </w:pPr>
    </w:p>
    <w:p w14:paraId="364DFF0F" w14:textId="77777777" w:rsidR="009F1B49" w:rsidRPr="00844A38" w:rsidRDefault="009F1B49" w:rsidP="009F1B49">
      <w:pPr>
        <w:contextualSpacing/>
        <w:rPr>
          <w:rFonts w:eastAsia="Times New Roman" w:cs="Palatino Linotype"/>
          <w:szCs w:val="24"/>
        </w:rPr>
      </w:pPr>
      <w:r w:rsidRPr="00844A38">
        <w:rPr>
          <w:rFonts w:eastAsia="Times New Roman" w:cs="Arial"/>
          <w:b/>
          <w:sz w:val="28"/>
          <w:szCs w:val="24"/>
          <w:lang w:eastAsia="es-ES"/>
        </w:rPr>
        <w:t>TERCERO</w:t>
      </w:r>
      <w:r w:rsidRPr="00844A38">
        <w:rPr>
          <w:rFonts w:eastAsia="Times New Roman" w:cs="Arial"/>
          <w:b/>
          <w:szCs w:val="24"/>
          <w:lang w:eastAsia="es-ES"/>
        </w:rPr>
        <w:t xml:space="preserve">. </w:t>
      </w:r>
      <w:r w:rsidRPr="00844A38">
        <w:rPr>
          <w:rFonts w:eastAsia="Times New Roman" w:cs="Arial"/>
          <w:b/>
          <w:sz w:val="28"/>
          <w:szCs w:val="28"/>
          <w:lang w:eastAsia="es-ES"/>
        </w:rPr>
        <w:t>Cuestiones de previo y especial pronunciamiento.</w:t>
      </w:r>
    </w:p>
    <w:p w14:paraId="693EAE0D" w14:textId="77777777" w:rsidR="009F1B49" w:rsidRPr="00844A38" w:rsidRDefault="009F1B49" w:rsidP="009F1B49">
      <w:pPr>
        <w:pStyle w:val="Sinespaciado"/>
        <w:spacing w:line="360" w:lineRule="auto"/>
        <w:jc w:val="both"/>
        <w:rPr>
          <w:rFonts w:ascii="Palatino Linotype" w:hAnsi="Palatino Linotype" w:cs="Palatino Linotype"/>
          <w:lang w:val="es-ES_tradnl" w:eastAsia="es-MX"/>
        </w:rPr>
      </w:pPr>
      <w:r w:rsidRPr="00844A38">
        <w:rPr>
          <w:rFonts w:ascii="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24A80D21" w14:textId="77777777" w:rsidR="009F1B49" w:rsidRPr="00844A38" w:rsidRDefault="009F1B49" w:rsidP="009F1B49">
      <w:pPr>
        <w:contextualSpacing/>
        <w:rPr>
          <w:rFonts w:eastAsia="Times New Roman" w:cs="Palatino Linotype"/>
          <w:szCs w:val="24"/>
        </w:rPr>
      </w:pPr>
    </w:p>
    <w:p w14:paraId="5E0C6DBF"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 xml:space="preserve">Artículo 180. </w:t>
      </w:r>
      <w:r w:rsidRPr="00844A38">
        <w:rPr>
          <w:rFonts w:eastAsia="Times New Roman" w:cs="Palatino Linotype"/>
          <w:i/>
        </w:rPr>
        <w:t>El recurso de revisión contendrá:</w:t>
      </w:r>
    </w:p>
    <w:p w14:paraId="1DDB3286" w14:textId="77777777" w:rsidR="009F1B49" w:rsidRPr="00844A38" w:rsidRDefault="009F1B49" w:rsidP="009F1B49">
      <w:pPr>
        <w:spacing w:line="240" w:lineRule="auto"/>
        <w:ind w:left="567" w:right="567"/>
        <w:contextualSpacing/>
        <w:rPr>
          <w:rFonts w:eastAsia="Times New Roman" w:cs="Palatino Linotype"/>
          <w:i/>
        </w:rPr>
      </w:pPr>
    </w:p>
    <w:p w14:paraId="7D2DF50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lastRenderedPageBreak/>
        <w:t>I. El sujeto obligado ante la cual se presentó la solicitud;</w:t>
      </w:r>
    </w:p>
    <w:p w14:paraId="671CF549"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II. El nombre del solicitante que recurre</w:t>
      </w:r>
      <w:r w:rsidRPr="00844A38">
        <w:rPr>
          <w:rFonts w:eastAsia="Times New Roman" w:cs="Palatino Linotype"/>
          <w:i/>
        </w:rPr>
        <w:t xml:space="preserve"> o de su representante y, en su caso, del tercero interesado, así como la dirección o medio que señale para recibir notificaciones;</w:t>
      </w:r>
    </w:p>
    <w:p w14:paraId="5CFAEE2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III. El número de folio de respuesta de la solicitud de acceso;</w:t>
      </w:r>
    </w:p>
    <w:p w14:paraId="218E1E17"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IV. La fecha en que fue notificada la respuesta al solicitante o tuvo conocimiento del acto reclamado, o de presentación de la solicitud, en caso de falta de respuesta;</w:t>
      </w:r>
    </w:p>
    <w:p w14:paraId="6425116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 El acto que se recurre;</w:t>
      </w:r>
    </w:p>
    <w:p w14:paraId="7D18727A"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VI. Las razones o motivos de inconformidad;</w:t>
      </w:r>
    </w:p>
    <w:p w14:paraId="2DECB406"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VII. La copia de la respuesta que se impugna y, en su caso, de la notificación correspondiente, en el caso de respuesta de la solicitud; y</w:t>
      </w:r>
    </w:p>
    <w:p w14:paraId="6CC30DD6"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VIII. Firma del recurrente, en su caso, cuando se presente por escrito, requisito sin el cual se dará trámite al recurso.</w:t>
      </w:r>
    </w:p>
    <w:p w14:paraId="11F6CBC6" w14:textId="77777777" w:rsidR="009F1B49" w:rsidRPr="00844A38" w:rsidRDefault="009F1B49" w:rsidP="009F1B49">
      <w:pPr>
        <w:spacing w:line="240" w:lineRule="auto"/>
        <w:ind w:left="567" w:right="567"/>
        <w:contextualSpacing/>
        <w:rPr>
          <w:rFonts w:eastAsia="Times New Roman" w:cs="Palatino Linotype"/>
          <w:i/>
        </w:rPr>
      </w:pPr>
    </w:p>
    <w:p w14:paraId="43F4165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Adicionalmente, se podrán anexar las pruebas y demás elementos que considere procedentes someter a juicio del Instituto.</w:t>
      </w:r>
    </w:p>
    <w:p w14:paraId="0608DB6D" w14:textId="77777777" w:rsidR="009F1B49" w:rsidRPr="00844A38" w:rsidRDefault="009F1B49" w:rsidP="009F1B49">
      <w:pPr>
        <w:spacing w:line="240" w:lineRule="auto"/>
        <w:ind w:left="567" w:right="567"/>
        <w:contextualSpacing/>
        <w:rPr>
          <w:rFonts w:eastAsia="Times New Roman" w:cs="Palatino Linotype"/>
          <w:i/>
        </w:rPr>
      </w:pPr>
    </w:p>
    <w:p w14:paraId="1CD68857"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En ningún caso será necesario que el particular ratifique el recurso de revisión interpuesto.</w:t>
      </w:r>
    </w:p>
    <w:p w14:paraId="6D393DBB" w14:textId="77777777" w:rsidR="009F1B49" w:rsidRPr="00844A38" w:rsidRDefault="009F1B49" w:rsidP="009F1B49">
      <w:pPr>
        <w:spacing w:line="240" w:lineRule="auto"/>
        <w:ind w:left="567" w:right="567"/>
        <w:contextualSpacing/>
        <w:rPr>
          <w:rFonts w:eastAsia="Times New Roman" w:cs="Palatino Linotype"/>
          <w:i/>
        </w:rPr>
      </w:pPr>
    </w:p>
    <w:p w14:paraId="48021DC1"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b/>
          <w:bCs/>
          <w:i/>
          <w:iCs/>
        </w:rPr>
        <w:t>En caso de que el recurso se interponga de manera electrónica no será indispensable que contengan los requisitos establecidos en las fracciones II</w:t>
      </w:r>
      <w:r w:rsidRPr="00844A38">
        <w:rPr>
          <w:rFonts w:eastAsia="Times New Roman" w:cs="Palatino Linotype"/>
          <w:i/>
          <w:iCs/>
        </w:rPr>
        <w:t>, IV, VII y VIII.</w:t>
      </w:r>
    </w:p>
    <w:p w14:paraId="143C4178" w14:textId="77777777" w:rsidR="009F1B49" w:rsidRPr="00844A38" w:rsidRDefault="009F1B49" w:rsidP="009F1B49">
      <w:pPr>
        <w:contextualSpacing/>
        <w:rPr>
          <w:rFonts w:eastAsia="Times New Roman" w:cs="Palatino Linotype"/>
          <w:bCs/>
          <w:iCs/>
          <w:szCs w:val="24"/>
        </w:rPr>
      </w:pPr>
    </w:p>
    <w:p w14:paraId="66A84F97" w14:textId="77777777" w:rsidR="009F1B49" w:rsidRPr="00844A38" w:rsidRDefault="009F1B49" w:rsidP="009F1B49">
      <w:pPr>
        <w:contextualSpacing/>
        <w:rPr>
          <w:rFonts w:eastAsia="Times New Roman" w:cs="Palatino Linotype"/>
          <w:szCs w:val="24"/>
        </w:rPr>
      </w:pPr>
      <w:r w:rsidRPr="00844A38">
        <w:rPr>
          <w:rFonts w:eastAsia="Times New Roman" w:cs="Palatino Linotype"/>
          <w:szCs w:val="24"/>
        </w:rPr>
        <w:t xml:space="preserve">Cabe señalar que el hoy Recurrente </w:t>
      </w:r>
      <w:r w:rsidRPr="00844A38">
        <w:rPr>
          <w:rFonts w:eastAsia="Times New Roman" w:cs="Times New Roman"/>
          <w:szCs w:val="24"/>
          <w:lang w:eastAsia="es-ES"/>
        </w:rPr>
        <w:t xml:space="preserve">en ejercicio de su derecho de acceso a la información pública, no proporcionó un nombre para que </w:t>
      </w:r>
      <w:r w:rsidRPr="00844A38">
        <w:rPr>
          <w:rFonts w:eastAsia="Times New Roman" w:cs="Arial"/>
          <w:szCs w:val="24"/>
          <w:lang w:eastAsia="es-ES"/>
        </w:rPr>
        <w:t>sea</w:t>
      </w:r>
      <w:r w:rsidRPr="00844A38">
        <w:rPr>
          <w:rFonts w:eastAsia="Times New Roman" w:cs="Times New Roman"/>
          <w:szCs w:val="24"/>
          <w:lang w:eastAsia="es-ES"/>
        </w:rPr>
        <w:t xml:space="preserve"> identificado; por lo que no tiene certeza sobre su identidad</w:t>
      </w:r>
      <w:r w:rsidRPr="00844A38">
        <w:rPr>
          <w:rFonts w:eastAsia="Times New Roman"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2023A21" w14:textId="77777777" w:rsidR="009F1B49" w:rsidRPr="00844A38" w:rsidRDefault="009F1B49" w:rsidP="009F1B49">
      <w:pPr>
        <w:contextualSpacing/>
        <w:rPr>
          <w:rFonts w:eastAsia="Times New Roman" w:cs="Palatino Linotype"/>
          <w:szCs w:val="24"/>
        </w:rPr>
      </w:pPr>
    </w:p>
    <w:p w14:paraId="0A7D01DF"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lastRenderedPageBreak/>
        <w:t>Artículo 155.</w:t>
      </w:r>
      <w:r w:rsidRPr="00844A38">
        <w:rPr>
          <w:rFonts w:eastAsia="Times New Roman" w:cs="Palatino Linotype"/>
          <w:i/>
        </w:rPr>
        <w:t xml:space="preserve"> […]</w:t>
      </w:r>
    </w:p>
    <w:p w14:paraId="78BD817B" w14:textId="77777777" w:rsidR="009F1B49" w:rsidRPr="00844A38" w:rsidRDefault="009F1B49" w:rsidP="009F1B49">
      <w:pPr>
        <w:spacing w:line="240" w:lineRule="auto"/>
        <w:ind w:left="567" w:right="567"/>
        <w:contextualSpacing/>
        <w:rPr>
          <w:rFonts w:eastAsia="Times New Roman" w:cs="Palatino Linotype"/>
          <w:i/>
        </w:rPr>
      </w:pPr>
    </w:p>
    <w:p w14:paraId="191D31BD"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Las solicitudes anónimas</w:t>
      </w:r>
      <w:r w:rsidRPr="00844A38">
        <w:rPr>
          <w:rFonts w:eastAsia="Times New Roman" w:cs="Palatino Linotype"/>
          <w:i/>
        </w:rPr>
        <w:t xml:space="preserve">, con nombre incompleto o seudónimo </w:t>
      </w:r>
      <w:r w:rsidRPr="00844A38">
        <w:rPr>
          <w:rFonts w:eastAsia="Times New Roman" w:cs="Palatino Linotype"/>
          <w:b/>
          <w:i/>
        </w:rPr>
        <w:t>serán procedentes para su trámite</w:t>
      </w:r>
      <w:r w:rsidRPr="00844A38">
        <w:rPr>
          <w:rFonts w:eastAsia="Times New Roman" w:cs="Palatino Linotype"/>
          <w:i/>
        </w:rPr>
        <w:t xml:space="preserve"> por parte del sujeto obligado ante quien se presente. No podrá requerirse información adicional con motivo del nombre proporcionado por el solicitante.</w:t>
      </w:r>
    </w:p>
    <w:p w14:paraId="1009E26D" w14:textId="77777777" w:rsidR="009F1B49" w:rsidRPr="00844A38" w:rsidRDefault="009F1B49" w:rsidP="009F1B49">
      <w:pPr>
        <w:contextualSpacing/>
        <w:rPr>
          <w:rFonts w:eastAsia="Times New Roman" w:cs="Palatino Linotype"/>
          <w:szCs w:val="24"/>
        </w:rPr>
      </w:pPr>
    </w:p>
    <w:p w14:paraId="66401D01" w14:textId="77777777" w:rsidR="009F1B49" w:rsidRPr="00844A38" w:rsidRDefault="009F1B49" w:rsidP="009F1B49">
      <w:pPr>
        <w:contextualSpacing/>
        <w:rPr>
          <w:rFonts w:eastAsia="Times New Roman" w:cs="Palatino Linotype"/>
          <w:szCs w:val="24"/>
        </w:rPr>
      </w:pPr>
      <w:r w:rsidRPr="00844A38">
        <w:rPr>
          <w:rFonts w:eastAsia="Times New Roman"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4A58C0D" w14:textId="77777777" w:rsidR="009F1B49" w:rsidRPr="00844A38" w:rsidRDefault="009F1B49" w:rsidP="009F1B49">
      <w:pPr>
        <w:contextualSpacing/>
        <w:rPr>
          <w:rFonts w:eastAsia="Times New Roman" w:cs="Palatino Linotype"/>
          <w:szCs w:val="24"/>
        </w:rPr>
      </w:pPr>
    </w:p>
    <w:p w14:paraId="1DFA9CA7" w14:textId="77777777" w:rsidR="009F1B49" w:rsidRPr="00844A38" w:rsidRDefault="009F1B49" w:rsidP="009F1B49">
      <w:pPr>
        <w:spacing w:line="240" w:lineRule="auto"/>
        <w:ind w:left="567" w:right="567"/>
        <w:contextualSpacing/>
        <w:jc w:val="center"/>
        <w:rPr>
          <w:rFonts w:eastAsia="Times New Roman" w:cs="Palatino Linotype"/>
          <w:b/>
          <w:i/>
          <w:u w:val="single"/>
        </w:rPr>
      </w:pPr>
      <w:r w:rsidRPr="00844A38">
        <w:rPr>
          <w:rFonts w:eastAsia="Times New Roman" w:cs="Palatino Linotype"/>
          <w:b/>
          <w:i/>
          <w:u w:val="single"/>
        </w:rPr>
        <w:t>Constitución Política de los Estados Unidos Mexicanos</w:t>
      </w:r>
    </w:p>
    <w:p w14:paraId="3258628C"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b/>
          <w:bCs/>
          <w:i/>
          <w:iCs/>
        </w:rPr>
        <w:t>Artículo 6</w:t>
      </w:r>
      <w:r w:rsidRPr="00844A38">
        <w:rPr>
          <w:rFonts w:eastAsia="Times New Roman" w:cs="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3C97153"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20D362C"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 xml:space="preserve">Para efectos de lo dispuesto en el presente artículo se observará lo siguiente: </w:t>
      </w:r>
    </w:p>
    <w:p w14:paraId="2FE41897" w14:textId="77777777" w:rsidR="009F1B49" w:rsidRPr="00844A38" w:rsidRDefault="009F1B49" w:rsidP="009F1B49">
      <w:pPr>
        <w:spacing w:line="240" w:lineRule="auto"/>
        <w:ind w:left="567" w:right="567"/>
        <w:contextualSpacing/>
        <w:rPr>
          <w:rFonts w:eastAsia="Times New Roman" w:cs="Palatino Linotype"/>
          <w:i/>
        </w:rPr>
      </w:pPr>
    </w:p>
    <w:p w14:paraId="5C903431"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A. Para el ejercicio del derecho de acceso a la información, la Federación y las entidades federativas, en el ámbito de sus respectivas competencias, se regirán por los siguientes principios y bases:</w:t>
      </w:r>
    </w:p>
    <w:p w14:paraId="232F25C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2C80A71"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 xml:space="preserve">III. Toda persona, sin necesidad de acreditar interés alguno o justificar su utilización, tendrá acceso gratuito a la información pública, a sus datos personales o a la rectificación de éstos. </w:t>
      </w:r>
    </w:p>
    <w:p w14:paraId="2F458D22"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IV. Se establecerán mecanismos de acceso a la información y procedimientos de revisión expeditos que se sustanciarán ante los organismos autónomos especializados e imparciales que establece esta Constitución.</w:t>
      </w:r>
    </w:p>
    <w:p w14:paraId="1A442367" w14:textId="77777777" w:rsidR="009F1B49" w:rsidRPr="00844A38" w:rsidRDefault="009F1B49" w:rsidP="009F1B49">
      <w:pPr>
        <w:spacing w:line="240" w:lineRule="auto"/>
        <w:ind w:left="567" w:right="567"/>
        <w:contextualSpacing/>
        <w:rPr>
          <w:rFonts w:eastAsia="Times New Roman" w:cs="Palatino Linotype"/>
          <w:i/>
        </w:rPr>
      </w:pPr>
    </w:p>
    <w:p w14:paraId="430ED5EC" w14:textId="77777777" w:rsidR="009F1B49" w:rsidRPr="00844A38" w:rsidRDefault="009F1B49" w:rsidP="009F1B49">
      <w:pPr>
        <w:spacing w:line="240" w:lineRule="auto"/>
        <w:ind w:left="567" w:right="567"/>
        <w:contextualSpacing/>
        <w:jc w:val="center"/>
        <w:rPr>
          <w:rFonts w:eastAsia="Times New Roman" w:cs="Palatino Linotype"/>
          <w:b/>
          <w:i/>
          <w:u w:val="single"/>
        </w:rPr>
      </w:pPr>
      <w:r w:rsidRPr="00844A38">
        <w:rPr>
          <w:rFonts w:eastAsia="Times New Roman" w:cs="Palatino Linotype"/>
          <w:b/>
          <w:i/>
          <w:u w:val="single"/>
        </w:rPr>
        <w:t>Constitución Política del Estado Libre y Soberano de México</w:t>
      </w:r>
    </w:p>
    <w:p w14:paraId="2B319EB8"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lastRenderedPageBreak/>
        <w:t>Artículo 5</w:t>
      </w:r>
      <w:r w:rsidRPr="00844A38">
        <w:rPr>
          <w:rFonts w:eastAsia="Times New Roman"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9A2C679"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4A4CA53"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Toda persona en el Estado de México, tiene derecho al libre acceso a la información plural y oportuna, así como a buscar recibir y difundir información e ideas de toda índole por cualquier medio de expresión.</w:t>
      </w:r>
    </w:p>
    <w:p w14:paraId="20F2BF1A"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1B99FFF8"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 xml:space="preserve">El derecho a la información será garantizado por el Estado. La ley establecerá las previsiones que permitan asegurar la protección, el respeto y la difusión de este derecho. </w:t>
      </w:r>
    </w:p>
    <w:p w14:paraId="7DFD976B" w14:textId="77777777" w:rsidR="009F1B49" w:rsidRPr="00844A38" w:rsidRDefault="009F1B49" w:rsidP="009F1B49">
      <w:pPr>
        <w:spacing w:line="240" w:lineRule="auto"/>
        <w:ind w:left="567" w:right="567"/>
        <w:contextualSpacing/>
        <w:rPr>
          <w:rFonts w:eastAsia="Times New Roman" w:cs="Palatino Linotype"/>
          <w:i/>
        </w:rPr>
      </w:pPr>
    </w:p>
    <w:p w14:paraId="04A6EB45"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9C723D" w14:textId="77777777" w:rsidR="009F1B49" w:rsidRPr="00844A38" w:rsidRDefault="009F1B49" w:rsidP="009F1B49">
      <w:pPr>
        <w:spacing w:line="240" w:lineRule="auto"/>
        <w:ind w:left="567" w:right="567"/>
        <w:contextualSpacing/>
        <w:rPr>
          <w:rFonts w:eastAsia="Times New Roman" w:cs="Palatino Linotype"/>
          <w:i/>
        </w:rPr>
      </w:pPr>
    </w:p>
    <w:p w14:paraId="16D73C2B"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Este derecho se regirá por los principios y bases siguientes:</w:t>
      </w:r>
    </w:p>
    <w:p w14:paraId="5A2C0554"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5D53AD5"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III.</w:t>
      </w:r>
      <w:r w:rsidRPr="00844A38">
        <w:rPr>
          <w:rFonts w:eastAsia="Times New Roman" w:cs="Palatino Linotype"/>
          <w:i/>
        </w:rPr>
        <w:t xml:space="preserve"> Toda persona, sin necesidad de acreditar interés alguno o justificar su utilización, tendrá acceso gratuito a la información pública, a sus datos personales o a la rectificación de éstos;</w:t>
      </w:r>
    </w:p>
    <w:p w14:paraId="403EFCFB"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IV.</w:t>
      </w:r>
      <w:r w:rsidRPr="00844A38">
        <w:rPr>
          <w:rFonts w:eastAsia="Times New Roman" w:cs="Palatino Linotype"/>
          <w:i/>
        </w:rPr>
        <w:t xml:space="preserve"> Se establecerán mecanismos de acceso a la información y procedimientos de revisión expeditos que se sustanciarán ante el organismo autónomo especializado e imparcial que establece esta Constitución.</w:t>
      </w:r>
    </w:p>
    <w:p w14:paraId="4B7C0FD6"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717858BC"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VIII.</w:t>
      </w:r>
      <w:r w:rsidRPr="00844A38">
        <w:rPr>
          <w:rFonts w:eastAsia="Times New Roman"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0F115E4"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lastRenderedPageBreak/>
        <w:t>[…]</w:t>
      </w:r>
    </w:p>
    <w:p w14:paraId="2BE18D64" w14:textId="77777777" w:rsidR="009F1B49" w:rsidRPr="00844A38" w:rsidRDefault="009F1B49" w:rsidP="009F1B49">
      <w:pPr>
        <w:ind w:left="567" w:right="567"/>
        <w:contextualSpacing/>
        <w:rPr>
          <w:rFonts w:eastAsia="Times New Roman" w:cs="Palatino Linotype"/>
          <w:szCs w:val="24"/>
        </w:rPr>
      </w:pPr>
    </w:p>
    <w:p w14:paraId="06FA0CB3" w14:textId="77777777" w:rsidR="009F1B49" w:rsidRPr="00844A38" w:rsidRDefault="009F1B49" w:rsidP="009F1B49">
      <w:pPr>
        <w:ind w:right="49"/>
        <w:contextualSpacing/>
        <w:rPr>
          <w:rFonts w:eastAsia="Times New Roman" w:cs="Palatino Linotype"/>
          <w:szCs w:val="24"/>
        </w:rPr>
      </w:pPr>
      <w:r w:rsidRPr="00844A38">
        <w:rPr>
          <w:rFonts w:eastAsia="Times New Roman" w:cs="Palatino Linotype"/>
          <w:szCs w:val="24"/>
        </w:rPr>
        <w:t>Por otra parte, del contenido del artículo 1 de la Constitución Política de los Estados Unidos Mexicanos, se destaca lo siguiente:</w:t>
      </w:r>
    </w:p>
    <w:p w14:paraId="41C5DA90" w14:textId="77777777" w:rsidR="009F1B49" w:rsidRPr="00844A38" w:rsidRDefault="009F1B49" w:rsidP="009F1B49">
      <w:pPr>
        <w:ind w:right="49"/>
        <w:contextualSpacing/>
        <w:rPr>
          <w:rFonts w:eastAsia="Times New Roman" w:cs="Palatino Linotype"/>
          <w:szCs w:val="24"/>
        </w:rPr>
      </w:pPr>
    </w:p>
    <w:p w14:paraId="5E5E8E3E"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Artículo 1o</w:t>
      </w:r>
      <w:r w:rsidRPr="00844A38">
        <w:rPr>
          <w:rFonts w:eastAsia="Times New Roman"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C83C8BF" w14:textId="77777777" w:rsidR="009F1B49" w:rsidRPr="00844A38" w:rsidRDefault="009F1B49" w:rsidP="009F1B49">
      <w:pPr>
        <w:spacing w:line="240" w:lineRule="auto"/>
        <w:ind w:left="567" w:right="567"/>
        <w:contextualSpacing/>
        <w:rPr>
          <w:rFonts w:eastAsia="Times New Roman" w:cs="Palatino Linotype"/>
          <w:i/>
        </w:rPr>
      </w:pPr>
    </w:p>
    <w:p w14:paraId="16B93AA1"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Las normas relativas a los derechos humanos se interpretarán de conformidad con esta Constitución y con los tratados internacionales de la materia favoreciendo en todo tiempo a las personas la protección más amplia.</w:t>
      </w:r>
    </w:p>
    <w:p w14:paraId="5B0AF40D" w14:textId="77777777" w:rsidR="009F1B49" w:rsidRPr="00844A38" w:rsidRDefault="009F1B49" w:rsidP="009F1B49">
      <w:pPr>
        <w:spacing w:line="240" w:lineRule="auto"/>
        <w:ind w:left="567" w:right="567"/>
        <w:contextualSpacing/>
        <w:rPr>
          <w:rFonts w:eastAsia="Times New Roman" w:cs="Palatino Linotype"/>
          <w:i/>
        </w:rPr>
      </w:pPr>
    </w:p>
    <w:p w14:paraId="4E416E17"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293A41" w14:textId="77777777" w:rsidR="009F1B49" w:rsidRPr="00844A38" w:rsidRDefault="009F1B49" w:rsidP="009F1B49">
      <w:pPr>
        <w:rPr>
          <w:rFonts w:eastAsia="Times New Roman"/>
        </w:rPr>
      </w:pPr>
    </w:p>
    <w:p w14:paraId="2BAC978C" w14:textId="77777777" w:rsidR="009F1B49" w:rsidRPr="00844A38" w:rsidRDefault="009F1B49" w:rsidP="009F1B49">
      <w:pPr>
        <w:rPr>
          <w:rFonts w:eastAsia="Times New Roman" w:cs="Palatino Linotype"/>
          <w:szCs w:val="24"/>
        </w:rPr>
      </w:pPr>
      <w:r w:rsidRPr="00844A38">
        <w:rPr>
          <w:rFonts w:eastAsia="Times New Roman"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73E97B9" w14:textId="77777777" w:rsidR="009F1B49" w:rsidRPr="00844A38" w:rsidRDefault="009F1B49" w:rsidP="009F1B49">
      <w:pPr>
        <w:rPr>
          <w:rFonts w:eastAsia="Times New Roman" w:cs="Palatino Linotype"/>
          <w:szCs w:val="24"/>
        </w:rPr>
      </w:pPr>
    </w:p>
    <w:p w14:paraId="6D42CA0B" w14:textId="569569F4" w:rsidR="009F1B49" w:rsidRPr="00844A38" w:rsidRDefault="009F1B49" w:rsidP="009F1B49">
      <w:pPr>
        <w:pStyle w:val="Prrafodelista"/>
        <w:autoSpaceDE w:val="0"/>
        <w:autoSpaceDN w:val="0"/>
        <w:adjustRightInd w:val="0"/>
        <w:ind w:left="0"/>
        <w:rPr>
          <w:rFonts w:cs="Arial"/>
        </w:rPr>
      </w:pPr>
      <w:r w:rsidRPr="00844A38">
        <w:rPr>
          <w:rFonts w:cs="Palatino Linotype"/>
          <w:color w:val="000000"/>
          <w:lang w:val="es-ES_tradnl" w:eastAsia="es-MX"/>
        </w:rPr>
        <w:t>En conclusión, se cubrieron los requisitos de procedencia y procedibilidad y conforme a las constancias que obran en el expediente.</w:t>
      </w:r>
    </w:p>
    <w:p w14:paraId="77A3C6CB" w14:textId="77777777" w:rsidR="00B407F9" w:rsidRPr="00844A38" w:rsidRDefault="00B407F9"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31C5FE6F" w:rsidR="00281804" w:rsidRPr="00844A38" w:rsidRDefault="009F1B49" w:rsidP="00281804">
      <w:pPr>
        <w:pBdr>
          <w:top w:val="nil"/>
          <w:left w:val="nil"/>
          <w:bottom w:val="nil"/>
          <w:right w:val="nil"/>
          <w:between w:val="nil"/>
        </w:pBdr>
        <w:contextualSpacing/>
        <w:rPr>
          <w:rFonts w:eastAsia="Palatino Linotype" w:cs="Palatino Linotype"/>
          <w:b/>
          <w:color w:val="000000"/>
          <w:sz w:val="26"/>
          <w:szCs w:val="26"/>
          <w:lang w:val="es-MX"/>
        </w:rPr>
      </w:pPr>
      <w:r w:rsidRPr="00844A38">
        <w:rPr>
          <w:rFonts w:eastAsia="Palatino Linotype" w:cs="Palatino Linotype"/>
          <w:b/>
          <w:color w:val="000000"/>
          <w:sz w:val="26"/>
          <w:szCs w:val="26"/>
          <w:lang w:val="es-MX"/>
        </w:rPr>
        <w:t>CUARTO</w:t>
      </w:r>
      <w:r w:rsidR="00281804" w:rsidRPr="00844A38">
        <w:rPr>
          <w:rFonts w:eastAsia="Palatino Linotype" w:cs="Palatino Linotype"/>
          <w:b/>
          <w:color w:val="000000"/>
          <w:sz w:val="26"/>
          <w:szCs w:val="26"/>
          <w:lang w:val="es-MX"/>
        </w:rPr>
        <w:t>. De las causas de improcedencia.</w:t>
      </w:r>
    </w:p>
    <w:p w14:paraId="4CF57330"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50C709"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44A38">
        <w:rPr>
          <w:rFonts w:eastAsia="Palatino Linotype" w:cs="Palatino Linotype"/>
          <w:color w:val="000000"/>
          <w:szCs w:val="24"/>
          <w:vertAlign w:val="superscript"/>
          <w:lang w:val="es-MX"/>
        </w:rPr>
        <w:footnoteReference w:id="2"/>
      </w:r>
      <w:r w:rsidRPr="00844A38">
        <w:rPr>
          <w:rFonts w:eastAsia="Palatino Linotype" w:cs="Palatino Linotype"/>
          <w:color w:val="000000"/>
          <w:szCs w:val="24"/>
          <w:lang w:val="es-MX"/>
        </w:rPr>
        <w:t>, la cual permite dilucidar alguna causal que impida el estudio y resolución, cuando una vez admitido el recurso de revisión se advierta una causa de improcedencia que permita sobreseerlo, sin estudiar el fondo del asunto.</w:t>
      </w:r>
    </w:p>
    <w:p w14:paraId="203F0606"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2CD6D093"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80C5A50"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1CF190C5" w14:textId="47E62382" w:rsidR="00281804" w:rsidRPr="00844A38" w:rsidRDefault="009F1B49" w:rsidP="00281804">
      <w:pPr>
        <w:pBdr>
          <w:top w:val="nil"/>
          <w:left w:val="nil"/>
          <w:bottom w:val="nil"/>
          <w:right w:val="nil"/>
          <w:between w:val="nil"/>
        </w:pBdr>
        <w:contextualSpacing/>
        <w:rPr>
          <w:rFonts w:eastAsia="Palatino Linotype" w:cs="Palatino Linotype"/>
          <w:color w:val="000000"/>
          <w:sz w:val="26"/>
          <w:szCs w:val="26"/>
          <w:lang w:val="es-MX"/>
        </w:rPr>
      </w:pPr>
      <w:r w:rsidRPr="00844A38">
        <w:rPr>
          <w:rFonts w:eastAsia="Palatino Linotype" w:cs="Palatino Linotype"/>
          <w:b/>
          <w:color w:val="000000"/>
          <w:sz w:val="26"/>
          <w:szCs w:val="26"/>
          <w:lang w:val="es-MX"/>
        </w:rPr>
        <w:t>QUINTO</w:t>
      </w:r>
      <w:r w:rsidR="00281804" w:rsidRPr="00844A38">
        <w:rPr>
          <w:rFonts w:eastAsia="Palatino Linotype" w:cs="Palatino Linotype"/>
          <w:b/>
          <w:color w:val="000000"/>
          <w:sz w:val="26"/>
          <w:szCs w:val="26"/>
          <w:lang w:val="es-MX"/>
        </w:rPr>
        <w:t>. Estudio y resolución del asunto.</w:t>
      </w:r>
    </w:p>
    <w:p w14:paraId="7A4BAA02"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844A38" w:rsidRDefault="001B01D7" w:rsidP="001B01D7">
      <w:pPr>
        <w:autoSpaceDE w:val="0"/>
        <w:autoSpaceDN w:val="0"/>
        <w:adjustRightInd w:val="0"/>
        <w:rPr>
          <w:rFonts w:eastAsiaTheme="minorHAnsi" w:cs="Arial"/>
          <w:lang w:val="es-MX" w:eastAsia="en-US"/>
        </w:rPr>
      </w:pPr>
    </w:p>
    <w:p w14:paraId="7DC566EF" w14:textId="77777777" w:rsidR="001B01D7" w:rsidRPr="00844A38" w:rsidRDefault="001B01D7" w:rsidP="001B01D7">
      <w:pPr>
        <w:ind w:right="141"/>
        <w:rPr>
          <w:rFonts w:eastAsiaTheme="minorHAnsi" w:cstheme="minorBidi"/>
          <w:lang w:val="es-MX"/>
        </w:rPr>
      </w:pPr>
      <w:r w:rsidRPr="00844A38">
        <w:rPr>
          <w:rFonts w:eastAsiaTheme="minorHAnsi" w:cstheme="minorBidi"/>
          <w:lang w:val="es-MX"/>
        </w:rPr>
        <w:t>En este sentido nuestro estudio versará en determinar si la información remitida mediante respuesta, colma el derecho de acceso a la información solicitado por la</w:t>
      </w:r>
      <w:r w:rsidRPr="00844A38">
        <w:rPr>
          <w:rFonts w:eastAsiaTheme="minorHAnsi" w:cstheme="minorBidi"/>
          <w:b/>
          <w:lang w:val="es-MX"/>
        </w:rPr>
        <w:t xml:space="preserve"> </w:t>
      </w:r>
      <w:r w:rsidRPr="00844A38">
        <w:rPr>
          <w:rFonts w:eastAsiaTheme="minorHAnsi" w:cstheme="minorBidi"/>
          <w:lang w:val="es-MX"/>
        </w:rPr>
        <w:t>parte</w:t>
      </w:r>
      <w:r w:rsidRPr="00844A38">
        <w:rPr>
          <w:rFonts w:eastAsiaTheme="minorHAnsi" w:cstheme="minorBidi"/>
          <w:b/>
          <w:lang w:val="es-MX"/>
        </w:rPr>
        <w:t xml:space="preserve"> Recurrente</w:t>
      </w:r>
      <w:r w:rsidRPr="00844A38">
        <w:rPr>
          <w:rFonts w:eastAsiaTheme="minorHAnsi" w:cstheme="minorBidi"/>
          <w:lang w:val="es-MX"/>
        </w:rPr>
        <w:t>, para ello analizaremos lo solicitado y la información proporcionada.</w:t>
      </w:r>
    </w:p>
    <w:p w14:paraId="421B2938"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6BE13246" w:rsidR="00A970D5" w:rsidRDefault="0083063D"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Una vez </w:t>
      </w:r>
      <w:r w:rsidR="008F2C42" w:rsidRPr="00844A38">
        <w:rPr>
          <w:rFonts w:eastAsia="Palatino Linotype" w:cs="Palatino Linotype"/>
          <w:color w:val="000000"/>
          <w:szCs w:val="24"/>
        </w:rPr>
        <w:t>establecido</w:t>
      </w:r>
      <w:r w:rsidRPr="00844A38">
        <w:rPr>
          <w:rFonts w:eastAsia="Palatino Linotype" w:cs="Palatino Linotype"/>
          <w:color w:val="000000"/>
          <w:szCs w:val="24"/>
        </w:rPr>
        <w:t xml:space="preserve"> lo anterior</w:t>
      </w:r>
      <w:r w:rsidR="007F3F9F" w:rsidRPr="00844A38">
        <w:rPr>
          <w:rFonts w:eastAsia="Palatino Linotype" w:cs="Palatino Linotype"/>
          <w:color w:val="000000"/>
          <w:szCs w:val="24"/>
        </w:rPr>
        <w:t xml:space="preserve">, es conveniente recordar que </w:t>
      </w:r>
      <w:r w:rsidR="003338BA">
        <w:rPr>
          <w:rFonts w:eastAsia="Palatino Linotype" w:cs="Palatino Linotype"/>
          <w:color w:val="000000"/>
          <w:szCs w:val="24"/>
        </w:rPr>
        <w:t>el</w:t>
      </w:r>
      <w:r w:rsidR="00A970D5" w:rsidRPr="00844A38">
        <w:rPr>
          <w:rFonts w:eastAsia="Palatino Linotype" w:cs="Palatino Linotype"/>
          <w:color w:val="000000"/>
          <w:szCs w:val="24"/>
        </w:rPr>
        <w:t xml:space="preserve"> hoy </w:t>
      </w:r>
      <w:r w:rsidR="00A970D5" w:rsidRPr="00844A38">
        <w:rPr>
          <w:rFonts w:eastAsia="Palatino Linotype" w:cs="Palatino Linotype"/>
          <w:b/>
          <w:bCs/>
          <w:color w:val="000000"/>
          <w:szCs w:val="24"/>
        </w:rPr>
        <w:t>Recurrente</w:t>
      </w:r>
      <w:r w:rsidR="00A970D5" w:rsidRPr="00844A38">
        <w:rPr>
          <w:rFonts w:eastAsia="Palatino Linotype" w:cs="Palatino Linotype"/>
          <w:color w:val="000000"/>
          <w:szCs w:val="24"/>
        </w:rPr>
        <w:t xml:space="preserve"> </w:t>
      </w:r>
      <w:r w:rsidR="001A51C8" w:rsidRPr="00844A38">
        <w:rPr>
          <w:rFonts w:eastAsia="Palatino Linotype" w:cs="Palatino Linotype"/>
          <w:color w:val="000000"/>
          <w:szCs w:val="24"/>
        </w:rPr>
        <w:t xml:space="preserve">requirió </w:t>
      </w:r>
      <w:r w:rsidR="00F709AB" w:rsidRPr="00844A38">
        <w:rPr>
          <w:rFonts w:eastAsia="Palatino Linotype" w:cs="Palatino Linotype"/>
          <w:color w:val="000000"/>
          <w:szCs w:val="24"/>
        </w:rPr>
        <w:t xml:space="preserve">del </w:t>
      </w:r>
      <w:r w:rsidR="00F709AB" w:rsidRPr="00844A38">
        <w:rPr>
          <w:rFonts w:eastAsia="Palatino Linotype" w:cs="Palatino Linotype"/>
          <w:b/>
          <w:bCs/>
          <w:color w:val="000000"/>
          <w:szCs w:val="24"/>
        </w:rPr>
        <w:t>Sujeto Obligado</w:t>
      </w:r>
      <w:r w:rsidR="00281804" w:rsidRPr="00844A38">
        <w:rPr>
          <w:rFonts w:eastAsia="Palatino Linotype" w:cs="Palatino Linotype"/>
          <w:color w:val="000000"/>
          <w:szCs w:val="24"/>
        </w:rPr>
        <w:t xml:space="preserve"> medularmente</w:t>
      </w:r>
      <w:r w:rsidR="00A74E90" w:rsidRPr="00844A38">
        <w:rPr>
          <w:rFonts w:eastAsia="Palatino Linotype" w:cs="Palatino Linotype"/>
          <w:color w:val="000000"/>
          <w:szCs w:val="24"/>
        </w:rPr>
        <w:t xml:space="preserve">, </w:t>
      </w:r>
      <w:r w:rsidR="009333F9" w:rsidRPr="00844A38">
        <w:rPr>
          <w:rFonts w:eastAsia="Palatino Linotype" w:cs="Palatino Linotype"/>
          <w:color w:val="000000"/>
          <w:szCs w:val="24"/>
        </w:rPr>
        <w:t>el o los documentos en donde conste</w:t>
      </w:r>
      <w:r w:rsidR="00F709AB" w:rsidRPr="00844A38">
        <w:rPr>
          <w:rFonts w:eastAsia="Palatino Linotype" w:cs="Palatino Linotype"/>
          <w:color w:val="000000"/>
          <w:szCs w:val="24"/>
        </w:rPr>
        <w:t xml:space="preserve"> lo siguiente:</w:t>
      </w:r>
    </w:p>
    <w:p w14:paraId="3952A5FC" w14:textId="77777777" w:rsidR="003338BA" w:rsidRPr="00844A38" w:rsidRDefault="003338BA" w:rsidP="006922F5">
      <w:pPr>
        <w:pBdr>
          <w:top w:val="nil"/>
          <w:left w:val="nil"/>
          <w:bottom w:val="nil"/>
          <w:right w:val="nil"/>
          <w:between w:val="nil"/>
        </w:pBdr>
        <w:contextualSpacing/>
        <w:rPr>
          <w:rFonts w:eastAsia="Palatino Linotype" w:cs="Palatino Linotype"/>
          <w:color w:val="000000"/>
          <w:szCs w:val="24"/>
        </w:rPr>
      </w:pPr>
    </w:p>
    <w:p w14:paraId="4A03D0E1" w14:textId="77777777" w:rsidR="0083063D" w:rsidRPr="00844A38" w:rsidRDefault="0083063D" w:rsidP="006922F5">
      <w:pPr>
        <w:pBdr>
          <w:top w:val="nil"/>
          <w:left w:val="nil"/>
          <w:bottom w:val="nil"/>
          <w:right w:val="nil"/>
          <w:between w:val="nil"/>
        </w:pBdr>
        <w:contextualSpacing/>
        <w:rPr>
          <w:rFonts w:eastAsia="Palatino Linotype" w:cs="Palatino Linotype"/>
          <w:color w:val="000000"/>
          <w:szCs w:val="24"/>
        </w:rPr>
      </w:pPr>
    </w:p>
    <w:p w14:paraId="5A26504F" w14:textId="5C26810D" w:rsidR="009333F9" w:rsidRDefault="00EA129F" w:rsidP="00BA5930">
      <w:pPr>
        <w:pStyle w:val="Prrafodelista"/>
        <w:numPr>
          <w:ilvl w:val="0"/>
          <w:numId w:val="13"/>
        </w:numPr>
        <w:pBdr>
          <w:top w:val="nil"/>
          <w:left w:val="nil"/>
          <w:bottom w:val="nil"/>
          <w:right w:val="nil"/>
          <w:between w:val="nil"/>
        </w:pBdr>
        <w:contextualSpacing/>
        <w:rPr>
          <w:rFonts w:eastAsia="Palatino Linotype" w:cs="Palatino Linotype"/>
          <w:i/>
          <w:iCs/>
          <w:color w:val="000000"/>
        </w:rPr>
      </w:pPr>
      <w:r>
        <w:rPr>
          <w:rFonts w:eastAsia="Palatino Linotype" w:cs="Palatino Linotype"/>
          <w:i/>
          <w:iCs/>
          <w:color w:val="000000"/>
        </w:rPr>
        <w:t>Listado de personas designados como SEL y CAEL para la elección de 2025</w:t>
      </w:r>
    </w:p>
    <w:p w14:paraId="4C31C596" w14:textId="575AE36D" w:rsidR="00EA129F" w:rsidRPr="00844A38" w:rsidRDefault="00EA129F" w:rsidP="00EA129F">
      <w:pPr>
        <w:pStyle w:val="Prrafodelista"/>
        <w:numPr>
          <w:ilvl w:val="0"/>
          <w:numId w:val="13"/>
        </w:numPr>
        <w:pBdr>
          <w:top w:val="nil"/>
          <w:left w:val="nil"/>
          <w:bottom w:val="nil"/>
          <w:right w:val="nil"/>
          <w:between w:val="nil"/>
        </w:pBdr>
        <w:contextualSpacing/>
        <w:rPr>
          <w:rFonts w:eastAsia="Palatino Linotype" w:cs="Palatino Linotype"/>
          <w:i/>
          <w:iCs/>
          <w:color w:val="000000"/>
        </w:rPr>
      </w:pPr>
      <w:r>
        <w:rPr>
          <w:rFonts w:eastAsia="Palatino Linotype" w:cs="Palatino Linotype"/>
          <w:i/>
          <w:iCs/>
          <w:color w:val="000000"/>
        </w:rPr>
        <w:t xml:space="preserve">¿Cómo se aplicó el principio de paridad de género para </w:t>
      </w:r>
      <w:r w:rsidRPr="00EA129F">
        <w:rPr>
          <w:rFonts w:eastAsia="Palatino Linotype" w:cs="Palatino Linotype"/>
          <w:i/>
          <w:iCs/>
          <w:color w:val="000000"/>
        </w:rPr>
        <w:t>garantiza</w:t>
      </w:r>
      <w:r>
        <w:rPr>
          <w:rFonts w:eastAsia="Palatino Linotype" w:cs="Palatino Linotype"/>
          <w:i/>
          <w:iCs/>
          <w:color w:val="000000"/>
        </w:rPr>
        <w:t>r 50% mujeres y 50% hombres?</w:t>
      </w:r>
    </w:p>
    <w:p w14:paraId="72F03196" w14:textId="77777777" w:rsidR="0083063D" w:rsidRPr="00844A38" w:rsidRDefault="0083063D" w:rsidP="006922F5">
      <w:pPr>
        <w:pBdr>
          <w:top w:val="nil"/>
          <w:left w:val="nil"/>
          <w:bottom w:val="nil"/>
          <w:right w:val="nil"/>
          <w:between w:val="nil"/>
        </w:pBdr>
        <w:contextualSpacing/>
        <w:rPr>
          <w:rFonts w:eastAsia="Palatino Linotype" w:cs="Palatino Linotype"/>
          <w:color w:val="000000"/>
          <w:szCs w:val="24"/>
        </w:rPr>
      </w:pPr>
    </w:p>
    <w:p w14:paraId="5C0A1F09" w14:textId="1E67F2DD" w:rsidR="0083063D" w:rsidRPr="00844A38" w:rsidRDefault="0083063D" w:rsidP="0083063D">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A dicha solicitud, el Sujeto Obligado respondió mediante la entrega</w:t>
      </w:r>
      <w:r w:rsidR="00773CB1" w:rsidRPr="00844A38">
        <w:rPr>
          <w:rFonts w:eastAsia="Palatino Linotype" w:cs="Palatino Linotype"/>
          <w:color w:val="000000"/>
          <w:szCs w:val="24"/>
        </w:rPr>
        <w:t xml:space="preserve"> de</w:t>
      </w:r>
      <w:r w:rsidR="00EA129F">
        <w:rPr>
          <w:rFonts w:eastAsia="Palatino Linotype" w:cs="Palatino Linotype"/>
          <w:color w:val="000000"/>
          <w:szCs w:val="24"/>
        </w:rPr>
        <w:t xml:space="preserve"> </w:t>
      </w:r>
      <w:r w:rsidR="008E6D6A">
        <w:rPr>
          <w:rFonts w:eastAsia="Palatino Linotype" w:cs="Palatino Linotype"/>
          <w:color w:val="000000"/>
          <w:szCs w:val="24"/>
        </w:rPr>
        <w:t>l</w:t>
      </w:r>
      <w:r w:rsidR="00EA129F">
        <w:rPr>
          <w:rFonts w:eastAsia="Palatino Linotype" w:cs="Palatino Linotype"/>
          <w:color w:val="000000"/>
          <w:szCs w:val="24"/>
        </w:rPr>
        <w:t>os</w:t>
      </w:r>
      <w:r w:rsidR="00A74E90" w:rsidRPr="00844A38">
        <w:rPr>
          <w:rFonts w:eastAsia="Palatino Linotype" w:cs="Palatino Linotype"/>
          <w:color w:val="000000"/>
          <w:szCs w:val="24"/>
        </w:rPr>
        <w:t xml:space="preserve"> </w:t>
      </w:r>
      <w:r w:rsidR="00773CB1" w:rsidRPr="00844A38">
        <w:rPr>
          <w:rFonts w:eastAsia="Palatino Linotype" w:cs="Palatino Linotype"/>
          <w:color w:val="000000"/>
          <w:szCs w:val="24"/>
        </w:rPr>
        <w:t>documento</w:t>
      </w:r>
      <w:r w:rsidR="00EA129F">
        <w:rPr>
          <w:rFonts w:eastAsia="Palatino Linotype" w:cs="Palatino Linotype"/>
          <w:color w:val="000000"/>
          <w:szCs w:val="24"/>
        </w:rPr>
        <w:t>s</w:t>
      </w:r>
      <w:r w:rsidR="00773CB1" w:rsidRPr="00844A38">
        <w:rPr>
          <w:rFonts w:eastAsia="Palatino Linotype" w:cs="Palatino Linotype"/>
          <w:color w:val="000000"/>
          <w:szCs w:val="24"/>
        </w:rPr>
        <w:t xml:space="preserve"> electrónico</w:t>
      </w:r>
      <w:r w:rsidR="00EA129F">
        <w:rPr>
          <w:rFonts w:eastAsia="Palatino Linotype" w:cs="Palatino Linotype"/>
          <w:color w:val="000000"/>
          <w:szCs w:val="24"/>
        </w:rPr>
        <w:t>s</w:t>
      </w:r>
      <w:r w:rsidR="0029701F">
        <w:rPr>
          <w:rFonts w:eastAsia="Palatino Linotype" w:cs="Palatino Linotype"/>
          <w:color w:val="000000"/>
          <w:szCs w:val="24"/>
        </w:rPr>
        <w:t xml:space="preserve"> del que se </w:t>
      </w:r>
      <w:r w:rsidR="00773CB1" w:rsidRPr="00844A38">
        <w:rPr>
          <w:rFonts w:eastAsia="Palatino Linotype" w:cs="Palatino Linotype"/>
          <w:color w:val="000000"/>
          <w:szCs w:val="24"/>
        </w:rPr>
        <w:t>desprende</w:t>
      </w:r>
      <w:r w:rsidRPr="00844A38">
        <w:rPr>
          <w:rFonts w:eastAsia="Palatino Linotype" w:cs="Palatino Linotype"/>
          <w:color w:val="000000"/>
          <w:szCs w:val="24"/>
        </w:rPr>
        <w:t xml:space="preserve"> </w:t>
      </w:r>
      <w:r w:rsidR="00A74E90" w:rsidRPr="00844A38">
        <w:rPr>
          <w:rFonts w:eastAsia="Palatino Linotype" w:cs="Palatino Linotype"/>
          <w:color w:val="000000"/>
          <w:szCs w:val="24"/>
        </w:rPr>
        <w:t>lo siguiente:</w:t>
      </w:r>
    </w:p>
    <w:p w14:paraId="6EF23BF8" w14:textId="77777777" w:rsidR="00F709AB" w:rsidRDefault="00F709AB" w:rsidP="006922F5">
      <w:pPr>
        <w:pBdr>
          <w:top w:val="nil"/>
          <w:left w:val="nil"/>
          <w:bottom w:val="nil"/>
          <w:right w:val="nil"/>
          <w:between w:val="nil"/>
        </w:pBdr>
        <w:contextualSpacing/>
        <w:rPr>
          <w:rFonts w:eastAsia="Palatino Linotype" w:cs="Palatino Linotype"/>
          <w:color w:val="000000"/>
          <w:szCs w:val="24"/>
        </w:rPr>
      </w:pPr>
    </w:p>
    <w:p w14:paraId="14DCD949" w14:textId="5CC095B2" w:rsidR="00EA129F" w:rsidRDefault="007417B2" w:rsidP="00FD5B94">
      <w:pPr>
        <w:pStyle w:val="Prrafodelista"/>
        <w:numPr>
          <w:ilvl w:val="0"/>
          <w:numId w:val="34"/>
        </w:numPr>
        <w:pBdr>
          <w:top w:val="nil"/>
          <w:left w:val="nil"/>
          <w:bottom w:val="nil"/>
          <w:right w:val="nil"/>
          <w:between w:val="nil"/>
        </w:pBdr>
        <w:ind w:right="565"/>
        <w:contextualSpacing/>
        <w:rPr>
          <w:rFonts w:eastAsia="Palatino Linotype" w:cs="Palatino Linotype"/>
          <w:color w:val="000000"/>
        </w:rPr>
      </w:pPr>
      <w:r w:rsidRPr="008F136D">
        <w:rPr>
          <w:rFonts w:eastAsia="Palatino Linotype" w:cs="Palatino Linotype"/>
          <w:b/>
          <w:color w:val="000000"/>
        </w:rPr>
        <w:t>766-2025 DPC</w:t>
      </w:r>
      <w:r>
        <w:rPr>
          <w:rFonts w:eastAsia="Palatino Linotype" w:cs="Palatino Linotype"/>
          <w:color w:val="000000"/>
        </w:rPr>
        <w:t xml:space="preserve">. </w:t>
      </w:r>
      <w:r w:rsidR="0060658A">
        <w:rPr>
          <w:rFonts w:eastAsia="Palatino Linotype" w:cs="Palatino Linotype"/>
          <w:color w:val="000000"/>
        </w:rPr>
        <w:t>Documento en Word consistente en dos fojas útiles,</w:t>
      </w:r>
      <w:r w:rsidR="009901D5">
        <w:rPr>
          <w:rFonts w:eastAsia="Palatino Linotype" w:cs="Palatino Linotype"/>
          <w:color w:val="000000"/>
        </w:rPr>
        <w:t xml:space="preserve"> de folio IEEM/DPC/459/2025</w:t>
      </w:r>
      <w:r w:rsidR="00CB38BD">
        <w:rPr>
          <w:rFonts w:eastAsia="Palatino Linotype" w:cs="Palatino Linotype"/>
          <w:color w:val="000000"/>
        </w:rPr>
        <w:t>,</w:t>
      </w:r>
      <w:r w:rsidR="0060658A">
        <w:rPr>
          <w:rFonts w:eastAsia="Palatino Linotype" w:cs="Palatino Linotype"/>
          <w:color w:val="000000"/>
        </w:rPr>
        <w:t xml:space="preserve"> por medio del cual la Directora de Participación Ciudadana </w:t>
      </w:r>
      <w:r w:rsidR="00CB3E13">
        <w:rPr>
          <w:rFonts w:eastAsia="Palatino Linotype" w:cs="Palatino Linotype"/>
          <w:color w:val="000000"/>
        </w:rPr>
        <w:t>manifiesta de manera literal lo siguiente:</w:t>
      </w:r>
    </w:p>
    <w:p w14:paraId="020ABDE3" w14:textId="77777777" w:rsidR="00CB3E13" w:rsidRDefault="00CB3E13" w:rsidP="00FD5B94">
      <w:pPr>
        <w:pStyle w:val="Prrafodelista"/>
        <w:ind w:left="720" w:right="565"/>
        <w:rPr>
          <w:rFonts w:cs="Arial"/>
        </w:rPr>
      </w:pPr>
      <w:r w:rsidRPr="00CB3E13">
        <w:rPr>
          <w:rFonts w:cs="Arial"/>
          <w:lang w:val="es-MX"/>
        </w:rPr>
        <w:t xml:space="preserve">Que el Consejo General del Instituto Electoral del Estado de México designó, mediante Acuerdo IEEM/CG/76/2026, a </w:t>
      </w:r>
      <w:r w:rsidRPr="00CB3E13">
        <w:rPr>
          <w:rFonts w:cs="Arial"/>
        </w:rPr>
        <w:t xml:space="preserve">Supervisores/as Electorales Locales y Capacitadores/as-Asistentes Electorales Locales, para el Proceso Electoral Judicial Extraordinario 2025 del Estado de México, el cual se adjunta al presente y el cual contiene el listado de personas designadas para tales figuras. De igual manera se hace de su conocimiento que se encuentra disponible para su consulta en: </w:t>
      </w:r>
      <w:hyperlink r:id="rId8" w:history="1">
        <w:r w:rsidRPr="00CB3E13">
          <w:rPr>
            <w:rStyle w:val="Hipervnculo"/>
            <w:rFonts w:cs="Arial"/>
          </w:rPr>
          <w:t>https://www.ieem.org.mx/consejo_general/cg/2025/AC_2025/a076_25.pdf</w:t>
        </w:r>
      </w:hyperlink>
      <w:r w:rsidRPr="00CB3E13">
        <w:rPr>
          <w:rFonts w:cs="Arial"/>
        </w:rPr>
        <w:t xml:space="preserve"> </w:t>
      </w:r>
    </w:p>
    <w:p w14:paraId="2EDF0E6C" w14:textId="77777777" w:rsidR="00CB3E13" w:rsidRPr="00CB3E13" w:rsidRDefault="00CB3E13" w:rsidP="00FD5B94">
      <w:pPr>
        <w:pStyle w:val="Prrafodelista"/>
        <w:ind w:left="720" w:right="565"/>
        <w:rPr>
          <w:rFonts w:cs="Arial"/>
        </w:rPr>
      </w:pPr>
    </w:p>
    <w:p w14:paraId="377EC8AD" w14:textId="77777777" w:rsidR="00CB3E13" w:rsidRPr="00CB3E13" w:rsidRDefault="00CB3E13" w:rsidP="00FD5B94">
      <w:pPr>
        <w:pBdr>
          <w:top w:val="nil"/>
          <w:left w:val="nil"/>
          <w:bottom w:val="nil"/>
          <w:right w:val="nil"/>
          <w:between w:val="nil"/>
        </w:pBdr>
        <w:ind w:left="720" w:right="565"/>
        <w:contextualSpacing/>
        <w:rPr>
          <w:rFonts w:eastAsia="Palatino Linotype" w:cs="Palatino Linotype"/>
          <w:color w:val="000000"/>
        </w:rPr>
      </w:pPr>
      <w:r w:rsidRPr="00CB3E13">
        <w:rPr>
          <w:rFonts w:eastAsia="Palatino Linotype" w:cs="Palatino Linotype"/>
          <w:color w:val="000000"/>
        </w:rPr>
        <w:t xml:space="preserve">Por otra parte, el Consejo General del Instituto Electoral del Estado de México, aprobó mediante Acuerdo IEEM/CG/40/2025 los Lineamientos para el reclutamiento, selección y contratación de Supervisores/as Electorales Locales y Capacitadores/as-Asistentes Electorales Locales para el Proceso Electoral Judicial Extraordinario 2025 del Estado de México, así como sus anexos, el cual se encuentra disponible para su consulta en: </w:t>
      </w:r>
    </w:p>
    <w:p w14:paraId="15E563E6" w14:textId="77777777" w:rsidR="00CB3E13" w:rsidRPr="00CB3E13" w:rsidRDefault="00E13E9D" w:rsidP="00FD5B94">
      <w:pPr>
        <w:pBdr>
          <w:top w:val="nil"/>
          <w:left w:val="nil"/>
          <w:bottom w:val="nil"/>
          <w:right w:val="nil"/>
          <w:between w:val="nil"/>
        </w:pBdr>
        <w:ind w:left="720" w:right="565"/>
        <w:contextualSpacing/>
        <w:rPr>
          <w:rFonts w:eastAsia="Palatino Linotype" w:cs="Palatino Linotype"/>
          <w:color w:val="000000"/>
        </w:rPr>
      </w:pPr>
      <w:hyperlink r:id="rId9" w:history="1">
        <w:r w:rsidR="00CB3E13" w:rsidRPr="00CB3E13">
          <w:rPr>
            <w:rStyle w:val="Hipervnculo"/>
            <w:rFonts w:eastAsia="Palatino Linotype" w:cs="Palatino Linotype"/>
          </w:rPr>
          <w:t>https://www.ieem.org.mx/consejo_general/cg/2025/AC_2025/a040_25.pdf</w:t>
        </w:r>
      </w:hyperlink>
      <w:r w:rsidR="00CB3E13" w:rsidRPr="00CB3E13">
        <w:rPr>
          <w:rFonts w:eastAsia="Palatino Linotype" w:cs="Palatino Linotype"/>
          <w:color w:val="000000"/>
        </w:rPr>
        <w:t xml:space="preserve">  </w:t>
      </w:r>
    </w:p>
    <w:p w14:paraId="1C363A3C" w14:textId="77777777" w:rsidR="00CB3E13" w:rsidRPr="00CB3E13" w:rsidRDefault="00CB3E13" w:rsidP="00FD5B94">
      <w:pPr>
        <w:pBdr>
          <w:top w:val="nil"/>
          <w:left w:val="nil"/>
          <w:bottom w:val="nil"/>
          <w:right w:val="nil"/>
          <w:between w:val="nil"/>
        </w:pBdr>
        <w:ind w:left="720" w:right="565"/>
        <w:contextualSpacing/>
        <w:rPr>
          <w:rFonts w:eastAsia="Palatino Linotype" w:cs="Palatino Linotype"/>
          <w:color w:val="000000"/>
        </w:rPr>
      </w:pPr>
    </w:p>
    <w:p w14:paraId="6764D4CE" w14:textId="77777777" w:rsidR="00CB3E13" w:rsidRPr="00CB3E13" w:rsidRDefault="00CB3E13" w:rsidP="00FD5B94">
      <w:pPr>
        <w:pBdr>
          <w:top w:val="nil"/>
          <w:left w:val="nil"/>
          <w:bottom w:val="nil"/>
          <w:right w:val="nil"/>
          <w:between w:val="nil"/>
        </w:pBdr>
        <w:ind w:left="720" w:right="565"/>
        <w:contextualSpacing/>
        <w:rPr>
          <w:rFonts w:eastAsia="Palatino Linotype" w:cs="Palatino Linotype"/>
          <w:color w:val="000000"/>
        </w:rPr>
      </w:pPr>
      <w:r w:rsidRPr="00CB3E13">
        <w:rPr>
          <w:rFonts w:eastAsia="Palatino Linotype" w:cs="Palatino Linotype"/>
          <w:color w:val="000000"/>
        </w:rPr>
        <w:t>En dichos lineamientos se establece en su apartado número lo siguiente:</w:t>
      </w:r>
    </w:p>
    <w:p w14:paraId="2244C7D7" w14:textId="77777777" w:rsidR="00CB3E13" w:rsidRPr="00CB3E13" w:rsidRDefault="00CB3E13" w:rsidP="00FD5B94">
      <w:pPr>
        <w:pBdr>
          <w:top w:val="nil"/>
          <w:left w:val="nil"/>
          <w:bottom w:val="nil"/>
          <w:right w:val="nil"/>
          <w:between w:val="nil"/>
        </w:pBdr>
        <w:ind w:left="720" w:right="565"/>
        <w:contextualSpacing/>
        <w:rPr>
          <w:rFonts w:eastAsia="Palatino Linotype" w:cs="Palatino Linotype"/>
          <w:color w:val="000000"/>
        </w:rPr>
      </w:pPr>
    </w:p>
    <w:p w14:paraId="43B35740" w14:textId="77777777" w:rsidR="00CB3E13" w:rsidRPr="00CB3E13" w:rsidRDefault="00CB3E13" w:rsidP="00FD5B94">
      <w:pPr>
        <w:pBdr>
          <w:top w:val="nil"/>
          <w:left w:val="nil"/>
          <w:bottom w:val="nil"/>
          <w:right w:val="nil"/>
          <w:between w:val="nil"/>
        </w:pBdr>
        <w:ind w:left="720" w:right="565"/>
        <w:contextualSpacing/>
        <w:rPr>
          <w:rFonts w:eastAsia="Palatino Linotype" w:cs="Palatino Linotype"/>
          <w:i/>
          <w:iCs/>
          <w:color w:val="000000"/>
        </w:rPr>
      </w:pPr>
      <w:r w:rsidRPr="00CB3E13">
        <w:rPr>
          <w:rFonts w:eastAsia="Palatino Linotype" w:cs="Palatino Linotype"/>
          <w:i/>
          <w:iCs/>
          <w:color w:val="000000"/>
        </w:rPr>
        <w:t xml:space="preserve"> 5. DE LAS Y LOS SEL Y CAEL establece que:</w:t>
      </w:r>
    </w:p>
    <w:p w14:paraId="52270B6A" w14:textId="77777777" w:rsidR="00CB3E13" w:rsidRPr="00CB3E13" w:rsidRDefault="00CB3E13" w:rsidP="00FD5B94">
      <w:pPr>
        <w:pBdr>
          <w:top w:val="nil"/>
          <w:left w:val="nil"/>
          <w:bottom w:val="nil"/>
          <w:right w:val="nil"/>
          <w:between w:val="nil"/>
        </w:pBdr>
        <w:ind w:left="720" w:right="565"/>
        <w:contextualSpacing/>
        <w:rPr>
          <w:rFonts w:eastAsia="Palatino Linotype" w:cs="Palatino Linotype"/>
          <w:color w:val="000000"/>
        </w:rPr>
      </w:pPr>
    </w:p>
    <w:p w14:paraId="3EEDC131" w14:textId="77777777" w:rsidR="00CB3E13" w:rsidRPr="00CB3E13" w:rsidRDefault="00CB3E13" w:rsidP="00FD5B94">
      <w:pPr>
        <w:pBdr>
          <w:top w:val="nil"/>
          <w:left w:val="nil"/>
          <w:bottom w:val="nil"/>
          <w:right w:val="nil"/>
          <w:between w:val="nil"/>
        </w:pBdr>
        <w:ind w:left="720" w:right="565"/>
        <w:contextualSpacing/>
        <w:rPr>
          <w:rFonts w:eastAsia="Palatino Linotype" w:cs="Palatino Linotype"/>
          <w:i/>
          <w:iCs/>
          <w:color w:val="000000"/>
        </w:rPr>
      </w:pPr>
      <w:r w:rsidRPr="00CB3E13">
        <w:rPr>
          <w:rFonts w:eastAsia="Palatino Linotype" w:cs="Palatino Linotype"/>
          <w:i/>
          <w:iCs/>
          <w:color w:val="000000"/>
        </w:rPr>
        <w:t>(…) el IEEM implementará el proceso de reclutamiento, selección y contratación de las y los SEL y CAEL, con base en los principios constitucionales de igualdad y no discriminación consagrados en el artículo 1° de la CPEUM, que establece que ninguna persona podrá ser discriminada por origen étnico, género, edad, discapacidades, condición social, condiciones de salud, religión, opiniones, identidad y preferencia sexual, estado civil o cualquier otra que atente contra la dignidad humana y tenga por objeto anular o menoscabar los derechos y libertades de las personas.</w:t>
      </w:r>
    </w:p>
    <w:p w14:paraId="42194CEB" w14:textId="77777777" w:rsidR="00CB3E13" w:rsidRPr="00CB3E13" w:rsidRDefault="00CB3E13" w:rsidP="00FD5B94">
      <w:pPr>
        <w:pBdr>
          <w:top w:val="nil"/>
          <w:left w:val="nil"/>
          <w:bottom w:val="nil"/>
          <w:right w:val="nil"/>
          <w:between w:val="nil"/>
        </w:pBdr>
        <w:ind w:left="720" w:right="565"/>
        <w:contextualSpacing/>
        <w:rPr>
          <w:rFonts w:eastAsia="Palatino Linotype" w:cs="Palatino Linotype"/>
          <w:i/>
          <w:iCs/>
          <w:color w:val="000000"/>
        </w:rPr>
      </w:pPr>
    </w:p>
    <w:p w14:paraId="5FA89E39" w14:textId="77777777" w:rsidR="00CB3E13" w:rsidRDefault="00CB3E13" w:rsidP="00FD5B94">
      <w:pPr>
        <w:pBdr>
          <w:top w:val="nil"/>
          <w:left w:val="nil"/>
          <w:bottom w:val="nil"/>
          <w:right w:val="nil"/>
          <w:between w:val="nil"/>
        </w:pBdr>
        <w:ind w:left="720" w:right="565"/>
        <w:contextualSpacing/>
        <w:rPr>
          <w:rFonts w:eastAsia="Palatino Linotype" w:cs="Palatino Linotype"/>
          <w:color w:val="000000"/>
        </w:rPr>
      </w:pPr>
      <w:r w:rsidRPr="00CB3E13">
        <w:rPr>
          <w:rFonts w:eastAsia="Palatino Linotype" w:cs="Palatino Linotype"/>
          <w:color w:val="000000"/>
        </w:rPr>
        <w:t>Por otra parte, los mismos Lineamientos prevén la recontratación de las personas que fungieron como SEL y CAEL en la pasada Elección de Diputaciones Locales y Ayuntamientos 2024, por lo cual, el IEEM procedió a contactar a las personas que se desempeñaron con tal carácter, verificando en cada etapa el cumplimiento de los requisitos establecidos en los Lineamientos.</w:t>
      </w:r>
    </w:p>
    <w:p w14:paraId="21B37BA6" w14:textId="77777777" w:rsidR="007C6EE2" w:rsidRDefault="007C6EE2" w:rsidP="00FD5B94">
      <w:pPr>
        <w:pBdr>
          <w:top w:val="nil"/>
          <w:left w:val="nil"/>
          <w:bottom w:val="nil"/>
          <w:right w:val="nil"/>
          <w:between w:val="nil"/>
        </w:pBdr>
        <w:ind w:left="720" w:right="565"/>
        <w:contextualSpacing/>
        <w:rPr>
          <w:rFonts w:eastAsia="Palatino Linotype" w:cs="Palatino Linotype"/>
          <w:color w:val="000000"/>
        </w:rPr>
      </w:pPr>
    </w:p>
    <w:p w14:paraId="7818A66B"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color w:val="000000"/>
        </w:rPr>
      </w:pPr>
      <w:r w:rsidRPr="004A7134">
        <w:rPr>
          <w:rFonts w:eastAsia="Palatino Linotype" w:cs="Palatino Linotype"/>
          <w:color w:val="000000"/>
        </w:rPr>
        <w:t xml:space="preserve">En ese contexto, una vez que se contactó a las personas aspirantes y que ellas actualizaron su documentación, así como visualizaron la plática de inducción, se llevó a cabo la aplicación de la entrevista escrita en modalidad en línea, conforme a los horarios establecidos en los Lineamientos y concluida la etapa de evaluación, se conformó la Propuesta con base en los resultados obtenidos en la entrevista y el número de figuras requeridas por municipio; las personas no seleccionadas figurarán en la lista de reserva correspondiente. </w:t>
      </w:r>
    </w:p>
    <w:p w14:paraId="64B55845"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color w:val="000000"/>
        </w:rPr>
      </w:pPr>
    </w:p>
    <w:p w14:paraId="1C084395"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color w:val="000000"/>
        </w:rPr>
      </w:pPr>
      <w:r w:rsidRPr="004A7134">
        <w:rPr>
          <w:rFonts w:eastAsia="Palatino Linotype" w:cs="Palatino Linotype"/>
          <w:color w:val="000000"/>
        </w:rPr>
        <w:t xml:space="preserve">Cabe precisar que, en los casos de empate, se resolvió atendiendo a los criterios de desempate señalados en los Lineamientos, siguiendo el orden de prelación: </w:t>
      </w:r>
    </w:p>
    <w:p w14:paraId="04156FEB"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color w:val="000000"/>
        </w:rPr>
      </w:pPr>
    </w:p>
    <w:p w14:paraId="4573341B"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color w:val="000000"/>
        </w:rPr>
      </w:pPr>
      <w:r w:rsidRPr="004A7134">
        <w:rPr>
          <w:rFonts w:eastAsia="Palatino Linotype" w:cs="Palatino Linotype"/>
          <w:color w:val="000000"/>
        </w:rPr>
        <w:t xml:space="preserve">1. Experiencia como SEL o CAEL en la Elección de Diputaciones Locales y Ayuntamientos 2024. </w:t>
      </w:r>
    </w:p>
    <w:p w14:paraId="6FA2D050"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color w:val="000000"/>
        </w:rPr>
      </w:pPr>
      <w:r w:rsidRPr="004A7134">
        <w:rPr>
          <w:rFonts w:eastAsia="Palatino Linotype" w:cs="Palatino Linotype"/>
          <w:color w:val="000000"/>
        </w:rPr>
        <w:t xml:space="preserve">2. Mayor tiempo de prestación de servicios en dicho proceso electoral. </w:t>
      </w:r>
    </w:p>
    <w:p w14:paraId="541E8B77"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color w:val="000000"/>
        </w:rPr>
      </w:pPr>
      <w:r w:rsidRPr="004A7134">
        <w:rPr>
          <w:rFonts w:eastAsia="Palatino Linotype" w:cs="Palatino Linotype"/>
          <w:color w:val="000000"/>
        </w:rPr>
        <w:t xml:space="preserve">3. Mayor nivel de escolaridad. </w:t>
      </w:r>
    </w:p>
    <w:p w14:paraId="32D93E8E"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color w:val="000000"/>
        </w:rPr>
      </w:pPr>
      <w:r w:rsidRPr="004A7134">
        <w:rPr>
          <w:rFonts w:eastAsia="Palatino Linotype" w:cs="Palatino Linotype"/>
          <w:color w:val="000000"/>
        </w:rPr>
        <w:t>4. Orden de prelación en los listados aprobados mediante acuerdo IEEM/CG/86/2024.</w:t>
      </w:r>
    </w:p>
    <w:p w14:paraId="53419DC2"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color w:val="000000"/>
        </w:rPr>
      </w:pPr>
      <w:r w:rsidRPr="004A7134">
        <w:rPr>
          <w:rFonts w:eastAsia="Palatino Linotype" w:cs="Palatino Linotype"/>
          <w:color w:val="000000"/>
        </w:rPr>
        <w:t>5. Experiencia en capacitación o manejo de grupos.</w:t>
      </w:r>
    </w:p>
    <w:p w14:paraId="174E02F5" w14:textId="77777777" w:rsidR="004A7134" w:rsidRPr="004A7134" w:rsidRDefault="004A7134" w:rsidP="00FD5B94">
      <w:pPr>
        <w:pBdr>
          <w:top w:val="nil"/>
          <w:left w:val="nil"/>
          <w:bottom w:val="nil"/>
          <w:right w:val="nil"/>
          <w:between w:val="nil"/>
        </w:pBdr>
        <w:ind w:left="720" w:right="565"/>
        <w:contextualSpacing/>
        <w:rPr>
          <w:rFonts w:eastAsia="Palatino Linotype" w:cs="Palatino Linotype"/>
          <w:i/>
          <w:iCs/>
          <w:color w:val="000000"/>
        </w:rPr>
      </w:pPr>
      <w:r w:rsidRPr="004A7134">
        <w:rPr>
          <w:rFonts w:eastAsia="Palatino Linotype" w:cs="Palatino Linotype"/>
          <w:color w:val="000000"/>
        </w:rPr>
        <w:t>6. En caso de persistir el empate, se aplicará el método determinado por la CEVINE.</w:t>
      </w:r>
      <w:r w:rsidRPr="004A7134">
        <w:rPr>
          <w:rFonts w:eastAsia="Palatino Linotype" w:cs="Palatino Linotype"/>
          <w:i/>
          <w:iCs/>
          <w:color w:val="000000"/>
        </w:rPr>
        <w:t xml:space="preserve"> </w:t>
      </w:r>
    </w:p>
    <w:p w14:paraId="2C17622C" w14:textId="0CDC0744" w:rsidR="004A7134" w:rsidRPr="00CB3E13" w:rsidRDefault="004A7134" w:rsidP="00FD5B94">
      <w:pPr>
        <w:pBdr>
          <w:top w:val="nil"/>
          <w:left w:val="nil"/>
          <w:bottom w:val="nil"/>
          <w:right w:val="nil"/>
          <w:between w:val="nil"/>
        </w:pBdr>
        <w:ind w:left="720"/>
        <w:contextualSpacing/>
        <w:jc w:val="center"/>
        <w:rPr>
          <w:rFonts w:eastAsia="Palatino Linotype" w:cs="Palatino Linotype"/>
          <w:color w:val="000000"/>
        </w:rPr>
      </w:pPr>
      <w:r>
        <w:rPr>
          <w:rFonts w:eastAsia="Palatino Linotype" w:cs="Palatino Linotype"/>
          <w:color w:val="000000"/>
        </w:rPr>
        <w:t>-Finaliza el oficio c</w:t>
      </w:r>
      <w:r w:rsidR="00FD5B94">
        <w:rPr>
          <w:rFonts w:eastAsia="Palatino Linotype" w:cs="Palatino Linotype"/>
          <w:color w:val="000000"/>
        </w:rPr>
        <w:t>on nombre y cargo</w:t>
      </w:r>
      <w:r>
        <w:rPr>
          <w:rFonts w:eastAsia="Palatino Linotype" w:cs="Palatino Linotype"/>
          <w:color w:val="000000"/>
        </w:rPr>
        <w:t>-</w:t>
      </w:r>
    </w:p>
    <w:p w14:paraId="22095D3E" w14:textId="77777777" w:rsidR="00CB3E13" w:rsidRDefault="00CB3E13" w:rsidP="00CB3E13">
      <w:pPr>
        <w:pBdr>
          <w:top w:val="nil"/>
          <w:left w:val="nil"/>
          <w:bottom w:val="nil"/>
          <w:right w:val="nil"/>
          <w:between w:val="nil"/>
        </w:pBdr>
        <w:contextualSpacing/>
        <w:rPr>
          <w:rFonts w:eastAsia="Palatino Linotype" w:cs="Palatino Linotype"/>
          <w:color w:val="000000"/>
        </w:rPr>
      </w:pPr>
    </w:p>
    <w:p w14:paraId="43E52377" w14:textId="302D980F" w:rsidR="00EA129F" w:rsidRDefault="00EA129F" w:rsidP="00EA129F">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8F136D">
        <w:rPr>
          <w:rFonts w:eastAsia="Palatino Linotype" w:cs="Palatino Linotype"/>
          <w:b/>
          <w:color w:val="000000"/>
        </w:rPr>
        <w:t>OFICIO RESPUESTA 00766-2025 UT</w:t>
      </w:r>
      <w:r w:rsidR="007417B2">
        <w:rPr>
          <w:rFonts w:eastAsia="Palatino Linotype" w:cs="Palatino Linotype"/>
          <w:color w:val="000000"/>
        </w:rPr>
        <w:t xml:space="preserve">. </w:t>
      </w:r>
      <w:r w:rsidR="00A23D65">
        <w:rPr>
          <w:rFonts w:eastAsia="Palatino Linotype" w:cs="Palatino Linotype"/>
          <w:color w:val="000000"/>
        </w:rPr>
        <w:t>Oficio IEEM/</w:t>
      </w:r>
      <w:r w:rsidR="00EF6BF7">
        <w:rPr>
          <w:rFonts w:eastAsia="Palatino Linotype" w:cs="Palatino Linotype"/>
          <w:color w:val="000000"/>
        </w:rPr>
        <w:t xml:space="preserve">UT/1528/2025, emitido por la Jefa de la Unidad de Transparencia en el que comunica al solicitante que se localiza en archivo adjunto </w:t>
      </w:r>
      <w:r w:rsidR="009C6E9B">
        <w:rPr>
          <w:rFonts w:eastAsia="Palatino Linotype" w:cs="Palatino Linotype"/>
          <w:color w:val="000000"/>
        </w:rPr>
        <w:t>el oficio emitido por las personas Servidoras Públicas Habilitadas de la Dirección de Participación Ciudadana y la Unidad Coordinadora de Género.</w:t>
      </w:r>
    </w:p>
    <w:p w14:paraId="6E38B0DD" w14:textId="7CEED4F0" w:rsidR="00EA129F" w:rsidRDefault="00EA129F" w:rsidP="00EA129F">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8F136D">
        <w:rPr>
          <w:rFonts w:eastAsia="Palatino Linotype" w:cs="Palatino Linotype"/>
          <w:b/>
          <w:color w:val="000000"/>
        </w:rPr>
        <w:t>RESPUESTA 766-2025 DPC</w:t>
      </w:r>
      <w:r w:rsidR="007417B2">
        <w:rPr>
          <w:rFonts w:eastAsia="Palatino Linotype" w:cs="Palatino Linotype"/>
          <w:color w:val="000000"/>
        </w:rPr>
        <w:t xml:space="preserve">. </w:t>
      </w:r>
      <w:r w:rsidR="00506E0E">
        <w:rPr>
          <w:rFonts w:eastAsia="Palatino Linotype" w:cs="Palatino Linotype"/>
          <w:color w:val="000000"/>
        </w:rPr>
        <w:t>Oficio número IEEM/DPC/459/2025 emitido por la Directora de Participación Ciudadana</w:t>
      </w:r>
      <w:r w:rsidR="009901D5">
        <w:rPr>
          <w:rFonts w:eastAsia="Palatino Linotype" w:cs="Palatino Linotype"/>
          <w:color w:val="000000"/>
        </w:rPr>
        <w:t>, referido anteriormente.</w:t>
      </w:r>
    </w:p>
    <w:p w14:paraId="4C096F31" w14:textId="72AB904E" w:rsidR="00EA129F" w:rsidRDefault="00EA129F" w:rsidP="009743E0">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696EB0">
        <w:rPr>
          <w:rFonts w:eastAsia="Palatino Linotype" w:cs="Palatino Linotype"/>
          <w:b/>
          <w:color w:val="000000"/>
        </w:rPr>
        <w:t>RESPUESTA 766-2025 UCG</w:t>
      </w:r>
      <w:r w:rsidR="007417B2" w:rsidRPr="00696EB0">
        <w:rPr>
          <w:rFonts w:eastAsia="Palatino Linotype" w:cs="Palatino Linotype"/>
          <w:color w:val="000000"/>
        </w:rPr>
        <w:t xml:space="preserve">. </w:t>
      </w:r>
      <w:r w:rsidR="000A1DD0" w:rsidRPr="00696EB0">
        <w:rPr>
          <w:rFonts w:eastAsia="Palatino Linotype" w:cs="Palatino Linotype"/>
          <w:color w:val="000000"/>
        </w:rPr>
        <w:t xml:space="preserve">Oficio número IEEM/UCG/111/2025, emitido por la Jefa de la Unidad Coordinadora de Género, por el cual </w:t>
      </w:r>
      <w:r w:rsidR="008F72E3" w:rsidRPr="00696EB0">
        <w:rPr>
          <w:rFonts w:eastAsia="Palatino Linotype" w:cs="Palatino Linotype"/>
          <w:color w:val="000000"/>
        </w:rPr>
        <w:t>expone</w:t>
      </w:r>
      <w:r w:rsidR="000A1DD0" w:rsidRPr="00696EB0">
        <w:rPr>
          <w:rFonts w:eastAsia="Palatino Linotype" w:cs="Palatino Linotype"/>
          <w:color w:val="000000"/>
        </w:rPr>
        <w:t xml:space="preserve"> a la Titular de la Unidad de Transparencia </w:t>
      </w:r>
      <w:r w:rsidR="008F72E3" w:rsidRPr="00696EB0">
        <w:rPr>
          <w:rFonts w:eastAsia="Palatino Linotype" w:cs="Palatino Linotype"/>
          <w:color w:val="000000"/>
        </w:rPr>
        <w:t xml:space="preserve">que </w:t>
      </w:r>
      <w:r w:rsidR="0009125D" w:rsidRPr="00696EB0">
        <w:rPr>
          <w:rFonts w:eastAsia="Palatino Linotype" w:cs="Palatino Linotype"/>
          <w:color w:val="000000"/>
        </w:rPr>
        <w:t xml:space="preserve">la unidad no cuenta </w:t>
      </w:r>
      <w:r w:rsidR="00696EB0" w:rsidRPr="00696EB0">
        <w:rPr>
          <w:rFonts w:eastAsia="Palatino Linotype" w:cs="Palatino Linotype"/>
          <w:color w:val="000000"/>
        </w:rPr>
        <w:t>con información que pudiera advertir sobre la integración de los listados o criterios de aplicación del principio de paridad género de la solicitud de</w:t>
      </w:r>
      <w:r w:rsidR="00696EB0">
        <w:rPr>
          <w:rFonts w:eastAsia="Palatino Linotype" w:cs="Palatino Linotype"/>
          <w:color w:val="000000"/>
        </w:rPr>
        <w:t xml:space="preserve"> </w:t>
      </w:r>
      <w:r w:rsidR="00696EB0" w:rsidRPr="00696EB0">
        <w:rPr>
          <w:rFonts w:eastAsia="Palatino Linotype" w:cs="Palatino Linotype"/>
          <w:color w:val="000000"/>
        </w:rPr>
        <w:t>mérito.</w:t>
      </w:r>
    </w:p>
    <w:p w14:paraId="3ACBE9C3" w14:textId="7C901E06" w:rsidR="00696EB0" w:rsidRDefault="00306628" w:rsidP="00696EB0">
      <w:pPr>
        <w:pStyle w:val="Prrafodelista"/>
        <w:pBdr>
          <w:top w:val="nil"/>
          <w:left w:val="nil"/>
          <w:bottom w:val="nil"/>
          <w:right w:val="nil"/>
          <w:between w:val="nil"/>
        </w:pBdr>
        <w:ind w:left="720"/>
        <w:contextualSpacing/>
        <w:rPr>
          <w:rFonts w:eastAsia="Palatino Linotype" w:cs="Palatino Linotype"/>
          <w:color w:val="000000"/>
        </w:rPr>
      </w:pPr>
      <w:r w:rsidRPr="00306628">
        <w:rPr>
          <w:rFonts w:eastAsia="Palatino Linotype" w:cs="Palatino Linotype"/>
          <w:color w:val="000000"/>
        </w:rPr>
        <w:t xml:space="preserve">No obstante, lo anterior manifiesta que </w:t>
      </w:r>
      <w:r>
        <w:rPr>
          <w:rFonts w:eastAsia="Palatino Linotype" w:cs="Palatino Linotype"/>
          <w:color w:val="000000"/>
        </w:rPr>
        <w:t xml:space="preserve">para abonar a la búsqueda de la información, cuatro </w:t>
      </w:r>
      <w:r w:rsidR="00D23BAB">
        <w:rPr>
          <w:rFonts w:eastAsia="Palatino Linotype" w:cs="Palatino Linotype"/>
          <w:color w:val="000000"/>
        </w:rPr>
        <w:t>precisiones</w:t>
      </w:r>
      <w:r w:rsidR="00B703D1">
        <w:rPr>
          <w:rFonts w:eastAsia="Palatino Linotype" w:cs="Palatino Linotype"/>
          <w:color w:val="000000"/>
        </w:rPr>
        <w:t>, al tenor literal siguiente:</w:t>
      </w:r>
    </w:p>
    <w:p w14:paraId="3FDCD8AC" w14:textId="50E52C09" w:rsidR="00B703D1" w:rsidRDefault="00E26DFD" w:rsidP="00E26DFD">
      <w:pPr>
        <w:pStyle w:val="Prrafodelista"/>
        <w:pBdr>
          <w:top w:val="nil"/>
          <w:left w:val="nil"/>
          <w:bottom w:val="nil"/>
          <w:right w:val="nil"/>
          <w:between w:val="nil"/>
        </w:pBdr>
        <w:ind w:left="720"/>
        <w:contextualSpacing/>
        <w:rPr>
          <w:rFonts w:eastAsia="Palatino Linotype" w:cs="Palatino Linotype"/>
          <w:color w:val="000000"/>
        </w:rPr>
      </w:pPr>
      <w:r w:rsidRPr="00E26DFD">
        <w:rPr>
          <w:rFonts w:eastAsia="Palatino Linotype" w:cs="Palatino Linotype"/>
          <w:color w:val="000000"/>
        </w:rPr>
        <w:t>El 03 de marzo de 2025 la Junta General del Instituto Electoral del Estado de México (IEEM)</w:t>
      </w:r>
      <w:r>
        <w:rPr>
          <w:rFonts w:eastAsia="Palatino Linotype" w:cs="Palatino Linotype"/>
          <w:color w:val="000000"/>
        </w:rPr>
        <w:t xml:space="preserve"> </w:t>
      </w:r>
      <w:r w:rsidRPr="00E26DFD">
        <w:rPr>
          <w:rFonts w:eastAsia="Palatino Linotype" w:cs="Palatino Linotype"/>
          <w:color w:val="000000"/>
        </w:rPr>
        <w:t>aprobó el acuerdo IEEM/JG/26/2025 Por el que se aprueba la propuesta de Lineamientos</w:t>
      </w:r>
      <w:r>
        <w:rPr>
          <w:rFonts w:eastAsia="Palatino Linotype" w:cs="Palatino Linotype"/>
          <w:color w:val="000000"/>
        </w:rPr>
        <w:t xml:space="preserve"> </w:t>
      </w:r>
      <w:r w:rsidRPr="00E26DFD">
        <w:rPr>
          <w:rFonts w:eastAsia="Palatino Linotype" w:cs="Palatino Linotype"/>
          <w:color w:val="000000"/>
        </w:rPr>
        <w:t>para el reclutamiento, selección y contratación de Supervisores/as Electorales Locales y</w:t>
      </w:r>
      <w:r>
        <w:rPr>
          <w:rFonts w:eastAsia="Palatino Linotype" w:cs="Palatino Linotype"/>
          <w:color w:val="000000"/>
        </w:rPr>
        <w:t xml:space="preserve"> </w:t>
      </w:r>
      <w:r w:rsidRPr="00E26DFD">
        <w:rPr>
          <w:rFonts w:eastAsia="Palatino Linotype" w:cs="Palatino Linotype"/>
          <w:color w:val="000000"/>
        </w:rPr>
        <w:t>Capacitadores/as-Asistentes Electorales Locales para el Proceso Electoral Judicial</w:t>
      </w:r>
      <w:r>
        <w:rPr>
          <w:rFonts w:eastAsia="Palatino Linotype" w:cs="Palatino Linotype"/>
          <w:color w:val="000000"/>
        </w:rPr>
        <w:t xml:space="preserve"> </w:t>
      </w:r>
      <w:r w:rsidRPr="00E26DFD">
        <w:rPr>
          <w:rFonts w:eastAsia="Palatino Linotype" w:cs="Palatino Linotype"/>
          <w:color w:val="000000"/>
        </w:rPr>
        <w:t>Extraordinario 2025 del Estado de México, así como sus anexos, y su remisión al Consejo</w:t>
      </w:r>
      <w:r>
        <w:rPr>
          <w:rFonts w:eastAsia="Palatino Linotype" w:cs="Palatino Linotype"/>
          <w:color w:val="000000"/>
        </w:rPr>
        <w:t xml:space="preserve"> </w:t>
      </w:r>
      <w:r w:rsidRPr="00E26DFD">
        <w:rPr>
          <w:rFonts w:eastAsia="Palatino Linotype" w:cs="Palatino Linotype"/>
          <w:color w:val="000000"/>
        </w:rPr>
        <w:t xml:space="preserve">General. Disponible para su consulta en: </w:t>
      </w:r>
      <w:hyperlink r:id="rId10" w:history="1">
        <w:r w:rsidRPr="00CA1B6C">
          <w:rPr>
            <w:rStyle w:val="Hipervnculo"/>
            <w:rFonts w:eastAsia="Palatino Linotype" w:cs="Palatino Linotype"/>
          </w:rPr>
          <w:t>https://www.ieem.org.mx/transparencia2/pdf/fraccionVI/jungen/2025/Ac_25/jg_acu026_25.pdf</w:t>
        </w:r>
      </w:hyperlink>
      <w:r>
        <w:rPr>
          <w:rFonts w:eastAsia="Palatino Linotype" w:cs="Palatino Linotype"/>
          <w:color w:val="000000"/>
        </w:rPr>
        <w:t xml:space="preserve"> (las ligas electrónicas están en formato cerrado</w:t>
      </w:r>
      <w:r w:rsidR="002D0C81">
        <w:rPr>
          <w:rFonts w:eastAsia="Palatino Linotype" w:cs="Palatino Linotype"/>
          <w:color w:val="000000"/>
        </w:rPr>
        <w:t>; respecto al documento de Word, se encuentran en formato abierto</w:t>
      </w:r>
      <w:r>
        <w:rPr>
          <w:rFonts w:eastAsia="Palatino Linotype" w:cs="Palatino Linotype"/>
          <w:color w:val="000000"/>
        </w:rPr>
        <w:t>)</w:t>
      </w:r>
    </w:p>
    <w:p w14:paraId="5AE303B6" w14:textId="77777777" w:rsidR="00572137" w:rsidRDefault="00572137" w:rsidP="00E26DFD">
      <w:pPr>
        <w:pStyle w:val="Prrafodelista"/>
        <w:pBdr>
          <w:top w:val="nil"/>
          <w:left w:val="nil"/>
          <w:bottom w:val="nil"/>
          <w:right w:val="nil"/>
          <w:between w:val="nil"/>
        </w:pBdr>
        <w:ind w:left="720"/>
        <w:contextualSpacing/>
        <w:rPr>
          <w:rFonts w:eastAsia="Palatino Linotype" w:cs="Palatino Linotype"/>
          <w:color w:val="000000"/>
        </w:rPr>
      </w:pPr>
    </w:p>
    <w:p w14:paraId="4C4B5125" w14:textId="77777777" w:rsidR="00E26DFD" w:rsidRDefault="00E26DFD" w:rsidP="00E26DFD">
      <w:pPr>
        <w:pStyle w:val="Prrafodelista"/>
        <w:pBdr>
          <w:top w:val="nil"/>
          <w:left w:val="nil"/>
          <w:bottom w:val="nil"/>
          <w:right w:val="nil"/>
          <w:between w:val="nil"/>
        </w:pBdr>
        <w:ind w:left="720"/>
        <w:contextualSpacing/>
        <w:rPr>
          <w:rFonts w:eastAsia="Palatino Linotype" w:cs="Palatino Linotype"/>
          <w:color w:val="000000"/>
        </w:rPr>
      </w:pPr>
      <w:r w:rsidRPr="00E26DFD">
        <w:rPr>
          <w:rFonts w:eastAsia="Palatino Linotype" w:cs="Palatino Linotype"/>
          <w:color w:val="000000"/>
        </w:rPr>
        <w:t>Posterior a ello, el 05 de marzo del presente, el Consejo General del IEEM aprobó el</w:t>
      </w:r>
      <w:r>
        <w:rPr>
          <w:rFonts w:eastAsia="Palatino Linotype" w:cs="Palatino Linotype"/>
          <w:color w:val="000000"/>
        </w:rPr>
        <w:t xml:space="preserve"> </w:t>
      </w:r>
      <w:r w:rsidRPr="00E26DFD">
        <w:rPr>
          <w:rFonts w:eastAsia="Palatino Linotype" w:cs="Palatino Linotype"/>
          <w:color w:val="000000"/>
        </w:rPr>
        <w:t>acuerdo IEEM/CG/40/2025 Por el que se expiden los Lineamientos para el reclutamiento,</w:t>
      </w:r>
      <w:r w:rsidRPr="00E26DFD">
        <w:t xml:space="preserve"> </w:t>
      </w:r>
      <w:r w:rsidRPr="00E26DFD">
        <w:rPr>
          <w:rFonts w:eastAsia="Palatino Linotype" w:cs="Palatino Linotype"/>
          <w:color w:val="000000"/>
        </w:rPr>
        <w:t>selección y contratación de Supervisores/as Electorales Locales y Capacitadores/as-</w:t>
      </w:r>
      <w:r>
        <w:rPr>
          <w:rFonts w:eastAsia="Palatino Linotype" w:cs="Palatino Linotype"/>
          <w:color w:val="000000"/>
        </w:rPr>
        <w:t xml:space="preserve"> </w:t>
      </w:r>
      <w:r w:rsidRPr="00E26DFD">
        <w:rPr>
          <w:rFonts w:eastAsia="Palatino Linotype" w:cs="Palatino Linotype"/>
          <w:color w:val="000000"/>
        </w:rPr>
        <w:t>Asistentes Electorales Locales para el Proceso Electoral Judicial Extraordinario 2025 del</w:t>
      </w:r>
      <w:r>
        <w:rPr>
          <w:rFonts w:eastAsia="Palatino Linotype" w:cs="Palatino Linotype"/>
          <w:color w:val="000000"/>
        </w:rPr>
        <w:t xml:space="preserve"> </w:t>
      </w:r>
      <w:r w:rsidRPr="00E26DFD">
        <w:rPr>
          <w:rFonts w:eastAsia="Palatino Linotype" w:cs="Palatino Linotype"/>
          <w:color w:val="000000"/>
        </w:rPr>
        <w:t>Estado de México, así como sus anexos. Disponible para su consulta en</w:t>
      </w:r>
      <w:r>
        <w:rPr>
          <w:rFonts w:eastAsia="Palatino Linotype" w:cs="Palatino Linotype"/>
          <w:color w:val="000000"/>
        </w:rPr>
        <w:t xml:space="preserve"> </w:t>
      </w:r>
      <w:hyperlink r:id="rId11" w:history="1">
        <w:r w:rsidRPr="00CA1B6C">
          <w:rPr>
            <w:rStyle w:val="Hipervnculo"/>
            <w:rFonts w:eastAsia="Palatino Linotype" w:cs="Palatino Linotype"/>
          </w:rPr>
          <w:t>https://www.ieem.org.mx/consejo_general/cg/2025/AC_2025/a040_25.pdf</w:t>
        </w:r>
      </w:hyperlink>
      <w:r>
        <w:rPr>
          <w:rFonts w:eastAsia="Palatino Linotype" w:cs="Palatino Linotype"/>
          <w:color w:val="000000"/>
        </w:rPr>
        <w:t xml:space="preserve"> </w:t>
      </w:r>
    </w:p>
    <w:p w14:paraId="6B3E94E5" w14:textId="77777777" w:rsidR="00572137" w:rsidRDefault="00572137" w:rsidP="00572137">
      <w:pPr>
        <w:pStyle w:val="Prrafodelista"/>
        <w:pBdr>
          <w:top w:val="nil"/>
          <w:left w:val="nil"/>
          <w:bottom w:val="nil"/>
          <w:right w:val="nil"/>
          <w:between w:val="nil"/>
        </w:pBdr>
        <w:ind w:left="720"/>
        <w:contextualSpacing/>
        <w:rPr>
          <w:rFonts w:eastAsia="Palatino Linotype" w:cs="Palatino Linotype"/>
          <w:color w:val="000000"/>
        </w:rPr>
      </w:pPr>
    </w:p>
    <w:p w14:paraId="3B9A7641" w14:textId="77777777" w:rsidR="00572137" w:rsidRPr="00572137" w:rsidRDefault="00572137" w:rsidP="00572137">
      <w:pPr>
        <w:pStyle w:val="Prrafodelista"/>
        <w:pBdr>
          <w:top w:val="nil"/>
          <w:left w:val="nil"/>
          <w:bottom w:val="nil"/>
          <w:right w:val="nil"/>
          <w:between w:val="nil"/>
        </w:pBdr>
        <w:ind w:left="720"/>
        <w:contextualSpacing/>
        <w:rPr>
          <w:rFonts w:eastAsia="Palatino Linotype" w:cs="Palatino Linotype"/>
          <w:color w:val="000000"/>
        </w:rPr>
      </w:pPr>
      <w:r w:rsidRPr="00572137">
        <w:rPr>
          <w:rFonts w:eastAsia="Palatino Linotype" w:cs="Palatino Linotype"/>
          <w:color w:val="000000"/>
        </w:rPr>
        <w:t>De la misma forma, el 14 de abril del 2025, la Junta General expidió el acuerdo</w:t>
      </w:r>
    </w:p>
    <w:p w14:paraId="2FB76FD6" w14:textId="77777777" w:rsidR="00572137" w:rsidRPr="00572137" w:rsidRDefault="00572137" w:rsidP="00572137">
      <w:pPr>
        <w:pStyle w:val="Prrafodelista"/>
        <w:pBdr>
          <w:top w:val="nil"/>
          <w:left w:val="nil"/>
          <w:bottom w:val="nil"/>
          <w:right w:val="nil"/>
          <w:between w:val="nil"/>
        </w:pBdr>
        <w:ind w:left="720"/>
        <w:contextualSpacing/>
        <w:rPr>
          <w:rFonts w:eastAsia="Palatino Linotype" w:cs="Palatino Linotype"/>
          <w:color w:val="000000"/>
        </w:rPr>
      </w:pPr>
      <w:r w:rsidRPr="00572137">
        <w:rPr>
          <w:rFonts w:eastAsia="Palatino Linotype" w:cs="Palatino Linotype"/>
          <w:color w:val="000000"/>
        </w:rPr>
        <w:t>IEEM/JG/47/2025 Por el que se aprueba la propuesta del listado de designación de</w:t>
      </w:r>
    </w:p>
    <w:p w14:paraId="5FC5A7A8" w14:textId="79A22F89" w:rsidR="00572137" w:rsidRPr="00572137" w:rsidRDefault="00572137" w:rsidP="00572137">
      <w:pPr>
        <w:pStyle w:val="Prrafodelista"/>
        <w:pBdr>
          <w:top w:val="nil"/>
          <w:left w:val="nil"/>
          <w:bottom w:val="nil"/>
          <w:right w:val="nil"/>
          <w:between w:val="nil"/>
        </w:pBdr>
        <w:ind w:left="720"/>
        <w:contextualSpacing/>
        <w:rPr>
          <w:rFonts w:eastAsia="Palatino Linotype" w:cs="Palatino Linotype"/>
          <w:color w:val="000000"/>
        </w:rPr>
      </w:pPr>
      <w:r w:rsidRPr="00572137">
        <w:rPr>
          <w:rFonts w:eastAsia="Palatino Linotype" w:cs="Palatino Linotype"/>
          <w:color w:val="000000"/>
        </w:rPr>
        <w:t>Supervisores/as Electorales Locales y Capacitadores/as-Asistentes Electorales Locales,</w:t>
      </w:r>
      <w:r>
        <w:rPr>
          <w:rFonts w:eastAsia="Palatino Linotype" w:cs="Palatino Linotype"/>
          <w:color w:val="000000"/>
        </w:rPr>
        <w:t xml:space="preserve"> </w:t>
      </w:r>
      <w:r w:rsidRPr="00572137">
        <w:rPr>
          <w:rFonts w:eastAsia="Palatino Linotype" w:cs="Palatino Linotype"/>
          <w:color w:val="000000"/>
        </w:rPr>
        <w:t>para el Proceso Electoral Judicial Extraordinario 2025 del Estado de México, así como la</w:t>
      </w:r>
      <w:r>
        <w:rPr>
          <w:rFonts w:eastAsia="Palatino Linotype" w:cs="Palatino Linotype"/>
          <w:color w:val="000000"/>
        </w:rPr>
        <w:t xml:space="preserve"> </w:t>
      </w:r>
      <w:r w:rsidRPr="00572137">
        <w:rPr>
          <w:rFonts w:eastAsia="Palatino Linotype" w:cs="Palatino Linotype"/>
          <w:color w:val="000000"/>
        </w:rPr>
        <w:t>lista de reserva, y su remisión al Consejo General. Disponible para su consulta en:</w:t>
      </w:r>
    </w:p>
    <w:p w14:paraId="41C9ABE7" w14:textId="017471CE" w:rsidR="00E26DFD" w:rsidRDefault="00E13E9D" w:rsidP="00572137">
      <w:pPr>
        <w:pStyle w:val="Prrafodelista"/>
        <w:pBdr>
          <w:top w:val="nil"/>
          <w:left w:val="nil"/>
          <w:bottom w:val="nil"/>
          <w:right w:val="nil"/>
          <w:between w:val="nil"/>
        </w:pBdr>
        <w:ind w:left="720"/>
        <w:contextualSpacing/>
        <w:rPr>
          <w:rFonts w:eastAsia="Palatino Linotype" w:cs="Palatino Linotype"/>
          <w:color w:val="000000"/>
        </w:rPr>
      </w:pPr>
      <w:hyperlink r:id="rId12" w:history="1">
        <w:r w:rsidR="00572137" w:rsidRPr="00CA1B6C">
          <w:rPr>
            <w:rStyle w:val="Hipervnculo"/>
            <w:rFonts w:eastAsia="Palatino Linotype" w:cs="Palatino Linotype"/>
          </w:rPr>
          <w:t>https://www.ieem.org.mx/transparencia2/pdf/fraccionVI/jungen/2025/Ac_25/jg_acu047_25.pdf</w:t>
        </w:r>
      </w:hyperlink>
      <w:r w:rsidR="00572137">
        <w:rPr>
          <w:rFonts w:eastAsia="Palatino Linotype" w:cs="Palatino Linotype"/>
          <w:color w:val="000000"/>
        </w:rPr>
        <w:t xml:space="preserve"> </w:t>
      </w:r>
      <w:r w:rsidR="00E26DFD">
        <w:rPr>
          <w:rFonts w:eastAsia="Palatino Linotype" w:cs="Palatino Linotype"/>
          <w:color w:val="000000"/>
        </w:rPr>
        <w:t xml:space="preserve"> </w:t>
      </w:r>
    </w:p>
    <w:p w14:paraId="16710824" w14:textId="75E8A1E5" w:rsidR="00B703D1" w:rsidRPr="00306628" w:rsidRDefault="00572137" w:rsidP="00572137">
      <w:pPr>
        <w:pStyle w:val="Prrafodelista"/>
        <w:pBdr>
          <w:top w:val="nil"/>
          <w:left w:val="nil"/>
          <w:bottom w:val="nil"/>
          <w:right w:val="nil"/>
          <w:between w:val="nil"/>
        </w:pBdr>
        <w:ind w:left="720"/>
        <w:contextualSpacing/>
        <w:rPr>
          <w:rFonts w:eastAsia="Palatino Linotype" w:cs="Palatino Linotype"/>
          <w:color w:val="000000"/>
        </w:rPr>
      </w:pPr>
      <w:r w:rsidRPr="00572137">
        <w:rPr>
          <w:rFonts w:eastAsia="Palatino Linotype" w:cs="Palatino Linotype"/>
          <w:color w:val="000000"/>
        </w:rPr>
        <w:t>Por consiguiente, el 15 de abril del corriente, el Consejo General realizó la designación de</w:t>
      </w:r>
      <w:r>
        <w:rPr>
          <w:rFonts w:eastAsia="Palatino Linotype" w:cs="Palatino Linotype"/>
          <w:color w:val="000000"/>
        </w:rPr>
        <w:t xml:space="preserve"> </w:t>
      </w:r>
      <w:r w:rsidRPr="00572137">
        <w:rPr>
          <w:rFonts w:eastAsia="Palatino Linotype" w:cs="Palatino Linotype"/>
          <w:color w:val="000000"/>
        </w:rPr>
        <w:t>Supervisores/as Electorales y Capacitadores/as-Asistentes Electorales Locales, para el</w:t>
      </w:r>
      <w:r>
        <w:rPr>
          <w:rFonts w:eastAsia="Palatino Linotype" w:cs="Palatino Linotype"/>
          <w:color w:val="000000"/>
        </w:rPr>
        <w:t xml:space="preserve"> </w:t>
      </w:r>
      <w:r w:rsidRPr="00572137">
        <w:rPr>
          <w:rFonts w:eastAsia="Palatino Linotype" w:cs="Palatino Linotype"/>
          <w:color w:val="000000"/>
        </w:rPr>
        <w:t>Proceso Electoral Judicial Extraordinario 2025 del Estado de México, mediante el acuerdo</w:t>
      </w:r>
      <w:r>
        <w:rPr>
          <w:rFonts w:eastAsia="Palatino Linotype" w:cs="Palatino Linotype"/>
          <w:color w:val="000000"/>
        </w:rPr>
        <w:t xml:space="preserve"> </w:t>
      </w:r>
      <w:r w:rsidRPr="00572137">
        <w:rPr>
          <w:rFonts w:eastAsia="Palatino Linotype" w:cs="Palatino Linotype"/>
          <w:color w:val="000000"/>
        </w:rPr>
        <w:t xml:space="preserve">IEEM/CG/76/2025. Disponible para su consulta: </w:t>
      </w:r>
      <w:hyperlink r:id="rId13" w:history="1">
        <w:r w:rsidRPr="00CA1B6C">
          <w:rPr>
            <w:rStyle w:val="Hipervnculo"/>
            <w:rFonts w:eastAsia="Palatino Linotype" w:cs="Palatino Linotype"/>
          </w:rPr>
          <w:t>https://www.ieem.org.mx/consejo_general/cg/2025/AC_2025/a076_25.pdf</w:t>
        </w:r>
      </w:hyperlink>
      <w:r>
        <w:rPr>
          <w:rFonts w:eastAsia="Palatino Linotype" w:cs="Palatino Linotype"/>
          <w:color w:val="000000"/>
        </w:rPr>
        <w:t xml:space="preserve"> </w:t>
      </w:r>
    </w:p>
    <w:p w14:paraId="3BD3A732" w14:textId="77777777" w:rsidR="00696EB0" w:rsidRPr="00696EB0" w:rsidRDefault="00696EB0" w:rsidP="00696EB0">
      <w:pPr>
        <w:pStyle w:val="Prrafodelista"/>
        <w:pBdr>
          <w:top w:val="nil"/>
          <w:left w:val="nil"/>
          <w:bottom w:val="nil"/>
          <w:right w:val="nil"/>
          <w:between w:val="nil"/>
        </w:pBdr>
        <w:ind w:left="720"/>
        <w:contextualSpacing/>
        <w:rPr>
          <w:rFonts w:eastAsia="Palatino Linotype" w:cs="Palatino Linotype"/>
          <w:color w:val="000000"/>
        </w:rPr>
      </w:pPr>
    </w:p>
    <w:p w14:paraId="4992EEF4" w14:textId="2B57FF5B" w:rsidR="00EA129F" w:rsidRPr="00EA129F" w:rsidRDefault="007417B2" w:rsidP="007417B2">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8F136D">
        <w:rPr>
          <w:rFonts w:eastAsia="Palatino Linotype" w:cs="Palatino Linotype"/>
          <w:b/>
          <w:color w:val="000000"/>
        </w:rPr>
        <w:t>Solicitud info 00766-IEEM-IP-2025 UCG</w:t>
      </w:r>
      <w:r>
        <w:rPr>
          <w:rFonts w:eastAsia="Palatino Linotype" w:cs="Palatino Linotype"/>
          <w:color w:val="000000"/>
        </w:rPr>
        <w:t xml:space="preserve">. </w:t>
      </w:r>
      <w:r w:rsidR="00533947">
        <w:rPr>
          <w:rFonts w:eastAsia="Palatino Linotype" w:cs="Palatino Linotype"/>
          <w:color w:val="000000"/>
        </w:rPr>
        <w:t>Documento de Word, emitido por la Jefa de la Unidad Coordinadora de Género, que contiene los mismos argumentos que los referido en el punto anterior.</w:t>
      </w:r>
    </w:p>
    <w:p w14:paraId="7788868E" w14:textId="77777777" w:rsidR="00EA129F" w:rsidRDefault="00EA129F" w:rsidP="006922F5">
      <w:pPr>
        <w:pBdr>
          <w:top w:val="nil"/>
          <w:left w:val="nil"/>
          <w:bottom w:val="nil"/>
          <w:right w:val="nil"/>
          <w:between w:val="nil"/>
        </w:pBdr>
        <w:contextualSpacing/>
        <w:rPr>
          <w:rFonts w:eastAsia="Palatino Linotype" w:cs="Palatino Linotype"/>
          <w:color w:val="000000"/>
          <w:szCs w:val="24"/>
        </w:rPr>
      </w:pPr>
    </w:p>
    <w:p w14:paraId="6128DFF4" w14:textId="64ADDEA1" w:rsidR="00A970D5" w:rsidRDefault="007E0B5E" w:rsidP="006922F5">
      <w:pPr>
        <w:pBdr>
          <w:top w:val="nil"/>
          <w:left w:val="nil"/>
          <w:bottom w:val="nil"/>
          <w:right w:val="nil"/>
          <w:between w:val="nil"/>
        </w:pBdr>
        <w:contextualSpacing/>
        <w:rPr>
          <w:rFonts w:eastAsia="Palatino Linotype" w:cs="Palatino Linotype"/>
          <w:b/>
          <w:bCs/>
          <w:i/>
          <w:iCs/>
          <w:color w:val="000000"/>
          <w:szCs w:val="24"/>
        </w:rPr>
      </w:pPr>
      <w:r w:rsidRPr="00844A38">
        <w:rPr>
          <w:rFonts w:eastAsia="Palatino Linotype" w:cs="Palatino Linotype"/>
          <w:color w:val="000000"/>
          <w:szCs w:val="24"/>
        </w:rPr>
        <w:t>Ante la</w:t>
      </w:r>
      <w:r w:rsidR="00A970D5" w:rsidRPr="00844A38">
        <w:rPr>
          <w:rFonts w:eastAsia="Palatino Linotype" w:cs="Palatino Linotype"/>
          <w:color w:val="000000"/>
          <w:szCs w:val="24"/>
        </w:rPr>
        <w:t xml:space="preserve"> respuesta</w:t>
      </w:r>
      <w:r w:rsidRPr="00844A38">
        <w:rPr>
          <w:rFonts w:eastAsia="Palatino Linotype" w:cs="Palatino Linotype"/>
          <w:color w:val="000000"/>
          <w:szCs w:val="24"/>
        </w:rPr>
        <w:t xml:space="preserve"> emitida</w:t>
      </w:r>
      <w:r w:rsidR="00E41D06" w:rsidRPr="00844A38">
        <w:rPr>
          <w:rFonts w:eastAsia="Palatino Linotype" w:cs="Palatino Linotype"/>
          <w:color w:val="000000"/>
          <w:szCs w:val="24"/>
        </w:rPr>
        <w:t xml:space="preserve"> </w:t>
      </w:r>
      <w:r w:rsidR="00B32535" w:rsidRPr="00844A38">
        <w:rPr>
          <w:rFonts w:eastAsia="Palatino Linotype" w:cs="Palatino Linotype"/>
          <w:color w:val="000000"/>
          <w:szCs w:val="24"/>
        </w:rPr>
        <w:t xml:space="preserve">por </w:t>
      </w:r>
      <w:r w:rsidR="00B32535" w:rsidRPr="00844A38">
        <w:rPr>
          <w:rFonts w:eastAsia="Palatino Linotype" w:cs="Palatino Linotype"/>
          <w:b/>
          <w:bCs/>
          <w:color w:val="000000"/>
          <w:szCs w:val="24"/>
        </w:rPr>
        <w:t>el Sujeto Obligado,</w:t>
      </w:r>
      <w:r w:rsidRPr="00844A38">
        <w:rPr>
          <w:rFonts w:eastAsia="Palatino Linotype" w:cs="Palatino Linotype"/>
          <w:b/>
          <w:bCs/>
          <w:color w:val="000000"/>
          <w:szCs w:val="24"/>
        </w:rPr>
        <w:t xml:space="preserve"> </w:t>
      </w:r>
      <w:r w:rsidR="00B74B4A" w:rsidRPr="00844A38">
        <w:rPr>
          <w:rFonts w:eastAsia="Palatino Linotype" w:cs="Palatino Linotype"/>
          <w:b/>
          <w:bCs/>
          <w:color w:val="000000"/>
          <w:szCs w:val="24"/>
        </w:rPr>
        <w:t>EL</w:t>
      </w:r>
      <w:r w:rsidR="00A970D5" w:rsidRPr="00844A38">
        <w:rPr>
          <w:rFonts w:eastAsia="Palatino Linotype" w:cs="Palatino Linotype"/>
          <w:b/>
          <w:bCs/>
          <w:color w:val="000000"/>
          <w:szCs w:val="24"/>
        </w:rPr>
        <w:t xml:space="preserve"> Recurr</w:t>
      </w:r>
      <w:r w:rsidR="00640056" w:rsidRPr="00844A38">
        <w:rPr>
          <w:rFonts w:eastAsia="Palatino Linotype" w:cs="Palatino Linotype"/>
          <w:b/>
          <w:bCs/>
          <w:color w:val="000000"/>
          <w:szCs w:val="24"/>
        </w:rPr>
        <w:t>e</w:t>
      </w:r>
      <w:r w:rsidR="00A970D5" w:rsidRPr="00844A38">
        <w:rPr>
          <w:rFonts w:eastAsia="Palatino Linotype" w:cs="Palatino Linotype"/>
          <w:b/>
          <w:bCs/>
          <w:color w:val="000000"/>
          <w:szCs w:val="24"/>
        </w:rPr>
        <w:t>nte</w:t>
      </w:r>
      <w:r w:rsidR="00A970D5" w:rsidRPr="00844A38">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E67528">
        <w:rPr>
          <w:rFonts w:eastAsia="Palatino Linotype" w:cs="Palatino Linotype"/>
          <w:color w:val="000000"/>
          <w:szCs w:val="24"/>
        </w:rPr>
        <w:t xml:space="preserve"> la entrega incompleta</w:t>
      </w:r>
      <w:r w:rsidR="008E6D6A" w:rsidRPr="008E6D6A">
        <w:t xml:space="preserve"> </w:t>
      </w:r>
      <w:r w:rsidR="008E6D6A" w:rsidRPr="008E6D6A">
        <w:rPr>
          <w:rFonts w:eastAsia="Palatino Linotype" w:cs="Palatino Linotype"/>
          <w:color w:val="000000"/>
          <w:szCs w:val="24"/>
        </w:rPr>
        <w:t>y como razones o motivos de inconformidad</w:t>
      </w:r>
      <w:r w:rsidR="008E6D6A">
        <w:rPr>
          <w:rFonts w:eastAsia="Palatino Linotype" w:cs="Palatino Linotype"/>
          <w:color w:val="000000"/>
          <w:szCs w:val="24"/>
        </w:rPr>
        <w:t xml:space="preserve"> que</w:t>
      </w:r>
      <w:r w:rsidR="00985600" w:rsidRPr="00844A38">
        <w:rPr>
          <w:rFonts w:eastAsia="Palatino Linotype" w:cs="Palatino Linotype"/>
          <w:color w:val="000000"/>
          <w:szCs w:val="24"/>
        </w:rPr>
        <w:t xml:space="preserve"> “</w:t>
      </w:r>
      <w:r w:rsidR="00E67528" w:rsidRPr="00E67528">
        <w:rPr>
          <w:rFonts w:eastAsia="Palatino Linotype" w:cs="Palatino Linotype"/>
          <w:b/>
          <w:bCs/>
          <w:i/>
          <w:iCs/>
          <w:color w:val="000000"/>
          <w:szCs w:val="24"/>
        </w:rPr>
        <w:t>Se omite atender esta parte de mi solicitud: "... cómo se aplicó el principio de paridad de género establecido en la Constitución Política de los Estados Unidos Mexicanos para garantizar 50% mujeres y 50% hombres.</w:t>
      </w:r>
      <w:r w:rsidR="00E67528">
        <w:rPr>
          <w:rFonts w:eastAsia="Palatino Linotype" w:cs="Palatino Linotype"/>
          <w:b/>
          <w:bCs/>
          <w:i/>
          <w:iCs/>
          <w:color w:val="000000"/>
          <w:szCs w:val="24"/>
        </w:rPr>
        <w:t>”</w:t>
      </w:r>
    </w:p>
    <w:p w14:paraId="4911FAF3" w14:textId="77777777" w:rsidR="006F0FAC" w:rsidRDefault="006F0FAC" w:rsidP="006922F5">
      <w:pPr>
        <w:pBdr>
          <w:top w:val="nil"/>
          <w:left w:val="nil"/>
          <w:bottom w:val="nil"/>
          <w:right w:val="nil"/>
          <w:between w:val="nil"/>
        </w:pBdr>
        <w:contextualSpacing/>
        <w:rPr>
          <w:rFonts w:eastAsia="Palatino Linotype" w:cs="Palatino Linotype"/>
          <w:bCs/>
          <w:iCs/>
          <w:color w:val="000000"/>
          <w:szCs w:val="24"/>
        </w:rPr>
      </w:pPr>
    </w:p>
    <w:p w14:paraId="5310DE9B" w14:textId="4C127D5B" w:rsidR="00B74B4A" w:rsidRDefault="006F0FAC" w:rsidP="006922F5">
      <w:pPr>
        <w:pBdr>
          <w:top w:val="nil"/>
          <w:left w:val="nil"/>
          <w:bottom w:val="nil"/>
          <w:right w:val="nil"/>
          <w:between w:val="nil"/>
        </w:pBdr>
        <w:contextualSpacing/>
        <w:rPr>
          <w:rFonts w:eastAsia="Palatino Linotype" w:cs="Palatino Linotype"/>
          <w:bCs/>
          <w:iCs/>
          <w:color w:val="000000"/>
          <w:szCs w:val="24"/>
        </w:rPr>
      </w:pPr>
      <w:r w:rsidRPr="006F0FAC">
        <w:rPr>
          <w:rFonts w:eastAsia="Palatino Linotype" w:cs="Palatino Linotype"/>
          <w:bCs/>
          <w:iCs/>
          <w:color w:val="000000"/>
          <w:szCs w:val="24"/>
        </w:rPr>
        <w:t>De lo anterior podemos apreciar la figura jurídica de los Actos consentido</w:t>
      </w:r>
      <w:r>
        <w:rPr>
          <w:rFonts w:eastAsia="Palatino Linotype" w:cs="Palatino Linotype"/>
          <w:bCs/>
          <w:iCs/>
          <w:color w:val="000000"/>
          <w:szCs w:val="24"/>
        </w:rPr>
        <w:t>s</w:t>
      </w:r>
      <w:r w:rsidRPr="006F0FAC">
        <w:rPr>
          <w:rFonts w:eastAsia="Palatino Linotype" w:cs="Palatino Linotype"/>
          <w:bCs/>
          <w:iCs/>
          <w:color w:val="000000"/>
          <w:szCs w:val="24"/>
        </w:rPr>
        <w:t xml:space="preserve">, en lo que respecta </w:t>
      </w:r>
      <w:r>
        <w:rPr>
          <w:rFonts w:eastAsia="Palatino Linotype" w:cs="Palatino Linotype"/>
          <w:bCs/>
          <w:iCs/>
          <w:color w:val="000000"/>
          <w:szCs w:val="24"/>
        </w:rPr>
        <w:t>a la porción de la solicitud identificada con el punto 1, ya que únicamente expone inconformad con el segundo punto de la solicitud.</w:t>
      </w:r>
    </w:p>
    <w:p w14:paraId="51D51478" w14:textId="77777777" w:rsidR="006F0FAC" w:rsidRDefault="006F0FAC" w:rsidP="006922F5">
      <w:pPr>
        <w:pBdr>
          <w:top w:val="nil"/>
          <w:left w:val="nil"/>
          <w:bottom w:val="nil"/>
          <w:right w:val="nil"/>
          <w:between w:val="nil"/>
        </w:pBdr>
        <w:contextualSpacing/>
        <w:rPr>
          <w:rFonts w:eastAsia="Palatino Linotype" w:cs="Palatino Linotype"/>
          <w:bCs/>
          <w:iCs/>
          <w:color w:val="000000"/>
          <w:szCs w:val="24"/>
        </w:rPr>
      </w:pPr>
    </w:p>
    <w:p w14:paraId="3294EF60" w14:textId="77777777" w:rsidR="003567CA" w:rsidRPr="003567CA" w:rsidRDefault="003567CA" w:rsidP="003567CA">
      <w:pPr>
        <w:tabs>
          <w:tab w:val="left" w:pos="709"/>
        </w:tabs>
        <w:spacing w:before="240"/>
        <w:ind w:right="51"/>
        <w:rPr>
          <w:rFonts w:eastAsia="Times New Roman" w:cs="Arial"/>
          <w:szCs w:val="24"/>
        </w:rPr>
      </w:pPr>
      <w:r w:rsidRPr="003567CA">
        <w:rPr>
          <w:rFonts w:eastAsia="Times New Roman" w:cs="Times New Roman"/>
          <w:szCs w:val="24"/>
        </w:rPr>
        <w:t xml:space="preserve">Luego entonces, la parte de la solicitud sobre la que no se expresó inconformidad             debe declararse consentida por el hoy </w:t>
      </w:r>
      <w:r w:rsidRPr="003567CA">
        <w:rPr>
          <w:rFonts w:eastAsia="Times New Roman" w:cs="Times New Roman"/>
          <w:b/>
          <w:bCs/>
          <w:szCs w:val="24"/>
        </w:rPr>
        <w:t xml:space="preserve">Recurrente, </w:t>
      </w:r>
      <w:r w:rsidRPr="003567CA">
        <w:rPr>
          <w:rFonts w:eastAsia="Times New Roman" w:cs="Times New Roman"/>
          <w:szCs w:val="24"/>
        </w:rPr>
        <w:t xml:space="preserve">ya que </w:t>
      </w:r>
      <w:r w:rsidRPr="003567CA">
        <w:rPr>
          <w:rFonts w:eastAsia="Times New Roman" w:cs="Arial"/>
          <w:szCs w:val="24"/>
        </w:rPr>
        <w:t xml:space="preserve">no pueden producirse efectos jurídicos tendentes a revocar, confirmar o modificar la parte de la respuesta con relación a la parte de la solicitud que no fue motivo de disenso ya que se infiere un consentimiento del </w:t>
      </w:r>
      <w:r w:rsidRPr="003567CA">
        <w:rPr>
          <w:rFonts w:eastAsia="Times New Roman" w:cs="Arial"/>
          <w:b/>
          <w:szCs w:val="24"/>
        </w:rPr>
        <w:t>Recurrente</w:t>
      </w:r>
      <w:r w:rsidRPr="003567CA">
        <w:rPr>
          <w:rFonts w:eastAsia="Times New Roman" w:cs="Arial"/>
          <w:szCs w:val="24"/>
        </w:rPr>
        <w:t xml:space="preserve"> ante la falta de impugnación eficaz. Sirve de sustento a lo anterior, por analogía, la tesis jurisprudencial, que a la letra dice: </w:t>
      </w:r>
    </w:p>
    <w:p w14:paraId="16B00B85" w14:textId="77777777" w:rsidR="003567CA" w:rsidRPr="003567CA" w:rsidRDefault="003567CA" w:rsidP="003567CA">
      <w:pPr>
        <w:spacing w:before="240" w:after="160"/>
        <w:ind w:left="851" w:right="851"/>
        <w:rPr>
          <w:rFonts w:eastAsia="Times New Roman" w:cs="Times New Roman"/>
          <w:i/>
          <w:sz w:val="22"/>
        </w:rPr>
      </w:pPr>
      <w:r w:rsidRPr="003567CA">
        <w:rPr>
          <w:rFonts w:eastAsia="Times New Roman" w:cs="Times New Roman"/>
          <w:i/>
          <w:sz w:val="22"/>
        </w:rPr>
        <w:t>“Época: Novena</w:t>
      </w:r>
    </w:p>
    <w:p w14:paraId="7AB6B864" w14:textId="77777777" w:rsidR="003567CA" w:rsidRPr="003567CA" w:rsidRDefault="003567CA" w:rsidP="003567CA">
      <w:pPr>
        <w:spacing w:before="240" w:after="160"/>
        <w:ind w:left="851" w:right="851"/>
        <w:rPr>
          <w:rFonts w:eastAsia="Times New Roman" w:cs="Times New Roman"/>
          <w:i/>
          <w:sz w:val="22"/>
        </w:rPr>
      </w:pPr>
      <w:r w:rsidRPr="003567CA">
        <w:rPr>
          <w:rFonts w:eastAsia="Times New Roman" w:cs="Times New Roman"/>
          <w:i/>
          <w:sz w:val="22"/>
        </w:rPr>
        <w:t>Registro: 176608</w:t>
      </w:r>
    </w:p>
    <w:p w14:paraId="4ECCD4AE" w14:textId="77777777" w:rsidR="003567CA" w:rsidRPr="003567CA" w:rsidRDefault="003567CA" w:rsidP="003567CA">
      <w:pPr>
        <w:spacing w:before="240" w:after="160"/>
        <w:ind w:left="851" w:right="851"/>
        <w:rPr>
          <w:rFonts w:eastAsia="Times New Roman" w:cs="Times New Roman"/>
          <w:i/>
          <w:sz w:val="22"/>
        </w:rPr>
      </w:pPr>
      <w:r w:rsidRPr="003567CA">
        <w:rPr>
          <w:rFonts w:eastAsia="Times New Roman" w:cs="Times New Roman"/>
          <w:i/>
          <w:sz w:val="22"/>
        </w:rPr>
        <w:t>Tipo de tesis: Jurisprudencia</w:t>
      </w:r>
    </w:p>
    <w:p w14:paraId="2307F6E5" w14:textId="77777777" w:rsidR="003567CA" w:rsidRPr="003567CA" w:rsidRDefault="003567CA" w:rsidP="003567CA">
      <w:pPr>
        <w:spacing w:before="240" w:after="160"/>
        <w:ind w:left="851" w:right="851"/>
        <w:rPr>
          <w:rFonts w:eastAsia="Times New Roman" w:cs="Times New Roman"/>
          <w:i/>
          <w:sz w:val="22"/>
        </w:rPr>
      </w:pPr>
      <w:r w:rsidRPr="003567CA">
        <w:rPr>
          <w:rFonts w:eastAsia="Times New Roman" w:cs="Times New Roman"/>
          <w:i/>
          <w:sz w:val="22"/>
        </w:rPr>
        <w:t>Fuente: Semanario Judicial de la Federación y su Gaceta</w:t>
      </w:r>
    </w:p>
    <w:p w14:paraId="03978750" w14:textId="77777777" w:rsidR="003567CA" w:rsidRPr="003567CA" w:rsidRDefault="003567CA" w:rsidP="003567CA">
      <w:pPr>
        <w:spacing w:before="240" w:after="160"/>
        <w:ind w:left="851" w:right="851"/>
        <w:rPr>
          <w:rFonts w:eastAsia="Times New Roman" w:cs="Times New Roman"/>
          <w:i/>
          <w:sz w:val="22"/>
        </w:rPr>
      </w:pPr>
      <w:r w:rsidRPr="003567CA">
        <w:rPr>
          <w:rFonts w:eastAsia="Times New Roman" w:cs="Times New Roman"/>
          <w:i/>
          <w:sz w:val="22"/>
        </w:rPr>
        <w:t>Diciembre de 2005, Tomo XXII</w:t>
      </w:r>
    </w:p>
    <w:p w14:paraId="672EAC8D" w14:textId="77777777" w:rsidR="003567CA" w:rsidRPr="003567CA" w:rsidRDefault="003567CA" w:rsidP="003567CA">
      <w:pPr>
        <w:spacing w:before="240" w:after="160"/>
        <w:ind w:left="851" w:right="851"/>
        <w:rPr>
          <w:rFonts w:eastAsia="Times New Roman" w:cs="Times New Roman"/>
          <w:i/>
          <w:sz w:val="22"/>
        </w:rPr>
      </w:pPr>
      <w:r w:rsidRPr="003567CA">
        <w:rPr>
          <w:rFonts w:eastAsia="Times New Roman" w:cs="Times New Roman"/>
          <w:i/>
          <w:sz w:val="22"/>
        </w:rPr>
        <w:t>Materia (s): Común</w:t>
      </w:r>
    </w:p>
    <w:p w14:paraId="049E88AC" w14:textId="77777777" w:rsidR="003567CA" w:rsidRPr="003567CA" w:rsidRDefault="003567CA" w:rsidP="003567CA">
      <w:pPr>
        <w:spacing w:before="240" w:after="160"/>
        <w:ind w:left="851" w:right="851"/>
        <w:rPr>
          <w:rFonts w:eastAsia="Times New Roman" w:cs="Times New Roman"/>
          <w:i/>
          <w:sz w:val="22"/>
        </w:rPr>
      </w:pPr>
      <w:r w:rsidRPr="003567CA">
        <w:rPr>
          <w:rFonts w:eastAsia="Times New Roman" w:cs="Times New Roman"/>
          <w:i/>
          <w:sz w:val="22"/>
        </w:rPr>
        <w:t>Tesis: VI. 3o.C. J/60</w:t>
      </w:r>
    </w:p>
    <w:p w14:paraId="50EDF418" w14:textId="77777777" w:rsidR="003567CA" w:rsidRPr="003567CA" w:rsidRDefault="003567CA" w:rsidP="003567CA">
      <w:pPr>
        <w:spacing w:before="240" w:after="160"/>
        <w:ind w:left="851" w:right="851"/>
        <w:rPr>
          <w:rFonts w:eastAsia="Times New Roman" w:cs="Times New Roman"/>
          <w:i/>
          <w:sz w:val="22"/>
        </w:rPr>
      </w:pPr>
      <w:r w:rsidRPr="003567CA">
        <w:rPr>
          <w:rFonts w:eastAsia="Times New Roman" w:cs="Times New Roman"/>
          <w:i/>
          <w:sz w:val="22"/>
        </w:rPr>
        <w:t>Página: 2365</w:t>
      </w:r>
    </w:p>
    <w:p w14:paraId="53BA0CBE" w14:textId="77777777" w:rsidR="003567CA" w:rsidRPr="003567CA" w:rsidRDefault="003567CA" w:rsidP="003567CA">
      <w:pPr>
        <w:spacing w:before="240"/>
        <w:ind w:left="851" w:right="851"/>
        <w:rPr>
          <w:rFonts w:eastAsia="Times New Roman" w:cs="Arial"/>
          <w:i/>
          <w:szCs w:val="24"/>
        </w:rPr>
      </w:pPr>
      <w:r w:rsidRPr="003567CA">
        <w:rPr>
          <w:rFonts w:eastAsia="Times New Roman" w:cs="Arial"/>
          <w:i/>
          <w:szCs w:val="24"/>
        </w:rPr>
        <w:t xml:space="preserve"> </w:t>
      </w:r>
      <w:r w:rsidRPr="003567CA">
        <w:rPr>
          <w:rFonts w:eastAsia="Times New Roman" w:cs="Arial"/>
          <w:b/>
          <w:i/>
          <w:szCs w:val="24"/>
        </w:rPr>
        <w:t>ACTOS CONSENTIDOS. SON LOS QUE NO SE IMPUGNAN MEDIANTE EL RECURSO IDÓNEO</w:t>
      </w:r>
      <w:r w:rsidRPr="003567CA">
        <w:rPr>
          <w:rFonts w:eastAsia="Times New Roman" w:cs="Arial"/>
          <w:i/>
          <w:szCs w:val="24"/>
        </w:rPr>
        <w:t xml:space="preserve">. </w:t>
      </w:r>
    </w:p>
    <w:p w14:paraId="2387AE91" w14:textId="77777777" w:rsidR="003567CA" w:rsidRPr="003567CA" w:rsidRDefault="003567CA" w:rsidP="003567CA">
      <w:pPr>
        <w:spacing w:before="240"/>
        <w:ind w:left="851" w:right="851"/>
        <w:rPr>
          <w:rFonts w:eastAsia="Times New Roman" w:cs="Arial"/>
          <w:i/>
          <w:szCs w:val="24"/>
        </w:rPr>
      </w:pPr>
      <w:r w:rsidRPr="003567CA">
        <w:rPr>
          <w:rFonts w:eastAsia="Times New Roman" w:cs="Arial"/>
          <w:i/>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40A67A" w14:textId="77777777" w:rsidR="003567CA" w:rsidRPr="003567CA" w:rsidRDefault="003567CA" w:rsidP="003567CA">
      <w:pPr>
        <w:spacing w:before="240"/>
        <w:ind w:left="851" w:right="851"/>
        <w:rPr>
          <w:rFonts w:eastAsia="Times New Roman"/>
          <w:i/>
          <w:color w:val="000000"/>
          <w:szCs w:val="24"/>
        </w:rPr>
      </w:pPr>
      <w:r w:rsidRPr="003567CA">
        <w:rPr>
          <w:rFonts w:eastAsia="Times New Roman"/>
          <w:i/>
          <w:color w:val="000000"/>
          <w:szCs w:val="24"/>
        </w:rPr>
        <w:t>TERCER TRIBUNAL COLEGIADO EN MATERIA CIVIL DEL SEXTO CIRCUITO.</w:t>
      </w:r>
    </w:p>
    <w:p w14:paraId="763F59D4" w14:textId="77777777" w:rsidR="003567CA" w:rsidRPr="003567CA" w:rsidRDefault="003567CA" w:rsidP="003567CA">
      <w:pPr>
        <w:spacing w:before="240"/>
        <w:ind w:left="851" w:right="851"/>
        <w:rPr>
          <w:rFonts w:eastAsia="Times New Roman"/>
          <w:i/>
          <w:color w:val="444444"/>
          <w:szCs w:val="24"/>
        </w:rPr>
      </w:pPr>
      <w:r w:rsidRPr="003567CA">
        <w:rPr>
          <w:rFonts w:eastAsia="Times New Roman"/>
          <w:i/>
          <w:color w:val="444444"/>
          <w:szCs w:val="24"/>
        </w:rPr>
        <w:t>Amparo en revisión 2/90. Germán Miguel Núñez Rivera. 13 de noviembre de 1990. Unanimidad de votos. Ponente: Juan Manuel Brito Velázquez. Secretaria: Luz del Carmen Herrera Calderón.</w:t>
      </w:r>
    </w:p>
    <w:p w14:paraId="77660D1A" w14:textId="77777777" w:rsidR="003567CA" w:rsidRPr="003567CA" w:rsidRDefault="003567CA" w:rsidP="003567CA">
      <w:pPr>
        <w:spacing w:before="240"/>
        <w:ind w:left="851" w:right="851"/>
        <w:rPr>
          <w:rFonts w:eastAsia="Times New Roman"/>
          <w:i/>
          <w:color w:val="444444"/>
          <w:szCs w:val="24"/>
        </w:rPr>
      </w:pPr>
      <w:r w:rsidRPr="003567CA">
        <w:rPr>
          <w:rFonts w:eastAsia="Times New Roman"/>
          <w:i/>
          <w:color w:val="444444"/>
          <w:szCs w:val="24"/>
        </w:rPr>
        <w:t>Amparo en revisión 393/90. Amparo Naylor Hernández y otros. 6 de diciembre de 1990. Unanimidad de votos. Ponente: Juan Manuel Brito Velázquez. Secretaria: María Dolores Olarte Ruvalcaba.</w:t>
      </w:r>
    </w:p>
    <w:p w14:paraId="21119EA6" w14:textId="77777777" w:rsidR="003567CA" w:rsidRPr="003567CA" w:rsidRDefault="003567CA" w:rsidP="003567CA">
      <w:pPr>
        <w:spacing w:before="240"/>
        <w:ind w:left="851" w:right="851"/>
        <w:rPr>
          <w:rFonts w:eastAsia="Times New Roman"/>
          <w:i/>
          <w:color w:val="444444"/>
          <w:szCs w:val="24"/>
        </w:rPr>
      </w:pPr>
      <w:r w:rsidRPr="003567CA">
        <w:rPr>
          <w:rFonts w:eastAsia="Times New Roman"/>
          <w:i/>
          <w:color w:val="444444"/>
          <w:szCs w:val="24"/>
        </w:rPr>
        <w:t>Amparo directo 352/2000. Omar González Morales. 1o. de septiembre de 2000. Unanimidad de votos. Ponente: Teresa Munguía Sánchez. Secretaria: Julieta Esther Fernández Gaona.</w:t>
      </w:r>
    </w:p>
    <w:p w14:paraId="3C00180D" w14:textId="77777777" w:rsidR="003567CA" w:rsidRPr="003567CA" w:rsidRDefault="003567CA" w:rsidP="003567CA">
      <w:pPr>
        <w:spacing w:before="240"/>
        <w:ind w:left="851" w:right="851"/>
        <w:rPr>
          <w:rFonts w:eastAsia="Times New Roman"/>
          <w:i/>
          <w:color w:val="444444"/>
          <w:szCs w:val="24"/>
        </w:rPr>
      </w:pPr>
      <w:r w:rsidRPr="003567CA">
        <w:rPr>
          <w:rFonts w:eastAsia="Times New Roman"/>
          <w:i/>
          <w:color w:val="444444"/>
          <w:szCs w:val="24"/>
        </w:rPr>
        <w:t>Amparo directo 366/2005. Virginia Quixihuitl Burgos y otra. 14 de octubre de 2005. Unanimidad de votos. Ponente: Norma Fiallega Sánchez. Secretario: Horacio Óscar Rosete Mentado.</w:t>
      </w:r>
    </w:p>
    <w:p w14:paraId="6AA78B14" w14:textId="77777777" w:rsidR="003567CA" w:rsidRPr="003567CA" w:rsidRDefault="003567CA" w:rsidP="003567CA">
      <w:pPr>
        <w:spacing w:before="240"/>
        <w:ind w:left="851" w:right="851"/>
        <w:rPr>
          <w:rFonts w:eastAsia="Times New Roman"/>
          <w:b/>
          <w:i/>
          <w:color w:val="444444"/>
          <w:szCs w:val="24"/>
        </w:rPr>
      </w:pPr>
      <w:r w:rsidRPr="003567CA">
        <w:rPr>
          <w:rFonts w:eastAsia="Times New Roman"/>
          <w:i/>
          <w:color w:val="444444"/>
          <w:szCs w:val="24"/>
        </w:rPr>
        <w:t xml:space="preserve">Amparo en revisión 353/2005. Francisco Torres Coronel y otro. 4 de noviembre de 2005. Unanimidad de votos. Ponente: Filiberto Méndez Gutiérrez. Secretaria: Carla Isselín Talavera.” </w:t>
      </w:r>
      <w:r w:rsidRPr="003567CA">
        <w:rPr>
          <w:rFonts w:eastAsia="Times New Roman"/>
          <w:b/>
          <w:i/>
          <w:color w:val="444444"/>
          <w:szCs w:val="24"/>
        </w:rPr>
        <w:t>[Sic]</w:t>
      </w:r>
    </w:p>
    <w:p w14:paraId="388F6EBC" w14:textId="77777777" w:rsidR="003567CA" w:rsidRPr="003567CA" w:rsidRDefault="003567CA" w:rsidP="003567CA">
      <w:pPr>
        <w:rPr>
          <w:rFonts w:eastAsia="Times New Roman" w:cs="Arial"/>
          <w:noProof/>
          <w:color w:val="000000"/>
          <w:szCs w:val="24"/>
        </w:rPr>
      </w:pPr>
    </w:p>
    <w:p w14:paraId="7197EE6C" w14:textId="77777777" w:rsidR="003567CA" w:rsidRPr="003567CA" w:rsidRDefault="003567CA" w:rsidP="003567CA">
      <w:pPr>
        <w:rPr>
          <w:rFonts w:eastAsia="Times New Roman" w:cs="Arial"/>
          <w:noProof/>
          <w:color w:val="000000"/>
          <w:szCs w:val="24"/>
        </w:rPr>
      </w:pPr>
      <w:r w:rsidRPr="003567CA">
        <w:rPr>
          <w:rFonts w:eastAsia="Times New Roman" w:cs="Arial"/>
          <w:noProof/>
          <w:color w:val="000000"/>
          <w:szCs w:val="24"/>
        </w:rPr>
        <w:t xml:space="preserve">De forma complementaria, robustece lo anterior el criterio </w:t>
      </w:r>
      <w:r w:rsidRPr="003567CA">
        <w:rPr>
          <w:rFonts w:eastAsia="Times New Roman" w:cs="Arial"/>
          <w:b/>
          <w:bCs/>
          <w:noProof/>
          <w:color w:val="000000"/>
          <w:szCs w:val="24"/>
        </w:rPr>
        <w:t xml:space="preserve">01/20 </w:t>
      </w:r>
      <w:r w:rsidRPr="003567CA">
        <w:rPr>
          <w:rFonts w:eastAsia="Times New Roman" w:cs="Arial"/>
          <w:noProof/>
          <w:color w:val="000000"/>
          <w:szCs w:val="24"/>
        </w:rPr>
        <w:t xml:space="preserve">emitido por el Instituto Nacional de Transparencia, Acceso a la Información y Protección de Datos Personales, cuyo rubro y texto señalan a la literalidad lo siguiente: </w:t>
      </w:r>
    </w:p>
    <w:p w14:paraId="6CA2940D" w14:textId="77777777" w:rsidR="003567CA" w:rsidRPr="003567CA" w:rsidRDefault="003567CA" w:rsidP="003567CA">
      <w:pPr>
        <w:spacing w:before="240" w:after="160"/>
        <w:ind w:left="851" w:right="851"/>
        <w:rPr>
          <w:rFonts w:eastAsiaTheme="minorHAnsi" w:cs="Arial"/>
          <w:b/>
          <w:i/>
          <w:sz w:val="22"/>
          <w:lang w:val="es-MX" w:eastAsia="en-US"/>
        </w:rPr>
      </w:pPr>
      <w:r w:rsidRPr="003567CA">
        <w:rPr>
          <w:rFonts w:eastAsiaTheme="minorHAnsi" w:cs="Arial"/>
          <w:b/>
          <w:i/>
          <w:sz w:val="22"/>
          <w:lang w:val="es-MX" w:eastAsia="en-US"/>
        </w:rPr>
        <w:t xml:space="preserve">“ACTOS CONSENTIDOS TÁCITAMENTE. IMPROCEDENCIA DE SU ANÁLISIS. </w:t>
      </w:r>
    </w:p>
    <w:p w14:paraId="3416A970" w14:textId="77777777" w:rsidR="003567CA" w:rsidRPr="003567CA" w:rsidRDefault="003567CA" w:rsidP="003567CA">
      <w:pPr>
        <w:spacing w:before="240" w:after="160"/>
        <w:ind w:left="851" w:right="851"/>
        <w:rPr>
          <w:rFonts w:eastAsiaTheme="minorHAnsi" w:cs="Arial"/>
          <w:i/>
          <w:strike/>
          <w:sz w:val="22"/>
          <w:lang w:val="es-MX" w:eastAsia="en-US"/>
        </w:rPr>
      </w:pPr>
      <w:r w:rsidRPr="003567CA">
        <w:rPr>
          <w:rFonts w:eastAsiaTheme="minorHAnsi" w:cs="Arial"/>
          <w:i/>
          <w:sz w:val="22"/>
          <w:lang w:val="es-MX" w:eastAsia="en-US"/>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46F0B1F" w14:textId="77777777" w:rsidR="003567CA" w:rsidRPr="003567CA" w:rsidRDefault="003567CA" w:rsidP="003567CA">
      <w:pPr>
        <w:spacing w:before="240" w:after="160"/>
        <w:ind w:left="851" w:right="851"/>
        <w:rPr>
          <w:rFonts w:eastAsiaTheme="minorHAnsi" w:cs="Arial"/>
          <w:b/>
          <w:bCs/>
          <w:i/>
          <w:sz w:val="22"/>
          <w:lang w:val="es-MX" w:eastAsia="en-US"/>
        </w:rPr>
      </w:pPr>
      <w:r w:rsidRPr="003567CA">
        <w:rPr>
          <w:rFonts w:eastAsiaTheme="minorHAnsi" w:cs="Arial"/>
          <w:b/>
          <w:bCs/>
          <w:i/>
          <w:sz w:val="22"/>
          <w:lang w:val="es-MX" w:eastAsia="en-US"/>
        </w:rPr>
        <w:t>Resoluciones:</w:t>
      </w:r>
    </w:p>
    <w:p w14:paraId="130A9183" w14:textId="77777777" w:rsidR="003567CA" w:rsidRPr="003567CA" w:rsidRDefault="003567CA" w:rsidP="003567CA">
      <w:pPr>
        <w:spacing w:before="240" w:after="160"/>
        <w:ind w:left="851" w:right="851"/>
        <w:rPr>
          <w:rFonts w:eastAsiaTheme="minorHAnsi" w:cs="Arial"/>
          <w:i/>
          <w:sz w:val="22"/>
          <w:lang w:val="es-MX" w:eastAsia="en-US"/>
        </w:rPr>
      </w:pPr>
      <w:r w:rsidRPr="003567CA">
        <w:rPr>
          <w:rFonts w:eastAsiaTheme="minorHAnsi" w:cs="Arial"/>
          <w:b/>
          <w:i/>
          <w:sz w:val="22"/>
          <w:lang w:val="es-MX" w:eastAsia="en-US"/>
        </w:rPr>
        <w:t xml:space="preserve">RRA 4548/18. </w:t>
      </w:r>
      <w:r w:rsidRPr="003567CA">
        <w:rPr>
          <w:rFonts w:eastAsiaTheme="minorHAnsi" w:cs="Arial"/>
          <w:i/>
          <w:sz w:val="22"/>
          <w:lang w:val="es-MX" w:eastAsia="en-US"/>
        </w:rPr>
        <w:t>Instituto de Seguridad y Servicios Sociales de los Trabajadores del Estado. 12 de septiembre de 2018. Por unanimidad. Comisionado Ponente Oscar Mauricio Guerra Ford.</w:t>
      </w:r>
    </w:p>
    <w:p w14:paraId="177CFBA0" w14:textId="77777777" w:rsidR="003567CA" w:rsidRPr="003567CA" w:rsidRDefault="00E13E9D" w:rsidP="003567CA">
      <w:pPr>
        <w:spacing w:before="240" w:after="160"/>
        <w:ind w:left="851" w:right="851"/>
        <w:rPr>
          <w:rFonts w:eastAsiaTheme="minorHAnsi" w:cs="Arial"/>
          <w:i/>
          <w:sz w:val="20"/>
          <w:lang w:val="es-MX" w:eastAsia="en-US"/>
        </w:rPr>
      </w:pPr>
      <w:hyperlink r:id="rId14" w:history="1">
        <w:r w:rsidR="003567CA" w:rsidRPr="003567CA">
          <w:rPr>
            <w:rFonts w:eastAsiaTheme="minorHAnsi" w:cs="Arial"/>
            <w:i/>
            <w:color w:val="0563C1" w:themeColor="hyperlink"/>
            <w:sz w:val="22"/>
            <w:u w:val="single"/>
            <w:lang w:val="es-MX" w:eastAsia="en-US"/>
          </w:rPr>
          <w:t>http://consultas.ifai.org.mx/descargar.php?r=./pdf/resoluciones/2018/&amp;a=RRA%204548.pdf</w:t>
        </w:r>
      </w:hyperlink>
    </w:p>
    <w:p w14:paraId="30CDE2F9" w14:textId="77777777" w:rsidR="003567CA" w:rsidRPr="003567CA" w:rsidRDefault="003567CA" w:rsidP="003567CA">
      <w:pPr>
        <w:spacing w:before="240" w:after="160"/>
        <w:ind w:left="851" w:right="851"/>
        <w:rPr>
          <w:rFonts w:eastAsiaTheme="minorHAnsi" w:cs="Arial"/>
          <w:b/>
          <w:i/>
          <w:sz w:val="22"/>
          <w:lang w:val="es-MX" w:eastAsia="en-US"/>
        </w:rPr>
      </w:pPr>
      <w:r w:rsidRPr="003567CA">
        <w:rPr>
          <w:rFonts w:eastAsiaTheme="minorHAnsi" w:cs="Arial"/>
          <w:b/>
          <w:i/>
          <w:sz w:val="22"/>
          <w:lang w:val="es-MX" w:eastAsia="en-US"/>
        </w:rPr>
        <w:t xml:space="preserve">RRA 5097/18. </w:t>
      </w:r>
      <w:r w:rsidRPr="003567CA">
        <w:rPr>
          <w:rFonts w:eastAsiaTheme="minorHAnsi" w:cs="Arial"/>
          <w:i/>
          <w:sz w:val="22"/>
          <w:lang w:val="es-MX" w:eastAsia="en-US"/>
        </w:rPr>
        <w:t>Secretaría de Hacienda y Crédito Público. 05 de septiembre de 2018. Por unanimidad. Comisionado Ponente Joel Salas Suárez.</w:t>
      </w:r>
    </w:p>
    <w:p w14:paraId="6589269F" w14:textId="77777777" w:rsidR="003567CA" w:rsidRPr="003567CA" w:rsidRDefault="00E13E9D" w:rsidP="003567CA">
      <w:pPr>
        <w:spacing w:before="240" w:after="160"/>
        <w:ind w:left="851" w:right="851"/>
        <w:rPr>
          <w:rFonts w:eastAsiaTheme="minorHAnsi" w:cs="Arial"/>
          <w:i/>
          <w:sz w:val="20"/>
          <w:lang w:val="es-MX" w:eastAsia="en-US"/>
        </w:rPr>
      </w:pPr>
      <w:hyperlink r:id="rId15" w:history="1">
        <w:r w:rsidR="003567CA" w:rsidRPr="003567CA">
          <w:rPr>
            <w:rFonts w:eastAsiaTheme="minorHAnsi" w:cs="Arial"/>
            <w:i/>
            <w:color w:val="0563C1" w:themeColor="hyperlink"/>
            <w:sz w:val="22"/>
            <w:u w:val="single"/>
            <w:lang w:val="es-MX" w:eastAsia="en-US"/>
          </w:rPr>
          <w:t>http://consultas.ifai.org.mx/descargar.php?r=./pdf/resoluciones/2018/&amp;a=RRA%205097.pdf</w:t>
        </w:r>
      </w:hyperlink>
    </w:p>
    <w:p w14:paraId="599B9C7E" w14:textId="77777777" w:rsidR="003567CA" w:rsidRPr="003567CA" w:rsidRDefault="003567CA" w:rsidP="003567CA">
      <w:pPr>
        <w:spacing w:before="240" w:after="160"/>
        <w:ind w:left="851" w:right="851"/>
        <w:rPr>
          <w:rFonts w:eastAsiaTheme="minorHAnsi" w:cs="Arial"/>
          <w:b/>
          <w:i/>
          <w:sz w:val="22"/>
          <w:lang w:val="es-MX" w:eastAsia="en-US"/>
        </w:rPr>
      </w:pPr>
      <w:r w:rsidRPr="003567CA">
        <w:rPr>
          <w:rFonts w:eastAsiaTheme="minorHAnsi" w:cs="Arial"/>
          <w:b/>
          <w:i/>
          <w:sz w:val="22"/>
          <w:lang w:val="es-MX" w:eastAsia="en-US"/>
        </w:rPr>
        <w:t xml:space="preserve">RRA 14270/19. </w:t>
      </w:r>
      <w:r w:rsidRPr="003567CA">
        <w:rPr>
          <w:rFonts w:eastAsiaTheme="minorHAnsi" w:cs="Arial"/>
          <w:i/>
          <w:sz w:val="22"/>
          <w:lang w:val="es-MX" w:eastAsia="en-US"/>
        </w:rPr>
        <w:t>Registro Agrario Nacional. 22 de enero de 2020. Por unanimidad. Comisionado Ponente Francisco Javier Acuña Llamas.</w:t>
      </w:r>
    </w:p>
    <w:p w14:paraId="41CF7BD8" w14:textId="77777777" w:rsidR="003567CA" w:rsidRPr="003567CA" w:rsidRDefault="00E13E9D" w:rsidP="003567CA">
      <w:pPr>
        <w:spacing w:before="240" w:after="160"/>
        <w:ind w:left="851" w:right="851"/>
        <w:rPr>
          <w:rFonts w:eastAsiaTheme="minorHAnsi" w:cs="Arial"/>
          <w:b/>
          <w:bCs/>
          <w:i/>
          <w:szCs w:val="24"/>
          <w:lang w:val="en-US" w:eastAsia="en-US"/>
        </w:rPr>
      </w:pPr>
      <w:hyperlink r:id="rId16" w:history="1">
        <w:r w:rsidR="003567CA" w:rsidRPr="003567CA">
          <w:rPr>
            <w:rFonts w:eastAsiaTheme="minorHAnsi" w:cs="Arial"/>
            <w:i/>
            <w:color w:val="0563C1" w:themeColor="hyperlink"/>
            <w:sz w:val="22"/>
            <w:u w:val="single"/>
            <w:lang w:val="en-US" w:eastAsia="en-US"/>
          </w:rPr>
          <w:t>http://consultas.ifai.org.mx/descargar.php?r=./pdf/resoluciones/2019/&amp;a=RRA%2014270.pdf</w:t>
        </w:r>
      </w:hyperlink>
      <w:r w:rsidR="003567CA" w:rsidRPr="003567CA">
        <w:rPr>
          <w:rFonts w:eastAsiaTheme="minorHAnsi" w:cs="Arial"/>
          <w:i/>
          <w:color w:val="0563C1" w:themeColor="hyperlink"/>
          <w:sz w:val="20"/>
          <w:u w:val="single"/>
          <w:lang w:val="en-US" w:eastAsia="en-US"/>
        </w:rPr>
        <w:t xml:space="preserve">” </w:t>
      </w:r>
      <w:r w:rsidR="003567CA" w:rsidRPr="003567CA">
        <w:rPr>
          <w:rFonts w:eastAsiaTheme="minorHAnsi" w:cs="Arial"/>
          <w:iCs/>
          <w:color w:val="0563C1" w:themeColor="hyperlink"/>
          <w:szCs w:val="24"/>
          <w:lang w:val="en-US" w:eastAsia="en-US"/>
        </w:rPr>
        <w:t xml:space="preserve"> </w:t>
      </w:r>
      <w:r w:rsidR="003567CA" w:rsidRPr="003567CA">
        <w:rPr>
          <w:rFonts w:eastAsiaTheme="minorHAnsi" w:cs="Arial"/>
          <w:b/>
          <w:bCs/>
          <w:i/>
          <w:szCs w:val="24"/>
          <w:lang w:val="en-US" w:eastAsia="en-US"/>
        </w:rPr>
        <w:t xml:space="preserve">[Sic] </w:t>
      </w:r>
    </w:p>
    <w:p w14:paraId="4FCEE0CA" w14:textId="77777777" w:rsidR="003567CA" w:rsidRPr="003567CA" w:rsidRDefault="003567CA" w:rsidP="003567CA">
      <w:pPr>
        <w:rPr>
          <w:lang w:val="en-US"/>
        </w:rPr>
      </w:pPr>
    </w:p>
    <w:p w14:paraId="03CBF6D7" w14:textId="4AA76BA4" w:rsidR="006F0FAC" w:rsidRDefault="003567CA" w:rsidP="006922F5">
      <w:pPr>
        <w:pBdr>
          <w:top w:val="nil"/>
          <w:left w:val="nil"/>
          <w:bottom w:val="nil"/>
          <w:right w:val="nil"/>
          <w:between w:val="nil"/>
        </w:pBdr>
        <w:contextualSpacing/>
        <w:rPr>
          <w:rFonts w:eastAsia="Palatino Linotype" w:cs="Palatino Linotype"/>
          <w:bCs/>
          <w:iCs/>
          <w:color w:val="000000"/>
          <w:szCs w:val="24"/>
        </w:rPr>
      </w:pPr>
      <w:r w:rsidRPr="003567CA">
        <w:rPr>
          <w:rFonts w:eastAsia="Palatino Linotype" w:cs="Palatino Linotype"/>
          <w:bCs/>
          <w:iCs/>
          <w:color w:val="000000"/>
          <w:szCs w:val="24"/>
        </w:rPr>
        <w:t>Durante la etapa de manifestaciones, el Sujeto Obligado rindió su Informe Justificado mediante la entrega de los siguientes documentos:</w:t>
      </w:r>
    </w:p>
    <w:p w14:paraId="13D9611A" w14:textId="77777777" w:rsidR="003567CA" w:rsidRDefault="003567CA" w:rsidP="006922F5">
      <w:pPr>
        <w:pBdr>
          <w:top w:val="nil"/>
          <w:left w:val="nil"/>
          <w:bottom w:val="nil"/>
          <w:right w:val="nil"/>
          <w:between w:val="nil"/>
        </w:pBdr>
        <w:contextualSpacing/>
        <w:rPr>
          <w:rFonts w:eastAsia="Palatino Linotype" w:cs="Palatino Linotype"/>
          <w:bCs/>
          <w:iCs/>
          <w:color w:val="000000"/>
          <w:szCs w:val="24"/>
        </w:rPr>
      </w:pPr>
    </w:p>
    <w:p w14:paraId="156ED2DA" w14:textId="24804806" w:rsidR="003567CA" w:rsidRDefault="000210EC" w:rsidP="009743E0">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sidRPr="00581CDA">
        <w:rPr>
          <w:rFonts w:eastAsia="Palatino Linotype" w:cs="Palatino Linotype"/>
          <w:b/>
          <w:bCs/>
          <w:iCs/>
          <w:color w:val="000000"/>
        </w:rPr>
        <w:t>a040_25</w:t>
      </w:r>
      <w:r w:rsidRPr="00581CDA">
        <w:rPr>
          <w:rFonts w:eastAsia="Palatino Linotype" w:cs="Palatino Linotype"/>
          <w:bCs/>
          <w:iCs/>
          <w:color w:val="000000"/>
        </w:rPr>
        <w:t xml:space="preserve">. </w:t>
      </w:r>
      <w:r w:rsidR="00581CDA" w:rsidRPr="00581CDA">
        <w:rPr>
          <w:rFonts w:eastAsia="Palatino Linotype" w:cs="Palatino Linotype"/>
          <w:bCs/>
          <w:iCs/>
          <w:color w:val="000000"/>
        </w:rPr>
        <w:t>Acuerdo IEEM/CG/40/2025 emitido por el Consejo General del IEEM, por el cual se expiden los Lineamientos para el reclutamiento, selección y contratación de Supervisores/as Electorales Locales y Capacitadores/as-Asistentes Electorales Locales para el Proceso</w:t>
      </w:r>
      <w:r w:rsidR="00581CDA">
        <w:rPr>
          <w:rFonts w:eastAsia="Palatino Linotype" w:cs="Palatino Linotype"/>
          <w:bCs/>
          <w:iCs/>
          <w:color w:val="000000"/>
        </w:rPr>
        <w:t xml:space="preserve"> </w:t>
      </w:r>
      <w:r w:rsidR="00581CDA" w:rsidRPr="00581CDA">
        <w:rPr>
          <w:rFonts w:eastAsia="Palatino Linotype" w:cs="Palatino Linotype"/>
          <w:bCs/>
          <w:iCs/>
          <w:color w:val="000000"/>
        </w:rPr>
        <w:t>Electoral Judicial Extraordinario 2025 del Estado de México</w:t>
      </w:r>
      <w:r w:rsidR="009743E0">
        <w:rPr>
          <w:rFonts w:eastAsia="Palatino Linotype" w:cs="Palatino Linotype"/>
          <w:bCs/>
          <w:iCs/>
          <w:color w:val="000000"/>
        </w:rPr>
        <w:t>.</w:t>
      </w:r>
    </w:p>
    <w:p w14:paraId="1AC455A0" w14:textId="46B50718" w:rsidR="00035A01" w:rsidRDefault="00035A01" w:rsidP="009743E0">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sidRPr="00035A01">
        <w:rPr>
          <w:rFonts w:eastAsia="Palatino Linotype" w:cs="Palatino Linotype"/>
          <w:bCs/>
          <w:iCs/>
          <w:color w:val="000000"/>
          <w:lang w:val="es-ES_tradnl"/>
        </w:rPr>
        <w:t>Lineamientos para el reclutamiento, selección y contratación de Supervisores/as Electorales Locales y Capacitadores/as-Asistentes Electorales Locales</w:t>
      </w:r>
      <w:r>
        <w:rPr>
          <w:rFonts w:eastAsia="Palatino Linotype" w:cs="Palatino Linotype"/>
          <w:bCs/>
          <w:iCs/>
          <w:color w:val="000000"/>
          <w:lang w:val="es-ES_tradnl"/>
        </w:rPr>
        <w:t>.</w:t>
      </w:r>
    </w:p>
    <w:p w14:paraId="03B6EE84" w14:textId="67DBF4D6" w:rsidR="00570CE3" w:rsidRDefault="001E4804" w:rsidP="009743E0">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Pr>
          <w:rFonts w:eastAsia="Palatino Linotype" w:cs="Palatino Linotype"/>
          <w:bCs/>
          <w:iCs/>
          <w:color w:val="000000"/>
        </w:rPr>
        <w:t xml:space="preserve">Convocatoria </w:t>
      </w:r>
      <w:r w:rsidR="005E4911">
        <w:rPr>
          <w:rFonts w:eastAsia="Palatino Linotype" w:cs="Palatino Linotype"/>
          <w:bCs/>
          <w:iCs/>
          <w:color w:val="000000"/>
        </w:rPr>
        <w:t>Capacitador/a-Asistente Electoral Local (CAEL)</w:t>
      </w:r>
    </w:p>
    <w:p w14:paraId="7C4C96C5" w14:textId="4CA7BACE" w:rsidR="005E4911" w:rsidRDefault="00BA10B4" w:rsidP="005E4911">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Pr>
          <w:rFonts w:eastAsia="Palatino Linotype" w:cs="Palatino Linotype"/>
          <w:bCs/>
          <w:iCs/>
          <w:color w:val="000000"/>
        </w:rPr>
        <w:t>Formato de d</w:t>
      </w:r>
      <w:r w:rsidRPr="005E4911">
        <w:rPr>
          <w:rFonts w:eastAsia="Palatino Linotype" w:cs="Palatino Linotype"/>
          <w:bCs/>
          <w:iCs/>
          <w:color w:val="000000"/>
        </w:rPr>
        <w:t>eclaratoria bajo protesta de decir verdad</w:t>
      </w:r>
    </w:p>
    <w:p w14:paraId="5A9B65C4" w14:textId="77AFAAB4" w:rsidR="005E4911" w:rsidRDefault="00BA10B4" w:rsidP="005E4911">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Pr>
          <w:rFonts w:eastAsia="Palatino Linotype" w:cs="Palatino Linotype"/>
          <w:bCs/>
          <w:iCs/>
          <w:color w:val="000000"/>
        </w:rPr>
        <w:t>Formato s</w:t>
      </w:r>
      <w:r w:rsidR="00F013BC">
        <w:rPr>
          <w:rFonts w:eastAsia="Palatino Linotype" w:cs="Palatino Linotype"/>
          <w:bCs/>
          <w:iCs/>
          <w:color w:val="000000"/>
        </w:rPr>
        <w:t>olicitud de registro</w:t>
      </w:r>
    </w:p>
    <w:p w14:paraId="242F4928" w14:textId="77777777" w:rsidR="00F013BC" w:rsidRPr="00581CDA" w:rsidRDefault="00F013BC" w:rsidP="00037322">
      <w:pPr>
        <w:pStyle w:val="Prrafodelista"/>
        <w:pBdr>
          <w:top w:val="nil"/>
          <w:left w:val="nil"/>
          <w:bottom w:val="nil"/>
          <w:right w:val="nil"/>
          <w:between w:val="nil"/>
        </w:pBdr>
        <w:ind w:left="720"/>
        <w:contextualSpacing/>
        <w:rPr>
          <w:rFonts w:eastAsia="Palatino Linotype" w:cs="Palatino Linotype"/>
          <w:bCs/>
          <w:iCs/>
          <w:color w:val="000000"/>
        </w:rPr>
      </w:pPr>
    </w:p>
    <w:p w14:paraId="41CE2932" w14:textId="36B46681" w:rsidR="000210EC" w:rsidRDefault="000210EC" w:rsidP="000210EC">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sidRPr="000210EC">
        <w:rPr>
          <w:rFonts w:eastAsia="Palatino Linotype" w:cs="Palatino Linotype"/>
          <w:b/>
          <w:bCs/>
          <w:iCs/>
          <w:color w:val="000000"/>
        </w:rPr>
        <w:t>IEEM-DPC-481-2025 Informe justificado RR 6310-2025 DPC</w:t>
      </w:r>
      <w:r w:rsidRPr="000210EC">
        <w:rPr>
          <w:rFonts w:eastAsia="Palatino Linotype" w:cs="Palatino Linotype"/>
          <w:bCs/>
          <w:iCs/>
          <w:color w:val="000000"/>
        </w:rPr>
        <w:t xml:space="preserve">. </w:t>
      </w:r>
      <w:r w:rsidR="00037322">
        <w:rPr>
          <w:rFonts w:eastAsia="Palatino Linotype" w:cs="Palatino Linotype"/>
          <w:bCs/>
          <w:iCs/>
          <w:color w:val="000000"/>
        </w:rPr>
        <w:t>Oficio número IEEM/DCP/481/2025, de fecha 06 de junio de 2025, emitida por la Dirección d</w:t>
      </w:r>
      <w:r w:rsidR="00E77CE9">
        <w:rPr>
          <w:rFonts w:eastAsia="Palatino Linotype" w:cs="Palatino Linotype"/>
          <w:bCs/>
          <w:iCs/>
          <w:color w:val="000000"/>
        </w:rPr>
        <w:t>e</w:t>
      </w:r>
      <w:r w:rsidR="00037322">
        <w:rPr>
          <w:rFonts w:eastAsia="Palatino Linotype" w:cs="Palatino Linotype"/>
          <w:bCs/>
          <w:iCs/>
          <w:color w:val="000000"/>
        </w:rPr>
        <w:t xml:space="preserve"> Participación Ciudadana</w:t>
      </w:r>
      <w:r w:rsidR="00E77CE9">
        <w:rPr>
          <w:rFonts w:eastAsia="Palatino Linotype" w:cs="Palatino Linotype"/>
          <w:bCs/>
          <w:iCs/>
          <w:color w:val="000000"/>
        </w:rPr>
        <w:t xml:space="preserve">, en el cual manifiesta que el Consejo General del Instituyo Nacional Electoral </w:t>
      </w:r>
      <w:r w:rsidR="008F0C70">
        <w:rPr>
          <w:rFonts w:eastAsia="Palatino Linotype" w:cs="Palatino Linotype"/>
          <w:bCs/>
          <w:iCs/>
          <w:color w:val="000000"/>
        </w:rPr>
        <w:t xml:space="preserve">expidió el Acuerdo INE/CG2501/2024, por el que se aprobó la estrategia de capacitación y asistencia electoral </w:t>
      </w:r>
      <w:r w:rsidR="009F127C">
        <w:rPr>
          <w:rFonts w:eastAsia="Palatino Linotype" w:cs="Palatino Linotype"/>
          <w:bCs/>
          <w:iCs/>
          <w:color w:val="000000"/>
        </w:rPr>
        <w:t>y señala liga de consulta electrónica, en formato abierto.</w:t>
      </w:r>
    </w:p>
    <w:p w14:paraId="005E343B" w14:textId="08F1456D" w:rsidR="009F127C" w:rsidRDefault="009F127C" w:rsidP="009F127C">
      <w:pPr>
        <w:pStyle w:val="Prrafodelista"/>
        <w:pBdr>
          <w:top w:val="nil"/>
          <w:left w:val="nil"/>
          <w:bottom w:val="nil"/>
          <w:right w:val="nil"/>
          <w:between w:val="nil"/>
        </w:pBdr>
        <w:ind w:left="720"/>
        <w:contextualSpacing/>
        <w:rPr>
          <w:rFonts w:eastAsia="Palatino Linotype" w:cs="Palatino Linotype"/>
          <w:bCs/>
          <w:iCs/>
          <w:color w:val="000000"/>
        </w:rPr>
      </w:pPr>
      <w:r>
        <w:rPr>
          <w:rFonts w:eastAsia="Palatino Linotype" w:cs="Palatino Linotype"/>
          <w:bCs/>
          <w:iCs/>
          <w:color w:val="000000"/>
        </w:rPr>
        <w:t xml:space="preserve">Manifiesta que se desarrollo el Lineamiento para el reclutamiento, y selección del SEL y CAEL, </w:t>
      </w:r>
      <w:r w:rsidR="00E0449A">
        <w:rPr>
          <w:rFonts w:eastAsia="Palatino Linotype" w:cs="Palatino Linotype"/>
          <w:bCs/>
          <w:iCs/>
          <w:color w:val="000000"/>
        </w:rPr>
        <w:t>buscando replicar el esquema para el reclutamiento, selección y contratación.</w:t>
      </w:r>
    </w:p>
    <w:p w14:paraId="5DB4183F" w14:textId="00E65643" w:rsidR="00D66F10" w:rsidRDefault="00D66F10" w:rsidP="009F127C">
      <w:pPr>
        <w:pStyle w:val="Prrafodelista"/>
        <w:pBdr>
          <w:top w:val="nil"/>
          <w:left w:val="nil"/>
          <w:bottom w:val="nil"/>
          <w:right w:val="nil"/>
          <w:between w:val="nil"/>
        </w:pBdr>
        <w:ind w:left="720"/>
        <w:contextualSpacing/>
        <w:rPr>
          <w:rFonts w:eastAsia="Palatino Linotype" w:cs="Palatino Linotype"/>
          <w:bCs/>
          <w:iCs/>
          <w:color w:val="000000"/>
        </w:rPr>
      </w:pPr>
      <w:r>
        <w:rPr>
          <w:rFonts w:eastAsia="Palatino Linotype" w:cs="Palatino Linotype"/>
          <w:bCs/>
          <w:iCs/>
          <w:color w:val="000000"/>
        </w:rPr>
        <w:t>La</w:t>
      </w:r>
      <w:r w:rsidR="00466BEF">
        <w:rPr>
          <w:rFonts w:eastAsia="Palatino Linotype" w:cs="Palatino Linotype"/>
          <w:bCs/>
          <w:iCs/>
          <w:color w:val="000000"/>
        </w:rPr>
        <w:t xml:space="preserve"> </w:t>
      </w:r>
      <w:r>
        <w:rPr>
          <w:rFonts w:eastAsia="Palatino Linotype" w:cs="Palatino Linotype"/>
          <w:bCs/>
          <w:iCs/>
          <w:color w:val="000000"/>
        </w:rPr>
        <w:t xml:space="preserve">premisa fue recuperara la experiencia y conocimiento, por lo que se reconsideró la contratación de la </w:t>
      </w:r>
      <w:r w:rsidR="00466BEF">
        <w:rPr>
          <w:rFonts w:eastAsia="Palatino Linotype" w:cs="Palatino Linotype"/>
          <w:bCs/>
          <w:iCs/>
          <w:color w:val="000000"/>
        </w:rPr>
        <w:t>ciudadanía</w:t>
      </w:r>
      <w:r>
        <w:rPr>
          <w:rFonts w:eastAsia="Palatino Linotype" w:cs="Palatino Linotype"/>
          <w:bCs/>
          <w:iCs/>
          <w:color w:val="000000"/>
        </w:rPr>
        <w:t xml:space="preserve"> con experiencia como SEL y CAEL, siempre y </w:t>
      </w:r>
      <w:r w:rsidR="00466BEF">
        <w:rPr>
          <w:rFonts w:eastAsia="Palatino Linotype" w:cs="Palatino Linotype"/>
          <w:bCs/>
          <w:iCs/>
          <w:color w:val="000000"/>
        </w:rPr>
        <w:t>cuando</w:t>
      </w:r>
      <w:r>
        <w:rPr>
          <w:rFonts w:eastAsia="Palatino Linotype" w:cs="Palatino Linotype"/>
          <w:bCs/>
          <w:iCs/>
          <w:color w:val="000000"/>
        </w:rPr>
        <w:t xml:space="preserve"> hayan cu</w:t>
      </w:r>
      <w:r w:rsidR="00466BEF">
        <w:rPr>
          <w:rFonts w:eastAsia="Palatino Linotype" w:cs="Palatino Linotype"/>
          <w:bCs/>
          <w:iCs/>
          <w:color w:val="000000"/>
        </w:rPr>
        <w:t>mplido los requisitos.</w:t>
      </w:r>
    </w:p>
    <w:p w14:paraId="3FA62929" w14:textId="0BD826CE" w:rsidR="00466BEF" w:rsidRDefault="00466BEF" w:rsidP="009F127C">
      <w:pPr>
        <w:pStyle w:val="Prrafodelista"/>
        <w:pBdr>
          <w:top w:val="nil"/>
          <w:left w:val="nil"/>
          <w:bottom w:val="nil"/>
          <w:right w:val="nil"/>
          <w:between w:val="nil"/>
        </w:pBdr>
        <w:ind w:left="720"/>
        <w:contextualSpacing/>
        <w:rPr>
          <w:rFonts w:eastAsia="Palatino Linotype" w:cs="Palatino Linotype"/>
          <w:bCs/>
          <w:iCs/>
          <w:color w:val="000000"/>
        </w:rPr>
      </w:pPr>
      <w:r>
        <w:rPr>
          <w:rFonts w:eastAsia="Palatino Linotype" w:cs="Palatino Linotype"/>
          <w:bCs/>
          <w:iCs/>
          <w:color w:val="000000"/>
        </w:rPr>
        <w:t xml:space="preserve">Consecuentemente el Consejo General del </w:t>
      </w:r>
      <w:r w:rsidR="00096C52">
        <w:rPr>
          <w:rFonts w:eastAsia="Palatino Linotype" w:cs="Palatino Linotype"/>
          <w:bCs/>
          <w:iCs/>
          <w:color w:val="000000"/>
        </w:rPr>
        <w:t>Instituto</w:t>
      </w:r>
      <w:r>
        <w:rPr>
          <w:rFonts w:eastAsia="Palatino Linotype" w:cs="Palatino Linotype"/>
          <w:bCs/>
          <w:iCs/>
          <w:color w:val="000000"/>
        </w:rPr>
        <w:t xml:space="preserve"> Electoral del Estado de México</w:t>
      </w:r>
      <w:r w:rsidR="00096C52">
        <w:rPr>
          <w:rFonts w:eastAsia="Palatino Linotype" w:cs="Palatino Linotype"/>
          <w:bCs/>
          <w:iCs/>
          <w:color w:val="000000"/>
        </w:rPr>
        <w:t xml:space="preserve"> aprobó los Lineamientos para el </w:t>
      </w:r>
      <w:r w:rsidR="00543B51">
        <w:rPr>
          <w:rFonts w:eastAsia="Palatino Linotype" w:cs="Palatino Linotype"/>
          <w:bCs/>
          <w:iCs/>
          <w:color w:val="000000"/>
        </w:rPr>
        <w:t xml:space="preserve">reclutamiento, selección y contratación de SEL y CAEL, del </w:t>
      </w:r>
      <w:r w:rsidR="00096C52">
        <w:rPr>
          <w:rFonts w:eastAsia="Palatino Linotype" w:cs="Palatino Linotype"/>
          <w:bCs/>
          <w:iCs/>
          <w:color w:val="000000"/>
        </w:rPr>
        <w:t xml:space="preserve">proceso electoral en el </w:t>
      </w:r>
      <w:r w:rsidR="00096C52">
        <w:rPr>
          <w:rFonts w:eastAsia="Palatino Linotype" w:cs="Palatino Linotype"/>
          <w:bCs/>
          <w:iCs/>
          <w:color w:val="000000"/>
        </w:rPr>
        <w:br/>
        <w:t xml:space="preserve">Estado de México. </w:t>
      </w:r>
      <w:r w:rsidR="00057E78">
        <w:rPr>
          <w:rFonts w:eastAsia="Palatino Linotype" w:cs="Palatino Linotype"/>
          <w:bCs/>
          <w:iCs/>
          <w:color w:val="000000"/>
        </w:rPr>
        <w:t>Y señala liga electrónica</w:t>
      </w:r>
      <w:r w:rsidR="00C530C8">
        <w:rPr>
          <w:rFonts w:eastAsia="Palatino Linotype" w:cs="Palatino Linotype"/>
          <w:bCs/>
          <w:iCs/>
          <w:color w:val="000000"/>
        </w:rPr>
        <w:t>.</w:t>
      </w:r>
    </w:p>
    <w:p w14:paraId="2AE9DF6B" w14:textId="69C14657" w:rsidR="00C530C8" w:rsidRPr="000210EC" w:rsidRDefault="00C530C8" w:rsidP="009F127C">
      <w:pPr>
        <w:pStyle w:val="Prrafodelista"/>
        <w:pBdr>
          <w:top w:val="nil"/>
          <w:left w:val="nil"/>
          <w:bottom w:val="nil"/>
          <w:right w:val="nil"/>
          <w:between w:val="nil"/>
        </w:pBdr>
        <w:ind w:left="720"/>
        <w:contextualSpacing/>
        <w:rPr>
          <w:rFonts w:eastAsia="Palatino Linotype" w:cs="Palatino Linotype"/>
          <w:bCs/>
          <w:iCs/>
          <w:color w:val="000000"/>
        </w:rPr>
      </w:pPr>
      <w:r>
        <w:rPr>
          <w:rFonts w:eastAsia="Palatino Linotype" w:cs="Palatino Linotype"/>
          <w:bCs/>
          <w:iCs/>
          <w:color w:val="000000"/>
        </w:rPr>
        <w:t xml:space="preserve">Después de los argumentos vertidos, confirma la </w:t>
      </w:r>
      <w:r w:rsidRPr="00B1620C">
        <w:rPr>
          <w:rFonts w:eastAsia="Palatino Linotype" w:cs="Palatino Linotype"/>
          <w:bCs/>
          <w:iCs/>
          <w:color w:val="000000"/>
        </w:rPr>
        <w:t>respuesta inicial.</w:t>
      </w:r>
    </w:p>
    <w:p w14:paraId="494EDC9B" w14:textId="58458936" w:rsidR="00993CDC" w:rsidRPr="00993CDC" w:rsidRDefault="000210EC" w:rsidP="00993CDC">
      <w:pPr>
        <w:pStyle w:val="Prrafodelista"/>
        <w:numPr>
          <w:ilvl w:val="0"/>
          <w:numId w:val="35"/>
        </w:numPr>
        <w:pBdr>
          <w:top w:val="nil"/>
          <w:left w:val="nil"/>
          <w:bottom w:val="nil"/>
          <w:right w:val="nil"/>
          <w:between w:val="nil"/>
        </w:pBdr>
        <w:contextualSpacing/>
        <w:rPr>
          <w:rFonts w:eastAsia="Palatino Linotype" w:cs="Palatino Linotype"/>
          <w:b/>
          <w:bCs/>
          <w:iCs/>
          <w:color w:val="000000"/>
          <w:lang w:val="es-ES_tradnl"/>
        </w:rPr>
      </w:pPr>
      <w:r w:rsidRPr="000210EC">
        <w:rPr>
          <w:rFonts w:eastAsia="Palatino Linotype" w:cs="Palatino Linotype"/>
          <w:b/>
          <w:bCs/>
          <w:iCs/>
          <w:color w:val="000000"/>
        </w:rPr>
        <w:t>INFORME JUSTIFICADO DPC</w:t>
      </w:r>
      <w:r w:rsidRPr="000210EC">
        <w:rPr>
          <w:rFonts w:eastAsia="Palatino Linotype" w:cs="Palatino Linotype"/>
          <w:bCs/>
          <w:iCs/>
          <w:color w:val="000000"/>
        </w:rPr>
        <w:t xml:space="preserve">. </w:t>
      </w:r>
      <w:r w:rsidR="00993CDC" w:rsidRPr="00993CDC">
        <w:rPr>
          <w:rFonts w:eastAsia="Palatino Linotype" w:cs="Palatino Linotype"/>
          <w:iCs/>
          <w:color w:val="000000"/>
          <w:lang w:val="es-ES_tradnl"/>
        </w:rPr>
        <w:t xml:space="preserve">Oficio no: IEEM/DPC/481/2025, emitido por la Directora de Participación Ciudadana, </w:t>
      </w:r>
      <w:r w:rsidR="00F32A14">
        <w:rPr>
          <w:rFonts w:eastAsia="Palatino Linotype" w:cs="Palatino Linotype"/>
          <w:iCs/>
          <w:color w:val="000000"/>
          <w:lang w:val="es-ES_tradnl"/>
        </w:rPr>
        <w:t>del cual ya se revisó y coloco el contenido, ahora lo presenta en formato .docx</w:t>
      </w:r>
    </w:p>
    <w:p w14:paraId="2A594599" w14:textId="717210EE" w:rsidR="000210EC" w:rsidRPr="000210EC" w:rsidRDefault="000210EC" w:rsidP="00993CDC">
      <w:pPr>
        <w:pStyle w:val="Prrafodelista"/>
        <w:pBdr>
          <w:top w:val="nil"/>
          <w:left w:val="nil"/>
          <w:bottom w:val="nil"/>
          <w:right w:val="nil"/>
          <w:between w:val="nil"/>
        </w:pBdr>
        <w:ind w:left="720"/>
        <w:contextualSpacing/>
        <w:rPr>
          <w:rFonts w:eastAsia="Palatino Linotype" w:cs="Palatino Linotype"/>
          <w:bCs/>
          <w:iCs/>
          <w:color w:val="000000"/>
        </w:rPr>
      </w:pPr>
    </w:p>
    <w:p w14:paraId="3D252441" w14:textId="413FA3F5" w:rsidR="000210EC" w:rsidRDefault="000210EC" w:rsidP="000210EC">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sidRPr="000210EC">
        <w:rPr>
          <w:rFonts w:eastAsia="Palatino Linotype" w:cs="Palatino Linotype"/>
          <w:b/>
          <w:bCs/>
          <w:iCs/>
          <w:color w:val="000000"/>
        </w:rPr>
        <w:t>INFORME JUSTIFICADO RR 06310-2025 UT</w:t>
      </w:r>
      <w:r w:rsidRPr="000210EC">
        <w:rPr>
          <w:rFonts w:eastAsia="Palatino Linotype" w:cs="Palatino Linotype"/>
          <w:bCs/>
          <w:iCs/>
          <w:color w:val="000000"/>
        </w:rPr>
        <w:t xml:space="preserve">. </w:t>
      </w:r>
      <w:r w:rsidR="00F32A14">
        <w:rPr>
          <w:rFonts w:eastAsia="Palatino Linotype" w:cs="Palatino Linotype"/>
          <w:bCs/>
          <w:iCs/>
          <w:color w:val="000000"/>
        </w:rPr>
        <w:t xml:space="preserve">Corresponde al Informe Justificado emitido por la Jefa de la Unidad de Transparencia, en el que destaca </w:t>
      </w:r>
      <w:r w:rsidR="00373F5C">
        <w:rPr>
          <w:rFonts w:eastAsia="Palatino Linotype" w:cs="Palatino Linotype"/>
          <w:bCs/>
          <w:iCs/>
          <w:color w:val="000000"/>
        </w:rPr>
        <w:t>que la respuesta proporcionada se apego totalmente a lo dispuesto en las leyes de la materia</w:t>
      </w:r>
      <w:r w:rsidR="00B215EB">
        <w:rPr>
          <w:rFonts w:eastAsia="Palatino Linotype" w:cs="Palatino Linotype"/>
          <w:bCs/>
          <w:iCs/>
          <w:color w:val="000000"/>
        </w:rPr>
        <w:t>, en términos generales se ratifica la respeta inicial</w:t>
      </w:r>
      <w:r w:rsidR="00134EC0">
        <w:rPr>
          <w:rFonts w:eastAsia="Palatino Linotype" w:cs="Palatino Linotype"/>
          <w:bCs/>
          <w:iCs/>
          <w:color w:val="000000"/>
        </w:rPr>
        <w:t>.</w:t>
      </w:r>
      <w:r w:rsidR="00F864DE">
        <w:rPr>
          <w:rFonts w:eastAsia="Palatino Linotype" w:cs="Palatino Linotype"/>
          <w:bCs/>
          <w:iCs/>
          <w:color w:val="000000"/>
        </w:rPr>
        <w:t xml:space="preserve"> </w:t>
      </w:r>
    </w:p>
    <w:p w14:paraId="62260DD0" w14:textId="77777777" w:rsidR="00134EC0" w:rsidRPr="00134EC0" w:rsidRDefault="00134EC0" w:rsidP="00134EC0">
      <w:pPr>
        <w:pStyle w:val="Prrafodelista"/>
        <w:rPr>
          <w:rFonts w:eastAsia="Palatino Linotype" w:cs="Palatino Linotype"/>
          <w:bCs/>
          <w:iCs/>
          <w:color w:val="000000"/>
        </w:rPr>
      </w:pPr>
    </w:p>
    <w:p w14:paraId="1265B038" w14:textId="71FFAB8D" w:rsidR="00134EC0" w:rsidRDefault="00134EC0" w:rsidP="000210EC">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Pr>
          <w:rFonts w:eastAsia="Palatino Linotype" w:cs="Palatino Linotype"/>
          <w:bCs/>
          <w:iCs/>
          <w:color w:val="000000"/>
        </w:rPr>
        <w:t xml:space="preserve">Manifiesta demás que se replicó el esquema para el reclutamiento, selección y contratación del SEL y CAEL emitido por el órgano nacional INE, establecido los requisitos </w:t>
      </w:r>
      <w:r w:rsidR="00F864DE">
        <w:rPr>
          <w:rFonts w:eastAsia="Palatino Linotype" w:cs="Palatino Linotype"/>
          <w:bCs/>
          <w:iCs/>
          <w:color w:val="000000"/>
        </w:rPr>
        <w:t xml:space="preserve">para la contratación. </w:t>
      </w:r>
      <w:r w:rsidR="00F864DE" w:rsidRPr="00F864DE">
        <w:rPr>
          <w:rFonts w:eastAsia="Palatino Linotype" w:cs="Palatino Linotype"/>
          <w:bCs/>
          <w:iCs/>
          <w:color w:val="000000"/>
          <w:lang w:val="es-ES_tradnl"/>
        </w:rPr>
        <w:t>Aunado</w:t>
      </w:r>
      <w:r w:rsidR="00F864DE">
        <w:rPr>
          <w:rFonts w:eastAsia="Palatino Linotype" w:cs="Palatino Linotype"/>
          <w:bCs/>
          <w:iCs/>
          <w:color w:val="000000"/>
          <w:lang w:val="es-ES_tradnl"/>
        </w:rPr>
        <w:t xml:space="preserve"> que el Código Electoral del Estado de México </w:t>
      </w:r>
      <w:r w:rsidR="000B0B4D">
        <w:rPr>
          <w:rFonts w:eastAsia="Palatino Linotype" w:cs="Palatino Linotype"/>
          <w:bCs/>
          <w:iCs/>
          <w:color w:val="000000"/>
          <w:lang w:val="es-ES_tradnl"/>
        </w:rPr>
        <w:t>tienen como principios la paridad de género</w:t>
      </w:r>
      <w:r w:rsidR="00B502E1">
        <w:rPr>
          <w:rFonts w:eastAsia="Palatino Linotype" w:cs="Palatino Linotype"/>
          <w:bCs/>
          <w:iCs/>
          <w:color w:val="000000"/>
          <w:lang w:val="es-ES_tradnl"/>
        </w:rPr>
        <w:t>, el cual se garantizó el acceso igualitario de las oportunidades en la contratación.</w:t>
      </w:r>
    </w:p>
    <w:p w14:paraId="2A436B26" w14:textId="77777777" w:rsidR="00F864DE" w:rsidRPr="00F864DE" w:rsidRDefault="00F864DE" w:rsidP="00F864DE">
      <w:pPr>
        <w:pStyle w:val="Prrafodelista"/>
        <w:rPr>
          <w:rFonts w:eastAsia="Palatino Linotype" w:cs="Palatino Linotype"/>
          <w:bCs/>
          <w:iCs/>
          <w:color w:val="000000"/>
        </w:rPr>
      </w:pPr>
    </w:p>
    <w:p w14:paraId="30ABCDF4" w14:textId="51B42E26" w:rsidR="000210EC" w:rsidRPr="000210EC" w:rsidRDefault="000210EC" w:rsidP="000210EC">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sidRPr="000210EC">
        <w:rPr>
          <w:rFonts w:eastAsia="Palatino Linotype" w:cs="Palatino Linotype"/>
          <w:b/>
          <w:bCs/>
          <w:iCs/>
          <w:color w:val="000000"/>
        </w:rPr>
        <w:t>INFORME JUSTIFICADO RR 6310-2025 UT</w:t>
      </w:r>
      <w:r w:rsidRPr="000210EC">
        <w:rPr>
          <w:rFonts w:eastAsia="Palatino Linotype" w:cs="Palatino Linotype"/>
          <w:bCs/>
          <w:iCs/>
          <w:color w:val="000000"/>
        </w:rPr>
        <w:t xml:space="preserve">. </w:t>
      </w:r>
      <w:r w:rsidR="00B502E1">
        <w:rPr>
          <w:rFonts w:eastAsia="Palatino Linotype" w:cs="Palatino Linotype"/>
          <w:bCs/>
          <w:iCs/>
          <w:color w:val="000000"/>
        </w:rPr>
        <w:t>Corresponde al informe justificado, antes descrito en el punto previo</w:t>
      </w:r>
      <w:r w:rsidR="00394E20">
        <w:rPr>
          <w:rFonts w:eastAsia="Palatino Linotype" w:cs="Palatino Linotype"/>
          <w:bCs/>
          <w:iCs/>
          <w:color w:val="000000"/>
        </w:rPr>
        <w:t>, en formato Word.</w:t>
      </w:r>
    </w:p>
    <w:p w14:paraId="4A08E3B4" w14:textId="32C690DC" w:rsidR="000210EC" w:rsidRPr="000210EC" w:rsidRDefault="000210EC" w:rsidP="000210EC">
      <w:pPr>
        <w:pStyle w:val="Prrafodelista"/>
        <w:numPr>
          <w:ilvl w:val="0"/>
          <w:numId w:val="35"/>
        </w:numPr>
        <w:pBdr>
          <w:top w:val="nil"/>
          <w:left w:val="nil"/>
          <w:bottom w:val="nil"/>
          <w:right w:val="nil"/>
          <w:between w:val="nil"/>
        </w:pBdr>
        <w:contextualSpacing/>
        <w:rPr>
          <w:rFonts w:eastAsia="Palatino Linotype" w:cs="Palatino Linotype"/>
          <w:bCs/>
          <w:iCs/>
          <w:color w:val="000000"/>
        </w:rPr>
      </w:pPr>
      <w:r w:rsidRPr="000210EC">
        <w:rPr>
          <w:rFonts w:eastAsia="Palatino Linotype" w:cs="Palatino Linotype"/>
          <w:b/>
          <w:bCs/>
          <w:iCs/>
          <w:color w:val="000000"/>
        </w:rPr>
        <w:t>INFORME JUSTIFICADO RR 6310-2025 UCG</w:t>
      </w:r>
      <w:r w:rsidRPr="000210EC">
        <w:rPr>
          <w:rFonts w:eastAsia="Palatino Linotype" w:cs="Palatino Linotype"/>
          <w:bCs/>
          <w:iCs/>
          <w:color w:val="000000"/>
        </w:rPr>
        <w:t xml:space="preserve">. </w:t>
      </w:r>
      <w:r w:rsidR="00394E20">
        <w:rPr>
          <w:rFonts w:eastAsia="Palatino Linotype" w:cs="Palatino Linotype"/>
          <w:bCs/>
          <w:iCs/>
          <w:color w:val="000000"/>
        </w:rPr>
        <w:t xml:space="preserve">Oficio numero IEEM/UCG/154/2025, emitido por la Jefa de la unidad de Genero del Sujeto Obligado, </w:t>
      </w:r>
      <w:r w:rsidR="008C0808">
        <w:rPr>
          <w:rFonts w:eastAsia="Palatino Linotype" w:cs="Palatino Linotype"/>
          <w:bCs/>
          <w:iCs/>
          <w:color w:val="000000"/>
        </w:rPr>
        <w:t xml:space="preserve">en el cual sustancialmente manifiesta que la Unidad no cuenta con información sobre criterios de aplicación del principio de Paridad de género establecido en la Constitución Política de los Estados unidos Mexicanos. </w:t>
      </w:r>
    </w:p>
    <w:p w14:paraId="579BB5B5" w14:textId="77777777" w:rsidR="003567CA" w:rsidRDefault="003567CA" w:rsidP="006922F5">
      <w:pPr>
        <w:pBdr>
          <w:top w:val="nil"/>
          <w:left w:val="nil"/>
          <w:bottom w:val="nil"/>
          <w:right w:val="nil"/>
          <w:between w:val="nil"/>
        </w:pBdr>
        <w:contextualSpacing/>
        <w:rPr>
          <w:rFonts w:eastAsia="Palatino Linotype" w:cs="Palatino Linotype"/>
          <w:bCs/>
          <w:iCs/>
          <w:color w:val="000000"/>
          <w:szCs w:val="24"/>
        </w:rPr>
      </w:pPr>
    </w:p>
    <w:p w14:paraId="0514BFFD" w14:textId="77777777" w:rsidR="0029701F" w:rsidRPr="00844A38" w:rsidRDefault="0029701F" w:rsidP="006922F5">
      <w:pPr>
        <w:pBdr>
          <w:top w:val="nil"/>
          <w:left w:val="nil"/>
          <w:bottom w:val="nil"/>
          <w:right w:val="nil"/>
          <w:between w:val="nil"/>
        </w:pBdr>
        <w:contextualSpacing/>
        <w:rPr>
          <w:rFonts w:eastAsia="Palatino Linotype" w:cs="Palatino Linotype"/>
          <w:color w:val="000000"/>
          <w:szCs w:val="24"/>
        </w:rPr>
      </w:pPr>
    </w:p>
    <w:p w14:paraId="64B9BA8A" w14:textId="54797881"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74B4A" w:rsidRPr="00844A38">
        <w:rPr>
          <w:rFonts w:eastAsia="Palatino Linotype" w:cs="Palatino Linotype"/>
          <w:color w:val="000000"/>
          <w:szCs w:val="24"/>
        </w:rPr>
        <w:t>l</w:t>
      </w:r>
      <w:r w:rsidRPr="00844A38">
        <w:rPr>
          <w:rFonts w:eastAsia="Palatino Linotype" w:cs="Palatino Linotype"/>
          <w:color w:val="000000"/>
          <w:szCs w:val="24"/>
        </w:rPr>
        <w:t xml:space="preserve"> </w:t>
      </w:r>
      <w:r w:rsidRPr="00844A38">
        <w:rPr>
          <w:rFonts w:eastAsia="Palatino Linotype" w:cs="Palatino Linotype"/>
          <w:b/>
          <w:bCs/>
          <w:color w:val="000000"/>
          <w:szCs w:val="24"/>
        </w:rPr>
        <w:t>Recurrente</w:t>
      </w:r>
      <w:r w:rsidRPr="00844A38">
        <w:rPr>
          <w:rFonts w:eastAsia="Palatino Linotype" w:cs="Palatino Linotype"/>
          <w:color w:val="000000"/>
          <w:szCs w:val="24"/>
        </w:rPr>
        <w:t>, así como calificar los motivos de inconformidad de</w:t>
      </w:r>
      <w:r w:rsidR="00C82268" w:rsidRPr="00844A38">
        <w:rPr>
          <w:rFonts w:eastAsia="Palatino Linotype" w:cs="Palatino Linotype"/>
          <w:color w:val="000000"/>
          <w:szCs w:val="24"/>
        </w:rPr>
        <w:t xml:space="preserve">l </w:t>
      </w:r>
      <w:r w:rsidRPr="00844A38">
        <w:rPr>
          <w:rFonts w:eastAsia="Palatino Linotype" w:cs="Palatino Linotype"/>
          <w:color w:val="000000"/>
          <w:szCs w:val="24"/>
        </w:rPr>
        <w:t xml:space="preserve">particular. </w:t>
      </w:r>
    </w:p>
    <w:p w14:paraId="443631F3"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844A38" w:rsidRDefault="00A970D5" w:rsidP="006922F5">
      <w:pPr>
        <w:pStyle w:val="Fundamentos"/>
      </w:pPr>
      <w:r w:rsidRPr="00844A38">
        <w:rPr>
          <w:b/>
        </w:rPr>
        <w:t>Artículo 6o.</w:t>
      </w:r>
      <w:r w:rsidRPr="00844A38">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44A38">
        <w:rPr>
          <w:b/>
        </w:rPr>
        <w:t>El derecho a la información será garantizado por el Estado.</w:t>
      </w:r>
      <w:r w:rsidRPr="00844A38">
        <w:t xml:space="preserve"> </w:t>
      </w:r>
    </w:p>
    <w:p w14:paraId="71A2C801" w14:textId="77777777" w:rsidR="00A970D5" w:rsidRPr="00844A38" w:rsidRDefault="00A970D5" w:rsidP="006922F5">
      <w:pPr>
        <w:pStyle w:val="Fundamentos"/>
      </w:pPr>
    </w:p>
    <w:p w14:paraId="0CDFC85A" w14:textId="77777777" w:rsidR="00A970D5" w:rsidRPr="00844A38" w:rsidRDefault="00A970D5" w:rsidP="006922F5">
      <w:pPr>
        <w:pStyle w:val="Fundamentos"/>
      </w:pPr>
      <w:r w:rsidRPr="00844A38">
        <w:t>Toda persona tiene derecho al libre acceso a información plural y oportuna, así como a buscar, recibir y difundir información e ideas de toda índole por cualquier medio de expresión.</w:t>
      </w:r>
    </w:p>
    <w:p w14:paraId="0015CD16" w14:textId="77777777" w:rsidR="00A970D5" w:rsidRPr="00844A38" w:rsidRDefault="00A970D5" w:rsidP="006922F5">
      <w:pPr>
        <w:pStyle w:val="Fundamentos"/>
      </w:pPr>
    </w:p>
    <w:p w14:paraId="5F6974CB" w14:textId="77777777" w:rsidR="00A970D5" w:rsidRPr="00844A38" w:rsidRDefault="00A970D5" w:rsidP="006922F5">
      <w:pPr>
        <w:pStyle w:val="Fundamentos"/>
      </w:pPr>
      <w:r w:rsidRPr="00844A38">
        <w:t>Para efectos de lo dispuesto en el presente artículo se observará lo siguiente:</w:t>
      </w:r>
    </w:p>
    <w:p w14:paraId="6BB28B9A" w14:textId="77777777" w:rsidR="00A970D5" w:rsidRPr="00844A38" w:rsidRDefault="00A970D5" w:rsidP="006922F5">
      <w:pPr>
        <w:pStyle w:val="Fundamentos"/>
      </w:pPr>
    </w:p>
    <w:p w14:paraId="3BA28416" w14:textId="77777777" w:rsidR="00A970D5" w:rsidRPr="00844A38" w:rsidRDefault="00A970D5" w:rsidP="006922F5">
      <w:pPr>
        <w:pStyle w:val="Fundamentos"/>
      </w:pPr>
      <w:r w:rsidRPr="00844A38">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844A38" w:rsidRDefault="00A970D5" w:rsidP="006922F5">
      <w:pPr>
        <w:pStyle w:val="Fundamentos"/>
      </w:pPr>
    </w:p>
    <w:p w14:paraId="2133BF6E" w14:textId="77777777" w:rsidR="00A970D5" w:rsidRPr="00844A38" w:rsidRDefault="00A970D5" w:rsidP="006922F5">
      <w:pPr>
        <w:pStyle w:val="Fundamentos"/>
      </w:pPr>
      <w:r w:rsidRPr="00844A38">
        <w:rPr>
          <w:b/>
        </w:rPr>
        <w:t>I. Toda la información en posesión de</w:t>
      </w:r>
      <w:r w:rsidRPr="00844A38">
        <w:t xml:space="preserve"> </w:t>
      </w:r>
      <w:r w:rsidRPr="00844A38">
        <w:rPr>
          <w:b/>
        </w:rPr>
        <w:t>cualquier autoridad</w:t>
      </w:r>
      <w:r w:rsidRPr="00844A38">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44A38">
        <w:rPr>
          <w:b/>
        </w:rPr>
        <w:t>en el ámbito federal, estatal y municipal, es pública</w:t>
      </w:r>
      <w:r w:rsidRPr="00844A38">
        <w:t xml:space="preserve"> y sólo podrá ser reservada temporalmente por razones de interés público y seguridad nacional, en los términos que fijen las leyes. En la interpretación de este derecho deberá prevalecer el principio de máxima publicidad. </w:t>
      </w:r>
      <w:r w:rsidRPr="00844A38">
        <w:rPr>
          <w:b/>
        </w:rPr>
        <w:t>Los sujetos obligados deberán documentar todo acto que derive del ejercicio de sus facultades, competencias o funciones</w:t>
      </w:r>
      <w:r w:rsidRPr="00844A38">
        <w:t>, la ley determinará los supuestos específicos bajo los cuales procederá la declaración de inexistencia de la información.</w:t>
      </w:r>
    </w:p>
    <w:p w14:paraId="5943A65E" w14:textId="77777777" w:rsidR="00A970D5" w:rsidRPr="00844A38" w:rsidRDefault="00A970D5" w:rsidP="006922F5">
      <w:pPr>
        <w:pStyle w:val="Fundamentos"/>
      </w:pPr>
      <w:r w:rsidRPr="00844A38">
        <w:t>II. La información que se refiere a la vida privada y los datos personales será protegida en los términos y con las excepciones que fijen las leyes.</w:t>
      </w:r>
    </w:p>
    <w:p w14:paraId="135241F6" w14:textId="77777777" w:rsidR="00A970D5" w:rsidRPr="00844A38" w:rsidRDefault="00A970D5" w:rsidP="006922F5">
      <w:pPr>
        <w:pStyle w:val="Fundamentos"/>
      </w:pPr>
      <w:r w:rsidRPr="00844A38">
        <w:t>III. Toda persona, sin necesidad de acreditar interés alguno o justificar su utilización, tendrá acceso gratuito a la información pública, a sus datos personales o a la rectificación de éstos.</w:t>
      </w:r>
    </w:p>
    <w:p w14:paraId="55B93DBA" w14:textId="77777777" w:rsidR="00A970D5" w:rsidRPr="00844A38" w:rsidRDefault="00A970D5" w:rsidP="006922F5">
      <w:pPr>
        <w:pStyle w:val="Fundamentos"/>
      </w:pPr>
      <w:r w:rsidRPr="00844A38">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844A38" w:rsidRDefault="00A970D5" w:rsidP="006922F5">
      <w:pPr>
        <w:pStyle w:val="Fundamentos"/>
      </w:pPr>
      <w:r w:rsidRPr="00844A38">
        <w:rPr>
          <w:b/>
        </w:rPr>
        <w:t>V. Los sujetos obligados deberán preservar sus documentos en archivos administrativos actualizados y publicarán, a través de los medios electrónicos disponibles</w:t>
      </w:r>
      <w:r w:rsidRPr="00844A38">
        <w:t xml:space="preserve">, </w:t>
      </w:r>
      <w:r w:rsidRPr="00844A38">
        <w:rPr>
          <w:b/>
        </w:rPr>
        <w:t xml:space="preserve">la información completa y actualizada sobre el ejercicio de los recursos públicos </w:t>
      </w:r>
      <w:r w:rsidRPr="00844A38">
        <w:t>y los indicadores que permitan rendir cuenta del cumplimiento de sus objetivos y de los resultados obtenidos.</w:t>
      </w:r>
    </w:p>
    <w:p w14:paraId="1989B44A" w14:textId="77777777" w:rsidR="00A970D5" w:rsidRPr="00844A38" w:rsidRDefault="00A970D5" w:rsidP="006922F5">
      <w:pPr>
        <w:pStyle w:val="Fundamentos"/>
      </w:pPr>
      <w:r w:rsidRPr="00844A38">
        <w:t>VI. Las leyes determinarán la manera en que los sujetos obligados deberán hacer pública la información relativa a los recursos públicos que entreguen a personas físicas o morales.</w:t>
      </w:r>
    </w:p>
    <w:p w14:paraId="52D64BCE" w14:textId="77777777" w:rsidR="00A970D5" w:rsidRPr="00844A38" w:rsidRDefault="00A970D5" w:rsidP="006922F5">
      <w:pPr>
        <w:pStyle w:val="Fundamentos"/>
      </w:pPr>
      <w:r w:rsidRPr="00844A38">
        <w:t>VII. La inobservancia a las disposiciones en materia de acceso a la información pública será sancionada en los términos que dispongan las leyes.</w:t>
      </w:r>
    </w:p>
    <w:p w14:paraId="0226FE46" w14:textId="77777777" w:rsidR="00A970D5" w:rsidRPr="00844A38" w:rsidRDefault="00A970D5" w:rsidP="006922F5">
      <w:pPr>
        <w:pStyle w:val="Fundamentos"/>
      </w:pPr>
      <w:r w:rsidRPr="00844A38">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844A38" w:rsidRDefault="00A970D5" w:rsidP="006922F5">
      <w:pPr>
        <w:pStyle w:val="Fundamentos"/>
      </w:pPr>
      <w:r w:rsidRPr="00844A38">
        <w:t>…</w:t>
      </w:r>
    </w:p>
    <w:p w14:paraId="5E8F2316" w14:textId="77777777" w:rsidR="00A970D5" w:rsidRPr="00844A38" w:rsidRDefault="00A970D5" w:rsidP="006922F5">
      <w:pPr>
        <w:pStyle w:val="Fundamentos"/>
      </w:pPr>
      <w:r w:rsidRPr="00844A38">
        <w:t>La ley establecerá aquella información que se considere reservada o confidencial.</w:t>
      </w:r>
    </w:p>
    <w:p w14:paraId="3441E2D4"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844A38" w:rsidRDefault="00A970D5" w:rsidP="006922F5">
      <w:pPr>
        <w:pStyle w:val="Fundamentos"/>
      </w:pPr>
      <w:r w:rsidRPr="00844A38">
        <w:rPr>
          <w:b/>
          <w:bCs/>
        </w:rPr>
        <w:t>Artículo 5.</w:t>
      </w:r>
      <w:r w:rsidRPr="00844A38">
        <w:t xml:space="preserve"> </w:t>
      </w:r>
      <w:r w:rsidR="0047369A" w:rsidRPr="00844A38">
        <w:t>(</w:t>
      </w:r>
      <w:r w:rsidRPr="00844A38">
        <w:t>…</w:t>
      </w:r>
      <w:r w:rsidR="0047369A" w:rsidRPr="00844A38">
        <w:t>)</w:t>
      </w:r>
      <w:r w:rsidRPr="00844A38">
        <w:t xml:space="preserve"> </w:t>
      </w:r>
    </w:p>
    <w:p w14:paraId="5956991C" w14:textId="77777777" w:rsidR="00A970D5" w:rsidRPr="00844A38" w:rsidRDefault="00A970D5" w:rsidP="006922F5">
      <w:pPr>
        <w:pStyle w:val="Fundamentos"/>
      </w:pPr>
      <w:r w:rsidRPr="00844A38">
        <w:t xml:space="preserve">El derecho a la información será garantizado por el Estado. La ley establecerá las previsiones que permitan asegurar la protección, el respeto y la difusión de este derecho. </w:t>
      </w:r>
    </w:p>
    <w:p w14:paraId="6A3CBAB6" w14:textId="77777777" w:rsidR="00A970D5" w:rsidRPr="00844A38" w:rsidRDefault="00A970D5" w:rsidP="006922F5">
      <w:pPr>
        <w:pStyle w:val="Fundamentos"/>
      </w:pPr>
    </w:p>
    <w:p w14:paraId="36D3B567" w14:textId="77777777" w:rsidR="00A970D5" w:rsidRPr="00844A38" w:rsidRDefault="00A970D5" w:rsidP="006922F5">
      <w:pPr>
        <w:pStyle w:val="Fundamentos"/>
      </w:pPr>
      <w:r w:rsidRPr="00844A38">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844A38" w:rsidRDefault="00A970D5" w:rsidP="006922F5">
      <w:pPr>
        <w:pStyle w:val="Fundamentos"/>
      </w:pPr>
    </w:p>
    <w:p w14:paraId="0BDF2E36" w14:textId="77777777" w:rsidR="00A970D5" w:rsidRPr="00844A38" w:rsidRDefault="00A970D5" w:rsidP="006922F5">
      <w:pPr>
        <w:pStyle w:val="Fundamentos"/>
      </w:pPr>
      <w:r w:rsidRPr="00844A38">
        <w:t>Este derecho se regirá por los principios y bases siguientes:</w:t>
      </w:r>
    </w:p>
    <w:p w14:paraId="0BFC86CA" w14:textId="77777777" w:rsidR="00A970D5" w:rsidRPr="00844A38" w:rsidRDefault="00A970D5" w:rsidP="006922F5">
      <w:pPr>
        <w:pStyle w:val="Fundamentos"/>
      </w:pPr>
    </w:p>
    <w:p w14:paraId="71CBBD8F" w14:textId="77777777" w:rsidR="00A970D5" w:rsidRPr="00844A38" w:rsidRDefault="00A970D5" w:rsidP="006922F5">
      <w:pPr>
        <w:pStyle w:val="Fundamentos"/>
      </w:pPr>
      <w:r w:rsidRPr="00844A38">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844A38" w:rsidRDefault="00A970D5" w:rsidP="006922F5">
      <w:pPr>
        <w:pStyle w:val="Fundamentos"/>
      </w:pPr>
      <w:r w:rsidRPr="00844A38">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844A38" w:rsidRDefault="00A970D5" w:rsidP="006922F5">
      <w:pPr>
        <w:pStyle w:val="Fundamentos"/>
      </w:pPr>
      <w:r w:rsidRPr="00844A38">
        <w:t>III. Toda persona, sin necesidad de acreditar interés alguno o justificar su utilización, tendrá acceso gratuito a la información pública, a sus datos personales o a la rectificación de éstos.</w:t>
      </w:r>
    </w:p>
    <w:p w14:paraId="682D2B34" w14:textId="77777777" w:rsidR="00A970D5" w:rsidRPr="00844A38" w:rsidRDefault="00A970D5" w:rsidP="006922F5">
      <w:pPr>
        <w:pStyle w:val="Fundamentos"/>
      </w:pPr>
      <w:r w:rsidRPr="00844A38">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844A38" w:rsidRDefault="00A970D5" w:rsidP="006922F5">
      <w:pPr>
        <w:pStyle w:val="Fundamentos"/>
      </w:pPr>
      <w:r w:rsidRPr="00844A38">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844A38" w:rsidRDefault="00A970D5" w:rsidP="006922F5">
      <w:pPr>
        <w:pStyle w:val="Fundamentos"/>
      </w:pPr>
      <w:r w:rsidRPr="00844A38">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844A38" w:rsidRDefault="00A970D5" w:rsidP="006922F5">
      <w:pPr>
        <w:pStyle w:val="Fundamentos"/>
      </w:pPr>
      <w:r w:rsidRPr="00844A38">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0BC43A8D" w:rsidR="00C82268" w:rsidRPr="00844A38" w:rsidRDefault="00C82268" w:rsidP="006922F5">
      <w:pPr>
        <w:rPr>
          <w:rFonts w:eastAsia="Palatino Linotype" w:cs="Palatino Linotype"/>
          <w:szCs w:val="24"/>
        </w:rPr>
      </w:pPr>
      <w:r w:rsidRPr="00844A38">
        <w:rPr>
          <w:rFonts w:eastAsia="Palatino Linotype" w:cs="Palatino Linotype"/>
          <w:szCs w:val="24"/>
        </w:rPr>
        <w:t xml:space="preserve">En ese orden de ideas, la Ley de Transparencia y Acceso a la Información Pública del Estado de México y Municipios, prevé en su artículo 23, fracción </w:t>
      </w:r>
      <w:r w:rsidR="001530E5" w:rsidRPr="00844A38">
        <w:rPr>
          <w:rFonts w:eastAsia="Palatino Linotype" w:cs="Palatino Linotype"/>
          <w:szCs w:val="24"/>
        </w:rPr>
        <w:t>V</w:t>
      </w:r>
      <w:r w:rsidRPr="00844A38">
        <w:rPr>
          <w:rFonts w:eastAsia="Palatino Linotype" w:cs="Palatino Linotype"/>
          <w:szCs w:val="24"/>
        </w:rPr>
        <w:t>, lo siguiente:</w:t>
      </w:r>
    </w:p>
    <w:p w14:paraId="34BB49C7" w14:textId="77777777" w:rsidR="00C82268" w:rsidRPr="00844A38" w:rsidRDefault="00C82268" w:rsidP="006922F5">
      <w:pPr>
        <w:rPr>
          <w:rFonts w:eastAsia="Palatino Linotype" w:cs="Palatino Linotype"/>
          <w:szCs w:val="24"/>
        </w:rPr>
      </w:pPr>
    </w:p>
    <w:p w14:paraId="100A2479" w14:textId="77777777" w:rsidR="00C82268" w:rsidRPr="00844A38" w:rsidRDefault="00C82268" w:rsidP="006922F5">
      <w:pPr>
        <w:pStyle w:val="Fundamentos"/>
      </w:pPr>
      <w:r w:rsidRPr="00844A38">
        <w:rPr>
          <w:b/>
        </w:rPr>
        <w:t>Artículo 23.</w:t>
      </w:r>
      <w:r w:rsidRPr="00844A38">
        <w:t xml:space="preserve"> Son sujetos obligados a transparentar y permitir el acceso a su información y proteger los datos personales que obren en su poder:</w:t>
      </w:r>
    </w:p>
    <w:p w14:paraId="7025ECE0" w14:textId="0F47465B" w:rsidR="00C82268" w:rsidRPr="00844A38" w:rsidRDefault="001530E5" w:rsidP="006922F5">
      <w:pPr>
        <w:pStyle w:val="Fundamentos"/>
      </w:pPr>
      <w:r w:rsidRPr="00844A38">
        <w:t>(…)</w:t>
      </w:r>
    </w:p>
    <w:p w14:paraId="0667CF00" w14:textId="0647CE5B" w:rsidR="00C82268" w:rsidRPr="00844A38" w:rsidRDefault="00BA0D83" w:rsidP="006922F5">
      <w:pPr>
        <w:pStyle w:val="Fundamentos"/>
      </w:pPr>
      <w:r w:rsidRPr="00BA0D83">
        <w:rPr>
          <w:b/>
          <w:bCs/>
        </w:rPr>
        <w:t xml:space="preserve">V. </w:t>
      </w:r>
      <w:r w:rsidRPr="00BA0D83">
        <w:t xml:space="preserve">Los órganos autónomos; </w:t>
      </w:r>
      <w:r w:rsidR="00C82268" w:rsidRPr="00BA0D83">
        <w:t>(…)</w:t>
      </w:r>
    </w:p>
    <w:p w14:paraId="458B21C5"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1647A517" w14:textId="75E7B5AF" w:rsidR="00985600" w:rsidRDefault="00A970D5" w:rsidP="0029701F">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Es así </w:t>
      </w:r>
      <w:r w:rsidR="00D574A2" w:rsidRPr="00844A38">
        <w:rPr>
          <w:rFonts w:eastAsia="Palatino Linotype" w:cs="Palatino Linotype"/>
          <w:color w:val="000000"/>
          <w:szCs w:val="24"/>
        </w:rPr>
        <w:t>como</w:t>
      </w:r>
      <w:r w:rsidRPr="00844A38">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E4474F4" w14:textId="77777777" w:rsidR="00B407F9" w:rsidRPr="0029701F" w:rsidRDefault="00B407F9" w:rsidP="0029701F">
      <w:pPr>
        <w:pBdr>
          <w:top w:val="nil"/>
          <w:left w:val="nil"/>
          <w:bottom w:val="nil"/>
          <w:right w:val="nil"/>
          <w:between w:val="nil"/>
        </w:pBdr>
        <w:contextualSpacing/>
        <w:rPr>
          <w:rFonts w:eastAsia="Palatino Linotype" w:cs="Palatino Linotype"/>
          <w:color w:val="000000"/>
          <w:szCs w:val="24"/>
        </w:rPr>
      </w:pPr>
    </w:p>
    <w:p w14:paraId="5595242B" w14:textId="77777777" w:rsidR="00985600" w:rsidRPr="00844A38" w:rsidRDefault="00985600" w:rsidP="00985600">
      <w:pPr>
        <w:rPr>
          <w:rFonts w:cs="Arial"/>
          <w:lang w:val="es-MX" w:eastAsia="en-US"/>
        </w:rPr>
      </w:pPr>
      <w:r w:rsidRPr="00844A38">
        <w:rPr>
          <w:rFonts w:cs="Arial"/>
          <w:lang w:val="es-MX" w:eastAsia="en-US"/>
        </w:rPr>
        <w:t xml:space="preserve">Expuesto lo anterior, se procede al análisis de la totalidad de las constancias que integran el expediente electrónico del </w:t>
      </w:r>
      <w:r w:rsidRPr="00844A38">
        <w:rPr>
          <w:rFonts w:cs="Arial"/>
          <w:b/>
          <w:lang w:val="es-MX" w:eastAsia="en-US"/>
        </w:rPr>
        <w:t>SAIMEX</w:t>
      </w:r>
      <w:r w:rsidRPr="00844A38">
        <w:rPr>
          <w:rFonts w:cs="Arial"/>
          <w:lang w:val="es-MX" w:eastAsia="en-US"/>
        </w:rPr>
        <w:t xml:space="preserve">, a efecto de determinar si con la información remitida por </w:t>
      </w:r>
      <w:r w:rsidRPr="00844A38">
        <w:rPr>
          <w:rFonts w:cs="Arial"/>
          <w:b/>
          <w:lang w:val="es-MX" w:eastAsia="en-US"/>
        </w:rPr>
        <w:t>el Sujeto Obligado</w:t>
      </w:r>
      <w:r w:rsidRPr="00844A38">
        <w:rPr>
          <w:rFonts w:cs="Arial"/>
          <w:lang w:val="es-MX"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procedentes, lo procedente es analizar dichas constancias de conformidad con lo siguiente:</w:t>
      </w:r>
    </w:p>
    <w:p w14:paraId="55996408" w14:textId="77777777" w:rsidR="00985600" w:rsidRDefault="00985600" w:rsidP="00985600">
      <w:pPr>
        <w:rPr>
          <w:rFonts w:cs="Arial"/>
          <w:lang w:val="es-MX" w:eastAsia="en-US"/>
        </w:rPr>
      </w:pPr>
    </w:p>
    <w:p w14:paraId="0BE5DDD6" w14:textId="0A8E646A" w:rsidR="0049648A" w:rsidRDefault="0049648A" w:rsidP="00985600">
      <w:pPr>
        <w:rPr>
          <w:rFonts w:cs="Arial"/>
          <w:lang w:val="es-MX" w:eastAsia="en-US"/>
        </w:rPr>
      </w:pPr>
      <w:r>
        <w:rPr>
          <w:rFonts w:cs="Arial"/>
          <w:lang w:val="es-MX" w:eastAsia="en-US"/>
        </w:rPr>
        <w:t xml:space="preserve">Se proporciona respuesta por la </w:t>
      </w:r>
      <w:r w:rsidR="00253BE1">
        <w:rPr>
          <w:rFonts w:cs="Arial"/>
          <w:lang w:val="es-MX" w:eastAsia="en-US"/>
        </w:rPr>
        <w:t>Dirección de Participación ciudadana</w:t>
      </w:r>
      <w:r w:rsidR="00C2090B">
        <w:rPr>
          <w:rFonts w:cs="Arial"/>
          <w:lang w:val="es-MX" w:eastAsia="en-US"/>
        </w:rPr>
        <w:t xml:space="preserve">, quien tienen atribuciones para elaborar, proponer, instrumentare y llevar acciones y materiales didácticos en materia de participación ciudadana, paridad de género y respecto a derechos humanos. </w:t>
      </w:r>
    </w:p>
    <w:p w14:paraId="46B9AA4D" w14:textId="77777777" w:rsidR="00C2090B" w:rsidRDefault="00C2090B" w:rsidP="00985600">
      <w:pPr>
        <w:rPr>
          <w:rFonts w:cs="Arial"/>
          <w:lang w:val="es-MX" w:eastAsia="en-US"/>
        </w:rPr>
      </w:pPr>
    </w:p>
    <w:p w14:paraId="0C07653F" w14:textId="180FF16D" w:rsidR="0049648A" w:rsidRPr="007325E0" w:rsidRDefault="007325E0" w:rsidP="007325E0">
      <w:pPr>
        <w:rPr>
          <w:rFonts w:cs="Arial"/>
          <w:b/>
          <w:bCs/>
          <w:i/>
          <w:iCs/>
          <w:lang w:val="es-MX" w:eastAsia="en-US"/>
        </w:rPr>
      </w:pPr>
      <w:r w:rsidRPr="007325E0">
        <w:rPr>
          <w:rFonts w:cs="Arial"/>
          <w:b/>
          <w:bCs/>
          <w:i/>
          <w:iCs/>
          <w:lang w:val="es-MX" w:eastAsia="en-US"/>
        </w:rPr>
        <w:t>Del Reglamento Interno del Instituto Electoral del Estado de México.</w:t>
      </w:r>
    </w:p>
    <w:p w14:paraId="7C397556" w14:textId="77777777" w:rsidR="0049648A" w:rsidRDefault="0049648A" w:rsidP="00985600">
      <w:pPr>
        <w:rPr>
          <w:rFonts w:cs="Arial"/>
          <w:lang w:val="es-MX" w:eastAsia="en-US"/>
        </w:rPr>
      </w:pPr>
    </w:p>
    <w:p w14:paraId="4B31D4E5" w14:textId="77777777" w:rsidR="00556E24" w:rsidRPr="00556E24" w:rsidRDefault="00D83C2B" w:rsidP="00556E24">
      <w:pPr>
        <w:spacing w:line="276" w:lineRule="auto"/>
        <w:ind w:left="851" w:right="707"/>
        <w:rPr>
          <w:rFonts w:cs="Arial"/>
          <w:i/>
          <w:iCs/>
          <w:sz w:val="22"/>
          <w:szCs w:val="20"/>
          <w:lang w:eastAsia="en-US"/>
        </w:rPr>
      </w:pPr>
      <w:r w:rsidRPr="00556E24">
        <w:rPr>
          <w:rFonts w:cs="Arial"/>
          <w:b/>
          <w:bCs/>
          <w:i/>
          <w:iCs/>
          <w:sz w:val="22"/>
          <w:szCs w:val="20"/>
          <w:lang w:eastAsia="en-US"/>
        </w:rPr>
        <w:t>Artículo 7.</w:t>
      </w:r>
      <w:r w:rsidRPr="00556E24">
        <w:rPr>
          <w:rFonts w:cs="Arial"/>
          <w:i/>
          <w:iCs/>
          <w:sz w:val="22"/>
          <w:szCs w:val="20"/>
          <w:lang w:eastAsia="en-US"/>
        </w:rPr>
        <w:t xml:space="preserve"> La estructura funcional y organizacional del IEEM se conforma de la siguiente manera: </w:t>
      </w:r>
    </w:p>
    <w:p w14:paraId="7AA37E2C"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I. Órganos: </w:t>
      </w:r>
    </w:p>
    <w:p w14:paraId="57156C90"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A) Centrales: </w:t>
      </w:r>
    </w:p>
    <w:p w14:paraId="5B5EBED5"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a) El Consejo General; </w:t>
      </w:r>
    </w:p>
    <w:p w14:paraId="14C0CCAB"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b) La Junta General; </w:t>
      </w:r>
    </w:p>
    <w:p w14:paraId="0115B2F6"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c) La Secretaría; y </w:t>
      </w:r>
    </w:p>
    <w:p w14:paraId="03F5C2AA"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B) Desconcentrados del IEEM dependientes del Órgano Central: </w:t>
      </w:r>
    </w:p>
    <w:p w14:paraId="6B30AD38"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a) Distritales: </w:t>
      </w:r>
    </w:p>
    <w:p w14:paraId="5C67F21E"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1. Las Juntas y los Consejos Distritales. </w:t>
      </w:r>
    </w:p>
    <w:p w14:paraId="482EF25F" w14:textId="4C14FE2D"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b) Municipales: 1. Las Juntas y los Consejos Municipales. </w:t>
      </w:r>
    </w:p>
    <w:p w14:paraId="5D65777A"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c) Órganos desconcentrados para las elecciones de Personas Juzgadoras del Poder Judicial. Los órganos referidos en el inciso B), tienen carácter de temporales y funcionarán exclusivamente en los procesos electorales correspondientes. </w:t>
      </w:r>
    </w:p>
    <w:p w14:paraId="1CA5CC0A"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II. Áreas: </w:t>
      </w:r>
    </w:p>
    <w:p w14:paraId="28FE6405"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A) Dependientes del Consejo General: </w:t>
      </w:r>
    </w:p>
    <w:p w14:paraId="0E0CC6D6"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a) Contraloría General. </w:t>
      </w:r>
    </w:p>
    <w:p w14:paraId="52FF7828"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b) Unidades: </w:t>
      </w:r>
    </w:p>
    <w:p w14:paraId="5DC83EEF" w14:textId="1B34C893"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1. Centro de Formación y Documentación Electoral, y </w:t>
      </w:r>
    </w:p>
    <w:p w14:paraId="70452D76"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2. de Comunicación Social. </w:t>
      </w:r>
    </w:p>
    <w:p w14:paraId="7B93D329" w14:textId="662338C1"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B) Dependientes de la Secretaría: </w:t>
      </w:r>
    </w:p>
    <w:p w14:paraId="438DBAE7" w14:textId="2F48167F"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a) Direcciones: </w:t>
      </w:r>
    </w:p>
    <w:p w14:paraId="7562AA60" w14:textId="5767C8C3"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1. Jurídico Consultiva; </w:t>
      </w:r>
    </w:p>
    <w:p w14:paraId="7952876A"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2. Organización; </w:t>
      </w:r>
    </w:p>
    <w:p w14:paraId="270DCC6A" w14:textId="77777777"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3. </w:t>
      </w:r>
      <w:r w:rsidRPr="003E44B6">
        <w:rPr>
          <w:rFonts w:cs="Arial"/>
          <w:i/>
          <w:iCs/>
          <w:sz w:val="22"/>
          <w:szCs w:val="20"/>
          <w:u w:val="single"/>
          <w:lang w:eastAsia="en-US"/>
        </w:rPr>
        <w:t>Participación Ciudadana;</w:t>
      </w:r>
      <w:r w:rsidRPr="00556E24">
        <w:rPr>
          <w:rFonts w:cs="Arial"/>
          <w:i/>
          <w:iCs/>
          <w:sz w:val="22"/>
          <w:szCs w:val="20"/>
          <w:lang w:eastAsia="en-US"/>
        </w:rPr>
        <w:t xml:space="preserve"> </w:t>
      </w:r>
    </w:p>
    <w:p w14:paraId="22232D66" w14:textId="6E21F055"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4. Partidos Políticos; </w:t>
      </w:r>
    </w:p>
    <w:p w14:paraId="27179318" w14:textId="4E72B8AA"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5. Administración. </w:t>
      </w:r>
    </w:p>
    <w:p w14:paraId="4DA8A14D" w14:textId="5940D426" w:rsidR="00556E24"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b) Unidades: </w:t>
      </w:r>
    </w:p>
    <w:p w14:paraId="7B30C6AE" w14:textId="3D2849EB" w:rsidR="007325E0"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1. de Informática y Estadística; </w:t>
      </w:r>
    </w:p>
    <w:p w14:paraId="3C323EE4" w14:textId="77777777" w:rsidR="007325E0"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2. Técnica para la Administración de Personal Electoral; </w:t>
      </w:r>
    </w:p>
    <w:p w14:paraId="41674503" w14:textId="19430C0E" w:rsidR="007325E0"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3. de Transparencia; y </w:t>
      </w:r>
    </w:p>
    <w:p w14:paraId="22435197" w14:textId="0B9DD7AA" w:rsidR="007325E0"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 xml:space="preserve">4. </w:t>
      </w:r>
      <w:r w:rsidRPr="00A156BD">
        <w:rPr>
          <w:rFonts w:cs="Arial"/>
          <w:i/>
          <w:iCs/>
          <w:sz w:val="22"/>
          <w:szCs w:val="20"/>
          <w:u w:val="single"/>
          <w:lang w:eastAsia="en-US"/>
        </w:rPr>
        <w:t>Coordinadora de Género</w:t>
      </w:r>
      <w:r w:rsidRPr="00556E24">
        <w:rPr>
          <w:rFonts w:cs="Arial"/>
          <w:i/>
          <w:iCs/>
          <w:sz w:val="22"/>
          <w:szCs w:val="20"/>
          <w:lang w:eastAsia="en-US"/>
        </w:rPr>
        <w:t xml:space="preserve">. </w:t>
      </w:r>
    </w:p>
    <w:p w14:paraId="1E0899A2" w14:textId="6E789043" w:rsidR="0049648A" w:rsidRPr="00556E24" w:rsidRDefault="00D83C2B" w:rsidP="00556E24">
      <w:pPr>
        <w:spacing w:line="276" w:lineRule="auto"/>
        <w:ind w:left="851" w:right="707"/>
        <w:rPr>
          <w:rFonts w:cs="Arial"/>
          <w:i/>
          <w:iCs/>
          <w:sz w:val="22"/>
          <w:szCs w:val="20"/>
          <w:lang w:eastAsia="en-US"/>
        </w:rPr>
      </w:pPr>
      <w:r w:rsidRPr="00556E24">
        <w:rPr>
          <w:rFonts w:cs="Arial"/>
          <w:i/>
          <w:iCs/>
          <w:sz w:val="22"/>
          <w:szCs w:val="20"/>
          <w:lang w:eastAsia="en-US"/>
        </w:rPr>
        <w:t>C) Los que determine el Consejo General.</w:t>
      </w:r>
    </w:p>
    <w:p w14:paraId="3E2F28E5" w14:textId="77777777" w:rsidR="00D83C2B" w:rsidRDefault="00D83C2B" w:rsidP="00985600">
      <w:pPr>
        <w:rPr>
          <w:rFonts w:cs="Arial"/>
          <w:lang w:eastAsia="en-US"/>
        </w:rPr>
      </w:pPr>
    </w:p>
    <w:p w14:paraId="7B88761E" w14:textId="0132108B" w:rsidR="00556E24" w:rsidRDefault="007325E0" w:rsidP="00A156BD">
      <w:pPr>
        <w:spacing w:line="276" w:lineRule="auto"/>
        <w:ind w:left="709" w:right="707"/>
        <w:jc w:val="center"/>
        <w:rPr>
          <w:rFonts w:cs="Arial"/>
          <w:b/>
          <w:bCs/>
          <w:i/>
          <w:iCs/>
          <w:sz w:val="22"/>
          <w:szCs w:val="20"/>
          <w:lang w:eastAsia="en-US"/>
        </w:rPr>
      </w:pPr>
      <w:r w:rsidRPr="00556E24">
        <w:rPr>
          <w:rFonts w:cs="Arial"/>
          <w:b/>
          <w:bCs/>
          <w:i/>
          <w:iCs/>
          <w:sz w:val="22"/>
          <w:szCs w:val="20"/>
          <w:lang w:eastAsia="en-US"/>
        </w:rPr>
        <w:t>SECCIÓN QUINTA</w:t>
      </w:r>
    </w:p>
    <w:p w14:paraId="0B757910" w14:textId="78B163A8" w:rsidR="007325E0" w:rsidRPr="00556E24" w:rsidRDefault="007325E0" w:rsidP="00A156BD">
      <w:pPr>
        <w:spacing w:line="276" w:lineRule="auto"/>
        <w:ind w:left="709" w:right="707"/>
        <w:jc w:val="center"/>
        <w:rPr>
          <w:rFonts w:cs="Arial"/>
          <w:b/>
          <w:bCs/>
          <w:i/>
          <w:iCs/>
          <w:sz w:val="22"/>
          <w:szCs w:val="20"/>
          <w:lang w:eastAsia="en-US"/>
        </w:rPr>
      </w:pPr>
      <w:r w:rsidRPr="00556E24">
        <w:rPr>
          <w:rFonts w:cs="Arial"/>
          <w:b/>
          <w:bCs/>
          <w:i/>
          <w:iCs/>
          <w:sz w:val="22"/>
          <w:szCs w:val="20"/>
          <w:lang w:eastAsia="en-US"/>
        </w:rPr>
        <w:t>DE LA DIRECCIÓN DE PARTICIPACIÓN CIUDADANA</w:t>
      </w:r>
    </w:p>
    <w:p w14:paraId="058B2F70" w14:textId="77777777" w:rsidR="007325E0" w:rsidRPr="00556E24" w:rsidRDefault="007325E0" w:rsidP="00556E24">
      <w:pPr>
        <w:spacing w:line="276" w:lineRule="auto"/>
        <w:ind w:left="709" w:right="707"/>
        <w:rPr>
          <w:rFonts w:cs="Arial"/>
          <w:i/>
          <w:iCs/>
          <w:sz w:val="22"/>
          <w:szCs w:val="20"/>
          <w:lang w:eastAsia="en-US"/>
        </w:rPr>
      </w:pPr>
      <w:r w:rsidRPr="00556E24">
        <w:rPr>
          <w:rFonts w:cs="Arial"/>
          <w:b/>
          <w:bCs/>
          <w:i/>
          <w:iCs/>
          <w:sz w:val="22"/>
          <w:szCs w:val="20"/>
          <w:lang w:eastAsia="en-US"/>
        </w:rPr>
        <w:t>Artículo 34.</w:t>
      </w:r>
      <w:r w:rsidRPr="00556E24">
        <w:rPr>
          <w:rFonts w:cs="Arial"/>
          <w:i/>
          <w:iCs/>
          <w:sz w:val="22"/>
          <w:szCs w:val="20"/>
          <w:lang w:eastAsia="en-US"/>
        </w:rPr>
        <w:t xml:space="preserve"> </w:t>
      </w:r>
      <w:r w:rsidRPr="003E44B6">
        <w:rPr>
          <w:rFonts w:cs="Arial"/>
          <w:i/>
          <w:iCs/>
          <w:sz w:val="22"/>
          <w:szCs w:val="20"/>
          <w:u w:val="single"/>
          <w:lang w:eastAsia="en-US"/>
        </w:rPr>
        <w:t>La Dirección de Participación Ciudadana es el órgano del IEEM encargado de elaborar, proponer e instrumentar ejercicios, estrategias, programas, metodologías, acciones y materiales didácticos en materia de participación ciudadana</w:t>
      </w:r>
      <w:r w:rsidRPr="00556E24">
        <w:rPr>
          <w:rFonts w:cs="Arial"/>
          <w:i/>
          <w:iCs/>
          <w:sz w:val="22"/>
          <w:szCs w:val="20"/>
          <w:lang w:eastAsia="en-US"/>
        </w:rPr>
        <w:t xml:space="preserve">, educación cívica, </w:t>
      </w:r>
      <w:r w:rsidRPr="003E44B6">
        <w:rPr>
          <w:rFonts w:cs="Arial"/>
          <w:i/>
          <w:iCs/>
          <w:sz w:val="22"/>
          <w:szCs w:val="20"/>
          <w:u w:val="single"/>
          <w:lang w:eastAsia="en-US"/>
        </w:rPr>
        <w:t>paridad de género</w:t>
      </w:r>
      <w:r w:rsidRPr="00556E24">
        <w:rPr>
          <w:rFonts w:cs="Arial"/>
          <w:i/>
          <w:iCs/>
          <w:sz w:val="22"/>
          <w:szCs w:val="20"/>
          <w:lang w:eastAsia="en-US"/>
        </w:rPr>
        <w:t xml:space="preserve">, respeto a los 17 derechos humanos de las mujeres en el ámbito político y difusión de la cultura política-democrática, a fin de promover el ejercicio de derechos y el cumplimiento de obligaciones político-electorales, atendiendo las disposiciones emitidas por el IEEM y el INE. </w:t>
      </w:r>
    </w:p>
    <w:p w14:paraId="0E264D85" w14:textId="77777777" w:rsidR="007325E0" w:rsidRPr="00556E24" w:rsidRDefault="007325E0" w:rsidP="00556E24">
      <w:pPr>
        <w:spacing w:line="276" w:lineRule="auto"/>
        <w:ind w:left="709" w:right="707"/>
        <w:rPr>
          <w:rFonts w:cs="Arial"/>
          <w:i/>
          <w:iCs/>
          <w:sz w:val="22"/>
          <w:szCs w:val="20"/>
          <w:lang w:eastAsia="en-US"/>
        </w:rPr>
      </w:pPr>
    </w:p>
    <w:p w14:paraId="00EA1E6B" w14:textId="0E9BE82A" w:rsidR="007325E0" w:rsidRPr="00556E24" w:rsidRDefault="007325E0" w:rsidP="00556E24">
      <w:pPr>
        <w:spacing w:line="276" w:lineRule="auto"/>
        <w:ind w:left="709" w:right="707"/>
        <w:rPr>
          <w:rFonts w:cs="Arial"/>
          <w:i/>
          <w:iCs/>
          <w:sz w:val="22"/>
          <w:szCs w:val="20"/>
          <w:lang w:eastAsia="en-US"/>
        </w:rPr>
      </w:pPr>
      <w:r w:rsidRPr="00556E24">
        <w:rPr>
          <w:rFonts w:cs="Arial"/>
          <w:i/>
          <w:iCs/>
          <w:sz w:val="22"/>
          <w:szCs w:val="20"/>
          <w:lang w:eastAsia="en-US"/>
        </w:rPr>
        <w:t xml:space="preserve">Durante la organización de los procesos electorales, será responsable del reclutamiento y selección de las personas Supervisoras Electorales Locales y Capacitadoras Asistentes Electorales Locales, en coordinación con las instancias competentes del INE y las áreas administrativas del IEEM. </w:t>
      </w:r>
    </w:p>
    <w:p w14:paraId="2A86C0B7" w14:textId="77777777" w:rsidR="007325E0" w:rsidRPr="00556E24" w:rsidRDefault="007325E0" w:rsidP="00556E24">
      <w:pPr>
        <w:spacing w:line="276" w:lineRule="auto"/>
        <w:ind w:left="709" w:right="707"/>
        <w:rPr>
          <w:rFonts w:cs="Arial"/>
          <w:i/>
          <w:iCs/>
          <w:sz w:val="22"/>
          <w:szCs w:val="20"/>
          <w:lang w:eastAsia="en-US"/>
        </w:rPr>
      </w:pPr>
    </w:p>
    <w:p w14:paraId="73AF4C9E" w14:textId="309DA319" w:rsidR="00D83C2B" w:rsidRPr="00556E24" w:rsidRDefault="007325E0" w:rsidP="00556E24">
      <w:pPr>
        <w:spacing w:line="276" w:lineRule="auto"/>
        <w:ind w:left="709" w:right="707"/>
        <w:rPr>
          <w:rFonts w:cs="Arial"/>
          <w:i/>
          <w:iCs/>
          <w:sz w:val="22"/>
          <w:szCs w:val="20"/>
          <w:lang w:eastAsia="en-US"/>
        </w:rPr>
      </w:pPr>
      <w:r w:rsidRPr="00556E24">
        <w:rPr>
          <w:rFonts w:cs="Arial"/>
          <w:i/>
          <w:iCs/>
          <w:sz w:val="22"/>
          <w:szCs w:val="20"/>
          <w:lang w:eastAsia="en-US"/>
        </w:rPr>
        <w:t>Esta Dirección ejercerá sus atribuciones en términos de lo dispuesto por el artículo 201 del CEEM y demás disposiciones legales aplicables, para tal efecto contará con la siguiente estructura: I. Titular de la Dirección de Participación Ciudadana.</w:t>
      </w:r>
    </w:p>
    <w:p w14:paraId="53B930C1" w14:textId="2281DE8B" w:rsidR="007325E0" w:rsidRPr="00556E24" w:rsidRDefault="007325E0" w:rsidP="00556E24">
      <w:pPr>
        <w:spacing w:line="276" w:lineRule="auto"/>
        <w:ind w:left="709" w:right="707"/>
        <w:rPr>
          <w:rFonts w:cs="Arial"/>
          <w:i/>
          <w:iCs/>
          <w:sz w:val="22"/>
          <w:szCs w:val="20"/>
          <w:lang w:eastAsia="en-US"/>
        </w:rPr>
      </w:pPr>
      <w:r w:rsidRPr="00556E24">
        <w:rPr>
          <w:rFonts w:cs="Arial"/>
          <w:i/>
          <w:iCs/>
          <w:sz w:val="22"/>
          <w:szCs w:val="20"/>
          <w:lang w:eastAsia="en-US"/>
        </w:rPr>
        <w:t>(…)</w:t>
      </w:r>
    </w:p>
    <w:p w14:paraId="58E138EF" w14:textId="77777777" w:rsidR="00D83C2B" w:rsidRDefault="00D83C2B" w:rsidP="00985600">
      <w:pPr>
        <w:rPr>
          <w:rFonts w:cs="Arial"/>
          <w:lang w:eastAsia="en-US"/>
        </w:rPr>
      </w:pPr>
    </w:p>
    <w:p w14:paraId="5879ECA8" w14:textId="5AC8CDFD" w:rsidR="00A156BD" w:rsidRPr="00A156BD" w:rsidRDefault="00A156BD" w:rsidP="00A156BD">
      <w:pPr>
        <w:spacing w:line="276" w:lineRule="auto"/>
        <w:ind w:left="709" w:right="707"/>
        <w:jc w:val="center"/>
        <w:rPr>
          <w:rFonts w:cs="Arial"/>
          <w:b/>
          <w:bCs/>
          <w:i/>
          <w:iCs/>
          <w:sz w:val="22"/>
          <w:szCs w:val="20"/>
          <w:lang w:eastAsia="en-US"/>
        </w:rPr>
      </w:pPr>
      <w:r w:rsidRPr="00A156BD">
        <w:rPr>
          <w:rFonts w:cs="Arial"/>
          <w:b/>
          <w:bCs/>
          <w:i/>
          <w:iCs/>
          <w:sz w:val="22"/>
          <w:szCs w:val="20"/>
          <w:lang w:eastAsia="en-US"/>
        </w:rPr>
        <w:t>SECCIÓN SEXTA</w:t>
      </w:r>
    </w:p>
    <w:p w14:paraId="2ED2746A" w14:textId="649347B0" w:rsidR="00A156BD" w:rsidRPr="00A156BD" w:rsidRDefault="00A156BD" w:rsidP="00A156BD">
      <w:pPr>
        <w:spacing w:line="276" w:lineRule="auto"/>
        <w:ind w:left="709" w:right="707"/>
        <w:jc w:val="center"/>
        <w:rPr>
          <w:rFonts w:cs="Arial"/>
          <w:b/>
          <w:bCs/>
          <w:i/>
          <w:iCs/>
          <w:sz w:val="22"/>
          <w:szCs w:val="20"/>
          <w:lang w:eastAsia="en-US"/>
        </w:rPr>
      </w:pPr>
      <w:r w:rsidRPr="00A156BD">
        <w:rPr>
          <w:rFonts w:cs="Arial"/>
          <w:b/>
          <w:bCs/>
          <w:i/>
          <w:iCs/>
          <w:sz w:val="22"/>
          <w:szCs w:val="20"/>
          <w:lang w:eastAsia="en-US"/>
        </w:rPr>
        <w:t>DE LA UNIDAD COORDINADORA DE GÉNERO</w:t>
      </w:r>
    </w:p>
    <w:p w14:paraId="6B640481" w14:textId="5878D6BA" w:rsidR="00A156BD" w:rsidRPr="00A156BD" w:rsidRDefault="00A156BD" w:rsidP="00A156BD">
      <w:pPr>
        <w:spacing w:line="276" w:lineRule="auto"/>
        <w:ind w:left="709" w:right="707"/>
        <w:rPr>
          <w:rFonts w:cs="Arial"/>
          <w:i/>
          <w:iCs/>
          <w:sz w:val="22"/>
          <w:szCs w:val="20"/>
          <w:lang w:eastAsia="en-US"/>
        </w:rPr>
      </w:pPr>
      <w:r w:rsidRPr="00A156BD">
        <w:rPr>
          <w:rFonts w:cs="Arial"/>
          <w:b/>
          <w:bCs/>
          <w:i/>
          <w:iCs/>
          <w:sz w:val="22"/>
          <w:szCs w:val="20"/>
          <w:lang w:eastAsia="en-US"/>
        </w:rPr>
        <w:t>Artículo 44.</w:t>
      </w:r>
      <w:r w:rsidRPr="00A156BD">
        <w:rPr>
          <w:rFonts w:cs="Arial"/>
          <w:i/>
          <w:iCs/>
          <w:sz w:val="22"/>
          <w:szCs w:val="20"/>
          <w:lang w:eastAsia="en-US"/>
        </w:rPr>
        <w:t xml:space="preserve"> </w:t>
      </w:r>
      <w:r w:rsidRPr="00A156BD">
        <w:rPr>
          <w:rFonts w:cs="Arial"/>
          <w:i/>
          <w:iCs/>
          <w:sz w:val="22"/>
          <w:szCs w:val="20"/>
          <w:u w:val="single"/>
          <w:lang w:eastAsia="en-US"/>
        </w:rPr>
        <w:t>La Unidad Coordinadora de Género, es la encargada, de implementar e institucionalizar, mediante criterios transversales, la perspectiva de género</w:t>
      </w:r>
      <w:r w:rsidRPr="00A156BD">
        <w:rPr>
          <w:rFonts w:cs="Arial"/>
          <w:i/>
          <w:iCs/>
          <w:sz w:val="22"/>
          <w:szCs w:val="20"/>
          <w:lang w:eastAsia="en-US"/>
        </w:rPr>
        <w:t xml:space="preserve"> y fungir como órgano de consulta y asesoría del IEEM, en términos de las disposiciones aplicables. Igualmente, aquellas acciones encaminadas a cumplir con las obligaciones de carácter sustantivo que se desprenden de la propia normatividad electoral, relacionadas con el principio de paridad de género. </w:t>
      </w:r>
    </w:p>
    <w:p w14:paraId="1B97A4E7" w14:textId="368A1C14" w:rsidR="00A156BD" w:rsidRDefault="00A156BD" w:rsidP="00A156BD">
      <w:pPr>
        <w:spacing w:line="276" w:lineRule="auto"/>
        <w:ind w:left="709" w:right="707"/>
        <w:rPr>
          <w:rFonts w:cs="Arial"/>
          <w:i/>
          <w:iCs/>
          <w:sz w:val="22"/>
          <w:szCs w:val="20"/>
          <w:lang w:eastAsia="en-US"/>
        </w:rPr>
      </w:pPr>
      <w:r w:rsidRPr="00A156BD">
        <w:rPr>
          <w:rFonts w:cs="Arial"/>
          <w:i/>
          <w:iCs/>
          <w:sz w:val="22"/>
          <w:szCs w:val="20"/>
          <w:lang w:eastAsia="en-US"/>
        </w:rPr>
        <w:t>Brindará apoyo, asistencia y asesoría a las precandidatas, candidatas, aspirantes, militantes de los partidos políticos, servidoras públicas, periodistas, defensoras de derechos humanos o similares que manifiesten ser objeto de violencia política en razón de género, además de lo previsto en la Ley de Acceso de las Mujeres a una Vida Libre de Violencia del Estado de México. La Unidad, tendrá las atribuciones que le confieren los artículos 201 Bis y 201 Ter del CEEM y 34 Ter de la Ley de Igualdad de Trato y Oportunidades entre Mujeres y Hombres del Estado de México.</w:t>
      </w:r>
    </w:p>
    <w:p w14:paraId="3D745DBE" w14:textId="77777777" w:rsidR="00A156BD" w:rsidRPr="00A156BD" w:rsidRDefault="00A156BD" w:rsidP="00985600">
      <w:pPr>
        <w:rPr>
          <w:rFonts w:cs="Arial"/>
          <w:i/>
          <w:iCs/>
          <w:sz w:val="22"/>
          <w:szCs w:val="20"/>
          <w:lang w:eastAsia="en-US"/>
        </w:rPr>
      </w:pPr>
    </w:p>
    <w:p w14:paraId="713CEE39" w14:textId="4CCC93A2" w:rsidR="007325E0" w:rsidRDefault="007325E0" w:rsidP="00985600">
      <w:pPr>
        <w:rPr>
          <w:rFonts w:cs="Arial"/>
          <w:lang w:eastAsia="en-US"/>
        </w:rPr>
      </w:pPr>
      <w:r>
        <w:rPr>
          <w:rFonts w:cs="Arial"/>
          <w:lang w:eastAsia="en-US"/>
        </w:rPr>
        <w:t>Por lo que se estima, la respuesta es proporcionada por las unidades administrativas competentes, por corresponder la información a sus atribuciones y funciones de conformidad al marco legal, de tal forma que la Titular de la Unidad de Transparencia cumple con el procedimiento de búsqueda establecido en el artículo 162 de la Ley de Transparencia y Acceso a la Información Pública del Estado de México y Municipios.</w:t>
      </w:r>
    </w:p>
    <w:p w14:paraId="128FF95B" w14:textId="0E5F1889" w:rsidR="007325E0" w:rsidRDefault="007325E0" w:rsidP="00985600">
      <w:pPr>
        <w:rPr>
          <w:rFonts w:cs="Arial"/>
          <w:lang w:eastAsia="en-US"/>
        </w:rPr>
      </w:pPr>
      <w:r>
        <w:rPr>
          <w:rFonts w:cs="Arial"/>
          <w:lang w:eastAsia="en-US"/>
        </w:rPr>
        <w:t xml:space="preserve"> </w:t>
      </w:r>
    </w:p>
    <w:p w14:paraId="156433BC" w14:textId="27D768E3" w:rsidR="0057572D" w:rsidRDefault="0057572D" w:rsidP="00985600">
      <w:pPr>
        <w:rPr>
          <w:rFonts w:cs="Arial"/>
          <w:lang w:eastAsia="en-US"/>
        </w:rPr>
      </w:pPr>
      <w:r>
        <w:rPr>
          <w:rFonts w:cs="Arial"/>
          <w:noProof/>
          <w:lang w:val="es-MX"/>
        </w:rPr>
        <w:drawing>
          <wp:anchor distT="0" distB="0" distL="114300" distR="114300" simplePos="0" relativeHeight="251658240" behindDoc="0" locked="0" layoutInCell="1" allowOverlap="1" wp14:anchorId="751A49A1" wp14:editId="585D64C5">
            <wp:simplePos x="0" y="0"/>
            <wp:positionH relativeFrom="margin">
              <wp:posOffset>1141582</wp:posOffset>
            </wp:positionH>
            <wp:positionV relativeFrom="paragraph">
              <wp:posOffset>900791</wp:posOffset>
            </wp:positionV>
            <wp:extent cx="3508745" cy="3564514"/>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8745" cy="3564514"/>
                    </a:xfrm>
                    <a:prstGeom prst="rect">
                      <a:avLst/>
                    </a:prstGeom>
                  </pic:spPr>
                </pic:pic>
              </a:graphicData>
            </a:graphic>
            <wp14:sizeRelH relativeFrom="margin">
              <wp14:pctWidth>0</wp14:pctWidth>
            </wp14:sizeRelH>
            <wp14:sizeRelV relativeFrom="margin">
              <wp14:pctHeight>0</wp14:pctHeight>
            </wp14:sizeRelV>
          </wp:anchor>
        </w:drawing>
      </w:r>
      <w:r>
        <w:rPr>
          <w:rFonts w:cs="Arial"/>
          <w:lang w:eastAsia="en-US"/>
        </w:rPr>
        <w:t>Ahora bien, de conformidad a la naturaleza de los solicitado, de la propia página web del Sujeto Obligado, se desprende información del proceso Electoral Extraordinario 2025 del Estado de México.</w:t>
      </w:r>
      <w:r>
        <w:rPr>
          <w:rStyle w:val="Refdenotaalpie"/>
          <w:rFonts w:cs="Arial"/>
          <w:lang w:eastAsia="en-US"/>
        </w:rPr>
        <w:footnoteReference w:id="3"/>
      </w:r>
    </w:p>
    <w:p w14:paraId="7F64FA71" w14:textId="35FF8D2B" w:rsidR="0057572D" w:rsidRDefault="0057572D" w:rsidP="00985600">
      <w:pPr>
        <w:rPr>
          <w:rFonts w:cs="Arial"/>
          <w:lang w:eastAsia="en-US"/>
        </w:rPr>
      </w:pPr>
    </w:p>
    <w:p w14:paraId="7DE63C65" w14:textId="5DA8B9CB" w:rsidR="0057572D" w:rsidRDefault="0057572D" w:rsidP="00985600">
      <w:pPr>
        <w:rPr>
          <w:rFonts w:cs="Arial"/>
          <w:lang w:eastAsia="en-US"/>
        </w:rPr>
      </w:pPr>
    </w:p>
    <w:p w14:paraId="1044F701" w14:textId="77777777" w:rsidR="00D83C2B" w:rsidRDefault="00D83C2B" w:rsidP="00985600">
      <w:pPr>
        <w:rPr>
          <w:rFonts w:cs="Arial"/>
          <w:lang w:eastAsia="en-US"/>
        </w:rPr>
      </w:pPr>
    </w:p>
    <w:p w14:paraId="52FE91B6" w14:textId="15043841" w:rsidR="00D83C2B" w:rsidRDefault="00D83C2B" w:rsidP="00985600">
      <w:pPr>
        <w:rPr>
          <w:rFonts w:cs="Arial"/>
          <w:lang w:eastAsia="en-US"/>
        </w:rPr>
      </w:pPr>
    </w:p>
    <w:p w14:paraId="3B3117CD" w14:textId="34B23F6A" w:rsidR="00D83C2B" w:rsidRDefault="00D83C2B" w:rsidP="00985600">
      <w:pPr>
        <w:rPr>
          <w:rFonts w:cs="Arial"/>
          <w:lang w:eastAsia="en-US"/>
        </w:rPr>
      </w:pPr>
    </w:p>
    <w:p w14:paraId="50785ABF" w14:textId="2C381DA7" w:rsidR="00D83C2B" w:rsidRDefault="00D83C2B" w:rsidP="00985600">
      <w:pPr>
        <w:rPr>
          <w:rFonts w:cs="Arial"/>
          <w:lang w:eastAsia="en-US"/>
        </w:rPr>
      </w:pPr>
    </w:p>
    <w:p w14:paraId="4EC8505B" w14:textId="5E92D9D9" w:rsidR="00D83C2B" w:rsidRDefault="00D83C2B" w:rsidP="00985600">
      <w:pPr>
        <w:rPr>
          <w:rFonts w:cs="Arial"/>
          <w:lang w:eastAsia="en-US"/>
        </w:rPr>
      </w:pPr>
    </w:p>
    <w:p w14:paraId="5147FCD2" w14:textId="6C50FE8F" w:rsidR="00D83C2B" w:rsidRDefault="00D83C2B" w:rsidP="00985600">
      <w:pPr>
        <w:rPr>
          <w:rFonts w:cs="Arial"/>
          <w:lang w:eastAsia="en-US"/>
        </w:rPr>
      </w:pPr>
    </w:p>
    <w:p w14:paraId="08F3E926" w14:textId="441138D2" w:rsidR="00D83C2B" w:rsidRDefault="00D83C2B" w:rsidP="00985600">
      <w:pPr>
        <w:rPr>
          <w:rFonts w:cs="Arial"/>
          <w:lang w:eastAsia="en-US"/>
        </w:rPr>
      </w:pPr>
    </w:p>
    <w:p w14:paraId="1AC19B0F" w14:textId="3E0463D6" w:rsidR="00D83C2B" w:rsidRPr="00844A38" w:rsidRDefault="00D83C2B" w:rsidP="00985600">
      <w:pPr>
        <w:rPr>
          <w:rFonts w:cs="Arial"/>
          <w:lang w:val="es-MX" w:eastAsia="en-US"/>
        </w:rPr>
      </w:pPr>
    </w:p>
    <w:p w14:paraId="57A873C2" w14:textId="77777777" w:rsidR="0057572D" w:rsidRDefault="0057572D" w:rsidP="00D354EA">
      <w:pPr>
        <w:rPr>
          <w:rFonts w:cs="Arial"/>
          <w:lang w:val="es-MX" w:eastAsia="en-US"/>
        </w:rPr>
      </w:pPr>
    </w:p>
    <w:p w14:paraId="6C2E5589" w14:textId="6B488684" w:rsidR="0057572D" w:rsidRPr="0057572D" w:rsidRDefault="0057572D" w:rsidP="00D354EA">
      <w:pPr>
        <w:rPr>
          <w:rFonts w:cs="Arial"/>
          <w:lang w:eastAsia="en-US"/>
        </w:rPr>
      </w:pPr>
      <w:r>
        <w:rPr>
          <w:rFonts w:cs="Arial"/>
          <w:lang w:val="es-MX" w:eastAsia="en-US"/>
        </w:rPr>
        <w:t>Conforme lo anterior</w:t>
      </w:r>
      <w:r w:rsidRPr="0057572D">
        <w:rPr>
          <w:rFonts w:cs="Arial"/>
          <w:b/>
          <w:bCs/>
          <w:lang w:val="es-MX" w:eastAsia="en-US"/>
        </w:rPr>
        <w:t xml:space="preserve"> SEL</w:t>
      </w:r>
      <w:r>
        <w:rPr>
          <w:rFonts w:cs="Arial"/>
          <w:lang w:val="es-MX" w:eastAsia="en-US"/>
        </w:rPr>
        <w:t xml:space="preserve"> es “</w:t>
      </w:r>
      <w:r w:rsidRPr="0057572D">
        <w:rPr>
          <w:rFonts w:cs="Arial"/>
          <w:i/>
          <w:iCs/>
          <w:lang w:eastAsia="en-US"/>
        </w:rPr>
        <w:t>la persona encargada de coordinar, apoyar y verificar (en gabinete y campo) las actividades de asistencia electoral realizadas durante la segunda etapa de capacitación electoral por las y los CAEL que están bajo su responsabilidad, con la finalidad de dar cumplimiento en tiempo y forma a las tareas encomendadas en el ámbito local</w:t>
      </w:r>
      <w:r>
        <w:rPr>
          <w:rFonts w:cs="Arial"/>
          <w:lang w:eastAsia="en-US"/>
        </w:rPr>
        <w:t xml:space="preserve">”; </w:t>
      </w:r>
      <w:r>
        <w:rPr>
          <w:rFonts w:cs="Arial"/>
          <w:lang w:val="es-MX" w:eastAsia="en-US"/>
        </w:rPr>
        <w:t xml:space="preserve">mientras que </w:t>
      </w:r>
      <w:r w:rsidRPr="0057572D">
        <w:rPr>
          <w:rFonts w:cs="Arial"/>
          <w:b/>
          <w:bCs/>
          <w:lang w:val="es-MX" w:eastAsia="en-US"/>
        </w:rPr>
        <w:t>CAEL</w:t>
      </w:r>
      <w:r>
        <w:rPr>
          <w:rFonts w:cs="Arial"/>
          <w:lang w:val="es-MX" w:eastAsia="en-US"/>
        </w:rPr>
        <w:t xml:space="preserve"> es</w:t>
      </w:r>
      <w:r>
        <w:rPr>
          <w:rFonts w:cs="Arial"/>
          <w:lang w:eastAsia="en-US"/>
        </w:rPr>
        <w:t xml:space="preserve"> “</w:t>
      </w:r>
      <w:r w:rsidRPr="0057572D">
        <w:rPr>
          <w:rFonts w:cs="Arial"/>
          <w:i/>
          <w:iCs/>
          <w:lang w:eastAsia="en-US"/>
        </w:rPr>
        <w:t>la persona encargada de desarrollar las actividades de asistencia electoral de ámbito local y tareas de apoyo al CAE federal</w:t>
      </w:r>
      <w:r w:rsidRPr="0057572D">
        <w:rPr>
          <w:rFonts w:cs="Arial"/>
          <w:lang w:eastAsia="en-US"/>
        </w:rPr>
        <w:t>.</w:t>
      </w:r>
      <w:r>
        <w:rPr>
          <w:rFonts w:cs="Arial"/>
          <w:lang w:eastAsia="en-US"/>
        </w:rPr>
        <w:t>”</w:t>
      </w:r>
    </w:p>
    <w:p w14:paraId="16FB7ECD" w14:textId="77777777" w:rsidR="0057572D" w:rsidRDefault="0057572D" w:rsidP="00D354EA">
      <w:pPr>
        <w:rPr>
          <w:rFonts w:cs="Arial"/>
          <w:lang w:val="es-MX" w:eastAsia="en-US"/>
        </w:rPr>
      </w:pPr>
    </w:p>
    <w:p w14:paraId="0818ADEB" w14:textId="2BCFDD49" w:rsidR="005361F3" w:rsidRDefault="005361F3" w:rsidP="00D354EA">
      <w:pPr>
        <w:rPr>
          <w:rFonts w:cs="Arial"/>
          <w:lang w:val="es-MX" w:eastAsia="en-US"/>
        </w:rPr>
      </w:pPr>
      <w:r>
        <w:rPr>
          <w:rFonts w:cs="Arial"/>
          <w:lang w:val="es-MX" w:eastAsia="en-US"/>
        </w:rPr>
        <w:t>Siendo las actividades que desarrollan las siguientes:</w:t>
      </w:r>
    </w:p>
    <w:p w14:paraId="5C4CB81B" w14:textId="77777777" w:rsidR="005361F3" w:rsidRPr="005361F3" w:rsidRDefault="005361F3" w:rsidP="005361F3">
      <w:pPr>
        <w:numPr>
          <w:ilvl w:val="0"/>
          <w:numId w:val="36"/>
        </w:numPr>
        <w:rPr>
          <w:rFonts w:cs="Arial"/>
          <w:lang w:val="es-MX" w:eastAsia="en-US"/>
        </w:rPr>
      </w:pPr>
      <w:r w:rsidRPr="005361F3">
        <w:rPr>
          <w:rFonts w:cs="Arial"/>
          <w:lang w:val="es-MX" w:eastAsia="en-US"/>
        </w:rPr>
        <w:t>Difusión de listados de ubicación e integración de casilla seccionales.</w:t>
      </w:r>
    </w:p>
    <w:p w14:paraId="063FB975" w14:textId="77777777" w:rsidR="005361F3" w:rsidRPr="005361F3" w:rsidRDefault="005361F3" w:rsidP="005361F3">
      <w:pPr>
        <w:numPr>
          <w:ilvl w:val="0"/>
          <w:numId w:val="36"/>
        </w:numPr>
        <w:rPr>
          <w:rFonts w:cs="Arial"/>
          <w:lang w:val="es-MX" w:eastAsia="en-US"/>
        </w:rPr>
      </w:pPr>
      <w:r w:rsidRPr="005361F3">
        <w:rPr>
          <w:rFonts w:cs="Arial"/>
          <w:lang w:val="es-MX" w:eastAsia="en-US"/>
        </w:rPr>
        <w:t>Apoyo en el conteo, sellado y agrupamiento de boletas.</w:t>
      </w:r>
    </w:p>
    <w:p w14:paraId="55BA6238" w14:textId="77777777" w:rsidR="005361F3" w:rsidRPr="005361F3" w:rsidRDefault="005361F3" w:rsidP="005361F3">
      <w:pPr>
        <w:numPr>
          <w:ilvl w:val="0"/>
          <w:numId w:val="36"/>
        </w:numPr>
        <w:rPr>
          <w:rFonts w:cs="Arial"/>
          <w:lang w:val="es-MX" w:eastAsia="en-US"/>
        </w:rPr>
      </w:pPr>
      <w:r w:rsidRPr="005361F3">
        <w:rPr>
          <w:rFonts w:cs="Arial"/>
          <w:lang w:val="es-MX" w:eastAsia="en-US"/>
        </w:rPr>
        <w:t>Preparación de la documentación y material electoral.</w:t>
      </w:r>
    </w:p>
    <w:p w14:paraId="6A56D855" w14:textId="77777777" w:rsidR="005361F3" w:rsidRPr="005361F3" w:rsidRDefault="005361F3" w:rsidP="005361F3">
      <w:pPr>
        <w:numPr>
          <w:ilvl w:val="0"/>
          <w:numId w:val="36"/>
        </w:numPr>
        <w:rPr>
          <w:rFonts w:cs="Arial"/>
          <w:lang w:val="es-MX" w:eastAsia="en-US"/>
        </w:rPr>
      </w:pPr>
      <w:r w:rsidRPr="005361F3">
        <w:rPr>
          <w:rFonts w:cs="Arial"/>
          <w:lang w:val="es-MX" w:eastAsia="en-US"/>
        </w:rPr>
        <w:t>Apoyo en la entrega de paquetes electorales a las Presidencias de Mesa Directiva de Casilla Seccional Única.</w:t>
      </w:r>
    </w:p>
    <w:p w14:paraId="20B6147D" w14:textId="77777777" w:rsidR="005361F3" w:rsidRPr="005361F3" w:rsidRDefault="005361F3" w:rsidP="005361F3">
      <w:pPr>
        <w:numPr>
          <w:ilvl w:val="0"/>
          <w:numId w:val="36"/>
        </w:numPr>
        <w:rPr>
          <w:rFonts w:cs="Arial"/>
          <w:lang w:val="es-MX" w:eastAsia="en-US"/>
        </w:rPr>
      </w:pPr>
      <w:r w:rsidRPr="005361F3">
        <w:rPr>
          <w:rFonts w:cs="Arial"/>
          <w:lang w:val="es-MX" w:eastAsia="en-US"/>
        </w:rPr>
        <w:t>Implementación de mecanismos de recolección y traslado de los paquetes electorales al término de la Jornada Electoral.</w:t>
      </w:r>
    </w:p>
    <w:p w14:paraId="043CD090" w14:textId="77777777" w:rsidR="005361F3" w:rsidRPr="005361F3" w:rsidRDefault="005361F3" w:rsidP="005361F3">
      <w:pPr>
        <w:numPr>
          <w:ilvl w:val="0"/>
          <w:numId w:val="36"/>
        </w:numPr>
        <w:rPr>
          <w:rFonts w:cs="Arial"/>
          <w:lang w:val="es-MX" w:eastAsia="en-US"/>
        </w:rPr>
      </w:pPr>
      <w:r w:rsidRPr="005361F3">
        <w:rPr>
          <w:rFonts w:cs="Arial"/>
          <w:lang w:val="es-MX" w:eastAsia="en-US"/>
        </w:rPr>
        <w:t>Desarrollo de los cómputos, entre otras.</w:t>
      </w:r>
    </w:p>
    <w:p w14:paraId="20EABDF7" w14:textId="77777777" w:rsidR="005361F3" w:rsidRDefault="005361F3" w:rsidP="00D354EA">
      <w:pPr>
        <w:rPr>
          <w:rFonts w:cs="Arial"/>
          <w:lang w:val="es-MX" w:eastAsia="en-US"/>
        </w:rPr>
      </w:pPr>
    </w:p>
    <w:p w14:paraId="41D07B47" w14:textId="7D36A2D2" w:rsidR="005361F3" w:rsidRDefault="00017A52" w:rsidP="00D354EA">
      <w:pPr>
        <w:rPr>
          <w:rFonts w:cs="Arial"/>
          <w:lang w:val="es-MX" w:eastAsia="en-US"/>
        </w:rPr>
      </w:pPr>
      <w:r>
        <w:rPr>
          <w:rFonts w:cs="Arial"/>
          <w:lang w:val="es-MX" w:eastAsia="en-US"/>
        </w:rPr>
        <w:t>Ahora bien, conviene realizar un cuadro que ilustre la información pedida y lo respondido por el Sujeto Obligado.</w:t>
      </w:r>
    </w:p>
    <w:tbl>
      <w:tblPr>
        <w:tblStyle w:val="Tabladecuadrcula4"/>
        <w:tblW w:w="9344" w:type="dxa"/>
        <w:tblLayout w:type="fixed"/>
        <w:tblLook w:val="04A0" w:firstRow="1" w:lastRow="0" w:firstColumn="1" w:lastColumn="0" w:noHBand="0" w:noVBand="1"/>
      </w:tblPr>
      <w:tblGrid>
        <w:gridCol w:w="1838"/>
        <w:gridCol w:w="5841"/>
        <w:gridCol w:w="1665"/>
      </w:tblGrid>
      <w:tr w:rsidR="00D20902" w:rsidRPr="00650D19" w14:paraId="133D02DC" w14:textId="18511E13" w:rsidTr="00D20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504554C" w14:textId="4880E29A" w:rsidR="00017A52" w:rsidRPr="00650D19" w:rsidRDefault="00017A52" w:rsidP="00650D19">
            <w:pPr>
              <w:spacing w:line="240" w:lineRule="auto"/>
              <w:rPr>
                <w:rFonts w:cs="Arial"/>
                <w:sz w:val="22"/>
                <w:szCs w:val="20"/>
                <w:lang w:val="es-MX" w:eastAsia="en-US"/>
              </w:rPr>
            </w:pPr>
            <w:r w:rsidRPr="00650D19">
              <w:rPr>
                <w:rFonts w:cs="Arial"/>
                <w:sz w:val="22"/>
                <w:szCs w:val="20"/>
                <w:lang w:val="es-MX" w:eastAsia="en-US"/>
              </w:rPr>
              <w:t>Solicitado</w:t>
            </w:r>
          </w:p>
        </w:tc>
        <w:tc>
          <w:tcPr>
            <w:tcW w:w="5841" w:type="dxa"/>
          </w:tcPr>
          <w:p w14:paraId="1248F072" w14:textId="0F01782B" w:rsidR="00017A52" w:rsidRPr="00650D19" w:rsidRDefault="00017A52" w:rsidP="00650D19">
            <w:pPr>
              <w:spacing w:line="240" w:lineRule="auto"/>
              <w:cnfStyle w:val="100000000000" w:firstRow="1" w:lastRow="0" w:firstColumn="0" w:lastColumn="0" w:oddVBand="0" w:evenVBand="0" w:oddHBand="0" w:evenHBand="0" w:firstRowFirstColumn="0" w:firstRowLastColumn="0" w:lastRowFirstColumn="0" w:lastRowLastColumn="0"/>
              <w:rPr>
                <w:rFonts w:cs="Arial"/>
                <w:sz w:val="22"/>
                <w:szCs w:val="20"/>
                <w:lang w:val="es-MX" w:eastAsia="en-US"/>
              </w:rPr>
            </w:pPr>
            <w:r w:rsidRPr="00650D19">
              <w:rPr>
                <w:rFonts w:cs="Arial"/>
                <w:sz w:val="22"/>
                <w:szCs w:val="20"/>
                <w:lang w:val="es-MX" w:eastAsia="en-US"/>
              </w:rPr>
              <w:t>Respondido</w:t>
            </w:r>
          </w:p>
        </w:tc>
        <w:tc>
          <w:tcPr>
            <w:tcW w:w="1665" w:type="dxa"/>
          </w:tcPr>
          <w:p w14:paraId="7AFB70E0" w14:textId="73BE85E3" w:rsidR="00017A52" w:rsidRPr="00650D19" w:rsidRDefault="00017A52" w:rsidP="00650D19">
            <w:pPr>
              <w:spacing w:line="240" w:lineRule="auto"/>
              <w:cnfStyle w:val="100000000000" w:firstRow="1" w:lastRow="0" w:firstColumn="0" w:lastColumn="0" w:oddVBand="0" w:evenVBand="0" w:oddHBand="0" w:evenHBand="0" w:firstRowFirstColumn="0" w:firstRowLastColumn="0" w:lastRowFirstColumn="0" w:lastRowLastColumn="0"/>
              <w:rPr>
                <w:rFonts w:cs="Arial"/>
                <w:sz w:val="22"/>
                <w:szCs w:val="20"/>
                <w:lang w:val="es-MX" w:eastAsia="en-US"/>
              </w:rPr>
            </w:pPr>
            <w:r w:rsidRPr="00650D19">
              <w:rPr>
                <w:rFonts w:cs="Arial"/>
                <w:sz w:val="22"/>
                <w:szCs w:val="20"/>
                <w:lang w:val="es-MX" w:eastAsia="en-US"/>
              </w:rPr>
              <w:t>Determinación Ponencia/ observaciones</w:t>
            </w:r>
          </w:p>
        </w:tc>
      </w:tr>
      <w:tr w:rsidR="00D20902" w:rsidRPr="00650D19" w14:paraId="6361E305" w14:textId="1B264780" w:rsidTr="00D2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A3634D" w14:textId="053283E9" w:rsidR="00017A52" w:rsidRPr="00650D19" w:rsidRDefault="00650D19" w:rsidP="000B2C12">
            <w:pPr>
              <w:pBdr>
                <w:top w:val="nil"/>
                <w:left w:val="nil"/>
                <w:bottom w:val="nil"/>
                <w:right w:val="nil"/>
                <w:between w:val="nil"/>
              </w:pBdr>
              <w:spacing w:line="276" w:lineRule="auto"/>
              <w:contextualSpacing/>
              <w:rPr>
                <w:rFonts w:eastAsia="Palatino Linotype" w:cs="Palatino Linotype"/>
                <w:i/>
                <w:iCs/>
                <w:color w:val="000000"/>
                <w:szCs w:val="24"/>
                <w:lang w:val="es-ES" w:eastAsia="es-ES"/>
              </w:rPr>
            </w:pPr>
            <w:r>
              <w:rPr>
                <w:rFonts w:eastAsia="Palatino Linotype" w:cs="Palatino Linotype"/>
                <w:i/>
                <w:iCs/>
                <w:color w:val="000000"/>
              </w:rPr>
              <w:t xml:space="preserve">1. </w:t>
            </w:r>
            <w:r w:rsidRPr="00650D19">
              <w:rPr>
                <w:rFonts w:eastAsia="Palatino Linotype" w:cs="Palatino Linotype"/>
                <w:i/>
                <w:iCs/>
                <w:color w:val="000000"/>
              </w:rPr>
              <w:t>Listado de personas designados como SEL y CAEL para la elección de 2025</w:t>
            </w:r>
          </w:p>
        </w:tc>
        <w:tc>
          <w:tcPr>
            <w:tcW w:w="5841" w:type="dxa"/>
          </w:tcPr>
          <w:p w14:paraId="65254F59" w14:textId="40252D3B" w:rsidR="00017A52" w:rsidRPr="00650D19" w:rsidRDefault="00D20902" w:rsidP="00D20902">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0"/>
                <w:lang w:val="es-MX" w:eastAsia="en-US"/>
              </w:rPr>
            </w:pPr>
            <w:r>
              <w:rPr>
                <w:rFonts w:cs="Arial"/>
                <w:noProof/>
                <w:sz w:val="22"/>
                <w:szCs w:val="20"/>
                <w:lang w:val="es-MX"/>
              </w:rPr>
              <w:drawing>
                <wp:inline distT="0" distB="0" distL="0" distR="0" wp14:anchorId="6D450939" wp14:editId="579A0D30">
                  <wp:extent cx="3827721" cy="373436"/>
                  <wp:effectExtent l="0" t="0" r="1905"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8">
                            <a:extLst>
                              <a:ext uri="{28A0092B-C50C-407E-A947-70E740481C1C}">
                                <a14:useLocalDpi xmlns:a14="http://schemas.microsoft.com/office/drawing/2010/main" val="0"/>
                              </a:ext>
                            </a:extLst>
                          </a:blip>
                          <a:stretch>
                            <a:fillRect/>
                          </a:stretch>
                        </pic:blipFill>
                        <pic:spPr>
                          <a:xfrm>
                            <a:off x="0" y="0"/>
                            <a:ext cx="3980340" cy="388326"/>
                          </a:xfrm>
                          <a:prstGeom prst="rect">
                            <a:avLst/>
                          </a:prstGeom>
                        </pic:spPr>
                      </pic:pic>
                    </a:graphicData>
                  </a:graphic>
                </wp:inline>
              </w:drawing>
            </w:r>
          </w:p>
        </w:tc>
        <w:tc>
          <w:tcPr>
            <w:tcW w:w="1665" w:type="dxa"/>
          </w:tcPr>
          <w:p w14:paraId="2691B25F" w14:textId="7F6B2DC4" w:rsidR="00017A52" w:rsidRPr="00650D19" w:rsidRDefault="00B71E31" w:rsidP="000B2C12">
            <w:pPr>
              <w:spacing w:line="276" w:lineRule="auto"/>
              <w:cnfStyle w:val="000000100000" w:firstRow="0" w:lastRow="0" w:firstColumn="0" w:lastColumn="0" w:oddVBand="0" w:evenVBand="0" w:oddHBand="1" w:evenHBand="0" w:firstRowFirstColumn="0" w:firstRowLastColumn="0" w:lastRowFirstColumn="0" w:lastRowLastColumn="0"/>
              <w:rPr>
                <w:rFonts w:cs="Arial"/>
                <w:sz w:val="22"/>
                <w:szCs w:val="20"/>
                <w:lang w:val="es-MX" w:eastAsia="en-US"/>
              </w:rPr>
            </w:pPr>
            <w:r>
              <w:rPr>
                <w:rFonts w:cs="Arial"/>
                <w:sz w:val="22"/>
                <w:szCs w:val="20"/>
                <w:lang w:val="es-MX" w:eastAsia="en-US"/>
              </w:rPr>
              <w:t xml:space="preserve">Actos consentidos, </w:t>
            </w:r>
            <w:r w:rsidR="00877CCF">
              <w:rPr>
                <w:rFonts w:cs="Arial"/>
                <w:sz w:val="22"/>
                <w:szCs w:val="20"/>
                <w:lang w:val="es-MX" w:eastAsia="en-US"/>
              </w:rPr>
              <w:t>conformidad con la información proporcionada.</w:t>
            </w:r>
          </w:p>
        </w:tc>
      </w:tr>
      <w:tr w:rsidR="00D20902" w:rsidRPr="00650D19" w14:paraId="073C6B0F" w14:textId="3E74BB2E" w:rsidTr="00D20902">
        <w:tc>
          <w:tcPr>
            <w:cnfStyle w:val="001000000000" w:firstRow="0" w:lastRow="0" w:firstColumn="1" w:lastColumn="0" w:oddVBand="0" w:evenVBand="0" w:oddHBand="0" w:evenHBand="0" w:firstRowFirstColumn="0" w:firstRowLastColumn="0" w:lastRowFirstColumn="0" w:lastRowLastColumn="0"/>
            <w:tcW w:w="1838" w:type="dxa"/>
          </w:tcPr>
          <w:p w14:paraId="7F79306B" w14:textId="0AD1A3F2" w:rsidR="00650D19" w:rsidRPr="00650D19" w:rsidRDefault="00650D19" w:rsidP="000B2C12">
            <w:pPr>
              <w:pBdr>
                <w:top w:val="nil"/>
                <w:left w:val="nil"/>
                <w:bottom w:val="nil"/>
                <w:right w:val="nil"/>
                <w:between w:val="nil"/>
              </w:pBdr>
              <w:spacing w:line="276" w:lineRule="auto"/>
              <w:contextualSpacing/>
              <w:rPr>
                <w:rFonts w:eastAsia="Palatino Linotype" w:cs="Palatino Linotype"/>
                <w:i/>
                <w:iCs/>
                <w:color w:val="000000"/>
              </w:rPr>
            </w:pPr>
            <w:r>
              <w:rPr>
                <w:rFonts w:eastAsia="Palatino Linotype" w:cs="Palatino Linotype"/>
                <w:i/>
                <w:iCs/>
                <w:color w:val="000000"/>
              </w:rPr>
              <w:t xml:space="preserve">2. </w:t>
            </w:r>
            <w:r w:rsidRPr="00650D19">
              <w:rPr>
                <w:rFonts w:eastAsia="Palatino Linotype" w:cs="Palatino Linotype"/>
                <w:i/>
                <w:iCs/>
                <w:color w:val="000000"/>
              </w:rPr>
              <w:t>¿Cómo se aplicó el principio de paridad de género para garantizar 50% mujeres y 50% hombres?</w:t>
            </w:r>
          </w:p>
          <w:p w14:paraId="3D4F20EA" w14:textId="77777777" w:rsidR="00017A52" w:rsidRPr="00650D19" w:rsidRDefault="00017A52" w:rsidP="000B2C12">
            <w:pPr>
              <w:spacing w:line="276" w:lineRule="auto"/>
              <w:rPr>
                <w:rFonts w:cs="Arial"/>
                <w:sz w:val="22"/>
                <w:szCs w:val="20"/>
                <w:lang w:val="es-MX" w:eastAsia="en-US"/>
              </w:rPr>
            </w:pPr>
          </w:p>
        </w:tc>
        <w:tc>
          <w:tcPr>
            <w:tcW w:w="5841" w:type="dxa"/>
          </w:tcPr>
          <w:p w14:paraId="1FAE92A4" w14:textId="060B3575" w:rsidR="00017A52" w:rsidRPr="00650D19" w:rsidRDefault="00D20902" w:rsidP="000B2C12">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0"/>
                <w:lang w:val="es-MX" w:eastAsia="en-US"/>
              </w:rPr>
            </w:pPr>
            <w:r>
              <w:rPr>
                <w:rFonts w:cs="Arial"/>
                <w:noProof/>
                <w:sz w:val="22"/>
                <w:szCs w:val="20"/>
                <w:lang w:val="es-MX"/>
              </w:rPr>
              <w:drawing>
                <wp:anchor distT="0" distB="0" distL="114300" distR="114300" simplePos="0" relativeHeight="251660288" behindDoc="0" locked="0" layoutInCell="1" allowOverlap="1" wp14:anchorId="76A64F7A" wp14:editId="563C7900">
                  <wp:simplePos x="0" y="0"/>
                  <wp:positionH relativeFrom="column">
                    <wp:posOffset>-64977</wp:posOffset>
                  </wp:positionH>
                  <wp:positionV relativeFrom="paragraph">
                    <wp:posOffset>2469589</wp:posOffset>
                  </wp:positionV>
                  <wp:extent cx="3709035" cy="1018540"/>
                  <wp:effectExtent l="0" t="0" r="571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9">
                            <a:extLst>
                              <a:ext uri="{28A0092B-C50C-407E-A947-70E740481C1C}">
                                <a14:useLocalDpi xmlns:a14="http://schemas.microsoft.com/office/drawing/2010/main" val="0"/>
                              </a:ext>
                            </a:extLst>
                          </a:blip>
                          <a:stretch>
                            <a:fillRect/>
                          </a:stretch>
                        </pic:blipFill>
                        <pic:spPr>
                          <a:xfrm>
                            <a:off x="0" y="0"/>
                            <a:ext cx="3709035" cy="10185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0"/>
                <w:lang w:val="es-MX"/>
              </w:rPr>
              <w:drawing>
                <wp:anchor distT="0" distB="0" distL="114300" distR="114300" simplePos="0" relativeHeight="251659264" behindDoc="0" locked="0" layoutInCell="1" allowOverlap="1" wp14:anchorId="6A5E198C" wp14:editId="13191182">
                  <wp:simplePos x="0" y="0"/>
                  <wp:positionH relativeFrom="column">
                    <wp:posOffset>-19863</wp:posOffset>
                  </wp:positionH>
                  <wp:positionV relativeFrom="paragraph">
                    <wp:posOffset>98514</wp:posOffset>
                  </wp:positionV>
                  <wp:extent cx="3656965" cy="1821815"/>
                  <wp:effectExtent l="0" t="0" r="635" b="698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0">
                            <a:extLst>
                              <a:ext uri="{28A0092B-C50C-407E-A947-70E740481C1C}">
                                <a14:useLocalDpi xmlns:a14="http://schemas.microsoft.com/office/drawing/2010/main" val="0"/>
                              </a:ext>
                            </a:extLst>
                          </a:blip>
                          <a:stretch>
                            <a:fillRect/>
                          </a:stretch>
                        </pic:blipFill>
                        <pic:spPr>
                          <a:xfrm>
                            <a:off x="0" y="0"/>
                            <a:ext cx="3656965" cy="182181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dxa"/>
          </w:tcPr>
          <w:p w14:paraId="76881AB7" w14:textId="77777777" w:rsidR="00017A52" w:rsidRDefault="00B71E31" w:rsidP="000B2C12">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0"/>
                <w:lang w:val="es-MX" w:eastAsia="en-US"/>
              </w:rPr>
            </w:pPr>
            <w:r>
              <w:rPr>
                <w:rFonts w:cs="Arial"/>
                <w:sz w:val="22"/>
                <w:szCs w:val="20"/>
                <w:lang w:val="es-MX" w:eastAsia="en-US"/>
              </w:rPr>
              <w:t>Cumple</w:t>
            </w:r>
          </w:p>
          <w:p w14:paraId="6A099B76" w14:textId="77777777" w:rsidR="00877CCF" w:rsidRDefault="00877CCF" w:rsidP="000B2C12">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0"/>
                <w:lang w:val="es-MX" w:eastAsia="en-US"/>
              </w:rPr>
            </w:pPr>
          </w:p>
          <w:p w14:paraId="0E9F8E3C" w14:textId="77777777" w:rsidR="00FE2EF4" w:rsidRDefault="00877CCF" w:rsidP="000B2C12">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0"/>
                <w:lang w:val="es-MX" w:eastAsia="en-US"/>
              </w:rPr>
            </w:pPr>
            <w:r>
              <w:rPr>
                <w:rFonts w:cs="Arial"/>
                <w:sz w:val="22"/>
                <w:szCs w:val="20"/>
                <w:lang w:val="es-MX" w:eastAsia="en-US"/>
              </w:rPr>
              <w:t xml:space="preserve">El Sujeto Obligado, desde la respuesta expone </w:t>
            </w:r>
            <w:r w:rsidR="00B00428">
              <w:rPr>
                <w:rFonts w:cs="Arial"/>
                <w:sz w:val="22"/>
                <w:szCs w:val="20"/>
                <w:lang w:val="es-MX" w:eastAsia="en-US"/>
              </w:rPr>
              <w:t>el mecanismo de contratación y en Informe Justificado, amplia los argumentos.</w:t>
            </w:r>
          </w:p>
          <w:p w14:paraId="1F3DB74B" w14:textId="04C51124" w:rsidR="00877CCF" w:rsidRPr="00650D19" w:rsidRDefault="00FE2EF4" w:rsidP="000B2C12">
            <w:pPr>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0"/>
                <w:lang w:val="es-MX" w:eastAsia="en-US"/>
              </w:rPr>
            </w:pPr>
            <w:r>
              <w:rPr>
                <w:rFonts w:cs="Arial"/>
                <w:sz w:val="22"/>
                <w:szCs w:val="20"/>
                <w:lang w:val="es-MX" w:eastAsia="en-US"/>
              </w:rPr>
              <w:t>Mencionando que la “</w:t>
            </w:r>
            <w:r w:rsidRPr="00FE2EF4">
              <w:rPr>
                <w:rFonts w:cs="Arial"/>
                <w:i/>
                <w:iCs/>
                <w:sz w:val="22"/>
                <w:szCs w:val="20"/>
                <w:lang w:eastAsia="en-US"/>
              </w:rPr>
              <w:t>premisa fue el de recuperar la experiencia y conocimiento, por lo que en primera estancia se consideró la recontratación de la ciudadanía</w:t>
            </w:r>
            <w:r>
              <w:rPr>
                <w:rFonts w:cs="Arial"/>
                <w:sz w:val="22"/>
                <w:szCs w:val="20"/>
                <w:lang w:val="es-MX" w:eastAsia="en-US"/>
              </w:rPr>
              <w:t>”</w:t>
            </w:r>
            <w:r w:rsidR="00877CCF">
              <w:rPr>
                <w:rFonts w:cs="Arial"/>
                <w:sz w:val="22"/>
                <w:szCs w:val="20"/>
                <w:lang w:val="es-MX" w:eastAsia="en-US"/>
              </w:rPr>
              <w:t xml:space="preserve"> </w:t>
            </w:r>
          </w:p>
        </w:tc>
      </w:tr>
    </w:tbl>
    <w:p w14:paraId="29265CFB" w14:textId="77777777" w:rsidR="0057572D" w:rsidRDefault="0057572D" w:rsidP="00D354EA">
      <w:pPr>
        <w:rPr>
          <w:rFonts w:cs="Arial"/>
          <w:lang w:val="es-MX" w:eastAsia="en-US"/>
        </w:rPr>
      </w:pPr>
    </w:p>
    <w:p w14:paraId="3C03924A" w14:textId="77777777" w:rsidR="0057572D" w:rsidRDefault="0057572D" w:rsidP="00D354EA">
      <w:pPr>
        <w:rPr>
          <w:rFonts w:cs="Arial"/>
          <w:lang w:val="es-MX" w:eastAsia="en-US"/>
        </w:rPr>
      </w:pPr>
    </w:p>
    <w:p w14:paraId="2CBF8329" w14:textId="77777777" w:rsidR="0057572D" w:rsidRDefault="0057572D" w:rsidP="00D354EA">
      <w:pPr>
        <w:rPr>
          <w:rFonts w:cs="Arial"/>
          <w:lang w:val="es-MX" w:eastAsia="en-US"/>
        </w:rPr>
      </w:pPr>
    </w:p>
    <w:p w14:paraId="04A1ACF1" w14:textId="65A7EF5A" w:rsidR="0057572D" w:rsidRDefault="00F23043" w:rsidP="00D354EA">
      <w:pPr>
        <w:rPr>
          <w:rFonts w:cs="Arial"/>
          <w:lang w:val="es-MX" w:eastAsia="en-US"/>
        </w:rPr>
      </w:pPr>
      <w:r>
        <w:rPr>
          <w:rFonts w:cs="Arial"/>
          <w:lang w:val="es-MX" w:eastAsia="en-US"/>
        </w:rPr>
        <w:t>Conforme a lo anterior y como se analizó el Sujeto Obligado, dio respuesta a ambos cuestionamientos e inclusive manifestando la liga electrónica y haciendo llegar las convocatorias correspondientes.</w:t>
      </w:r>
    </w:p>
    <w:p w14:paraId="31AE61CA" w14:textId="7127B76B" w:rsidR="00F23043" w:rsidRDefault="00F23043" w:rsidP="00D354EA">
      <w:pPr>
        <w:rPr>
          <w:rFonts w:cs="Arial"/>
          <w:lang w:val="es-MX" w:eastAsia="en-US"/>
        </w:rPr>
      </w:pPr>
      <w:r>
        <w:rPr>
          <w:rFonts w:cs="Arial"/>
          <w:lang w:val="es-MX" w:eastAsia="en-US"/>
        </w:rPr>
        <w:t xml:space="preserve">Particularmente del punto dos, materia de la controversia, se le hizo del </w:t>
      </w:r>
      <w:r w:rsidR="006C1D6D">
        <w:rPr>
          <w:rFonts w:cs="Arial"/>
          <w:lang w:val="es-MX" w:eastAsia="en-US"/>
        </w:rPr>
        <w:t>conocimiento</w:t>
      </w:r>
      <w:r>
        <w:rPr>
          <w:rFonts w:cs="Arial"/>
          <w:lang w:val="es-MX" w:eastAsia="en-US"/>
        </w:rPr>
        <w:t xml:space="preserve"> al Recurrente, la mecánica para llevar a cabo el procedo de contratación y de selección del personal SEL y CAEL, que interviniera en esta jornada extraordinaria electoral 2025, del Estado de México</w:t>
      </w:r>
      <w:r w:rsidR="006C1D6D">
        <w:rPr>
          <w:rFonts w:cs="Arial"/>
          <w:lang w:val="es-MX" w:eastAsia="en-US"/>
        </w:rPr>
        <w:t>.</w:t>
      </w:r>
    </w:p>
    <w:p w14:paraId="77C2B8A5" w14:textId="77777777" w:rsidR="006C1D6D" w:rsidRDefault="006C1D6D" w:rsidP="00D354EA">
      <w:pPr>
        <w:rPr>
          <w:rFonts w:cs="Arial"/>
          <w:lang w:val="es-MX" w:eastAsia="en-US"/>
        </w:rPr>
      </w:pPr>
    </w:p>
    <w:p w14:paraId="3A61855F" w14:textId="77777777" w:rsidR="005061DB" w:rsidRDefault="006C1D6D" w:rsidP="00D354EA">
      <w:pPr>
        <w:rPr>
          <w:rFonts w:cs="Arial"/>
          <w:lang w:val="es-MX" w:eastAsia="en-US"/>
        </w:rPr>
      </w:pPr>
      <w:r>
        <w:rPr>
          <w:rFonts w:cs="Arial"/>
          <w:lang w:val="es-MX" w:eastAsia="en-US"/>
        </w:rPr>
        <w:t>Cabe mencionar que los Sujetos Obligados, en materia de transparencia y del acceso a la información pública no se encuentran compelidos a realizar procesamiento</w:t>
      </w:r>
      <w:r w:rsidR="005061DB">
        <w:rPr>
          <w:rFonts w:cs="Arial"/>
          <w:lang w:val="es-MX" w:eastAsia="en-US"/>
        </w:rPr>
        <w:t xml:space="preserve"> </w:t>
      </w:r>
      <w:r>
        <w:rPr>
          <w:rFonts w:cs="Arial"/>
          <w:lang w:val="es-MX" w:eastAsia="en-US"/>
        </w:rPr>
        <w:t xml:space="preserve">de la información, ni responder preguntas que no </w:t>
      </w:r>
      <w:r w:rsidR="005061DB">
        <w:rPr>
          <w:rFonts w:cs="Arial"/>
          <w:lang w:val="es-MX" w:eastAsia="en-US"/>
        </w:rPr>
        <w:t xml:space="preserve">involucren expresión documental, tales como cuestionamientos e inquietudes. </w:t>
      </w:r>
    </w:p>
    <w:p w14:paraId="0984BE8B" w14:textId="77777777" w:rsidR="005061DB" w:rsidRDefault="005061DB" w:rsidP="00D354EA">
      <w:pPr>
        <w:rPr>
          <w:rFonts w:cs="Arial"/>
          <w:lang w:val="es-MX" w:eastAsia="en-US"/>
        </w:rPr>
      </w:pPr>
    </w:p>
    <w:p w14:paraId="0FDC7061" w14:textId="77777777" w:rsidR="005061DB" w:rsidRDefault="005061DB" w:rsidP="00D354EA">
      <w:pPr>
        <w:rPr>
          <w:rFonts w:cs="Arial"/>
          <w:lang w:val="es-MX" w:eastAsia="en-US"/>
        </w:rPr>
      </w:pPr>
      <w:r>
        <w:rPr>
          <w:rFonts w:cs="Arial"/>
          <w:lang w:val="es-MX" w:eastAsia="en-US"/>
        </w:rPr>
        <w:t>Aunado a lo anterior, se le respondió y la información fue ratificada con el informe Justificado.</w:t>
      </w:r>
    </w:p>
    <w:p w14:paraId="420C5667" w14:textId="77777777" w:rsidR="005061DB" w:rsidRDefault="005061DB" w:rsidP="00D354EA">
      <w:pPr>
        <w:rPr>
          <w:rFonts w:cs="Arial"/>
          <w:lang w:val="es-MX" w:eastAsia="en-US"/>
        </w:rPr>
      </w:pPr>
    </w:p>
    <w:p w14:paraId="51E48D4B" w14:textId="77777777" w:rsidR="00366A09" w:rsidRPr="00366A09" w:rsidRDefault="005061DB" w:rsidP="00366A09">
      <w:pPr>
        <w:rPr>
          <w:rFonts w:cs="Arial"/>
          <w:lang w:eastAsia="en-US"/>
        </w:rPr>
      </w:pPr>
      <w:r>
        <w:rPr>
          <w:rFonts w:cs="Arial"/>
          <w:lang w:val="es-MX" w:eastAsia="en-US"/>
        </w:rPr>
        <w:t xml:space="preserve"> </w:t>
      </w:r>
      <w:r w:rsidR="006C1D6D">
        <w:rPr>
          <w:rFonts w:cs="Arial"/>
          <w:lang w:val="es-MX" w:eastAsia="en-US"/>
        </w:rPr>
        <w:t xml:space="preserve"> </w:t>
      </w:r>
      <w:r w:rsidR="00366A09" w:rsidRPr="00366A09">
        <w:rPr>
          <w:rFonts w:cs="Arial"/>
          <w:lang w:eastAsia="en-US"/>
        </w:rPr>
        <w:t>Así también, se dispone que</w:t>
      </w:r>
      <w:r w:rsidR="00366A09" w:rsidRPr="00366A09">
        <w:rPr>
          <w:rFonts w:cs="Times New Roman"/>
          <w:lang w:eastAsia="en-US"/>
        </w:rPr>
        <w:t xml:space="preserve"> </w:t>
      </w:r>
      <w:r w:rsidR="00366A09" w:rsidRPr="00366A09">
        <w:rPr>
          <w:rFonts w:cs="Arial"/>
          <w:lang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80D50AF" w14:textId="77777777" w:rsidR="00366A09" w:rsidRPr="00366A09" w:rsidRDefault="00366A09" w:rsidP="00366A09">
      <w:pPr>
        <w:rPr>
          <w:rFonts w:cs="Arial"/>
          <w:lang w:eastAsia="en-US"/>
        </w:rPr>
      </w:pPr>
    </w:p>
    <w:p w14:paraId="41DD2CA1" w14:textId="77777777" w:rsidR="00366A09" w:rsidRPr="00366A09" w:rsidRDefault="00366A09" w:rsidP="00366A09">
      <w:pPr>
        <w:rPr>
          <w:rFonts w:cs="Arial"/>
          <w:lang w:eastAsia="en-US"/>
        </w:rPr>
      </w:pPr>
      <w:r w:rsidRPr="00366A09">
        <w:rPr>
          <w:rFonts w:cs="Arial"/>
          <w:lang w:eastAsia="en-US"/>
        </w:rPr>
        <w:t xml:space="preserve">En este contexto, </w:t>
      </w:r>
      <w:r w:rsidRPr="00366A09">
        <w:rPr>
          <w:rFonts w:cs="Arial"/>
        </w:rPr>
        <w:t xml:space="preserve">el </w:t>
      </w:r>
      <w:r w:rsidRPr="00366A09">
        <w:rPr>
          <w:rFonts w:cs="Arial"/>
          <w:b/>
        </w:rPr>
        <w:t>Sujeto Obligado</w:t>
      </w:r>
      <w:r w:rsidRPr="00366A09">
        <w:rPr>
          <w:rFonts w:cs="Arial"/>
          <w:lang w:eastAsia="en-US"/>
        </w:rPr>
        <w:t xml:space="preserve"> no está obligado a generar documento </w:t>
      </w:r>
      <w:r w:rsidRPr="00366A09">
        <w:rPr>
          <w:rFonts w:cs="Arial"/>
          <w:b/>
          <w:i/>
          <w:lang w:eastAsia="en-US"/>
        </w:rPr>
        <w:t>ad hoc</w:t>
      </w:r>
      <w:r w:rsidRPr="00366A09">
        <w:rPr>
          <w:rFonts w:cs="Arial"/>
          <w:lang w:eastAsia="en-US"/>
        </w:rPr>
        <w:t xml:space="preserve"> para para satisfacer el derecho de acceso, situación que no está permitida dentro de la materia de acceso a la información.</w:t>
      </w:r>
    </w:p>
    <w:p w14:paraId="5D05FB45" w14:textId="77777777" w:rsidR="00366A09" w:rsidRPr="00366A09" w:rsidRDefault="00366A09" w:rsidP="00366A09">
      <w:pPr>
        <w:spacing w:before="240" w:after="240"/>
        <w:rPr>
          <w:rFonts w:cs="Arial"/>
          <w:sz w:val="2"/>
          <w:lang w:eastAsia="en-US"/>
        </w:rPr>
      </w:pPr>
    </w:p>
    <w:p w14:paraId="49857DA7" w14:textId="77777777" w:rsidR="00366A09" w:rsidRPr="00366A09" w:rsidRDefault="00366A09" w:rsidP="00366A09">
      <w:pPr>
        <w:spacing w:after="160"/>
        <w:rPr>
          <w:rFonts w:cs="Times New Roman"/>
          <w:b/>
          <w:bCs/>
          <w:color w:val="000000"/>
          <w:lang w:eastAsia="en-US"/>
        </w:rPr>
      </w:pPr>
      <w:r w:rsidRPr="00366A09">
        <w:rPr>
          <w:rFonts w:cs="Arial"/>
          <w:color w:val="000000"/>
          <w:lang w:eastAsia="en-US"/>
        </w:rPr>
        <w:t xml:space="preserve">Como apoyo a lo anterior, es aplicable el Criterio 03-17, emitido por </w:t>
      </w:r>
      <w:r w:rsidRPr="00366A09">
        <w:rPr>
          <w:rFonts w:eastAsia="Arial Unicode MS" w:cs="Arial"/>
          <w:color w:val="000000"/>
          <w:lang w:eastAsia="en-US"/>
        </w:rPr>
        <w:t>el entonces Instituto Nacional de Transparencia, Acceso a la Información y Protección de Datos Personales,</w:t>
      </w:r>
      <w:r w:rsidRPr="00366A09">
        <w:rPr>
          <w:rFonts w:cs="Times New Roman"/>
          <w:bCs/>
          <w:color w:val="000000"/>
          <w:lang w:eastAsia="en-US"/>
        </w:rPr>
        <w:t xml:space="preserve"> que dice:</w:t>
      </w:r>
      <w:r w:rsidRPr="00366A09">
        <w:rPr>
          <w:rFonts w:cs="Times New Roman"/>
          <w:b/>
          <w:bCs/>
          <w:color w:val="000000"/>
          <w:lang w:eastAsia="en-US"/>
        </w:rPr>
        <w:t xml:space="preserve"> </w:t>
      </w:r>
    </w:p>
    <w:p w14:paraId="2132459D" w14:textId="77777777" w:rsidR="00366A09" w:rsidRPr="00366A09" w:rsidRDefault="00366A09" w:rsidP="00366A09">
      <w:pPr>
        <w:spacing w:after="160" w:line="256" w:lineRule="auto"/>
        <w:ind w:left="851" w:right="850"/>
        <w:rPr>
          <w:rFonts w:cs="Arial"/>
          <w:color w:val="000000"/>
          <w:sz w:val="2"/>
          <w:lang w:eastAsia="en-US"/>
        </w:rPr>
      </w:pPr>
    </w:p>
    <w:p w14:paraId="20A558A0" w14:textId="77777777" w:rsidR="00366A09" w:rsidRPr="00366A09" w:rsidRDefault="00366A09" w:rsidP="00366A09">
      <w:pPr>
        <w:spacing w:after="160" w:line="256" w:lineRule="auto"/>
        <w:ind w:left="851" w:right="901"/>
        <w:rPr>
          <w:rFonts w:cs="Arial"/>
          <w:i/>
          <w:color w:val="000000"/>
          <w:sz w:val="22"/>
          <w:lang w:eastAsia="en-US"/>
        </w:rPr>
      </w:pPr>
      <w:r w:rsidRPr="00366A09">
        <w:rPr>
          <w:rFonts w:cs="Arial"/>
          <w:i/>
          <w:color w:val="000000"/>
          <w:sz w:val="22"/>
          <w:lang w:eastAsia="en-US"/>
        </w:rPr>
        <w:t>“</w:t>
      </w:r>
      <w:r w:rsidRPr="00366A09">
        <w:rPr>
          <w:rFonts w:cs="Arial"/>
          <w:b/>
          <w:i/>
          <w:color w:val="000000"/>
          <w:sz w:val="22"/>
          <w:lang w:eastAsia="en-US"/>
        </w:rPr>
        <w:t>No existe obligación de elaborar documentos ad hoc para atender las solicitudes de acceso a la información.</w:t>
      </w:r>
      <w:r w:rsidRPr="00366A09">
        <w:rPr>
          <w:rFonts w:cs="Arial"/>
          <w:i/>
          <w:color w:val="000000"/>
          <w:sz w:val="22"/>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245BBA2" w14:textId="77777777" w:rsidR="00366A09" w:rsidRPr="00366A09" w:rsidRDefault="00366A09" w:rsidP="00366A09">
      <w:pPr>
        <w:spacing w:after="160" w:line="256" w:lineRule="auto"/>
        <w:ind w:left="851" w:right="901"/>
        <w:rPr>
          <w:rFonts w:cs="Arial"/>
          <w:i/>
          <w:color w:val="000000"/>
          <w:sz w:val="2"/>
          <w:lang w:eastAsia="en-US"/>
        </w:rPr>
      </w:pPr>
    </w:p>
    <w:p w14:paraId="483BF098" w14:textId="77777777" w:rsidR="00366A09" w:rsidRPr="00366A09" w:rsidRDefault="00366A09" w:rsidP="00366A09">
      <w:pPr>
        <w:spacing w:after="160" w:line="256" w:lineRule="auto"/>
        <w:ind w:left="851" w:right="901"/>
        <w:rPr>
          <w:rFonts w:cs="Arial"/>
          <w:i/>
          <w:color w:val="000000"/>
          <w:sz w:val="20"/>
          <w:lang w:eastAsia="en-US"/>
        </w:rPr>
      </w:pPr>
      <w:r w:rsidRPr="00366A09">
        <w:rPr>
          <w:rFonts w:cs="Arial"/>
          <w:i/>
          <w:color w:val="000000"/>
          <w:sz w:val="20"/>
          <w:lang w:eastAsia="en-US"/>
        </w:rPr>
        <w:t xml:space="preserve">Resoluciones: </w:t>
      </w:r>
    </w:p>
    <w:p w14:paraId="3E89E0A5" w14:textId="77777777" w:rsidR="00366A09" w:rsidRPr="00366A09" w:rsidRDefault="00366A09" w:rsidP="00366A09">
      <w:pPr>
        <w:spacing w:after="160" w:line="256" w:lineRule="auto"/>
        <w:ind w:left="851" w:right="901"/>
        <w:rPr>
          <w:rFonts w:cs="Arial"/>
          <w:i/>
          <w:color w:val="000000"/>
          <w:sz w:val="20"/>
          <w:lang w:eastAsia="en-US"/>
        </w:rPr>
      </w:pPr>
      <w:r w:rsidRPr="00366A09">
        <w:rPr>
          <w:rFonts w:cs="Arial"/>
          <w:i/>
          <w:color w:val="000000"/>
          <w:sz w:val="20"/>
          <w:lang w:eastAsia="en-US"/>
        </w:rPr>
        <w:sym w:font="Symbol" w:char="F0B7"/>
      </w:r>
      <w:r w:rsidRPr="00366A09">
        <w:rPr>
          <w:rFonts w:cs="Arial"/>
          <w:i/>
          <w:color w:val="000000"/>
          <w:sz w:val="20"/>
          <w:lang w:eastAsia="en-US"/>
        </w:rPr>
        <w:t xml:space="preserve"> RRA 0050/16. Instituto Nacional para la Evaluación de la Educación. 13 julio de 2016. Por unanimidad. Comisionado Ponente: Francisco Javier Acuña Llamas.</w:t>
      </w:r>
    </w:p>
    <w:p w14:paraId="4A7BFA39" w14:textId="77777777" w:rsidR="00366A09" w:rsidRPr="00366A09" w:rsidRDefault="00366A09" w:rsidP="00366A09">
      <w:pPr>
        <w:spacing w:after="160" w:line="256" w:lineRule="auto"/>
        <w:ind w:left="851" w:right="901"/>
        <w:rPr>
          <w:rFonts w:cs="Arial"/>
          <w:i/>
          <w:color w:val="000000"/>
          <w:sz w:val="20"/>
          <w:lang w:eastAsia="en-US"/>
        </w:rPr>
      </w:pPr>
      <w:r w:rsidRPr="00366A09">
        <w:rPr>
          <w:rFonts w:cs="Arial"/>
          <w:i/>
          <w:color w:val="000000"/>
          <w:sz w:val="20"/>
          <w:lang w:eastAsia="en-US"/>
        </w:rPr>
        <w:sym w:font="Symbol" w:char="F0B7"/>
      </w:r>
      <w:r w:rsidRPr="00366A09">
        <w:rPr>
          <w:rFonts w:cs="Arial"/>
          <w:i/>
          <w:color w:val="000000"/>
          <w:sz w:val="20"/>
          <w:lang w:eastAsia="en-US"/>
        </w:rPr>
        <w:t xml:space="preserve"> RRA 0310/16. Instituto Nacional de Transparencia, Acceso a la Información y Protección de Datos Personales. 10 de agosto de 2016. Por unanimidad. Comisionada Ponente. Areli Cano Guadiana. </w:t>
      </w:r>
    </w:p>
    <w:p w14:paraId="113B4636" w14:textId="77777777" w:rsidR="00366A09" w:rsidRPr="00366A09" w:rsidRDefault="00366A09" w:rsidP="00366A09">
      <w:pPr>
        <w:spacing w:after="160" w:line="256" w:lineRule="auto"/>
        <w:ind w:left="851" w:right="901"/>
        <w:rPr>
          <w:rFonts w:cs="Arial"/>
          <w:i/>
          <w:color w:val="000000"/>
          <w:sz w:val="20"/>
          <w:lang w:eastAsia="en-US"/>
        </w:rPr>
      </w:pPr>
      <w:r w:rsidRPr="00366A09">
        <w:rPr>
          <w:rFonts w:cs="Arial"/>
          <w:i/>
          <w:color w:val="000000"/>
          <w:sz w:val="20"/>
          <w:lang w:eastAsia="en-US"/>
        </w:rPr>
        <w:sym w:font="Symbol" w:char="F0B7"/>
      </w:r>
      <w:r w:rsidRPr="00366A09">
        <w:rPr>
          <w:rFonts w:cs="Arial"/>
          <w:i/>
          <w:color w:val="000000"/>
          <w:sz w:val="20"/>
          <w:lang w:eastAsia="en-US"/>
        </w:rPr>
        <w:t xml:space="preserve"> RRA 1889/16. Secretaría de Hacienda y Crédito Público. 05 de octubre de 2016. Por unanimidad. Comisionada Ponente. Ximena Puente de la Mora.”</w:t>
      </w:r>
    </w:p>
    <w:p w14:paraId="2A012F81" w14:textId="77777777" w:rsidR="00366A09" w:rsidRPr="00366A09" w:rsidRDefault="00366A09" w:rsidP="00366A09">
      <w:pPr>
        <w:rPr>
          <w:rFonts w:eastAsiaTheme="minorHAnsi" w:cstheme="minorBidi"/>
          <w:szCs w:val="24"/>
          <w:lang w:eastAsia="en-US"/>
        </w:rPr>
      </w:pPr>
    </w:p>
    <w:p w14:paraId="0A882FF3" w14:textId="77777777" w:rsidR="00366A09" w:rsidRPr="00366A09" w:rsidRDefault="00366A09" w:rsidP="00366A09">
      <w:pPr>
        <w:contextualSpacing/>
        <w:rPr>
          <w:rFonts w:eastAsia="Times New Roman" w:cs="Arial"/>
          <w:color w:val="000000"/>
          <w:szCs w:val="24"/>
          <w:lang w:eastAsia="es-ES"/>
        </w:rPr>
      </w:pPr>
      <w:r w:rsidRPr="00366A09">
        <w:rPr>
          <w:rFonts w:eastAsia="Times New Roman" w:cs="Arial"/>
          <w:color w:val="000000"/>
          <w:szCs w:val="24"/>
          <w:lang w:eastAsia="es-ES"/>
        </w:rPr>
        <w:t xml:space="preserve">En conclusión, le asiste la razón al </w:t>
      </w:r>
      <w:r w:rsidRPr="00366A09">
        <w:rPr>
          <w:rFonts w:eastAsia="Times New Roman" w:cs="Arial"/>
          <w:b/>
          <w:color w:val="000000"/>
          <w:szCs w:val="24"/>
          <w:lang w:eastAsia="es-ES"/>
        </w:rPr>
        <w:t>Sujeto Obligado</w:t>
      </w:r>
      <w:r w:rsidRPr="00366A09">
        <w:rPr>
          <w:rFonts w:eastAsia="Times New Roman" w:cs="Arial"/>
          <w:color w:val="000000"/>
          <w:szCs w:val="24"/>
          <w:lang w:eastAsia="es-ES"/>
        </w:rPr>
        <w:t xml:space="preserve"> porque al informar </w:t>
      </w:r>
      <w:r w:rsidRPr="00366A09">
        <w:rPr>
          <w:rFonts w:eastAsiaTheme="minorHAnsi" w:cstheme="minorBidi"/>
          <w:szCs w:val="24"/>
          <w:lang w:eastAsia="en-US"/>
        </w:rPr>
        <w:t>que lo requerido no se había generado administrado o poseído</w:t>
      </w:r>
      <w:r w:rsidRPr="00366A09">
        <w:rPr>
          <w:rFonts w:eastAsia="Times New Roman" w:cs="Arial"/>
          <w:color w:val="000000"/>
          <w:szCs w:val="24"/>
          <w:lang w:eastAsia="es-ES"/>
        </w:rPr>
        <w:t>, y al no existir obligación en materia de transparencia que lo constriña a poseer o generar dichos documentos a la fecha de la solicitud, como se estipuló anteriormente, resultan infundadas las razones o motivos de inconformidad vertidos por el particular.</w:t>
      </w:r>
    </w:p>
    <w:p w14:paraId="25A426B7" w14:textId="77777777" w:rsidR="00366A09" w:rsidRPr="00366A09" w:rsidRDefault="00366A09" w:rsidP="00366A09">
      <w:pPr>
        <w:contextualSpacing/>
        <w:rPr>
          <w:rFonts w:eastAsia="Times New Roman" w:cs="Arial"/>
          <w:color w:val="000000"/>
          <w:szCs w:val="24"/>
          <w:lang w:eastAsia="es-ES"/>
        </w:rPr>
      </w:pPr>
    </w:p>
    <w:p w14:paraId="256DFF1E" w14:textId="79C6563E" w:rsidR="00366A09" w:rsidRPr="00366A09" w:rsidRDefault="00366A09" w:rsidP="00366A09">
      <w:pPr>
        <w:rPr>
          <w:rFonts w:eastAsiaTheme="minorHAnsi" w:cstheme="minorBidi"/>
          <w:szCs w:val="24"/>
          <w:lang w:eastAsia="en-US"/>
        </w:rPr>
      </w:pPr>
      <w:r w:rsidRPr="00366A09">
        <w:rPr>
          <w:rFonts w:eastAsiaTheme="minorHAnsi" w:cstheme="minorBidi"/>
          <w:szCs w:val="24"/>
          <w:lang w:eastAsia="en-US"/>
        </w:rPr>
        <w:t xml:space="preserve">Así, en mérito de lo expuesto en líneas anteriores </w:t>
      </w:r>
      <w:r w:rsidRPr="00366A09">
        <w:rPr>
          <w:rFonts w:eastAsiaTheme="minorHAnsi" w:cstheme="minorBidi"/>
          <w:noProof/>
          <w:szCs w:val="24"/>
        </w:rPr>
        <w:t xml:space="preserve">resultan infundadas las razones o motivos de inconformidad que arguye el Recurrente; </w:t>
      </w:r>
      <w:r w:rsidRPr="00366A09">
        <w:rPr>
          <w:rFonts w:eastAsiaTheme="minorHAnsi" w:cstheme="minorBidi"/>
          <w:szCs w:val="24"/>
          <w:lang w:eastAsia="en-US"/>
        </w:rPr>
        <w:t xml:space="preserve">por ello, con fundamento en el artículo 186 fracción II de la Ley de Transparencia y Acceso a la Información Pública del Estado de México y Municipios, se </w:t>
      </w:r>
      <w:r w:rsidRPr="00366A09">
        <w:rPr>
          <w:rFonts w:eastAsiaTheme="minorHAnsi" w:cstheme="minorBidi"/>
          <w:b/>
          <w:szCs w:val="24"/>
          <w:lang w:eastAsia="en-US"/>
        </w:rPr>
        <w:t>CONFIRMA</w:t>
      </w:r>
      <w:r w:rsidRPr="00366A09">
        <w:rPr>
          <w:rFonts w:eastAsiaTheme="minorHAnsi" w:cstheme="minorBidi"/>
          <w:szCs w:val="24"/>
          <w:lang w:eastAsia="en-US"/>
        </w:rPr>
        <w:t xml:space="preserve"> la respuesta a la solicitud de información pública </w:t>
      </w:r>
      <w:r w:rsidR="00874B0A" w:rsidRPr="00874B0A">
        <w:rPr>
          <w:rFonts w:eastAsiaTheme="minorHAnsi" w:cstheme="minorBidi"/>
          <w:b/>
          <w:bCs/>
          <w:szCs w:val="24"/>
          <w:lang w:eastAsia="en-US"/>
        </w:rPr>
        <w:t>00766/IEEM/IP/2025</w:t>
      </w:r>
      <w:r w:rsidRPr="00366A09">
        <w:rPr>
          <w:rFonts w:eastAsiaTheme="minorHAnsi" w:cstheme="minorBidi"/>
          <w:b/>
          <w:bCs/>
          <w:szCs w:val="24"/>
          <w:lang w:eastAsia="en-US"/>
        </w:rPr>
        <w:t xml:space="preserve"> </w:t>
      </w:r>
      <w:r w:rsidRPr="00366A09">
        <w:rPr>
          <w:rFonts w:eastAsiaTheme="minorHAnsi" w:cstheme="minorBidi"/>
          <w:bCs/>
          <w:szCs w:val="24"/>
          <w:lang w:eastAsia="en-US"/>
        </w:rPr>
        <w:t>que ha sido materia del presente fallo</w:t>
      </w:r>
      <w:r w:rsidRPr="00366A09">
        <w:rPr>
          <w:rFonts w:eastAsiaTheme="minorHAnsi" w:cstheme="minorBidi"/>
          <w:szCs w:val="24"/>
          <w:lang w:eastAsia="en-US"/>
        </w:rPr>
        <w:t>, por lo que este Pleno:</w:t>
      </w:r>
    </w:p>
    <w:p w14:paraId="07E0E410" w14:textId="77777777" w:rsidR="00366A09" w:rsidRPr="00366A09" w:rsidRDefault="00366A09" w:rsidP="00366A09">
      <w:pPr>
        <w:jc w:val="left"/>
        <w:rPr>
          <w:rFonts w:eastAsiaTheme="minorHAnsi" w:cstheme="minorBidi"/>
          <w:b/>
          <w:sz w:val="28"/>
          <w:szCs w:val="28"/>
          <w:lang w:eastAsia="en-US"/>
        </w:rPr>
      </w:pPr>
    </w:p>
    <w:p w14:paraId="5999FC33" w14:textId="77777777" w:rsidR="00366A09" w:rsidRPr="00366A09" w:rsidRDefault="00366A09" w:rsidP="00366A09">
      <w:pPr>
        <w:jc w:val="center"/>
        <w:rPr>
          <w:rFonts w:eastAsiaTheme="minorHAnsi" w:cstheme="minorBidi"/>
          <w:b/>
          <w:sz w:val="28"/>
          <w:szCs w:val="28"/>
          <w:lang w:eastAsia="en-US"/>
        </w:rPr>
      </w:pPr>
      <w:r w:rsidRPr="00366A09">
        <w:rPr>
          <w:rFonts w:eastAsiaTheme="minorHAnsi" w:cstheme="minorBidi"/>
          <w:b/>
          <w:sz w:val="28"/>
          <w:szCs w:val="28"/>
          <w:lang w:eastAsia="en-US"/>
        </w:rPr>
        <w:t>R E S U E L V E</w:t>
      </w:r>
    </w:p>
    <w:p w14:paraId="036D07D3" w14:textId="77777777" w:rsidR="00366A09" w:rsidRPr="00366A09" w:rsidRDefault="00366A09" w:rsidP="00366A09">
      <w:pPr>
        <w:rPr>
          <w:rFonts w:eastAsiaTheme="minorHAnsi" w:cstheme="minorBidi"/>
          <w:b/>
          <w:sz w:val="2"/>
          <w:szCs w:val="24"/>
          <w:lang w:eastAsia="en-US"/>
        </w:rPr>
      </w:pPr>
    </w:p>
    <w:p w14:paraId="08D1CE39" w14:textId="173E788F" w:rsidR="00366A09" w:rsidRPr="00366A09" w:rsidRDefault="00366A09" w:rsidP="00366A09">
      <w:pPr>
        <w:rPr>
          <w:rFonts w:eastAsiaTheme="minorHAnsi" w:cstheme="minorBidi"/>
          <w:szCs w:val="24"/>
          <w:lang w:eastAsia="en-US"/>
        </w:rPr>
      </w:pPr>
      <w:r w:rsidRPr="00366A09">
        <w:rPr>
          <w:rFonts w:eastAsiaTheme="minorHAnsi" w:cstheme="minorBidi"/>
          <w:b/>
          <w:szCs w:val="24"/>
          <w:lang w:eastAsia="en-US"/>
        </w:rPr>
        <w:t xml:space="preserve">PRIMERO. </w:t>
      </w:r>
      <w:r w:rsidRPr="00366A09">
        <w:rPr>
          <w:rFonts w:eastAsiaTheme="minorHAnsi" w:cstheme="minorBidi"/>
          <w:szCs w:val="24"/>
          <w:lang w:eastAsia="en-US"/>
        </w:rPr>
        <w:t xml:space="preserve">Se </w:t>
      </w:r>
      <w:r w:rsidRPr="00366A09">
        <w:rPr>
          <w:rFonts w:eastAsiaTheme="minorHAnsi" w:cstheme="minorBidi"/>
          <w:b/>
          <w:szCs w:val="24"/>
          <w:lang w:eastAsia="en-US"/>
        </w:rPr>
        <w:t>CONFIRMA</w:t>
      </w:r>
      <w:r w:rsidRPr="00366A09">
        <w:rPr>
          <w:rFonts w:eastAsiaTheme="minorHAnsi" w:cstheme="minorBidi"/>
          <w:szCs w:val="24"/>
          <w:lang w:eastAsia="en-US"/>
        </w:rPr>
        <w:t xml:space="preserve"> la respuesta del Sujeto Obligado</w:t>
      </w:r>
      <w:r w:rsidRPr="00366A09">
        <w:rPr>
          <w:rFonts w:eastAsiaTheme="minorHAnsi" w:cstheme="minorBidi"/>
          <w:b/>
          <w:szCs w:val="24"/>
          <w:lang w:eastAsia="en-US"/>
        </w:rPr>
        <w:t xml:space="preserve"> </w:t>
      </w:r>
      <w:r w:rsidRPr="00366A09">
        <w:rPr>
          <w:rFonts w:eastAsiaTheme="minorHAnsi" w:cstheme="minorBidi"/>
          <w:bCs/>
          <w:szCs w:val="24"/>
          <w:lang w:eastAsia="en-US"/>
        </w:rPr>
        <w:t xml:space="preserve">a la solicitud de información </w:t>
      </w:r>
      <w:r w:rsidR="000C7BC4" w:rsidRPr="000C7BC4">
        <w:rPr>
          <w:rFonts w:eastAsiaTheme="minorHAnsi" w:cstheme="minorBidi"/>
          <w:b/>
          <w:bCs/>
          <w:szCs w:val="24"/>
          <w:lang w:eastAsia="en-US"/>
        </w:rPr>
        <w:t>00766/IEEM/IP/2025</w:t>
      </w:r>
      <w:r w:rsidRPr="00366A09">
        <w:rPr>
          <w:rFonts w:eastAsiaTheme="minorHAnsi" w:cstheme="minorBidi"/>
          <w:b/>
          <w:bCs/>
          <w:szCs w:val="24"/>
          <w:lang w:eastAsia="en-US"/>
        </w:rPr>
        <w:t xml:space="preserve"> </w:t>
      </w:r>
      <w:r w:rsidRPr="00366A09">
        <w:rPr>
          <w:rFonts w:eastAsiaTheme="minorHAnsi" w:cstheme="minorBidi"/>
          <w:szCs w:val="24"/>
          <w:lang w:eastAsia="en-US"/>
        </w:rPr>
        <w:t xml:space="preserve">por resultar infundadas las razones o motivos de inconformidad hechos valer por el Recurrente, en términos del Considerando </w:t>
      </w:r>
      <w:r w:rsidRPr="00366A09">
        <w:rPr>
          <w:rFonts w:eastAsiaTheme="minorHAnsi" w:cstheme="minorBidi"/>
          <w:b/>
          <w:szCs w:val="24"/>
          <w:lang w:eastAsia="en-US"/>
        </w:rPr>
        <w:t xml:space="preserve">QUINTO </w:t>
      </w:r>
      <w:r w:rsidRPr="00366A09">
        <w:rPr>
          <w:rFonts w:eastAsiaTheme="minorHAnsi" w:cstheme="minorBidi"/>
          <w:szCs w:val="24"/>
          <w:lang w:eastAsia="en-US"/>
        </w:rPr>
        <w:t>de esta resolución.</w:t>
      </w:r>
    </w:p>
    <w:p w14:paraId="73E10665" w14:textId="77777777" w:rsidR="00366A09" w:rsidRPr="00366A09" w:rsidRDefault="00366A09" w:rsidP="00366A09">
      <w:pPr>
        <w:rPr>
          <w:rFonts w:eastAsiaTheme="minorHAnsi" w:cstheme="minorBidi"/>
          <w:sz w:val="20"/>
          <w:szCs w:val="24"/>
          <w:lang w:eastAsia="en-US"/>
        </w:rPr>
      </w:pPr>
    </w:p>
    <w:p w14:paraId="1ABF388B" w14:textId="77777777" w:rsidR="00366A09" w:rsidRPr="00366A09" w:rsidRDefault="00366A09" w:rsidP="00366A09">
      <w:pPr>
        <w:rPr>
          <w:rFonts w:eastAsiaTheme="minorHAnsi" w:cstheme="minorBidi"/>
          <w:szCs w:val="24"/>
          <w:lang w:eastAsia="en-US"/>
        </w:rPr>
      </w:pPr>
      <w:r w:rsidRPr="00366A09">
        <w:rPr>
          <w:rFonts w:eastAsiaTheme="minorHAnsi" w:cstheme="minorBidi"/>
          <w:b/>
          <w:szCs w:val="24"/>
          <w:lang w:eastAsia="en-US"/>
        </w:rPr>
        <w:t>SEGUNDO.</w:t>
      </w:r>
      <w:r w:rsidRPr="00366A09">
        <w:rPr>
          <w:rFonts w:eastAsiaTheme="minorHAnsi" w:cstheme="minorBidi"/>
          <w:szCs w:val="24"/>
          <w:lang w:eastAsia="en-US"/>
        </w:rPr>
        <w:t xml:space="preserve"> </w:t>
      </w:r>
      <w:r w:rsidRPr="00366A09">
        <w:rPr>
          <w:rFonts w:eastAsiaTheme="minorHAnsi" w:cstheme="minorBidi"/>
          <w:b/>
          <w:szCs w:val="24"/>
          <w:lang w:eastAsia="en-US"/>
        </w:rPr>
        <w:t>NOTIFÍQUESE</w:t>
      </w:r>
      <w:r w:rsidRPr="00366A09">
        <w:rPr>
          <w:rFonts w:eastAsiaTheme="minorHAnsi" w:cstheme="minorBidi"/>
          <w:szCs w:val="24"/>
          <w:lang w:eastAsia="en-US"/>
        </w:rPr>
        <w:t xml:space="preserve"> la presente resolución vía Sistema de Acceso a la Información Mexiquense (</w:t>
      </w:r>
      <w:r w:rsidRPr="00366A09">
        <w:rPr>
          <w:rFonts w:eastAsiaTheme="minorHAnsi" w:cstheme="minorBidi"/>
          <w:b/>
          <w:bCs/>
          <w:szCs w:val="24"/>
          <w:lang w:eastAsia="en-US"/>
        </w:rPr>
        <w:t>SAIMEX</w:t>
      </w:r>
      <w:r w:rsidRPr="00366A09">
        <w:rPr>
          <w:rFonts w:eastAsiaTheme="minorHAnsi" w:cstheme="minorBidi"/>
          <w:szCs w:val="24"/>
          <w:lang w:eastAsia="en-US"/>
        </w:rPr>
        <w:t>) al Titular de la Unidad de Transparencia del Sujeto Obligado.</w:t>
      </w:r>
    </w:p>
    <w:p w14:paraId="34E8FD0C" w14:textId="77777777" w:rsidR="00366A09" w:rsidRPr="00366A09" w:rsidRDefault="00366A09" w:rsidP="00366A09">
      <w:pPr>
        <w:rPr>
          <w:rFonts w:eastAsiaTheme="minorHAnsi" w:cstheme="minorBidi"/>
          <w:szCs w:val="24"/>
          <w:lang w:eastAsia="en-US"/>
        </w:rPr>
      </w:pPr>
    </w:p>
    <w:p w14:paraId="694072F3" w14:textId="77777777" w:rsidR="00366A09" w:rsidRPr="00366A09" w:rsidRDefault="00366A09" w:rsidP="00366A09">
      <w:pPr>
        <w:rPr>
          <w:rFonts w:eastAsiaTheme="minorHAnsi" w:cstheme="minorBidi"/>
          <w:szCs w:val="24"/>
          <w:lang w:eastAsia="en-US"/>
        </w:rPr>
      </w:pPr>
      <w:r w:rsidRPr="00366A09">
        <w:rPr>
          <w:rFonts w:eastAsiaTheme="minorHAnsi" w:cstheme="minorBidi"/>
          <w:b/>
          <w:szCs w:val="24"/>
          <w:lang w:eastAsia="en-US"/>
        </w:rPr>
        <w:t>TERCERO.</w:t>
      </w:r>
      <w:r w:rsidRPr="00366A09">
        <w:rPr>
          <w:rFonts w:eastAsiaTheme="minorHAnsi" w:cstheme="minorBidi"/>
          <w:szCs w:val="24"/>
          <w:lang w:eastAsia="en-US"/>
        </w:rPr>
        <w:t xml:space="preserve"> </w:t>
      </w:r>
      <w:r w:rsidRPr="00366A09">
        <w:rPr>
          <w:rFonts w:eastAsiaTheme="minorHAnsi" w:cstheme="minorBidi"/>
          <w:b/>
          <w:szCs w:val="24"/>
          <w:lang w:eastAsia="en-US"/>
        </w:rPr>
        <w:t>NOTIFÍQUESE</w:t>
      </w:r>
      <w:r w:rsidRPr="00366A09">
        <w:rPr>
          <w:rFonts w:eastAsiaTheme="minorHAnsi" w:cstheme="minorBidi"/>
          <w:szCs w:val="24"/>
          <w:lang w:eastAsia="en-US"/>
        </w:rPr>
        <w:t xml:space="preserve"> al Recurrente</w:t>
      </w:r>
      <w:r w:rsidRPr="00366A09">
        <w:rPr>
          <w:rFonts w:eastAsiaTheme="minorHAnsi" w:cstheme="minorBidi"/>
          <w:b/>
          <w:szCs w:val="24"/>
          <w:lang w:eastAsia="en-US"/>
        </w:rPr>
        <w:t xml:space="preserve"> </w:t>
      </w:r>
      <w:r w:rsidRPr="00366A09">
        <w:rPr>
          <w:rFonts w:eastAsiaTheme="minorHAnsi" w:cstheme="minorBidi"/>
          <w:szCs w:val="24"/>
          <w:lang w:eastAsia="en-US"/>
        </w:rPr>
        <w:t>la presente resolución vía Sistema de Acceso a la Información Mexiquense (</w:t>
      </w:r>
      <w:r w:rsidRPr="00366A09">
        <w:rPr>
          <w:rFonts w:eastAsiaTheme="minorHAnsi" w:cstheme="minorBidi"/>
          <w:b/>
          <w:bCs/>
          <w:szCs w:val="24"/>
          <w:lang w:eastAsia="en-US"/>
        </w:rPr>
        <w:t>SAIMEX</w:t>
      </w:r>
      <w:r w:rsidRPr="00366A09">
        <w:rPr>
          <w:rFonts w:eastAsiaTheme="minorHAnsi" w:cstheme="minorBidi"/>
          <w:szCs w:val="24"/>
          <w:lang w:eastAsia="en-US"/>
        </w:rPr>
        <w:t>)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F1B356F" w14:textId="6886B9F4" w:rsidR="006C1D6D" w:rsidRDefault="006C1D6D" w:rsidP="00D354EA">
      <w:pPr>
        <w:rPr>
          <w:rFonts w:cs="Arial"/>
          <w:lang w:val="es-MX" w:eastAsia="en-US"/>
        </w:rPr>
      </w:pPr>
    </w:p>
    <w:p w14:paraId="20573BFF" w14:textId="538F58E6" w:rsidR="00A970D5" w:rsidRPr="00844A38" w:rsidRDefault="006922F5" w:rsidP="00DC635B">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ASÍ LO RESUELVE, POR </w:t>
      </w:r>
      <w:r w:rsidR="00847E86" w:rsidRPr="00844A38">
        <w:rPr>
          <w:rFonts w:eastAsia="Palatino Linotype" w:cs="Palatino Linotype"/>
          <w:color w:val="000000"/>
          <w:szCs w:val="24"/>
        </w:rPr>
        <w:t>UNANIMIDAD</w:t>
      </w:r>
      <w:r w:rsidRPr="00844A38">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1143F">
        <w:rPr>
          <w:rFonts w:eastAsia="Palatino Linotype" w:cs="Palatino Linotype"/>
          <w:color w:val="000000"/>
          <w:szCs w:val="24"/>
        </w:rPr>
        <w:t xml:space="preserve"> </w:t>
      </w:r>
      <w:r w:rsidR="00727694">
        <w:rPr>
          <w:rFonts w:eastAsia="Palatino Linotype" w:cs="Palatino Linotype"/>
          <w:color w:val="000000"/>
          <w:szCs w:val="24"/>
        </w:rPr>
        <w:t>(</w:t>
      </w:r>
      <w:r w:rsidR="00C1143F">
        <w:rPr>
          <w:rFonts w:eastAsia="Palatino Linotype" w:cs="Palatino Linotype"/>
          <w:color w:val="000000"/>
          <w:szCs w:val="24"/>
        </w:rPr>
        <w:t>AUSENCIA JUSTIFICADA</w:t>
      </w:r>
      <w:r w:rsidR="00727694">
        <w:rPr>
          <w:rFonts w:eastAsia="Palatino Linotype" w:cs="Palatino Linotype"/>
          <w:color w:val="000000"/>
          <w:szCs w:val="24"/>
        </w:rPr>
        <w:t>)</w:t>
      </w:r>
      <w:r w:rsidRPr="00844A38">
        <w:rPr>
          <w:rFonts w:eastAsia="Palatino Linotype" w:cs="Palatino Linotype"/>
          <w:color w:val="000000"/>
          <w:szCs w:val="24"/>
        </w:rPr>
        <w:t>, LUIS GUSTAVO PARRA NORIEGA</w:t>
      </w:r>
      <w:r w:rsidR="00844A38">
        <w:rPr>
          <w:rFonts w:eastAsia="Palatino Linotype" w:cs="Palatino Linotype"/>
          <w:color w:val="000000"/>
          <w:szCs w:val="24"/>
        </w:rPr>
        <w:t xml:space="preserve"> </w:t>
      </w:r>
      <w:r w:rsidRPr="00844A38">
        <w:rPr>
          <w:rFonts w:eastAsia="Palatino Linotype" w:cs="Palatino Linotype"/>
          <w:color w:val="000000"/>
          <w:szCs w:val="24"/>
        </w:rPr>
        <w:t>Y GUADALUPE RAM</w:t>
      </w:r>
      <w:r w:rsidR="00DC635B" w:rsidRPr="00844A38">
        <w:rPr>
          <w:rFonts w:eastAsia="Palatino Linotype" w:cs="Palatino Linotype"/>
          <w:color w:val="000000"/>
          <w:szCs w:val="24"/>
        </w:rPr>
        <w:t xml:space="preserve">ÍREZ PEÑA, EN LA </w:t>
      </w:r>
      <w:r w:rsidR="00033DCD">
        <w:rPr>
          <w:rFonts w:eastAsia="Palatino Linotype" w:cs="Palatino Linotype"/>
          <w:color w:val="000000"/>
          <w:szCs w:val="24"/>
        </w:rPr>
        <w:t xml:space="preserve">TRIGÉSIMA </w:t>
      </w:r>
      <w:r w:rsidR="00446B1D">
        <w:rPr>
          <w:rFonts w:eastAsia="Palatino Linotype" w:cs="Palatino Linotype"/>
          <w:color w:val="000000"/>
          <w:szCs w:val="24"/>
        </w:rPr>
        <w:t>TERCERA</w:t>
      </w:r>
      <w:r w:rsidRPr="00844A38">
        <w:rPr>
          <w:rFonts w:eastAsia="Palatino Linotype" w:cs="Palatino Linotype"/>
          <w:color w:val="000000"/>
          <w:szCs w:val="24"/>
        </w:rPr>
        <w:t xml:space="preserve"> SESIÓN ORDINARIA C</w:t>
      </w:r>
      <w:r w:rsidR="00DC635B" w:rsidRPr="00844A38">
        <w:rPr>
          <w:rFonts w:eastAsia="Palatino Linotype" w:cs="Palatino Linotype"/>
          <w:color w:val="000000"/>
          <w:szCs w:val="24"/>
        </w:rPr>
        <w:t>ELEBRADA</w:t>
      </w:r>
      <w:r w:rsidR="00847E86" w:rsidRPr="00844A38">
        <w:rPr>
          <w:rFonts w:eastAsia="Palatino Linotype" w:cs="Palatino Linotype"/>
          <w:color w:val="000000"/>
          <w:szCs w:val="24"/>
        </w:rPr>
        <w:t xml:space="preserve"> EL </w:t>
      </w:r>
      <w:r w:rsidR="00446B1D">
        <w:rPr>
          <w:rFonts w:eastAsia="Palatino Linotype" w:cs="Palatino Linotype"/>
          <w:color w:val="000000"/>
          <w:szCs w:val="24"/>
        </w:rPr>
        <w:t>DIECIOCHO</w:t>
      </w:r>
      <w:r w:rsidR="00033DCD">
        <w:rPr>
          <w:rFonts w:eastAsia="Palatino Linotype" w:cs="Palatino Linotype"/>
          <w:color w:val="000000"/>
          <w:szCs w:val="24"/>
        </w:rPr>
        <w:t xml:space="preserve"> DE SEPTIEMBRE</w:t>
      </w:r>
      <w:r w:rsidR="00317EBE" w:rsidRPr="00844A38">
        <w:rPr>
          <w:rFonts w:eastAsia="Palatino Linotype" w:cs="Palatino Linotype"/>
          <w:color w:val="000000"/>
          <w:szCs w:val="24"/>
        </w:rPr>
        <w:t xml:space="preserve"> DE DOS MIL VEINTICINCO</w:t>
      </w:r>
      <w:r w:rsidRPr="00844A38">
        <w:rPr>
          <w:rFonts w:eastAsia="Palatino Linotype" w:cs="Palatino Linotype"/>
          <w:color w:val="000000"/>
          <w:szCs w:val="24"/>
        </w:rPr>
        <w:t>, ANTE EL SECRETARIO TÉCNICO DEL PLENO, ALEXIS TAPIA RAMÍREZ</w:t>
      </w:r>
      <w:r w:rsidR="00BC76CB" w:rsidRPr="00844A38">
        <w:rPr>
          <w:rFonts w:eastAsia="Palatino Linotype" w:cs="Palatino Linotype"/>
          <w:color w:val="000000"/>
          <w:szCs w:val="24"/>
        </w:rPr>
        <w:t>.</w:t>
      </w:r>
      <w:r w:rsidR="000B7EFF" w:rsidRPr="00844A38">
        <w:rPr>
          <w:rFonts w:eastAsia="Palatino Linotype" w:cs="Palatino Linotype"/>
          <w:color w:val="000000"/>
          <w:szCs w:val="24"/>
        </w:rPr>
        <w:t>-----------------------</w:t>
      </w:r>
      <w:r w:rsidR="003D6195" w:rsidRPr="00844A38">
        <w:rPr>
          <w:rFonts w:eastAsia="Palatino Linotype" w:cs="Palatino Linotype"/>
          <w:color w:val="000000"/>
          <w:szCs w:val="24"/>
        </w:rPr>
        <w:t>------------------------------------------------------------------------------------------------------------------------------------------------------------</w:t>
      </w:r>
      <w:r w:rsidR="009B644E" w:rsidRPr="00844A38">
        <w:rPr>
          <w:rFonts w:eastAsia="Palatino Linotype" w:cs="Palatino Linotype"/>
          <w:color w:val="000000"/>
          <w:szCs w:val="24"/>
        </w:rPr>
        <w:t>-------------------------------------</w:t>
      </w:r>
      <w:r w:rsidR="00837F7C" w:rsidRPr="00844A38">
        <w:rPr>
          <w:rFonts w:eastAsia="Palatino Linotype" w:cs="Palatino Linotype"/>
          <w:color w:val="000000"/>
          <w:szCs w:val="24"/>
        </w:rPr>
        <w:t>--------------------------------------------------------------------------------------------------------------------------------------------------------------------------------------------------------------------------------------------------------------------------------------------------------------------------------------------------------------------------------------------------------------------------------------------------------------------------------------------------------------------</w:t>
      </w:r>
      <w:r w:rsidR="00F34D59" w:rsidRPr="00844A38">
        <w:rPr>
          <w:rFonts w:eastAsia="Palatino Linotype" w:cs="Palatino Linotype"/>
          <w:color w:val="000000"/>
          <w:szCs w:val="24"/>
        </w:rPr>
        <w:t>------------------------------------------------------------------------------</w:t>
      </w:r>
      <w:r w:rsidR="00033DCD">
        <w:rPr>
          <w:rFonts w:eastAsia="Palatino Linotype" w:cs="Palatino Linotype"/>
          <w:color w:val="000000"/>
          <w:szCs w:val="24"/>
        </w:rPr>
        <w:t>----------------------------------------------------------------------------------------------</w:t>
      </w:r>
      <w:r w:rsidR="00727694" w:rsidRPr="00727694">
        <w:rPr>
          <w:rFonts w:cs="Arial"/>
        </w:rPr>
        <w:t xml:space="preserve"> </w:t>
      </w:r>
      <w:r w:rsidR="00727694">
        <w:rPr>
          <w:rFonts w:cs="Arial"/>
        </w:rPr>
        <w:t>---------------------------------------------------------------------------------------------------------------------------------------------------------------------------------------------------------------------------------------------------------------------------------------------------------------------------------------------------------------</w:t>
      </w:r>
    </w:p>
    <w:p w14:paraId="5FBC6CA4" w14:textId="66E5AD94" w:rsidR="00A970D5" w:rsidRPr="004B7011" w:rsidRDefault="00F5387C" w:rsidP="00BC76CB">
      <w:pPr>
        <w:pBdr>
          <w:top w:val="nil"/>
          <w:left w:val="nil"/>
          <w:bottom w:val="nil"/>
          <w:right w:val="nil"/>
          <w:between w:val="nil"/>
        </w:pBdr>
        <w:spacing w:line="240" w:lineRule="auto"/>
        <w:contextualSpacing/>
        <w:rPr>
          <w:rFonts w:eastAsia="Palatino Linotype" w:cs="Palatino Linotype"/>
          <w:color w:val="000000"/>
          <w:sz w:val="20"/>
          <w:szCs w:val="20"/>
        </w:rPr>
      </w:pPr>
      <w:r w:rsidRPr="00844A38">
        <w:rPr>
          <w:rFonts w:eastAsia="Palatino Linotype" w:cs="Palatino Linotype"/>
          <w:color w:val="000000"/>
          <w:sz w:val="20"/>
          <w:szCs w:val="20"/>
        </w:rPr>
        <w:t>JMV/CCR/</w:t>
      </w:r>
      <w:r w:rsidR="00874B0A">
        <w:rPr>
          <w:rFonts w:eastAsia="Palatino Linotype" w:cs="Palatino Linotype"/>
          <w:color w:val="000000"/>
          <w:sz w:val="20"/>
          <w:szCs w:val="20"/>
        </w:rPr>
        <w:t>IKDF</w:t>
      </w: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21"/>
      <w:headerReference w:type="default" r:id="rId22"/>
      <w:footerReference w:type="default" r:id="rId23"/>
      <w:headerReference w:type="first" r:id="rId24"/>
      <w:footerReference w:type="first" r:id="rId2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A4A6E" w14:textId="77777777" w:rsidR="00C601DB" w:rsidRDefault="00C601DB" w:rsidP="00F2498E">
      <w:pPr>
        <w:spacing w:line="240" w:lineRule="auto"/>
      </w:pPr>
      <w:r>
        <w:separator/>
      </w:r>
    </w:p>
  </w:endnote>
  <w:endnote w:type="continuationSeparator" w:id="0">
    <w:p w14:paraId="2651B4DA" w14:textId="77777777" w:rsidR="00C601DB" w:rsidRDefault="00C601DB" w:rsidP="00F2498E">
      <w:pPr>
        <w:spacing w:line="240" w:lineRule="auto"/>
      </w:pPr>
      <w:r>
        <w:continuationSeparator/>
      </w:r>
    </w:p>
  </w:endnote>
  <w:endnote w:type="continuationNotice" w:id="1">
    <w:p w14:paraId="6D3AF426" w14:textId="77777777" w:rsidR="00C601DB" w:rsidRDefault="00C601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Liberation Serif">
    <w:altName w:val="Times New Roman"/>
    <w:charset w:val="01"/>
    <w:family w:val="roman"/>
    <w:pitch w:val="variable"/>
  </w:font>
  <w:font w:name="Lohit Hindi">
    <w:altName w:val="Times New Roman"/>
    <w:panose1 w:val="00000000000000000000"/>
    <w:charset w:val="00"/>
    <w:family w:val="roman"/>
    <w:notTrueType/>
    <w:pitch w:val="default"/>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08BE82DD" w:rsidR="009743E0" w:rsidRPr="00871A91" w:rsidRDefault="009743E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13E9D">
      <w:rPr>
        <w:rFonts w:ascii="Palatino Linotype" w:hAnsi="Palatino Linotype"/>
        <w:b/>
        <w:bCs/>
        <w:noProof/>
        <w:sz w:val="20"/>
      </w:rPr>
      <w:t>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13E9D">
      <w:rPr>
        <w:rFonts w:ascii="Palatino Linotype" w:hAnsi="Palatino Linotype"/>
        <w:b/>
        <w:bCs/>
        <w:noProof/>
        <w:sz w:val="20"/>
      </w:rPr>
      <w:t>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12107A0A" w:rsidR="009743E0" w:rsidRPr="00871A91" w:rsidRDefault="009743E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13E9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13E9D">
      <w:rPr>
        <w:rFonts w:ascii="Palatino Linotype" w:hAnsi="Palatino Linotype"/>
        <w:b/>
        <w:bCs/>
        <w:noProof/>
        <w:sz w:val="20"/>
      </w:rPr>
      <w:t>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39AD3" w14:textId="77777777" w:rsidR="00C601DB" w:rsidRDefault="00C601DB" w:rsidP="00F2498E">
      <w:pPr>
        <w:spacing w:line="240" w:lineRule="auto"/>
      </w:pPr>
      <w:r>
        <w:separator/>
      </w:r>
    </w:p>
  </w:footnote>
  <w:footnote w:type="continuationSeparator" w:id="0">
    <w:p w14:paraId="7EB57A15" w14:textId="77777777" w:rsidR="00C601DB" w:rsidRDefault="00C601DB" w:rsidP="00F2498E">
      <w:pPr>
        <w:spacing w:line="240" w:lineRule="auto"/>
      </w:pPr>
      <w:r>
        <w:continuationSeparator/>
      </w:r>
    </w:p>
  </w:footnote>
  <w:footnote w:type="continuationNotice" w:id="1">
    <w:p w14:paraId="50343970" w14:textId="77777777" w:rsidR="00C601DB" w:rsidRDefault="00C601DB">
      <w:pPr>
        <w:spacing w:line="240" w:lineRule="auto"/>
      </w:pPr>
    </w:p>
  </w:footnote>
  <w:footnote w:id="2">
    <w:p w14:paraId="43C603C4" w14:textId="77777777" w:rsidR="009743E0" w:rsidRDefault="009743E0"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9743E0" w:rsidRDefault="009743E0"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9743E0" w:rsidRDefault="009743E0"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9743E0" w:rsidRDefault="009743E0" w:rsidP="00281804">
      <w:pPr>
        <w:spacing w:line="240" w:lineRule="auto"/>
        <w:rPr>
          <w:rFonts w:eastAsia="Palatino Linotype" w:cs="Palatino Linotype"/>
          <w:b/>
          <w:i/>
          <w:sz w:val="20"/>
          <w:szCs w:val="20"/>
        </w:rPr>
      </w:pPr>
    </w:p>
    <w:p w14:paraId="74C3876D" w14:textId="77777777" w:rsidR="009743E0" w:rsidRDefault="009743E0"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D1DA493" w14:textId="5D09608C" w:rsidR="0057572D" w:rsidRPr="0057572D" w:rsidRDefault="0057572D">
      <w:pPr>
        <w:pStyle w:val="Textonotapie"/>
        <w:rPr>
          <w:lang w:val="es-MX"/>
        </w:rPr>
      </w:pPr>
      <w:r>
        <w:rPr>
          <w:rStyle w:val="Refdenotaalpie"/>
        </w:rPr>
        <w:footnoteRef/>
      </w:r>
      <w:r>
        <w:t xml:space="preserve"> </w:t>
      </w:r>
      <w:hyperlink r:id="rId3" w:history="1">
        <w:r w:rsidRPr="00C24973">
          <w:rPr>
            <w:rStyle w:val="Hipervnculo"/>
          </w:rPr>
          <w:t>https://www.ieem.org.mx/eleccion-poder-judicial-2025/sel-cael.html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9743E0" w:rsidRDefault="00E13E9D">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743E0" w:rsidRPr="00B17577" w14:paraId="37B9EBDE" w14:textId="77777777" w:rsidTr="003938ED">
      <w:trPr>
        <w:trHeight w:val="227"/>
      </w:trPr>
      <w:tc>
        <w:tcPr>
          <w:tcW w:w="5103" w:type="dxa"/>
          <w:hideMark/>
        </w:tcPr>
        <w:p w14:paraId="4964FBC5" w14:textId="54CDA645" w:rsidR="009743E0" w:rsidRPr="00096248" w:rsidRDefault="009743E0" w:rsidP="00C57E04">
          <w:pPr>
            <w:ind w:right="69"/>
            <w:jc w:val="right"/>
            <w:rPr>
              <w:rFonts w:cs="Arial"/>
              <w:b/>
              <w:szCs w:val="24"/>
            </w:rPr>
          </w:pPr>
          <w:r w:rsidRPr="00096248">
            <w:rPr>
              <w:rFonts w:cs="Arial"/>
              <w:b/>
              <w:szCs w:val="24"/>
            </w:rPr>
            <w:t>Recurso de Revisión:</w:t>
          </w:r>
        </w:p>
      </w:tc>
      <w:tc>
        <w:tcPr>
          <w:tcW w:w="4395" w:type="dxa"/>
          <w:hideMark/>
        </w:tcPr>
        <w:p w14:paraId="421B9899" w14:textId="3062D1A5" w:rsidR="009743E0" w:rsidRPr="00096248" w:rsidRDefault="009743E0" w:rsidP="00D11C2C">
          <w:pPr>
            <w:ind w:right="71"/>
            <w:jc w:val="right"/>
            <w:rPr>
              <w:rFonts w:cs="Arial"/>
              <w:b/>
              <w:szCs w:val="24"/>
            </w:rPr>
          </w:pPr>
          <w:r w:rsidRPr="00F63A31">
            <w:rPr>
              <w:rFonts w:cs="Arial"/>
              <w:b/>
              <w:bCs/>
              <w:szCs w:val="24"/>
            </w:rPr>
            <w:t>0</w:t>
          </w:r>
          <w:r>
            <w:rPr>
              <w:rFonts w:cs="Arial"/>
              <w:b/>
              <w:bCs/>
              <w:szCs w:val="24"/>
            </w:rPr>
            <w:t>6310</w:t>
          </w:r>
          <w:r w:rsidRPr="00F63A31">
            <w:rPr>
              <w:rFonts w:cs="Arial"/>
              <w:b/>
              <w:bCs/>
              <w:szCs w:val="24"/>
            </w:rPr>
            <w:t>/INFOEM/IP/RR/2025</w:t>
          </w:r>
        </w:p>
      </w:tc>
    </w:tr>
    <w:tr w:rsidR="009743E0" w14:paraId="7591D3C9" w14:textId="77777777" w:rsidTr="003938ED">
      <w:trPr>
        <w:trHeight w:val="242"/>
      </w:trPr>
      <w:tc>
        <w:tcPr>
          <w:tcW w:w="5103" w:type="dxa"/>
          <w:hideMark/>
        </w:tcPr>
        <w:p w14:paraId="729A65A8" w14:textId="77777777" w:rsidR="009743E0" w:rsidRPr="00096248" w:rsidRDefault="009743E0" w:rsidP="00C57E04">
          <w:pPr>
            <w:ind w:right="69"/>
            <w:jc w:val="right"/>
            <w:rPr>
              <w:rFonts w:cs="Arial"/>
              <w:b/>
              <w:szCs w:val="24"/>
            </w:rPr>
          </w:pPr>
          <w:r w:rsidRPr="00096248">
            <w:rPr>
              <w:rFonts w:cs="Arial"/>
              <w:b/>
              <w:szCs w:val="24"/>
            </w:rPr>
            <w:t>Sujeto Obligado:</w:t>
          </w:r>
        </w:p>
      </w:tc>
      <w:tc>
        <w:tcPr>
          <w:tcW w:w="4395" w:type="dxa"/>
          <w:hideMark/>
        </w:tcPr>
        <w:p w14:paraId="283ADF36" w14:textId="789FF6A7" w:rsidR="009743E0" w:rsidRPr="00096248" w:rsidRDefault="009743E0" w:rsidP="00E5413A">
          <w:pPr>
            <w:spacing w:line="240" w:lineRule="auto"/>
            <w:ind w:left="-81" w:right="71"/>
            <w:jc w:val="right"/>
            <w:rPr>
              <w:rFonts w:cs="Arial"/>
              <w:szCs w:val="24"/>
            </w:rPr>
          </w:pPr>
          <w:r w:rsidRPr="00D11C2C">
            <w:rPr>
              <w:rFonts w:cs="Arial"/>
              <w:szCs w:val="24"/>
            </w:rPr>
            <w:t>Instituto Electoral del Estado de México</w:t>
          </w:r>
        </w:p>
      </w:tc>
    </w:tr>
    <w:tr w:rsidR="009743E0" w:rsidRPr="00F63239" w14:paraId="037E914D" w14:textId="77777777" w:rsidTr="003938ED">
      <w:trPr>
        <w:trHeight w:val="342"/>
      </w:trPr>
      <w:tc>
        <w:tcPr>
          <w:tcW w:w="5103" w:type="dxa"/>
          <w:hideMark/>
        </w:tcPr>
        <w:p w14:paraId="7676B68F" w14:textId="64D69EAF" w:rsidR="009743E0" w:rsidRPr="00096248" w:rsidRDefault="009743E0"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9743E0" w:rsidRPr="00096248" w:rsidRDefault="009743E0" w:rsidP="00C57E04">
          <w:pPr>
            <w:ind w:left="-486" w:right="71" w:firstLine="567"/>
            <w:jc w:val="right"/>
            <w:rPr>
              <w:rFonts w:cs="Arial"/>
              <w:szCs w:val="24"/>
            </w:rPr>
          </w:pPr>
          <w:r w:rsidRPr="00096248">
            <w:rPr>
              <w:rFonts w:cs="Arial"/>
              <w:szCs w:val="24"/>
            </w:rPr>
            <w:t>José Martínez Vilchis</w:t>
          </w:r>
        </w:p>
      </w:tc>
    </w:tr>
  </w:tbl>
  <w:p w14:paraId="2998DBFD" w14:textId="25A9F426" w:rsidR="009743E0" w:rsidRPr="00871A91" w:rsidRDefault="00E13E9D">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9743E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743E0" w14:paraId="0F9FE9B6" w14:textId="77777777" w:rsidTr="003938ED">
      <w:trPr>
        <w:trHeight w:val="227"/>
      </w:trPr>
      <w:tc>
        <w:tcPr>
          <w:tcW w:w="5103" w:type="dxa"/>
          <w:hideMark/>
        </w:tcPr>
        <w:p w14:paraId="6D1D9D71" w14:textId="11150E5A" w:rsidR="009743E0" w:rsidRPr="00663A37" w:rsidRDefault="009743E0"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57CA18A" w:rsidR="009743E0" w:rsidRPr="00C81ECD" w:rsidRDefault="009743E0" w:rsidP="00D11C2C">
          <w:pPr>
            <w:spacing w:line="276" w:lineRule="auto"/>
            <w:ind w:left="-486" w:right="68" w:firstLine="558"/>
            <w:jc w:val="right"/>
            <w:rPr>
              <w:rFonts w:cs="Arial"/>
              <w:b/>
              <w:szCs w:val="24"/>
            </w:rPr>
          </w:pPr>
          <w:r w:rsidRPr="00F63A31">
            <w:rPr>
              <w:rFonts w:cs="Arial"/>
              <w:b/>
              <w:bCs/>
              <w:szCs w:val="24"/>
            </w:rPr>
            <w:t>0</w:t>
          </w:r>
          <w:r>
            <w:rPr>
              <w:rFonts w:cs="Arial"/>
              <w:b/>
              <w:bCs/>
              <w:szCs w:val="24"/>
            </w:rPr>
            <w:t>6310</w:t>
          </w:r>
          <w:r w:rsidRPr="00F63A31">
            <w:rPr>
              <w:rFonts w:cs="Arial"/>
              <w:b/>
              <w:bCs/>
              <w:szCs w:val="24"/>
            </w:rPr>
            <w:t>/INFOEM/IP/RR/2025</w:t>
          </w:r>
        </w:p>
      </w:tc>
    </w:tr>
    <w:tr w:rsidR="009743E0" w:rsidRPr="001F57CD" w14:paraId="1377D264" w14:textId="77777777" w:rsidTr="003938ED">
      <w:trPr>
        <w:trHeight w:val="196"/>
      </w:trPr>
      <w:tc>
        <w:tcPr>
          <w:tcW w:w="5103" w:type="dxa"/>
          <w:hideMark/>
        </w:tcPr>
        <w:p w14:paraId="04D597A1" w14:textId="77777777" w:rsidR="009743E0" w:rsidRPr="00663A37" w:rsidRDefault="009743E0"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0C2C5148" w:rsidR="009743E0" w:rsidRPr="00663A37" w:rsidRDefault="00E13E9D" w:rsidP="005B03AE">
          <w:pPr>
            <w:spacing w:line="276" w:lineRule="auto"/>
            <w:ind w:right="68"/>
            <w:jc w:val="right"/>
            <w:rPr>
              <w:rFonts w:cs="Arial"/>
              <w:szCs w:val="24"/>
            </w:rPr>
          </w:pPr>
          <w:r>
            <w:rPr>
              <w:rFonts w:cs="Arial"/>
              <w:szCs w:val="24"/>
            </w:rPr>
            <w:t>XXXX</w:t>
          </w:r>
        </w:p>
      </w:tc>
    </w:tr>
    <w:tr w:rsidR="009743E0" w14:paraId="4DC11993" w14:textId="77777777" w:rsidTr="003938ED">
      <w:trPr>
        <w:trHeight w:val="242"/>
      </w:trPr>
      <w:tc>
        <w:tcPr>
          <w:tcW w:w="5103" w:type="dxa"/>
          <w:hideMark/>
        </w:tcPr>
        <w:p w14:paraId="76CEF1B5" w14:textId="77777777" w:rsidR="009743E0" w:rsidRPr="00663A37" w:rsidRDefault="009743E0"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33FC2B17" w:rsidR="009743E0" w:rsidRPr="00663A37" w:rsidRDefault="009743E0" w:rsidP="005B03AE">
          <w:pPr>
            <w:spacing w:line="276" w:lineRule="auto"/>
            <w:ind w:left="-70" w:right="68"/>
            <w:jc w:val="right"/>
            <w:rPr>
              <w:rFonts w:cs="Arial"/>
              <w:szCs w:val="24"/>
            </w:rPr>
          </w:pPr>
          <w:r w:rsidRPr="00D11C2C">
            <w:rPr>
              <w:rFonts w:cs="Arial"/>
              <w:szCs w:val="24"/>
            </w:rPr>
            <w:t>Instituto Electoral del Estado de México</w:t>
          </w:r>
        </w:p>
      </w:tc>
    </w:tr>
    <w:tr w:rsidR="009743E0" w14:paraId="5C2B511D" w14:textId="77777777" w:rsidTr="003938ED">
      <w:trPr>
        <w:trHeight w:val="342"/>
      </w:trPr>
      <w:tc>
        <w:tcPr>
          <w:tcW w:w="5103" w:type="dxa"/>
          <w:hideMark/>
        </w:tcPr>
        <w:p w14:paraId="03FEF68C" w14:textId="45E91CF4" w:rsidR="009743E0" w:rsidRPr="00663A37" w:rsidRDefault="009743E0"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9743E0" w:rsidRPr="00663A37" w:rsidRDefault="009743E0"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9743E0" w:rsidRPr="00871A91" w:rsidRDefault="00E13E9D">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9743E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DD8A5B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890862"/>
    <w:multiLevelType w:val="hybridMultilevel"/>
    <w:tmpl w:val="4CC22418"/>
    <w:lvl w:ilvl="0" w:tplc="C786134C">
      <w:start w:val="1"/>
      <w:numFmt w:val="upperRoman"/>
      <w:lvlText w:val="%1."/>
      <w:lvlJc w:val="left"/>
      <w:pPr>
        <w:ind w:left="1060" w:hanging="153"/>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4505F"/>
    <w:multiLevelType w:val="multilevel"/>
    <w:tmpl w:val="FFFFFFFF"/>
    <w:lvl w:ilvl="0">
      <w:start w:val="1"/>
      <w:numFmt w:val="lowerLetter"/>
      <w:pStyle w:val="Listaconvietas3"/>
      <w:lvlText w:val="%1)"/>
      <w:lvlJc w:val="left"/>
      <w:pPr>
        <w:ind w:left="1211" w:hanging="360"/>
      </w:pPr>
      <w:rPr>
        <w:rFonts w:cs="Times New Roman"/>
        <w:b/>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A072D2"/>
    <w:multiLevelType w:val="hybridMultilevel"/>
    <w:tmpl w:val="FFFFFFFF"/>
    <w:styleLink w:val="Estiloimportado1"/>
    <w:lvl w:ilvl="0" w:tplc="6AE8E0D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E58419E">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FC8539E">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3C74AAF4">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CC7C3BF0">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A44872C">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373C5808">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9816EAB0">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4F412EE">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2"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A4C5947"/>
    <w:multiLevelType w:val="hybridMultilevel"/>
    <w:tmpl w:val="FFFFFFFF"/>
    <w:lvl w:ilvl="0" w:tplc="64769262">
      <w:start w:val="1"/>
      <w:numFmt w:val="upperRoman"/>
      <w:lvlText w:val="%1."/>
      <w:lvlJc w:val="left"/>
      <w:pPr>
        <w:ind w:left="1422" w:hanging="855"/>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15" w15:restartNumberingAfterBreak="0">
    <w:nsid w:val="2B367F43"/>
    <w:multiLevelType w:val="hybridMultilevel"/>
    <w:tmpl w:val="F9D60D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2EFB024F"/>
    <w:multiLevelType w:val="hybridMultilevel"/>
    <w:tmpl w:val="696E3F44"/>
    <w:lvl w:ilvl="0" w:tplc="212AC7A4">
      <w:start w:val="1"/>
      <w:numFmt w:val="upperRoman"/>
      <w:lvlText w:val="%1."/>
      <w:lvlJc w:val="left"/>
      <w:pPr>
        <w:ind w:left="43" w:firstLine="297"/>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8" w15:restartNumberingAfterBreak="0">
    <w:nsid w:val="32273548"/>
    <w:multiLevelType w:val="hybridMultilevel"/>
    <w:tmpl w:val="FFFFFFFF"/>
    <w:lvl w:ilvl="0" w:tplc="40B4B65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336561CC"/>
    <w:multiLevelType w:val="hybridMultilevel"/>
    <w:tmpl w:val="FFFFFFFF"/>
    <w:styleLink w:val="Estiloimportado2"/>
    <w:lvl w:ilvl="0" w:tplc="82300D4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A960727A">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4D589C78">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2682AF7A">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67FA7FFE">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6FCDF74">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FE5A7246">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C7A20EA">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17069066">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0"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1" w15:restartNumberingAfterBreak="0">
    <w:nsid w:val="36F9336C"/>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3F24E0"/>
    <w:multiLevelType w:val="hybridMultilevel"/>
    <w:tmpl w:val="6330A674"/>
    <w:lvl w:ilvl="0" w:tplc="FFFFFFFF">
      <w:start w:val="1"/>
      <w:numFmt w:val="decimal"/>
      <w:lvlText w:val="%1."/>
      <w:lvlJc w:val="left"/>
      <w:pPr>
        <w:ind w:left="709" w:hanging="425"/>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BA1C0C"/>
    <w:multiLevelType w:val="multilevel"/>
    <w:tmpl w:val="6250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4F0211"/>
    <w:multiLevelType w:val="hybridMultilevel"/>
    <w:tmpl w:val="C6B46B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8D5170"/>
    <w:multiLevelType w:val="multilevel"/>
    <w:tmpl w:val="EFAA14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5D63DDB"/>
    <w:multiLevelType w:val="hybridMultilevel"/>
    <w:tmpl w:val="9730939A"/>
    <w:lvl w:ilvl="0" w:tplc="6C28CA66">
      <w:start w:val="1"/>
      <w:numFmt w:val="upperRoman"/>
      <w:lvlText w:val="%1."/>
      <w:lvlJc w:val="left"/>
      <w:pPr>
        <w:ind w:left="437" w:firstLine="414"/>
      </w:pPr>
      <w:rPr>
        <w:rFonts w:cs="Times New Roman" w:hint="default"/>
      </w:rPr>
    </w:lvl>
    <w:lvl w:ilvl="1" w:tplc="080A0019" w:tentative="1">
      <w:start w:val="1"/>
      <w:numFmt w:val="lowerLetter"/>
      <w:lvlText w:val="%2."/>
      <w:lvlJc w:val="left"/>
      <w:pPr>
        <w:ind w:left="6018" w:hanging="360"/>
      </w:pPr>
      <w:rPr>
        <w:rFonts w:cs="Times New Roman"/>
      </w:rPr>
    </w:lvl>
    <w:lvl w:ilvl="2" w:tplc="080A001B" w:tentative="1">
      <w:start w:val="1"/>
      <w:numFmt w:val="lowerRoman"/>
      <w:lvlText w:val="%3."/>
      <w:lvlJc w:val="right"/>
      <w:pPr>
        <w:ind w:left="6738" w:hanging="180"/>
      </w:pPr>
      <w:rPr>
        <w:rFonts w:cs="Times New Roman"/>
      </w:rPr>
    </w:lvl>
    <w:lvl w:ilvl="3" w:tplc="080A000F" w:tentative="1">
      <w:start w:val="1"/>
      <w:numFmt w:val="decimal"/>
      <w:lvlText w:val="%4."/>
      <w:lvlJc w:val="left"/>
      <w:pPr>
        <w:ind w:left="7458" w:hanging="360"/>
      </w:pPr>
      <w:rPr>
        <w:rFonts w:cs="Times New Roman"/>
      </w:rPr>
    </w:lvl>
    <w:lvl w:ilvl="4" w:tplc="080A0019" w:tentative="1">
      <w:start w:val="1"/>
      <w:numFmt w:val="lowerLetter"/>
      <w:lvlText w:val="%5."/>
      <w:lvlJc w:val="left"/>
      <w:pPr>
        <w:ind w:left="8178" w:hanging="360"/>
      </w:pPr>
      <w:rPr>
        <w:rFonts w:cs="Times New Roman"/>
      </w:rPr>
    </w:lvl>
    <w:lvl w:ilvl="5" w:tplc="080A001B" w:tentative="1">
      <w:start w:val="1"/>
      <w:numFmt w:val="lowerRoman"/>
      <w:lvlText w:val="%6."/>
      <w:lvlJc w:val="right"/>
      <w:pPr>
        <w:ind w:left="8898" w:hanging="180"/>
      </w:pPr>
      <w:rPr>
        <w:rFonts w:cs="Times New Roman"/>
      </w:rPr>
    </w:lvl>
    <w:lvl w:ilvl="6" w:tplc="080A000F" w:tentative="1">
      <w:start w:val="1"/>
      <w:numFmt w:val="decimal"/>
      <w:lvlText w:val="%7."/>
      <w:lvlJc w:val="left"/>
      <w:pPr>
        <w:ind w:left="9618" w:hanging="360"/>
      </w:pPr>
      <w:rPr>
        <w:rFonts w:cs="Times New Roman"/>
      </w:rPr>
    </w:lvl>
    <w:lvl w:ilvl="7" w:tplc="080A0019" w:tentative="1">
      <w:start w:val="1"/>
      <w:numFmt w:val="lowerLetter"/>
      <w:lvlText w:val="%8."/>
      <w:lvlJc w:val="left"/>
      <w:pPr>
        <w:ind w:left="10338" w:hanging="360"/>
      </w:pPr>
      <w:rPr>
        <w:rFonts w:cs="Times New Roman"/>
      </w:rPr>
    </w:lvl>
    <w:lvl w:ilvl="8" w:tplc="080A001B" w:tentative="1">
      <w:start w:val="1"/>
      <w:numFmt w:val="lowerRoman"/>
      <w:lvlText w:val="%9."/>
      <w:lvlJc w:val="right"/>
      <w:pPr>
        <w:ind w:left="11058" w:hanging="180"/>
      </w:pPr>
      <w:rPr>
        <w:rFonts w:cs="Times New Roman"/>
      </w:rPr>
    </w:lvl>
  </w:abstractNum>
  <w:abstractNum w:abstractNumId="2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ABF0CE3"/>
    <w:multiLevelType w:val="hybridMultilevel"/>
    <w:tmpl w:val="6330A674"/>
    <w:lvl w:ilvl="0" w:tplc="AC0E1740">
      <w:start w:val="1"/>
      <w:numFmt w:val="decimal"/>
      <w:lvlText w:val="%1."/>
      <w:lvlJc w:val="left"/>
      <w:pPr>
        <w:ind w:left="709" w:hanging="425"/>
      </w:pPr>
      <w:rPr>
        <w:rFonts w:hint="default"/>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2A5292"/>
    <w:multiLevelType w:val="hybridMultilevel"/>
    <w:tmpl w:val="FFFFFFFF"/>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9108C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6"/>
  </w:num>
  <w:num w:numId="2">
    <w:abstractNumId w:val="8"/>
  </w:num>
  <w:num w:numId="3">
    <w:abstractNumId w:val="28"/>
  </w:num>
  <w:num w:numId="4">
    <w:abstractNumId w:val="10"/>
  </w:num>
  <w:num w:numId="5">
    <w:abstractNumId w:val="32"/>
  </w:num>
  <w:num w:numId="6">
    <w:abstractNumId w:val="3"/>
  </w:num>
  <w:num w:numId="7">
    <w:abstractNumId w:val="30"/>
  </w:num>
  <w:num w:numId="8">
    <w:abstractNumId w:val="7"/>
  </w:num>
  <w:num w:numId="9">
    <w:abstractNumId w:val="1"/>
  </w:num>
  <w:num w:numId="10">
    <w:abstractNumId w:val="13"/>
  </w:num>
  <w:num w:numId="11">
    <w:abstractNumId w:val="16"/>
  </w:num>
  <w:num w:numId="12">
    <w:abstractNumId w:val="35"/>
  </w:num>
  <w:num w:numId="13">
    <w:abstractNumId w:val="29"/>
  </w:num>
  <w:num w:numId="14">
    <w:abstractNumId w:val="34"/>
  </w:num>
  <w:num w:numId="15">
    <w:abstractNumId w:val="5"/>
  </w:num>
  <w:num w:numId="16">
    <w:abstractNumId w:val="33"/>
  </w:num>
  <w:num w:numId="17">
    <w:abstractNumId w:val="4"/>
  </w:num>
  <w:num w:numId="18">
    <w:abstractNumId w:val="6"/>
  </w:num>
  <w:num w:numId="19">
    <w:abstractNumId w:val="27"/>
  </w:num>
  <w:num w:numId="20">
    <w:abstractNumId w:val="17"/>
  </w:num>
  <w:num w:numId="21">
    <w:abstractNumId w:val="2"/>
  </w:num>
  <w:num w:numId="22">
    <w:abstractNumId w:val="25"/>
  </w:num>
  <w:num w:numId="23">
    <w:abstractNumId w:val="12"/>
  </w:num>
  <w:num w:numId="24">
    <w:abstractNumId w:val="0"/>
  </w:num>
  <w:num w:numId="25">
    <w:abstractNumId w:val="19"/>
  </w:num>
  <w:num w:numId="26">
    <w:abstractNumId w:val="11"/>
  </w:num>
  <w:num w:numId="27">
    <w:abstractNumId w:val="18"/>
  </w:num>
  <w:num w:numId="28">
    <w:abstractNumId w:val="31"/>
  </w:num>
  <w:num w:numId="29">
    <w:abstractNumId w:val="21"/>
  </w:num>
  <w:num w:numId="30">
    <w:abstractNumId w:val="20"/>
  </w:num>
  <w:num w:numId="31">
    <w:abstractNumId w:val="36"/>
  </w:num>
  <w:num w:numId="32">
    <w:abstractNumId w:val="9"/>
  </w:num>
  <w:num w:numId="33">
    <w:abstractNumId w:val="14"/>
  </w:num>
  <w:num w:numId="34">
    <w:abstractNumId w:val="15"/>
  </w:num>
  <w:num w:numId="35">
    <w:abstractNumId w:val="24"/>
  </w:num>
  <w:num w:numId="36">
    <w:abstractNumId w:val="23"/>
  </w:num>
  <w:num w:numId="3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17A52"/>
    <w:rsid w:val="000210EC"/>
    <w:rsid w:val="00021122"/>
    <w:rsid w:val="00021165"/>
    <w:rsid w:val="00021A08"/>
    <w:rsid w:val="000221D0"/>
    <w:rsid w:val="00024A6D"/>
    <w:rsid w:val="00025560"/>
    <w:rsid w:val="00026582"/>
    <w:rsid w:val="00031BA3"/>
    <w:rsid w:val="00032C99"/>
    <w:rsid w:val="00033479"/>
    <w:rsid w:val="00033562"/>
    <w:rsid w:val="00033DCD"/>
    <w:rsid w:val="0003521B"/>
    <w:rsid w:val="0003577D"/>
    <w:rsid w:val="00035A01"/>
    <w:rsid w:val="00035A30"/>
    <w:rsid w:val="0003692B"/>
    <w:rsid w:val="00036D5F"/>
    <w:rsid w:val="00036EFC"/>
    <w:rsid w:val="00037322"/>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57E78"/>
    <w:rsid w:val="00060716"/>
    <w:rsid w:val="00061B46"/>
    <w:rsid w:val="00061B8D"/>
    <w:rsid w:val="00061D9B"/>
    <w:rsid w:val="00062180"/>
    <w:rsid w:val="00064854"/>
    <w:rsid w:val="00065463"/>
    <w:rsid w:val="000666B3"/>
    <w:rsid w:val="000676A2"/>
    <w:rsid w:val="0007107B"/>
    <w:rsid w:val="000739AF"/>
    <w:rsid w:val="00075586"/>
    <w:rsid w:val="00075D5E"/>
    <w:rsid w:val="00076332"/>
    <w:rsid w:val="00077A55"/>
    <w:rsid w:val="00077F28"/>
    <w:rsid w:val="000802BA"/>
    <w:rsid w:val="000809CC"/>
    <w:rsid w:val="00082E5D"/>
    <w:rsid w:val="00083498"/>
    <w:rsid w:val="0008496A"/>
    <w:rsid w:val="00085EA2"/>
    <w:rsid w:val="0008628E"/>
    <w:rsid w:val="000864CC"/>
    <w:rsid w:val="0008737D"/>
    <w:rsid w:val="00087AFB"/>
    <w:rsid w:val="00087F54"/>
    <w:rsid w:val="0009020C"/>
    <w:rsid w:val="00090297"/>
    <w:rsid w:val="00090A37"/>
    <w:rsid w:val="0009125D"/>
    <w:rsid w:val="00091DB9"/>
    <w:rsid w:val="00092681"/>
    <w:rsid w:val="00092D82"/>
    <w:rsid w:val="0009320C"/>
    <w:rsid w:val="0009328A"/>
    <w:rsid w:val="0009397B"/>
    <w:rsid w:val="00094B23"/>
    <w:rsid w:val="00094FD7"/>
    <w:rsid w:val="000951B9"/>
    <w:rsid w:val="0009609D"/>
    <w:rsid w:val="00096248"/>
    <w:rsid w:val="00096C52"/>
    <w:rsid w:val="000A00BB"/>
    <w:rsid w:val="000A110B"/>
    <w:rsid w:val="000A1D0D"/>
    <w:rsid w:val="000A1DD0"/>
    <w:rsid w:val="000A2CA6"/>
    <w:rsid w:val="000A2F65"/>
    <w:rsid w:val="000A3F41"/>
    <w:rsid w:val="000A5EA1"/>
    <w:rsid w:val="000B0B4D"/>
    <w:rsid w:val="000B1F27"/>
    <w:rsid w:val="000B2390"/>
    <w:rsid w:val="000B28CF"/>
    <w:rsid w:val="000B2C12"/>
    <w:rsid w:val="000B491D"/>
    <w:rsid w:val="000B51CE"/>
    <w:rsid w:val="000B5608"/>
    <w:rsid w:val="000B65C3"/>
    <w:rsid w:val="000B6947"/>
    <w:rsid w:val="000B7EFF"/>
    <w:rsid w:val="000C0203"/>
    <w:rsid w:val="000C066A"/>
    <w:rsid w:val="000C0E5D"/>
    <w:rsid w:val="000C2D59"/>
    <w:rsid w:val="000C3EBE"/>
    <w:rsid w:val="000C416A"/>
    <w:rsid w:val="000C51AF"/>
    <w:rsid w:val="000C568A"/>
    <w:rsid w:val="000C661C"/>
    <w:rsid w:val="000C7472"/>
    <w:rsid w:val="000C7BC4"/>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4EC0"/>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0018"/>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D7349"/>
    <w:rsid w:val="001E04CC"/>
    <w:rsid w:val="001E1A95"/>
    <w:rsid w:val="001E2186"/>
    <w:rsid w:val="001E21A0"/>
    <w:rsid w:val="001E2646"/>
    <w:rsid w:val="001E3430"/>
    <w:rsid w:val="001E35AE"/>
    <w:rsid w:val="001E4804"/>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222"/>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3EF5"/>
    <w:rsid w:val="00245AC1"/>
    <w:rsid w:val="00246269"/>
    <w:rsid w:val="00247C45"/>
    <w:rsid w:val="002512CD"/>
    <w:rsid w:val="00252443"/>
    <w:rsid w:val="002530AE"/>
    <w:rsid w:val="0025386E"/>
    <w:rsid w:val="00253BE1"/>
    <w:rsid w:val="002547B2"/>
    <w:rsid w:val="0025565C"/>
    <w:rsid w:val="00255FD1"/>
    <w:rsid w:val="00256CE0"/>
    <w:rsid w:val="00260D15"/>
    <w:rsid w:val="00261A13"/>
    <w:rsid w:val="00261E57"/>
    <w:rsid w:val="002629A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01F"/>
    <w:rsid w:val="00297212"/>
    <w:rsid w:val="002972E8"/>
    <w:rsid w:val="00297372"/>
    <w:rsid w:val="002A02E8"/>
    <w:rsid w:val="002A1797"/>
    <w:rsid w:val="002A51B8"/>
    <w:rsid w:val="002A5ADD"/>
    <w:rsid w:val="002A5FDF"/>
    <w:rsid w:val="002A6FCE"/>
    <w:rsid w:val="002A7501"/>
    <w:rsid w:val="002B0EA1"/>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0C81"/>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06628"/>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17EBE"/>
    <w:rsid w:val="00321B9A"/>
    <w:rsid w:val="00324F09"/>
    <w:rsid w:val="00325C6E"/>
    <w:rsid w:val="003265D6"/>
    <w:rsid w:val="003275F8"/>
    <w:rsid w:val="0033070B"/>
    <w:rsid w:val="00331513"/>
    <w:rsid w:val="003338BA"/>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154D"/>
    <w:rsid w:val="00352677"/>
    <w:rsid w:val="0035393E"/>
    <w:rsid w:val="00355981"/>
    <w:rsid w:val="003567CA"/>
    <w:rsid w:val="00360189"/>
    <w:rsid w:val="0036188D"/>
    <w:rsid w:val="00362013"/>
    <w:rsid w:val="0036336C"/>
    <w:rsid w:val="003637A1"/>
    <w:rsid w:val="003647C3"/>
    <w:rsid w:val="00364C0A"/>
    <w:rsid w:val="00366A09"/>
    <w:rsid w:val="003713C2"/>
    <w:rsid w:val="0037172A"/>
    <w:rsid w:val="0037269A"/>
    <w:rsid w:val="00373F5C"/>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4E20"/>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44B6"/>
    <w:rsid w:val="003E44DA"/>
    <w:rsid w:val="003E468A"/>
    <w:rsid w:val="003E4972"/>
    <w:rsid w:val="003E606D"/>
    <w:rsid w:val="003E61A2"/>
    <w:rsid w:val="003E6C77"/>
    <w:rsid w:val="003E6E17"/>
    <w:rsid w:val="003E7594"/>
    <w:rsid w:val="003F2491"/>
    <w:rsid w:val="003F308A"/>
    <w:rsid w:val="003F4582"/>
    <w:rsid w:val="003F4E31"/>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6B1D"/>
    <w:rsid w:val="00447748"/>
    <w:rsid w:val="00447A90"/>
    <w:rsid w:val="00451C0A"/>
    <w:rsid w:val="0045354B"/>
    <w:rsid w:val="00453687"/>
    <w:rsid w:val="004536F3"/>
    <w:rsid w:val="004558BD"/>
    <w:rsid w:val="004570FA"/>
    <w:rsid w:val="004579DC"/>
    <w:rsid w:val="00457FF1"/>
    <w:rsid w:val="00460C5B"/>
    <w:rsid w:val="004615D3"/>
    <w:rsid w:val="0046281E"/>
    <w:rsid w:val="00463909"/>
    <w:rsid w:val="004639C1"/>
    <w:rsid w:val="00464AF4"/>
    <w:rsid w:val="00464D6B"/>
    <w:rsid w:val="00466BEF"/>
    <w:rsid w:val="00467C83"/>
    <w:rsid w:val="004714F1"/>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5A59"/>
    <w:rsid w:val="00487BBD"/>
    <w:rsid w:val="004900E8"/>
    <w:rsid w:val="0049095E"/>
    <w:rsid w:val="0049216F"/>
    <w:rsid w:val="004928F5"/>
    <w:rsid w:val="004933FC"/>
    <w:rsid w:val="00494029"/>
    <w:rsid w:val="004962CD"/>
    <w:rsid w:val="0049648A"/>
    <w:rsid w:val="00497395"/>
    <w:rsid w:val="004A0E7A"/>
    <w:rsid w:val="004A2091"/>
    <w:rsid w:val="004A212C"/>
    <w:rsid w:val="004A29FE"/>
    <w:rsid w:val="004A3000"/>
    <w:rsid w:val="004A4437"/>
    <w:rsid w:val="004A6D54"/>
    <w:rsid w:val="004A6E6E"/>
    <w:rsid w:val="004A7134"/>
    <w:rsid w:val="004A73A1"/>
    <w:rsid w:val="004B0090"/>
    <w:rsid w:val="004B05C6"/>
    <w:rsid w:val="004B1A74"/>
    <w:rsid w:val="004B3514"/>
    <w:rsid w:val="004B37E3"/>
    <w:rsid w:val="004B3867"/>
    <w:rsid w:val="004B3EDF"/>
    <w:rsid w:val="004B6671"/>
    <w:rsid w:val="004B7011"/>
    <w:rsid w:val="004C032B"/>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6B22"/>
    <w:rsid w:val="004C7D54"/>
    <w:rsid w:val="004D069A"/>
    <w:rsid w:val="004D0BD9"/>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5C27"/>
    <w:rsid w:val="005061DB"/>
    <w:rsid w:val="00506DB2"/>
    <w:rsid w:val="00506E0E"/>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947"/>
    <w:rsid w:val="00533D56"/>
    <w:rsid w:val="0053468B"/>
    <w:rsid w:val="00535147"/>
    <w:rsid w:val="00535912"/>
    <w:rsid w:val="005361F3"/>
    <w:rsid w:val="00536373"/>
    <w:rsid w:val="005367E7"/>
    <w:rsid w:val="00540926"/>
    <w:rsid w:val="005412A2"/>
    <w:rsid w:val="00541D2D"/>
    <w:rsid w:val="00542B22"/>
    <w:rsid w:val="00542CDB"/>
    <w:rsid w:val="005432CD"/>
    <w:rsid w:val="00543B51"/>
    <w:rsid w:val="00543B6B"/>
    <w:rsid w:val="00543B75"/>
    <w:rsid w:val="00544041"/>
    <w:rsid w:val="005449D0"/>
    <w:rsid w:val="00550ECE"/>
    <w:rsid w:val="005515F8"/>
    <w:rsid w:val="005532D3"/>
    <w:rsid w:val="00553B9B"/>
    <w:rsid w:val="0055407F"/>
    <w:rsid w:val="005543AF"/>
    <w:rsid w:val="00554BD4"/>
    <w:rsid w:val="0055572B"/>
    <w:rsid w:val="00555CE3"/>
    <w:rsid w:val="0055603D"/>
    <w:rsid w:val="00556978"/>
    <w:rsid w:val="00556E24"/>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0CE3"/>
    <w:rsid w:val="00571527"/>
    <w:rsid w:val="00571CCC"/>
    <w:rsid w:val="00572137"/>
    <w:rsid w:val="005727FC"/>
    <w:rsid w:val="00572C2A"/>
    <w:rsid w:val="00572F6A"/>
    <w:rsid w:val="00573B2C"/>
    <w:rsid w:val="00573B96"/>
    <w:rsid w:val="005742BF"/>
    <w:rsid w:val="00574D31"/>
    <w:rsid w:val="0057572D"/>
    <w:rsid w:val="005807A8"/>
    <w:rsid w:val="00580D15"/>
    <w:rsid w:val="00581A2E"/>
    <w:rsid w:val="00581CDA"/>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4D70"/>
    <w:rsid w:val="005C5501"/>
    <w:rsid w:val="005C5AEA"/>
    <w:rsid w:val="005C629E"/>
    <w:rsid w:val="005C7AFE"/>
    <w:rsid w:val="005D01B4"/>
    <w:rsid w:val="005D10B3"/>
    <w:rsid w:val="005D158D"/>
    <w:rsid w:val="005D1879"/>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4911"/>
    <w:rsid w:val="005E7E9F"/>
    <w:rsid w:val="005F1439"/>
    <w:rsid w:val="005F21B0"/>
    <w:rsid w:val="005F30F1"/>
    <w:rsid w:val="005F3103"/>
    <w:rsid w:val="005F4D3D"/>
    <w:rsid w:val="005F5B10"/>
    <w:rsid w:val="005F6CAB"/>
    <w:rsid w:val="005F70AE"/>
    <w:rsid w:val="005F7F98"/>
    <w:rsid w:val="00600386"/>
    <w:rsid w:val="0060129A"/>
    <w:rsid w:val="0060244C"/>
    <w:rsid w:val="006055AB"/>
    <w:rsid w:val="0060658A"/>
    <w:rsid w:val="00610A95"/>
    <w:rsid w:val="00613401"/>
    <w:rsid w:val="00614724"/>
    <w:rsid w:val="00614A3D"/>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0D19"/>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2CC9"/>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EB0"/>
    <w:rsid w:val="00696FD6"/>
    <w:rsid w:val="006A04A9"/>
    <w:rsid w:val="006A3246"/>
    <w:rsid w:val="006A3A42"/>
    <w:rsid w:val="006A4224"/>
    <w:rsid w:val="006A429E"/>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1D6D"/>
    <w:rsid w:val="006C2214"/>
    <w:rsid w:val="006C2CEF"/>
    <w:rsid w:val="006C372D"/>
    <w:rsid w:val="006C410C"/>
    <w:rsid w:val="006C48DE"/>
    <w:rsid w:val="006C52D3"/>
    <w:rsid w:val="006C55C2"/>
    <w:rsid w:val="006C55D7"/>
    <w:rsid w:val="006C6C41"/>
    <w:rsid w:val="006D1EC8"/>
    <w:rsid w:val="006D2D2B"/>
    <w:rsid w:val="006D3C99"/>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0FAC"/>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27694"/>
    <w:rsid w:val="007314F4"/>
    <w:rsid w:val="007325E0"/>
    <w:rsid w:val="007327E4"/>
    <w:rsid w:val="00732AB3"/>
    <w:rsid w:val="007332CF"/>
    <w:rsid w:val="00733DD1"/>
    <w:rsid w:val="0073486B"/>
    <w:rsid w:val="00734FB5"/>
    <w:rsid w:val="00736F47"/>
    <w:rsid w:val="00736F6B"/>
    <w:rsid w:val="00740ACC"/>
    <w:rsid w:val="00740DFE"/>
    <w:rsid w:val="007410C2"/>
    <w:rsid w:val="007411F0"/>
    <w:rsid w:val="007417B2"/>
    <w:rsid w:val="0074208A"/>
    <w:rsid w:val="0074694A"/>
    <w:rsid w:val="00746DD6"/>
    <w:rsid w:val="00746E60"/>
    <w:rsid w:val="00746FA8"/>
    <w:rsid w:val="007479B5"/>
    <w:rsid w:val="007514FB"/>
    <w:rsid w:val="00752886"/>
    <w:rsid w:val="00752C5E"/>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08F6"/>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4C66"/>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C6EE2"/>
    <w:rsid w:val="007D07B3"/>
    <w:rsid w:val="007D1B1E"/>
    <w:rsid w:val="007D1D80"/>
    <w:rsid w:val="007D2550"/>
    <w:rsid w:val="007D4712"/>
    <w:rsid w:val="007D4AFF"/>
    <w:rsid w:val="007D5D30"/>
    <w:rsid w:val="007D6CF0"/>
    <w:rsid w:val="007D7C88"/>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34C6"/>
    <w:rsid w:val="00824E58"/>
    <w:rsid w:val="008275DC"/>
    <w:rsid w:val="00827D60"/>
    <w:rsid w:val="008302C5"/>
    <w:rsid w:val="0083063D"/>
    <w:rsid w:val="00830D47"/>
    <w:rsid w:val="00831867"/>
    <w:rsid w:val="00831D6C"/>
    <w:rsid w:val="00832F6C"/>
    <w:rsid w:val="008341ED"/>
    <w:rsid w:val="00835466"/>
    <w:rsid w:val="008362CE"/>
    <w:rsid w:val="00837584"/>
    <w:rsid w:val="00837F7C"/>
    <w:rsid w:val="00841673"/>
    <w:rsid w:val="00841963"/>
    <w:rsid w:val="00844A38"/>
    <w:rsid w:val="00845B52"/>
    <w:rsid w:val="00846D3E"/>
    <w:rsid w:val="00846DE7"/>
    <w:rsid w:val="00847780"/>
    <w:rsid w:val="008477B9"/>
    <w:rsid w:val="00847C27"/>
    <w:rsid w:val="00847E86"/>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B0A"/>
    <w:rsid w:val="008755C2"/>
    <w:rsid w:val="00875A6F"/>
    <w:rsid w:val="00877767"/>
    <w:rsid w:val="00877CCF"/>
    <w:rsid w:val="00881947"/>
    <w:rsid w:val="00881D64"/>
    <w:rsid w:val="00882C01"/>
    <w:rsid w:val="00882CC7"/>
    <w:rsid w:val="00882E02"/>
    <w:rsid w:val="00883C16"/>
    <w:rsid w:val="008853EC"/>
    <w:rsid w:val="00885F19"/>
    <w:rsid w:val="00886866"/>
    <w:rsid w:val="00886880"/>
    <w:rsid w:val="0089162F"/>
    <w:rsid w:val="00891CFC"/>
    <w:rsid w:val="00891E79"/>
    <w:rsid w:val="008921AE"/>
    <w:rsid w:val="00895187"/>
    <w:rsid w:val="00895BD3"/>
    <w:rsid w:val="008962F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34F"/>
    <w:rsid w:val="008B389B"/>
    <w:rsid w:val="008B60D9"/>
    <w:rsid w:val="008B646D"/>
    <w:rsid w:val="008B6842"/>
    <w:rsid w:val="008B70C4"/>
    <w:rsid w:val="008B7348"/>
    <w:rsid w:val="008B7F11"/>
    <w:rsid w:val="008C004B"/>
    <w:rsid w:val="008C04D3"/>
    <w:rsid w:val="008C0808"/>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6D6A"/>
    <w:rsid w:val="008F0734"/>
    <w:rsid w:val="008F0C70"/>
    <w:rsid w:val="008F136D"/>
    <w:rsid w:val="008F1C22"/>
    <w:rsid w:val="008F2554"/>
    <w:rsid w:val="008F2C42"/>
    <w:rsid w:val="008F47DC"/>
    <w:rsid w:val="008F635E"/>
    <w:rsid w:val="008F72E3"/>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3F9"/>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0D7"/>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614"/>
    <w:rsid w:val="00971791"/>
    <w:rsid w:val="0097183B"/>
    <w:rsid w:val="00971A30"/>
    <w:rsid w:val="00972340"/>
    <w:rsid w:val="009743E0"/>
    <w:rsid w:val="009752FA"/>
    <w:rsid w:val="00977693"/>
    <w:rsid w:val="00977BB1"/>
    <w:rsid w:val="00977C69"/>
    <w:rsid w:val="00977F54"/>
    <w:rsid w:val="009818E4"/>
    <w:rsid w:val="00982494"/>
    <w:rsid w:val="009845A7"/>
    <w:rsid w:val="009845F3"/>
    <w:rsid w:val="009845FD"/>
    <w:rsid w:val="00985600"/>
    <w:rsid w:val="00986E0B"/>
    <w:rsid w:val="009901D5"/>
    <w:rsid w:val="00990935"/>
    <w:rsid w:val="00990A99"/>
    <w:rsid w:val="00990AFD"/>
    <w:rsid w:val="00991001"/>
    <w:rsid w:val="00991069"/>
    <w:rsid w:val="0099397C"/>
    <w:rsid w:val="00993CD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44E"/>
    <w:rsid w:val="009B69E9"/>
    <w:rsid w:val="009B7FFD"/>
    <w:rsid w:val="009C0279"/>
    <w:rsid w:val="009C21B4"/>
    <w:rsid w:val="009C3225"/>
    <w:rsid w:val="009C3623"/>
    <w:rsid w:val="009C3CB8"/>
    <w:rsid w:val="009C3E2A"/>
    <w:rsid w:val="009C4284"/>
    <w:rsid w:val="009C5DC4"/>
    <w:rsid w:val="009C61A3"/>
    <w:rsid w:val="009C66AA"/>
    <w:rsid w:val="009C6B84"/>
    <w:rsid w:val="009C6E9B"/>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5777"/>
    <w:rsid w:val="009E620D"/>
    <w:rsid w:val="009E7192"/>
    <w:rsid w:val="009E7F49"/>
    <w:rsid w:val="009F0B98"/>
    <w:rsid w:val="009F127C"/>
    <w:rsid w:val="009F1641"/>
    <w:rsid w:val="009F1B49"/>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6BD"/>
    <w:rsid w:val="00A15806"/>
    <w:rsid w:val="00A159DE"/>
    <w:rsid w:val="00A15E74"/>
    <w:rsid w:val="00A15FB5"/>
    <w:rsid w:val="00A164FB"/>
    <w:rsid w:val="00A16BEA"/>
    <w:rsid w:val="00A175E5"/>
    <w:rsid w:val="00A178C0"/>
    <w:rsid w:val="00A17EA1"/>
    <w:rsid w:val="00A17EDF"/>
    <w:rsid w:val="00A215DD"/>
    <w:rsid w:val="00A21746"/>
    <w:rsid w:val="00A23182"/>
    <w:rsid w:val="00A23D65"/>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D74"/>
    <w:rsid w:val="00A67EF4"/>
    <w:rsid w:val="00A71D3C"/>
    <w:rsid w:val="00A73EF9"/>
    <w:rsid w:val="00A74E90"/>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97BB9"/>
    <w:rsid w:val="00AA0B4E"/>
    <w:rsid w:val="00AA1BBB"/>
    <w:rsid w:val="00AA1E74"/>
    <w:rsid w:val="00AA24D2"/>
    <w:rsid w:val="00AA423E"/>
    <w:rsid w:val="00AA48DD"/>
    <w:rsid w:val="00AA7316"/>
    <w:rsid w:val="00AA78CE"/>
    <w:rsid w:val="00AA7B9C"/>
    <w:rsid w:val="00AA7F42"/>
    <w:rsid w:val="00AB0C12"/>
    <w:rsid w:val="00AB0FA7"/>
    <w:rsid w:val="00AB26D5"/>
    <w:rsid w:val="00AB3885"/>
    <w:rsid w:val="00AB4F00"/>
    <w:rsid w:val="00AB5F3B"/>
    <w:rsid w:val="00AC004D"/>
    <w:rsid w:val="00AC09F1"/>
    <w:rsid w:val="00AC1525"/>
    <w:rsid w:val="00AC2BD0"/>
    <w:rsid w:val="00AC38A9"/>
    <w:rsid w:val="00AC4BF6"/>
    <w:rsid w:val="00AC5AF0"/>
    <w:rsid w:val="00AC6797"/>
    <w:rsid w:val="00AC6A7A"/>
    <w:rsid w:val="00AC6F68"/>
    <w:rsid w:val="00AC6FF7"/>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93D"/>
    <w:rsid w:val="00AF6B36"/>
    <w:rsid w:val="00B0036F"/>
    <w:rsid w:val="00B00428"/>
    <w:rsid w:val="00B00C8E"/>
    <w:rsid w:val="00B02AA5"/>
    <w:rsid w:val="00B03E50"/>
    <w:rsid w:val="00B04F50"/>
    <w:rsid w:val="00B05CA6"/>
    <w:rsid w:val="00B1073D"/>
    <w:rsid w:val="00B11CD7"/>
    <w:rsid w:val="00B1205D"/>
    <w:rsid w:val="00B128F0"/>
    <w:rsid w:val="00B13307"/>
    <w:rsid w:val="00B1367C"/>
    <w:rsid w:val="00B13B7B"/>
    <w:rsid w:val="00B15202"/>
    <w:rsid w:val="00B1553A"/>
    <w:rsid w:val="00B1620C"/>
    <w:rsid w:val="00B168DE"/>
    <w:rsid w:val="00B17577"/>
    <w:rsid w:val="00B215EB"/>
    <w:rsid w:val="00B21CD1"/>
    <w:rsid w:val="00B23256"/>
    <w:rsid w:val="00B24CF5"/>
    <w:rsid w:val="00B25334"/>
    <w:rsid w:val="00B253E0"/>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7F9"/>
    <w:rsid w:val="00B40823"/>
    <w:rsid w:val="00B40DF9"/>
    <w:rsid w:val="00B41041"/>
    <w:rsid w:val="00B42083"/>
    <w:rsid w:val="00B42270"/>
    <w:rsid w:val="00B427A9"/>
    <w:rsid w:val="00B43455"/>
    <w:rsid w:val="00B435F8"/>
    <w:rsid w:val="00B4620E"/>
    <w:rsid w:val="00B46CB0"/>
    <w:rsid w:val="00B4725D"/>
    <w:rsid w:val="00B502E1"/>
    <w:rsid w:val="00B52A3F"/>
    <w:rsid w:val="00B539AD"/>
    <w:rsid w:val="00B5462A"/>
    <w:rsid w:val="00B54BC7"/>
    <w:rsid w:val="00B565AE"/>
    <w:rsid w:val="00B566D0"/>
    <w:rsid w:val="00B56C15"/>
    <w:rsid w:val="00B57348"/>
    <w:rsid w:val="00B61E5E"/>
    <w:rsid w:val="00B629EA"/>
    <w:rsid w:val="00B62D2B"/>
    <w:rsid w:val="00B63807"/>
    <w:rsid w:val="00B6426B"/>
    <w:rsid w:val="00B6581C"/>
    <w:rsid w:val="00B65D4D"/>
    <w:rsid w:val="00B66649"/>
    <w:rsid w:val="00B67741"/>
    <w:rsid w:val="00B67DF0"/>
    <w:rsid w:val="00B703D1"/>
    <w:rsid w:val="00B71E31"/>
    <w:rsid w:val="00B720DB"/>
    <w:rsid w:val="00B74B4A"/>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4B37"/>
    <w:rsid w:val="00B9576A"/>
    <w:rsid w:val="00B962BB"/>
    <w:rsid w:val="00BA088E"/>
    <w:rsid w:val="00BA0D83"/>
    <w:rsid w:val="00BA10B4"/>
    <w:rsid w:val="00BA2861"/>
    <w:rsid w:val="00BA3873"/>
    <w:rsid w:val="00BA5930"/>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E7E7F"/>
    <w:rsid w:val="00BF57A2"/>
    <w:rsid w:val="00BF5945"/>
    <w:rsid w:val="00BF5EB0"/>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143F"/>
    <w:rsid w:val="00C134F6"/>
    <w:rsid w:val="00C13C38"/>
    <w:rsid w:val="00C1424F"/>
    <w:rsid w:val="00C14933"/>
    <w:rsid w:val="00C14E0B"/>
    <w:rsid w:val="00C157FC"/>
    <w:rsid w:val="00C200F2"/>
    <w:rsid w:val="00C2027F"/>
    <w:rsid w:val="00C2090B"/>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0C8"/>
    <w:rsid w:val="00C536D2"/>
    <w:rsid w:val="00C54558"/>
    <w:rsid w:val="00C558A4"/>
    <w:rsid w:val="00C559CD"/>
    <w:rsid w:val="00C57E04"/>
    <w:rsid w:val="00C601DB"/>
    <w:rsid w:val="00C61818"/>
    <w:rsid w:val="00C61B06"/>
    <w:rsid w:val="00C61FEC"/>
    <w:rsid w:val="00C62B4F"/>
    <w:rsid w:val="00C62FC2"/>
    <w:rsid w:val="00C65918"/>
    <w:rsid w:val="00C65FA7"/>
    <w:rsid w:val="00C7008E"/>
    <w:rsid w:val="00C71A87"/>
    <w:rsid w:val="00C72F35"/>
    <w:rsid w:val="00C73ED0"/>
    <w:rsid w:val="00C74F2A"/>
    <w:rsid w:val="00C757E8"/>
    <w:rsid w:val="00C76946"/>
    <w:rsid w:val="00C76CD4"/>
    <w:rsid w:val="00C77686"/>
    <w:rsid w:val="00C80B05"/>
    <w:rsid w:val="00C81AD2"/>
    <w:rsid w:val="00C81CD7"/>
    <w:rsid w:val="00C81ECD"/>
    <w:rsid w:val="00C82268"/>
    <w:rsid w:val="00C835F6"/>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38BD"/>
    <w:rsid w:val="00CB3E13"/>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97C"/>
    <w:rsid w:val="00CF6E52"/>
    <w:rsid w:val="00D00B10"/>
    <w:rsid w:val="00D01DCF"/>
    <w:rsid w:val="00D01F15"/>
    <w:rsid w:val="00D02606"/>
    <w:rsid w:val="00D04514"/>
    <w:rsid w:val="00D05D6D"/>
    <w:rsid w:val="00D067C4"/>
    <w:rsid w:val="00D076D9"/>
    <w:rsid w:val="00D11A35"/>
    <w:rsid w:val="00D11C2C"/>
    <w:rsid w:val="00D11E06"/>
    <w:rsid w:val="00D1224D"/>
    <w:rsid w:val="00D1259C"/>
    <w:rsid w:val="00D13846"/>
    <w:rsid w:val="00D14240"/>
    <w:rsid w:val="00D146EB"/>
    <w:rsid w:val="00D15656"/>
    <w:rsid w:val="00D20835"/>
    <w:rsid w:val="00D20902"/>
    <w:rsid w:val="00D20D52"/>
    <w:rsid w:val="00D20EF6"/>
    <w:rsid w:val="00D219AA"/>
    <w:rsid w:val="00D21D01"/>
    <w:rsid w:val="00D2237A"/>
    <w:rsid w:val="00D22D3F"/>
    <w:rsid w:val="00D23BAB"/>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5A0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6F10"/>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0C0A"/>
    <w:rsid w:val="00D81B85"/>
    <w:rsid w:val="00D81EDD"/>
    <w:rsid w:val="00D83C2B"/>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481E"/>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4D25"/>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5D5D"/>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49A"/>
    <w:rsid w:val="00E0480A"/>
    <w:rsid w:val="00E05FCE"/>
    <w:rsid w:val="00E076EA"/>
    <w:rsid w:val="00E0787C"/>
    <w:rsid w:val="00E120FC"/>
    <w:rsid w:val="00E12D07"/>
    <w:rsid w:val="00E13E37"/>
    <w:rsid w:val="00E13E9D"/>
    <w:rsid w:val="00E14BA9"/>
    <w:rsid w:val="00E1701F"/>
    <w:rsid w:val="00E20E9A"/>
    <w:rsid w:val="00E2168A"/>
    <w:rsid w:val="00E22FD4"/>
    <w:rsid w:val="00E23A0E"/>
    <w:rsid w:val="00E23EE3"/>
    <w:rsid w:val="00E245A1"/>
    <w:rsid w:val="00E24831"/>
    <w:rsid w:val="00E25228"/>
    <w:rsid w:val="00E26DFD"/>
    <w:rsid w:val="00E27953"/>
    <w:rsid w:val="00E31001"/>
    <w:rsid w:val="00E314BF"/>
    <w:rsid w:val="00E34A4E"/>
    <w:rsid w:val="00E37872"/>
    <w:rsid w:val="00E378AD"/>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0798"/>
    <w:rsid w:val="00E61239"/>
    <w:rsid w:val="00E62EF4"/>
    <w:rsid w:val="00E632EA"/>
    <w:rsid w:val="00E654A0"/>
    <w:rsid w:val="00E65521"/>
    <w:rsid w:val="00E65D6D"/>
    <w:rsid w:val="00E66BE2"/>
    <w:rsid w:val="00E67455"/>
    <w:rsid w:val="00E67528"/>
    <w:rsid w:val="00E67FF3"/>
    <w:rsid w:val="00E701AC"/>
    <w:rsid w:val="00E719E2"/>
    <w:rsid w:val="00E730F3"/>
    <w:rsid w:val="00E74957"/>
    <w:rsid w:val="00E75036"/>
    <w:rsid w:val="00E75386"/>
    <w:rsid w:val="00E758A1"/>
    <w:rsid w:val="00E75DEB"/>
    <w:rsid w:val="00E76832"/>
    <w:rsid w:val="00E76D1F"/>
    <w:rsid w:val="00E77015"/>
    <w:rsid w:val="00E77017"/>
    <w:rsid w:val="00E77CE9"/>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29F"/>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1F8D"/>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BF7"/>
    <w:rsid w:val="00EF6F58"/>
    <w:rsid w:val="00EF7935"/>
    <w:rsid w:val="00F013BC"/>
    <w:rsid w:val="00F01526"/>
    <w:rsid w:val="00F023A7"/>
    <w:rsid w:val="00F02EDC"/>
    <w:rsid w:val="00F039E2"/>
    <w:rsid w:val="00F04A95"/>
    <w:rsid w:val="00F058D3"/>
    <w:rsid w:val="00F10A38"/>
    <w:rsid w:val="00F1176A"/>
    <w:rsid w:val="00F11FF3"/>
    <w:rsid w:val="00F12BF1"/>
    <w:rsid w:val="00F12F4D"/>
    <w:rsid w:val="00F12FB0"/>
    <w:rsid w:val="00F13A10"/>
    <w:rsid w:val="00F14B80"/>
    <w:rsid w:val="00F15567"/>
    <w:rsid w:val="00F16039"/>
    <w:rsid w:val="00F20491"/>
    <w:rsid w:val="00F206DE"/>
    <w:rsid w:val="00F20DCF"/>
    <w:rsid w:val="00F23043"/>
    <w:rsid w:val="00F23331"/>
    <w:rsid w:val="00F23CF2"/>
    <w:rsid w:val="00F2498E"/>
    <w:rsid w:val="00F249C5"/>
    <w:rsid w:val="00F25865"/>
    <w:rsid w:val="00F270F0"/>
    <w:rsid w:val="00F27DB1"/>
    <w:rsid w:val="00F30FCB"/>
    <w:rsid w:val="00F32A14"/>
    <w:rsid w:val="00F3332A"/>
    <w:rsid w:val="00F34068"/>
    <w:rsid w:val="00F3421F"/>
    <w:rsid w:val="00F34D59"/>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397"/>
    <w:rsid w:val="00F629DD"/>
    <w:rsid w:val="00F62B5A"/>
    <w:rsid w:val="00F63239"/>
    <w:rsid w:val="00F63A31"/>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64DE"/>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5DB2"/>
    <w:rsid w:val="00FB6398"/>
    <w:rsid w:val="00FB6F5A"/>
    <w:rsid w:val="00FC16AB"/>
    <w:rsid w:val="00FC368A"/>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5B94"/>
    <w:rsid w:val="00FD72C2"/>
    <w:rsid w:val="00FD7D51"/>
    <w:rsid w:val="00FE0B52"/>
    <w:rsid w:val="00FE0BED"/>
    <w:rsid w:val="00FE10DF"/>
    <w:rsid w:val="00FE1867"/>
    <w:rsid w:val="00FE26EC"/>
    <w:rsid w:val="00FE2DFF"/>
    <w:rsid w:val="00FE2EF4"/>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B2"/>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uiPriority w:val="99"/>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rsid w:val="00AA7B9C"/>
    <w:rPr>
      <w:rFonts w:eastAsiaTheme="minorEastAsia"/>
      <w:b/>
      <w:bCs/>
      <w:i/>
      <w:iCs/>
      <w:sz w:val="26"/>
      <w:szCs w:val="26"/>
      <w:lang w:val="en-US"/>
    </w:rPr>
  </w:style>
  <w:style w:type="character" w:customStyle="1" w:styleId="Ttulo6Car">
    <w:name w:val="Título 6 Car"/>
    <w:basedOn w:val="Fuentedeprrafopredeter"/>
    <w:link w:val="Ttulo6"/>
    <w:uiPriority w:val="9"/>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character" w:customStyle="1" w:styleId="Mencinsinresolver2">
    <w:name w:val="Mención sin resolver2"/>
    <w:basedOn w:val="Fuentedeprrafopredeter"/>
    <w:uiPriority w:val="99"/>
    <w:semiHidden/>
    <w:unhideWhenUsed/>
    <w:rsid w:val="00A74E90"/>
    <w:rPr>
      <w:color w:val="605E5C"/>
      <w:shd w:val="clear" w:color="auto" w:fill="E1DFDD"/>
    </w:rPr>
  </w:style>
  <w:style w:type="numbering" w:customStyle="1" w:styleId="Sinlista2">
    <w:name w:val="Sin lista2"/>
    <w:next w:val="Sinlista"/>
    <w:uiPriority w:val="99"/>
    <w:semiHidden/>
    <w:unhideWhenUsed/>
    <w:rsid w:val="000809CC"/>
  </w:style>
  <w:style w:type="table" w:customStyle="1" w:styleId="Tablaconcuadrcula2">
    <w:name w:val="Tabla con cuadrícula2"/>
    <w:basedOn w:val="Tablanormal"/>
    <w:next w:val="Tablaconcuadrcula"/>
    <w:uiPriority w:val="39"/>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
    <w:name w:val="Tabla de lista 1 clara - Énfasis 1115"/>
    <w:basedOn w:val="Tablanormal"/>
    <w:next w:val="Tabladelista1clara-nfasis1"/>
    <w:uiPriority w:val="46"/>
    <w:rsid w:val="000809CC"/>
    <w:pPr>
      <w:spacing w:after="0" w:line="240" w:lineRule="auto"/>
    </w:pPr>
    <w:rPr>
      <w:rFonts w:eastAsia="MS Mincho" w:cs="Times New Roman"/>
      <w:sz w:val="24"/>
      <w:szCs w:val="24"/>
      <w:lang w:val="es-ES_tradnl" w:eastAsia="es-ES"/>
    </w:rPr>
    <w:tblPr>
      <w:tblStyleRowBandSize w:val="1"/>
      <w:tblStyleColBandSize w:val="1"/>
    </w:tblPr>
    <w:tblStylePr w:type="firstRow">
      <w:rPr>
        <w:rFonts w:cs="Times New Roman"/>
        <w:b/>
        <w:bCs/>
      </w:rPr>
      <w:tblPr/>
      <w:tcPr>
        <w:tcBorders>
          <w:bottom w:val="single" w:sz="4" w:space="0" w:color="95B3D7"/>
        </w:tcBorders>
      </w:tcPr>
    </w:tblStylePr>
    <w:tblStylePr w:type="lastRow">
      <w:rPr>
        <w:rFonts w:cs="Times New Roman"/>
        <w:b/>
        <w:bCs/>
      </w:rPr>
      <w:tblPr/>
      <w:tcPr>
        <w:tcBorders>
          <w:top w:val="sing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abladelista1clara-nfasis1">
    <w:name w:val="List Table 1 Light Accent 1"/>
    <w:basedOn w:val="Tablanormal"/>
    <w:uiPriority w:val="46"/>
    <w:rsid w:val="000809CC"/>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character" w:styleId="Refdenotaalfinal">
    <w:name w:val="endnote reference"/>
    <w:basedOn w:val="Fuentedeprrafopredeter"/>
    <w:uiPriority w:val="99"/>
    <w:semiHidden/>
    <w:unhideWhenUsed/>
    <w:rsid w:val="000809CC"/>
    <w:rPr>
      <w:rFonts w:cs="Times New Roman"/>
      <w:vertAlign w:val="superscript"/>
    </w:rPr>
  </w:style>
  <w:style w:type="character" w:customStyle="1" w:styleId="TextodegloboCar1">
    <w:name w:val="Texto de globo Car1"/>
    <w:basedOn w:val="Fuentedeprrafopredeter"/>
    <w:uiPriority w:val="99"/>
    <w:semiHidden/>
    <w:rsid w:val="000809CC"/>
    <w:rPr>
      <w:rFonts w:ascii="Segoe UI" w:hAnsi="Segoe UI" w:cs="Segoe UI"/>
      <w:sz w:val="18"/>
      <w:szCs w:val="18"/>
      <w:lang w:val="es-ES_tradnl" w:eastAsia="es-MX"/>
    </w:rPr>
  </w:style>
  <w:style w:type="character" w:customStyle="1" w:styleId="TextodegloboCar12">
    <w:name w:val="Texto de globo Car12"/>
    <w:basedOn w:val="Fuentedeprrafopredeter"/>
    <w:uiPriority w:val="99"/>
    <w:semiHidden/>
    <w:rsid w:val="000809CC"/>
    <w:rPr>
      <w:rFonts w:ascii="Segoe UI" w:hAnsi="Segoe UI" w:cs="Segoe UI"/>
      <w:sz w:val="18"/>
      <w:szCs w:val="18"/>
      <w:lang w:val="es-ES_tradnl" w:eastAsia="es-MX"/>
    </w:rPr>
  </w:style>
  <w:style w:type="character" w:customStyle="1" w:styleId="TextocomentarioCar1">
    <w:name w:val="Texto comentario Car1"/>
    <w:basedOn w:val="Fuentedeprrafopredeter"/>
    <w:uiPriority w:val="99"/>
    <w:semiHidden/>
    <w:rsid w:val="000809CC"/>
    <w:rPr>
      <w:rFonts w:ascii="Times New Roman" w:hAnsi="Times New Roman" w:cs="Times New Roman"/>
      <w:sz w:val="20"/>
      <w:szCs w:val="20"/>
      <w:lang w:val="es-ES_tradnl" w:eastAsia="es-MX"/>
    </w:rPr>
  </w:style>
  <w:style w:type="character" w:customStyle="1" w:styleId="TextocomentarioCar12">
    <w:name w:val="Texto comentario Car12"/>
    <w:basedOn w:val="Fuentedeprrafopredeter"/>
    <w:uiPriority w:val="99"/>
    <w:semiHidden/>
    <w:rsid w:val="000809CC"/>
    <w:rPr>
      <w:rFonts w:ascii="Times New Roman" w:hAnsi="Times New Roman" w:cs="Times New Roman"/>
      <w:sz w:val="20"/>
      <w:szCs w:val="20"/>
      <w:lang w:val="es-ES_tradnl" w:eastAsia="es-MX"/>
    </w:rPr>
  </w:style>
  <w:style w:type="character" w:customStyle="1" w:styleId="AsuntodelcomentarioCar1">
    <w:name w:val="Asunto del comentario Car1"/>
    <w:basedOn w:val="TextocomentarioCar"/>
    <w:uiPriority w:val="99"/>
    <w:semiHidden/>
    <w:rsid w:val="000809CC"/>
    <w:rPr>
      <w:rFonts w:ascii="Times New Roman" w:hAnsi="Times New Roman" w:cs="Times New Roman"/>
      <w:b/>
      <w:bCs/>
      <w:sz w:val="20"/>
      <w:szCs w:val="20"/>
      <w:lang w:val="es-ES_tradnl" w:eastAsia="es-MX"/>
    </w:rPr>
  </w:style>
  <w:style w:type="character" w:customStyle="1" w:styleId="AsuntodelcomentarioCar12">
    <w:name w:val="Asunto del comentario Car12"/>
    <w:basedOn w:val="TextocomentarioCar12"/>
    <w:uiPriority w:val="99"/>
    <w:semiHidden/>
    <w:rsid w:val="000809CC"/>
    <w:rPr>
      <w:rFonts w:ascii="Times New Roman" w:hAnsi="Times New Roman" w:cs="Times New Roman"/>
      <w:b/>
      <w:bCs/>
      <w:sz w:val="20"/>
      <w:szCs w:val="20"/>
      <w:lang w:val="es-ES_tradnl" w:eastAsia="es-MX"/>
    </w:rPr>
  </w:style>
  <w:style w:type="paragraph" w:styleId="Textoindependiente2">
    <w:name w:val="Body Text 2"/>
    <w:basedOn w:val="Normal"/>
    <w:link w:val="Textoindependiente2Car"/>
    <w:uiPriority w:val="99"/>
    <w:unhideWhenUsed/>
    <w:rsid w:val="000809CC"/>
    <w:pPr>
      <w:spacing w:after="120" w:line="480" w:lineRule="auto"/>
      <w:jc w:val="left"/>
    </w:pPr>
    <w:rPr>
      <w:rFonts w:ascii="Times New Roman" w:eastAsia="Times New Roman" w:hAnsi="Times New Roman" w:cs="Times New Roman"/>
      <w:szCs w:val="24"/>
      <w:lang w:val="es-MX"/>
    </w:rPr>
  </w:style>
  <w:style w:type="character" w:customStyle="1" w:styleId="Textoindependiente2Car">
    <w:name w:val="Texto independiente 2 Car"/>
    <w:basedOn w:val="Fuentedeprrafopredeter"/>
    <w:link w:val="Textoindependiente2"/>
    <w:uiPriority w:val="99"/>
    <w:rsid w:val="000809CC"/>
    <w:rPr>
      <w:rFonts w:ascii="Times New Roman" w:eastAsia="Times New Roman" w:hAnsi="Times New Roman" w:cs="Times New Roman"/>
      <w:sz w:val="24"/>
      <w:szCs w:val="24"/>
      <w:lang w:eastAsia="es-MX"/>
    </w:rPr>
  </w:style>
  <w:style w:type="paragraph" w:customStyle="1" w:styleId="Listavistosa-nfasis11">
    <w:name w:val="Lista vistosa - Énfasis 11"/>
    <w:basedOn w:val="Normal"/>
    <w:link w:val="Listavistosa-nfasis1Car"/>
    <w:uiPriority w:val="34"/>
    <w:qFormat/>
    <w:rsid w:val="000809CC"/>
    <w:pPr>
      <w:spacing w:line="240" w:lineRule="auto"/>
      <w:ind w:left="708"/>
      <w:jc w:val="left"/>
    </w:pPr>
    <w:rPr>
      <w:rFonts w:ascii="Times New Roman" w:eastAsia="Times New Roman" w:hAnsi="Times New Roman" w:cs="Times New Roman"/>
      <w:szCs w:val="24"/>
      <w:lang w:val="es-MX"/>
    </w:rPr>
  </w:style>
  <w:style w:type="character" w:customStyle="1" w:styleId="Listavistosa-nfasis1Car">
    <w:name w:val="Lista vistosa - Énfasis 1 Car"/>
    <w:link w:val="Listavistosa-nfasis11"/>
    <w:uiPriority w:val="34"/>
    <w:locked/>
    <w:rsid w:val="000809CC"/>
    <w:rPr>
      <w:rFonts w:ascii="Times New Roman" w:eastAsia="Times New Roman" w:hAnsi="Times New Roman" w:cs="Times New Roman"/>
      <w:sz w:val="24"/>
      <w:szCs w:val="24"/>
      <w:lang w:eastAsia="es-MX"/>
    </w:rPr>
  </w:style>
  <w:style w:type="paragraph" w:customStyle="1" w:styleId="Texto">
    <w:name w:val="Texto"/>
    <w:basedOn w:val="Normal"/>
    <w:link w:val="TextoCar"/>
    <w:qFormat/>
    <w:rsid w:val="000809CC"/>
    <w:pPr>
      <w:spacing w:after="101" w:line="216" w:lineRule="exact"/>
      <w:ind w:firstLine="288"/>
    </w:pPr>
    <w:rPr>
      <w:rFonts w:ascii="Arial" w:eastAsia="Times New Roman" w:hAnsi="Arial" w:cs="Arial"/>
      <w:sz w:val="18"/>
      <w:szCs w:val="18"/>
      <w:lang w:val="es-MX"/>
    </w:rPr>
  </w:style>
  <w:style w:type="paragraph" w:customStyle="1" w:styleId="Standard">
    <w:name w:val="Standard"/>
    <w:rsid w:val="000809CC"/>
    <w:pPr>
      <w:widowControl w:val="0"/>
      <w:suppressAutoHyphens/>
      <w:autoSpaceDN w:val="0"/>
      <w:spacing w:after="0" w:line="240" w:lineRule="auto"/>
      <w:textAlignment w:val="baseline"/>
    </w:pPr>
    <w:rPr>
      <w:rFonts w:ascii="Liberation Serif" w:eastAsia="Times New Roman" w:hAnsi="Liberation Serif" w:cs="Lohit Hindi"/>
      <w:kern w:val="3"/>
      <w:sz w:val="24"/>
      <w:szCs w:val="24"/>
      <w:lang w:eastAsia="zh-CN" w:bidi="hi-IN"/>
    </w:rPr>
  </w:style>
  <w:style w:type="character" w:customStyle="1" w:styleId="negritas1">
    <w:name w:val="negritas1"/>
    <w:rsid w:val="000809CC"/>
    <w:rPr>
      <w:rFonts w:ascii="Arial" w:hAnsi="Arial"/>
      <w:b/>
      <w:sz w:val="18"/>
    </w:rPr>
  </w:style>
  <w:style w:type="paragraph" w:customStyle="1" w:styleId="Pa2">
    <w:name w:val="Pa2"/>
    <w:basedOn w:val="Normal"/>
    <w:next w:val="Normal"/>
    <w:uiPriority w:val="99"/>
    <w:rsid w:val="000809CC"/>
    <w:pPr>
      <w:autoSpaceDE w:val="0"/>
      <w:autoSpaceDN w:val="0"/>
      <w:adjustRightInd w:val="0"/>
      <w:spacing w:line="240" w:lineRule="atLeast"/>
      <w:jc w:val="left"/>
    </w:pPr>
    <w:rPr>
      <w:rFonts w:ascii="Helvetica" w:eastAsia="Times New Roman" w:hAnsi="Helvetica" w:cs="Times New Roman"/>
      <w:szCs w:val="24"/>
      <w:lang w:eastAsia="es-ES_tradnl"/>
    </w:rPr>
  </w:style>
  <w:style w:type="paragraph" w:customStyle="1" w:styleId="q">
    <w:name w:val="q"/>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d">
    <w:name w:val="d"/>
    <w:basedOn w:val="Fuentedeprrafopredeter"/>
    <w:rsid w:val="000809CC"/>
    <w:rPr>
      <w:rFonts w:cs="Times New Roman"/>
    </w:rPr>
  </w:style>
  <w:style w:type="character" w:customStyle="1" w:styleId="b">
    <w:name w:val="b"/>
    <w:basedOn w:val="Fuentedeprrafopredeter"/>
    <w:rsid w:val="000809CC"/>
    <w:rPr>
      <w:rFonts w:cs="Times New Roman"/>
    </w:rPr>
  </w:style>
  <w:style w:type="character" w:customStyle="1" w:styleId="k">
    <w:name w:val="k"/>
    <w:basedOn w:val="Fuentedeprrafopredeter"/>
    <w:rsid w:val="000809CC"/>
    <w:rPr>
      <w:rFonts w:cs="Times New Roman"/>
    </w:rPr>
  </w:style>
  <w:style w:type="character" w:styleId="CitaHTML">
    <w:name w:val="HTML Cite"/>
    <w:basedOn w:val="Fuentedeprrafopredeter"/>
    <w:uiPriority w:val="99"/>
    <w:semiHidden/>
    <w:unhideWhenUsed/>
    <w:rsid w:val="000809CC"/>
    <w:rPr>
      <w:i/>
    </w:rPr>
  </w:style>
  <w:style w:type="paragraph" w:customStyle="1" w:styleId="RSCGnotaalpie">
    <w:name w:val="RSCG nota al pie"/>
    <w:basedOn w:val="Normal"/>
    <w:uiPriority w:val="99"/>
    <w:qFormat/>
    <w:rsid w:val="000809CC"/>
    <w:pPr>
      <w:spacing w:after="120" w:line="240" w:lineRule="auto"/>
    </w:pPr>
    <w:rPr>
      <w:rFonts w:ascii="palatino" w:eastAsia="Times New Roman" w:hAnsi="palatino" w:cs="Times New Roman"/>
      <w:sz w:val="22"/>
      <w:lang w:val="es-MX" w:eastAsia="en-US"/>
    </w:rPr>
  </w:style>
  <w:style w:type="character" w:customStyle="1" w:styleId="lbl-encabezado-blanco2">
    <w:name w:val="lbl-encabezado-blanco2"/>
    <w:rsid w:val="000809CC"/>
    <w:rPr>
      <w:color w:val="FFFFFF"/>
    </w:rPr>
  </w:style>
  <w:style w:type="character" w:customStyle="1" w:styleId="TextoCar">
    <w:name w:val="Texto Car"/>
    <w:link w:val="Texto"/>
    <w:locked/>
    <w:rsid w:val="000809CC"/>
    <w:rPr>
      <w:rFonts w:ascii="Arial" w:eastAsia="Times New Roman" w:hAnsi="Arial" w:cs="Arial"/>
      <w:sz w:val="18"/>
      <w:szCs w:val="18"/>
      <w:lang w:eastAsia="es-MX"/>
    </w:rPr>
  </w:style>
  <w:style w:type="paragraph" w:customStyle="1" w:styleId="ANOTACION">
    <w:name w:val="ANOTACION"/>
    <w:basedOn w:val="Normal"/>
    <w:link w:val="ANOTACIONCar"/>
    <w:rsid w:val="000809CC"/>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809CC"/>
    <w:rPr>
      <w:rFonts w:ascii="Times New Roman" w:eastAsia="Times New Roman" w:hAnsi="Times New Roman" w:cs="Times New Roman"/>
      <w:b/>
      <w:sz w:val="18"/>
      <w:szCs w:val="18"/>
      <w:lang w:eastAsia="es-MX"/>
    </w:rPr>
  </w:style>
  <w:style w:type="paragraph" w:styleId="Bibliografa">
    <w:name w:val="Bibliography"/>
    <w:basedOn w:val="Normal"/>
    <w:next w:val="Normal"/>
    <w:uiPriority w:val="37"/>
    <w:semiHidden/>
    <w:unhideWhenUsed/>
    <w:rsid w:val="000809CC"/>
    <w:pPr>
      <w:spacing w:line="240" w:lineRule="auto"/>
      <w:jc w:val="left"/>
    </w:pPr>
    <w:rPr>
      <w:rFonts w:ascii="Times New Roman" w:eastAsia="Times New Roman" w:hAnsi="Times New Roman" w:cs="Times New Roman"/>
      <w:szCs w:val="24"/>
      <w:lang w:val="es-MX"/>
    </w:rPr>
  </w:style>
  <w:style w:type="paragraph" w:customStyle="1" w:styleId="ROMANOS">
    <w:name w:val="ROMANOS"/>
    <w:basedOn w:val="Normal"/>
    <w:link w:val="ROMANOSCar"/>
    <w:rsid w:val="000809CC"/>
    <w:pPr>
      <w:tabs>
        <w:tab w:val="left" w:pos="720"/>
      </w:tabs>
      <w:spacing w:after="101" w:line="216" w:lineRule="exact"/>
      <w:ind w:left="720" w:hanging="432"/>
    </w:pPr>
    <w:rPr>
      <w:rFonts w:ascii="Arial" w:eastAsia="Times New Roman" w:hAnsi="Arial" w:cs="Arial"/>
      <w:sz w:val="18"/>
      <w:szCs w:val="18"/>
    </w:rPr>
  </w:style>
  <w:style w:type="character" w:customStyle="1" w:styleId="ROMANOSCar">
    <w:name w:val="ROMANOS Car"/>
    <w:link w:val="ROMANOS"/>
    <w:locked/>
    <w:rsid w:val="000809CC"/>
    <w:rPr>
      <w:rFonts w:ascii="Arial" w:eastAsia="Times New Roman" w:hAnsi="Arial" w:cs="Arial"/>
      <w:sz w:val="18"/>
      <w:szCs w:val="18"/>
      <w:lang w:val="es-ES_tradnl" w:eastAsia="es-MX"/>
    </w:rPr>
  </w:style>
  <w:style w:type="character" w:customStyle="1" w:styleId="m1553324590483875794gmail-m8993139698400752374gmail-apple-converted-space">
    <w:name w:val="m_1553324590483875794gmail-m_8993139698400752374gmail-apple-converted-space"/>
    <w:basedOn w:val="Fuentedeprrafopredeter"/>
    <w:rsid w:val="000809CC"/>
    <w:rPr>
      <w:rFonts w:cs="Times New Roman"/>
    </w:rPr>
  </w:style>
  <w:style w:type="character" w:customStyle="1" w:styleId="Ninguno">
    <w:name w:val="Ninguno"/>
    <w:rsid w:val="000809CC"/>
    <w:rPr>
      <w:lang w:val="es-ES_tradnl" w:eastAsia="x-none"/>
    </w:rPr>
  </w:style>
  <w:style w:type="paragraph" w:customStyle="1" w:styleId="Cuerpo">
    <w:name w:val="Cuerpo"/>
    <w:rsid w:val="000809CC"/>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val="de-DE" w:eastAsia="es-ES"/>
    </w:rPr>
  </w:style>
  <w:style w:type="paragraph" w:customStyle="1" w:styleId="INCISO">
    <w:name w:val="INCISO"/>
    <w:basedOn w:val="Normal"/>
    <w:rsid w:val="000809CC"/>
    <w:pPr>
      <w:spacing w:after="101" w:line="216" w:lineRule="exact"/>
      <w:ind w:left="1080" w:hanging="360"/>
    </w:pPr>
    <w:rPr>
      <w:rFonts w:ascii="Arial" w:eastAsia="Times New Roman" w:hAnsi="Arial" w:cs="Arial"/>
      <w:sz w:val="18"/>
      <w:szCs w:val="18"/>
    </w:rPr>
  </w:style>
  <w:style w:type="paragraph" w:customStyle="1" w:styleId="m5212863947045306324gmail-msonormal">
    <w:name w:val="m_5212863947045306324gmail-msonormal"/>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ser-highlighted-active">
    <w:name w:val="user-highlighted-active"/>
    <w:basedOn w:val="Fuentedeprrafopredeter"/>
    <w:rsid w:val="000809CC"/>
    <w:rPr>
      <w:rFonts w:cs="Times New Roman"/>
    </w:rPr>
  </w:style>
  <w:style w:type="paragraph" w:styleId="Lista">
    <w:name w:val="List"/>
    <w:basedOn w:val="Normal"/>
    <w:uiPriority w:val="99"/>
    <w:unhideWhenUsed/>
    <w:rsid w:val="000809CC"/>
    <w:pPr>
      <w:spacing w:line="240" w:lineRule="auto"/>
      <w:ind w:left="283" w:hanging="283"/>
      <w:contextualSpacing/>
      <w:jc w:val="left"/>
    </w:pPr>
    <w:rPr>
      <w:rFonts w:ascii="Times New Roman" w:eastAsia="Times New Roman" w:hAnsi="Times New Roman" w:cs="Times New Roman"/>
      <w:szCs w:val="24"/>
    </w:rPr>
  </w:style>
  <w:style w:type="paragraph" w:styleId="Lista2">
    <w:name w:val="List 2"/>
    <w:basedOn w:val="Normal"/>
    <w:uiPriority w:val="99"/>
    <w:unhideWhenUsed/>
    <w:rsid w:val="000809CC"/>
    <w:pPr>
      <w:spacing w:line="240" w:lineRule="auto"/>
      <w:ind w:left="566" w:hanging="283"/>
      <w:contextualSpacing/>
      <w:jc w:val="left"/>
    </w:pPr>
    <w:rPr>
      <w:rFonts w:ascii="Times New Roman" w:eastAsia="Times New Roman" w:hAnsi="Times New Roman" w:cs="Times New Roman"/>
      <w:szCs w:val="24"/>
    </w:rPr>
  </w:style>
  <w:style w:type="paragraph" w:styleId="Lista3">
    <w:name w:val="List 3"/>
    <w:basedOn w:val="Normal"/>
    <w:uiPriority w:val="99"/>
    <w:unhideWhenUsed/>
    <w:rsid w:val="000809CC"/>
    <w:pPr>
      <w:spacing w:line="240" w:lineRule="auto"/>
      <w:ind w:left="849" w:hanging="283"/>
      <w:contextualSpacing/>
      <w:jc w:val="left"/>
    </w:pPr>
    <w:rPr>
      <w:rFonts w:ascii="Times New Roman" w:eastAsia="Times New Roman" w:hAnsi="Times New Roman" w:cs="Times New Roman"/>
      <w:szCs w:val="24"/>
    </w:rPr>
  </w:style>
  <w:style w:type="paragraph" w:styleId="Textoindependienteprimerasangra2">
    <w:name w:val="Body Text First Indent 2"/>
    <w:basedOn w:val="Sangradetextonormal"/>
    <w:link w:val="Textoindependienteprimerasangra2Car"/>
    <w:uiPriority w:val="99"/>
    <w:unhideWhenUsed/>
    <w:rsid w:val="000809CC"/>
    <w:pPr>
      <w:spacing w:after="0" w:line="240" w:lineRule="auto"/>
      <w:ind w:left="360" w:firstLine="360"/>
      <w:jc w:val="left"/>
    </w:pPr>
    <w:rPr>
      <w:rFonts w:ascii="Times New Roman" w:eastAsia="Times New Roman" w:hAnsi="Times New Roman"/>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0809C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809CC"/>
    <w:rPr>
      <w:rFonts w:cs="Times New Roman"/>
    </w:rPr>
  </w:style>
  <w:style w:type="character" w:customStyle="1" w:styleId="titulorubrolgt">
    <w:name w:val="titulorubrolgt"/>
    <w:basedOn w:val="Fuentedeprrafopredeter"/>
    <w:rsid w:val="000809CC"/>
    <w:rPr>
      <w:rFonts w:cs="Times New Roman"/>
    </w:rPr>
  </w:style>
  <w:style w:type="paragraph" w:customStyle="1" w:styleId="Text">
    <w:name w:val="Text"/>
    <w:basedOn w:val="Normal"/>
    <w:link w:val="TextChar"/>
    <w:rsid w:val="000809CC"/>
    <w:pPr>
      <w:spacing w:after="240" w:line="240" w:lineRule="auto"/>
      <w:jc w:val="left"/>
    </w:pPr>
    <w:rPr>
      <w:rFonts w:ascii="Times New Roman" w:eastAsia="Times New Roman" w:hAnsi="Times New Roman" w:cs="Times New Roman"/>
      <w:szCs w:val="20"/>
      <w:lang w:val="en-US" w:eastAsia="en-US"/>
    </w:rPr>
  </w:style>
  <w:style w:type="character" w:customStyle="1" w:styleId="TextChar">
    <w:name w:val="Text Char"/>
    <w:link w:val="Text"/>
    <w:locked/>
    <w:rsid w:val="000809C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0809CC"/>
    <w:pPr>
      <w:ind w:left="709" w:right="709"/>
    </w:pPr>
    <w:rPr>
      <w:rFonts w:ascii="Arial" w:eastAsia="Times New Roman" w:hAnsi="Arial" w:cs="Arial"/>
      <w:b/>
      <w:bCs/>
      <w:i/>
      <w:iCs/>
      <w:sz w:val="30"/>
      <w:szCs w:val="30"/>
      <w:lang w:val="es-MX"/>
    </w:rPr>
  </w:style>
  <w:style w:type="paragraph" w:customStyle="1" w:styleId="FAFunotente1">
    <w:name w:val="FA Fu?notente1"/>
    <w:basedOn w:val="Normal"/>
    <w:next w:val="Textonotapie"/>
    <w:uiPriority w:val="99"/>
    <w:rsid w:val="000809CC"/>
    <w:pPr>
      <w:spacing w:line="240" w:lineRule="auto"/>
      <w:jc w:val="left"/>
    </w:pPr>
    <w:rPr>
      <w:rFonts w:asciiTheme="minorHAnsi" w:eastAsia="Times New Roman" w:hAnsiTheme="minorHAnsi" w:cs="Times New Roman"/>
      <w:sz w:val="20"/>
      <w:szCs w:val="20"/>
      <w:lang w:val="es-MX" w:eastAsia="en-US"/>
    </w:rPr>
  </w:style>
  <w:style w:type="table" w:customStyle="1" w:styleId="Tablaconcuadrcula11">
    <w:name w:val="Tabla con cuadrícula11"/>
    <w:basedOn w:val="Tablanormal"/>
    <w:next w:val="Tablaconcuadrcula"/>
    <w:uiPriority w:val="59"/>
    <w:rsid w:val="000809CC"/>
    <w:pPr>
      <w:spacing w:after="0" w:line="240" w:lineRule="auto"/>
    </w:pPr>
    <w:rPr>
      <w:rFonts w:ascii="Calibri" w:eastAsia="Times New Roman"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
    <w:name w:val="temp"/>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bold">
    <w:name w:val="bold"/>
    <w:basedOn w:val="Fuentedeprrafopredeter"/>
    <w:rsid w:val="000809CC"/>
    <w:rPr>
      <w:rFonts w:cs="Times New Roman"/>
    </w:rPr>
  </w:style>
  <w:style w:type="paragraph" w:customStyle="1" w:styleId="ng-star-inserted">
    <w:name w:val="ng-star-inserted"/>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encinsinresolver20">
    <w:name w:val="Mención sin resolver2"/>
    <w:basedOn w:val="Fuentedeprrafopredeter"/>
    <w:uiPriority w:val="99"/>
    <w:semiHidden/>
    <w:unhideWhenUsed/>
    <w:rsid w:val="000809CC"/>
    <w:rPr>
      <w:rFonts w:cs="Times New Roman"/>
      <w:color w:val="605E5C"/>
      <w:shd w:val="clear" w:color="auto" w:fill="E1DFDD"/>
    </w:rPr>
  </w:style>
  <w:style w:type="character" w:customStyle="1" w:styleId="Mencinsinresolver3">
    <w:name w:val="Mención sin resolver3"/>
    <w:basedOn w:val="Fuentedeprrafopredeter"/>
    <w:uiPriority w:val="99"/>
    <w:semiHidden/>
    <w:unhideWhenUsed/>
    <w:rsid w:val="000809CC"/>
    <w:rPr>
      <w:rFonts w:cs="Times New Roman"/>
      <w:color w:val="605E5C"/>
      <w:shd w:val="clear" w:color="auto" w:fill="E1DFDD"/>
    </w:rPr>
  </w:style>
  <w:style w:type="paragraph" w:styleId="Saludo">
    <w:name w:val="Salutation"/>
    <w:basedOn w:val="Normal"/>
    <w:next w:val="Normal"/>
    <w:link w:val="SaludoCar"/>
    <w:uiPriority w:val="99"/>
    <w:unhideWhenUsed/>
    <w:rsid w:val="000809CC"/>
    <w:pPr>
      <w:spacing w:line="240" w:lineRule="auto"/>
      <w:jc w:val="left"/>
    </w:pPr>
    <w:rPr>
      <w:rFonts w:ascii="Times New Roman" w:eastAsia="Times New Roman" w:hAnsi="Times New Roman" w:cs="Times New Roman"/>
      <w:szCs w:val="24"/>
      <w:lang w:val="es-MX"/>
    </w:rPr>
  </w:style>
  <w:style w:type="character" w:customStyle="1" w:styleId="SaludoCar">
    <w:name w:val="Saludo Car"/>
    <w:basedOn w:val="Fuentedeprrafopredeter"/>
    <w:link w:val="Saludo"/>
    <w:uiPriority w:val="99"/>
    <w:rsid w:val="000809CC"/>
    <w:rPr>
      <w:rFonts w:ascii="Times New Roman" w:eastAsia="Times New Roman" w:hAnsi="Times New Roman" w:cs="Times New Roman"/>
      <w:sz w:val="24"/>
      <w:szCs w:val="24"/>
      <w:lang w:eastAsia="es-MX"/>
    </w:rPr>
  </w:style>
  <w:style w:type="character" w:customStyle="1" w:styleId="Caracteresdenotaalpie">
    <w:name w:val="Caracteres de nota al pie"/>
    <w:qFormat/>
    <w:rsid w:val="000809CC"/>
  </w:style>
  <w:style w:type="character" w:customStyle="1" w:styleId="Mencinsinresolver4">
    <w:name w:val="Mención sin resolver4"/>
    <w:basedOn w:val="Fuentedeprrafopredeter"/>
    <w:uiPriority w:val="99"/>
    <w:semiHidden/>
    <w:unhideWhenUsed/>
    <w:rsid w:val="000809CC"/>
    <w:rPr>
      <w:rFonts w:cs="Times New Roman"/>
      <w:color w:val="605E5C"/>
      <w:shd w:val="clear" w:color="auto" w:fill="E1DFDD"/>
    </w:rPr>
  </w:style>
  <w:style w:type="paragraph" w:styleId="Revisin">
    <w:name w:val="Revision"/>
    <w:hidden/>
    <w:uiPriority w:val="99"/>
    <w:semiHidden/>
    <w:rsid w:val="000809C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809C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uiPriority w:val="10"/>
    <w:rsid w:val="000809CC"/>
    <w:pPr>
      <w:keepNext/>
      <w:keepLines/>
      <w:spacing w:before="480" w:after="120" w:line="240" w:lineRule="auto"/>
      <w:jc w:val="left"/>
    </w:pPr>
    <w:rPr>
      <w:rFonts w:ascii="Times New Roman" w:eastAsia="Times New Roman" w:hAnsi="Times New Roman" w:cs="Times New Roman"/>
      <w:b/>
      <w:sz w:val="72"/>
      <w:szCs w:val="72"/>
    </w:rPr>
  </w:style>
  <w:style w:type="character" w:customStyle="1" w:styleId="TtuloCar">
    <w:name w:val="Título Car"/>
    <w:basedOn w:val="Fuentedeprrafopredeter"/>
    <w:link w:val="Ttulo"/>
    <w:uiPriority w:val="10"/>
    <w:rsid w:val="000809CC"/>
    <w:rPr>
      <w:rFonts w:ascii="Times New Roman" w:eastAsia="Times New Roman" w:hAnsi="Times New Roman" w:cs="Times New Roman"/>
      <w:b/>
      <w:sz w:val="72"/>
      <w:szCs w:val="72"/>
      <w:lang w:val="es-ES_tradnl" w:eastAsia="es-MX"/>
    </w:rPr>
  </w:style>
  <w:style w:type="paragraph" w:styleId="Subttulo">
    <w:name w:val="Subtitle"/>
    <w:basedOn w:val="Normal"/>
    <w:next w:val="Normal"/>
    <w:link w:val="SubttuloCar"/>
    <w:uiPriority w:val="11"/>
    <w:rsid w:val="000809CC"/>
    <w:pPr>
      <w:keepNext/>
      <w:keepLines/>
      <w:spacing w:before="360" w:after="80" w:line="240" w:lineRule="auto"/>
      <w:jc w:val="left"/>
    </w:pPr>
    <w:rPr>
      <w:rFonts w:ascii="Georgia" w:eastAsia="Times New Roman" w:hAnsi="Georgia" w:cs="Georgia"/>
      <w:i/>
      <w:color w:val="666666"/>
      <w:sz w:val="48"/>
      <w:szCs w:val="48"/>
    </w:rPr>
  </w:style>
  <w:style w:type="character" w:customStyle="1" w:styleId="SubttuloCar">
    <w:name w:val="Subtítulo Car"/>
    <w:basedOn w:val="Fuentedeprrafopredeter"/>
    <w:link w:val="Subttulo"/>
    <w:uiPriority w:val="11"/>
    <w:rsid w:val="000809CC"/>
    <w:rPr>
      <w:rFonts w:ascii="Georgia" w:eastAsia="Times New Roman" w:hAnsi="Georgia" w:cs="Georgia"/>
      <w:i/>
      <w:color w:val="666666"/>
      <w:sz w:val="48"/>
      <w:szCs w:val="48"/>
      <w:lang w:val="es-ES_tradnl" w:eastAsia="es-MX"/>
    </w:rPr>
  </w:style>
  <w:style w:type="table" w:customStyle="1" w:styleId="8">
    <w:name w:val="8"/>
    <w:basedOn w:val="TableNormal"/>
    <w:rsid w:val="000809CC"/>
    <w:tblPr>
      <w:tblStyleRowBandSize w:val="1"/>
      <w:tblStyleColBandSize w:val="1"/>
      <w:tblCellMar>
        <w:left w:w="115" w:type="dxa"/>
        <w:right w:w="115" w:type="dxa"/>
      </w:tblCellMar>
    </w:tblPr>
  </w:style>
  <w:style w:type="table" w:customStyle="1" w:styleId="7">
    <w:name w:val="7"/>
    <w:basedOn w:val="TableNormal"/>
    <w:rsid w:val="000809CC"/>
    <w:tblPr>
      <w:tblStyleRowBandSize w:val="1"/>
      <w:tblStyleColBandSize w:val="1"/>
      <w:tblCellMar>
        <w:left w:w="115" w:type="dxa"/>
        <w:right w:w="115" w:type="dxa"/>
      </w:tblCellMar>
    </w:tblPr>
  </w:style>
  <w:style w:type="table" w:customStyle="1" w:styleId="6">
    <w:name w:val="6"/>
    <w:basedOn w:val="TableNormal"/>
    <w:rsid w:val="000809CC"/>
    <w:tblPr>
      <w:tblStyleRowBandSize w:val="1"/>
      <w:tblStyleColBandSize w:val="1"/>
      <w:tblCellMar>
        <w:left w:w="115" w:type="dxa"/>
        <w:right w:w="115" w:type="dxa"/>
      </w:tblCellMar>
    </w:tblPr>
  </w:style>
  <w:style w:type="table" w:customStyle="1" w:styleId="5">
    <w:name w:val="5"/>
    <w:basedOn w:val="TableNormal"/>
    <w:rsid w:val="000809CC"/>
    <w:tblPr>
      <w:tblStyleRowBandSize w:val="1"/>
      <w:tblStyleColBandSize w:val="1"/>
      <w:tblCellMar>
        <w:left w:w="115" w:type="dxa"/>
        <w:right w:w="115" w:type="dxa"/>
      </w:tblCellMar>
    </w:tblPr>
  </w:style>
  <w:style w:type="table" w:customStyle="1" w:styleId="4">
    <w:name w:val="4"/>
    <w:basedOn w:val="TableNormal"/>
    <w:rsid w:val="000809CC"/>
    <w:tblPr>
      <w:tblStyleRowBandSize w:val="1"/>
      <w:tblStyleColBandSize w:val="1"/>
      <w:tblCellMar>
        <w:left w:w="115" w:type="dxa"/>
        <w:right w:w="115" w:type="dxa"/>
      </w:tblCellMar>
    </w:tblPr>
  </w:style>
  <w:style w:type="table" w:customStyle="1" w:styleId="3">
    <w:name w:val="3"/>
    <w:basedOn w:val="TableNormal"/>
    <w:rsid w:val="000809CC"/>
    <w:tblPr>
      <w:tblStyleRowBandSize w:val="1"/>
      <w:tblStyleColBandSize w:val="1"/>
      <w:tblCellMar>
        <w:left w:w="115" w:type="dxa"/>
        <w:right w:w="115" w:type="dxa"/>
      </w:tblCellMar>
    </w:tblPr>
  </w:style>
  <w:style w:type="table" w:customStyle="1" w:styleId="2">
    <w:name w:val="2"/>
    <w:basedOn w:val="TableNormal"/>
    <w:rsid w:val="000809CC"/>
    <w:tblPr>
      <w:tblStyleRowBandSize w:val="1"/>
      <w:tblStyleColBandSize w:val="1"/>
      <w:tblCellMar>
        <w:left w:w="115" w:type="dxa"/>
        <w:right w:w="115" w:type="dxa"/>
      </w:tblCellMar>
    </w:tblPr>
  </w:style>
  <w:style w:type="table" w:customStyle="1" w:styleId="1">
    <w:name w:val="1"/>
    <w:basedOn w:val="TableNormal"/>
    <w:rsid w:val="000809C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0809CC"/>
    <w:rPr>
      <w:rFonts w:ascii="Times New Roman" w:hAnsi="Times New Roman" w:cs="Times New Roman"/>
      <w:sz w:val="20"/>
      <w:szCs w:val="20"/>
      <w:lang w:val="x-none" w:eastAsia="es-MX"/>
    </w:rPr>
  </w:style>
  <w:style w:type="character" w:customStyle="1" w:styleId="eop">
    <w:name w:val="eop"/>
    <w:basedOn w:val="Fuentedeprrafopredeter"/>
    <w:rsid w:val="000809CC"/>
    <w:rPr>
      <w:rFonts w:cs="Times New Roman"/>
    </w:rPr>
  </w:style>
  <w:style w:type="character" w:customStyle="1" w:styleId="m2871584667633129156gmail-apple-converted-space">
    <w:name w:val="m_2871584667633129156gmail-apple-converted-space"/>
    <w:basedOn w:val="Fuentedeprrafopredeter"/>
    <w:rsid w:val="000809CC"/>
    <w:rPr>
      <w:rFonts w:cs="Times New Roman"/>
    </w:rPr>
  </w:style>
  <w:style w:type="character" w:customStyle="1" w:styleId="m2871584667633129156gmail-msofootnotereference">
    <w:name w:val="m_2871584667633129156gmail-msofootnotereference"/>
    <w:basedOn w:val="Fuentedeprrafopredeter"/>
    <w:rsid w:val="000809CC"/>
    <w:rPr>
      <w:rFonts w:cs="Times New Roman"/>
    </w:rPr>
  </w:style>
  <w:style w:type="paragraph" w:customStyle="1" w:styleId="m2871584667633129156gmail-msofootnotetext">
    <w:name w:val="m_2871584667633129156gmail-msofootnotetext"/>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
    <w:name w:val="u"/>
    <w:basedOn w:val="Fuentedeprrafopredeter"/>
    <w:rsid w:val="000809CC"/>
    <w:rPr>
      <w:rFonts w:cs="Times New Roman"/>
    </w:rPr>
  </w:style>
  <w:style w:type="paragraph" w:customStyle="1" w:styleId="rtejustify">
    <w:name w:val="rtejustify"/>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j1">
    <w:name w:val="j1"/>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7180717751901043621gmail-msofootnotereference">
    <w:name w:val="m_-7180717751901043621gmail-msofootnotereference"/>
    <w:basedOn w:val="Fuentedeprrafopredeter"/>
    <w:rsid w:val="000809CC"/>
    <w:rPr>
      <w:rFonts w:cs="Times New Roman"/>
    </w:rPr>
  </w:style>
  <w:style w:type="character" w:customStyle="1" w:styleId="m-3579365149168697376gmail-msofootnotereference">
    <w:name w:val="m_-3579365149168697376gmail-msofootnotereference"/>
    <w:basedOn w:val="Fuentedeprrafopredeter"/>
    <w:rsid w:val="000809CC"/>
    <w:rPr>
      <w:rFonts w:cs="Times New Roman"/>
    </w:rPr>
  </w:style>
  <w:style w:type="paragraph" w:customStyle="1" w:styleId="m-3579365149168697376gmail-msofootnotetext">
    <w:name w:val="m_-3579365149168697376gmail-msofootnotetext"/>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ams">
    <w:name w:val="ams"/>
    <w:basedOn w:val="Fuentedeprrafopredeter"/>
    <w:rsid w:val="000809CC"/>
    <w:rPr>
      <w:rFonts w:cs="Times New Roman"/>
    </w:rPr>
  </w:style>
  <w:style w:type="table" w:customStyle="1" w:styleId="Tablaconcuadrcula4">
    <w:name w:val="Tabla con cuadrícula4"/>
    <w:basedOn w:val="Tablanormal"/>
    <w:next w:val="Tablaconcuadrcula"/>
    <w:uiPriority w:val="59"/>
    <w:qFormat/>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809C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0809CC"/>
    <w:tblPr>
      <w:tblStyleRowBandSize w:val="1"/>
      <w:tblStyleColBandSize w:val="1"/>
      <w:tblCellMar>
        <w:left w:w="115" w:type="dxa"/>
        <w:right w:w="115" w:type="dxa"/>
      </w:tblCellMar>
    </w:tblPr>
  </w:style>
  <w:style w:type="table" w:customStyle="1" w:styleId="71">
    <w:name w:val="71"/>
    <w:basedOn w:val="TableNormal"/>
    <w:rsid w:val="000809CC"/>
    <w:tblPr>
      <w:tblStyleRowBandSize w:val="1"/>
      <w:tblStyleColBandSize w:val="1"/>
      <w:tblCellMar>
        <w:left w:w="115" w:type="dxa"/>
        <w:right w:w="115" w:type="dxa"/>
      </w:tblCellMar>
    </w:tblPr>
  </w:style>
  <w:style w:type="table" w:customStyle="1" w:styleId="61">
    <w:name w:val="61"/>
    <w:basedOn w:val="TableNormal"/>
    <w:rsid w:val="000809CC"/>
    <w:tblPr>
      <w:tblStyleRowBandSize w:val="1"/>
      <w:tblStyleColBandSize w:val="1"/>
      <w:tblCellMar>
        <w:left w:w="115" w:type="dxa"/>
        <w:right w:w="115" w:type="dxa"/>
      </w:tblCellMar>
    </w:tblPr>
  </w:style>
  <w:style w:type="table" w:customStyle="1" w:styleId="51">
    <w:name w:val="51"/>
    <w:basedOn w:val="TableNormal"/>
    <w:rsid w:val="000809CC"/>
    <w:tblPr>
      <w:tblStyleRowBandSize w:val="1"/>
      <w:tblStyleColBandSize w:val="1"/>
      <w:tblCellMar>
        <w:left w:w="115" w:type="dxa"/>
        <w:right w:w="115" w:type="dxa"/>
      </w:tblCellMar>
    </w:tblPr>
  </w:style>
  <w:style w:type="table" w:customStyle="1" w:styleId="41">
    <w:name w:val="41"/>
    <w:basedOn w:val="TableNormal"/>
    <w:rsid w:val="000809CC"/>
    <w:tblPr>
      <w:tblStyleRowBandSize w:val="1"/>
      <w:tblStyleColBandSize w:val="1"/>
      <w:tblCellMar>
        <w:left w:w="115" w:type="dxa"/>
        <w:right w:w="115" w:type="dxa"/>
      </w:tblCellMar>
    </w:tblPr>
  </w:style>
  <w:style w:type="table" w:customStyle="1" w:styleId="31">
    <w:name w:val="31"/>
    <w:basedOn w:val="TableNormal"/>
    <w:rsid w:val="000809CC"/>
    <w:tblPr>
      <w:tblStyleRowBandSize w:val="1"/>
      <w:tblStyleColBandSize w:val="1"/>
      <w:tblCellMar>
        <w:left w:w="115" w:type="dxa"/>
        <w:right w:w="115" w:type="dxa"/>
      </w:tblCellMar>
    </w:tblPr>
  </w:style>
  <w:style w:type="table" w:customStyle="1" w:styleId="21">
    <w:name w:val="21"/>
    <w:basedOn w:val="TableNormal"/>
    <w:rsid w:val="000809CC"/>
    <w:tblPr>
      <w:tblStyleRowBandSize w:val="1"/>
      <w:tblStyleColBandSize w:val="1"/>
      <w:tblCellMar>
        <w:left w:w="115" w:type="dxa"/>
        <w:right w:w="115" w:type="dxa"/>
      </w:tblCellMar>
    </w:tblPr>
  </w:style>
  <w:style w:type="table" w:customStyle="1" w:styleId="11">
    <w:name w:val="11"/>
    <w:basedOn w:val="TableNormal"/>
    <w:rsid w:val="000809CC"/>
    <w:tblPr>
      <w:tblStyleRowBandSize w:val="1"/>
      <w:tblStyleColBandSize w:val="1"/>
      <w:tblCellMar>
        <w:left w:w="115" w:type="dxa"/>
        <w:right w:w="115" w:type="dxa"/>
      </w:tblCellMar>
    </w:tblPr>
  </w:style>
  <w:style w:type="paragraph" w:customStyle="1" w:styleId="Citas">
    <w:name w:val="Citas"/>
    <w:basedOn w:val="Normal"/>
    <w:qFormat/>
    <w:rsid w:val="000809CC"/>
    <w:pPr>
      <w:spacing w:before="240" w:after="160"/>
      <w:ind w:left="851" w:right="851"/>
    </w:pPr>
    <w:rPr>
      <w:rFonts w:eastAsia="Times New Roman" w:cs="Arial"/>
      <w:i/>
      <w:sz w:val="22"/>
      <w:lang w:val="es-MX" w:eastAsia="en-US"/>
    </w:rPr>
  </w:style>
  <w:style w:type="character" w:customStyle="1" w:styleId="Mencinsinresolver5">
    <w:name w:val="Mención sin resolver5"/>
    <w:basedOn w:val="Fuentedeprrafopredeter"/>
    <w:uiPriority w:val="99"/>
    <w:semiHidden/>
    <w:unhideWhenUsed/>
    <w:rsid w:val="000809CC"/>
    <w:rPr>
      <w:rFonts w:cs="Times New Roman"/>
      <w:color w:val="605E5C"/>
      <w:shd w:val="clear" w:color="auto" w:fill="E1DFDD"/>
    </w:rPr>
  </w:style>
  <w:style w:type="paragraph" w:styleId="Listaconvietas3">
    <w:name w:val="List Bullet 3"/>
    <w:basedOn w:val="Normal"/>
    <w:uiPriority w:val="99"/>
    <w:unhideWhenUsed/>
    <w:rsid w:val="000809CC"/>
    <w:pPr>
      <w:numPr>
        <w:numId w:val="32"/>
      </w:numPr>
      <w:spacing w:line="240" w:lineRule="auto"/>
      <w:contextualSpacing/>
      <w:jc w:val="left"/>
    </w:pPr>
    <w:rPr>
      <w:rFonts w:ascii="Times New Roman" w:eastAsia="Times New Roman" w:hAnsi="Times New Roman" w:cs="Times New Roman"/>
      <w:szCs w:val="24"/>
      <w:lang w:val="es-MX"/>
    </w:rPr>
  </w:style>
  <w:style w:type="character" w:customStyle="1" w:styleId="TextodegloboCar11">
    <w:name w:val="Texto de globo Car11"/>
    <w:basedOn w:val="Fuentedeprrafopredeter"/>
    <w:uiPriority w:val="99"/>
    <w:semiHidden/>
    <w:rsid w:val="000809CC"/>
    <w:rPr>
      <w:rFonts w:ascii="Segoe UI" w:hAnsi="Segoe UI" w:cs="Segoe UI"/>
      <w:sz w:val="18"/>
      <w:szCs w:val="18"/>
    </w:rPr>
  </w:style>
  <w:style w:type="character" w:customStyle="1" w:styleId="TextocomentarioCar11">
    <w:name w:val="Texto comentario Car11"/>
    <w:basedOn w:val="Fuentedeprrafopredeter"/>
    <w:uiPriority w:val="99"/>
    <w:semiHidden/>
    <w:rsid w:val="000809CC"/>
    <w:rPr>
      <w:rFonts w:cs="Times New Roman"/>
      <w:sz w:val="20"/>
      <w:szCs w:val="20"/>
    </w:rPr>
  </w:style>
  <w:style w:type="character" w:customStyle="1" w:styleId="AsuntodelcomentarioCar11">
    <w:name w:val="Asunto del comentario Car11"/>
    <w:basedOn w:val="TextocomentarioCar11"/>
    <w:uiPriority w:val="99"/>
    <w:semiHidden/>
    <w:rsid w:val="000809CC"/>
    <w:rPr>
      <w:rFonts w:cs="Times New Roman"/>
      <w:b/>
      <w:bCs/>
      <w:sz w:val="20"/>
      <w:szCs w:val="20"/>
    </w:rPr>
  </w:style>
  <w:style w:type="table" w:customStyle="1" w:styleId="Tablaconcuadrcula5">
    <w:name w:val="Tabla con cuadrícula5"/>
    <w:basedOn w:val="Tablanormal"/>
    <w:next w:val="Tablaconcuadrcula"/>
    <w:uiPriority w:val="59"/>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0809CC"/>
    <w:rPr>
      <w:rFonts w:cs="Times New Roman"/>
      <w:color w:val="605E5C"/>
      <w:shd w:val="clear" w:color="auto" w:fill="E1DFDD"/>
    </w:rPr>
  </w:style>
  <w:style w:type="table" w:customStyle="1" w:styleId="Tablaconcuadrcula7">
    <w:name w:val="Tabla con cuadrícula7"/>
    <w:basedOn w:val="Tablanormal"/>
    <w:next w:val="Tablaconcuadrcula"/>
    <w:uiPriority w:val="39"/>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0809CC"/>
    <w:pPr>
      <w:numPr>
        <w:numId w:val="26"/>
      </w:numPr>
    </w:pPr>
  </w:style>
  <w:style w:type="numbering" w:customStyle="1" w:styleId="Estiloimportado2">
    <w:name w:val="Estilo importado 2"/>
    <w:rsid w:val="000809CC"/>
    <w:pPr>
      <w:numPr>
        <w:numId w:val="25"/>
      </w:numPr>
    </w:pPr>
  </w:style>
  <w:style w:type="character" w:customStyle="1" w:styleId="UnresolvedMention">
    <w:name w:val="Unresolved Mention"/>
    <w:basedOn w:val="Fuentedeprrafopredeter"/>
    <w:uiPriority w:val="99"/>
    <w:semiHidden/>
    <w:unhideWhenUsed/>
    <w:rsid w:val="0057572D"/>
    <w:rPr>
      <w:color w:val="605E5C"/>
      <w:shd w:val="clear" w:color="auto" w:fill="E1DFDD"/>
    </w:rPr>
  </w:style>
  <w:style w:type="table" w:styleId="Tabladecuadrcula4">
    <w:name w:val="Grid Table 4"/>
    <w:basedOn w:val="Tablanormal"/>
    <w:uiPriority w:val="49"/>
    <w:rsid w:val="00650D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45579192">
      <w:bodyDiv w:val="1"/>
      <w:marLeft w:val="0"/>
      <w:marRight w:val="0"/>
      <w:marTop w:val="0"/>
      <w:marBottom w:val="0"/>
      <w:divBdr>
        <w:top w:val="none" w:sz="0" w:space="0" w:color="auto"/>
        <w:left w:val="none" w:sz="0" w:space="0" w:color="auto"/>
        <w:bottom w:val="none" w:sz="0" w:space="0" w:color="auto"/>
        <w:right w:val="none" w:sz="0" w:space="0" w:color="auto"/>
      </w:divBdr>
      <w:divsChild>
        <w:div w:id="1883397855">
          <w:marLeft w:val="0"/>
          <w:marRight w:val="0"/>
          <w:marTop w:val="0"/>
          <w:marBottom w:val="0"/>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1405005">
      <w:bodyDiv w:val="1"/>
      <w:marLeft w:val="0"/>
      <w:marRight w:val="0"/>
      <w:marTop w:val="0"/>
      <w:marBottom w:val="0"/>
      <w:divBdr>
        <w:top w:val="none" w:sz="0" w:space="0" w:color="auto"/>
        <w:left w:val="none" w:sz="0" w:space="0" w:color="auto"/>
        <w:bottom w:val="none" w:sz="0" w:space="0" w:color="auto"/>
        <w:right w:val="none" w:sz="0" w:space="0" w:color="auto"/>
      </w:divBdr>
      <w:divsChild>
        <w:div w:id="600525238">
          <w:marLeft w:val="0"/>
          <w:marRight w:val="0"/>
          <w:marTop w:val="0"/>
          <w:marBottom w:val="0"/>
          <w:divBdr>
            <w:top w:val="none" w:sz="0" w:space="0" w:color="auto"/>
            <w:left w:val="none" w:sz="0" w:space="0" w:color="auto"/>
            <w:bottom w:val="none" w:sz="0" w:space="0" w:color="auto"/>
            <w:right w:val="none" w:sz="0" w:space="0" w:color="auto"/>
          </w:divBdr>
        </w:div>
      </w:divsChild>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55922731">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4485292">
      <w:bodyDiv w:val="1"/>
      <w:marLeft w:val="0"/>
      <w:marRight w:val="0"/>
      <w:marTop w:val="0"/>
      <w:marBottom w:val="0"/>
      <w:divBdr>
        <w:top w:val="none" w:sz="0" w:space="0" w:color="auto"/>
        <w:left w:val="none" w:sz="0" w:space="0" w:color="auto"/>
        <w:bottom w:val="none" w:sz="0" w:space="0" w:color="auto"/>
        <w:right w:val="none" w:sz="0" w:space="0" w:color="auto"/>
      </w:divBdr>
    </w:div>
    <w:div w:id="1245067136">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64136388">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71118699">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25721243">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m.org.mx/consejo_general/cg/2025/AC_2025/a076_25.pdf" TargetMode="External"/><Relationship Id="rId13" Type="http://schemas.openxmlformats.org/officeDocument/2006/relationships/hyperlink" Target="https://www.ieem.org.mx/consejo_general/cg/2025/AC_2025/a076_25.pdf" TargetMode="External"/><Relationship Id="rId18" Type="http://schemas.openxmlformats.org/officeDocument/2006/relationships/image" Target="media/image2.tm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eem.org.mx/transparencia2/pdf/fraccionVI/jungen/2025/Ac_25/jg_acu047_25.pdf" TargetMode="External"/><Relationship Id="rId17" Type="http://schemas.openxmlformats.org/officeDocument/2006/relationships/image" Target="media/image1.tmp"/><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sultas.ifai.org.mx/descargar.php?r=./pdf/resoluciones/2019/&amp;a=RRA%2014270.pdf" TargetMode="External"/><Relationship Id="rId20" Type="http://schemas.openxmlformats.org/officeDocument/2006/relationships/image" Target="media/image4.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em.org.mx/consejo_general/cg/2025/AC_2025/a040_25.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onsultas.ifai.org.mx/descargar.php?r=./pdf/resoluciones/2018/&amp;a=RRA%205097.pdf" TargetMode="External"/><Relationship Id="rId23" Type="http://schemas.openxmlformats.org/officeDocument/2006/relationships/footer" Target="footer1.xml"/><Relationship Id="rId10" Type="http://schemas.openxmlformats.org/officeDocument/2006/relationships/hyperlink" Target="https://www.ieem.org.mx/transparencia2/pdf/fraccionVI/jungen/2025/Ac_25/jg_acu026_25.pdf" TargetMode="External"/><Relationship Id="rId19"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hyperlink" Target="https://www.ieem.org.mx/consejo_general/cg/2025/AC_2025/a040_25.pdf" TargetMode="External"/><Relationship Id="rId14" Type="http://schemas.openxmlformats.org/officeDocument/2006/relationships/hyperlink" Target="http://consultas.ifai.org.mx/descargar.php?r=./pdf/resoluciones/2018/&amp;a=RRA%204548.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eem.org.mx/eleccion-poder-judicial-2025/sel-cael.html"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C41EE-AFEC-4F6D-9EE7-8BA998DC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8326</Words>
  <Characters>45794</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69</cp:revision>
  <cp:lastPrinted>2025-09-19T16:08:00Z</cp:lastPrinted>
  <dcterms:created xsi:type="dcterms:W3CDTF">2025-09-05T00:02:00Z</dcterms:created>
  <dcterms:modified xsi:type="dcterms:W3CDTF">2025-12-18T22:18:00Z</dcterms:modified>
</cp:coreProperties>
</file>