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82" w:rsidRPr="00FC3FED" w:rsidRDefault="00F26182" w:rsidP="00FC3FED">
      <w:pPr>
        <w:widowControl w:val="0"/>
        <w:pBdr>
          <w:top w:val="nil"/>
          <w:left w:val="nil"/>
          <w:bottom w:val="nil"/>
          <w:right w:val="nil"/>
          <w:between w:val="nil"/>
        </w:pBdr>
        <w:spacing w:after="0" w:line="276" w:lineRule="auto"/>
        <w:rPr>
          <w:rFonts w:ascii="Palatino Linotype" w:hAnsi="Palatino Linotype"/>
          <w:sz w:val="24"/>
          <w:szCs w:val="24"/>
        </w:rPr>
      </w:pPr>
    </w:p>
    <w:p w:rsidR="00F26182" w:rsidRPr="00FC3FED" w:rsidRDefault="00F26182" w:rsidP="00FC3FED">
      <w:pPr>
        <w:tabs>
          <w:tab w:val="left" w:pos="3465"/>
        </w:tabs>
        <w:spacing w:line="360" w:lineRule="auto"/>
        <w:jc w:val="both"/>
        <w:rPr>
          <w:rFonts w:ascii="Palatino Linotype" w:eastAsia="Palatino Linotype" w:hAnsi="Palatino Linotype" w:cs="Palatino Linotype"/>
          <w:sz w:val="24"/>
          <w:szCs w:val="24"/>
        </w:rPr>
      </w:pPr>
      <w:bookmarkStart w:id="0" w:name="_heading=h.3rdcrjn" w:colFirst="0" w:colLast="0"/>
      <w:bookmarkEnd w:id="0"/>
    </w:p>
    <w:p w:rsidR="00F26182" w:rsidRPr="00AB46D0" w:rsidRDefault="003B6BB8" w:rsidP="00FC3FED">
      <w:pPr>
        <w:tabs>
          <w:tab w:val="left" w:pos="3465"/>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catorce de mayo de dos mil veinticinco.</w:t>
      </w:r>
    </w:p>
    <w:p w:rsidR="00FC3FED" w:rsidRPr="00AB46D0" w:rsidRDefault="00FC3FED" w:rsidP="00FC3FED">
      <w:pPr>
        <w:tabs>
          <w:tab w:val="left" w:pos="3465"/>
        </w:tabs>
        <w:spacing w:line="360" w:lineRule="auto"/>
        <w:jc w:val="both"/>
        <w:rPr>
          <w:rFonts w:ascii="Palatino Linotype" w:eastAsia="Palatino Linotype" w:hAnsi="Palatino Linotype" w:cs="Palatino Linotype"/>
          <w:sz w:val="24"/>
          <w:szCs w:val="24"/>
        </w:rPr>
      </w:pPr>
    </w:p>
    <w:p w:rsidR="00F26182" w:rsidRPr="00AB46D0" w:rsidRDefault="003B6BB8" w:rsidP="00FC3FED">
      <w:pPr>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b/>
          <w:sz w:val="24"/>
          <w:szCs w:val="24"/>
        </w:rPr>
        <w:t>VISTO</w:t>
      </w:r>
      <w:r w:rsidRPr="00AB46D0">
        <w:rPr>
          <w:rFonts w:ascii="Palatino Linotype" w:eastAsia="Palatino Linotype" w:hAnsi="Palatino Linotype" w:cs="Palatino Linotype"/>
          <w:sz w:val="24"/>
          <w:szCs w:val="24"/>
        </w:rPr>
        <w:t xml:space="preserve"> el expediente electrónico formado con motivo del recurso de revisión </w:t>
      </w:r>
      <w:r w:rsidRPr="00AB46D0">
        <w:rPr>
          <w:rFonts w:ascii="Palatino Linotype" w:eastAsia="Palatino Linotype" w:hAnsi="Palatino Linotype" w:cs="Palatino Linotype"/>
          <w:b/>
          <w:sz w:val="24"/>
          <w:szCs w:val="24"/>
        </w:rPr>
        <w:t>04558/INFOEM/IP/RR/2025</w:t>
      </w:r>
      <w:r w:rsidRPr="00AB46D0">
        <w:rPr>
          <w:rFonts w:ascii="Palatino Linotype" w:eastAsia="Palatino Linotype" w:hAnsi="Palatino Linotype" w:cs="Palatino Linotype"/>
          <w:sz w:val="24"/>
          <w:szCs w:val="24"/>
        </w:rPr>
        <w:t>,</w:t>
      </w:r>
      <w:r w:rsidRPr="00AB46D0">
        <w:rPr>
          <w:rFonts w:ascii="Palatino Linotype" w:eastAsia="Palatino Linotype" w:hAnsi="Palatino Linotype" w:cs="Palatino Linotype"/>
          <w:b/>
          <w:sz w:val="24"/>
          <w:szCs w:val="24"/>
        </w:rPr>
        <w:t xml:space="preserve"> </w:t>
      </w:r>
      <w:r w:rsidRPr="00AB46D0">
        <w:rPr>
          <w:rFonts w:ascii="Palatino Linotype" w:eastAsia="Palatino Linotype" w:hAnsi="Palatino Linotype" w:cs="Palatino Linotype"/>
          <w:sz w:val="24"/>
          <w:szCs w:val="24"/>
        </w:rPr>
        <w:t xml:space="preserve">promovido por </w:t>
      </w:r>
      <w:r w:rsidRPr="00AB46D0">
        <w:rPr>
          <w:rFonts w:ascii="Palatino Linotype" w:eastAsia="Palatino Linotype" w:hAnsi="Palatino Linotype" w:cs="Palatino Linotype"/>
          <w:b/>
          <w:sz w:val="24"/>
          <w:szCs w:val="24"/>
        </w:rPr>
        <w:t>una persona que no proporciono datos de identificación</w:t>
      </w:r>
      <w:r w:rsidRPr="00AB46D0">
        <w:rPr>
          <w:rFonts w:ascii="Palatino Linotype" w:eastAsia="Palatino Linotype" w:hAnsi="Palatino Linotype" w:cs="Palatino Linotype"/>
          <w:sz w:val="24"/>
          <w:szCs w:val="24"/>
        </w:rPr>
        <w:t xml:space="preserve">, a quien en lo sucesivo se le identificará como </w:t>
      </w:r>
      <w:r w:rsidRPr="00AB46D0">
        <w:rPr>
          <w:rFonts w:ascii="Palatino Linotype" w:eastAsia="Palatino Linotype" w:hAnsi="Palatino Linotype" w:cs="Palatino Linotype"/>
          <w:b/>
          <w:sz w:val="24"/>
          <w:szCs w:val="24"/>
        </w:rPr>
        <w:t>EL RECURRENTE</w:t>
      </w:r>
      <w:r w:rsidRPr="00AB46D0">
        <w:rPr>
          <w:rFonts w:ascii="Palatino Linotype" w:eastAsia="Palatino Linotype" w:hAnsi="Palatino Linotype" w:cs="Palatino Linotype"/>
          <w:sz w:val="24"/>
          <w:szCs w:val="24"/>
        </w:rPr>
        <w:t xml:space="preserve">, en contra de la respuesta del </w:t>
      </w:r>
      <w:r w:rsidRPr="00AB46D0">
        <w:rPr>
          <w:rFonts w:ascii="Palatino Linotype" w:eastAsia="Palatino Linotype" w:hAnsi="Palatino Linotype" w:cs="Palatino Linotype"/>
          <w:b/>
          <w:sz w:val="24"/>
          <w:szCs w:val="24"/>
        </w:rPr>
        <w:t xml:space="preserve">Ayuntamiento de Villa de Allende, </w:t>
      </w:r>
      <w:r w:rsidRPr="00AB46D0">
        <w:rPr>
          <w:rFonts w:ascii="Palatino Linotype" w:eastAsia="Palatino Linotype" w:hAnsi="Palatino Linotype" w:cs="Palatino Linotype"/>
          <w:sz w:val="24"/>
          <w:szCs w:val="24"/>
        </w:rPr>
        <w:t>en adelante el</w:t>
      </w:r>
      <w:r w:rsidRPr="00AB46D0">
        <w:rPr>
          <w:rFonts w:ascii="Palatino Linotype" w:eastAsia="Palatino Linotype" w:hAnsi="Palatino Linotype" w:cs="Palatino Linotype"/>
          <w:b/>
          <w:sz w:val="24"/>
          <w:szCs w:val="24"/>
        </w:rPr>
        <w:t xml:space="preserve"> SUJETO OBLIGADO</w:t>
      </w:r>
      <w:r w:rsidRPr="00AB46D0">
        <w:rPr>
          <w:rFonts w:ascii="Palatino Linotype" w:eastAsia="Palatino Linotype" w:hAnsi="Palatino Linotype" w:cs="Palatino Linotype"/>
          <w:sz w:val="24"/>
          <w:szCs w:val="24"/>
        </w:rPr>
        <w:t>, se procede a dictar la presente resolución, con base en los siguientes:</w:t>
      </w:r>
    </w:p>
    <w:p w:rsidR="00F26182" w:rsidRPr="00AB46D0" w:rsidRDefault="00F26182" w:rsidP="00FC3FED">
      <w:pPr>
        <w:spacing w:line="360" w:lineRule="auto"/>
        <w:jc w:val="both"/>
        <w:rPr>
          <w:rFonts w:ascii="Palatino Linotype" w:eastAsia="Palatino Linotype" w:hAnsi="Palatino Linotype" w:cs="Palatino Linotype"/>
          <w:b/>
          <w:sz w:val="24"/>
          <w:szCs w:val="24"/>
        </w:rPr>
      </w:pPr>
    </w:p>
    <w:p w:rsidR="00F26182" w:rsidRPr="00AB46D0" w:rsidRDefault="003B6BB8" w:rsidP="00FC3FED">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AB46D0">
        <w:rPr>
          <w:rFonts w:ascii="Palatino Linotype" w:eastAsia="Palatino Linotype" w:hAnsi="Palatino Linotype" w:cs="Palatino Linotype"/>
          <w:b/>
          <w:color w:val="000000"/>
          <w:sz w:val="24"/>
          <w:szCs w:val="24"/>
        </w:rPr>
        <w:t>A N T E C E D E N T E S</w:t>
      </w:r>
    </w:p>
    <w:p w:rsidR="00F26182" w:rsidRPr="00AB46D0" w:rsidRDefault="00F26182" w:rsidP="00FC3FED">
      <w:pPr>
        <w:rPr>
          <w:rFonts w:ascii="Palatino Linotype" w:eastAsia="Palatino Linotype" w:hAnsi="Palatino Linotype" w:cs="Palatino Linotype"/>
          <w:sz w:val="24"/>
          <w:szCs w:val="24"/>
        </w:rPr>
      </w:pPr>
    </w:p>
    <w:p w:rsidR="00F26182" w:rsidRPr="00AB46D0" w:rsidRDefault="003B6BB8" w:rsidP="00FC3FE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El</w:t>
      </w:r>
      <w:r w:rsidRPr="00AB46D0">
        <w:rPr>
          <w:rFonts w:ascii="Palatino Linotype" w:eastAsia="Palatino Linotype" w:hAnsi="Palatino Linotype" w:cs="Palatino Linotype"/>
          <w:b/>
          <w:color w:val="000000"/>
          <w:sz w:val="24"/>
          <w:szCs w:val="24"/>
        </w:rPr>
        <w:t xml:space="preserve"> veintiocho de marzo de dos mil veinticinco, </w:t>
      </w:r>
      <w:r w:rsidRPr="00AB46D0">
        <w:rPr>
          <w:rFonts w:ascii="Palatino Linotype" w:eastAsia="Palatino Linotype" w:hAnsi="Palatino Linotype" w:cs="Palatino Linotype"/>
          <w:color w:val="000000"/>
          <w:sz w:val="24"/>
          <w:szCs w:val="24"/>
        </w:rPr>
        <w:t xml:space="preserve">se presentó ante el </w:t>
      </w:r>
      <w:r w:rsidRPr="00AB46D0">
        <w:rPr>
          <w:rFonts w:ascii="Palatino Linotype" w:eastAsia="Palatino Linotype" w:hAnsi="Palatino Linotype" w:cs="Palatino Linotype"/>
          <w:b/>
          <w:color w:val="000000"/>
          <w:sz w:val="24"/>
          <w:szCs w:val="24"/>
        </w:rPr>
        <w:t>SUJETO OBLIGADO</w:t>
      </w:r>
      <w:r w:rsidRPr="00AB46D0">
        <w:rPr>
          <w:rFonts w:ascii="Palatino Linotype" w:eastAsia="Palatino Linotype" w:hAnsi="Palatino Linotype" w:cs="Palatino Linotype"/>
          <w:color w:val="000000"/>
          <w:sz w:val="24"/>
          <w:szCs w:val="24"/>
        </w:rPr>
        <w:t xml:space="preserve"> a través del Sistema de Acceso a la Información (SAIMEX) la solicitud de información pública registrada con el número</w:t>
      </w:r>
      <w:r w:rsidRPr="00AB46D0">
        <w:rPr>
          <w:rFonts w:ascii="Palatino Linotype" w:eastAsia="Palatino Linotype" w:hAnsi="Palatino Linotype" w:cs="Palatino Linotype"/>
          <w:b/>
          <w:color w:val="000000"/>
          <w:sz w:val="24"/>
          <w:szCs w:val="24"/>
        </w:rPr>
        <w:t> 00030/VIALLEN/IP/2025</w:t>
      </w:r>
      <w:r w:rsidRPr="00AB46D0">
        <w:rPr>
          <w:rFonts w:ascii="Palatino Linotype" w:eastAsia="Palatino Linotype" w:hAnsi="Palatino Linotype" w:cs="Palatino Linotype"/>
          <w:b/>
          <w:sz w:val="24"/>
          <w:szCs w:val="24"/>
        </w:rPr>
        <w:t xml:space="preserve">, </w:t>
      </w:r>
      <w:r w:rsidRPr="00AB46D0">
        <w:rPr>
          <w:rFonts w:ascii="Palatino Linotype" w:eastAsia="Palatino Linotype" w:hAnsi="Palatino Linotype" w:cs="Palatino Linotype"/>
          <w:sz w:val="24"/>
          <w:szCs w:val="24"/>
        </w:rPr>
        <w:t xml:space="preserve">en la que </w:t>
      </w:r>
      <w:r w:rsidRPr="00AB46D0">
        <w:rPr>
          <w:rFonts w:ascii="Palatino Linotype" w:eastAsia="Palatino Linotype" w:hAnsi="Palatino Linotype" w:cs="Palatino Linotype"/>
          <w:color w:val="000000"/>
          <w:sz w:val="24"/>
          <w:szCs w:val="24"/>
        </w:rPr>
        <w:t>se solicitó la siguiente información:</w:t>
      </w:r>
    </w:p>
    <w:p w:rsidR="00F26182" w:rsidRPr="00AB46D0" w:rsidRDefault="00F26182" w:rsidP="00FC3FED">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F26182" w:rsidRPr="00AB46D0" w:rsidRDefault="003B6BB8" w:rsidP="00FC3FED">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“Se solicita el número de Policía qué se teienian en la Administración 2022 a 2024, y cuantos de ellos siguen laborando en la administracion 2025-2027 (Sic)</w:t>
      </w:r>
    </w:p>
    <w:p w:rsidR="00F26182" w:rsidRPr="00AB46D0" w:rsidRDefault="00F26182" w:rsidP="00FC3FED">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F26182" w:rsidRPr="00AB46D0" w:rsidRDefault="003B6BB8" w:rsidP="00FC3FED">
      <w:pPr>
        <w:numPr>
          <w:ilvl w:val="0"/>
          <w:numId w:val="2"/>
        </w:num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Se eligió como modalidad de entrega a través del </w:t>
      </w:r>
      <w:r w:rsidRPr="00AB46D0">
        <w:rPr>
          <w:rFonts w:ascii="Palatino Linotype" w:eastAsia="Palatino Linotype" w:hAnsi="Palatino Linotype" w:cs="Palatino Linotype"/>
          <w:b/>
          <w:color w:val="000000"/>
          <w:sz w:val="24"/>
          <w:szCs w:val="24"/>
        </w:rPr>
        <w:t>SAIMEX</w:t>
      </w:r>
    </w:p>
    <w:p w:rsidR="00F26182" w:rsidRPr="00AB46D0" w:rsidRDefault="00F26182" w:rsidP="00FC3FED">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F26182" w:rsidRPr="00AB46D0" w:rsidRDefault="003B6BB8" w:rsidP="0055594F">
      <w:pPr>
        <w:numPr>
          <w:ilvl w:val="0"/>
          <w:numId w:val="4"/>
        </w:numPr>
        <w:pBdr>
          <w:top w:val="nil"/>
          <w:left w:val="nil"/>
          <w:bottom w:val="nil"/>
          <w:right w:val="nil"/>
          <w:between w:val="nil"/>
        </w:pBdr>
        <w:tabs>
          <w:tab w:val="left" w:pos="0"/>
        </w:tabs>
        <w:spacing w:after="0" w:line="360" w:lineRule="auto"/>
        <w:ind w:left="0" w:firstLine="0"/>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El </w:t>
      </w:r>
      <w:r w:rsidRPr="00AB46D0">
        <w:rPr>
          <w:rFonts w:ascii="Palatino Linotype" w:eastAsia="Palatino Linotype" w:hAnsi="Palatino Linotype" w:cs="Palatino Linotype"/>
          <w:b/>
          <w:color w:val="000000"/>
          <w:sz w:val="24"/>
          <w:szCs w:val="24"/>
        </w:rPr>
        <w:t>cuatro de abril de dos mil veinticuatro,</w:t>
      </w:r>
      <w:r w:rsidRPr="00AB46D0">
        <w:rPr>
          <w:rFonts w:ascii="Palatino Linotype" w:eastAsia="Palatino Linotype" w:hAnsi="Palatino Linotype" w:cs="Palatino Linotype"/>
          <w:color w:val="000000"/>
          <w:sz w:val="24"/>
          <w:szCs w:val="24"/>
        </w:rPr>
        <w:t xml:space="preserve"> el </w:t>
      </w:r>
      <w:r w:rsidRPr="00AB46D0">
        <w:rPr>
          <w:rFonts w:ascii="Palatino Linotype" w:eastAsia="Palatino Linotype" w:hAnsi="Palatino Linotype" w:cs="Palatino Linotype"/>
          <w:b/>
          <w:color w:val="000000"/>
          <w:sz w:val="24"/>
          <w:szCs w:val="24"/>
        </w:rPr>
        <w:t xml:space="preserve">SUJETO OBLIGADO, </w:t>
      </w:r>
      <w:r w:rsidRPr="00AB46D0">
        <w:rPr>
          <w:rFonts w:ascii="Palatino Linotype" w:eastAsia="Palatino Linotype" w:hAnsi="Palatino Linotype" w:cs="Palatino Linotype"/>
          <w:color w:val="000000"/>
          <w:sz w:val="24"/>
          <w:szCs w:val="24"/>
        </w:rPr>
        <w:t>dio respuesta de la siguiente manera:</w:t>
      </w:r>
    </w:p>
    <w:p w:rsidR="00F26182" w:rsidRPr="00AB46D0" w:rsidRDefault="003B6BB8" w:rsidP="00FC3FED">
      <w:pPr>
        <w:pBdr>
          <w:top w:val="nil"/>
          <w:left w:val="nil"/>
          <w:bottom w:val="nil"/>
          <w:right w:val="nil"/>
          <w:between w:val="nil"/>
        </w:pBdr>
        <w:spacing w:after="0" w:line="360" w:lineRule="auto"/>
        <w:ind w:left="709"/>
        <w:jc w:val="right"/>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Villa de Allende, México a 04 de Abril de 2025</w:t>
      </w:r>
    </w:p>
    <w:p w:rsidR="00F26182" w:rsidRPr="00AB46D0" w:rsidRDefault="003B6BB8" w:rsidP="00FC3FED">
      <w:pPr>
        <w:pBdr>
          <w:top w:val="nil"/>
          <w:left w:val="nil"/>
          <w:bottom w:val="nil"/>
          <w:right w:val="nil"/>
          <w:between w:val="nil"/>
        </w:pBdr>
        <w:spacing w:after="0" w:line="360" w:lineRule="auto"/>
        <w:ind w:left="709"/>
        <w:jc w:val="right"/>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Nombre del solicitante: C. Solicitante</w:t>
      </w:r>
    </w:p>
    <w:p w:rsidR="00F26182" w:rsidRPr="00AB46D0" w:rsidRDefault="003B6BB8" w:rsidP="00FC3FED">
      <w:pPr>
        <w:pBdr>
          <w:top w:val="nil"/>
          <w:left w:val="nil"/>
          <w:bottom w:val="nil"/>
          <w:right w:val="nil"/>
          <w:between w:val="nil"/>
        </w:pBdr>
        <w:spacing w:after="0" w:line="360" w:lineRule="auto"/>
        <w:ind w:left="709"/>
        <w:jc w:val="right"/>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Folio de la solicitud: 00030/VIALLEN/IP/2025</w:t>
      </w:r>
    </w:p>
    <w:p w:rsidR="00F26182" w:rsidRPr="00AB46D0" w:rsidRDefault="003B6BB8"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6182" w:rsidRPr="00AB46D0" w:rsidRDefault="00F26182"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p>
    <w:p w:rsidR="00F26182" w:rsidRPr="00AB46D0" w:rsidRDefault="003B6BB8"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Se entrega relación de la información solicitada.</w:t>
      </w:r>
    </w:p>
    <w:p w:rsidR="00F26182" w:rsidRPr="00AB46D0" w:rsidRDefault="003B6BB8"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ATENTAMENTE</w:t>
      </w:r>
    </w:p>
    <w:p w:rsidR="00F26182" w:rsidRPr="00AB46D0" w:rsidRDefault="003B6BB8"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i/>
          <w:color w:val="000000"/>
          <w:sz w:val="24"/>
          <w:szCs w:val="24"/>
        </w:rPr>
        <w:t>LIC. Estefanía Gómez Gómora</w:t>
      </w:r>
    </w:p>
    <w:p w:rsidR="00F26182" w:rsidRPr="00AB46D0" w:rsidRDefault="00F26182" w:rsidP="00FC3FED">
      <w:pPr>
        <w:pBdr>
          <w:top w:val="nil"/>
          <w:left w:val="nil"/>
          <w:bottom w:val="nil"/>
          <w:right w:val="nil"/>
          <w:between w:val="nil"/>
        </w:pBdr>
        <w:spacing w:after="0" w:line="360" w:lineRule="auto"/>
        <w:ind w:left="709"/>
        <w:jc w:val="both"/>
        <w:rPr>
          <w:rFonts w:ascii="Palatino Linotype" w:eastAsia="Palatino Linotype" w:hAnsi="Palatino Linotype" w:cs="Palatino Linotype"/>
          <w:i/>
          <w:color w:val="000000"/>
          <w:sz w:val="24"/>
          <w:szCs w:val="24"/>
        </w:rPr>
      </w:pPr>
    </w:p>
    <w:p w:rsidR="00F26182" w:rsidRPr="00AB46D0" w:rsidRDefault="003B6BB8" w:rsidP="00FC3FED">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 xml:space="preserve">Inconforme con lo anterior, el </w:t>
      </w:r>
      <w:r w:rsidRPr="00AB46D0">
        <w:rPr>
          <w:rFonts w:ascii="Palatino Linotype" w:eastAsia="Palatino Linotype" w:hAnsi="Palatino Linotype" w:cs="Palatino Linotype"/>
          <w:b/>
          <w:color w:val="000000"/>
          <w:sz w:val="24"/>
          <w:szCs w:val="24"/>
        </w:rPr>
        <w:t>veintidós de abril de dos mil veinticinco</w:t>
      </w:r>
      <w:r w:rsidRPr="00AB46D0">
        <w:rPr>
          <w:rFonts w:ascii="Palatino Linotype" w:eastAsia="Palatino Linotype" w:hAnsi="Palatino Linotype" w:cs="Palatino Linotype"/>
          <w:color w:val="000000"/>
          <w:sz w:val="24"/>
          <w:szCs w:val="24"/>
        </w:rPr>
        <w:t xml:space="preserve">, el hoy </w:t>
      </w:r>
      <w:r w:rsidRPr="00AB46D0">
        <w:rPr>
          <w:rFonts w:ascii="Palatino Linotype" w:eastAsia="Palatino Linotype" w:hAnsi="Palatino Linotype" w:cs="Palatino Linotype"/>
          <w:b/>
          <w:color w:val="000000"/>
          <w:sz w:val="24"/>
          <w:szCs w:val="24"/>
        </w:rPr>
        <w:t xml:space="preserve">RECURRENTE, </w:t>
      </w:r>
      <w:r w:rsidRPr="00AB46D0">
        <w:rPr>
          <w:rFonts w:ascii="Palatino Linotype" w:eastAsia="Palatino Linotype" w:hAnsi="Palatino Linotype" w:cs="Palatino Linotype"/>
          <w:color w:val="000000"/>
          <w:sz w:val="24"/>
          <w:szCs w:val="24"/>
        </w:rPr>
        <w:t xml:space="preserve">interpuso recurso de revisión en contra de la respuesta emitida por el </w:t>
      </w:r>
      <w:r w:rsidRPr="00AB46D0">
        <w:rPr>
          <w:rFonts w:ascii="Palatino Linotype" w:eastAsia="Palatino Linotype" w:hAnsi="Palatino Linotype" w:cs="Palatino Linotype"/>
          <w:b/>
          <w:color w:val="000000"/>
          <w:sz w:val="24"/>
          <w:szCs w:val="24"/>
        </w:rPr>
        <w:t>SUJETO OBLIGADO</w:t>
      </w:r>
      <w:r w:rsidRPr="00AB46D0">
        <w:rPr>
          <w:rFonts w:ascii="Palatino Linotype" w:eastAsia="Palatino Linotype" w:hAnsi="Palatino Linotype" w:cs="Palatino Linotype"/>
          <w:color w:val="000000"/>
          <w:sz w:val="24"/>
          <w:szCs w:val="24"/>
        </w:rPr>
        <w:t>, manifestando las siguientes razones o motivos de inconformidad:</w:t>
      </w:r>
    </w:p>
    <w:p w:rsidR="00F26182" w:rsidRPr="00AB46D0" w:rsidRDefault="00F26182" w:rsidP="00FC3FED">
      <w:pPr>
        <w:pBdr>
          <w:top w:val="nil"/>
          <w:left w:val="nil"/>
          <w:bottom w:val="nil"/>
          <w:right w:val="nil"/>
          <w:between w:val="nil"/>
        </w:pBdr>
        <w:tabs>
          <w:tab w:val="left" w:pos="0"/>
        </w:tabs>
        <w:spacing w:after="0" w:line="360" w:lineRule="auto"/>
        <w:jc w:val="both"/>
        <w:rPr>
          <w:rFonts w:ascii="Palatino Linotype" w:hAnsi="Palatino Linotype"/>
          <w:color w:val="000000"/>
          <w:sz w:val="24"/>
          <w:szCs w:val="24"/>
        </w:rPr>
      </w:pPr>
    </w:p>
    <w:p w:rsidR="00F26182" w:rsidRPr="00AB46D0" w:rsidRDefault="003B6BB8" w:rsidP="00FC3FED">
      <w:pPr>
        <w:numPr>
          <w:ilvl w:val="0"/>
          <w:numId w:val="2"/>
        </w:numPr>
        <w:pBdr>
          <w:top w:val="nil"/>
          <w:left w:val="nil"/>
          <w:bottom w:val="nil"/>
          <w:right w:val="nil"/>
          <w:between w:val="nil"/>
        </w:pBdr>
        <w:spacing w:after="0" w:line="276" w:lineRule="auto"/>
        <w:ind w:left="993"/>
        <w:jc w:val="both"/>
        <w:rPr>
          <w:rFonts w:ascii="Palatino Linotype" w:eastAsia="Palatino Linotype" w:hAnsi="Palatino Linotype" w:cs="Palatino Linotype"/>
          <w:i/>
          <w:color w:val="000000"/>
          <w:sz w:val="24"/>
          <w:szCs w:val="24"/>
        </w:rPr>
      </w:pPr>
      <w:bookmarkStart w:id="2" w:name="_heading=h.30j0zll" w:colFirst="0" w:colLast="0"/>
      <w:bookmarkEnd w:id="2"/>
      <w:r w:rsidRPr="00AB46D0">
        <w:rPr>
          <w:rFonts w:ascii="Palatino Linotype" w:eastAsia="Palatino Linotype" w:hAnsi="Palatino Linotype" w:cs="Palatino Linotype"/>
          <w:b/>
          <w:color w:val="000000"/>
          <w:sz w:val="24"/>
          <w:szCs w:val="24"/>
        </w:rPr>
        <w:t xml:space="preserve">Acto impugnado: </w:t>
      </w:r>
      <w:r w:rsidRPr="00AB46D0">
        <w:rPr>
          <w:rFonts w:ascii="Palatino Linotype" w:eastAsia="Palatino Linotype" w:hAnsi="Palatino Linotype" w:cs="Palatino Linotype"/>
          <w:i/>
          <w:color w:val="000000"/>
          <w:sz w:val="24"/>
          <w:szCs w:val="24"/>
        </w:rPr>
        <w:t>“no entregaron lo solicitado”</w:t>
      </w:r>
    </w:p>
    <w:p w:rsidR="00F26182" w:rsidRPr="00AB46D0" w:rsidRDefault="003B6BB8" w:rsidP="00FC3FED">
      <w:pPr>
        <w:numPr>
          <w:ilvl w:val="0"/>
          <w:numId w:val="2"/>
        </w:numPr>
        <w:pBdr>
          <w:top w:val="nil"/>
          <w:left w:val="nil"/>
          <w:bottom w:val="nil"/>
          <w:right w:val="nil"/>
          <w:between w:val="nil"/>
        </w:pBdr>
        <w:spacing w:after="0" w:line="276" w:lineRule="auto"/>
        <w:ind w:left="993"/>
        <w:jc w:val="both"/>
        <w:rPr>
          <w:rFonts w:ascii="Palatino Linotype" w:eastAsia="Palatino Linotype" w:hAnsi="Palatino Linotype" w:cs="Palatino Linotype"/>
          <w:i/>
          <w:color w:val="000000"/>
          <w:sz w:val="24"/>
          <w:szCs w:val="24"/>
        </w:rPr>
      </w:pPr>
      <w:bookmarkStart w:id="3" w:name="_heading=h.1fob9te" w:colFirst="0" w:colLast="0"/>
      <w:bookmarkEnd w:id="3"/>
      <w:r w:rsidRPr="00AB46D0">
        <w:rPr>
          <w:rFonts w:ascii="Palatino Linotype" w:eastAsia="Palatino Linotype" w:hAnsi="Palatino Linotype" w:cs="Palatino Linotype"/>
          <w:b/>
          <w:color w:val="000000"/>
          <w:sz w:val="24"/>
          <w:szCs w:val="24"/>
        </w:rPr>
        <w:t xml:space="preserve">Razones o Motivos de inconformidad: </w:t>
      </w:r>
      <w:r w:rsidRPr="00AB46D0">
        <w:rPr>
          <w:rFonts w:ascii="Palatino Linotype" w:eastAsia="Palatino Linotype" w:hAnsi="Palatino Linotype" w:cs="Palatino Linotype"/>
          <w:i/>
          <w:color w:val="000000"/>
          <w:sz w:val="24"/>
          <w:szCs w:val="24"/>
        </w:rPr>
        <w:t>“no entregaron lo solicitado”</w:t>
      </w:r>
    </w:p>
    <w:p w:rsidR="00F26182" w:rsidRPr="00AB46D0" w:rsidRDefault="00F26182" w:rsidP="00FC3FED">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F26182" w:rsidRPr="00AB46D0" w:rsidRDefault="00F26182" w:rsidP="00FC3FED">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F26182"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Pr="00AB46D0">
        <w:rPr>
          <w:rFonts w:ascii="Palatino Linotype" w:eastAsia="Palatino Linotype" w:hAnsi="Palatino Linotype" w:cs="Palatino Linotype"/>
          <w:b/>
          <w:color w:val="000000"/>
          <w:sz w:val="24"/>
          <w:szCs w:val="24"/>
        </w:rPr>
        <w:lastRenderedPageBreak/>
        <w:t>veintinueve de abril de dos mil veinticinco</w:t>
      </w:r>
      <w:r w:rsidRPr="00AB46D0">
        <w:rPr>
          <w:rFonts w:ascii="Palatino Linotype" w:eastAsia="Palatino Linotype" w:hAnsi="Palatino Linotype" w:cs="Palatino Linotype"/>
          <w:color w:val="000000"/>
          <w:sz w:val="24"/>
          <w:szCs w:val="24"/>
        </w:rPr>
        <w:t xml:space="preserve">, puso a disposición de las partes el expediente electrónico vía </w:t>
      </w:r>
      <w:r w:rsidRPr="00AB46D0">
        <w:rPr>
          <w:rFonts w:ascii="Palatino Linotype" w:eastAsia="Palatino Linotype" w:hAnsi="Palatino Linotype" w:cs="Palatino Linotype"/>
          <w:b/>
          <w:color w:val="000000"/>
          <w:sz w:val="24"/>
          <w:szCs w:val="24"/>
        </w:rPr>
        <w:t xml:space="preserve">SAIMEX </w:t>
      </w:r>
      <w:r w:rsidRPr="00AB46D0">
        <w:rPr>
          <w:rFonts w:ascii="Palatino Linotype" w:eastAsia="Palatino Linotype" w:hAnsi="Palatino Linotype" w:cs="Palatino Linotype"/>
          <w:color w:val="000000"/>
          <w:sz w:val="24"/>
          <w:szCs w:val="24"/>
        </w:rPr>
        <w:t xml:space="preserve">a efecto de que en un plazo máximo de siete días </w:t>
      </w:r>
      <w:r w:rsidRPr="00AB46D0">
        <w:rPr>
          <w:rFonts w:ascii="Palatino Linotype" w:eastAsia="Palatino Linotype" w:hAnsi="Palatino Linotype" w:cs="Palatino Linotype"/>
          <w:sz w:val="24"/>
          <w:szCs w:val="24"/>
        </w:rPr>
        <w:t>manifestara</w:t>
      </w:r>
      <w:r w:rsidRPr="00AB46D0">
        <w:rPr>
          <w:rFonts w:ascii="Palatino Linotype" w:eastAsia="Palatino Linotype" w:hAnsi="Palatino Linotype" w:cs="Palatino Linotype"/>
          <w:color w:val="000000"/>
          <w:sz w:val="24"/>
          <w:szCs w:val="24"/>
        </w:rPr>
        <w:t xml:space="preserve"> lo que a su derecho conviniera, </w:t>
      </w:r>
      <w:r w:rsidRPr="00AB46D0">
        <w:rPr>
          <w:rFonts w:ascii="Palatino Linotype" w:eastAsia="Palatino Linotype" w:hAnsi="Palatino Linotype" w:cs="Palatino Linotype"/>
          <w:sz w:val="24"/>
          <w:szCs w:val="24"/>
        </w:rPr>
        <w:t>ofreciera</w:t>
      </w:r>
      <w:r w:rsidRPr="00AB46D0">
        <w:rPr>
          <w:rFonts w:ascii="Palatino Linotype" w:eastAsia="Palatino Linotype" w:hAnsi="Palatino Linotype" w:cs="Palatino Linotype"/>
          <w:color w:val="000000"/>
          <w:sz w:val="24"/>
          <w:szCs w:val="24"/>
        </w:rPr>
        <w:t xml:space="preserve"> pruebas y alegatos según corresponda a los casos concretos, y el </w:t>
      </w:r>
      <w:r w:rsidRPr="00AB46D0">
        <w:rPr>
          <w:rFonts w:ascii="Palatino Linotype" w:eastAsia="Palatino Linotype" w:hAnsi="Palatino Linotype" w:cs="Palatino Linotype"/>
          <w:b/>
          <w:color w:val="000000"/>
          <w:sz w:val="24"/>
          <w:szCs w:val="24"/>
        </w:rPr>
        <w:t>SUJETO OBLIGADO</w:t>
      </w:r>
      <w:r w:rsidRPr="00AB46D0">
        <w:rPr>
          <w:rFonts w:ascii="Palatino Linotype" w:eastAsia="Palatino Linotype" w:hAnsi="Palatino Linotype" w:cs="Palatino Linotype"/>
          <w:color w:val="000000"/>
          <w:sz w:val="24"/>
          <w:szCs w:val="24"/>
        </w:rPr>
        <w:t xml:space="preserve"> presentará el Informe Justificado procedente.</w:t>
      </w:r>
    </w:p>
    <w:p w:rsidR="00F26182" w:rsidRPr="00AB46D0" w:rsidRDefault="00F26182" w:rsidP="00FC3F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26182" w:rsidRPr="00AB46D0" w:rsidRDefault="00F26182" w:rsidP="00FC3FED">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F26182"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 xml:space="preserve">El </w:t>
      </w:r>
      <w:r w:rsidRPr="00AB46D0">
        <w:rPr>
          <w:rFonts w:ascii="Palatino Linotype" w:eastAsia="Palatino Linotype" w:hAnsi="Palatino Linotype" w:cs="Palatino Linotype"/>
          <w:b/>
          <w:color w:val="000000"/>
          <w:sz w:val="24"/>
          <w:szCs w:val="24"/>
        </w:rPr>
        <w:t xml:space="preserve">SUJETO OBLIGADO, </w:t>
      </w:r>
      <w:r w:rsidRPr="00AB46D0">
        <w:rPr>
          <w:rFonts w:ascii="Palatino Linotype" w:eastAsia="Palatino Linotype" w:hAnsi="Palatino Linotype" w:cs="Palatino Linotype"/>
          <w:sz w:val="24"/>
          <w:szCs w:val="24"/>
        </w:rPr>
        <w:t xml:space="preserve">rindió </w:t>
      </w:r>
      <w:r w:rsidRPr="00AB46D0">
        <w:rPr>
          <w:rFonts w:ascii="Palatino Linotype" w:eastAsia="Palatino Linotype" w:hAnsi="Palatino Linotype" w:cs="Palatino Linotype"/>
          <w:color w:val="000000"/>
          <w:sz w:val="24"/>
          <w:szCs w:val="24"/>
        </w:rPr>
        <w:t xml:space="preserve">el informe justificado correspondiente, el </w:t>
      </w:r>
      <w:r w:rsidRPr="00AB46D0">
        <w:rPr>
          <w:rFonts w:ascii="Palatino Linotype" w:eastAsia="Palatino Linotype" w:hAnsi="Palatino Linotype" w:cs="Palatino Linotype"/>
          <w:b/>
          <w:color w:val="000000"/>
          <w:sz w:val="24"/>
          <w:szCs w:val="24"/>
        </w:rPr>
        <w:t xml:space="preserve">primero de mayo de dos mil veinticinco, </w:t>
      </w:r>
      <w:r w:rsidRPr="00AB46D0">
        <w:rPr>
          <w:rFonts w:ascii="Palatino Linotype" w:eastAsia="Palatino Linotype" w:hAnsi="Palatino Linotype" w:cs="Palatino Linotype"/>
          <w:color w:val="000000"/>
          <w:sz w:val="24"/>
          <w:szCs w:val="24"/>
        </w:rPr>
        <w:t xml:space="preserve"> a través del archivo siguiente:</w:t>
      </w:r>
    </w:p>
    <w:p w:rsidR="00F26182" w:rsidRPr="00AB46D0" w:rsidRDefault="00F26182" w:rsidP="00FC3FED">
      <w:pPr>
        <w:pBdr>
          <w:top w:val="nil"/>
          <w:left w:val="nil"/>
          <w:bottom w:val="nil"/>
          <w:right w:val="nil"/>
          <w:between w:val="nil"/>
        </w:pBdr>
        <w:spacing w:after="0" w:line="360" w:lineRule="auto"/>
        <w:jc w:val="both"/>
        <w:rPr>
          <w:rFonts w:ascii="Palatino Linotype" w:hAnsi="Palatino Linotype"/>
          <w:color w:val="000000"/>
          <w:sz w:val="24"/>
          <w:szCs w:val="24"/>
        </w:rPr>
      </w:pPr>
    </w:p>
    <w:p w:rsidR="00F26182" w:rsidRPr="00AB46D0" w:rsidRDefault="003B6BB8" w:rsidP="00FC3FED">
      <w:pPr>
        <w:numPr>
          <w:ilvl w:val="0"/>
          <w:numId w:val="5"/>
        </w:numPr>
        <w:pBdr>
          <w:top w:val="nil"/>
          <w:left w:val="nil"/>
          <w:bottom w:val="nil"/>
          <w:right w:val="nil"/>
          <w:between w:val="nil"/>
        </w:pBdr>
        <w:spacing w:after="0" w:line="360" w:lineRule="auto"/>
        <w:rPr>
          <w:rFonts w:ascii="Palatino Linotype" w:eastAsia="Palatino Linotype" w:hAnsi="Palatino Linotype" w:cs="Palatino Linotype"/>
          <w:b/>
          <w:i/>
          <w:color w:val="000000"/>
          <w:sz w:val="24"/>
          <w:szCs w:val="24"/>
        </w:rPr>
      </w:pPr>
      <w:r w:rsidRPr="00AB46D0">
        <w:rPr>
          <w:rFonts w:ascii="Palatino Linotype" w:eastAsia="Palatino Linotype" w:hAnsi="Palatino Linotype" w:cs="Palatino Linotype"/>
          <w:b/>
          <w:i/>
          <w:color w:val="000000"/>
          <w:sz w:val="24"/>
          <w:szCs w:val="24"/>
        </w:rPr>
        <w:t xml:space="preserve">R30.pdf, </w:t>
      </w:r>
      <w:r w:rsidRPr="00AB46D0">
        <w:rPr>
          <w:rFonts w:ascii="Palatino Linotype" w:eastAsia="Palatino Linotype" w:hAnsi="Palatino Linotype" w:cs="Palatino Linotype"/>
          <w:color w:val="000000"/>
          <w:sz w:val="24"/>
          <w:szCs w:val="24"/>
        </w:rPr>
        <w:t>archivo por el que informó que respecto a lo solicitado, se remite lo siguiente:</w:t>
      </w:r>
    </w:p>
    <w:p w:rsidR="00F26182" w:rsidRPr="00AB46D0" w:rsidRDefault="003B6BB8" w:rsidP="00FC3FED">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noProof/>
          <w:color w:val="000000"/>
          <w:sz w:val="24"/>
          <w:szCs w:val="24"/>
        </w:rPr>
        <w:drawing>
          <wp:inline distT="0" distB="0" distL="0" distR="0">
            <wp:extent cx="5581015" cy="8553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81015" cy="855345"/>
                    </a:xfrm>
                    <a:prstGeom prst="rect">
                      <a:avLst/>
                    </a:prstGeom>
                    <a:ln/>
                  </pic:spPr>
                </pic:pic>
              </a:graphicData>
            </a:graphic>
          </wp:inline>
        </w:drawing>
      </w:r>
    </w:p>
    <w:p w:rsidR="00F26182"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3znysh7" w:colFirst="0" w:colLast="0"/>
      <w:bookmarkEnd w:id="4"/>
      <w:r w:rsidRPr="00AB46D0">
        <w:rPr>
          <w:rFonts w:ascii="Palatino Linotype" w:eastAsia="Palatino Linotype" w:hAnsi="Palatino Linotype" w:cs="Palatino Linotype"/>
          <w:color w:val="000000"/>
          <w:sz w:val="24"/>
          <w:szCs w:val="24"/>
        </w:rPr>
        <w:t xml:space="preserve">Finalmente, mediante acuerdo de </w:t>
      </w:r>
      <w:r w:rsidRPr="00AB46D0">
        <w:rPr>
          <w:rFonts w:ascii="Palatino Linotype" w:eastAsia="Palatino Linotype" w:hAnsi="Palatino Linotype" w:cs="Palatino Linotype"/>
          <w:b/>
          <w:color w:val="000000"/>
          <w:sz w:val="24"/>
          <w:szCs w:val="24"/>
        </w:rPr>
        <w:t xml:space="preserve">catorce de mayo de dos mil veinticinco, </w:t>
      </w:r>
      <w:r w:rsidRPr="00AB46D0">
        <w:rPr>
          <w:rFonts w:ascii="Palatino Linotype" w:eastAsia="Palatino Linotype" w:hAnsi="Palatino Linotype" w:cs="Palatino Linotype"/>
          <w:color w:val="000000"/>
          <w:sz w:val="24"/>
          <w:szCs w:val="24"/>
        </w:rPr>
        <w:t>se  decretó el cierre de instrucción, por lo que no habiendo más que hacer constar, y----------</w:t>
      </w:r>
    </w:p>
    <w:p w:rsidR="00F26182" w:rsidRPr="00AB46D0" w:rsidRDefault="00F26182" w:rsidP="00FC3FED">
      <w:pPr>
        <w:pBdr>
          <w:top w:val="nil"/>
          <w:left w:val="nil"/>
          <w:bottom w:val="nil"/>
          <w:right w:val="nil"/>
          <w:between w:val="nil"/>
        </w:pBdr>
        <w:spacing w:after="0" w:line="360" w:lineRule="auto"/>
        <w:rPr>
          <w:rFonts w:ascii="Palatino Linotype" w:eastAsia="Palatino Linotype" w:hAnsi="Palatino Linotype" w:cs="Palatino Linotype"/>
          <w:b/>
          <w:sz w:val="24"/>
          <w:szCs w:val="24"/>
        </w:rPr>
      </w:pPr>
    </w:p>
    <w:p w:rsidR="00F26182" w:rsidRPr="00AB46D0" w:rsidRDefault="00F26182" w:rsidP="00FC3FED">
      <w:pPr>
        <w:pBdr>
          <w:top w:val="nil"/>
          <w:left w:val="nil"/>
          <w:bottom w:val="nil"/>
          <w:right w:val="nil"/>
          <w:between w:val="nil"/>
        </w:pBdr>
        <w:spacing w:after="0" w:line="360" w:lineRule="auto"/>
        <w:rPr>
          <w:rFonts w:ascii="Palatino Linotype" w:eastAsia="Palatino Linotype" w:hAnsi="Palatino Linotype" w:cs="Palatino Linotype"/>
          <w:b/>
          <w:sz w:val="24"/>
          <w:szCs w:val="24"/>
        </w:rPr>
      </w:pPr>
    </w:p>
    <w:p w:rsidR="00F26182" w:rsidRPr="00AB46D0" w:rsidRDefault="003B6BB8" w:rsidP="00FC3FED">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C O N S I D E R A N D O</w:t>
      </w:r>
    </w:p>
    <w:p w:rsidR="00F26182" w:rsidRPr="00AB46D0" w:rsidRDefault="00F26182" w:rsidP="00FC3FED">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F26182" w:rsidRPr="00AB46D0" w:rsidRDefault="003B6BB8" w:rsidP="00FC3FED">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AB46D0">
        <w:rPr>
          <w:rFonts w:ascii="Palatino Linotype" w:eastAsia="Palatino Linotype" w:hAnsi="Palatino Linotype" w:cs="Palatino Linotype"/>
          <w:b/>
          <w:color w:val="000000"/>
          <w:sz w:val="24"/>
          <w:szCs w:val="24"/>
        </w:rPr>
        <w:lastRenderedPageBreak/>
        <w:t>PRIMERO. De la competencia</w:t>
      </w:r>
    </w:p>
    <w:p w:rsidR="00F26182"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26182" w:rsidRPr="00AB46D0" w:rsidRDefault="00F26182" w:rsidP="00FC3F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26182" w:rsidRPr="00AB46D0" w:rsidRDefault="003B6BB8" w:rsidP="00FC3FED">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AB46D0">
        <w:rPr>
          <w:rFonts w:ascii="Palatino Linotype" w:eastAsia="Palatino Linotype" w:hAnsi="Palatino Linotype" w:cs="Palatino Linotype"/>
          <w:b/>
          <w:color w:val="000000"/>
          <w:sz w:val="24"/>
          <w:szCs w:val="24"/>
        </w:rPr>
        <w:t>SEGUNDO. De la oportunidad y procedencia.</w:t>
      </w:r>
    </w:p>
    <w:p w:rsidR="00F26182" w:rsidRPr="00AB46D0" w:rsidRDefault="00F26182" w:rsidP="00FC3FED">
      <w:pPr>
        <w:rPr>
          <w:rFonts w:ascii="Palatino Linotype" w:hAnsi="Palatino Linotype"/>
          <w:sz w:val="24"/>
          <w:szCs w:val="24"/>
        </w:rPr>
      </w:pPr>
    </w:p>
    <w:p w:rsidR="00F26182"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 xml:space="preserve">El medio de impugnación fue presentado a través del </w:t>
      </w:r>
      <w:r w:rsidRPr="00AB46D0">
        <w:rPr>
          <w:rFonts w:ascii="Palatino Linotype" w:eastAsia="Palatino Linotype" w:hAnsi="Palatino Linotype" w:cs="Palatino Linotype"/>
          <w:b/>
          <w:color w:val="000000"/>
          <w:sz w:val="24"/>
          <w:szCs w:val="24"/>
        </w:rPr>
        <w:t>SAIMEX,</w:t>
      </w:r>
      <w:r w:rsidRPr="00AB46D0">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AB46D0">
        <w:rPr>
          <w:rFonts w:ascii="Palatino Linotype" w:eastAsia="Palatino Linotype" w:hAnsi="Palatino Linotype" w:cs="Palatino Linotype"/>
          <w:b/>
          <w:color w:val="000000"/>
          <w:sz w:val="24"/>
          <w:szCs w:val="24"/>
        </w:rPr>
        <w:t>SUJETO OBLIGADO</w:t>
      </w:r>
      <w:r w:rsidRPr="00AB46D0">
        <w:rPr>
          <w:rFonts w:ascii="Palatino Linotype" w:eastAsia="Palatino Linotype" w:hAnsi="Palatino Linotype" w:cs="Palatino Linotype"/>
          <w:color w:val="000000"/>
          <w:sz w:val="24"/>
          <w:szCs w:val="24"/>
        </w:rPr>
        <w:t xml:space="preserve"> entregó su respuesta el </w:t>
      </w:r>
      <w:r w:rsidRPr="00AB46D0">
        <w:rPr>
          <w:rFonts w:ascii="Palatino Linotype" w:eastAsia="Palatino Linotype" w:hAnsi="Palatino Linotype" w:cs="Palatino Linotype"/>
          <w:b/>
          <w:color w:val="000000"/>
          <w:sz w:val="24"/>
          <w:szCs w:val="24"/>
        </w:rPr>
        <w:t>cuatro de abril de dos mil veinticinco</w:t>
      </w:r>
      <w:r w:rsidRPr="00AB46D0">
        <w:rPr>
          <w:rFonts w:ascii="Palatino Linotype" w:eastAsia="Palatino Linotype" w:hAnsi="Palatino Linotype" w:cs="Palatino Linotype"/>
          <w:color w:val="000000"/>
          <w:sz w:val="24"/>
          <w:szCs w:val="24"/>
        </w:rPr>
        <w:t xml:space="preserve">, de tal forma que el plazo para interponer el recurso de revisión transcurrió del </w:t>
      </w:r>
      <w:r w:rsidRPr="00AB46D0">
        <w:rPr>
          <w:rFonts w:ascii="Palatino Linotype" w:eastAsia="Palatino Linotype" w:hAnsi="Palatino Linotype" w:cs="Palatino Linotype"/>
          <w:b/>
          <w:color w:val="000000"/>
          <w:sz w:val="24"/>
          <w:szCs w:val="24"/>
        </w:rPr>
        <w:t>siete de abril al seis de mayo de dos mil veinticinco</w:t>
      </w:r>
      <w:r w:rsidRPr="00AB46D0">
        <w:rPr>
          <w:rFonts w:ascii="Palatino Linotype" w:eastAsia="Palatino Linotype" w:hAnsi="Palatino Linotype" w:cs="Palatino Linotype"/>
          <w:color w:val="000000"/>
          <w:sz w:val="24"/>
          <w:szCs w:val="24"/>
        </w:rPr>
        <w:t xml:space="preserve"> en consecuencia, el ahora </w:t>
      </w:r>
      <w:r w:rsidRPr="00AB46D0">
        <w:rPr>
          <w:rFonts w:ascii="Palatino Linotype" w:eastAsia="Palatino Linotype" w:hAnsi="Palatino Linotype" w:cs="Palatino Linotype"/>
          <w:b/>
          <w:color w:val="000000"/>
          <w:sz w:val="24"/>
          <w:szCs w:val="24"/>
        </w:rPr>
        <w:t>RECURRENTE</w:t>
      </w:r>
      <w:r w:rsidRPr="00AB46D0">
        <w:rPr>
          <w:rFonts w:ascii="Palatino Linotype" w:eastAsia="Palatino Linotype" w:hAnsi="Palatino Linotype" w:cs="Palatino Linotype"/>
          <w:color w:val="000000"/>
          <w:sz w:val="24"/>
          <w:szCs w:val="24"/>
        </w:rPr>
        <w:t xml:space="preserve"> presentó su inconformidad el </w:t>
      </w:r>
      <w:r w:rsidRPr="00AB46D0">
        <w:rPr>
          <w:rFonts w:ascii="Palatino Linotype" w:eastAsia="Palatino Linotype" w:hAnsi="Palatino Linotype" w:cs="Palatino Linotype"/>
          <w:b/>
          <w:color w:val="000000"/>
          <w:sz w:val="24"/>
          <w:szCs w:val="24"/>
        </w:rPr>
        <w:t>veintidós de abril de dos mil veinticinco</w:t>
      </w:r>
      <w:r w:rsidRPr="00AB46D0">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F26182" w:rsidRPr="00AB46D0" w:rsidRDefault="00F26182" w:rsidP="00FC3F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B40C6" w:rsidRPr="00AB46D0" w:rsidRDefault="003B6BB8" w:rsidP="00FC3FED">
      <w:pPr>
        <w:numPr>
          <w:ilvl w:val="0"/>
          <w:numId w:val="4"/>
        </w:numPr>
        <w:spacing w:after="0" w:line="360" w:lineRule="auto"/>
        <w:ind w:left="0" w:firstLine="0"/>
        <w:jc w:val="both"/>
        <w:rPr>
          <w:rFonts w:ascii="Palatino Linotype" w:hAnsi="Palatino Linotype"/>
          <w:sz w:val="24"/>
          <w:szCs w:val="24"/>
        </w:rPr>
      </w:pPr>
      <w:r w:rsidRPr="00AB46D0">
        <w:rPr>
          <w:rFonts w:ascii="Palatino Linotype" w:eastAsia="Palatino Linotype" w:hAnsi="Palatino Linotype" w:cs="Palatino Linotype"/>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heading=h.26in1rg" w:colFirst="0" w:colLast="0"/>
      <w:bookmarkStart w:id="8" w:name="_heading=h.3dy6vkm" w:colFirst="0" w:colLast="0"/>
      <w:bookmarkEnd w:id="7"/>
      <w:bookmarkEnd w:id="8"/>
    </w:p>
    <w:p w:rsidR="006107E9" w:rsidRPr="00AB46D0" w:rsidRDefault="006107E9" w:rsidP="00FC3FED">
      <w:pPr>
        <w:spacing w:after="0" w:line="360" w:lineRule="auto"/>
        <w:jc w:val="both"/>
        <w:rPr>
          <w:rFonts w:ascii="Palatino Linotype" w:hAnsi="Palatino Linotype"/>
          <w:sz w:val="24"/>
          <w:szCs w:val="24"/>
        </w:rPr>
      </w:pPr>
    </w:p>
    <w:p w:rsidR="005B3BAD" w:rsidRPr="00AB46D0" w:rsidRDefault="005B3BAD" w:rsidP="00FC3FED">
      <w:pPr>
        <w:pStyle w:val="Ttulo1"/>
        <w:spacing w:before="0" w:line="360" w:lineRule="auto"/>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 xml:space="preserve">TERCERO. Del planteamiento de la </w:t>
      </w:r>
      <w:r w:rsidRPr="00AB46D0">
        <w:rPr>
          <w:rFonts w:ascii="Palatino Linotype" w:eastAsia="Palatino Linotype" w:hAnsi="Palatino Linotype" w:cs="Palatino Linotype"/>
          <w:b/>
          <w:i/>
          <w:color w:val="000000"/>
          <w:sz w:val="24"/>
          <w:szCs w:val="24"/>
        </w:rPr>
        <w:t>Litis</w:t>
      </w:r>
      <w:r w:rsidRPr="00AB46D0">
        <w:rPr>
          <w:rFonts w:ascii="Palatino Linotype" w:eastAsia="Palatino Linotype" w:hAnsi="Palatino Linotype" w:cs="Palatino Linotype"/>
          <w:b/>
          <w:color w:val="000000"/>
          <w:sz w:val="24"/>
          <w:szCs w:val="24"/>
        </w:rPr>
        <w:t>.</w:t>
      </w:r>
    </w:p>
    <w:p w:rsidR="005B3BAD" w:rsidRPr="00AB46D0" w:rsidRDefault="005B3BAD" w:rsidP="00FC3FED">
      <w:pPr>
        <w:rPr>
          <w:rFonts w:ascii="Palatino Linotype" w:hAnsi="Palatino Linotype"/>
          <w:sz w:val="24"/>
          <w:szCs w:val="24"/>
          <w:lang w:val="es-ES_tradnl" w:eastAsia="es-ES"/>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b/>
          <w:sz w:val="24"/>
          <w:szCs w:val="24"/>
        </w:rPr>
      </w:pPr>
      <w:r w:rsidRPr="00AB46D0">
        <w:rPr>
          <w:rFonts w:ascii="Palatino Linotype" w:eastAsia="Palatino Linotype" w:hAnsi="Palatino Linotype" w:cs="Palatino Linotype"/>
          <w:sz w:val="24"/>
          <w:szCs w:val="24"/>
        </w:rPr>
        <w:t>De las constancias en el expediente al rubro indicado, se desprende que la particular solicitó la información que a continuación se desagrega:</w:t>
      </w:r>
    </w:p>
    <w:p w:rsidR="005B3BAD" w:rsidRPr="00AB46D0" w:rsidRDefault="005B3BAD" w:rsidP="00FC3FED">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5B3BAD" w:rsidRPr="00AB46D0" w:rsidRDefault="005B3BAD" w:rsidP="00FC3FED">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B46D0">
        <w:rPr>
          <w:rFonts w:ascii="Palatino Linotype" w:eastAsia="Palatino Linotype" w:hAnsi="Palatino Linotype" w:cs="Palatino Linotype"/>
          <w:b/>
          <w:color w:val="000000"/>
        </w:rPr>
        <w:t xml:space="preserve">Número de Policía qué se tenían en la Administración 2022-2024, y </w:t>
      </w:r>
    </w:p>
    <w:p w:rsidR="005B3BAD" w:rsidRPr="00AB46D0" w:rsidRDefault="005B3BAD" w:rsidP="00FC3FED">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B46D0">
        <w:rPr>
          <w:rFonts w:ascii="Palatino Linotype" w:eastAsia="Palatino Linotype" w:hAnsi="Palatino Linotype" w:cs="Palatino Linotype"/>
          <w:b/>
          <w:color w:val="000000"/>
        </w:rPr>
        <w:t>Cuántos de ellos siguen laborando en la administración 2025-2027.</w:t>
      </w:r>
    </w:p>
    <w:p w:rsidR="005B3BAD" w:rsidRPr="00AB46D0" w:rsidRDefault="005B3BAD" w:rsidP="00FC3FED">
      <w:pPr>
        <w:pBdr>
          <w:top w:val="nil"/>
          <w:left w:val="nil"/>
          <w:bottom w:val="nil"/>
          <w:right w:val="nil"/>
          <w:between w:val="nil"/>
        </w:pBdr>
        <w:spacing w:line="360" w:lineRule="auto"/>
        <w:ind w:left="778"/>
        <w:jc w:val="both"/>
        <w:rPr>
          <w:rFonts w:ascii="Palatino Linotype" w:eastAsia="Palatino Linotype" w:hAnsi="Palatino Linotype" w:cs="Palatino Linotype"/>
          <w:b/>
          <w:color w:val="000000"/>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 xml:space="preserve"> El </w:t>
      </w:r>
      <w:r w:rsidRPr="00AB46D0">
        <w:rPr>
          <w:rFonts w:ascii="Palatino Linotype" w:eastAsia="Palatino Linotype" w:hAnsi="Palatino Linotype" w:cs="Palatino Linotype"/>
          <w:b/>
          <w:sz w:val="24"/>
          <w:szCs w:val="24"/>
        </w:rPr>
        <w:t xml:space="preserve">SUJETO OBLIGADO </w:t>
      </w:r>
      <w:r w:rsidR="00130D32" w:rsidRPr="00AB46D0">
        <w:rPr>
          <w:rFonts w:ascii="Palatino Linotype" w:eastAsia="Palatino Linotype" w:hAnsi="Palatino Linotype" w:cs="Palatino Linotype"/>
          <w:sz w:val="24"/>
          <w:szCs w:val="24"/>
        </w:rPr>
        <w:t>dio respuesta como quedo referido en el numeral dos del presente proyecto.</w:t>
      </w:r>
      <w:r w:rsidRPr="00AB46D0">
        <w:rPr>
          <w:rFonts w:ascii="Palatino Linotype" w:eastAsia="Palatino Linotype" w:hAnsi="Palatino Linotype" w:cs="Palatino Linotype"/>
          <w:sz w:val="24"/>
          <w:szCs w:val="24"/>
        </w:rPr>
        <w:t xml:space="preserve">  </w:t>
      </w:r>
    </w:p>
    <w:p w:rsidR="005B3BAD" w:rsidRPr="00AB46D0" w:rsidRDefault="005B3BAD" w:rsidP="00FC3FED">
      <w:pPr>
        <w:spacing w:after="0" w:line="360" w:lineRule="auto"/>
        <w:jc w:val="both"/>
        <w:rPr>
          <w:rFonts w:ascii="Palatino Linotype" w:eastAsia="Palatino Linotype" w:hAnsi="Palatino Linotype" w:cs="Palatino Linotype"/>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 xml:space="preserve">Dentro de la etapa de manifestaciones, el </w:t>
      </w:r>
      <w:r w:rsidRPr="00AB46D0">
        <w:rPr>
          <w:rFonts w:ascii="Palatino Linotype" w:eastAsia="Palatino Linotype" w:hAnsi="Palatino Linotype" w:cs="Palatino Linotype"/>
          <w:b/>
          <w:sz w:val="24"/>
          <w:szCs w:val="24"/>
        </w:rPr>
        <w:t>SUJETO OBLIGADO,</w:t>
      </w:r>
      <w:r w:rsidRPr="00AB46D0">
        <w:rPr>
          <w:rFonts w:ascii="Palatino Linotype" w:hAnsi="Palatino Linotype"/>
          <w:sz w:val="24"/>
          <w:szCs w:val="24"/>
        </w:rPr>
        <w:t xml:space="preserve"> remitió un archivo en el que refirió se encuentra la información solicitada. </w:t>
      </w:r>
    </w:p>
    <w:p w:rsidR="005B3BAD" w:rsidRPr="00AB46D0" w:rsidRDefault="005B3BAD" w:rsidP="00FC3FE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 xml:space="preserve">En dichas condiciones, la </w:t>
      </w:r>
      <w:r w:rsidRPr="00AB46D0">
        <w:rPr>
          <w:rFonts w:ascii="Palatino Linotype" w:eastAsia="Palatino Linotype" w:hAnsi="Palatino Linotype" w:cs="Palatino Linotype"/>
          <w:i/>
          <w:sz w:val="24"/>
          <w:szCs w:val="24"/>
        </w:rPr>
        <w:t>Litis</w:t>
      </w:r>
      <w:r w:rsidRPr="00AB46D0">
        <w:rPr>
          <w:rFonts w:ascii="Palatino Linotype" w:eastAsia="Palatino Linotype" w:hAnsi="Palatino Linotype" w:cs="Palatino Linotype"/>
          <w:sz w:val="24"/>
          <w:szCs w:val="24"/>
        </w:rPr>
        <w:t xml:space="preserve"> a resolver en este recurso se circunscribe a determinar si se actualizan las causales de procedencia previstas en el artículo 179, </w:t>
      </w:r>
      <w:r w:rsidR="00E35297" w:rsidRPr="00AB46D0">
        <w:rPr>
          <w:rFonts w:ascii="Palatino Linotype" w:eastAsia="Palatino Linotype" w:hAnsi="Palatino Linotype" w:cs="Palatino Linotype"/>
          <w:b/>
          <w:sz w:val="24"/>
          <w:szCs w:val="24"/>
        </w:rPr>
        <w:t>fracción V</w:t>
      </w:r>
      <w:r w:rsidRPr="00AB46D0">
        <w:rPr>
          <w:rFonts w:ascii="Palatino Linotype" w:eastAsia="Palatino Linotype" w:hAnsi="Palatino Linotype" w:cs="Palatino Linotype"/>
          <w:b/>
          <w:sz w:val="24"/>
          <w:szCs w:val="24"/>
        </w:rPr>
        <w:t xml:space="preserve"> </w:t>
      </w:r>
      <w:r w:rsidRPr="00AB46D0">
        <w:rPr>
          <w:rFonts w:ascii="Palatino Linotype" w:eastAsia="Palatino Linotype" w:hAnsi="Palatino Linotype" w:cs="Palatino Linotype"/>
          <w:sz w:val="24"/>
          <w:szCs w:val="24"/>
        </w:rPr>
        <w:t>de la</w:t>
      </w:r>
      <w:r w:rsidRPr="00AB46D0">
        <w:rPr>
          <w:rFonts w:ascii="Palatino Linotype" w:eastAsia="Palatino Linotype" w:hAnsi="Palatino Linotype" w:cs="Palatino Linotype"/>
          <w:color w:val="000000"/>
          <w:sz w:val="24"/>
          <w:szCs w:val="24"/>
        </w:rPr>
        <w:t xml:space="preserve"> Ley</w:t>
      </w:r>
      <w:r w:rsidRPr="00AB46D0">
        <w:rPr>
          <w:rFonts w:ascii="Palatino Linotype" w:eastAsia="Palatino Linotype" w:hAnsi="Palatino Linotype" w:cs="Palatino Linotype"/>
          <w:b/>
          <w:sz w:val="24"/>
          <w:szCs w:val="24"/>
        </w:rPr>
        <w:t xml:space="preserve"> de Transparencia y Acceso a la Información Pública del Estado de </w:t>
      </w:r>
      <w:r w:rsidRPr="00AB46D0">
        <w:rPr>
          <w:rFonts w:ascii="Palatino Linotype" w:eastAsia="Palatino Linotype" w:hAnsi="Palatino Linotype" w:cs="Palatino Linotype"/>
          <w:sz w:val="24"/>
          <w:szCs w:val="24"/>
        </w:rPr>
        <w:t>México</w:t>
      </w:r>
      <w:r w:rsidRPr="00AB46D0">
        <w:rPr>
          <w:rFonts w:ascii="Palatino Linotype" w:eastAsia="Palatino Linotype" w:hAnsi="Palatino Linotype" w:cs="Palatino Linotype"/>
          <w:b/>
          <w:sz w:val="24"/>
          <w:szCs w:val="24"/>
        </w:rPr>
        <w:t xml:space="preserve"> y Municipios</w:t>
      </w:r>
      <w:r w:rsidRPr="00AB46D0">
        <w:rPr>
          <w:rFonts w:ascii="Palatino Linotype" w:eastAsia="Palatino Linotype" w:hAnsi="Palatino Linotype" w:cs="Palatino Linotype"/>
          <w:sz w:val="24"/>
          <w:szCs w:val="24"/>
        </w:rPr>
        <w:t xml:space="preserve">; </w:t>
      </w:r>
      <w:r w:rsidRPr="00AB46D0">
        <w:rPr>
          <w:rFonts w:ascii="Palatino Linotype" w:eastAsia="Palatino Linotype" w:hAnsi="Palatino Linotype" w:cs="Palatino Linotype"/>
          <w:color w:val="000000"/>
          <w:sz w:val="24"/>
          <w:szCs w:val="24"/>
        </w:rPr>
        <w:t xml:space="preserve">fracción que determina </w:t>
      </w:r>
      <w:r w:rsidR="00E35297" w:rsidRPr="00AB46D0">
        <w:rPr>
          <w:rFonts w:ascii="Palatino Linotype" w:eastAsia="Palatino Linotype" w:hAnsi="Palatino Linotype" w:cs="Palatino Linotype"/>
          <w:color w:val="000000"/>
          <w:sz w:val="24"/>
          <w:szCs w:val="24"/>
        </w:rPr>
        <w:t xml:space="preserve">la entrega de información </w:t>
      </w:r>
      <w:r w:rsidR="00E35297" w:rsidRPr="00AB46D0">
        <w:rPr>
          <w:rFonts w:ascii="Palatino Linotype" w:eastAsia="Palatino Linotype" w:hAnsi="Palatino Linotype" w:cs="Palatino Linotype"/>
          <w:color w:val="000000"/>
          <w:sz w:val="24"/>
          <w:szCs w:val="24"/>
        </w:rPr>
        <w:lastRenderedPageBreak/>
        <w:t>incompleta</w:t>
      </w:r>
      <w:r w:rsidRPr="00AB46D0">
        <w:rPr>
          <w:rFonts w:ascii="Palatino Linotype" w:eastAsia="Palatino Linotype" w:hAnsi="Palatino Linotype" w:cs="Palatino Linotype"/>
          <w:color w:val="000000"/>
          <w:sz w:val="24"/>
          <w:szCs w:val="24"/>
        </w:rPr>
        <w:t xml:space="preserve">; </w:t>
      </w:r>
      <w:r w:rsidRPr="00AB46D0">
        <w:rPr>
          <w:rFonts w:ascii="Palatino Linotype" w:eastAsia="Palatino Linotype" w:hAnsi="Palatino Linotype" w:cs="Palatino Linotype"/>
          <w:sz w:val="24"/>
          <w:szCs w:val="24"/>
        </w:rPr>
        <w:t xml:space="preserve">contexto del cual se dolió </w:t>
      </w:r>
      <w:r w:rsidRPr="00AB46D0">
        <w:rPr>
          <w:rFonts w:ascii="Palatino Linotype" w:eastAsia="Palatino Linotype" w:hAnsi="Palatino Linotype" w:cs="Palatino Linotype"/>
          <w:b/>
          <w:sz w:val="24"/>
          <w:szCs w:val="24"/>
        </w:rPr>
        <w:t xml:space="preserve">EL RECURRENTE </w:t>
      </w:r>
      <w:r w:rsidRPr="00AB46D0">
        <w:rPr>
          <w:rFonts w:ascii="Palatino Linotype" w:eastAsia="Palatino Linotype" w:hAnsi="Palatino Linotype" w:cs="Palatino Linotype"/>
          <w:sz w:val="24"/>
          <w:szCs w:val="24"/>
        </w:rPr>
        <w:t>al momento de interponer su inconformidad.</w:t>
      </w:r>
    </w:p>
    <w:p w:rsidR="005B3BAD" w:rsidRPr="00AB46D0" w:rsidRDefault="005B3BAD" w:rsidP="00FC3FE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 xml:space="preserve">De modo tal que el presente recurso de revisión se abocara en determinar si el </w:t>
      </w:r>
      <w:r w:rsidRPr="00AB46D0">
        <w:rPr>
          <w:rFonts w:ascii="Palatino Linotype" w:eastAsia="Palatino Linotype" w:hAnsi="Palatino Linotype" w:cs="Palatino Linotype"/>
          <w:b/>
          <w:sz w:val="24"/>
          <w:szCs w:val="24"/>
        </w:rPr>
        <w:t>SUJETO</w:t>
      </w:r>
      <w:r w:rsidRPr="00AB46D0">
        <w:rPr>
          <w:rFonts w:ascii="Palatino Linotype" w:eastAsia="Palatino Linotype" w:hAnsi="Palatino Linotype" w:cs="Palatino Linotype"/>
          <w:b/>
          <w:color w:val="000000"/>
          <w:sz w:val="24"/>
          <w:szCs w:val="24"/>
        </w:rPr>
        <w:t xml:space="preserve"> OBLIGADO</w:t>
      </w:r>
      <w:r w:rsidRPr="00AB46D0">
        <w:rPr>
          <w:rFonts w:ascii="Palatino Linotype" w:eastAsia="Palatino Linotype" w:hAnsi="Palatino Linotype" w:cs="Palatino Linotype"/>
          <w:color w:val="000000"/>
          <w:sz w:val="24"/>
          <w:szCs w:val="24"/>
        </w:rPr>
        <w:t xml:space="preserve"> con su respuesta ciertamente actualiza la causal de procedencia</w:t>
      </w:r>
      <w:r w:rsidRPr="00AB46D0">
        <w:rPr>
          <w:rFonts w:ascii="Palatino Linotype" w:eastAsia="Palatino Linotype" w:hAnsi="Palatino Linotype" w:cs="Palatino Linotype"/>
          <w:b/>
          <w:color w:val="000000"/>
          <w:sz w:val="24"/>
          <w:szCs w:val="24"/>
        </w:rPr>
        <w:t xml:space="preserve"> </w:t>
      </w:r>
      <w:r w:rsidRPr="00AB46D0">
        <w:rPr>
          <w:rFonts w:ascii="Palatino Linotype" w:eastAsia="Palatino Linotype" w:hAnsi="Palatino Linotype" w:cs="Palatino Linotype"/>
          <w:color w:val="000000"/>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5B3BAD" w:rsidRPr="00AB46D0" w:rsidRDefault="005B3BAD" w:rsidP="00FC3FED">
      <w:pPr>
        <w:spacing w:line="360" w:lineRule="auto"/>
        <w:jc w:val="both"/>
        <w:rPr>
          <w:rFonts w:ascii="Palatino Linotype" w:eastAsia="Palatino Linotype" w:hAnsi="Palatino Linotype" w:cs="Palatino Linotype"/>
          <w:sz w:val="24"/>
          <w:szCs w:val="24"/>
        </w:rPr>
      </w:pPr>
    </w:p>
    <w:p w:rsidR="005B3BAD" w:rsidRPr="00AB46D0" w:rsidRDefault="005B3BAD" w:rsidP="00FC3FED">
      <w:pPr>
        <w:keepNext/>
        <w:keepLines/>
        <w:spacing w:line="360" w:lineRule="auto"/>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CUARTO. Del estudio y resolución del asunto</w:t>
      </w:r>
    </w:p>
    <w:p w:rsidR="00130D32" w:rsidRPr="00AB46D0" w:rsidRDefault="00130D32" w:rsidP="00FC3FED">
      <w:pPr>
        <w:numPr>
          <w:ilvl w:val="0"/>
          <w:numId w:val="25"/>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 xml:space="preserve">Acotada la </w:t>
      </w:r>
      <w:r w:rsidRPr="00AB46D0">
        <w:rPr>
          <w:rFonts w:ascii="Palatino Linotype" w:eastAsia="Palatino Linotype" w:hAnsi="Palatino Linotype" w:cs="Palatino Linotype"/>
          <w:i/>
          <w:color w:val="000000"/>
          <w:sz w:val="24"/>
          <w:szCs w:val="24"/>
        </w:rPr>
        <w:t>Litis</w:t>
      </w:r>
      <w:r w:rsidRPr="00AB46D0">
        <w:rPr>
          <w:rFonts w:ascii="Palatino Linotype" w:eastAsia="Palatino Linotype" w:hAnsi="Palatino Linotype" w:cs="Palatino Linotype"/>
          <w:color w:val="000000"/>
          <w:sz w:val="24"/>
          <w:szCs w:val="24"/>
        </w:rPr>
        <w:t xml:space="preserve"> del presente asunto, </w:t>
      </w:r>
      <w:r w:rsidRPr="00AB46D0">
        <w:rPr>
          <w:rFonts w:ascii="Palatino Linotype" w:eastAsia="Palatino Linotype" w:hAnsi="Palatino Linotype" w:cs="Palatino Linotype"/>
          <w:sz w:val="24"/>
          <w:szCs w:val="24"/>
        </w:rPr>
        <w:t xml:space="preserve">es dable puntualizar inicialmente en términos generales, que el </w:t>
      </w:r>
      <w:r w:rsidRPr="00AB46D0">
        <w:rPr>
          <w:rFonts w:ascii="Palatino Linotype" w:eastAsia="Palatino Linotype" w:hAnsi="Palatino Linotype" w:cs="Palatino Linotype"/>
          <w:color w:val="000000"/>
          <w:sz w:val="24"/>
          <w:szCs w:val="24"/>
        </w:rPr>
        <w:t>Derecho</w:t>
      </w:r>
      <w:r w:rsidRPr="00AB46D0">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130D32" w:rsidRPr="00AB46D0" w:rsidRDefault="00130D32" w:rsidP="00FC3FED">
      <w:pPr>
        <w:spacing w:line="360" w:lineRule="auto"/>
        <w:jc w:val="both"/>
        <w:rPr>
          <w:rFonts w:ascii="Palatino Linotype" w:eastAsia="Palatino Linotype" w:hAnsi="Palatino Linotype" w:cs="Palatino Linotype"/>
          <w:sz w:val="24"/>
          <w:szCs w:val="24"/>
        </w:rPr>
      </w:pPr>
    </w:p>
    <w:p w:rsidR="00130D32" w:rsidRPr="00AB46D0" w:rsidRDefault="00130D32" w:rsidP="00FC3FED">
      <w:pPr>
        <w:numPr>
          <w:ilvl w:val="0"/>
          <w:numId w:val="25"/>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 xml:space="preserve">Por su parte, la Ley General de Transparencia y Acceso a la Información Pública, dispone en su artículo 70 que la información que corresponde a las </w:t>
      </w:r>
      <w:r w:rsidRPr="00AB46D0">
        <w:rPr>
          <w:rFonts w:ascii="Palatino Linotype" w:eastAsia="Palatino Linotype" w:hAnsi="Palatino Linotype" w:cs="Palatino Linotype"/>
          <w:sz w:val="24"/>
          <w:szCs w:val="24"/>
        </w:rPr>
        <w:lastRenderedPageBreak/>
        <w:t>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30D32" w:rsidRPr="00AB46D0" w:rsidRDefault="00130D32" w:rsidP="00FC3FED">
      <w:pPr>
        <w:spacing w:line="360" w:lineRule="auto"/>
        <w:jc w:val="both"/>
        <w:rPr>
          <w:rFonts w:ascii="Palatino Linotype" w:eastAsia="Palatino Linotype" w:hAnsi="Palatino Linotype" w:cs="Palatino Linotype"/>
          <w:sz w:val="24"/>
          <w:szCs w:val="24"/>
        </w:rPr>
      </w:pPr>
    </w:p>
    <w:p w:rsidR="00130D32" w:rsidRPr="00AB46D0" w:rsidRDefault="00130D32" w:rsidP="00FC3FED">
      <w:pPr>
        <w:numPr>
          <w:ilvl w:val="0"/>
          <w:numId w:val="25"/>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30D32" w:rsidRPr="00AB46D0" w:rsidRDefault="00130D32" w:rsidP="00FC3FED">
      <w:pPr>
        <w:spacing w:line="360" w:lineRule="auto"/>
        <w:jc w:val="both"/>
        <w:rPr>
          <w:rFonts w:ascii="Palatino Linotype" w:eastAsia="Palatino Linotype" w:hAnsi="Palatino Linotype" w:cs="Palatino Linotype"/>
          <w:sz w:val="24"/>
          <w:szCs w:val="24"/>
        </w:rPr>
      </w:pPr>
    </w:p>
    <w:p w:rsidR="005B3BAD" w:rsidRPr="00AB46D0" w:rsidRDefault="00130D32" w:rsidP="00FC3FED">
      <w:pPr>
        <w:numPr>
          <w:ilvl w:val="0"/>
          <w:numId w:val="25"/>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B3BAD" w:rsidRPr="00AB46D0" w:rsidRDefault="005B3BAD" w:rsidP="00FC3FED">
      <w:pPr>
        <w:spacing w:after="0" w:line="360" w:lineRule="auto"/>
        <w:jc w:val="both"/>
        <w:rPr>
          <w:rFonts w:ascii="Palatino Linotype" w:eastAsia="Palatino Linotype" w:hAnsi="Palatino Linotype" w:cs="Palatino Linotype"/>
          <w:b/>
          <w:sz w:val="24"/>
          <w:szCs w:val="24"/>
        </w:rPr>
      </w:pPr>
      <w:bookmarkStart w:id="9" w:name="_heading=h.1t3h5sf" w:colFirst="0" w:colLast="0"/>
      <w:bookmarkEnd w:id="9"/>
    </w:p>
    <w:p w:rsidR="00A67F5B" w:rsidRPr="00AB46D0" w:rsidRDefault="00A67F5B" w:rsidP="00FC3FED">
      <w:pPr>
        <w:numPr>
          <w:ilvl w:val="0"/>
          <w:numId w:val="4"/>
        </w:numPr>
        <w:spacing w:after="0" w:line="360" w:lineRule="auto"/>
        <w:ind w:left="0" w:firstLine="0"/>
        <w:jc w:val="both"/>
        <w:rPr>
          <w:rFonts w:ascii="Palatino Linotype" w:eastAsia="Palatino Linotype" w:hAnsi="Palatino Linotype" w:cs="Palatino Linotype"/>
          <w:b/>
          <w:i/>
          <w:color w:val="000000"/>
          <w:sz w:val="24"/>
          <w:szCs w:val="24"/>
        </w:rPr>
      </w:pPr>
      <w:r w:rsidRPr="00AB46D0">
        <w:rPr>
          <w:rFonts w:ascii="Palatino Linotype" w:eastAsia="Palatino Linotype" w:hAnsi="Palatino Linotype" w:cs="Palatino Linotype"/>
          <w:color w:val="000000"/>
          <w:sz w:val="24"/>
          <w:szCs w:val="24"/>
        </w:rPr>
        <w:lastRenderedPageBreak/>
        <w:t xml:space="preserve">Primeramente, previo al estudio del fondo, respecto la fuente obligacional, se advierte que el </w:t>
      </w:r>
      <w:r w:rsidRPr="00AB46D0">
        <w:rPr>
          <w:rFonts w:ascii="Palatino Linotype" w:eastAsia="Palatino Linotype" w:hAnsi="Palatino Linotype" w:cs="Palatino Linotype"/>
          <w:b/>
          <w:color w:val="000000"/>
          <w:sz w:val="24"/>
          <w:szCs w:val="24"/>
        </w:rPr>
        <w:t xml:space="preserve">SUJET OBLIGADO, </w:t>
      </w:r>
      <w:r w:rsidRPr="00AB46D0">
        <w:rPr>
          <w:rFonts w:ascii="Palatino Linotype" w:eastAsia="Palatino Linotype" w:hAnsi="Palatino Linotype" w:cs="Palatino Linotype"/>
          <w:color w:val="000000"/>
          <w:sz w:val="24"/>
          <w:szCs w:val="24"/>
        </w:rPr>
        <w:t xml:space="preserve">al momento de rendir el informe justificado correspondiente, asume que genera, posee y/o administra la información solicitada, por lo que se considera innecesario realizar el estudio correspondiente, pues –se insiste- este asume contar con la información solicitada. </w:t>
      </w:r>
    </w:p>
    <w:p w:rsidR="00A67F5B" w:rsidRPr="00AB46D0" w:rsidRDefault="00A67F5B" w:rsidP="00FC3FED">
      <w:pPr>
        <w:spacing w:after="0" w:line="360" w:lineRule="auto"/>
        <w:jc w:val="both"/>
        <w:rPr>
          <w:rFonts w:ascii="Palatino Linotype" w:eastAsia="Palatino Linotype" w:hAnsi="Palatino Linotype" w:cs="Palatino Linotype"/>
          <w:b/>
          <w:i/>
          <w:color w:val="000000"/>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b/>
          <w:i/>
          <w:color w:val="000000"/>
          <w:sz w:val="24"/>
          <w:szCs w:val="24"/>
        </w:rPr>
      </w:pPr>
      <w:r w:rsidRPr="00AB46D0">
        <w:rPr>
          <w:rFonts w:ascii="Palatino Linotype" w:eastAsia="Palatino Linotype" w:hAnsi="Palatino Linotype" w:cs="Palatino Linotype"/>
          <w:sz w:val="24"/>
          <w:szCs w:val="24"/>
        </w:rPr>
        <w:t xml:space="preserve">Ahora bien, es necesario recordar la información que fue solicitada por el </w:t>
      </w:r>
      <w:r w:rsidRPr="00AB46D0">
        <w:rPr>
          <w:rFonts w:ascii="Palatino Linotype" w:eastAsia="Palatino Linotype" w:hAnsi="Palatino Linotype" w:cs="Palatino Linotype"/>
          <w:b/>
          <w:sz w:val="24"/>
          <w:szCs w:val="24"/>
        </w:rPr>
        <w:t xml:space="preserve">RECURRENTE </w:t>
      </w:r>
      <w:r w:rsidRPr="00AB46D0">
        <w:rPr>
          <w:rFonts w:ascii="Palatino Linotype" w:eastAsia="Palatino Linotype" w:hAnsi="Palatino Linotype" w:cs="Palatino Linotype"/>
          <w:sz w:val="24"/>
          <w:szCs w:val="24"/>
        </w:rPr>
        <w:t xml:space="preserve">consistió </w:t>
      </w:r>
      <w:r w:rsidR="003B6BB8" w:rsidRPr="00AB46D0">
        <w:rPr>
          <w:rFonts w:ascii="Palatino Linotype" w:eastAsia="Palatino Linotype" w:hAnsi="Palatino Linotype" w:cs="Palatino Linotype"/>
          <w:sz w:val="24"/>
          <w:szCs w:val="24"/>
        </w:rPr>
        <w:t>saber el número de policías qué se tenían en la Administración 2022-2024, y cuántos de ellos siguen laborando en la administración 2025-2027</w:t>
      </w:r>
    </w:p>
    <w:p w:rsidR="003B6BB8" w:rsidRPr="00AB46D0" w:rsidRDefault="003B6BB8" w:rsidP="00FC3FED">
      <w:pPr>
        <w:spacing w:after="0" w:line="360" w:lineRule="auto"/>
        <w:jc w:val="both"/>
        <w:rPr>
          <w:rFonts w:ascii="Palatino Linotype" w:eastAsia="Palatino Linotype" w:hAnsi="Palatino Linotype" w:cs="Palatino Linotype"/>
          <w:b/>
          <w:i/>
          <w:color w:val="000000"/>
          <w:sz w:val="24"/>
          <w:szCs w:val="24"/>
        </w:rPr>
      </w:pPr>
    </w:p>
    <w:p w:rsidR="005B3BAD" w:rsidRPr="00AB46D0" w:rsidRDefault="003B6BB8" w:rsidP="00FC3FE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sz w:val="24"/>
          <w:szCs w:val="24"/>
        </w:rPr>
      </w:pPr>
      <w:r w:rsidRPr="00AB46D0">
        <w:rPr>
          <w:rFonts w:ascii="Palatino Linotype" w:eastAsia="Palatino Linotype" w:hAnsi="Palatino Linotype" w:cs="Palatino Linotype"/>
          <w:sz w:val="24"/>
          <w:szCs w:val="24"/>
        </w:rPr>
        <w:t>E</w:t>
      </w:r>
      <w:r w:rsidR="005B3BAD" w:rsidRPr="00AB46D0">
        <w:rPr>
          <w:rFonts w:ascii="Palatino Linotype" w:eastAsia="Palatino Linotype" w:hAnsi="Palatino Linotype" w:cs="Palatino Linotype"/>
          <w:sz w:val="24"/>
          <w:szCs w:val="24"/>
        </w:rPr>
        <w:t xml:space="preserve">l </w:t>
      </w:r>
      <w:r w:rsidR="00E35297" w:rsidRPr="00AB46D0">
        <w:rPr>
          <w:rFonts w:ascii="Palatino Linotype" w:eastAsia="Palatino Linotype" w:hAnsi="Palatino Linotype" w:cs="Palatino Linotype"/>
          <w:b/>
          <w:sz w:val="24"/>
          <w:szCs w:val="24"/>
        </w:rPr>
        <w:t xml:space="preserve">SUJETO OBLIGADO, </w:t>
      </w:r>
      <w:r w:rsidR="005B3BAD" w:rsidRPr="00AB46D0">
        <w:rPr>
          <w:rFonts w:ascii="Palatino Linotype" w:eastAsia="Palatino Linotype" w:hAnsi="Palatino Linotype" w:cs="Palatino Linotype"/>
          <w:sz w:val="24"/>
          <w:szCs w:val="24"/>
        </w:rPr>
        <w:t xml:space="preserve">durante la etapa de manifestaciones </w:t>
      </w:r>
      <w:r w:rsidRPr="00AB46D0">
        <w:rPr>
          <w:rFonts w:ascii="Palatino Linotype" w:eastAsia="Palatino Linotype" w:hAnsi="Palatino Linotype" w:cs="Palatino Linotype"/>
          <w:sz w:val="24"/>
          <w:szCs w:val="24"/>
        </w:rPr>
        <w:t>a través de la Coordinadora de Recursos Humanos, remitió la información siguiente:</w:t>
      </w:r>
    </w:p>
    <w:p w:rsidR="003B6BB8" w:rsidRPr="00AB46D0" w:rsidRDefault="003B6BB8" w:rsidP="00FC3FE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B6BB8" w:rsidRPr="00AB46D0" w:rsidRDefault="006107E9" w:rsidP="00FC3FED">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AB46D0">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512445</wp:posOffset>
                </wp:positionV>
                <wp:extent cx="3619500" cy="7334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0" cy="7334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67652" id="Rectángulo 3" o:spid="_x0000_s1026" style="position:absolute;margin-left:39.45pt;margin-top:40.35pt;width:28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" filled="f" strokecolor="red" strokeweight="1.5pt"/>
            </w:pict>
          </mc:Fallback>
        </mc:AlternateContent>
      </w:r>
      <w:r w:rsidR="003B6BB8" w:rsidRPr="00AB46D0">
        <w:rPr>
          <w:rFonts w:ascii="Palatino Linotype" w:eastAsia="Palatino Linotype" w:hAnsi="Palatino Linotype" w:cs="Palatino Linotype"/>
          <w:noProof/>
          <w:sz w:val="24"/>
          <w:szCs w:val="24"/>
        </w:rPr>
        <w:drawing>
          <wp:inline distT="0" distB="0" distL="0" distR="0" wp14:anchorId="614F05E8" wp14:editId="1DA9C48E">
            <wp:extent cx="4846782" cy="115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6782" cy="1152000"/>
                    </a:xfrm>
                    <a:prstGeom prst="rect">
                      <a:avLst/>
                    </a:prstGeom>
                  </pic:spPr>
                </pic:pic>
              </a:graphicData>
            </a:graphic>
          </wp:inline>
        </w:drawing>
      </w:r>
    </w:p>
    <w:p w:rsidR="003B6BB8" w:rsidRPr="00AB46D0" w:rsidRDefault="003B6BB8" w:rsidP="00FC3FED">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rsidR="008B7763" w:rsidRPr="00AB46D0" w:rsidRDefault="003B6BB8" w:rsidP="00FC3FED">
      <w:pPr>
        <w:numPr>
          <w:ilvl w:val="0"/>
          <w:numId w:val="4"/>
        </w:numPr>
        <w:spacing w:after="0" w:line="360" w:lineRule="auto"/>
        <w:ind w:left="0" w:firstLine="0"/>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color w:val="000000"/>
          <w:sz w:val="24"/>
          <w:szCs w:val="24"/>
        </w:rPr>
        <w:t xml:space="preserve">De lo anterior, </w:t>
      </w:r>
      <w:r w:rsidR="008B7763" w:rsidRPr="00AB46D0">
        <w:rPr>
          <w:rFonts w:ascii="Palatino Linotype" w:eastAsia="Palatino Linotype" w:hAnsi="Palatino Linotype" w:cs="Palatino Linotype"/>
          <w:color w:val="000000"/>
          <w:sz w:val="24"/>
          <w:szCs w:val="24"/>
        </w:rPr>
        <w:t xml:space="preserve">se advierte que respecto el primer rubro solicitado, es decir, el número de policías de la administración 2022-2024, el </w:t>
      </w:r>
      <w:r w:rsidR="008B7763" w:rsidRPr="00AB46D0">
        <w:rPr>
          <w:rFonts w:ascii="Palatino Linotype" w:eastAsia="Palatino Linotype" w:hAnsi="Palatino Linotype" w:cs="Palatino Linotype"/>
          <w:b/>
          <w:color w:val="000000"/>
          <w:sz w:val="24"/>
          <w:szCs w:val="24"/>
        </w:rPr>
        <w:t xml:space="preserve">SUJETO OBLIGADO </w:t>
      </w:r>
      <w:r w:rsidR="008B7763" w:rsidRPr="00AB46D0">
        <w:rPr>
          <w:rFonts w:ascii="Palatino Linotype" w:eastAsia="Palatino Linotype" w:hAnsi="Palatino Linotype" w:cs="Palatino Linotype"/>
          <w:color w:val="000000"/>
          <w:sz w:val="24"/>
          <w:szCs w:val="24"/>
        </w:rPr>
        <w:t>fue claro y preciso al dar contestación, por lo que el rubro en comento, se tiene por colmado.</w:t>
      </w:r>
    </w:p>
    <w:p w:rsidR="00DC7649" w:rsidRPr="00AB46D0" w:rsidRDefault="00DC7649" w:rsidP="00FC3FED">
      <w:pPr>
        <w:spacing w:after="0" w:line="360" w:lineRule="auto"/>
        <w:jc w:val="both"/>
        <w:rPr>
          <w:rFonts w:ascii="Palatino Linotype" w:eastAsia="Palatino Linotype" w:hAnsi="Palatino Linotype" w:cs="Palatino Linotype"/>
          <w:i/>
          <w:color w:val="000000"/>
          <w:sz w:val="24"/>
          <w:szCs w:val="24"/>
        </w:rPr>
      </w:pPr>
    </w:p>
    <w:p w:rsidR="00DC7649" w:rsidRPr="00AB46D0" w:rsidRDefault="00DC7649" w:rsidP="00FC3FED">
      <w:pPr>
        <w:numPr>
          <w:ilvl w:val="0"/>
          <w:numId w:val="4"/>
        </w:numPr>
        <w:spacing w:after="0" w:line="360" w:lineRule="auto"/>
        <w:ind w:left="0" w:firstLine="0"/>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color w:val="000000"/>
          <w:sz w:val="24"/>
          <w:szCs w:val="24"/>
        </w:rPr>
        <w:lastRenderedPageBreak/>
        <w:t xml:space="preserve">Sirve como sustento a lo anterior, el </w:t>
      </w:r>
      <w:r w:rsidRPr="00AB46D0">
        <w:rPr>
          <w:rFonts w:ascii="Palatino Linotype" w:eastAsia="Palatino Linotype" w:hAnsi="Palatino Linotype" w:cs="Palatino Linotype"/>
          <w:color w:val="000000"/>
          <w:sz w:val="24"/>
          <w:szCs w:val="24"/>
          <w:lang w:val="es-ES"/>
        </w:rPr>
        <w:t>criterio emitido por el Instituto Federal de Transparencia, Acceso a la Información Pública y Protección de Datos Personales ahora Instituto Nacional de Transparencia, Acceso a la Información Pública y Protección de Datos Personales:</w:t>
      </w:r>
    </w:p>
    <w:p w:rsidR="00DC7649" w:rsidRPr="00AB46D0" w:rsidRDefault="00DC7649" w:rsidP="00FC3FED">
      <w:pPr>
        <w:rPr>
          <w:rFonts w:ascii="Palatino Linotype" w:hAnsi="Palatino Linotype"/>
          <w:sz w:val="24"/>
          <w:szCs w:val="24"/>
          <w:lang w:val="es-ES"/>
        </w:rPr>
      </w:pPr>
    </w:p>
    <w:p w:rsidR="00DC7649" w:rsidRPr="00AB46D0" w:rsidRDefault="00DC7649" w:rsidP="00FC3FED">
      <w:pPr>
        <w:pBdr>
          <w:top w:val="nil"/>
          <w:left w:val="nil"/>
          <w:bottom w:val="nil"/>
          <w:right w:val="nil"/>
          <w:between w:val="nil"/>
        </w:pBdr>
        <w:spacing w:after="120" w:line="276" w:lineRule="auto"/>
        <w:ind w:left="851"/>
        <w:jc w:val="both"/>
        <w:rPr>
          <w:rFonts w:ascii="Palatino Linotype" w:eastAsia="Palatino Linotype" w:hAnsi="Palatino Linotype" w:cs="Palatino Linotype"/>
          <w:i/>
          <w:color w:val="000000"/>
          <w:sz w:val="24"/>
          <w:szCs w:val="24"/>
          <w:lang w:val="es-ES"/>
        </w:rPr>
      </w:pPr>
      <w:r w:rsidRPr="00AB46D0">
        <w:rPr>
          <w:rFonts w:ascii="Palatino Linotype" w:eastAsia="Palatino Linotype" w:hAnsi="Palatino Linotype" w:cs="Palatino Linotype"/>
          <w:b/>
          <w:i/>
          <w:color w:val="000000"/>
          <w:sz w:val="24"/>
          <w:szCs w:val="24"/>
          <w:lang w:val="es-ES"/>
        </w:rPr>
        <w:t xml:space="preserve">“Bases de datos. Deberá otorgarse acceso a las mismas, en el formato en el que obren en los archivos de los sujetos obligados, a fin de garantizar la libre explotación, manipulación y reutilización de la información que contienen. </w:t>
      </w:r>
      <w:r w:rsidRPr="00AB46D0">
        <w:rPr>
          <w:rFonts w:ascii="Palatino Linotype" w:eastAsia="Palatino Linotype" w:hAnsi="Palatino Linotype" w:cs="Palatino Linotype"/>
          <w:i/>
          <w:color w:val="000000"/>
          <w:sz w:val="24"/>
          <w:szCs w:val="24"/>
          <w:lang w:val="es-ES"/>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rsidR="00DC7649" w:rsidRPr="00AB46D0" w:rsidRDefault="00DC7649" w:rsidP="00FC3FED">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4"/>
          <w:szCs w:val="24"/>
          <w:lang w:val="es-ES"/>
        </w:rPr>
      </w:pPr>
      <w:r w:rsidRPr="00AB46D0">
        <w:rPr>
          <w:rFonts w:ascii="Palatino Linotype" w:eastAsia="Palatino Linotype" w:hAnsi="Palatino Linotype" w:cs="Palatino Linotype"/>
          <w:b/>
          <w:i/>
          <w:color w:val="000000"/>
          <w:sz w:val="24"/>
          <w:szCs w:val="24"/>
          <w:lang w:val="es-ES"/>
        </w:rPr>
        <w:t xml:space="preserve">La información estadística es de naturaleza pública, independientemente de la materia con la que se encuentre vinculada. </w:t>
      </w:r>
      <w:r w:rsidRPr="00AB46D0">
        <w:rPr>
          <w:rFonts w:ascii="Palatino Linotype" w:eastAsia="Palatino Linotype" w:hAnsi="Palatino Linotype" w:cs="Palatino Linotype"/>
          <w:i/>
          <w:color w:val="000000"/>
          <w:sz w:val="24"/>
          <w:szCs w:val="24"/>
          <w:lang w:val="es-ES"/>
        </w:rPr>
        <w:t xml:space="preserve">Considerando que la información estadística es el producto de un conjunto de resultados cuantitativos obtenidos de un </w:t>
      </w:r>
      <w:r w:rsidRPr="00AB46D0">
        <w:rPr>
          <w:rFonts w:ascii="Palatino Linotype" w:eastAsia="Palatino Linotype" w:hAnsi="Palatino Linotype" w:cs="Palatino Linotype"/>
          <w:i/>
          <w:color w:val="000000"/>
          <w:sz w:val="24"/>
          <w:szCs w:val="24"/>
          <w:lang w:val="es-ES"/>
        </w:rPr>
        <w:lastRenderedPageBreak/>
        <w:t>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rsidR="00A67F5B" w:rsidRPr="00AB46D0" w:rsidRDefault="00A67F5B" w:rsidP="00FC3FED">
      <w:pPr>
        <w:spacing w:after="0" w:line="360" w:lineRule="auto"/>
        <w:jc w:val="both"/>
        <w:rPr>
          <w:rFonts w:ascii="Palatino Linotype" w:eastAsia="Palatino Linotype" w:hAnsi="Palatino Linotype" w:cs="Palatino Linotype"/>
          <w:i/>
          <w:color w:val="000000"/>
          <w:sz w:val="24"/>
          <w:szCs w:val="24"/>
        </w:rPr>
      </w:pPr>
    </w:p>
    <w:p w:rsidR="00A67F5B" w:rsidRPr="00AB46D0" w:rsidRDefault="008B7763" w:rsidP="00FC3FED">
      <w:pPr>
        <w:numPr>
          <w:ilvl w:val="0"/>
          <w:numId w:val="4"/>
        </w:numPr>
        <w:spacing w:after="0" w:line="360" w:lineRule="auto"/>
        <w:ind w:left="0" w:firstLine="0"/>
        <w:jc w:val="both"/>
        <w:rPr>
          <w:rFonts w:ascii="Palatino Linotype" w:eastAsia="Palatino Linotype" w:hAnsi="Palatino Linotype" w:cs="Palatino Linotype"/>
          <w:i/>
          <w:color w:val="000000"/>
          <w:sz w:val="24"/>
          <w:szCs w:val="24"/>
        </w:rPr>
      </w:pPr>
      <w:r w:rsidRPr="00AB46D0">
        <w:rPr>
          <w:rFonts w:ascii="Palatino Linotype" w:eastAsia="Palatino Linotype" w:hAnsi="Palatino Linotype" w:cs="Palatino Linotype"/>
          <w:color w:val="000000"/>
          <w:sz w:val="24"/>
          <w:szCs w:val="24"/>
        </w:rPr>
        <w:t>Respecto el segundo rubro, relativo a</w:t>
      </w:r>
      <w:r w:rsidR="003B6BB8" w:rsidRPr="00AB46D0">
        <w:rPr>
          <w:rFonts w:ascii="Palatino Linotype" w:eastAsia="Palatino Linotype" w:hAnsi="Palatino Linotype" w:cs="Palatino Linotype"/>
          <w:color w:val="000000"/>
          <w:sz w:val="24"/>
          <w:szCs w:val="24"/>
        </w:rPr>
        <w:t xml:space="preserve"> cuantos de los policías de la administración 2022-2024 siguen laborando en administración</w:t>
      </w:r>
      <w:r w:rsidRPr="00AB46D0">
        <w:rPr>
          <w:rFonts w:ascii="Palatino Linotype" w:eastAsia="Palatino Linotype" w:hAnsi="Palatino Linotype" w:cs="Palatino Linotype"/>
          <w:color w:val="000000"/>
          <w:sz w:val="24"/>
          <w:szCs w:val="24"/>
        </w:rPr>
        <w:t xml:space="preserve"> 2</w:t>
      </w:r>
      <w:r w:rsidR="003B6BB8" w:rsidRPr="00AB46D0">
        <w:rPr>
          <w:rFonts w:ascii="Palatino Linotype" w:eastAsia="Palatino Linotype" w:hAnsi="Palatino Linotype" w:cs="Palatino Linotype"/>
          <w:color w:val="000000"/>
          <w:sz w:val="24"/>
          <w:szCs w:val="24"/>
        </w:rPr>
        <w:t>025-20</w:t>
      </w:r>
      <w:r w:rsidRPr="00AB46D0">
        <w:rPr>
          <w:rFonts w:ascii="Palatino Linotype" w:eastAsia="Palatino Linotype" w:hAnsi="Palatino Linotype" w:cs="Palatino Linotype"/>
          <w:color w:val="000000"/>
          <w:sz w:val="24"/>
          <w:szCs w:val="24"/>
        </w:rPr>
        <w:t>27</w:t>
      </w:r>
      <w:r w:rsidR="00F5409F" w:rsidRPr="00AB46D0">
        <w:rPr>
          <w:rFonts w:ascii="Palatino Linotype" w:eastAsia="Palatino Linotype" w:hAnsi="Palatino Linotype" w:cs="Palatino Linotype"/>
          <w:color w:val="000000"/>
          <w:sz w:val="24"/>
          <w:szCs w:val="24"/>
        </w:rPr>
        <w:t xml:space="preserve">, </w:t>
      </w:r>
      <w:r w:rsidRPr="00AB46D0">
        <w:rPr>
          <w:rFonts w:ascii="Palatino Linotype" w:eastAsia="Palatino Linotype" w:hAnsi="Palatino Linotype" w:cs="Palatino Linotype"/>
          <w:color w:val="000000"/>
          <w:sz w:val="24"/>
          <w:szCs w:val="24"/>
        </w:rPr>
        <w:t xml:space="preserve">se observa que la información </w:t>
      </w:r>
      <w:r w:rsidR="00F5409F" w:rsidRPr="00AB46D0">
        <w:rPr>
          <w:rFonts w:ascii="Palatino Linotype" w:eastAsia="Palatino Linotype" w:hAnsi="Palatino Linotype" w:cs="Palatino Linotype"/>
          <w:color w:val="000000"/>
          <w:sz w:val="24"/>
          <w:szCs w:val="24"/>
        </w:rPr>
        <w:t>no fue precisa, pues únicamente se proporcionó un número</w:t>
      </w:r>
      <w:r w:rsidR="00A67F5B" w:rsidRPr="00AB46D0">
        <w:rPr>
          <w:rFonts w:ascii="Palatino Linotype" w:eastAsia="Palatino Linotype" w:hAnsi="Palatino Linotype" w:cs="Palatino Linotype"/>
          <w:color w:val="000000"/>
          <w:sz w:val="24"/>
          <w:szCs w:val="24"/>
        </w:rPr>
        <w:t>,</w:t>
      </w:r>
      <w:r w:rsidR="00F5409F" w:rsidRPr="00AB46D0">
        <w:rPr>
          <w:rFonts w:ascii="Palatino Linotype" w:eastAsia="Palatino Linotype" w:hAnsi="Palatino Linotype" w:cs="Palatino Linotype"/>
          <w:color w:val="000000"/>
          <w:sz w:val="24"/>
          <w:szCs w:val="24"/>
        </w:rPr>
        <w:t xml:space="preserve"> sin referir si este número </w:t>
      </w:r>
      <w:r w:rsidRPr="00AB46D0">
        <w:rPr>
          <w:rFonts w:ascii="Palatino Linotype" w:eastAsia="Palatino Linotype" w:hAnsi="Palatino Linotype" w:cs="Palatino Linotype"/>
          <w:color w:val="000000"/>
          <w:sz w:val="24"/>
          <w:szCs w:val="24"/>
        </w:rPr>
        <w:t>corresponde a lo solicitado</w:t>
      </w:r>
      <w:r w:rsidR="00A67F5B" w:rsidRPr="00AB46D0">
        <w:rPr>
          <w:rFonts w:ascii="Palatino Linotype" w:eastAsia="Palatino Linotype" w:hAnsi="Palatino Linotype" w:cs="Palatino Linotype"/>
          <w:color w:val="000000"/>
          <w:sz w:val="24"/>
          <w:szCs w:val="24"/>
        </w:rPr>
        <w:t xml:space="preserve"> o bien, se trate del número de policías de la administración 2025-2027, por lo que, no se puede tener por colmado el rubro en co</w:t>
      </w:r>
      <w:r w:rsidR="006107E9" w:rsidRPr="00AB46D0">
        <w:rPr>
          <w:rFonts w:ascii="Palatino Linotype" w:eastAsia="Palatino Linotype" w:hAnsi="Palatino Linotype" w:cs="Palatino Linotype"/>
          <w:color w:val="000000"/>
          <w:sz w:val="24"/>
          <w:szCs w:val="24"/>
        </w:rPr>
        <w:t xml:space="preserve">mento, ya que no existe certeza respecto de a que corresponde </w:t>
      </w:r>
      <w:r w:rsidR="00A67F5B" w:rsidRPr="00AB46D0">
        <w:rPr>
          <w:rFonts w:ascii="Palatino Linotype" w:eastAsia="Palatino Linotype" w:hAnsi="Palatino Linotype" w:cs="Palatino Linotype"/>
          <w:color w:val="000000"/>
          <w:sz w:val="24"/>
          <w:szCs w:val="24"/>
        </w:rPr>
        <w:t>la información proporcionada</w:t>
      </w:r>
      <w:r w:rsidR="006107E9" w:rsidRPr="00AB46D0">
        <w:rPr>
          <w:rFonts w:ascii="Palatino Linotype" w:eastAsia="Palatino Linotype" w:hAnsi="Palatino Linotype" w:cs="Palatino Linotype"/>
          <w:color w:val="000000"/>
          <w:sz w:val="24"/>
          <w:szCs w:val="24"/>
        </w:rPr>
        <w:t xml:space="preserve"> en etapa de manifestaciones</w:t>
      </w:r>
      <w:r w:rsidR="00A67F5B" w:rsidRPr="00AB46D0">
        <w:rPr>
          <w:rFonts w:ascii="Palatino Linotype" w:eastAsia="Palatino Linotype" w:hAnsi="Palatino Linotype" w:cs="Palatino Linotype"/>
          <w:color w:val="000000"/>
          <w:sz w:val="24"/>
          <w:szCs w:val="24"/>
        </w:rPr>
        <w:t xml:space="preserve">; en consecuencia, se ordena al </w:t>
      </w:r>
      <w:r w:rsidR="00A67F5B" w:rsidRPr="00AB46D0">
        <w:rPr>
          <w:rFonts w:ascii="Palatino Linotype" w:eastAsia="Palatino Linotype" w:hAnsi="Palatino Linotype" w:cs="Palatino Linotype"/>
          <w:b/>
          <w:color w:val="000000"/>
          <w:sz w:val="24"/>
          <w:szCs w:val="24"/>
        </w:rPr>
        <w:t>SUJETO OBLIGADO,</w:t>
      </w:r>
      <w:r w:rsidR="00A67F5B" w:rsidRPr="00AB46D0">
        <w:rPr>
          <w:rFonts w:ascii="Palatino Linotype" w:hAnsi="Palatino Linotype"/>
          <w:sz w:val="24"/>
          <w:szCs w:val="24"/>
        </w:rPr>
        <w:t xml:space="preserve"> informe  el número de policías de la administración 2022-2024 que siguen laborando para la actual administración, de forma clara y precisa. </w:t>
      </w:r>
    </w:p>
    <w:p w:rsidR="00402317" w:rsidRPr="00AB46D0" w:rsidRDefault="00402317" w:rsidP="00FC3FED">
      <w:pPr>
        <w:spacing w:after="0" w:line="360" w:lineRule="auto"/>
        <w:jc w:val="both"/>
        <w:rPr>
          <w:rFonts w:ascii="Palatino Linotype" w:eastAsia="Palatino Linotype" w:hAnsi="Palatino Linotype" w:cs="Palatino Linotype"/>
          <w:i/>
          <w:color w:val="000000"/>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b/>
          <w:bCs/>
          <w:sz w:val="24"/>
          <w:szCs w:val="24"/>
        </w:rPr>
      </w:pPr>
      <w:r w:rsidRPr="00AB46D0">
        <w:rPr>
          <w:rFonts w:ascii="Palatino Linotype" w:eastAsia="Palatino Linotype" w:hAnsi="Palatino Linotype" w:cs="Palatino Linotype"/>
          <w:color w:val="000000"/>
          <w:sz w:val="24"/>
          <w:szCs w:val="24"/>
        </w:rPr>
        <w:t>En atención a la información que se ordena entregar, el documento que pudiera dar cuenta de lo solicitado, de manera enunciativa más no limitativa, pudieran ser los recibos de nómina.</w:t>
      </w:r>
    </w:p>
    <w:p w:rsidR="00402317" w:rsidRPr="00AB46D0" w:rsidRDefault="00402317" w:rsidP="00FC3FED">
      <w:pPr>
        <w:spacing w:after="0" w:line="360" w:lineRule="auto"/>
        <w:contextualSpacing/>
        <w:jc w:val="both"/>
        <w:rPr>
          <w:rFonts w:ascii="Palatino Linotype" w:hAnsi="Palatino Linotype"/>
          <w:b/>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sz w:val="24"/>
          <w:szCs w:val="24"/>
        </w:rPr>
      </w:pPr>
      <w:r w:rsidRPr="00AB46D0">
        <w:rPr>
          <w:rFonts w:ascii="Palatino Linotype" w:hAnsi="Palatino Linotype"/>
          <w:sz w:val="24"/>
          <w:szCs w:val="24"/>
        </w:rPr>
        <w:lastRenderedPageBreak/>
        <w:t>Finalmente, no pasa desapercibido para este Instituto que los documentos que den cuenta de lo solicitado, pudieran contener datos o información clasificados, los cuales de manera enunciativa más no limitativa pudieran ser:</w:t>
      </w:r>
    </w:p>
    <w:p w:rsidR="00402317" w:rsidRPr="00AB46D0" w:rsidRDefault="00402317" w:rsidP="00FC3FED">
      <w:pPr>
        <w:spacing w:line="360" w:lineRule="auto"/>
        <w:contextualSpacing/>
        <w:jc w:val="both"/>
        <w:rPr>
          <w:rFonts w:ascii="Palatino Linotype" w:hAnsi="Palatino Linotype"/>
          <w:b/>
          <w:bCs/>
          <w:sz w:val="24"/>
          <w:szCs w:val="24"/>
        </w:rPr>
      </w:pPr>
    </w:p>
    <w:p w:rsidR="00402317" w:rsidRPr="00AB46D0" w:rsidRDefault="00402317" w:rsidP="00FC3FED">
      <w:pPr>
        <w:numPr>
          <w:ilvl w:val="0"/>
          <w:numId w:val="17"/>
        </w:numPr>
        <w:spacing w:after="0" w:line="360" w:lineRule="auto"/>
        <w:contextualSpacing/>
        <w:jc w:val="both"/>
        <w:rPr>
          <w:rFonts w:ascii="Palatino Linotype" w:eastAsia="Times New Roman" w:hAnsi="Palatino Linotype" w:cs="Tahoma"/>
          <w:b/>
          <w:bCs/>
          <w:iCs/>
          <w:color w:val="FF0000"/>
          <w:sz w:val="24"/>
          <w:szCs w:val="24"/>
          <w:lang w:val="es-ES_tradnl"/>
        </w:rPr>
      </w:pPr>
      <w:r w:rsidRPr="00AB46D0">
        <w:rPr>
          <w:rFonts w:ascii="Palatino Linotype" w:eastAsia="Times New Roman" w:hAnsi="Palatino Linotype" w:cs="Tahoma"/>
          <w:b/>
          <w:bCs/>
          <w:iCs/>
          <w:sz w:val="24"/>
          <w:szCs w:val="24"/>
        </w:rPr>
        <w:t>C</w:t>
      </w:r>
      <w:r w:rsidRPr="00AB46D0">
        <w:rPr>
          <w:rFonts w:ascii="Palatino Linotype" w:eastAsia="Times New Roman" w:hAnsi="Palatino Linotype" w:cs="Tahoma"/>
          <w:b/>
          <w:bCs/>
          <w:iCs/>
          <w:sz w:val="24"/>
          <w:szCs w:val="24"/>
          <w:lang w:val="es-ES_tradnl"/>
        </w:rPr>
        <w:t>lave Única de Registro de Población (CURP)</w:t>
      </w:r>
    </w:p>
    <w:p w:rsidR="00402317" w:rsidRPr="00AB46D0" w:rsidRDefault="00402317" w:rsidP="00FC3FED">
      <w:pPr>
        <w:spacing w:after="0" w:line="360" w:lineRule="auto"/>
        <w:contextualSpacing/>
        <w:jc w:val="both"/>
        <w:rPr>
          <w:rFonts w:ascii="Palatino Linotype" w:eastAsia="Times New Roman" w:hAnsi="Palatino Linotype" w:cs="Tahoma"/>
          <w:bCs/>
          <w:iCs/>
          <w:color w:val="FF0000"/>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 xml:space="preserve">En ese orden de ideas, la Secretaría de Gobernación en las direcciones </w:t>
      </w:r>
      <w:hyperlink r:id="rId10" w:history="1">
        <w:r w:rsidRPr="00AB46D0">
          <w:rPr>
            <w:rFonts w:ascii="Palatino Linotype" w:eastAsia="Times New Roman" w:hAnsi="Palatino Linotype" w:cs="Tahoma"/>
            <w:bCs/>
            <w:iCs/>
            <w:sz w:val="24"/>
            <w:szCs w:val="24"/>
            <w:u w:val="single"/>
          </w:rPr>
          <w:t>https://consultas.curp.gob.mx/CurpSP/html/informacionecurpPS.html</w:t>
        </w:r>
      </w:hyperlink>
      <w:r w:rsidRPr="00AB46D0">
        <w:rPr>
          <w:rFonts w:ascii="Palatino Linotype" w:eastAsia="Times New Roman" w:hAnsi="Palatino Linotype" w:cs="Tahoma"/>
          <w:bCs/>
          <w:iCs/>
          <w:sz w:val="24"/>
          <w:szCs w:val="24"/>
        </w:rPr>
        <w:t xml:space="preserve"> y </w:t>
      </w:r>
      <w:hyperlink r:id="rId11" w:history="1">
        <w:r w:rsidRPr="00AB46D0">
          <w:rPr>
            <w:rFonts w:ascii="Palatino Linotype" w:eastAsia="Times New Roman" w:hAnsi="Palatino Linotype" w:cs="Tahoma"/>
            <w:bCs/>
            <w:iCs/>
            <w:sz w:val="24"/>
            <w:szCs w:val="24"/>
            <w:u w:val="single"/>
          </w:rPr>
          <w:t>https://www.gob.mx/segob/renapo/acciones-y-programas/clave-unica-de-registro-de-poblacion-curp-142226</w:t>
        </w:r>
      </w:hyperlink>
      <w:r w:rsidRPr="00AB46D0">
        <w:rPr>
          <w:rFonts w:ascii="Palatino Linotype" w:eastAsia="Times New Roman" w:hAnsi="Palatino Linotype" w:cs="Tahoma"/>
          <w:bCs/>
          <w:iCs/>
          <w:sz w:val="24"/>
          <w:szCs w:val="24"/>
        </w:rPr>
        <w:t xml:space="preserve"> (consultadas el diecisiete de agosto de dos mil veintitrés), estableció que la Clave Única del Registro de Población, es un instrumento de registro </w:t>
      </w:r>
      <w:r w:rsidRPr="00AB46D0">
        <w:rPr>
          <w:rFonts w:ascii="Palatino Linotype" w:eastAsia="Times New Roman" w:hAnsi="Palatino Linotype" w:cs="Tahoma"/>
          <w:bCs/>
          <w:iCs/>
          <w:sz w:val="24"/>
          <w:szCs w:val="24"/>
        </w:rPr>
        <w:lastRenderedPageBreak/>
        <w:t xml:space="preserve">que se asigna a todas las personas que viven en el territorio nacional, así como a los mexicanos que residen en el extranjero y se compone de dieciocho elementos, representados por letras y números, que </w:t>
      </w:r>
      <w:r w:rsidRPr="00AB46D0">
        <w:rPr>
          <w:rFonts w:ascii="Palatino Linotype" w:eastAsia="Times New Roman" w:hAnsi="Palatino Linotype" w:cs="Tahoma"/>
          <w:b/>
          <w:bCs/>
          <w:iCs/>
          <w:sz w:val="24"/>
          <w:szCs w:val="24"/>
        </w:rPr>
        <w:t>se generan a partir de los datos contenidos en el documento probatorio de la identidad</w:t>
      </w:r>
      <w:r w:rsidRPr="00AB46D0">
        <w:rPr>
          <w:rFonts w:ascii="Palatino Linotype" w:eastAsia="Times New Roman" w:hAnsi="Palatino Linotype" w:cs="Tahoma"/>
          <w:bCs/>
          <w:iCs/>
          <w:sz w:val="24"/>
          <w:szCs w:val="24"/>
        </w:rPr>
        <w:t xml:space="preserve"> </w:t>
      </w:r>
      <w:r w:rsidRPr="00AB46D0">
        <w:rPr>
          <w:rFonts w:ascii="Palatino Linotype" w:eastAsia="Times New Roman" w:hAnsi="Palatino Linotype" w:cs="Tahoma"/>
          <w:b/>
          <w:bCs/>
          <w:iCs/>
          <w:sz w:val="24"/>
          <w:szCs w:val="24"/>
        </w:rPr>
        <w:t xml:space="preserve">del interesado </w:t>
      </w:r>
      <w:r w:rsidRPr="00AB46D0">
        <w:rPr>
          <w:rFonts w:ascii="Palatino Linotype" w:eastAsia="Times New Roman" w:hAnsi="Palatino Linotype" w:cs="Tahoma"/>
          <w:bCs/>
          <w:iCs/>
          <w:sz w:val="24"/>
          <w:szCs w:val="24"/>
        </w:rPr>
        <w:t>(acta de nacimiento, carta de naturalización o documento migratorio) de la siguiente forma:</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18"/>
        </w:numPr>
        <w:spacing w:after="0" w:line="360" w:lineRule="auto"/>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El primero y segundo apellidos, así como al nombre de pila;</w:t>
      </w:r>
    </w:p>
    <w:p w:rsidR="00402317" w:rsidRPr="00AB46D0" w:rsidRDefault="00402317" w:rsidP="00FC3FED">
      <w:pPr>
        <w:numPr>
          <w:ilvl w:val="0"/>
          <w:numId w:val="18"/>
        </w:numPr>
        <w:spacing w:after="0" w:line="360" w:lineRule="auto"/>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La fecha de nacimiento;</w:t>
      </w:r>
    </w:p>
    <w:p w:rsidR="00402317" w:rsidRPr="00AB46D0" w:rsidRDefault="00402317" w:rsidP="00FC3FED">
      <w:pPr>
        <w:numPr>
          <w:ilvl w:val="0"/>
          <w:numId w:val="18"/>
        </w:numPr>
        <w:spacing w:after="0" w:line="360" w:lineRule="auto"/>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El sexo, y</w:t>
      </w:r>
    </w:p>
    <w:p w:rsidR="00402317" w:rsidRPr="00AB46D0" w:rsidRDefault="00402317" w:rsidP="00FC3FED">
      <w:pPr>
        <w:numPr>
          <w:ilvl w:val="0"/>
          <w:numId w:val="18"/>
        </w:numPr>
        <w:spacing w:after="0" w:line="360" w:lineRule="auto"/>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La entidad federativa de nacimiento.</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Los dos últimos elementos de la Clave Única de Registro de Población evitan la duplicidad de la Clave y garantizan su correcta integración.</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hAnsi="Palatino Linotype"/>
          <w:sz w:val="24"/>
          <w:szCs w:val="24"/>
        </w:rPr>
        <w:t>Situación que se robustece, con el Criterio Orientador de la Segunda Época,</w:t>
      </w:r>
      <w:r w:rsidRPr="00AB46D0">
        <w:rPr>
          <w:rFonts w:ascii="Palatino Linotype" w:hAnsi="Palatino Linotype" w:cs="Tahoma"/>
          <w:bCs/>
          <w:iCs/>
          <w:sz w:val="24"/>
          <w:szCs w:val="24"/>
          <w:lang w:val="es-ES"/>
        </w:rPr>
        <w:t xml:space="preserve"> con número de registro </w:t>
      </w:r>
      <w:r w:rsidRPr="00AB46D0">
        <w:rPr>
          <w:rFonts w:ascii="Palatino Linotype" w:hAnsi="Palatino Linotype" w:cs="Tahoma"/>
          <w:bCs/>
          <w:iCs/>
          <w:sz w:val="24"/>
          <w:szCs w:val="24"/>
        </w:rPr>
        <w:t>SO/018/2017</w:t>
      </w:r>
      <w:r w:rsidRPr="00AB46D0">
        <w:rPr>
          <w:rFonts w:ascii="Palatino Linotype" w:eastAsia="Times New Roman" w:hAnsi="Palatino Linotype" w:cs="Tahoma"/>
          <w:bCs/>
          <w:iCs/>
          <w:sz w:val="24"/>
          <w:szCs w:val="24"/>
        </w:rPr>
        <w:t xml:space="preserve">, emitido por el entonces Instituto Nacional de </w:t>
      </w:r>
      <w:r w:rsidRPr="00AB46D0">
        <w:rPr>
          <w:rFonts w:ascii="Palatino Linotype" w:eastAsia="Times New Roman" w:hAnsi="Palatino Linotype" w:cs="Tahoma"/>
          <w:bCs/>
          <w:iCs/>
          <w:sz w:val="24"/>
          <w:szCs w:val="24"/>
        </w:rPr>
        <w:lastRenderedPageBreak/>
        <w:t>Transparencia, Acceso a la Información y Protección de Datos Personales, que establece lo siguiente:</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spacing w:after="0" w:line="360" w:lineRule="auto"/>
        <w:ind w:left="567"/>
        <w:contextualSpacing/>
        <w:jc w:val="both"/>
        <w:rPr>
          <w:rFonts w:ascii="Palatino Linotype" w:eastAsia="Times New Roman" w:hAnsi="Palatino Linotype" w:cs="Tahoma"/>
          <w:bCs/>
          <w:i/>
          <w:iCs/>
          <w:sz w:val="24"/>
          <w:szCs w:val="24"/>
        </w:rPr>
      </w:pPr>
      <w:r w:rsidRPr="00AB46D0">
        <w:rPr>
          <w:rFonts w:ascii="Palatino Linotype" w:eastAsia="Times New Roman" w:hAnsi="Palatino Linotype" w:cs="Tahoma"/>
          <w:b/>
          <w:bCs/>
          <w:i/>
          <w:iCs/>
          <w:sz w:val="24"/>
          <w:szCs w:val="24"/>
        </w:rPr>
        <w:t xml:space="preserve">“Clave Única de Registro de Población (CURP). </w:t>
      </w:r>
      <w:r w:rsidRPr="00AB46D0">
        <w:rPr>
          <w:rFonts w:ascii="Palatino Linotype" w:eastAsia="Times New Roman" w:hAnsi="Palatino Linotype" w:cs="Tahoma"/>
          <w:bCs/>
          <w:i/>
          <w:i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02317" w:rsidRPr="00AB46D0" w:rsidRDefault="00402317" w:rsidP="00FC3FED">
      <w:pPr>
        <w:spacing w:after="0" w:line="360" w:lineRule="auto"/>
        <w:contextualSpacing/>
        <w:jc w:val="both"/>
        <w:rPr>
          <w:rFonts w:ascii="Palatino Linotype" w:eastAsia="Times New Roman" w:hAnsi="Palatino Linotype" w:cs="Tahoma"/>
          <w:bCs/>
          <w:i/>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 xml:space="preserve">De acuerdo con lo anterior, resulta procedente la clasificación de </w:t>
      </w:r>
      <w:r w:rsidRPr="00AB46D0">
        <w:rPr>
          <w:rFonts w:ascii="Palatino Linotype" w:eastAsia="Times New Roman" w:hAnsi="Palatino Linotype" w:cs="Tahoma"/>
          <w:b/>
          <w:bCs/>
          <w:iCs/>
          <w:sz w:val="24"/>
          <w:szCs w:val="24"/>
        </w:rPr>
        <w:t>la Clave Única de Registro de Población</w:t>
      </w:r>
      <w:r w:rsidRPr="00AB46D0">
        <w:rPr>
          <w:rFonts w:ascii="Palatino Linotype" w:eastAsia="Times New Roman" w:hAnsi="Palatino Linotype" w:cs="Tahoma"/>
          <w:bCs/>
          <w:iCs/>
          <w:sz w:val="24"/>
          <w:szCs w:val="24"/>
        </w:rPr>
        <w:t xml:space="preserve">, por tratarse de un dato personal confidencial, en términos del artículo 143, fracción I, de la Ley de Transparencia y Acceso a la Información Pública del Estado de México y Municipios. </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lang w:val="es-ES"/>
        </w:rPr>
      </w:pPr>
    </w:p>
    <w:p w:rsidR="00402317" w:rsidRPr="00AB46D0" w:rsidRDefault="00402317" w:rsidP="00FC3FED">
      <w:pPr>
        <w:numPr>
          <w:ilvl w:val="0"/>
          <w:numId w:val="17"/>
        </w:numPr>
        <w:spacing w:after="0" w:line="360" w:lineRule="auto"/>
        <w:contextualSpacing/>
        <w:jc w:val="both"/>
        <w:rPr>
          <w:rFonts w:ascii="Palatino Linotype" w:eastAsia="Times New Roman" w:hAnsi="Palatino Linotype" w:cs="Tahoma"/>
          <w:b/>
          <w:bCs/>
          <w:iCs/>
          <w:sz w:val="24"/>
          <w:szCs w:val="24"/>
          <w:lang w:val="es-ES_tradnl"/>
        </w:rPr>
      </w:pPr>
      <w:r w:rsidRPr="00AB46D0">
        <w:rPr>
          <w:rFonts w:ascii="Palatino Linotype" w:eastAsia="Times New Roman" w:hAnsi="Palatino Linotype" w:cs="Tahoma"/>
          <w:b/>
          <w:bCs/>
          <w:iCs/>
          <w:sz w:val="24"/>
          <w:szCs w:val="24"/>
          <w:lang w:val="es-ES_tradnl"/>
        </w:rPr>
        <w:t>Registro Federal de Contribuyentes (RFC)</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hAnsi="Palatino Linotype"/>
          <w:sz w:val="24"/>
          <w:szCs w:val="24"/>
        </w:rPr>
        <w:t>Al respecto, cabe precisar que las personas físicas que deban presentar</w:t>
      </w:r>
      <w:r w:rsidRPr="00AB46D0">
        <w:rPr>
          <w:rFonts w:ascii="Palatino Linotype" w:eastAsia="Times New Roman" w:hAnsi="Palatino Linotype" w:cs="Tahoma"/>
          <w:bCs/>
          <w:iCs/>
          <w:sz w:val="24"/>
          <w:szCs w:val="24"/>
        </w:rPr>
        <w:t xml:space="preserve">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402317" w:rsidRPr="00AB46D0" w:rsidRDefault="00402317" w:rsidP="00FC3FED">
      <w:pPr>
        <w:spacing w:after="0" w:line="360" w:lineRule="auto"/>
        <w:contextualSpacing/>
        <w:jc w:val="both"/>
        <w:rPr>
          <w:rFonts w:ascii="Palatino Linotype" w:eastAsia="Times New Roman" w:hAnsi="Palatino Linotype" w:cs="Tahoma"/>
          <w:bCs/>
          <w:iCs/>
          <w:color w:val="FF0000"/>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 xml:space="preserve">Lo anterior, resulta congruente con el </w:t>
      </w:r>
      <w:r w:rsidRPr="00AB46D0">
        <w:rPr>
          <w:rFonts w:ascii="Palatino Linotype" w:hAnsi="Palatino Linotype" w:cs="Tahoma"/>
          <w:bCs/>
          <w:iCs/>
          <w:sz w:val="24"/>
          <w:szCs w:val="24"/>
          <w:lang w:val="es-ES"/>
        </w:rPr>
        <w:t xml:space="preserve">Criterio orientador, de la Segunda Época, con número de registro </w:t>
      </w:r>
      <w:r w:rsidRPr="00AB46D0">
        <w:rPr>
          <w:rFonts w:ascii="Palatino Linotype" w:hAnsi="Palatino Linotype" w:cs="Tahoma"/>
          <w:bCs/>
          <w:iCs/>
          <w:sz w:val="24"/>
          <w:szCs w:val="24"/>
        </w:rPr>
        <w:t xml:space="preserve">SO/019/2017, </w:t>
      </w:r>
      <w:r w:rsidRPr="00AB46D0">
        <w:rPr>
          <w:rFonts w:ascii="Palatino Linotype" w:eastAsia="Times New Roman" w:hAnsi="Palatino Linotype" w:cs="Tahoma"/>
          <w:bCs/>
          <w:iCs/>
          <w:sz w:val="24"/>
          <w:szCs w:val="24"/>
        </w:rPr>
        <w:t>emitido por el entonces Instituto Nacional de Transparencia, Acceso a la Información y Protección de Datos Personales, en el cual se señala lo siguiente:</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spacing w:after="0" w:line="360" w:lineRule="auto"/>
        <w:ind w:left="567"/>
        <w:contextualSpacing/>
        <w:jc w:val="both"/>
        <w:rPr>
          <w:rFonts w:ascii="Palatino Linotype" w:eastAsia="Times New Roman" w:hAnsi="Palatino Linotype" w:cs="Tahoma"/>
          <w:bCs/>
          <w:i/>
          <w:iCs/>
          <w:sz w:val="24"/>
          <w:szCs w:val="24"/>
        </w:rPr>
      </w:pPr>
      <w:r w:rsidRPr="00AB46D0">
        <w:rPr>
          <w:rFonts w:ascii="Palatino Linotype" w:eastAsia="Times New Roman" w:hAnsi="Palatino Linotype" w:cs="Tahoma"/>
          <w:b/>
          <w:bCs/>
          <w:i/>
          <w:iCs/>
          <w:sz w:val="24"/>
          <w:szCs w:val="24"/>
        </w:rPr>
        <w:t>“Registro Federal de Contribuyentes (RFC) de personas físicas.</w:t>
      </w:r>
      <w:r w:rsidRPr="00AB46D0">
        <w:rPr>
          <w:rFonts w:ascii="Palatino Linotype" w:eastAsia="Times New Roman" w:hAnsi="Palatino Linotype" w:cs="Tahoma"/>
          <w:bCs/>
          <w:i/>
          <w:iCs/>
          <w:sz w:val="24"/>
          <w:szCs w:val="24"/>
        </w:rPr>
        <w:t xml:space="preserve"> El RFC es una clave de carácter fiscal, única e irrepetible, que permite identificar al titular, su edad y fecha de nacimiento, por lo que es un dato personal de carácter confidencial.”</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17"/>
        </w:numPr>
        <w:spacing w:after="0" w:line="360" w:lineRule="auto"/>
        <w:contextualSpacing/>
        <w:jc w:val="both"/>
        <w:rPr>
          <w:rFonts w:ascii="Palatino Linotype" w:hAnsi="Palatino Linotype" w:cs="Tahoma"/>
          <w:b/>
          <w:bCs/>
          <w:iCs/>
          <w:sz w:val="24"/>
          <w:szCs w:val="24"/>
        </w:rPr>
      </w:pPr>
      <w:r w:rsidRPr="00AB46D0">
        <w:rPr>
          <w:rFonts w:ascii="Palatino Linotype" w:hAnsi="Palatino Linotype" w:cs="Tahoma"/>
          <w:b/>
          <w:bCs/>
          <w:iCs/>
          <w:sz w:val="24"/>
          <w:szCs w:val="24"/>
        </w:rPr>
        <w:t>Código bidimensional o Qr</w:t>
      </w:r>
    </w:p>
    <w:p w:rsidR="00402317" w:rsidRPr="00AB46D0" w:rsidRDefault="00402317" w:rsidP="00FC3FED">
      <w:pPr>
        <w:spacing w:after="0" w:line="360" w:lineRule="auto"/>
        <w:contextualSpacing/>
        <w:jc w:val="both"/>
        <w:rPr>
          <w:rFonts w:ascii="Palatino Linotype" w:hAnsi="Palatino Linotype" w:cs="Tahoma"/>
          <w:b/>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En principio, resulta necesario señalar que los comprobantes fiscales digitales por Internet, deben de incluir un código bidimensional conforme al formato </w:t>
      </w:r>
      <w:r w:rsidRPr="00AB46D0">
        <w:rPr>
          <w:rFonts w:ascii="Palatino Linotype" w:hAnsi="Palatino Linotype" w:cs="Tahoma"/>
          <w:bCs/>
          <w:i/>
          <w:sz w:val="24"/>
          <w:szCs w:val="24"/>
        </w:rPr>
        <w:t>QR Code (Quick Response Code)</w:t>
      </w:r>
      <w:r w:rsidRPr="00AB46D0">
        <w:rPr>
          <w:rFonts w:ascii="Palatino Linotype"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history="1">
        <w:r w:rsidRPr="00AB46D0">
          <w:rPr>
            <w:rFonts w:ascii="Palatino Linotype" w:hAnsi="Palatino Linotype" w:cs="Tahoma"/>
            <w:bCs/>
            <w:sz w:val="24"/>
            <w:szCs w:val="24"/>
            <w:u w:val="single"/>
          </w:rPr>
          <w:t>http://dof.gob.mx/nota_detalle.php?codigo=5492254&amp;fecha=28/07/2017</w:t>
        </w:r>
      </w:hyperlink>
      <w:r w:rsidRPr="00AB46D0">
        <w:rPr>
          <w:rFonts w:ascii="Palatino Linotype" w:hAnsi="Palatino Linotype" w:cs="Tahoma"/>
          <w:bCs/>
          <w:sz w:val="24"/>
          <w:szCs w:val="24"/>
        </w:rPr>
        <w:t>. Incluso con la captura de dicho código, a través de la aplicación móvil del Servicio de Administración Tributaria, permite el acceso al Registro Federal de Contribuyentes, como del Sujeto Obligado, como de los servidores públicos.</w:t>
      </w:r>
    </w:p>
    <w:p w:rsidR="00402317" w:rsidRPr="00AB46D0" w:rsidRDefault="00402317" w:rsidP="00FC3FED">
      <w:pPr>
        <w:spacing w:after="0" w:line="360" w:lineRule="auto"/>
        <w:contextualSpacing/>
        <w:jc w:val="both"/>
        <w:rPr>
          <w:rFonts w:ascii="Palatino Linotype" w:hAnsi="Palatino Linotype" w:cs="Tahoma"/>
          <w:bCs/>
          <w:color w:val="FF0000"/>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402317" w:rsidRPr="00AB46D0" w:rsidRDefault="00402317" w:rsidP="00FC3FED">
      <w:pPr>
        <w:spacing w:after="0" w:line="360" w:lineRule="auto"/>
        <w:contextualSpacing/>
        <w:jc w:val="both"/>
        <w:rPr>
          <w:rFonts w:ascii="Palatino Linotype" w:hAnsi="Palatino Linotype" w:cs="Tahoma"/>
          <w:bCs/>
          <w:sz w:val="24"/>
          <w:szCs w:val="24"/>
        </w:rPr>
      </w:pPr>
    </w:p>
    <w:p w:rsidR="00402317" w:rsidRPr="00AB46D0" w:rsidRDefault="00402317" w:rsidP="00FC3FED">
      <w:pPr>
        <w:numPr>
          <w:ilvl w:val="0"/>
          <w:numId w:val="17"/>
        </w:numPr>
        <w:spacing w:after="0" w:line="360" w:lineRule="auto"/>
        <w:contextualSpacing/>
        <w:jc w:val="both"/>
        <w:rPr>
          <w:rFonts w:ascii="Palatino Linotype" w:eastAsia="Times New Roman" w:hAnsi="Palatino Linotype" w:cs="Tahoma"/>
          <w:b/>
          <w:bCs/>
          <w:iCs/>
          <w:sz w:val="24"/>
          <w:szCs w:val="24"/>
        </w:rPr>
      </w:pPr>
      <w:r w:rsidRPr="00AB46D0">
        <w:rPr>
          <w:rFonts w:ascii="Palatino Linotype" w:eastAsia="Times New Roman" w:hAnsi="Palatino Linotype" w:cs="Tahoma"/>
          <w:b/>
          <w:bCs/>
          <w:iCs/>
          <w:sz w:val="24"/>
          <w:szCs w:val="24"/>
        </w:rPr>
        <w:t>Número de seguridad social del Instituto de Seguridad Social del Estado de México y Municipios</w:t>
      </w:r>
    </w:p>
    <w:p w:rsidR="00402317" w:rsidRPr="00AB46D0" w:rsidRDefault="00402317" w:rsidP="00FC3FED">
      <w:pPr>
        <w:spacing w:after="0" w:line="360" w:lineRule="auto"/>
        <w:contextualSpacing/>
        <w:jc w:val="both"/>
        <w:rPr>
          <w:rFonts w:ascii="Palatino Linotype" w:eastAsia="Times New Roman" w:hAnsi="Palatino Linotype" w:cs="Tahoma"/>
          <w:b/>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B46D0">
        <w:rPr>
          <w:rFonts w:ascii="Palatino Linotype" w:eastAsia="Times New Roman" w:hAnsi="Palatino Linotype" w:cs="Tahoma"/>
          <w:b/>
          <w:bCs/>
          <w:iCs/>
          <w:sz w:val="24"/>
          <w:szCs w:val="24"/>
        </w:rPr>
        <w:t xml:space="preserve">y se le asigna una clave para hacer identificable al trabajador con el </w:t>
      </w:r>
      <w:r w:rsidRPr="00AB46D0">
        <w:rPr>
          <w:rFonts w:ascii="Palatino Linotype" w:eastAsia="Times New Roman" w:hAnsi="Palatino Linotype" w:cs="Tahoma"/>
          <w:b/>
          <w:bCs/>
          <w:iCs/>
          <w:sz w:val="24"/>
          <w:szCs w:val="24"/>
        </w:rPr>
        <w:lastRenderedPageBreak/>
        <w:t>objetivo de poder proporcionar los servicios que brinda el Instituto de Seguridad Social del Estado de México y Municipios.</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402317" w:rsidRPr="00AB46D0" w:rsidRDefault="00402317" w:rsidP="00FC3FED">
      <w:pPr>
        <w:spacing w:after="0" w:line="360" w:lineRule="auto"/>
        <w:contextualSpacing/>
        <w:jc w:val="both"/>
        <w:rPr>
          <w:rFonts w:ascii="Palatino Linotype" w:eastAsia="Times New Roman"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rPr>
      </w:pPr>
      <w:r w:rsidRPr="00AB46D0">
        <w:rPr>
          <w:rFonts w:ascii="Palatino Linotype" w:eastAsia="Times New Roman" w:hAnsi="Palatino Linotype" w:cs="Tahoma"/>
          <w:bCs/>
          <w:iCs/>
          <w:sz w:val="24"/>
          <w:szCs w:val="24"/>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402317" w:rsidRPr="00AB46D0" w:rsidRDefault="00402317" w:rsidP="00FC3FED">
      <w:pPr>
        <w:spacing w:after="0" w:line="360" w:lineRule="auto"/>
        <w:ind w:left="720"/>
        <w:contextualSpacing/>
        <w:jc w:val="both"/>
        <w:rPr>
          <w:rFonts w:ascii="Palatino Linotype" w:eastAsia="Times New Roman" w:hAnsi="Palatino Linotype" w:cs="Tahoma"/>
          <w:b/>
          <w:bCs/>
          <w:iCs/>
          <w:sz w:val="24"/>
          <w:szCs w:val="24"/>
        </w:rPr>
      </w:pPr>
    </w:p>
    <w:p w:rsidR="00402317" w:rsidRPr="00AB46D0" w:rsidRDefault="00402317" w:rsidP="00FC3FED">
      <w:pPr>
        <w:numPr>
          <w:ilvl w:val="0"/>
          <w:numId w:val="17"/>
        </w:numPr>
        <w:spacing w:after="0" w:line="360" w:lineRule="auto"/>
        <w:contextualSpacing/>
        <w:jc w:val="both"/>
        <w:rPr>
          <w:rFonts w:ascii="Palatino Linotype" w:eastAsia="Times New Roman" w:hAnsi="Palatino Linotype" w:cs="Tahoma"/>
          <w:b/>
          <w:bCs/>
          <w:iCs/>
          <w:sz w:val="24"/>
          <w:szCs w:val="24"/>
        </w:rPr>
      </w:pPr>
      <w:r w:rsidRPr="00AB46D0">
        <w:rPr>
          <w:rFonts w:ascii="Palatino Linotype" w:eastAsia="Times New Roman" w:hAnsi="Palatino Linotype" w:cs="Tahoma"/>
          <w:b/>
          <w:bCs/>
          <w:iCs/>
          <w:sz w:val="24"/>
          <w:szCs w:val="24"/>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w:t>
      </w:r>
    </w:p>
    <w:p w:rsidR="00402317" w:rsidRPr="00AB46D0" w:rsidRDefault="00402317" w:rsidP="00FC3FED">
      <w:pPr>
        <w:spacing w:after="0" w:line="360" w:lineRule="auto"/>
        <w:ind w:left="720"/>
        <w:contextualSpacing/>
        <w:jc w:val="both"/>
        <w:rPr>
          <w:rFonts w:ascii="Palatino Linotype" w:eastAsia="Times New Roman" w:hAnsi="Palatino Linotype" w:cs="Tahoma"/>
          <w:bCs/>
          <w:sz w:val="24"/>
          <w:szCs w:val="24"/>
          <w:lang w:eastAsia="es-ES"/>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w:t>
      </w: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sz w:val="24"/>
          <w:szCs w:val="24"/>
          <w:lang w:val="es-ES" w:eastAsia="es-ES"/>
        </w:rPr>
        <w:t>Las cadenas originales y sellos que se agregan a las facturas</w:t>
      </w:r>
      <w:r w:rsidRPr="00AB46D0">
        <w:rPr>
          <w:rFonts w:ascii="Palatino Linotype" w:eastAsia="Times New Roman" w:hAnsi="Palatino Linotype" w:cs="Tahoma"/>
          <w:b/>
          <w:bCs/>
          <w:sz w:val="24"/>
          <w:szCs w:val="24"/>
          <w:lang w:val="es-ES" w:eastAsia="es-ES"/>
        </w:rPr>
        <w:t>,</w:t>
      </w:r>
      <w:r w:rsidRPr="00AB46D0">
        <w:rPr>
          <w:rFonts w:ascii="Palatino Linotype" w:eastAsia="Times New Roman" w:hAnsi="Palatino Linotype" w:cs="Tahoma"/>
          <w:bCs/>
          <w:sz w:val="24"/>
          <w:szCs w:val="24"/>
          <w:lang w:val="es-ES" w:eastAsia="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Elementos utilizados en la generación de Sellos Digitales:</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w:t>
      </w:r>
      <w:r w:rsidRPr="00AB46D0">
        <w:rPr>
          <w:rFonts w:ascii="Palatino Linotype" w:hAnsi="Palatino Linotype" w:cs="Tahoma"/>
          <w:bCs/>
          <w:i/>
          <w:sz w:val="24"/>
          <w:szCs w:val="24"/>
          <w:lang w:val="es-ES"/>
        </w:rPr>
        <w:tab/>
        <w:t>Cadena Original, el elemento a sellar, en este caso de un comprobante fiscal digital a través de Internet.</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w:t>
      </w:r>
      <w:r w:rsidRPr="00AB46D0">
        <w:rPr>
          <w:rFonts w:ascii="Palatino Linotype" w:hAnsi="Palatino Linotype" w:cs="Tahoma"/>
          <w:bCs/>
          <w:i/>
          <w:sz w:val="24"/>
          <w:szCs w:val="24"/>
          <w:lang w:val="es-ES"/>
        </w:rPr>
        <w:tab/>
        <w:t>Certificado de Sello Digital y su correspondiente clave privada.</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lastRenderedPageBreak/>
        <w:t>•</w:t>
      </w:r>
      <w:r w:rsidRPr="00AB46D0">
        <w:rPr>
          <w:rFonts w:ascii="Palatino Linotype" w:hAnsi="Palatino Linotype" w:cs="Tahoma"/>
          <w:bCs/>
          <w:i/>
          <w:sz w:val="24"/>
          <w:szCs w:val="24"/>
          <w:lang w:val="es-ES"/>
        </w:rPr>
        <w:tab/>
        <w:t>Algoritmos de criptografía de clave pública para firma electrónica avanzada.</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w:t>
      </w:r>
      <w:r w:rsidRPr="00AB46D0">
        <w:rPr>
          <w:rFonts w:ascii="Palatino Linotype" w:hAnsi="Palatino Linotype" w:cs="Tahoma"/>
          <w:bCs/>
          <w:i/>
          <w:sz w:val="24"/>
          <w:szCs w:val="24"/>
          <w:lang w:val="es-ES"/>
        </w:rPr>
        <w:tab/>
        <w:t>Especificaciones de conversión de la firma electrónica avanzada a Base 64.</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Para la generación de sellos digitales se utiliza criptografía de clave pública aplicada a una cadena original.</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Criptografía de la Clave Pública</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r w:rsidRPr="00AB46D0">
        <w:rPr>
          <w:rFonts w:ascii="Palatino Linotype" w:hAnsi="Palatino Linotype" w:cs="Tahoma"/>
          <w:bCs/>
          <w:i/>
          <w:sz w:val="24"/>
          <w:szCs w:val="24"/>
          <w:lang w:val="es-ES"/>
        </w:rPr>
        <w:t>…”</w:t>
      </w:r>
    </w:p>
    <w:p w:rsidR="00402317" w:rsidRPr="00AB46D0" w:rsidRDefault="00402317" w:rsidP="00FC3FED">
      <w:pPr>
        <w:spacing w:after="0" w:line="360" w:lineRule="auto"/>
        <w:ind w:left="567"/>
        <w:contextualSpacing/>
        <w:jc w:val="both"/>
        <w:rPr>
          <w:rFonts w:ascii="Palatino Linotype" w:hAnsi="Palatino Linotype" w:cs="Tahoma"/>
          <w:bCs/>
          <w:i/>
          <w:sz w:val="24"/>
          <w:szCs w:val="24"/>
          <w:lang w:val="es-ES"/>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402317" w:rsidRPr="00AB46D0" w:rsidRDefault="00402317" w:rsidP="00FC3FED">
      <w:pPr>
        <w:spacing w:after="0" w:line="360" w:lineRule="auto"/>
        <w:contextualSpacing/>
        <w:jc w:val="both"/>
        <w:rPr>
          <w:rFonts w:ascii="Palatino Linotype" w:eastAsia="Times New Roman" w:hAnsi="Palatino Linotype" w:cs="Tahoma"/>
          <w:bCs/>
          <w:color w:val="FF0000"/>
          <w:sz w:val="24"/>
          <w:szCs w:val="24"/>
          <w:lang w:val="es-ES" w:eastAsia="es-ES"/>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sz w:val="24"/>
          <w:szCs w:val="24"/>
          <w:lang w:eastAsia="es-ES"/>
        </w:rPr>
      </w:pPr>
      <w:r w:rsidRPr="00AB46D0">
        <w:rPr>
          <w:rFonts w:ascii="Palatino Linotype" w:eastAsia="Times New Roman" w:hAnsi="Palatino Linotype" w:cs="Tahoma"/>
          <w:bCs/>
          <w:sz w:val="24"/>
          <w:szCs w:val="24"/>
          <w:lang w:val="es-ES"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w:t>
      </w:r>
      <w:r w:rsidRPr="00AB46D0">
        <w:rPr>
          <w:rFonts w:ascii="Palatino Linotype" w:eastAsia="Times New Roman" w:hAnsi="Palatino Linotype" w:cs="Tahoma"/>
          <w:bCs/>
          <w:sz w:val="24"/>
          <w:szCs w:val="24"/>
          <w:lang w:val="es-ES" w:eastAsia="es-ES"/>
        </w:rPr>
        <w:lastRenderedPageBreak/>
        <w:t xml:space="preserve">dicha situación se robustece con el ejemplo localizado en el documento denominado “Cómo ubicar el Folio Fiscal en una factura”, emitido por el Instituto Nacional electoral (consultado el quince de agosto del presente año, a las once horas con diez minutos, en la página electrónica </w:t>
      </w:r>
      <w:hyperlink r:id="rId13" w:history="1">
        <w:r w:rsidRPr="00AB46D0">
          <w:rPr>
            <w:rFonts w:ascii="Palatino Linotype" w:eastAsia="Yu Gothic Light" w:hAnsi="Palatino Linotype" w:cs="Tahoma"/>
            <w:bCs/>
            <w:sz w:val="24"/>
            <w:szCs w:val="24"/>
            <w:u w:val="single"/>
            <w:lang w:eastAsia="es-ES"/>
          </w:rPr>
          <w:t>https://portalanterior.ine.mx/archivos2/tutoriales/sistemas/ApoyoInstitucional/SIF/docs/candidatos/folioFiscalFactura.pdf</w:t>
        </w:r>
      </w:hyperlink>
      <w:r w:rsidRPr="00AB46D0">
        <w:rPr>
          <w:rFonts w:ascii="Palatino Linotype" w:eastAsia="Times New Roman" w:hAnsi="Palatino Linotype" w:cs="Tahoma"/>
          <w:bCs/>
          <w:sz w:val="24"/>
          <w:szCs w:val="24"/>
          <w:lang w:val="es-ES" w:eastAsia="es-ES"/>
        </w:rPr>
        <w:t>), en la cual se advierte que únicamente se encuentra conformado por números, se muestra a continuación:</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eastAsia="es-ES"/>
        </w:rPr>
      </w:pPr>
      <w:r w:rsidRPr="00AB46D0">
        <w:rPr>
          <w:rFonts w:ascii="Palatino Linotype" w:hAnsi="Palatino Linotype" w:cs="Times New Roman"/>
          <w:noProof/>
          <w:sz w:val="24"/>
          <w:szCs w:val="24"/>
        </w:rPr>
        <mc:AlternateContent>
          <mc:Choice Requires="wps">
            <w:drawing>
              <wp:anchor distT="0" distB="0" distL="114300" distR="114300" simplePos="0" relativeHeight="251661312" behindDoc="0" locked="0" layoutInCell="1" allowOverlap="1" wp14:anchorId="1DD17952" wp14:editId="08280467">
                <wp:simplePos x="0" y="0"/>
                <wp:positionH relativeFrom="column">
                  <wp:posOffset>163195</wp:posOffset>
                </wp:positionH>
                <wp:positionV relativeFrom="paragraph">
                  <wp:posOffset>859155</wp:posOffset>
                </wp:positionV>
                <wp:extent cx="3648075" cy="228600"/>
                <wp:effectExtent l="19050" t="19050" r="28575" b="19050"/>
                <wp:wrapNone/>
                <wp:docPr id="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5B0D6" id="Rectángulo 20" o:spid="_x0000_s1026" style="position:absolute;margin-left:12.85pt;margin-top:67.65pt;width:28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" filled="f" strokecolor="windowText" strokeweight="2.25pt"/>
            </w:pict>
          </mc:Fallback>
        </mc:AlternateContent>
      </w:r>
      <w:r w:rsidRPr="00AB46D0">
        <w:rPr>
          <w:rFonts w:ascii="Palatino Linotype" w:eastAsia="Times New Roman" w:hAnsi="Palatino Linotype" w:cs="Tahoma"/>
          <w:noProof/>
          <w:sz w:val="24"/>
          <w:szCs w:val="24"/>
        </w:rPr>
        <w:drawing>
          <wp:inline distT="0" distB="0" distL="0" distR="0" wp14:anchorId="023D8D15" wp14:editId="0E5A11CF">
            <wp:extent cx="5441679" cy="1054100"/>
            <wp:effectExtent l="0" t="0" r="6985" b="0"/>
            <wp:docPr id="1257177318" name="Imagen 125717731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77318" name="Imagen 1257177318" descr="Interfaz de usuario gráfica, Aplicación&#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411" cy="1055210"/>
                    </a:xfrm>
                    <a:prstGeom prst="rect">
                      <a:avLst/>
                    </a:prstGeom>
                    <a:noFill/>
                    <a:ln>
                      <a:noFill/>
                    </a:ln>
                  </pic:spPr>
                </pic:pic>
              </a:graphicData>
            </a:graphic>
          </wp:inline>
        </w:drawing>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w:t>
      </w: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sz w:val="24"/>
          <w:szCs w:val="24"/>
          <w:lang w:val="es-ES" w:eastAsia="es-ES"/>
        </w:rPr>
      </w:pPr>
      <w:r w:rsidRPr="00AB46D0">
        <w:rPr>
          <w:rFonts w:ascii="Palatino Linotype" w:eastAsia="Times New Roman" w:hAnsi="Palatino Linotype" w:cs="Tahoma"/>
          <w:bCs/>
          <w:sz w:val="24"/>
          <w:szCs w:val="24"/>
          <w:lang w:val="es-ES" w:eastAsia="es-ES"/>
        </w:rPr>
        <w:t>Como se logra observar, los números de serie del certificado de sello digital no contiene datos personales y con dichos dígitos tampoco se puede obtener información de carácter confidencial,</w:t>
      </w:r>
      <w:r w:rsidRPr="00AB46D0">
        <w:rPr>
          <w:rFonts w:ascii="Palatino Linotype" w:eastAsia="Times New Roman" w:hAnsi="Palatino Linotype" w:cs="Tahoma"/>
          <w:b/>
          <w:bCs/>
          <w:sz w:val="24"/>
          <w:szCs w:val="24"/>
          <w:lang w:val="es-ES" w:eastAsia="es-ES"/>
        </w:rPr>
        <w:t xml:space="preserve"> </w:t>
      </w:r>
      <w:r w:rsidRPr="00AB46D0">
        <w:rPr>
          <w:rFonts w:ascii="Palatino Linotype" w:eastAsia="Times New Roman" w:hAnsi="Palatino Linotype" w:cs="Tahoma"/>
          <w:sz w:val="24"/>
          <w:szCs w:val="24"/>
          <w:lang w:val="es-ES" w:eastAsia="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402317" w:rsidRPr="00AB46D0" w:rsidRDefault="00402317" w:rsidP="00FC3FED">
      <w:pPr>
        <w:spacing w:after="0" w:line="360" w:lineRule="auto"/>
        <w:contextualSpacing/>
        <w:jc w:val="both"/>
        <w:rPr>
          <w:rFonts w:ascii="Palatino Linotype" w:eastAsia="Times New Roman" w:hAnsi="Palatino Linotype" w:cs="Tahoma"/>
          <w:bCs/>
          <w:color w:val="FF0000"/>
          <w:sz w:val="24"/>
          <w:szCs w:val="24"/>
          <w:lang w:val="es-ES" w:eastAsia="es-ES"/>
        </w:rPr>
      </w:pPr>
      <w:r w:rsidRPr="00AB46D0">
        <w:rPr>
          <w:rFonts w:ascii="Palatino Linotype" w:eastAsia="Times New Roman" w:hAnsi="Palatino Linotype" w:cs="Tahoma"/>
          <w:bCs/>
          <w:color w:val="FF0000"/>
          <w:sz w:val="24"/>
          <w:szCs w:val="24"/>
          <w:lang w:val="es-ES" w:eastAsia="es-ES"/>
        </w:rPr>
        <w:t> </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w:t>
      </w:r>
      <w:r w:rsidRPr="00AB46D0">
        <w:rPr>
          <w:rFonts w:ascii="Palatino Linotype" w:eastAsia="Times New Roman" w:hAnsi="Palatino Linotype" w:cs="Tahoma"/>
          <w:bCs/>
          <w:sz w:val="24"/>
          <w:szCs w:val="24"/>
          <w:lang w:val="es-ES" w:eastAsia="es-ES"/>
        </w:rPr>
        <w:lastRenderedPageBreak/>
        <w:t>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w:t>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eastAsia="es-ES"/>
        </w:rPr>
      </w:pPr>
      <w:r w:rsidRPr="00AB46D0">
        <w:rPr>
          <w:rFonts w:ascii="Palatino Linotype" w:eastAsia="Times New Roman" w:hAnsi="Palatino Linotype" w:cs="Tahoma"/>
          <w:noProof/>
          <w:sz w:val="24"/>
          <w:szCs w:val="24"/>
        </w:rPr>
        <w:drawing>
          <wp:inline distT="0" distB="0" distL="0" distR="0" wp14:anchorId="3069E800" wp14:editId="69F62283">
            <wp:extent cx="4916377" cy="1104900"/>
            <wp:effectExtent l="0" t="0" r="0" b="0"/>
            <wp:docPr id="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descr="Text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4931347" cy="1108264"/>
                    </a:xfrm>
                    <a:prstGeom prst="rect">
                      <a:avLst/>
                    </a:prstGeom>
                    <a:noFill/>
                    <a:ln>
                      <a:noFill/>
                    </a:ln>
                  </pic:spPr>
                </pic:pic>
              </a:graphicData>
            </a:graphic>
          </wp:inline>
        </w:drawing>
      </w:r>
    </w:p>
    <w:p w:rsidR="00402317" w:rsidRPr="00AB46D0" w:rsidRDefault="00402317" w:rsidP="00FC3FED">
      <w:pPr>
        <w:spacing w:after="0" w:line="360" w:lineRule="auto"/>
        <w:contextualSpacing/>
        <w:jc w:val="both"/>
        <w:rPr>
          <w:rFonts w:ascii="Palatino Linotype" w:eastAsia="Times New Roman" w:hAnsi="Palatino Linotype" w:cs="Tahoma"/>
          <w:bCs/>
          <w:sz w:val="24"/>
          <w:szCs w:val="24"/>
          <w:lang w:eastAsia="es-ES"/>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sz w:val="24"/>
          <w:szCs w:val="24"/>
          <w:lang w:val="es-ES" w:eastAsia="es-ES"/>
        </w:rPr>
      </w:pPr>
      <w:r w:rsidRPr="00AB46D0">
        <w:rPr>
          <w:rFonts w:ascii="Palatino Linotype" w:eastAsia="Times New Roman" w:hAnsi="Palatino Linotype" w:cs="Tahoma"/>
          <w:bCs/>
          <w:sz w:val="24"/>
          <w:szCs w:val="24"/>
          <w:lang w:val="es-ES" w:eastAsia="es-ES"/>
        </w:rPr>
        <w:t xml:space="preserve">En ese contexto, de la misma manera que en los casos previamente analizados, </w:t>
      </w:r>
      <w:r w:rsidRPr="00AB46D0">
        <w:rPr>
          <w:rFonts w:ascii="Palatino Linotype" w:eastAsia="Times New Roman" w:hAnsi="Palatino Linotype" w:cs="Tahoma"/>
          <w:sz w:val="24"/>
          <w:szCs w:val="24"/>
          <w:lang w:val="es-ES" w:eastAsia="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402317" w:rsidRPr="00AB46D0" w:rsidRDefault="00402317" w:rsidP="00FC3FED">
      <w:pPr>
        <w:spacing w:after="0" w:line="360" w:lineRule="auto"/>
        <w:jc w:val="both"/>
        <w:rPr>
          <w:rFonts w:ascii="Palatino Linotype" w:eastAsia="Times New Roman" w:hAnsi="Palatino Linotype" w:cs="Tahoma"/>
          <w:color w:val="FF0000"/>
          <w:sz w:val="24"/>
          <w:szCs w:val="24"/>
          <w:lang w:eastAsia="es-ES"/>
        </w:rPr>
      </w:pPr>
    </w:p>
    <w:p w:rsidR="00402317" w:rsidRPr="00AB46D0" w:rsidRDefault="00402317" w:rsidP="00FC3FED">
      <w:pPr>
        <w:numPr>
          <w:ilvl w:val="0"/>
          <w:numId w:val="17"/>
        </w:numPr>
        <w:spacing w:after="0" w:line="360" w:lineRule="auto"/>
        <w:contextualSpacing/>
        <w:jc w:val="both"/>
        <w:rPr>
          <w:rFonts w:ascii="Palatino Linotype" w:hAnsi="Palatino Linotype" w:cs="Tahoma"/>
          <w:b/>
          <w:sz w:val="24"/>
          <w:szCs w:val="24"/>
        </w:rPr>
      </w:pPr>
      <w:r w:rsidRPr="00AB46D0">
        <w:rPr>
          <w:rFonts w:ascii="Palatino Linotype" w:hAnsi="Palatino Linotype" w:cs="Tahoma"/>
          <w:b/>
          <w:sz w:val="24"/>
          <w:szCs w:val="24"/>
        </w:rPr>
        <w:t>Número de empleado</w:t>
      </w:r>
    </w:p>
    <w:p w:rsidR="00402317" w:rsidRPr="00AB46D0" w:rsidRDefault="00402317" w:rsidP="00FC3FED">
      <w:pPr>
        <w:spacing w:after="0" w:line="360" w:lineRule="auto"/>
        <w:contextualSpacing/>
        <w:jc w:val="both"/>
        <w:rPr>
          <w:rFonts w:ascii="Palatino Linotype" w:hAnsi="Palatino Linotype" w:cs="Tahoma"/>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iCs/>
          <w:sz w:val="24"/>
          <w:szCs w:val="24"/>
        </w:rPr>
      </w:pPr>
      <w:r w:rsidRPr="00AB46D0">
        <w:rPr>
          <w:rFonts w:ascii="Palatino Linotype" w:hAnsi="Palatino Linotype" w:cs="Tahoma"/>
          <w:bCs/>
          <w:iCs/>
          <w:sz w:val="24"/>
          <w:szCs w:val="24"/>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402317" w:rsidRPr="00AB46D0" w:rsidRDefault="00402317" w:rsidP="00FC3FED">
      <w:pPr>
        <w:spacing w:after="0" w:line="360" w:lineRule="auto"/>
        <w:contextualSpacing/>
        <w:jc w:val="both"/>
        <w:rPr>
          <w:rFonts w:ascii="Palatino Linotype"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iCs/>
          <w:sz w:val="24"/>
          <w:szCs w:val="24"/>
        </w:rPr>
      </w:pPr>
      <w:r w:rsidRPr="00AB46D0">
        <w:rPr>
          <w:rFonts w:ascii="Palatino Linotype" w:hAnsi="Palatino Linotype" w:cs="Tahoma"/>
          <w:bCs/>
          <w:iCs/>
          <w:sz w:val="24"/>
          <w:szCs w:val="24"/>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402317" w:rsidRPr="00AB46D0" w:rsidRDefault="00402317" w:rsidP="00FC3FED">
      <w:pPr>
        <w:spacing w:after="0" w:line="360" w:lineRule="auto"/>
        <w:contextualSpacing/>
        <w:jc w:val="both"/>
        <w:rPr>
          <w:rFonts w:ascii="Palatino Linotype"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iCs/>
          <w:sz w:val="24"/>
          <w:szCs w:val="24"/>
        </w:rPr>
      </w:pPr>
      <w:r w:rsidRPr="00AB46D0">
        <w:rPr>
          <w:rFonts w:ascii="Palatino Linotype" w:hAnsi="Palatino Linotype" w:cs="Tahoma"/>
          <w:bCs/>
          <w:iCs/>
          <w:sz w:val="24"/>
          <w:szCs w:val="24"/>
        </w:rPr>
        <w:t xml:space="preserve">Lo anterior, toma sustento en el </w:t>
      </w:r>
      <w:r w:rsidRPr="00AB46D0">
        <w:rPr>
          <w:rFonts w:ascii="Palatino Linotype" w:hAnsi="Palatino Linotype" w:cs="Tahoma"/>
          <w:bCs/>
          <w:sz w:val="24"/>
          <w:szCs w:val="24"/>
          <w:lang w:val="es-ES"/>
        </w:rPr>
        <w:t xml:space="preserve">Criterio </w:t>
      </w:r>
      <w:r w:rsidR="00EA0489" w:rsidRPr="00AB46D0">
        <w:rPr>
          <w:rFonts w:ascii="Palatino Linotype" w:hAnsi="Palatino Linotype" w:cs="Tahoma"/>
          <w:bCs/>
          <w:sz w:val="24"/>
          <w:szCs w:val="24"/>
          <w:lang w:val="es-ES"/>
        </w:rPr>
        <w:t>Orientador</w:t>
      </w:r>
      <w:r w:rsidRPr="00AB46D0">
        <w:rPr>
          <w:rFonts w:ascii="Palatino Linotype" w:hAnsi="Palatino Linotype" w:cs="Tahoma"/>
          <w:bCs/>
          <w:sz w:val="24"/>
          <w:szCs w:val="24"/>
          <w:lang w:val="es-ES"/>
        </w:rPr>
        <w:t xml:space="preserve">, de la Segunda Época, con número de registro </w:t>
      </w:r>
      <w:r w:rsidRPr="00AB46D0">
        <w:rPr>
          <w:rFonts w:ascii="Palatino Linotype" w:hAnsi="Palatino Linotype" w:cs="Tahoma"/>
          <w:bCs/>
          <w:sz w:val="24"/>
          <w:szCs w:val="24"/>
        </w:rPr>
        <w:t>SO/006/2019</w:t>
      </w:r>
      <w:r w:rsidRPr="00AB46D0">
        <w:rPr>
          <w:rFonts w:ascii="Palatino Linotype" w:hAnsi="Palatino Linotype" w:cs="Tahoma"/>
          <w:bCs/>
          <w:iCs/>
          <w:sz w:val="24"/>
          <w:szCs w:val="24"/>
        </w:rPr>
        <w:t xml:space="preserve">, emitido por el </w:t>
      </w:r>
      <w:r w:rsidR="00EA0489" w:rsidRPr="00AB46D0">
        <w:rPr>
          <w:rFonts w:ascii="Palatino Linotype" w:hAnsi="Palatino Linotype" w:cs="Tahoma"/>
          <w:bCs/>
          <w:iCs/>
          <w:sz w:val="24"/>
          <w:szCs w:val="24"/>
        </w:rPr>
        <w:t xml:space="preserve">entonces </w:t>
      </w:r>
      <w:r w:rsidRPr="00AB46D0">
        <w:rPr>
          <w:rFonts w:ascii="Palatino Linotype" w:hAnsi="Palatino Linotype" w:cs="Tahoma"/>
          <w:bCs/>
          <w:iCs/>
          <w:sz w:val="24"/>
          <w:szCs w:val="24"/>
        </w:rPr>
        <w:t>Instituto Nacional de Transparencia, Acceso a la Información y Protección de Datos Personales, que establece lo siguiente:</w:t>
      </w:r>
    </w:p>
    <w:p w:rsidR="00402317" w:rsidRPr="00AB46D0" w:rsidRDefault="00402317" w:rsidP="00FC3FED">
      <w:pPr>
        <w:spacing w:after="0" w:line="360" w:lineRule="auto"/>
        <w:contextualSpacing/>
        <w:jc w:val="both"/>
        <w:rPr>
          <w:rFonts w:ascii="Palatino Linotype" w:hAnsi="Palatino Linotype" w:cs="Tahoma"/>
          <w:bCs/>
          <w:iCs/>
          <w:sz w:val="24"/>
          <w:szCs w:val="24"/>
        </w:rPr>
      </w:pPr>
    </w:p>
    <w:p w:rsidR="00402317" w:rsidRPr="00AB46D0" w:rsidRDefault="00402317" w:rsidP="00FC3FED">
      <w:pPr>
        <w:spacing w:after="0" w:line="360" w:lineRule="auto"/>
        <w:ind w:left="567"/>
        <w:contextualSpacing/>
        <w:jc w:val="both"/>
        <w:rPr>
          <w:rFonts w:ascii="Palatino Linotype" w:hAnsi="Palatino Linotype" w:cs="Tahoma"/>
          <w:bCs/>
          <w:i/>
          <w:iCs/>
          <w:sz w:val="24"/>
          <w:szCs w:val="24"/>
        </w:rPr>
      </w:pPr>
      <w:r w:rsidRPr="00AB46D0">
        <w:rPr>
          <w:rFonts w:ascii="Palatino Linotype" w:hAnsi="Palatino Linotype" w:cs="Tahoma"/>
          <w:b/>
          <w:bCs/>
          <w:i/>
          <w:iCs/>
          <w:sz w:val="24"/>
          <w:szCs w:val="24"/>
        </w:rPr>
        <w:t xml:space="preserve">“Número de empleado. </w:t>
      </w:r>
      <w:r w:rsidRPr="00AB46D0">
        <w:rPr>
          <w:rFonts w:ascii="Palatino Linotype" w:hAnsi="Palatino Linotype" w:cs="Tahoma"/>
          <w:bCs/>
          <w:i/>
          <w:iCs/>
          <w:sz w:val="24"/>
          <w:szCs w:val="24"/>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402317" w:rsidRPr="00AB46D0" w:rsidRDefault="00402317" w:rsidP="00FC3FED">
      <w:pPr>
        <w:spacing w:after="0" w:line="360" w:lineRule="auto"/>
        <w:contextualSpacing/>
        <w:jc w:val="both"/>
        <w:rPr>
          <w:rFonts w:ascii="Palatino Linotype" w:hAnsi="Palatino Linotype" w:cs="Tahoma"/>
          <w:bCs/>
          <w:i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iCs/>
          <w:sz w:val="24"/>
          <w:szCs w:val="24"/>
        </w:rPr>
      </w:pPr>
      <w:r w:rsidRPr="00AB46D0">
        <w:rPr>
          <w:rFonts w:ascii="Palatino Linotype" w:hAnsi="Palatino Linotype" w:cs="Tahoma"/>
          <w:bCs/>
          <w:iCs/>
          <w:sz w:val="24"/>
          <w:szCs w:val="24"/>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402317" w:rsidRPr="00AB46D0" w:rsidRDefault="00402317" w:rsidP="00FC3FED">
      <w:pPr>
        <w:spacing w:after="0" w:line="360" w:lineRule="auto"/>
        <w:jc w:val="both"/>
        <w:rPr>
          <w:rFonts w:ascii="Palatino Linotype" w:eastAsia="Times New Roman" w:hAnsi="Palatino Linotype" w:cs="Tahoma"/>
          <w:sz w:val="24"/>
          <w:szCs w:val="24"/>
          <w:lang w:eastAsia="es-ES"/>
        </w:rPr>
      </w:pPr>
    </w:p>
    <w:p w:rsidR="00402317" w:rsidRPr="00AB46D0" w:rsidRDefault="00402317" w:rsidP="00FC3FED">
      <w:pPr>
        <w:numPr>
          <w:ilvl w:val="0"/>
          <w:numId w:val="17"/>
        </w:numPr>
        <w:spacing w:after="0" w:line="360" w:lineRule="auto"/>
        <w:contextualSpacing/>
        <w:jc w:val="both"/>
        <w:rPr>
          <w:rFonts w:ascii="Palatino Linotype" w:eastAsia="Times New Roman" w:hAnsi="Palatino Linotype" w:cs="Tahoma"/>
          <w:b/>
          <w:bCs/>
          <w:sz w:val="24"/>
          <w:szCs w:val="24"/>
          <w:lang w:eastAsia="es-ES"/>
        </w:rPr>
      </w:pPr>
      <w:r w:rsidRPr="00AB46D0">
        <w:rPr>
          <w:rFonts w:ascii="Palatino Linotype" w:eastAsia="Times New Roman" w:hAnsi="Palatino Linotype" w:cs="Tahoma"/>
          <w:b/>
          <w:bCs/>
          <w:sz w:val="24"/>
          <w:szCs w:val="24"/>
          <w:lang w:eastAsia="es-ES"/>
        </w:rPr>
        <w:t>Nombre de los policías municipales</w:t>
      </w:r>
    </w:p>
    <w:p w:rsidR="00402317" w:rsidRPr="00AB46D0" w:rsidRDefault="00402317" w:rsidP="00FC3FED">
      <w:pPr>
        <w:spacing w:after="0" w:line="360" w:lineRule="auto"/>
        <w:jc w:val="both"/>
        <w:rPr>
          <w:rFonts w:ascii="Palatino Linotype" w:eastAsia="Times New Roman" w:hAnsi="Palatino Linotype" w:cs="Tahoma"/>
          <w:b/>
          <w:bCs/>
          <w:sz w:val="24"/>
          <w:szCs w:val="24"/>
          <w:lang w:eastAsia="es-ES"/>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imes New Roman"/>
          <w:sz w:val="24"/>
          <w:szCs w:val="24"/>
          <w:lang w:eastAsia="es-ES"/>
        </w:rPr>
      </w:pPr>
      <w:r w:rsidRPr="00AB46D0">
        <w:rPr>
          <w:rFonts w:ascii="Palatino Linotype" w:hAnsi="Palatino Linotype" w:cs="Times New Roman"/>
          <w:sz w:val="24"/>
          <w:szCs w:val="24"/>
          <w:lang w:eastAsia="es-ES"/>
        </w:rPr>
        <w:t>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402317" w:rsidRPr="00AB46D0" w:rsidRDefault="00402317" w:rsidP="00FC3FED">
      <w:pPr>
        <w:spacing w:after="0" w:line="360" w:lineRule="auto"/>
        <w:jc w:val="both"/>
        <w:rPr>
          <w:rFonts w:ascii="Palatino Linotype" w:eastAsia="Times New Roman" w:hAnsi="Palatino Linotype" w:cs="Tahoma"/>
          <w:sz w:val="24"/>
          <w:szCs w:val="24"/>
          <w:lang w:eastAsia="es-ES"/>
        </w:rPr>
      </w:pPr>
    </w:p>
    <w:p w:rsidR="00402317" w:rsidRPr="00AB46D0" w:rsidRDefault="00402317" w:rsidP="00FC3FED">
      <w:pPr>
        <w:tabs>
          <w:tab w:val="left" w:pos="4962"/>
        </w:tabs>
        <w:spacing w:after="0" w:line="360" w:lineRule="auto"/>
        <w:ind w:left="567"/>
        <w:jc w:val="both"/>
        <w:rPr>
          <w:rFonts w:ascii="Palatino Linotype" w:hAnsi="Palatino Linotype" w:cs="Tahoma"/>
          <w:i/>
          <w:iCs/>
          <w:sz w:val="24"/>
          <w:szCs w:val="24"/>
          <w:lang w:val="es-ES" w:eastAsia="es-ES_tradnl"/>
        </w:rPr>
      </w:pPr>
      <w:r w:rsidRPr="00AB46D0">
        <w:rPr>
          <w:rFonts w:ascii="Palatino Linotype" w:hAnsi="Palatino Linotype" w:cs="Tahoma"/>
          <w:i/>
          <w:iCs/>
          <w:sz w:val="24"/>
          <w:szCs w:val="24"/>
          <w:lang w:val="es-ES" w:eastAsia="es-ES_tradnl"/>
        </w:rPr>
        <w:t>“</w:t>
      </w:r>
      <w:r w:rsidRPr="00AB46D0">
        <w:rPr>
          <w:rFonts w:ascii="Palatino Linotype" w:hAnsi="Palatino Linotype" w:cs="Tahoma"/>
          <w:b/>
          <w:i/>
          <w:iCs/>
          <w:sz w:val="24"/>
          <w:szCs w:val="24"/>
          <w:lang w:val="es-ES" w:eastAsia="es-ES_tradnl"/>
        </w:rPr>
        <w:t>Artículo 140.</w:t>
      </w:r>
      <w:r w:rsidRPr="00AB46D0">
        <w:rPr>
          <w:rFonts w:ascii="Palatino Linotype" w:hAnsi="Palatino Linotype" w:cs="Tahoma"/>
          <w:i/>
          <w:iCs/>
          <w:sz w:val="24"/>
          <w:szCs w:val="24"/>
          <w:lang w:val="es-ES" w:eastAsia="es-ES_tradnl"/>
        </w:rPr>
        <w:t xml:space="preserve"> El acceso a la información pública será restringido excepcionalmente, cuando por razones de interés público, ésta sea clasificada como reservada, conforme a los criterios siguientes: </w:t>
      </w:r>
    </w:p>
    <w:p w:rsidR="00402317" w:rsidRPr="00AB46D0" w:rsidRDefault="00402317" w:rsidP="00FC3FED">
      <w:pPr>
        <w:tabs>
          <w:tab w:val="left" w:pos="4962"/>
        </w:tabs>
        <w:spacing w:after="0" w:line="360" w:lineRule="auto"/>
        <w:ind w:left="567"/>
        <w:jc w:val="both"/>
        <w:rPr>
          <w:rFonts w:ascii="Palatino Linotype" w:hAnsi="Palatino Linotype" w:cs="Tahoma"/>
          <w:i/>
          <w:iCs/>
          <w:sz w:val="24"/>
          <w:szCs w:val="24"/>
          <w:lang w:val="es-ES" w:eastAsia="es-ES_tradnl"/>
        </w:rPr>
      </w:pPr>
      <w:r w:rsidRPr="00AB46D0">
        <w:rPr>
          <w:rFonts w:ascii="Palatino Linotype" w:hAnsi="Palatino Linotype" w:cs="Tahoma"/>
          <w:i/>
          <w:iCs/>
          <w:sz w:val="24"/>
          <w:szCs w:val="24"/>
          <w:lang w:val="es-ES" w:eastAsia="es-ES_tradnl"/>
        </w:rPr>
        <w:t>…</w:t>
      </w:r>
    </w:p>
    <w:p w:rsidR="00402317" w:rsidRPr="00AB46D0" w:rsidRDefault="00402317" w:rsidP="00FC3FED">
      <w:pPr>
        <w:tabs>
          <w:tab w:val="left" w:pos="4962"/>
        </w:tabs>
        <w:spacing w:after="0" w:line="360" w:lineRule="auto"/>
        <w:ind w:left="567"/>
        <w:jc w:val="both"/>
        <w:rPr>
          <w:rFonts w:ascii="Palatino Linotype" w:hAnsi="Palatino Linotype" w:cs="Tahoma"/>
          <w:i/>
          <w:iCs/>
          <w:sz w:val="24"/>
          <w:szCs w:val="24"/>
          <w:lang w:eastAsia="es-ES_tradnl"/>
        </w:rPr>
      </w:pPr>
      <w:r w:rsidRPr="00AB46D0">
        <w:rPr>
          <w:rFonts w:ascii="Palatino Linotype" w:hAnsi="Palatino Linotype" w:cs="Tahoma"/>
          <w:i/>
          <w:iCs/>
          <w:sz w:val="24"/>
          <w:szCs w:val="24"/>
          <w:lang w:eastAsia="es-ES_tradnl"/>
        </w:rPr>
        <w:t>IV. Ponga en riesgo la vida, la seguridad o la salud de una persona física;</w:t>
      </w:r>
    </w:p>
    <w:p w:rsidR="00402317" w:rsidRPr="00AB46D0" w:rsidRDefault="00402317" w:rsidP="00FC3FED">
      <w:pPr>
        <w:tabs>
          <w:tab w:val="left" w:pos="4962"/>
        </w:tabs>
        <w:spacing w:after="0" w:line="360" w:lineRule="auto"/>
        <w:ind w:left="567"/>
        <w:jc w:val="both"/>
        <w:rPr>
          <w:rFonts w:ascii="Palatino Linotype" w:hAnsi="Palatino Linotype" w:cs="Tahoma"/>
          <w:i/>
          <w:iCs/>
          <w:sz w:val="24"/>
          <w:szCs w:val="24"/>
          <w:lang w:val="es-ES" w:eastAsia="es-ES_tradnl"/>
        </w:rPr>
      </w:pPr>
      <w:r w:rsidRPr="00AB46D0">
        <w:rPr>
          <w:rFonts w:ascii="Palatino Linotype" w:hAnsi="Palatino Linotype" w:cs="Tahoma"/>
          <w:i/>
          <w:iCs/>
          <w:sz w:val="24"/>
          <w:szCs w:val="24"/>
          <w:lang w:val="es-ES" w:eastAsia="es-ES_tradnl"/>
        </w:rPr>
        <w:t xml:space="preserve">…” </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iCs/>
          <w:sz w:val="24"/>
          <w:szCs w:val="24"/>
        </w:rPr>
        <w:t>Del precepto legal anteriormente citado se desprende que como información</w:t>
      </w:r>
      <w:r w:rsidRPr="00AB46D0">
        <w:rPr>
          <w:rFonts w:ascii="Palatino Linotype" w:hAnsi="Palatino Linotype" w:cs="Tahoma"/>
          <w:bCs/>
          <w:sz w:val="24"/>
          <w:szCs w:val="24"/>
        </w:rPr>
        <w:t xml:space="preserve"> reservada podrá clasificarse aquella cuya publicación pueda poner en riesgo la vida, seguridad o salud de una persona física; para acreditar lo anterior, los </w:t>
      </w:r>
      <w:r w:rsidRPr="00AB46D0">
        <w:rPr>
          <w:rFonts w:ascii="Palatino Linotype" w:hAnsi="Palatino Linotype" w:cs="Tahoma"/>
          <w:bCs/>
          <w:sz w:val="24"/>
          <w:szCs w:val="24"/>
          <w:lang w:val="es-ES"/>
        </w:rPr>
        <w:t xml:space="preserve">Lineamientos Generales, </w:t>
      </w:r>
      <w:r w:rsidRPr="00AB46D0">
        <w:rPr>
          <w:rFonts w:ascii="Palatino Linotype" w:hAnsi="Palatino Linotype" w:cs="Tahoma"/>
          <w:bCs/>
          <w:sz w:val="24"/>
          <w:szCs w:val="24"/>
        </w:rPr>
        <w:t>establecen lo siguiente:</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spacing w:after="0" w:line="360" w:lineRule="auto"/>
        <w:ind w:left="567"/>
        <w:contextualSpacing/>
        <w:jc w:val="both"/>
        <w:rPr>
          <w:rFonts w:ascii="Palatino Linotype" w:hAnsi="Palatino Linotype" w:cs="Tahoma"/>
          <w:bCs/>
          <w:i/>
          <w:sz w:val="24"/>
          <w:szCs w:val="24"/>
        </w:rPr>
      </w:pPr>
      <w:r w:rsidRPr="00AB46D0">
        <w:rPr>
          <w:rFonts w:ascii="Palatino Linotype" w:hAnsi="Palatino Linotype" w:cs="Tahoma"/>
          <w:b/>
          <w:bCs/>
          <w:i/>
          <w:sz w:val="24"/>
          <w:szCs w:val="24"/>
        </w:rPr>
        <w:t xml:space="preserve">“Vigésimo tercero. </w:t>
      </w:r>
      <w:r w:rsidRPr="00AB46D0">
        <w:rPr>
          <w:rFonts w:ascii="Palatino Linotype" w:hAnsi="Palatino Linotype" w:cs="Tahoma"/>
          <w:bCs/>
          <w:i/>
          <w:sz w:val="24"/>
          <w:szCs w:val="24"/>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402317" w:rsidRPr="00AB46D0" w:rsidRDefault="00402317" w:rsidP="00FC3FED">
      <w:pPr>
        <w:spacing w:after="0" w:line="360" w:lineRule="auto"/>
        <w:ind w:left="567"/>
        <w:jc w:val="both"/>
        <w:rPr>
          <w:rFonts w:ascii="Palatino Linotype" w:hAnsi="Palatino Linotype" w:cs="Tahoma"/>
          <w:bCs/>
          <w:i/>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lastRenderedPageBreak/>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Además, el artículo 81, fracción III, de la Ley de Seguridad del Estado de México, establece lo siguiente:</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spacing w:after="0" w:line="360" w:lineRule="auto"/>
        <w:ind w:left="567"/>
        <w:jc w:val="both"/>
        <w:rPr>
          <w:rFonts w:ascii="Palatino Linotype" w:hAnsi="Palatino Linotype" w:cs="Tahoma"/>
          <w:bCs/>
          <w:i/>
          <w:sz w:val="24"/>
          <w:szCs w:val="24"/>
        </w:rPr>
      </w:pPr>
      <w:r w:rsidRPr="00AB46D0">
        <w:rPr>
          <w:rFonts w:ascii="Palatino Linotype" w:hAnsi="Palatino Linotype" w:cs="Tahoma"/>
          <w:b/>
          <w:bCs/>
          <w:i/>
          <w:sz w:val="24"/>
          <w:szCs w:val="24"/>
        </w:rPr>
        <w:t>“Artículo 81.-</w:t>
      </w:r>
      <w:r w:rsidRPr="00AB46D0">
        <w:rPr>
          <w:rFonts w:ascii="Palatino Linotype" w:hAnsi="Palatino Linotype" w:cs="Tahoma"/>
          <w:bCs/>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402317" w:rsidRPr="00AB46D0" w:rsidRDefault="00402317" w:rsidP="00FC3FED">
      <w:pPr>
        <w:spacing w:after="0" w:line="360" w:lineRule="auto"/>
        <w:ind w:left="567"/>
        <w:jc w:val="both"/>
        <w:rPr>
          <w:rFonts w:ascii="Palatino Linotype" w:hAnsi="Palatino Linotype" w:cs="Tahoma"/>
          <w:bCs/>
          <w:i/>
          <w:sz w:val="24"/>
          <w:szCs w:val="24"/>
        </w:rPr>
      </w:pPr>
      <w:r w:rsidRPr="00AB46D0">
        <w:rPr>
          <w:rFonts w:ascii="Palatino Linotype" w:hAnsi="Palatino Linotype" w:cs="Tahoma"/>
          <w:bCs/>
          <w:i/>
          <w:sz w:val="24"/>
          <w:szCs w:val="24"/>
        </w:rPr>
        <w:t>…</w:t>
      </w:r>
    </w:p>
    <w:p w:rsidR="00402317" w:rsidRPr="00AB46D0" w:rsidRDefault="00402317" w:rsidP="00FC3FED">
      <w:pPr>
        <w:spacing w:after="0" w:line="360" w:lineRule="auto"/>
        <w:ind w:left="567"/>
        <w:jc w:val="both"/>
        <w:rPr>
          <w:rFonts w:ascii="Palatino Linotype" w:hAnsi="Palatino Linotype" w:cs="Tahoma"/>
          <w:bCs/>
          <w:i/>
          <w:sz w:val="24"/>
          <w:szCs w:val="24"/>
        </w:rPr>
      </w:pPr>
      <w:r w:rsidRPr="00AB46D0">
        <w:rPr>
          <w:rFonts w:ascii="Palatino Linotype" w:hAnsi="Palatino Linotype" w:cs="Tahoma"/>
          <w:bCs/>
          <w:i/>
          <w:sz w:val="24"/>
          <w:szCs w:val="24"/>
        </w:rPr>
        <w:t>III. La relativa a los servidores públicos integrantes de las instituciones de seguridad pública, cuya revelación pueda poner en riesgo su vida e integridad física con motivo de sus funciones;</w:t>
      </w:r>
    </w:p>
    <w:p w:rsidR="00402317" w:rsidRPr="00AB46D0" w:rsidRDefault="00402317" w:rsidP="00FC3FED">
      <w:pPr>
        <w:spacing w:after="0" w:line="360" w:lineRule="auto"/>
        <w:ind w:left="567"/>
        <w:jc w:val="both"/>
        <w:rPr>
          <w:rFonts w:ascii="Palatino Linotype" w:hAnsi="Palatino Linotype" w:cs="Tahoma"/>
          <w:bCs/>
          <w:i/>
          <w:sz w:val="24"/>
          <w:szCs w:val="24"/>
        </w:rPr>
      </w:pPr>
      <w:r w:rsidRPr="00AB46D0">
        <w:rPr>
          <w:rFonts w:ascii="Palatino Linotype" w:hAnsi="Palatino Linotype" w:cs="Tahoma"/>
          <w:bCs/>
          <w:i/>
          <w:sz w:val="24"/>
          <w:szCs w:val="24"/>
        </w:rPr>
        <w:t>…”</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sz w:val="24"/>
          <w:szCs w:val="24"/>
          <w:lang w:eastAsia="es-ES"/>
        </w:rPr>
      </w:pPr>
      <w:r w:rsidRPr="00AB46D0">
        <w:rPr>
          <w:rFonts w:ascii="Palatino Linotype" w:eastAsia="Times New Roman" w:hAnsi="Palatino Linotype" w:cs="Tahoma"/>
          <w:sz w:val="24"/>
          <w:szCs w:val="24"/>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En ese contexto, es de señalar que los datos de servidores públicos, entre los que se encuentran el nombre de los trabajadores, por regla general, son de naturaleza </w:t>
      </w:r>
      <w:r w:rsidRPr="00AB46D0">
        <w:rPr>
          <w:rFonts w:ascii="Palatino Linotype" w:hAnsi="Palatino Linotype" w:cs="Tahoma"/>
          <w:bCs/>
          <w:sz w:val="24"/>
          <w:szCs w:val="24"/>
        </w:rPr>
        <w:lastRenderedPageBreak/>
        <w:t>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sz w:val="24"/>
          <w:szCs w:val="24"/>
          <w:lang w:eastAsia="es-ES"/>
        </w:rPr>
      </w:pPr>
      <w:r w:rsidRPr="00AB46D0">
        <w:rPr>
          <w:rFonts w:ascii="Palatino Linotype" w:hAnsi="Palatino Linotype" w:cs="Tahoma"/>
          <w:bCs/>
          <w:sz w:val="24"/>
          <w:szCs w:val="24"/>
        </w:rPr>
        <w:t xml:space="preserve">No obstante, resulta necesario traer a colación, el Criterio </w:t>
      </w:r>
      <w:r w:rsidR="00EA0489" w:rsidRPr="00AB46D0">
        <w:rPr>
          <w:rFonts w:ascii="Palatino Linotype" w:hAnsi="Palatino Linotype" w:cs="Tahoma"/>
          <w:bCs/>
          <w:sz w:val="24"/>
          <w:szCs w:val="24"/>
        </w:rPr>
        <w:t>Orientador</w:t>
      </w:r>
      <w:r w:rsidRPr="00AB46D0">
        <w:rPr>
          <w:rFonts w:ascii="Palatino Linotype" w:hAnsi="Palatino Linotype" w:cs="Tahoma"/>
          <w:bCs/>
          <w:sz w:val="24"/>
          <w:szCs w:val="24"/>
        </w:rPr>
        <w:t xml:space="preserve">, con clave de control SO/006/2009, emitido por </w:t>
      </w:r>
      <w:r w:rsidRPr="00AB46D0">
        <w:rPr>
          <w:rFonts w:ascii="Palatino Linotype" w:eastAsia="Times New Roman" w:hAnsi="Palatino Linotype" w:cs="Tahoma"/>
          <w:sz w:val="24"/>
          <w:szCs w:val="24"/>
          <w:lang w:eastAsia="es-ES"/>
        </w:rPr>
        <w:t xml:space="preserve">el entonces Instituto Federal de Acceso a la Información y Protección de Datos </w:t>
      </w:r>
      <w:r w:rsidR="00EA0489" w:rsidRPr="00AB46D0">
        <w:rPr>
          <w:rFonts w:ascii="Palatino Linotype" w:eastAsia="Times New Roman" w:hAnsi="Palatino Linotype" w:cs="Tahoma"/>
          <w:sz w:val="24"/>
          <w:szCs w:val="24"/>
          <w:lang w:eastAsia="es-ES"/>
        </w:rPr>
        <w:t xml:space="preserve">y del entonces </w:t>
      </w:r>
      <w:r w:rsidRPr="00AB46D0">
        <w:rPr>
          <w:rFonts w:ascii="Palatino Linotype" w:eastAsia="Times New Roman" w:hAnsi="Palatino Linotype" w:cs="Tahoma"/>
          <w:sz w:val="24"/>
          <w:szCs w:val="24"/>
          <w:lang w:eastAsia="es-ES"/>
        </w:rPr>
        <w:t>Instituto Nacional de Transparencia, Acceso a la Información y Protección de Datos Personales, que establece lo siguiente:</w:t>
      </w:r>
    </w:p>
    <w:p w:rsidR="00402317" w:rsidRPr="00AB46D0" w:rsidRDefault="00402317" w:rsidP="00FC3FED">
      <w:pPr>
        <w:spacing w:after="0" w:line="360" w:lineRule="auto"/>
        <w:jc w:val="both"/>
        <w:rPr>
          <w:rFonts w:ascii="Palatino Linotype" w:eastAsia="Times New Roman" w:hAnsi="Palatino Linotype" w:cs="Tahoma"/>
          <w:i/>
          <w:sz w:val="24"/>
          <w:szCs w:val="24"/>
          <w:lang w:eastAsia="es-ES"/>
        </w:rPr>
      </w:pPr>
    </w:p>
    <w:p w:rsidR="00402317" w:rsidRPr="00AB46D0" w:rsidRDefault="00402317" w:rsidP="00FC3FED">
      <w:pPr>
        <w:tabs>
          <w:tab w:val="left" w:pos="4962"/>
        </w:tabs>
        <w:spacing w:after="0" w:line="360" w:lineRule="auto"/>
        <w:ind w:left="567"/>
        <w:jc w:val="both"/>
        <w:rPr>
          <w:rFonts w:ascii="Palatino Linotype" w:eastAsia="Times New Roman" w:hAnsi="Palatino Linotype" w:cs="Tahoma"/>
          <w:i/>
          <w:sz w:val="24"/>
          <w:szCs w:val="24"/>
          <w:lang w:eastAsia="es-ES"/>
        </w:rPr>
      </w:pPr>
      <w:r w:rsidRPr="00AB46D0">
        <w:rPr>
          <w:rFonts w:ascii="Palatino Linotype" w:eastAsia="Times New Roman" w:hAnsi="Palatino Linotype" w:cs="Tahoma"/>
          <w:b/>
          <w:i/>
          <w:sz w:val="24"/>
          <w:szCs w:val="24"/>
          <w:lang w:eastAsia="es-ES"/>
        </w:rPr>
        <w:t>“Nombres de servidores públicos dedicados a actividades en materia de seguridad, por excepción pueden considerarse información reservada.</w:t>
      </w:r>
      <w:r w:rsidRPr="00AB46D0">
        <w:rPr>
          <w:rFonts w:ascii="Palatino Linotype" w:eastAsia="Times New Roman" w:hAnsi="Palatino Linotype" w:cs="Tahoma"/>
          <w:i/>
          <w:sz w:val="24"/>
          <w:szCs w:val="24"/>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w:t>
      </w:r>
      <w:r w:rsidRPr="00AB46D0">
        <w:rPr>
          <w:rFonts w:ascii="Palatino Linotype" w:eastAsia="Times New Roman" w:hAnsi="Palatino Linotype" w:cs="Tahoma"/>
          <w:i/>
          <w:sz w:val="24"/>
          <w:szCs w:val="24"/>
          <w:lang w:eastAsia="es-ES"/>
        </w:rPr>
        <w:lastRenderedPageBreak/>
        <w:t>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En ese orden de ideas, si bien por regla general los nombres de los trabajadores gubernamentales son información pública de oficio, existe una excepción relativa a </w:t>
      </w:r>
      <w:r w:rsidRPr="00AB46D0">
        <w:rPr>
          <w:rFonts w:ascii="Palatino Linotype" w:hAnsi="Palatino Linotype" w:cs="Tahoma"/>
          <w:b/>
          <w:bCs/>
          <w:sz w:val="24"/>
          <w:szCs w:val="24"/>
        </w:rPr>
        <w:t>aquellos que realicen actividades operativas en materia de seguridad,</w:t>
      </w:r>
      <w:r w:rsidRPr="00AB46D0">
        <w:rPr>
          <w:rFonts w:ascii="Palatino Linotype" w:hAnsi="Palatino Linotype" w:cs="Tahoma"/>
          <w:bCs/>
          <w:sz w:val="24"/>
          <w:szCs w:val="24"/>
        </w:rPr>
        <w:t xml:space="preserve"> como es el caso de los elementos operativos y la policía municipal.</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Al respecto,  el artículo 4° de la Ley de Seguridad del Estado de México prevé que la función de seguridad pública se realizará, en los diversos ámbitos de competencia, por conducto de las Instituciones Policiales y de Procuración de Justicia, </w:t>
      </w:r>
      <w:r w:rsidRPr="00AB46D0">
        <w:rPr>
          <w:rFonts w:ascii="Palatino Linotype" w:hAnsi="Palatino Linotype" w:cs="Tahoma"/>
          <w:bCs/>
          <w:sz w:val="24"/>
          <w:szCs w:val="24"/>
        </w:rPr>
        <w:lastRenderedPageBreak/>
        <w:t>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En ese contexto, el artículo 6, fracciones XI y XII de dicho ordenamiento jurídico, establece los siguientes conceptos: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19"/>
        </w:numPr>
        <w:spacing w:line="360" w:lineRule="auto"/>
        <w:contextualSpacing/>
        <w:jc w:val="both"/>
        <w:rPr>
          <w:rFonts w:ascii="Palatino Linotype" w:hAnsi="Palatino Linotype" w:cs="Tahoma"/>
          <w:b/>
          <w:bCs/>
          <w:sz w:val="24"/>
          <w:szCs w:val="24"/>
        </w:rPr>
      </w:pPr>
      <w:r w:rsidRPr="00AB46D0">
        <w:rPr>
          <w:rFonts w:ascii="Palatino Linotype" w:hAnsi="Palatino Linotype" w:cs="Tahoma"/>
          <w:b/>
          <w:bCs/>
          <w:sz w:val="24"/>
          <w:szCs w:val="24"/>
        </w:rPr>
        <w:t xml:space="preserve">Instituciones Policiales: </w:t>
      </w:r>
      <w:r w:rsidRPr="00AB46D0">
        <w:rPr>
          <w:rFonts w:ascii="Palatino Linotype" w:hAnsi="Palatino Linotype" w:cs="Tahoma"/>
          <w:bCs/>
          <w:sz w:val="24"/>
          <w:szCs w:val="24"/>
        </w:rPr>
        <w:t xml:space="preserve">Son los cuerpos de policía, de vigilancia y custodia de los establecimientos penitenciarios, detención preventiva, centros de arraigo y en general, </w:t>
      </w:r>
      <w:r w:rsidRPr="00AB46D0">
        <w:rPr>
          <w:rFonts w:ascii="Palatino Linotype" w:hAnsi="Palatino Linotype" w:cs="Tahoma"/>
          <w:b/>
          <w:bCs/>
          <w:sz w:val="24"/>
          <w:szCs w:val="24"/>
        </w:rPr>
        <w:t>todas las dependencias encargadas de la seguridad pública a nivel</w:t>
      </w:r>
      <w:r w:rsidRPr="00AB46D0">
        <w:rPr>
          <w:rFonts w:ascii="Palatino Linotype" w:hAnsi="Palatino Linotype" w:cs="Tahoma"/>
          <w:bCs/>
          <w:sz w:val="24"/>
          <w:szCs w:val="24"/>
        </w:rPr>
        <w:t xml:space="preserve"> estatal y </w:t>
      </w:r>
      <w:r w:rsidRPr="00AB46D0">
        <w:rPr>
          <w:rFonts w:ascii="Palatino Linotype" w:hAnsi="Palatino Linotype" w:cs="Tahoma"/>
          <w:b/>
          <w:bCs/>
          <w:sz w:val="24"/>
          <w:szCs w:val="24"/>
        </w:rPr>
        <w:t>municipal.</w:t>
      </w:r>
    </w:p>
    <w:p w:rsidR="00402317" w:rsidRPr="00AB46D0" w:rsidRDefault="00402317" w:rsidP="00FC3FED">
      <w:pPr>
        <w:spacing w:line="360" w:lineRule="auto"/>
        <w:ind w:left="720"/>
        <w:contextualSpacing/>
        <w:jc w:val="both"/>
        <w:rPr>
          <w:rFonts w:ascii="Palatino Linotype" w:hAnsi="Palatino Linotype" w:cs="Tahoma"/>
          <w:b/>
          <w:bCs/>
          <w:sz w:val="24"/>
          <w:szCs w:val="24"/>
        </w:rPr>
      </w:pPr>
    </w:p>
    <w:p w:rsidR="00402317" w:rsidRPr="00AB46D0" w:rsidRDefault="00402317" w:rsidP="00FC3FED">
      <w:pPr>
        <w:numPr>
          <w:ilvl w:val="0"/>
          <w:numId w:val="19"/>
        </w:numPr>
        <w:spacing w:line="360" w:lineRule="auto"/>
        <w:contextualSpacing/>
        <w:jc w:val="both"/>
        <w:rPr>
          <w:rFonts w:ascii="Palatino Linotype" w:hAnsi="Palatino Linotype" w:cs="Tahoma"/>
          <w:b/>
          <w:bCs/>
          <w:sz w:val="24"/>
          <w:szCs w:val="24"/>
        </w:rPr>
      </w:pPr>
      <w:r w:rsidRPr="00AB46D0">
        <w:rPr>
          <w:rFonts w:ascii="Palatino Linotype" w:hAnsi="Palatino Linotype" w:cs="Tahoma"/>
          <w:b/>
          <w:bCs/>
          <w:sz w:val="24"/>
          <w:szCs w:val="24"/>
        </w:rPr>
        <w:t xml:space="preserve">Instituciones de Seguridad Pública: </w:t>
      </w:r>
      <w:r w:rsidRPr="00AB46D0">
        <w:rPr>
          <w:rFonts w:ascii="Palatino Linotype" w:hAnsi="Palatino Linotype" w:cs="Tahoma"/>
          <w:bCs/>
          <w:sz w:val="24"/>
          <w:szCs w:val="24"/>
        </w:rPr>
        <w:t xml:space="preserve">Instituciones Policiales, Procuración de Justicia, Sistema Penitenciario y </w:t>
      </w:r>
      <w:r w:rsidRPr="00AB46D0">
        <w:rPr>
          <w:rFonts w:ascii="Palatino Linotype" w:hAnsi="Palatino Linotype" w:cs="Tahoma"/>
          <w:b/>
          <w:bCs/>
          <w:sz w:val="24"/>
          <w:szCs w:val="24"/>
        </w:rPr>
        <w:t xml:space="preserve">dependencias encargadas de la seguridad pública a nivel </w:t>
      </w:r>
      <w:r w:rsidRPr="00AB46D0">
        <w:rPr>
          <w:rFonts w:ascii="Palatino Linotype" w:hAnsi="Palatino Linotype" w:cs="Tahoma"/>
          <w:bCs/>
          <w:sz w:val="24"/>
          <w:szCs w:val="24"/>
        </w:rPr>
        <w:t xml:space="preserve">estatal y </w:t>
      </w:r>
      <w:r w:rsidRPr="00AB46D0">
        <w:rPr>
          <w:rFonts w:ascii="Palatino Linotype" w:hAnsi="Palatino Linotype" w:cs="Tahoma"/>
          <w:b/>
          <w:bCs/>
          <w:sz w:val="24"/>
          <w:szCs w:val="24"/>
        </w:rPr>
        <w:t>municipal.</w:t>
      </w:r>
    </w:p>
    <w:p w:rsidR="00402317" w:rsidRPr="00AB46D0" w:rsidRDefault="00402317" w:rsidP="00FC3FED">
      <w:pPr>
        <w:spacing w:line="360" w:lineRule="auto"/>
        <w:contextualSpacing/>
        <w:jc w:val="both"/>
        <w:rPr>
          <w:rFonts w:ascii="Palatino Linotype" w:hAnsi="Palatino Linotype" w:cs="Tahoma"/>
          <w:b/>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iCs/>
          <w:sz w:val="24"/>
          <w:szCs w:val="24"/>
          <w:lang w:val="es-ES" w:eastAsia="es-ES_tradnl"/>
        </w:rPr>
        <w:t>Conforme a lo anterior</w:t>
      </w:r>
      <w:r w:rsidRPr="00AB46D0">
        <w:rPr>
          <w:rFonts w:ascii="Palatino Linotype" w:hAnsi="Palatino Linotype" w:cs="Tahoma"/>
          <w:bCs/>
          <w:sz w:val="24"/>
          <w:szCs w:val="24"/>
        </w:rPr>
        <w:t xml:space="preserve">, se puede deducir que la Dirección de Seguridad Pública, es una institución de seguridad pública, pues tiene como atribución principal, la prevención de delitos </w:t>
      </w:r>
      <w:r w:rsidRPr="00AB46D0">
        <w:rPr>
          <w:rFonts w:ascii="Palatino Linotype" w:hAnsi="Palatino Linotype" w:cs="Times New Roman"/>
          <w:sz w:val="24"/>
          <w:szCs w:val="24"/>
          <w:lang w:eastAsia="es-ES"/>
        </w:rPr>
        <w:t>y proteger a las personas, sus propiedades, posesiones y derechos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lang w:val="es-ES"/>
        </w:rPr>
        <w:t xml:space="preserve">Además, </w:t>
      </w:r>
      <w:r w:rsidRPr="00AB46D0">
        <w:rPr>
          <w:rFonts w:ascii="Palatino Linotype" w:hAnsi="Palatino Linotype" w:cs="Tahoma"/>
          <w:bCs/>
          <w:sz w:val="24"/>
          <w:szCs w:val="24"/>
        </w:rPr>
        <w:t xml:space="preserve">el Instructivo de llenado del Formato “Personal de Seguridad Pública”, del Secretariado Ejecutivo del Sistema Nacional de Seguridad Pública </w:t>
      </w:r>
      <w:r w:rsidRPr="00AB46D0">
        <w:rPr>
          <w:rFonts w:ascii="Palatino Linotype" w:hAnsi="Palatino Linotype" w:cs="Tahoma"/>
          <w:bCs/>
          <w:sz w:val="24"/>
          <w:szCs w:val="24"/>
        </w:rPr>
        <w:lastRenderedPageBreak/>
        <w:t xml:space="preserve">(consultado el veintidós de diciembre de dos mil veintiuno, a las catorce horas, en la liga electrónica </w:t>
      </w:r>
      <w:hyperlink r:id="rId16" w:history="1">
        <w:r w:rsidRPr="00AB46D0">
          <w:rPr>
            <w:rStyle w:val="Hipervnculo"/>
            <w:rFonts w:ascii="Palatino Linotype" w:hAnsi="Palatino Linotype" w:cs="Tahoma"/>
            <w:bCs/>
            <w:color w:val="0563C1"/>
            <w:sz w:val="24"/>
            <w:szCs w:val="24"/>
          </w:rPr>
          <w:t>http://secretariadoejecutivo.gob.mx/work/models/SecretariadoEjecutivo/Resource/328/1/images/instructivo_final_edo_fuerza(1).pdf</w:t>
        </w:r>
      </w:hyperlink>
      <w:r w:rsidRPr="00AB46D0">
        <w:rPr>
          <w:rFonts w:ascii="Palatino Linotype" w:hAnsi="Palatino Linotype" w:cs="Tahoma"/>
          <w:bCs/>
          <w:sz w:val="24"/>
          <w:szCs w:val="24"/>
        </w:rPr>
        <w:t xml:space="preserve">), establece que los elementos operativos de seguridad pública, son aquellos que desempeñan funciones de campo (policiacas, especializadas o equivalentes y que no </w:t>
      </w:r>
      <w:r w:rsidRPr="00AB46D0">
        <w:rPr>
          <w:rFonts w:ascii="Palatino Linotype" w:hAnsi="Palatino Linotype" w:cs="Tahoma"/>
          <w:b/>
          <w:bCs/>
          <w:sz w:val="24"/>
          <w:szCs w:val="24"/>
        </w:rPr>
        <w:t>desempeña funciones de mando</w:t>
      </w:r>
      <w:r w:rsidRPr="00AB46D0">
        <w:rPr>
          <w:rFonts w:ascii="Palatino Linotype" w:hAnsi="Palatino Linotype" w:cs="Tahoma"/>
          <w:bCs/>
          <w:sz w:val="24"/>
          <w:szCs w:val="24"/>
        </w:rPr>
        <w:t xml:space="preserve">), entre los cuales, se encuentra </w:t>
      </w:r>
      <w:r w:rsidRPr="00AB46D0">
        <w:rPr>
          <w:rFonts w:ascii="Palatino Linotype" w:hAnsi="Palatino Linotype" w:cs="Tahoma"/>
          <w:b/>
          <w:bCs/>
          <w:sz w:val="24"/>
          <w:szCs w:val="24"/>
        </w:rPr>
        <w:t>la Policía Municipal</w:t>
      </w:r>
      <w:r w:rsidRPr="00AB46D0">
        <w:rPr>
          <w:rFonts w:ascii="Palatino Linotype" w:hAnsi="Palatino Linotype" w:cs="Tahoma"/>
          <w:bCs/>
          <w:sz w:val="24"/>
          <w:szCs w:val="24"/>
        </w:rPr>
        <w:t>.</w:t>
      </w:r>
    </w:p>
    <w:p w:rsidR="00402317" w:rsidRPr="00AB46D0" w:rsidRDefault="00402317" w:rsidP="00FC3FED">
      <w:pPr>
        <w:tabs>
          <w:tab w:val="left" w:pos="4962"/>
        </w:tabs>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w:t>
      </w:r>
      <w:r w:rsidRPr="00AB46D0">
        <w:rPr>
          <w:rFonts w:ascii="Palatino Linotype" w:hAnsi="Palatino Linotype" w:cs="Tahoma"/>
          <w:bCs/>
          <w:sz w:val="24"/>
          <w:szCs w:val="24"/>
        </w:rPr>
        <w:lastRenderedPageBreak/>
        <w:t>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Lo anterior, se robustece con las Cifras de Incidencia Delictiva Municipal 2015-2021, publicado por el Secretariado Ejecutivo del Sistema Nacional de Seguridad Pública, en la página </w:t>
      </w:r>
      <w:hyperlink r:id="rId17" w:history="1">
        <w:r w:rsidRPr="00AB46D0">
          <w:rPr>
            <w:rStyle w:val="Hipervnculo"/>
            <w:rFonts w:ascii="Palatino Linotype" w:eastAsia="Times New Roman" w:hAnsi="Palatino Linotype" w:cs="Times New Roman"/>
            <w:color w:val="0563C1"/>
            <w:sz w:val="24"/>
            <w:szCs w:val="24"/>
          </w:rPr>
          <w:t>https://www.gob.mx/sesnsp/acciones-y-programas/incidencia-delictiva-del-fuero-comun-nueva-metodologia?state=published</w:t>
        </w:r>
      </w:hyperlink>
      <w:r w:rsidRPr="00AB46D0">
        <w:rPr>
          <w:rFonts w:ascii="Palatino Linotype" w:hAnsi="Palatino Linotype" w:cs="Tahoma"/>
          <w:bCs/>
          <w:sz w:val="24"/>
          <w:szCs w:val="24"/>
        </w:rPr>
        <w:t xml:space="preserve"> (consultado el once de enero de dos mil veintidós, a las dieciséis horas con tres minutos) de cual se desprenden que durante el dos mil veintiuno, se cometieron diversos delitos, entre los cuales, se encuentran las lesiones dolosas, robo de casa habitación, vehículo automotor o transporte, fraudes y violencia familiar; hechos que pueden llegar a ser atendidos directamente por este personal operativo en apoyo de los afectados o incluso de las autoridades encargadas de la procuración de justicia. </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Cs/>
          <w:sz w:val="24"/>
          <w:szCs w:val="24"/>
        </w:rPr>
      </w:pPr>
      <w:r w:rsidRPr="00AB46D0">
        <w:rPr>
          <w:rFonts w:ascii="Palatino Linotype" w:hAnsi="Palatino Linotype" w:cs="Tahoma"/>
          <w:bCs/>
          <w:sz w:val="24"/>
          <w:szCs w:val="24"/>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w:t>
      </w:r>
      <w:r w:rsidRPr="00AB46D0">
        <w:rPr>
          <w:rFonts w:ascii="Palatino Linotype" w:hAnsi="Palatino Linotype" w:cs="Tahoma"/>
          <w:bCs/>
          <w:sz w:val="24"/>
          <w:szCs w:val="24"/>
        </w:rPr>
        <w:lastRenderedPageBreak/>
        <w:t>fin de entorpecer o disminuir la seguridad pública y aumentar la comisión de actos ilícitos.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b/>
          <w:iCs/>
          <w:sz w:val="24"/>
          <w:szCs w:val="24"/>
          <w:lang w:val="es-ES" w:eastAsia="es-ES_tradnl"/>
        </w:rPr>
      </w:pPr>
      <w:r w:rsidRPr="00AB46D0">
        <w:rPr>
          <w:rFonts w:ascii="Palatino Linotype" w:hAnsi="Palatino Linotype" w:cs="Tahoma"/>
          <w:bCs/>
          <w:sz w:val="24"/>
          <w:szCs w:val="24"/>
        </w:rPr>
        <w:t xml:space="preserve">Por tales consideraciones, </w:t>
      </w:r>
      <w:r w:rsidRPr="00AB46D0">
        <w:rPr>
          <w:rFonts w:ascii="Palatino Linotype" w:hAnsi="Palatino Linotype" w:cs="Tahoma"/>
          <w:b/>
          <w:bCs/>
          <w:sz w:val="24"/>
          <w:szCs w:val="24"/>
        </w:rPr>
        <w:t xml:space="preserve">resulta procedente la reserva del nombre de los elementos operativos </w:t>
      </w:r>
      <w:r w:rsidR="00EA0489" w:rsidRPr="00AB46D0">
        <w:rPr>
          <w:rFonts w:ascii="Palatino Linotype" w:hAnsi="Palatino Linotype" w:cs="Tahoma"/>
          <w:b/>
          <w:bCs/>
          <w:sz w:val="24"/>
          <w:szCs w:val="24"/>
        </w:rPr>
        <w:t>del Ayuntamiento de Villa de Allende,</w:t>
      </w:r>
      <w:r w:rsidRPr="00AB46D0">
        <w:rPr>
          <w:rFonts w:ascii="Palatino Linotype" w:hAnsi="Palatino Linotype" w:cs="Tahoma"/>
          <w:b/>
          <w:bCs/>
          <w:sz w:val="24"/>
          <w:szCs w:val="24"/>
        </w:rPr>
        <w:t xml:space="preserve"> en términos del artículo 140, fracción IV, de </w:t>
      </w:r>
      <w:r w:rsidRPr="00AB46D0">
        <w:rPr>
          <w:rFonts w:ascii="Palatino Linotype" w:hAnsi="Palatino Linotype" w:cs="Tahoma"/>
          <w:b/>
          <w:iCs/>
          <w:sz w:val="24"/>
          <w:szCs w:val="24"/>
          <w:lang w:val="es-ES" w:eastAsia="es-ES_tradnl"/>
        </w:rPr>
        <w:t>de la Ley de Transparencia y Acceso a la Información Pública del Estado de México y Municipios.</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hAnsi="Palatino Linotype" w:cs="Tahoma"/>
          <w:iCs/>
          <w:sz w:val="24"/>
          <w:szCs w:val="24"/>
          <w:lang w:val="es-ES" w:eastAsia="es-ES_tradnl"/>
        </w:rPr>
      </w:pPr>
      <w:r w:rsidRPr="00AB46D0">
        <w:rPr>
          <w:rFonts w:ascii="Palatino Linotype" w:hAnsi="Palatino Linotype" w:cs="Tahoma"/>
          <w:iCs/>
          <w:sz w:val="24"/>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402317" w:rsidRPr="00AB46D0" w:rsidRDefault="00402317" w:rsidP="00FC3FED">
      <w:pPr>
        <w:tabs>
          <w:tab w:val="left" w:pos="4962"/>
        </w:tabs>
        <w:spacing w:after="0" w:line="360" w:lineRule="auto"/>
        <w:jc w:val="both"/>
        <w:rPr>
          <w:rFonts w:ascii="Palatino Linotype" w:hAnsi="Palatino Linotype" w:cs="Tahoma"/>
          <w:iCs/>
          <w:sz w:val="24"/>
          <w:szCs w:val="24"/>
          <w:lang w:val="es-ES" w:eastAsia="es-ES_tradnl"/>
        </w:rPr>
      </w:pPr>
    </w:p>
    <w:p w:rsidR="00402317" w:rsidRPr="00AB46D0" w:rsidRDefault="00402317" w:rsidP="00FC3FED">
      <w:pPr>
        <w:numPr>
          <w:ilvl w:val="0"/>
          <w:numId w:val="20"/>
        </w:numPr>
        <w:tabs>
          <w:tab w:val="left" w:pos="4962"/>
        </w:tabs>
        <w:spacing w:after="0" w:line="360" w:lineRule="auto"/>
        <w:jc w:val="both"/>
        <w:rPr>
          <w:rFonts w:ascii="Palatino Linotype" w:hAnsi="Palatino Linotype" w:cs="Tahoma"/>
          <w:iCs/>
          <w:sz w:val="24"/>
          <w:szCs w:val="24"/>
          <w:lang w:val="es-ES_tradnl" w:eastAsia="es-ES_tradnl"/>
        </w:rPr>
      </w:pPr>
      <w:r w:rsidRPr="00AB46D0">
        <w:rPr>
          <w:rFonts w:ascii="Palatino Linotype" w:hAnsi="Palatino Linotype" w:cs="Tahoma"/>
          <w:iCs/>
          <w:sz w:val="24"/>
          <w:szCs w:val="24"/>
          <w:lang w:val="es-ES_tradnl" w:eastAsia="es-ES_tradnl"/>
        </w:rPr>
        <w:t>La divulgación de la información representa un riesgo real, demostrable e identificable de perjuicio significativo al interés público o a la seguridad nacional.</w:t>
      </w:r>
    </w:p>
    <w:p w:rsidR="00402317" w:rsidRPr="00AB46D0" w:rsidRDefault="00402317" w:rsidP="00FC3FED">
      <w:pPr>
        <w:tabs>
          <w:tab w:val="left" w:pos="4962"/>
        </w:tabs>
        <w:spacing w:after="0" w:line="360" w:lineRule="auto"/>
        <w:jc w:val="both"/>
        <w:rPr>
          <w:rFonts w:ascii="Palatino Linotype" w:hAnsi="Palatino Linotype" w:cs="Tahoma"/>
          <w:iCs/>
          <w:sz w:val="24"/>
          <w:szCs w:val="24"/>
          <w:lang w:val="es-ES_tradnl" w:eastAsia="es-ES_tradnl"/>
        </w:rPr>
      </w:pPr>
    </w:p>
    <w:p w:rsidR="00402317" w:rsidRPr="00AB46D0" w:rsidRDefault="00402317" w:rsidP="00FC3FED">
      <w:pPr>
        <w:numPr>
          <w:ilvl w:val="0"/>
          <w:numId w:val="20"/>
        </w:numPr>
        <w:tabs>
          <w:tab w:val="left" w:pos="4962"/>
        </w:tabs>
        <w:spacing w:after="0" w:line="360" w:lineRule="auto"/>
        <w:jc w:val="both"/>
        <w:rPr>
          <w:rFonts w:ascii="Palatino Linotype" w:hAnsi="Palatino Linotype" w:cs="Tahoma"/>
          <w:iCs/>
          <w:sz w:val="24"/>
          <w:szCs w:val="24"/>
          <w:lang w:val="es-ES_tradnl" w:eastAsia="es-ES_tradnl"/>
        </w:rPr>
      </w:pPr>
      <w:r w:rsidRPr="00AB46D0">
        <w:rPr>
          <w:rFonts w:ascii="Palatino Linotype" w:hAnsi="Palatino Linotype" w:cs="Tahoma"/>
          <w:iCs/>
          <w:sz w:val="24"/>
          <w:szCs w:val="24"/>
          <w:lang w:val="es-ES_tradnl" w:eastAsia="es-ES_tradnl"/>
        </w:rPr>
        <w:t>El riesgo de perjuicio supera el interés público general de que se difunda.</w:t>
      </w:r>
    </w:p>
    <w:p w:rsidR="00402317" w:rsidRPr="00AB46D0" w:rsidRDefault="00402317" w:rsidP="00FC3FED">
      <w:pPr>
        <w:tabs>
          <w:tab w:val="left" w:pos="4962"/>
        </w:tabs>
        <w:spacing w:after="0" w:line="360" w:lineRule="auto"/>
        <w:jc w:val="both"/>
        <w:rPr>
          <w:rFonts w:ascii="Palatino Linotype" w:hAnsi="Palatino Linotype" w:cs="Tahoma"/>
          <w:iCs/>
          <w:sz w:val="24"/>
          <w:szCs w:val="24"/>
          <w:lang w:val="es-ES_tradnl" w:eastAsia="es-ES_tradnl"/>
        </w:rPr>
      </w:pPr>
    </w:p>
    <w:p w:rsidR="00402317" w:rsidRPr="00AB46D0" w:rsidRDefault="00402317" w:rsidP="00FC3FED">
      <w:pPr>
        <w:numPr>
          <w:ilvl w:val="0"/>
          <w:numId w:val="20"/>
        </w:numPr>
        <w:tabs>
          <w:tab w:val="left" w:pos="4962"/>
        </w:tabs>
        <w:spacing w:after="0" w:line="360" w:lineRule="auto"/>
        <w:jc w:val="both"/>
        <w:rPr>
          <w:rFonts w:ascii="Palatino Linotype" w:hAnsi="Palatino Linotype" w:cs="Tahoma"/>
          <w:iCs/>
          <w:sz w:val="24"/>
          <w:szCs w:val="24"/>
          <w:lang w:val="es-ES_tradnl" w:eastAsia="es-ES_tradnl"/>
        </w:rPr>
      </w:pPr>
      <w:r w:rsidRPr="00AB46D0">
        <w:rPr>
          <w:rFonts w:ascii="Palatino Linotype" w:hAnsi="Palatino Linotype" w:cs="Tahoma"/>
          <w:iCs/>
          <w:sz w:val="24"/>
          <w:szCs w:val="24"/>
          <w:lang w:val="es-ES_tradnl" w:eastAsia="es-ES_tradnl"/>
        </w:rPr>
        <w:t>Que la limitación se adecua al principio de proporcionalidad y representa el medio menos restrictivo disponible para evitar el perjuicio.</w:t>
      </w:r>
    </w:p>
    <w:p w:rsidR="00402317" w:rsidRPr="00AB46D0" w:rsidRDefault="00402317" w:rsidP="00FC3FED">
      <w:pPr>
        <w:spacing w:after="0" w:line="360" w:lineRule="auto"/>
        <w:jc w:val="both"/>
        <w:rPr>
          <w:rFonts w:ascii="Palatino Linotype" w:eastAsia="Times New Roman" w:hAnsi="Palatino Linotype" w:cs="Tahoma"/>
          <w:bCs/>
          <w:iCs/>
          <w:sz w:val="24"/>
          <w:szCs w:val="24"/>
          <w:lang w:val="es-ES_tradnl" w:eastAsia="es-ES"/>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bCs/>
          <w:iCs/>
          <w:sz w:val="24"/>
          <w:szCs w:val="24"/>
          <w:lang w:val="es-ES_tradnl" w:eastAsia="es-ES"/>
        </w:rPr>
      </w:pPr>
      <w:r w:rsidRPr="00AB46D0">
        <w:rPr>
          <w:rFonts w:ascii="Palatino Linotype" w:eastAsia="Times New Roman" w:hAnsi="Palatino Linotype" w:cs="Tahoma"/>
          <w:bCs/>
          <w:iCs/>
          <w:sz w:val="24"/>
          <w:szCs w:val="24"/>
          <w:lang w:val="es-ES_tradnl" w:eastAsia="es-ES"/>
        </w:rPr>
        <w:lastRenderedPageBreak/>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w:t>
      </w:r>
      <w:r w:rsidR="00EA0489" w:rsidRPr="00AB46D0">
        <w:rPr>
          <w:rFonts w:ascii="Palatino Linotype" w:eastAsia="Times New Roman" w:hAnsi="Palatino Linotype" w:cs="Tahoma"/>
          <w:bCs/>
          <w:iCs/>
          <w:sz w:val="24"/>
          <w:szCs w:val="24"/>
          <w:lang w:val="es-ES_tradnl" w:eastAsia="es-ES"/>
        </w:rPr>
        <w:t>del Ayuntamiento de Villa de Allende</w:t>
      </w:r>
      <w:r w:rsidRPr="00AB46D0">
        <w:rPr>
          <w:rFonts w:ascii="Palatino Linotype" w:eastAsia="Times New Roman" w:hAnsi="Palatino Linotype" w:cs="Tahoma"/>
          <w:bCs/>
          <w:iCs/>
          <w:sz w:val="24"/>
          <w:szCs w:val="24"/>
          <w:lang w:val="es-ES_tradnl" w:eastAsia="es-ES"/>
        </w:rPr>
        <w:t>, de manera fundada y motivada, mediante la respectiva prueba de daño.</w:t>
      </w:r>
    </w:p>
    <w:p w:rsidR="00402317" w:rsidRPr="00AB46D0" w:rsidRDefault="00402317" w:rsidP="00FC3FED">
      <w:pPr>
        <w:spacing w:after="0" w:line="360" w:lineRule="auto"/>
        <w:jc w:val="both"/>
        <w:rPr>
          <w:rFonts w:ascii="Palatino Linotype" w:hAnsi="Palatino Linotype" w:cs="Tahoma"/>
          <w:bCs/>
          <w:sz w:val="24"/>
          <w:szCs w:val="24"/>
        </w:rPr>
      </w:pPr>
    </w:p>
    <w:p w:rsidR="00402317" w:rsidRPr="00AB46D0" w:rsidRDefault="00402317" w:rsidP="00FC3FED">
      <w:pPr>
        <w:numPr>
          <w:ilvl w:val="0"/>
          <w:numId w:val="4"/>
        </w:numPr>
        <w:spacing w:after="0" w:line="360" w:lineRule="auto"/>
        <w:ind w:left="0" w:firstLine="0"/>
        <w:contextualSpacing/>
        <w:jc w:val="both"/>
        <w:rPr>
          <w:rFonts w:ascii="Palatino Linotype" w:eastAsia="Times New Roman" w:hAnsi="Palatino Linotype" w:cs="Tahoma"/>
          <w:sz w:val="24"/>
          <w:szCs w:val="24"/>
          <w:lang w:eastAsia="es-ES"/>
        </w:rPr>
      </w:pPr>
      <w:r w:rsidRPr="00AB46D0">
        <w:rPr>
          <w:rFonts w:ascii="Palatino Linotype" w:hAnsi="Palatino Linotype" w:cs="Tahoma"/>
          <w:bCs/>
          <w:iCs/>
          <w:sz w:val="24"/>
          <w:szCs w:val="24"/>
        </w:rPr>
        <w:t>Por lo que, para atender el requerimiento deberá proporcionar los documentos solicitados en versión pública; p</w:t>
      </w:r>
      <w:r w:rsidRPr="00AB46D0">
        <w:rPr>
          <w:rFonts w:ascii="Palatino Linotype" w:eastAsia="Times New Roman" w:hAnsi="Palatino Linotype" w:cs="Tahoma"/>
          <w:sz w:val="24"/>
          <w:szCs w:val="24"/>
          <w:lang w:eastAsia="es-ES"/>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rsidR="008C4EAB" w:rsidRPr="00AB46D0" w:rsidRDefault="008C4EAB" w:rsidP="00FC3FED">
      <w:pPr>
        <w:pStyle w:val="Prrafodelista"/>
        <w:rPr>
          <w:rFonts w:ascii="Palatino Linotype" w:eastAsia="Times New Roman" w:hAnsi="Palatino Linotype" w:cs="Tahoma"/>
        </w:rPr>
      </w:pPr>
    </w:p>
    <w:p w:rsidR="008C4EAB" w:rsidRPr="00AB46D0" w:rsidRDefault="008C4EAB" w:rsidP="00FC3FED">
      <w:pPr>
        <w:numPr>
          <w:ilvl w:val="0"/>
          <w:numId w:val="4"/>
        </w:numPr>
        <w:spacing w:after="0" w:line="360" w:lineRule="auto"/>
        <w:ind w:left="0" w:firstLine="0"/>
        <w:contextualSpacing/>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Por último, de ser el caso que la información ordenada no obre en los archivos del </w:t>
      </w:r>
      <w:r w:rsidRPr="00AB46D0">
        <w:rPr>
          <w:rFonts w:ascii="Palatino Linotype" w:eastAsia="Palatino Linotype" w:hAnsi="Palatino Linotype" w:cs="Palatino Linotype"/>
          <w:b/>
          <w:color w:val="000000"/>
          <w:sz w:val="24"/>
          <w:szCs w:val="24"/>
        </w:rPr>
        <w:t xml:space="preserve">SUJETO OBLIGADO </w:t>
      </w:r>
      <w:r w:rsidRPr="00AB46D0">
        <w:rPr>
          <w:rFonts w:ascii="Palatino Linotype" w:eastAsia="Palatino Linotype" w:hAnsi="Palatino Linotype" w:cs="Palatino Linotype"/>
          <w:color w:val="000000"/>
          <w:sz w:val="24"/>
          <w:szCs w:val="24"/>
        </w:rPr>
        <w:t xml:space="preserve">por no haber fuente obligacional bastará con que se haga del conocimiento del </w:t>
      </w:r>
      <w:r w:rsidRPr="00AB46D0">
        <w:rPr>
          <w:rFonts w:ascii="Palatino Linotype" w:eastAsia="Palatino Linotype" w:hAnsi="Palatino Linotype" w:cs="Palatino Linotype"/>
          <w:b/>
          <w:color w:val="000000"/>
          <w:sz w:val="24"/>
          <w:szCs w:val="24"/>
        </w:rPr>
        <w:t xml:space="preserve">RECURRENTE </w:t>
      </w:r>
      <w:r w:rsidRPr="00AB46D0">
        <w:rPr>
          <w:rFonts w:ascii="Palatino Linotype" w:eastAsia="Palatino Linotype" w:hAnsi="Palatino Linotype" w:cs="Palatino Linotype"/>
          <w:color w:val="000000"/>
          <w:sz w:val="24"/>
          <w:szCs w:val="24"/>
        </w:rPr>
        <w:t xml:space="preserve">conforme  artículo 19 párrafo segundo de la Ley </w:t>
      </w:r>
      <w:r w:rsidRPr="00AB46D0">
        <w:rPr>
          <w:rFonts w:ascii="Palatino Linotype" w:eastAsia="Palatino Linotype" w:hAnsi="Palatino Linotype" w:cs="Palatino Linotype"/>
          <w:color w:val="000000"/>
          <w:sz w:val="24"/>
          <w:szCs w:val="24"/>
        </w:rPr>
        <w:lastRenderedPageBreak/>
        <w:t xml:space="preserve">de Transparencia y Acceso a la Información Pública del Estado de México y Municipios. </w:t>
      </w:r>
    </w:p>
    <w:p w:rsidR="008C4EAB" w:rsidRPr="00AB46D0" w:rsidRDefault="008C4EAB" w:rsidP="00FC3FED">
      <w:pPr>
        <w:spacing w:after="0" w:line="360" w:lineRule="auto"/>
        <w:contextualSpacing/>
        <w:jc w:val="both"/>
        <w:rPr>
          <w:rFonts w:ascii="Palatino Linotype" w:eastAsia="Times New Roman" w:hAnsi="Palatino Linotype" w:cs="Tahoma"/>
          <w:sz w:val="24"/>
          <w:szCs w:val="24"/>
          <w:lang w:eastAsia="es-ES"/>
        </w:rPr>
      </w:pPr>
    </w:p>
    <w:p w:rsidR="005B3BAD" w:rsidRPr="00AB46D0" w:rsidRDefault="005B3BAD" w:rsidP="00FC3FED">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EA0489" w:rsidRPr="00AB46D0" w:rsidRDefault="005B3BAD" w:rsidP="00FC3FE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b/>
          <w:sz w:val="24"/>
          <w:szCs w:val="24"/>
        </w:rPr>
        <w:t>QUINTO</w:t>
      </w:r>
      <w:r w:rsidR="00EA0489" w:rsidRPr="00AB46D0">
        <w:rPr>
          <w:rFonts w:ascii="Palatino Linotype" w:eastAsia="Palatino Linotype" w:hAnsi="Palatino Linotype" w:cs="Palatino Linotype"/>
          <w:b/>
          <w:color w:val="000000"/>
          <w:sz w:val="24"/>
          <w:szCs w:val="24"/>
        </w:rPr>
        <w:t>. De la versión pública.</w:t>
      </w:r>
    </w:p>
    <w:p w:rsidR="00A361C0" w:rsidRPr="00AB46D0" w:rsidRDefault="00A361C0" w:rsidP="00FC3FED">
      <w:pPr>
        <w:keepNext/>
        <w:keepLines/>
        <w:spacing w:line="360" w:lineRule="auto"/>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QUINTO. De la versión pública.</w:t>
      </w:r>
    </w:p>
    <w:p w:rsidR="00A361C0" w:rsidRPr="00AB46D0" w:rsidRDefault="00A361C0" w:rsidP="00FC3FED">
      <w:pPr>
        <w:keepNext/>
        <w:keepLines/>
        <w:numPr>
          <w:ilvl w:val="0"/>
          <w:numId w:val="24"/>
        </w:numPr>
        <w:tabs>
          <w:tab w:val="left" w:pos="284"/>
        </w:tabs>
        <w:spacing w:line="360" w:lineRule="auto"/>
        <w:ind w:left="0" w:firstLine="0"/>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 xml:space="preserve">Nociones generales. </w:t>
      </w:r>
    </w:p>
    <w:p w:rsidR="00A361C0" w:rsidRPr="00AB46D0" w:rsidRDefault="00A361C0" w:rsidP="00FC3FED">
      <w:pPr>
        <w:numPr>
          <w:ilvl w:val="0"/>
          <w:numId w:val="4"/>
        </w:numPr>
        <w:spacing w:after="0" w:line="360" w:lineRule="auto"/>
        <w:ind w:left="0" w:firstLine="0"/>
        <w:contextualSpacing/>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 xml:space="preserve">Debe destacarse, que debido a la información solicitada por el </w:t>
      </w:r>
      <w:r w:rsidRPr="00AB46D0">
        <w:rPr>
          <w:rFonts w:ascii="Palatino Linotype" w:eastAsia="Palatino Linotype" w:hAnsi="Palatino Linotype" w:cs="Palatino Linotype"/>
          <w:b/>
          <w:color w:val="000000"/>
          <w:sz w:val="24"/>
          <w:szCs w:val="24"/>
        </w:rPr>
        <w:t xml:space="preserve">RECURRENTE, pueden obrar </w:t>
      </w:r>
      <w:r w:rsidRPr="00AB46D0">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AB46D0">
        <w:rPr>
          <w:rFonts w:ascii="Palatino Linotype" w:eastAsia="Palatino Linotype" w:hAnsi="Palatino Linotype" w:cs="Palatino Linotype"/>
          <w:b/>
          <w:color w:val="000000"/>
          <w:sz w:val="24"/>
          <w:szCs w:val="24"/>
        </w:rPr>
        <w:t xml:space="preserve">SUJETO OBLIGADO </w:t>
      </w:r>
      <w:r w:rsidRPr="00AB46D0">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A361C0" w:rsidRPr="00AB46D0" w:rsidRDefault="00A361C0" w:rsidP="00FC3FED">
      <w:pPr>
        <w:tabs>
          <w:tab w:val="left" w:pos="0"/>
          <w:tab w:val="left" w:pos="284"/>
        </w:tabs>
        <w:spacing w:line="360" w:lineRule="auto"/>
        <w:jc w:val="both"/>
        <w:rPr>
          <w:rFonts w:ascii="Palatino Linotype" w:eastAsia="Palatino Linotype" w:hAnsi="Palatino Linotype" w:cs="Palatino Linotype"/>
          <w:sz w:val="24"/>
          <w:szCs w:val="24"/>
        </w:rPr>
      </w:pPr>
    </w:p>
    <w:p w:rsidR="00A361C0" w:rsidRPr="00AB46D0" w:rsidRDefault="00A361C0" w:rsidP="00FC3FED">
      <w:pPr>
        <w:numPr>
          <w:ilvl w:val="0"/>
          <w:numId w:val="4"/>
        </w:numPr>
        <w:spacing w:after="0" w:line="360" w:lineRule="auto"/>
        <w:ind w:left="0" w:firstLine="0"/>
        <w:contextualSpacing/>
        <w:jc w:val="both"/>
        <w:rPr>
          <w:rFonts w:ascii="Palatino Linotype" w:hAnsi="Palatino Linotype"/>
          <w:color w:val="000000"/>
          <w:sz w:val="24"/>
          <w:szCs w:val="24"/>
        </w:rPr>
      </w:pPr>
      <w:r w:rsidRPr="00AB46D0">
        <w:rPr>
          <w:rFonts w:ascii="Palatino Linotype" w:eastAsia="Palatino Linotype" w:hAnsi="Palatino Linotype" w:cs="Palatino Linotype"/>
          <w:color w:val="000000"/>
          <w:sz w:val="24"/>
          <w:szCs w:val="24"/>
        </w:rPr>
        <w:t>No pasa desapercibido para este Órgano Garante que los sujetos obligados</w:t>
      </w:r>
      <w:r w:rsidRPr="00AB46D0">
        <w:rPr>
          <w:rFonts w:ascii="Palatino Linotype" w:eastAsia="Palatino Linotype" w:hAnsi="Palatino Linotype" w:cs="Palatino Linotype"/>
          <w:b/>
          <w:color w:val="000000"/>
          <w:sz w:val="24"/>
          <w:szCs w:val="24"/>
        </w:rPr>
        <w:t xml:space="preserve"> </w:t>
      </w:r>
      <w:r w:rsidRPr="00AB46D0">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361C0" w:rsidRPr="00AB46D0" w:rsidTr="00D2091D">
        <w:tc>
          <w:tcPr>
            <w:tcW w:w="2805" w:type="dxa"/>
          </w:tcPr>
          <w:p w:rsidR="00A361C0" w:rsidRPr="00AB46D0" w:rsidRDefault="00A361C0" w:rsidP="00FC3FED">
            <w:pPr>
              <w:tabs>
                <w:tab w:val="left" w:pos="284"/>
              </w:tabs>
              <w:spacing w:line="360" w:lineRule="auto"/>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a) Requisitos previos.</w:t>
            </w:r>
          </w:p>
        </w:tc>
        <w:tc>
          <w:tcPr>
            <w:tcW w:w="6810"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Los artículos 100 y 122 de la Ley Estatal y de la Ley General vigente a la fecha de la solicitud, respectivamente, señalan que </w:t>
            </w:r>
            <w:r w:rsidRPr="00AB46D0">
              <w:rPr>
                <w:rFonts w:ascii="Palatino Linotype" w:eastAsia="Palatino Linotype" w:hAnsi="Palatino Linotype" w:cs="Palatino Linotype"/>
                <w:color w:val="000000"/>
                <w:sz w:val="24"/>
                <w:szCs w:val="24"/>
              </w:rPr>
              <w:lastRenderedPageBreak/>
              <w:t xml:space="preserve">si los Sujetos Obligados determinan que la información actualiza alguno de los supuestos de clasificación, es deber de los titulares de las áreas proponer su clasificación y no del Comité de Transparencia. </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rsidR="00A361C0" w:rsidRPr="00AB46D0" w:rsidRDefault="00A361C0"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AB46D0">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AB46D0">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A361C0" w:rsidRPr="00AB46D0" w:rsidTr="00D2091D">
        <w:tc>
          <w:tcPr>
            <w:tcW w:w="2805" w:type="dxa"/>
          </w:tcPr>
          <w:p w:rsidR="00A361C0" w:rsidRPr="00AB46D0" w:rsidRDefault="00A361C0" w:rsidP="00FC3FED">
            <w:pPr>
              <w:tabs>
                <w:tab w:val="left" w:pos="284"/>
              </w:tabs>
              <w:spacing w:line="360" w:lineRule="auto"/>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lastRenderedPageBreak/>
              <w:t>b) Supuestos de clasificación.</w:t>
            </w:r>
          </w:p>
        </w:tc>
        <w:tc>
          <w:tcPr>
            <w:tcW w:w="6810"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lastRenderedPageBreak/>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361C0" w:rsidRPr="00AB46D0" w:rsidRDefault="00A361C0"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 xml:space="preserve">El </w:t>
            </w:r>
            <w:r w:rsidRPr="00AB46D0">
              <w:rPr>
                <w:rFonts w:ascii="Palatino Linotype" w:eastAsia="Palatino Linotype" w:hAnsi="Palatino Linotype" w:cs="Palatino Linotype"/>
                <w:b/>
                <w:color w:val="000000"/>
                <w:sz w:val="24"/>
                <w:szCs w:val="24"/>
              </w:rPr>
              <w:t>Sujeto Obligado</w:t>
            </w:r>
            <w:r w:rsidRPr="00AB46D0">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361C0" w:rsidRPr="00AB46D0" w:rsidTr="00D2091D">
        <w:tc>
          <w:tcPr>
            <w:tcW w:w="2805" w:type="dxa"/>
          </w:tcPr>
          <w:p w:rsidR="00A361C0" w:rsidRPr="00AB46D0" w:rsidRDefault="00A361C0" w:rsidP="00FC3FED">
            <w:pPr>
              <w:tabs>
                <w:tab w:val="left" w:pos="284"/>
              </w:tabs>
              <w:spacing w:line="360" w:lineRule="auto"/>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lastRenderedPageBreak/>
              <w:t>c) Formalidades para emitir el acuerdo de clasificación.</w:t>
            </w:r>
          </w:p>
        </w:tc>
        <w:tc>
          <w:tcPr>
            <w:tcW w:w="6810"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Es necesario que </w:t>
            </w:r>
            <w:r w:rsidRPr="00AB46D0">
              <w:rPr>
                <w:rFonts w:ascii="Palatino Linotype" w:eastAsia="Palatino Linotype" w:hAnsi="Palatino Linotype" w:cs="Palatino Linotype"/>
                <w:b/>
                <w:color w:val="000000"/>
                <w:sz w:val="24"/>
                <w:szCs w:val="24"/>
                <w:u w:val="single"/>
              </w:rPr>
              <w:t>el acto reúna con los requisitos elementales</w:t>
            </w:r>
            <w:r w:rsidRPr="00AB46D0">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A361C0" w:rsidRPr="00AB46D0" w:rsidRDefault="00A361C0"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lastRenderedPageBreak/>
              <w:t xml:space="preserve">La decisión de aprobar, modificar o revocar la clasificación deberá de asentarse en un documento que registre la determinación a la que se llegue después de un análisis minucioso a partir de lo propuesto por el Titular del I. </w:t>
            </w:r>
            <w:r w:rsidRPr="00AB46D0">
              <w:rPr>
                <w:rFonts w:ascii="Palatino Linotype" w:eastAsia="Palatino Linotype" w:hAnsi="Palatino Linotype" w:cs="Palatino Linotype"/>
                <w:sz w:val="24"/>
                <w:szCs w:val="24"/>
              </w:rPr>
              <w:t>El área</w:t>
            </w:r>
            <w:r w:rsidRPr="00AB46D0">
              <w:rPr>
                <w:rFonts w:ascii="Palatino Linotype" w:eastAsia="Palatino Linotype" w:hAnsi="Palatino Linotype" w:cs="Palatino Linotype"/>
                <w:color w:val="000000"/>
                <w:sz w:val="24"/>
                <w:szCs w:val="24"/>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361C0" w:rsidRPr="00AB46D0" w:rsidTr="00D2091D">
        <w:tc>
          <w:tcPr>
            <w:tcW w:w="2805" w:type="dxa"/>
          </w:tcPr>
          <w:p w:rsidR="00A361C0" w:rsidRPr="00AB46D0" w:rsidRDefault="00A361C0" w:rsidP="00FC3FED">
            <w:pPr>
              <w:tabs>
                <w:tab w:val="left" w:pos="284"/>
              </w:tabs>
              <w:spacing w:line="360" w:lineRule="auto"/>
              <w:rPr>
                <w:rFonts w:ascii="Palatino Linotype" w:eastAsia="Palatino Linotype" w:hAnsi="Palatino Linotype" w:cs="Palatino Linotype"/>
                <w:sz w:val="24"/>
                <w:szCs w:val="24"/>
              </w:rPr>
            </w:pPr>
          </w:p>
          <w:p w:rsidR="00A361C0" w:rsidRPr="00AB46D0" w:rsidRDefault="00A361C0"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 xml:space="preserve">d) Requisitos de fondo del acuerdo de clasificación. </w:t>
            </w:r>
          </w:p>
        </w:tc>
        <w:tc>
          <w:tcPr>
            <w:tcW w:w="6810"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46D0">
              <w:rPr>
                <w:rFonts w:ascii="Palatino Linotype" w:eastAsia="Palatino Linotype" w:hAnsi="Palatino Linotype" w:cs="Palatino Linotype"/>
                <w:b/>
                <w:color w:val="000000"/>
                <w:sz w:val="24"/>
                <w:szCs w:val="24"/>
              </w:rPr>
              <w:t>Sujetos Obligados</w:t>
            </w:r>
            <w:r w:rsidRPr="00AB46D0">
              <w:rPr>
                <w:rFonts w:ascii="Palatino Linotype" w:eastAsia="Palatino Linotype" w:hAnsi="Palatino Linotype" w:cs="Palatino Linotype"/>
                <w:color w:val="000000"/>
                <w:sz w:val="24"/>
                <w:szCs w:val="24"/>
              </w:rPr>
              <w:t xml:space="preserve">, por lo que deberán fundar y motivar debidamente la clasificación. </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De lo anterior, se desprende que para una correcta </w:t>
            </w:r>
            <w:r w:rsidRPr="00AB46D0">
              <w:rPr>
                <w:rFonts w:ascii="Palatino Linotype" w:eastAsia="Palatino Linotype" w:hAnsi="Palatino Linotype" w:cs="Palatino Linotype"/>
                <w:b/>
                <w:color w:val="000000"/>
                <w:sz w:val="24"/>
                <w:szCs w:val="24"/>
              </w:rPr>
              <w:t>clasificación total o parcial</w:t>
            </w:r>
            <w:r w:rsidRPr="00AB46D0">
              <w:rPr>
                <w:rFonts w:ascii="Palatino Linotype" w:eastAsia="Palatino Linotype" w:hAnsi="Palatino Linotype" w:cs="Palatino Linotype"/>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AB46D0">
              <w:rPr>
                <w:rFonts w:ascii="Palatino Linotype" w:eastAsia="Palatino Linotype" w:hAnsi="Palatino Linotype" w:cs="Palatino Linotype"/>
                <w:color w:val="000000"/>
                <w:sz w:val="24"/>
                <w:szCs w:val="24"/>
              </w:rPr>
              <w:lastRenderedPageBreak/>
              <w:t>dieron origen y las razones por las que se deben aplicar al caso concreto.</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Ahora bien, </w:t>
            </w:r>
            <w:r w:rsidRPr="00AB46D0">
              <w:rPr>
                <w:rFonts w:ascii="Palatino Linotype" w:eastAsia="Palatino Linotype" w:hAnsi="Palatino Linotype" w:cs="Palatino Linotype"/>
                <w:b/>
                <w:color w:val="000000"/>
                <w:sz w:val="24"/>
                <w:szCs w:val="24"/>
                <w:u w:val="single"/>
              </w:rPr>
              <w:t>para cada caso además de fundar y motivar</w:t>
            </w:r>
            <w:r w:rsidRPr="00AB46D0">
              <w:rPr>
                <w:rFonts w:ascii="Palatino Linotype" w:eastAsia="Palatino Linotype" w:hAnsi="Palatino Linotype" w:cs="Palatino Linotype"/>
                <w:color w:val="000000"/>
                <w:sz w:val="24"/>
                <w:szCs w:val="24"/>
              </w:rPr>
              <w:t xml:space="preserve">, se debe identificar con claridad </w:t>
            </w:r>
            <w:r w:rsidRPr="00AB46D0">
              <w:rPr>
                <w:rFonts w:ascii="Palatino Linotype" w:eastAsia="Palatino Linotype" w:hAnsi="Palatino Linotype" w:cs="Palatino Linotype"/>
                <w:sz w:val="24"/>
                <w:szCs w:val="24"/>
              </w:rPr>
              <w:t>qué</w:t>
            </w:r>
            <w:r w:rsidRPr="00AB46D0">
              <w:rPr>
                <w:rFonts w:ascii="Palatino Linotype" w:eastAsia="Palatino Linotype" w:hAnsi="Palatino Linotype" w:cs="Palatino Linotype"/>
                <w:color w:val="000000"/>
                <w:sz w:val="24"/>
                <w:szCs w:val="24"/>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361C0" w:rsidRPr="00AB46D0" w:rsidTr="00D2091D">
        <w:tc>
          <w:tcPr>
            <w:tcW w:w="2805"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810" w:type="dxa"/>
          </w:tcPr>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361C0" w:rsidRPr="00AB46D0" w:rsidRDefault="00A361C0" w:rsidP="00FC3FED">
            <w:pPr>
              <w:tabs>
                <w:tab w:val="left" w:pos="284"/>
              </w:tabs>
              <w:spacing w:line="360" w:lineRule="auto"/>
              <w:rPr>
                <w:rFonts w:ascii="Palatino Linotype" w:eastAsia="Palatino Linotype" w:hAnsi="Palatino Linotype" w:cs="Palatino Linotype"/>
                <w:sz w:val="24"/>
                <w:szCs w:val="24"/>
              </w:rPr>
            </w:pPr>
            <w:r w:rsidRPr="00AB46D0">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361C0" w:rsidRPr="00AB46D0" w:rsidRDefault="00A361C0" w:rsidP="00FC3FED">
      <w:pPr>
        <w:tabs>
          <w:tab w:val="left" w:pos="284"/>
        </w:tabs>
        <w:spacing w:line="360" w:lineRule="auto"/>
        <w:jc w:val="both"/>
        <w:rPr>
          <w:rFonts w:ascii="Palatino Linotype" w:eastAsia="Palatino Linotype" w:hAnsi="Palatino Linotype" w:cs="Palatino Linotype"/>
          <w:color w:val="000000"/>
          <w:sz w:val="24"/>
          <w:szCs w:val="24"/>
        </w:rPr>
      </w:pPr>
    </w:p>
    <w:p w:rsidR="00A361C0" w:rsidRPr="00AB46D0" w:rsidRDefault="00A361C0" w:rsidP="00FC3FED">
      <w:pPr>
        <w:numPr>
          <w:ilvl w:val="0"/>
          <w:numId w:val="4"/>
        </w:numPr>
        <w:spacing w:after="0" w:line="360" w:lineRule="auto"/>
        <w:ind w:left="0" w:firstLine="0"/>
        <w:contextualSpacing/>
        <w:jc w:val="both"/>
        <w:rPr>
          <w:rFonts w:ascii="Palatino Linotype" w:hAnsi="Palatino Linotype"/>
          <w:sz w:val="24"/>
          <w:szCs w:val="24"/>
        </w:rPr>
      </w:pPr>
      <w:r w:rsidRPr="00AB46D0">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w:t>
      </w:r>
    </w:p>
    <w:p w:rsidR="005B3BAD" w:rsidRPr="00AB46D0" w:rsidRDefault="005B3BAD" w:rsidP="00FC3FE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5B3BAD" w:rsidRPr="00AB46D0" w:rsidRDefault="005B3BAD" w:rsidP="00FC3FED">
      <w:pPr>
        <w:numPr>
          <w:ilvl w:val="0"/>
          <w:numId w:val="4"/>
        </w:numPr>
        <w:spacing w:after="0" w:line="360" w:lineRule="auto"/>
        <w:ind w:left="0" w:firstLine="0"/>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sz w:val="24"/>
          <w:szCs w:val="24"/>
        </w:rPr>
        <w:t xml:space="preserve">Por lo anteriormente expuesto y fundado, este </w:t>
      </w:r>
      <w:r w:rsidRPr="00AB46D0">
        <w:rPr>
          <w:rFonts w:ascii="Palatino Linotype" w:eastAsia="Palatino Linotype" w:hAnsi="Palatino Linotype" w:cs="Palatino Linotype"/>
          <w:b/>
          <w:sz w:val="24"/>
          <w:szCs w:val="24"/>
        </w:rPr>
        <w:t>ÓRGANO GARANTE</w:t>
      </w:r>
      <w:r w:rsidRPr="00AB46D0">
        <w:rPr>
          <w:rFonts w:ascii="Palatino Linotype" w:eastAsia="Palatino Linotype" w:hAnsi="Palatino Linotype" w:cs="Palatino Linotype"/>
          <w:sz w:val="24"/>
          <w:szCs w:val="24"/>
        </w:rPr>
        <w:t xml:space="preserve"> emite los siguientes:</w:t>
      </w:r>
    </w:p>
    <w:p w:rsidR="005B3BAD" w:rsidRPr="00AB46D0" w:rsidRDefault="005B3BAD" w:rsidP="00FC3FED">
      <w:pPr>
        <w:rPr>
          <w:rFonts w:ascii="Palatino Linotype" w:eastAsia="Palatino Linotype" w:hAnsi="Palatino Linotype" w:cs="Palatino Linotype"/>
          <w:color w:val="000000"/>
          <w:sz w:val="24"/>
          <w:szCs w:val="24"/>
        </w:rPr>
      </w:pPr>
      <w:bookmarkStart w:id="10" w:name="_heading=h.lnxbz9" w:colFirst="0" w:colLast="0"/>
      <w:bookmarkEnd w:id="10"/>
    </w:p>
    <w:p w:rsidR="005B3BAD" w:rsidRPr="00AB46D0" w:rsidRDefault="005B3BAD" w:rsidP="00FC3FED">
      <w:pPr>
        <w:pStyle w:val="Ttulo1"/>
        <w:jc w:val="center"/>
        <w:rPr>
          <w:rFonts w:ascii="Palatino Linotype" w:eastAsia="Palatino Linotype" w:hAnsi="Palatino Linotype" w:cs="Palatino Linotype"/>
          <w:b/>
          <w:color w:val="000000"/>
          <w:sz w:val="24"/>
          <w:szCs w:val="24"/>
        </w:rPr>
      </w:pPr>
      <w:r w:rsidRPr="00AB46D0">
        <w:rPr>
          <w:rFonts w:ascii="Palatino Linotype" w:eastAsia="Palatino Linotype" w:hAnsi="Palatino Linotype" w:cs="Palatino Linotype"/>
          <w:b/>
          <w:color w:val="000000"/>
          <w:sz w:val="24"/>
          <w:szCs w:val="24"/>
        </w:rPr>
        <w:t>R E S O L U T I V O S</w:t>
      </w:r>
    </w:p>
    <w:p w:rsidR="005B3BAD" w:rsidRPr="00AB46D0" w:rsidRDefault="005B3BAD" w:rsidP="00FC3FED">
      <w:pPr>
        <w:tabs>
          <w:tab w:val="left" w:pos="284"/>
        </w:tabs>
        <w:spacing w:line="360" w:lineRule="auto"/>
        <w:jc w:val="both"/>
        <w:rPr>
          <w:rFonts w:ascii="Palatino Linotype" w:eastAsia="Palatino Linotype" w:hAnsi="Palatino Linotype" w:cs="Palatino Linotype"/>
          <w:b/>
          <w:sz w:val="24"/>
          <w:szCs w:val="24"/>
        </w:rPr>
      </w:pPr>
    </w:p>
    <w:p w:rsidR="005B3BAD" w:rsidRPr="00AB46D0" w:rsidRDefault="005B3BAD" w:rsidP="00FC3FED">
      <w:pPr>
        <w:tabs>
          <w:tab w:val="left" w:pos="284"/>
        </w:tabs>
        <w:spacing w:line="360" w:lineRule="auto"/>
        <w:jc w:val="both"/>
        <w:rPr>
          <w:rFonts w:ascii="Palatino Linotype" w:eastAsia="Palatino Linotype" w:hAnsi="Palatino Linotype" w:cs="Palatino Linotype"/>
          <w:b/>
          <w:sz w:val="24"/>
          <w:szCs w:val="24"/>
        </w:rPr>
      </w:pPr>
      <w:r w:rsidRPr="00AB46D0">
        <w:rPr>
          <w:rFonts w:ascii="Palatino Linotype" w:eastAsia="Palatino Linotype" w:hAnsi="Palatino Linotype" w:cs="Palatino Linotype"/>
          <w:b/>
          <w:sz w:val="24"/>
          <w:szCs w:val="24"/>
        </w:rPr>
        <w:t xml:space="preserve">PRIMERO. </w:t>
      </w:r>
      <w:r w:rsidRPr="00AB46D0">
        <w:rPr>
          <w:rFonts w:ascii="Palatino Linotype" w:eastAsia="Palatino Linotype" w:hAnsi="Palatino Linotype" w:cs="Palatino Linotype"/>
          <w:sz w:val="24"/>
          <w:szCs w:val="24"/>
        </w:rPr>
        <w:t>Resultan fundadas las</w:t>
      </w:r>
      <w:r w:rsidRPr="00AB46D0">
        <w:rPr>
          <w:rFonts w:ascii="Palatino Linotype" w:eastAsia="Palatino Linotype" w:hAnsi="Palatino Linotype" w:cs="Palatino Linotype"/>
          <w:b/>
          <w:sz w:val="24"/>
          <w:szCs w:val="24"/>
        </w:rPr>
        <w:t xml:space="preserve"> </w:t>
      </w:r>
      <w:r w:rsidRPr="00AB46D0">
        <w:rPr>
          <w:rFonts w:ascii="Palatino Linotype" w:eastAsia="Palatino Linotype" w:hAnsi="Palatino Linotype" w:cs="Palatino Linotype"/>
          <w:sz w:val="24"/>
          <w:szCs w:val="24"/>
        </w:rPr>
        <w:t xml:space="preserve">razones o motivos de inconformidad hechos valer en el recurso de revisión </w:t>
      </w:r>
      <w:r w:rsidR="00DC7649" w:rsidRPr="00AB46D0">
        <w:rPr>
          <w:rFonts w:ascii="Palatino Linotype" w:eastAsia="Palatino Linotype" w:hAnsi="Palatino Linotype" w:cs="Palatino Linotype"/>
          <w:b/>
          <w:sz w:val="24"/>
          <w:szCs w:val="24"/>
        </w:rPr>
        <w:t>04558/INFOEM/IP/RR/2025</w:t>
      </w:r>
      <w:r w:rsidRPr="00AB46D0">
        <w:rPr>
          <w:rFonts w:ascii="Palatino Linotype" w:eastAsia="Palatino Linotype" w:hAnsi="Palatino Linotype" w:cs="Palatino Linotype"/>
          <w:sz w:val="24"/>
          <w:szCs w:val="24"/>
        </w:rPr>
        <w:t xml:space="preserve">en términos de los </w:t>
      </w:r>
      <w:r w:rsidRPr="00AB46D0">
        <w:rPr>
          <w:rFonts w:ascii="Palatino Linotype" w:eastAsia="Palatino Linotype" w:hAnsi="Palatino Linotype" w:cs="Palatino Linotype"/>
          <w:b/>
          <w:sz w:val="24"/>
          <w:szCs w:val="24"/>
        </w:rPr>
        <w:t xml:space="preserve">Considerando CUARTO </w:t>
      </w:r>
      <w:r w:rsidRPr="00AB46D0">
        <w:rPr>
          <w:rFonts w:ascii="Palatino Linotype" w:eastAsia="Palatino Linotype" w:hAnsi="Palatino Linotype" w:cs="Palatino Linotype"/>
          <w:sz w:val="24"/>
          <w:szCs w:val="24"/>
        </w:rPr>
        <w:t>de la presente resolución.</w:t>
      </w:r>
    </w:p>
    <w:p w:rsidR="005B3BAD" w:rsidRPr="00AB46D0" w:rsidRDefault="005B3BAD" w:rsidP="00FC3FED">
      <w:pPr>
        <w:tabs>
          <w:tab w:val="left" w:pos="284"/>
        </w:tabs>
        <w:spacing w:line="360" w:lineRule="auto"/>
        <w:jc w:val="both"/>
        <w:rPr>
          <w:rFonts w:ascii="Palatino Linotype" w:eastAsia="Palatino Linotype" w:hAnsi="Palatino Linotype" w:cs="Palatino Linotype"/>
          <w:sz w:val="24"/>
          <w:szCs w:val="24"/>
        </w:rPr>
      </w:pPr>
    </w:p>
    <w:p w:rsidR="00130D32" w:rsidRPr="00AB46D0" w:rsidRDefault="005B3BAD" w:rsidP="00FC3FED">
      <w:pPr>
        <w:tabs>
          <w:tab w:val="left" w:pos="284"/>
        </w:tabs>
        <w:spacing w:line="360" w:lineRule="auto"/>
        <w:jc w:val="both"/>
        <w:rPr>
          <w:rFonts w:ascii="Palatino Linotype" w:eastAsia="Palatino Linotype" w:hAnsi="Palatino Linotype" w:cs="Palatino Linotype"/>
          <w:sz w:val="24"/>
          <w:szCs w:val="24"/>
        </w:rPr>
      </w:pPr>
      <w:r w:rsidRPr="00AB46D0">
        <w:rPr>
          <w:rFonts w:ascii="Palatino Linotype" w:eastAsia="Palatino Linotype" w:hAnsi="Palatino Linotype" w:cs="Palatino Linotype"/>
          <w:b/>
          <w:sz w:val="24"/>
          <w:szCs w:val="24"/>
        </w:rPr>
        <w:t xml:space="preserve">SEGUNDO. </w:t>
      </w:r>
      <w:r w:rsidR="00130D32" w:rsidRPr="00AB46D0">
        <w:rPr>
          <w:rFonts w:ascii="Palatino Linotype" w:eastAsia="Palatino Linotype" w:hAnsi="Palatino Linotype" w:cs="Palatino Linotype"/>
          <w:sz w:val="24"/>
          <w:szCs w:val="24"/>
        </w:rPr>
        <w:t xml:space="preserve">Se </w:t>
      </w:r>
      <w:r w:rsidR="00130D32" w:rsidRPr="00AB46D0">
        <w:rPr>
          <w:rFonts w:ascii="Palatino Linotype" w:eastAsia="Palatino Linotype" w:hAnsi="Palatino Linotype" w:cs="Palatino Linotype"/>
          <w:b/>
          <w:sz w:val="24"/>
          <w:szCs w:val="24"/>
        </w:rPr>
        <w:t xml:space="preserve">REVOCA </w:t>
      </w:r>
      <w:r w:rsidR="00130D32" w:rsidRPr="00AB46D0">
        <w:rPr>
          <w:rFonts w:ascii="Palatino Linotype" w:eastAsia="Palatino Linotype" w:hAnsi="Palatino Linotype" w:cs="Palatino Linotype"/>
          <w:sz w:val="24"/>
          <w:szCs w:val="24"/>
        </w:rPr>
        <w:t>la respuesta proporcionada por el</w:t>
      </w:r>
      <w:r w:rsidR="00130D32" w:rsidRPr="00AB46D0">
        <w:rPr>
          <w:rFonts w:ascii="Palatino Linotype" w:eastAsia="Palatino Linotype" w:hAnsi="Palatino Linotype" w:cs="Palatino Linotype"/>
          <w:b/>
          <w:sz w:val="24"/>
          <w:szCs w:val="24"/>
        </w:rPr>
        <w:t xml:space="preserve"> Ayuntamiento de Allende</w:t>
      </w:r>
      <w:r w:rsidR="00130D32" w:rsidRPr="00AB46D0">
        <w:rPr>
          <w:rFonts w:ascii="Palatino Linotype" w:eastAsia="Palatino Linotype" w:hAnsi="Palatino Linotype" w:cs="Palatino Linotype"/>
          <w:sz w:val="24"/>
          <w:szCs w:val="24"/>
        </w:rPr>
        <w:t xml:space="preserve"> a la solicitud de información </w:t>
      </w:r>
      <w:r w:rsidR="00130D32" w:rsidRPr="00AB46D0">
        <w:rPr>
          <w:rFonts w:ascii="Palatino Linotype" w:eastAsia="Palatino Linotype" w:hAnsi="Palatino Linotype" w:cs="Palatino Linotype"/>
          <w:b/>
          <w:bCs/>
          <w:sz w:val="24"/>
          <w:szCs w:val="24"/>
        </w:rPr>
        <w:t>00030/VIALLEN/IP/2025</w:t>
      </w:r>
      <w:r w:rsidR="00130D32" w:rsidRPr="00AB46D0">
        <w:rPr>
          <w:rFonts w:ascii="Palatino Linotype" w:eastAsia="Palatino Linotype" w:hAnsi="Palatino Linotype" w:cs="Palatino Linotype"/>
          <w:b/>
          <w:sz w:val="24"/>
          <w:szCs w:val="24"/>
        </w:rPr>
        <w:t xml:space="preserve">, </w:t>
      </w:r>
      <w:r w:rsidR="00130D32" w:rsidRPr="00AB46D0">
        <w:rPr>
          <w:rFonts w:ascii="Palatino Linotype" w:eastAsia="Palatino Linotype" w:hAnsi="Palatino Linotype" w:cs="Palatino Linotype"/>
          <w:sz w:val="24"/>
          <w:szCs w:val="24"/>
        </w:rPr>
        <w:t>en términos del considerando</w:t>
      </w:r>
      <w:r w:rsidR="00130D32" w:rsidRPr="00AB46D0">
        <w:rPr>
          <w:rFonts w:ascii="Palatino Linotype" w:eastAsia="Palatino Linotype" w:hAnsi="Palatino Linotype" w:cs="Palatino Linotype"/>
          <w:b/>
          <w:sz w:val="24"/>
          <w:szCs w:val="24"/>
        </w:rPr>
        <w:t xml:space="preserve"> CUARTO </w:t>
      </w:r>
      <w:r w:rsidR="00130D32" w:rsidRPr="00AB46D0">
        <w:rPr>
          <w:rFonts w:ascii="Palatino Linotype" w:eastAsia="Palatino Linotype" w:hAnsi="Palatino Linotype" w:cs="Palatino Linotype"/>
          <w:sz w:val="24"/>
          <w:szCs w:val="24"/>
        </w:rPr>
        <w:t xml:space="preserve">de la presente resolución y se </w:t>
      </w:r>
      <w:r w:rsidR="00130D32" w:rsidRPr="00AB46D0">
        <w:rPr>
          <w:rFonts w:ascii="Palatino Linotype" w:eastAsia="Palatino Linotype" w:hAnsi="Palatino Linotype" w:cs="Palatino Linotype"/>
          <w:b/>
          <w:sz w:val="24"/>
          <w:szCs w:val="24"/>
        </w:rPr>
        <w:t>ORDENA</w:t>
      </w:r>
      <w:r w:rsidR="00130D32" w:rsidRPr="00AB46D0">
        <w:rPr>
          <w:rFonts w:ascii="Palatino Linotype" w:eastAsia="Palatino Linotype" w:hAnsi="Palatino Linotype" w:cs="Palatino Linotype"/>
          <w:sz w:val="24"/>
          <w:szCs w:val="24"/>
        </w:rPr>
        <w:t xml:space="preserve"> entregue al</w:t>
      </w:r>
      <w:r w:rsidR="00130D32" w:rsidRPr="00AB46D0">
        <w:rPr>
          <w:rFonts w:ascii="Palatino Linotype" w:eastAsia="Palatino Linotype" w:hAnsi="Palatino Linotype" w:cs="Palatino Linotype"/>
          <w:b/>
          <w:sz w:val="24"/>
          <w:szCs w:val="24"/>
        </w:rPr>
        <w:t xml:space="preserve"> RECURRENTE, </w:t>
      </w:r>
      <w:r w:rsidR="00130D32" w:rsidRPr="00AB46D0">
        <w:rPr>
          <w:rFonts w:ascii="Palatino Linotype" w:eastAsia="Palatino Linotype" w:hAnsi="Palatino Linotype" w:cs="Palatino Linotype"/>
          <w:sz w:val="24"/>
          <w:szCs w:val="24"/>
        </w:rPr>
        <w:t xml:space="preserve">a través del Sistema de Acceso a la Información Mexiquense </w:t>
      </w:r>
      <w:r w:rsidR="00130D32" w:rsidRPr="00AB46D0">
        <w:rPr>
          <w:rFonts w:ascii="Palatino Linotype" w:eastAsia="Palatino Linotype" w:hAnsi="Palatino Linotype" w:cs="Palatino Linotype"/>
          <w:b/>
          <w:sz w:val="24"/>
          <w:szCs w:val="24"/>
        </w:rPr>
        <w:t>(SAIMEX)</w:t>
      </w:r>
      <w:r w:rsidR="00130D32" w:rsidRPr="00AB46D0">
        <w:rPr>
          <w:rFonts w:ascii="Palatino Linotype" w:eastAsia="Palatino Linotype" w:hAnsi="Palatino Linotype" w:cs="Palatino Linotype"/>
          <w:sz w:val="24"/>
          <w:szCs w:val="24"/>
        </w:rPr>
        <w:t xml:space="preserve">, de ser procedente en versión pública, lo siguiente: </w:t>
      </w:r>
    </w:p>
    <w:p w:rsidR="00130D32" w:rsidRPr="00AB46D0" w:rsidRDefault="00130D32" w:rsidP="00FC3FED">
      <w:pPr>
        <w:tabs>
          <w:tab w:val="left" w:pos="284"/>
        </w:tabs>
        <w:spacing w:line="360" w:lineRule="auto"/>
        <w:jc w:val="both"/>
        <w:rPr>
          <w:rFonts w:ascii="Palatino Linotype" w:eastAsia="Palatino Linotype" w:hAnsi="Palatino Linotype" w:cs="Palatino Linotype"/>
          <w:sz w:val="24"/>
          <w:szCs w:val="24"/>
        </w:rPr>
      </w:pPr>
    </w:p>
    <w:p w:rsidR="005B3BAD" w:rsidRPr="00AB46D0" w:rsidRDefault="00D20ED4" w:rsidP="00FC3FED">
      <w:pPr>
        <w:pStyle w:val="Prrafodelista"/>
        <w:numPr>
          <w:ilvl w:val="0"/>
          <w:numId w:val="26"/>
        </w:numPr>
        <w:tabs>
          <w:tab w:val="left" w:pos="284"/>
        </w:tabs>
        <w:spacing w:line="360" w:lineRule="auto"/>
        <w:jc w:val="both"/>
        <w:rPr>
          <w:rFonts w:ascii="Palatino Linotype" w:hAnsi="Palatino Linotype"/>
          <w:color w:val="000000"/>
        </w:rPr>
      </w:pPr>
      <w:r w:rsidRPr="00AB46D0">
        <w:rPr>
          <w:rFonts w:ascii="Palatino Linotype" w:hAnsi="Palatino Linotype"/>
          <w:color w:val="000000"/>
        </w:rPr>
        <w:t>Documento en donde conste</w:t>
      </w:r>
      <w:r w:rsidR="008C4EAB" w:rsidRPr="00AB46D0">
        <w:rPr>
          <w:rFonts w:ascii="Palatino Linotype" w:hAnsi="Palatino Linotype"/>
          <w:color w:val="000000"/>
        </w:rPr>
        <w:t xml:space="preserve"> o se advierta el número de  </w:t>
      </w:r>
      <w:r w:rsidR="0094769B" w:rsidRPr="00AB46D0">
        <w:rPr>
          <w:rFonts w:ascii="Palatino Linotype" w:hAnsi="Palatino Linotype"/>
          <w:color w:val="000000"/>
        </w:rPr>
        <w:t xml:space="preserve">policías que permanecen activos de la </w:t>
      </w:r>
      <w:r w:rsidR="006107E9" w:rsidRPr="00AB46D0">
        <w:rPr>
          <w:rFonts w:ascii="Palatino Linotype" w:hAnsi="Palatino Linotype"/>
          <w:color w:val="000000"/>
        </w:rPr>
        <w:t>administración 2022-2024, al veintiocho de marzo de dos mil veinticinco.</w:t>
      </w:r>
    </w:p>
    <w:p w:rsidR="00EA0489" w:rsidRPr="00AB46D0" w:rsidRDefault="00EA0489" w:rsidP="00FC3FED">
      <w:pPr>
        <w:pBdr>
          <w:top w:val="nil"/>
          <w:left w:val="nil"/>
          <w:bottom w:val="nil"/>
          <w:right w:val="nil"/>
          <w:between w:val="nil"/>
        </w:pBdr>
        <w:ind w:left="720"/>
        <w:jc w:val="both"/>
        <w:rPr>
          <w:rFonts w:ascii="Palatino Linotype" w:hAnsi="Palatino Linotype"/>
          <w:color w:val="000000"/>
          <w:sz w:val="24"/>
          <w:szCs w:val="24"/>
        </w:rPr>
      </w:pPr>
    </w:p>
    <w:p w:rsidR="00130D32" w:rsidRPr="00AB46D0" w:rsidRDefault="00EA0489" w:rsidP="00FC3FED">
      <w:pPr>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130D32" w:rsidRPr="00AB46D0" w:rsidRDefault="008C4EAB" w:rsidP="00FC3FED">
      <w:pPr>
        <w:spacing w:line="360" w:lineRule="auto"/>
        <w:jc w:val="both"/>
        <w:rPr>
          <w:rFonts w:ascii="Palatino Linotype" w:eastAsia="Palatino Linotype" w:hAnsi="Palatino Linotype" w:cs="Palatino Linotype"/>
          <w:color w:val="000000"/>
          <w:sz w:val="24"/>
          <w:szCs w:val="24"/>
        </w:rPr>
      </w:pPr>
      <w:r w:rsidRPr="00AB46D0">
        <w:rPr>
          <w:rFonts w:ascii="Palatino Linotype" w:eastAsia="Palatino Linotype" w:hAnsi="Palatino Linotype" w:cs="Palatino Linotype"/>
          <w:color w:val="000000"/>
          <w:sz w:val="24"/>
          <w:szCs w:val="24"/>
        </w:rPr>
        <w:lastRenderedPageBreak/>
        <w:t xml:space="preserve">De ser el caso que la información ordenada no obre en los archivos del </w:t>
      </w:r>
      <w:r w:rsidRPr="00AB46D0">
        <w:rPr>
          <w:rFonts w:ascii="Palatino Linotype" w:eastAsia="Palatino Linotype" w:hAnsi="Palatino Linotype" w:cs="Palatino Linotype"/>
          <w:b/>
          <w:color w:val="000000"/>
          <w:sz w:val="24"/>
          <w:szCs w:val="24"/>
        </w:rPr>
        <w:t xml:space="preserve">SUJETO OBLIGADO </w:t>
      </w:r>
      <w:r w:rsidRPr="00AB46D0">
        <w:rPr>
          <w:rFonts w:ascii="Palatino Linotype" w:eastAsia="Palatino Linotype" w:hAnsi="Palatino Linotype" w:cs="Palatino Linotype"/>
          <w:color w:val="000000"/>
          <w:sz w:val="24"/>
          <w:szCs w:val="24"/>
        </w:rPr>
        <w:t xml:space="preserve">por no haber fuente obligacional bastará con que se haga del conocimiento del </w:t>
      </w:r>
      <w:r w:rsidRPr="00AB46D0">
        <w:rPr>
          <w:rFonts w:ascii="Palatino Linotype" w:eastAsia="Palatino Linotype" w:hAnsi="Palatino Linotype" w:cs="Palatino Linotype"/>
          <w:b/>
          <w:color w:val="000000"/>
          <w:sz w:val="24"/>
          <w:szCs w:val="24"/>
        </w:rPr>
        <w:t xml:space="preserve">RECURRENTE </w:t>
      </w:r>
      <w:r w:rsidRPr="00AB46D0">
        <w:rPr>
          <w:rFonts w:ascii="Palatino Linotype" w:eastAsia="Palatino Linotype" w:hAnsi="Palatino Linotype" w:cs="Palatino Linotype"/>
          <w:color w:val="000000"/>
          <w:sz w:val="24"/>
          <w:szCs w:val="24"/>
        </w:rPr>
        <w:t xml:space="preserve">conforme  artículo 19 párrafo segundo de la Ley de Transparencia y Acceso a la Información Pública del Estado de México y Municipios. </w:t>
      </w:r>
    </w:p>
    <w:p w:rsidR="00130D32" w:rsidRPr="00AB46D0" w:rsidRDefault="00130D32" w:rsidP="00FC3FED">
      <w:pPr>
        <w:spacing w:line="360" w:lineRule="auto"/>
        <w:jc w:val="both"/>
        <w:rPr>
          <w:rFonts w:ascii="Palatino Linotype" w:hAnsi="Palatino Linotype"/>
          <w:sz w:val="24"/>
          <w:szCs w:val="24"/>
          <w:lang w:val="es-ES_tradnl"/>
        </w:rPr>
      </w:pPr>
      <w:r w:rsidRPr="00AB46D0">
        <w:rPr>
          <w:rFonts w:ascii="Palatino Linotype" w:hAnsi="Palatino Linotype"/>
          <w:b/>
          <w:sz w:val="24"/>
          <w:szCs w:val="24"/>
          <w:lang w:val="es-ES_tradnl"/>
        </w:rPr>
        <w:t>TERCERO. NOTIFÍQUESE</w:t>
      </w:r>
      <w:r w:rsidRPr="00AB46D0">
        <w:rPr>
          <w:rFonts w:ascii="Palatino Linotype" w:hAnsi="Palatino Linotype"/>
          <w:sz w:val="24"/>
          <w:szCs w:val="24"/>
          <w:lang w:val="es-ES_tradnl"/>
        </w:rPr>
        <w:t xml:space="preserve"> la presente resolución al Titular de la Unidad de Transparencia del Sujeto Obligado </w:t>
      </w:r>
      <w:r w:rsidRPr="00AB46D0">
        <w:rPr>
          <w:rFonts w:ascii="Palatino Linotype" w:hAnsi="Palatino Linotype"/>
          <w:b/>
          <w:sz w:val="24"/>
          <w:szCs w:val="24"/>
          <w:lang w:val="es-ES_tradnl"/>
        </w:rPr>
        <w:t>vía SAIMEX</w:t>
      </w:r>
      <w:r w:rsidRPr="00AB46D0">
        <w:rPr>
          <w:rFonts w:ascii="Palatino Linotype" w:hAnsi="Palatino Linotype"/>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30D32" w:rsidRPr="00AB46D0" w:rsidRDefault="00130D32" w:rsidP="00FC3FED">
      <w:pPr>
        <w:spacing w:line="360" w:lineRule="auto"/>
        <w:jc w:val="both"/>
        <w:rPr>
          <w:rFonts w:ascii="Palatino Linotype" w:hAnsi="Palatino Linotype"/>
          <w:sz w:val="24"/>
          <w:szCs w:val="24"/>
          <w:lang w:val="es-ES_tradnl"/>
        </w:rPr>
      </w:pPr>
    </w:p>
    <w:p w:rsidR="00130D32" w:rsidRPr="00AB46D0" w:rsidRDefault="00130D32" w:rsidP="00FC3FED">
      <w:pPr>
        <w:spacing w:line="360" w:lineRule="auto"/>
        <w:jc w:val="both"/>
        <w:rPr>
          <w:rFonts w:ascii="Palatino Linotype" w:hAnsi="Palatino Linotype"/>
          <w:sz w:val="24"/>
          <w:szCs w:val="24"/>
          <w:lang w:val="es-ES_tradnl"/>
        </w:rPr>
      </w:pPr>
      <w:r w:rsidRPr="00AB46D0">
        <w:rPr>
          <w:rFonts w:ascii="Palatino Linotype" w:hAnsi="Palatino Linotype"/>
          <w:b/>
          <w:sz w:val="24"/>
          <w:szCs w:val="24"/>
          <w:lang w:val="es-ES_tradnl"/>
        </w:rPr>
        <w:t xml:space="preserve">CUARTO. </w:t>
      </w:r>
      <w:r w:rsidRPr="00AB46D0">
        <w:rPr>
          <w:rFonts w:ascii="Palatino Linotype" w:hAnsi="Palatino Linotype"/>
          <w:sz w:val="24"/>
          <w:szCs w:val="24"/>
          <w:lang w:val="es-ES_tradnl"/>
        </w:rPr>
        <w:t xml:space="preserve">De conformidad con el artículo 198 de la Ley de Transparencia y Acceso a la Información Pública del Estado de México y Municipios, de considerarlo procedente, el </w:t>
      </w:r>
      <w:r w:rsidRPr="00AB46D0">
        <w:rPr>
          <w:rFonts w:ascii="Palatino Linotype" w:hAnsi="Palatino Linotype"/>
          <w:b/>
          <w:sz w:val="24"/>
          <w:szCs w:val="24"/>
          <w:lang w:val="es-ES_tradnl"/>
        </w:rPr>
        <w:t>SUJETO OBLIGADO</w:t>
      </w:r>
      <w:r w:rsidRPr="00AB46D0">
        <w:rPr>
          <w:rFonts w:ascii="Palatino Linotype" w:hAnsi="Palatino Linotype"/>
          <w:sz w:val="24"/>
          <w:szCs w:val="24"/>
          <w:lang w:val="es-ES_tradnl"/>
        </w:rPr>
        <w:t xml:space="preserve"> de manera fundada y motivada, podrá solicitar una ampliación de plazo para el cumplimiento de la presente resolución.</w:t>
      </w:r>
    </w:p>
    <w:p w:rsidR="00130D32" w:rsidRPr="00AB46D0" w:rsidRDefault="00130D32" w:rsidP="00FC3FED">
      <w:pPr>
        <w:spacing w:line="360" w:lineRule="auto"/>
        <w:jc w:val="both"/>
        <w:rPr>
          <w:rFonts w:ascii="Palatino Linotype" w:hAnsi="Palatino Linotype"/>
          <w:sz w:val="24"/>
          <w:szCs w:val="24"/>
          <w:lang w:val="es-ES_tradnl"/>
        </w:rPr>
      </w:pPr>
    </w:p>
    <w:p w:rsidR="00130D32" w:rsidRPr="00AB46D0" w:rsidRDefault="00130D32" w:rsidP="00FC3FED">
      <w:pPr>
        <w:spacing w:line="360" w:lineRule="auto"/>
        <w:jc w:val="both"/>
        <w:rPr>
          <w:rFonts w:ascii="Palatino Linotype" w:hAnsi="Palatino Linotype"/>
          <w:b/>
          <w:sz w:val="24"/>
          <w:szCs w:val="24"/>
          <w:lang w:val="es-ES_tradnl"/>
        </w:rPr>
      </w:pPr>
      <w:r w:rsidRPr="00AB46D0">
        <w:rPr>
          <w:rFonts w:ascii="Palatino Linotype" w:hAnsi="Palatino Linotype"/>
          <w:b/>
          <w:sz w:val="24"/>
          <w:szCs w:val="24"/>
          <w:lang w:val="es-ES_tradnl"/>
        </w:rPr>
        <w:t xml:space="preserve">QUINTO. </w:t>
      </w:r>
      <w:r w:rsidRPr="00AB46D0">
        <w:rPr>
          <w:rFonts w:ascii="Palatino Linotype" w:hAnsi="Palatino Linotype"/>
          <w:sz w:val="24"/>
          <w:szCs w:val="24"/>
          <w:lang w:val="es-ES_tradnl"/>
        </w:rPr>
        <w:t xml:space="preserve">Notifíquese a </w:t>
      </w:r>
      <w:r w:rsidRPr="00AB46D0">
        <w:rPr>
          <w:rFonts w:ascii="Palatino Linotype" w:hAnsi="Palatino Linotype"/>
          <w:b/>
          <w:sz w:val="24"/>
          <w:szCs w:val="24"/>
          <w:lang w:val="es-ES_tradnl"/>
        </w:rPr>
        <w:t>EL RECURRENTE</w:t>
      </w:r>
      <w:r w:rsidRPr="00AB46D0">
        <w:rPr>
          <w:rFonts w:ascii="Palatino Linotype" w:hAnsi="Palatino Linotype"/>
          <w:sz w:val="24"/>
          <w:szCs w:val="24"/>
          <w:lang w:val="es-ES_tradnl"/>
        </w:rPr>
        <w:t xml:space="preserve"> la presente resolución, </w:t>
      </w:r>
      <w:r w:rsidRPr="00AB46D0">
        <w:rPr>
          <w:rFonts w:ascii="Palatino Linotype" w:hAnsi="Palatino Linotype"/>
          <w:b/>
          <w:sz w:val="24"/>
          <w:szCs w:val="24"/>
          <w:lang w:val="es-ES_tradnl"/>
        </w:rPr>
        <w:t>vía SAIMEX.</w:t>
      </w:r>
    </w:p>
    <w:p w:rsidR="00130D32" w:rsidRPr="00AB46D0" w:rsidRDefault="00130D32" w:rsidP="00FC3FED">
      <w:pPr>
        <w:spacing w:line="360" w:lineRule="auto"/>
        <w:jc w:val="both"/>
        <w:rPr>
          <w:rFonts w:ascii="Palatino Linotype" w:hAnsi="Palatino Linotype"/>
          <w:sz w:val="24"/>
          <w:szCs w:val="24"/>
          <w:lang w:val="es-ES_tradnl"/>
        </w:rPr>
      </w:pPr>
    </w:p>
    <w:p w:rsidR="00130D32" w:rsidRPr="00AB46D0" w:rsidRDefault="00130D32" w:rsidP="0055594F">
      <w:pPr>
        <w:tabs>
          <w:tab w:val="left" w:pos="8080"/>
        </w:tabs>
        <w:spacing w:after="0" w:line="360" w:lineRule="auto"/>
        <w:jc w:val="both"/>
        <w:rPr>
          <w:rFonts w:ascii="Palatino Linotype" w:hAnsi="Palatino Linotype" w:cs="Arial"/>
          <w:bCs/>
          <w:sz w:val="24"/>
          <w:szCs w:val="24"/>
          <w:lang w:val="es-ES_tradnl" w:eastAsia="es-ES"/>
        </w:rPr>
      </w:pPr>
      <w:r w:rsidRPr="00AB46D0">
        <w:rPr>
          <w:rFonts w:ascii="Palatino Linotype" w:hAnsi="Palatino Linotype" w:cs="Times New Roman"/>
          <w:b/>
          <w:sz w:val="24"/>
          <w:szCs w:val="24"/>
        </w:rPr>
        <w:lastRenderedPageBreak/>
        <w:t>SEXTO.</w:t>
      </w:r>
      <w:r w:rsidRPr="00AB46D0">
        <w:rPr>
          <w:rFonts w:ascii="Palatino Linotype" w:hAnsi="Palatino Linotype" w:cs="Times New Roman"/>
          <w:sz w:val="24"/>
          <w:szCs w:val="24"/>
        </w:rPr>
        <w:t xml:space="preserve"> </w:t>
      </w:r>
      <w:r w:rsidRPr="00AB46D0">
        <w:rPr>
          <w:rFonts w:ascii="Palatino Linotype" w:hAnsi="Palatino Linotype" w:cs="Arial"/>
          <w:bCs/>
          <w:sz w:val="24"/>
          <w:szCs w:val="24"/>
          <w:lang w:val="es-ES_tradnl" w:eastAsia="es-ES"/>
        </w:rPr>
        <w:t xml:space="preserve">Se hace del conocimiento del </w:t>
      </w:r>
      <w:r w:rsidRPr="00AB46D0">
        <w:rPr>
          <w:rFonts w:ascii="Palatino Linotype" w:hAnsi="Palatino Linotype" w:cs="Arial"/>
          <w:b/>
          <w:bCs/>
          <w:sz w:val="24"/>
          <w:szCs w:val="24"/>
          <w:lang w:val="es-ES_tradnl" w:eastAsia="es-ES"/>
        </w:rPr>
        <w:t>RECURRENTE</w:t>
      </w:r>
      <w:r w:rsidRPr="00AB46D0">
        <w:rPr>
          <w:rFonts w:ascii="Palatino Linotype" w:hAnsi="Palatino Linotype" w:cs="Arial"/>
          <w:bCs/>
          <w:sz w:val="24"/>
          <w:szCs w:val="24"/>
          <w:lang w:val="es-ES_tradnl" w:eastAsia="es-ES"/>
        </w:rPr>
        <w:t xml:space="preserve"> que de conformidad con lo establecido en el artículo 196 de la Ley de Transparencia y Acceso a la Información</w:t>
      </w:r>
      <w:r w:rsidR="0055594F" w:rsidRPr="00AB46D0">
        <w:rPr>
          <w:rFonts w:ascii="Palatino Linotype" w:hAnsi="Palatino Linotype" w:cs="Arial"/>
          <w:bCs/>
          <w:sz w:val="24"/>
          <w:szCs w:val="24"/>
          <w:lang w:val="es-ES_tradnl" w:eastAsia="es-ES"/>
        </w:rPr>
        <w:t xml:space="preserve"> </w:t>
      </w:r>
      <w:r w:rsidRPr="00AB46D0">
        <w:rPr>
          <w:rFonts w:ascii="Palatino Linotype" w:hAnsi="Palatino Linotype" w:cs="Arial"/>
          <w:bCs/>
          <w:sz w:val="24"/>
          <w:szCs w:val="24"/>
          <w:lang w:val="es-ES_tradnl" w:eastAsia="es-ES"/>
        </w:rPr>
        <w:t>Pública del Estado de México y Municipios, en caso de que considere que la resolución le cause algún perjuicio podrá impugnarla, vía juicio de amparo en los</w:t>
      </w:r>
      <w:r w:rsidR="0055594F" w:rsidRPr="00AB46D0">
        <w:rPr>
          <w:rFonts w:ascii="Palatino Linotype" w:hAnsi="Palatino Linotype" w:cs="Arial"/>
          <w:bCs/>
          <w:sz w:val="24"/>
          <w:szCs w:val="24"/>
          <w:lang w:val="es-ES_tradnl" w:eastAsia="es-ES"/>
        </w:rPr>
        <w:t xml:space="preserve"> </w:t>
      </w:r>
      <w:r w:rsidRPr="00AB46D0">
        <w:rPr>
          <w:rFonts w:ascii="Palatino Linotype" w:hAnsi="Palatino Linotype" w:cs="Arial"/>
          <w:bCs/>
          <w:sz w:val="24"/>
          <w:szCs w:val="24"/>
          <w:lang w:val="es-ES_tradnl" w:eastAsia="es-ES"/>
        </w:rPr>
        <w:t>Términos de las Leyes aplicables.</w:t>
      </w:r>
    </w:p>
    <w:p w:rsidR="0055594F" w:rsidRPr="00AB46D0" w:rsidRDefault="0055594F" w:rsidP="0055594F">
      <w:pPr>
        <w:tabs>
          <w:tab w:val="left" w:pos="8080"/>
        </w:tabs>
        <w:spacing w:after="0" w:line="360" w:lineRule="auto"/>
        <w:jc w:val="both"/>
        <w:rPr>
          <w:rFonts w:ascii="Palatino Linotype" w:hAnsi="Palatino Linotype" w:cs="Arial"/>
          <w:bCs/>
          <w:sz w:val="24"/>
          <w:szCs w:val="24"/>
          <w:lang w:val="es-ES_tradnl" w:eastAsia="es-ES"/>
        </w:rPr>
      </w:pPr>
    </w:p>
    <w:p w:rsidR="0055594F" w:rsidRPr="00AB46D0" w:rsidRDefault="0055594F" w:rsidP="0055594F">
      <w:pPr>
        <w:tabs>
          <w:tab w:val="left" w:pos="8080"/>
        </w:tabs>
        <w:spacing w:after="0" w:line="360" w:lineRule="auto"/>
        <w:jc w:val="both"/>
        <w:rPr>
          <w:rFonts w:ascii="Palatino Linotype" w:hAnsi="Palatino Linotype" w:cs="Arial"/>
          <w:bCs/>
          <w:sz w:val="24"/>
          <w:szCs w:val="24"/>
          <w:lang w:val="es-ES_tradnl" w:eastAsia="es-ES"/>
        </w:rPr>
      </w:pPr>
    </w:p>
    <w:p w:rsidR="00130D32" w:rsidRPr="00AB46D0" w:rsidRDefault="00130D32" w:rsidP="00FC3FED">
      <w:pPr>
        <w:shd w:val="clear" w:color="auto" w:fill="FFFFFF"/>
        <w:spacing w:after="0" w:line="360" w:lineRule="auto"/>
        <w:jc w:val="both"/>
        <w:rPr>
          <w:rFonts w:ascii="Palatino Linotype" w:hAnsi="Palatino Linotype" w:cs="Arial"/>
          <w:bCs/>
          <w:sz w:val="24"/>
          <w:szCs w:val="24"/>
          <w:lang w:val="es-ES_tradnl" w:eastAsia="es-ES"/>
        </w:rPr>
      </w:pPr>
    </w:p>
    <w:p w:rsidR="00130D32" w:rsidRDefault="0055594F"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bookmarkStart w:id="11" w:name="_heading=h.35nkun2" w:colFirst="0" w:colLast="0"/>
      <w:bookmarkEnd w:id="11"/>
      <w:r w:rsidRPr="00AB46D0">
        <w:rPr>
          <w:rFonts w:ascii="Palatino Linotype" w:hAnsi="Palatino Linotype"/>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2" w:name="_GoBack"/>
      <w:bookmarkEnd w:id="12"/>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Default="008C6928" w:rsidP="00FC3FED">
      <w:pPr>
        <w:pBdr>
          <w:top w:val="nil"/>
          <w:left w:val="nil"/>
          <w:bottom w:val="nil"/>
          <w:right w:val="nil"/>
          <w:between w:val="nil"/>
        </w:pBdr>
        <w:tabs>
          <w:tab w:val="left" w:pos="0"/>
        </w:tabs>
        <w:spacing w:after="0" w:line="360" w:lineRule="auto"/>
        <w:jc w:val="both"/>
        <w:rPr>
          <w:rFonts w:ascii="Palatino Linotype" w:hAnsi="Palatino Linotype"/>
          <w:sz w:val="24"/>
          <w:szCs w:val="24"/>
          <w:lang w:val="es-ES_tradnl"/>
        </w:rPr>
      </w:pPr>
    </w:p>
    <w:p w:rsidR="008C6928" w:rsidRPr="00FC3FED" w:rsidRDefault="008C6928" w:rsidP="00FC3FED">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p>
    <w:p w:rsidR="00130D32" w:rsidRPr="00FC3FED" w:rsidRDefault="00130D32" w:rsidP="00FC3FED">
      <w:pPr>
        <w:rPr>
          <w:rFonts w:ascii="Palatino Linotype" w:eastAsia="Palatino Linotype" w:hAnsi="Palatino Linotype" w:cs="Palatino Linotype"/>
          <w:sz w:val="24"/>
          <w:szCs w:val="24"/>
        </w:rPr>
      </w:pPr>
    </w:p>
    <w:p w:rsidR="00130D32" w:rsidRPr="00FC3FED" w:rsidRDefault="00130D32" w:rsidP="00FC3FED">
      <w:pPr>
        <w:rPr>
          <w:rFonts w:ascii="Palatino Linotype" w:eastAsia="Palatino Linotype" w:hAnsi="Palatino Linotype" w:cs="Palatino Linotype"/>
          <w:sz w:val="24"/>
          <w:szCs w:val="24"/>
        </w:rPr>
      </w:pPr>
    </w:p>
    <w:p w:rsidR="005B3BAD" w:rsidRPr="00FC3FED" w:rsidRDefault="005B3BAD" w:rsidP="00FC3FED">
      <w:pPr>
        <w:spacing w:after="0" w:line="360" w:lineRule="auto"/>
        <w:jc w:val="both"/>
        <w:rPr>
          <w:rFonts w:ascii="Palatino Linotype" w:hAnsi="Palatino Linotype"/>
          <w:sz w:val="24"/>
          <w:szCs w:val="24"/>
        </w:rPr>
      </w:pPr>
    </w:p>
    <w:sectPr w:rsidR="005B3BAD" w:rsidRPr="00FC3FED" w:rsidSect="00FC3FED">
      <w:headerReference w:type="even" r:id="rId18"/>
      <w:headerReference w:type="default" r:id="rId19"/>
      <w:footerReference w:type="default" r:id="rId20"/>
      <w:headerReference w:type="first" r:id="rId21"/>
      <w:footerReference w:type="first" r:id="rId22"/>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F5" w:rsidRDefault="00B809F5">
      <w:pPr>
        <w:spacing w:after="0" w:line="240" w:lineRule="auto"/>
      </w:pPr>
      <w:r>
        <w:separator/>
      </w:r>
    </w:p>
  </w:endnote>
  <w:endnote w:type="continuationSeparator" w:id="0">
    <w:p w:rsidR="00B809F5" w:rsidRDefault="00B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89" w:rsidRDefault="00EA048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B46D0">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B46D0">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EA0489" w:rsidRDefault="00EA048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89" w:rsidRDefault="00EA048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B46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B46D0">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EA0489" w:rsidRDefault="00EA048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F5" w:rsidRDefault="00B809F5">
      <w:pPr>
        <w:spacing w:after="0" w:line="240" w:lineRule="auto"/>
      </w:pPr>
      <w:r>
        <w:separator/>
      </w:r>
    </w:p>
  </w:footnote>
  <w:footnote w:type="continuationSeparator" w:id="0">
    <w:p w:rsidR="00B809F5" w:rsidRDefault="00B8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89" w:rsidRDefault="00B809F5">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89" w:rsidRDefault="00EA0489">
    <w:pPr>
      <w:widowControl w:val="0"/>
      <w:pBdr>
        <w:top w:val="nil"/>
        <w:left w:val="nil"/>
        <w:bottom w:val="nil"/>
        <w:right w:val="nil"/>
        <w:between w:val="nil"/>
      </w:pBdr>
      <w:spacing w:after="0" w:line="276" w:lineRule="auto"/>
      <w:rPr>
        <w:color w:val="000000"/>
        <w:sz w:val="24"/>
        <w:szCs w:val="24"/>
      </w:rPr>
    </w:pPr>
  </w:p>
  <w:tbl>
    <w:tblPr>
      <w:tblStyle w:val="a7"/>
      <w:tblW w:w="6379" w:type="dxa"/>
      <w:tblInd w:w="3686" w:type="dxa"/>
      <w:tblLayout w:type="fixed"/>
      <w:tblLook w:val="0400" w:firstRow="0" w:lastRow="0" w:firstColumn="0" w:lastColumn="0" w:noHBand="0" w:noVBand="1"/>
    </w:tblPr>
    <w:tblGrid>
      <w:gridCol w:w="2415"/>
      <w:gridCol w:w="3964"/>
    </w:tblGrid>
    <w:tr w:rsidR="00EA0489" w:rsidRPr="00FC3FED" w:rsidTr="00FC3FED">
      <w:trPr>
        <w:trHeight w:val="227"/>
      </w:trPr>
      <w:tc>
        <w:tcPr>
          <w:tcW w:w="2415" w:type="dxa"/>
          <w:vAlign w:val="center"/>
        </w:tcPr>
        <w:p w:rsidR="00EA0489" w:rsidRPr="00FC3FED" w:rsidRDefault="00EA0489">
          <w:pPr>
            <w:spacing w:after="0"/>
            <w:ind w:left="-566" w:right="34"/>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Recurso de Revisión:</w:t>
          </w:r>
        </w:p>
      </w:tc>
      <w:tc>
        <w:tcPr>
          <w:tcW w:w="3964" w:type="dxa"/>
          <w:vAlign w:val="center"/>
        </w:tcPr>
        <w:p w:rsidR="00EA0489" w:rsidRPr="00FC3FED" w:rsidRDefault="00EA0489">
          <w:pPr>
            <w:pBdr>
              <w:top w:val="nil"/>
              <w:left w:val="nil"/>
              <w:bottom w:val="nil"/>
              <w:right w:val="nil"/>
              <w:between w:val="nil"/>
            </w:pBdr>
            <w:tabs>
              <w:tab w:val="center" w:pos="4419"/>
              <w:tab w:val="right" w:pos="8838"/>
            </w:tabs>
            <w:spacing w:after="0" w:line="240" w:lineRule="auto"/>
            <w:ind w:right="-135"/>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04558/INFOEM/IP/RR/2025</w:t>
          </w:r>
        </w:p>
      </w:tc>
    </w:tr>
    <w:tr w:rsidR="00EA0489" w:rsidRPr="00FC3FED" w:rsidTr="00FC3FED">
      <w:trPr>
        <w:trHeight w:val="242"/>
      </w:trPr>
      <w:tc>
        <w:tcPr>
          <w:tcW w:w="2415" w:type="dxa"/>
          <w:vAlign w:val="center"/>
        </w:tcPr>
        <w:p w:rsidR="00EA0489" w:rsidRPr="00FC3FED" w:rsidRDefault="00EA0489">
          <w:pPr>
            <w:spacing w:after="0"/>
            <w:ind w:left="-566" w:right="34"/>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Sujeto Obligado:</w:t>
          </w:r>
        </w:p>
      </w:tc>
      <w:tc>
        <w:tcPr>
          <w:tcW w:w="3964" w:type="dxa"/>
          <w:vAlign w:val="center"/>
        </w:tcPr>
        <w:p w:rsidR="00EA0489" w:rsidRPr="00FC3FED" w:rsidRDefault="00EA0489">
          <w:pPr>
            <w:pBdr>
              <w:top w:val="nil"/>
              <w:left w:val="nil"/>
              <w:bottom w:val="nil"/>
              <w:right w:val="nil"/>
              <w:between w:val="nil"/>
            </w:pBdr>
            <w:tabs>
              <w:tab w:val="center" w:pos="4419"/>
              <w:tab w:val="right" w:pos="8838"/>
            </w:tabs>
            <w:spacing w:after="0" w:line="240" w:lineRule="auto"/>
            <w:ind w:right="-135"/>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Ayuntamiento de Villa de Allende</w:t>
          </w:r>
        </w:p>
      </w:tc>
    </w:tr>
    <w:tr w:rsidR="00EA0489" w:rsidRPr="00FC3FED" w:rsidTr="00FC3FED">
      <w:trPr>
        <w:trHeight w:val="342"/>
      </w:trPr>
      <w:tc>
        <w:tcPr>
          <w:tcW w:w="2415" w:type="dxa"/>
          <w:vAlign w:val="center"/>
        </w:tcPr>
        <w:p w:rsidR="00EA0489" w:rsidRPr="00FC3FED" w:rsidRDefault="00EA0489">
          <w:pPr>
            <w:spacing w:after="0"/>
            <w:ind w:left="-566" w:right="34"/>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Comisionada Ponente:</w:t>
          </w:r>
        </w:p>
      </w:tc>
      <w:tc>
        <w:tcPr>
          <w:tcW w:w="3964" w:type="dxa"/>
          <w:vAlign w:val="center"/>
        </w:tcPr>
        <w:p w:rsidR="00EA0489" w:rsidRPr="00FC3FED" w:rsidRDefault="00EA0489">
          <w:pPr>
            <w:pBdr>
              <w:top w:val="nil"/>
              <w:left w:val="nil"/>
              <w:bottom w:val="nil"/>
              <w:right w:val="nil"/>
              <w:between w:val="nil"/>
            </w:pBdr>
            <w:tabs>
              <w:tab w:val="center" w:pos="4419"/>
              <w:tab w:val="right" w:pos="8838"/>
            </w:tabs>
            <w:spacing w:after="0" w:line="240" w:lineRule="auto"/>
            <w:ind w:right="-135"/>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María del Rosario Mejía Ayala</w:t>
          </w:r>
        </w:p>
      </w:tc>
    </w:tr>
  </w:tbl>
  <w:p w:rsidR="00EA0489" w:rsidRDefault="00B809F5">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75pt;margin-top:-127.75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89" w:rsidRDefault="00EA0489">
    <w:pPr>
      <w:widowControl w:val="0"/>
      <w:pBdr>
        <w:top w:val="nil"/>
        <w:left w:val="nil"/>
        <w:bottom w:val="nil"/>
        <w:right w:val="nil"/>
        <w:between w:val="nil"/>
      </w:pBdr>
      <w:spacing w:after="0" w:line="276" w:lineRule="auto"/>
      <w:rPr>
        <w:color w:val="000000"/>
        <w:sz w:val="14"/>
        <w:szCs w:val="14"/>
      </w:rPr>
    </w:pPr>
  </w:p>
  <w:tbl>
    <w:tblPr>
      <w:tblStyle w:val="a8"/>
      <w:tblW w:w="7470" w:type="dxa"/>
      <w:tblInd w:w="2679" w:type="dxa"/>
      <w:tblLayout w:type="fixed"/>
      <w:tblLook w:val="0400" w:firstRow="0" w:lastRow="0" w:firstColumn="0" w:lastColumn="0" w:noHBand="0" w:noVBand="1"/>
    </w:tblPr>
    <w:tblGrid>
      <w:gridCol w:w="2970"/>
      <w:gridCol w:w="4500"/>
    </w:tblGrid>
    <w:tr w:rsidR="00EA0489" w:rsidRPr="00FC3FED">
      <w:trPr>
        <w:trHeight w:val="227"/>
      </w:trPr>
      <w:tc>
        <w:tcPr>
          <w:tcW w:w="2970" w:type="dxa"/>
          <w:vAlign w:val="center"/>
        </w:tcPr>
        <w:p w:rsidR="00EA0489" w:rsidRPr="00FC3FED" w:rsidRDefault="00EA0489">
          <w:pPr>
            <w:spacing w:after="0" w:line="240" w:lineRule="auto"/>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Recurso de Revisión:</w:t>
          </w:r>
        </w:p>
      </w:tc>
      <w:tc>
        <w:tcPr>
          <w:tcW w:w="4500" w:type="dxa"/>
          <w:vAlign w:val="center"/>
        </w:tcPr>
        <w:p w:rsidR="00EA0489" w:rsidRPr="00FC3FED" w:rsidRDefault="00EA0489">
          <w:pPr>
            <w:pBdr>
              <w:top w:val="nil"/>
              <w:left w:val="nil"/>
              <w:bottom w:val="nil"/>
              <w:right w:val="nil"/>
              <w:between w:val="nil"/>
            </w:pBdr>
            <w:tabs>
              <w:tab w:val="center" w:pos="4419"/>
              <w:tab w:val="right" w:pos="8838"/>
            </w:tabs>
            <w:spacing w:after="0" w:line="276" w:lineRule="auto"/>
            <w:ind w:right="98"/>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04558/INFOEM/IP/RR/2025</w:t>
          </w:r>
        </w:p>
      </w:tc>
    </w:tr>
    <w:tr w:rsidR="00EA0489" w:rsidRPr="00FC3FED">
      <w:trPr>
        <w:trHeight w:val="242"/>
      </w:trPr>
      <w:tc>
        <w:tcPr>
          <w:tcW w:w="2970" w:type="dxa"/>
          <w:vAlign w:val="center"/>
        </w:tcPr>
        <w:p w:rsidR="00EA0489" w:rsidRPr="00FC3FED" w:rsidRDefault="00EA0489">
          <w:pPr>
            <w:spacing w:after="0" w:line="240" w:lineRule="auto"/>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Recurrente:</w:t>
          </w:r>
        </w:p>
      </w:tc>
      <w:tc>
        <w:tcPr>
          <w:tcW w:w="4500" w:type="dxa"/>
        </w:tcPr>
        <w:p w:rsidR="00EA0489" w:rsidRPr="00FC3FED" w:rsidRDefault="00EA0489">
          <w:pPr>
            <w:pBdr>
              <w:top w:val="nil"/>
              <w:left w:val="nil"/>
              <w:bottom w:val="nil"/>
              <w:right w:val="nil"/>
              <w:between w:val="nil"/>
            </w:pBdr>
            <w:tabs>
              <w:tab w:val="right" w:pos="8838"/>
              <w:tab w:val="left" w:pos="521"/>
            </w:tabs>
            <w:spacing w:after="0" w:line="276" w:lineRule="auto"/>
            <w:ind w:right="98"/>
            <w:rPr>
              <w:rFonts w:ascii="Palatino Linotype" w:eastAsia="Palatino Linotype" w:hAnsi="Palatino Linotype" w:cs="Palatino Linotype"/>
              <w:color w:val="000000"/>
              <w:sz w:val="24"/>
              <w:szCs w:val="24"/>
            </w:rPr>
          </w:pPr>
        </w:p>
      </w:tc>
    </w:tr>
    <w:tr w:rsidR="00EA0489" w:rsidRPr="00FC3FED">
      <w:trPr>
        <w:trHeight w:val="342"/>
      </w:trPr>
      <w:tc>
        <w:tcPr>
          <w:tcW w:w="2970" w:type="dxa"/>
          <w:vAlign w:val="center"/>
        </w:tcPr>
        <w:p w:rsidR="00EA0489" w:rsidRPr="00FC3FED" w:rsidRDefault="00EA0489">
          <w:pPr>
            <w:spacing w:after="0" w:line="240" w:lineRule="auto"/>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Sujeto Obligado:</w:t>
          </w:r>
        </w:p>
      </w:tc>
      <w:tc>
        <w:tcPr>
          <w:tcW w:w="4500" w:type="dxa"/>
          <w:vAlign w:val="center"/>
        </w:tcPr>
        <w:p w:rsidR="00EA0489" w:rsidRPr="00FC3FED" w:rsidRDefault="00EA0489">
          <w:pPr>
            <w:pBdr>
              <w:top w:val="nil"/>
              <w:left w:val="nil"/>
              <w:bottom w:val="nil"/>
              <w:right w:val="nil"/>
              <w:between w:val="nil"/>
            </w:pBdr>
            <w:tabs>
              <w:tab w:val="center" w:pos="4419"/>
              <w:tab w:val="right" w:pos="8838"/>
            </w:tabs>
            <w:spacing w:after="0" w:line="276" w:lineRule="auto"/>
            <w:ind w:right="312"/>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Ayuntamiento de Villa de Allende</w:t>
          </w:r>
        </w:p>
      </w:tc>
    </w:tr>
    <w:tr w:rsidR="00EA0489" w:rsidRPr="00FC3FED">
      <w:trPr>
        <w:trHeight w:val="342"/>
      </w:trPr>
      <w:tc>
        <w:tcPr>
          <w:tcW w:w="2970" w:type="dxa"/>
          <w:vAlign w:val="center"/>
        </w:tcPr>
        <w:p w:rsidR="00EA0489" w:rsidRPr="00FC3FED" w:rsidRDefault="00EA0489">
          <w:pPr>
            <w:spacing w:after="0" w:line="240" w:lineRule="auto"/>
            <w:jc w:val="right"/>
            <w:rPr>
              <w:rFonts w:ascii="Palatino Linotype" w:eastAsia="Palatino Linotype" w:hAnsi="Palatino Linotype" w:cs="Palatino Linotype"/>
              <w:b/>
              <w:sz w:val="24"/>
              <w:szCs w:val="24"/>
            </w:rPr>
          </w:pPr>
          <w:r w:rsidRPr="00FC3FED">
            <w:rPr>
              <w:rFonts w:ascii="Palatino Linotype" w:eastAsia="Palatino Linotype" w:hAnsi="Palatino Linotype" w:cs="Palatino Linotype"/>
              <w:b/>
              <w:sz w:val="24"/>
              <w:szCs w:val="24"/>
            </w:rPr>
            <w:t>Comisionada Ponente:</w:t>
          </w:r>
        </w:p>
      </w:tc>
      <w:tc>
        <w:tcPr>
          <w:tcW w:w="4500" w:type="dxa"/>
          <w:vAlign w:val="center"/>
        </w:tcPr>
        <w:p w:rsidR="00EA0489" w:rsidRPr="00FC3FED" w:rsidRDefault="00EA0489">
          <w:pPr>
            <w:pBdr>
              <w:top w:val="nil"/>
              <w:left w:val="nil"/>
              <w:bottom w:val="nil"/>
              <w:right w:val="nil"/>
              <w:between w:val="nil"/>
            </w:pBdr>
            <w:tabs>
              <w:tab w:val="center" w:pos="4419"/>
              <w:tab w:val="right" w:pos="8838"/>
            </w:tabs>
            <w:spacing w:after="0" w:line="276" w:lineRule="auto"/>
            <w:ind w:right="98"/>
            <w:rPr>
              <w:rFonts w:ascii="Palatino Linotype" w:eastAsia="Palatino Linotype" w:hAnsi="Palatino Linotype" w:cs="Palatino Linotype"/>
              <w:color w:val="000000"/>
              <w:sz w:val="24"/>
              <w:szCs w:val="24"/>
            </w:rPr>
          </w:pPr>
          <w:r w:rsidRPr="00FC3FED">
            <w:rPr>
              <w:rFonts w:ascii="Palatino Linotype" w:eastAsia="Palatino Linotype" w:hAnsi="Palatino Linotype" w:cs="Palatino Linotype"/>
              <w:color w:val="000000"/>
              <w:sz w:val="24"/>
              <w:szCs w:val="24"/>
            </w:rPr>
            <w:t>María del Rosario Mejía Ayala</w:t>
          </w:r>
        </w:p>
      </w:tc>
    </w:tr>
  </w:tbl>
  <w:p w:rsidR="00EA0489" w:rsidRDefault="00B809F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4pt;margin-top:-135.6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3E0"/>
    <w:multiLevelType w:val="multilevel"/>
    <w:tmpl w:val="CA4AE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0A230A56"/>
    <w:multiLevelType w:val="multilevel"/>
    <w:tmpl w:val="8B14EBF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rPr>
        <w:b w:val="0"/>
      </w:r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2B1D64"/>
    <w:multiLevelType w:val="multilevel"/>
    <w:tmpl w:val="8D3CD75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nsid w:val="1BCF0A1C"/>
    <w:multiLevelType w:val="hybridMultilevel"/>
    <w:tmpl w:val="18D87B02"/>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8">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942E0F"/>
    <w:multiLevelType w:val="multilevel"/>
    <w:tmpl w:val="59EC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84339E"/>
    <w:multiLevelType w:val="multilevel"/>
    <w:tmpl w:val="F62E03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08418E"/>
    <w:multiLevelType w:val="multilevel"/>
    <w:tmpl w:val="6A20C82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5">
    <w:nsid w:val="3DF5225D"/>
    <w:multiLevelType w:val="multilevel"/>
    <w:tmpl w:val="F5020F9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nsid w:val="3EC673AC"/>
    <w:multiLevelType w:val="multilevel"/>
    <w:tmpl w:val="DDEA002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2C0272"/>
    <w:multiLevelType w:val="hybridMultilevel"/>
    <w:tmpl w:val="FD0E9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4BF24AB1"/>
    <w:multiLevelType w:val="multilevel"/>
    <w:tmpl w:val="458C7F8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4">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16"/>
  </w:num>
  <w:num w:numId="5">
    <w:abstractNumId w:val="9"/>
  </w:num>
  <w:num w:numId="6">
    <w:abstractNumId w:val="3"/>
  </w:num>
  <w:num w:numId="7">
    <w:abstractNumId w:val="24"/>
  </w:num>
  <w:num w:numId="8">
    <w:abstractNumId w:val="22"/>
  </w:num>
  <w:num w:numId="9">
    <w:abstractNumId w:val="2"/>
  </w:num>
  <w:num w:numId="10">
    <w:abstractNumId w:val="20"/>
  </w:num>
  <w:num w:numId="11">
    <w:abstractNumId w:val="4"/>
  </w:num>
  <w:num w:numId="12">
    <w:abstractNumId w:val="13"/>
  </w:num>
  <w:num w:numId="13">
    <w:abstractNumId w:val="12"/>
  </w:num>
  <w:num w:numId="14">
    <w:abstractNumId w:val="0"/>
  </w:num>
  <w:num w:numId="15">
    <w:abstractNumId w:val="7"/>
  </w:num>
  <w:num w:numId="16">
    <w:abstractNumId w:val="5"/>
  </w:num>
  <w:num w:numId="17">
    <w:abstractNumId w:val="10"/>
  </w:num>
  <w:num w:numId="18">
    <w:abstractNumId w:val="1"/>
  </w:num>
  <w:num w:numId="19">
    <w:abstractNumId w:val="2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1"/>
  </w:num>
  <w:num w:numId="24">
    <w:abstractNumId w:val="11"/>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82"/>
    <w:rsid w:val="00130D32"/>
    <w:rsid w:val="00143251"/>
    <w:rsid w:val="001A110F"/>
    <w:rsid w:val="00304FB3"/>
    <w:rsid w:val="003B40C6"/>
    <w:rsid w:val="003B6BB8"/>
    <w:rsid w:val="00402317"/>
    <w:rsid w:val="00473177"/>
    <w:rsid w:val="004C506D"/>
    <w:rsid w:val="004F1345"/>
    <w:rsid w:val="004F6F35"/>
    <w:rsid w:val="0055594F"/>
    <w:rsid w:val="005B3BAD"/>
    <w:rsid w:val="005F0D62"/>
    <w:rsid w:val="006107E9"/>
    <w:rsid w:val="00800115"/>
    <w:rsid w:val="008B7763"/>
    <w:rsid w:val="008C4EAB"/>
    <w:rsid w:val="008C6928"/>
    <w:rsid w:val="0094769B"/>
    <w:rsid w:val="00A361C0"/>
    <w:rsid w:val="00A67F5B"/>
    <w:rsid w:val="00AB46D0"/>
    <w:rsid w:val="00B809F5"/>
    <w:rsid w:val="00D20ED4"/>
    <w:rsid w:val="00DC7649"/>
    <w:rsid w:val="00DF5EB8"/>
    <w:rsid w:val="00E35297"/>
    <w:rsid w:val="00EA0489"/>
    <w:rsid w:val="00F26182"/>
    <w:rsid w:val="00F5409F"/>
    <w:rsid w:val="00FC3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4F2E96-F6C5-4F74-BC49-9265DD86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03"/>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70" w:type="dxa"/>
        <w:bottom w:w="0" w:type="dxa"/>
        <w:right w:w="70" w:type="dxa"/>
      </w:tblCellMar>
    </w:tblPr>
  </w:style>
  <w:style w:type="table" w:customStyle="1" w:styleId="a0">
    <w:basedOn w:val="TableNormal3"/>
    <w:tblPr>
      <w:tblStyleRowBandSize w:val="1"/>
      <w:tblStyleColBandSize w:val="1"/>
      <w:tblCellMar>
        <w:top w:w="0" w:type="dxa"/>
        <w:left w:w="70" w:type="dxa"/>
        <w:bottom w:w="0" w:type="dxa"/>
        <w:right w:w="70" w:type="dxa"/>
      </w:tblCellMar>
    </w:tblPr>
  </w:style>
  <w:style w:type="paragraph" w:styleId="Sinespaciado">
    <w:name w:val="No Spacing"/>
    <w:aliases w:val="Francesa,INAI"/>
    <w:link w:val="SinespaciadoCar"/>
    <w:uiPriority w:val="1"/>
    <w:qFormat/>
    <w:rsid w:val="00380F8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380F80"/>
    <w:rPr>
      <w:rFonts w:asciiTheme="minorHAnsi" w:eastAsiaTheme="minorHAnsi" w:hAnsiTheme="minorHAnsi" w:cstheme="minorBidi"/>
      <w:lang w:eastAsia="en-US"/>
    </w:rPr>
  </w:style>
  <w:style w:type="table" w:customStyle="1" w:styleId="a1">
    <w:basedOn w:val="TableNormal3"/>
    <w:tblPr>
      <w:tblStyleRowBandSize w:val="1"/>
      <w:tblStyleColBandSize w:val="1"/>
      <w:tblCellMar>
        <w:top w:w="0" w:type="dxa"/>
        <w:left w:w="70" w:type="dxa"/>
        <w:bottom w:w="0" w:type="dxa"/>
        <w:right w:w="70" w:type="dxa"/>
      </w:tblCellMar>
    </w:tblPr>
  </w:style>
  <w:style w:type="table" w:customStyle="1" w:styleId="a2">
    <w:basedOn w:val="TableNormal3"/>
    <w:tblPr>
      <w:tblStyleRowBandSize w:val="1"/>
      <w:tblStyleColBandSize w:val="1"/>
      <w:tblCellMar>
        <w:top w:w="0" w:type="dxa"/>
        <w:left w:w="70" w:type="dxa"/>
        <w:bottom w:w="0" w:type="dxa"/>
        <w:right w:w="70" w:type="dxa"/>
      </w:tblCellMar>
    </w:tblPr>
  </w:style>
  <w:style w:type="table" w:customStyle="1" w:styleId="a3">
    <w:basedOn w:val="TableNormal2"/>
    <w:tblPr>
      <w:tblStyleRowBandSize w:val="1"/>
      <w:tblStyleColBandSize w:val="1"/>
      <w:tblCellMar>
        <w:top w:w="0" w:type="dxa"/>
        <w:left w:w="70" w:type="dxa"/>
        <w:bottom w:w="0" w:type="dxa"/>
        <w:right w:w="70" w:type="dxa"/>
      </w:tblCellMar>
    </w:tblPr>
  </w:style>
  <w:style w:type="table" w:customStyle="1" w:styleId="a4">
    <w:basedOn w:val="TableNormal2"/>
    <w:tblPr>
      <w:tblStyleRowBandSize w:val="1"/>
      <w:tblStyleColBandSize w:val="1"/>
      <w:tblCellMar>
        <w:top w:w="0" w:type="dxa"/>
        <w:left w:w="70" w:type="dxa"/>
        <w:bottom w:w="0" w:type="dxa"/>
        <w:right w:w="70" w:type="dxa"/>
      </w:tblCellMar>
    </w:tblPr>
  </w:style>
  <w:style w:type="table" w:customStyle="1" w:styleId="a5">
    <w:basedOn w:val="TableNormal1"/>
    <w:tblPr>
      <w:tblStyleRowBandSize w:val="1"/>
      <w:tblStyleColBandSize w:val="1"/>
      <w:tblCellMar>
        <w:top w:w="0" w:type="dxa"/>
        <w:left w:w="70" w:type="dxa"/>
        <w:bottom w:w="0" w:type="dxa"/>
        <w:right w:w="70" w:type="dxa"/>
      </w:tblCellMar>
    </w:tblPr>
  </w:style>
  <w:style w:type="table" w:customStyle="1" w:styleId="a6">
    <w:basedOn w:val="TableNormal1"/>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EA0489"/>
    <w:pPr>
      <w:numPr>
        <w:numId w:val="21"/>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35244">
      <w:bodyDiv w:val="1"/>
      <w:marLeft w:val="0"/>
      <w:marRight w:val="0"/>
      <w:marTop w:val="0"/>
      <w:marBottom w:val="0"/>
      <w:divBdr>
        <w:top w:val="none" w:sz="0" w:space="0" w:color="auto"/>
        <w:left w:val="none" w:sz="0" w:space="0" w:color="auto"/>
        <w:bottom w:val="none" w:sz="0" w:space="0" w:color="auto"/>
        <w:right w:val="none" w:sz="0" w:space="0" w:color="auto"/>
      </w:divBdr>
    </w:div>
    <w:div w:id="88533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yperlink" Target="https://www.gob.mx/sesnsp/acciones-y-programas/incidencia-delictiva-del-fuero-comun-nueva-metodologia?state=published" TargetMode="External"/><Relationship Id="rId2" Type="http://schemas.openxmlformats.org/officeDocument/2006/relationships/numbering" Target="numbering.xml"/><Relationship Id="rId16" Type="http://schemas.openxmlformats.org/officeDocument/2006/relationships/hyperlink" Target="http://secretariadoejecutivo.gob.mx/work/models/SecretariadoEjecutivo/Resource/328/1/images/instructivo_final_edo_fuerza(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W6+vxTBV13IvHU9JaifnC1D9w==">CgMxLjAyCWguM3JkY3JqbjIIaC5namRneHMyCWguMzBqMHpsbDIJaC4xZm9iOXRlMgloLjN6bnlzaDcyCWguMmV0OTJwMDIIaC50eWpjd3QyCWguMjZpbjFyZzIIaC5sbnhiejkyCWguMzVua3VuMjIJaC40ZDM0b2c4MgloLjNkeTZ2a204AHIhMUlsT1l6TU5ybDZGemMzUFJ6V3poY1Q4YmlYSExoNkRG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8656</Words>
  <Characters>47613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10</cp:revision>
  <cp:lastPrinted>2025-05-15T19:14:00Z</cp:lastPrinted>
  <dcterms:created xsi:type="dcterms:W3CDTF">2025-05-13T01:30:00Z</dcterms:created>
  <dcterms:modified xsi:type="dcterms:W3CDTF">2025-05-15T19:15:00Z</dcterms:modified>
</cp:coreProperties>
</file>