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25" w:rsidRPr="00DE3C5D" w:rsidRDefault="004A2C23" w:rsidP="00921F85">
      <w:pPr>
        <w:tabs>
          <w:tab w:val="left" w:pos="0"/>
        </w:tabs>
        <w:spacing w:line="360" w:lineRule="auto"/>
        <w:jc w:val="both"/>
        <w:rPr>
          <w:rFonts w:ascii="Palatino Linotype" w:eastAsia="Palatino Linotype" w:hAnsi="Palatino Linotype" w:cs="Palatino Linotype"/>
          <w:b/>
          <w:color w:val="000000" w:themeColor="text1"/>
        </w:rPr>
      </w:pPr>
      <w:bookmarkStart w:id="0" w:name="_heading=h.sre9h05q4v0b" w:colFirst="0" w:colLast="0"/>
      <w:bookmarkStart w:id="1" w:name="_GoBack"/>
      <w:bookmarkEnd w:id="0"/>
      <w:bookmarkEnd w:id="1"/>
      <w:r w:rsidRPr="00921F85">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DE3C5D">
        <w:rPr>
          <w:rFonts w:ascii="Palatino Linotype" w:eastAsia="Palatino Linotype" w:hAnsi="Palatino Linotype" w:cs="Palatino Linotype"/>
          <w:b/>
          <w:color w:val="000000" w:themeColor="text1"/>
        </w:rPr>
        <w:t xml:space="preserve">de fecha </w:t>
      </w:r>
      <w:r w:rsidR="00DE3C5D">
        <w:rPr>
          <w:rFonts w:ascii="Palatino Linotype" w:eastAsia="Palatino Linotype" w:hAnsi="Palatino Linotype" w:cs="Palatino Linotype"/>
          <w:b/>
          <w:color w:val="000000" w:themeColor="text1"/>
        </w:rPr>
        <w:t xml:space="preserve">veinticuatro </w:t>
      </w:r>
      <w:r w:rsidR="00EF09DD">
        <w:rPr>
          <w:rFonts w:ascii="Palatino Linotype" w:eastAsia="Palatino Linotype" w:hAnsi="Palatino Linotype" w:cs="Palatino Linotype"/>
          <w:b/>
          <w:color w:val="000000" w:themeColor="text1"/>
        </w:rPr>
        <w:t xml:space="preserve">(24) </w:t>
      </w:r>
      <w:r w:rsidRPr="00DE3C5D">
        <w:rPr>
          <w:rFonts w:ascii="Palatino Linotype" w:eastAsia="Palatino Linotype" w:hAnsi="Palatino Linotype" w:cs="Palatino Linotype"/>
          <w:b/>
          <w:color w:val="000000" w:themeColor="text1"/>
        </w:rPr>
        <w:t>de septiembre de dos mil veinticinco.</w:t>
      </w:r>
    </w:p>
    <w:p w:rsidR="00894625" w:rsidRPr="00921F85" w:rsidRDefault="00894625" w:rsidP="00921F85">
      <w:pPr>
        <w:tabs>
          <w:tab w:val="left" w:pos="0"/>
          <w:tab w:val="left" w:pos="567"/>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tabs>
          <w:tab w:val="left" w:pos="0"/>
        </w:tabs>
        <w:spacing w:line="360" w:lineRule="auto"/>
        <w:jc w:val="both"/>
        <w:rPr>
          <w:rFonts w:ascii="Palatino Linotype" w:eastAsia="Palatino Linotype" w:hAnsi="Palatino Linotype" w:cs="Palatino Linotype"/>
          <w:color w:val="000000" w:themeColor="text1"/>
        </w:rPr>
      </w:pPr>
      <w:bookmarkStart w:id="2" w:name="_heading=h.gjdgxs" w:colFirst="0" w:colLast="0"/>
      <w:bookmarkEnd w:id="2"/>
      <w:r w:rsidRPr="00921F85">
        <w:rPr>
          <w:rFonts w:ascii="Palatino Linotype" w:eastAsia="Palatino Linotype" w:hAnsi="Palatino Linotype" w:cs="Palatino Linotype"/>
          <w:b/>
          <w:color w:val="000000" w:themeColor="text1"/>
        </w:rPr>
        <w:t>VISTO</w:t>
      </w:r>
      <w:r w:rsidRPr="00921F85">
        <w:rPr>
          <w:rFonts w:ascii="Palatino Linotype" w:eastAsia="Palatino Linotype" w:hAnsi="Palatino Linotype" w:cs="Palatino Linotype"/>
          <w:color w:val="000000" w:themeColor="text1"/>
        </w:rPr>
        <w:t xml:space="preserve"> el expediente electrónico formado con motivo del recurso de revisión </w:t>
      </w:r>
      <w:r w:rsidRPr="00921F85">
        <w:rPr>
          <w:rFonts w:ascii="Palatino Linotype" w:eastAsia="Palatino Linotype" w:hAnsi="Palatino Linotype" w:cs="Palatino Linotype"/>
          <w:b/>
          <w:color w:val="000000" w:themeColor="text1"/>
        </w:rPr>
        <w:t>04093/INFOEM/IP/RR/2025</w:t>
      </w:r>
      <w:r w:rsidRPr="00921F85">
        <w:rPr>
          <w:rFonts w:ascii="Palatino Linotype" w:eastAsia="Palatino Linotype" w:hAnsi="Palatino Linotype" w:cs="Palatino Linotype"/>
          <w:color w:val="000000" w:themeColor="text1"/>
        </w:rPr>
        <w:t>,</w:t>
      </w:r>
      <w:r w:rsidRPr="00921F85">
        <w:rPr>
          <w:rFonts w:ascii="Palatino Linotype" w:eastAsia="Palatino Linotype" w:hAnsi="Palatino Linotype" w:cs="Palatino Linotype"/>
          <w:b/>
          <w:color w:val="000000" w:themeColor="text1"/>
        </w:rPr>
        <w:t xml:space="preserve"> </w:t>
      </w:r>
      <w:r w:rsidRPr="00921F85">
        <w:rPr>
          <w:rFonts w:ascii="Palatino Linotype" w:eastAsia="Palatino Linotype" w:hAnsi="Palatino Linotype" w:cs="Palatino Linotype"/>
          <w:color w:val="000000" w:themeColor="text1"/>
        </w:rPr>
        <w:t xml:space="preserve">promovido por </w:t>
      </w:r>
      <w:r w:rsidR="0078505C">
        <w:rPr>
          <w:rFonts w:ascii="Palatino Linotype" w:eastAsia="Palatino Linotype" w:hAnsi="Palatino Linotype" w:cs="Palatino Linotype"/>
          <w:b/>
          <w:color w:val="000000" w:themeColor="text1"/>
        </w:rPr>
        <w:t>XXXX</w:t>
      </w:r>
      <w:r w:rsidRPr="00921F85">
        <w:rPr>
          <w:rFonts w:ascii="Palatino Linotype" w:eastAsia="Palatino Linotype" w:hAnsi="Palatino Linotype" w:cs="Palatino Linotype"/>
          <w:b/>
          <w:color w:val="000000" w:themeColor="text1"/>
        </w:rPr>
        <w:t>,</w:t>
      </w:r>
      <w:r w:rsidRPr="00921F85">
        <w:rPr>
          <w:rFonts w:ascii="Palatino Linotype" w:eastAsia="Palatino Linotype" w:hAnsi="Palatino Linotype" w:cs="Palatino Linotype"/>
          <w:color w:val="000000" w:themeColor="text1"/>
        </w:rPr>
        <w:t xml:space="preserve"> </w:t>
      </w:r>
      <w:r w:rsidR="000A2FD9">
        <w:rPr>
          <w:rFonts w:ascii="Palatino Linotype" w:eastAsia="Palatino Linotype" w:hAnsi="Palatino Linotype" w:cs="Palatino Linotype"/>
          <w:color w:val="000000" w:themeColor="text1"/>
        </w:rPr>
        <w:t xml:space="preserve">como </w:t>
      </w:r>
      <w:r w:rsidR="000A2FD9">
        <w:rPr>
          <w:rFonts w:ascii="Palatino Linotype" w:eastAsia="Palatino Linotype" w:hAnsi="Palatino Linotype" w:cs="Palatino Linotype"/>
          <w:b/>
          <w:color w:val="000000" w:themeColor="text1"/>
        </w:rPr>
        <w:t xml:space="preserve">EL RECURRENTE </w:t>
      </w:r>
      <w:r w:rsidRPr="00921F85">
        <w:rPr>
          <w:rFonts w:ascii="Palatino Linotype" w:eastAsia="Palatino Linotype" w:hAnsi="Palatino Linotype" w:cs="Palatino Linotype"/>
          <w:color w:val="000000" w:themeColor="text1"/>
        </w:rPr>
        <w:t xml:space="preserve">en contra de la respuesta del </w:t>
      </w:r>
      <w:r w:rsidRPr="00921F85">
        <w:rPr>
          <w:rFonts w:ascii="Palatino Linotype" w:eastAsia="Palatino Linotype" w:hAnsi="Palatino Linotype" w:cs="Palatino Linotype"/>
          <w:b/>
          <w:color w:val="000000" w:themeColor="text1"/>
        </w:rPr>
        <w:t xml:space="preserve">Ayuntamiento de Tultepec, </w:t>
      </w:r>
      <w:r w:rsidRPr="00921F85">
        <w:rPr>
          <w:rFonts w:ascii="Palatino Linotype" w:eastAsia="Palatino Linotype" w:hAnsi="Palatino Linotype" w:cs="Palatino Linotype"/>
          <w:color w:val="000000" w:themeColor="text1"/>
        </w:rPr>
        <w:t>en adelante el</w:t>
      </w:r>
      <w:r w:rsidRPr="00921F85">
        <w:rPr>
          <w:rFonts w:ascii="Palatino Linotype" w:eastAsia="Palatino Linotype" w:hAnsi="Palatino Linotype" w:cs="Palatino Linotype"/>
          <w:b/>
          <w:color w:val="000000" w:themeColor="text1"/>
        </w:rPr>
        <w:t xml:space="preserve"> SUJETO OBLIGADO</w:t>
      </w:r>
      <w:r w:rsidRPr="00921F85">
        <w:rPr>
          <w:rFonts w:ascii="Palatino Linotype" w:eastAsia="Palatino Linotype" w:hAnsi="Palatino Linotype" w:cs="Palatino Linotype"/>
          <w:color w:val="000000" w:themeColor="text1"/>
        </w:rPr>
        <w:t>, se procede a dictar la presente resolución, con base en los siguientes:</w:t>
      </w:r>
    </w:p>
    <w:p w:rsidR="00894625" w:rsidRPr="00921F85" w:rsidRDefault="00894625" w:rsidP="00921F85">
      <w:pP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pStyle w:val="Ttulo1"/>
        <w:tabs>
          <w:tab w:val="left" w:pos="0"/>
          <w:tab w:val="left" w:pos="567"/>
        </w:tabs>
        <w:spacing w:before="0" w:line="360" w:lineRule="auto"/>
        <w:jc w:val="center"/>
        <w:rPr>
          <w:b w:val="0"/>
          <w:color w:val="000000" w:themeColor="text1"/>
        </w:rPr>
      </w:pPr>
      <w:bookmarkStart w:id="3" w:name="_heading=h.30j0zll" w:colFirst="0" w:colLast="0"/>
      <w:bookmarkEnd w:id="3"/>
      <w:r w:rsidRPr="00921F85">
        <w:rPr>
          <w:color w:val="000000" w:themeColor="text1"/>
        </w:rPr>
        <w:t>A N T E C E D E N T E S</w:t>
      </w:r>
    </w:p>
    <w:p w:rsidR="00894625" w:rsidRPr="00921F85" w:rsidRDefault="00894625" w:rsidP="00921F85">
      <w:pPr>
        <w:pStyle w:val="Ttulo1"/>
        <w:tabs>
          <w:tab w:val="left" w:pos="0"/>
          <w:tab w:val="left" w:pos="567"/>
        </w:tabs>
        <w:spacing w:before="0" w:line="360" w:lineRule="auto"/>
        <w:rPr>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 xml:space="preserve">trece de marzo de dos mil veinticinco, </w:t>
      </w:r>
      <w:r w:rsidRPr="00921F85">
        <w:rPr>
          <w:rFonts w:ascii="Palatino Linotype" w:eastAsia="Palatino Linotype" w:hAnsi="Palatino Linotype" w:cs="Palatino Linotype"/>
          <w:color w:val="000000" w:themeColor="text1"/>
        </w:rPr>
        <w:t xml:space="preserve">se presentó ante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vía SAIMEX, la solicitud de información pública registrada con el número</w:t>
      </w:r>
      <w:r w:rsidRPr="00921F85">
        <w:rPr>
          <w:rFonts w:ascii="Palatino Linotype" w:eastAsia="Palatino Linotype" w:hAnsi="Palatino Linotype" w:cs="Palatino Linotype"/>
          <w:b/>
          <w:color w:val="000000" w:themeColor="text1"/>
        </w:rPr>
        <w:t xml:space="preserve"> 00064/TUTLTEPEC/IP/2025; </w:t>
      </w:r>
      <w:r w:rsidR="00EF09DD">
        <w:rPr>
          <w:rFonts w:ascii="Palatino Linotype" w:eastAsia="Palatino Linotype" w:hAnsi="Palatino Linotype" w:cs="Palatino Linotype"/>
          <w:color w:val="000000" w:themeColor="text1"/>
        </w:rPr>
        <w:t>en la que</w:t>
      </w:r>
      <w:r w:rsidRPr="00921F85">
        <w:rPr>
          <w:rFonts w:ascii="Palatino Linotype" w:eastAsia="Palatino Linotype" w:hAnsi="Palatino Linotype" w:cs="Palatino Linotype"/>
          <w:color w:val="000000" w:themeColor="text1"/>
        </w:rPr>
        <w:t xml:space="preserve"> se solicitó la siguiente información:</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894625" w:rsidRPr="00921F85" w:rsidRDefault="004A2C23" w:rsidP="00921F85">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“SOLICITO TODAS LOS CAMBIOS DE USO DE SUELO, QUE HAN SIDO AUTORIZADOS YEXPEDIDOS POR LA DIRECCION DE DESARROLLO URBANO, ECOLOGIA Y FOMENTO AGROPECUARIO, DEL 1 DE ENERO DEL 2025HASTA LA FECHA DE INGRESO DE LA PRESENTE SOLICITUD, RESPETUOSAMENTE SOLICITO LA REFERIDA INFORMACION POR ESTE MEDIO EN VERSION PUBLICA” (Sic)</w:t>
      </w:r>
    </w:p>
    <w:p w:rsidR="00894625" w:rsidRDefault="00894625" w:rsidP="00921F85">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EF09DD" w:rsidRPr="00921F85" w:rsidRDefault="00EF09DD" w:rsidP="00921F85">
      <w:pPr>
        <w:pBdr>
          <w:top w:val="nil"/>
          <w:left w:val="nil"/>
          <w:bottom w:val="nil"/>
          <w:right w:val="nil"/>
          <w:between w:val="nil"/>
        </w:pBdr>
        <w:tabs>
          <w:tab w:val="left" w:pos="0"/>
        </w:tabs>
        <w:jc w:val="both"/>
        <w:rPr>
          <w:rFonts w:ascii="Palatino Linotype" w:eastAsia="Palatino Linotype" w:hAnsi="Palatino Linotype" w:cs="Palatino Linotype"/>
          <w:i/>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Se eligió como modalidad de entrega de la información: A través del </w:t>
      </w:r>
      <w:r w:rsidRPr="00921F85">
        <w:rPr>
          <w:rFonts w:ascii="Palatino Linotype" w:eastAsia="Palatino Linotype" w:hAnsi="Palatino Linotype" w:cs="Palatino Linotype"/>
          <w:b/>
          <w:color w:val="000000" w:themeColor="text1"/>
        </w:rPr>
        <w:t>SAIMEX.</w:t>
      </w:r>
    </w:p>
    <w:p w:rsidR="00894625" w:rsidRDefault="00894625" w:rsidP="00921F8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EF09DD" w:rsidRPr="00921F85" w:rsidRDefault="00EF09DD" w:rsidP="00921F85">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 xml:space="preserve">El </w:t>
      </w:r>
      <w:r w:rsidRPr="00921F85">
        <w:rPr>
          <w:rFonts w:ascii="Palatino Linotype" w:eastAsia="Palatino Linotype" w:hAnsi="Palatino Linotype" w:cs="Palatino Linotype"/>
          <w:b/>
          <w:color w:val="000000" w:themeColor="text1"/>
        </w:rPr>
        <w:t xml:space="preserve">SUJETO OBLIGADO </w:t>
      </w:r>
      <w:r w:rsidRPr="00921F85">
        <w:rPr>
          <w:rFonts w:ascii="Palatino Linotype" w:eastAsia="Palatino Linotype" w:hAnsi="Palatino Linotype" w:cs="Palatino Linotype"/>
          <w:color w:val="000000" w:themeColor="text1"/>
        </w:rPr>
        <w:t>omitió dar respuesta a la solicitud de información.</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siete de abril de dos mil veinticinco</w:t>
      </w:r>
      <w:r w:rsidRPr="00921F85">
        <w:rPr>
          <w:rFonts w:ascii="Palatino Linotype" w:eastAsia="Palatino Linotype" w:hAnsi="Palatino Linotype" w:cs="Palatino Linotype"/>
          <w:color w:val="000000" w:themeColor="text1"/>
        </w:rPr>
        <w:t xml:space="preserve">, la parte </w:t>
      </w:r>
      <w:r w:rsidRPr="00921F85">
        <w:rPr>
          <w:rFonts w:ascii="Palatino Linotype" w:eastAsia="Palatino Linotype" w:hAnsi="Palatino Linotype" w:cs="Palatino Linotype"/>
          <w:b/>
          <w:color w:val="000000" w:themeColor="text1"/>
        </w:rPr>
        <w:t>RECURRENTE</w:t>
      </w:r>
      <w:r w:rsidRPr="00921F85">
        <w:rPr>
          <w:rFonts w:ascii="Palatino Linotype" w:eastAsia="Palatino Linotype" w:hAnsi="Palatino Linotype" w:cs="Palatino Linotype"/>
          <w:color w:val="000000" w:themeColor="text1"/>
        </w:rPr>
        <w:t xml:space="preserve"> interpuso el recurso de revisión en contra de la respuesta, manifestando las siguientes razones o motivos de inconformidad:</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EF09DD" w:rsidRDefault="004A2C23" w:rsidP="00EF09DD">
      <w:pPr>
        <w:pStyle w:val="Prrafodelista"/>
        <w:numPr>
          <w:ilvl w:val="0"/>
          <w:numId w:val="7"/>
        </w:numPr>
        <w:tabs>
          <w:tab w:val="left" w:pos="0"/>
        </w:tabs>
        <w:jc w:val="both"/>
        <w:rPr>
          <w:rFonts w:ascii="Palatino Linotype" w:eastAsia="Palatino Linotype" w:hAnsi="Palatino Linotype" w:cs="Palatino Linotype"/>
          <w:color w:val="000000" w:themeColor="text1"/>
        </w:rPr>
      </w:pPr>
      <w:bookmarkStart w:id="4" w:name="_heading=h.1fob9te" w:colFirst="0" w:colLast="0"/>
      <w:bookmarkEnd w:id="4"/>
      <w:r w:rsidRPr="00EF09DD">
        <w:rPr>
          <w:rFonts w:ascii="Palatino Linotype" w:eastAsia="Palatino Linotype" w:hAnsi="Palatino Linotype" w:cs="Palatino Linotype"/>
          <w:b/>
          <w:color w:val="000000" w:themeColor="text1"/>
        </w:rPr>
        <w:t>Acto impugnado</w:t>
      </w:r>
      <w:r w:rsidRPr="00EF09DD">
        <w:rPr>
          <w:rFonts w:ascii="Palatino Linotype" w:eastAsia="Palatino Linotype" w:hAnsi="Palatino Linotype" w:cs="Palatino Linotype"/>
          <w:i/>
          <w:color w:val="000000" w:themeColor="text1"/>
        </w:rPr>
        <w:t>: “1 .- El acto impugnado es la negativa por parte del sujeto obligado, ya que no contesto a la petición de información solicitada 2.- Derivado de lo anterior solicito se le de vista al órgano del control interno del Ayuntamiento de Tultepec para que conforme a Derecho proceda a realizar la investigación correspondiente y sancione al sujeto obligado y/o sujetos obligados responsables de proporcionar la información solicitada 3.- Solicito se le de vista al INFOEM para que determine las medidas de apremio al sujeto y/o sujetos obligados responsables de proporcionar la información solicitada 4.- Solicito se le de vista a la Secretaría de la Contraloría del Gobierno del Estado de México para que sancione al sujeto obligado y/o sujetos obligados responsables de proporcionar la información solicitada” (Sic.)</w:t>
      </w:r>
    </w:p>
    <w:p w:rsidR="00894625" w:rsidRPr="00921F85" w:rsidRDefault="00894625" w:rsidP="00921F85">
      <w:pPr>
        <w:pBdr>
          <w:top w:val="nil"/>
          <w:left w:val="nil"/>
          <w:bottom w:val="nil"/>
          <w:right w:val="nil"/>
          <w:between w:val="nil"/>
        </w:pBdr>
        <w:tabs>
          <w:tab w:val="left" w:pos="0"/>
        </w:tabs>
        <w:ind w:left="567"/>
        <w:jc w:val="both"/>
        <w:rPr>
          <w:rFonts w:ascii="Palatino Linotype" w:eastAsia="Palatino Linotype" w:hAnsi="Palatino Linotype" w:cs="Palatino Linotype"/>
          <w:b/>
          <w:i/>
          <w:color w:val="000000" w:themeColor="text1"/>
        </w:rPr>
      </w:pPr>
    </w:p>
    <w:p w:rsidR="00894625" w:rsidRPr="00EF09DD" w:rsidRDefault="004A2C23" w:rsidP="00EF09DD">
      <w:pPr>
        <w:pStyle w:val="Prrafodelista"/>
        <w:numPr>
          <w:ilvl w:val="0"/>
          <w:numId w:val="7"/>
        </w:numPr>
        <w:tabs>
          <w:tab w:val="left" w:pos="0"/>
        </w:tabs>
        <w:jc w:val="both"/>
        <w:rPr>
          <w:rFonts w:ascii="Palatino Linotype" w:eastAsia="Palatino Linotype" w:hAnsi="Palatino Linotype" w:cs="Palatino Linotype"/>
          <w:i/>
          <w:color w:val="000000" w:themeColor="text1"/>
        </w:rPr>
      </w:pPr>
      <w:bookmarkStart w:id="5" w:name="_heading=h.3znysh7" w:colFirst="0" w:colLast="0"/>
      <w:bookmarkEnd w:id="5"/>
      <w:r w:rsidRPr="00EF09DD">
        <w:rPr>
          <w:rFonts w:ascii="Palatino Linotype" w:eastAsia="Palatino Linotype" w:hAnsi="Palatino Linotype" w:cs="Palatino Linotype"/>
          <w:b/>
          <w:color w:val="000000" w:themeColor="text1"/>
        </w:rPr>
        <w:t xml:space="preserve">Razones o Motivos de inconformidad: </w:t>
      </w:r>
      <w:r w:rsidRPr="00EF09DD">
        <w:rPr>
          <w:rFonts w:ascii="Palatino Linotype" w:eastAsia="Palatino Linotype" w:hAnsi="Palatino Linotype" w:cs="Palatino Linotype"/>
          <w:i/>
          <w:color w:val="000000" w:themeColor="text1"/>
        </w:rPr>
        <w:t>“La irresponsabilidad y mala fe del sujeto y/o sujetos obligados, al negarse a proporcionar la información solicitada como lo marca la ley.” (Sic.)</w:t>
      </w:r>
    </w:p>
    <w:p w:rsidR="00894625" w:rsidRPr="00921F85" w:rsidRDefault="00894625" w:rsidP="00921F85">
      <w:pPr>
        <w:tabs>
          <w:tab w:val="left" w:pos="0"/>
        </w:tabs>
        <w:jc w:val="both"/>
        <w:rPr>
          <w:rFonts w:ascii="Palatino Linotype" w:eastAsia="Palatino Linotype" w:hAnsi="Palatino Linotype" w:cs="Palatino Linotype"/>
          <w:i/>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del </w:t>
      </w:r>
      <w:r w:rsidRPr="00921F85">
        <w:rPr>
          <w:rFonts w:ascii="Palatino Linotype" w:eastAsia="Palatino Linotype" w:hAnsi="Palatino Linotype" w:cs="Palatino Linotype"/>
          <w:b/>
          <w:color w:val="000000" w:themeColor="text1"/>
        </w:rPr>
        <w:t>once de abril de dos mil veinticinco</w:t>
      </w:r>
      <w:r w:rsidRPr="00921F85">
        <w:rPr>
          <w:rFonts w:ascii="Palatino Linotype" w:eastAsia="Palatino Linotype" w:hAnsi="Palatino Linotype" w:cs="Palatino Linotype"/>
          <w:color w:val="000000" w:themeColor="text1"/>
        </w:rPr>
        <w:t xml:space="preserve">, puso a disposición de las partes el expediente electrónico vía </w:t>
      </w:r>
      <w:r w:rsidRPr="00921F85">
        <w:rPr>
          <w:rFonts w:ascii="Palatino Linotype" w:eastAsia="Palatino Linotype" w:hAnsi="Palatino Linotype" w:cs="Palatino Linotype"/>
          <w:b/>
          <w:color w:val="000000" w:themeColor="text1"/>
        </w:rPr>
        <w:t xml:space="preserve">SAIMEX </w:t>
      </w:r>
      <w:r w:rsidRPr="00921F85">
        <w:rPr>
          <w:rFonts w:ascii="Palatino Linotype" w:eastAsia="Palatino Linotype" w:hAnsi="Palatino Linotype" w:cs="Palatino Linotype"/>
          <w:color w:val="000000" w:themeColor="text1"/>
        </w:rPr>
        <w:t xml:space="preserve">a efecto de que en un plazo máximo de siete días manifestara lo que a su derecho conviniera, ofreciera pruebas y alegatos según corresponda a los casos concretos, y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presentará el Informe Justificado procedente.</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bookmarkStart w:id="6" w:name="_heading=h.2et92p0" w:colFirst="0" w:colLast="0"/>
      <w:bookmarkEnd w:id="6"/>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doce de abril y el catorce de julio de dos mil veinticinco</w:t>
      </w:r>
      <w:r w:rsidRPr="00921F85">
        <w:rPr>
          <w:rFonts w:ascii="Palatino Linotype" w:eastAsia="Palatino Linotype" w:hAnsi="Palatino Linotype" w:cs="Palatino Linotype"/>
          <w:color w:val="000000" w:themeColor="text1"/>
        </w:rPr>
        <w:t xml:space="preserve">, el </w:t>
      </w:r>
      <w:r w:rsidRPr="00921F85">
        <w:rPr>
          <w:rFonts w:ascii="Palatino Linotype" w:eastAsia="Palatino Linotype" w:hAnsi="Palatino Linotype" w:cs="Palatino Linotype"/>
          <w:b/>
          <w:color w:val="000000" w:themeColor="text1"/>
        </w:rPr>
        <w:t xml:space="preserve">SUJETO OBLIGADO </w:t>
      </w:r>
      <w:r w:rsidRPr="00921F85">
        <w:rPr>
          <w:rFonts w:ascii="Palatino Linotype" w:eastAsia="Palatino Linotype" w:hAnsi="Palatino Linotype" w:cs="Palatino Linotype"/>
          <w:color w:val="000000" w:themeColor="text1"/>
        </w:rPr>
        <w:t xml:space="preserve">rindió el informe justificado correspondiente por medio de los archivos electrónicos </w:t>
      </w:r>
      <w:r w:rsidRPr="00921F85">
        <w:rPr>
          <w:rFonts w:ascii="Palatino Linotype" w:eastAsia="Palatino Linotype" w:hAnsi="Palatino Linotype" w:cs="Palatino Linotype"/>
          <w:color w:val="000000" w:themeColor="text1"/>
        </w:rPr>
        <w:lastRenderedPageBreak/>
        <w:t xml:space="preserve">denominados </w:t>
      </w:r>
      <w:r w:rsidRPr="00921F85">
        <w:rPr>
          <w:rFonts w:ascii="Palatino Linotype" w:eastAsia="Palatino Linotype" w:hAnsi="Palatino Linotype" w:cs="Palatino Linotype"/>
          <w:b/>
          <w:color w:val="000000" w:themeColor="text1"/>
        </w:rPr>
        <w:t>TRANSPARENCIA.zip</w:t>
      </w:r>
      <w:r w:rsidRPr="00921F85">
        <w:rPr>
          <w:rFonts w:ascii="Palatino Linotype" w:eastAsia="Palatino Linotype" w:hAnsi="Palatino Linotype" w:cs="Palatino Linotype"/>
          <w:color w:val="000000" w:themeColor="text1"/>
        </w:rPr>
        <w:t xml:space="preserve"> y </w:t>
      </w:r>
      <w:r w:rsidRPr="00921F85">
        <w:rPr>
          <w:rFonts w:ascii="Palatino Linotype" w:eastAsia="Palatino Linotype" w:hAnsi="Palatino Linotype" w:cs="Palatino Linotype"/>
          <w:b/>
          <w:color w:val="000000" w:themeColor="text1"/>
        </w:rPr>
        <w:t>TRANSPARENCIA RESPUESTA DE RESOLUCIÓN.zip</w:t>
      </w:r>
      <w:r w:rsidRPr="00921F85">
        <w:rPr>
          <w:rFonts w:ascii="Palatino Linotype" w:eastAsia="Palatino Linotype" w:hAnsi="Palatino Linotype" w:cs="Palatino Linotype"/>
          <w:color w:val="000000" w:themeColor="text1"/>
        </w:rPr>
        <w:t>, consistentes en licencias de construcción, regularización de obra, constancias de terminación de obra, cédulas informativas de zonificación, licencias de uso de suelo, autorizaciones de uso de suelo, expedidas del 1 de enero al 15 de marzo de 2025, por la Dirección de Desarrollo Urbano, Ecología y Fomento Agropecuario; no obstante, el documento no fue puesto a la vista por contener datos personales susceptibles de ser clasificados como confidenciales, como lo son los “domicilios particulares”.</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Por su parte, el catorce de abril de dos mil veinticinco, la parte</w:t>
      </w:r>
      <w:r w:rsidRPr="00921F85">
        <w:rPr>
          <w:rFonts w:ascii="Palatino Linotype" w:eastAsia="Palatino Linotype" w:hAnsi="Palatino Linotype" w:cs="Palatino Linotype"/>
          <w:b/>
          <w:color w:val="000000" w:themeColor="text1"/>
        </w:rPr>
        <w:t xml:space="preserve"> RECURRENTE </w:t>
      </w:r>
      <w:r w:rsidRPr="00921F85">
        <w:rPr>
          <w:rFonts w:ascii="Palatino Linotype" w:eastAsia="Palatino Linotype" w:hAnsi="Palatino Linotype" w:cs="Palatino Linotype"/>
          <w:color w:val="000000" w:themeColor="text1"/>
        </w:rPr>
        <w:t xml:space="preserve">adjuntó el archivo electrónico </w:t>
      </w:r>
      <w:hyperlink r:id="rId8">
        <w:r w:rsidRPr="00921F85">
          <w:rPr>
            <w:rFonts w:ascii="Palatino Linotype" w:eastAsia="Palatino Linotype" w:hAnsi="Palatino Linotype" w:cs="Palatino Linotype"/>
            <w:b/>
            <w:color w:val="000000" w:themeColor="text1"/>
          </w:rPr>
          <w:t>alegatos 04093 INFOEM.docx</w:t>
        </w:r>
      </w:hyperlink>
      <w:r w:rsidRPr="00921F85">
        <w:rPr>
          <w:rFonts w:ascii="Palatino Linotype" w:eastAsia="Palatino Linotype" w:hAnsi="Palatino Linotype" w:cs="Palatino Linotype"/>
          <w:color w:val="000000" w:themeColor="text1"/>
        </w:rPr>
        <w:t xml:space="preserve"> y </w:t>
      </w:r>
      <w:hyperlink r:id="rId9">
        <w:r w:rsidRPr="00921F85">
          <w:rPr>
            <w:rFonts w:ascii="Palatino Linotype" w:eastAsia="Palatino Linotype" w:hAnsi="Palatino Linotype" w:cs="Palatino Linotype"/>
            <w:b/>
            <w:color w:val="000000" w:themeColor="text1"/>
          </w:rPr>
          <w:t>alegatos 04093 INFOEM.docx</w:t>
        </w:r>
      </w:hyperlink>
      <w:r w:rsidRPr="00921F85">
        <w:rPr>
          <w:rFonts w:ascii="Palatino Linotype" w:eastAsia="Palatino Linotype" w:hAnsi="Palatino Linotype" w:cs="Palatino Linotype"/>
          <w:color w:val="000000" w:themeColor="text1"/>
        </w:rPr>
        <w:t>, consistente en un escrito por medio del cual, manifestó la siguiente:</w:t>
      </w:r>
    </w:p>
    <w:p w:rsidR="00894625" w:rsidRPr="00921F85" w:rsidRDefault="004A2C23" w:rsidP="00921F85">
      <w:pPr>
        <w:tabs>
          <w:tab w:val="left" w:pos="0"/>
        </w:tabs>
        <w:spacing w:before="280" w:after="280"/>
        <w:ind w:left="567"/>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“A LA AUTORIDAD COMPETENTE:</w:t>
      </w:r>
    </w:p>
    <w:p w:rsidR="00894625" w:rsidRPr="00921F85" w:rsidRDefault="004A2C23" w:rsidP="00921F85">
      <w:pPr>
        <w:tabs>
          <w:tab w:val="left" w:pos="0"/>
        </w:tabs>
        <w:spacing w:before="280" w:after="280"/>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Por medio de la presente, me permito presentar los alegatos correspondientes al recurso de revisión interpuesto ante la plataforma SAIMEX, en relación con la falta de respuesta por parte del sujeto obligado a mi solicitud de información.</w:t>
      </w:r>
    </w:p>
    <w:p w:rsidR="00894625" w:rsidRPr="00921F85" w:rsidRDefault="004A2C23" w:rsidP="00921F85">
      <w:pPr>
        <w:tabs>
          <w:tab w:val="left" w:pos="0"/>
        </w:tabs>
        <w:spacing w:before="280" w:after="280"/>
        <w:ind w:left="567"/>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HECHOS:</w:t>
      </w:r>
    </w:p>
    <w:p w:rsidR="00894625" w:rsidRPr="00921F85" w:rsidRDefault="004A2C23" w:rsidP="00921F85">
      <w:pPr>
        <w:tabs>
          <w:tab w:val="left" w:pos="0"/>
        </w:tabs>
        <w:spacing w:before="280" w:after="280"/>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El 13 de marzo de 2025, presenté una solicitud de información en la plataforma SAIMEX, registrada bajo el folio 00064/TULTEPEC/IP/2025, requiriendo lo siguiente:</w:t>
      </w:r>
    </w:p>
    <w:p w:rsidR="00894625" w:rsidRPr="00921F85" w:rsidRDefault="004A2C23" w:rsidP="00921F85">
      <w:pPr>
        <w:tabs>
          <w:tab w:val="left" w:pos="0"/>
        </w:tabs>
        <w:spacing w:before="280" w:after="280"/>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"Solicito todas los cambios de uso de suelo que han sido autorizados y expedidas por la Dirección de Desarrollo Urbano, Ecología y Fomento Agropecuario, del 1 de enero de 2025 hasta la fecha de ingreso de la presente solicitud. Respetuosamente, solicito la referida información por este medio en versión pública."</w:t>
      </w:r>
    </w:p>
    <w:p w:rsidR="00894625" w:rsidRPr="00921F85" w:rsidRDefault="004A2C23" w:rsidP="00921F85">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Sin embargo, el sujeto obligado no emitió respuesta alguna dentro del plazo establecido, vulnerando con ello mi derecho de acceso a la información.</w:t>
      </w:r>
    </w:p>
    <w:p w:rsidR="00EF09DD" w:rsidRDefault="00EF09DD" w:rsidP="00921F85">
      <w:pPr>
        <w:pBdr>
          <w:top w:val="nil"/>
          <w:left w:val="nil"/>
          <w:bottom w:val="nil"/>
          <w:right w:val="nil"/>
          <w:between w:val="nil"/>
        </w:pBdr>
        <w:tabs>
          <w:tab w:val="left" w:pos="0"/>
        </w:tabs>
        <w:ind w:left="567"/>
        <w:rPr>
          <w:rFonts w:ascii="Palatino Linotype" w:eastAsia="Palatino Linotype" w:hAnsi="Palatino Linotype" w:cs="Palatino Linotype"/>
          <w:b/>
          <w:i/>
          <w:color w:val="000000" w:themeColor="text1"/>
        </w:rPr>
      </w:pPr>
    </w:p>
    <w:p w:rsidR="00EF09DD" w:rsidRDefault="00EF09DD" w:rsidP="00921F85">
      <w:pPr>
        <w:pBdr>
          <w:top w:val="nil"/>
          <w:left w:val="nil"/>
          <w:bottom w:val="nil"/>
          <w:right w:val="nil"/>
          <w:between w:val="nil"/>
        </w:pBdr>
        <w:tabs>
          <w:tab w:val="left" w:pos="0"/>
        </w:tabs>
        <w:ind w:left="567"/>
        <w:rPr>
          <w:rFonts w:ascii="Palatino Linotype" w:eastAsia="Palatino Linotype" w:hAnsi="Palatino Linotype" w:cs="Palatino Linotype"/>
          <w:b/>
          <w:i/>
          <w:color w:val="000000" w:themeColor="text1"/>
        </w:rPr>
      </w:pPr>
    </w:p>
    <w:p w:rsidR="00894625" w:rsidRPr="00921F85" w:rsidRDefault="004A2C23" w:rsidP="00921F85">
      <w:pPr>
        <w:pBdr>
          <w:top w:val="nil"/>
          <w:left w:val="nil"/>
          <w:bottom w:val="nil"/>
          <w:right w:val="nil"/>
          <w:between w:val="nil"/>
        </w:pBdr>
        <w:tabs>
          <w:tab w:val="left" w:pos="0"/>
        </w:tabs>
        <w:ind w:left="567"/>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lastRenderedPageBreak/>
        <w:t>ARGUMENTOS:</w:t>
      </w:r>
    </w:p>
    <w:p w:rsidR="00894625" w:rsidRPr="00921F85" w:rsidRDefault="004A2C23" w:rsidP="00921F85">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La falta de respuesta por parte del sujeto obligado constituye una omisión que contraviene los principios de transparencia y acceso a la información pública. De acuerdo con la normativa vigente en el Estado de México, el Instituto de Transparencia, Acceso a la Información Pública y Protección de Datos Personales (INFOEM) supervisa el cumplimiento de estas obligaciones.</w:t>
      </w:r>
    </w:p>
    <w:p w:rsidR="00894625" w:rsidRPr="00921F85" w:rsidRDefault="004A2C23" w:rsidP="00921F85">
      <w:pPr>
        <w:pBdr>
          <w:top w:val="nil"/>
          <w:left w:val="nil"/>
          <w:bottom w:val="nil"/>
          <w:right w:val="nil"/>
          <w:between w:val="nil"/>
        </w:pBd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Cuando un sujeto obligado incumple con su deber de respuesta, puede ser objeto de diversas medidas correctivas, entre ellas:</w:t>
      </w:r>
    </w:p>
    <w:p w:rsidR="00894625" w:rsidRPr="00921F85" w:rsidRDefault="004A2C23" w:rsidP="00921F85">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Requerimiento de respuesta:</w:t>
      </w:r>
      <w:r w:rsidRPr="00921F85">
        <w:rPr>
          <w:rFonts w:ascii="Palatino Linotype" w:eastAsia="Palatino Linotype" w:hAnsi="Palatino Linotype" w:cs="Palatino Linotype"/>
          <w:i/>
          <w:color w:val="000000" w:themeColor="text1"/>
        </w:rPr>
        <w:t xml:space="preserve"> Se ordena al sujeto obligado proporcionar la información solicitada.</w:t>
      </w:r>
    </w:p>
    <w:p w:rsidR="00894625" w:rsidRPr="00921F85" w:rsidRDefault="004A2C23" w:rsidP="00921F85">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Multas económicas:</w:t>
      </w:r>
      <w:r w:rsidRPr="00921F85">
        <w:rPr>
          <w:rFonts w:ascii="Palatino Linotype" w:eastAsia="Palatino Linotype" w:hAnsi="Palatino Linotype" w:cs="Palatino Linotype"/>
          <w:i/>
          <w:color w:val="000000" w:themeColor="text1"/>
        </w:rPr>
        <w:t xml:space="preserve"> En caso de incumplimiento reiterado, pueden imponerse sanciones monetarias.</w:t>
      </w:r>
    </w:p>
    <w:p w:rsidR="00894625" w:rsidRPr="00921F85" w:rsidRDefault="004A2C23" w:rsidP="00921F85">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Medidas correctivas:</w:t>
      </w:r>
      <w:r w:rsidRPr="00921F85">
        <w:rPr>
          <w:rFonts w:ascii="Palatino Linotype" w:eastAsia="Palatino Linotype" w:hAnsi="Palatino Linotype" w:cs="Palatino Linotype"/>
          <w:i/>
          <w:color w:val="000000" w:themeColor="text1"/>
        </w:rPr>
        <w:t xml:space="preserve"> Se implementan acciones para mejorar el cumplimiento de la normativa de transparencia.</w:t>
      </w:r>
    </w:p>
    <w:p w:rsidR="00894625" w:rsidRPr="00921F85" w:rsidRDefault="004A2C23" w:rsidP="00921F85">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Responsabilidad administrativa:</w:t>
      </w:r>
      <w:r w:rsidRPr="00921F85">
        <w:rPr>
          <w:rFonts w:ascii="Palatino Linotype" w:eastAsia="Palatino Linotype" w:hAnsi="Palatino Linotype" w:cs="Palatino Linotype"/>
          <w:i/>
          <w:color w:val="000000" w:themeColor="text1"/>
        </w:rPr>
        <w:t xml:space="preserve"> En casos graves, los funcionarios responsables pueden enfrentar procedimientos administrativos.</w:t>
      </w:r>
    </w:p>
    <w:p w:rsidR="00894625" w:rsidRPr="00921F85" w:rsidRDefault="004A2C23" w:rsidP="00921F85">
      <w:pPr>
        <w:numPr>
          <w:ilvl w:val="0"/>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Derecho de acceso a la información pública:</w:t>
      </w:r>
    </w:p>
    <w:p w:rsidR="00894625" w:rsidRPr="00921F85" w:rsidRDefault="004A2C23" w:rsidP="00921F85">
      <w:pPr>
        <w:numPr>
          <w:ilvl w:val="1"/>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El artículo 6 de la Constitución Política de los Estados Unidos Mexicanos establece que toda persona tiene derecho al acceso a la información pública.</w:t>
      </w:r>
    </w:p>
    <w:p w:rsidR="00894625" w:rsidRPr="00921F85" w:rsidRDefault="004A2C23" w:rsidP="00921F85">
      <w:pPr>
        <w:numPr>
          <w:ilvl w:val="1"/>
          <w:numId w:val="3"/>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La Ley de Transparencia y Acceso a la Información Pública del Estado de México y Municipios garantiza este derecho y obliga a los sujetos obligados a responder en tiempo y forma a las solicitudes de información.</w:t>
      </w:r>
    </w:p>
    <w:p w:rsidR="00894625" w:rsidRPr="00921F85" w:rsidRDefault="004A2C23" w:rsidP="00921F85">
      <w:pPr>
        <w:pBdr>
          <w:top w:val="nil"/>
          <w:left w:val="nil"/>
          <w:bottom w:val="nil"/>
          <w:right w:val="nil"/>
          <w:between w:val="nil"/>
        </w:pBdr>
        <w:tabs>
          <w:tab w:val="left" w:pos="0"/>
        </w:tabs>
        <w:ind w:left="567"/>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Por lo anteriormente expuesto, solicito que:</w:t>
      </w:r>
    </w:p>
    <w:p w:rsidR="00894625" w:rsidRPr="00921F85" w:rsidRDefault="004A2C23" w:rsidP="00921F85">
      <w:pPr>
        <w:numPr>
          <w:ilvl w:val="0"/>
          <w:numId w:val="4"/>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Se reconsideren los argumentos presentados y se proporcione la información requerida conforme a la legislación aplicable.</w:t>
      </w:r>
    </w:p>
    <w:p w:rsidR="00894625" w:rsidRPr="00921F85" w:rsidRDefault="004A2C23" w:rsidP="00921F85">
      <w:pPr>
        <w:numPr>
          <w:ilvl w:val="0"/>
          <w:numId w:val="4"/>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Se dé vista al órgano de control interno del Ayuntamiento de Tultepec, para que con forme a Derecho proceda a realizar la investigación correspondiente y sancione al sujeto obligado y/o sujetos obligados responsable de proporcionar la información solicitada.</w:t>
      </w:r>
    </w:p>
    <w:p w:rsidR="00894625" w:rsidRPr="00921F85" w:rsidRDefault="004A2C23" w:rsidP="00921F85">
      <w:pPr>
        <w:numPr>
          <w:ilvl w:val="0"/>
          <w:numId w:val="4"/>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Se dé vista a la Secretaría de la Contraloría del Estado de México, para que con forme a Derecho proceda a realizar la investigación correspondiente y sancione al sujeto obligado y/o sujetos obligados responsable de proporcionar la información solicitada.</w:t>
      </w:r>
    </w:p>
    <w:p w:rsidR="00894625" w:rsidRPr="00921F85" w:rsidRDefault="004A2C23" w:rsidP="00921F85">
      <w:pPr>
        <w:numPr>
          <w:ilvl w:val="0"/>
          <w:numId w:val="4"/>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Se notifique al Instituto de Transparencia, Acceso a la Información Pública y Protección de Datos Personales del Estado de México y Municipios (INFOEM) la negativa por parte del sujeto obligado y/o sujetos obligados, para que determine las medidas de apremio y sea sancionado.</w:t>
      </w:r>
    </w:p>
    <w:p w:rsidR="00894625" w:rsidRPr="00921F85" w:rsidRDefault="004A2C23" w:rsidP="00921F85">
      <w:pPr>
        <w:numPr>
          <w:ilvl w:val="0"/>
          <w:numId w:val="4"/>
        </w:numPr>
        <w:pBdr>
          <w:top w:val="nil"/>
          <w:left w:val="nil"/>
          <w:bottom w:val="nil"/>
          <w:right w:val="nil"/>
          <w:between w:val="nil"/>
        </w:pBdr>
        <w:tabs>
          <w:tab w:val="left" w:pos="0"/>
        </w:tabs>
        <w:ind w:left="567" w:firstLine="0"/>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 xml:space="preserve">Por ultimo solicito que el sujeto obligado sea sancionado por su reincidencia e irresponsabilidad ya que el que suscribe tiene las siguientes solicitudes </w:t>
      </w:r>
      <w:r w:rsidRPr="00921F85">
        <w:rPr>
          <w:rFonts w:ascii="Palatino Linotype" w:eastAsia="Palatino Linotype" w:hAnsi="Palatino Linotype" w:cs="Palatino Linotype"/>
          <w:i/>
          <w:color w:val="000000" w:themeColor="text1"/>
        </w:rPr>
        <w:lastRenderedPageBreak/>
        <w:t>00063/TULTEPEC/IP/2025, 00064/TULTEPEC/IP/2025, 00054/TULTEPEC/IP/2025, 00056/TULTEPEC/IP/2025, 00057/TULTEPEC/IP/2025, 00058/TULTEPEC/IP/2025, 00059/TULTEPEC/IP/2025, 00060/TULTEPEC/IP/2025, 00061/TULTEPEC/IP/2025,                                            00062/TULTEPEC/IP/2025, todas ellas se encuentran en el mismo estatus que guarda el presente asunto.” (Sic)</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catorce de julio de dos mil veinticinco</w:t>
      </w:r>
      <w:r w:rsidRPr="00921F85">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Finalmente, mediante acuerdo del </w:t>
      </w:r>
      <w:r w:rsidRPr="00921F85">
        <w:rPr>
          <w:rFonts w:ascii="Palatino Linotype" w:eastAsia="Palatino Linotype" w:hAnsi="Palatino Linotype" w:cs="Palatino Linotype"/>
          <w:b/>
          <w:color w:val="000000" w:themeColor="text1"/>
        </w:rPr>
        <w:t>diez de septiembre</w:t>
      </w:r>
      <w:r w:rsidRPr="00921F85">
        <w:rPr>
          <w:rFonts w:ascii="Palatino Linotype" w:eastAsia="Palatino Linotype" w:hAnsi="Palatino Linotype" w:cs="Palatino Linotype"/>
          <w:color w:val="000000" w:themeColor="text1"/>
        </w:rPr>
        <w:t xml:space="preserve"> </w:t>
      </w:r>
      <w:r w:rsidRPr="00921F85">
        <w:rPr>
          <w:rFonts w:ascii="Palatino Linotype" w:eastAsia="Palatino Linotype" w:hAnsi="Palatino Linotype" w:cs="Palatino Linotype"/>
          <w:b/>
          <w:color w:val="000000" w:themeColor="text1"/>
        </w:rPr>
        <w:t>de dos mil veinticinco</w:t>
      </w:r>
      <w:r w:rsidRPr="00921F85">
        <w:rPr>
          <w:rFonts w:ascii="Palatino Linotype" w:eastAsia="Palatino Linotype" w:hAnsi="Palatino Linotype" w:cs="Palatino Linotype"/>
          <w:color w:val="000000" w:themeColor="text1"/>
        </w:rPr>
        <w:t>, se decretó el cierre de instrucción, por lo que no habiendo más que hacer constar, y</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pStyle w:val="Ttulo1"/>
        <w:tabs>
          <w:tab w:val="left" w:pos="0"/>
          <w:tab w:val="left" w:pos="567"/>
        </w:tabs>
        <w:spacing w:before="0" w:line="360" w:lineRule="auto"/>
        <w:jc w:val="center"/>
        <w:rPr>
          <w:color w:val="000000" w:themeColor="text1"/>
        </w:rPr>
      </w:pPr>
      <w:bookmarkStart w:id="7" w:name="_heading=h.tyjcwt" w:colFirst="0" w:colLast="0"/>
      <w:bookmarkEnd w:id="7"/>
      <w:r w:rsidRPr="00921F85">
        <w:rPr>
          <w:color w:val="000000" w:themeColor="text1"/>
        </w:rPr>
        <w:t>C O N S I D E R A N D O</w:t>
      </w:r>
    </w:p>
    <w:p w:rsidR="00894625" w:rsidRPr="00921F85" w:rsidRDefault="00894625" w:rsidP="00921F85">
      <w:pPr>
        <w:tabs>
          <w:tab w:val="left" w:pos="0"/>
        </w:tabs>
        <w:spacing w:line="360" w:lineRule="auto"/>
        <w:rPr>
          <w:rFonts w:ascii="Palatino Linotype" w:eastAsia="Palatino Linotype" w:hAnsi="Palatino Linotype" w:cs="Palatino Linotype"/>
          <w:color w:val="000000" w:themeColor="text1"/>
        </w:rPr>
      </w:pPr>
    </w:p>
    <w:p w:rsidR="00894625" w:rsidRPr="00921F85" w:rsidRDefault="004A2C23" w:rsidP="00921F85">
      <w:pPr>
        <w:pStyle w:val="Ttulo1"/>
        <w:tabs>
          <w:tab w:val="left" w:pos="0"/>
          <w:tab w:val="left" w:pos="567"/>
        </w:tabs>
        <w:spacing w:before="0" w:line="360" w:lineRule="auto"/>
        <w:rPr>
          <w:color w:val="000000" w:themeColor="text1"/>
        </w:rPr>
      </w:pPr>
      <w:bookmarkStart w:id="8" w:name="_heading=h.3dy6vkm" w:colFirst="0" w:colLast="0"/>
      <w:bookmarkEnd w:id="8"/>
      <w:r w:rsidRPr="00921F85">
        <w:rPr>
          <w:color w:val="000000" w:themeColor="text1"/>
        </w:rPr>
        <w:t>PRIMERO. De la competencia</w:t>
      </w:r>
    </w:p>
    <w:p w:rsidR="00894625" w:rsidRPr="00921F85" w:rsidRDefault="004A2C23" w:rsidP="00921F85">
      <w:pPr>
        <w:numPr>
          <w:ilvl w:val="0"/>
          <w:numId w:val="1"/>
        </w:num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 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894625" w:rsidRPr="00921F85" w:rsidRDefault="00894625" w:rsidP="00921F85">
      <w:pPr>
        <w:pBdr>
          <w:top w:val="nil"/>
          <w:left w:val="nil"/>
          <w:bottom w:val="nil"/>
          <w:right w:val="nil"/>
          <w:between w:val="nil"/>
        </w:pBdr>
        <w:tabs>
          <w:tab w:val="left" w:pos="0"/>
          <w:tab w:val="left" w:pos="426"/>
          <w:tab w:val="left" w:pos="567"/>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pStyle w:val="Ttulo2"/>
        <w:tabs>
          <w:tab w:val="left" w:pos="0"/>
        </w:tabs>
        <w:spacing w:before="0" w:line="360" w:lineRule="auto"/>
        <w:rPr>
          <w:color w:val="000000" w:themeColor="text1"/>
        </w:rPr>
      </w:pPr>
      <w:bookmarkStart w:id="9" w:name="_heading=h.1t3h5sf" w:colFirst="0" w:colLast="0"/>
      <w:bookmarkEnd w:id="9"/>
      <w:r w:rsidRPr="00921F85">
        <w:rPr>
          <w:color w:val="000000" w:themeColor="text1"/>
        </w:rPr>
        <w:lastRenderedPageBreak/>
        <w:t>SEGUNDO. De la oportunidad y procedencia.</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Es de precisar que la Ley de Transparencia y Acceso a la Información Pública del Estado de México y Municipios, en el artículo 178 describe la procedencia del recurso de revisión, asimismo señala que el plazo del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Por ende, se constituye la figura jurídica de la </w:t>
      </w:r>
      <w:r w:rsidRPr="00921F85">
        <w:rPr>
          <w:rFonts w:ascii="Palatino Linotype" w:eastAsia="Palatino Linotype" w:hAnsi="Palatino Linotype" w:cs="Palatino Linotype"/>
          <w:i/>
          <w:color w:val="000000" w:themeColor="text1"/>
        </w:rPr>
        <w:t>negativa ficta</w:t>
      </w:r>
      <w:r w:rsidRPr="00921F85">
        <w:rPr>
          <w:rFonts w:ascii="Palatino Linotype" w:eastAsia="Palatino Linotype" w:hAnsi="Palatino Linotype" w:cs="Palatino Linotype"/>
          <w:color w:val="000000" w:themeColor="text1"/>
        </w:rPr>
        <w:t xml:space="preserve">, cuya esencia es atribuir un efecto negativo al silencio de la autoridad administrativa frente a las instancias y solicitudes que hagan los particulares, lo cual encuentra sustento en lo que establece el artículo </w:t>
      </w:r>
      <w:r w:rsidRPr="00921F85">
        <w:rPr>
          <w:rFonts w:ascii="Palatino Linotype" w:eastAsia="Palatino Linotype" w:hAnsi="Palatino Linotype" w:cs="Palatino Linotype"/>
          <w:b/>
          <w:color w:val="000000" w:themeColor="text1"/>
        </w:rPr>
        <w:t>178</w:t>
      </w:r>
      <w:r w:rsidRPr="00921F85">
        <w:rPr>
          <w:rFonts w:ascii="Palatino Linotype" w:eastAsia="Palatino Linotype" w:hAnsi="Palatino Linotype" w:cs="Palatino Linotype"/>
          <w:color w:val="000000" w:themeColor="text1"/>
        </w:rPr>
        <w:t xml:space="preserve"> segundo párrafo de </w:t>
      </w:r>
      <w:r w:rsidRPr="00921F85">
        <w:rPr>
          <w:rFonts w:ascii="Palatino Linotype" w:eastAsia="Palatino Linotype" w:hAnsi="Palatino Linotype" w:cs="Palatino Linotype"/>
          <w:b/>
          <w:color w:val="000000" w:themeColor="text1"/>
        </w:rPr>
        <w:t>Ley de Transparencia y Acceso a la Información Pública del Estado de México y Municipios</w:t>
      </w:r>
      <w:r w:rsidRPr="00921F85">
        <w:rPr>
          <w:rFonts w:ascii="Palatino Linotype" w:eastAsia="Palatino Linotype" w:hAnsi="Palatino Linotype" w:cs="Palatino Linotype"/>
          <w:color w:val="000000" w:themeColor="text1"/>
          <w:highlight w:val="white"/>
        </w:rPr>
        <w:t xml:space="preserve">, que dispone; ante la falta de respuesta del </w:t>
      </w:r>
      <w:r w:rsidRPr="00921F85">
        <w:rPr>
          <w:rFonts w:ascii="Palatino Linotype" w:eastAsia="Palatino Linotype" w:hAnsi="Palatino Linotype" w:cs="Palatino Linotype"/>
          <w:b/>
          <w:color w:val="000000" w:themeColor="text1"/>
          <w:highlight w:val="white"/>
        </w:rPr>
        <w:t>SUJETO OBLIGADO,</w:t>
      </w:r>
      <w:r w:rsidRPr="00921F85">
        <w:rPr>
          <w:rFonts w:ascii="Palatino Linotype" w:eastAsia="Palatino Linotype" w:hAnsi="Palatino Linotype" w:cs="Palatino Linotype"/>
          <w:color w:val="000000" w:themeColor="text1"/>
          <w:highlight w:val="white"/>
        </w:rPr>
        <w:t xml:space="preserve"> dentro de los plazos establecidos en esta Ley, a una solicitud de acceso a la información pública, el recurso </w:t>
      </w:r>
      <w:r w:rsidRPr="00921F85">
        <w:rPr>
          <w:rFonts w:ascii="Palatino Linotype" w:eastAsia="Palatino Linotype" w:hAnsi="Palatino Linotype" w:cs="Palatino Linotype"/>
          <w:b/>
          <w:color w:val="000000" w:themeColor="text1"/>
          <w:highlight w:val="white"/>
        </w:rPr>
        <w:t>podrá ser interpuesto en cualquier momento.</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Por lo que, tratándose de la </w:t>
      </w:r>
      <w:r w:rsidRPr="00921F85">
        <w:rPr>
          <w:rFonts w:ascii="Palatino Linotype" w:eastAsia="Palatino Linotype" w:hAnsi="Palatino Linotype" w:cs="Palatino Linotype"/>
          <w:i/>
          <w:color w:val="000000" w:themeColor="text1"/>
        </w:rPr>
        <w:t>negativa ficta</w:t>
      </w:r>
      <w:r w:rsidRPr="00921F85">
        <w:rPr>
          <w:rFonts w:ascii="Palatino Linotype" w:eastAsia="Palatino Linotype" w:hAnsi="Palatino Linotype" w:cs="Palatino Linotype"/>
          <w:color w:val="000000" w:themeColor="text1"/>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w:t>
      </w:r>
      <w:r w:rsidRPr="00921F85">
        <w:rPr>
          <w:rFonts w:ascii="Palatino Linotype" w:eastAsia="Palatino Linotype" w:hAnsi="Palatino Linotype" w:cs="Palatino Linotype"/>
          <w:color w:val="000000" w:themeColor="text1"/>
        </w:rPr>
        <w:lastRenderedPageBreak/>
        <w:t xml:space="preserve">de dos mil quince, relativo a la interposición del recurso de revisión en cualquier tiempo cuando exista </w:t>
      </w:r>
      <w:r w:rsidRPr="00921F85">
        <w:rPr>
          <w:rFonts w:ascii="Palatino Linotype" w:eastAsia="Palatino Linotype" w:hAnsi="Palatino Linotype" w:cs="Palatino Linotype"/>
          <w:i/>
          <w:color w:val="000000" w:themeColor="text1"/>
        </w:rPr>
        <w:t>negativa ficta</w:t>
      </w:r>
      <w:r w:rsidRPr="00921F85">
        <w:rPr>
          <w:rFonts w:ascii="Palatino Linotype" w:eastAsia="Palatino Linotype" w:hAnsi="Palatino Linotype" w:cs="Palatino Linotype"/>
          <w:color w:val="000000" w:themeColor="text1"/>
        </w:rPr>
        <w:t>, que señala:</w:t>
      </w:r>
    </w:p>
    <w:p w:rsidR="00894625" w:rsidRPr="00921F85" w:rsidRDefault="004A2C23" w:rsidP="00921F85">
      <w:pPr>
        <w:tabs>
          <w:tab w:val="left" w:pos="0"/>
          <w:tab w:val="left" w:pos="7655"/>
        </w:tabs>
        <w:spacing w:before="240" w:after="240"/>
        <w:ind w:left="567"/>
        <w:jc w:val="center"/>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Criterio 0001-15</w:t>
      </w:r>
    </w:p>
    <w:p w:rsidR="00894625" w:rsidRPr="00921F85" w:rsidRDefault="004A2C23" w:rsidP="00921F85">
      <w:pPr>
        <w:tabs>
          <w:tab w:val="left" w:pos="0"/>
        </w:tabs>
        <w:ind w:left="567"/>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b/>
          <w:i/>
          <w:color w:val="000000" w:themeColor="text1"/>
        </w:rPr>
        <w:t>NEGATIVA FICTA. PLAZO PARA INTERPONER EL RECURSO DE REVISIÓN TRATÁNDOSE DE.</w:t>
      </w:r>
      <w:r w:rsidRPr="00921F85">
        <w:rPr>
          <w:rFonts w:ascii="Palatino Linotype" w:eastAsia="Palatino Linotype" w:hAnsi="Palatino Linotype" w:cs="Palatino Linotype"/>
          <w:i/>
          <w:color w:val="000000" w:themeColor="text1"/>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Lo anterior, se explica porque la </w:t>
      </w:r>
      <w:r w:rsidRPr="00921F85">
        <w:rPr>
          <w:rFonts w:ascii="Palatino Linotype" w:eastAsia="Palatino Linotype" w:hAnsi="Palatino Linotype" w:cs="Palatino Linotype"/>
          <w:b/>
          <w:color w:val="000000" w:themeColor="text1"/>
          <w:u w:val="single"/>
        </w:rPr>
        <w:t>posible ausencia</w:t>
      </w:r>
      <w:r w:rsidRPr="00921F85">
        <w:rPr>
          <w:rFonts w:ascii="Palatino Linotype" w:eastAsia="Palatino Linotype" w:hAnsi="Palatino Linotype" w:cs="Palatino Linotype"/>
          <w:color w:val="000000" w:themeColor="text1"/>
        </w:rPr>
        <w:t xml:space="preserve"> de una respuesta en la solicitud constituye un acto que vulnera el derecho de manera continua y actualizable cada día en tanto, no se emita la respuesta a la que esté impuesto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pStyle w:val="Ttulo1"/>
        <w:tabs>
          <w:tab w:val="left" w:pos="0"/>
        </w:tabs>
        <w:spacing w:before="0" w:line="360" w:lineRule="auto"/>
        <w:rPr>
          <w:color w:val="000000" w:themeColor="text1"/>
        </w:rPr>
      </w:pPr>
      <w:r w:rsidRPr="00921F85">
        <w:rPr>
          <w:color w:val="000000" w:themeColor="text1"/>
        </w:rPr>
        <w:lastRenderedPageBreak/>
        <w:t xml:space="preserve">TERCERO. Del planteamiento de la </w:t>
      </w:r>
      <w:r w:rsidRPr="00921F85">
        <w:rPr>
          <w:i/>
          <w:color w:val="000000" w:themeColor="text1"/>
        </w:rPr>
        <w:t>Litis</w:t>
      </w:r>
      <w:r w:rsidRPr="00921F85">
        <w:rPr>
          <w:color w:val="000000" w:themeColor="text1"/>
        </w:rPr>
        <w:t>.</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La parte </w:t>
      </w:r>
      <w:r w:rsidRPr="00921F85">
        <w:rPr>
          <w:rFonts w:ascii="Palatino Linotype" w:eastAsia="Palatino Linotype" w:hAnsi="Palatino Linotype" w:cs="Palatino Linotype"/>
          <w:b/>
          <w:color w:val="000000" w:themeColor="text1"/>
        </w:rPr>
        <w:t>RECURRENTE</w:t>
      </w:r>
      <w:r w:rsidRPr="00921F85">
        <w:rPr>
          <w:rFonts w:ascii="Palatino Linotype" w:eastAsia="Palatino Linotype" w:hAnsi="Palatino Linotype" w:cs="Palatino Linotype"/>
          <w:color w:val="000000" w:themeColor="text1"/>
        </w:rPr>
        <w:t xml:space="preserve"> solicitó todos los cambios de uso de suelo que han sido autorizados y expedidos por la Dirección de Desarrollo Urbano, Ecología y Fomento Agropecuario del 1 de enero a 13 de marzo de 2025.</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fue omiso en emitir respuesta a la solicitud de información; motivo de inconformidad del </w:t>
      </w:r>
      <w:r w:rsidRPr="00921F85">
        <w:rPr>
          <w:rFonts w:ascii="Palatino Linotype" w:eastAsia="Palatino Linotype" w:hAnsi="Palatino Linotype" w:cs="Palatino Linotype"/>
          <w:b/>
          <w:color w:val="000000" w:themeColor="text1"/>
        </w:rPr>
        <w:t>RECURRENTE.</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color w:val="000000" w:themeColor="text1"/>
        </w:rPr>
        <w:t xml:space="preserve">En dichas condiciones, la </w:t>
      </w:r>
      <w:r w:rsidRPr="00921F85">
        <w:rPr>
          <w:rFonts w:ascii="Palatino Linotype" w:eastAsia="Palatino Linotype" w:hAnsi="Palatino Linotype" w:cs="Palatino Linotype"/>
          <w:i/>
          <w:color w:val="000000" w:themeColor="text1"/>
        </w:rPr>
        <w:t>Litis</w:t>
      </w:r>
      <w:r w:rsidRPr="00921F85">
        <w:rPr>
          <w:rFonts w:ascii="Palatino Linotype" w:eastAsia="Palatino Linotype" w:hAnsi="Palatino Linotype" w:cs="Palatino Linotype"/>
          <w:color w:val="000000" w:themeColor="text1"/>
        </w:rPr>
        <w:t xml:space="preserve"> a resolver en el presente recurso de revisión se circunscribe a determinar si se actualizan la causal de procedencia prevista en el artículo 179, fracción</w:t>
      </w:r>
      <w:r w:rsidRPr="00921F85">
        <w:rPr>
          <w:rFonts w:ascii="Palatino Linotype" w:eastAsia="Palatino Linotype" w:hAnsi="Palatino Linotype" w:cs="Palatino Linotype"/>
          <w:b/>
          <w:color w:val="000000" w:themeColor="text1"/>
        </w:rPr>
        <w:t xml:space="preserve"> I </w:t>
      </w:r>
      <w:r w:rsidRPr="00921F85">
        <w:rPr>
          <w:rFonts w:ascii="Palatino Linotype" w:eastAsia="Palatino Linotype" w:hAnsi="Palatino Linotype" w:cs="Palatino Linotype"/>
          <w:color w:val="000000" w:themeColor="text1"/>
        </w:rPr>
        <w:t xml:space="preserve">de la </w:t>
      </w:r>
      <w:r w:rsidRPr="00921F85">
        <w:rPr>
          <w:rFonts w:ascii="Palatino Linotype" w:eastAsia="Palatino Linotype" w:hAnsi="Palatino Linotype" w:cs="Palatino Linotype"/>
          <w:b/>
          <w:color w:val="000000" w:themeColor="text1"/>
        </w:rPr>
        <w:t>Ley de Transparencia y Acceso a la Información Pública del Estado de México y Municipios</w:t>
      </w:r>
      <w:r w:rsidRPr="00921F85">
        <w:rPr>
          <w:rFonts w:ascii="Palatino Linotype" w:eastAsia="Palatino Linotype" w:hAnsi="Palatino Linotype" w:cs="Palatino Linotype"/>
          <w:color w:val="000000" w:themeColor="text1"/>
        </w:rPr>
        <w:t>.</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rPr>
      </w:pPr>
    </w:p>
    <w:p w:rsidR="00894625" w:rsidRPr="00921F85" w:rsidRDefault="004A2C23" w:rsidP="00921F85">
      <w:pPr>
        <w:pStyle w:val="Ttulo1"/>
        <w:tabs>
          <w:tab w:val="left" w:pos="0"/>
        </w:tabs>
        <w:spacing w:before="0" w:line="360" w:lineRule="auto"/>
        <w:rPr>
          <w:color w:val="000000" w:themeColor="text1"/>
        </w:rPr>
      </w:pPr>
      <w:r w:rsidRPr="00921F85">
        <w:rPr>
          <w:color w:val="000000" w:themeColor="text1"/>
        </w:rPr>
        <w:t>CUARTO. Del estudio y resolución del asunto.</w:t>
      </w:r>
    </w:p>
    <w:p w:rsidR="00894625" w:rsidRPr="00921F85" w:rsidRDefault="004A2C23" w:rsidP="00EF09DD">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Acotada la </w:t>
      </w:r>
      <w:r w:rsidRPr="00921F85">
        <w:rPr>
          <w:rFonts w:ascii="Palatino Linotype" w:eastAsia="Palatino Linotype" w:hAnsi="Palatino Linotype" w:cs="Palatino Linotype"/>
          <w:i/>
          <w:color w:val="000000" w:themeColor="text1"/>
        </w:rPr>
        <w:t>Litis</w:t>
      </w:r>
      <w:r w:rsidRPr="00921F85">
        <w:rPr>
          <w:rFonts w:ascii="Palatino Linotype" w:eastAsia="Palatino Linotype" w:hAnsi="Palatino Linotype" w:cs="Palatino Linotype"/>
          <w:color w:val="000000" w:themeColor="text1"/>
        </w:rPr>
        <w:t xml:space="preserve"> del asunto de mérito, es dable puntualizar inicialmente en términos generales, que 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rsidR="00894625" w:rsidRPr="00921F85" w:rsidRDefault="00894625" w:rsidP="00EF09DD">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 xml:space="preserve">Definiendo el Derecho de Acceso a la Información Pública como: </w:t>
      </w:r>
      <w:r w:rsidRPr="00921F85">
        <w:rPr>
          <w:rFonts w:ascii="Palatino Linotype" w:eastAsia="Palatino Linotype" w:hAnsi="Palatino Linotype" w:cs="Palatino Linotype"/>
          <w:i/>
          <w:color w:val="000000" w:themeColor="text1"/>
        </w:rPr>
        <w:t xml:space="preserve">La igualdad de </w:t>
      </w:r>
      <w:r w:rsidRPr="00921F85">
        <w:rPr>
          <w:rFonts w:ascii="Palatino Linotype" w:eastAsia="Palatino Linotype" w:hAnsi="Palatino Linotype" w:cs="Palatino Linotype"/>
          <w:color w:val="000000" w:themeColor="text1"/>
        </w:rPr>
        <w:t>oportunidades</w:t>
      </w:r>
      <w:r w:rsidRPr="00921F85">
        <w:rPr>
          <w:rFonts w:ascii="Palatino Linotype" w:eastAsia="Palatino Linotype" w:hAnsi="Palatino Linotype" w:cs="Palatino Linotype"/>
          <w:i/>
          <w:color w:val="000000" w:themeColor="text1"/>
        </w:rPr>
        <w:t xml:space="preserve"> para recibir, buscar e impartir información</w:t>
      </w:r>
      <w:r w:rsidRPr="00921F85">
        <w:rPr>
          <w:rFonts w:ascii="Palatino Linotype" w:eastAsia="Palatino Linotype" w:hAnsi="Palatino Linotype" w:cs="Palatino Linotype"/>
          <w:i/>
          <w:color w:val="000000" w:themeColor="text1"/>
          <w:vertAlign w:val="superscript"/>
        </w:rPr>
        <w:footnoteReference w:id="1"/>
      </w:r>
      <w:r w:rsidRPr="00921F8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1F85">
        <w:rPr>
          <w:rFonts w:ascii="Palatino Linotype" w:eastAsia="Palatino Linotype" w:hAnsi="Palatino Linotype" w:cs="Palatino Linotype"/>
          <w:i/>
          <w:color w:val="000000" w:themeColor="text1"/>
          <w:vertAlign w:val="superscript"/>
        </w:rPr>
        <w:footnoteReference w:id="2"/>
      </w:r>
      <w:r w:rsidRPr="00921F85">
        <w:rPr>
          <w:rFonts w:ascii="Palatino Linotype" w:eastAsia="Palatino Linotype" w:hAnsi="Palatino Linotype" w:cs="Palatino Linotype"/>
          <w:color w:val="000000" w:themeColor="text1"/>
        </w:rPr>
        <w:t>que se constituye como una herramienta fundamental para ejercer</w:t>
      </w:r>
      <w:r w:rsidRPr="00921F8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21F85">
        <w:rPr>
          <w:rFonts w:ascii="Palatino Linotype" w:eastAsia="Palatino Linotype" w:hAnsi="Palatino Linotype" w:cs="Palatino Linotype"/>
          <w:i/>
          <w:color w:val="000000" w:themeColor="text1"/>
          <w:vertAlign w:val="superscript"/>
        </w:rPr>
        <w:footnoteReference w:id="3"/>
      </w:r>
      <w:r w:rsidRPr="00921F85">
        <w:rPr>
          <w:rFonts w:ascii="Palatino Linotype" w:eastAsia="Palatino Linotype" w:hAnsi="Palatino Linotype" w:cs="Palatino Linotype"/>
          <w:color w:val="000000" w:themeColor="text1"/>
        </w:rPr>
        <w:t>fomentando</w:t>
      </w:r>
      <w:r w:rsidRPr="00921F85">
        <w:rPr>
          <w:rFonts w:ascii="Palatino Linotype" w:eastAsia="Palatino Linotype" w:hAnsi="Palatino Linotype" w:cs="Palatino Linotype"/>
          <w:i/>
          <w:color w:val="000000" w:themeColor="text1"/>
        </w:rPr>
        <w:t xml:space="preserve"> la transparencia de las actividades estatales y </w:t>
      </w:r>
      <w:r w:rsidRPr="00921F85">
        <w:rPr>
          <w:rFonts w:ascii="Palatino Linotype" w:eastAsia="Palatino Linotype" w:hAnsi="Palatino Linotype" w:cs="Palatino Linotype"/>
          <w:color w:val="000000" w:themeColor="text1"/>
        </w:rPr>
        <w:t>promoviendo</w:t>
      </w:r>
      <w:r w:rsidRPr="00921F85">
        <w:rPr>
          <w:rFonts w:ascii="Palatino Linotype" w:eastAsia="Palatino Linotype" w:hAnsi="Palatino Linotype" w:cs="Palatino Linotype"/>
          <w:i/>
          <w:color w:val="000000" w:themeColor="text1"/>
        </w:rPr>
        <w:t xml:space="preserve"> la responsabilidad de los funcionarios sobre su gestión pública,</w:t>
      </w:r>
      <w:r w:rsidRPr="00921F85">
        <w:rPr>
          <w:rFonts w:ascii="Palatino Linotype" w:eastAsia="Palatino Linotype" w:hAnsi="Palatino Linotype" w:cs="Palatino Linotype"/>
          <w:i/>
          <w:color w:val="000000" w:themeColor="text1"/>
          <w:vertAlign w:val="superscript"/>
        </w:rPr>
        <w:footnoteReference w:id="4"/>
      </w:r>
      <w:r w:rsidRPr="00921F85">
        <w:rPr>
          <w:rFonts w:ascii="Palatino Linotype" w:eastAsia="Palatino Linotype" w:hAnsi="Palatino Linotype" w:cs="Palatino Linotype"/>
          <w:color w:val="000000" w:themeColor="text1"/>
        </w:rPr>
        <w:t>que permite</w:t>
      </w:r>
      <w:r w:rsidRPr="00921F8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894625" w:rsidRPr="00921F85" w:rsidRDefault="00894625" w:rsidP="00921F85">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r w:rsidRPr="00921F85">
        <w:rPr>
          <w:rFonts w:ascii="Palatino Linotype" w:eastAsia="Palatino Linotype" w:hAnsi="Palatino Linotype" w:cs="Palatino Linotype"/>
          <w:b/>
          <w:i/>
          <w:color w:val="000000" w:themeColor="text1"/>
        </w:rPr>
        <w:t>Artículo 1.-</w:t>
      </w:r>
      <w:r w:rsidRPr="00921F85">
        <w:rPr>
          <w:rFonts w:ascii="Palatino Linotype" w:eastAsia="Palatino Linotype" w:hAnsi="Palatino Linotype" w:cs="Palatino Linotype"/>
          <w:i/>
          <w:color w:val="000000" w:themeColor="text1"/>
        </w:rPr>
        <w:t xml:space="preserve"> </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Todas las</w:t>
      </w:r>
      <w:r w:rsidRPr="00921F85">
        <w:rPr>
          <w:rFonts w:ascii="Palatino Linotype" w:eastAsia="Palatino Linotype" w:hAnsi="Palatino Linotype" w:cs="Palatino Linotype"/>
          <w:color w:val="000000" w:themeColor="text1"/>
        </w:rPr>
        <w:t xml:space="preserve"> </w:t>
      </w:r>
      <w:r w:rsidRPr="00921F8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94625" w:rsidRPr="00921F85" w:rsidRDefault="004A2C23" w:rsidP="00921F85">
      <w:pPr>
        <w:tabs>
          <w:tab w:val="left" w:pos="0"/>
        </w:tabs>
        <w:ind w:left="567"/>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i/>
          <w:color w:val="000000" w:themeColor="text1"/>
        </w:rPr>
        <w:t>(…)</w:t>
      </w:r>
      <w:r w:rsidRPr="00921F85">
        <w:rPr>
          <w:rFonts w:ascii="Palatino Linotype" w:eastAsia="Palatino Linotype" w:hAnsi="Palatino Linotype" w:cs="Palatino Linotype"/>
          <w:color w:val="000000" w:themeColor="text1"/>
        </w:rPr>
        <w:t>”</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lastRenderedPageBreak/>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Constitución Política de los Estados Unidos Mexicanos</w:t>
      </w:r>
    </w:p>
    <w:p w:rsidR="00894625" w:rsidRPr="00921F85" w:rsidRDefault="00894625" w:rsidP="00921F85">
      <w:pPr>
        <w:tabs>
          <w:tab w:val="left" w:pos="0"/>
        </w:tabs>
        <w:ind w:left="567"/>
        <w:jc w:val="both"/>
        <w:rPr>
          <w:rFonts w:ascii="Palatino Linotype" w:eastAsia="Palatino Linotype" w:hAnsi="Palatino Linotype" w:cs="Palatino Linotype"/>
          <w:b/>
          <w:i/>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“Artículo 6.</w:t>
      </w:r>
      <w:r w:rsidRPr="00921F85">
        <w:rPr>
          <w:rFonts w:ascii="Palatino Linotype" w:eastAsia="Palatino Linotype" w:hAnsi="Palatino Linotype" w:cs="Palatino Linotype"/>
          <w:i/>
          <w:color w:val="000000" w:themeColor="text1"/>
        </w:rPr>
        <w:t xml:space="preserve"> …</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Para efectos de lo dispuesto en el presente artículo se observará lo siguiente:</w:t>
      </w: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A</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Para el ejercicio del derecho de acceso a la información</w:t>
      </w:r>
      <w:r w:rsidRPr="00921F85">
        <w:rPr>
          <w:rFonts w:ascii="Palatino Linotype" w:eastAsia="Palatino Linotype" w:hAnsi="Palatino Linotype" w:cs="Palatino Linotype"/>
          <w:i/>
          <w:color w:val="000000" w:themeColor="text1"/>
        </w:rPr>
        <w:t xml:space="preserve">, la Federación y </w:t>
      </w:r>
      <w:r w:rsidRPr="00921F8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 xml:space="preserve">I. </w:t>
      </w:r>
      <w:r w:rsidRPr="00921F85">
        <w:rPr>
          <w:rFonts w:ascii="Palatino Linotype" w:eastAsia="Palatino Linotype" w:hAnsi="Palatino Linotype" w:cs="Palatino Linotype"/>
          <w:b/>
          <w:i/>
          <w:color w:val="000000" w:themeColor="text1"/>
        </w:rPr>
        <w:tab/>
        <w:t>Toda la información en posesión de cualquier</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autoridad</w:t>
      </w:r>
      <w:r w:rsidRPr="00921F8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21F85">
        <w:rPr>
          <w:rFonts w:ascii="Palatino Linotype" w:eastAsia="Palatino Linotype" w:hAnsi="Palatino Linotype" w:cs="Palatino Linotype"/>
          <w:b/>
          <w:i/>
          <w:color w:val="000000" w:themeColor="text1"/>
        </w:rPr>
        <w:t>municipal</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es pública</w:t>
      </w:r>
      <w:r w:rsidRPr="00921F8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21F8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921F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94625" w:rsidRPr="00921F85" w:rsidRDefault="00894625" w:rsidP="00921F85">
      <w:pPr>
        <w:tabs>
          <w:tab w:val="left" w:pos="0"/>
          <w:tab w:val="left" w:pos="426"/>
          <w:tab w:val="left" w:pos="567"/>
        </w:tabs>
        <w:ind w:left="567"/>
        <w:jc w:val="both"/>
        <w:rPr>
          <w:rFonts w:ascii="Palatino Linotype" w:eastAsia="Palatino Linotype" w:hAnsi="Palatino Linotype" w:cs="Palatino Linotype"/>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Constitución Política del Estado Libre y Soberano de México</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“Artículo 5</w:t>
      </w: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lastRenderedPageBreak/>
        <w:t>El derecho a la información será garantizado por el Estado. La ley establecerá las previsiones que permitan asegurar la protección, el respeto y la difusión de este derecho</w:t>
      </w: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94625" w:rsidRPr="00921F85" w:rsidRDefault="00894625" w:rsidP="00921F85">
      <w:pPr>
        <w:tabs>
          <w:tab w:val="left" w:pos="0"/>
        </w:tabs>
        <w:ind w:left="567"/>
        <w:jc w:val="both"/>
        <w:rPr>
          <w:rFonts w:ascii="Palatino Linotype" w:eastAsia="Palatino Linotype" w:hAnsi="Palatino Linotype" w:cs="Palatino Linotype"/>
          <w:i/>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Este derecho se regirá por los principios y bases siguientes</w:t>
      </w: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i/>
          <w:color w:val="000000" w:themeColor="text1"/>
        </w:rPr>
        <w:t>Toda la información en posesión de cualquier autoridad, entidad, órgano y organismos de los</w:t>
      </w:r>
      <w:r w:rsidRPr="00921F8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21F85">
        <w:rPr>
          <w:rFonts w:ascii="Palatino Linotype" w:eastAsia="Palatino Linotype" w:hAnsi="Palatino Linotype" w:cs="Palatino Linotype"/>
          <w:b/>
          <w:i/>
          <w:color w:val="000000" w:themeColor="text1"/>
        </w:rPr>
        <w:t>municipales</w:t>
      </w:r>
      <w:r w:rsidRPr="00921F8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921F85">
        <w:rPr>
          <w:rFonts w:ascii="Palatino Linotype" w:eastAsia="Palatino Linotype" w:hAnsi="Palatino Linotype" w:cs="Palatino Linotype"/>
          <w:b/>
          <w:i/>
          <w:color w:val="000000" w:themeColor="text1"/>
        </w:rPr>
        <w:t>es pública</w:t>
      </w:r>
      <w:r w:rsidRPr="00921F8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921F85">
        <w:rPr>
          <w:rFonts w:ascii="Palatino Linotype" w:eastAsia="Palatino Linotype" w:hAnsi="Palatino Linotype" w:cs="Palatino Linotype"/>
          <w:b/>
          <w:i/>
          <w:color w:val="000000" w:themeColor="text1"/>
        </w:rPr>
        <w:t>En la interpretación de este derecho deberá prevalecer el principio de máxima publicidad</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21F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94625" w:rsidRDefault="00894625" w:rsidP="00921F85">
      <w:pPr>
        <w:tabs>
          <w:tab w:val="left" w:pos="0"/>
        </w:tabs>
        <w:rPr>
          <w:rFonts w:ascii="Palatino Linotype" w:eastAsia="Palatino Linotype" w:hAnsi="Palatino Linotype" w:cs="Palatino Linotype"/>
          <w:b/>
          <w:color w:val="000000" w:themeColor="text1"/>
        </w:rPr>
      </w:pPr>
    </w:p>
    <w:p w:rsidR="00EF09DD" w:rsidRPr="00921F85" w:rsidRDefault="00EF09DD" w:rsidP="00921F85">
      <w:pPr>
        <w:tabs>
          <w:tab w:val="left" w:pos="0"/>
        </w:tabs>
        <w:rPr>
          <w:rFonts w:ascii="Palatino Linotype" w:eastAsia="Palatino Linotype" w:hAnsi="Palatino Linotype" w:cs="Palatino Linotype"/>
          <w:b/>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21F8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921F85">
        <w:rPr>
          <w:rFonts w:ascii="Palatino Linotype" w:eastAsia="Palatino Linotype" w:hAnsi="Palatino Linotype" w:cs="Palatino Linotype"/>
          <w:color w:val="000000" w:themeColor="text1"/>
        </w:rPr>
        <w:t>, contemplando el derecho de las personas con discapacidad y hablantes de lengua indígena.</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921F85">
        <w:rPr>
          <w:rFonts w:ascii="Palatino Linotype" w:eastAsia="Palatino Linotype" w:hAnsi="Palatino Linotype" w:cs="Palatino Linotype"/>
          <w:i/>
          <w:color w:val="000000" w:themeColor="text1"/>
        </w:rPr>
        <w:t>solicitudes de acceso a la información</w:t>
      </w:r>
      <w:r w:rsidRPr="00921F85">
        <w:rPr>
          <w:rFonts w:ascii="Palatino Linotype" w:eastAsia="Palatino Linotype" w:hAnsi="Palatino Linotype" w:cs="Palatino Linotype"/>
          <w:color w:val="000000" w:themeColor="text1"/>
        </w:rPr>
        <w:t>.</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lastRenderedPageBreak/>
        <w:t xml:space="preserve">Así entonces, se procede analizar, en primer lugar, si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94625" w:rsidRPr="00921F85" w:rsidRDefault="00894625" w:rsidP="00921F85">
      <w:pPr>
        <w:tabs>
          <w:tab w:val="left" w:pos="0"/>
        </w:tabs>
        <w:rPr>
          <w:rFonts w:ascii="Palatino Linotype" w:eastAsia="Palatino Linotype" w:hAnsi="Palatino Linotype" w:cs="Palatino Linotype"/>
          <w:b/>
          <w:color w:val="000000" w:themeColor="text1"/>
        </w:rPr>
      </w:pPr>
    </w:p>
    <w:p w:rsidR="00894625" w:rsidRPr="00921F85" w:rsidRDefault="004A2C23" w:rsidP="00921F85">
      <w:pPr>
        <w:keepNext/>
        <w:keepLines/>
        <w:numPr>
          <w:ilvl w:val="1"/>
          <w:numId w:val="5"/>
        </w:numPr>
        <w:tabs>
          <w:tab w:val="left" w:pos="0"/>
        </w:tabs>
        <w:spacing w:line="360" w:lineRule="auto"/>
        <w:ind w:left="567"/>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De la información solicitada.</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el Derecho de Acceso a la Información Pública como: </w:t>
      </w:r>
      <w:r w:rsidRPr="00921F85">
        <w:rPr>
          <w:rFonts w:ascii="Palatino Linotype" w:eastAsia="Palatino Linotype" w:hAnsi="Palatino Linotype" w:cs="Palatino Linotype"/>
          <w:i/>
          <w:color w:val="000000" w:themeColor="text1"/>
        </w:rPr>
        <w:t xml:space="preserve">La igualdad de </w:t>
      </w:r>
      <w:r w:rsidRPr="00921F85">
        <w:rPr>
          <w:rFonts w:ascii="Palatino Linotype" w:eastAsia="Palatino Linotype" w:hAnsi="Palatino Linotype" w:cs="Palatino Linotype"/>
          <w:color w:val="000000" w:themeColor="text1"/>
        </w:rPr>
        <w:t>oportunidades</w:t>
      </w:r>
      <w:r w:rsidRPr="00921F85">
        <w:rPr>
          <w:rFonts w:ascii="Palatino Linotype" w:eastAsia="Palatino Linotype" w:hAnsi="Palatino Linotype" w:cs="Palatino Linotype"/>
          <w:i/>
          <w:color w:val="000000" w:themeColor="text1"/>
        </w:rPr>
        <w:t xml:space="preserve"> para recibir, buscar e impartir información</w:t>
      </w:r>
      <w:r w:rsidRPr="00921F85">
        <w:rPr>
          <w:rFonts w:ascii="Palatino Linotype" w:eastAsia="Palatino Linotype" w:hAnsi="Palatino Linotype" w:cs="Palatino Linotype"/>
          <w:i/>
          <w:color w:val="000000" w:themeColor="text1"/>
          <w:vertAlign w:val="superscript"/>
        </w:rPr>
        <w:footnoteReference w:id="5"/>
      </w:r>
      <w:r w:rsidRPr="00921F85">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21F85">
        <w:rPr>
          <w:rFonts w:ascii="Palatino Linotype" w:eastAsia="Palatino Linotype" w:hAnsi="Palatino Linotype" w:cs="Palatino Linotype"/>
          <w:i/>
          <w:color w:val="000000" w:themeColor="text1"/>
          <w:vertAlign w:val="superscript"/>
        </w:rPr>
        <w:footnoteReference w:id="6"/>
      </w:r>
      <w:r w:rsidRPr="00921F85">
        <w:rPr>
          <w:rFonts w:ascii="Palatino Linotype" w:eastAsia="Palatino Linotype" w:hAnsi="Palatino Linotype" w:cs="Palatino Linotype"/>
          <w:color w:val="000000" w:themeColor="text1"/>
        </w:rPr>
        <w:t>que se constituye como una herramienta fundamental para ejercer</w:t>
      </w:r>
      <w:r w:rsidRPr="00921F85">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921F85">
        <w:rPr>
          <w:rFonts w:ascii="Palatino Linotype" w:eastAsia="Palatino Linotype" w:hAnsi="Palatino Linotype" w:cs="Palatino Linotype"/>
          <w:i/>
          <w:color w:val="000000" w:themeColor="text1"/>
          <w:vertAlign w:val="superscript"/>
        </w:rPr>
        <w:footnoteReference w:id="7"/>
      </w:r>
      <w:r w:rsidRPr="00921F85">
        <w:rPr>
          <w:rFonts w:ascii="Palatino Linotype" w:eastAsia="Palatino Linotype" w:hAnsi="Palatino Linotype" w:cs="Palatino Linotype"/>
          <w:color w:val="000000" w:themeColor="text1"/>
        </w:rPr>
        <w:t>fomentando</w:t>
      </w:r>
      <w:r w:rsidRPr="00921F85">
        <w:rPr>
          <w:rFonts w:ascii="Palatino Linotype" w:eastAsia="Palatino Linotype" w:hAnsi="Palatino Linotype" w:cs="Palatino Linotype"/>
          <w:i/>
          <w:color w:val="000000" w:themeColor="text1"/>
        </w:rPr>
        <w:t xml:space="preserve"> la transparencia de las actividades </w:t>
      </w:r>
      <w:r w:rsidRPr="00921F85">
        <w:rPr>
          <w:rFonts w:ascii="Palatino Linotype" w:eastAsia="Palatino Linotype" w:hAnsi="Palatino Linotype" w:cs="Palatino Linotype"/>
          <w:i/>
          <w:color w:val="000000" w:themeColor="text1"/>
        </w:rPr>
        <w:lastRenderedPageBreak/>
        <w:t xml:space="preserve">estatales y </w:t>
      </w:r>
      <w:r w:rsidRPr="00921F85">
        <w:rPr>
          <w:rFonts w:ascii="Palatino Linotype" w:eastAsia="Palatino Linotype" w:hAnsi="Palatino Linotype" w:cs="Palatino Linotype"/>
          <w:color w:val="000000" w:themeColor="text1"/>
        </w:rPr>
        <w:t>promoviendo</w:t>
      </w:r>
      <w:r w:rsidRPr="00921F85">
        <w:rPr>
          <w:rFonts w:ascii="Palatino Linotype" w:eastAsia="Palatino Linotype" w:hAnsi="Palatino Linotype" w:cs="Palatino Linotype"/>
          <w:i/>
          <w:color w:val="000000" w:themeColor="text1"/>
        </w:rPr>
        <w:t xml:space="preserve"> la responsabilidad de los funcionarios sobre su gestión pública,</w:t>
      </w:r>
      <w:r w:rsidRPr="00921F85">
        <w:rPr>
          <w:rFonts w:ascii="Palatino Linotype" w:eastAsia="Palatino Linotype" w:hAnsi="Palatino Linotype" w:cs="Palatino Linotype"/>
          <w:i/>
          <w:color w:val="000000" w:themeColor="text1"/>
          <w:vertAlign w:val="superscript"/>
        </w:rPr>
        <w:footnoteReference w:id="8"/>
      </w:r>
      <w:r w:rsidRPr="00921F85">
        <w:rPr>
          <w:rFonts w:ascii="Palatino Linotype" w:eastAsia="Palatino Linotype" w:hAnsi="Palatino Linotype" w:cs="Palatino Linotype"/>
          <w:color w:val="000000" w:themeColor="text1"/>
        </w:rPr>
        <w:t>que permite</w:t>
      </w:r>
      <w:r w:rsidRPr="00921F85">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r w:rsidRPr="00921F85">
        <w:rPr>
          <w:rFonts w:ascii="Palatino Linotype" w:eastAsia="Palatino Linotype" w:hAnsi="Palatino Linotype" w:cs="Palatino Linotype"/>
          <w:b/>
          <w:i/>
          <w:color w:val="000000" w:themeColor="text1"/>
        </w:rPr>
        <w:t>Artículo 1.-</w:t>
      </w:r>
      <w:r w:rsidRPr="00921F85">
        <w:rPr>
          <w:rFonts w:ascii="Palatino Linotype" w:eastAsia="Palatino Linotype" w:hAnsi="Palatino Linotype" w:cs="Palatino Linotype"/>
          <w:i/>
          <w:color w:val="000000" w:themeColor="text1"/>
        </w:rPr>
        <w:t xml:space="preserve"> </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Todas las</w:t>
      </w:r>
      <w:r w:rsidRPr="00921F85">
        <w:rPr>
          <w:rFonts w:ascii="Palatino Linotype" w:eastAsia="Palatino Linotype" w:hAnsi="Palatino Linotype" w:cs="Palatino Linotype"/>
          <w:color w:val="000000" w:themeColor="text1"/>
        </w:rPr>
        <w:t xml:space="preserve"> </w:t>
      </w:r>
      <w:r w:rsidRPr="00921F85">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894625" w:rsidRPr="00921F85" w:rsidRDefault="004A2C23" w:rsidP="00921F85">
      <w:pPr>
        <w:tabs>
          <w:tab w:val="left" w:pos="0"/>
        </w:tabs>
        <w:ind w:left="567"/>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i/>
          <w:color w:val="000000" w:themeColor="text1"/>
        </w:rPr>
        <w:t>(…)</w:t>
      </w:r>
      <w:r w:rsidRPr="00921F85">
        <w:rPr>
          <w:rFonts w:ascii="Palatino Linotype" w:eastAsia="Palatino Linotype" w:hAnsi="Palatino Linotype" w:cs="Palatino Linotype"/>
          <w:color w:val="000000" w:themeColor="text1"/>
        </w:rPr>
        <w:t>”</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894625" w:rsidRPr="00921F85" w:rsidRDefault="00894625" w:rsidP="00921F85">
      <w:pPr>
        <w:tabs>
          <w:tab w:val="left" w:pos="0"/>
        </w:tabs>
        <w:rPr>
          <w:rFonts w:ascii="Palatino Linotype" w:eastAsia="Palatino Linotype" w:hAnsi="Palatino Linotype" w:cs="Palatino Linotype"/>
          <w:b/>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lastRenderedPageBreak/>
        <w:t>Constitución Política de los Estados Unidos Mexicanos</w:t>
      </w:r>
    </w:p>
    <w:p w:rsidR="00894625" w:rsidRPr="00921F85" w:rsidRDefault="00894625" w:rsidP="00921F85">
      <w:pPr>
        <w:tabs>
          <w:tab w:val="left" w:pos="0"/>
        </w:tabs>
        <w:ind w:left="567"/>
        <w:jc w:val="both"/>
        <w:rPr>
          <w:rFonts w:ascii="Palatino Linotype" w:eastAsia="Palatino Linotype" w:hAnsi="Palatino Linotype" w:cs="Palatino Linotype"/>
          <w:b/>
          <w:i/>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“Artículo 6.</w:t>
      </w:r>
      <w:r w:rsidRPr="00921F85">
        <w:rPr>
          <w:rFonts w:ascii="Palatino Linotype" w:eastAsia="Palatino Linotype" w:hAnsi="Palatino Linotype" w:cs="Palatino Linotype"/>
          <w:i/>
          <w:color w:val="000000" w:themeColor="text1"/>
        </w:rPr>
        <w:t xml:space="preserve"> …</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Para efectos de lo dispuesto en el presente artículo se observará lo siguiente:</w:t>
      </w: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A</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Para el ejercicio del derecho de acceso a la información</w:t>
      </w:r>
      <w:r w:rsidRPr="00921F85">
        <w:rPr>
          <w:rFonts w:ascii="Palatino Linotype" w:eastAsia="Palatino Linotype" w:hAnsi="Palatino Linotype" w:cs="Palatino Linotype"/>
          <w:i/>
          <w:color w:val="000000" w:themeColor="text1"/>
        </w:rPr>
        <w:t xml:space="preserve">, la Federación y </w:t>
      </w:r>
      <w:r w:rsidRPr="00921F85">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 xml:space="preserve">I. </w:t>
      </w:r>
      <w:r w:rsidRPr="00921F85">
        <w:rPr>
          <w:rFonts w:ascii="Palatino Linotype" w:eastAsia="Palatino Linotype" w:hAnsi="Palatino Linotype" w:cs="Palatino Linotype"/>
          <w:b/>
          <w:i/>
          <w:color w:val="000000" w:themeColor="text1"/>
        </w:rPr>
        <w:tab/>
        <w:t>Toda la información en posesión de cualquier</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autoridad</w:t>
      </w:r>
      <w:r w:rsidRPr="00921F85">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921F85">
        <w:rPr>
          <w:rFonts w:ascii="Palatino Linotype" w:eastAsia="Palatino Linotype" w:hAnsi="Palatino Linotype" w:cs="Palatino Linotype"/>
          <w:b/>
          <w:i/>
          <w:color w:val="000000" w:themeColor="text1"/>
        </w:rPr>
        <w:t>municipal</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es pública</w:t>
      </w:r>
      <w:r w:rsidRPr="00921F85">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921F85">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921F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94625" w:rsidRPr="00921F85" w:rsidRDefault="00894625" w:rsidP="00921F85">
      <w:pPr>
        <w:tabs>
          <w:tab w:val="left" w:pos="0"/>
          <w:tab w:val="left" w:pos="426"/>
          <w:tab w:val="left" w:pos="567"/>
        </w:tabs>
        <w:ind w:left="567"/>
        <w:jc w:val="both"/>
        <w:rPr>
          <w:rFonts w:ascii="Palatino Linotype" w:eastAsia="Palatino Linotype" w:hAnsi="Palatino Linotype" w:cs="Palatino Linotype"/>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b/>
          <w:i/>
          <w:color w:val="000000" w:themeColor="text1"/>
        </w:rPr>
      </w:pPr>
      <w:r w:rsidRPr="00921F85">
        <w:rPr>
          <w:rFonts w:ascii="Palatino Linotype" w:eastAsia="Palatino Linotype" w:hAnsi="Palatino Linotype" w:cs="Palatino Linotype"/>
          <w:b/>
          <w:i/>
          <w:color w:val="000000" w:themeColor="text1"/>
        </w:rPr>
        <w:t>Constitución Política del Estado Libre y Soberano de México</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“Artículo 5</w:t>
      </w: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894625" w:rsidRPr="00921F85" w:rsidRDefault="00894625" w:rsidP="00921F85">
      <w:pPr>
        <w:tabs>
          <w:tab w:val="left" w:pos="0"/>
        </w:tabs>
        <w:ind w:left="567"/>
        <w:jc w:val="both"/>
        <w:rPr>
          <w:rFonts w:ascii="Palatino Linotype" w:eastAsia="Palatino Linotype" w:hAnsi="Palatino Linotype" w:cs="Palatino Linotype"/>
          <w:i/>
          <w:color w:val="000000" w:themeColor="text1"/>
        </w:rPr>
      </w:pPr>
    </w:p>
    <w:p w:rsidR="00894625" w:rsidRPr="00921F85" w:rsidRDefault="004A2C23" w:rsidP="00921F85">
      <w:pPr>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Este derecho se regirá por los principios y bases siguientes</w:t>
      </w:r>
      <w:r w:rsidRPr="00921F85">
        <w:rPr>
          <w:rFonts w:ascii="Palatino Linotype" w:eastAsia="Palatino Linotype" w:hAnsi="Palatino Linotype" w:cs="Palatino Linotype"/>
          <w:i/>
          <w:color w:val="000000" w:themeColor="text1"/>
        </w:rPr>
        <w:t>:</w:t>
      </w:r>
    </w:p>
    <w:p w:rsidR="00894625" w:rsidRPr="00921F85" w:rsidRDefault="004A2C23" w:rsidP="00921F85">
      <w:pPr>
        <w:tabs>
          <w:tab w:val="left" w:pos="0"/>
        </w:tabs>
        <w:ind w:left="567"/>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i/>
          <w:color w:val="000000" w:themeColor="text1"/>
        </w:rPr>
        <w:t>Toda la información en posesión de cualquier autoridad, entidad, órgano y organismos de los</w:t>
      </w:r>
      <w:r w:rsidRPr="00921F85">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921F85">
        <w:rPr>
          <w:rFonts w:ascii="Palatino Linotype" w:eastAsia="Palatino Linotype" w:hAnsi="Palatino Linotype" w:cs="Palatino Linotype"/>
          <w:b/>
          <w:i/>
          <w:color w:val="000000" w:themeColor="text1"/>
        </w:rPr>
        <w:t>municipales</w:t>
      </w:r>
      <w:r w:rsidRPr="00921F85">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w:t>
      </w:r>
      <w:r w:rsidRPr="00921F85">
        <w:rPr>
          <w:rFonts w:ascii="Palatino Linotype" w:eastAsia="Palatino Linotype" w:hAnsi="Palatino Linotype" w:cs="Palatino Linotype"/>
          <w:i/>
          <w:color w:val="000000" w:themeColor="text1"/>
        </w:rPr>
        <w:lastRenderedPageBreak/>
        <w:t xml:space="preserve">de autoridad en el ámbito estatal y municipal, </w:t>
      </w:r>
      <w:r w:rsidRPr="00921F85">
        <w:rPr>
          <w:rFonts w:ascii="Palatino Linotype" w:eastAsia="Palatino Linotype" w:hAnsi="Palatino Linotype" w:cs="Palatino Linotype"/>
          <w:b/>
          <w:i/>
          <w:color w:val="000000" w:themeColor="text1"/>
        </w:rPr>
        <w:t>es pública</w:t>
      </w:r>
      <w:r w:rsidRPr="00921F85">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921F85">
        <w:rPr>
          <w:rFonts w:ascii="Palatino Linotype" w:eastAsia="Palatino Linotype" w:hAnsi="Palatino Linotype" w:cs="Palatino Linotype"/>
          <w:b/>
          <w:i/>
          <w:color w:val="000000" w:themeColor="text1"/>
        </w:rPr>
        <w:t>En la interpretación de este derecho deberá prevalecer el principio de máxima publicidad</w:t>
      </w:r>
      <w:r w:rsidRPr="00921F85">
        <w:rPr>
          <w:rFonts w:ascii="Palatino Linotype" w:eastAsia="Palatino Linotype" w:hAnsi="Palatino Linotype" w:cs="Palatino Linotype"/>
          <w:i/>
          <w:color w:val="000000" w:themeColor="text1"/>
        </w:rPr>
        <w:t xml:space="preserve">. </w:t>
      </w:r>
      <w:r w:rsidRPr="00921F85">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921F85">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894625" w:rsidRPr="00921F85" w:rsidRDefault="00894625" w:rsidP="00921F85">
      <w:pPr>
        <w:tabs>
          <w:tab w:val="left" w:pos="0"/>
        </w:tabs>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921F85">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921F85">
        <w:rPr>
          <w:rFonts w:ascii="Palatino Linotype" w:eastAsia="Palatino Linotype" w:hAnsi="Palatino Linotype" w:cs="Palatino Linotype"/>
          <w:color w:val="000000" w:themeColor="text1"/>
        </w:rPr>
        <w:t>, contemplando el derecho de las personas con discapacidad y hablantes de lengua indígena.</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921F85">
        <w:rPr>
          <w:rFonts w:ascii="Palatino Linotype" w:eastAsia="Palatino Linotype" w:hAnsi="Palatino Linotype" w:cs="Palatino Linotype"/>
          <w:i/>
          <w:color w:val="000000" w:themeColor="text1"/>
        </w:rPr>
        <w:t>solicitudes de acceso a la información</w:t>
      </w:r>
      <w:r w:rsidRPr="00921F85">
        <w:rPr>
          <w:rFonts w:ascii="Palatino Linotype" w:eastAsia="Palatino Linotype" w:hAnsi="Palatino Linotype" w:cs="Palatino Linotype"/>
          <w:color w:val="000000" w:themeColor="text1"/>
        </w:rPr>
        <w:t>.</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Así entonces, se procede analizar, en primer lugar, si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894625" w:rsidRPr="00921F85" w:rsidRDefault="00894625" w:rsidP="00921F85">
      <w:pPr>
        <w:tabs>
          <w:tab w:val="left" w:pos="0"/>
        </w:tabs>
        <w:rPr>
          <w:rFonts w:ascii="Palatino Linotype" w:eastAsia="Palatino Linotype" w:hAnsi="Palatino Linotype" w:cs="Palatino Linotype"/>
          <w:b/>
          <w:color w:val="000000" w:themeColor="text1"/>
        </w:rPr>
      </w:pPr>
    </w:p>
    <w:p w:rsidR="00894625" w:rsidRPr="00921F85" w:rsidRDefault="004A2C23" w:rsidP="00921F85">
      <w:pPr>
        <w:keepNext/>
        <w:keepLines/>
        <w:numPr>
          <w:ilvl w:val="1"/>
          <w:numId w:val="5"/>
        </w:numPr>
        <w:tabs>
          <w:tab w:val="left" w:pos="0"/>
        </w:tabs>
        <w:spacing w:line="360" w:lineRule="auto"/>
        <w:ind w:left="567"/>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De la información solicitada.</w:t>
      </w: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w:t>
      </w:r>
      <w:r w:rsidRPr="00921F85">
        <w:rPr>
          <w:rFonts w:ascii="Palatino Linotype" w:eastAsia="Palatino Linotype" w:hAnsi="Palatino Linotype" w:cs="Palatino Linotype"/>
          <w:color w:val="000000" w:themeColor="text1"/>
        </w:rPr>
        <w:lastRenderedPageBreak/>
        <w:t>lo establecido en el artículo 8 de la Ley de Transparencia y Acceso a la Información Pública del Estado de México y Municipios.</w:t>
      </w:r>
    </w:p>
    <w:p w:rsidR="00894625" w:rsidRPr="00921F85" w:rsidRDefault="00894625" w:rsidP="00921F85">
      <w:pPr>
        <w:tabs>
          <w:tab w:val="left" w:pos="0"/>
        </w:tabs>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Así, resulta conveniente reiterar que el </w:t>
      </w:r>
      <w:r w:rsidRPr="00921F85">
        <w:rPr>
          <w:rFonts w:ascii="Palatino Linotype" w:eastAsia="Palatino Linotype" w:hAnsi="Palatino Linotype" w:cs="Palatino Linotype"/>
          <w:b/>
          <w:color w:val="000000" w:themeColor="text1"/>
        </w:rPr>
        <w:t xml:space="preserve">RECURRENTE </w:t>
      </w:r>
      <w:r w:rsidRPr="00921F85">
        <w:rPr>
          <w:rFonts w:ascii="Palatino Linotype" w:eastAsia="Palatino Linotype" w:hAnsi="Palatino Linotype" w:cs="Palatino Linotype"/>
          <w:color w:val="000000" w:themeColor="text1"/>
        </w:rPr>
        <w:t>solicitó, solicitó todos los cambios de uso de suelo que han sido autorizados y expedidos por la Dirección de Desarrollo Urbano, Ecología y Fomento Agropecuario del 1 de enero a 13 de marzo de 2025.</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fue omiso en emitir respuesta a la solicitud de información; motivo de inconformidad de la parte </w:t>
      </w:r>
      <w:r w:rsidRPr="00921F85">
        <w:rPr>
          <w:rFonts w:ascii="Palatino Linotype" w:eastAsia="Palatino Linotype" w:hAnsi="Palatino Linotype" w:cs="Palatino Linotype"/>
          <w:b/>
          <w:color w:val="000000" w:themeColor="text1"/>
        </w:rPr>
        <w:t>RECURRENTE.</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En consecuencia, mediante un acto jurídico posterior como lo es el informe justificado, el</w:t>
      </w:r>
      <w:r w:rsidRPr="00921F85">
        <w:rPr>
          <w:rFonts w:ascii="Palatino Linotype" w:eastAsia="Palatino Linotype" w:hAnsi="Palatino Linotype" w:cs="Palatino Linotype"/>
          <w:b/>
          <w:color w:val="000000" w:themeColor="text1"/>
        </w:rPr>
        <w:t xml:space="preserve"> SUJETO OBLIGADO </w:t>
      </w:r>
      <w:r w:rsidRPr="00921F85">
        <w:rPr>
          <w:rFonts w:ascii="Palatino Linotype" w:eastAsia="Palatino Linotype" w:hAnsi="Palatino Linotype" w:cs="Palatino Linotype"/>
          <w:color w:val="000000" w:themeColor="text1"/>
        </w:rPr>
        <w:t>por medio de la Dirección de Desarrollo Urbano, Ecología y Fomento Agropecuario, remitió las licencias de construcción, regularización de obra, constancias de terminación de obra, cedulas informativas de zonificación, licencias de uso de suelo, autorizaciones de uso de suelo, expedidas del 1 de enero al 15 de marzo de 2025</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En este sentido, es necesario señalar que, se obvia el análisis de la competencia por parte del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para generar, administrar o poseer la información solicitada, dado que éste ha asumido la misma.</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Así, el hecho de que el</w:t>
      </w:r>
      <w:r w:rsidRPr="00921F85">
        <w:rPr>
          <w:rFonts w:ascii="Palatino Linotype" w:eastAsia="Palatino Linotype" w:hAnsi="Palatino Linotype" w:cs="Palatino Linotype"/>
          <w:b/>
          <w:color w:val="000000" w:themeColor="text1"/>
        </w:rPr>
        <w:t xml:space="preserve"> SUJETO OBLIGADO</w:t>
      </w:r>
      <w:r w:rsidRPr="00921F85">
        <w:rPr>
          <w:rFonts w:ascii="Palatino Linotype" w:eastAsia="Palatino Linotype" w:hAnsi="Palatino Linotype" w:cs="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w:t>
      </w:r>
      <w:r w:rsidRPr="00921F85">
        <w:rPr>
          <w:rFonts w:ascii="Palatino Linotype" w:eastAsia="Palatino Linotype" w:hAnsi="Palatino Linotype" w:cs="Palatino Linotype"/>
          <w:color w:val="000000" w:themeColor="text1"/>
        </w:rPr>
        <w:lastRenderedPageBreak/>
        <w:t>en el artículo 12 de la Ley de Transparencia y Acceso a la Información Pública del Estado de México y Municipios.</w:t>
      </w:r>
    </w:p>
    <w:p w:rsidR="00894625" w:rsidRPr="00921F85" w:rsidRDefault="004A2C23" w:rsidP="00921F85">
      <w:pPr>
        <w:shd w:val="clear" w:color="auto" w:fill="FFFFFF"/>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r w:rsidRPr="00921F85">
        <w:rPr>
          <w:rFonts w:ascii="Palatino Linotype" w:eastAsia="Palatino Linotype" w:hAnsi="Palatino Linotype" w:cs="Palatino Linotype"/>
          <w:b/>
          <w:i/>
          <w:color w:val="000000" w:themeColor="text1"/>
        </w:rPr>
        <w:t>Artículo 12.</w:t>
      </w:r>
      <w:r w:rsidRPr="00921F85">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894625" w:rsidRPr="00921F85" w:rsidRDefault="00894625" w:rsidP="00921F85">
      <w:pPr>
        <w:shd w:val="clear" w:color="auto" w:fill="FFFFFF"/>
        <w:tabs>
          <w:tab w:val="left" w:pos="0"/>
        </w:tabs>
        <w:ind w:left="567"/>
        <w:jc w:val="both"/>
        <w:rPr>
          <w:rFonts w:ascii="Palatino Linotype" w:eastAsia="Palatino Linotype" w:hAnsi="Palatino Linotype" w:cs="Palatino Linotype"/>
          <w:color w:val="000000" w:themeColor="text1"/>
        </w:rPr>
      </w:pPr>
    </w:p>
    <w:p w:rsidR="00894625" w:rsidRPr="004061B4" w:rsidRDefault="004A2C23" w:rsidP="00921F85">
      <w:pPr>
        <w:shd w:val="clear" w:color="auto" w:fill="FFFFFF"/>
        <w:tabs>
          <w:tab w:val="left" w:pos="0"/>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w:t>
      </w:r>
      <w:r w:rsidRPr="004061B4">
        <w:rPr>
          <w:rFonts w:ascii="Palatino Linotype" w:eastAsia="Palatino Linotype" w:hAnsi="Palatino Linotype" w:cs="Palatino Linotype"/>
          <w:i/>
          <w:color w:val="000000" w:themeColor="text1"/>
        </w:rPr>
        <w:t>resumirla, efectuar cálculos o practicar investigaciones.”</w:t>
      </w:r>
    </w:p>
    <w:p w:rsidR="00894625" w:rsidRPr="004061B4" w:rsidRDefault="00894625" w:rsidP="00921F85">
      <w:pPr>
        <w:tabs>
          <w:tab w:val="left" w:pos="0"/>
        </w:tabs>
        <w:rPr>
          <w:rFonts w:ascii="Palatino Linotype" w:eastAsia="Palatino Linotype" w:hAnsi="Palatino Linotype" w:cs="Palatino Linotype"/>
          <w:color w:val="000000" w:themeColor="text1"/>
        </w:rPr>
      </w:pPr>
    </w:p>
    <w:p w:rsidR="00894625" w:rsidRPr="004061B4" w:rsidRDefault="004A2C23" w:rsidP="00921F85">
      <w:pPr>
        <w:numPr>
          <w:ilvl w:val="0"/>
          <w:numId w:val="1"/>
        </w:numPr>
        <w:tabs>
          <w:tab w:val="left" w:pos="0"/>
        </w:tabs>
        <w:spacing w:line="360" w:lineRule="auto"/>
        <w:jc w:val="both"/>
        <w:rPr>
          <w:rFonts w:ascii="Palatino Linotype" w:eastAsia="Palatino Linotype" w:hAnsi="Palatino Linotype" w:cs="Palatino Linotype"/>
          <w:color w:val="000000" w:themeColor="text1"/>
        </w:rPr>
      </w:pPr>
      <w:r w:rsidRPr="004061B4">
        <w:rPr>
          <w:rFonts w:ascii="Palatino Linotype" w:eastAsia="Palatino Linotype" w:hAnsi="Palatino Linotype" w:cs="Palatino Linotype"/>
          <w:color w:val="000000" w:themeColor="text1"/>
        </w:rPr>
        <w:t xml:space="preserve">Precisado lo anterior, si bien el </w:t>
      </w:r>
      <w:r w:rsidRPr="004061B4">
        <w:rPr>
          <w:rFonts w:ascii="Palatino Linotype" w:eastAsia="Palatino Linotype" w:hAnsi="Palatino Linotype" w:cs="Palatino Linotype"/>
          <w:b/>
          <w:color w:val="000000" w:themeColor="text1"/>
        </w:rPr>
        <w:t>SUJETO OBLIGADO</w:t>
      </w:r>
      <w:r w:rsidRPr="004061B4">
        <w:rPr>
          <w:rFonts w:ascii="Palatino Linotype" w:eastAsia="Palatino Linotype" w:hAnsi="Palatino Linotype" w:cs="Palatino Linotype"/>
          <w:color w:val="000000" w:themeColor="text1"/>
        </w:rPr>
        <w:t xml:space="preserve"> mediante el pronunciamiento realizado a través del informa justificado, asumió su competencia para generar, poseer y administrar la información requerida, no obstante, del análisis realizado a las documentales proporcionadas, se advierte que se realizó una versión pública incorrecta, toda vez que se dejaron a la vista datos personales susceptibles de ser clasificados como confidenciales, como lo como lo son los </w:t>
      </w:r>
      <w:r w:rsidR="00217E1D" w:rsidRPr="004061B4">
        <w:rPr>
          <w:rFonts w:ascii="Palatino Linotype" w:eastAsia="Palatino Linotype" w:hAnsi="Palatino Linotype" w:cs="Palatino Linotype"/>
          <w:b/>
          <w:color w:val="000000" w:themeColor="text1"/>
        </w:rPr>
        <w:t>domicilios particulares y la clave catastral</w:t>
      </w:r>
      <w:r w:rsidRPr="004061B4">
        <w:rPr>
          <w:rFonts w:ascii="Palatino Linotype" w:eastAsia="Palatino Linotype" w:hAnsi="Palatino Linotype" w:cs="Palatino Linotype"/>
          <w:b/>
          <w:color w:val="000000" w:themeColor="text1"/>
        </w:rPr>
        <w:t>.</w:t>
      </w:r>
    </w:p>
    <w:p w:rsidR="00894625" w:rsidRPr="004061B4" w:rsidRDefault="00894625" w:rsidP="00921F85">
      <w:pPr>
        <w:tabs>
          <w:tab w:val="left" w:pos="0"/>
        </w:tabs>
        <w:rPr>
          <w:rFonts w:ascii="Palatino Linotype" w:eastAsia="Palatino Linotype" w:hAnsi="Palatino Linotype" w:cs="Palatino Linotype"/>
          <w:color w:val="000000" w:themeColor="text1"/>
        </w:rPr>
      </w:pPr>
    </w:p>
    <w:p w:rsidR="00894625" w:rsidRPr="004061B4"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061B4">
        <w:rPr>
          <w:rFonts w:ascii="Palatino Linotype" w:eastAsia="Palatino Linotype" w:hAnsi="Palatino Linotype" w:cs="Palatino Linotype"/>
          <w:color w:val="000000" w:themeColor="text1"/>
        </w:rPr>
        <w:t>Al respecto, de acuerdo</w:t>
      </w:r>
      <w:r w:rsidRPr="004061B4">
        <w:rPr>
          <w:rFonts w:ascii="Palatino Linotype" w:eastAsia="Palatino Linotype" w:hAnsi="Palatino Linotype" w:cs="Palatino Linotype"/>
          <w:b/>
          <w:color w:val="000000" w:themeColor="text1"/>
        </w:rPr>
        <w:t xml:space="preserve"> </w:t>
      </w:r>
      <w:r w:rsidRPr="004061B4">
        <w:rPr>
          <w:rFonts w:ascii="Palatino Linotype" w:eastAsia="Palatino Linotype" w:hAnsi="Palatino Linotype" w:cs="Palatino Linotype"/>
          <w:color w:val="000000" w:themeColor="text1"/>
        </w:rPr>
        <w:t xml:space="preserve">a lo señalado en los artículos 2.3 y 2.5 del Código Civil del Estado de México, el </w:t>
      </w:r>
      <w:r w:rsidRPr="004061B4">
        <w:rPr>
          <w:rFonts w:ascii="Palatino Linotype" w:eastAsia="Palatino Linotype" w:hAnsi="Palatino Linotype" w:cs="Palatino Linotype"/>
          <w:b/>
          <w:color w:val="000000" w:themeColor="text1"/>
        </w:rPr>
        <w:t xml:space="preserve">domicilio </w:t>
      </w:r>
      <w:r w:rsidRPr="004061B4">
        <w:rPr>
          <w:rFonts w:ascii="Palatino Linotype" w:eastAsia="Palatino Linotype" w:hAnsi="Palatino Linotype" w:cs="Palatino Linotype"/>
          <w:color w:val="000000" w:themeColor="text1"/>
        </w:rPr>
        <w:t xml:space="preserve">es un atributo de la personalidad y un derecho de las personas; además que tiene como propósito que una persona pueda establecerse temporal o permanentemente en un lugar determinado, para habitar, establecer su centro de trabajo o negocios. </w:t>
      </w:r>
    </w:p>
    <w:p w:rsidR="00894625" w:rsidRPr="004061B4" w:rsidRDefault="00894625" w:rsidP="00921F85">
      <w:pPr>
        <w:pBdr>
          <w:top w:val="nil"/>
          <w:left w:val="nil"/>
          <w:bottom w:val="nil"/>
          <w:right w:val="nil"/>
          <w:between w:val="nil"/>
        </w:pBdr>
        <w:tabs>
          <w:tab w:val="left" w:pos="0"/>
        </w:tabs>
        <w:ind w:left="720"/>
        <w:rPr>
          <w:rFonts w:ascii="Palatino Linotype" w:eastAsia="Palatino Linotype" w:hAnsi="Palatino Linotype" w:cs="Palatino Linotype"/>
          <w:color w:val="000000" w:themeColor="text1"/>
        </w:rPr>
      </w:pPr>
    </w:p>
    <w:p w:rsidR="00894625" w:rsidRPr="004061B4"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061B4">
        <w:rPr>
          <w:rFonts w:ascii="Palatino Linotype" w:eastAsia="Palatino Linotype" w:hAnsi="Palatino Linotype" w:cs="Palatino Linotype"/>
          <w:color w:val="000000" w:themeColor="text1"/>
        </w:rPr>
        <w:t>De la misma manera, lo establece el artículo 29 del Código Civil Federal, al precisar que el domicilio de personas físicas</w:t>
      </w:r>
      <w:r w:rsidRPr="004061B4">
        <w:rPr>
          <w:rFonts w:ascii="Palatino Linotype" w:eastAsia="Palatino Linotype" w:hAnsi="Palatino Linotype" w:cs="Palatino Linotype"/>
          <w:b/>
          <w:color w:val="000000" w:themeColor="text1"/>
        </w:rPr>
        <w:t>, es el lugar donde residen habitualmente, el lugar del centro principal de sus negocios, donde residan o el lugar donde se encuentren.</w:t>
      </w:r>
    </w:p>
    <w:p w:rsidR="00894625" w:rsidRPr="004061B4"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061B4">
        <w:rPr>
          <w:rFonts w:ascii="Palatino Linotype" w:eastAsia="Palatino Linotype" w:hAnsi="Palatino Linotype" w:cs="Palatino Linotype"/>
          <w:color w:val="000000" w:themeColor="text1"/>
        </w:rPr>
        <w:lastRenderedPageBreak/>
        <w:t>En ese contexto, si bien es cierto que, tratándose de personas físicas, su domicilio fiscal puede ser tanto aquel en donde residen como aquel en donde realizan sus actividades empresariales, toda vez que este se inserta en contratos, facturas y documentos para dar cuenta de que se entran dadas de alta la autoridad fiscal, motivo por el cual al haber aceptado tener relaciones comerciales con los Sujetos Obligados, también aceptan tener una expectativa menor de protección en cuanto a su publicidad, por lo tanto, tratándose del domicilio fiscal de personas físicas no se actualiza el supuesto de confidencialidad previsto en la fracción I, del artículo 143 de la Ley de Transparencia y Acceso a la Información Pública del Estado de México y Municipios y procede ordenar su entrega.</w:t>
      </w:r>
    </w:p>
    <w:p w:rsidR="00894625" w:rsidRPr="004061B4"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217E1D" w:rsidRPr="004061B4" w:rsidRDefault="00217E1D"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061B4">
        <w:rPr>
          <w:rFonts w:ascii="Palatino Linotype" w:eastAsia="Palatino Linotype" w:hAnsi="Palatino Linotype" w:cs="Palatino Linotype"/>
          <w:color w:val="000000" w:themeColor="text1"/>
        </w:rPr>
        <w:t>Por</w:t>
      </w:r>
      <w:r w:rsidRPr="004061B4">
        <w:rPr>
          <w:rFonts w:ascii="Palatino Linotype" w:eastAsia="Calibri" w:hAnsi="Palatino Linotype" w:cs="Tahoma"/>
          <w:bCs/>
          <w:color w:val="000000" w:themeColor="text1"/>
          <w:lang w:val="es-ES" w:eastAsia="en-US"/>
        </w:rPr>
        <w:t xml:space="preserve"> cuanto hace a la </w:t>
      </w:r>
      <w:r w:rsidRPr="004061B4">
        <w:rPr>
          <w:rFonts w:ascii="Palatino Linotype" w:eastAsia="Calibri" w:hAnsi="Palatino Linotype" w:cs="Tahoma"/>
          <w:b/>
          <w:bCs/>
          <w:color w:val="000000" w:themeColor="text1"/>
          <w:lang w:val="es-ES" w:eastAsia="en-US"/>
        </w:rPr>
        <w:t>clave catastral</w:t>
      </w:r>
      <w:r w:rsidRPr="004061B4">
        <w:rPr>
          <w:rFonts w:ascii="Palatino Linotype" w:eastAsia="Calibri" w:hAnsi="Palatino Linotype" w:cs="Tahoma"/>
          <w:bCs/>
          <w:color w:val="000000" w:themeColor="text1"/>
          <w:lang w:val="es-ES" w:eastAsia="en-US"/>
        </w:rPr>
        <w:t>; el artículo 179, fracción I, del Código Financiero del Estado de México y Municipios, refiere que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identifican el número de lote o predio.</w:t>
      </w:r>
    </w:p>
    <w:p w:rsidR="00217E1D" w:rsidRPr="004061B4" w:rsidRDefault="00217E1D" w:rsidP="00921F85">
      <w:pPr>
        <w:pStyle w:val="Prrafodelista"/>
        <w:tabs>
          <w:tab w:val="left" w:pos="0"/>
        </w:tabs>
        <w:rPr>
          <w:rFonts w:ascii="Palatino Linotype" w:eastAsia="Calibri" w:hAnsi="Palatino Linotype" w:cs="Tahoma"/>
          <w:bCs/>
          <w:color w:val="000000" w:themeColor="text1"/>
          <w:lang w:val="es-ES" w:eastAsia="en-US"/>
        </w:rPr>
      </w:pPr>
    </w:p>
    <w:p w:rsidR="00217E1D" w:rsidRPr="004061B4" w:rsidRDefault="00217E1D"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4061B4">
        <w:rPr>
          <w:rFonts w:ascii="Palatino Linotype" w:eastAsia="Calibri" w:hAnsi="Palatino Linotype" w:cs="Tahoma"/>
          <w:bCs/>
          <w:color w:val="000000" w:themeColor="text1"/>
          <w:lang w:val="es-ES" w:eastAsia="en-US"/>
        </w:rPr>
        <w:t>El diccionario de Datos catastrales Escala 1:1000 del Instituto Nacional de Estadística y Geografía (INEGI), contempla en su glosario la definición de clave catastral, la cual, es la siguiente:</w:t>
      </w:r>
    </w:p>
    <w:p w:rsidR="00217E1D" w:rsidRPr="004061B4" w:rsidRDefault="00217E1D" w:rsidP="00921F85">
      <w:pPr>
        <w:tabs>
          <w:tab w:val="left" w:pos="0"/>
        </w:tabs>
        <w:ind w:left="567"/>
        <w:jc w:val="both"/>
        <w:rPr>
          <w:rFonts w:ascii="Palatino Linotype" w:eastAsia="Calibri" w:hAnsi="Palatino Linotype" w:cs="Tahoma"/>
          <w:bCs/>
          <w:i/>
          <w:color w:val="000000" w:themeColor="text1"/>
          <w:lang w:val="es-ES" w:eastAsia="en-US"/>
        </w:rPr>
      </w:pPr>
      <w:r w:rsidRPr="004061B4">
        <w:rPr>
          <w:rFonts w:ascii="Palatino Linotype" w:eastAsia="Calibri" w:hAnsi="Palatino Linotype" w:cs="Tahoma"/>
          <w:bCs/>
          <w:i/>
          <w:color w:val="000000" w:themeColor="text1"/>
          <w:lang w:val="es-ES" w:eastAsia="en-US"/>
        </w:rPr>
        <w:t>“</w:t>
      </w:r>
      <w:r w:rsidRPr="004061B4">
        <w:rPr>
          <w:rFonts w:ascii="Palatino Linotype" w:eastAsia="Calibri" w:hAnsi="Palatino Linotype" w:cs="Tahoma"/>
          <w:b/>
          <w:bCs/>
          <w:i/>
          <w:color w:val="000000" w:themeColor="text1"/>
          <w:lang w:val="es-ES" w:eastAsia="en-US"/>
        </w:rPr>
        <w:t xml:space="preserve">Clave catastral: </w:t>
      </w:r>
      <w:r w:rsidRPr="004061B4">
        <w:rPr>
          <w:rFonts w:ascii="Palatino Linotype" w:eastAsia="Calibri" w:hAnsi="Palatino Linotype" w:cs="Tahoma"/>
          <w:bCs/>
          <w:i/>
          <w:color w:val="000000" w:themeColor="text1"/>
          <w:lang w:val="es-ES" w:eastAsia="en-US"/>
        </w:rPr>
        <w:t>El código que identifica al predio de forma única para su localización geográfica, mismo que es asignado a cada uno de ellos en el momento de su inscripción en el padrón catastral por las Unidades del estado con atribuciones catastrales”</w:t>
      </w:r>
    </w:p>
    <w:p w:rsidR="00217E1D" w:rsidRPr="004061B4" w:rsidRDefault="00217E1D" w:rsidP="00921F85">
      <w:pPr>
        <w:tabs>
          <w:tab w:val="left" w:pos="0"/>
        </w:tabs>
        <w:spacing w:line="360" w:lineRule="auto"/>
        <w:jc w:val="both"/>
        <w:rPr>
          <w:rFonts w:ascii="Palatino Linotype" w:eastAsia="Calibri" w:hAnsi="Palatino Linotype" w:cs="Tahoma"/>
          <w:bCs/>
          <w:color w:val="000000" w:themeColor="text1"/>
          <w:lang w:val="es-ES" w:eastAsia="en-US"/>
        </w:rPr>
      </w:pPr>
    </w:p>
    <w:p w:rsidR="00217E1D" w:rsidRPr="004061B4" w:rsidRDefault="00217E1D" w:rsidP="00921F85">
      <w:pPr>
        <w:pStyle w:val="Prrafodelista"/>
        <w:numPr>
          <w:ilvl w:val="0"/>
          <w:numId w:val="1"/>
        </w:numPr>
        <w:tabs>
          <w:tab w:val="left" w:pos="0"/>
        </w:tabs>
        <w:spacing w:line="360" w:lineRule="auto"/>
        <w:jc w:val="both"/>
        <w:rPr>
          <w:rFonts w:ascii="Palatino Linotype" w:eastAsia="Calibri" w:hAnsi="Palatino Linotype" w:cs="Tahoma"/>
          <w:bCs/>
          <w:color w:val="000000" w:themeColor="text1"/>
          <w:lang w:val="es-ES" w:eastAsia="en-US"/>
        </w:rPr>
      </w:pPr>
      <w:r w:rsidRPr="004061B4">
        <w:rPr>
          <w:rFonts w:ascii="Palatino Linotype" w:eastAsia="Calibri" w:hAnsi="Palatino Linotype" w:cs="Tahoma"/>
          <w:bCs/>
          <w:color w:val="000000" w:themeColor="text1"/>
          <w:lang w:val="es-ES" w:eastAsia="en-US"/>
        </w:rPr>
        <w:lastRenderedPageBreak/>
        <w:t>Así mismo, dicho diccionario estipula dos tipos de Claves catastrales, siendo estas la Estándar y la Original, cuyo diccionario de datos catastrales Escala 1:1000 del INEGI, las define como</w:t>
      </w:r>
    </w:p>
    <w:p w:rsidR="00217E1D" w:rsidRPr="004061B4" w:rsidRDefault="00217E1D" w:rsidP="00921F85">
      <w:pPr>
        <w:tabs>
          <w:tab w:val="left" w:pos="0"/>
        </w:tabs>
        <w:ind w:left="567"/>
        <w:jc w:val="both"/>
        <w:rPr>
          <w:rFonts w:ascii="Palatino Linotype" w:eastAsia="Calibri" w:hAnsi="Palatino Linotype" w:cs="Tahoma"/>
          <w:bCs/>
          <w:i/>
          <w:color w:val="000000" w:themeColor="text1"/>
          <w:lang w:val="es-ES" w:eastAsia="en-US"/>
        </w:rPr>
      </w:pPr>
      <w:r w:rsidRPr="004061B4">
        <w:rPr>
          <w:rFonts w:ascii="Palatino Linotype" w:eastAsia="Calibri" w:hAnsi="Palatino Linotype" w:cs="Tahoma"/>
          <w:bCs/>
          <w:i/>
          <w:color w:val="000000" w:themeColor="text1"/>
          <w:lang w:val="es-ES" w:eastAsia="en-US"/>
        </w:rPr>
        <w:t>“</w:t>
      </w:r>
      <w:r w:rsidRPr="004061B4">
        <w:rPr>
          <w:rFonts w:ascii="Palatino Linotype" w:eastAsia="Calibri" w:hAnsi="Palatino Linotype" w:cs="Tahoma"/>
          <w:b/>
          <w:bCs/>
          <w:i/>
          <w:color w:val="000000" w:themeColor="text1"/>
          <w:lang w:val="es-ES" w:eastAsia="en-US"/>
        </w:rPr>
        <w:t xml:space="preserve">CLAVE CATASTRAL ESTÁNDAR: </w:t>
      </w:r>
      <w:r w:rsidRPr="004061B4">
        <w:rPr>
          <w:rFonts w:ascii="Palatino Linotype" w:eastAsia="Calibri" w:hAnsi="Palatino Linotype" w:cs="Tahoma"/>
          <w:bCs/>
          <w:i/>
          <w:color w:val="000000" w:themeColor="text1"/>
          <w:lang w:val="es-ES" w:eastAsia="en-US"/>
        </w:rPr>
        <w:t>Código de 31 caracteres conformado por elementos administrativos y que identifica al objeto espacial en forma única para su localización, compuesto por: Estado (2) + Región Catastral (3) + Municipio (3) + Zona Catastral (2) + Localidad (4) + Sector Catastral (3) + Manzana(3) + Predio (5) +  Condominio: edificio (2) y unidad (4).</w:t>
      </w:r>
    </w:p>
    <w:p w:rsidR="00217E1D" w:rsidRPr="004061B4" w:rsidRDefault="00217E1D" w:rsidP="00921F85">
      <w:pPr>
        <w:tabs>
          <w:tab w:val="left" w:pos="0"/>
        </w:tabs>
        <w:ind w:left="567"/>
        <w:jc w:val="both"/>
        <w:rPr>
          <w:rFonts w:ascii="Palatino Linotype" w:eastAsia="Calibri" w:hAnsi="Palatino Linotype" w:cs="Tahoma"/>
          <w:bCs/>
          <w:i/>
          <w:color w:val="000000" w:themeColor="text1"/>
          <w:lang w:val="es-ES" w:eastAsia="en-US"/>
        </w:rPr>
      </w:pPr>
    </w:p>
    <w:p w:rsidR="00217E1D" w:rsidRPr="004061B4" w:rsidRDefault="00217E1D" w:rsidP="00921F85">
      <w:pPr>
        <w:tabs>
          <w:tab w:val="left" w:pos="0"/>
        </w:tabs>
        <w:ind w:left="567"/>
        <w:jc w:val="both"/>
        <w:rPr>
          <w:rFonts w:ascii="Palatino Linotype" w:eastAsia="Calibri" w:hAnsi="Palatino Linotype" w:cs="Tahoma"/>
          <w:b/>
          <w:bCs/>
          <w:i/>
          <w:color w:val="000000" w:themeColor="text1"/>
          <w:lang w:val="es-ES" w:eastAsia="en-US"/>
        </w:rPr>
      </w:pPr>
      <w:r w:rsidRPr="004061B4">
        <w:rPr>
          <w:rFonts w:ascii="Palatino Linotype" w:eastAsia="Calibri" w:hAnsi="Palatino Linotype" w:cs="Tahoma"/>
          <w:b/>
          <w:bCs/>
          <w:i/>
          <w:color w:val="000000" w:themeColor="text1"/>
          <w:lang w:val="es-ES" w:eastAsia="en-US"/>
        </w:rPr>
        <w:t xml:space="preserve">CLAVE CATASTRAL ORIGINAL: </w:t>
      </w:r>
      <w:r w:rsidRPr="004061B4">
        <w:rPr>
          <w:rFonts w:ascii="Palatino Linotype" w:eastAsia="Calibri" w:hAnsi="Palatino Linotype" w:cs="Tahoma"/>
          <w:bCs/>
          <w:i/>
          <w:color w:val="000000" w:themeColor="text1"/>
          <w:lang w:val="es-ES" w:eastAsia="en-US"/>
        </w:rPr>
        <w:t>Código que identifica al objeto espacial el cual es asignado, por el Catastro Estatal, Municipal o por el registro Agrario Nacional”</w:t>
      </w:r>
      <w:r w:rsidRPr="004061B4">
        <w:rPr>
          <w:rFonts w:ascii="Palatino Linotype" w:eastAsia="Calibri" w:hAnsi="Palatino Linotype" w:cs="Tahoma"/>
          <w:b/>
          <w:bCs/>
          <w:i/>
          <w:color w:val="000000" w:themeColor="text1"/>
          <w:lang w:val="es-ES" w:eastAsia="en-US"/>
        </w:rPr>
        <w:t xml:space="preserve"> </w:t>
      </w:r>
    </w:p>
    <w:p w:rsidR="00217E1D" w:rsidRPr="004061B4" w:rsidRDefault="00217E1D" w:rsidP="00921F85">
      <w:pPr>
        <w:tabs>
          <w:tab w:val="left" w:pos="0"/>
        </w:tabs>
        <w:spacing w:line="360" w:lineRule="auto"/>
        <w:jc w:val="both"/>
        <w:rPr>
          <w:rFonts w:ascii="Palatino Linotype" w:eastAsia="Calibri" w:hAnsi="Palatino Linotype" w:cs="Tahoma"/>
          <w:bCs/>
          <w:color w:val="000000" w:themeColor="text1"/>
          <w:lang w:val="es-ES" w:eastAsia="en-US"/>
        </w:rPr>
      </w:pPr>
    </w:p>
    <w:p w:rsidR="00217E1D" w:rsidRDefault="00217E1D" w:rsidP="00921F85">
      <w:pPr>
        <w:pStyle w:val="Prrafodelista"/>
        <w:numPr>
          <w:ilvl w:val="0"/>
          <w:numId w:val="1"/>
        </w:numPr>
        <w:tabs>
          <w:tab w:val="left" w:pos="0"/>
        </w:tabs>
        <w:spacing w:line="360" w:lineRule="auto"/>
        <w:jc w:val="both"/>
        <w:rPr>
          <w:rFonts w:ascii="Palatino Linotype" w:eastAsia="Calibri" w:hAnsi="Palatino Linotype" w:cs="Tahoma"/>
          <w:b/>
          <w:bCs/>
          <w:color w:val="000000" w:themeColor="text1"/>
          <w:lang w:val="es-ES" w:eastAsia="en-US"/>
        </w:rPr>
      </w:pPr>
      <w:r w:rsidRPr="004061B4">
        <w:rPr>
          <w:rFonts w:ascii="Palatino Linotype" w:eastAsia="Calibri" w:hAnsi="Palatino Linotype" w:cs="Tahoma"/>
          <w:bCs/>
          <w:color w:val="000000" w:themeColor="text1"/>
          <w:lang w:val="es-ES" w:eastAsia="en-US"/>
        </w:rPr>
        <w:t xml:space="preserve">Conforme a lo anterior, se advierte que el dato en comento, hace referencia a un predio determinado, que lo hace identificable mediante su localización geográfica e inscripción al padrón catastral de cada entidad federativa, por lo que pudiera revelar información inherente al patrimonio del propietario de dicho predio o inmueble, por lo que de igual manera </w:t>
      </w:r>
      <w:r w:rsidRPr="004061B4">
        <w:rPr>
          <w:rFonts w:ascii="Palatino Linotype" w:eastAsia="Calibri" w:hAnsi="Palatino Linotype" w:cs="Tahoma"/>
          <w:b/>
          <w:bCs/>
          <w:color w:val="000000" w:themeColor="text1"/>
          <w:lang w:val="es-ES" w:eastAsia="en-US"/>
        </w:rPr>
        <w:t>procede a clasificar dicho dato como confidencial.</w:t>
      </w:r>
    </w:p>
    <w:p w:rsidR="00EF09DD" w:rsidRPr="004061B4" w:rsidRDefault="00EF09DD" w:rsidP="00EF09DD">
      <w:pPr>
        <w:pStyle w:val="Prrafodelista"/>
        <w:tabs>
          <w:tab w:val="left" w:pos="0"/>
        </w:tabs>
        <w:spacing w:line="360" w:lineRule="auto"/>
        <w:ind w:left="0"/>
        <w:jc w:val="both"/>
        <w:rPr>
          <w:rFonts w:ascii="Palatino Linotype" w:eastAsia="Calibri" w:hAnsi="Palatino Linotype" w:cs="Tahoma"/>
          <w:b/>
          <w:bCs/>
          <w:color w:val="000000" w:themeColor="text1"/>
          <w:lang w:val="es-ES" w:eastAsia="en-US"/>
        </w:rPr>
      </w:pPr>
    </w:p>
    <w:p w:rsidR="00894625" w:rsidRPr="00921F85" w:rsidRDefault="004A2C23" w:rsidP="00921F85">
      <w:pPr>
        <w:numPr>
          <w:ilvl w:val="0"/>
          <w:numId w:val="1"/>
        </w:numPr>
        <w:tabs>
          <w:tab w:val="left" w:pos="0"/>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color w:val="000000" w:themeColor="text1"/>
        </w:rPr>
        <w:t xml:space="preserve">Aunado a lo anterior, debe mencionarse que del análisis realizado a las constancias que integran el recurso de revisión materia de la presente resolución, no se aprecia que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hubiese adjuntado el acuerdo del Comité de Transparencia, por medio del cual, se propuso y aprobó la clasificación de diversos datos como información confidencial.</w:t>
      </w:r>
    </w:p>
    <w:p w:rsidR="00894625" w:rsidRPr="00921F85" w:rsidRDefault="00894625" w:rsidP="00921F85">
      <w:pPr>
        <w:tabs>
          <w:tab w:val="left" w:pos="0"/>
        </w:tabs>
        <w:spacing w:line="360" w:lineRule="auto"/>
        <w:jc w:val="both"/>
        <w:rPr>
          <w:rFonts w:ascii="Palatino Linotype" w:eastAsia="Palatino Linotype" w:hAnsi="Palatino Linotype" w:cs="Palatino Linotype"/>
          <w:b/>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En este sentido, es importante señalar que la clasificación total o parcial de la información requerida mediante solicitud de acceso a la información pública, constituye una restricción al derecho humano de acceso a la información.</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En este caso, es un supuesto que la Ley de Transparencia y Acceso a la Información Pública del Estado de México y Municipios, establece el procedimiento legalmente establecido, para ello.</w:t>
      </w:r>
    </w:p>
    <w:p w:rsidR="00894625" w:rsidRPr="00921F85" w:rsidRDefault="00894625" w:rsidP="00921F85">
      <w:pPr>
        <w:pBdr>
          <w:top w:val="nil"/>
          <w:left w:val="nil"/>
          <w:bottom w:val="nil"/>
          <w:right w:val="nil"/>
          <w:between w:val="nil"/>
        </w:pBd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w:t>
      </w:r>
      <w:r w:rsidRPr="00921F85">
        <w:rPr>
          <w:rFonts w:ascii="Palatino Linotype" w:eastAsia="Palatino Linotype" w:hAnsi="Palatino Linotype" w:cs="Palatino Linotype"/>
          <w:b/>
          <w:i/>
          <w:color w:val="000000" w:themeColor="text1"/>
        </w:rPr>
        <w:t>Quincuagésimo.</w:t>
      </w:r>
      <w:r w:rsidRPr="00921F85">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894625" w:rsidRPr="00921F85" w:rsidRDefault="00894625"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b/>
          <w:i/>
          <w:color w:val="000000" w:themeColor="text1"/>
        </w:rPr>
        <w:t>Quincuagésimo primero.</w:t>
      </w:r>
      <w:r w:rsidRPr="00921F85">
        <w:rPr>
          <w:rFonts w:ascii="Palatino Linotype" w:eastAsia="Palatino Linotype" w:hAnsi="Palatino Linotype" w:cs="Palatino Linotype"/>
          <w:i/>
          <w:color w:val="000000" w:themeColor="text1"/>
        </w:rPr>
        <w:t xml:space="preserve"> La leyenda en los documentos clasificados indicará:</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 La fecha de sesión del Comité de Transparencia en donde se confirmó la clasificación, en su caso;</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II. El nombre del área;</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III. La palabra reservado o confidencial;</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IV. Las partes o secciones reservadas o confidenciales, en su caso;</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V. El fundamento legal;</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VI. El periodo de reserva, y</w:t>
      </w:r>
    </w:p>
    <w:p w:rsidR="00894625" w:rsidRPr="00921F85" w:rsidRDefault="004A2C23" w:rsidP="00921F85">
      <w:pPr>
        <w:pBdr>
          <w:top w:val="nil"/>
          <w:left w:val="nil"/>
          <w:bottom w:val="nil"/>
          <w:right w:val="nil"/>
          <w:between w:val="nil"/>
        </w:pBdr>
        <w:tabs>
          <w:tab w:val="left" w:pos="0"/>
          <w:tab w:val="left" w:pos="142"/>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VII. La rúbrica del titular del área.”</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Así, una vez hecho lo anterior, </w:t>
      </w:r>
      <w:r w:rsidRPr="00921F85">
        <w:rPr>
          <w:rFonts w:ascii="Palatino Linotype" w:eastAsia="Palatino Linotype" w:hAnsi="Palatino Linotype" w:cs="Palatino Linotype"/>
          <w:b/>
          <w:color w:val="000000" w:themeColor="text1"/>
        </w:rPr>
        <w:t>se remite la información al Titular de la Unidad de Transparencia, con el acuerdo de clasificación correspondiente, para que sea sometido al conocimiento del Comité de Transparencia.</w:t>
      </w:r>
    </w:p>
    <w:p w:rsidR="00EF09DD" w:rsidRDefault="00EF09DD" w:rsidP="00921F85">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themeColor="text1"/>
        </w:rPr>
      </w:pPr>
      <w:bookmarkStart w:id="10" w:name="_heading=h.jjkwazgp0h1v" w:colFirst="0" w:colLast="0"/>
      <w:bookmarkEnd w:id="10"/>
    </w:p>
    <w:p w:rsidR="00894625" w:rsidRPr="00921F85" w:rsidRDefault="004A2C23" w:rsidP="00921F85">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La intervención del Comité de Transparencia.</w:t>
      </w:r>
    </w:p>
    <w:p w:rsidR="00894625" w:rsidRPr="00921F85" w:rsidRDefault="004A2C23" w:rsidP="00921F85">
      <w:pPr>
        <w:numPr>
          <w:ilvl w:val="0"/>
          <w:numId w:val="6"/>
        </w:numPr>
        <w:pBdr>
          <w:top w:val="nil"/>
          <w:left w:val="nil"/>
          <w:bottom w:val="nil"/>
          <w:right w:val="nil"/>
          <w:between w:val="nil"/>
        </w:pBdr>
        <w:tabs>
          <w:tab w:val="left" w:pos="0"/>
          <w:tab w:val="left" w:pos="142"/>
          <w:tab w:val="left" w:pos="284"/>
          <w:tab w:val="left" w:pos="426"/>
        </w:tabs>
        <w:spacing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Formalidades para emitir el Acuerdo de Clasificación.</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w:t>
      </w:r>
      <w:r w:rsidRPr="00921F85">
        <w:rPr>
          <w:rFonts w:ascii="Palatino Linotype" w:eastAsia="Palatino Linotype" w:hAnsi="Palatino Linotype" w:cs="Palatino Linotype"/>
          <w:color w:val="000000" w:themeColor="text1"/>
        </w:rPr>
        <w:lastRenderedPageBreak/>
        <w:t xml:space="preserve">Lineamientos generales en materia de clasificación y desclasificación de la información, así como para la elaboración de versiones públicas, en adelante los Lineamientos Generales, cuenta con las facultades para </w:t>
      </w:r>
      <w:r w:rsidRPr="00921F85">
        <w:rPr>
          <w:rFonts w:ascii="Palatino Linotype" w:eastAsia="Palatino Linotype" w:hAnsi="Palatino Linotype" w:cs="Palatino Linotype"/>
          <w:b/>
          <w:color w:val="000000" w:themeColor="text1"/>
          <w:u w:val="single"/>
        </w:rPr>
        <w:t>confirmar, modificar o revocar</w:t>
      </w:r>
      <w:r w:rsidRPr="00921F85">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921F85">
        <w:rPr>
          <w:rFonts w:ascii="Palatino Linotype" w:eastAsia="Palatino Linotype" w:hAnsi="Palatino Linotype" w:cs="Palatino Linotype"/>
          <w:b/>
          <w:color w:val="000000" w:themeColor="text1"/>
          <w:u w:val="single"/>
        </w:rPr>
        <w:t>no aprueba</w:t>
      </w:r>
      <w:r w:rsidRPr="00921F85">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921F85">
        <w:rPr>
          <w:rFonts w:ascii="Palatino Linotype" w:eastAsia="Palatino Linotype" w:hAnsi="Palatino Linotype" w:cs="Palatino Linotype"/>
          <w:b/>
          <w:color w:val="000000" w:themeColor="text1"/>
          <w:u w:val="single"/>
        </w:rPr>
        <w:t>el acto reúna con los requisitos elementales</w:t>
      </w:r>
      <w:r w:rsidRPr="00921F85">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94625" w:rsidRPr="00921F85" w:rsidRDefault="004A2C23" w:rsidP="00921F85">
      <w:pPr>
        <w:pBdr>
          <w:top w:val="nil"/>
          <w:left w:val="nil"/>
          <w:bottom w:val="nil"/>
          <w:right w:val="nil"/>
          <w:between w:val="nil"/>
        </w:pBdr>
        <w:tabs>
          <w:tab w:val="left" w:pos="0"/>
          <w:tab w:val="left" w:pos="142"/>
          <w:tab w:val="left" w:pos="284"/>
          <w:tab w:val="left" w:pos="426"/>
        </w:tabs>
        <w:spacing w:line="360" w:lineRule="auto"/>
        <w:ind w:left="567"/>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lastRenderedPageBreak/>
        <w:t>b) Requisitos de fondo del Acuerdo de Clasificación.</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De lo anterior, se desprende que, </w:t>
      </w:r>
      <w:r w:rsidRPr="00921F85">
        <w:rPr>
          <w:rFonts w:ascii="Palatino Linotype" w:eastAsia="Palatino Linotype" w:hAnsi="Palatino Linotype" w:cs="Palatino Linotype"/>
          <w:b/>
          <w:color w:val="000000" w:themeColor="text1"/>
          <w:u w:val="single"/>
        </w:rPr>
        <w:t>para una correcta clasificación total o parcial, esto es determinar los datos que se suprimen en las versiones públicas</w:t>
      </w:r>
      <w:r w:rsidRPr="00921F85">
        <w:rPr>
          <w:rFonts w:ascii="Palatino Linotype" w:eastAsia="Palatino Linotype" w:hAnsi="Palatino Linotype" w:cs="Palatino Linotype"/>
          <w:color w:val="000000" w:themeColor="text1"/>
        </w:rPr>
        <w:t xml:space="preserve">, </w:t>
      </w:r>
      <w:r w:rsidRPr="00921F85">
        <w:rPr>
          <w:rFonts w:ascii="Palatino Linotype" w:eastAsia="Palatino Linotype" w:hAnsi="Palatino Linotype" w:cs="Palatino Linotype"/>
          <w:b/>
          <w:color w:val="000000" w:themeColor="text1"/>
          <w:u w:val="single"/>
        </w:rPr>
        <w:t>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Por su parte, el intérprete judicial del país ha establecido una jurisprudencia respecto a qué debe entenderse por fundamentación y motivación, en los siguientes términos:</w:t>
      </w:r>
    </w:p>
    <w:p w:rsidR="00894625" w:rsidRPr="00921F85" w:rsidRDefault="004A2C23" w:rsidP="00921F85">
      <w:pPr>
        <w:pBdr>
          <w:top w:val="nil"/>
          <w:left w:val="nil"/>
          <w:bottom w:val="nil"/>
          <w:right w:val="nil"/>
          <w:between w:val="nil"/>
        </w:pBdr>
        <w:tabs>
          <w:tab w:val="left" w:pos="0"/>
          <w:tab w:val="left" w:pos="8222"/>
        </w:tabs>
        <w:spacing w:before="240" w:after="240"/>
        <w:ind w:left="567"/>
        <w:jc w:val="both"/>
        <w:rPr>
          <w:rFonts w:ascii="Palatino Linotype" w:eastAsia="Palatino Linotype" w:hAnsi="Palatino Linotype" w:cs="Palatino Linotype"/>
          <w:b/>
          <w:color w:val="000000" w:themeColor="text1"/>
          <w:u w:val="single"/>
        </w:rPr>
      </w:pPr>
      <w:r w:rsidRPr="00921F85">
        <w:rPr>
          <w:rFonts w:ascii="Palatino Linotype" w:eastAsia="Palatino Linotype" w:hAnsi="Palatino Linotype" w:cs="Palatino Linotype"/>
          <w:b/>
          <w:i/>
          <w:color w:val="000000" w:themeColor="text1"/>
        </w:rPr>
        <w:t>FUNDAMENTACIÓN Y MOTIVACIÓN.</w:t>
      </w:r>
      <w:r w:rsidRPr="00921F85">
        <w:rPr>
          <w:rFonts w:ascii="Palatino Linotype" w:eastAsia="Palatino Linotype" w:hAnsi="Palatino Linotype" w:cs="Palatino Linotype"/>
          <w:i/>
          <w:color w:val="000000" w:themeColor="text1"/>
        </w:rPr>
        <w:t xml:space="preserve"> “La </w:t>
      </w:r>
      <w:r w:rsidRPr="00921F85">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21F85">
        <w:rPr>
          <w:rFonts w:ascii="Palatino Linotype" w:eastAsia="Palatino Linotype" w:hAnsi="Palatino Linotype" w:cs="Palatino Linotype"/>
          <w:i/>
          <w:color w:val="000000" w:themeColor="text1"/>
        </w:rPr>
        <w:t>.”</w:t>
      </w:r>
    </w:p>
    <w:p w:rsidR="00894625" w:rsidRPr="00921F85" w:rsidRDefault="00894625" w:rsidP="00921F85">
      <w:pPr>
        <w:tabs>
          <w:tab w:val="left" w:pos="0"/>
          <w:tab w:val="left" w:pos="8222"/>
        </w:tabs>
        <w:ind w:left="567"/>
        <w:jc w:val="both"/>
        <w:rPr>
          <w:rFonts w:ascii="Palatino Linotype" w:eastAsia="Palatino Linotype" w:hAnsi="Palatino Linotype" w:cs="Palatino Linotype"/>
          <w:i/>
          <w:color w:val="000000" w:themeColor="text1"/>
        </w:rPr>
      </w:pPr>
    </w:p>
    <w:p w:rsidR="00894625" w:rsidRPr="00921F85" w:rsidRDefault="004A2C23" w:rsidP="00921F85">
      <w:pPr>
        <w:tabs>
          <w:tab w:val="left" w:pos="0"/>
          <w:tab w:val="left" w:pos="8222"/>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lastRenderedPageBreak/>
        <w:t>SEGUNDO TRIBUNAL COLEGIADO DEL SEXTO CIRCUITO.</w:t>
      </w:r>
    </w:p>
    <w:p w:rsidR="00894625" w:rsidRPr="00921F85" w:rsidRDefault="004A2C23" w:rsidP="00921F85">
      <w:pPr>
        <w:tabs>
          <w:tab w:val="left" w:pos="0"/>
          <w:tab w:val="left" w:pos="8222"/>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Amparo directo 194/88. Bufete Industrial Construcciones, S.A. de C.V. 28 de junio de 1988. Unanimidad de votos. Ponente: Gustavo Calvillo Rangel. Secretario: Jorge Alberto González Álvarez.</w:t>
      </w:r>
    </w:p>
    <w:p w:rsidR="00894625" w:rsidRPr="00921F85" w:rsidRDefault="004A2C23" w:rsidP="00921F85">
      <w:pPr>
        <w:tabs>
          <w:tab w:val="left" w:pos="0"/>
          <w:tab w:val="left" w:pos="8222"/>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894625" w:rsidRPr="00921F85" w:rsidRDefault="004A2C23" w:rsidP="00921F85">
      <w:pPr>
        <w:tabs>
          <w:tab w:val="left" w:pos="0"/>
          <w:tab w:val="left" w:pos="8222"/>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894625" w:rsidRPr="00921F85" w:rsidRDefault="004A2C23" w:rsidP="00921F85">
      <w:pPr>
        <w:tabs>
          <w:tab w:val="left" w:pos="0"/>
          <w:tab w:val="left" w:pos="8222"/>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894625" w:rsidRPr="00921F85" w:rsidRDefault="004A2C23" w:rsidP="00921F85">
      <w:pPr>
        <w:tabs>
          <w:tab w:val="left" w:pos="0"/>
          <w:tab w:val="left" w:pos="8222"/>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894625" w:rsidRPr="00921F85" w:rsidRDefault="00894625" w:rsidP="00921F85">
      <w:pPr>
        <w:pBdr>
          <w:top w:val="nil"/>
          <w:left w:val="nil"/>
          <w:bottom w:val="nil"/>
          <w:right w:val="nil"/>
          <w:between w:val="nil"/>
        </w:pBdr>
        <w:tabs>
          <w:tab w:val="left" w:pos="0"/>
          <w:tab w:val="left" w:pos="8222"/>
        </w:tabs>
        <w:spacing w:line="360" w:lineRule="auto"/>
        <w:ind w:left="567"/>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En consecuencia, la fundamentación y motivación implica que, en el acto de autoridad, además de contenerse los supuestos jurídicos aplicables se expliquen claramente por qué a través de la utilización de la norma se emitió el acto. </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De este modo, la persona que se sienta afectada pueda impugnar la decisión, permitiéndole una real y auténtica defensa. En ese mismo sentido, el numeral trigésimo tercero fracción V de los Lineamientos Generales, precisa que para motivar la clasificación se deben acreditar las circunstancias de tiempo, modo y lugar.</w:t>
      </w:r>
    </w:p>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En ese caso, se precisa que, si bien se entregaron los contratos solicitados, no se proporcionó el Acuerdo emitido por el Comité de Transparencia que sustente la versión pública, aunado a que, del análisis realizado, resulta incorrecta.</w:t>
      </w:r>
    </w:p>
    <w:p w:rsidR="00894625" w:rsidRPr="00921F85" w:rsidRDefault="00894625" w:rsidP="00921F85">
      <w:pPr>
        <w:tabs>
          <w:tab w:val="left" w:pos="0"/>
        </w:tabs>
        <w:spacing w:line="360" w:lineRule="auto"/>
        <w:jc w:val="both"/>
        <w:rPr>
          <w:rFonts w:ascii="Palatino Linotype" w:eastAsia="Palatino Linotype" w:hAnsi="Palatino Linotype" w:cs="Palatino Linotype"/>
          <w:color w:val="000000" w:themeColor="text1"/>
        </w:rPr>
      </w:pPr>
    </w:p>
    <w:p w:rsidR="00894625" w:rsidRPr="004061B4"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4061B4">
        <w:rPr>
          <w:rFonts w:ascii="Palatino Linotype" w:eastAsia="Palatino Linotype" w:hAnsi="Palatino Linotype" w:cs="Palatino Linotype"/>
          <w:color w:val="000000" w:themeColor="text1"/>
        </w:rPr>
        <w:t xml:space="preserve">En consecuencia, este Órgano Garante, estima que las razones o motivos de inconformidad hechos valer por el </w:t>
      </w:r>
      <w:r w:rsidRPr="004061B4">
        <w:rPr>
          <w:rFonts w:ascii="Palatino Linotype" w:eastAsia="Palatino Linotype" w:hAnsi="Palatino Linotype" w:cs="Palatino Linotype"/>
          <w:b/>
          <w:color w:val="000000" w:themeColor="text1"/>
        </w:rPr>
        <w:t xml:space="preserve">RECURRENTE </w:t>
      </w:r>
      <w:r w:rsidRPr="004061B4">
        <w:rPr>
          <w:rFonts w:ascii="Palatino Linotype" w:eastAsia="Palatino Linotype" w:hAnsi="Palatino Linotype" w:cs="Palatino Linotype"/>
          <w:color w:val="000000" w:themeColor="text1"/>
        </w:rPr>
        <w:t xml:space="preserve">devienen fundadas y suficientes para </w:t>
      </w:r>
      <w:r w:rsidRPr="004061B4">
        <w:rPr>
          <w:rFonts w:ascii="Palatino Linotype" w:eastAsia="Palatino Linotype" w:hAnsi="Palatino Linotype" w:cs="Palatino Linotype"/>
          <w:b/>
          <w:color w:val="000000" w:themeColor="text1"/>
        </w:rPr>
        <w:t>ORDENAR</w:t>
      </w:r>
      <w:r w:rsidRPr="004061B4">
        <w:rPr>
          <w:rFonts w:ascii="Palatino Linotype" w:eastAsia="Palatino Linotype" w:hAnsi="Palatino Linotype" w:cs="Palatino Linotype"/>
          <w:color w:val="000000" w:themeColor="text1"/>
        </w:rPr>
        <w:t xml:space="preserve"> al </w:t>
      </w:r>
      <w:r w:rsidRPr="004061B4">
        <w:rPr>
          <w:rFonts w:ascii="Palatino Linotype" w:eastAsia="Palatino Linotype" w:hAnsi="Palatino Linotype" w:cs="Palatino Linotype"/>
          <w:b/>
          <w:color w:val="000000" w:themeColor="text1"/>
        </w:rPr>
        <w:t>SUJETO OBLIGADO</w:t>
      </w:r>
      <w:r w:rsidRPr="004061B4">
        <w:rPr>
          <w:rFonts w:ascii="Palatino Linotype" w:eastAsia="Palatino Linotype" w:hAnsi="Palatino Linotype" w:cs="Palatino Linotype"/>
          <w:color w:val="000000" w:themeColor="text1"/>
        </w:rPr>
        <w:t xml:space="preserve"> haga entrega, en versión pública correcta, </w:t>
      </w:r>
      <w:r w:rsidR="00217E1D" w:rsidRPr="004061B4">
        <w:rPr>
          <w:rFonts w:ascii="Palatino Linotype" w:eastAsia="Palatino Linotype" w:hAnsi="Palatino Linotype" w:cs="Palatino Linotype"/>
          <w:b/>
          <w:color w:val="000000" w:themeColor="text1"/>
        </w:rPr>
        <w:t>las licencias y autorizaciones de cambio de uso de suelo remitidas mediante informe justificado.</w:t>
      </w:r>
    </w:p>
    <w:p w:rsidR="00894625" w:rsidRPr="00921F85" w:rsidRDefault="004A2C23" w:rsidP="00921F85">
      <w:pPr>
        <w:pBdr>
          <w:top w:val="nil"/>
          <w:left w:val="nil"/>
          <w:bottom w:val="nil"/>
          <w:right w:val="nil"/>
          <w:between w:val="nil"/>
        </w:pBdr>
        <w:tabs>
          <w:tab w:val="left" w:pos="0"/>
        </w:tabs>
        <w:spacing w:before="240" w:after="240"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QUINTO. VERSIÓN PÚBLICA.</w:t>
      </w:r>
    </w:p>
    <w:p w:rsidR="00894625" w:rsidRPr="00921F85" w:rsidRDefault="004A2C23" w:rsidP="00921F85">
      <w:pPr>
        <w:keepNext/>
        <w:keepLines/>
        <w:numPr>
          <w:ilvl w:val="0"/>
          <w:numId w:val="2"/>
        </w:numPr>
        <w:tabs>
          <w:tab w:val="left" w:pos="0"/>
        </w:tabs>
        <w:spacing w:line="360" w:lineRule="auto"/>
        <w:ind w:left="284" w:firstLine="0"/>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 xml:space="preserve">Nociones generales. </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Debe destacarse que, debido a la naturaleza de la información solicitada</w:t>
      </w:r>
      <w:r w:rsidRPr="00921F85">
        <w:rPr>
          <w:rFonts w:ascii="Palatino Linotype" w:eastAsia="Palatino Linotype" w:hAnsi="Palatino Linotype" w:cs="Palatino Linotype"/>
          <w:b/>
          <w:color w:val="000000" w:themeColor="text1"/>
        </w:rPr>
        <w:t xml:space="preserve">, </w:t>
      </w:r>
      <w:r w:rsidRPr="00921F85">
        <w:rPr>
          <w:rFonts w:ascii="Palatino Linotype" w:eastAsia="Palatino Linotype" w:hAnsi="Palatino Linotype" w:cs="Palatino Linotype"/>
          <w:color w:val="000000" w:themeColor="text1"/>
        </w:rPr>
        <w:t xml:space="preserve">eventualmente pudiera obrar datos personales susceptibles de protegerse, el </w:t>
      </w:r>
      <w:r w:rsidRPr="00921F85">
        <w:rPr>
          <w:rFonts w:ascii="Palatino Linotype" w:eastAsia="Palatino Linotype" w:hAnsi="Palatino Linotype" w:cs="Palatino Linotype"/>
          <w:b/>
          <w:color w:val="000000" w:themeColor="text1"/>
        </w:rPr>
        <w:t xml:space="preserve">SUJETO OBLIGADO </w:t>
      </w:r>
      <w:r w:rsidRPr="00921F85">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No pasa desapercibido para este Órgano Garante que los Sujetos Obligados</w:t>
      </w:r>
      <w:r w:rsidRPr="00921F85">
        <w:rPr>
          <w:rFonts w:ascii="Palatino Linotype" w:eastAsia="Palatino Linotype" w:hAnsi="Palatino Linotype" w:cs="Palatino Linotype"/>
          <w:b/>
          <w:color w:val="000000" w:themeColor="text1"/>
        </w:rPr>
        <w:t xml:space="preserve"> </w:t>
      </w:r>
      <w:r w:rsidRPr="00921F85">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89462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78505C" w:rsidRPr="00921F85" w:rsidRDefault="0078505C"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tbl>
      <w:tblPr>
        <w:tblStyle w:val="af0"/>
        <w:tblW w:w="991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972"/>
        <w:gridCol w:w="6944"/>
      </w:tblGrid>
      <w:tr w:rsidR="00921F85" w:rsidRPr="00921F85" w:rsidTr="00EF09DD">
        <w:tc>
          <w:tcPr>
            <w:tcW w:w="2972" w:type="dxa"/>
          </w:tcPr>
          <w:p w:rsidR="00894625" w:rsidRPr="00921F85" w:rsidRDefault="004A2C23" w:rsidP="00921F85">
            <w:pPr>
              <w:tabs>
                <w:tab w:val="left" w:pos="0"/>
              </w:tabs>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a) Requisitos previos.</w:t>
            </w:r>
          </w:p>
        </w:tc>
        <w:tc>
          <w:tcPr>
            <w:tcW w:w="6944" w:type="dxa"/>
          </w:tcPr>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921F85">
              <w:rPr>
                <w:rFonts w:ascii="Palatino Linotype" w:eastAsia="Palatino Linotype" w:hAnsi="Palatino Linotype" w:cs="Palatino Linotype"/>
                <w:color w:val="000000" w:themeColor="text1"/>
                <w:u w:val="single"/>
              </w:rPr>
              <w:t>no se puede hacer un acuerdo para clasificar de manera general todos los documentos de un expediente o área, sin</w:t>
            </w:r>
            <w:r w:rsidRPr="00921F85">
              <w:rPr>
                <w:rFonts w:ascii="Palatino Linotype" w:eastAsia="Palatino Linotype" w:hAnsi="Palatino Linotype" w:cs="Palatino Linotype"/>
                <w:color w:val="000000" w:themeColor="text1"/>
              </w:rPr>
              <w:t xml:space="preserve"> individualizar su análisis y tampoco se puede hacer un acuerdo por cada dato que se vaya a clasificar dentro de un documento con diez datos, por ejemplo, susceptibles de ser clasificados.</w:t>
            </w:r>
          </w:p>
        </w:tc>
      </w:tr>
      <w:tr w:rsidR="00921F85" w:rsidRPr="00921F85" w:rsidTr="00EF09DD">
        <w:tc>
          <w:tcPr>
            <w:tcW w:w="2972" w:type="dxa"/>
          </w:tcPr>
          <w:p w:rsidR="00894625" w:rsidRPr="00921F85" w:rsidRDefault="004A2C23" w:rsidP="00921F85">
            <w:pPr>
              <w:tabs>
                <w:tab w:val="left" w:pos="0"/>
              </w:tabs>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b) Supuestos de clasificación.</w:t>
            </w:r>
          </w:p>
        </w:tc>
        <w:tc>
          <w:tcPr>
            <w:tcW w:w="6944" w:type="dxa"/>
          </w:tcPr>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921F85" w:rsidRPr="00921F85" w:rsidTr="00EF09DD">
        <w:tc>
          <w:tcPr>
            <w:tcW w:w="2972" w:type="dxa"/>
          </w:tcPr>
          <w:p w:rsidR="00894625" w:rsidRPr="00921F85" w:rsidRDefault="004A2C23" w:rsidP="00921F85">
            <w:pPr>
              <w:tabs>
                <w:tab w:val="left" w:pos="0"/>
              </w:tabs>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c) Formalidades para emitir el acuerdo de clasificación.</w:t>
            </w:r>
          </w:p>
        </w:tc>
        <w:tc>
          <w:tcPr>
            <w:tcW w:w="6944" w:type="dxa"/>
          </w:tcPr>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Es necesario que </w:t>
            </w:r>
            <w:r w:rsidRPr="00921F85">
              <w:rPr>
                <w:rFonts w:ascii="Palatino Linotype" w:eastAsia="Palatino Linotype" w:hAnsi="Palatino Linotype" w:cs="Palatino Linotype"/>
                <w:b/>
                <w:color w:val="000000" w:themeColor="text1"/>
                <w:u w:val="single"/>
              </w:rPr>
              <w:t>el acto reúna con los requisitos elementales</w:t>
            </w:r>
            <w:r w:rsidRPr="00921F85">
              <w:rPr>
                <w:rFonts w:ascii="Palatino Linotype" w:eastAsia="Palatino Linotype" w:hAnsi="Palatino Linotype" w:cs="Palatino Linotype"/>
                <w:color w:val="000000" w:themeColor="text1"/>
              </w:rPr>
              <w:t>, entre ellos, que la autoridad que va a emitir el acto de autoridad sea la legalmente facultada para ello.</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921F85" w:rsidRPr="00921F85" w:rsidTr="00EF09DD">
        <w:tc>
          <w:tcPr>
            <w:tcW w:w="2972" w:type="dxa"/>
          </w:tcPr>
          <w:p w:rsidR="00894625" w:rsidRPr="00921F85" w:rsidRDefault="00894625" w:rsidP="00921F85">
            <w:pPr>
              <w:tabs>
                <w:tab w:val="left" w:pos="0"/>
              </w:tabs>
              <w:rPr>
                <w:rFonts w:ascii="Palatino Linotype" w:eastAsia="Palatino Linotype" w:hAnsi="Palatino Linotype" w:cs="Palatino Linotype"/>
                <w:color w:val="000000" w:themeColor="text1"/>
              </w:rPr>
            </w:pP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d) Requisitos de fondo del acuerdo de clasificación. </w:t>
            </w:r>
          </w:p>
        </w:tc>
        <w:tc>
          <w:tcPr>
            <w:tcW w:w="6944" w:type="dxa"/>
          </w:tcPr>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921F85">
              <w:rPr>
                <w:rFonts w:ascii="Palatino Linotype" w:eastAsia="Palatino Linotype" w:hAnsi="Palatino Linotype" w:cs="Palatino Linotype"/>
                <w:b/>
                <w:color w:val="000000" w:themeColor="text1"/>
              </w:rPr>
              <w:t>Sujetos Obligados</w:t>
            </w:r>
            <w:r w:rsidRPr="00921F85">
              <w:rPr>
                <w:rFonts w:ascii="Palatino Linotype" w:eastAsia="Palatino Linotype" w:hAnsi="Palatino Linotype" w:cs="Palatino Linotype"/>
                <w:color w:val="000000" w:themeColor="text1"/>
              </w:rPr>
              <w:t xml:space="preserve">, por lo que deberán fundar y motivar debidamente la clasificación. </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De lo anterior, se desprende que para una correcta </w:t>
            </w:r>
            <w:r w:rsidRPr="00921F85">
              <w:rPr>
                <w:rFonts w:ascii="Palatino Linotype" w:eastAsia="Palatino Linotype" w:hAnsi="Palatino Linotype" w:cs="Palatino Linotype"/>
                <w:b/>
                <w:color w:val="000000" w:themeColor="text1"/>
              </w:rPr>
              <w:t>clasificación total o parcial</w:t>
            </w:r>
            <w:r w:rsidRPr="00921F85">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w:t>
            </w:r>
            <w:r w:rsidRPr="00921F85">
              <w:rPr>
                <w:rFonts w:ascii="Palatino Linotype" w:eastAsia="Palatino Linotype" w:hAnsi="Palatino Linotype" w:cs="Palatino Linotype"/>
                <w:color w:val="000000" w:themeColor="text1"/>
              </w:rPr>
              <w:lastRenderedPageBreak/>
              <w:t>impugnar la decisión, permitiéndole una real y auténtica defensa.</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Ahora bien, </w:t>
            </w:r>
            <w:r w:rsidRPr="00921F85">
              <w:rPr>
                <w:rFonts w:ascii="Palatino Linotype" w:eastAsia="Palatino Linotype" w:hAnsi="Palatino Linotype" w:cs="Palatino Linotype"/>
                <w:b/>
                <w:color w:val="000000" w:themeColor="text1"/>
                <w:u w:val="single"/>
              </w:rPr>
              <w:t>para cada caso además de fundar y motivar</w:t>
            </w:r>
            <w:r w:rsidRPr="00921F85">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94625" w:rsidRPr="00921F85" w:rsidTr="00EF09DD">
        <w:tc>
          <w:tcPr>
            <w:tcW w:w="2972" w:type="dxa"/>
          </w:tcPr>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tc>
        <w:tc>
          <w:tcPr>
            <w:tcW w:w="6944" w:type="dxa"/>
          </w:tcPr>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94625" w:rsidRPr="00921F85" w:rsidRDefault="004A2C23" w:rsidP="00921F85">
            <w:pPr>
              <w:tabs>
                <w:tab w:val="left" w:pos="0"/>
              </w:tabs>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94625" w:rsidRPr="00921F85" w:rsidRDefault="004A2C23" w:rsidP="00921F85">
            <w:pPr>
              <w:tabs>
                <w:tab w:val="left" w:pos="0"/>
              </w:tabs>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894625" w:rsidRPr="00921F85" w:rsidRDefault="004A2C23" w:rsidP="00921F85">
      <w:pPr>
        <w:keepNext/>
        <w:keepLines/>
        <w:tabs>
          <w:tab w:val="left" w:pos="0"/>
          <w:tab w:val="left" w:pos="284"/>
        </w:tabs>
        <w:spacing w:before="240"/>
        <w:rPr>
          <w:rFonts w:ascii="Palatino Linotype" w:eastAsia="Palatino Linotype" w:hAnsi="Palatino Linotype" w:cs="Palatino Linotype"/>
          <w:b/>
          <w:color w:val="000000" w:themeColor="text1"/>
        </w:rPr>
      </w:pPr>
      <w:bookmarkStart w:id="11" w:name="_heading=h.h7q19ae01xod" w:colFirst="0" w:colLast="0"/>
      <w:bookmarkEnd w:id="11"/>
      <w:r w:rsidRPr="00921F85">
        <w:rPr>
          <w:rFonts w:ascii="Palatino Linotype" w:eastAsia="Palatino Linotype" w:hAnsi="Palatino Linotype" w:cs="Palatino Linotype"/>
          <w:b/>
          <w:color w:val="000000" w:themeColor="text1"/>
        </w:rPr>
        <w:lastRenderedPageBreak/>
        <w:t>SEXTO Vista al órgano de control interno.</w:t>
      </w:r>
    </w:p>
    <w:p w:rsidR="00894625" w:rsidRPr="00921F85" w:rsidRDefault="004A2C23" w:rsidP="00921F85">
      <w:pPr>
        <w:numPr>
          <w:ilvl w:val="0"/>
          <w:numId w:val="1"/>
        </w:num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La Ley de Transparencia y Acceso a la Información Pública del Estado de México y Municipios en los artículos 222 fracción I y II, 162 y 59 fracción I y II establecen los siguiente:</w:t>
      </w: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Artículo 222. Son causas de responsabilidad administrativa de los servidores públicos de los sujetos obligados, por incumplimiento de las obligaciones establecidas en la materia de la presente Ley, las siguientes:</w:t>
      </w: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 xml:space="preserve">I. Cualquier acto u omisión que provoque la suspensión o deficiencia en la atención de las solicitudes de información; </w:t>
      </w: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II. La falta de respuesta a las solicitudes de información en los plazos señalados en la normatividad aplicable;</w:t>
      </w: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III. a XXI. …</w:t>
      </w:r>
    </w:p>
    <w:p w:rsidR="00894625" w:rsidRPr="00921F85" w:rsidRDefault="00894625" w:rsidP="00921F85">
      <w:pPr>
        <w:tabs>
          <w:tab w:val="left" w:pos="0"/>
          <w:tab w:val="left" w:pos="284"/>
        </w:tabs>
        <w:ind w:left="567"/>
        <w:jc w:val="both"/>
        <w:rPr>
          <w:rFonts w:ascii="Palatino Linotype" w:eastAsia="Palatino Linotype" w:hAnsi="Palatino Linotype" w:cs="Palatino Linotype"/>
          <w:i/>
          <w:color w:val="000000" w:themeColor="text1"/>
        </w:rPr>
      </w:pP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894625" w:rsidRPr="00921F85" w:rsidRDefault="00894625" w:rsidP="00921F85">
      <w:pPr>
        <w:tabs>
          <w:tab w:val="left" w:pos="0"/>
          <w:tab w:val="left" w:pos="284"/>
        </w:tabs>
        <w:ind w:left="567"/>
        <w:jc w:val="both"/>
        <w:rPr>
          <w:rFonts w:ascii="Palatino Linotype" w:eastAsia="Palatino Linotype" w:hAnsi="Palatino Linotype" w:cs="Palatino Linotype"/>
          <w:i/>
          <w:color w:val="000000" w:themeColor="text1"/>
        </w:rPr>
      </w:pP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Artículo 59. Los servidores públicos habilitados tendrán las funciones siguientes:</w:t>
      </w:r>
    </w:p>
    <w:p w:rsidR="00894625" w:rsidRPr="00921F85" w:rsidRDefault="00894625" w:rsidP="00921F85">
      <w:pPr>
        <w:tabs>
          <w:tab w:val="left" w:pos="0"/>
          <w:tab w:val="left" w:pos="284"/>
        </w:tabs>
        <w:ind w:left="567"/>
        <w:jc w:val="both"/>
        <w:rPr>
          <w:rFonts w:ascii="Palatino Linotype" w:eastAsia="Palatino Linotype" w:hAnsi="Palatino Linotype" w:cs="Palatino Linotype"/>
          <w:i/>
          <w:color w:val="000000" w:themeColor="text1"/>
        </w:rPr>
      </w:pP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 xml:space="preserve">I. Localizar la información que le solicite la Unidad de Transparencia; </w:t>
      </w: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II. Proporcionar la información que obre en los archivos y que le sea solicitada por la Unidad de Transparencia;</w:t>
      </w:r>
    </w:p>
    <w:p w:rsidR="00894625" w:rsidRPr="00921F85" w:rsidRDefault="004A2C23" w:rsidP="00921F85">
      <w:pPr>
        <w:tabs>
          <w:tab w:val="left" w:pos="0"/>
          <w:tab w:val="left" w:pos="284"/>
        </w:tabs>
        <w:ind w:left="567"/>
        <w:jc w:val="both"/>
        <w:rPr>
          <w:rFonts w:ascii="Palatino Linotype" w:eastAsia="Palatino Linotype" w:hAnsi="Palatino Linotype" w:cs="Palatino Linotype"/>
          <w:i/>
          <w:color w:val="000000" w:themeColor="text1"/>
        </w:rPr>
      </w:pPr>
      <w:r w:rsidRPr="00921F85">
        <w:rPr>
          <w:rFonts w:ascii="Palatino Linotype" w:eastAsia="Palatino Linotype" w:hAnsi="Palatino Linotype" w:cs="Palatino Linotype"/>
          <w:i/>
          <w:color w:val="000000" w:themeColor="text1"/>
        </w:rPr>
        <w:t>III. a VII. …</w:t>
      </w:r>
    </w:p>
    <w:p w:rsidR="00894625" w:rsidRPr="00921F85" w:rsidRDefault="00894625" w:rsidP="00921F85">
      <w:pPr>
        <w:tabs>
          <w:tab w:val="left" w:pos="0"/>
          <w:tab w:val="left" w:pos="284"/>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tabs>
          <w:tab w:val="left" w:pos="0"/>
          <w:tab w:val="left" w:pos="284"/>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894625" w:rsidRPr="00921F85" w:rsidRDefault="00894625" w:rsidP="00921F85">
      <w:pPr>
        <w:tabs>
          <w:tab w:val="left" w:pos="0"/>
          <w:tab w:val="left" w:pos="284"/>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tabs>
          <w:tab w:val="left" w:pos="0"/>
          <w:tab w:val="left" w:pos="284"/>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894625" w:rsidRPr="00921F85" w:rsidRDefault="00894625" w:rsidP="00921F85">
      <w:pPr>
        <w:tabs>
          <w:tab w:val="left" w:pos="0"/>
          <w:tab w:val="left" w:pos="284"/>
        </w:tabs>
        <w:spacing w:line="360" w:lineRule="auto"/>
        <w:jc w:val="both"/>
        <w:rPr>
          <w:rFonts w:ascii="Palatino Linotype" w:eastAsia="Palatino Linotype" w:hAnsi="Palatino Linotype" w:cs="Palatino Linotype"/>
          <w:color w:val="000000" w:themeColor="text1"/>
        </w:rPr>
      </w:pPr>
    </w:p>
    <w:p w:rsidR="00EF09DD" w:rsidRPr="00EF09DD" w:rsidRDefault="004A2C23" w:rsidP="00EF09DD">
      <w:pPr>
        <w:numPr>
          <w:ilvl w:val="0"/>
          <w:numId w:val="1"/>
        </w:numPr>
        <w:tabs>
          <w:tab w:val="left" w:pos="0"/>
          <w:tab w:val="left" w:pos="284"/>
        </w:tabs>
        <w:spacing w:after="240"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En el presente asunto en particular, se tiene que el Titular de la Unidad de Transparencia no turnó la solicitud al Servidor Público Habilitado.</w:t>
      </w:r>
    </w:p>
    <w:p w:rsidR="00894625" w:rsidRPr="00921F85" w:rsidRDefault="004A2C23" w:rsidP="00921F85">
      <w:pPr>
        <w:numPr>
          <w:ilvl w:val="0"/>
          <w:numId w:val="1"/>
        </w:numPr>
        <w:pBdr>
          <w:top w:val="nil"/>
          <w:left w:val="nil"/>
          <w:bottom w:val="nil"/>
          <w:right w:val="nil"/>
          <w:between w:val="nil"/>
        </w:pBdr>
        <w:tabs>
          <w:tab w:val="left" w:pos="0"/>
          <w:tab w:val="left" w:pos="284"/>
        </w:tabs>
        <w:spacing w:before="240"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Se tiene que el Titular de la Unidad de Transparencia incumplió con sus funciones, atribuciones y competencias, al no dar trámite a la solicitud, lo cual tuvo como consecuencia la falta de respuesta a ambas solicitudes.</w:t>
      </w:r>
    </w:p>
    <w:p w:rsidR="00894625" w:rsidRPr="00921F85" w:rsidRDefault="00894625" w:rsidP="00921F8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numPr>
          <w:ilvl w:val="0"/>
          <w:numId w:val="1"/>
        </w:num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rsidR="00894625" w:rsidRPr="00921F85" w:rsidRDefault="00894625" w:rsidP="00921F85">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themeColor="text1"/>
        </w:rPr>
      </w:pPr>
    </w:p>
    <w:p w:rsidR="00894625" w:rsidRDefault="004A2C23" w:rsidP="00921F85">
      <w:pPr>
        <w:numPr>
          <w:ilvl w:val="0"/>
          <w:numId w:val="1"/>
        </w:numPr>
        <w:pBdr>
          <w:top w:val="nil"/>
          <w:left w:val="nil"/>
          <w:bottom w:val="nil"/>
          <w:right w:val="nil"/>
          <w:between w:val="nil"/>
        </w:pBdr>
        <w:tabs>
          <w:tab w:val="left" w:pos="0"/>
          <w:tab w:val="left" w:pos="284"/>
        </w:tabs>
        <w:spacing w:after="240"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color w:val="000000" w:themeColor="text1"/>
        </w:rPr>
        <w:t xml:space="preserve">Por lo anteriormente expuesto y fundado, este </w:t>
      </w:r>
      <w:r w:rsidRPr="00921F85">
        <w:rPr>
          <w:rFonts w:ascii="Palatino Linotype" w:eastAsia="Palatino Linotype" w:hAnsi="Palatino Linotype" w:cs="Palatino Linotype"/>
          <w:b/>
          <w:color w:val="000000" w:themeColor="text1"/>
        </w:rPr>
        <w:t>ÓRGANO GARANTE</w:t>
      </w:r>
      <w:r w:rsidRPr="00921F85">
        <w:rPr>
          <w:rFonts w:ascii="Palatino Linotype" w:eastAsia="Palatino Linotype" w:hAnsi="Palatino Linotype" w:cs="Palatino Linotype"/>
          <w:color w:val="000000" w:themeColor="text1"/>
        </w:rPr>
        <w:t xml:space="preserve"> emite los siguientes:</w:t>
      </w:r>
      <w:r w:rsidR="00EF09DD">
        <w:rPr>
          <w:rFonts w:ascii="Palatino Linotype" w:eastAsia="Palatino Linotype" w:hAnsi="Palatino Linotype" w:cs="Palatino Linotype"/>
          <w:color w:val="000000" w:themeColor="text1"/>
        </w:rPr>
        <w:t xml:space="preserve"> ---------------------------------------------------------------------------------------------------------</w:t>
      </w:r>
    </w:p>
    <w:p w:rsidR="00EF09DD" w:rsidRDefault="00EF09DD" w:rsidP="00EF09DD">
      <w:pPr>
        <w:pStyle w:val="Prrafodelista"/>
        <w:rPr>
          <w:rFonts w:ascii="Palatino Linotype" w:eastAsia="Palatino Linotype" w:hAnsi="Palatino Linotype" w:cs="Palatino Linotype"/>
          <w:color w:val="000000" w:themeColor="text1"/>
        </w:rPr>
      </w:pPr>
    </w:p>
    <w:p w:rsidR="00EF09DD" w:rsidRPr="00921F85" w:rsidRDefault="00EF09DD" w:rsidP="00EF09DD">
      <w:pPr>
        <w:pBdr>
          <w:top w:val="nil"/>
          <w:left w:val="nil"/>
          <w:bottom w:val="nil"/>
          <w:right w:val="nil"/>
          <w:between w:val="nil"/>
        </w:pBdr>
        <w:tabs>
          <w:tab w:val="left" w:pos="0"/>
          <w:tab w:val="left" w:pos="284"/>
        </w:tabs>
        <w:spacing w:after="240" w:line="360" w:lineRule="auto"/>
        <w:jc w:val="both"/>
        <w:rPr>
          <w:rFonts w:ascii="Palatino Linotype" w:eastAsia="Palatino Linotype" w:hAnsi="Palatino Linotype" w:cs="Palatino Linotype"/>
          <w:color w:val="000000" w:themeColor="text1"/>
        </w:rPr>
      </w:pPr>
    </w:p>
    <w:p w:rsidR="00894625" w:rsidRPr="00921F85" w:rsidRDefault="00894625" w:rsidP="00921F85">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pStyle w:val="Ttulo1"/>
        <w:tabs>
          <w:tab w:val="left" w:pos="0"/>
        </w:tabs>
        <w:spacing w:before="0" w:line="360" w:lineRule="auto"/>
        <w:jc w:val="center"/>
        <w:rPr>
          <w:b w:val="0"/>
          <w:color w:val="000000" w:themeColor="text1"/>
        </w:rPr>
      </w:pPr>
      <w:r w:rsidRPr="00921F85">
        <w:rPr>
          <w:color w:val="000000" w:themeColor="text1"/>
        </w:rPr>
        <w:lastRenderedPageBreak/>
        <w:t>R E S O L U T I V O S</w:t>
      </w:r>
    </w:p>
    <w:p w:rsidR="00894625" w:rsidRPr="00921F85" w:rsidRDefault="00894625" w:rsidP="00921F85">
      <w:pPr>
        <w:tabs>
          <w:tab w:val="left" w:pos="0"/>
        </w:tabs>
        <w:spacing w:line="360" w:lineRule="auto"/>
        <w:rPr>
          <w:rFonts w:ascii="Palatino Linotype" w:eastAsia="Palatino Linotype" w:hAnsi="Palatino Linotype" w:cs="Palatino Linotype"/>
          <w:color w:val="000000" w:themeColor="text1"/>
        </w:rPr>
      </w:pPr>
    </w:p>
    <w:p w:rsidR="00894625" w:rsidRPr="004061B4" w:rsidRDefault="004A2C23" w:rsidP="00921F85">
      <w:pPr>
        <w:tabs>
          <w:tab w:val="left" w:pos="0"/>
        </w:tabs>
        <w:spacing w:before="240" w:after="240"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b/>
          <w:color w:val="000000" w:themeColor="text1"/>
        </w:rPr>
        <w:t xml:space="preserve">PRIMERO. </w:t>
      </w:r>
      <w:r w:rsidRPr="00921F85">
        <w:rPr>
          <w:rFonts w:ascii="Palatino Linotype" w:eastAsia="Palatino Linotype" w:hAnsi="Palatino Linotype" w:cs="Palatino Linotype"/>
          <w:color w:val="000000" w:themeColor="text1"/>
        </w:rPr>
        <w:t>Resultan fundadas las</w:t>
      </w:r>
      <w:r w:rsidRPr="00921F85">
        <w:rPr>
          <w:rFonts w:ascii="Palatino Linotype" w:eastAsia="Palatino Linotype" w:hAnsi="Palatino Linotype" w:cs="Palatino Linotype"/>
          <w:b/>
          <w:color w:val="000000" w:themeColor="text1"/>
        </w:rPr>
        <w:t xml:space="preserve"> </w:t>
      </w:r>
      <w:r w:rsidRPr="00921F85">
        <w:rPr>
          <w:rFonts w:ascii="Palatino Linotype" w:eastAsia="Palatino Linotype" w:hAnsi="Palatino Linotype" w:cs="Palatino Linotype"/>
          <w:color w:val="000000" w:themeColor="text1"/>
        </w:rPr>
        <w:t xml:space="preserve">razones o motivos de inconformidad hechos valer en el recurso de revisión </w:t>
      </w:r>
      <w:r w:rsidRPr="00921F85">
        <w:rPr>
          <w:rFonts w:ascii="Palatino Linotype" w:eastAsia="Palatino Linotype" w:hAnsi="Palatino Linotype" w:cs="Palatino Linotype"/>
          <w:b/>
          <w:color w:val="000000" w:themeColor="text1"/>
        </w:rPr>
        <w:t xml:space="preserve">04093/INFOEM/IP/RR/2025, </w:t>
      </w:r>
      <w:r w:rsidRPr="00921F85">
        <w:rPr>
          <w:rFonts w:ascii="Palatino Linotype" w:eastAsia="Palatino Linotype" w:hAnsi="Palatino Linotype" w:cs="Palatino Linotype"/>
          <w:color w:val="000000" w:themeColor="text1"/>
        </w:rPr>
        <w:t xml:space="preserve">en términos del </w:t>
      </w:r>
      <w:r w:rsidRPr="004061B4">
        <w:rPr>
          <w:rFonts w:ascii="Palatino Linotype" w:eastAsia="Palatino Linotype" w:hAnsi="Palatino Linotype" w:cs="Palatino Linotype"/>
          <w:b/>
          <w:color w:val="000000" w:themeColor="text1"/>
        </w:rPr>
        <w:t>Considerando</w:t>
      </w:r>
      <w:r w:rsidRPr="004061B4">
        <w:rPr>
          <w:rFonts w:ascii="Palatino Linotype" w:eastAsia="Palatino Linotype" w:hAnsi="Palatino Linotype" w:cs="Palatino Linotype"/>
          <w:color w:val="000000" w:themeColor="text1"/>
        </w:rPr>
        <w:t xml:space="preserve"> </w:t>
      </w:r>
      <w:r w:rsidRPr="004061B4">
        <w:rPr>
          <w:rFonts w:ascii="Palatino Linotype" w:eastAsia="Palatino Linotype" w:hAnsi="Palatino Linotype" w:cs="Palatino Linotype"/>
          <w:b/>
          <w:color w:val="000000" w:themeColor="text1"/>
        </w:rPr>
        <w:t xml:space="preserve">CUARTO </w:t>
      </w:r>
      <w:r w:rsidRPr="004061B4">
        <w:rPr>
          <w:rFonts w:ascii="Palatino Linotype" w:eastAsia="Palatino Linotype" w:hAnsi="Palatino Linotype" w:cs="Palatino Linotype"/>
          <w:color w:val="000000" w:themeColor="text1"/>
        </w:rPr>
        <w:t>de la presente resolución.</w:t>
      </w:r>
    </w:p>
    <w:p w:rsidR="00894625" w:rsidRPr="00921F85" w:rsidRDefault="004A2C23" w:rsidP="00921F85">
      <w:pPr>
        <w:tabs>
          <w:tab w:val="left" w:pos="0"/>
        </w:tabs>
        <w:spacing w:before="240" w:after="240" w:line="360" w:lineRule="auto"/>
        <w:jc w:val="both"/>
        <w:rPr>
          <w:rFonts w:ascii="Palatino Linotype" w:eastAsia="Palatino Linotype" w:hAnsi="Palatino Linotype" w:cs="Palatino Linotype"/>
          <w:color w:val="000000" w:themeColor="text1"/>
        </w:rPr>
      </w:pPr>
      <w:bookmarkStart w:id="12" w:name="_heading=h.35nkun2" w:colFirst="0" w:colLast="0"/>
      <w:bookmarkEnd w:id="12"/>
      <w:r w:rsidRPr="004061B4">
        <w:rPr>
          <w:rFonts w:ascii="Palatino Linotype" w:eastAsia="Palatino Linotype" w:hAnsi="Palatino Linotype" w:cs="Palatino Linotype"/>
          <w:b/>
          <w:color w:val="000000" w:themeColor="text1"/>
        </w:rPr>
        <w:t>SEGUNDO.</w:t>
      </w:r>
      <w:r w:rsidRPr="004061B4">
        <w:rPr>
          <w:rFonts w:ascii="Palatino Linotype" w:eastAsia="Palatino Linotype" w:hAnsi="Palatino Linotype" w:cs="Palatino Linotype"/>
          <w:color w:val="000000" w:themeColor="text1"/>
        </w:rPr>
        <w:t xml:space="preserve"> Se </w:t>
      </w:r>
      <w:r w:rsidRPr="004061B4">
        <w:rPr>
          <w:rFonts w:ascii="Palatino Linotype" w:eastAsia="Palatino Linotype" w:hAnsi="Palatino Linotype" w:cs="Palatino Linotype"/>
          <w:b/>
          <w:color w:val="000000" w:themeColor="text1"/>
        </w:rPr>
        <w:t xml:space="preserve">ORDENA </w:t>
      </w:r>
      <w:r w:rsidRPr="004061B4">
        <w:rPr>
          <w:rFonts w:ascii="Palatino Linotype" w:eastAsia="Palatino Linotype" w:hAnsi="Palatino Linotype" w:cs="Palatino Linotype"/>
          <w:color w:val="000000" w:themeColor="text1"/>
        </w:rPr>
        <w:t xml:space="preserve">al </w:t>
      </w:r>
      <w:r w:rsidRPr="004061B4">
        <w:rPr>
          <w:rFonts w:ascii="Palatino Linotype" w:eastAsia="Palatino Linotype" w:hAnsi="Palatino Linotype" w:cs="Palatino Linotype"/>
          <w:b/>
          <w:color w:val="000000" w:themeColor="text1"/>
        </w:rPr>
        <w:t>Ayuntamiento de Tultepec</w:t>
      </w:r>
      <w:r w:rsidRPr="004061B4">
        <w:rPr>
          <w:rFonts w:ascii="Palatino Linotype" w:eastAsia="Palatino Linotype" w:hAnsi="Palatino Linotype" w:cs="Palatino Linotype"/>
          <w:color w:val="000000" w:themeColor="text1"/>
        </w:rPr>
        <w:t xml:space="preserve"> entregar vía Sistema de Acceso a la Información Mexiquense (</w:t>
      </w:r>
      <w:r w:rsidRPr="004061B4">
        <w:rPr>
          <w:rFonts w:ascii="Palatino Linotype" w:eastAsia="Palatino Linotype" w:hAnsi="Palatino Linotype" w:cs="Palatino Linotype"/>
          <w:b/>
          <w:color w:val="000000" w:themeColor="text1"/>
        </w:rPr>
        <w:t>SAIMEX)</w:t>
      </w:r>
      <w:r w:rsidRPr="004061B4">
        <w:rPr>
          <w:rFonts w:ascii="Palatino Linotype" w:eastAsia="Palatino Linotype" w:hAnsi="Palatino Linotype" w:cs="Palatino Linotype"/>
          <w:color w:val="000000" w:themeColor="text1"/>
        </w:rPr>
        <w:t xml:space="preserve">, </w:t>
      </w:r>
      <w:r w:rsidRPr="004061B4">
        <w:rPr>
          <w:rFonts w:ascii="Palatino Linotype" w:eastAsia="Palatino Linotype" w:hAnsi="Palatino Linotype" w:cs="Palatino Linotype"/>
          <w:b/>
          <w:color w:val="000000" w:themeColor="text1"/>
        </w:rPr>
        <w:t xml:space="preserve">en versión pública correcta, </w:t>
      </w:r>
      <w:r w:rsidR="00217E1D" w:rsidRPr="004061B4">
        <w:rPr>
          <w:rFonts w:ascii="Palatino Linotype" w:eastAsia="Palatino Linotype" w:hAnsi="Palatino Linotype" w:cs="Palatino Linotype"/>
          <w:b/>
          <w:color w:val="000000" w:themeColor="text1"/>
        </w:rPr>
        <w:t>las licencias y autorizaciones de cambio de uso de suelo remitida</w:t>
      </w:r>
      <w:r w:rsidRPr="004061B4">
        <w:rPr>
          <w:rFonts w:ascii="Palatino Linotype" w:eastAsia="Palatino Linotype" w:hAnsi="Palatino Linotype" w:cs="Palatino Linotype"/>
          <w:b/>
          <w:color w:val="000000" w:themeColor="text1"/>
        </w:rPr>
        <w:t>s mediante informe justificado.</w:t>
      </w:r>
    </w:p>
    <w:p w:rsidR="00894625" w:rsidRPr="00921F85" w:rsidRDefault="004A2C23" w:rsidP="00921F85">
      <w:pPr>
        <w:tabs>
          <w:tab w:val="left" w:pos="0"/>
          <w:tab w:val="left" w:pos="8080"/>
        </w:tabs>
        <w:spacing w:line="360" w:lineRule="auto"/>
        <w:jc w:val="both"/>
        <w:rPr>
          <w:rFonts w:ascii="Palatino Linotype" w:eastAsia="Palatino Linotype" w:hAnsi="Palatino Linotype" w:cs="Palatino Linotype"/>
          <w:color w:val="000000" w:themeColor="text1"/>
        </w:rPr>
      </w:pPr>
      <w:bookmarkStart w:id="13" w:name="_heading=h.vr6ugq8tf08h" w:colFirst="0" w:colLast="0"/>
      <w:bookmarkEnd w:id="13"/>
      <w:r w:rsidRPr="00921F85">
        <w:rPr>
          <w:rFonts w:ascii="Palatino Linotype" w:eastAsia="Palatino Linotype" w:hAnsi="Palatino Linotype" w:cs="Palatino Linotype"/>
          <w:b/>
          <w:color w:val="000000" w:themeColor="text1"/>
        </w:rPr>
        <w:t>TERCERO. Notifíquese vía SAIMEX l</w:t>
      </w:r>
      <w:r w:rsidRPr="00921F85">
        <w:rPr>
          <w:rFonts w:ascii="Palatino Linotype" w:eastAsia="Palatino Linotype" w:hAnsi="Palatino Linotype" w:cs="Palatino Linotype"/>
          <w:color w:val="000000" w:themeColor="text1"/>
        </w:rPr>
        <w:t xml:space="preserve">a presente resolución al Titular de la Unidad de Transparencia del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para que conforme al artículo 186 último párrafo, 189 segundo párrafo y 194 de la Ley de Transparencia y Acceso a la Información Pública del Estado de México y Municipios; </w:t>
      </w:r>
      <w:r w:rsidRPr="00921F85">
        <w:rPr>
          <w:rFonts w:ascii="Palatino Linotype" w:eastAsia="Palatino Linotype" w:hAnsi="Palatino Linotype" w:cs="Palatino Linotype"/>
          <w:b/>
          <w:color w:val="000000" w:themeColor="text1"/>
        </w:rPr>
        <w:t>dé cumplimiento a lo ordenado dentro del plazo de diez días hábiles</w:t>
      </w:r>
      <w:r w:rsidRPr="00921F85">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94625" w:rsidRPr="00921F85" w:rsidRDefault="00894625" w:rsidP="00921F85">
      <w:pPr>
        <w:tabs>
          <w:tab w:val="left" w:pos="0"/>
          <w:tab w:val="left" w:pos="8080"/>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shd w:val="clear" w:color="auto" w:fill="FFFFFF"/>
        <w:tabs>
          <w:tab w:val="left" w:pos="0"/>
        </w:tabs>
        <w:spacing w:after="240" w:line="360" w:lineRule="auto"/>
        <w:jc w:val="both"/>
        <w:rPr>
          <w:rFonts w:ascii="Palatino Linotype" w:eastAsia="Palatino Linotype" w:hAnsi="Palatino Linotype" w:cs="Palatino Linotype"/>
          <w:b/>
          <w:color w:val="000000" w:themeColor="text1"/>
        </w:rPr>
      </w:pPr>
      <w:r w:rsidRPr="00921F85">
        <w:rPr>
          <w:rFonts w:ascii="Palatino Linotype" w:eastAsia="Palatino Linotype" w:hAnsi="Palatino Linotype" w:cs="Palatino Linotype"/>
          <w:b/>
          <w:color w:val="000000" w:themeColor="text1"/>
        </w:rPr>
        <w:t xml:space="preserve">CUARTO. Notifíquese </w:t>
      </w:r>
      <w:r w:rsidRPr="00921F85">
        <w:rPr>
          <w:rFonts w:ascii="Palatino Linotype" w:eastAsia="Palatino Linotype" w:hAnsi="Palatino Linotype" w:cs="Palatino Linotype"/>
          <w:color w:val="000000" w:themeColor="text1"/>
        </w:rPr>
        <w:t>a la parte</w:t>
      </w:r>
      <w:r w:rsidRPr="00921F85">
        <w:rPr>
          <w:rFonts w:ascii="Palatino Linotype" w:eastAsia="Palatino Linotype" w:hAnsi="Palatino Linotype" w:cs="Palatino Linotype"/>
          <w:b/>
          <w:color w:val="000000" w:themeColor="text1"/>
        </w:rPr>
        <w:t xml:space="preserve"> RECURRENTE</w:t>
      </w:r>
      <w:r w:rsidRPr="00921F85">
        <w:rPr>
          <w:rFonts w:ascii="Palatino Linotype" w:eastAsia="Palatino Linotype" w:hAnsi="Palatino Linotype" w:cs="Palatino Linotype"/>
          <w:color w:val="000000" w:themeColor="text1"/>
        </w:rPr>
        <w:t xml:space="preserve"> la presente resolución vía </w:t>
      </w:r>
      <w:r w:rsidRPr="00921F85">
        <w:rPr>
          <w:rFonts w:ascii="Palatino Linotype" w:eastAsia="Palatino Linotype" w:hAnsi="Palatino Linotype" w:cs="Palatino Linotype"/>
          <w:b/>
          <w:color w:val="000000" w:themeColor="text1"/>
        </w:rPr>
        <w:t>SAIMEX.</w:t>
      </w:r>
    </w:p>
    <w:p w:rsidR="00894625" w:rsidRPr="00921F85" w:rsidRDefault="004A2C23" w:rsidP="00921F85">
      <w:pPr>
        <w:tabs>
          <w:tab w:val="left" w:pos="0"/>
        </w:tabs>
        <w:spacing w:before="240" w:after="240"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b/>
          <w:color w:val="000000" w:themeColor="text1"/>
        </w:rPr>
        <w:t>QUINTO.</w:t>
      </w:r>
      <w:r w:rsidRPr="00921F85">
        <w:rPr>
          <w:rFonts w:ascii="Palatino Linotype" w:eastAsia="Palatino Linotype" w:hAnsi="Palatino Linotype" w:cs="Palatino Linotype"/>
          <w:color w:val="000000" w:themeColor="text1"/>
        </w:rPr>
        <w:t xml:space="preserve"> Se hace del conocimiento de la parte </w:t>
      </w:r>
      <w:r w:rsidRPr="00921F85">
        <w:rPr>
          <w:rFonts w:ascii="Palatino Linotype" w:eastAsia="Palatino Linotype" w:hAnsi="Palatino Linotype" w:cs="Palatino Linotype"/>
          <w:b/>
          <w:color w:val="000000" w:themeColor="text1"/>
        </w:rPr>
        <w:t>RECURRENTE</w:t>
      </w:r>
      <w:r w:rsidRPr="00921F85">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w:t>
      </w:r>
      <w:r w:rsidRPr="00921F85">
        <w:rPr>
          <w:rFonts w:ascii="Palatino Linotype" w:eastAsia="Palatino Linotype" w:hAnsi="Palatino Linotype" w:cs="Palatino Linotype"/>
          <w:color w:val="000000" w:themeColor="text1"/>
        </w:rPr>
        <w:lastRenderedPageBreak/>
        <w:t>del Estado de México y Municipios, en caso de que considere que la resolución le cause algún perjuicio podrá impugnar vía juicio de amparo en los términos de las leyes aplicables.</w:t>
      </w:r>
    </w:p>
    <w:p w:rsidR="00894625" w:rsidRPr="00921F85" w:rsidRDefault="004A2C23" w:rsidP="00921F85">
      <w:pPr>
        <w:shd w:val="clear" w:color="auto" w:fill="FFFFFF"/>
        <w:tabs>
          <w:tab w:val="left" w:pos="0"/>
          <w:tab w:val="left" w:pos="284"/>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b/>
          <w:color w:val="000000" w:themeColor="text1"/>
        </w:rPr>
        <w:t xml:space="preserve">SEXTO. </w:t>
      </w:r>
      <w:r w:rsidRPr="00921F85">
        <w:rPr>
          <w:rFonts w:ascii="Palatino Linotype" w:eastAsia="Palatino Linotype" w:hAnsi="Palatino Linotype" w:cs="Palatino Linotype"/>
          <w:color w:val="000000" w:themeColor="text1"/>
        </w:rPr>
        <w:t xml:space="preserve">Hágase del conocimiento de la parte </w:t>
      </w:r>
      <w:r w:rsidRPr="00921F85">
        <w:rPr>
          <w:rFonts w:ascii="Palatino Linotype" w:eastAsia="Palatino Linotype" w:hAnsi="Palatino Linotype" w:cs="Palatino Linotype"/>
          <w:b/>
          <w:color w:val="000000" w:themeColor="text1"/>
        </w:rPr>
        <w:t>RECURRENTE</w:t>
      </w:r>
      <w:r w:rsidRPr="00921F85">
        <w:rPr>
          <w:rFonts w:ascii="Palatino Linotype" w:eastAsia="Palatino Linotype" w:hAnsi="Palatino Linotype" w:cs="Palatino Linotype"/>
          <w:color w:val="000000" w:themeColor="text1"/>
        </w:rPr>
        <w:t xml:space="preserve"> que la respuesta que dé el </w:t>
      </w:r>
      <w:r w:rsidRPr="00921F85">
        <w:rPr>
          <w:rFonts w:ascii="Palatino Linotype" w:eastAsia="Palatino Linotype" w:hAnsi="Palatino Linotype" w:cs="Palatino Linotype"/>
          <w:b/>
          <w:color w:val="000000" w:themeColor="text1"/>
        </w:rPr>
        <w:t>SUJETO OBLIGADO</w:t>
      </w:r>
      <w:r w:rsidRPr="00921F85">
        <w:rPr>
          <w:rFonts w:ascii="Palatino Linotype" w:eastAsia="Palatino Linotype" w:hAnsi="Palatino Linotype" w:cs="Palatino Linotype"/>
          <w:color w:val="000000" w:themeColor="text1"/>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94625" w:rsidRPr="00921F85" w:rsidRDefault="00894625" w:rsidP="00921F85">
      <w:pPr>
        <w:shd w:val="clear" w:color="auto" w:fill="FFFFFF"/>
        <w:tabs>
          <w:tab w:val="left" w:pos="0"/>
          <w:tab w:val="left" w:pos="284"/>
        </w:tabs>
        <w:spacing w:line="360" w:lineRule="auto"/>
        <w:jc w:val="both"/>
        <w:rPr>
          <w:rFonts w:ascii="Palatino Linotype" w:eastAsia="Palatino Linotype" w:hAnsi="Palatino Linotype" w:cs="Palatino Linotype"/>
          <w:color w:val="000000" w:themeColor="text1"/>
        </w:rPr>
      </w:pPr>
    </w:p>
    <w:p w:rsidR="00894625" w:rsidRPr="00921F85" w:rsidRDefault="004A2C23" w:rsidP="00921F85">
      <w:pPr>
        <w:shd w:val="clear" w:color="auto" w:fill="FFFFFF"/>
        <w:tabs>
          <w:tab w:val="left" w:pos="0"/>
        </w:tabs>
        <w:spacing w:line="360" w:lineRule="auto"/>
        <w:jc w:val="both"/>
        <w:rPr>
          <w:rFonts w:ascii="Palatino Linotype" w:eastAsia="Palatino Linotype" w:hAnsi="Palatino Linotype" w:cs="Palatino Linotype"/>
          <w:color w:val="000000" w:themeColor="text1"/>
        </w:rPr>
      </w:pPr>
      <w:r w:rsidRPr="00921F85">
        <w:rPr>
          <w:rFonts w:ascii="Palatino Linotype" w:eastAsia="Palatino Linotype" w:hAnsi="Palatino Linotype" w:cs="Palatino Linotype"/>
          <w:b/>
          <w:color w:val="000000" w:themeColor="text1"/>
        </w:rPr>
        <w:t xml:space="preserve">SÉPTIMO. </w:t>
      </w:r>
      <w:r w:rsidRPr="00921F85">
        <w:rPr>
          <w:rFonts w:ascii="Palatino Linotype" w:eastAsia="Palatino Linotype" w:hAnsi="Palatino Linotype" w:cs="Palatino Linotype"/>
          <w:color w:val="000000" w:themeColor="text1"/>
        </w:rPr>
        <w:t xml:space="preserve">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w:t>
      </w:r>
      <w:r w:rsidRPr="00921F85">
        <w:rPr>
          <w:rFonts w:ascii="Palatino Linotype" w:eastAsia="Palatino Linotype" w:hAnsi="Palatino Linotype" w:cs="Palatino Linotype"/>
          <w:b/>
          <w:color w:val="000000" w:themeColor="text1"/>
        </w:rPr>
        <w:t>Considerando SEXTO</w:t>
      </w:r>
      <w:r w:rsidRPr="00921F85">
        <w:rPr>
          <w:rFonts w:ascii="Palatino Linotype" w:eastAsia="Palatino Linotype" w:hAnsi="Palatino Linotype" w:cs="Palatino Linotype"/>
          <w:color w:val="000000" w:themeColor="text1"/>
        </w:rPr>
        <w:t xml:space="preserve"> de la presente Resolución.</w:t>
      </w:r>
    </w:p>
    <w:p w:rsidR="00894625" w:rsidRDefault="00894625" w:rsidP="00921F85">
      <w:pPr>
        <w:shd w:val="clear" w:color="auto" w:fill="FFFFFF"/>
        <w:tabs>
          <w:tab w:val="left" w:pos="0"/>
        </w:tabs>
        <w:spacing w:line="360" w:lineRule="auto"/>
        <w:jc w:val="both"/>
        <w:rPr>
          <w:rFonts w:ascii="Palatino Linotype" w:eastAsia="Palatino Linotype" w:hAnsi="Palatino Linotype" w:cs="Palatino Linotype"/>
          <w:color w:val="000000" w:themeColor="text1"/>
        </w:rPr>
      </w:pPr>
    </w:p>
    <w:p w:rsidR="00255918" w:rsidRPr="00444783" w:rsidRDefault="00255918" w:rsidP="00255918">
      <w:pPr>
        <w:tabs>
          <w:tab w:val="left" w:pos="5387"/>
        </w:tabs>
        <w:spacing w:line="360" w:lineRule="auto"/>
        <w:ind w:right="49"/>
        <w:jc w:val="both"/>
        <w:rPr>
          <w:rFonts w:ascii="Palatino Linotype" w:eastAsia="Palatino Linotype" w:hAnsi="Palatino Linotype" w:cs="Palatino Linotype"/>
        </w:rPr>
      </w:pPr>
      <w:bookmarkStart w:id="14" w:name="_heading=h.dipqbfvvq8qp" w:colFirst="0" w:colLast="0"/>
      <w:bookmarkEnd w:id="14"/>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w:t>
      </w:r>
      <w:r w:rsidR="00D06B9E">
        <w:rPr>
          <w:rFonts w:ascii="Palatino Linotype" w:eastAsia="Palatino Linotype" w:hAnsi="Palatino Linotype" w:cs="Palatino Linotype"/>
        </w:rPr>
        <w:t xml:space="preserve">EMITIENDO VOTO PARTICULAR </w:t>
      </w:r>
      <w:r w:rsidRPr="00575AE2">
        <w:rPr>
          <w:rFonts w:ascii="Palatino Linotype" w:eastAsia="Palatino Linotype" w:hAnsi="Palatino Linotype" w:cs="Palatino Linotype"/>
        </w:rPr>
        <w:t xml:space="preserve">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rsidR="00894625" w:rsidRPr="00921F85" w:rsidRDefault="00894625" w:rsidP="00921F85">
      <w:pP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before="240" w:after="240" w:line="360" w:lineRule="auto"/>
        <w:ind w:firstLine="1"/>
        <w:jc w:val="both"/>
        <w:rPr>
          <w:rFonts w:ascii="Palatino Linotype" w:eastAsia="Palatino Linotype" w:hAnsi="Palatino Linotype" w:cs="Palatino Linotype"/>
          <w:color w:val="000000" w:themeColor="text1"/>
        </w:rPr>
      </w:pPr>
    </w:p>
    <w:p w:rsidR="00894625" w:rsidRPr="00921F85" w:rsidRDefault="00894625" w:rsidP="00921F85">
      <w:pPr>
        <w:tabs>
          <w:tab w:val="left" w:pos="0"/>
        </w:tabs>
        <w:spacing w:line="360" w:lineRule="auto"/>
        <w:jc w:val="both"/>
        <w:rPr>
          <w:rFonts w:ascii="Palatino Linotype" w:eastAsia="Palatino Linotype" w:hAnsi="Palatino Linotype" w:cs="Palatino Linotype"/>
          <w:color w:val="000000" w:themeColor="text1"/>
        </w:rPr>
      </w:pPr>
    </w:p>
    <w:p w:rsidR="00894625" w:rsidRPr="00921F85" w:rsidRDefault="00894625" w:rsidP="00921F85">
      <w:pPr>
        <w:pStyle w:val="Ttulo2"/>
        <w:tabs>
          <w:tab w:val="left" w:pos="0"/>
        </w:tabs>
        <w:spacing w:before="0" w:line="360" w:lineRule="auto"/>
        <w:rPr>
          <w:color w:val="000000" w:themeColor="text1"/>
        </w:rPr>
      </w:pPr>
    </w:p>
    <w:p w:rsidR="00921F85" w:rsidRPr="00921F85" w:rsidRDefault="00921F85">
      <w:pPr>
        <w:pStyle w:val="Ttulo2"/>
        <w:tabs>
          <w:tab w:val="left" w:pos="0"/>
        </w:tabs>
        <w:spacing w:before="0" w:line="360" w:lineRule="auto"/>
        <w:rPr>
          <w:color w:val="000000" w:themeColor="text1"/>
        </w:rPr>
      </w:pPr>
    </w:p>
    <w:sectPr w:rsidR="00921F85" w:rsidRPr="00921F85" w:rsidSect="00EF09DD">
      <w:headerReference w:type="default" r:id="rId10"/>
      <w:footerReference w:type="default" r:id="rId11"/>
      <w:headerReference w:type="first" r:id="rId12"/>
      <w:footerReference w:type="first" r:id="rId13"/>
      <w:pgSz w:w="12240" w:h="15840"/>
      <w:pgMar w:top="1691" w:right="900" w:bottom="1701"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A65" w:rsidRDefault="00790A65">
      <w:r>
        <w:separator/>
      </w:r>
    </w:p>
  </w:endnote>
  <w:endnote w:type="continuationSeparator" w:id="0">
    <w:p w:rsidR="00790A65" w:rsidRDefault="00790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625" w:rsidRDefault="004A2C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PAGE</w:instrText>
    </w:r>
    <w:r>
      <w:rPr>
        <w:rFonts w:ascii="Palatino Linotype" w:eastAsia="Palatino Linotype" w:hAnsi="Palatino Linotype" w:cs="Palatino Linotype"/>
        <w:b/>
        <w:color w:val="000000"/>
        <w:sz w:val="22"/>
        <w:szCs w:val="22"/>
      </w:rPr>
      <w:fldChar w:fldCharType="separate"/>
    </w:r>
    <w:r w:rsidR="0078505C">
      <w:rPr>
        <w:rFonts w:ascii="Palatino Linotype" w:eastAsia="Palatino Linotype" w:hAnsi="Palatino Linotype" w:cs="Palatino Linotype"/>
        <w:b/>
        <w:noProof/>
        <w:color w:val="000000"/>
        <w:sz w:val="22"/>
        <w:szCs w:val="22"/>
      </w:rPr>
      <w:t>2</w:t>
    </w:r>
    <w:r>
      <w:rPr>
        <w:rFonts w:ascii="Palatino Linotype" w:eastAsia="Palatino Linotype" w:hAnsi="Palatino Linotype" w:cs="Palatino Linotype"/>
        <w:b/>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b/>
        <w:color w:val="000000"/>
        <w:sz w:val="22"/>
        <w:szCs w:val="22"/>
      </w:rPr>
      <w:fldChar w:fldCharType="begin"/>
    </w:r>
    <w:r>
      <w:rPr>
        <w:rFonts w:ascii="Palatino Linotype" w:eastAsia="Palatino Linotype" w:hAnsi="Palatino Linotype" w:cs="Palatino Linotype"/>
        <w:b/>
        <w:color w:val="000000"/>
        <w:sz w:val="22"/>
        <w:szCs w:val="22"/>
      </w:rPr>
      <w:instrText>NUMPAGES</w:instrText>
    </w:r>
    <w:r>
      <w:rPr>
        <w:rFonts w:ascii="Palatino Linotype" w:eastAsia="Palatino Linotype" w:hAnsi="Palatino Linotype" w:cs="Palatino Linotype"/>
        <w:b/>
        <w:color w:val="000000"/>
        <w:sz w:val="22"/>
        <w:szCs w:val="22"/>
      </w:rPr>
      <w:fldChar w:fldCharType="separate"/>
    </w:r>
    <w:r w:rsidR="0078505C">
      <w:rPr>
        <w:rFonts w:ascii="Palatino Linotype" w:eastAsia="Palatino Linotype" w:hAnsi="Palatino Linotype" w:cs="Palatino Linotype"/>
        <w:b/>
        <w:noProof/>
        <w:color w:val="000000"/>
        <w:sz w:val="22"/>
        <w:szCs w:val="22"/>
      </w:rPr>
      <w:t>32</w:t>
    </w:r>
    <w:r>
      <w:rPr>
        <w:rFonts w:ascii="Palatino Linotype" w:eastAsia="Palatino Linotype" w:hAnsi="Palatino Linotype" w:cs="Palatino Linotype"/>
        <w:b/>
        <w:color w:val="000000"/>
        <w:sz w:val="22"/>
        <w:szCs w:val="22"/>
      </w:rPr>
      <w:fldChar w:fldCharType="end"/>
    </w:r>
  </w:p>
  <w:p w:rsidR="00894625" w:rsidRDefault="0089462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8"/>
        <w:szCs w:val="28"/>
      </w:rPr>
    </w:pPr>
  </w:p>
  <w:p w:rsidR="00894625" w:rsidRDefault="008946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625" w:rsidRDefault="004A2C2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Página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PAGE</w:instrText>
    </w:r>
    <w:r>
      <w:rPr>
        <w:rFonts w:ascii="Palatino Linotype" w:eastAsia="Palatino Linotype" w:hAnsi="Palatino Linotype" w:cs="Palatino Linotype"/>
        <w:color w:val="000000"/>
        <w:sz w:val="22"/>
        <w:szCs w:val="22"/>
      </w:rPr>
      <w:fldChar w:fldCharType="separate"/>
    </w:r>
    <w:r w:rsidR="0078505C">
      <w:rPr>
        <w:rFonts w:ascii="Palatino Linotype" w:eastAsia="Palatino Linotype" w:hAnsi="Palatino Linotype" w:cs="Palatino Linotype"/>
        <w:noProof/>
        <w:color w:val="000000"/>
        <w:sz w:val="22"/>
        <w:szCs w:val="22"/>
      </w:rPr>
      <w:t>1</w:t>
    </w:r>
    <w:r>
      <w:rPr>
        <w:rFonts w:ascii="Palatino Linotype" w:eastAsia="Palatino Linotype" w:hAnsi="Palatino Linotype" w:cs="Palatino Linotype"/>
        <w:color w:val="000000"/>
        <w:sz w:val="22"/>
        <w:szCs w:val="22"/>
      </w:rPr>
      <w:fldChar w:fldCharType="end"/>
    </w:r>
    <w:r>
      <w:rPr>
        <w:rFonts w:ascii="Palatino Linotype" w:eastAsia="Palatino Linotype" w:hAnsi="Palatino Linotype" w:cs="Palatino Linotype"/>
        <w:color w:val="000000"/>
        <w:sz w:val="22"/>
        <w:szCs w:val="22"/>
      </w:rPr>
      <w:t xml:space="preserve"> de </w:t>
    </w:r>
    <w:r>
      <w:rPr>
        <w:rFonts w:ascii="Palatino Linotype" w:eastAsia="Palatino Linotype" w:hAnsi="Palatino Linotype" w:cs="Palatino Linotype"/>
        <w:color w:val="000000"/>
        <w:sz w:val="22"/>
        <w:szCs w:val="22"/>
      </w:rPr>
      <w:fldChar w:fldCharType="begin"/>
    </w:r>
    <w:r>
      <w:rPr>
        <w:rFonts w:ascii="Palatino Linotype" w:eastAsia="Palatino Linotype" w:hAnsi="Palatino Linotype" w:cs="Palatino Linotype"/>
        <w:color w:val="000000"/>
        <w:sz w:val="22"/>
        <w:szCs w:val="22"/>
      </w:rPr>
      <w:instrText>NUMPAGES</w:instrText>
    </w:r>
    <w:r>
      <w:rPr>
        <w:rFonts w:ascii="Palatino Linotype" w:eastAsia="Palatino Linotype" w:hAnsi="Palatino Linotype" w:cs="Palatino Linotype"/>
        <w:color w:val="000000"/>
        <w:sz w:val="22"/>
        <w:szCs w:val="22"/>
      </w:rPr>
      <w:fldChar w:fldCharType="separate"/>
    </w:r>
    <w:r w:rsidR="0078505C">
      <w:rPr>
        <w:rFonts w:ascii="Palatino Linotype" w:eastAsia="Palatino Linotype" w:hAnsi="Palatino Linotype" w:cs="Palatino Linotype"/>
        <w:noProof/>
        <w:color w:val="000000"/>
        <w:sz w:val="22"/>
        <w:szCs w:val="22"/>
      </w:rPr>
      <w:t>32</w:t>
    </w:r>
    <w:r>
      <w:rPr>
        <w:rFonts w:ascii="Palatino Linotype" w:eastAsia="Palatino Linotype" w:hAnsi="Palatino Linotype" w:cs="Palatino Linotype"/>
        <w:color w:val="000000"/>
        <w:sz w:val="22"/>
        <w:szCs w:val="22"/>
      </w:rPr>
      <w:fldChar w:fldCharType="end"/>
    </w:r>
  </w:p>
  <w:p w:rsidR="00894625" w:rsidRDefault="00894625">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2"/>
        <w:szCs w:val="22"/>
      </w:rPr>
    </w:pPr>
  </w:p>
  <w:p w:rsidR="00894625" w:rsidRDefault="008946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A65" w:rsidRDefault="00790A65">
      <w:r>
        <w:separator/>
      </w:r>
    </w:p>
  </w:footnote>
  <w:footnote w:type="continuationSeparator" w:id="0">
    <w:p w:rsidR="00790A65" w:rsidRDefault="00790A65">
      <w:r>
        <w:continuationSeparator/>
      </w:r>
    </w:p>
  </w:footnote>
  <w:footnote w:id="1">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6">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7">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8">
    <w:p w:rsidR="00894625" w:rsidRDefault="004A2C23">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1"/>
      <w:tblW w:w="6561"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592"/>
      <w:gridCol w:w="3969"/>
    </w:tblGrid>
    <w:tr w:rsidR="00894625" w:rsidTr="008A38BB">
      <w:trPr>
        <w:trHeight w:val="138"/>
      </w:trPr>
      <w:tc>
        <w:tcPr>
          <w:tcW w:w="2592" w:type="dxa"/>
          <w:vAlign w:val="center"/>
        </w:tcPr>
        <w:p w:rsidR="00894625" w:rsidRPr="000A2FD9" w:rsidRDefault="004A2C23" w:rsidP="000A2FD9">
          <w:pPr>
            <w:ind w:right="-150"/>
            <w:rPr>
              <w:rFonts w:ascii="Palatino Linotype" w:eastAsia="Palatino Linotype" w:hAnsi="Palatino Linotype" w:cs="Palatino Linotype"/>
              <w:b/>
              <w:sz w:val="24"/>
              <w:szCs w:val="24"/>
            </w:rPr>
          </w:pPr>
          <w:r w:rsidRPr="000A2FD9">
            <w:rPr>
              <w:rFonts w:ascii="Palatino Linotype" w:eastAsia="Palatino Linotype" w:hAnsi="Palatino Linotype" w:cs="Palatino Linotype"/>
              <w:b/>
              <w:sz w:val="24"/>
              <w:szCs w:val="24"/>
            </w:rPr>
            <w:t>Recurso de Revisión:</w:t>
          </w:r>
        </w:p>
      </w:tc>
      <w:tc>
        <w:tcPr>
          <w:tcW w:w="3969" w:type="dxa"/>
          <w:vAlign w:val="center"/>
        </w:tcPr>
        <w:p w:rsidR="00894625" w:rsidRPr="000A2FD9" w:rsidRDefault="004A2C2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highlight w:val="yellow"/>
            </w:rPr>
          </w:pPr>
          <w:r w:rsidRPr="000A2FD9">
            <w:rPr>
              <w:rFonts w:ascii="Palatino Linotype" w:eastAsia="Palatino Linotype" w:hAnsi="Palatino Linotype" w:cs="Palatino Linotype"/>
              <w:color w:val="000000"/>
              <w:sz w:val="24"/>
              <w:szCs w:val="24"/>
            </w:rPr>
            <w:t>04093/INFOEM/IP/RR/2025</w:t>
          </w:r>
        </w:p>
      </w:tc>
    </w:tr>
    <w:tr w:rsidR="00894625" w:rsidTr="008A38BB">
      <w:trPr>
        <w:trHeight w:val="321"/>
      </w:trPr>
      <w:tc>
        <w:tcPr>
          <w:tcW w:w="2592" w:type="dxa"/>
          <w:vAlign w:val="center"/>
        </w:tcPr>
        <w:p w:rsidR="00894625" w:rsidRPr="000A2FD9" w:rsidRDefault="004A2C23" w:rsidP="000A2FD9">
          <w:pPr>
            <w:ind w:right="-150"/>
            <w:rPr>
              <w:rFonts w:ascii="Palatino Linotype" w:eastAsia="Palatino Linotype" w:hAnsi="Palatino Linotype" w:cs="Palatino Linotype"/>
              <w:b/>
              <w:sz w:val="24"/>
              <w:szCs w:val="24"/>
            </w:rPr>
          </w:pPr>
          <w:r w:rsidRPr="000A2FD9">
            <w:rPr>
              <w:rFonts w:ascii="Palatino Linotype" w:eastAsia="Palatino Linotype" w:hAnsi="Palatino Linotype" w:cs="Palatino Linotype"/>
              <w:b/>
              <w:sz w:val="24"/>
              <w:szCs w:val="24"/>
            </w:rPr>
            <w:t>Sujeto Obligado:</w:t>
          </w:r>
        </w:p>
      </w:tc>
      <w:tc>
        <w:tcPr>
          <w:tcW w:w="3969" w:type="dxa"/>
          <w:vAlign w:val="center"/>
        </w:tcPr>
        <w:p w:rsidR="00894625" w:rsidRPr="000A2FD9" w:rsidRDefault="004A2C23">
          <w:pPr>
            <w:rPr>
              <w:rFonts w:ascii="Palatino Linotype" w:eastAsia="Palatino Linotype" w:hAnsi="Palatino Linotype" w:cs="Palatino Linotype"/>
              <w:sz w:val="24"/>
              <w:szCs w:val="24"/>
            </w:rPr>
          </w:pPr>
          <w:r w:rsidRPr="000A2FD9">
            <w:rPr>
              <w:rFonts w:ascii="Palatino Linotype" w:eastAsia="Palatino Linotype" w:hAnsi="Palatino Linotype" w:cs="Palatino Linotype"/>
              <w:sz w:val="24"/>
              <w:szCs w:val="24"/>
            </w:rPr>
            <w:t>Ayuntamiento de Tultepec</w:t>
          </w:r>
        </w:p>
      </w:tc>
    </w:tr>
    <w:tr w:rsidR="00894625" w:rsidTr="008A38BB">
      <w:trPr>
        <w:trHeight w:val="321"/>
      </w:trPr>
      <w:tc>
        <w:tcPr>
          <w:tcW w:w="2592" w:type="dxa"/>
          <w:vAlign w:val="center"/>
        </w:tcPr>
        <w:p w:rsidR="00894625" w:rsidRPr="000A2FD9" w:rsidRDefault="004A2C23" w:rsidP="000A2FD9">
          <w:pPr>
            <w:ind w:right="-150"/>
            <w:rPr>
              <w:rFonts w:ascii="Palatino Linotype" w:eastAsia="Palatino Linotype" w:hAnsi="Palatino Linotype" w:cs="Palatino Linotype"/>
              <w:b/>
              <w:sz w:val="24"/>
              <w:szCs w:val="24"/>
            </w:rPr>
          </w:pPr>
          <w:r w:rsidRPr="000A2FD9">
            <w:rPr>
              <w:rFonts w:ascii="Palatino Linotype" w:eastAsia="Palatino Linotype" w:hAnsi="Palatino Linotype" w:cs="Palatino Linotype"/>
              <w:b/>
              <w:sz w:val="24"/>
              <w:szCs w:val="24"/>
            </w:rPr>
            <w:t>Comisionada Ponente:</w:t>
          </w:r>
        </w:p>
      </w:tc>
      <w:tc>
        <w:tcPr>
          <w:tcW w:w="3969" w:type="dxa"/>
          <w:vAlign w:val="center"/>
        </w:tcPr>
        <w:p w:rsidR="00894625" w:rsidRPr="000A2FD9" w:rsidRDefault="004A2C23">
          <w:pPr>
            <w:pBdr>
              <w:top w:val="nil"/>
              <w:left w:val="nil"/>
              <w:bottom w:val="nil"/>
              <w:right w:val="nil"/>
              <w:between w:val="nil"/>
            </w:pBdr>
            <w:tabs>
              <w:tab w:val="center" w:pos="4252"/>
              <w:tab w:val="right" w:pos="8504"/>
            </w:tabs>
            <w:rPr>
              <w:rFonts w:ascii="Palatino Linotype" w:eastAsia="Palatino Linotype" w:hAnsi="Palatino Linotype" w:cs="Palatino Linotype"/>
              <w:color w:val="000000"/>
              <w:sz w:val="24"/>
              <w:szCs w:val="24"/>
            </w:rPr>
          </w:pPr>
          <w:r w:rsidRPr="000A2FD9">
            <w:rPr>
              <w:rFonts w:ascii="Palatino Linotype" w:eastAsia="Palatino Linotype" w:hAnsi="Palatino Linotype" w:cs="Palatino Linotype"/>
              <w:color w:val="000000"/>
              <w:sz w:val="24"/>
              <w:szCs w:val="24"/>
            </w:rPr>
            <w:t>María del Rosario Mejía Ayala</w:t>
          </w:r>
        </w:p>
      </w:tc>
    </w:tr>
  </w:tbl>
  <w:p w:rsidR="00894625" w:rsidRDefault="008A38BB">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8240" behindDoc="1" locked="0" layoutInCell="1" hidden="0" allowOverlap="1">
          <wp:simplePos x="0" y="0"/>
          <wp:positionH relativeFrom="column">
            <wp:posOffset>-983915</wp:posOffset>
          </wp:positionH>
          <wp:positionV relativeFrom="paragraph">
            <wp:posOffset>-1062834</wp:posOffset>
          </wp:positionV>
          <wp:extent cx="7809876" cy="10165823"/>
          <wp:effectExtent l="0" t="0" r="0" b="0"/>
          <wp:wrapNone/>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894625" w:rsidRDefault="0089462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2"/>
      <w:tblW w:w="7119" w:type="dxa"/>
      <w:tblInd w:w="35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583"/>
      <w:gridCol w:w="4536"/>
    </w:tblGrid>
    <w:tr w:rsidR="000A2FD9" w:rsidTr="008A38BB">
      <w:trPr>
        <w:trHeight w:val="138"/>
      </w:trPr>
      <w:tc>
        <w:tcPr>
          <w:tcW w:w="2583" w:type="dxa"/>
          <w:vAlign w:val="center"/>
        </w:tcPr>
        <w:p w:rsidR="000A2FD9" w:rsidRPr="00921F85" w:rsidRDefault="000A2FD9" w:rsidP="00921F85">
          <w:pPr>
            <w:ind w:right="-156"/>
            <w:rPr>
              <w:rFonts w:ascii="Palatino Linotype" w:eastAsia="Palatino Linotype" w:hAnsi="Palatino Linotype" w:cs="Palatino Linotype"/>
              <w:b/>
              <w:sz w:val="24"/>
              <w:szCs w:val="24"/>
            </w:rPr>
          </w:pPr>
          <w:r w:rsidRPr="00921F85">
            <w:rPr>
              <w:rFonts w:ascii="Palatino Linotype" w:eastAsia="Palatino Linotype" w:hAnsi="Palatino Linotype" w:cs="Palatino Linotype"/>
              <w:b/>
              <w:sz w:val="24"/>
              <w:szCs w:val="24"/>
            </w:rPr>
            <w:t>Recurso de Revisión:</w:t>
          </w:r>
        </w:p>
      </w:tc>
      <w:tc>
        <w:tcPr>
          <w:tcW w:w="4536" w:type="dxa"/>
          <w:vAlign w:val="center"/>
        </w:tcPr>
        <w:p w:rsidR="000A2FD9" w:rsidRPr="00921F85" w:rsidRDefault="000A2FD9" w:rsidP="000A2FD9">
          <w:pPr>
            <w:pBdr>
              <w:top w:val="nil"/>
              <w:left w:val="nil"/>
              <w:bottom w:val="nil"/>
              <w:right w:val="nil"/>
              <w:between w:val="nil"/>
            </w:pBdr>
            <w:tabs>
              <w:tab w:val="center" w:pos="4252"/>
              <w:tab w:val="right" w:pos="8504"/>
            </w:tabs>
            <w:ind w:right="-108"/>
            <w:rPr>
              <w:rFonts w:ascii="Palatino Linotype" w:eastAsia="Palatino Linotype" w:hAnsi="Palatino Linotype" w:cs="Palatino Linotype"/>
              <w:color w:val="000000"/>
              <w:sz w:val="24"/>
              <w:szCs w:val="24"/>
            </w:rPr>
          </w:pPr>
          <w:r w:rsidRPr="00921F85">
            <w:rPr>
              <w:rFonts w:ascii="Palatino Linotype" w:eastAsia="Palatino Linotype" w:hAnsi="Palatino Linotype" w:cs="Palatino Linotype"/>
              <w:color w:val="000000"/>
              <w:sz w:val="24"/>
              <w:szCs w:val="24"/>
            </w:rPr>
            <w:t>04093/INFOEM/IP/RR/2025</w:t>
          </w:r>
        </w:p>
      </w:tc>
    </w:tr>
    <w:tr w:rsidR="000A2FD9" w:rsidTr="008A38BB">
      <w:trPr>
        <w:trHeight w:val="227"/>
      </w:trPr>
      <w:tc>
        <w:tcPr>
          <w:tcW w:w="2583" w:type="dxa"/>
          <w:vAlign w:val="center"/>
        </w:tcPr>
        <w:p w:rsidR="000A2FD9" w:rsidRPr="00921F85" w:rsidRDefault="000A2FD9" w:rsidP="00921F85">
          <w:pPr>
            <w:ind w:right="-156"/>
            <w:rPr>
              <w:rFonts w:ascii="Palatino Linotype" w:eastAsia="Palatino Linotype" w:hAnsi="Palatino Linotype" w:cs="Palatino Linotype"/>
              <w:b/>
              <w:sz w:val="24"/>
              <w:szCs w:val="24"/>
            </w:rPr>
          </w:pPr>
          <w:r w:rsidRPr="00921F85">
            <w:rPr>
              <w:rFonts w:ascii="Palatino Linotype" w:eastAsia="Palatino Linotype" w:hAnsi="Palatino Linotype" w:cs="Palatino Linotype"/>
              <w:b/>
              <w:sz w:val="24"/>
              <w:szCs w:val="24"/>
            </w:rPr>
            <w:t>Recurrente:</w:t>
          </w:r>
        </w:p>
      </w:tc>
      <w:tc>
        <w:tcPr>
          <w:tcW w:w="4536" w:type="dxa"/>
          <w:vAlign w:val="center"/>
        </w:tcPr>
        <w:p w:rsidR="000A2FD9" w:rsidRPr="00921F85" w:rsidRDefault="0078505C" w:rsidP="000A2FD9">
          <w:pPr>
            <w:pBdr>
              <w:top w:val="nil"/>
              <w:left w:val="nil"/>
              <w:bottom w:val="nil"/>
              <w:right w:val="nil"/>
              <w:between w:val="nil"/>
            </w:pBdr>
            <w:tabs>
              <w:tab w:val="right" w:pos="8504"/>
            </w:tabs>
            <w:ind w:right="-108"/>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XXXX</w:t>
          </w:r>
        </w:p>
      </w:tc>
    </w:tr>
    <w:tr w:rsidR="000A2FD9" w:rsidTr="008A38BB">
      <w:trPr>
        <w:trHeight w:val="232"/>
      </w:trPr>
      <w:tc>
        <w:tcPr>
          <w:tcW w:w="2583" w:type="dxa"/>
          <w:vAlign w:val="center"/>
        </w:tcPr>
        <w:p w:rsidR="000A2FD9" w:rsidRPr="00921F85" w:rsidRDefault="000A2FD9" w:rsidP="00921F85">
          <w:pPr>
            <w:ind w:right="-156"/>
            <w:rPr>
              <w:rFonts w:ascii="Palatino Linotype" w:eastAsia="Palatino Linotype" w:hAnsi="Palatino Linotype" w:cs="Palatino Linotype"/>
              <w:b/>
              <w:sz w:val="24"/>
              <w:szCs w:val="24"/>
            </w:rPr>
          </w:pPr>
          <w:r w:rsidRPr="00921F85">
            <w:rPr>
              <w:rFonts w:ascii="Palatino Linotype" w:eastAsia="Palatino Linotype" w:hAnsi="Palatino Linotype" w:cs="Palatino Linotype"/>
              <w:b/>
              <w:sz w:val="24"/>
              <w:szCs w:val="24"/>
            </w:rPr>
            <w:t>Sujeto Obligado:</w:t>
          </w:r>
        </w:p>
      </w:tc>
      <w:tc>
        <w:tcPr>
          <w:tcW w:w="4536" w:type="dxa"/>
          <w:vAlign w:val="center"/>
        </w:tcPr>
        <w:p w:rsidR="000A2FD9" w:rsidRPr="00921F85" w:rsidRDefault="000A2FD9" w:rsidP="000A2FD9">
          <w:pPr>
            <w:ind w:right="-108"/>
            <w:rPr>
              <w:sz w:val="24"/>
              <w:szCs w:val="24"/>
            </w:rPr>
          </w:pPr>
          <w:r w:rsidRPr="00921F85">
            <w:rPr>
              <w:rFonts w:ascii="Palatino Linotype" w:eastAsia="Palatino Linotype" w:hAnsi="Palatino Linotype" w:cs="Palatino Linotype"/>
              <w:sz w:val="24"/>
              <w:szCs w:val="24"/>
            </w:rPr>
            <w:t>Ayuntamiento de Tultepec</w:t>
          </w:r>
        </w:p>
      </w:tc>
    </w:tr>
    <w:tr w:rsidR="000A2FD9" w:rsidTr="008A38BB">
      <w:trPr>
        <w:trHeight w:val="320"/>
      </w:trPr>
      <w:tc>
        <w:tcPr>
          <w:tcW w:w="2583" w:type="dxa"/>
          <w:vAlign w:val="center"/>
        </w:tcPr>
        <w:p w:rsidR="000A2FD9" w:rsidRPr="00921F85" w:rsidRDefault="000A2FD9" w:rsidP="00921F85">
          <w:pPr>
            <w:ind w:right="-156"/>
            <w:rPr>
              <w:rFonts w:ascii="Palatino Linotype" w:eastAsia="Palatino Linotype" w:hAnsi="Palatino Linotype" w:cs="Palatino Linotype"/>
              <w:b/>
              <w:sz w:val="24"/>
              <w:szCs w:val="24"/>
            </w:rPr>
          </w:pPr>
          <w:r w:rsidRPr="00921F85">
            <w:rPr>
              <w:rFonts w:ascii="Palatino Linotype" w:eastAsia="Palatino Linotype" w:hAnsi="Palatino Linotype" w:cs="Palatino Linotype"/>
              <w:b/>
              <w:sz w:val="24"/>
              <w:szCs w:val="24"/>
            </w:rPr>
            <w:t>Comisionada Ponente:</w:t>
          </w:r>
        </w:p>
      </w:tc>
      <w:tc>
        <w:tcPr>
          <w:tcW w:w="4536" w:type="dxa"/>
          <w:vAlign w:val="center"/>
        </w:tcPr>
        <w:p w:rsidR="000A2FD9" w:rsidRPr="00921F85" w:rsidRDefault="000A2FD9" w:rsidP="000A2FD9">
          <w:pPr>
            <w:pBdr>
              <w:top w:val="nil"/>
              <w:left w:val="nil"/>
              <w:bottom w:val="nil"/>
              <w:right w:val="nil"/>
              <w:between w:val="nil"/>
            </w:pBdr>
            <w:tabs>
              <w:tab w:val="center" w:pos="4252"/>
              <w:tab w:val="right" w:pos="8504"/>
            </w:tabs>
            <w:ind w:right="-108"/>
            <w:rPr>
              <w:rFonts w:ascii="Palatino Linotype" w:eastAsia="Palatino Linotype" w:hAnsi="Palatino Linotype" w:cs="Palatino Linotype"/>
              <w:color w:val="000000"/>
              <w:sz w:val="24"/>
              <w:szCs w:val="24"/>
            </w:rPr>
          </w:pPr>
          <w:r w:rsidRPr="00921F85">
            <w:rPr>
              <w:rFonts w:ascii="Palatino Linotype" w:eastAsia="Palatino Linotype" w:hAnsi="Palatino Linotype" w:cs="Palatino Linotype"/>
              <w:color w:val="000000"/>
              <w:sz w:val="24"/>
              <w:szCs w:val="24"/>
            </w:rPr>
            <w:t>María del Rosario Mejía Ayala</w:t>
          </w:r>
        </w:p>
      </w:tc>
    </w:tr>
  </w:tbl>
  <w:p w:rsidR="00894625" w:rsidRDefault="008A38BB">
    <w:pPr>
      <w:pBdr>
        <w:top w:val="nil"/>
        <w:left w:val="nil"/>
        <w:bottom w:val="nil"/>
        <w:right w:val="nil"/>
        <w:between w:val="nil"/>
      </w:pBdr>
      <w:tabs>
        <w:tab w:val="center" w:pos="4252"/>
        <w:tab w:val="right" w:pos="8504"/>
      </w:tabs>
      <w:rPr>
        <w:color w:val="000000"/>
      </w:rPr>
    </w:pPr>
    <w:r>
      <w:rPr>
        <w:noProof/>
        <w:lang w:val="es-MX"/>
      </w:rPr>
      <w:drawing>
        <wp:anchor distT="0" distB="0" distL="0" distR="0" simplePos="0" relativeHeight="251659264" behindDoc="1" locked="0" layoutInCell="1" hidden="0" allowOverlap="1">
          <wp:simplePos x="0" y="0"/>
          <wp:positionH relativeFrom="column">
            <wp:posOffset>-1240993</wp:posOffset>
          </wp:positionH>
          <wp:positionV relativeFrom="paragraph">
            <wp:posOffset>-1430044</wp:posOffset>
          </wp:positionV>
          <wp:extent cx="7809876" cy="10165823"/>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p w:rsidR="00894625" w:rsidRDefault="008946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E65"/>
    <w:multiLevelType w:val="multilevel"/>
    <w:tmpl w:val="EA62617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upperLetter"/>
      <w:lvlText w:val="%3)"/>
      <w:lvlJc w:val="left"/>
      <w:pPr>
        <w:ind w:left="2340" w:hanging="360"/>
      </w:pPr>
    </w:lvl>
    <w:lvl w:ilvl="3">
      <w:start w:val="1"/>
      <w:numFmt w:val="lowerLetter"/>
      <w:lvlText w:val="%4)"/>
      <w:lvlJc w:val="left"/>
      <w:pPr>
        <w:ind w:left="2880" w:hanging="360"/>
      </w:pPr>
      <w:rPr>
        <w:b w:val="0"/>
        <w:color w:val="00000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3D0485"/>
    <w:multiLevelType w:val="multilevel"/>
    <w:tmpl w:val="0194EEB6"/>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ED6BA3"/>
    <w:multiLevelType w:val="hybridMultilevel"/>
    <w:tmpl w:val="D4B6F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E14343"/>
    <w:multiLevelType w:val="multilevel"/>
    <w:tmpl w:val="2BA4BB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9F2004"/>
    <w:multiLevelType w:val="multilevel"/>
    <w:tmpl w:val="C9CE9F2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2CE868E3"/>
    <w:multiLevelType w:val="multilevel"/>
    <w:tmpl w:val="1BFA932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15:restartNumberingAfterBreak="0">
    <w:nsid w:val="6465442E"/>
    <w:multiLevelType w:val="multilevel"/>
    <w:tmpl w:val="C1DC99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
  </w:num>
  <w:num w:numId="2">
    <w:abstractNumId w:val="3"/>
  </w:num>
  <w:num w:numId="3">
    <w:abstractNumId w:val="6"/>
  </w:num>
  <w:num w:numId="4">
    <w:abstractNumId w:val="4"/>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25"/>
    <w:rsid w:val="0005751A"/>
    <w:rsid w:val="000A2FD9"/>
    <w:rsid w:val="001C257A"/>
    <w:rsid w:val="00217E1D"/>
    <w:rsid w:val="00255918"/>
    <w:rsid w:val="0027790E"/>
    <w:rsid w:val="004061B4"/>
    <w:rsid w:val="00435EDB"/>
    <w:rsid w:val="004A2C23"/>
    <w:rsid w:val="00586627"/>
    <w:rsid w:val="005A25DF"/>
    <w:rsid w:val="0078505C"/>
    <w:rsid w:val="00790A65"/>
    <w:rsid w:val="00853E95"/>
    <w:rsid w:val="00894625"/>
    <w:rsid w:val="008A38BB"/>
    <w:rsid w:val="00921F85"/>
    <w:rsid w:val="0098403C"/>
    <w:rsid w:val="00D06B9E"/>
    <w:rsid w:val="00D11A4F"/>
    <w:rsid w:val="00DA1B25"/>
    <w:rsid w:val="00DE3C5D"/>
    <w:rsid w:val="00E6185C"/>
    <w:rsid w:val="00EF0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D472064-BA4E-40BB-B4B5-2DBBCFB8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Cambria"/>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line="259" w:lineRule="auto"/>
      <w:outlineLvl w:val="0"/>
    </w:pPr>
    <w:rPr>
      <w:rFonts w:ascii="Palatino Linotype" w:eastAsia="Palatino Linotype" w:hAnsi="Palatino Linotype" w:cs="Palatino Linotype"/>
      <w:b/>
      <w:color w:val="000000"/>
    </w:rPr>
  </w:style>
  <w:style w:type="paragraph" w:styleId="Ttulo2">
    <w:name w:val="heading 2"/>
    <w:basedOn w:val="Normal"/>
    <w:next w:val="Normal"/>
    <w:pPr>
      <w:keepNext/>
      <w:keepLines/>
      <w:spacing w:before="40" w:line="259" w:lineRule="auto"/>
      <w:outlineLvl w:val="1"/>
    </w:pPr>
    <w:rPr>
      <w:rFonts w:ascii="Palatino Linotype" w:eastAsia="Palatino Linotype" w:hAnsi="Palatino Linotype" w:cs="Palatino Linotype"/>
      <w:b/>
      <w:color w:val="000000"/>
    </w:rPr>
  </w:style>
  <w:style w:type="paragraph" w:styleId="Ttulo3">
    <w:name w:val="heading 3"/>
    <w:basedOn w:val="Normal"/>
    <w:next w:val="Normal"/>
    <w:pPr>
      <w:keepNext/>
      <w:keepLines/>
      <w:spacing w:before="40"/>
      <w:outlineLvl w:val="2"/>
    </w:pPr>
    <w:rPr>
      <w:rFonts w:ascii="Calibri" w:eastAsia="Calibri" w:hAnsi="Calibri" w:cs="Calibri"/>
      <w:color w:val="243F61"/>
    </w:rPr>
  </w:style>
  <w:style w:type="paragraph" w:styleId="Ttulo4">
    <w:name w:val="heading 4"/>
    <w:basedOn w:val="Normal"/>
    <w:next w:val="Normal"/>
    <w:pPr>
      <w:keepNext/>
      <w:keepLines/>
      <w:spacing w:before="40"/>
      <w:outlineLvl w:val="3"/>
    </w:pPr>
    <w:rPr>
      <w:rFonts w:ascii="Calibri" w:eastAsia="Calibri" w:hAnsi="Calibri" w:cs="Calibri"/>
      <w:i/>
      <w:color w:val="366091"/>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B37AEC"/>
    <w:pPr>
      <w:tabs>
        <w:tab w:val="left" w:pos="709"/>
        <w:tab w:val="right" w:leader="dot" w:pos="8779"/>
      </w:tabs>
      <w:spacing w:after="100" w:line="480"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next w:val="Normal"/>
    <w:uiPriority w:val="39"/>
    <w:unhideWhenUsed/>
    <w:qFormat/>
    <w:rsid w:val="00CD7893"/>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qForma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D4338A"/>
    <w:rPr>
      <w:rFonts w:ascii="Courier New" w:eastAsia="Times New Roman" w:hAnsi="Courier New" w:cs="Times New Roman"/>
      <w:sz w:val="20"/>
      <w:szCs w:val="20"/>
      <w:lang w:val="es-ES"/>
    </w:rPr>
  </w:style>
  <w:style w:type="table" w:customStyle="1" w:styleId="Tablanormal11">
    <w:name w:val="Tabla normal 1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rPr>
  </w:style>
  <w:style w:type="character" w:customStyle="1" w:styleId="stytxtare">
    <w:name w:val="stytxtare"/>
    <w:rsid w:val="005B0EC2"/>
  </w:style>
  <w:style w:type="character" w:customStyle="1" w:styleId="Ttulo4Car">
    <w:name w:val="Título 4 Car"/>
    <w:basedOn w:val="Fuentedeprrafopredeter"/>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uiPriority w:val="99"/>
    <w:rsid w:val="00BC13F7"/>
    <w:pPr>
      <w:spacing w:before="100" w:beforeAutospacing="1" w:after="100" w:afterAutospacing="1"/>
    </w:pPr>
    <w:rPr>
      <w:rFonts w:ascii="Times New Roman" w:eastAsia="Times New Roman" w:hAnsi="Times New Roman" w:cs="Times New Roman"/>
      <w:lang w:val="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rPr>
  </w:style>
  <w:style w:type="paragraph" w:customStyle="1" w:styleId="gmail-msolistparagraph">
    <w:name w:val="gmail-msolistparagraph"/>
    <w:basedOn w:val="Normal"/>
    <w:rsid w:val="00CA1CD0"/>
    <w:pPr>
      <w:spacing w:before="100" w:beforeAutospacing="1" w:after="100" w:afterAutospacing="1"/>
    </w:pPr>
    <w:rPr>
      <w:rFonts w:ascii="Times New Roman" w:eastAsia="Times New Roman" w:hAnsi="Times New Roman" w:cs="Times New Roman"/>
      <w:lang w:val="es-MX"/>
    </w:rPr>
  </w:style>
  <w:style w:type="character" w:customStyle="1" w:styleId="vidspn">
    <w:name w:val="vid_spn"/>
    <w:basedOn w:val="Fuentedeprrafopredeter"/>
    <w:rsid w:val="006B78BA"/>
  </w:style>
  <w:style w:type="table" w:styleId="Tablanormal1">
    <w:name w:val="Plain Table 1"/>
    <w:basedOn w:val="Tablanormal"/>
    <w:uiPriority w:val="41"/>
    <w:rsid w:val="00BE721C"/>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itas">
    <w:name w:val="Citas"/>
    <w:basedOn w:val="Normal"/>
    <w:qFormat/>
    <w:rsid w:val="000E0EF6"/>
    <w:pPr>
      <w:spacing w:before="240" w:after="160" w:line="360" w:lineRule="auto"/>
      <w:ind w:left="851" w:right="851"/>
      <w:jc w:val="both"/>
    </w:pPr>
    <w:rPr>
      <w:rFonts w:ascii="Palatino Linotype" w:eastAsia="Times New Roman" w:hAnsi="Palatino Linotype" w:cs="Arial"/>
      <w:i/>
      <w:sz w:val="22"/>
      <w:szCs w:val="22"/>
      <w:lang w:val="es-MX" w:eastAsia="en-US"/>
    </w:rPr>
  </w:style>
  <w:style w:type="table" w:customStyle="1" w:styleId="Tablanormal12">
    <w:name w:val="Tabla normal 12"/>
    <w:basedOn w:val="Tablanormal"/>
    <w:next w:val="Tablanormal1"/>
    <w:uiPriority w:val="41"/>
    <w:rsid w:val="00F82B3B"/>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object">
    <w:name w:val="object"/>
    <w:basedOn w:val="Fuentedeprrafopredeter"/>
    <w:rsid w:val="00977AFF"/>
  </w:style>
  <w:style w:type="table" w:customStyle="1" w:styleId="3">
    <w:name w:val="3"/>
    <w:basedOn w:val="TableNormal4"/>
    <w:tblPr>
      <w:tblStyleRowBandSize w:val="1"/>
      <w:tblStyleColBandSize w:val="1"/>
      <w:tblCellMar>
        <w:left w:w="115" w:type="dxa"/>
        <w:right w:w="115" w:type="dxa"/>
      </w:tblCellMar>
    </w:tblPr>
  </w:style>
  <w:style w:type="table" w:customStyle="1" w:styleId="2">
    <w:name w:val="2"/>
    <w:basedOn w:val="TableNormal4"/>
    <w:rPr>
      <w:sz w:val="22"/>
      <w:szCs w:val="22"/>
    </w:rPr>
    <w:tblPr>
      <w:tblStyleRowBandSize w:val="1"/>
      <w:tblStyleColBandSize w:val="1"/>
      <w:tblCellMar>
        <w:left w:w="108" w:type="dxa"/>
        <w:right w:w="108" w:type="dxa"/>
      </w:tblCellMar>
    </w:tblPr>
  </w:style>
  <w:style w:type="table" w:customStyle="1" w:styleId="1">
    <w:name w:val="1"/>
    <w:basedOn w:val="TableNormal4"/>
    <w:rPr>
      <w:sz w:val="22"/>
      <w:szCs w:val="22"/>
    </w:rPr>
    <w:tblPr>
      <w:tblStyleRowBandSize w:val="1"/>
      <w:tblStyleColBandSize w:val="1"/>
      <w:tblCellMar>
        <w:left w:w="108" w:type="dxa"/>
        <w:right w:w="108" w:type="dxa"/>
      </w:tblCellMar>
    </w:tblPr>
  </w:style>
  <w:style w:type="table" w:customStyle="1" w:styleId="a0">
    <w:basedOn w:val="TableNormal4"/>
    <w:tblPr>
      <w:tblStyleRowBandSize w:val="1"/>
      <w:tblStyleColBandSize w:val="1"/>
    </w:tbl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rPr>
      <w:sz w:val="22"/>
      <w:szCs w:val="22"/>
    </w:rPr>
    <w:tblPr>
      <w:tblStyleRowBandSize w:val="1"/>
      <w:tblStyleColBandSize w:val="1"/>
      <w:tblCellMar>
        <w:left w:w="108" w:type="dxa"/>
        <w:right w:w="108" w:type="dxa"/>
      </w:tblCellMar>
    </w:tblPr>
  </w:style>
  <w:style w:type="table" w:customStyle="1" w:styleId="a3">
    <w:basedOn w:val="TableNormal4"/>
    <w:rPr>
      <w:sz w:val="22"/>
      <w:szCs w:val="22"/>
    </w:rPr>
    <w:tblPr>
      <w:tblStyleRowBandSize w:val="1"/>
      <w:tblStyleColBandSize w:val="1"/>
      <w:tblCellMar>
        <w:left w:w="108" w:type="dxa"/>
        <w:right w:w="108" w:type="dxa"/>
      </w:tblCellMar>
    </w:tblPr>
  </w:style>
  <w:style w:type="table" w:customStyle="1" w:styleId="a4">
    <w:basedOn w:val="TableNormal3"/>
    <w:tblPr>
      <w:tblStyleRowBandSize w:val="1"/>
      <w:tblStyleColBandSize w:val="1"/>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rPr>
      <w:sz w:val="22"/>
      <w:szCs w:val="22"/>
    </w:rPr>
    <w:tblPr>
      <w:tblStyleRowBandSize w:val="1"/>
      <w:tblStyleColBandSize w:val="1"/>
      <w:tblCellMar>
        <w:left w:w="108" w:type="dxa"/>
        <w:right w:w="108" w:type="dxa"/>
      </w:tblCellMar>
    </w:tblPr>
  </w:style>
  <w:style w:type="table" w:customStyle="1" w:styleId="a7">
    <w:basedOn w:val="TableNormal3"/>
    <w:rPr>
      <w:sz w:val="22"/>
      <w:szCs w:val="22"/>
    </w:rPr>
    <w:tblPr>
      <w:tblStyleRowBandSize w:val="1"/>
      <w:tblStyleColBandSize w:val="1"/>
      <w:tblCellMar>
        <w:left w:w="108" w:type="dxa"/>
        <w:right w:w="108" w:type="dxa"/>
      </w:tblCellMar>
    </w:tblPr>
  </w:style>
  <w:style w:type="table" w:customStyle="1" w:styleId="Tablanormal13">
    <w:name w:val="Tabla normal 13"/>
    <w:basedOn w:val="Tablanormal"/>
    <w:next w:val="Tablanormal1"/>
    <w:uiPriority w:val="41"/>
    <w:rsid w:val="00AB673E"/>
    <w:rPr>
      <w:rFonts w:asciiTheme="minorHAnsi" w:eastAsiaTheme="minorHAnsi" w:hAnsiTheme="minorHAnsi" w:cstheme="minorBid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a8">
    <w:basedOn w:val="TableNormal2"/>
    <w:tblPr>
      <w:tblStyleRowBandSize w:val="1"/>
      <w:tblStyleColBandSize w:val="1"/>
      <w:tblCellMar>
        <w:left w:w="108" w:type="dxa"/>
        <w:right w:w="108"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rPr>
      <w:sz w:val="22"/>
      <w:szCs w:val="22"/>
    </w:rPr>
    <w:tblPr>
      <w:tblStyleRowBandSize w:val="1"/>
      <w:tblStyleColBandSize w:val="1"/>
      <w:tblCellMar>
        <w:left w:w="108" w:type="dxa"/>
        <w:right w:w="108" w:type="dxa"/>
      </w:tblCellMar>
    </w:tblPr>
  </w:style>
  <w:style w:type="table" w:customStyle="1" w:styleId="ab">
    <w:basedOn w:val="TableNormal2"/>
    <w:rPr>
      <w:sz w:val="22"/>
      <w:szCs w:val="22"/>
    </w:rPr>
    <w:tblPr>
      <w:tblStyleRowBandSize w:val="1"/>
      <w:tblStyleColBandSize w:val="1"/>
      <w:tblCellMar>
        <w:left w:w="108" w:type="dxa"/>
        <w:right w:w="108" w:type="dxa"/>
      </w:tblCellMar>
    </w:tblPr>
  </w:style>
  <w:style w:type="table" w:customStyle="1" w:styleId="ac">
    <w:basedOn w:val="TableNormal2"/>
    <w:tblPr>
      <w:tblStyleRowBandSize w:val="1"/>
      <w:tblStyleColBandSize w:val="1"/>
      <w:tblCellMar>
        <w:left w:w="108" w:type="dxa"/>
        <w:right w:w="108" w:type="dxa"/>
      </w:tblCellMar>
    </w:tblPr>
  </w:style>
  <w:style w:type="table" w:customStyle="1" w:styleId="ad">
    <w:basedOn w:val="TableNormal2"/>
    <w:tblPr>
      <w:tblStyleRowBandSize w:val="1"/>
      <w:tblStyleColBandSize w:val="1"/>
      <w:tblCellMar>
        <w:left w:w="115" w:type="dxa"/>
        <w:right w:w="115" w:type="dxa"/>
      </w:tblCellMar>
    </w:tblPr>
  </w:style>
  <w:style w:type="table" w:customStyle="1" w:styleId="ae">
    <w:basedOn w:val="TableNormal2"/>
    <w:rPr>
      <w:sz w:val="22"/>
      <w:szCs w:val="22"/>
    </w:rPr>
    <w:tblPr>
      <w:tblStyleRowBandSize w:val="1"/>
      <w:tblStyleColBandSize w:val="1"/>
      <w:tblCellMar>
        <w:left w:w="108" w:type="dxa"/>
        <w:right w:w="108" w:type="dxa"/>
      </w:tblCellMar>
    </w:tblPr>
  </w:style>
  <w:style w:type="table" w:customStyle="1" w:styleId="af">
    <w:basedOn w:val="TableNormal2"/>
    <w:rPr>
      <w:sz w:val="22"/>
      <w:szCs w:val="22"/>
    </w:rPr>
    <w:tblPr>
      <w:tblStyleRowBandSize w:val="1"/>
      <w:tblStyleColBandSize w:val="1"/>
      <w:tblCellMar>
        <w:left w:w="108" w:type="dxa"/>
        <w:right w:w="108"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0">
    <w:basedOn w:val="TableNormal0"/>
    <w:tblPr>
      <w:tblStyleRowBandSize w:val="1"/>
      <w:tblStyleColBandSize w:val="1"/>
      <w:tblCellMar>
        <w:top w:w="0" w:type="dxa"/>
        <w:left w:w="115" w:type="dxa"/>
        <w:bottom w:w="0" w:type="dxa"/>
        <w:right w:w="115" w:type="dxa"/>
      </w:tblCellMar>
    </w:tblPr>
  </w:style>
  <w:style w:type="table" w:customStyle="1" w:styleId="af1">
    <w:basedOn w:val="TableNormal0"/>
    <w:rPr>
      <w:sz w:val="22"/>
      <w:szCs w:val="22"/>
    </w:rPr>
    <w:tblPr>
      <w:tblStyleRowBandSize w:val="1"/>
      <w:tblStyleColBandSize w:val="1"/>
      <w:tblCellMar>
        <w:top w:w="0" w:type="dxa"/>
        <w:left w:w="108" w:type="dxa"/>
        <w:bottom w:w="0" w:type="dxa"/>
        <w:right w:w="108" w:type="dxa"/>
      </w:tblCellMar>
    </w:tblPr>
  </w:style>
  <w:style w:type="table" w:customStyle="1" w:styleId="af2">
    <w:basedOn w:val="TableNormal0"/>
    <w:rPr>
      <w:sz w:val="22"/>
      <w:szCs w:val="22"/>
    </w:r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14232.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aimex.org.mx/saimex/solicitud/downloadAttach/2414234.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0Ln5xAw3zA6SAU4/OYg+F1C/gQ==">CgMxLjAyDmguc3JlOWgwNXE0djBiMghoLmdqZGd4czIJaC4zMGowemxsMgloLjFmb2I5dGUyCWguM3pueXNoNzIJaC4yZXQ5MnAwMghoLnR5amN3dDIJaC4zZHk2dmttMgloLjF0M2g1c2YyDmguamprd2F6Z3AwaDF2Mg5oLmg3cTE5YWUwMXhvZDIJaC4zNW5rdW4yMg5oLnZyNnVncTh0ZjA4aDIOaC5kaXBxYmZ2dnE4cXA4AHIhMVZjY3d6X1Y5a2RQMDlDa25CNElwNXNIR0tQWl9HWFF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32</Pages>
  <Words>8428</Words>
  <Characters>46357</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Cuenta Microsoft</cp:lastModifiedBy>
  <cp:revision>11</cp:revision>
  <cp:lastPrinted>2025-09-25T17:07:00Z</cp:lastPrinted>
  <dcterms:created xsi:type="dcterms:W3CDTF">2025-09-22T22:51:00Z</dcterms:created>
  <dcterms:modified xsi:type="dcterms:W3CDTF">2025-10-01T17:25:00Z</dcterms:modified>
</cp:coreProperties>
</file>