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228DC"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B84BF5">
        <w:rPr>
          <w:rFonts w:ascii="Palatino Linotype" w:eastAsia="Palatino Linotype" w:hAnsi="Palatino Linotype" w:cs="Palatino Linotype"/>
          <w:sz w:val="22"/>
          <w:szCs w:val="22"/>
        </w:rPr>
        <w:t xml:space="preserve">               </w:t>
      </w:r>
      <w:r w:rsidR="003D5A40" w:rsidRPr="00B84BF5">
        <w:rPr>
          <w:rFonts w:ascii="Palatino Linotype" w:eastAsia="Palatino Linotype" w:hAnsi="Palatino Linotype" w:cs="Palatino Linotype"/>
          <w:sz w:val="22"/>
          <w:szCs w:val="22"/>
        </w:rPr>
        <w:t xml:space="preserve">                              </w:t>
      </w:r>
      <w:r w:rsidRPr="00B84BF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a </w:t>
      </w:r>
      <w:r w:rsidR="003D5A40" w:rsidRPr="00226F95">
        <w:rPr>
          <w:rFonts w:ascii="Palatino Linotype" w:eastAsia="Palatino Linotype" w:hAnsi="Palatino Linotype" w:cs="Palatino Linotype"/>
          <w:sz w:val="22"/>
          <w:szCs w:val="22"/>
        </w:rPr>
        <w:t>seis</w:t>
      </w:r>
      <w:r w:rsidRPr="00226F95">
        <w:rPr>
          <w:rFonts w:ascii="Palatino Linotype" w:eastAsia="Palatino Linotype" w:hAnsi="Palatino Linotype" w:cs="Palatino Linotype"/>
          <w:sz w:val="22"/>
          <w:szCs w:val="22"/>
        </w:rPr>
        <w:t xml:space="preserve"> de </w:t>
      </w:r>
      <w:r w:rsidR="003D5A40" w:rsidRPr="00226F95">
        <w:rPr>
          <w:rFonts w:ascii="Palatino Linotype" w:eastAsia="Palatino Linotype" w:hAnsi="Palatino Linotype" w:cs="Palatino Linotype"/>
          <w:sz w:val="22"/>
          <w:szCs w:val="22"/>
        </w:rPr>
        <w:t>marzo</w:t>
      </w:r>
      <w:r w:rsidRPr="00226F95">
        <w:rPr>
          <w:rFonts w:ascii="Palatino Linotype" w:eastAsia="Palatino Linotype" w:hAnsi="Palatino Linotype" w:cs="Palatino Linotype"/>
          <w:sz w:val="22"/>
          <w:szCs w:val="22"/>
        </w:rPr>
        <w:t xml:space="preserve"> de dos mil veinticinco. </w:t>
      </w:r>
    </w:p>
    <w:p w14:paraId="5F2647A0"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VISTO</w:t>
      </w:r>
      <w:r w:rsidRPr="00226F95">
        <w:rPr>
          <w:rFonts w:ascii="Palatino Linotype" w:eastAsia="Palatino Linotype" w:hAnsi="Palatino Linotype" w:cs="Palatino Linotype"/>
          <w:sz w:val="22"/>
          <w:szCs w:val="22"/>
        </w:rPr>
        <w:t xml:space="preserve"> el expediente formado con motivo del recurso de revisión </w:t>
      </w:r>
      <w:r w:rsidR="003D5A40" w:rsidRPr="00226F95">
        <w:rPr>
          <w:rFonts w:ascii="Palatino Linotype" w:eastAsia="Palatino Linotype" w:hAnsi="Palatino Linotype" w:cs="Palatino Linotype"/>
          <w:b/>
          <w:sz w:val="22"/>
          <w:szCs w:val="22"/>
        </w:rPr>
        <w:t>00759/INFOEM/IP/RR/2025</w:t>
      </w:r>
      <w:r w:rsidRPr="00226F95">
        <w:rPr>
          <w:rFonts w:ascii="Palatino Linotype" w:eastAsia="Palatino Linotype" w:hAnsi="Palatino Linotype" w:cs="Palatino Linotype"/>
          <w:sz w:val="22"/>
          <w:szCs w:val="22"/>
        </w:rPr>
        <w:t>, por</w:t>
      </w:r>
      <w:r w:rsidRPr="00226F95">
        <w:rPr>
          <w:rFonts w:ascii="Palatino Linotype" w:eastAsia="Palatino Linotype" w:hAnsi="Palatino Linotype" w:cs="Palatino Linotype"/>
          <w:b/>
          <w:sz w:val="22"/>
          <w:szCs w:val="22"/>
        </w:rPr>
        <w:t xml:space="preserve"> </w:t>
      </w:r>
      <w:r w:rsidRPr="00226F95">
        <w:rPr>
          <w:rFonts w:ascii="Palatino Linotype" w:eastAsia="Palatino Linotype" w:hAnsi="Palatino Linotype" w:cs="Palatino Linotype"/>
          <w:sz w:val="22"/>
          <w:szCs w:val="22"/>
        </w:rPr>
        <w:t>interpuesto por</w:t>
      </w:r>
      <w:r w:rsidRPr="00226F95">
        <w:rPr>
          <w:rFonts w:ascii="Palatino Linotype" w:eastAsia="Palatino Linotype" w:hAnsi="Palatino Linotype" w:cs="Palatino Linotype"/>
          <w:b/>
          <w:sz w:val="22"/>
          <w:szCs w:val="22"/>
        </w:rPr>
        <w:t xml:space="preserve"> un particular que no proporcionó su nombre,</w:t>
      </w:r>
      <w:r w:rsidRPr="00226F95">
        <w:rPr>
          <w:rFonts w:ascii="Palatino Linotype" w:eastAsia="Palatino Linotype" w:hAnsi="Palatino Linotype" w:cs="Palatino Linotype"/>
          <w:sz w:val="22"/>
          <w:szCs w:val="22"/>
        </w:rPr>
        <w:t xml:space="preserve"> en lo sucesivo la parte </w:t>
      </w:r>
      <w:r w:rsidRPr="00226F95">
        <w:rPr>
          <w:rFonts w:ascii="Palatino Linotype" w:eastAsia="Palatino Linotype" w:hAnsi="Palatino Linotype" w:cs="Palatino Linotype"/>
          <w:b/>
          <w:sz w:val="22"/>
          <w:szCs w:val="22"/>
        </w:rPr>
        <w:t>RECURRENTE,</w:t>
      </w:r>
      <w:r w:rsidRPr="00226F95">
        <w:rPr>
          <w:rFonts w:ascii="Palatino Linotype" w:eastAsia="Palatino Linotype" w:hAnsi="Palatino Linotype" w:cs="Palatino Linotype"/>
          <w:sz w:val="22"/>
          <w:szCs w:val="22"/>
        </w:rPr>
        <w:t xml:space="preserve"> en contra de la respuesta a su solicitud por parte del </w:t>
      </w:r>
      <w:r w:rsidR="003D5A40" w:rsidRPr="00226F95">
        <w:rPr>
          <w:rFonts w:ascii="Palatino Linotype" w:eastAsia="Palatino Linotype" w:hAnsi="Palatino Linotype" w:cs="Palatino Linotype"/>
          <w:b/>
          <w:sz w:val="22"/>
          <w:szCs w:val="22"/>
        </w:rPr>
        <w:t>Ayuntamiento de Cocotitlán</w:t>
      </w:r>
      <w:r w:rsidRPr="00226F95">
        <w:rPr>
          <w:rFonts w:ascii="Palatino Linotype" w:eastAsia="Palatino Linotype" w:hAnsi="Palatino Linotype" w:cs="Palatino Linotype"/>
          <w:b/>
          <w:sz w:val="22"/>
          <w:szCs w:val="22"/>
        </w:rPr>
        <w:t xml:space="preserve">, </w:t>
      </w:r>
      <w:r w:rsidRPr="00226F95">
        <w:rPr>
          <w:rFonts w:ascii="Palatino Linotype" w:eastAsia="Palatino Linotype" w:hAnsi="Palatino Linotype" w:cs="Palatino Linotype"/>
          <w:sz w:val="22"/>
          <w:szCs w:val="22"/>
        </w:rPr>
        <w:t xml:space="preserve">en lo sucesivo el </w:t>
      </w:r>
      <w:r w:rsidRPr="00226F95">
        <w:rPr>
          <w:rFonts w:ascii="Palatino Linotype" w:eastAsia="Palatino Linotype" w:hAnsi="Palatino Linotype" w:cs="Palatino Linotype"/>
          <w:b/>
          <w:sz w:val="22"/>
          <w:szCs w:val="22"/>
        </w:rPr>
        <w:t xml:space="preserve">SUJETO OBLIGADO, </w:t>
      </w:r>
      <w:r w:rsidRPr="00226F95">
        <w:rPr>
          <w:rFonts w:ascii="Palatino Linotype" w:eastAsia="Palatino Linotype" w:hAnsi="Palatino Linotype" w:cs="Palatino Linotype"/>
          <w:sz w:val="22"/>
          <w:szCs w:val="22"/>
        </w:rPr>
        <w:t xml:space="preserve">se procede a dictar la presente resolución con base en los siguientes:  </w:t>
      </w:r>
    </w:p>
    <w:p w14:paraId="5A96BECF" w14:textId="77777777" w:rsidR="00003AD2" w:rsidRPr="00226F95" w:rsidRDefault="00C82866">
      <w:pPr>
        <w:spacing w:before="240" w:after="240" w:line="360" w:lineRule="auto"/>
        <w:jc w:val="center"/>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I. A N T E C E D E N T E S</w:t>
      </w:r>
    </w:p>
    <w:p w14:paraId="6422E470"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1. Solicitud de acceso a la información.</w:t>
      </w:r>
      <w:r w:rsidRPr="00226F95">
        <w:rPr>
          <w:rFonts w:ascii="Palatino Linotype" w:eastAsia="Palatino Linotype" w:hAnsi="Palatino Linotype" w:cs="Palatino Linotype"/>
          <w:sz w:val="22"/>
          <w:szCs w:val="22"/>
        </w:rPr>
        <w:t xml:space="preserve"> Con fecha </w:t>
      </w:r>
      <w:r w:rsidR="003D5A40" w:rsidRPr="00226F95">
        <w:rPr>
          <w:rFonts w:ascii="Palatino Linotype" w:eastAsia="Palatino Linotype" w:hAnsi="Palatino Linotype" w:cs="Palatino Linotype"/>
          <w:b/>
          <w:sz w:val="22"/>
          <w:szCs w:val="22"/>
        </w:rPr>
        <w:t>cuatro</w:t>
      </w:r>
      <w:r w:rsidRPr="00226F95">
        <w:rPr>
          <w:rFonts w:ascii="Palatino Linotype" w:eastAsia="Palatino Linotype" w:hAnsi="Palatino Linotype" w:cs="Palatino Linotype"/>
          <w:b/>
          <w:sz w:val="22"/>
          <w:szCs w:val="22"/>
        </w:rPr>
        <w:t xml:space="preserve"> de </w:t>
      </w:r>
      <w:r w:rsidR="00746B13" w:rsidRPr="00226F95">
        <w:rPr>
          <w:rFonts w:ascii="Palatino Linotype" w:eastAsia="Palatino Linotype" w:hAnsi="Palatino Linotype" w:cs="Palatino Linotype"/>
          <w:b/>
          <w:sz w:val="22"/>
          <w:szCs w:val="22"/>
        </w:rPr>
        <w:t>enero</w:t>
      </w:r>
      <w:r w:rsidRPr="00226F95">
        <w:rPr>
          <w:rFonts w:ascii="Palatino Linotype" w:eastAsia="Palatino Linotype" w:hAnsi="Palatino Linotype" w:cs="Palatino Linotype"/>
          <w:b/>
          <w:sz w:val="22"/>
          <w:szCs w:val="22"/>
        </w:rPr>
        <w:t xml:space="preserve"> de dos mil veintic</w:t>
      </w:r>
      <w:r w:rsidR="003D5A40" w:rsidRPr="00226F95">
        <w:rPr>
          <w:rFonts w:ascii="Palatino Linotype" w:eastAsia="Palatino Linotype" w:hAnsi="Palatino Linotype" w:cs="Palatino Linotype"/>
          <w:b/>
          <w:sz w:val="22"/>
          <w:szCs w:val="22"/>
        </w:rPr>
        <w:t>inco</w:t>
      </w:r>
      <w:r w:rsidRPr="00226F95">
        <w:rPr>
          <w:rFonts w:ascii="Palatino Linotype" w:eastAsia="Palatino Linotype" w:hAnsi="Palatino Linotype" w:cs="Palatino Linotype"/>
          <w:sz w:val="22"/>
          <w:szCs w:val="22"/>
        </w:rPr>
        <w:t>, el R</w:t>
      </w:r>
      <w:r w:rsidR="003D5A40" w:rsidRPr="00226F95">
        <w:rPr>
          <w:rFonts w:ascii="Palatino Linotype" w:eastAsia="Palatino Linotype" w:hAnsi="Palatino Linotype" w:cs="Palatino Linotype"/>
          <w:sz w:val="22"/>
          <w:szCs w:val="22"/>
        </w:rPr>
        <w:t xml:space="preserve">ecurrente formuló una solicitud; sin embargo, al corresponder a día inhábil, se tuvo por presentada el </w:t>
      </w:r>
      <w:r w:rsidR="003D5A40" w:rsidRPr="00226F95">
        <w:rPr>
          <w:rFonts w:ascii="Palatino Linotype" w:eastAsia="Palatino Linotype" w:hAnsi="Palatino Linotype" w:cs="Palatino Linotype"/>
          <w:b/>
          <w:sz w:val="22"/>
          <w:szCs w:val="22"/>
        </w:rPr>
        <w:t>trece de enero de la misma anualidad</w:t>
      </w:r>
      <w:r w:rsidR="003D5A40" w:rsidRPr="00226F95">
        <w:rPr>
          <w:rFonts w:ascii="Palatino Linotype" w:eastAsia="Palatino Linotype" w:hAnsi="Palatino Linotype" w:cs="Palatino Linotype"/>
          <w:sz w:val="22"/>
          <w:szCs w:val="22"/>
        </w:rPr>
        <w:t>,</w:t>
      </w:r>
      <w:r w:rsidRPr="00226F95">
        <w:rPr>
          <w:rFonts w:ascii="Palatino Linotype" w:eastAsia="Palatino Linotype" w:hAnsi="Palatino Linotype" w:cs="Palatino Linotype"/>
          <w:sz w:val="22"/>
          <w:szCs w:val="22"/>
        </w:rPr>
        <w:t xml:space="preserve"> través del Sistema de Acceso a la Información Mexiquense, en lo subsecuente el </w:t>
      </w:r>
      <w:r w:rsidRPr="00226F95">
        <w:rPr>
          <w:rFonts w:ascii="Palatino Linotype" w:eastAsia="Palatino Linotype" w:hAnsi="Palatino Linotype" w:cs="Palatino Linotype"/>
          <w:b/>
          <w:sz w:val="22"/>
          <w:szCs w:val="22"/>
        </w:rPr>
        <w:t>SAIMEX,</w:t>
      </w:r>
      <w:r w:rsidRPr="00226F95">
        <w:rPr>
          <w:rFonts w:ascii="Palatino Linotype" w:eastAsia="Palatino Linotype" w:hAnsi="Palatino Linotype" w:cs="Palatino Linotype"/>
          <w:sz w:val="22"/>
          <w:szCs w:val="22"/>
        </w:rPr>
        <w:t xml:space="preserve"> ante el </w:t>
      </w:r>
      <w:r w:rsidRPr="00226F95">
        <w:rPr>
          <w:rFonts w:ascii="Palatino Linotype" w:eastAsia="Palatino Linotype" w:hAnsi="Palatino Linotype" w:cs="Palatino Linotype"/>
          <w:b/>
          <w:sz w:val="22"/>
          <w:szCs w:val="22"/>
        </w:rPr>
        <w:t>SUJETO OBLIGADO</w:t>
      </w:r>
      <w:r w:rsidRPr="00226F95">
        <w:rPr>
          <w:rFonts w:ascii="Palatino Linotype" w:eastAsia="Palatino Linotype" w:hAnsi="Palatino Linotype" w:cs="Palatino Linotype"/>
          <w:sz w:val="22"/>
          <w:szCs w:val="22"/>
        </w:rPr>
        <w:t>, la solicitud de acceso a la información pública, a la que se le asignó el número</w:t>
      </w:r>
      <w:r w:rsidRPr="00226F95">
        <w:rPr>
          <w:rFonts w:ascii="Palatino Linotype" w:eastAsia="Palatino Linotype" w:hAnsi="Palatino Linotype" w:cs="Palatino Linotype"/>
          <w:b/>
          <w:sz w:val="22"/>
          <w:szCs w:val="22"/>
        </w:rPr>
        <w:t xml:space="preserve"> 0</w:t>
      </w:r>
      <w:r w:rsidR="003D5A40" w:rsidRPr="00226F95">
        <w:rPr>
          <w:rFonts w:ascii="Palatino Linotype" w:eastAsia="Palatino Linotype" w:hAnsi="Palatino Linotype" w:cs="Palatino Linotype"/>
          <w:b/>
          <w:sz w:val="22"/>
          <w:szCs w:val="22"/>
        </w:rPr>
        <w:t>0014</w:t>
      </w:r>
      <w:r w:rsidRPr="00226F95">
        <w:rPr>
          <w:rFonts w:ascii="Palatino Linotype" w:eastAsia="Palatino Linotype" w:hAnsi="Palatino Linotype" w:cs="Palatino Linotype"/>
          <w:b/>
          <w:sz w:val="22"/>
          <w:szCs w:val="22"/>
        </w:rPr>
        <w:t>/</w:t>
      </w:r>
      <w:r w:rsidR="003D5A40" w:rsidRPr="00226F95">
        <w:rPr>
          <w:rFonts w:ascii="Palatino Linotype" w:eastAsia="Palatino Linotype" w:hAnsi="Palatino Linotype" w:cs="Palatino Linotype"/>
          <w:b/>
          <w:sz w:val="22"/>
          <w:szCs w:val="22"/>
        </w:rPr>
        <w:t>COCOTIT</w:t>
      </w:r>
      <w:r w:rsidRPr="00226F95">
        <w:rPr>
          <w:rFonts w:ascii="Palatino Linotype" w:eastAsia="Palatino Linotype" w:hAnsi="Palatino Linotype" w:cs="Palatino Linotype"/>
          <w:b/>
          <w:sz w:val="22"/>
          <w:szCs w:val="22"/>
        </w:rPr>
        <w:t>/IP/202</w:t>
      </w:r>
      <w:r w:rsidR="003D5A40" w:rsidRPr="00226F95">
        <w:rPr>
          <w:rFonts w:ascii="Palatino Linotype" w:eastAsia="Palatino Linotype" w:hAnsi="Palatino Linotype" w:cs="Palatino Linotype"/>
          <w:b/>
          <w:sz w:val="22"/>
          <w:szCs w:val="22"/>
        </w:rPr>
        <w:t>5</w:t>
      </w:r>
      <w:r w:rsidRPr="00226F95">
        <w:rPr>
          <w:rFonts w:ascii="Palatino Linotype" w:eastAsia="Palatino Linotype" w:hAnsi="Palatino Linotype" w:cs="Palatino Linotype"/>
          <w:b/>
          <w:sz w:val="22"/>
          <w:szCs w:val="22"/>
        </w:rPr>
        <w:t xml:space="preserve">, </w:t>
      </w:r>
      <w:r w:rsidRPr="00226F95">
        <w:rPr>
          <w:rFonts w:ascii="Palatino Linotype" w:eastAsia="Palatino Linotype" w:hAnsi="Palatino Linotype" w:cs="Palatino Linotype"/>
          <w:sz w:val="22"/>
          <w:szCs w:val="22"/>
        </w:rPr>
        <w:t xml:space="preserve">mediante la cual requirió la información siguiente:  </w:t>
      </w:r>
    </w:p>
    <w:p w14:paraId="29A28357" w14:textId="77777777" w:rsidR="00003AD2" w:rsidRPr="00226F95" w:rsidRDefault="00C82866">
      <w:pPr>
        <w:spacing w:before="240"/>
        <w:ind w:left="851" w:right="902"/>
        <w:jc w:val="both"/>
        <w:rPr>
          <w:rFonts w:ascii="Palatino Linotype" w:eastAsia="Palatino Linotype" w:hAnsi="Palatino Linotype" w:cs="Palatino Linotype"/>
          <w:i/>
          <w:sz w:val="22"/>
          <w:szCs w:val="22"/>
        </w:rPr>
      </w:pPr>
      <w:bookmarkStart w:id="0" w:name="_heading=h.gjdgxs" w:colFirst="0" w:colLast="0"/>
      <w:bookmarkEnd w:id="0"/>
      <w:r w:rsidRPr="00226F95">
        <w:rPr>
          <w:rFonts w:ascii="Palatino Linotype" w:eastAsia="Palatino Linotype" w:hAnsi="Palatino Linotype" w:cs="Palatino Linotype"/>
          <w:i/>
          <w:sz w:val="22"/>
          <w:szCs w:val="22"/>
        </w:rPr>
        <w:t>“</w:t>
      </w:r>
      <w:r w:rsidR="003D5A40" w:rsidRPr="00226F95">
        <w:rPr>
          <w:rFonts w:ascii="Palatino Linotype" w:eastAsia="Palatino Linotype" w:hAnsi="Palatino Linotype" w:cs="Palatino Linotype"/>
          <w:i/>
          <w:sz w:val="22"/>
          <w:szCs w:val="22"/>
        </w:rPr>
        <w:t xml:space="preserve">Solicito de la manera más atenta el organigrama de la administración 2025-2027 del Municipio de </w:t>
      </w:r>
      <w:proofErr w:type="spellStart"/>
      <w:r w:rsidR="003D5A40" w:rsidRPr="00226F95">
        <w:rPr>
          <w:rFonts w:ascii="Palatino Linotype" w:eastAsia="Palatino Linotype" w:hAnsi="Palatino Linotype" w:cs="Palatino Linotype"/>
          <w:i/>
          <w:sz w:val="22"/>
          <w:szCs w:val="22"/>
        </w:rPr>
        <w:t>Cocotitlan</w:t>
      </w:r>
      <w:proofErr w:type="spellEnd"/>
      <w:r w:rsidR="003D5A40" w:rsidRPr="00226F95">
        <w:rPr>
          <w:rFonts w:ascii="Palatino Linotype" w:eastAsia="Palatino Linotype" w:hAnsi="Palatino Linotype" w:cs="Palatino Linotype"/>
          <w:i/>
          <w:sz w:val="22"/>
          <w:szCs w:val="22"/>
        </w:rPr>
        <w:t xml:space="preserve">, en caso de no contar con </w:t>
      </w:r>
      <w:proofErr w:type="spellStart"/>
      <w:r w:rsidR="003D5A40" w:rsidRPr="00226F95">
        <w:rPr>
          <w:rFonts w:ascii="Palatino Linotype" w:eastAsia="Palatino Linotype" w:hAnsi="Palatino Linotype" w:cs="Palatino Linotype"/>
          <w:i/>
          <w:sz w:val="22"/>
          <w:szCs w:val="22"/>
        </w:rPr>
        <w:t>el</w:t>
      </w:r>
      <w:proofErr w:type="spellEnd"/>
      <w:r w:rsidR="003D5A40" w:rsidRPr="00226F95">
        <w:rPr>
          <w:rFonts w:ascii="Palatino Linotype" w:eastAsia="Palatino Linotype" w:hAnsi="Palatino Linotype" w:cs="Palatino Linotype"/>
          <w:i/>
          <w:sz w:val="22"/>
          <w:szCs w:val="22"/>
        </w:rPr>
        <w:t xml:space="preserve"> en qué fecha será aprobado y </w:t>
      </w:r>
      <w:proofErr w:type="spellStart"/>
      <w:r w:rsidR="003D5A40" w:rsidRPr="00226F95">
        <w:rPr>
          <w:rFonts w:ascii="Palatino Linotype" w:eastAsia="Palatino Linotype" w:hAnsi="Palatino Linotype" w:cs="Palatino Linotype"/>
          <w:i/>
          <w:sz w:val="22"/>
          <w:szCs w:val="22"/>
        </w:rPr>
        <w:t>cual</w:t>
      </w:r>
      <w:proofErr w:type="spellEnd"/>
      <w:r w:rsidR="003D5A40" w:rsidRPr="00226F95">
        <w:rPr>
          <w:rFonts w:ascii="Palatino Linotype" w:eastAsia="Palatino Linotype" w:hAnsi="Palatino Linotype" w:cs="Palatino Linotype"/>
          <w:i/>
          <w:sz w:val="22"/>
          <w:szCs w:val="22"/>
        </w:rPr>
        <w:t xml:space="preserve"> será la página oficial para poder consultarlo</w:t>
      </w:r>
      <w:r w:rsidRPr="00226F95">
        <w:rPr>
          <w:rFonts w:ascii="Palatino Linotype" w:eastAsia="Palatino Linotype" w:hAnsi="Palatino Linotype" w:cs="Palatino Linotype"/>
          <w:i/>
          <w:sz w:val="22"/>
          <w:szCs w:val="22"/>
        </w:rPr>
        <w:t>” (Sic)</w:t>
      </w:r>
    </w:p>
    <w:p w14:paraId="5A957499" w14:textId="77777777" w:rsidR="00003AD2" w:rsidRPr="00226F95" w:rsidRDefault="00003AD2">
      <w:pPr>
        <w:ind w:left="851" w:right="902"/>
        <w:jc w:val="both"/>
        <w:rPr>
          <w:rFonts w:ascii="Palatino Linotype" w:eastAsia="Palatino Linotype" w:hAnsi="Palatino Linotype" w:cs="Palatino Linotype"/>
          <w:i/>
          <w:sz w:val="22"/>
          <w:szCs w:val="22"/>
        </w:rPr>
      </w:pPr>
    </w:p>
    <w:p w14:paraId="32A7032D" w14:textId="77777777" w:rsidR="00003AD2" w:rsidRPr="00226F95" w:rsidRDefault="00C82866">
      <w:pP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Modalidad de Entrega:</w:t>
      </w:r>
      <w:r w:rsidRPr="00226F95">
        <w:rPr>
          <w:rFonts w:ascii="Palatino Linotype" w:eastAsia="Palatino Linotype" w:hAnsi="Palatino Linotype" w:cs="Palatino Linotype"/>
          <w:sz w:val="22"/>
          <w:szCs w:val="22"/>
        </w:rPr>
        <w:t xml:space="preserve"> A través de SAIMEX.</w:t>
      </w:r>
    </w:p>
    <w:p w14:paraId="4C3196E9" w14:textId="77777777" w:rsidR="00003AD2" w:rsidRPr="00226F95" w:rsidRDefault="00003AD2">
      <w:pPr>
        <w:spacing w:line="360" w:lineRule="auto"/>
        <w:jc w:val="both"/>
        <w:rPr>
          <w:rFonts w:ascii="Palatino Linotype" w:eastAsia="Palatino Linotype" w:hAnsi="Palatino Linotype" w:cs="Palatino Linotype"/>
          <w:sz w:val="22"/>
          <w:szCs w:val="22"/>
        </w:rPr>
      </w:pPr>
    </w:p>
    <w:p w14:paraId="25774003" w14:textId="77777777" w:rsidR="00003AD2" w:rsidRPr="00226F95" w:rsidRDefault="00C82866">
      <w:pPr>
        <w:spacing w:after="240" w:line="360" w:lineRule="auto"/>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 xml:space="preserve">2. Respuesta. </w:t>
      </w:r>
      <w:r w:rsidRPr="00226F95">
        <w:rPr>
          <w:rFonts w:ascii="Palatino Linotype" w:eastAsia="Palatino Linotype" w:hAnsi="Palatino Linotype" w:cs="Palatino Linotype"/>
          <w:sz w:val="22"/>
          <w:szCs w:val="22"/>
        </w:rPr>
        <w:t xml:space="preserve">Con fecha </w:t>
      </w:r>
      <w:r w:rsidR="003D5A40" w:rsidRPr="00226F95">
        <w:rPr>
          <w:rFonts w:ascii="Palatino Linotype" w:eastAsia="Palatino Linotype" w:hAnsi="Palatino Linotype" w:cs="Palatino Linotype"/>
          <w:b/>
          <w:sz w:val="22"/>
          <w:szCs w:val="22"/>
        </w:rPr>
        <w:t>cuatro de febrero</w:t>
      </w:r>
      <w:r w:rsidRPr="00226F95">
        <w:rPr>
          <w:rFonts w:ascii="Palatino Linotype" w:eastAsia="Palatino Linotype" w:hAnsi="Palatino Linotype" w:cs="Palatino Linotype"/>
          <w:b/>
          <w:sz w:val="22"/>
          <w:szCs w:val="22"/>
        </w:rPr>
        <w:t xml:space="preserve"> de dos mil veinticinco</w:t>
      </w:r>
      <w:r w:rsidRPr="00226F95">
        <w:rPr>
          <w:rFonts w:ascii="Palatino Linotype" w:eastAsia="Palatino Linotype" w:hAnsi="Palatino Linotype" w:cs="Palatino Linotype"/>
          <w:sz w:val="22"/>
          <w:szCs w:val="22"/>
        </w:rPr>
        <w:t xml:space="preserve">, el </w:t>
      </w:r>
      <w:r w:rsidRPr="00226F95">
        <w:rPr>
          <w:rFonts w:ascii="Palatino Linotype" w:eastAsia="Palatino Linotype" w:hAnsi="Palatino Linotype" w:cs="Palatino Linotype"/>
          <w:b/>
          <w:sz w:val="22"/>
          <w:szCs w:val="22"/>
        </w:rPr>
        <w:t xml:space="preserve">SUJETO OBLIGADO </w:t>
      </w:r>
      <w:r w:rsidRPr="00226F95">
        <w:rPr>
          <w:rFonts w:ascii="Palatino Linotype" w:eastAsia="Palatino Linotype" w:hAnsi="Palatino Linotype" w:cs="Palatino Linotype"/>
          <w:sz w:val="22"/>
          <w:szCs w:val="22"/>
        </w:rPr>
        <w:t xml:space="preserve">envió su respuesta a la solicitud de acceso a la información a través de SAIMEX, sustancialmente en los términos siguientes:   </w:t>
      </w:r>
    </w:p>
    <w:p w14:paraId="6ADF84FC" w14:textId="77777777" w:rsidR="003D5A40" w:rsidRPr="00226F95" w:rsidRDefault="00C82866" w:rsidP="003D5A40">
      <w:pPr>
        <w:spacing w:before="240" w:after="240"/>
        <w:ind w:left="851" w:right="902"/>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lastRenderedPageBreak/>
        <w:t>“</w:t>
      </w:r>
      <w:r w:rsidR="003D5A40" w:rsidRPr="00226F95">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1BFDA5D8" w14:textId="77777777" w:rsidR="003D5A40" w:rsidRPr="00226F95" w:rsidRDefault="003D5A40" w:rsidP="003D5A40">
      <w:pPr>
        <w:spacing w:before="240" w:after="240"/>
        <w:ind w:left="851" w:right="902"/>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SE DA RESPUESTA AL CIUDADANO MEDIANTE OFICIO SA/OEE/002/2025 Y ORGANIGRAMA DE LA ADMINISTRACIÓN 2025-2027, ACLARANDO QUE LA PAGINA OFICIAL DE LA PRESENTE ADMINISTRACIÓN ESTA EN PROCESO.</w:t>
      </w:r>
    </w:p>
    <w:p w14:paraId="6CD01154" w14:textId="77777777" w:rsidR="003D5A40" w:rsidRPr="00226F95" w:rsidRDefault="003D5A40" w:rsidP="003D5A40">
      <w:pPr>
        <w:spacing w:before="240" w:after="240"/>
        <w:ind w:left="851" w:right="902"/>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ATENTAMENTE</w:t>
      </w:r>
    </w:p>
    <w:p w14:paraId="0535B6C2" w14:textId="77777777" w:rsidR="00003AD2" w:rsidRPr="00226F95" w:rsidRDefault="003D5A40" w:rsidP="003D5A40">
      <w:pPr>
        <w:spacing w:before="240" w:after="240"/>
        <w:ind w:left="851" w:right="902"/>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Ing. Juan José Montoya Galicia</w:t>
      </w:r>
      <w:r w:rsidR="00C82866" w:rsidRPr="00226F95">
        <w:rPr>
          <w:rFonts w:ascii="Palatino Linotype" w:eastAsia="Palatino Linotype" w:hAnsi="Palatino Linotype" w:cs="Palatino Linotype"/>
          <w:i/>
          <w:sz w:val="22"/>
          <w:szCs w:val="22"/>
        </w:rPr>
        <w:t>” (Sic)</w:t>
      </w:r>
    </w:p>
    <w:p w14:paraId="78B0F209"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El </w:t>
      </w:r>
      <w:r w:rsidRPr="00226F95">
        <w:rPr>
          <w:rFonts w:ascii="Palatino Linotype" w:eastAsia="Palatino Linotype" w:hAnsi="Palatino Linotype" w:cs="Palatino Linotype"/>
          <w:b/>
          <w:sz w:val="22"/>
          <w:szCs w:val="22"/>
        </w:rPr>
        <w:t>SUJETO OBLIGADO</w:t>
      </w:r>
      <w:r w:rsidRPr="00226F95">
        <w:rPr>
          <w:rFonts w:ascii="Palatino Linotype" w:eastAsia="Palatino Linotype" w:hAnsi="Palatino Linotype" w:cs="Palatino Linotype"/>
          <w:sz w:val="22"/>
          <w:szCs w:val="22"/>
        </w:rPr>
        <w:t xml:space="preserve"> adjuntó </w:t>
      </w:r>
      <w:r w:rsidR="003D5A40" w:rsidRPr="00226F95">
        <w:rPr>
          <w:rFonts w:ascii="Palatino Linotype" w:eastAsia="Palatino Linotype" w:hAnsi="Palatino Linotype" w:cs="Palatino Linotype"/>
          <w:sz w:val="22"/>
          <w:szCs w:val="22"/>
        </w:rPr>
        <w:t>los</w:t>
      </w:r>
      <w:r w:rsidRPr="00226F95">
        <w:rPr>
          <w:rFonts w:ascii="Palatino Linotype" w:eastAsia="Palatino Linotype" w:hAnsi="Palatino Linotype" w:cs="Palatino Linotype"/>
          <w:sz w:val="22"/>
          <w:szCs w:val="22"/>
        </w:rPr>
        <w:t xml:space="preserve"> siguiente</w:t>
      </w:r>
      <w:r w:rsidR="003D5A40" w:rsidRPr="00226F95">
        <w:rPr>
          <w:rFonts w:ascii="Palatino Linotype" w:eastAsia="Palatino Linotype" w:hAnsi="Palatino Linotype" w:cs="Palatino Linotype"/>
          <w:sz w:val="22"/>
          <w:szCs w:val="22"/>
        </w:rPr>
        <w:t>s</w:t>
      </w:r>
      <w:r w:rsidRPr="00226F95">
        <w:rPr>
          <w:rFonts w:ascii="Palatino Linotype" w:eastAsia="Palatino Linotype" w:hAnsi="Palatino Linotype" w:cs="Palatino Linotype"/>
          <w:sz w:val="22"/>
          <w:szCs w:val="22"/>
        </w:rPr>
        <w:t xml:space="preserve"> archivo</w:t>
      </w:r>
      <w:r w:rsidR="003D5A40" w:rsidRPr="00226F95">
        <w:rPr>
          <w:rFonts w:ascii="Palatino Linotype" w:eastAsia="Palatino Linotype" w:hAnsi="Palatino Linotype" w:cs="Palatino Linotype"/>
          <w:sz w:val="22"/>
          <w:szCs w:val="22"/>
        </w:rPr>
        <w:t>s</w:t>
      </w:r>
      <w:r w:rsidRPr="00226F95">
        <w:rPr>
          <w:rFonts w:ascii="Palatino Linotype" w:eastAsia="Palatino Linotype" w:hAnsi="Palatino Linotype" w:cs="Palatino Linotype"/>
          <w:sz w:val="22"/>
          <w:szCs w:val="22"/>
        </w:rPr>
        <w:t xml:space="preserve"> electrónico</w:t>
      </w:r>
      <w:r w:rsidR="003D5A40" w:rsidRPr="00226F95">
        <w:rPr>
          <w:rFonts w:ascii="Palatino Linotype" w:eastAsia="Palatino Linotype" w:hAnsi="Palatino Linotype" w:cs="Palatino Linotype"/>
          <w:sz w:val="22"/>
          <w:szCs w:val="22"/>
        </w:rPr>
        <w:t>s</w:t>
      </w:r>
      <w:r w:rsidRPr="00226F95">
        <w:rPr>
          <w:rFonts w:ascii="Palatino Linotype" w:eastAsia="Palatino Linotype" w:hAnsi="Palatino Linotype" w:cs="Palatino Linotype"/>
          <w:sz w:val="22"/>
          <w:szCs w:val="22"/>
        </w:rPr>
        <w:t>:</w:t>
      </w:r>
    </w:p>
    <w:p w14:paraId="37424100" w14:textId="77777777" w:rsidR="003D5A40" w:rsidRPr="00226F95" w:rsidRDefault="003D5A40" w:rsidP="003D5A40">
      <w:pPr>
        <w:numPr>
          <w:ilvl w:val="0"/>
          <w:numId w:val="6"/>
        </w:numPr>
        <w:pBdr>
          <w:top w:val="nil"/>
          <w:left w:val="nil"/>
          <w:bottom w:val="nil"/>
          <w:right w:val="nil"/>
          <w:between w:val="nil"/>
        </w:pBdr>
        <w:spacing w:before="240" w:after="240" w:line="360" w:lineRule="auto"/>
        <w:ind w:right="49"/>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 xml:space="preserve">OFICIO EXTERNO 002.pdf. </w:t>
      </w:r>
      <w:r w:rsidRPr="00226F95">
        <w:rPr>
          <w:rFonts w:ascii="Palatino Linotype" w:eastAsia="Palatino Linotype" w:hAnsi="Palatino Linotype" w:cs="Palatino Linotype"/>
          <w:sz w:val="22"/>
          <w:szCs w:val="22"/>
        </w:rPr>
        <w:t xml:space="preserve">Oficio SA/OEE/002/2025 suscrito por el Secretario del Ayuntamiento mediante el cual refiere que el veintidós de enero de dos mil veinticinco de dos mil veintidós </w:t>
      </w:r>
      <w:r w:rsidR="006678C7" w:rsidRPr="00226F95">
        <w:rPr>
          <w:rFonts w:ascii="Palatino Linotype" w:eastAsia="Palatino Linotype" w:hAnsi="Palatino Linotype" w:cs="Palatino Linotype"/>
          <w:sz w:val="22"/>
          <w:szCs w:val="22"/>
        </w:rPr>
        <w:t xml:space="preserve">se realizó la Cuarta Sesión Ordinaria de Cabildo </w:t>
      </w:r>
      <w:r w:rsidR="00E520AF" w:rsidRPr="00226F95">
        <w:rPr>
          <w:rFonts w:ascii="Palatino Linotype" w:eastAsia="Palatino Linotype" w:hAnsi="Palatino Linotype" w:cs="Palatino Linotype"/>
          <w:sz w:val="22"/>
          <w:szCs w:val="22"/>
        </w:rPr>
        <w:t>y se incluyó en el punto 5, del orden del día la Propuesta y en su caso la aprobación de la Estructura Orgánica de la Administración, la cual se aprobó por sus integrantes. Se adjunta como ANEXO 1.</w:t>
      </w:r>
    </w:p>
    <w:p w14:paraId="03C46F0D" w14:textId="77777777" w:rsidR="003D5A40" w:rsidRPr="00226F95" w:rsidRDefault="00A714C8" w:rsidP="003D5A40">
      <w:pPr>
        <w:numPr>
          <w:ilvl w:val="0"/>
          <w:numId w:val="6"/>
        </w:numPr>
        <w:pBdr>
          <w:top w:val="nil"/>
          <w:left w:val="nil"/>
          <w:bottom w:val="nil"/>
          <w:right w:val="nil"/>
          <w:between w:val="nil"/>
        </w:pBdr>
        <w:spacing w:before="240" w:after="240" w:line="360" w:lineRule="auto"/>
        <w:ind w:right="49"/>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ORGANIGRAMA</w:t>
      </w:r>
      <w:r w:rsidR="003D5A40" w:rsidRPr="00226F95">
        <w:rPr>
          <w:rFonts w:ascii="Palatino Linotype" w:eastAsia="Palatino Linotype" w:hAnsi="Palatino Linotype" w:cs="Palatino Linotype"/>
          <w:b/>
          <w:sz w:val="22"/>
          <w:szCs w:val="22"/>
        </w:rPr>
        <w:t xml:space="preserve"> 2025-2027.pdf</w:t>
      </w:r>
      <w:r w:rsidRPr="00226F95">
        <w:rPr>
          <w:rFonts w:ascii="Palatino Linotype" w:eastAsia="Palatino Linotype" w:hAnsi="Palatino Linotype" w:cs="Palatino Linotype"/>
          <w:b/>
          <w:sz w:val="22"/>
          <w:szCs w:val="22"/>
        </w:rPr>
        <w:t xml:space="preserve">: </w:t>
      </w:r>
      <w:r w:rsidRPr="00226F95">
        <w:rPr>
          <w:rFonts w:ascii="Palatino Linotype" w:eastAsia="Palatino Linotype" w:hAnsi="Palatino Linotype" w:cs="Palatino Linotype"/>
          <w:sz w:val="22"/>
          <w:szCs w:val="22"/>
        </w:rPr>
        <w:t>Documento integrado por una foja, el cual contiene el organigrama de Cocotitlán 2025-2027.</w:t>
      </w:r>
    </w:p>
    <w:p w14:paraId="21E4F53B"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3. Interposición del recurso de revisión. </w:t>
      </w:r>
      <w:r w:rsidRPr="00226F95">
        <w:rPr>
          <w:rFonts w:ascii="Palatino Linotype" w:eastAsia="Palatino Linotype" w:hAnsi="Palatino Linotype" w:cs="Palatino Linotype"/>
          <w:sz w:val="22"/>
          <w:szCs w:val="22"/>
        </w:rPr>
        <w:t xml:space="preserve">Inconforme con los términos de la respuesta emitida por parte del </w:t>
      </w:r>
      <w:r w:rsidRPr="00226F95">
        <w:rPr>
          <w:rFonts w:ascii="Palatino Linotype" w:eastAsia="Palatino Linotype" w:hAnsi="Palatino Linotype" w:cs="Palatino Linotype"/>
          <w:b/>
          <w:sz w:val="22"/>
          <w:szCs w:val="22"/>
        </w:rPr>
        <w:t>SUJETO OBLIGADO</w:t>
      </w:r>
      <w:r w:rsidRPr="00226F95">
        <w:rPr>
          <w:rFonts w:ascii="Palatino Linotype" w:eastAsia="Palatino Linotype" w:hAnsi="Palatino Linotype" w:cs="Palatino Linotype"/>
          <w:sz w:val="22"/>
          <w:szCs w:val="22"/>
        </w:rPr>
        <w:t xml:space="preserve">, el </w:t>
      </w:r>
      <w:r w:rsidR="00F95BF1" w:rsidRPr="00226F95">
        <w:rPr>
          <w:rFonts w:ascii="Palatino Linotype" w:eastAsia="Palatino Linotype" w:hAnsi="Palatino Linotype" w:cs="Palatino Linotype"/>
          <w:b/>
          <w:sz w:val="22"/>
          <w:szCs w:val="22"/>
        </w:rPr>
        <w:t>seis</w:t>
      </w:r>
      <w:r w:rsidR="00F95BF1" w:rsidRPr="00226F9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b/>
          <w:sz w:val="22"/>
          <w:szCs w:val="22"/>
        </w:rPr>
        <w:t xml:space="preserve">de </w:t>
      </w:r>
      <w:r w:rsidR="00F95BF1" w:rsidRPr="00226F95">
        <w:rPr>
          <w:rFonts w:ascii="Palatino Linotype" w:eastAsia="Palatino Linotype" w:hAnsi="Palatino Linotype" w:cs="Palatino Linotype"/>
          <w:b/>
          <w:sz w:val="22"/>
          <w:szCs w:val="22"/>
        </w:rPr>
        <w:t>febrero</w:t>
      </w:r>
      <w:r w:rsidRPr="00226F95">
        <w:rPr>
          <w:rFonts w:ascii="Palatino Linotype" w:eastAsia="Palatino Linotype" w:hAnsi="Palatino Linotype" w:cs="Palatino Linotype"/>
          <w:b/>
          <w:sz w:val="22"/>
          <w:szCs w:val="22"/>
        </w:rPr>
        <w:t xml:space="preserve"> del año dos mil veinticinco,</w:t>
      </w:r>
      <w:r w:rsidRPr="00226F95">
        <w:rPr>
          <w:rFonts w:ascii="Palatino Linotype" w:eastAsia="Palatino Linotype" w:hAnsi="Palatino Linotype" w:cs="Palatino Linotype"/>
          <w:sz w:val="22"/>
          <w:szCs w:val="22"/>
        </w:rPr>
        <w:t xml:space="preserve"> la parte </w:t>
      </w:r>
      <w:r w:rsidRPr="00226F95">
        <w:rPr>
          <w:rFonts w:ascii="Palatino Linotype" w:eastAsia="Palatino Linotype" w:hAnsi="Palatino Linotype" w:cs="Palatino Linotype"/>
          <w:b/>
          <w:sz w:val="22"/>
          <w:szCs w:val="22"/>
        </w:rPr>
        <w:t>RECURRENTE</w:t>
      </w:r>
      <w:r w:rsidRPr="00226F95">
        <w:rPr>
          <w:rFonts w:ascii="Palatino Linotype" w:eastAsia="Palatino Linotype" w:hAnsi="Palatino Linotype" w:cs="Palatino Linotype"/>
          <w:sz w:val="22"/>
          <w:szCs w:val="22"/>
        </w:rPr>
        <w:t xml:space="preserve"> interpuso el recurso de revisión a través de </w:t>
      </w:r>
      <w:r w:rsidRPr="00226F95">
        <w:rPr>
          <w:rFonts w:ascii="Palatino Linotype" w:eastAsia="Palatino Linotype" w:hAnsi="Palatino Linotype" w:cs="Palatino Linotype"/>
          <w:b/>
          <w:sz w:val="22"/>
          <w:szCs w:val="22"/>
        </w:rPr>
        <w:t xml:space="preserve">SAIMEX, </w:t>
      </w:r>
      <w:r w:rsidRPr="00226F95">
        <w:rPr>
          <w:rFonts w:ascii="Palatino Linotype" w:eastAsia="Palatino Linotype" w:hAnsi="Palatino Linotype" w:cs="Palatino Linotype"/>
          <w:sz w:val="22"/>
          <w:szCs w:val="22"/>
        </w:rPr>
        <w:t>en donde se manifestó de la siguiente manera:</w:t>
      </w:r>
    </w:p>
    <w:p w14:paraId="67A0920D" w14:textId="77777777" w:rsidR="00003AD2" w:rsidRPr="00226F95" w:rsidRDefault="00C82866">
      <w:pPr>
        <w:numPr>
          <w:ilvl w:val="0"/>
          <w:numId w:val="6"/>
        </w:numPr>
        <w:pBdr>
          <w:top w:val="nil"/>
          <w:left w:val="nil"/>
          <w:bottom w:val="nil"/>
          <w:right w:val="nil"/>
          <w:between w:val="nil"/>
        </w:pBdr>
        <w:tabs>
          <w:tab w:val="left" w:pos="2745"/>
        </w:tabs>
        <w:spacing w:before="240" w:line="360" w:lineRule="auto"/>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 xml:space="preserve">Acto impugnado: </w:t>
      </w:r>
    </w:p>
    <w:p w14:paraId="160FF0B7" w14:textId="77777777" w:rsidR="00003AD2" w:rsidRPr="00226F95" w:rsidRDefault="00C82866">
      <w:pPr>
        <w:pBdr>
          <w:top w:val="nil"/>
          <w:left w:val="nil"/>
          <w:bottom w:val="nil"/>
          <w:right w:val="nil"/>
          <w:between w:val="nil"/>
        </w:pBdr>
        <w:ind w:left="720" w:right="902"/>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r w:rsidR="00A714C8" w:rsidRPr="00226F95">
        <w:rPr>
          <w:rFonts w:ascii="Palatino Linotype" w:eastAsia="Palatino Linotype" w:hAnsi="Palatino Linotype" w:cs="Palatino Linotype"/>
          <w:i/>
          <w:sz w:val="22"/>
          <w:szCs w:val="22"/>
        </w:rPr>
        <w:t>La información que entregan no es entendible y muy borrosa, el organigrama no se puede distinguir las áreas, unidades o coordinaciones con las que cuenta el Ayuntamiento dejo evidencia de la pésima calidad del organigrama</w:t>
      </w:r>
      <w:r w:rsidRPr="00226F95">
        <w:rPr>
          <w:rFonts w:ascii="Palatino Linotype" w:eastAsia="Palatino Linotype" w:hAnsi="Palatino Linotype" w:cs="Palatino Linotype"/>
          <w:i/>
          <w:sz w:val="22"/>
          <w:szCs w:val="22"/>
        </w:rPr>
        <w:t>” (Sic)</w:t>
      </w:r>
    </w:p>
    <w:p w14:paraId="7C9256D9" w14:textId="77777777" w:rsidR="00003AD2" w:rsidRPr="00226F95" w:rsidRDefault="00003AD2">
      <w:pPr>
        <w:ind w:left="851" w:right="902"/>
        <w:jc w:val="both"/>
        <w:rPr>
          <w:rFonts w:ascii="Palatino Linotype" w:eastAsia="Palatino Linotype" w:hAnsi="Palatino Linotype" w:cs="Palatino Linotype"/>
          <w:i/>
          <w:sz w:val="22"/>
          <w:szCs w:val="22"/>
        </w:rPr>
      </w:pPr>
    </w:p>
    <w:p w14:paraId="151AAFC8" w14:textId="77777777" w:rsidR="00003AD2" w:rsidRPr="00226F95" w:rsidRDefault="00C82866">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Y Razones o motivos de inconformidad</w:t>
      </w:r>
      <w:r w:rsidRPr="00226F95">
        <w:rPr>
          <w:rFonts w:ascii="Palatino Linotype" w:eastAsia="Palatino Linotype" w:hAnsi="Palatino Linotype" w:cs="Palatino Linotype"/>
          <w:sz w:val="22"/>
          <w:szCs w:val="22"/>
        </w:rPr>
        <w:t>:</w:t>
      </w:r>
    </w:p>
    <w:p w14:paraId="3BD64354" w14:textId="1F51A0D6" w:rsidR="00003AD2" w:rsidRPr="00226F95" w:rsidRDefault="00C82866">
      <w:pPr>
        <w:pBdr>
          <w:top w:val="nil"/>
          <w:left w:val="nil"/>
          <w:bottom w:val="nil"/>
          <w:right w:val="nil"/>
          <w:between w:val="nil"/>
        </w:pBdr>
        <w:ind w:left="720" w:right="902"/>
        <w:jc w:val="both"/>
        <w:rPr>
          <w:rFonts w:ascii="Palatino Linotype" w:eastAsia="Palatino Linotype" w:hAnsi="Palatino Linotype" w:cs="Palatino Linotype"/>
          <w:i/>
          <w:sz w:val="22"/>
          <w:szCs w:val="22"/>
        </w:rPr>
      </w:pPr>
      <w:bookmarkStart w:id="1" w:name="_heading=h.30j0zll" w:colFirst="0" w:colLast="0"/>
      <w:bookmarkEnd w:id="1"/>
      <w:r w:rsidRPr="00226F95">
        <w:rPr>
          <w:rFonts w:ascii="Palatino Linotype" w:eastAsia="Palatino Linotype" w:hAnsi="Palatino Linotype" w:cs="Palatino Linotype"/>
          <w:i/>
          <w:sz w:val="22"/>
          <w:szCs w:val="22"/>
        </w:rPr>
        <w:t>“</w:t>
      </w:r>
      <w:r w:rsidR="005A38B3" w:rsidRPr="00226F95">
        <w:rPr>
          <w:rFonts w:ascii="Palatino Linotype" w:eastAsia="Palatino Linotype" w:hAnsi="Palatino Linotype" w:cs="Palatino Linotype"/>
          <w:i/>
          <w:sz w:val="22"/>
          <w:szCs w:val="22"/>
        </w:rPr>
        <w:t>No se entiende al organigrama</w:t>
      </w:r>
      <w:r w:rsidRPr="00226F95">
        <w:rPr>
          <w:rFonts w:ascii="Palatino Linotype" w:eastAsia="Palatino Linotype" w:hAnsi="Palatino Linotype" w:cs="Palatino Linotype"/>
          <w:i/>
          <w:sz w:val="22"/>
          <w:szCs w:val="22"/>
        </w:rPr>
        <w:t>” (Sic)</w:t>
      </w:r>
    </w:p>
    <w:p w14:paraId="25E1C5C8" w14:textId="77777777" w:rsidR="00003AD2" w:rsidRPr="00226F95" w:rsidRDefault="00003AD2">
      <w:pPr>
        <w:pBdr>
          <w:top w:val="nil"/>
          <w:left w:val="nil"/>
          <w:bottom w:val="nil"/>
          <w:right w:val="nil"/>
          <w:between w:val="nil"/>
        </w:pBdr>
        <w:ind w:left="720" w:right="902"/>
        <w:jc w:val="both"/>
        <w:rPr>
          <w:rFonts w:ascii="Palatino Linotype" w:eastAsia="Palatino Linotype" w:hAnsi="Palatino Linotype" w:cs="Palatino Linotype"/>
          <w:i/>
          <w:sz w:val="22"/>
          <w:szCs w:val="22"/>
        </w:rPr>
      </w:pPr>
    </w:p>
    <w:p w14:paraId="616D6272" w14:textId="77777777" w:rsidR="00F95BF1" w:rsidRPr="00226F95" w:rsidRDefault="00C82866">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sz w:val="22"/>
          <w:szCs w:val="22"/>
        </w:rPr>
        <w:t xml:space="preserve">El Recurrente adjuntó el documento electrónico denominado </w:t>
      </w:r>
      <w:r w:rsidR="00F95BF1" w:rsidRPr="00226F95">
        <w:rPr>
          <w:rFonts w:ascii="Palatino Linotype" w:eastAsia="Palatino Linotype" w:hAnsi="Palatino Linotype" w:cs="Palatino Linotype"/>
          <w:b/>
          <w:i/>
          <w:sz w:val="22"/>
          <w:szCs w:val="22"/>
        </w:rPr>
        <w:t xml:space="preserve">IMG-20250206-WA0002.jpg </w:t>
      </w:r>
      <w:r w:rsidR="00F95BF1" w:rsidRPr="00226F95">
        <w:rPr>
          <w:rFonts w:ascii="Palatino Linotype" w:eastAsia="Palatino Linotype" w:hAnsi="Palatino Linotype" w:cs="Palatino Linotype"/>
          <w:sz w:val="22"/>
          <w:szCs w:val="22"/>
        </w:rPr>
        <w:t>el cual contiene el organigrama remitido en respuesta a la solicitud.</w:t>
      </w:r>
    </w:p>
    <w:p w14:paraId="3C66929F" w14:textId="77777777" w:rsidR="00F95BF1" w:rsidRPr="00226F95" w:rsidRDefault="00F95BF1">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rPr>
      </w:pPr>
    </w:p>
    <w:p w14:paraId="4613A41F" w14:textId="77777777" w:rsidR="00003AD2" w:rsidRPr="00226F95" w:rsidRDefault="00C82866">
      <w:pPr>
        <w:spacing w:line="360" w:lineRule="auto"/>
        <w:ind w:right="51"/>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4. Turno. </w:t>
      </w:r>
      <w:r w:rsidRPr="00226F95">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226F95">
        <w:rPr>
          <w:rFonts w:ascii="Palatino Linotype" w:eastAsia="Palatino Linotype" w:hAnsi="Palatino Linotype" w:cs="Palatino Linotype"/>
          <w:b/>
          <w:sz w:val="22"/>
          <w:szCs w:val="22"/>
        </w:rPr>
        <w:t xml:space="preserve">Guadalupe Ramírez Peña, </w:t>
      </w:r>
      <w:r w:rsidRPr="00226F95">
        <w:rPr>
          <w:rFonts w:ascii="Palatino Linotype" w:eastAsia="Palatino Linotype" w:hAnsi="Palatino Linotype" w:cs="Palatino Linotype"/>
          <w:sz w:val="22"/>
          <w:szCs w:val="22"/>
        </w:rPr>
        <w:t>a efecto de que analizara sobre su admisión o su desechamiento.</w:t>
      </w:r>
    </w:p>
    <w:p w14:paraId="7A8C023D" w14:textId="77777777" w:rsidR="00003AD2" w:rsidRPr="00226F95" w:rsidRDefault="00003AD2">
      <w:pPr>
        <w:spacing w:line="360" w:lineRule="auto"/>
        <w:ind w:right="51"/>
        <w:jc w:val="both"/>
        <w:rPr>
          <w:rFonts w:ascii="Palatino Linotype" w:eastAsia="Palatino Linotype" w:hAnsi="Palatino Linotype" w:cs="Palatino Linotype"/>
          <w:sz w:val="22"/>
          <w:szCs w:val="22"/>
        </w:rPr>
      </w:pPr>
    </w:p>
    <w:p w14:paraId="683EDB37" w14:textId="3EECFC96" w:rsidR="00003AD2" w:rsidRPr="00226F95" w:rsidRDefault="00C82866">
      <w:pPr>
        <w:spacing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5. Admisión del Recurso de revisión.</w:t>
      </w:r>
      <w:r w:rsidRPr="00226F95">
        <w:rPr>
          <w:rFonts w:ascii="Palatino Linotype" w:eastAsia="Palatino Linotype" w:hAnsi="Palatino Linotype" w:cs="Palatino Linotype"/>
          <w:sz w:val="22"/>
          <w:szCs w:val="22"/>
        </w:rPr>
        <w:t xml:space="preserve"> Con fecha</w:t>
      </w:r>
      <w:r w:rsidRPr="00226F95">
        <w:rPr>
          <w:rFonts w:ascii="Palatino Linotype" w:eastAsia="Palatino Linotype" w:hAnsi="Palatino Linotype" w:cs="Palatino Linotype"/>
          <w:b/>
          <w:sz w:val="22"/>
          <w:szCs w:val="22"/>
        </w:rPr>
        <w:t xml:space="preserve"> </w:t>
      </w:r>
      <w:r w:rsidR="000F73EE" w:rsidRPr="00226F95">
        <w:rPr>
          <w:rFonts w:ascii="Palatino Linotype" w:eastAsia="Palatino Linotype" w:hAnsi="Palatino Linotype" w:cs="Palatino Linotype"/>
          <w:b/>
          <w:sz w:val="22"/>
          <w:szCs w:val="22"/>
        </w:rPr>
        <w:t>diecisiete</w:t>
      </w:r>
      <w:r w:rsidRPr="00226F95">
        <w:rPr>
          <w:rFonts w:ascii="Palatino Linotype" w:eastAsia="Palatino Linotype" w:hAnsi="Palatino Linotype" w:cs="Palatino Linotype"/>
          <w:b/>
          <w:sz w:val="22"/>
          <w:szCs w:val="22"/>
        </w:rPr>
        <w:t xml:space="preserve"> febrero de dos mil veinticinco, </w:t>
      </w:r>
      <w:r w:rsidRPr="00226F95">
        <w:rPr>
          <w:rFonts w:ascii="Palatino Linotype" w:eastAsia="Palatino Linotype" w:hAnsi="Palatino Linotype" w:cs="Palatino Linotype"/>
          <w:sz w:val="22"/>
          <w:szCs w:val="22"/>
        </w:rPr>
        <w:t>este Instituto de Transparencia, Acceso a la Información Pública y Protección de Datos Personales del Estado de México y Municipios, admitió a trámite el recurso de revisión que ahora se resuelve</w:t>
      </w:r>
      <w:r w:rsidR="005356F4" w:rsidRPr="00226F9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sz w:val="22"/>
          <w:szCs w:val="22"/>
        </w:rPr>
        <w:t xml:space="preserve">dando un plazo máximo de siete días hábiles para que las partes manifestaran lo que a su derecho resultara conveniente, ofrecieran pruebas, formularan alegatos y el </w:t>
      </w:r>
      <w:r w:rsidRPr="00226F95">
        <w:rPr>
          <w:rFonts w:ascii="Palatino Linotype" w:eastAsia="Palatino Linotype" w:hAnsi="Palatino Linotype" w:cs="Palatino Linotype"/>
          <w:b/>
          <w:sz w:val="22"/>
          <w:szCs w:val="22"/>
        </w:rPr>
        <w:t xml:space="preserve">SUJETO OBLIGADO </w:t>
      </w:r>
      <w:r w:rsidRPr="00226F95">
        <w:rPr>
          <w:rFonts w:ascii="Palatino Linotype" w:eastAsia="Palatino Linotype" w:hAnsi="Palatino Linotype" w:cs="Palatino Linotype"/>
          <w:sz w:val="22"/>
          <w:szCs w:val="22"/>
        </w:rPr>
        <w:t>presentara su informe justificado.</w:t>
      </w:r>
    </w:p>
    <w:p w14:paraId="4E6CACF7" w14:textId="77777777" w:rsidR="005356F4" w:rsidRPr="00226F95" w:rsidRDefault="00C82866">
      <w:pPr>
        <w:widowControl w:val="0"/>
        <w:pBdr>
          <w:top w:val="nil"/>
          <w:left w:val="nil"/>
          <w:bottom w:val="nil"/>
          <w:right w:val="nil"/>
          <w:between w:val="nil"/>
        </w:pBdr>
        <w:tabs>
          <w:tab w:val="left" w:pos="709"/>
        </w:tabs>
        <w:spacing w:before="120" w:after="240" w:line="360" w:lineRule="auto"/>
        <w:jc w:val="both"/>
        <w:rPr>
          <w:rFonts w:ascii="Palatino Linotype" w:eastAsia="Palatino Linotype" w:hAnsi="Palatino Linotype" w:cs="Palatino Linotype"/>
          <w:sz w:val="22"/>
          <w:szCs w:val="22"/>
        </w:rPr>
      </w:pPr>
      <w:bookmarkStart w:id="2" w:name="_heading=h.2s8eyo1" w:colFirst="0" w:colLast="0"/>
      <w:bookmarkEnd w:id="2"/>
      <w:r w:rsidRPr="00226F95">
        <w:rPr>
          <w:rFonts w:ascii="Palatino Linotype" w:eastAsia="Palatino Linotype" w:hAnsi="Palatino Linotype" w:cs="Palatino Linotype"/>
          <w:b/>
          <w:sz w:val="22"/>
          <w:szCs w:val="22"/>
        </w:rPr>
        <w:t>6. Manifestaciones</w:t>
      </w:r>
      <w:r w:rsidRPr="00226F95">
        <w:rPr>
          <w:rFonts w:ascii="Palatino Linotype" w:eastAsia="Palatino Linotype" w:hAnsi="Palatino Linotype" w:cs="Palatino Linotype"/>
          <w:sz w:val="22"/>
          <w:szCs w:val="22"/>
        </w:rPr>
        <w:t>. De las constancias que obran en el expediente electró</w:t>
      </w:r>
      <w:r w:rsidR="005356F4" w:rsidRPr="00226F95">
        <w:rPr>
          <w:rFonts w:ascii="Palatino Linotype" w:eastAsia="Palatino Linotype" w:hAnsi="Palatino Linotype" w:cs="Palatino Linotype"/>
          <w:sz w:val="22"/>
          <w:szCs w:val="22"/>
        </w:rPr>
        <w:t>nico del SAIMEX, se aprecia que, tanto el Sujeto Obligado como el Recurrente fueron omisos en realizar manifestaciones; se inserta imagen de referencia:</w:t>
      </w:r>
    </w:p>
    <w:p w14:paraId="3A344D5B" w14:textId="77777777" w:rsidR="005356F4" w:rsidRPr="00226F95" w:rsidRDefault="005356F4">
      <w:pPr>
        <w:widowControl w:val="0"/>
        <w:pBdr>
          <w:top w:val="nil"/>
          <w:left w:val="nil"/>
          <w:bottom w:val="nil"/>
          <w:right w:val="nil"/>
          <w:between w:val="nil"/>
        </w:pBdr>
        <w:tabs>
          <w:tab w:val="left" w:pos="709"/>
        </w:tabs>
        <w:spacing w:before="12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noProof/>
          <w:sz w:val="22"/>
          <w:szCs w:val="22"/>
          <w:lang w:val="es-MX"/>
        </w:rPr>
        <w:lastRenderedPageBreak/>
        <w:drawing>
          <wp:inline distT="0" distB="0" distL="0" distR="0" wp14:anchorId="7DBB9309" wp14:editId="2004C7E4">
            <wp:extent cx="5612130" cy="1633855"/>
            <wp:effectExtent l="0" t="0" r="762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1633855"/>
                    </a:xfrm>
                    <a:prstGeom prst="rect">
                      <a:avLst/>
                    </a:prstGeom>
                  </pic:spPr>
                </pic:pic>
              </a:graphicData>
            </a:graphic>
          </wp:inline>
        </w:drawing>
      </w:r>
    </w:p>
    <w:p w14:paraId="03887CCC"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7. Cierre de instrucción. </w:t>
      </w:r>
      <w:r w:rsidRPr="00226F95">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con fecha de </w:t>
      </w:r>
      <w:r w:rsidRPr="00226F95">
        <w:rPr>
          <w:rFonts w:ascii="Palatino Linotype" w:eastAsia="Palatino Linotype" w:hAnsi="Palatino Linotype" w:cs="Palatino Linotype"/>
          <w:b/>
          <w:sz w:val="22"/>
          <w:szCs w:val="22"/>
        </w:rPr>
        <w:t>veinti</w:t>
      </w:r>
      <w:r w:rsidR="005356F4" w:rsidRPr="00226F95">
        <w:rPr>
          <w:rFonts w:ascii="Palatino Linotype" w:eastAsia="Palatino Linotype" w:hAnsi="Palatino Linotype" w:cs="Palatino Linotype"/>
          <w:b/>
          <w:sz w:val="22"/>
          <w:szCs w:val="22"/>
        </w:rPr>
        <w:t>siete</w:t>
      </w:r>
      <w:r w:rsidRPr="00226F9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b/>
          <w:sz w:val="22"/>
          <w:szCs w:val="22"/>
        </w:rPr>
        <w:t xml:space="preserve">de febrero de dos mil veinticinco, </w:t>
      </w:r>
      <w:r w:rsidRPr="00226F95">
        <w:rPr>
          <w:rFonts w:ascii="Palatino Linotype" w:eastAsia="Palatino Linotype" w:hAnsi="Palatino Linotype" w:cs="Palatino Linotype"/>
          <w:sz w:val="22"/>
          <w:szCs w:val="22"/>
        </w:rPr>
        <w:t>la Comisionada Ponente determinó el cierre de instrucción en términos de la fracción VI del artículo 185 de la Ley de Transparencia y Acceso a la Información Pública del Estado de México y Municipios.</w:t>
      </w:r>
    </w:p>
    <w:p w14:paraId="26283E55"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70EBFA66" w14:textId="77777777" w:rsidR="00003AD2" w:rsidRPr="00226F95" w:rsidRDefault="00C82866">
      <w:pPr>
        <w:widowControl w:val="0"/>
        <w:spacing w:line="360" w:lineRule="auto"/>
        <w:jc w:val="center"/>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II. C O N S I D E R A N D O S</w:t>
      </w:r>
    </w:p>
    <w:p w14:paraId="27F20BC0" w14:textId="77777777" w:rsidR="00003AD2" w:rsidRPr="00226F95" w:rsidRDefault="00003AD2">
      <w:pPr>
        <w:widowControl w:val="0"/>
        <w:pBdr>
          <w:top w:val="nil"/>
          <w:left w:val="nil"/>
          <w:bottom w:val="nil"/>
          <w:right w:val="nil"/>
          <w:between w:val="nil"/>
        </w:pBdr>
        <w:spacing w:line="360" w:lineRule="auto"/>
        <w:ind w:left="1080"/>
        <w:rPr>
          <w:rFonts w:ascii="Palatino Linotype" w:eastAsia="Palatino Linotype" w:hAnsi="Palatino Linotype" w:cs="Palatino Linotype"/>
          <w:b/>
          <w:sz w:val="22"/>
          <w:szCs w:val="22"/>
        </w:rPr>
      </w:pPr>
    </w:p>
    <w:p w14:paraId="0BB97F6C" w14:textId="77777777" w:rsidR="00003AD2" w:rsidRPr="00226F95" w:rsidRDefault="00C82866">
      <w:pP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Primero. Competencia.</w:t>
      </w:r>
      <w:r w:rsidRPr="00226F95">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665A0E53"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bookmarkStart w:id="3" w:name="_heading=h.tyjcwt" w:colFirst="0" w:colLast="0"/>
      <w:bookmarkEnd w:id="3"/>
      <w:r w:rsidRPr="00226F95">
        <w:rPr>
          <w:rFonts w:ascii="Palatino Linotype" w:eastAsia="Palatino Linotype" w:hAnsi="Palatino Linotype" w:cs="Palatino Linotype"/>
          <w:b/>
          <w:sz w:val="22"/>
          <w:szCs w:val="22"/>
        </w:rPr>
        <w:lastRenderedPageBreak/>
        <w:t xml:space="preserve">Segundo. Oportunidad y Procedibilidad del Recurso de Revisión. </w:t>
      </w:r>
      <w:r w:rsidRPr="00226F95">
        <w:rPr>
          <w:rFonts w:ascii="Palatino Linotype" w:eastAsia="Palatino Linotype" w:hAnsi="Palatino Linotype" w:cs="Palatino Linotype"/>
          <w:sz w:val="22"/>
          <w:szCs w:val="22"/>
        </w:rPr>
        <w:t>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27E479EB"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Al respecto la Ley de Transparencia y Acceso a la Información Pública del Estado de México y Municipios, establece lo siguiente:</w:t>
      </w:r>
    </w:p>
    <w:p w14:paraId="0325F834" w14:textId="77777777" w:rsidR="00003AD2" w:rsidRPr="00226F95" w:rsidRDefault="00C82866">
      <w:pPr>
        <w:ind w:left="851" w:right="900"/>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 xml:space="preserve">“Artículo 178. </w:t>
      </w:r>
      <w:r w:rsidRPr="00226F95">
        <w:rPr>
          <w:rFonts w:ascii="Palatino Linotype" w:eastAsia="Palatino Linotype" w:hAnsi="Palatino Linotype" w:cs="Palatino Linotype"/>
          <w:i/>
          <w:sz w:val="22"/>
          <w:szCs w:val="22"/>
        </w:rPr>
        <w:t>El solicitante podrá interponer, por sí mismo o a través de su representante, de manera directa o por medios electrónicos, recurso de revisión ante el Instituto o ante la Unidad de Transparencia que haya conocido de la solicitud dentro de los quince días hábiles, siguientes a la fecha de la notificación de la respuesta.</w:t>
      </w:r>
    </w:p>
    <w:p w14:paraId="62AF8F79"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Del precepto legal transcrito, se desprende que cuando los solicitantes de información en el ejercicio del derecho de acceso a la información no se encuentren satisfechos con la información entregada por los sujetos obligados, podrán interponer recurso de revisión de manera directa o por medios electrónicos dentro de los quince días hábiles siguientes a la fecha de notificación de la respuesta, y, toda vez que el </w:t>
      </w:r>
      <w:r w:rsidRPr="00226F95">
        <w:rPr>
          <w:rFonts w:ascii="Palatino Linotype" w:eastAsia="Palatino Linotype" w:hAnsi="Palatino Linotype" w:cs="Palatino Linotype"/>
          <w:b/>
          <w:sz w:val="22"/>
          <w:szCs w:val="22"/>
        </w:rPr>
        <w:t>SUJETO OBLIGADO</w:t>
      </w:r>
      <w:r w:rsidRPr="00226F95">
        <w:rPr>
          <w:rFonts w:ascii="Palatino Linotype" w:eastAsia="Palatino Linotype" w:hAnsi="Palatino Linotype" w:cs="Palatino Linotype"/>
          <w:sz w:val="22"/>
          <w:szCs w:val="22"/>
        </w:rPr>
        <w:t xml:space="preserve"> remitió la respuesta a la solicitud de información el </w:t>
      </w:r>
      <w:r w:rsidR="005356F4" w:rsidRPr="00226F95">
        <w:rPr>
          <w:rFonts w:ascii="Palatino Linotype" w:eastAsia="Palatino Linotype" w:hAnsi="Palatino Linotype" w:cs="Palatino Linotype"/>
          <w:b/>
          <w:sz w:val="22"/>
          <w:szCs w:val="22"/>
        </w:rPr>
        <w:t>cuatro</w:t>
      </w:r>
      <w:r w:rsidRPr="00226F95">
        <w:rPr>
          <w:rFonts w:ascii="Palatino Linotype" w:eastAsia="Palatino Linotype" w:hAnsi="Palatino Linotype" w:cs="Palatino Linotype"/>
          <w:b/>
          <w:sz w:val="22"/>
          <w:szCs w:val="22"/>
        </w:rPr>
        <w:t xml:space="preserve"> de </w:t>
      </w:r>
      <w:r w:rsidR="005356F4" w:rsidRPr="00226F95">
        <w:rPr>
          <w:rFonts w:ascii="Palatino Linotype" w:eastAsia="Palatino Linotype" w:hAnsi="Palatino Linotype" w:cs="Palatino Linotype"/>
          <w:b/>
          <w:sz w:val="22"/>
          <w:szCs w:val="22"/>
        </w:rPr>
        <w:t>febrero</w:t>
      </w:r>
      <w:r w:rsidRPr="00226F95">
        <w:rPr>
          <w:rFonts w:ascii="Palatino Linotype" w:eastAsia="Palatino Linotype" w:hAnsi="Palatino Linotype" w:cs="Palatino Linotype"/>
          <w:b/>
          <w:sz w:val="22"/>
          <w:szCs w:val="22"/>
        </w:rPr>
        <w:t xml:space="preserve"> de dos mil veinticinco, </w:t>
      </w:r>
      <w:r w:rsidRPr="00226F95">
        <w:rPr>
          <w:rFonts w:ascii="Palatino Linotype" w:eastAsia="Palatino Linotype" w:hAnsi="Palatino Linotype" w:cs="Palatino Linotype"/>
          <w:sz w:val="22"/>
          <w:szCs w:val="22"/>
        </w:rPr>
        <w:t xml:space="preserve">mientras que el recurso de revisión interpuesto por la parte </w:t>
      </w:r>
      <w:r w:rsidRPr="00226F95">
        <w:rPr>
          <w:rFonts w:ascii="Palatino Linotype" w:eastAsia="Palatino Linotype" w:hAnsi="Palatino Linotype" w:cs="Palatino Linotype"/>
          <w:b/>
          <w:sz w:val="22"/>
          <w:szCs w:val="22"/>
        </w:rPr>
        <w:t>RECURRENTE</w:t>
      </w:r>
      <w:r w:rsidRPr="00226F95">
        <w:rPr>
          <w:rFonts w:ascii="Palatino Linotype" w:eastAsia="Palatino Linotype" w:hAnsi="Palatino Linotype" w:cs="Palatino Linotype"/>
          <w:sz w:val="22"/>
          <w:szCs w:val="22"/>
        </w:rPr>
        <w:t xml:space="preserve">, se tuvo por presentado el día </w:t>
      </w:r>
      <w:r w:rsidR="005356F4" w:rsidRPr="00226F95">
        <w:rPr>
          <w:rFonts w:ascii="Palatino Linotype" w:eastAsia="Palatino Linotype" w:hAnsi="Palatino Linotype" w:cs="Palatino Linotype"/>
          <w:b/>
          <w:sz w:val="22"/>
          <w:szCs w:val="22"/>
        </w:rPr>
        <w:t>seis</w:t>
      </w:r>
      <w:r w:rsidR="005356F4" w:rsidRPr="00226F9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b/>
          <w:sz w:val="22"/>
          <w:szCs w:val="22"/>
        </w:rPr>
        <w:t xml:space="preserve">de </w:t>
      </w:r>
      <w:r w:rsidR="005356F4" w:rsidRPr="00226F95">
        <w:rPr>
          <w:rFonts w:ascii="Palatino Linotype" w:eastAsia="Palatino Linotype" w:hAnsi="Palatino Linotype" w:cs="Palatino Linotype"/>
          <w:b/>
          <w:sz w:val="22"/>
          <w:szCs w:val="22"/>
        </w:rPr>
        <w:t>febrero</w:t>
      </w:r>
      <w:r w:rsidRPr="00226F95">
        <w:rPr>
          <w:rFonts w:ascii="Palatino Linotype" w:eastAsia="Palatino Linotype" w:hAnsi="Palatino Linotype" w:cs="Palatino Linotype"/>
          <w:b/>
          <w:sz w:val="22"/>
          <w:szCs w:val="22"/>
        </w:rPr>
        <w:t xml:space="preserve"> del año dos mil veinticinco</w:t>
      </w:r>
      <w:r w:rsidRPr="00226F95">
        <w:rPr>
          <w:rFonts w:ascii="Palatino Linotype" w:eastAsia="Palatino Linotype" w:hAnsi="Palatino Linotype" w:cs="Palatino Linotype"/>
          <w:sz w:val="22"/>
          <w:szCs w:val="22"/>
        </w:rPr>
        <w:t>; esto es, al cuarto día hábil siguiente en que tuvo conocimiento de la respuesta.</w:t>
      </w:r>
    </w:p>
    <w:p w14:paraId="041FF1B9"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Por cuanto hace a la procedibilidad del recurso de revisión, es de suma importancia señalar que la parte </w:t>
      </w:r>
      <w:r w:rsidRPr="00226F95">
        <w:rPr>
          <w:rFonts w:ascii="Palatino Linotype" w:eastAsia="Palatino Linotype" w:hAnsi="Palatino Linotype" w:cs="Palatino Linotype"/>
          <w:b/>
          <w:sz w:val="22"/>
          <w:szCs w:val="22"/>
        </w:rPr>
        <w:t>RECURRENTE</w:t>
      </w:r>
      <w:r w:rsidRPr="00226F95">
        <w:rPr>
          <w:rFonts w:ascii="Palatino Linotype" w:eastAsia="Palatino Linotype" w:hAnsi="Palatino Linotype" w:cs="Palatino Linotype"/>
          <w:sz w:val="22"/>
          <w:szCs w:val="22"/>
        </w:rPr>
        <w:t>, no proporcionó su nombre</w:t>
      </w:r>
      <w:r w:rsidRPr="00226F95">
        <w:rPr>
          <w:rFonts w:ascii="Palatino Linotype" w:eastAsia="Palatino Linotype" w:hAnsi="Palatino Linotype" w:cs="Palatino Linotype"/>
          <w:b/>
          <w:sz w:val="22"/>
          <w:szCs w:val="22"/>
        </w:rPr>
        <w:t>,</w:t>
      </w:r>
      <w:r w:rsidRPr="00226F95">
        <w:rPr>
          <w:rFonts w:ascii="Palatino Linotype" w:eastAsia="Palatino Linotype" w:hAnsi="Palatino Linotype" w:cs="Palatino Linotype"/>
          <w:sz w:val="22"/>
          <w:szCs w:val="22"/>
        </w:rPr>
        <w:t xml:space="preserve"> como se advierte en el detalle de seguimiento del SAIMEX, no obstante el no proporcionar nombre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58890BBD" w14:textId="77777777" w:rsidR="00003AD2" w:rsidRPr="00226F95" w:rsidRDefault="00C82866">
      <w:pPr>
        <w:spacing w:before="240" w:after="240" w:line="276" w:lineRule="auto"/>
        <w:ind w:left="851" w:right="902"/>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lastRenderedPageBreak/>
        <w:t>"</w:t>
      </w:r>
      <w:r w:rsidRPr="00226F95">
        <w:rPr>
          <w:rFonts w:ascii="Palatino Linotype" w:eastAsia="Palatino Linotype" w:hAnsi="Palatino Linotype" w:cs="Palatino Linotype"/>
          <w:b/>
          <w:i/>
          <w:sz w:val="22"/>
          <w:szCs w:val="22"/>
        </w:rPr>
        <w:t xml:space="preserve">Las solicitudes </w:t>
      </w:r>
      <w:r w:rsidRPr="00226F95">
        <w:rPr>
          <w:rFonts w:ascii="Palatino Linotype" w:eastAsia="Palatino Linotype" w:hAnsi="Palatino Linotype" w:cs="Palatino Linotype"/>
          <w:i/>
          <w:sz w:val="22"/>
          <w:szCs w:val="22"/>
        </w:rPr>
        <w:t xml:space="preserve">anónimas, con </w:t>
      </w:r>
      <w:r w:rsidRPr="00226F95">
        <w:rPr>
          <w:rFonts w:ascii="Palatino Linotype" w:eastAsia="Palatino Linotype" w:hAnsi="Palatino Linotype" w:cs="Palatino Linotype"/>
          <w:b/>
          <w:i/>
          <w:sz w:val="22"/>
          <w:szCs w:val="22"/>
        </w:rPr>
        <w:t>nombre incompleto o seudónimo</w:t>
      </w:r>
      <w:r w:rsidRPr="00226F95">
        <w:rPr>
          <w:rFonts w:ascii="Palatino Linotype" w:eastAsia="Palatino Linotype" w:hAnsi="Palatino Linotype" w:cs="Palatino Linotype"/>
          <w:i/>
          <w:sz w:val="22"/>
          <w:szCs w:val="22"/>
        </w:rPr>
        <w:t xml:space="preserve"> </w:t>
      </w:r>
      <w:r w:rsidRPr="00226F95">
        <w:rPr>
          <w:rFonts w:ascii="Palatino Linotype" w:eastAsia="Palatino Linotype" w:hAnsi="Palatino Linotype" w:cs="Palatino Linotype"/>
          <w:b/>
          <w:i/>
          <w:sz w:val="22"/>
          <w:szCs w:val="22"/>
        </w:rPr>
        <w:t>serán procedentes para su trámite por parte del sujeto obligado ante quien se presente</w:t>
      </w:r>
      <w:r w:rsidRPr="00226F95">
        <w:rPr>
          <w:rFonts w:ascii="Palatino Linotype" w:eastAsia="Palatino Linotype" w:hAnsi="Palatino Linotype" w:cs="Palatino Linotype"/>
          <w:i/>
          <w:sz w:val="22"/>
          <w:szCs w:val="22"/>
        </w:rPr>
        <w:t>. No podrá requerirse información adicional con motivo del nombre proporcionado por el solicitante."(Sic)</w:t>
      </w:r>
    </w:p>
    <w:p w14:paraId="1C944115"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Así también, por cuanto hace a la procedibilidad del recurso de revisión, una vez realizado el análisis de los formatos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7E9179EC"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Asimismo, resulta procedente la interposición del recurso de revisión al rubro anotado, toda vez que se actualiza las hipótesis previstas en el artículo 179, fracción I</w:t>
      </w:r>
      <w:r w:rsidR="005356F4" w:rsidRPr="00226F95">
        <w:rPr>
          <w:rFonts w:ascii="Palatino Linotype" w:eastAsia="Palatino Linotype" w:hAnsi="Palatino Linotype" w:cs="Palatino Linotype"/>
          <w:sz w:val="22"/>
          <w:szCs w:val="22"/>
        </w:rPr>
        <w:t>X</w:t>
      </w:r>
      <w:r w:rsidRPr="00226F95">
        <w:rPr>
          <w:rFonts w:ascii="Palatino Linotype" w:eastAsia="Palatino Linotype" w:hAnsi="Palatino Linotype" w:cs="Palatino Linotype"/>
          <w:sz w:val="22"/>
          <w:szCs w:val="22"/>
        </w:rPr>
        <w:t xml:space="preserve"> de la ley de la materia, que a la letra dice:</w:t>
      </w:r>
    </w:p>
    <w:p w14:paraId="2DFF54E3" w14:textId="77777777" w:rsidR="00003AD2" w:rsidRPr="00226F95" w:rsidRDefault="00C82866">
      <w:pPr>
        <w:ind w:left="851" w:right="104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r w:rsidRPr="00226F95">
        <w:rPr>
          <w:rFonts w:ascii="Palatino Linotype" w:eastAsia="Palatino Linotype" w:hAnsi="Palatino Linotype" w:cs="Palatino Linotype"/>
          <w:b/>
          <w:i/>
          <w:sz w:val="22"/>
          <w:szCs w:val="22"/>
        </w:rPr>
        <w:t xml:space="preserve">Artículo 179. </w:t>
      </w:r>
      <w:r w:rsidRPr="00226F95">
        <w:rPr>
          <w:rFonts w:ascii="Palatino Linotype" w:eastAsia="Palatino Linotype" w:hAnsi="Palatino Linotype" w:cs="Palatino Linotype"/>
          <w:i/>
          <w:sz w:val="22"/>
          <w:szCs w:val="22"/>
        </w:rPr>
        <w:t>El recurso de revisión es un medio de protección que la Ley otorga a los particulares, para hacer valer su derecho de acceso a la información pública, y procederá en contra de las siguientes causas:</w:t>
      </w:r>
    </w:p>
    <w:p w14:paraId="37684F93" w14:textId="77777777" w:rsidR="005356F4" w:rsidRPr="00226F95" w:rsidRDefault="005356F4">
      <w:pPr>
        <w:ind w:left="851" w:right="104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p>
    <w:p w14:paraId="37C17C57" w14:textId="77777777" w:rsidR="00003AD2" w:rsidRPr="00226F95" w:rsidRDefault="005356F4" w:rsidP="005356F4">
      <w:pPr>
        <w:ind w:left="851" w:right="1041"/>
        <w:jc w:val="both"/>
        <w:rPr>
          <w:rFonts w:ascii="Palatino Linotype" w:eastAsia="Palatino Linotype" w:hAnsi="Palatino Linotype" w:cs="Palatino Linotype"/>
          <w:i/>
          <w:sz w:val="22"/>
          <w:szCs w:val="22"/>
        </w:rPr>
      </w:pPr>
      <w:r w:rsidRPr="00226F95">
        <w:rPr>
          <w:rFonts w:ascii="Palatino Linotype" w:hAnsi="Palatino Linotype"/>
          <w:i/>
          <w:sz w:val="22"/>
        </w:rPr>
        <w:t>IX. La entrega o puesta a disposición de información en un formato incomprensible y/o no accesible para el solicitante</w:t>
      </w:r>
      <w:r w:rsidR="00C82866" w:rsidRPr="00226F95">
        <w:rPr>
          <w:rFonts w:ascii="Palatino Linotype" w:eastAsia="Palatino Linotype" w:hAnsi="Palatino Linotype" w:cs="Palatino Linotype"/>
          <w:i/>
          <w:sz w:val="22"/>
          <w:szCs w:val="22"/>
        </w:rPr>
        <w:t>” (Sic)</w:t>
      </w:r>
    </w:p>
    <w:p w14:paraId="14CBE974" w14:textId="77777777" w:rsidR="005356F4" w:rsidRPr="00226F95" w:rsidRDefault="005356F4" w:rsidP="005356F4">
      <w:pPr>
        <w:ind w:left="851" w:right="1041"/>
        <w:jc w:val="both"/>
        <w:rPr>
          <w:rFonts w:ascii="Palatino Linotype" w:eastAsia="Palatino Linotype" w:hAnsi="Palatino Linotype" w:cs="Palatino Linotype"/>
          <w:i/>
          <w:sz w:val="22"/>
          <w:szCs w:val="22"/>
        </w:rPr>
      </w:pPr>
      <w:r w:rsidRPr="00226F95">
        <w:rPr>
          <w:rFonts w:ascii="Palatino Linotype" w:hAnsi="Palatino Linotype"/>
          <w:i/>
          <w:sz w:val="22"/>
        </w:rPr>
        <w:t>…</w:t>
      </w:r>
    </w:p>
    <w:p w14:paraId="6DC7C46E" w14:textId="77777777" w:rsidR="00003AD2" w:rsidRPr="00226F95" w:rsidRDefault="00C82866">
      <w:pPr>
        <w:spacing w:before="280" w:after="28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Tercero. Materia de Revisión</w:t>
      </w:r>
      <w:r w:rsidRPr="00226F95">
        <w:rPr>
          <w:rFonts w:ascii="Palatino Linotype" w:eastAsia="Palatino Linotype" w:hAnsi="Palatino Linotype" w:cs="Palatino Linotype"/>
          <w:sz w:val="22"/>
          <w:szCs w:val="22"/>
        </w:rPr>
        <w:t xml:space="preserve">: De las constancias que integran el expediente electrónico se advierte que el tema sobre el que este Instituto se pronunciará será: </w:t>
      </w:r>
      <w:r w:rsidRPr="00226F95">
        <w:rPr>
          <w:rFonts w:ascii="Palatino Linotype" w:eastAsia="Palatino Linotype" w:hAnsi="Palatino Linotype" w:cs="Palatino Linotype"/>
          <w:b/>
          <w:sz w:val="22"/>
          <w:szCs w:val="22"/>
        </w:rPr>
        <w:t xml:space="preserve">verificar si la respuesta otorgada por el SUJETO OBLIGADO es adecuada y suficiente para satisfacer el derecho de acceso a la información pública </w:t>
      </w:r>
      <w:r w:rsidRPr="00226F95">
        <w:rPr>
          <w:rFonts w:ascii="Palatino Linotype" w:eastAsia="Palatino Linotype" w:hAnsi="Palatino Linotype" w:cs="Palatino Linotype"/>
          <w:sz w:val="22"/>
          <w:szCs w:val="22"/>
        </w:rPr>
        <w:t xml:space="preserve">del </w:t>
      </w:r>
      <w:r w:rsidRPr="00226F95">
        <w:rPr>
          <w:rFonts w:ascii="Palatino Linotype" w:eastAsia="Palatino Linotype" w:hAnsi="Palatino Linotype" w:cs="Palatino Linotype"/>
          <w:b/>
          <w:sz w:val="22"/>
          <w:szCs w:val="22"/>
        </w:rPr>
        <w:t>RECURRENTE</w:t>
      </w:r>
      <w:r w:rsidRPr="00226F95">
        <w:rPr>
          <w:rFonts w:ascii="Palatino Linotype" w:eastAsia="Palatino Linotype" w:hAnsi="Palatino Linotype" w:cs="Palatino Linotype"/>
          <w:sz w:val="22"/>
          <w:szCs w:val="22"/>
        </w:rPr>
        <w:t>, o en su defecto, en caso de ser procedente, ordenar la entrega de información.</w:t>
      </w:r>
    </w:p>
    <w:p w14:paraId="23C7A021"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Cuarto. Estudio de fondo del asunto. </w:t>
      </w:r>
      <w:r w:rsidRPr="00226F95">
        <w:rPr>
          <w:rFonts w:ascii="Palatino Linotype" w:eastAsia="Palatino Linotype" w:hAnsi="Palatino Linotype" w:cs="Palatino Linotype"/>
          <w:sz w:val="22"/>
          <w:szCs w:val="22"/>
        </w:rPr>
        <w:t xml:space="preserve">Es conveniente analizar si la respuesta del </w:t>
      </w:r>
      <w:r w:rsidRPr="00226F95">
        <w:rPr>
          <w:rFonts w:ascii="Palatino Linotype" w:eastAsia="Palatino Linotype" w:hAnsi="Palatino Linotype" w:cs="Palatino Linotype"/>
          <w:b/>
          <w:sz w:val="22"/>
          <w:szCs w:val="22"/>
        </w:rPr>
        <w:t>SUJETO OBLIGADO</w:t>
      </w:r>
      <w:r w:rsidRPr="00226F95">
        <w:rPr>
          <w:rFonts w:ascii="Palatino Linotype" w:eastAsia="Palatino Linotype" w:hAnsi="Palatino Linotype" w:cs="Palatino Linotype"/>
          <w:sz w:val="22"/>
          <w:szCs w:val="22"/>
        </w:rPr>
        <w:t xml:space="preserve"> cumple con los requisitos y procedimientos del derecho de acceso a la información pública, en atención a que en la Ley de Transparencia y Acceso a la Información Pública del Estado de México y Municipios en su artículo 4, que dice que toda la información </w:t>
      </w:r>
      <w:r w:rsidRPr="00226F95">
        <w:rPr>
          <w:rFonts w:ascii="Palatino Linotype" w:eastAsia="Palatino Linotype" w:hAnsi="Palatino Linotype" w:cs="Palatino Linotype"/>
          <w:sz w:val="22"/>
          <w:szCs w:val="22"/>
        </w:rPr>
        <w:lastRenderedPageBreak/>
        <w:t>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3C56E8AE" w14:textId="77777777" w:rsidR="00003AD2" w:rsidRPr="00226F95" w:rsidRDefault="00C82866">
      <w:pPr>
        <w:spacing w:before="240"/>
        <w:ind w:left="709" w:right="760"/>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r w:rsidRPr="00226F95">
        <w:rPr>
          <w:rFonts w:ascii="Palatino Linotype" w:eastAsia="Palatino Linotype" w:hAnsi="Palatino Linotype" w:cs="Palatino Linotype"/>
          <w:b/>
          <w:i/>
          <w:sz w:val="22"/>
          <w:szCs w:val="22"/>
        </w:rPr>
        <w:t>Artículo 4</w:t>
      </w:r>
      <w:r w:rsidRPr="00226F95">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6D293B1E" w14:textId="77777777" w:rsidR="00003AD2" w:rsidRPr="00226F95" w:rsidRDefault="00C82866">
      <w:pPr>
        <w:ind w:left="709" w:right="760"/>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226F95">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61CDDAEB" w14:textId="77777777" w:rsidR="00003AD2" w:rsidRPr="00226F95" w:rsidRDefault="00C82866">
      <w:pPr>
        <w:ind w:left="709" w:right="760"/>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226F95">
        <w:rPr>
          <w:rFonts w:ascii="Palatino Linotype" w:eastAsia="Palatino Linotype" w:hAnsi="Palatino Linotype" w:cs="Palatino Linotype"/>
          <w:i/>
          <w:sz w:val="22"/>
          <w:szCs w:val="22"/>
        </w:rPr>
        <w:t>.”</w:t>
      </w:r>
    </w:p>
    <w:p w14:paraId="31544E4D" w14:textId="77777777" w:rsidR="00003AD2" w:rsidRPr="00226F95" w:rsidRDefault="00003AD2">
      <w:pPr>
        <w:spacing w:line="360" w:lineRule="auto"/>
        <w:jc w:val="both"/>
        <w:rPr>
          <w:rFonts w:ascii="Palatino Linotype" w:eastAsia="Palatino Linotype" w:hAnsi="Palatino Linotype" w:cs="Palatino Linotype"/>
          <w:sz w:val="22"/>
          <w:szCs w:val="22"/>
        </w:rPr>
      </w:pPr>
    </w:p>
    <w:p w14:paraId="0A4CAD27" w14:textId="77777777" w:rsidR="00003AD2" w:rsidRPr="00226F95" w:rsidRDefault="00C82866">
      <w:pP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3A9B6817" w14:textId="77777777" w:rsidR="00003AD2" w:rsidRPr="00226F95" w:rsidRDefault="00003AD2">
      <w:pPr>
        <w:spacing w:line="360" w:lineRule="auto"/>
        <w:jc w:val="both"/>
        <w:rPr>
          <w:rFonts w:ascii="Palatino Linotype" w:eastAsia="Palatino Linotype" w:hAnsi="Palatino Linotype" w:cs="Palatino Linotype"/>
          <w:sz w:val="22"/>
          <w:szCs w:val="22"/>
        </w:rPr>
      </w:pPr>
    </w:p>
    <w:p w14:paraId="76F519A9" w14:textId="77777777" w:rsidR="00003AD2" w:rsidRPr="00226F95" w:rsidRDefault="00C82866">
      <w:pPr>
        <w:ind w:left="567" w:right="758"/>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“Artículo 12.-</w:t>
      </w:r>
      <w:r w:rsidRPr="00226F95">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33E66A65" w14:textId="77777777" w:rsidR="00003AD2" w:rsidRPr="00226F95" w:rsidRDefault="00003AD2">
      <w:pPr>
        <w:ind w:left="567" w:right="758"/>
        <w:jc w:val="both"/>
        <w:rPr>
          <w:rFonts w:ascii="Palatino Linotype" w:eastAsia="Palatino Linotype" w:hAnsi="Palatino Linotype" w:cs="Palatino Linotype"/>
          <w:i/>
          <w:sz w:val="22"/>
          <w:szCs w:val="22"/>
        </w:rPr>
      </w:pPr>
    </w:p>
    <w:p w14:paraId="298C843A" w14:textId="77777777" w:rsidR="00003AD2" w:rsidRPr="00226F95" w:rsidRDefault="00C82866">
      <w:pPr>
        <w:ind w:left="567" w:right="758"/>
        <w:jc w:val="both"/>
        <w:rPr>
          <w:rFonts w:ascii="Palatino Linotype" w:eastAsia="Palatino Linotype" w:hAnsi="Palatino Linotype" w:cs="Palatino Linotype"/>
          <w:b/>
          <w:i/>
          <w:sz w:val="22"/>
          <w:szCs w:val="22"/>
        </w:rPr>
      </w:pPr>
      <w:r w:rsidRPr="00226F95">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226F95">
        <w:rPr>
          <w:rFonts w:ascii="Palatino Linotype" w:eastAsia="Palatino Linotype" w:hAnsi="Palatino Linotype" w:cs="Palatino Linotype"/>
          <w:i/>
          <w:sz w:val="22"/>
          <w:szCs w:val="22"/>
        </w:rPr>
        <w:t xml:space="preserve">. </w:t>
      </w:r>
      <w:r w:rsidRPr="00226F95">
        <w:rPr>
          <w:rFonts w:ascii="Palatino Linotype" w:eastAsia="Palatino Linotype" w:hAnsi="Palatino Linotype" w:cs="Palatino Linotype"/>
          <w:b/>
          <w:i/>
          <w:sz w:val="22"/>
          <w:szCs w:val="22"/>
        </w:rPr>
        <w:t xml:space="preserve">La </w:t>
      </w:r>
      <w:r w:rsidRPr="00226F95">
        <w:rPr>
          <w:rFonts w:ascii="Palatino Linotype" w:eastAsia="Palatino Linotype" w:hAnsi="Palatino Linotype" w:cs="Palatino Linotype"/>
          <w:b/>
          <w:i/>
          <w:sz w:val="22"/>
          <w:szCs w:val="22"/>
        </w:rPr>
        <w:lastRenderedPageBreak/>
        <w:t xml:space="preserve">obligación de proporcionar información no comprende el procesamiento de la misma, ni el presentarla conforme al interés del solicitante; no estarán obligados a generarla, resumirla, efectuar cálculos o practicar investigaciones.” </w:t>
      </w:r>
    </w:p>
    <w:p w14:paraId="0EB96F41" w14:textId="77777777" w:rsidR="00003AD2" w:rsidRPr="00226F95" w:rsidRDefault="00003AD2">
      <w:pPr>
        <w:ind w:left="567" w:right="758"/>
        <w:jc w:val="both"/>
        <w:rPr>
          <w:rFonts w:ascii="Palatino Linotype" w:eastAsia="Palatino Linotype" w:hAnsi="Palatino Linotype" w:cs="Palatino Linotype"/>
          <w:i/>
          <w:sz w:val="22"/>
          <w:szCs w:val="22"/>
        </w:rPr>
      </w:pPr>
    </w:p>
    <w:p w14:paraId="7AEDBD58" w14:textId="77777777" w:rsidR="00003AD2" w:rsidRPr="00226F95" w:rsidRDefault="00C82866">
      <w:pPr>
        <w:spacing w:line="360" w:lineRule="auto"/>
        <w:ind w:right="-93"/>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concretarán a proporcionar la información solicitada que tengan en su poder en el estado que se encuentran, sin necesidad de concretarse al interés o términos específicos del solicitante.</w:t>
      </w:r>
    </w:p>
    <w:p w14:paraId="0D85C3AC" w14:textId="77777777" w:rsidR="00003AD2" w:rsidRPr="00226F95" w:rsidRDefault="00003AD2">
      <w:pPr>
        <w:spacing w:line="360" w:lineRule="auto"/>
        <w:ind w:right="-93"/>
        <w:jc w:val="both"/>
        <w:rPr>
          <w:rFonts w:ascii="Palatino Linotype" w:eastAsia="Palatino Linotype" w:hAnsi="Palatino Linotype" w:cs="Palatino Linotype"/>
          <w:sz w:val="22"/>
          <w:szCs w:val="22"/>
        </w:rPr>
      </w:pPr>
    </w:p>
    <w:p w14:paraId="5FB043C5" w14:textId="77777777" w:rsidR="00003AD2" w:rsidRPr="00226F95" w:rsidRDefault="00C82866">
      <w:pPr>
        <w:spacing w:line="360" w:lineRule="auto"/>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sz w:val="22"/>
          <w:szCs w:val="22"/>
        </w:rPr>
        <w:t>Sirve de apoyo a lo anterior, el criterio 03-17, expuesto por el Instituto Nacional de Transparencia, Acceso a la Información y Protección de Datos Personales, que dice:</w:t>
      </w:r>
      <w:r w:rsidRPr="00226F95">
        <w:rPr>
          <w:rFonts w:ascii="Palatino Linotype" w:eastAsia="Palatino Linotype" w:hAnsi="Palatino Linotype" w:cs="Palatino Linotype"/>
          <w:b/>
          <w:sz w:val="22"/>
          <w:szCs w:val="22"/>
        </w:rPr>
        <w:t xml:space="preserve"> </w:t>
      </w:r>
    </w:p>
    <w:p w14:paraId="0824D5CE" w14:textId="77777777" w:rsidR="00003AD2" w:rsidRPr="00226F95" w:rsidRDefault="00003AD2">
      <w:pPr>
        <w:ind w:left="851" w:right="850"/>
        <w:jc w:val="both"/>
        <w:rPr>
          <w:rFonts w:ascii="Palatino Linotype" w:eastAsia="Palatino Linotype" w:hAnsi="Palatino Linotype" w:cs="Palatino Linotype"/>
          <w:sz w:val="22"/>
          <w:szCs w:val="22"/>
        </w:rPr>
      </w:pPr>
    </w:p>
    <w:p w14:paraId="082AEF45" w14:textId="77777777" w:rsidR="00003AD2" w:rsidRPr="00226F95" w:rsidRDefault="00C82866">
      <w:pPr>
        <w:ind w:left="851" w:right="90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r w:rsidRPr="00226F95">
        <w:rPr>
          <w:rFonts w:ascii="Palatino Linotype" w:eastAsia="Palatino Linotype" w:hAnsi="Palatino Linotype" w:cs="Palatino Linotype"/>
          <w:b/>
          <w:i/>
          <w:sz w:val="22"/>
          <w:szCs w:val="22"/>
        </w:rPr>
        <w:t>No existe obligación de elaborar documentos ad hoc para atender las solicitudes de acceso a la información.</w:t>
      </w:r>
      <w:r w:rsidRPr="00226F95">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7229DCB7" w14:textId="77777777" w:rsidR="00003AD2" w:rsidRPr="00226F95" w:rsidRDefault="00C82866">
      <w:pPr>
        <w:ind w:left="851" w:right="90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 xml:space="preserve">Resoluciones: </w:t>
      </w:r>
    </w:p>
    <w:p w14:paraId="4B055097" w14:textId="77777777" w:rsidR="00003AD2" w:rsidRPr="00226F95" w:rsidRDefault="00C82866">
      <w:pPr>
        <w:ind w:left="851" w:right="90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 RRA 0050/16. Instituto Nacional para la Evaluación de la Educación. 13 julio de 2016. Por unanimidad. Comisionado Ponente: Francisco Javier Acuña Llamas.</w:t>
      </w:r>
    </w:p>
    <w:p w14:paraId="25F1914A" w14:textId="77777777" w:rsidR="00003AD2" w:rsidRPr="00226F95" w:rsidRDefault="00C82866">
      <w:pPr>
        <w:ind w:left="851" w:right="90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 xml:space="preserve">∙ RRA 0310/16. Instituto Nacional de Transparencia, Acceso a la Información y Protección de Datos Personales. 10 de agosto de 2016. Por unanimidad. Comisionada Ponente. Areli Cano Guadiana. </w:t>
      </w:r>
    </w:p>
    <w:p w14:paraId="3F5F94F5" w14:textId="77777777" w:rsidR="00003AD2" w:rsidRPr="00226F95" w:rsidRDefault="00C82866">
      <w:pPr>
        <w:ind w:left="851" w:right="901"/>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 RRA 1889/16. Secretaría de Hacienda y Crédito Público. 05 de octubre de 2016. Por unanimidad. Comisionada Ponente. Ximena Puente de la Mora.”</w:t>
      </w:r>
    </w:p>
    <w:p w14:paraId="50E24302" w14:textId="77777777" w:rsidR="00003AD2" w:rsidRPr="00226F95" w:rsidRDefault="00003AD2">
      <w:pPr>
        <w:spacing w:line="360" w:lineRule="auto"/>
        <w:ind w:right="-93"/>
        <w:jc w:val="both"/>
        <w:rPr>
          <w:rFonts w:ascii="Palatino Linotype" w:eastAsia="Palatino Linotype" w:hAnsi="Palatino Linotype" w:cs="Palatino Linotype"/>
          <w:sz w:val="22"/>
          <w:szCs w:val="22"/>
        </w:rPr>
      </w:pPr>
    </w:p>
    <w:p w14:paraId="133192EC" w14:textId="77777777" w:rsidR="00003AD2" w:rsidRPr="00226F95" w:rsidRDefault="00C82866">
      <w:pP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6FDE307D" w14:textId="77777777" w:rsidR="00003AD2" w:rsidRPr="00226F95" w:rsidRDefault="00003AD2">
      <w:pPr>
        <w:spacing w:line="360" w:lineRule="auto"/>
        <w:jc w:val="both"/>
        <w:rPr>
          <w:rFonts w:ascii="Palatino Linotype" w:eastAsia="Palatino Linotype" w:hAnsi="Palatino Linotype" w:cs="Palatino Linotype"/>
          <w:sz w:val="22"/>
          <w:szCs w:val="22"/>
        </w:rPr>
      </w:pPr>
    </w:p>
    <w:p w14:paraId="39F71390" w14:textId="77777777" w:rsidR="00003AD2" w:rsidRPr="00226F95" w:rsidRDefault="00C82866">
      <w:pPr>
        <w:spacing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56B6415F" w14:textId="77777777" w:rsidR="00003AD2" w:rsidRPr="00226F95" w:rsidRDefault="00003AD2">
      <w:pPr>
        <w:spacing w:line="360" w:lineRule="auto"/>
        <w:ind w:right="49"/>
        <w:jc w:val="both"/>
        <w:rPr>
          <w:rFonts w:ascii="Palatino Linotype" w:eastAsia="Palatino Linotype" w:hAnsi="Palatino Linotype" w:cs="Palatino Linotype"/>
          <w:sz w:val="22"/>
          <w:szCs w:val="22"/>
        </w:rPr>
      </w:pPr>
    </w:p>
    <w:p w14:paraId="28F6ACFC" w14:textId="77777777" w:rsidR="00003AD2" w:rsidRPr="00226F95" w:rsidRDefault="00C82866">
      <w:pP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1A57005D" w14:textId="77777777" w:rsidR="00003AD2" w:rsidRPr="00226F95" w:rsidRDefault="00003AD2">
      <w:pPr>
        <w:ind w:left="851" w:right="899"/>
        <w:jc w:val="both"/>
        <w:rPr>
          <w:rFonts w:ascii="Palatino Linotype" w:eastAsia="Palatino Linotype" w:hAnsi="Palatino Linotype" w:cs="Palatino Linotype"/>
          <w:i/>
          <w:sz w:val="22"/>
          <w:szCs w:val="22"/>
        </w:rPr>
      </w:pPr>
    </w:p>
    <w:p w14:paraId="16B5A7D6" w14:textId="77777777" w:rsidR="00003AD2" w:rsidRPr="00226F95" w:rsidRDefault="00C82866">
      <w:pPr>
        <w:ind w:left="851" w:right="899"/>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r w:rsidRPr="00226F95">
        <w:rPr>
          <w:rFonts w:ascii="Palatino Linotype" w:eastAsia="Palatino Linotype" w:hAnsi="Palatino Linotype" w:cs="Palatino Linotype"/>
          <w:b/>
          <w:i/>
          <w:sz w:val="22"/>
          <w:szCs w:val="22"/>
        </w:rPr>
        <w:t xml:space="preserve">Artículo 3. </w:t>
      </w:r>
      <w:r w:rsidRPr="00226F95">
        <w:rPr>
          <w:rFonts w:ascii="Palatino Linotype" w:eastAsia="Palatino Linotype" w:hAnsi="Palatino Linotype" w:cs="Palatino Linotype"/>
          <w:i/>
          <w:sz w:val="22"/>
          <w:szCs w:val="22"/>
        </w:rPr>
        <w:t>Para los efectos de la presente Ley se entenderá por:</w:t>
      </w:r>
    </w:p>
    <w:p w14:paraId="51F46B1F" w14:textId="77777777" w:rsidR="00003AD2" w:rsidRPr="00226F95" w:rsidRDefault="00C82866">
      <w:pPr>
        <w:ind w:left="851" w:right="899"/>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p>
    <w:p w14:paraId="28BE6ED0" w14:textId="77777777" w:rsidR="00003AD2" w:rsidRPr="00226F95" w:rsidRDefault="00C82866">
      <w:pPr>
        <w:ind w:left="851" w:right="899"/>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XI. Documento:</w:t>
      </w:r>
      <w:r w:rsidRPr="00226F95">
        <w:rPr>
          <w:rFonts w:ascii="Palatino Linotype" w:eastAsia="Palatino Linotype" w:hAnsi="Palatino Linotype" w:cs="Palatino Linotype"/>
          <w:i/>
          <w:sz w:val="22"/>
          <w:szCs w:val="22"/>
        </w:rPr>
        <w:t xml:space="preserve"> Los expedientes, reportes, estudios, actas</w:t>
      </w:r>
      <w:r w:rsidRPr="00226F95">
        <w:rPr>
          <w:rFonts w:ascii="Palatino Linotype" w:eastAsia="Palatino Linotype" w:hAnsi="Palatino Linotype" w:cs="Palatino Linotype"/>
          <w:b/>
          <w:i/>
          <w:sz w:val="22"/>
          <w:szCs w:val="22"/>
        </w:rPr>
        <w:t>,</w:t>
      </w:r>
      <w:r w:rsidRPr="00226F95">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w:t>
      </w:r>
      <w:r w:rsidRPr="00226F95">
        <w:rPr>
          <w:rFonts w:ascii="Palatino Linotype" w:eastAsia="Palatino Linotype" w:hAnsi="Palatino Linotype" w:cs="Palatino Linotype"/>
          <w:i/>
          <w:sz w:val="22"/>
          <w:szCs w:val="22"/>
        </w:rPr>
        <w:lastRenderedPageBreak/>
        <w:t xml:space="preserve">o fecha de elaboración. Los documentos podrán estar en cualquier medio, sea escrito, impreso, sonoro, visual, electrónico, informático u holográfico…” </w:t>
      </w:r>
    </w:p>
    <w:p w14:paraId="2CADE047" w14:textId="77777777" w:rsidR="00003AD2" w:rsidRPr="00226F95" w:rsidRDefault="00003AD2">
      <w:pPr>
        <w:ind w:left="851" w:right="899"/>
        <w:jc w:val="both"/>
        <w:rPr>
          <w:rFonts w:ascii="Palatino Linotype" w:eastAsia="Palatino Linotype" w:hAnsi="Palatino Linotype" w:cs="Palatino Linotype"/>
          <w:sz w:val="22"/>
          <w:szCs w:val="22"/>
        </w:rPr>
      </w:pPr>
    </w:p>
    <w:p w14:paraId="2581DEE8" w14:textId="77777777" w:rsidR="00003AD2" w:rsidRPr="00226F95" w:rsidRDefault="00C82866">
      <w:pP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02513F54" w14:textId="77777777" w:rsidR="00003AD2" w:rsidRPr="00226F95" w:rsidRDefault="00003AD2">
      <w:pPr>
        <w:ind w:left="851" w:right="899"/>
        <w:jc w:val="both"/>
        <w:rPr>
          <w:rFonts w:ascii="Palatino Linotype" w:eastAsia="Palatino Linotype" w:hAnsi="Palatino Linotype" w:cs="Palatino Linotype"/>
          <w:sz w:val="22"/>
          <w:szCs w:val="22"/>
        </w:rPr>
      </w:pPr>
    </w:p>
    <w:p w14:paraId="01F73337" w14:textId="77777777" w:rsidR="00003AD2" w:rsidRPr="00226F95" w:rsidRDefault="00C82866">
      <w:pPr>
        <w:ind w:left="851" w:right="899"/>
        <w:jc w:val="both"/>
        <w:rPr>
          <w:rFonts w:ascii="Palatino Linotype" w:eastAsia="Palatino Linotype" w:hAnsi="Palatino Linotype" w:cs="Palatino Linotype"/>
          <w:b/>
          <w:i/>
          <w:sz w:val="22"/>
          <w:szCs w:val="22"/>
        </w:rPr>
      </w:pPr>
      <w:r w:rsidRPr="00226F95">
        <w:rPr>
          <w:rFonts w:ascii="Palatino Linotype" w:eastAsia="Palatino Linotype" w:hAnsi="Palatino Linotype" w:cs="Palatino Linotype"/>
          <w:b/>
          <w:sz w:val="22"/>
          <w:szCs w:val="22"/>
        </w:rPr>
        <w:t>“</w:t>
      </w:r>
      <w:r w:rsidRPr="00226F95">
        <w:rPr>
          <w:rFonts w:ascii="Palatino Linotype" w:eastAsia="Palatino Linotype" w:hAnsi="Palatino Linotype" w:cs="Palatino Linotype"/>
          <w:b/>
          <w:i/>
          <w:sz w:val="22"/>
          <w:szCs w:val="22"/>
        </w:rPr>
        <w:t>CRITERIO 0002-11</w:t>
      </w:r>
    </w:p>
    <w:p w14:paraId="03747338" w14:textId="77777777" w:rsidR="00003AD2" w:rsidRPr="00226F95" w:rsidRDefault="00C82866">
      <w:pPr>
        <w:ind w:left="851" w:right="899"/>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226F95">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2574D23B" w14:textId="77777777" w:rsidR="00003AD2" w:rsidRPr="00226F95" w:rsidRDefault="00C82866">
      <w:pPr>
        <w:ind w:left="851" w:right="899"/>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En consecuencia el acceso a la información se refiere a que se cumplan cualquiera de los siguientes tres supuestos:</w:t>
      </w:r>
    </w:p>
    <w:p w14:paraId="0DB1D7B3" w14:textId="77777777" w:rsidR="00003AD2" w:rsidRPr="00226F95" w:rsidRDefault="00C82866">
      <w:pPr>
        <w:ind w:left="851" w:right="899"/>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1) Que se trate de información registrada en cualquier soporte documental, que en ejercicio de las atribuciones conferidas, sea generada por los Sujetos Obligados;</w:t>
      </w:r>
    </w:p>
    <w:p w14:paraId="7AACA582" w14:textId="77777777" w:rsidR="00003AD2" w:rsidRPr="00226F95" w:rsidRDefault="00C82866">
      <w:pPr>
        <w:ind w:left="851" w:right="899"/>
        <w:jc w:val="both"/>
        <w:rPr>
          <w:rFonts w:ascii="Palatino Linotype" w:eastAsia="Palatino Linotype" w:hAnsi="Palatino Linotype" w:cs="Palatino Linotype"/>
          <w:b/>
          <w:i/>
          <w:sz w:val="22"/>
          <w:szCs w:val="22"/>
        </w:rPr>
      </w:pPr>
      <w:r w:rsidRPr="00226F95">
        <w:rPr>
          <w:rFonts w:ascii="Palatino Linotype" w:eastAsia="Palatino Linotype" w:hAnsi="Palatino Linotype" w:cs="Palatino Linotype"/>
          <w:b/>
          <w:i/>
          <w:sz w:val="22"/>
          <w:szCs w:val="22"/>
        </w:rPr>
        <w:t>2) Que se trate de información registrada en cualquier soporte documental, que en ejercicio de las atribuciones conferidas, sea administrada por los Sujetos Obligados, y</w:t>
      </w:r>
    </w:p>
    <w:p w14:paraId="4C566C9E" w14:textId="77777777" w:rsidR="00003AD2" w:rsidRPr="00226F95" w:rsidRDefault="00C82866">
      <w:pPr>
        <w:ind w:left="851" w:right="899"/>
        <w:jc w:val="both"/>
        <w:rPr>
          <w:rFonts w:ascii="Palatino Linotype" w:eastAsia="Palatino Linotype" w:hAnsi="Palatino Linotype" w:cs="Palatino Linotype"/>
          <w:b/>
          <w:i/>
          <w:sz w:val="22"/>
          <w:szCs w:val="22"/>
        </w:rPr>
      </w:pPr>
      <w:r w:rsidRPr="00226F95">
        <w:rPr>
          <w:rFonts w:ascii="Palatino Linotype" w:eastAsia="Palatino Linotype" w:hAnsi="Palatino Linotype" w:cs="Palatino Linotype"/>
          <w:b/>
          <w:i/>
          <w:sz w:val="22"/>
          <w:szCs w:val="22"/>
        </w:rPr>
        <w:t>3) Que se trate de información registrada en cualquier soporte documental, que en ejercicio de las atribuciones conferidas, se encuentre en posesión de los Sujetos Obligados.”</w:t>
      </w:r>
    </w:p>
    <w:p w14:paraId="2A91B959" w14:textId="77777777" w:rsidR="00003AD2" w:rsidRPr="00226F95" w:rsidRDefault="00003AD2">
      <w:pPr>
        <w:spacing w:line="360" w:lineRule="auto"/>
        <w:jc w:val="both"/>
        <w:rPr>
          <w:rFonts w:ascii="Palatino Linotype" w:eastAsia="Palatino Linotype" w:hAnsi="Palatino Linotype" w:cs="Palatino Linotype"/>
          <w:sz w:val="22"/>
          <w:szCs w:val="22"/>
        </w:rPr>
      </w:pPr>
    </w:p>
    <w:p w14:paraId="33805DE7" w14:textId="77777777" w:rsidR="00003AD2" w:rsidRPr="00226F95" w:rsidRDefault="00C82866">
      <w:pPr>
        <w:spacing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Ahora bien, del análisis de la solicitud de información motivo del recurso de revisión que ahora se resuelve, se advierte que el particular requirió al </w:t>
      </w:r>
      <w:r w:rsidR="003D5A40" w:rsidRPr="00226F95">
        <w:rPr>
          <w:rFonts w:ascii="Palatino Linotype" w:eastAsia="Palatino Linotype" w:hAnsi="Palatino Linotype" w:cs="Palatino Linotype"/>
          <w:b/>
          <w:sz w:val="22"/>
          <w:szCs w:val="22"/>
        </w:rPr>
        <w:t>Ayuntamiento de Cocotitlán</w:t>
      </w:r>
      <w:r w:rsidRPr="00226F95">
        <w:rPr>
          <w:rFonts w:ascii="Palatino Linotype" w:eastAsia="Palatino Linotype" w:hAnsi="Palatino Linotype" w:cs="Palatino Linotype"/>
          <w:sz w:val="22"/>
          <w:szCs w:val="22"/>
        </w:rPr>
        <w:t xml:space="preserve">, lo siguiente: </w:t>
      </w:r>
    </w:p>
    <w:p w14:paraId="5E9F4733" w14:textId="77777777" w:rsidR="00003AD2" w:rsidRPr="00226F95" w:rsidRDefault="00C82866" w:rsidP="00F05F99">
      <w:pPr>
        <w:pBdr>
          <w:top w:val="nil"/>
          <w:left w:val="nil"/>
          <w:bottom w:val="nil"/>
          <w:right w:val="nil"/>
          <w:between w:val="nil"/>
        </w:pBdr>
        <w:spacing w:after="240" w:line="360" w:lineRule="auto"/>
        <w:ind w:left="567" w:right="616"/>
        <w:jc w:val="both"/>
        <w:rPr>
          <w:rFonts w:ascii="Palatino Linotype" w:eastAsia="Palatino Linotype" w:hAnsi="Palatino Linotype" w:cs="Palatino Linotype"/>
          <w:b/>
          <w:sz w:val="22"/>
          <w:szCs w:val="22"/>
        </w:rPr>
      </w:pPr>
      <w:r w:rsidRPr="00226F95">
        <w:rPr>
          <w:rFonts w:ascii="Palatino Linotype" w:eastAsia="Palatino Linotype" w:hAnsi="Palatino Linotype" w:cs="Palatino Linotype"/>
          <w:i/>
          <w:sz w:val="22"/>
          <w:szCs w:val="22"/>
        </w:rPr>
        <w:lastRenderedPageBreak/>
        <w:t>“</w:t>
      </w:r>
      <w:r w:rsidR="00F05F99" w:rsidRPr="00226F95">
        <w:rPr>
          <w:rFonts w:ascii="Palatino Linotype" w:eastAsia="Palatino Linotype" w:hAnsi="Palatino Linotype" w:cs="Palatino Linotype"/>
          <w:i/>
          <w:sz w:val="22"/>
          <w:szCs w:val="22"/>
        </w:rPr>
        <w:t xml:space="preserve">Solicito de la manera más atenta el organigrama de la administración 2025-2027 del Municipio de </w:t>
      </w:r>
      <w:proofErr w:type="spellStart"/>
      <w:r w:rsidR="00F05F99" w:rsidRPr="00226F95">
        <w:rPr>
          <w:rFonts w:ascii="Palatino Linotype" w:eastAsia="Palatino Linotype" w:hAnsi="Palatino Linotype" w:cs="Palatino Linotype"/>
          <w:i/>
          <w:sz w:val="22"/>
          <w:szCs w:val="22"/>
        </w:rPr>
        <w:t>Cocotitlan</w:t>
      </w:r>
      <w:proofErr w:type="spellEnd"/>
      <w:r w:rsidR="00F05F99" w:rsidRPr="00226F95">
        <w:rPr>
          <w:rFonts w:ascii="Palatino Linotype" w:eastAsia="Palatino Linotype" w:hAnsi="Palatino Linotype" w:cs="Palatino Linotype"/>
          <w:i/>
          <w:sz w:val="22"/>
          <w:szCs w:val="22"/>
        </w:rPr>
        <w:t xml:space="preserve">, en caso de no contar con </w:t>
      </w:r>
      <w:proofErr w:type="spellStart"/>
      <w:r w:rsidR="00F05F99" w:rsidRPr="00226F95">
        <w:rPr>
          <w:rFonts w:ascii="Palatino Linotype" w:eastAsia="Palatino Linotype" w:hAnsi="Palatino Linotype" w:cs="Palatino Linotype"/>
          <w:i/>
          <w:sz w:val="22"/>
          <w:szCs w:val="22"/>
        </w:rPr>
        <w:t>el</w:t>
      </w:r>
      <w:proofErr w:type="spellEnd"/>
      <w:r w:rsidR="00F05F99" w:rsidRPr="00226F95">
        <w:rPr>
          <w:rFonts w:ascii="Palatino Linotype" w:eastAsia="Palatino Linotype" w:hAnsi="Palatino Linotype" w:cs="Palatino Linotype"/>
          <w:i/>
          <w:sz w:val="22"/>
          <w:szCs w:val="22"/>
        </w:rPr>
        <w:t xml:space="preserve"> en qué fecha será aprobado y </w:t>
      </w:r>
      <w:proofErr w:type="spellStart"/>
      <w:r w:rsidR="00F05F99" w:rsidRPr="00226F95">
        <w:rPr>
          <w:rFonts w:ascii="Palatino Linotype" w:eastAsia="Palatino Linotype" w:hAnsi="Palatino Linotype" w:cs="Palatino Linotype"/>
          <w:i/>
          <w:sz w:val="22"/>
          <w:szCs w:val="22"/>
        </w:rPr>
        <w:t>cual</w:t>
      </w:r>
      <w:proofErr w:type="spellEnd"/>
      <w:r w:rsidR="00F05F99" w:rsidRPr="00226F95">
        <w:rPr>
          <w:rFonts w:ascii="Palatino Linotype" w:eastAsia="Palatino Linotype" w:hAnsi="Palatino Linotype" w:cs="Palatino Linotype"/>
          <w:i/>
          <w:sz w:val="22"/>
          <w:szCs w:val="22"/>
        </w:rPr>
        <w:t xml:space="preserve"> será la página oficial para poder consultarlo”</w:t>
      </w:r>
    </w:p>
    <w:p w14:paraId="1F7B5907" w14:textId="77777777" w:rsidR="00F05F99" w:rsidRPr="00226F95" w:rsidRDefault="00F05F99">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En respuesta, el Secretario del Ayuntamiento entregó el organigrama vigente para la administración 2025-2027, el cual fue aprobado en la Cuarta Sesión Ordinaria de Cabildo, el veintidós de enero de dos mil veinticinco.</w:t>
      </w:r>
    </w:p>
    <w:p w14:paraId="7855CC50" w14:textId="317818C1" w:rsidR="005A38B3" w:rsidRPr="00226F95" w:rsidRDefault="005A38B3">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El Recurrente se inconformó medularmente porque el documento proporcionado es ilegible y no permite distinguir las unidades administrativas.</w:t>
      </w:r>
    </w:p>
    <w:p w14:paraId="3BE2356D" w14:textId="6E2ABF32" w:rsidR="005A38B3" w:rsidRPr="00226F95" w:rsidRDefault="005A38B3" w:rsidP="005A38B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Del agravio del particular, se aprecia que se inconforma únicamente por la ilegibilidad del organigrama. No mostró agravio respecto a la fecha de aprobación y la página oficial para consultar el organigrama, por lo que dichos requerimientos deben declararse atendidos, pues se entiende que la parte Recurrente ésta conforme con la información proporcionada al no contravenir la misma. Sirve de Apoyo a lo anterior, por analogía la Tesis Jurisprudencial Número 3ª./J.7/91, Publicada en el Semanario Judicial de la Federación y su Gaceta bajo el número de registro 174,177, que establece lo siguiente:</w:t>
      </w:r>
    </w:p>
    <w:p w14:paraId="702877DA" w14:textId="77777777" w:rsidR="005A38B3" w:rsidRPr="00226F95" w:rsidRDefault="005A38B3" w:rsidP="005A38B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5B8ADD8E" w14:textId="77777777" w:rsidR="005A38B3" w:rsidRPr="00226F95" w:rsidRDefault="005A38B3" w:rsidP="005A38B3">
      <w:pPr>
        <w:ind w:left="851" w:right="900"/>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z w:val="22"/>
          <w:szCs w:val="22"/>
        </w:rPr>
        <w:t xml:space="preserve">“REVISIÓN EN AMPARO. LOS RESOLUTIVOS NO COMBATIDOS DEBEN DECLARARSE FIRMES. </w:t>
      </w:r>
      <w:r w:rsidRPr="00226F95">
        <w:rPr>
          <w:rFonts w:ascii="Palatino Linotype" w:eastAsia="Palatino Linotype" w:hAnsi="Palatino Linotype" w:cs="Palatino Linotype"/>
          <w:i/>
          <w:sz w:val="22"/>
          <w:szCs w:val="22"/>
        </w:rPr>
        <w:t>Cuando algún resolutivo de la sentencia impugnada afecta a la recurrente, y ésta no expresa agravio en contra de las consideraciones que le sirven de base, dicho resolutivo debe declararse firme. Esto es, en el caso referido, no obstante que la materia de la revisión comprende a todos los resolutivos que afectan a la recurrente, deben declararse firmes aquéllos en contra de los cuales no se formuló agravio y dicha declaración de firmeza debe reflejarse en la parte considerativa y en los resolutivos debe confirmarse la sentencia recurrida en la parte correspondiente.”</w:t>
      </w:r>
    </w:p>
    <w:p w14:paraId="7962780F" w14:textId="77777777" w:rsidR="005A38B3" w:rsidRPr="00226F95" w:rsidRDefault="005A38B3" w:rsidP="005A38B3">
      <w:pPr>
        <w:ind w:left="851" w:right="900"/>
        <w:jc w:val="both"/>
        <w:rPr>
          <w:rFonts w:ascii="Palatino Linotype" w:eastAsia="Palatino Linotype" w:hAnsi="Palatino Linotype" w:cs="Palatino Linotype"/>
          <w:i/>
          <w:sz w:val="22"/>
          <w:szCs w:val="22"/>
        </w:rPr>
      </w:pPr>
    </w:p>
    <w:p w14:paraId="51A4D1BB" w14:textId="77777777" w:rsidR="005A38B3" w:rsidRPr="00226F95" w:rsidRDefault="005A38B3" w:rsidP="005A38B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Consecuentemente, se reitera, que la parte de la respuesta que no fue impugnada debe declararse consentida por la parte Recurrente, toda vez que no se realizaron manifestaciones de inconformidad, por lo que no pueden producirse efectos jurídicos tendentes a revocar, </w:t>
      </w:r>
      <w:r w:rsidRPr="00226F95">
        <w:rPr>
          <w:rFonts w:ascii="Palatino Linotype" w:eastAsia="Palatino Linotype" w:hAnsi="Palatino Linotype" w:cs="Palatino Linotype"/>
          <w:sz w:val="22"/>
          <w:szCs w:val="22"/>
        </w:rPr>
        <w:lastRenderedPageBreak/>
        <w:t xml:space="preserve">confirmar o modificar el acto reclamado ya que se infiere un consentimiento ante la falta de impugnación eficaz. </w:t>
      </w:r>
    </w:p>
    <w:p w14:paraId="3B0EDD8F" w14:textId="77777777" w:rsidR="005A38B3" w:rsidRPr="00226F95" w:rsidRDefault="005A38B3" w:rsidP="005A38B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44567CA2" w14:textId="77777777" w:rsidR="005A38B3" w:rsidRPr="00226F95" w:rsidRDefault="005A38B3" w:rsidP="005A38B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Sirve de sustento a lo anterior por analogía la tesis jurisprudencial número VI.3o.C. J/60, publicada en el Semanario Judicial de la Federación y su Gaceta bajo el número de registro 176,608 que a la letra dice:</w:t>
      </w:r>
    </w:p>
    <w:p w14:paraId="44F829D8" w14:textId="77777777" w:rsidR="005A38B3" w:rsidRPr="00226F95" w:rsidRDefault="005A38B3" w:rsidP="005A38B3">
      <w:pPr>
        <w:pBdr>
          <w:top w:val="nil"/>
          <w:left w:val="nil"/>
          <w:bottom w:val="nil"/>
          <w:right w:val="nil"/>
          <w:between w:val="nil"/>
        </w:pBdr>
        <w:spacing w:line="360" w:lineRule="auto"/>
        <w:ind w:left="708"/>
        <w:rPr>
          <w:rFonts w:ascii="Palatino Linotype" w:eastAsia="Palatino Linotype" w:hAnsi="Palatino Linotype" w:cs="Palatino Linotype"/>
          <w:sz w:val="22"/>
          <w:szCs w:val="22"/>
        </w:rPr>
      </w:pPr>
    </w:p>
    <w:p w14:paraId="7F6A18E2" w14:textId="77777777" w:rsidR="005A38B3" w:rsidRPr="00226F95" w:rsidRDefault="005A38B3" w:rsidP="005A38B3">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b/>
          <w:i/>
          <w:smallCaps/>
          <w:sz w:val="22"/>
          <w:szCs w:val="22"/>
        </w:rPr>
        <w:t xml:space="preserve">“ACTOS CONSENTIDOS. SON LOS QUE NO SE IMPUGNAN MEDIANTE EL RECURSO IDÓNEO. </w:t>
      </w:r>
      <w:r w:rsidRPr="00226F95">
        <w:rPr>
          <w:rFonts w:ascii="Palatino Linotype" w:eastAsia="Palatino Linotype" w:hAnsi="Palatino Linotype" w:cs="Palatino Linotype"/>
          <w:i/>
          <w:sz w:val="22"/>
          <w:szCs w:val="22"/>
        </w:rPr>
        <w:t>Debe reputarse como consentido el acto que no se impugnó por el medio establecido por la ley, ya que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14:paraId="24499901" w14:textId="77777777" w:rsidR="005A38B3" w:rsidRPr="00226F95" w:rsidRDefault="005A38B3" w:rsidP="005A38B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367F7B6E" w14:textId="58C4ADC8" w:rsidR="005A38B3" w:rsidRPr="00226F95" w:rsidRDefault="005A38B3" w:rsidP="005A38B3">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Por lo expuesto, se determina que el presente asunto se ceñirá a analizar lo relativo a la legibilidad del organigrama. </w:t>
      </w:r>
    </w:p>
    <w:p w14:paraId="0BE0D5FD" w14:textId="77777777" w:rsidR="005A38B3" w:rsidRPr="00226F95" w:rsidRDefault="005A38B3" w:rsidP="005A38B3">
      <w:pPr>
        <w:tabs>
          <w:tab w:val="left" w:pos="1658"/>
        </w:tabs>
        <w:spacing w:after="240"/>
        <w:ind w:right="49"/>
        <w:jc w:val="both"/>
        <w:rPr>
          <w:rFonts w:ascii="Palatino Linotype" w:eastAsia="Palatino Linotype" w:hAnsi="Palatino Linotype" w:cs="Palatino Linotype"/>
          <w:sz w:val="22"/>
          <w:szCs w:val="22"/>
        </w:rPr>
      </w:pPr>
    </w:p>
    <w:p w14:paraId="5A1331CA" w14:textId="35FB7C6B" w:rsidR="00532BE3" w:rsidRPr="00226F95" w:rsidRDefault="005A38B3" w:rsidP="00532BE3">
      <w:pPr>
        <w:tabs>
          <w:tab w:val="left" w:pos="1658"/>
        </w:tabs>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w:t>
      </w:r>
      <w:r w:rsidR="00532BE3" w:rsidRPr="00226F95">
        <w:rPr>
          <w:rFonts w:ascii="Palatino Linotype" w:eastAsia="Palatino Linotype" w:hAnsi="Palatino Linotype" w:cs="Palatino Linotype"/>
          <w:sz w:val="22"/>
          <w:szCs w:val="22"/>
        </w:rPr>
        <w:t xml:space="preserve">s necesario traer a contexto la Ley Orgánica Municipal del Estado de México, normatividad que es de interés público y tiene por objeto regular las bases para la integración y organización del territorio, población, gobierno y administración pública municipal. </w:t>
      </w:r>
      <w:r w:rsidR="000F73EE" w:rsidRPr="00226F95">
        <w:rPr>
          <w:rFonts w:ascii="Palatino Linotype" w:eastAsia="Palatino Linotype" w:hAnsi="Palatino Linotype" w:cs="Palatino Linotype"/>
          <w:sz w:val="22"/>
          <w:szCs w:val="22"/>
        </w:rPr>
        <w:t xml:space="preserve"> </w:t>
      </w:r>
    </w:p>
    <w:p w14:paraId="2D6A00D4" w14:textId="77777777" w:rsidR="00532BE3" w:rsidRPr="00226F95" w:rsidRDefault="00532BE3" w:rsidP="00532BE3">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Dicho ordenamiento legal citado, establece en los artículos 31, fracción IX; y el artículo 87, lo siguiente:</w:t>
      </w:r>
    </w:p>
    <w:p w14:paraId="56AE94D0" w14:textId="77777777" w:rsidR="00532BE3" w:rsidRPr="00226F95" w:rsidRDefault="00532BE3" w:rsidP="00532BE3">
      <w:pPr>
        <w:spacing w:line="276" w:lineRule="auto"/>
        <w:ind w:left="567" w:right="616"/>
        <w:jc w:val="center"/>
        <w:rPr>
          <w:rFonts w:ascii="Palatino Linotype" w:hAnsi="Palatino Linotype"/>
          <w:b/>
          <w:i/>
          <w:sz w:val="22"/>
          <w:szCs w:val="22"/>
        </w:rPr>
      </w:pPr>
      <w:r w:rsidRPr="00226F95">
        <w:rPr>
          <w:rFonts w:ascii="Palatino Linotype" w:hAnsi="Palatino Linotype"/>
          <w:b/>
          <w:i/>
          <w:sz w:val="22"/>
          <w:szCs w:val="22"/>
        </w:rPr>
        <w:t>CAPITULO TERCERO</w:t>
      </w:r>
    </w:p>
    <w:p w14:paraId="028FDA90" w14:textId="77777777" w:rsidR="00532BE3" w:rsidRPr="00226F95" w:rsidRDefault="00532BE3" w:rsidP="00532BE3">
      <w:pPr>
        <w:spacing w:line="276" w:lineRule="auto"/>
        <w:ind w:left="567" w:right="616"/>
        <w:jc w:val="center"/>
        <w:rPr>
          <w:rFonts w:ascii="Palatino Linotype" w:hAnsi="Palatino Linotype"/>
          <w:b/>
          <w:i/>
          <w:sz w:val="22"/>
          <w:szCs w:val="22"/>
        </w:rPr>
      </w:pPr>
      <w:r w:rsidRPr="00226F95">
        <w:rPr>
          <w:rFonts w:ascii="Palatino Linotype" w:hAnsi="Palatino Linotype"/>
          <w:b/>
          <w:i/>
          <w:sz w:val="22"/>
          <w:szCs w:val="22"/>
        </w:rPr>
        <w:t>ATRIBUCIONES DE LOS AYUNTAMIENTOS</w:t>
      </w:r>
    </w:p>
    <w:p w14:paraId="63C08879"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22"/>
          <w:szCs w:val="22"/>
        </w:rPr>
      </w:pPr>
      <w:r w:rsidRPr="00226F95">
        <w:rPr>
          <w:rFonts w:ascii="Palatino Linotype" w:hAnsi="Palatino Linotype"/>
          <w:i/>
          <w:sz w:val="22"/>
          <w:szCs w:val="22"/>
        </w:rPr>
        <w:t>Artículo 31.- Son atribuciones de los ayuntamientos:</w:t>
      </w:r>
    </w:p>
    <w:p w14:paraId="6C4072B5"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22"/>
          <w:szCs w:val="22"/>
        </w:rPr>
      </w:pPr>
      <w:r w:rsidRPr="00226F95">
        <w:rPr>
          <w:rFonts w:ascii="Palatino Linotype" w:eastAsia="Palatino Linotype" w:hAnsi="Palatino Linotype" w:cs="Palatino Linotype"/>
          <w:i/>
          <w:sz w:val="22"/>
          <w:szCs w:val="22"/>
        </w:rPr>
        <w:t>…</w:t>
      </w:r>
    </w:p>
    <w:p w14:paraId="7F7D780B" w14:textId="77777777" w:rsidR="00532BE3" w:rsidRPr="00226F95" w:rsidRDefault="00532BE3" w:rsidP="00532BE3">
      <w:pPr>
        <w:spacing w:line="276" w:lineRule="auto"/>
        <w:ind w:left="567" w:right="616"/>
        <w:jc w:val="both"/>
        <w:rPr>
          <w:rFonts w:ascii="Palatino Linotype" w:hAnsi="Palatino Linotype"/>
          <w:i/>
          <w:sz w:val="22"/>
          <w:szCs w:val="22"/>
        </w:rPr>
      </w:pPr>
      <w:r w:rsidRPr="00226F95">
        <w:rPr>
          <w:rFonts w:ascii="Palatino Linotype" w:hAnsi="Palatino Linotype"/>
          <w:i/>
          <w:sz w:val="22"/>
          <w:szCs w:val="22"/>
        </w:rPr>
        <w:t>IX. Crear las unidades administrativas necesarias para el adecuado funcionamiento de la administración pública municipal y para la eficaz prestación de los servicios públicos;</w:t>
      </w:r>
    </w:p>
    <w:p w14:paraId="0B734C97"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22"/>
          <w:szCs w:val="22"/>
        </w:rPr>
      </w:pPr>
      <w:r w:rsidRPr="00226F95">
        <w:rPr>
          <w:rFonts w:ascii="Palatino Linotype" w:hAnsi="Palatino Linotype"/>
          <w:i/>
          <w:sz w:val="22"/>
          <w:szCs w:val="22"/>
        </w:rPr>
        <w:lastRenderedPageBreak/>
        <w:t>…</w:t>
      </w:r>
    </w:p>
    <w:p w14:paraId="614DE371"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20"/>
          <w:szCs w:val="22"/>
        </w:rPr>
      </w:pPr>
    </w:p>
    <w:p w14:paraId="041B54CC"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Artículo 87.- Para el despacho, estudio y planeación de los diversos asuntos de la administración municipal, el ayuntamiento contará por lo menos con las siguientes Dependencias: </w:t>
      </w:r>
    </w:p>
    <w:p w14:paraId="2790DB6B"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I. La secretaría del ayuntamiento; </w:t>
      </w:r>
    </w:p>
    <w:p w14:paraId="7B3E7262"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II. La tesorería municipal. </w:t>
      </w:r>
    </w:p>
    <w:p w14:paraId="25B703A1"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III. La Dirección de Obras Públicas o equivalente. </w:t>
      </w:r>
    </w:p>
    <w:p w14:paraId="7912EBDC"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IV. La Dirección de Desarrollo Económico o equivalente. </w:t>
      </w:r>
    </w:p>
    <w:p w14:paraId="65EF55D9"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V. La Dirección de Desarrollo Urbano o equivalente;</w:t>
      </w:r>
    </w:p>
    <w:p w14:paraId="29BD5AA6"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VI. La Dirección de Ecología o equivalente. </w:t>
      </w:r>
    </w:p>
    <w:p w14:paraId="604B4C99"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VII. La Dirección de Desarrollo Social o equivalente. </w:t>
      </w:r>
    </w:p>
    <w:p w14:paraId="43C66F8F"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VIII. La Coordinación Municipal de Protección Civil o equivalente. </w:t>
      </w:r>
    </w:p>
    <w:p w14:paraId="2EB2A2F5"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 xml:space="preserve">IX. La Dirección de las Mujeres o equivalente. </w:t>
      </w:r>
    </w:p>
    <w:p w14:paraId="16225AF6"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X. Dirección del Campo o equivalente, preferentemente en los municipios cuyas características geográficas, territoriales, sociales, culturales, políticas y económicas sean predominantemente inherentes al ámbito rural.</w:t>
      </w:r>
    </w:p>
    <w:p w14:paraId="3F084D8F"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22"/>
          <w:szCs w:val="22"/>
        </w:rPr>
      </w:pPr>
    </w:p>
    <w:p w14:paraId="3C9437A6" w14:textId="77777777" w:rsidR="00532BE3" w:rsidRPr="00226F95" w:rsidRDefault="00532BE3" w:rsidP="00532BE3">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De la interpretación a los preceptos legales referidos, se establece la facultad para crear unidades administrativas, asimismo, sienta las bases mínimas sobre la organización administrativa, esto para el correcto funcionamiento del Ayuntamiento. </w:t>
      </w:r>
    </w:p>
    <w:p w14:paraId="1D27A6D6" w14:textId="77777777" w:rsidR="00C93E4A" w:rsidRPr="00226F95" w:rsidRDefault="00C93E4A" w:rsidP="00C93E4A">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Ahora bien, por su parte, el Bando Municipal del Sujeto Obligado, en el artículo 41 establece lo siguiente:</w:t>
      </w:r>
    </w:p>
    <w:p w14:paraId="153816D1" w14:textId="77777777" w:rsidR="00C93E4A" w:rsidRPr="00226F95" w:rsidRDefault="00C93E4A" w:rsidP="00C93E4A">
      <w:pPr>
        <w:spacing w:after="240" w:line="360" w:lineRule="auto"/>
        <w:ind w:left="567" w:right="616"/>
        <w:jc w:val="center"/>
        <w:rPr>
          <w:rFonts w:ascii="Palatino Linotype" w:hAnsi="Palatino Linotype"/>
          <w:i/>
          <w:sz w:val="22"/>
        </w:rPr>
      </w:pPr>
      <w:r w:rsidRPr="00226F95">
        <w:rPr>
          <w:rFonts w:ascii="Palatino Linotype" w:hAnsi="Palatino Linotype"/>
          <w:i/>
          <w:sz w:val="22"/>
        </w:rPr>
        <w:t>CAPÍTULO IV.</w:t>
      </w:r>
    </w:p>
    <w:p w14:paraId="23D016CF" w14:textId="77777777" w:rsidR="00C93E4A" w:rsidRPr="00226F95" w:rsidRDefault="00C93E4A" w:rsidP="00C93E4A">
      <w:pPr>
        <w:spacing w:after="240" w:line="360" w:lineRule="auto"/>
        <w:ind w:left="567" w:right="616"/>
        <w:jc w:val="center"/>
        <w:rPr>
          <w:rFonts w:ascii="Palatino Linotype" w:hAnsi="Palatino Linotype"/>
          <w:i/>
          <w:sz w:val="22"/>
        </w:rPr>
      </w:pPr>
      <w:r w:rsidRPr="00226F95">
        <w:rPr>
          <w:rFonts w:ascii="Palatino Linotype" w:hAnsi="Palatino Linotype"/>
          <w:i/>
          <w:sz w:val="22"/>
        </w:rPr>
        <w:t>DE LA ORGANIZACIÓN ADMINISTRATIVA</w:t>
      </w:r>
    </w:p>
    <w:p w14:paraId="0107D699" w14:textId="77777777" w:rsidR="00C93E4A" w:rsidRPr="00226F95" w:rsidRDefault="00C93E4A" w:rsidP="00C93E4A">
      <w:pPr>
        <w:spacing w:after="240" w:line="360" w:lineRule="auto"/>
        <w:ind w:left="567" w:right="616"/>
        <w:jc w:val="both"/>
        <w:rPr>
          <w:rFonts w:ascii="Palatino Linotype" w:eastAsia="Palatino Linotype" w:hAnsi="Palatino Linotype" w:cs="Palatino Linotype"/>
          <w:i/>
          <w:sz w:val="20"/>
          <w:szCs w:val="22"/>
        </w:rPr>
      </w:pPr>
      <w:r w:rsidRPr="00226F95">
        <w:rPr>
          <w:rFonts w:ascii="Palatino Linotype" w:hAnsi="Palatino Linotype"/>
          <w:i/>
          <w:sz w:val="22"/>
        </w:rPr>
        <w:t xml:space="preserve">Artículo 41. Para el ejercicio de sus atribuciones y responsabilidades ejecutivas, el Ayuntamiento se auxiliará con las dependencias y entidades de la administración pública municipal, </w:t>
      </w:r>
      <w:r w:rsidRPr="00226F95">
        <w:rPr>
          <w:rFonts w:ascii="Palatino Linotype" w:hAnsi="Palatino Linotype"/>
          <w:b/>
          <w:i/>
          <w:sz w:val="22"/>
        </w:rPr>
        <w:t>que en cada caso acuerde el cabildo a propuesta del Presidente Municipal</w:t>
      </w:r>
      <w:r w:rsidRPr="00226F95">
        <w:rPr>
          <w:rFonts w:ascii="Palatino Linotype" w:hAnsi="Palatino Linotype"/>
          <w:i/>
          <w:sz w:val="22"/>
        </w:rPr>
        <w:t xml:space="preserve">, las que estarán subordinadas a este servidor público. El servidor público </w:t>
      </w:r>
      <w:r w:rsidRPr="00226F95">
        <w:rPr>
          <w:rFonts w:ascii="Palatino Linotype" w:hAnsi="Palatino Linotype"/>
          <w:i/>
          <w:sz w:val="22"/>
        </w:rPr>
        <w:lastRenderedPageBreak/>
        <w:t>titular de las referidas dependencias y entidades de la administración municipal, ejercerá las funciones propias de su competencia y será responsable por el ejercicio de dichas funciones y atribuciones contenidas en la Ley, sus reglamentos, manuales, acuerdos, circulares y otras disposiciones legales que tiendan a regular el funcionamiento del Municipio.</w:t>
      </w:r>
    </w:p>
    <w:p w14:paraId="24C0656E" w14:textId="77777777" w:rsidR="00C93E4A" w:rsidRPr="00226F95" w:rsidRDefault="00C93E4A" w:rsidP="00C93E4A">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Del contenido del Bando Municipal se determina que el Ayuntamiento de Cocotitlán se auxilia de dependencias y entidades de la administración pública municipal que en cada caso acuerde el cabildo. Ante dicha aseveración, se sobreentiende que la creación o estructuración de unidades administrativas será acordado y aprobado por el Cabildo, a propuesta del Presidente Municipal. Por lo que es conveniente traer a contexto el artículo 91 de la Ley Orgánica Municipal del Estado de México, el cual establece lo siguiente:</w:t>
      </w:r>
    </w:p>
    <w:p w14:paraId="03FFE922" w14:textId="77777777" w:rsidR="00C93E4A" w:rsidRPr="00226F95" w:rsidRDefault="00C93E4A" w:rsidP="00C93E4A">
      <w:pPr>
        <w:spacing w:after="240" w:line="360" w:lineRule="auto"/>
        <w:ind w:left="567" w:right="616"/>
        <w:jc w:val="both"/>
        <w:rPr>
          <w:rFonts w:ascii="Palatino Linotype" w:hAnsi="Palatino Linotype"/>
          <w:i/>
          <w:sz w:val="22"/>
        </w:rPr>
      </w:pPr>
      <w:r w:rsidRPr="00226F95">
        <w:rPr>
          <w:rFonts w:ascii="Palatino Linotype" w:hAnsi="Palatino Linotype"/>
          <w:i/>
          <w:sz w:val="22"/>
        </w:rPr>
        <w:t xml:space="preserve">Artículo 91.- La Secretaría del Ayuntamiento estará a cargo de un Secretario, el que, sin ser miembro del mismo, deberá ser nombrado por el propio Ayuntamiento a propuesta del Presidente Municipal como lo marca el artículo 31 de la presente ley. Sus faltas temporales serán cubiertas por quien designe el Ayuntamiento y sus atribuciones son las siguientes: </w:t>
      </w:r>
    </w:p>
    <w:p w14:paraId="0B9F76DD" w14:textId="77777777" w:rsidR="00C93E4A" w:rsidRPr="00226F95" w:rsidRDefault="00C93E4A" w:rsidP="00C93E4A">
      <w:pPr>
        <w:spacing w:after="240" w:line="360" w:lineRule="auto"/>
        <w:ind w:left="567" w:right="616"/>
        <w:jc w:val="both"/>
        <w:rPr>
          <w:rFonts w:ascii="Palatino Linotype" w:eastAsia="Palatino Linotype" w:hAnsi="Palatino Linotype" w:cs="Palatino Linotype"/>
          <w:i/>
          <w:sz w:val="20"/>
          <w:szCs w:val="22"/>
        </w:rPr>
      </w:pPr>
      <w:r w:rsidRPr="00226F95">
        <w:rPr>
          <w:rFonts w:ascii="Palatino Linotype" w:hAnsi="Palatino Linotype"/>
          <w:i/>
          <w:sz w:val="22"/>
        </w:rPr>
        <w:t>I. Asistir a las sesiones del ayuntamiento y levantar las actas correspondientes;</w:t>
      </w:r>
    </w:p>
    <w:p w14:paraId="7F9FAC46" w14:textId="77777777" w:rsidR="00C93E4A" w:rsidRPr="00226F95" w:rsidRDefault="00C93E4A" w:rsidP="00532BE3">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Es así que, si la creación u organización de las unidades administrativas corre a cargo del cabildo y es el Secretario del Ayuntamiento el encargado de levantar las actas correspondientes, documentos donde se sientan las decisiones adoptadas por la máxima autoridad del Ayuntamiento.</w:t>
      </w:r>
    </w:p>
    <w:p w14:paraId="2BA0F387" w14:textId="76B6EAA7" w:rsidR="00532BE3" w:rsidRPr="00226F95" w:rsidRDefault="00C93E4A" w:rsidP="00532BE3">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Además, </w:t>
      </w:r>
      <w:r w:rsidR="00532BE3" w:rsidRPr="00226F95">
        <w:rPr>
          <w:rFonts w:ascii="Palatino Linotype" w:eastAsia="Palatino Linotype" w:hAnsi="Palatino Linotype" w:cs="Palatino Linotype"/>
          <w:sz w:val="22"/>
          <w:szCs w:val="22"/>
        </w:rPr>
        <w:t xml:space="preserve">se tiene que </w:t>
      </w:r>
      <w:r w:rsidRPr="00226F95">
        <w:rPr>
          <w:rFonts w:ascii="Palatino Linotype" w:eastAsia="Palatino Linotype" w:hAnsi="Palatino Linotype" w:cs="Palatino Linotype"/>
          <w:sz w:val="22"/>
          <w:szCs w:val="22"/>
        </w:rPr>
        <w:t xml:space="preserve">el organigrama </w:t>
      </w:r>
      <w:r w:rsidR="00532BE3" w:rsidRPr="00226F95">
        <w:rPr>
          <w:rFonts w:ascii="Palatino Linotype" w:eastAsia="Palatino Linotype" w:hAnsi="Palatino Linotype" w:cs="Palatino Linotype"/>
          <w:sz w:val="22"/>
          <w:szCs w:val="22"/>
        </w:rPr>
        <w:t xml:space="preserve">es </w:t>
      </w:r>
      <w:r w:rsidR="000F73EE" w:rsidRPr="00226F95">
        <w:rPr>
          <w:rFonts w:ascii="Palatino Linotype" w:eastAsia="Palatino Linotype" w:hAnsi="Palatino Linotype" w:cs="Palatino Linotype"/>
          <w:sz w:val="22"/>
          <w:szCs w:val="22"/>
        </w:rPr>
        <w:t>obligación de transparencia común</w:t>
      </w:r>
      <w:r w:rsidR="00532BE3" w:rsidRPr="00226F95">
        <w:rPr>
          <w:rFonts w:ascii="Palatino Linotype" w:eastAsia="Palatino Linotype" w:hAnsi="Palatino Linotype" w:cs="Palatino Linotype"/>
          <w:sz w:val="22"/>
          <w:szCs w:val="22"/>
        </w:rPr>
        <w:t>, conforme al artículo 70, fracción II y artículo 92, fracción II, de la Ley General de Transparencia y Acceso a la Información Pública y Ley de Transparencia y Acceso a la Información Pública del Estado de México y Municipios respectivamente, cuyo contenido es el siguiente:</w:t>
      </w:r>
    </w:p>
    <w:p w14:paraId="58AB481A" w14:textId="77777777" w:rsidR="00532BE3" w:rsidRPr="00226F95" w:rsidRDefault="00532BE3" w:rsidP="00532BE3">
      <w:pPr>
        <w:spacing w:line="276" w:lineRule="auto"/>
        <w:ind w:left="567" w:right="616"/>
        <w:jc w:val="center"/>
        <w:rPr>
          <w:rFonts w:ascii="Palatino Linotype" w:hAnsi="Palatino Linotype"/>
          <w:b/>
          <w:i/>
          <w:sz w:val="22"/>
        </w:rPr>
      </w:pPr>
      <w:r w:rsidRPr="00226F95">
        <w:rPr>
          <w:rFonts w:ascii="Palatino Linotype" w:hAnsi="Palatino Linotype"/>
          <w:b/>
          <w:i/>
          <w:sz w:val="22"/>
        </w:rPr>
        <w:lastRenderedPageBreak/>
        <w:t>Capítulo II</w:t>
      </w:r>
    </w:p>
    <w:p w14:paraId="3DF9E0EA" w14:textId="77777777" w:rsidR="00532BE3" w:rsidRPr="00226F95" w:rsidRDefault="00532BE3" w:rsidP="00532BE3">
      <w:pPr>
        <w:spacing w:line="276" w:lineRule="auto"/>
        <w:ind w:left="567" w:right="616"/>
        <w:jc w:val="center"/>
        <w:rPr>
          <w:rFonts w:ascii="Palatino Linotype" w:hAnsi="Palatino Linotype"/>
          <w:b/>
          <w:i/>
          <w:sz w:val="22"/>
        </w:rPr>
      </w:pPr>
      <w:r w:rsidRPr="00226F95">
        <w:rPr>
          <w:rFonts w:ascii="Palatino Linotype" w:hAnsi="Palatino Linotype"/>
          <w:b/>
          <w:i/>
          <w:sz w:val="22"/>
        </w:rPr>
        <w:t>De las obligaciones de transparencia comunes</w:t>
      </w:r>
    </w:p>
    <w:p w14:paraId="3636582F"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Artículo 70. En la Ley Federal y de las Entidades Federativas se contemplará que los sujetos obligados pongan a disposición del público y mantengan actualizada, en los respectivos medios electrónicos, de acuerdo con sus facultades, atribuciones, funciones u objeto social, según corresponda, la información, por lo menos, de los temas, documentos y políticas que a continuación se señalan:</w:t>
      </w:r>
    </w:p>
    <w:p w14:paraId="5DE1E17B"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w:t>
      </w:r>
    </w:p>
    <w:p w14:paraId="3D9426CB"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II. Su estructura orgánica completa, en un formato que permita vincular cada parte de la estructura, las atribuciones y responsabilidades que le corresponden a cada servidor público, prestador de servicios profesionales o miembro de los sujetos obligados, de conformidad con las disposiciones aplicables;</w:t>
      </w:r>
    </w:p>
    <w:p w14:paraId="77A0FDEE"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18"/>
          <w:szCs w:val="22"/>
        </w:rPr>
      </w:pPr>
      <w:r w:rsidRPr="00226F95">
        <w:rPr>
          <w:rFonts w:ascii="Palatino Linotype" w:hAnsi="Palatino Linotype"/>
          <w:i/>
          <w:sz w:val="22"/>
        </w:rPr>
        <w:t>…</w:t>
      </w:r>
    </w:p>
    <w:p w14:paraId="763A7889" w14:textId="77777777" w:rsidR="00532BE3" w:rsidRPr="00226F95" w:rsidRDefault="00532BE3" w:rsidP="00532BE3">
      <w:pPr>
        <w:spacing w:line="276" w:lineRule="auto"/>
        <w:ind w:left="567" w:right="616"/>
        <w:jc w:val="center"/>
        <w:rPr>
          <w:rFonts w:ascii="Palatino Linotype" w:hAnsi="Palatino Linotype"/>
          <w:b/>
          <w:i/>
          <w:sz w:val="22"/>
        </w:rPr>
      </w:pPr>
      <w:r w:rsidRPr="00226F95">
        <w:rPr>
          <w:rFonts w:ascii="Palatino Linotype" w:hAnsi="Palatino Linotype"/>
          <w:b/>
          <w:i/>
          <w:sz w:val="22"/>
        </w:rPr>
        <w:t>Capítulo II</w:t>
      </w:r>
    </w:p>
    <w:p w14:paraId="3C2F2152" w14:textId="77777777" w:rsidR="00532BE3" w:rsidRPr="00226F95" w:rsidRDefault="00532BE3" w:rsidP="00532BE3">
      <w:pPr>
        <w:spacing w:line="276" w:lineRule="auto"/>
        <w:ind w:left="567" w:right="616"/>
        <w:jc w:val="center"/>
        <w:rPr>
          <w:rFonts w:ascii="Palatino Linotype" w:hAnsi="Palatino Linotype"/>
          <w:b/>
          <w:i/>
          <w:sz w:val="22"/>
        </w:rPr>
      </w:pPr>
      <w:r w:rsidRPr="00226F95">
        <w:rPr>
          <w:rFonts w:ascii="Palatino Linotype" w:hAnsi="Palatino Linotype"/>
          <w:b/>
          <w:i/>
          <w:sz w:val="22"/>
        </w:rPr>
        <w:t>De las Obligaciones de Transparencia Comunes</w:t>
      </w:r>
    </w:p>
    <w:p w14:paraId="771E22DF"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i/>
          <w:sz w:val="22"/>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5A2CCE47" w14:textId="77777777" w:rsidR="00532BE3" w:rsidRPr="00226F95" w:rsidRDefault="00532BE3" w:rsidP="00532BE3">
      <w:pPr>
        <w:spacing w:line="276" w:lineRule="auto"/>
        <w:ind w:left="567" w:right="616"/>
        <w:jc w:val="both"/>
        <w:rPr>
          <w:rFonts w:ascii="Palatino Linotype" w:eastAsia="Palatino Linotype" w:hAnsi="Palatino Linotype" w:cs="Palatino Linotype"/>
          <w:i/>
          <w:sz w:val="20"/>
          <w:szCs w:val="22"/>
        </w:rPr>
      </w:pPr>
      <w:r w:rsidRPr="00226F95">
        <w:rPr>
          <w:rFonts w:ascii="Palatino Linotype" w:hAnsi="Palatino Linotype"/>
          <w:i/>
          <w:sz w:val="22"/>
        </w:rPr>
        <w:t>…</w:t>
      </w:r>
    </w:p>
    <w:p w14:paraId="03F27102" w14:textId="77777777" w:rsidR="00532BE3" w:rsidRPr="00226F95" w:rsidRDefault="00532BE3" w:rsidP="00532BE3">
      <w:pPr>
        <w:spacing w:line="276" w:lineRule="auto"/>
        <w:ind w:left="567" w:right="616"/>
        <w:jc w:val="both"/>
        <w:rPr>
          <w:rFonts w:ascii="Palatino Linotype" w:hAnsi="Palatino Linotype"/>
          <w:i/>
          <w:sz w:val="22"/>
        </w:rPr>
      </w:pPr>
      <w:r w:rsidRPr="00226F95">
        <w:rPr>
          <w:rFonts w:ascii="Palatino Linotype" w:hAnsi="Palatino Linotype"/>
          <w:b/>
          <w:i/>
          <w:sz w:val="22"/>
        </w:rPr>
        <w:t>II. Su estructura orgánica completa</w:t>
      </w:r>
      <w:r w:rsidRPr="00226F95">
        <w:rPr>
          <w:rFonts w:ascii="Palatino Linotype" w:hAnsi="Palatino Linotype"/>
          <w:i/>
          <w:sz w:val="22"/>
        </w:rPr>
        <w:t>, en un formato que permita vincular cada parte de la estructura, las atribuciones y responsabilidades que le corresponden a cada servidor público, prestador de servicios profesionales o miembro de los sujetos obligados, de conformidad con las disposiciones jurídicas aplicables;</w:t>
      </w:r>
    </w:p>
    <w:p w14:paraId="06E60CD5" w14:textId="77777777" w:rsidR="00532BE3" w:rsidRPr="00226F95" w:rsidRDefault="00532BE3" w:rsidP="00532BE3">
      <w:pPr>
        <w:spacing w:after="240" w:line="360" w:lineRule="auto"/>
        <w:ind w:left="567" w:right="616"/>
        <w:jc w:val="both"/>
        <w:rPr>
          <w:rFonts w:ascii="Palatino Linotype" w:eastAsia="Palatino Linotype" w:hAnsi="Palatino Linotype" w:cs="Palatino Linotype"/>
          <w:i/>
          <w:sz w:val="20"/>
          <w:szCs w:val="22"/>
        </w:rPr>
      </w:pPr>
      <w:r w:rsidRPr="00226F95">
        <w:rPr>
          <w:rFonts w:ascii="Palatino Linotype" w:hAnsi="Palatino Linotype"/>
          <w:i/>
          <w:sz w:val="22"/>
        </w:rPr>
        <w:t>…</w:t>
      </w:r>
    </w:p>
    <w:p w14:paraId="4286F636" w14:textId="77777777" w:rsidR="00532BE3" w:rsidRPr="00226F95" w:rsidRDefault="00532BE3" w:rsidP="00532BE3">
      <w:pPr>
        <w:spacing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Es así que, la información relativa a la estructura orgánica u organigrama corresponde a obligaciones de transparencia común, ya que permite conocer todas y cada una de las unidades administrativas </w:t>
      </w:r>
      <w:r w:rsidR="00C93E4A" w:rsidRPr="00226F95">
        <w:rPr>
          <w:rFonts w:ascii="Palatino Linotype" w:eastAsia="Palatino Linotype" w:hAnsi="Palatino Linotype" w:cs="Palatino Linotype"/>
          <w:sz w:val="22"/>
          <w:szCs w:val="22"/>
        </w:rPr>
        <w:t>que integran un Sujeto Obligado.</w:t>
      </w:r>
    </w:p>
    <w:p w14:paraId="4EA03D40" w14:textId="77777777" w:rsidR="00532BE3" w:rsidRPr="00226F95" w:rsidRDefault="00532BE3" w:rsidP="00532BE3">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Dicho lo anterior, se precisa que el Sujeto Obligado turnó la solicitud a</w:t>
      </w:r>
      <w:r w:rsidR="00C93E4A" w:rsidRPr="00226F9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sz w:val="22"/>
          <w:szCs w:val="22"/>
        </w:rPr>
        <w:t>l</w:t>
      </w:r>
      <w:r w:rsidR="00C93E4A" w:rsidRPr="00226F95">
        <w:rPr>
          <w:rFonts w:ascii="Palatino Linotype" w:eastAsia="Palatino Linotype" w:hAnsi="Palatino Linotype" w:cs="Palatino Linotype"/>
          <w:sz w:val="22"/>
          <w:szCs w:val="22"/>
        </w:rPr>
        <w:t>a</w:t>
      </w:r>
      <w:r w:rsidRPr="00226F95">
        <w:rPr>
          <w:rFonts w:ascii="Palatino Linotype" w:eastAsia="Palatino Linotype" w:hAnsi="Palatino Linotype" w:cs="Palatino Linotype"/>
          <w:sz w:val="22"/>
          <w:szCs w:val="22"/>
        </w:rPr>
        <w:t xml:space="preserve"> </w:t>
      </w:r>
      <w:r w:rsidR="00C93E4A" w:rsidRPr="00226F95">
        <w:rPr>
          <w:rFonts w:ascii="Palatino Linotype" w:eastAsia="Palatino Linotype" w:hAnsi="Palatino Linotype" w:cs="Palatino Linotype"/>
          <w:sz w:val="22"/>
          <w:szCs w:val="22"/>
        </w:rPr>
        <w:t>Secretaría del Ayuntamiento</w:t>
      </w:r>
      <w:r w:rsidRPr="00226F95">
        <w:rPr>
          <w:rFonts w:ascii="Palatino Linotype" w:eastAsia="Palatino Linotype" w:hAnsi="Palatino Linotype" w:cs="Palatino Linotype"/>
          <w:sz w:val="22"/>
          <w:szCs w:val="22"/>
        </w:rPr>
        <w:t xml:space="preserve">, siguiendo con ello el procedimiento para la atención a las solicitudes de acceso </w:t>
      </w:r>
      <w:r w:rsidRPr="00226F95">
        <w:rPr>
          <w:rFonts w:ascii="Palatino Linotype" w:eastAsia="Palatino Linotype" w:hAnsi="Palatino Linotype" w:cs="Palatino Linotype"/>
          <w:sz w:val="22"/>
          <w:szCs w:val="22"/>
        </w:rPr>
        <w:lastRenderedPageBreak/>
        <w:t xml:space="preserve">a la información, establecido en los artículos 151, 160, 162, 163, 164, 165 y 166, de la Ley de Transparencia y Acceso a la Información Pública del Estado de México y Municipios: </w:t>
      </w:r>
    </w:p>
    <w:p w14:paraId="745A8C99" w14:textId="77777777" w:rsidR="00532BE3" w:rsidRPr="00226F95" w:rsidRDefault="00532BE3" w:rsidP="00532BE3">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50D0CD4E" w14:textId="77777777" w:rsidR="00532BE3" w:rsidRPr="00226F95" w:rsidRDefault="00532BE3" w:rsidP="00532BE3">
      <w:pPr>
        <w:spacing w:after="240" w:line="360" w:lineRule="auto"/>
        <w:ind w:left="284"/>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 Las Unidades de Transparencia de los sujetos obligados deben garantizar las medidas y condiciones de accesibilidad para que toda persona pueda ejercer el derecho de acceso a la información; por lo que, son las responsables de hacer las notificaciones correspondientes, además de llevar a cabo todas las gestiones necesarias para facilitar el acceso de la información; </w:t>
      </w:r>
    </w:p>
    <w:p w14:paraId="75610FC3" w14:textId="77777777" w:rsidR="00532BE3" w:rsidRPr="00226F95" w:rsidRDefault="00532BE3" w:rsidP="00532BE3">
      <w:pPr>
        <w:spacing w:after="240" w:line="360" w:lineRule="auto"/>
        <w:ind w:left="284"/>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 La respuesta a los requerimientos informativos, deberá notificarse al interesado en el menor tiempo posible, que no podrá exceder de quince días hábiles, contados a partir del día siguiente a la presentación de esta.  </w:t>
      </w:r>
    </w:p>
    <w:p w14:paraId="27A6914B" w14:textId="77777777" w:rsidR="00532BE3" w:rsidRPr="00226F95" w:rsidRDefault="00532BE3" w:rsidP="00532BE3">
      <w:pPr>
        <w:spacing w:after="240" w:line="360" w:lineRule="auto"/>
        <w:ind w:left="284"/>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Excepcionalmente, el plazo referido podrá ampliarse por siete días hábiles más, cuando existan razones fundadas y motivadas, a través del Comité de Transparencia; </w:t>
      </w:r>
    </w:p>
    <w:p w14:paraId="3C20C1FD" w14:textId="77777777" w:rsidR="00532BE3" w:rsidRPr="00226F95" w:rsidRDefault="00532BE3" w:rsidP="00532BE3">
      <w:pPr>
        <w:spacing w:after="240" w:line="360" w:lineRule="auto"/>
        <w:ind w:left="284"/>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 Las Unidades de Transparencia garantizarán que las solicitudes se turnen a todas las áreas competentes que cuenten con la información o deban tenerla de acuerdo a sus facultades, funciones y atribuciones, para que realicen una búsqueda exhaustiva y razonable de la documentación solicitada, con el fin de que proporcionen las expresiones documentales que se encuentren en sus archivos o que estén constreñidos a elaborar; </w:t>
      </w:r>
    </w:p>
    <w:p w14:paraId="4FBED549" w14:textId="77777777" w:rsidR="00532BE3" w:rsidRPr="00226F95" w:rsidRDefault="00532BE3" w:rsidP="00532BE3">
      <w:pPr>
        <w:spacing w:after="240" w:line="360" w:lineRule="auto"/>
        <w:ind w:left="284"/>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 El acceso se dará en la modalidad de entrega y en su caso, de envío elegido por la solicitante, cuando no pueda entregarse en dicha modalidad, el Sujeto Obligado deberá ofrecer otras; por lo cual, deberá fundar y motivar la necesidad de modificar el medio de entrega; y </w:t>
      </w:r>
    </w:p>
    <w:p w14:paraId="67092B35" w14:textId="77777777" w:rsidR="00532BE3" w:rsidRPr="00226F95" w:rsidRDefault="00532BE3" w:rsidP="00532BE3">
      <w:pPr>
        <w:spacing w:after="240" w:line="360" w:lineRule="auto"/>
        <w:ind w:left="284"/>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 Las Unidades de Transparencia, tendrán disponible la información requerida durante un plazo mínimo de sesenta días hábiles, contados a partir de que la solicitante hubiere realizado, en su caso, el pago respectivo, el cual deberá efectuarse en un plazo no mayor </w:t>
      </w:r>
      <w:r w:rsidRPr="00226F95">
        <w:rPr>
          <w:rFonts w:ascii="Palatino Linotype" w:eastAsia="Palatino Linotype" w:hAnsi="Palatino Linotype" w:cs="Palatino Linotype"/>
          <w:sz w:val="22"/>
          <w:szCs w:val="22"/>
        </w:rPr>
        <w:lastRenderedPageBreak/>
        <w:t xml:space="preserve">a treinta días hábiles; por lo que, una vez transcurrida dicha temporalidad, los Sujetos Obligados darán por concluida la solicitud y procederán de ser el caso, a la destrucción del material; </w:t>
      </w:r>
    </w:p>
    <w:p w14:paraId="65CB7A5A" w14:textId="77777777" w:rsidR="00532BE3" w:rsidRPr="00226F95" w:rsidRDefault="00532BE3" w:rsidP="00532BE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En este orden de ideas, se reitera que la Unidad de Transparencia turnó la solicitud de información al </w:t>
      </w:r>
      <w:r w:rsidR="00C93E4A" w:rsidRPr="00226F95">
        <w:rPr>
          <w:rFonts w:ascii="Palatino Linotype" w:eastAsia="Palatino Linotype" w:hAnsi="Palatino Linotype" w:cs="Palatino Linotype"/>
          <w:sz w:val="22"/>
          <w:szCs w:val="22"/>
        </w:rPr>
        <w:t>Secretario del Ayuntamiento</w:t>
      </w:r>
      <w:r w:rsidRPr="00226F95">
        <w:rPr>
          <w:rFonts w:ascii="Palatino Linotype" w:eastAsia="Palatino Linotype" w:hAnsi="Palatino Linotype" w:cs="Palatino Linotype"/>
          <w:sz w:val="22"/>
          <w:szCs w:val="22"/>
        </w:rPr>
        <w:t xml:space="preserve">, la cual cuenta con atribuciones para generar, administrar o poseer la información requerida respecto al organigrama, conforme a lo que establece el </w:t>
      </w:r>
      <w:r w:rsidR="00C93E4A" w:rsidRPr="00226F95">
        <w:rPr>
          <w:rFonts w:ascii="Palatino Linotype" w:eastAsia="Palatino Linotype" w:hAnsi="Palatino Linotype" w:cs="Palatino Linotype"/>
          <w:sz w:val="22"/>
          <w:szCs w:val="22"/>
        </w:rPr>
        <w:t>Bando Municipal y la Ley Orgánica Municipal del Estado de México</w:t>
      </w:r>
      <w:r w:rsidRPr="00226F95">
        <w:rPr>
          <w:rFonts w:ascii="Palatino Linotype" w:eastAsia="Palatino Linotype" w:hAnsi="Palatino Linotype" w:cs="Palatino Linotype"/>
          <w:sz w:val="22"/>
          <w:szCs w:val="22"/>
        </w:rPr>
        <w:t>, con lo que se acreditó que se realizó una correcta búsqueda exhaustiva y razonable de la información.</w:t>
      </w:r>
    </w:p>
    <w:p w14:paraId="4A21B054" w14:textId="77777777" w:rsidR="00532BE3" w:rsidRPr="00226F95" w:rsidRDefault="00532BE3" w:rsidP="00532BE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097653FF" w14:textId="77777777" w:rsidR="00532BE3" w:rsidRPr="00226F95" w:rsidRDefault="00532BE3" w:rsidP="00532BE3">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Dicho lo anterior, es necesario indicar que el Servidor Público Habilitado refirió lo siguiente: </w:t>
      </w:r>
    </w:p>
    <w:p w14:paraId="1B810A12" w14:textId="77777777" w:rsidR="00532BE3" w:rsidRPr="00226F95" w:rsidRDefault="003C3166" w:rsidP="00532BE3">
      <w:pPr>
        <w:pBdr>
          <w:top w:val="nil"/>
          <w:left w:val="nil"/>
          <w:bottom w:val="nil"/>
          <w:right w:val="nil"/>
          <w:between w:val="nil"/>
        </w:pBdr>
        <w:spacing w:line="360" w:lineRule="auto"/>
        <w:jc w:val="center"/>
        <w:rPr>
          <w:rFonts w:ascii="Palatino Linotype" w:eastAsia="Palatino Linotype" w:hAnsi="Palatino Linotype" w:cs="Palatino Linotype"/>
          <w:sz w:val="22"/>
          <w:szCs w:val="22"/>
        </w:rPr>
      </w:pPr>
      <w:r w:rsidRPr="00226F95">
        <w:rPr>
          <w:rFonts w:ascii="Palatino Linotype" w:eastAsia="Palatino Linotype" w:hAnsi="Palatino Linotype" w:cs="Palatino Linotype"/>
          <w:noProof/>
          <w:sz w:val="22"/>
          <w:szCs w:val="22"/>
          <w:lang w:val="es-MX"/>
        </w:rPr>
        <w:drawing>
          <wp:inline distT="0" distB="0" distL="0" distR="0" wp14:anchorId="727546F9" wp14:editId="5CBA5CBA">
            <wp:extent cx="4951563" cy="4690482"/>
            <wp:effectExtent l="0" t="0" r="190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015436" cy="4750987"/>
                    </a:xfrm>
                    <a:prstGeom prst="rect">
                      <a:avLst/>
                    </a:prstGeom>
                  </pic:spPr>
                </pic:pic>
              </a:graphicData>
            </a:graphic>
          </wp:inline>
        </w:drawing>
      </w:r>
    </w:p>
    <w:p w14:paraId="406C235D" w14:textId="77777777" w:rsidR="003C3166" w:rsidRPr="00226F95" w:rsidRDefault="00532BE3" w:rsidP="00532BE3">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lastRenderedPageBreak/>
        <w:t>Tal y como se aprecia,</w:t>
      </w:r>
      <w:r w:rsidR="003C3166" w:rsidRPr="00226F95">
        <w:rPr>
          <w:rFonts w:ascii="Palatino Linotype" w:eastAsia="Palatino Linotype" w:hAnsi="Palatino Linotype" w:cs="Palatino Linotype"/>
          <w:sz w:val="22"/>
          <w:szCs w:val="22"/>
        </w:rPr>
        <w:t xml:space="preserve"> la información proporcionada corresponde con la información que requirió el particular; sin embargo, como lo señaló el Recurrente, la información resulta ilegible, impidiendo que se conozca a detalle el nombre de las unidades administrativa</w:t>
      </w:r>
      <w:r w:rsidR="00194BB1" w:rsidRPr="00226F95">
        <w:rPr>
          <w:rFonts w:ascii="Palatino Linotype" w:eastAsia="Palatino Linotype" w:hAnsi="Palatino Linotype" w:cs="Palatino Linotype"/>
          <w:sz w:val="22"/>
          <w:szCs w:val="22"/>
        </w:rPr>
        <w:t>s, por lo que, hasta este punto, resultan parciales los motivos o razones de inconformidad hechos valer por el Recurrente.</w:t>
      </w:r>
    </w:p>
    <w:p w14:paraId="75F2C61B" w14:textId="77777777" w:rsidR="00194BB1" w:rsidRPr="00226F95" w:rsidRDefault="00194BB1" w:rsidP="00194BB1">
      <w:pPr>
        <w:pStyle w:val="NormalWeb"/>
        <w:spacing w:before="360" w:beforeAutospacing="0" w:after="240" w:afterAutospacing="0" w:line="360" w:lineRule="auto"/>
        <w:ind w:right="142"/>
        <w:jc w:val="both"/>
        <w:rPr>
          <w:sz w:val="22"/>
          <w:szCs w:val="22"/>
        </w:rPr>
      </w:pPr>
      <w:r w:rsidRPr="00226F95">
        <w:rPr>
          <w:rFonts w:ascii="Palatino Linotype" w:hAnsi="Palatino Linotype"/>
          <w:sz w:val="22"/>
          <w:szCs w:val="22"/>
        </w:rPr>
        <w:t>Bajo ese tenor no se pasa por alto que el hacer entrega de un documento cuya información se encuentre ilegible, deja en total incertidumbre al particular, violentando con su respuesta el Derecho de Acceso a la Información. </w:t>
      </w:r>
    </w:p>
    <w:p w14:paraId="7DA6DDAF" w14:textId="77777777" w:rsidR="00194BB1" w:rsidRPr="00226F95" w:rsidRDefault="00194BB1" w:rsidP="00194BB1">
      <w:pPr>
        <w:pStyle w:val="NormalWeb"/>
        <w:spacing w:before="360" w:beforeAutospacing="0" w:after="240" w:afterAutospacing="0" w:line="360" w:lineRule="auto"/>
        <w:ind w:right="142"/>
        <w:jc w:val="both"/>
        <w:rPr>
          <w:sz w:val="22"/>
          <w:szCs w:val="22"/>
        </w:rPr>
      </w:pPr>
      <w:r w:rsidRPr="00226F95">
        <w:rPr>
          <w:rFonts w:ascii="Palatino Linotype" w:hAnsi="Palatino Linotype"/>
          <w:sz w:val="22"/>
          <w:szCs w:val="22"/>
        </w:rPr>
        <w:t xml:space="preserve">Es decir, la información documental que entregue el </w:t>
      </w:r>
      <w:r w:rsidRPr="00226F95">
        <w:rPr>
          <w:rFonts w:ascii="Palatino Linotype" w:hAnsi="Palatino Linotype"/>
          <w:b/>
          <w:bCs/>
          <w:sz w:val="22"/>
          <w:szCs w:val="22"/>
        </w:rPr>
        <w:t>SUJETO OBLIGADO</w:t>
      </w:r>
      <w:r w:rsidRPr="00226F95">
        <w:rPr>
          <w:rFonts w:ascii="Palatino Linotype" w:hAnsi="Palatino Linotype"/>
          <w:sz w:val="22"/>
          <w:szCs w:val="22"/>
        </w:rPr>
        <w:t xml:space="preserve"> debe ser clara, entendible y legible, esto con la finalidad de que pueda ser verificada la información contenida en los documentos proporcionados, ya que de lo contrario se incumple el principio de accesibilidad, lo que constituye una restricción indirecta al Derecho de Acceso a la Información Pública.</w:t>
      </w:r>
    </w:p>
    <w:p w14:paraId="059387BA" w14:textId="77777777" w:rsidR="00194BB1" w:rsidRPr="00226F95" w:rsidRDefault="00194BB1" w:rsidP="00194BB1">
      <w:pPr>
        <w:pStyle w:val="NormalWeb"/>
        <w:spacing w:before="360" w:beforeAutospacing="0" w:after="240" w:afterAutospacing="0" w:line="360" w:lineRule="auto"/>
        <w:ind w:right="142"/>
        <w:jc w:val="both"/>
        <w:rPr>
          <w:sz w:val="22"/>
          <w:szCs w:val="22"/>
        </w:rPr>
      </w:pPr>
      <w:r w:rsidRPr="00226F95">
        <w:rPr>
          <w:rFonts w:ascii="Palatino Linotype" w:hAnsi="Palatino Linotype"/>
          <w:sz w:val="22"/>
          <w:szCs w:val="22"/>
        </w:rPr>
        <w:t>Sirve de apoyo a lo anterior como criterio orientador la tesis número II. 1°. C.T. 55 C, publicada en el Semanario Judicial de la Federación y su Gaceta bajo el número de3 registro 201,412, que a la letra dice:</w:t>
      </w:r>
    </w:p>
    <w:p w14:paraId="07CA9582" w14:textId="77777777" w:rsidR="00194BB1" w:rsidRPr="00226F95" w:rsidRDefault="00194BB1" w:rsidP="00194BB1">
      <w:pPr>
        <w:pStyle w:val="NormalWeb"/>
        <w:spacing w:before="0" w:beforeAutospacing="0" w:after="0" w:afterAutospacing="0" w:line="360" w:lineRule="auto"/>
        <w:ind w:left="851" w:right="851"/>
        <w:jc w:val="both"/>
        <w:rPr>
          <w:sz w:val="22"/>
          <w:szCs w:val="22"/>
        </w:rPr>
      </w:pPr>
      <w:r w:rsidRPr="00226F95">
        <w:rPr>
          <w:rFonts w:ascii="Palatino Linotype" w:hAnsi="Palatino Linotype"/>
          <w:i/>
          <w:iCs/>
          <w:sz w:val="22"/>
          <w:szCs w:val="22"/>
        </w:rPr>
        <w:t>“</w:t>
      </w:r>
      <w:r w:rsidRPr="00226F95">
        <w:rPr>
          <w:rFonts w:ascii="Palatino Linotype" w:hAnsi="Palatino Linotype"/>
          <w:b/>
          <w:i/>
          <w:iCs/>
          <w:sz w:val="22"/>
          <w:szCs w:val="22"/>
        </w:rPr>
        <w:t>COTEJO DE COPIAS FOTOSTÁTICAS ILEGIBLES. AL NO SER POSIBLE CONSTATAR SU AUTENTICIDAD ES INÚTIL E INTRASCENDENTE SU PERFECCIONAMIENTO, POR LO QUE LA JUNTA ESTÁ IMPEDIDA PARA ORDENAR SU DESAHOGO.</w:t>
      </w:r>
      <w:r w:rsidRPr="00226F95">
        <w:rPr>
          <w:rFonts w:ascii="Palatino Linotype" w:hAnsi="Palatino Linotype"/>
          <w:i/>
          <w:iCs/>
          <w:sz w:val="22"/>
          <w:szCs w:val="22"/>
        </w:rPr>
        <w:t xml:space="preserve"> Cuando alguna de las partes en el juicio laboral ofrece como prueba algún documento en copia fotostática y su perfeccionamiento por medio del cotejo con su original, la Junta estará impedida para ordenar su desahogo, si el texto de esas reproducciones fotostáticas es ilegible en alguna de sus partes, toda vez que el actuario no podrá </w:t>
      </w:r>
      <w:r w:rsidRPr="00226F95">
        <w:rPr>
          <w:rFonts w:ascii="Palatino Linotype" w:hAnsi="Palatino Linotype"/>
          <w:i/>
          <w:iCs/>
          <w:sz w:val="22"/>
          <w:szCs w:val="22"/>
        </w:rPr>
        <w:lastRenderedPageBreak/>
        <w:t>constatar, a través de sus sentidos, si concuerdan o no las copias aportadas al sumario con sus originales, pues no es posible que en caso de que la parte legible de esas reproducciones resulte igual que sus originales y, que por ese hecho, considerara lo mismo respecto de la otra parte a la que no puede dar lectura, dado que es ilegible; por tanto, al ser imposible constatar su autenticidad por medio del citado perfeccionamiento, dicha probanza se torna inútil e intrascendente, conforme al artículo 779 de la Ley Federal del Trabajo.”(Sic)</w:t>
      </w:r>
    </w:p>
    <w:p w14:paraId="01D652C7" w14:textId="77777777" w:rsidR="00194BB1" w:rsidRPr="00226F95" w:rsidRDefault="00194BB1" w:rsidP="00194BB1">
      <w:pPr>
        <w:pStyle w:val="NormalWeb"/>
        <w:spacing w:before="360" w:beforeAutospacing="0" w:after="240" w:afterAutospacing="0" w:line="360" w:lineRule="auto"/>
        <w:ind w:right="142"/>
        <w:jc w:val="both"/>
        <w:rPr>
          <w:sz w:val="22"/>
          <w:szCs w:val="22"/>
        </w:rPr>
      </w:pPr>
      <w:r w:rsidRPr="00226F95">
        <w:rPr>
          <w:rFonts w:ascii="Palatino Linotype" w:hAnsi="Palatino Linotype"/>
          <w:sz w:val="22"/>
          <w:szCs w:val="22"/>
        </w:rPr>
        <w:t xml:space="preserve">En conclusión, el </w:t>
      </w:r>
      <w:r w:rsidRPr="00226F95">
        <w:rPr>
          <w:rFonts w:ascii="Palatino Linotype" w:hAnsi="Palatino Linotype"/>
          <w:b/>
          <w:bCs/>
          <w:sz w:val="22"/>
          <w:szCs w:val="22"/>
        </w:rPr>
        <w:t>SUJETO OBLIGADO</w:t>
      </w:r>
      <w:r w:rsidRPr="00226F95">
        <w:rPr>
          <w:rFonts w:ascii="Palatino Linotype" w:hAnsi="Palatino Linotype"/>
          <w:sz w:val="22"/>
          <w:szCs w:val="22"/>
        </w:rPr>
        <w:t xml:space="preserve"> al momento en que dé respuesta a cualquier solicitud de acceso a la información deberá revisar y verificar que la documentación que remitió en su respuesta y que resultó ilegible o indebidamente escaneada, sea entregada de manera adecuada, para que este Instituto tenga por satisfecho el derecho de acceso a la información ejercido por la parte </w:t>
      </w:r>
      <w:r w:rsidRPr="00226F95">
        <w:rPr>
          <w:rFonts w:ascii="Palatino Linotype" w:hAnsi="Palatino Linotype"/>
          <w:b/>
          <w:bCs/>
          <w:sz w:val="22"/>
          <w:szCs w:val="22"/>
        </w:rPr>
        <w:t>RECURRENTE</w:t>
      </w:r>
      <w:r w:rsidRPr="00226F95">
        <w:rPr>
          <w:rFonts w:ascii="Palatino Linotype" w:hAnsi="Palatino Linotype"/>
          <w:sz w:val="22"/>
          <w:szCs w:val="22"/>
        </w:rPr>
        <w:t>.</w:t>
      </w:r>
    </w:p>
    <w:p w14:paraId="163258C3" w14:textId="77777777" w:rsidR="00194BB1" w:rsidRPr="00226F95" w:rsidRDefault="00194BB1" w:rsidP="00194BB1">
      <w:pPr>
        <w:pStyle w:val="NormalWeb"/>
        <w:spacing w:before="0" w:beforeAutospacing="0" w:after="0" w:afterAutospacing="0" w:line="360" w:lineRule="auto"/>
        <w:jc w:val="both"/>
        <w:rPr>
          <w:sz w:val="22"/>
          <w:szCs w:val="22"/>
        </w:rPr>
      </w:pPr>
      <w:r w:rsidRPr="00226F95">
        <w:rPr>
          <w:rFonts w:ascii="Palatino Linotype" w:hAnsi="Palatino Linotype"/>
          <w:sz w:val="22"/>
          <w:szCs w:val="22"/>
        </w:rPr>
        <w:t xml:space="preserve">Ahora bien y toda vez que la inconformidad de la parte </w:t>
      </w:r>
      <w:r w:rsidRPr="00226F95">
        <w:rPr>
          <w:rFonts w:ascii="Palatino Linotype" w:hAnsi="Palatino Linotype"/>
          <w:b/>
          <w:bCs/>
          <w:sz w:val="22"/>
          <w:szCs w:val="22"/>
        </w:rPr>
        <w:t>RECURRENTE,</w:t>
      </w:r>
      <w:r w:rsidRPr="00226F95">
        <w:rPr>
          <w:rFonts w:ascii="Palatino Linotype" w:hAnsi="Palatino Linotype"/>
          <w:sz w:val="22"/>
          <w:szCs w:val="22"/>
        </w:rPr>
        <w:t xml:space="preserve"> versa sobre que la información entregada en respuesta no garantiza lo establecido por el artículo 11 de la Ley de la Materia, que señala:</w:t>
      </w:r>
    </w:p>
    <w:p w14:paraId="2483FAB9" w14:textId="77777777" w:rsidR="00194BB1" w:rsidRPr="00226F95" w:rsidRDefault="00194BB1" w:rsidP="00194BB1">
      <w:pPr>
        <w:pStyle w:val="NormalWeb"/>
        <w:spacing w:before="240" w:beforeAutospacing="0" w:after="240" w:afterAutospacing="0" w:line="360" w:lineRule="auto"/>
        <w:ind w:left="851" w:right="900"/>
        <w:jc w:val="both"/>
        <w:rPr>
          <w:sz w:val="22"/>
          <w:szCs w:val="22"/>
        </w:rPr>
      </w:pPr>
      <w:r w:rsidRPr="00226F95">
        <w:rPr>
          <w:rFonts w:ascii="Palatino Linotype" w:hAnsi="Palatino Linotype"/>
          <w:i/>
          <w:iCs/>
          <w:sz w:val="22"/>
          <w:szCs w:val="22"/>
        </w:rPr>
        <w:t>“Artículo 11. En la generación, publicación y entrega de información se deberá garantizar que ésta sea accesible, actualizada, completa, congruente, confiable, verificable, veraz, integral, oportuna y expedita, sujeta a un claro régimen de excepciones que deberá estar definido y ser además legítima y estrictamente necesaria en una sociedad democrática, por lo que atenderá las necesidades del derecho de acceso a la información de toda persona. </w:t>
      </w:r>
    </w:p>
    <w:p w14:paraId="7636596E" w14:textId="77777777" w:rsidR="00194BB1" w:rsidRPr="00226F95" w:rsidRDefault="00194BB1" w:rsidP="00194BB1">
      <w:pPr>
        <w:pStyle w:val="NormalWeb"/>
        <w:spacing w:before="240" w:beforeAutospacing="0" w:after="240" w:afterAutospacing="0" w:line="360" w:lineRule="auto"/>
        <w:ind w:left="851" w:right="900"/>
        <w:jc w:val="both"/>
        <w:rPr>
          <w:sz w:val="22"/>
          <w:szCs w:val="22"/>
        </w:rPr>
      </w:pPr>
      <w:r w:rsidRPr="00226F95">
        <w:rPr>
          <w:rFonts w:ascii="Palatino Linotype" w:hAnsi="Palatino Linotype"/>
          <w:i/>
          <w:iCs/>
          <w:sz w:val="22"/>
          <w:szCs w:val="22"/>
        </w:rPr>
        <w:t xml:space="preserve">Los sujetos obligados garantizarán, en todo momento, que la información generada tenga un lenguaje sencillo para cualquier persona y, en los casos en que así se requiera, realizarán las gestiones necesarias para contar con la traducción </w:t>
      </w:r>
      <w:r w:rsidRPr="00226F95">
        <w:rPr>
          <w:rFonts w:ascii="Palatino Linotype" w:hAnsi="Palatino Linotype"/>
          <w:i/>
          <w:iCs/>
          <w:sz w:val="22"/>
          <w:szCs w:val="22"/>
        </w:rPr>
        <w:lastRenderedPageBreak/>
        <w:t>a lenguas indígenas, principalmente cuando se trate de aquellas residentes en el Estado de México.” (Sic)</w:t>
      </w:r>
    </w:p>
    <w:p w14:paraId="1E11C314" w14:textId="77777777" w:rsidR="00194BB1" w:rsidRPr="00226F95" w:rsidRDefault="00194BB1" w:rsidP="00194BB1">
      <w:pPr>
        <w:pStyle w:val="NormalWeb"/>
        <w:spacing w:before="0" w:beforeAutospacing="0" w:after="0" w:afterAutospacing="0" w:line="360" w:lineRule="auto"/>
        <w:jc w:val="both"/>
        <w:rPr>
          <w:rFonts w:ascii="Palatino Linotype" w:hAnsi="Palatino Linotype"/>
          <w:sz w:val="22"/>
          <w:szCs w:val="22"/>
        </w:rPr>
      </w:pPr>
      <w:r w:rsidRPr="00226F95">
        <w:rPr>
          <w:rFonts w:ascii="Palatino Linotype" w:hAnsi="Palatino Linotype"/>
          <w:sz w:val="22"/>
          <w:szCs w:val="22"/>
        </w:rPr>
        <w:t>Entonces, al haberse determinado que la respuesta no satisface los requerimientos del particular por el hecho de que no permite conocer su contenido al corresponder a documentos ilegibles, se determina ordenar la entrega del organigrama remitido en respuesta de forma legible.</w:t>
      </w:r>
    </w:p>
    <w:p w14:paraId="2A75A252" w14:textId="77777777" w:rsidR="00021CF1" w:rsidRPr="00226F95" w:rsidRDefault="00021CF1" w:rsidP="00194BB1">
      <w:pPr>
        <w:pStyle w:val="NormalWeb"/>
        <w:spacing w:before="0" w:beforeAutospacing="0" w:after="0" w:afterAutospacing="0" w:line="360" w:lineRule="auto"/>
        <w:jc w:val="both"/>
        <w:rPr>
          <w:rFonts w:ascii="Palatino Linotype" w:hAnsi="Palatino Linotype"/>
          <w:sz w:val="22"/>
          <w:szCs w:val="22"/>
        </w:rPr>
      </w:pPr>
    </w:p>
    <w:p w14:paraId="20EFCF8E" w14:textId="77777777" w:rsidR="00003AD2" w:rsidRPr="00226F95" w:rsidRDefault="00C82866">
      <w:pPr>
        <w:spacing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Es así como, en mérito de lo expuesto en líneas anteriores, resultan fundadas las razones o motivos de inconformidad hechos valer por la parte </w:t>
      </w:r>
      <w:r w:rsidRPr="00226F95">
        <w:rPr>
          <w:rFonts w:ascii="Palatino Linotype" w:eastAsia="Palatino Linotype" w:hAnsi="Palatino Linotype" w:cs="Palatino Linotype"/>
          <w:b/>
          <w:sz w:val="22"/>
          <w:szCs w:val="22"/>
        </w:rPr>
        <w:t>RECURRENTE</w:t>
      </w:r>
      <w:r w:rsidRPr="00226F95">
        <w:rPr>
          <w:rFonts w:ascii="Palatino Linotype" w:eastAsia="Palatino Linotype" w:hAnsi="Palatino Linotype" w:cs="Palatino Linotype"/>
          <w:sz w:val="22"/>
          <w:szCs w:val="22"/>
        </w:rPr>
        <w:t xml:space="preserve"> dentro del recurso de revisión </w:t>
      </w:r>
      <w:r w:rsidR="003D5A40" w:rsidRPr="00226F95">
        <w:rPr>
          <w:rFonts w:ascii="Palatino Linotype" w:eastAsia="Palatino Linotype" w:hAnsi="Palatino Linotype" w:cs="Palatino Linotype"/>
          <w:b/>
          <w:sz w:val="22"/>
          <w:szCs w:val="22"/>
        </w:rPr>
        <w:t>00759/INFOEM/IP/RR/2025</w:t>
      </w:r>
      <w:r w:rsidRPr="00226F95">
        <w:rPr>
          <w:rFonts w:ascii="Palatino Linotype" w:eastAsia="Palatino Linotype" w:hAnsi="Palatino Linotype" w:cs="Palatino Linotype"/>
          <w:sz w:val="22"/>
          <w:szCs w:val="22"/>
        </w:rPr>
        <w:t xml:space="preserve">; por ello, y con fundamento en la fracción III del numeral 186 de la Ley de Transparencia y Acceso a la Información Pública del Estado de México y Municipios, por lo que se </w:t>
      </w:r>
      <w:r w:rsidR="003D5A40" w:rsidRPr="00226F95">
        <w:rPr>
          <w:rFonts w:ascii="Palatino Linotype" w:eastAsia="Palatino Linotype" w:hAnsi="Palatino Linotype" w:cs="Palatino Linotype"/>
          <w:b/>
          <w:sz w:val="22"/>
          <w:szCs w:val="22"/>
        </w:rPr>
        <w:t>MODIFICA</w:t>
      </w:r>
      <w:r w:rsidRPr="00226F95">
        <w:rPr>
          <w:rFonts w:ascii="Palatino Linotype" w:eastAsia="Palatino Linotype" w:hAnsi="Palatino Linotype" w:cs="Palatino Linotype"/>
          <w:b/>
          <w:sz w:val="22"/>
          <w:szCs w:val="22"/>
        </w:rPr>
        <w:t xml:space="preserve"> </w:t>
      </w:r>
      <w:r w:rsidRPr="00226F95">
        <w:rPr>
          <w:rFonts w:ascii="Palatino Linotype" w:eastAsia="Palatino Linotype" w:hAnsi="Palatino Linotype" w:cs="Palatino Linotype"/>
          <w:sz w:val="22"/>
          <w:szCs w:val="22"/>
        </w:rPr>
        <w:t xml:space="preserve">la respuesta del </w:t>
      </w:r>
      <w:r w:rsidRPr="00226F95">
        <w:rPr>
          <w:rFonts w:ascii="Palatino Linotype" w:eastAsia="Palatino Linotype" w:hAnsi="Palatino Linotype" w:cs="Palatino Linotype"/>
          <w:b/>
          <w:sz w:val="22"/>
          <w:szCs w:val="22"/>
        </w:rPr>
        <w:t xml:space="preserve">SUJETO OBLIGADO </w:t>
      </w:r>
      <w:r w:rsidRPr="00226F95">
        <w:rPr>
          <w:rFonts w:ascii="Palatino Linotype" w:eastAsia="Palatino Linotype" w:hAnsi="Palatino Linotype" w:cs="Palatino Linotype"/>
          <w:sz w:val="22"/>
          <w:szCs w:val="22"/>
        </w:rPr>
        <w:t xml:space="preserve">a la solicitud de información </w:t>
      </w:r>
      <w:r w:rsidRPr="00226F95">
        <w:rPr>
          <w:rFonts w:ascii="Palatino Linotype" w:eastAsia="Palatino Linotype" w:hAnsi="Palatino Linotype" w:cs="Palatino Linotype"/>
          <w:b/>
          <w:sz w:val="22"/>
          <w:szCs w:val="22"/>
        </w:rPr>
        <w:t xml:space="preserve"> </w:t>
      </w:r>
      <w:r w:rsidR="003D5A40" w:rsidRPr="00226F95">
        <w:rPr>
          <w:rFonts w:ascii="Palatino Linotype" w:eastAsia="Palatino Linotype" w:hAnsi="Palatino Linotype" w:cs="Palatino Linotype"/>
          <w:b/>
          <w:sz w:val="22"/>
          <w:szCs w:val="22"/>
        </w:rPr>
        <w:t>00014/COCOTIT/IP/2025</w:t>
      </w:r>
      <w:r w:rsidRPr="00226F95">
        <w:rPr>
          <w:rFonts w:ascii="Palatino Linotype" w:eastAsia="Palatino Linotype" w:hAnsi="Palatino Linotype" w:cs="Palatino Linotype"/>
          <w:b/>
          <w:sz w:val="22"/>
          <w:szCs w:val="22"/>
        </w:rPr>
        <w:t>.</w:t>
      </w:r>
      <w:r w:rsidRPr="00226F95">
        <w:rPr>
          <w:rFonts w:ascii="Palatino Linotype" w:eastAsia="Palatino Linotype" w:hAnsi="Palatino Linotype" w:cs="Palatino Linotype"/>
          <w:sz w:val="22"/>
          <w:szCs w:val="22"/>
        </w:rPr>
        <w:t xml:space="preserve">  </w:t>
      </w:r>
    </w:p>
    <w:p w14:paraId="2AFA327C" w14:textId="77777777" w:rsidR="00003AD2" w:rsidRPr="00226F95" w:rsidRDefault="00003AD2">
      <w:pPr>
        <w:spacing w:line="360" w:lineRule="auto"/>
        <w:ind w:right="49"/>
        <w:jc w:val="both"/>
        <w:rPr>
          <w:rFonts w:ascii="Palatino Linotype" w:eastAsia="Palatino Linotype" w:hAnsi="Palatino Linotype" w:cs="Palatino Linotype"/>
          <w:sz w:val="22"/>
          <w:szCs w:val="22"/>
        </w:rPr>
      </w:pPr>
    </w:p>
    <w:p w14:paraId="5B6F85DA" w14:textId="77777777" w:rsidR="00003AD2" w:rsidRPr="00226F95" w:rsidRDefault="00C82866">
      <w:pPr>
        <w:numPr>
          <w:ilvl w:val="0"/>
          <w:numId w:val="2"/>
        </w:numPr>
        <w:pBdr>
          <w:top w:val="nil"/>
          <w:left w:val="nil"/>
          <w:bottom w:val="nil"/>
          <w:right w:val="nil"/>
          <w:between w:val="nil"/>
        </w:pBdr>
        <w:spacing w:before="240" w:after="240" w:line="360" w:lineRule="auto"/>
        <w:jc w:val="center"/>
        <w:rPr>
          <w:rFonts w:ascii="Palatino Linotype" w:eastAsia="Palatino Linotype" w:hAnsi="Palatino Linotype" w:cs="Palatino Linotype"/>
          <w:b/>
          <w:sz w:val="22"/>
          <w:szCs w:val="22"/>
        </w:rPr>
      </w:pPr>
      <w:r w:rsidRPr="00226F95">
        <w:rPr>
          <w:rFonts w:ascii="Palatino Linotype" w:eastAsia="Palatino Linotype" w:hAnsi="Palatino Linotype" w:cs="Palatino Linotype"/>
          <w:b/>
          <w:sz w:val="22"/>
          <w:szCs w:val="22"/>
        </w:rPr>
        <w:t>R E S U E L V E:</w:t>
      </w:r>
    </w:p>
    <w:p w14:paraId="606EEEFC"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Primero. </w:t>
      </w:r>
      <w:r w:rsidRPr="00226F95">
        <w:rPr>
          <w:rFonts w:ascii="Palatino Linotype" w:eastAsia="Palatino Linotype" w:hAnsi="Palatino Linotype" w:cs="Palatino Linotype"/>
          <w:sz w:val="22"/>
          <w:szCs w:val="22"/>
        </w:rPr>
        <w:t xml:space="preserve">Resultan </w:t>
      </w:r>
      <w:r w:rsidRPr="00226F95">
        <w:rPr>
          <w:rFonts w:ascii="Palatino Linotype" w:eastAsia="Palatino Linotype" w:hAnsi="Palatino Linotype" w:cs="Palatino Linotype"/>
          <w:b/>
          <w:sz w:val="22"/>
          <w:szCs w:val="22"/>
        </w:rPr>
        <w:t>fundadas</w:t>
      </w:r>
      <w:r w:rsidRPr="00226F95">
        <w:rPr>
          <w:rFonts w:ascii="Palatino Linotype" w:eastAsia="Palatino Linotype" w:hAnsi="Palatino Linotype" w:cs="Palatino Linotype"/>
          <w:sz w:val="22"/>
          <w:szCs w:val="22"/>
        </w:rPr>
        <w:t xml:space="preserve"> las razones o motivos de inconformidad hechos valer por </w:t>
      </w:r>
      <w:r w:rsidRPr="00226F95">
        <w:rPr>
          <w:rFonts w:ascii="Palatino Linotype" w:eastAsia="Palatino Linotype" w:hAnsi="Palatino Linotype" w:cs="Palatino Linotype"/>
          <w:b/>
          <w:sz w:val="22"/>
          <w:szCs w:val="22"/>
        </w:rPr>
        <w:t>la parte Recurrente</w:t>
      </w:r>
      <w:r w:rsidRPr="00226F95">
        <w:rPr>
          <w:rFonts w:ascii="Palatino Linotype" w:eastAsia="Palatino Linotype" w:hAnsi="Palatino Linotype" w:cs="Palatino Linotype"/>
          <w:sz w:val="22"/>
          <w:szCs w:val="22"/>
        </w:rPr>
        <w:t xml:space="preserve"> en el recurso de revisión </w:t>
      </w:r>
      <w:r w:rsidR="003D5A40" w:rsidRPr="00226F95">
        <w:rPr>
          <w:rFonts w:ascii="Palatino Linotype" w:eastAsia="Palatino Linotype" w:hAnsi="Palatino Linotype" w:cs="Palatino Linotype"/>
          <w:b/>
          <w:sz w:val="22"/>
          <w:szCs w:val="22"/>
        </w:rPr>
        <w:t>00759/INFOEM/IP/RR/2025</w:t>
      </w:r>
      <w:r w:rsidRPr="00226F95">
        <w:rPr>
          <w:rFonts w:ascii="Palatino Linotype" w:eastAsia="Palatino Linotype" w:hAnsi="Palatino Linotype" w:cs="Palatino Linotype"/>
          <w:sz w:val="22"/>
          <w:szCs w:val="22"/>
        </w:rPr>
        <w:t xml:space="preserve">; por lo que, en términos del </w:t>
      </w:r>
      <w:r w:rsidRPr="00226F95">
        <w:rPr>
          <w:rFonts w:ascii="Palatino Linotype" w:eastAsia="Palatino Linotype" w:hAnsi="Palatino Linotype" w:cs="Palatino Linotype"/>
          <w:b/>
          <w:sz w:val="22"/>
          <w:szCs w:val="22"/>
        </w:rPr>
        <w:t>Considerando</w:t>
      </w:r>
      <w:r w:rsidRPr="00226F95">
        <w:rPr>
          <w:rFonts w:ascii="Palatino Linotype" w:eastAsia="Palatino Linotype" w:hAnsi="Palatino Linotype" w:cs="Palatino Linotype"/>
          <w:sz w:val="22"/>
          <w:szCs w:val="22"/>
        </w:rPr>
        <w:t xml:space="preserve"> </w:t>
      </w:r>
      <w:r w:rsidRPr="00226F95">
        <w:rPr>
          <w:rFonts w:ascii="Palatino Linotype" w:eastAsia="Palatino Linotype" w:hAnsi="Palatino Linotype" w:cs="Palatino Linotype"/>
          <w:b/>
          <w:sz w:val="22"/>
          <w:szCs w:val="22"/>
        </w:rPr>
        <w:t xml:space="preserve">Cuarto </w:t>
      </w:r>
      <w:r w:rsidRPr="00226F95">
        <w:rPr>
          <w:rFonts w:ascii="Palatino Linotype" w:eastAsia="Palatino Linotype" w:hAnsi="Palatino Linotype" w:cs="Palatino Linotype"/>
          <w:sz w:val="22"/>
          <w:szCs w:val="22"/>
        </w:rPr>
        <w:t xml:space="preserve">de esta resolución, se </w:t>
      </w:r>
      <w:r w:rsidR="003D5A40" w:rsidRPr="00226F95">
        <w:rPr>
          <w:rFonts w:ascii="Palatino Linotype" w:eastAsia="Palatino Linotype" w:hAnsi="Palatino Linotype" w:cs="Palatino Linotype"/>
          <w:b/>
          <w:sz w:val="22"/>
          <w:szCs w:val="22"/>
        </w:rPr>
        <w:t>MODIFICA</w:t>
      </w:r>
      <w:r w:rsidRPr="00226F95">
        <w:rPr>
          <w:rFonts w:ascii="Palatino Linotype" w:eastAsia="Palatino Linotype" w:hAnsi="Palatino Linotype" w:cs="Palatino Linotype"/>
          <w:b/>
          <w:sz w:val="22"/>
          <w:szCs w:val="22"/>
        </w:rPr>
        <w:t xml:space="preserve"> </w:t>
      </w:r>
      <w:r w:rsidRPr="00226F95">
        <w:rPr>
          <w:rFonts w:ascii="Palatino Linotype" w:eastAsia="Palatino Linotype" w:hAnsi="Palatino Linotype" w:cs="Palatino Linotype"/>
          <w:sz w:val="22"/>
          <w:szCs w:val="22"/>
        </w:rPr>
        <w:t xml:space="preserve">la respuesta emitida por el </w:t>
      </w:r>
      <w:r w:rsidRPr="00226F95">
        <w:rPr>
          <w:rFonts w:ascii="Palatino Linotype" w:eastAsia="Palatino Linotype" w:hAnsi="Palatino Linotype" w:cs="Palatino Linotype"/>
          <w:b/>
          <w:sz w:val="22"/>
          <w:szCs w:val="22"/>
        </w:rPr>
        <w:t xml:space="preserve">Sujeto Obligado.  </w:t>
      </w:r>
    </w:p>
    <w:p w14:paraId="1AD31DE1"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bookmarkStart w:id="4" w:name="_heading=h.lnxbz9" w:colFirst="0" w:colLast="0"/>
      <w:bookmarkEnd w:id="4"/>
      <w:r w:rsidRPr="00226F95">
        <w:rPr>
          <w:rFonts w:ascii="Palatino Linotype" w:eastAsia="Palatino Linotype" w:hAnsi="Palatino Linotype" w:cs="Palatino Linotype"/>
          <w:b/>
          <w:sz w:val="22"/>
          <w:szCs w:val="22"/>
        </w:rPr>
        <w:t xml:space="preserve">Segundo. </w:t>
      </w:r>
      <w:r w:rsidRPr="00226F95">
        <w:rPr>
          <w:rFonts w:ascii="Palatino Linotype" w:eastAsia="Palatino Linotype" w:hAnsi="Palatino Linotype" w:cs="Palatino Linotype"/>
          <w:sz w:val="22"/>
          <w:szCs w:val="22"/>
        </w:rPr>
        <w:t xml:space="preserve">Se </w:t>
      </w:r>
      <w:r w:rsidRPr="00226F95">
        <w:rPr>
          <w:rFonts w:ascii="Palatino Linotype" w:eastAsia="Palatino Linotype" w:hAnsi="Palatino Linotype" w:cs="Palatino Linotype"/>
          <w:b/>
          <w:sz w:val="22"/>
          <w:szCs w:val="22"/>
        </w:rPr>
        <w:t>Ordena</w:t>
      </w:r>
      <w:r w:rsidRPr="00226F95">
        <w:rPr>
          <w:rFonts w:ascii="Palatino Linotype" w:eastAsia="Palatino Linotype" w:hAnsi="Palatino Linotype" w:cs="Palatino Linotype"/>
          <w:sz w:val="22"/>
          <w:szCs w:val="22"/>
        </w:rPr>
        <w:t xml:space="preserve"> al </w:t>
      </w:r>
      <w:r w:rsidRPr="00226F95">
        <w:rPr>
          <w:rFonts w:ascii="Palatino Linotype" w:eastAsia="Palatino Linotype" w:hAnsi="Palatino Linotype" w:cs="Palatino Linotype"/>
          <w:b/>
          <w:sz w:val="22"/>
          <w:szCs w:val="22"/>
        </w:rPr>
        <w:t>Sujeto Obligado</w:t>
      </w:r>
      <w:r w:rsidRPr="00226F95">
        <w:rPr>
          <w:rFonts w:ascii="Palatino Linotype" w:eastAsia="Palatino Linotype" w:hAnsi="Palatino Linotype" w:cs="Palatino Linotype"/>
          <w:sz w:val="22"/>
          <w:szCs w:val="22"/>
        </w:rPr>
        <w:t xml:space="preserve">, en términos del Considerando </w:t>
      </w:r>
      <w:r w:rsidR="003A42B9" w:rsidRPr="00226F95">
        <w:rPr>
          <w:rFonts w:ascii="Palatino Linotype" w:eastAsia="Palatino Linotype" w:hAnsi="Palatino Linotype" w:cs="Palatino Linotype"/>
          <w:b/>
          <w:sz w:val="22"/>
          <w:szCs w:val="22"/>
        </w:rPr>
        <w:t xml:space="preserve">Cuarto </w:t>
      </w:r>
      <w:r w:rsidRPr="00226F95">
        <w:rPr>
          <w:rFonts w:ascii="Palatino Linotype" w:eastAsia="Palatino Linotype" w:hAnsi="Palatino Linotype" w:cs="Palatino Linotype"/>
          <w:sz w:val="22"/>
          <w:szCs w:val="22"/>
        </w:rPr>
        <w:t>de esta resolución, haga entrega vía SAIMEX, de la siguiente información:</w:t>
      </w:r>
    </w:p>
    <w:p w14:paraId="302DFC88" w14:textId="18EDCE8D" w:rsidR="00194BB1" w:rsidRPr="00226F95" w:rsidRDefault="00194BB1">
      <w:pPr>
        <w:numPr>
          <w:ilvl w:val="0"/>
          <w:numId w:val="4"/>
        </w:numPr>
        <w:pBdr>
          <w:top w:val="nil"/>
          <w:left w:val="nil"/>
          <w:bottom w:val="nil"/>
          <w:right w:val="nil"/>
          <w:between w:val="nil"/>
        </w:pBdr>
        <w:spacing w:before="240" w:line="276" w:lineRule="auto"/>
        <w:ind w:left="567" w:right="900" w:hanging="141"/>
        <w:jc w:val="both"/>
        <w:rPr>
          <w:rFonts w:ascii="Palatino Linotype" w:eastAsia="Palatino Linotype" w:hAnsi="Palatino Linotype" w:cs="Palatino Linotype"/>
          <w:b/>
          <w:i/>
          <w:sz w:val="22"/>
          <w:szCs w:val="22"/>
        </w:rPr>
      </w:pPr>
      <w:r w:rsidRPr="00226F95">
        <w:rPr>
          <w:rFonts w:ascii="Palatino Linotype" w:eastAsia="Palatino Linotype" w:hAnsi="Palatino Linotype" w:cs="Palatino Linotype"/>
          <w:b/>
          <w:i/>
          <w:sz w:val="22"/>
          <w:szCs w:val="22"/>
        </w:rPr>
        <w:t xml:space="preserve">Organigrama </w:t>
      </w:r>
      <w:r w:rsidR="001F2379" w:rsidRPr="00226F95">
        <w:rPr>
          <w:rFonts w:ascii="Palatino Linotype" w:eastAsia="Palatino Linotype" w:hAnsi="Palatino Linotype" w:cs="Palatino Linotype"/>
          <w:b/>
          <w:i/>
          <w:sz w:val="22"/>
          <w:szCs w:val="22"/>
        </w:rPr>
        <w:t xml:space="preserve">de la administración 2025-2027, entregado en respuesta </w:t>
      </w:r>
      <w:r w:rsidR="005A38B3" w:rsidRPr="00226F95">
        <w:rPr>
          <w:rFonts w:ascii="Palatino Linotype" w:eastAsia="Palatino Linotype" w:hAnsi="Palatino Linotype" w:cs="Palatino Linotype"/>
          <w:b/>
          <w:i/>
          <w:sz w:val="22"/>
          <w:szCs w:val="22"/>
        </w:rPr>
        <w:t>a la solicitud 00014/COCOTIT/IP/2025, correctamente digitalizado.</w:t>
      </w:r>
    </w:p>
    <w:p w14:paraId="6F3DC54B" w14:textId="77777777" w:rsidR="00003AD2" w:rsidRPr="00226F9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Tercero.  Notifíquese vía SAIMEX, </w:t>
      </w:r>
      <w:r w:rsidRPr="00226F95">
        <w:rPr>
          <w:rFonts w:ascii="Palatino Linotype" w:eastAsia="Palatino Linotype" w:hAnsi="Palatino Linotype" w:cs="Palatino Linotype"/>
          <w:sz w:val="22"/>
          <w:szCs w:val="22"/>
        </w:rPr>
        <w:t xml:space="preserve">la presente resolución al Titular de la Unidad de Transparencia del Sujeto Obligado, para que conforme al artículo 186 último párrafo, 189 </w:t>
      </w:r>
      <w:r w:rsidRPr="00226F95">
        <w:rPr>
          <w:rFonts w:ascii="Palatino Linotype" w:eastAsia="Palatino Linotype" w:hAnsi="Palatino Linotype" w:cs="Palatino Linotype"/>
          <w:sz w:val="22"/>
          <w:szCs w:val="22"/>
        </w:rPr>
        <w:lastRenderedPageBreak/>
        <w:t>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r w:rsidR="002D19A7" w:rsidRPr="00226F95">
        <w:rPr>
          <w:rFonts w:ascii="Palatino Linotype" w:eastAsia="Palatino Linotype" w:hAnsi="Palatino Linotype" w:cs="Palatino Linotype"/>
          <w:sz w:val="22"/>
          <w:szCs w:val="22"/>
        </w:rPr>
        <w:t xml:space="preserve"> </w:t>
      </w:r>
    </w:p>
    <w:p w14:paraId="2FC6D0EC"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Cuarto. </w:t>
      </w:r>
      <w:r w:rsidRPr="00226F95">
        <w:rPr>
          <w:rFonts w:ascii="Palatino Linotype" w:eastAsia="Palatino Linotype" w:hAnsi="Palatino Linotype" w:cs="Palatino Linotype"/>
          <w:sz w:val="22"/>
          <w:szCs w:val="22"/>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7949BF2E" w14:textId="77777777" w:rsidR="00003AD2" w:rsidRPr="00226F95" w:rsidRDefault="00C82866">
      <w:pPr>
        <w:spacing w:before="240" w:after="240" w:line="360" w:lineRule="auto"/>
        <w:ind w:right="49"/>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b/>
          <w:sz w:val="22"/>
          <w:szCs w:val="22"/>
        </w:rPr>
        <w:t xml:space="preserve">Quinto. Notifíquese vía SAIMEX, </w:t>
      </w:r>
      <w:r w:rsidRPr="00226F95">
        <w:rPr>
          <w:rFonts w:ascii="Palatino Linotype" w:eastAsia="Palatino Linotype" w:hAnsi="Palatino Linotype" w:cs="Palatino Linotype"/>
          <w:sz w:val="22"/>
          <w:szCs w:val="22"/>
        </w:rPr>
        <w:t>a</w:t>
      </w:r>
      <w:r w:rsidRPr="00226F95">
        <w:rPr>
          <w:rFonts w:ascii="Palatino Linotype" w:eastAsia="Palatino Linotype" w:hAnsi="Palatino Linotype" w:cs="Palatino Linotype"/>
          <w:b/>
          <w:sz w:val="22"/>
          <w:szCs w:val="22"/>
        </w:rPr>
        <w:t xml:space="preserve"> la parte Recurrente</w:t>
      </w:r>
      <w:r w:rsidRPr="00226F95">
        <w:rPr>
          <w:rFonts w:ascii="Palatino Linotype" w:eastAsia="Palatino Linotype" w:hAnsi="Palatino Linotype" w:cs="Palatino Linotype"/>
          <w:sz w:val="22"/>
          <w:szCs w:val="22"/>
        </w:rPr>
        <w:t xml:space="preserve"> la presente resolución, así como, que de conformidad con lo establecido </w:t>
      </w:r>
      <w:r w:rsidR="003A42B9" w:rsidRPr="00226F95">
        <w:rPr>
          <w:rFonts w:ascii="Palatino Linotype" w:eastAsia="Palatino Linotype" w:hAnsi="Palatino Linotype" w:cs="Palatino Linotype"/>
          <w:sz w:val="22"/>
          <w:szCs w:val="22"/>
        </w:rPr>
        <w:t xml:space="preserve">en </w:t>
      </w:r>
      <w:r w:rsidRPr="00226F95">
        <w:rPr>
          <w:rFonts w:ascii="Palatino Linotype" w:eastAsia="Palatino Linotype" w:hAnsi="Palatino Linotype" w:cs="Palatino Linotype"/>
          <w:sz w:val="22"/>
          <w:szCs w:val="22"/>
        </w:rPr>
        <w:t>el artículo 196 de la Ley de Transparencia y Acceso a la Información Pública del Estado de México y Municipios, podrá impugnarla vía Juicio de Amparo en los términos de las leyes aplicables.</w:t>
      </w:r>
    </w:p>
    <w:p w14:paraId="1D383290" w14:textId="77777777" w:rsidR="00003AD2" w:rsidRPr="00B84BF5" w:rsidRDefault="00C82866">
      <w:pPr>
        <w:spacing w:before="240" w:after="240" w:line="360" w:lineRule="auto"/>
        <w:jc w:val="both"/>
        <w:rPr>
          <w:rFonts w:ascii="Palatino Linotype" w:eastAsia="Palatino Linotype" w:hAnsi="Palatino Linotype" w:cs="Palatino Linotype"/>
          <w:sz w:val="22"/>
          <w:szCs w:val="22"/>
        </w:rPr>
      </w:pPr>
      <w:r w:rsidRPr="00226F95">
        <w:rPr>
          <w:rFonts w:ascii="Palatino Linotype" w:eastAsia="Palatino Linotype" w:hAnsi="Palatino Linotype" w:cs="Palatino Linotype"/>
          <w:sz w:val="22"/>
          <w:szCs w:val="22"/>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3D5A40" w:rsidRPr="00226F95">
        <w:rPr>
          <w:rFonts w:ascii="Palatino Linotype" w:eastAsia="Palatino Linotype" w:hAnsi="Palatino Linotype" w:cs="Palatino Linotype"/>
          <w:sz w:val="22"/>
          <w:szCs w:val="22"/>
        </w:rPr>
        <w:t>OCTAVA</w:t>
      </w:r>
      <w:r w:rsidRPr="00226F95">
        <w:rPr>
          <w:rFonts w:ascii="Palatino Linotype" w:eastAsia="Palatino Linotype" w:hAnsi="Palatino Linotype" w:cs="Palatino Linotype"/>
          <w:sz w:val="22"/>
          <w:szCs w:val="22"/>
        </w:rPr>
        <w:t xml:space="preserve"> SESIÓN ORDINARIA CELEBRADA EL </w:t>
      </w:r>
      <w:r w:rsidR="003D5A40" w:rsidRPr="00226F95">
        <w:rPr>
          <w:rFonts w:ascii="Palatino Linotype" w:eastAsia="Palatino Linotype" w:hAnsi="Palatino Linotype" w:cs="Palatino Linotype"/>
          <w:sz w:val="22"/>
          <w:szCs w:val="22"/>
        </w:rPr>
        <w:t>SEIS</w:t>
      </w:r>
      <w:r w:rsidRPr="00226F95">
        <w:rPr>
          <w:rFonts w:ascii="Palatino Linotype" w:eastAsia="Palatino Linotype" w:hAnsi="Palatino Linotype" w:cs="Palatino Linotype"/>
          <w:sz w:val="22"/>
          <w:szCs w:val="22"/>
        </w:rPr>
        <w:t xml:space="preserve"> DE </w:t>
      </w:r>
      <w:r w:rsidR="003D5A40" w:rsidRPr="00226F95">
        <w:rPr>
          <w:rFonts w:ascii="Palatino Linotype" w:eastAsia="Palatino Linotype" w:hAnsi="Palatino Linotype" w:cs="Palatino Linotype"/>
          <w:sz w:val="22"/>
          <w:szCs w:val="22"/>
        </w:rPr>
        <w:t>MARZO</w:t>
      </w:r>
      <w:r w:rsidRPr="00226F95">
        <w:rPr>
          <w:rFonts w:ascii="Palatino Linotype" w:eastAsia="Palatino Linotype" w:hAnsi="Palatino Linotype" w:cs="Palatino Linotype"/>
          <w:sz w:val="22"/>
          <w:szCs w:val="22"/>
        </w:rPr>
        <w:t xml:space="preserve"> DEL DOS MIL VEINTICINCO, ANTE EL SECRETARIO TÉCNICO DEL PLENO ALEXIS TAPIA RAMÍREZ.</w:t>
      </w:r>
    </w:p>
    <w:p w14:paraId="0FF872B1" w14:textId="77777777" w:rsidR="00003AD2" w:rsidRPr="00B84BF5" w:rsidRDefault="00003AD2">
      <w:pPr>
        <w:spacing w:before="240" w:after="240" w:line="360" w:lineRule="auto"/>
        <w:jc w:val="both"/>
        <w:rPr>
          <w:rFonts w:ascii="Palatino Linotype" w:eastAsia="Palatino Linotype" w:hAnsi="Palatino Linotype" w:cs="Palatino Linotype"/>
          <w:sz w:val="22"/>
          <w:szCs w:val="22"/>
        </w:rPr>
      </w:pPr>
    </w:p>
    <w:p w14:paraId="4954A281" w14:textId="77777777" w:rsidR="00003AD2" w:rsidRPr="00B84BF5" w:rsidRDefault="00003AD2">
      <w:pPr>
        <w:spacing w:before="240" w:after="240" w:line="360" w:lineRule="auto"/>
        <w:jc w:val="both"/>
        <w:rPr>
          <w:rFonts w:ascii="Palatino Linotype" w:eastAsia="Palatino Linotype" w:hAnsi="Palatino Linotype" w:cs="Palatino Linotype"/>
          <w:sz w:val="22"/>
          <w:szCs w:val="22"/>
        </w:rPr>
      </w:pPr>
    </w:p>
    <w:p w14:paraId="4EEAFD2A" w14:textId="77777777" w:rsidR="00003AD2" w:rsidRPr="00B84BF5" w:rsidRDefault="00003AD2">
      <w:pPr>
        <w:spacing w:before="240" w:after="240" w:line="360" w:lineRule="auto"/>
        <w:jc w:val="both"/>
        <w:rPr>
          <w:rFonts w:ascii="Palatino Linotype" w:eastAsia="Palatino Linotype" w:hAnsi="Palatino Linotype" w:cs="Palatino Linotype"/>
          <w:sz w:val="22"/>
          <w:szCs w:val="22"/>
        </w:rPr>
      </w:pPr>
    </w:p>
    <w:p w14:paraId="27FF06FB" w14:textId="77777777" w:rsidR="00003AD2" w:rsidRPr="00B84BF5" w:rsidRDefault="00003AD2">
      <w:pPr>
        <w:spacing w:before="240" w:after="240" w:line="360" w:lineRule="auto"/>
        <w:jc w:val="both"/>
        <w:rPr>
          <w:rFonts w:ascii="Palatino Linotype" w:eastAsia="Palatino Linotype" w:hAnsi="Palatino Linotype" w:cs="Palatino Linotype"/>
          <w:sz w:val="22"/>
          <w:szCs w:val="22"/>
        </w:rPr>
      </w:pPr>
    </w:p>
    <w:sectPr w:rsidR="00003AD2" w:rsidRPr="00B84BF5">
      <w:headerReference w:type="default" r:id="rId10"/>
      <w:footerReference w:type="default" r:id="rId11"/>
      <w:headerReference w:type="first" r:id="rId12"/>
      <w:footerReference w:type="first" r:id="rId13"/>
      <w:pgSz w:w="12240" w:h="15840"/>
      <w:pgMar w:top="1985" w:right="1701" w:bottom="1418"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7E095" w14:textId="77777777" w:rsidR="00E46CF8" w:rsidRDefault="00E46CF8">
      <w:r>
        <w:separator/>
      </w:r>
    </w:p>
  </w:endnote>
  <w:endnote w:type="continuationSeparator" w:id="0">
    <w:p w14:paraId="4E712751" w14:textId="77777777" w:rsidR="00E46CF8" w:rsidRDefault="00E46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Segoe UI"/>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panose1 w:val="00000000000000000000"/>
    <w:charset w:val="00"/>
    <w:family w:val="roman"/>
    <w:notTrueType/>
    <w:pitch w:val="default"/>
  </w:font>
  <w:font w:name="DejaVu Sans">
    <w:altName w:val="Times New Roman"/>
    <w:panose1 w:val="00000000000000000000"/>
    <w:charset w:val="00"/>
    <w:family w:val="roman"/>
    <w:notTrueType/>
    <w:pitch w:val="default"/>
  </w:font>
  <w:font w:name="Lohit Hindi">
    <w:altName w:val="Times New Roman"/>
    <w:panose1 w:val="00000000000000000000"/>
    <w:charset w:val="00"/>
    <w:family w:val="roman"/>
    <w:notTrueType/>
    <w:pitch w:val="default"/>
  </w:font>
  <w:font w:name="Helvetica">
    <w:panose1 w:val="020B0504020202020204"/>
    <w:charset w:val="00"/>
    <w:family w:val="swiss"/>
    <w:notTrueType/>
    <w:pitch w:val="variable"/>
    <w:sig w:usb0="00000003" w:usb1="00000000" w:usb2="00000000" w:usb3="00000000" w:csb0="00000001" w:csb1="00000000"/>
  </w:font>
  <w:font w:name="Myriad Pro">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E867A" w14:textId="77777777" w:rsidR="005F0146" w:rsidRDefault="005F0146">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226F95">
      <w:rPr>
        <w:rFonts w:ascii="Palatino Linotype" w:eastAsia="Palatino Linotype" w:hAnsi="Palatino Linotype" w:cs="Palatino Linotype"/>
        <w:b/>
        <w:noProof/>
        <w:color w:val="000000"/>
        <w:sz w:val="20"/>
        <w:szCs w:val="20"/>
      </w:rPr>
      <w:t>21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226F95">
      <w:rPr>
        <w:rFonts w:ascii="Palatino Linotype" w:eastAsia="Palatino Linotype" w:hAnsi="Palatino Linotype" w:cs="Palatino Linotype"/>
        <w:b/>
        <w:noProof/>
        <w:color w:val="000000"/>
        <w:sz w:val="20"/>
        <w:szCs w:val="20"/>
      </w:rPr>
      <w:t>22</w:t>
    </w:r>
    <w:r>
      <w:rPr>
        <w:rFonts w:ascii="Palatino Linotype" w:eastAsia="Palatino Linotype" w:hAnsi="Palatino Linotype" w:cs="Palatino Linotype"/>
        <w:b/>
        <w:color w:val="000000"/>
        <w:sz w:val="20"/>
        <w:szCs w:val="20"/>
      </w:rPr>
      <w:fldChar w:fldCharType="end"/>
    </w:r>
  </w:p>
  <w:p w14:paraId="2619E6F1" w14:textId="77777777" w:rsidR="005F0146" w:rsidRDefault="005F0146">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D40BB" w14:textId="77777777" w:rsidR="005F0146" w:rsidRDefault="005F0146">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226F95">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226F95">
      <w:rPr>
        <w:rFonts w:ascii="Palatino Linotype" w:eastAsia="Palatino Linotype" w:hAnsi="Palatino Linotype" w:cs="Palatino Linotype"/>
        <w:b/>
        <w:noProof/>
        <w:color w:val="000000"/>
        <w:sz w:val="20"/>
        <w:szCs w:val="20"/>
      </w:rPr>
      <w:t>22</w:t>
    </w:r>
    <w:r>
      <w:rPr>
        <w:rFonts w:ascii="Palatino Linotype" w:eastAsia="Palatino Linotype" w:hAnsi="Palatino Linotype" w:cs="Palatino Linotype"/>
        <w:b/>
        <w:color w:val="000000"/>
        <w:sz w:val="20"/>
        <w:szCs w:val="20"/>
      </w:rPr>
      <w:fldChar w:fldCharType="end"/>
    </w:r>
  </w:p>
  <w:p w14:paraId="16A9058D" w14:textId="77777777" w:rsidR="005F0146" w:rsidRDefault="005F0146">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CFCD96" w14:textId="77777777" w:rsidR="00E46CF8" w:rsidRDefault="00E46CF8">
      <w:r>
        <w:separator/>
      </w:r>
    </w:p>
  </w:footnote>
  <w:footnote w:type="continuationSeparator" w:id="0">
    <w:p w14:paraId="2D978B2C" w14:textId="77777777" w:rsidR="00E46CF8" w:rsidRDefault="00E46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DBFDC" w14:textId="77777777" w:rsidR="005F0146" w:rsidRDefault="005F0146">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noProof/>
        <w:lang w:val="es-MX"/>
      </w:rPr>
      <w:drawing>
        <wp:anchor distT="0" distB="0" distL="0" distR="0" simplePos="0" relativeHeight="251658240" behindDoc="1" locked="0" layoutInCell="1" hidden="0" allowOverlap="1" wp14:anchorId="5E29E393" wp14:editId="080C5612">
          <wp:simplePos x="0" y="0"/>
          <wp:positionH relativeFrom="column">
            <wp:posOffset>-1080129</wp:posOffset>
          </wp:positionH>
          <wp:positionV relativeFrom="paragraph">
            <wp:posOffset>-488309</wp:posOffset>
          </wp:positionV>
          <wp:extent cx="7809865" cy="10165715"/>
          <wp:effectExtent l="0" t="0" r="0" b="0"/>
          <wp:wrapNone/>
          <wp:docPr id="77020156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9"/>
      <w:tblW w:w="5953" w:type="dxa"/>
      <w:tblInd w:w="3261" w:type="dxa"/>
      <w:tblLayout w:type="fixed"/>
      <w:tblLook w:val="0400" w:firstRow="0" w:lastRow="0" w:firstColumn="0" w:lastColumn="0" w:noHBand="0" w:noVBand="1"/>
    </w:tblPr>
    <w:tblGrid>
      <w:gridCol w:w="2489"/>
      <w:gridCol w:w="3464"/>
    </w:tblGrid>
    <w:tr w:rsidR="005F0146" w14:paraId="026958A4" w14:textId="77777777">
      <w:tc>
        <w:tcPr>
          <w:tcW w:w="2489" w:type="dxa"/>
          <w:shd w:val="clear" w:color="auto" w:fill="auto"/>
        </w:tcPr>
        <w:p w14:paraId="24961837" w14:textId="77777777" w:rsidR="005F0146" w:rsidRDefault="005F014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2D2BBFC9" w14:textId="77777777" w:rsidR="005F0146" w:rsidRDefault="005F0146" w:rsidP="003D5A40">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00759/INFOEM/IP/RR/2025</w:t>
          </w:r>
        </w:p>
      </w:tc>
    </w:tr>
    <w:tr w:rsidR="005F0146" w14:paraId="2A82852F" w14:textId="77777777">
      <w:trPr>
        <w:trHeight w:val="228"/>
      </w:trPr>
      <w:tc>
        <w:tcPr>
          <w:tcW w:w="2489" w:type="dxa"/>
          <w:shd w:val="clear" w:color="auto" w:fill="auto"/>
          <w:vAlign w:val="center"/>
        </w:tcPr>
        <w:p w14:paraId="1E7A3E28" w14:textId="77777777" w:rsidR="005F0146" w:rsidRDefault="005F014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52AF4F50" w14:textId="77777777" w:rsidR="005F0146" w:rsidRDefault="005F0146">
          <w:pPr>
            <w:ind w:left="-45" w:right="176"/>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Cocotitlán</w:t>
          </w:r>
        </w:p>
      </w:tc>
    </w:tr>
    <w:tr w:rsidR="005F0146" w14:paraId="5413A87D" w14:textId="77777777">
      <w:tc>
        <w:tcPr>
          <w:tcW w:w="2489" w:type="dxa"/>
          <w:shd w:val="clear" w:color="auto" w:fill="auto"/>
          <w:vAlign w:val="center"/>
        </w:tcPr>
        <w:p w14:paraId="6C3C1CBC" w14:textId="77777777" w:rsidR="005F0146" w:rsidRDefault="005F0146">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59274F22" w14:textId="77777777" w:rsidR="005F0146" w:rsidRDefault="005F0146">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113394C9" w14:textId="77777777" w:rsidR="005F0146" w:rsidRDefault="005F0146">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E791F" w14:textId="77777777" w:rsidR="005F0146" w:rsidRDefault="005F0146">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 xml:space="preserve"> </w:t>
    </w:r>
  </w:p>
  <w:tbl>
    <w:tblPr>
      <w:tblStyle w:val="aa"/>
      <w:tblW w:w="5670" w:type="dxa"/>
      <w:tblInd w:w="3261" w:type="dxa"/>
      <w:tblLayout w:type="fixed"/>
      <w:tblLook w:val="0400" w:firstRow="0" w:lastRow="0" w:firstColumn="0" w:lastColumn="0" w:noHBand="0" w:noVBand="1"/>
    </w:tblPr>
    <w:tblGrid>
      <w:gridCol w:w="2551"/>
      <w:gridCol w:w="3119"/>
    </w:tblGrid>
    <w:tr w:rsidR="005F0146" w14:paraId="694F80CD" w14:textId="77777777">
      <w:tc>
        <w:tcPr>
          <w:tcW w:w="2551" w:type="dxa"/>
          <w:shd w:val="clear" w:color="auto" w:fill="auto"/>
          <w:vAlign w:val="center"/>
        </w:tcPr>
        <w:p w14:paraId="66298E79" w14:textId="77777777" w:rsidR="005F0146" w:rsidRDefault="005F014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9" w:type="dxa"/>
          <w:shd w:val="clear" w:color="auto" w:fill="auto"/>
          <w:vAlign w:val="center"/>
        </w:tcPr>
        <w:p w14:paraId="634BAD98" w14:textId="77777777" w:rsidR="005F0146" w:rsidRDefault="005F0146">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00759/INFOEM/IP/RR/2025</w:t>
          </w:r>
        </w:p>
      </w:tc>
    </w:tr>
    <w:tr w:rsidR="005F0146" w14:paraId="73478824" w14:textId="77777777">
      <w:trPr>
        <w:trHeight w:val="130"/>
      </w:trPr>
      <w:tc>
        <w:tcPr>
          <w:tcW w:w="2551" w:type="dxa"/>
          <w:shd w:val="clear" w:color="auto" w:fill="auto"/>
          <w:vAlign w:val="center"/>
        </w:tcPr>
        <w:p w14:paraId="2A0D177C" w14:textId="77777777" w:rsidR="005F0146" w:rsidRDefault="005F014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119" w:type="dxa"/>
          <w:shd w:val="clear" w:color="auto" w:fill="auto"/>
          <w:vAlign w:val="center"/>
        </w:tcPr>
        <w:p w14:paraId="534AAFCF" w14:textId="77777777" w:rsidR="005F0146" w:rsidRDefault="005F0146">
          <w:pPr>
            <w:tabs>
              <w:tab w:val="left" w:pos="3153"/>
            </w:tabs>
            <w:ind w:left="-45"/>
            <w:jc w:val="both"/>
            <w:rPr>
              <w:rFonts w:ascii="Palatino Linotype" w:eastAsia="Palatino Linotype" w:hAnsi="Palatino Linotype" w:cs="Palatino Linotype"/>
              <w:b/>
              <w:sz w:val="22"/>
              <w:szCs w:val="22"/>
            </w:rPr>
          </w:pPr>
          <w:r>
            <w:rPr>
              <w:noProof/>
              <w:lang w:val="es-MX"/>
            </w:rPr>
            <w:drawing>
              <wp:anchor distT="0" distB="0" distL="0" distR="0" simplePos="0" relativeHeight="251659264" behindDoc="1" locked="0" layoutInCell="1" hidden="0" allowOverlap="1" wp14:anchorId="5C4EB7F2" wp14:editId="52F39CB9">
                <wp:simplePos x="0" y="0"/>
                <wp:positionH relativeFrom="column">
                  <wp:posOffset>-4425311</wp:posOffset>
                </wp:positionH>
                <wp:positionV relativeFrom="paragraph">
                  <wp:posOffset>-361945</wp:posOffset>
                </wp:positionV>
                <wp:extent cx="7809865" cy="10165715"/>
                <wp:effectExtent l="0" t="0" r="0" b="0"/>
                <wp:wrapNone/>
                <wp:docPr id="77020157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c>
    </w:tr>
    <w:tr w:rsidR="005F0146" w14:paraId="2ADB917C" w14:textId="77777777">
      <w:trPr>
        <w:trHeight w:val="228"/>
      </w:trPr>
      <w:tc>
        <w:tcPr>
          <w:tcW w:w="2551" w:type="dxa"/>
          <w:shd w:val="clear" w:color="auto" w:fill="auto"/>
          <w:vAlign w:val="center"/>
        </w:tcPr>
        <w:p w14:paraId="1A3EB528" w14:textId="77777777" w:rsidR="005F0146" w:rsidRDefault="005F014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119" w:type="dxa"/>
          <w:shd w:val="clear" w:color="auto" w:fill="auto"/>
          <w:vAlign w:val="center"/>
        </w:tcPr>
        <w:p w14:paraId="72B87E8B" w14:textId="77777777" w:rsidR="005F0146" w:rsidRDefault="005F0146">
          <w:pPr>
            <w:ind w:left="-45" w:right="27"/>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Cocotitlán</w:t>
          </w:r>
        </w:p>
      </w:tc>
    </w:tr>
    <w:tr w:rsidR="005F0146" w14:paraId="0D319029" w14:textId="77777777">
      <w:tc>
        <w:tcPr>
          <w:tcW w:w="2551" w:type="dxa"/>
          <w:shd w:val="clear" w:color="auto" w:fill="auto"/>
          <w:vAlign w:val="center"/>
        </w:tcPr>
        <w:p w14:paraId="4469069B" w14:textId="77777777" w:rsidR="005F0146" w:rsidRDefault="005F0146">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9" w:type="dxa"/>
          <w:shd w:val="clear" w:color="auto" w:fill="auto"/>
          <w:vAlign w:val="center"/>
        </w:tcPr>
        <w:p w14:paraId="0C2F49DE" w14:textId="77777777" w:rsidR="005F0146" w:rsidRDefault="005F0146">
          <w:pPr>
            <w:ind w:left="-45"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41742573" w14:textId="77777777" w:rsidR="005F0146" w:rsidRDefault="005F0146">
    <w:pPr>
      <w:pBdr>
        <w:top w:val="nil"/>
        <w:left w:val="nil"/>
        <w:bottom w:val="nil"/>
        <w:right w:val="nil"/>
        <w:between w:val="nil"/>
      </w:pBdr>
      <w:tabs>
        <w:tab w:val="center" w:pos="4252"/>
        <w:tab w:val="right" w:pos="8504"/>
      </w:tabs>
      <w:rPr>
        <w:rFonts w:ascii="Cambria" w:eastAsia="Cambria" w:hAnsi="Cambria" w:cs="Cambri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C086D"/>
    <w:multiLevelType w:val="multilevel"/>
    <w:tmpl w:val="D98E987A"/>
    <w:lvl w:ilvl="0">
      <w:start w:val="1"/>
      <w:numFmt w:val="upperRoman"/>
      <w:lvlText w:val="%1."/>
      <w:lvlJc w:val="left"/>
      <w:pPr>
        <w:ind w:left="1287" w:hanging="72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04C658BB"/>
    <w:multiLevelType w:val="multilevel"/>
    <w:tmpl w:val="8B9202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5F1218E"/>
    <w:multiLevelType w:val="multilevel"/>
    <w:tmpl w:val="EF04F7B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 w15:restartNumberingAfterBreak="0">
    <w:nsid w:val="0B613D4D"/>
    <w:multiLevelType w:val="multilevel"/>
    <w:tmpl w:val="E710FBB4"/>
    <w:lvl w:ilvl="0">
      <w:start w:val="1"/>
      <w:numFmt w:val="bullet"/>
      <w:pStyle w:val="Listaconvietas3"/>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15:restartNumberingAfterBreak="0">
    <w:nsid w:val="0D8130E9"/>
    <w:multiLevelType w:val="multilevel"/>
    <w:tmpl w:val="43F80E1A"/>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E701F67"/>
    <w:multiLevelType w:val="multilevel"/>
    <w:tmpl w:val="B5BEE3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3F53F19"/>
    <w:multiLevelType w:val="multilevel"/>
    <w:tmpl w:val="A67ED92E"/>
    <w:lvl w:ilvl="0">
      <w:start w:val="1"/>
      <w:numFmt w:val="bullet"/>
      <w:lvlText w:val="●"/>
      <w:lvlJc w:val="left"/>
      <w:pPr>
        <w:ind w:left="578" w:hanging="360"/>
      </w:pPr>
      <w:rPr>
        <w:rFonts w:ascii="Noto Sans Symbols" w:eastAsia="Noto Sans Symbols" w:hAnsi="Noto Sans Symbols" w:cs="Noto Sans Symbols"/>
      </w:rPr>
    </w:lvl>
    <w:lvl w:ilvl="1">
      <w:start w:val="1"/>
      <w:numFmt w:val="bullet"/>
      <w:lvlText w:val="o"/>
      <w:lvlJc w:val="left"/>
      <w:pPr>
        <w:ind w:left="1298" w:hanging="359"/>
      </w:pPr>
      <w:rPr>
        <w:rFonts w:ascii="Courier New" w:eastAsia="Courier New" w:hAnsi="Courier New" w:cs="Courier New"/>
      </w:rPr>
    </w:lvl>
    <w:lvl w:ilvl="2">
      <w:start w:val="1"/>
      <w:numFmt w:val="bullet"/>
      <w:lvlText w:val="▪"/>
      <w:lvlJc w:val="left"/>
      <w:pPr>
        <w:ind w:left="2018" w:hanging="360"/>
      </w:pPr>
      <w:rPr>
        <w:rFonts w:ascii="Noto Sans Symbols" w:eastAsia="Noto Sans Symbols" w:hAnsi="Noto Sans Symbols" w:cs="Noto Sans Symbols"/>
      </w:rPr>
    </w:lvl>
    <w:lvl w:ilvl="3">
      <w:start w:val="1"/>
      <w:numFmt w:val="bullet"/>
      <w:lvlText w:val="●"/>
      <w:lvlJc w:val="left"/>
      <w:pPr>
        <w:ind w:left="2738" w:hanging="360"/>
      </w:pPr>
      <w:rPr>
        <w:rFonts w:ascii="Noto Sans Symbols" w:eastAsia="Noto Sans Symbols" w:hAnsi="Noto Sans Symbols" w:cs="Noto Sans Symbols"/>
      </w:rPr>
    </w:lvl>
    <w:lvl w:ilvl="4">
      <w:start w:val="1"/>
      <w:numFmt w:val="bullet"/>
      <w:lvlText w:val="o"/>
      <w:lvlJc w:val="left"/>
      <w:pPr>
        <w:ind w:left="3458" w:hanging="360"/>
      </w:pPr>
      <w:rPr>
        <w:rFonts w:ascii="Courier New" w:eastAsia="Courier New" w:hAnsi="Courier New" w:cs="Courier New"/>
      </w:rPr>
    </w:lvl>
    <w:lvl w:ilvl="5">
      <w:start w:val="1"/>
      <w:numFmt w:val="bullet"/>
      <w:lvlText w:val="▪"/>
      <w:lvlJc w:val="left"/>
      <w:pPr>
        <w:ind w:left="4178" w:hanging="360"/>
      </w:pPr>
      <w:rPr>
        <w:rFonts w:ascii="Noto Sans Symbols" w:eastAsia="Noto Sans Symbols" w:hAnsi="Noto Sans Symbols" w:cs="Noto Sans Symbols"/>
      </w:rPr>
    </w:lvl>
    <w:lvl w:ilvl="6">
      <w:start w:val="1"/>
      <w:numFmt w:val="bullet"/>
      <w:lvlText w:val="●"/>
      <w:lvlJc w:val="left"/>
      <w:pPr>
        <w:ind w:left="4898" w:hanging="360"/>
      </w:pPr>
      <w:rPr>
        <w:rFonts w:ascii="Noto Sans Symbols" w:eastAsia="Noto Sans Symbols" w:hAnsi="Noto Sans Symbols" w:cs="Noto Sans Symbols"/>
      </w:rPr>
    </w:lvl>
    <w:lvl w:ilvl="7">
      <w:start w:val="1"/>
      <w:numFmt w:val="bullet"/>
      <w:lvlText w:val="o"/>
      <w:lvlJc w:val="left"/>
      <w:pPr>
        <w:ind w:left="5618" w:hanging="360"/>
      </w:pPr>
      <w:rPr>
        <w:rFonts w:ascii="Courier New" w:eastAsia="Courier New" w:hAnsi="Courier New" w:cs="Courier New"/>
      </w:rPr>
    </w:lvl>
    <w:lvl w:ilvl="8">
      <w:start w:val="1"/>
      <w:numFmt w:val="bullet"/>
      <w:lvlText w:val="▪"/>
      <w:lvlJc w:val="left"/>
      <w:pPr>
        <w:ind w:left="6338" w:hanging="360"/>
      </w:pPr>
      <w:rPr>
        <w:rFonts w:ascii="Noto Sans Symbols" w:eastAsia="Noto Sans Symbols" w:hAnsi="Noto Sans Symbols" w:cs="Noto Sans Symbols"/>
      </w:rPr>
    </w:lvl>
  </w:abstractNum>
  <w:abstractNum w:abstractNumId="7" w15:restartNumberingAfterBreak="0">
    <w:nsid w:val="1B926D3A"/>
    <w:multiLevelType w:val="multilevel"/>
    <w:tmpl w:val="51967B3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 w15:restartNumberingAfterBreak="0">
    <w:nsid w:val="297D5A8B"/>
    <w:multiLevelType w:val="multilevel"/>
    <w:tmpl w:val="ACA6E836"/>
    <w:lvl w:ilvl="0">
      <w:start w:val="1"/>
      <w:numFmt w:val="bullet"/>
      <w:lvlText w:val="−"/>
      <w:lvlJc w:val="left"/>
      <w:pPr>
        <w:ind w:left="720" w:hanging="360"/>
      </w:pPr>
      <w:rPr>
        <w:rFonts w:ascii="Noto Sans Symbols" w:eastAsia="Noto Sans Symbols" w:hAnsi="Noto Sans Symbols" w:cs="Noto Sans Symbols"/>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C5A1652"/>
    <w:multiLevelType w:val="multilevel"/>
    <w:tmpl w:val="04C8B48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3DB62B16"/>
    <w:multiLevelType w:val="hybridMultilevel"/>
    <w:tmpl w:val="33303C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76C4561"/>
    <w:multiLevelType w:val="multilevel"/>
    <w:tmpl w:val="9F76F2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9353D81"/>
    <w:multiLevelType w:val="multilevel"/>
    <w:tmpl w:val="61345D7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3" w15:restartNumberingAfterBreak="0">
    <w:nsid w:val="4D7F37CA"/>
    <w:multiLevelType w:val="multilevel"/>
    <w:tmpl w:val="190EB2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5B603906"/>
    <w:multiLevelType w:val="multilevel"/>
    <w:tmpl w:val="D03072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6CC05DB3"/>
    <w:multiLevelType w:val="multilevel"/>
    <w:tmpl w:val="C6240B6A"/>
    <w:lvl w:ilvl="0">
      <w:start w:val="3"/>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3EE4C11"/>
    <w:multiLevelType w:val="multilevel"/>
    <w:tmpl w:val="000E7078"/>
    <w:lvl w:ilvl="0">
      <w:start w:val="1"/>
      <w:numFmt w:val="bullet"/>
      <w:lvlText w:val="⮚"/>
      <w:lvlJc w:val="left"/>
      <w:pPr>
        <w:ind w:left="862" w:hanging="360"/>
      </w:pPr>
      <w:rPr>
        <w:rFonts w:ascii="Noto Sans Symbols" w:eastAsia="Noto Sans Symbols" w:hAnsi="Noto Sans Symbols" w:cs="Noto Sans Symbols"/>
      </w:rPr>
    </w:lvl>
    <w:lvl w:ilvl="1">
      <w:start w:val="1"/>
      <w:numFmt w:val="bullet"/>
      <w:lvlText w:val="o"/>
      <w:lvlJc w:val="left"/>
      <w:pPr>
        <w:ind w:left="1582" w:hanging="360"/>
      </w:pPr>
      <w:rPr>
        <w:rFonts w:ascii="Courier New" w:eastAsia="Courier New" w:hAnsi="Courier New" w:cs="Courier New"/>
      </w:rPr>
    </w:lvl>
    <w:lvl w:ilvl="2">
      <w:start w:val="1"/>
      <w:numFmt w:val="bullet"/>
      <w:lvlText w:val="▪"/>
      <w:lvlJc w:val="left"/>
      <w:pPr>
        <w:ind w:left="2302" w:hanging="360"/>
      </w:pPr>
      <w:rPr>
        <w:rFonts w:ascii="Noto Sans Symbols" w:eastAsia="Noto Sans Symbols" w:hAnsi="Noto Sans Symbols" w:cs="Noto Sans Symbols"/>
      </w:rPr>
    </w:lvl>
    <w:lvl w:ilvl="3">
      <w:start w:val="1"/>
      <w:numFmt w:val="bullet"/>
      <w:lvlText w:val="●"/>
      <w:lvlJc w:val="left"/>
      <w:pPr>
        <w:ind w:left="3022" w:hanging="360"/>
      </w:pPr>
      <w:rPr>
        <w:rFonts w:ascii="Noto Sans Symbols" w:eastAsia="Noto Sans Symbols" w:hAnsi="Noto Sans Symbols" w:cs="Noto Sans Symbols"/>
      </w:rPr>
    </w:lvl>
    <w:lvl w:ilvl="4">
      <w:start w:val="1"/>
      <w:numFmt w:val="bullet"/>
      <w:lvlText w:val="o"/>
      <w:lvlJc w:val="left"/>
      <w:pPr>
        <w:ind w:left="3742" w:hanging="360"/>
      </w:pPr>
      <w:rPr>
        <w:rFonts w:ascii="Courier New" w:eastAsia="Courier New" w:hAnsi="Courier New" w:cs="Courier New"/>
      </w:rPr>
    </w:lvl>
    <w:lvl w:ilvl="5">
      <w:start w:val="1"/>
      <w:numFmt w:val="bullet"/>
      <w:lvlText w:val="▪"/>
      <w:lvlJc w:val="left"/>
      <w:pPr>
        <w:ind w:left="4462" w:hanging="360"/>
      </w:pPr>
      <w:rPr>
        <w:rFonts w:ascii="Noto Sans Symbols" w:eastAsia="Noto Sans Symbols" w:hAnsi="Noto Sans Symbols" w:cs="Noto Sans Symbols"/>
      </w:rPr>
    </w:lvl>
    <w:lvl w:ilvl="6">
      <w:start w:val="1"/>
      <w:numFmt w:val="bullet"/>
      <w:lvlText w:val="●"/>
      <w:lvlJc w:val="left"/>
      <w:pPr>
        <w:ind w:left="5182" w:hanging="360"/>
      </w:pPr>
      <w:rPr>
        <w:rFonts w:ascii="Noto Sans Symbols" w:eastAsia="Noto Sans Symbols" w:hAnsi="Noto Sans Symbols" w:cs="Noto Sans Symbols"/>
      </w:rPr>
    </w:lvl>
    <w:lvl w:ilvl="7">
      <w:start w:val="1"/>
      <w:numFmt w:val="bullet"/>
      <w:lvlText w:val="o"/>
      <w:lvlJc w:val="left"/>
      <w:pPr>
        <w:ind w:left="5902" w:hanging="360"/>
      </w:pPr>
      <w:rPr>
        <w:rFonts w:ascii="Courier New" w:eastAsia="Courier New" w:hAnsi="Courier New" w:cs="Courier New"/>
      </w:rPr>
    </w:lvl>
    <w:lvl w:ilvl="8">
      <w:start w:val="1"/>
      <w:numFmt w:val="bullet"/>
      <w:lvlText w:val="▪"/>
      <w:lvlJc w:val="left"/>
      <w:pPr>
        <w:ind w:left="6622" w:hanging="360"/>
      </w:pPr>
      <w:rPr>
        <w:rFonts w:ascii="Noto Sans Symbols" w:eastAsia="Noto Sans Symbols" w:hAnsi="Noto Sans Symbols" w:cs="Noto Sans Symbols"/>
      </w:rPr>
    </w:lvl>
  </w:abstractNum>
  <w:num w:numId="1">
    <w:abstractNumId w:val="3"/>
  </w:num>
  <w:num w:numId="2">
    <w:abstractNumId w:val="15"/>
  </w:num>
  <w:num w:numId="3">
    <w:abstractNumId w:val="8"/>
  </w:num>
  <w:num w:numId="4">
    <w:abstractNumId w:val="1"/>
  </w:num>
  <w:num w:numId="5">
    <w:abstractNumId w:val="5"/>
  </w:num>
  <w:num w:numId="6">
    <w:abstractNumId w:val="14"/>
  </w:num>
  <w:num w:numId="7">
    <w:abstractNumId w:val="0"/>
  </w:num>
  <w:num w:numId="8">
    <w:abstractNumId w:val="2"/>
  </w:num>
  <w:num w:numId="9">
    <w:abstractNumId w:val="16"/>
  </w:num>
  <w:num w:numId="10">
    <w:abstractNumId w:val="4"/>
  </w:num>
  <w:num w:numId="11">
    <w:abstractNumId w:val="7"/>
  </w:num>
  <w:num w:numId="12">
    <w:abstractNumId w:val="12"/>
  </w:num>
  <w:num w:numId="13">
    <w:abstractNumId w:val="11"/>
  </w:num>
  <w:num w:numId="14">
    <w:abstractNumId w:val="13"/>
  </w:num>
  <w:num w:numId="15">
    <w:abstractNumId w:val="6"/>
  </w:num>
  <w:num w:numId="16">
    <w:abstractNumId w:val="9"/>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3AD2"/>
    <w:rsid w:val="00003AD2"/>
    <w:rsid w:val="00004E04"/>
    <w:rsid w:val="00021CF1"/>
    <w:rsid w:val="000C65AF"/>
    <w:rsid w:val="000F5858"/>
    <w:rsid w:val="000F73EE"/>
    <w:rsid w:val="00194BB1"/>
    <w:rsid w:val="001B189C"/>
    <w:rsid w:val="001F2379"/>
    <w:rsid w:val="00226F95"/>
    <w:rsid w:val="002D19A7"/>
    <w:rsid w:val="00303290"/>
    <w:rsid w:val="003A42B9"/>
    <w:rsid w:val="003C3166"/>
    <w:rsid w:val="003D5A40"/>
    <w:rsid w:val="004B0D57"/>
    <w:rsid w:val="004D1CB0"/>
    <w:rsid w:val="00532BE3"/>
    <w:rsid w:val="005356F4"/>
    <w:rsid w:val="005A38B3"/>
    <w:rsid w:val="005F0146"/>
    <w:rsid w:val="0063130A"/>
    <w:rsid w:val="006678C7"/>
    <w:rsid w:val="0068035E"/>
    <w:rsid w:val="006B49A0"/>
    <w:rsid w:val="00746B13"/>
    <w:rsid w:val="00863D88"/>
    <w:rsid w:val="008825D4"/>
    <w:rsid w:val="008B1C31"/>
    <w:rsid w:val="009B68D8"/>
    <w:rsid w:val="00A45859"/>
    <w:rsid w:val="00A714C8"/>
    <w:rsid w:val="00A740E6"/>
    <w:rsid w:val="00B84BF5"/>
    <w:rsid w:val="00BF5BA8"/>
    <w:rsid w:val="00C82866"/>
    <w:rsid w:val="00C93E4A"/>
    <w:rsid w:val="00CA1ED3"/>
    <w:rsid w:val="00CA55DA"/>
    <w:rsid w:val="00D44C16"/>
    <w:rsid w:val="00D9404B"/>
    <w:rsid w:val="00DD03CD"/>
    <w:rsid w:val="00DF6A23"/>
    <w:rsid w:val="00E153C0"/>
    <w:rsid w:val="00E46CF8"/>
    <w:rsid w:val="00E520AF"/>
    <w:rsid w:val="00F05F99"/>
    <w:rsid w:val="00F43932"/>
    <w:rsid w:val="00F95BF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70E59D"/>
  <w15:docId w15:val="{B6973547-E7DD-4CFC-8621-379FF1C76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2902"/>
  </w:style>
  <w:style w:type="paragraph" w:styleId="Ttulo1">
    <w:name w:val="heading 1"/>
    <w:basedOn w:val="Normal"/>
    <w:next w:val="Normal"/>
    <w:link w:val="Ttulo1Car"/>
    <w:uiPriority w:val="9"/>
    <w:qFormat/>
    <w:rsid w:val="00603D7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semiHidden/>
    <w:unhideWhenUsed/>
    <w:qFormat/>
    <w:rsid w:val="00603D7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semiHidden/>
    <w:unhideWhenUsed/>
    <w:qFormat/>
    <w:rsid w:val="003B73CD"/>
    <w:pPr>
      <w:keepNext/>
      <w:tabs>
        <w:tab w:val="num" w:pos="2160"/>
      </w:tabs>
      <w:spacing w:before="240" w:after="60"/>
      <w:ind w:left="2160" w:hanging="720"/>
      <w:outlineLvl w:val="2"/>
    </w:pPr>
    <w:rPr>
      <w:rFonts w:asciiTheme="majorHAnsi" w:eastAsiaTheme="majorEastAsia" w:hAnsiTheme="majorHAnsi" w:cstheme="majorBidi"/>
      <w:b/>
      <w:bCs/>
      <w:sz w:val="26"/>
      <w:szCs w:val="26"/>
      <w:lang w:val="en-US" w:eastAsia="en-US"/>
    </w:rPr>
  </w:style>
  <w:style w:type="paragraph" w:styleId="Ttulo4">
    <w:name w:val="heading 4"/>
    <w:basedOn w:val="Normal"/>
    <w:next w:val="Normal"/>
    <w:link w:val="Ttulo4Car"/>
    <w:uiPriority w:val="9"/>
    <w:semiHidden/>
    <w:unhideWhenUsed/>
    <w:qFormat/>
    <w:rsid w:val="003B73CD"/>
    <w:pPr>
      <w:keepNext/>
      <w:tabs>
        <w:tab w:val="num" w:pos="2880"/>
      </w:tabs>
      <w:spacing w:before="240" w:after="60"/>
      <w:ind w:left="2880" w:hanging="720"/>
      <w:outlineLvl w:val="3"/>
    </w:pPr>
    <w:rPr>
      <w:rFonts w:asciiTheme="minorHAnsi" w:eastAsiaTheme="minorEastAsia" w:hAnsiTheme="minorHAnsi" w:cstheme="minorBidi"/>
      <w:b/>
      <w:bCs/>
      <w:sz w:val="28"/>
      <w:szCs w:val="28"/>
      <w:lang w:val="en-US" w:eastAsia="en-US"/>
    </w:rPr>
  </w:style>
  <w:style w:type="paragraph" w:styleId="Ttulo5">
    <w:name w:val="heading 5"/>
    <w:basedOn w:val="Normal"/>
    <w:next w:val="Normal"/>
    <w:link w:val="Ttulo5Car"/>
    <w:uiPriority w:val="9"/>
    <w:semiHidden/>
    <w:unhideWhenUsed/>
    <w:qFormat/>
    <w:rsid w:val="003B73CD"/>
    <w:pPr>
      <w:tabs>
        <w:tab w:val="num" w:pos="3600"/>
      </w:tabs>
      <w:spacing w:before="240" w:after="60"/>
      <w:ind w:left="3600" w:hanging="720"/>
      <w:outlineLvl w:val="4"/>
    </w:pPr>
    <w:rPr>
      <w:rFonts w:asciiTheme="minorHAnsi" w:eastAsiaTheme="minorEastAsia" w:hAnsiTheme="minorHAnsi" w:cstheme="minorBidi"/>
      <w:b/>
      <w:bCs/>
      <w:i/>
      <w:iCs/>
      <w:sz w:val="26"/>
      <w:szCs w:val="26"/>
      <w:lang w:val="en-US" w:eastAsia="en-US"/>
    </w:rPr>
  </w:style>
  <w:style w:type="paragraph" w:styleId="Ttulo6">
    <w:name w:val="heading 6"/>
    <w:basedOn w:val="Normal"/>
    <w:next w:val="Normal"/>
    <w:link w:val="Ttulo6Car"/>
    <w:uiPriority w:val="9"/>
    <w:semiHidden/>
    <w:unhideWhenUsed/>
    <w:qFormat/>
    <w:rsid w:val="003B73CD"/>
    <w:pPr>
      <w:tabs>
        <w:tab w:val="num" w:pos="4320"/>
      </w:tabs>
      <w:spacing w:before="240" w:after="60"/>
      <w:ind w:left="4320" w:hanging="720"/>
      <w:outlineLvl w:val="5"/>
    </w:pPr>
    <w:rPr>
      <w:b/>
      <w:bCs/>
      <w:sz w:val="22"/>
      <w:szCs w:val="22"/>
      <w:lang w:val="en-US" w:eastAsia="en-US"/>
    </w:rPr>
  </w:style>
  <w:style w:type="paragraph" w:styleId="Ttulo7">
    <w:name w:val="heading 7"/>
    <w:basedOn w:val="Normal"/>
    <w:next w:val="Normal"/>
    <w:link w:val="Ttulo7Car"/>
    <w:uiPriority w:val="9"/>
    <w:semiHidden/>
    <w:unhideWhenUsed/>
    <w:qFormat/>
    <w:rsid w:val="003B73CD"/>
    <w:pPr>
      <w:tabs>
        <w:tab w:val="num" w:pos="5040"/>
      </w:tabs>
      <w:spacing w:before="240" w:after="60"/>
      <w:ind w:left="5040" w:hanging="720"/>
      <w:outlineLvl w:val="6"/>
    </w:pPr>
    <w:rPr>
      <w:rFonts w:asciiTheme="minorHAnsi" w:eastAsiaTheme="minorEastAsia" w:hAnsiTheme="minorHAnsi" w:cstheme="minorBidi"/>
      <w:lang w:val="en-US" w:eastAsia="en-US"/>
    </w:rPr>
  </w:style>
  <w:style w:type="paragraph" w:styleId="Ttulo8">
    <w:name w:val="heading 8"/>
    <w:basedOn w:val="Normal"/>
    <w:next w:val="Normal"/>
    <w:link w:val="Ttulo8Car"/>
    <w:uiPriority w:val="9"/>
    <w:semiHidden/>
    <w:unhideWhenUsed/>
    <w:qFormat/>
    <w:rsid w:val="003B73CD"/>
    <w:pPr>
      <w:tabs>
        <w:tab w:val="num" w:pos="5760"/>
      </w:tabs>
      <w:spacing w:before="240" w:after="60"/>
      <w:ind w:left="5760" w:hanging="720"/>
      <w:outlineLvl w:val="7"/>
    </w:pPr>
    <w:rPr>
      <w:rFonts w:asciiTheme="minorHAnsi" w:eastAsiaTheme="minorEastAsia" w:hAnsiTheme="minorHAnsi" w:cstheme="minorBidi"/>
      <w:i/>
      <w:iCs/>
      <w:lang w:val="en-US" w:eastAsia="en-US"/>
    </w:rPr>
  </w:style>
  <w:style w:type="paragraph" w:styleId="Ttulo9">
    <w:name w:val="heading 9"/>
    <w:basedOn w:val="Normal"/>
    <w:next w:val="Normal"/>
    <w:link w:val="Ttulo9Car"/>
    <w:uiPriority w:val="9"/>
    <w:semiHidden/>
    <w:unhideWhenUsed/>
    <w:qFormat/>
    <w:rsid w:val="003B73CD"/>
    <w:pPr>
      <w:tabs>
        <w:tab w:val="num" w:pos="6480"/>
      </w:tabs>
      <w:spacing w:before="240" w:after="60"/>
      <w:ind w:left="6480" w:hanging="720"/>
      <w:outlineLvl w:val="8"/>
    </w:pPr>
    <w:rPr>
      <w:rFonts w:asciiTheme="majorHAnsi" w:eastAsiaTheme="majorEastAsia" w:hAnsiTheme="majorHAnsi" w:cstheme="majorBidi"/>
      <w:sz w:val="22"/>
      <w:szCs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C80F8C"/>
  </w:style>
  <w:style w:type="paragraph" w:styleId="Piedepgina">
    <w:name w:val="footer"/>
    <w:basedOn w:val="Normal"/>
    <w:link w:val="Piedepgina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C80F8C"/>
  </w:style>
  <w:style w:type="paragraph" w:styleId="Textodeglobo">
    <w:name w:val="Balloon Text"/>
    <w:basedOn w:val="Normal"/>
    <w:link w:val="TextodegloboCar"/>
    <w:uiPriority w:val="99"/>
    <w:semiHidden/>
    <w:unhideWhenUsed/>
    <w:rsid w:val="00C80F8C"/>
    <w:rPr>
      <w:rFonts w:ascii="Lucida Grande" w:eastAsiaTheme="minorEastAsia" w:hAnsi="Lucida Grande" w:cs="Lucida Grande"/>
      <w:sz w:val="18"/>
      <w:szCs w:val="18"/>
      <w:lang w:val="es-ES_tradnl"/>
    </w:rPr>
  </w:style>
  <w:style w:type="character" w:customStyle="1" w:styleId="TextodegloboCar">
    <w:name w:val="Texto de globo Car"/>
    <w:basedOn w:val="Fuentedeprrafopredeter"/>
    <w:link w:val="Textodeglobo"/>
    <w:uiPriority w:val="99"/>
    <w:semiHidden/>
    <w:rsid w:val="00C80F8C"/>
    <w:rPr>
      <w:rFonts w:ascii="Lucida Grande" w:hAnsi="Lucida Grande" w:cs="Lucida Grande"/>
      <w:sz w:val="18"/>
      <w:szCs w:val="18"/>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70703E"/>
    <w:pPr>
      <w:ind w:left="720"/>
      <w:contextualSpacing/>
    </w:pPr>
  </w:style>
  <w:style w:type="character" w:styleId="Hipervnculo">
    <w:name w:val="Hyperlink"/>
    <w:basedOn w:val="Fuentedeprrafopredeter"/>
    <w:uiPriority w:val="99"/>
    <w:unhideWhenUsed/>
    <w:rsid w:val="00FD7589"/>
    <w:rPr>
      <w:color w:val="0000FF"/>
      <w:u w:val="single"/>
    </w:rPr>
  </w:style>
  <w:style w:type="character" w:customStyle="1" w:styleId="apple-converted-space">
    <w:name w:val="apple-converted-space"/>
    <w:basedOn w:val="Fuentedeprrafopredeter"/>
    <w:rsid w:val="00FD7589"/>
  </w:style>
  <w:style w:type="paragraph" w:customStyle="1" w:styleId="Listavistosa-nfasis11">
    <w:name w:val="Lista vistosa - Énfasis 11"/>
    <w:basedOn w:val="Normal"/>
    <w:link w:val="Listavistosa-nfasis1Car"/>
    <w:uiPriority w:val="34"/>
    <w:qFormat/>
    <w:rsid w:val="000D2D89"/>
    <w:pPr>
      <w:ind w:left="708"/>
    </w:pPr>
  </w:style>
  <w:style w:type="character" w:customStyle="1" w:styleId="Listavistosa-nfasis1Car">
    <w:name w:val="Lista vistosa - Énfasis 1 Car"/>
    <w:link w:val="Listavistosa-nfasis11"/>
    <w:uiPriority w:val="34"/>
    <w:locked/>
    <w:rsid w:val="000D2D89"/>
    <w:rPr>
      <w:rFonts w:ascii="Times New Roman" w:eastAsia="Times New Roman" w:hAnsi="Times New Roman" w:cs="Times New Roman"/>
      <w:lang w:val="es-ES"/>
    </w:rPr>
  </w:style>
  <w:style w:type="paragraph" w:customStyle="1" w:styleId="Texto">
    <w:name w:val="Texto"/>
    <w:basedOn w:val="Normal"/>
    <w:link w:val="TextoCar"/>
    <w:rsid w:val="000470FE"/>
    <w:pPr>
      <w:spacing w:after="101" w:line="216" w:lineRule="exact"/>
      <w:ind w:firstLine="288"/>
      <w:jc w:val="both"/>
    </w:pPr>
    <w:rPr>
      <w:rFonts w:ascii="Arial" w:hAnsi="Arial" w:cs="Arial"/>
      <w:sz w:val="18"/>
      <w:szCs w:val="18"/>
      <w:lang w:val="es-MX"/>
    </w:rPr>
  </w:style>
  <w:style w:type="paragraph" w:styleId="NormalWeb">
    <w:name w:val="Normal (Web)"/>
    <w:basedOn w:val="Normal"/>
    <w:uiPriority w:val="99"/>
    <w:rsid w:val="000470FE"/>
    <w:pPr>
      <w:spacing w:before="100" w:beforeAutospacing="1" w:after="100" w:afterAutospacing="1"/>
    </w:pPr>
  </w:style>
  <w:style w:type="character" w:customStyle="1" w:styleId="apple-style-span">
    <w:name w:val="apple-style-span"/>
    <w:rsid w:val="008846E7"/>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7E1FF4"/>
    <w:rPr>
      <w:rFonts w:ascii="Times New Roman" w:eastAsia="Times New Roman" w:hAnsi="Times New Roman" w:cs="Times New Roman"/>
      <w:lang w:val="es-ES"/>
    </w:rPr>
  </w:style>
  <w:style w:type="character" w:styleId="Textoennegrita">
    <w:name w:val="Strong"/>
    <w:uiPriority w:val="22"/>
    <w:qFormat/>
    <w:rsid w:val="003D1B5F"/>
    <w:rPr>
      <w:b/>
      <w:bC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2944C8"/>
    <w:rPr>
      <w:rFonts w:asciiTheme="minorHAnsi" w:eastAsiaTheme="minorHAnsi" w:hAnsiTheme="minorHAnsi" w:cstheme="minorBidi"/>
      <w:sz w:val="20"/>
      <w:szCs w:val="20"/>
      <w:lang w:val="es-MX"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2944C8"/>
    <w:rPr>
      <w:rFonts w:eastAsiaTheme="minorHAnsi"/>
      <w:sz w:val="20"/>
      <w:szCs w:val="20"/>
      <w:lang w:val="es-MX"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nhideWhenUsed/>
    <w:qFormat/>
    <w:rsid w:val="002944C8"/>
    <w:rPr>
      <w:vertAlign w:val="superscript"/>
    </w:rPr>
  </w:style>
  <w:style w:type="paragraph" w:styleId="Sinespaciado">
    <w:name w:val="No Spacing"/>
    <w:aliases w:val="Francesa"/>
    <w:link w:val="SinespaciadoCar"/>
    <w:uiPriority w:val="1"/>
    <w:qFormat/>
    <w:rsid w:val="002944C8"/>
    <w:rPr>
      <w:lang w:val="es-MX"/>
    </w:rPr>
  </w:style>
  <w:style w:type="paragraph" w:styleId="Textoindependiente2">
    <w:name w:val="Body Text 2"/>
    <w:basedOn w:val="Normal"/>
    <w:link w:val="Textoindependiente2Car"/>
    <w:uiPriority w:val="99"/>
    <w:unhideWhenUsed/>
    <w:rsid w:val="002944C8"/>
    <w:pPr>
      <w:spacing w:after="120" w:line="480" w:lineRule="auto"/>
    </w:pPr>
  </w:style>
  <w:style w:type="character" w:customStyle="1" w:styleId="Textoindependiente2Car">
    <w:name w:val="Texto independiente 2 Car"/>
    <w:basedOn w:val="Fuentedeprrafopredeter"/>
    <w:link w:val="Textoindependiente2"/>
    <w:uiPriority w:val="99"/>
    <w:rsid w:val="002944C8"/>
    <w:rPr>
      <w:rFonts w:ascii="Times New Roman" w:eastAsia="Times New Roman" w:hAnsi="Times New Roman" w:cs="Times New Roman"/>
      <w:lang w:val="es-ES"/>
    </w:rPr>
  </w:style>
  <w:style w:type="paragraph" w:styleId="Textosinformato">
    <w:name w:val="Plain Text"/>
    <w:basedOn w:val="Normal"/>
    <w:link w:val="TextosinformatoCar"/>
    <w:rsid w:val="002944C8"/>
    <w:rPr>
      <w:rFonts w:ascii="Courier New" w:hAnsi="Courier New"/>
      <w:sz w:val="20"/>
      <w:szCs w:val="20"/>
    </w:rPr>
  </w:style>
  <w:style w:type="character" w:customStyle="1" w:styleId="TextosinformatoCar">
    <w:name w:val="Texto sin formato Car"/>
    <w:basedOn w:val="Fuentedeprrafopredeter"/>
    <w:link w:val="Textosinformato"/>
    <w:rsid w:val="002944C8"/>
    <w:rPr>
      <w:rFonts w:ascii="Courier New" w:eastAsia="Times New Roman" w:hAnsi="Courier New" w:cs="Times New Roman"/>
      <w:sz w:val="20"/>
      <w:szCs w:val="20"/>
      <w:lang w:val="es-ES"/>
    </w:rPr>
  </w:style>
  <w:style w:type="paragraph" w:customStyle="1" w:styleId="Standard">
    <w:name w:val="Standard"/>
    <w:rsid w:val="002944C8"/>
    <w:pPr>
      <w:widowControl w:val="0"/>
      <w:suppressAutoHyphens/>
      <w:autoSpaceDN w:val="0"/>
      <w:textAlignment w:val="baseline"/>
    </w:pPr>
    <w:rPr>
      <w:rFonts w:ascii="Liberation Serif" w:eastAsia="DejaVu Sans" w:hAnsi="Liberation Serif" w:cs="Lohit Hindi"/>
      <w:kern w:val="3"/>
      <w:lang w:val="es-MX" w:eastAsia="zh-CN" w:bidi="hi-IN"/>
    </w:rPr>
  </w:style>
  <w:style w:type="character" w:customStyle="1" w:styleId="negritas1">
    <w:name w:val="negritas1"/>
    <w:rsid w:val="002944C8"/>
    <w:rPr>
      <w:rFonts w:ascii="Arial" w:hAnsi="Arial" w:cs="Arial" w:hint="default"/>
      <w:b/>
      <w:bCs/>
      <w:sz w:val="18"/>
      <w:szCs w:val="18"/>
    </w:rPr>
  </w:style>
  <w:style w:type="paragraph" w:customStyle="1" w:styleId="Pa2">
    <w:name w:val="Pa2"/>
    <w:basedOn w:val="Normal"/>
    <w:next w:val="Normal"/>
    <w:uiPriority w:val="99"/>
    <w:rsid w:val="002944C8"/>
    <w:pPr>
      <w:autoSpaceDE w:val="0"/>
      <w:autoSpaceDN w:val="0"/>
      <w:adjustRightInd w:val="0"/>
      <w:spacing w:line="240" w:lineRule="atLeast"/>
    </w:pPr>
    <w:rPr>
      <w:rFonts w:ascii="Helvetica" w:hAnsi="Helvetica"/>
      <w:lang w:val="es-ES_tradnl" w:eastAsia="es-ES_tradnl"/>
    </w:rPr>
  </w:style>
  <w:style w:type="paragraph" w:customStyle="1" w:styleId="Default">
    <w:name w:val="Default"/>
    <w:rsid w:val="002944C8"/>
    <w:pPr>
      <w:autoSpaceDE w:val="0"/>
      <w:autoSpaceDN w:val="0"/>
      <w:adjustRightInd w:val="0"/>
    </w:pPr>
    <w:rPr>
      <w:rFonts w:ascii="Arial" w:eastAsiaTheme="minorHAnsi" w:hAnsi="Arial" w:cs="Arial"/>
      <w:color w:val="000000"/>
      <w:lang w:val="es-MX" w:eastAsia="en-US"/>
    </w:rPr>
  </w:style>
  <w:style w:type="character" w:customStyle="1" w:styleId="f">
    <w:name w:val="f"/>
    <w:basedOn w:val="Fuentedeprrafopredeter"/>
    <w:rsid w:val="002944C8"/>
  </w:style>
  <w:style w:type="paragraph" w:customStyle="1" w:styleId="q">
    <w:name w:val="q"/>
    <w:basedOn w:val="Normal"/>
    <w:rsid w:val="002944C8"/>
    <w:pPr>
      <w:spacing w:before="100" w:beforeAutospacing="1" w:after="100" w:afterAutospacing="1"/>
    </w:pPr>
    <w:rPr>
      <w:lang w:val="es-MX"/>
    </w:rPr>
  </w:style>
  <w:style w:type="character" w:customStyle="1" w:styleId="d">
    <w:name w:val="d"/>
    <w:basedOn w:val="Fuentedeprrafopredeter"/>
    <w:rsid w:val="002944C8"/>
  </w:style>
  <w:style w:type="character" w:customStyle="1" w:styleId="b">
    <w:name w:val="b"/>
    <w:basedOn w:val="Fuentedeprrafopredeter"/>
    <w:rsid w:val="002944C8"/>
  </w:style>
  <w:style w:type="character" w:customStyle="1" w:styleId="k">
    <w:name w:val="k"/>
    <w:basedOn w:val="Fuentedeprrafopredeter"/>
    <w:rsid w:val="002944C8"/>
  </w:style>
  <w:style w:type="character" w:customStyle="1" w:styleId="h">
    <w:name w:val="h"/>
    <w:basedOn w:val="Fuentedeprrafopredeter"/>
    <w:rsid w:val="002944C8"/>
  </w:style>
  <w:style w:type="character" w:styleId="Hipervnculovisitado">
    <w:name w:val="FollowedHyperlink"/>
    <w:basedOn w:val="Fuentedeprrafopredeter"/>
    <w:uiPriority w:val="99"/>
    <w:semiHidden/>
    <w:unhideWhenUsed/>
    <w:rsid w:val="002944C8"/>
    <w:rPr>
      <w:color w:val="800080" w:themeColor="followedHyperlink"/>
      <w:u w:val="single"/>
    </w:rPr>
  </w:style>
  <w:style w:type="character" w:styleId="CitaHTML">
    <w:name w:val="HTML Cite"/>
    <w:uiPriority w:val="99"/>
    <w:semiHidden/>
    <w:unhideWhenUsed/>
    <w:rsid w:val="00B85C7C"/>
    <w:rPr>
      <w:i/>
      <w:iCs/>
    </w:rPr>
  </w:style>
  <w:style w:type="character" w:customStyle="1" w:styleId="SinespaciadoCar">
    <w:name w:val="Sin espaciado Car"/>
    <w:aliases w:val="Francesa Car"/>
    <w:link w:val="Sinespaciado"/>
    <w:uiPriority w:val="1"/>
    <w:locked/>
    <w:rsid w:val="00270539"/>
    <w:rPr>
      <w:rFonts w:ascii="Times New Roman" w:eastAsia="Times New Roman" w:hAnsi="Times New Roman" w:cs="Times New Roman"/>
      <w:lang w:val="es-MX"/>
    </w:rPr>
  </w:style>
  <w:style w:type="character" w:customStyle="1" w:styleId="medium">
    <w:name w:val="medium"/>
    <w:basedOn w:val="Fuentedeprrafopredeter"/>
    <w:rsid w:val="00354DB7"/>
  </w:style>
  <w:style w:type="table" w:styleId="Tablaconcuadrcula">
    <w:name w:val="Table Grid"/>
    <w:basedOn w:val="Tablanormal"/>
    <w:uiPriority w:val="59"/>
    <w:rsid w:val="00BB3A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umeroconsecutivo">
    <w:name w:val="numeroconsecutivo"/>
    <w:basedOn w:val="Fuentedeprrafopredeter"/>
    <w:rsid w:val="00615060"/>
  </w:style>
  <w:style w:type="character" w:customStyle="1" w:styleId="titulorubrolgt">
    <w:name w:val="titulorubrolgt"/>
    <w:basedOn w:val="Fuentedeprrafopredeter"/>
    <w:rsid w:val="00615060"/>
  </w:style>
  <w:style w:type="character" w:customStyle="1" w:styleId="ctr">
    <w:name w:val="ctr"/>
    <w:basedOn w:val="Fuentedeprrafopredeter"/>
    <w:rsid w:val="00615060"/>
  </w:style>
  <w:style w:type="paragraph" w:styleId="Textonotaalfinal">
    <w:name w:val="endnote text"/>
    <w:basedOn w:val="Normal"/>
    <w:link w:val="TextonotaalfinalCar"/>
    <w:uiPriority w:val="99"/>
    <w:semiHidden/>
    <w:unhideWhenUsed/>
    <w:rsid w:val="00D25E88"/>
    <w:rPr>
      <w:sz w:val="20"/>
      <w:szCs w:val="20"/>
    </w:rPr>
  </w:style>
  <w:style w:type="character" w:customStyle="1" w:styleId="TextonotaalfinalCar">
    <w:name w:val="Texto nota al final Car"/>
    <w:basedOn w:val="Fuentedeprrafopredeter"/>
    <w:link w:val="Textonotaalfinal"/>
    <w:uiPriority w:val="99"/>
    <w:semiHidden/>
    <w:rsid w:val="00D25E88"/>
    <w:rPr>
      <w:rFonts w:ascii="Times New Roman" w:eastAsia="Times New Roman" w:hAnsi="Times New Roman" w:cs="Times New Roman"/>
      <w:sz w:val="20"/>
      <w:szCs w:val="20"/>
      <w:lang w:val="es-ES"/>
    </w:rPr>
  </w:style>
  <w:style w:type="character" w:styleId="Refdenotaalfinal">
    <w:name w:val="endnote reference"/>
    <w:basedOn w:val="Fuentedeprrafopredeter"/>
    <w:uiPriority w:val="99"/>
    <w:semiHidden/>
    <w:unhideWhenUsed/>
    <w:rsid w:val="00D25E88"/>
    <w:rPr>
      <w:vertAlign w:val="superscript"/>
    </w:rPr>
  </w:style>
  <w:style w:type="character" w:customStyle="1" w:styleId="A1">
    <w:name w:val="A1"/>
    <w:uiPriority w:val="99"/>
    <w:rsid w:val="00EC4ECD"/>
    <w:rPr>
      <w:rFonts w:ascii="Myriad Pro" w:hAnsi="Myriad Pro" w:cs="Myriad Pro" w:hint="default"/>
      <w:color w:val="000000"/>
      <w:sz w:val="22"/>
      <w:szCs w:val="22"/>
    </w:rPr>
  </w:style>
  <w:style w:type="paragraph" w:customStyle="1" w:styleId="Pa9">
    <w:name w:val="Pa9"/>
    <w:basedOn w:val="Normal"/>
    <w:next w:val="Normal"/>
    <w:uiPriority w:val="99"/>
    <w:rsid w:val="00EC4ECD"/>
    <w:pPr>
      <w:autoSpaceDE w:val="0"/>
      <w:autoSpaceDN w:val="0"/>
      <w:adjustRightInd w:val="0"/>
      <w:spacing w:line="241" w:lineRule="atLeast"/>
    </w:pPr>
    <w:rPr>
      <w:rFonts w:ascii="Myriad Pro" w:eastAsiaTheme="minorHAnsi" w:hAnsi="Myriad Pro" w:cstheme="minorBidi"/>
      <w:lang w:val="es-MX" w:eastAsia="en-US"/>
    </w:rPr>
  </w:style>
  <w:style w:type="paragraph" w:customStyle="1" w:styleId="Pa5">
    <w:name w:val="Pa5"/>
    <w:basedOn w:val="Normal"/>
    <w:next w:val="Normal"/>
    <w:uiPriority w:val="99"/>
    <w:rsid w:val="00EC4ECD"/>
    <w:pPr>
      <w:autoSpaceDE w:val="0"/>
      <w:autoSpaceDN w:val="0"/>
      <w:adjustRightInd w:val="0"/>
      <w:spacing w:line="201" w:lineRule="atLeast"/>
    </w:pPr>
    <w:rPr>
      <w:rFonts w:ascii="Myriad Pro" w:eastAsiaTheme="minorHAnsi" w:hAnsi="Myriad Pro" w:cstheme="minorBidi"/>
      <w:lang w:val="es-MX" w:eastAsia="en-US"/>
    </w:rPr>
  </w:style>
  <w:style w:type="paragraph" w:customStyle="1" w:styleId="m5127500252372250437gmail-paragraph">
    <w:name w:val="m_5127500252372250437gmail-paragraph"/>
    <w:basedOn w:val="Normal"/>
    <w:rsid w:val="00980B7E"/>
    <w:pPr>
      <w:spacing w:before="100" w:beforeAutospacing="1" w:after="100" w:afterAutospacing="1"/>
    </w:pPr>
    <w:rPr>
      <w:lang w:val="es-MX"/>
    </w:rPr>
  </w:style>
  <w:style w:type="character" w:customStyle="1" w:styleId="nombrefraccder">
    <w:name w:val="nombrefraccder"/>
    <w:basedOn w:val="Fuentedeprrafopredeter"/>
    <w:rsid w:val="009B4A68"/>
  </w:style>
  <w:style w:type="character" w:customStyle="1" w:styleId="numberfraccder">
    <w:name w:val="numberfraccder"/>
    <w:basedOn w:val="Fuentedeprrafopredeter"/>
    <w:rsid w:val="009B4A68"/>
  </w:style>
  <w:style w:type="character" w:customStyle="1" w:styleId="TextoCar">
    <w:name w:val="Texto Car"/>
    <w:link w:val="Texto"/>
    <w:locked/>
    <w:rsid w:val="002B0963"/>
    <w:rPr>
      <w:rFonts w:ascii="Arial" w:eastAsia="Times New Roman" w:hAnsi="Arial" w:cs="Arial"/>
      <w:sz w:val="18"/>
      <w:szCs w:val="18"/>
      <w:lang w:val="es-MX"/>
    </w:rPr>
  </w:style>
  <w:style w:type="character" w:styleId="nfasis">
    <w:name w:val="Emphasis"/>
    <w:basedOn w:val="Fuentedeprrafopredeter"/>
    <w:uiPriority w:val="20"/>
    <w:qFormat/>
    <w:rsid w:val="00C536F2"/>
    <w:rPr>
      <w:i/>
      <w:iCs/>
    </w:rPr>
  </w:style>
  <w:style w:type="character" w:customStyle="1" w:styleId="normaltextrun">
    <w:name w:val="normaltextrun"/>
    <w:basedOn w:val="Fuentedeprrafopredeter"/>
    <w:rsid w:val="0011437B"/>
  </w:style>
  <w:style w:type="character" w:customStyle="1" w:styleId="m5127500252372250437gmail-normaltextrun">
    <w:name w:val="m_5127500252372250437gmail-normaltextrun"/>
    <w:basedOn w:val="Fuentedeprrafopredeter"/>
    <w:rsid w:val="0011437B"/>
  </w:style>
  <w:style w:type="paragraph" w:customStyle="1" w:styleId="m-60081275284358516gmail-msolistparagraph">
    <w:name w:val="m_-60081275284358516gmail-msolistparagraph"/>
    <w:basedOn w:val="Normal"/>
    <w:rsid w:val="00207C90"/>
    <w:pPr>
      <w:spacing w:before="100" w:beforeAutospacing="1" w:after="100" w:afterAutospacing="1"/>
    </w:pPr>
    <w:rPr>
      <w:lang w:val="es-MX"/>
    </w:rPr>
  </w:style>
  <w:style w:type="paragraph" w:customStyle="1" w:styleId="ANOTACION">
    <w:name w:val="ANOTACION"/>
    <w:basedOn w:val="Normal"/>
    <w:link w:val="ANOTACIONCar"/>
    <w:rsid w:val="001B5A73"/>
    <w:pPr>
      <w:spacing w:before="101" w:after="101" w:line="216" w:lineRule="atLeast"/>
      <w:jc w:val="center"/>
    </w:pPr>
    <w:rPr>
      <w:b/>
      <w:sz w:val="18"/>
      <w:szCs w:val="20"/>
      <w:lang w:val="es-ES_tradnl"/>
    </w:rPr>
  </w:style>
  <w:style w:type="character" w:customStyle="1" w:styleId="ANOTACIONCar">
    <w:name w:val="ANOTACION Car"/>
    <w:link w:val="ANOTACION"/>
    <w:locked/>
    <w:rsid w:val="001B5A73"/>
    <w:rPr>
      <w:rFonts w:ascii="Times New Roman" w:eastAsia="Times New Roman" w:hAnsi="Times New Roman" w:cs="Times New Roman"/>
      <w:b/>
      <w:sz w:val="18"/>
      <w:szCs w:val="20"/>
    </w:rPr>
  </w:style>
  <w:style w:type="paragraph" w:customStyle="1" w:styleId="j">
    <w:name w:val="j"/>
    <w:basedOn w:val="Normal"/>
    <w:rsid w:val="007B00BD"/>
    <w:pPr>
      <w:spacing w:before="100" w:beforeAutospacing="1" w:after="100" w:afterAutospacing="1"/>
    </w:pPr>
    <w:rPr>
      <w:lang w:val="es-MX"/>
    </w:rPr>
  </w:style>
  <w:style w:type="character" w:customStyle="1" w:styleId="nacep">
    <w:name w:val="n_acep"/>
    <w:basedOn w:val="Fuentedeprrafopredeter"/>
    <w:rsid w:val="007B00BD"/>
  </w:style>
  <w:style w:type="paragraph" w:customStyle="1" w:styleId="k5">
    <w:name w:val="k5"/>
    <w:basedOn w:val="Normal"/>
    <w:rsid w:val="007B00BD"/>
    <w:pPr>
      <w:spacing w:before="100" w:beforeAutospacing="1" w:after="100" w:afterAutospacing="1"/>
    </w:pPr>
    <w:rPr>
      <w:lang w:val="es-MX"/>
    </w:rPr>
  </w:style>
  <w:style w:type="paragraph" w:customStyle="1" w:styleId="m">
    <w:name w:val="m"/>
    <w:basedOn w:val="Normal"/>
    <w:rsid w:val="007B00BD"/>
    <w:pPr>
      <w:spacing w:before="100" w:beforeAutospacing="1" w:after="100" w:afterAutospacing="1"/>
    </w:pPr>
    <w:rPr>
      <w:lang w:val="es-MX"/>
    </w:rPr>
  </w:style>
  <w:style w:type="character" w:styleId="Refdecomentario">
    <w:name w:val="annotation reference"/>
    <w:basedOn w:val="Fuentedeprrafopredeter"/>
    <w:uiPriority w:val="99"/>
    <w:semiHidden/>
    <w:unhideWhenUsed/>
    <w:rsid w:val="003219FE"/>
    <w:rPr>
      <w:sz w:val="16"/>
      <w:szCs w:val="16"/>
    </w:rPr>
  </w:style>
  <w:style w:type="paragraph" w:styleId="Textocomentario">
    <w:name w:val="annotation text"/>
    <w:basedOn w:val="Normal"/>
    <w:link w:val="TextocomentarioCar"/>
    <w:uiPriority w:val="99"/>
    <w:semiHidden/>
    <w:unhideWhenUsed/>
    <w:rsid w:val="003219FE"/>
    <w:rPr>
      <w:sz w:val="20"/>
      <w:szCs w:val="20"/>
    </w:rPr>
  </w:style>
  <w:style w:type="character" w:customStyle="1" w:styleId="TextocomentarioCar">
    <w:name w:val="Texto comentario Car"/>
    <w:basedOn w:val="Fuentedeprrafopredeter"/>
    <w:link w:val="Textocomentario"/>
    <w:uiPriority w:val="99"/>
    <w:semiHidden/>
    <w:rsid w:val="003219FE"/>
    <w:rPr>
      <w:rFonts w:ascii="Times New Roman" w:eastAsia="Times New Roman" w:hAnsi="Times New Roman" w:cs="Times New Roman"/>
      <w:sz w:val="20"/>
      <w:szCs w:val="20"/>
      <w:lang w:val="es-ES"/>
    </w:rPr>
  </w:style>
  <w:style w:type="paragraph" w:styleId="Asuntodelcomentario">
    <w:name w:val="annotation subject"/>
    <w:basedOn w:val="Textocomentario"/>
    <w:next w:val="Textocomentario"/>
    <w:link w:val="AsuntodelcomentarioCar"/>
    <w:uiPriority w:val="99"/>
    <w:semiHidden/>
    <w:unhideWhenUsed/>
    <w:rsid w:val="003219FE"/>
    <w:rPr>
      <w:b/>
      <w:bCs/>
    </w:rPr>
  </w:style>
  <w:style w:type="character" w:customStyle="1" w:styleId="AsuntodelcomentarioCar">
    <w:name w:val="Asunto del comentario Car"/>
    <w:basedOn w:val="TextocomentarioCar"/>
    <w:link w:val="Asuntodelcomentario"/>
    <w:uiPriority w:val="99"/>
    <w:semiHidden/>
    <w:rsid w:val="003219FE"/>
    <w:rPr>
      <w:rFonts w:ascii="Times New Roman" w:eastAsia="Times New Roman" w:hAnsi="Times New Roman" w:cs="Times New Roman"/>
      <w:b/>
      <w:bCs/>
      <w:sz w:val="20"/>
      <w:szCs w:val="20"/>
      <w:lang w:val="es-ES"/>
    </w:rPr>
  </w:style>
  <w:style w:type="paragraph" w:customStyle="1" w:styleId="FAFunotente1">
    <w:name w:val="FA Fu?notente1"/>
    <w:basedOn w:val="Normal"/>
    <w:next w:val="Textonotapie"/>
    <w:uiPriority w:val="99"/>
    <w:unhideWhenUsed/>
    <w:rsid w:val="00A403D3"/>
    <w:rPr>
      <w:rFonts w:asciiTheme="minorHAnsi" w:eastAsia="Cambria" w:hAnsiTheme="minorHAnsi" w:cstheme="minorBidi"/>
      <w:sz w:val="20"/>
      <w:szCs w:val="20"/>
      <w:lang w:val="es-MX" w:eastAsia="en-US"/>
    </w:rPr>
  </w:style>
  <w:style w:type="character" w:customStyle="1" w:styleId="Ttulo1Car">
    <w:name w:val="Título 1 Car"/>
    <w:basedOn w:val="Fuentedeprrafopredeter"/>
    <w:link w:val="Ttulo1"/>
    <w:uiPriority w:val="9"/>
    <w:rsid w:val="00603D72"/>
    <w:rPr>
      <w:rFonts w:asciiTheme="majorHAnsi" w:eastAsiaTheme="majorEastAsia" w:hAnsiTheme="majorHAnsi" w:cstheme="majorBidi"/>
      <w:color w:val="365F91" w:themeColor="accent1" w:themeShade="BF"/>
      <w:sz w:val="32"/>
      <w:szCs w:val="32"/>
      <w:lang w:val="es-ES"/>
    </w:rPr>
  </w:style>
  <w:style w:type="character" w:customStyle="1" w:styleId="Ttulo2Car">
    <w:name w:val="Título 2 Car"/>
    <w:basedOn w:val="Fuentedeprrafopredeter"/>
    <w:link w:val="Ttulo2"/>
    <w:uiPriority w:val="9"/>
    <w:rsid w:val="00603D72"/>
    <w:rPr>
      <w:rFonts w:asciiTheme="majorHAnsi" w:eastAsiaTheme="majorEastAsia" w:hAnsiTheme="majorHAnsi" w:cstheme="majorBidi"/>
      <w:color w:val="365F91" w:themeColor="accent1" w:themeShade="BF"/>
      <w:sz w:val="26"/>
      <w:szCs w:val="26"/>
      <w:lang w:val="es-ES"/>
    </w:rPr>
  </w:style>
  <w:style w:type="paragraph" w:styleId="Lista">
    <w:name w:val="List"/>
    <w:basedOn w:val="Normal"/>
    <w:uiPriority w:val="99"/>
    <w:unhideWhenUsed/>
    <w:rsid w:val="00603D72"/>
    <w:pPr>
      <w:ind w:left="283" w:hanging="283"/>
      <w:contextualSpacing/>
    </w:pPr>
  </w:style>
  <w:style w:type="paragraph" w:styleId="Lista2">
    <w:name w:val="List 2"/>
    <w:basedOn w:val="Normal"/>
    <w:uiPriority w:val="99"/>
    <w:unhideWhenUsed/>
    <w:rsid w:val="00603D72"/>
    <w:pPr>
      <w:ind w:left="566" w:hanging="283"/>
      <w:contextualSpacing/>
    </w:pPr>
  </w:style>
  <w:style w:type="paragraph" w:styleId="Lista3">
    <w:name w:val="List 3"/>
    <w:basedOn w:val="Normal"/>
    <w:uiPriority w:val="99"/>
    <w:unhideWhenUsed/>
    <w:rsid w:val="00603D72"/>
    <w:pPr>
      <w:ind w:left="849" w:hanging="283"/>
      <w:contextualSpacing/>
    </w:pPr>
  </w:style>
  <w:style w:type="paragraph" w:styleId="Listaconvietas3">
    <w:name w:val="List Bullet 3"/>
    <w:basedOn w:val="Normal"/>
    <w:uiPriority w:val="99"/>
    <w:unhideWhenUsed/>
    <w:rsid w:val="00603D72"/>
    <w:pPr>
      <w:numPr>
        <w:numId w:val="1"/>
      </w:numPr>
      <w:contextualSpacing/>
    </w:pPr>
  </w:style>
  <w:style w:type="paragraph" w:styleId="Continuarlista">
    <w:name w:val="List Continue"/>
    <w:basedOn w:val="Normal"/>
    <w:uiPriority w:val="99"/>
    <w:unhideWhenUsed/>
    <w:rsid w:val="00603D72"/>
    <w:pPr>
      <w:spacing w:after="120"/>
      <w:ind w:left="283"/>
      <w:contextualSpacing/>
    </w:pPr>
  </w:style>
  <w:style w:type="paragraph" w:styleId="Continuarlista2">
    <w:name w:val="List Continue 2"/>
    <w:basedOn w:val="Normal"/>
    <w:uiPriority w:val="99"/>
    <w:unhideWhenUsed/>
    <w:rsid w:val="00603D72"/>
    <w:pPr>
      <w:spacing w:after="120"/>
      <w:ind w:left="566"/>
      <w:contextualSpacing/>
    </w:pPr>
  </w:style>
  <w:style w:type="paragraph" w:styleId="Textoindependiente">
    <w:name w:val="Body Text"/>
    <w:basedOn w:val="Normal"/>
    <w:link w:val="TextoindependienteCar"/>
    <w:uiPriority w:val="99"/>
    <w:unhideWhenUsed/>
    <w:rsid w:val="00603D72"/>
    <w:pPr>
      <w:spacing w:after="120"/>
    </w:pPr>
  </w:style>
  <w:style w:type="character" w:customStyle="1" w:styleId="TextoindependienteCar">
    <w:name w:val="Texto independiente Car"/>
    <w:basedOn w:val="Fuentedeprrafopredeter"/>
    <w:link w:val="Textoindependiente"/>
    <w:uiPriority w:val="99"/>
    <w:rsid w:val="00603D72"/>
    <w:rPr>
      <w:rFonts w:ascii="Times New Roman" w:eastAsia="Times New Roman" w:hAnsi="Times New Roman" w:cs="Times New Roman"/>
      <w:lang w:val="es-ES"/>
    </w:rPr>
  </w:style>
  <w:style w:type="paragraph" w:styleId="Sangradetextonormal">
    <w:name w:val="Body Text Indent"/>
    <w:basedOn w:val="Normal"/>
    <w:link w:val="SangradetextonormalCar"/>
    <w:uiPriority w:val="99"/>
    <w:semiHidden/>
    <w:unhideWhenUsed/>
    <w:rsid w:val="00603D72"/>
    <w:pPr>
      <w:spacing w:after="120"/>
      <w:ind w:left="283"/>
    </w:pPr>
  </w:style>
  <w:style w:type="character" w:customStyle="1" w:styleId="SangradetextonormalCar">
    <w:name w:val="Sangría de texto normal Car"/>
    <w:basedOn w:val="Fuentedeprrafopredeter"/>
    <w:link w:val="Sangradetextonormal"/>
    <w:uiPriority w:val="99"/>
    <w:semiHidden/>
    <w:rsid w:val="00603D72"/>
    <w:rPr>
      <w:rFonts w:ascii="Times New Roman" w:eastAsia="Times New Roman" w:hAnsi="Times New Roman" w:cs="Times New Roman"/>
      <w:lang w:val="es-ES"/>
    </w:rPr>
  </w:style>
  <w:style w:type="paragraph" w:styleId="Textoindependienteprimerasangra2">
    <w:name w:val="Body Text First Indent 2"/>
    <w:basedOn w:val="Sangradetextonormal"/>
    <w:link w:val="Textoindependienteprimerasangra2Car"/>
    <w:uiPriority w:val="99"/>
    <w:unhideWhenUsed/>
    <w:rsid w:val="00603D7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603D72"/>
    <w:rPr>
      <w:rFonts w:ascii="Times New Roman" w:eastAsia="Times New Roman" w:hAnsi="Times New Roman" w:cs="Times New Roman"/>
      <w:lang w:val="es-ES"/>
    </w:rPr>
  </w:style>
  <w:style w:type="paragraph" w:customStyle="1" w:styleId="paragraph">
    <w:name w:val="paragraph"/>
    <w:basedOn w:val="Normal"/>
    <w:rsid w:val="00E34821"/>
    <w:pPr>
      <w:spacing w:before="100" w:beforeAutospacing="1" w:after="100" w:afterAutospacing="1"/>
    </w:pPr>
    <w:rPr>
      <w:lang w:val="es-MX"/>
    </w:rPr>
  </w:style>
  <w:style w:type="paragraph" w:customStyle="1" w:styleId="n2">
    <w:name w:val="n2"/>
    <w:basedOn w:val="Normal"/>
    <w:rsid w:val="009D307C"/>
    <w:pPr>
      <w:spacing w:before="100" w:beforeAutospacing="1" w:after="100" w:afterAutospacing="1"/>
    </w:pPr>
    <w:rPr>
      <w:lang w:val="es-MX"/>
    </w:rPr>
  </w:style>
  <w:style w:type="character" w:customStyle="1" w:styleId="u">
    <w:name w:val="u"/>
    <w:basedOn w:val="Fuentedeprrafopredeter"/>
    <w:rsid w:val="009D307C"/>
  </w:style>
  <w:style w:type="paragraph" w:customStyle="1" w:styleId="j1">
    <w:name w:val="j1"/>
    <w:basedOn w:val="Normal"/>
    <w:rsid w:val="009D307C"/>
    <w:pPr>
      <w:spacing w:before="100" w:beforeAutospacing="1" w:after="100" w:afterAutospacing="1"/>
    </w:pPr>
    <w:rPr>
      <w:lang w:val="es-MX"/>
    </w:rPr>
  </w:style>
  <w:style w:type="paragraph" w:customStyle="1" w:styleId="j2">
    <w:name w:val="j2"/>
    <w:basedOn w:val="Normal"/>
    <w:rsid w:val="009D307C"/>
    <w:pPr>
      <w:spacing w:before="100" w:beforeAutospacing="1" w:after="100" w:afterAutospacing="1"/>
    </w:pPr>
    <w:rPr>
      <w:lang w:val="es-MX"/>
    </w:rPr>
  </w:style>
  <w:style w:type="table" w:styleId="Tabladelista1clara-nfasis1">
    <w:name w:val="List Table 1 Light Accent 1"/>
    <w:basedOn w:val="Tablanormal"/>
    <w:uiPriority w:val="46"/>
    <w:rsid w:val="00A01B91"/>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cinsinresolver1">
    <w:name w:val="Mención sin resolver1"/>
    <w:basedOn w:val="Fuentedeprrafopredeter"/>
    <w:uiPriority w:val="99"/>
    <w:semiHidden/>
    <w:unhideWhenUsed/>
    <w:rsid w:val="00457753"/>
    <w:rPr>
      <w:color w:val="605E5C"/>
      <w:shd w:val="clear" w:color="auto" w:fill="E1DFDD"/>
    </w:rPr>
  </w:style>
  <w:style w:type="character" w:customStyle="1" w:styleId="Mencinsinresolver2">
    <w:name w:val="Mención sin resolver2"/>
    <w:basedOn w:val="Fuentedeprrafopredeter"/>
    <w:uiPriority w:val="99"/>
    <w:semiHidden/>
    <w:unhideWhenUsed/>
    <w:rsid w:val="00CE48D4"/>
    <w:rPr>
      <w:color w:val="605E5C"/>
      <w:shd w:val="clear" w:color="auto" w:fill="E1DFDD"/>
    </w:rPr>
  </w:style>
  <w:style w:type="table" w:customStyle="1" w:styleId="Tabladelista1clara-nfasis11">
    <w:name w:val="Tabla de lista 1 clara - Énfasis 11"/>
    <w:basedOn w:val="Tablanormal"/>
    <w:uiPriority w:val="46"/>
    <w:rsid w:val="008F79FD"/>
    <w:rPr>
      <w:rFonts w:eastAsia="MS Mincho"/>
    </w:rPr>
    <w:tblPr>
      <w:tblStyleRowBandSize w:val="1"/>
      <w:tblStyleColBandSize w:val="1"/>
    </w:tblPr>
    <w:tblStylePr w:type="firstRow">
      <w:rPr>
        <w:b/>
        <w:bCs/>
      </w:rPr>
      <w:tblPr/>
      <w:tcPr>
        <w:tcBorders>
          <w:bottom w:val="single" w:sz="4" w:space="0" w:color="95B3D7"/>
        </w:tcBorders>
      </w:tcPr>
    </w:tblStylePr>
    <w:tblStylePr w:type="lastRow">
      <w:rPr>
        <w:b/>
        <w:bCs/>
      </w:rPr>
      <w:tblPr/>
      <w:tcPr>
        <w:tcBorders>
          <w:top w:val="sing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Ttulo3Car">
    <w:name w:val="Título 3 Car"/>
    <w:basedOn w:val="Fuentedeprrafopredeter"/>
    <w:link w:val="Ttulo3"/>
    <w:uiPriority w:val="9"/>
    <w:semiHidden/>
    <w:rsid w:val="003B73CD"/>
    <w:rPr>
      <w:rFonts w:asciiTheme="majorHAnsi" w:eastAsiaTheme="majorEastAsia" w:hAnsiTheme="majorHAnsi" w:cstheme="majorBidi"/>
      <w:b/>
      <w:bCs/>
      <w:sz w:val="26"/>
      <w:szCs w:val="26"/>
      <w:lang w:val="en-US" w:eastAsia="en-US"/>
    </w:rPr>
  </w:style>
  <w:style w:type="character" w:customStyle="1" w:styleId="Ttulo4Car">
    <w:name w:val="Título 4 Car"/>
    <w:basedOn w:val="Fuentedeprrafopredeter"/>
    <w:link w:val="Ttulo4"/>
    <w:uiPriority w:val="9"/>
    <w:semiHidden/>
    <w:rsid w:val="003B73CD"/>
    <w:rPr>
      <w:b/>
      <w:bCs/>
      <w:sz w:val="28"/>
      <w:szCs w:val="28"/>
      <w:lang w:val="en-US" w:eastAsia="en-US"/>
    </w:rPr>
  </w:style>
  <w:style w:type="character" w:customStyle="1" w:styleId="Ttulo5Car">
    <w:name w:val="Título 5 Car"/>
    <w:basedOn w:val="Fuentedeprrafopredeter"/>
    <w:link w:val="Ttulo5"/>
    <w:uiPriority w:val="9"/>
    <w:semiHidden/>
    <w:rsid w:val="003B73CD"/>
    <w:rPr>
      <w:b/>
      <w:bCs/>
      <w:i/>
      <w:iCs/>
      <w:sz w:val="26"/>
      <w:szCs w:val="26"/>
      <w:lang w:val="en-US" w:eastAsia="en-US"/>
    </w:rPr>
  </w:style>
  <w:style w:type="character" w:customStyle="1" w:styleId="Ttulo6Car">
    <w:name w:val="Título 6 Car"/>
    <w:basedOn w:val="Fuentedeprrafopredeter"/>
    <w:link w:val="Ttulo6"/>
    <w:semiHidden/>
    <w:rsid w:val="003B73CD"/>
    <w:rPr>
      <w:rFonts w:ascii="Times New Roman" w:eastAsia="Times New Roman" w:hAnsi="Times New Roman" w:cs="Times New Roman"/>
      <w:b/>
      <w:bCs/>
      <w:sz w:val="22"/>
      <w:szCs w:val="22"/>
      <w:lang w:val="en-US" w:eastAsia="en-US"/>
    </w:rPr>
  </w:style>
  <w:style w:type="character" w:customStyle="1" w:styleId="Ttulo7Car">
    <w:name w:val="Título 7 Car"/>
    <w:basedOn w:val="Fuentedeprrafopredeter"/>
    <w:link w:val="Ttulo7"/>
    <w:uiPriority w:val="9"/>
    <w:semiHidden/>
    <w:rsid w:val="003B73CD"/>
    <w:rPr>
      <w:lang w:val="en-US" w:eastAsia="en-US"/>
    </w:rPr>
  </w:style>
  <w:style w:type="character" w:customStyle="1" w:styleId="Ttulo8Car">
    <w:name w:val="Título 8 Car"/>
    <w:basedOn w:val="Fuentedeprrafopredeter"/>
    <w:link w:val="Ttulo8"/>
    <w:uiPriority w:val="9"/>
    <w:semiHidden/>
    <w:rsid w:val="003B73CD"/>
    <w:rPr>
      <w:i/>
      <w:iCs/>
      <w:lang w:val="en-US" w:eastAsia="en-US"/>
    </w:rPr>
  </w:style>
  <w:style w:type="character" w:customStyle="1" w:styleId="Ttulo9Car">
    <w:name w:val="Título 9 Car"/>
    <w:basedOn w:val="Fuentedeprrafopredeter"/>
    <w:link w:val="Ttulo9"/>
    <w:uiPriority w:val="9"/>
    <w:semiHidden/>
    <w:rsid w:val="003B73CD"/>
    <w:rPr>
      <w:rFonts w:asciiTheme="majorHAnsi" w:eastAsiaTheme="majorEastAsia" w:hAnsiTheme="majorHAnsi" w:cstheme="majorBidi"/>
      <w:sz w:val="22"/>
      <w:szCs w:val="22"/>
      <w:lang w:val="en-US" w:eastAsia="en-U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3"/>
    <w:tblPr>
      <w:tblStyleRowBandSize w:val="1"/>
      <w:tblStyleColBandSize w:val="1"/>
      <w:tblCellMar>
        <w:left w:w="108" w:type="dxa"/>
        <w:right w:w="108" w:type="dxa"/>
      </w:tblCellMar>
    </w:tblPr>
    <w:tblStylePr w:type="firstRow">
      <w:rPr>
        <w:b/>
      </w:rPr>
      <w:tblPr/>
      <w:tcPr>
        <w:tcBorders>
          <w:bottom w:val="single" w:sz="4" w:space="0" w:color="95B3D7"/>
        </w:tcBorders>
      </w:tcPr>
    </w:tblStylePr>
    <w:tblStylePr w:type="lastRow">
      <w:rPr>
        <w:b/>
      </w:rPr>
      <w:tblPr/>
      <w:tcPr>
        <w:tcBorders>
          <w:top w:val="single" w:sz="4" w:space="0" w:color="95B3D7"/>
        </w:tcBorders>
      </w:tcPr>
    </w:tblStylePr>
    <w:tblStylePr w:type="firstCol">
      <w:rPr>
        <w:b/>
      </w:rPr>
    </w:tblStylePr>
    <w:tblStylePr w:type="lastCol">
      <w:rPr>
        <w:b/>
      </w:rPr>
    </w:tblStylePr>
    <w:tblStylePr w:type="band1Vert">
      <w:tblPr/>
      <w:tcPr>
        <w:shd w:val="clear" w:color="auto" w:fill="DBE5F1"/>
      </w:tcPr>
    </w:tblStylePr>
    <w:tblStylePr w:type="band1Horz">
      <w:tblPr/>
      <w:tcPr>
        <w:shd w:val="clear" w:color="auto" w:fill="DBE5F1"/>
      </w:tcPr>
    </w:tblStylePr>
  </w:style>
  <w:style w:type="table" w:customStyle="1" w:styleId="a0">
    <w:basedOn w:val="TableNormal3"/>
    <w:tblPr>
      <w:tblStyleRowBandSize w:val="1"/>
      <w:tblStyleColBandSize w:val="1"/>
      <w:tblCellMar>
        <w:left w:w="115" w:type="dxa"/>
        <w:right w:w="115" w:type="dxa"/>
      </w:tblCellMar>
    </w:tblPr>
  </w:style>
  <w:style w:type="table" w:customStyle="1" w:styleId="a2">
    <w:basedOn w:val="TableNormal3"/>
    <w:tblPr>
      <w:tblStyleRowBandSize w:val="1"/>
      <w:tblStyleColBandSize w:val="1"/>
      <w:tblCellMar>
        <w:left w:w="115" w:type="dxa"/>
        <w:right w:w="115" w:type="dxa"/>
      </w:tblCellMar>
    </w:tblPr>
  </w:style>
  <w:style w:type="table" w:customStyle="1" w:styleId="a3">
    <w:basedOn w:val="TableNormal3"/>
    <w:tblPr>
      <w:tblStyleRowBandSize w:val="1"/>
      <w:tblStyleColBandSize w:val="1"/>
      <w:tblCellMar>
        <w:left w:w="115" w:type="dxa"/>
        <w:right w:w="115" w:type="dxa"/>
      </w:tblCellMar>
    </w:tblPr>
  </w:style>
  <w:style w:type="table" w:customStyle="1" w:styleId="a4">
    <w:basedOn w:val="TableNormal3"/>
    <w:tblPr>
      <w:tblStyleRowBandSize w:val="1"/>
      <w:tblStyleColBandSize w:val="1"/>
      <w:tblCellMar>
        <w:left w:w="115" w:type="dxa"/>
        <w:right w:w="115" w:type="dxa"/>
      </w:tblCellMar>
    </w:tblPr>
  </w:style>
  <w:style w:type="table" w:customStyle="1" w:styleId="a5">
    <w:basedOn w:val="TableNormal2"/>
    <w:tblPr>
      <w:tblStyleRowBandSize w:val="1"/>
      <w:tblStyleColBandSize w:val="1"/>
      <w:tblCellMar>
        <w:left w:w="115" w:type="dxa"/>
        <w:right w:w="115" w:type="dxa"/>
      </w:tblCellMar>
    </w:tblPr>
  </w:style>
  <w:style w:type="table" w:customStyle="1" w:styleId="a6">
    <w:basedOn w:val="TableNormal2"/>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0"/>
    <w:tblPr>
      <w:tblStyleRowBandSize w:val="1"/>
      <w:tblStyleColBandSize w:val="1"/>
      <w:tblCellMar>
        <w:left w:w="115" w:type="dxa"/>
        <w:right w:w="115" w:type="dxa"/>
      </w:tblCellMar>
    </w:tblPr>
  </w:style>
  <w:style w:type="table" w:customStyle="1" w:styleId="aa">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19115">
      <w:bodyDiv w:val="1"/>
      <w:marLeft w:val="0"/>
      <w:marRight w:val="0"/>
      <w:marTop w:val="0"/>
      <w:marBottom w:val="0"/>
      <w:divBdr>
        <w:top w:val="none" w:sz="0" w:space="0" w:color="auto"/>
        <w:left w:val="none" w:sz="0" w:space="0" w:color="auto"/>
        <w:bottom w:val="none" w:sz="0" w:space="0" w:color="auto"/>
        <w:right w:val="none" w:sz="0" w:space="0" w:color="auto"/>
      </w:divBdr>
    </w:div>
    <w:div w:id="568685839">
      <w:bodyDiv w:val="1"/>
      <w:marLeft w:val="0"/>
      <w:marRight w:val="0"/>
      <w:marTop w:val="0"/>
      <w:marBottom w:val="0"/>
      <w:divBdr>
        <w:top w:val="none" w:sz="0" w:space="0" w:color="auto"/>
        <w:left w:val="none" w:sz="0" w:space="0" w:color="auto"/>
        <w:bottom w:val="none" w:sz="0" w:space="0" w:color="auto"/>
        <w:right w:val="none" w:sz="0" w:space="0" w:color="auto"/>
      </w:divBdr>
    </w:div>
    <w:div w:id="702025883">
      <w:bodyDiv w:val="1"/>
      <w:marLeft w:val="0"/>
      <w:marRight w:val="0"/>
      <w:marTop w:val="0"/>
      <w:marBottom w:val="0"/>
      <w:divBdr>
        <w:top w:val="none" w:sz="0" w:space="0" w:color="auto"/>
        <w:left w:val="none" w:sz="0" w:space="0" w:color="auto"/>
        <w:bottom w:val="none" w:sz="0" w:space="0" w:color="auto"/>
        <w:right w:val="none" w:sz="0" w:space="0" w:color="auto"/>
      </w:divBdr>
    </w:div>
    <w:div w:id="1279481944">
      <w:bodyDiv w:val="1"/>
      <w:marLeft w:val="0"/>
      <w:marRight w:val="0"/>
      <w:marTop w:val="0"/>
      <w:marBottom w:val="0"/>
      <w:divBdr>
        <w:top w:val="none" w:sz="0" w:space="0" w:color="auto"/>
        <w:left w:val="none" w:sz="0" w:space="0" w:color="auto"/>
        <w:bottom w:val="none" w:sz="0" w:space="0" w:color="auto"/>
        <w:right w:val="none" w:sz="0" w:space="0" w:color="auto"/>
      </w:divBdr>
    </w:div>
    <w:div w:id="1876238520">
      <w:bodyDiv w:val="1"/>
      <w:marLeft w:val="0"/>
      <w:marRight w:val="0"/>
      <w:marTop w:val="0"/>
      <w:marBottom w:val="0"/>
      <w:divBdr>
        <w:top w:val="none" w:sz="0" w:space="0" w:color="auto"/>
        <w:left w:val="none" w:sz="0" w:space="0" w:color="auto"/>
        <w:bottom w:val="none" w:sz="0" w:space="0" w:color="auto"/>
        <w:right w:val="none" w:sz="0" w:space="0" w:color="auto"/>
      </w:divBdr>
    </w:div>
    <w:div w:id="1932543775">
      <w:bodyDiv w:val="1"/>
      <w:marLeft w:val="0"/>
      <w:marRight w:val="0"/>
      <w:marTop w:val="0"/>
      <w:marBottom w:val="0"/>
      <w:divBdr>
        <w:top w:val="none" w:sz="0" w:space="0" w:color="auto"/>
        <w:left w:val="none" w:sz="0" w:space="0" w:color="auto"/>
        <w:bottom w:val="none" w:sz="0" w:space="0" w:color="auto"/>
        <w:right w:val="none" w:sz="0" w:space="0" w:color="auto"/>
      </w:divBdr>
    </w:div>
    <w:div w:id="21423771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Yq3+WL7bGGZ021HmY0d8mR9oBA==">CgMxLjAyCGguZ2pkZ3hzMgloLjMwajB6bGwyCWguMnM4ZXlvMTIIaC50eWpjd3QyCWguM3pueXNoNzIJaC4xZm9iOXRlMghoLmxueGJ6OTgAciExV2lGdS00NTJvYjc1WHlrSVNfRG1fRy1XOS1rQm13WUo=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22</Pages>
  <Words>5854</Words>
  <Characters>32199</Characters>
  <Application>Microsoft Office Word</Application>
  <DocSecurity>0</DocSecurity>
  <Lines>268</Lines>
  <Paragraphs>75</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37978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iMac</dc:creator>
  <cp:lastModifiedBy>Maricela Villagómez Martínez</cp:lastModifiedBy>
  <cp:revision>2</cp:revision>
  <cp:lastPrinted>2025-03-07T21:18:00Z</cp:lastPrinted>
  <dcterms:created xsi:type="dcterms:W3CDTF">2025-03-31T19:49:00Z</dcterms:created>
  <dcterms:modified xsi:type="dcterms:W3CDTF">2025-03-31T19:49:00Z</dcterms:modified>
</cp:coreProperties>
</file>