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73A04" w:rsidRDefault="00AE3DA7" w:rsidP="00673A04">
          <w:pPr>
            <w:pStyle w:val="TtulodeTDC"/>
            <w:spacing w:before="0" w:line="240" w:lineRule="auto"/>
            <w:rPr>
              <w:rFonts w:ascii="Palatino Linotype" w:hAnsi="Palatino Linotype"/>
              <w:color w:val="auto"/>
              <w:sz w:val="24"/>
              <w:szCs w:val="24"/>
              <w:lang w:val="es-ES"/>
            </w:rPr>
          </w:pPr>
          <w:r w:rsidRPr="00673A04">
            <w:rPr>
              <w:rFonts w:ascii="Palatino Linotype" w:hAnsi="Palatino Linotype"/>
              <w:color w:val="auto"/>
              <w:sz w:val="24"/>
              <w:szCs w:val="24"/>
              <w:lang w:val="es-ES"/>
            </w:rPr>
            <w:t>Contenido</w:t>
          </w:r>
        </w:p>
        <w:p w14:paraId="3EB312A7" w14:textId="77777777" w:rsidR="00AA6EA9" w:rsidRPr="00673A04" w:rsidRDefault="00AA6EA9" w:rsidP="00673A04">
          <w:pPr>
            <w:spacing w:line="240" w:lineRule="auto"/>
            <w:rPr>
              <w:sz w:val="16"/>
              <w:szCs w:val="16"/>
              <w:lang w:val="es-ES" w:eastAsia="es-MX"/>
            </w:rPr>
          </w:pPr>
        </w:p>
        <w:p w14:paraId="69D02E70" w14:textId="77777777" w:rsidR="00673A04" w:rsidRPr="00673A04" w:rsidRDefault="00AE3DA7" w:rsidP="00673A04">
          <w:pPr>
            <w:pStyle w:val="TDC1"/>
            <w:tabs>
              <w:tab w:val="right" w:leader="dot" w:pos="9034"/>
            </w:tabs>
            <w:rPr>
              <w:rFonts w:asciiTheme="minorHAnsi" w:eastAsiaTheme="minorEastAsia" w:hAnsiTheme="minorHAnsi" w:cstheme="minorBidi"/>
              <w:noProof/>
              <w:szCs w:val="22"/>
              <w:lang w:eastAsia="es-MX"/>
            </w:rPr>
          </w:pPr>
          <w:r w:rsidRPr="00673A04">
            <w:rPr>
              <w:sz w:val="16"/>
              <w:szCs w:val="16"/>
            </w:rPr>
            <w:fldChar w:fldCharType="begin"/>
          </w:r>
          <w:r w:rsidRPr="00673A04">
            <w:rPr>
              <w:sz w:val="16"/>
              <w:szCs w:val="16"/>
            </w:rPr>
            <w:instrText xml:space="preserve"> TOC \o "1-3" \h \z \u </w:instrText>
          </w:r>
          <w:r w:rsidRPr="00673A04">
            <w:rPr>
              <w:sz w:val="16"/>
              <w:szCs w:val="16"/>
            </w:rPr>
            <w:fldChar w:fldCharType="separate"/>
          </w:r>
          <w:hyperlink w:anchor="_Toc198750412" w:history="1">
            <w:r w:rsidR="00673A04" w:rsidRPr="00673A04">
              <w:rPr>
                <w:rStyle w:val="Hipervnculo"/>
                <w:noProof/>
                <w:color w:val="auto"/>
              </w:rPr>
              <w:t>ANTECEDENTES</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_Toc198750412 \h </w:instrText>
            </w:r>
            <w:r w:rsidR="00673A04" w:rsidRPr="00673A04">
              <w:rPr>
                <w:noProof/>
                <w:webHidden/>
              </w:rPr>
            </w:r>
            <w:r w:rsidR="00673A04" w:rsidRPr="00673A04">
              <w:rPr>
                <w:noProof/>
                <w:webHidden/>
              </w:rPr>
              <w:fldChar w:fldCharType="separate"/>
            </w:r>
            <w:r w:rsidR="00393779">
              <w:rPr>
                <w:noProof/>
                <w:webHidden/>
              </w:rPr>
              <w:t>1</w:t>
            </w:r>
            <w:r w:rsidR="00673A04" w:rsidRPr="00673A04">
              <w:rPr>
                <w:noProof/>
                <w:webHidden/>
              </w:rPr>
              <w:fldChar w:fldCharType="end"/>
            </w:r>
          </w:hyperlink>
        </w:p>
        <w:p w14:paraId="729261BD" w14:textId="77777777" w:rsidR="00673A04" w:rsidRPr="00673A04" w:rsidRDefault="005B6FB1" w:rsidP="00673A04">
          <w:pPr>
            <w:pStyle w:val="TDC2"/>
            <w:rPr>
              <w:rFonts w:asciiTheme="minorHAnsi" w:eastAsiaTheme="minorEastAsia" w:hAnsiTheme="minorHAnsi" w:cstheme="minorBidi"/>
              <w:noProof/>
              <w:szCs w:val="22"/>
              <w:lang w:eastAsia="es-MX"/>
            </w:rPr>
          </w:pPr>
          <w:hyperlink w:anchor="_Toc198750413" w:history="1">
            <w:r w:rsidR="00673A04" w:rsidRPr="00673A04">
              <w:rPr>
                <w:rStyle w:val="Hipervnculo"/>
                <w:noProof/>
                <w:color w:val="auto"/>
              </w:rPr>
              <w:t>DE LA SOLICITUD DE INFORMACIÓN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_Toc198750413 \h </w:instrText>
            </w:r>
            <w:r w:rsidR="00673A04" w:rsidRPr="00673A04">
              <w:rPr>
                <w:noProof/>
                <w:webHidden/>
              </w:rPr>
            </w:r>
            <w:r w:rsidR="00673A04" w:rsidRPr="00673A04">
              <w:rPr>
                <w:noProof/>
                <w:webHidden/>
              </w:rPr>
              <w:fldChar w:fldCharType="separate"/>
            </w:r>
            <w:r w:rsidR="00393779">
              <w:rPr>
                <w:noProof/>
                <w:webHidden/>
              </w:rPr>
              <w:t>1</w:t>
            </w:r>
            <w:r w:rsidR="00673A04" w:rsidRPr="00673A04">
              <w:rPr>
                <w:noProof/>
                <w:webHidden/>
              </w:rPr>
              <w:fldChar w:fldCharType="end"/>
            </w:r>
          </w:hyperlink>
        </w:p>
        <w:p w14:paraId="74BC94CE"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14" w:history="1">
            <w:r w:rsidR="00673A04" w:rsidRPr="00673A04">
              <w:rPr>
                <w:rStyle w:val="Hipervnculo"/>
                <w:noProof/>
                <w:color w:val="auto"/>
              </w:rPr>
              <w:t>a) Solicitud de información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_Toc198750414 \h </w:instrText>
            </w:r>
            <w:r w:rsidR="00673A04" w:rsidRPr="00673A04">
              <w:rPr>
                <w:noProof/>
                <w:webHidden/>
              </w:rPr>
            </w:r>
            <w:r w:rsidR="00673A04" w:rsidRPr="00673A04">
              <w:rPr>
                <w:noProof/>
                <w:webHidden/>
              </w:rPr>
              <w:fldChar w:fldCharType="separate"/>
            </w:r>
            <w:r w:rsidR="00393779">
              <w:rPr>
                <w:noProof/>
                <w:webHidden/>
              </w:rPr>
              <w:t>1</w:t>
            </w:r>
            <w:r w:rsidR="00673A04" w:rsidRPr="00673A04">
              <w:rPr>
                <w:noProof/>
                <w:webHidden/>
              </w:rPr>
              <w:fldChar w:fldCharType="end"/>
            </w:r>
          </w:hyperlink>
        </w:p>
        <w:p w14:paraId="01A59A80"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15" w:history="1">
            <w:r w:rsidR="00673A04" w:rsidRPr="00673A04">
              <w:rPr>
                <w:rStyle w:val="Hipervnculo"/>
                <w:noProof/>
                <w:color w:val="auto"/>
              </w:rPr>
              <w:t xml:space="preserve">b) </w:t>
            </w:r>
            <w:r w:rsidR="00673A04" w:rsidRPr="00673A04">
              <w:rPr>
                <w:rStyle w:val="Hipervnculo"/>
                <w:noProof/>
                <w:color w:val="auto"/>
                <w:lang w:val="es-ES"/>
              </w:rPr>
              <w:t xml:space="preserve">Respuesta </w:t>
            </w:r>
            <w:r w:rsidR="00673A04" w:rsidRPr="00673A04">
              <w:rPr>
                <w:rStyle w:val="Hipervnculo"/>
                <w:rFonts w:eastAsia="Calibri"/>
                <w:noProof/>
                <w:color w:val="auto"/>
                <w:lang w:eastAsia="en-US"/>
              </w:rPr>
              <w:t>del Sujeto Obligado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_Toc198750415 \h </w:instrText>
            </w:r>
            <w:r w:rsidR="00673A04" w:rsidRPr="00673A04">
              <w:rPr>
                <w:noProof/>
                <w:webHidden/>
              </w:rPr>
            </w:r>
            <w:r w:rsidR="00673A04" w:rsidRPr="00673A04">
              <w:rPr>
                <w:noProof/>
                <w:webHidden/>
              </w:rPr>
              <w:fldChar w:fldCharType="separate"/>
            </w:r>
            <w:r w:rsidR="00393779">
              <w:rPr>
                <w:noProof/>
                <w:webHidden/>
              </w:rPr>
              <w:t>2</w:t>
            </w:r>
            <w:r w:rsidR="00673A04" w:rsidRPr="00673A04">
              <w:rPr>
                <w:noProof/>
                <w:webHidden/>
              </w:rPr>
              <w:fldChar w:fldCharType="end"/>
            </w:r>
          </w:hyperlink>
        </w:p>
        <w:p w14:paraId="4924D71F" w14:textId="77777777" w:rsidR="00673A04" w:rsidRPr="00673A04" w:rsidRDefault="005B6FB1" w:rsidP="00673A04">
          <w:pPr>
            <w:pStyle w:val="TDC2"/>
            <w:rPr>
              <w:rFonts w:asciiTheme="minorHAnsi" w:eastAsiaTheme="minorEastAsia" w:hAnsiTheme="minorHAnsi" w:cstheme="minorBidi"/>
              <w:noProof/>
              <w:szCs w:val="22"/>
              <w:lang w:eastAsia="es-MX"/>
            </w:rPr>
          </w:pPr>
          <w:hyperlink w:anchor="_Toc198750416" w:history="1">
            <w:r w:rsidR="00673A04" w:rsidRPr="00673A04">
              <w:rPr>
                <w:rStyle w:val="Hipervnculo"/>
                <w:noProof/>
                <w:color w:val="auto"/>
              </w:rPr>
              <w:t>DEL RECURSO DE REVISIÓN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_Toc198750416 \h </w:instrText>
            </w:r>
            <w:r w:rsidR="00673A04" w:rsidRPr="00673A04">
              <w:rPr>
                <w:noProof/>
                <w:webHidden/>
              </w:rPr>
            </w:r>
            <w:r w:rsidR="00673A04" w:rsidRPr="00673A04">
              <w:rPr>
                <w:noProof/>
                <w:webHidden/>
              </w:rPr>
              <w:fldChar w:fldCharType="separate"/>
            </w:r>
            <w:r w:rsidR="00393779">
              <w:rPr>
                <w:noProof/>
                <w:webHidden/>
              </w:rPr>
              <w:t>2</w:t>
            </w:r>
            <w:r w:rsidR="00673A04" w:rsidRPr="00673A04">
              <w:rPr>
                <w:noProof/>
                <w:webHidden/>
              </w:rPr>
              <w:fldChar w:fldCharType="end"/>
            </w:r>
          </w:hyperlink>
        </w:p>
        <w:p w14:paraId="255DAA10"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17" w:history="1">
            <w:r w:rsidR="00673A04" w:rsidRPr="00673A04">
              <w:rPr>
                <w:rStyle w:val="Hipervnculo"/>
                <w:noProof/>
                <w:color w:val="auto"/>
              </w:rPr>
              <w:t>a) Interposición del Recurso de Revisión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_Toc198750417 \h </w:instrText>
            </w:r>
            <w:r w:rsidR="00673A04" w:rsidRPr="00673A04">
              <w:rPr>
                <w:noProof/>
                <w:webHidden/>
              </w:rPr>
            </w:r>
            <w:r w:rsidR="00673A04" w:rsidRPr="00673A04">
              <w:rPr>
                <w:noProof/>
                <w:webHidden/>
              </w:rPr>
              <w:fldChar w:fldCharType="separate"/>
            </w:r>
            <w:r w:rsidR="00393779">
              <w:rPr>
                <w:noProof/>
                <w:webHidden/>
              </w:rPr>
              <w:t>2</w:t>
            </w:r>
            <w:r w:rsidR="00673A04" w:rsidRPr="00673A04">
              <w:rPr>
                <w:noProof/>
                <w:webHidden/>
              </w:rPr>
              <w:fldChar w:fldCharType="end"/>
            </w:r>
          </w:hyperlink>
        </w:p>
        <w:p w14:paraId="1551F90A"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18" w:history="1">
            <w:r w:rsidR="00673A04" w:rsidRPr="00673A04">
              <w:rPr>
                <w:rStyle w:val="Hipervnculo"/>
                <w:noProof/>
                <w:color w:val="auto"/>
              </w:rPr>
              <w:t>b) Turno del Recurso de Revisión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_Toc198750418 \h </w:instrText>
            </w:r>
            <w:r w:rsidR="00673A04" w:rsidRPr="00673A04">
              <w:rPr>
                <w:noProof/>
                <w:webHidden/>
              </w:rPr>
            </w:r>
            <w:r w:rsidR="00673A04" w:rsidRPr="00673A04">
              <w:rPr>
                <w:noProof/>
                <w:webHidden/>
              </w:rPr>
              <w:fldChar w:fldCharType="separate"/>
            </w:r>
            <w:r w:rsidR="00393779">
              <w:rPr>
                <w:noProof/>
                <w:webHidden/>
              </w:rPr>
              <w:t>3</w:t>
            </w:r>
            <w:r w:rsidR="00673A04" w:rsidRPr="00673A04">
              <w:rPr>
                <w:noProof/>
                <w:webHidden/>
              </w:rPr>
              <w:fldChar w:fldCharType="end"/>
            </w:r>
          </w:hyperlink>
        </w:p>
        <w:p w14:paraId="04CBA437"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19" w:history="1">
            <w:r w:rsidR="00673A04" w:rsidRPr="00673A04">
              <w:rPr>
                <w:rStyle w:val="Hipervnculo"/>
                <w:noProof/>
                <w:color w:val="auto"/>
              </w:rPr>
              <w:t>c) Admisión del Recurso de Revisión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_Toc198750419 \h </w:instrText>
            </w:r>
            <w:r w:rsidR="00673A04" w:rsidRPr="00673A04">
              <w:rPr>
                <w:noProof/>
                <w:webHidden/>
              </w:rPr>
            </w:r>
            <w:r w:rsidR="00673A04" w:rsidRPr="00673A04">
              <w:rPr>
                <w:noProof/>
                <w:webHidden/>
              </w:rPr>
              <w:fldChar w:fldCharType="separate"/>
            </w:r>
            <w:r w:rsidR="00393779">
              <w:rPr>
                <w:noProof/>
                <w:webHidden/>
              </w:rPr>
              <w:t>3</w:t>
            </w:r>
            <w:r w:rsidR="00673A04" w:rsidRPr="00673A04">
              <w:rPr>
                <w:noProof/>
                <w:webHidden/>
              </w:rPr>
              <w:fldChar w:fldCharType="end"/>
            </w:r>
          </w:hyperlink>
        </w:p>
        <w:p w14:paraId="13679292"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0" w:history="1">
            <w:r w:rsidR="00673A04" w:rsidRPr="00673A04">
              <w:rPr>
                <w:rStyle w:val="Hipervnculo"/>
                <w:noProof/>
                <w:color w:val="auto"/>
              </w:rPr>
              <w:t>d) Informe Justificado del Sujeto Obligado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_Toc198750420 \h </w:instrText>
            </w:r>
            <w:r w:rsidR="00673A04" w:rsidRPr="00673A04">
              <w:rPr>
                <w:noProof/>
                <w:webHidden/>
              </w:rPr>
            </w:r>
            <w:r w:rsidR="00673A04" w:rsidRPr="00673A04">
              <w:rPr>
                <w:noProof/>
                <w:webHidden/>
              </w:rPr>
              <w:fldChar w:fldCharType="separate"/>
            </w:r>
            <w:r w:rsidR="00393779">
              <w:rPr>
                <w:noProof/>
                <w:webHidden/>
              </w:rPr>
              <w:t>4</w:t>
            </w:r>
            <w:r w:rsidR="00673A04" w:rsidRPr="00673A04">
              <w:rPr>
                <w:noProof/>
                <w:webHidden/>
              </w:rPr>
              <w:fldChar w:fldCharType="end"/>
            </w:r>
          </w:hyperlink>
        </w:p>
        <w:p w14:paraId="076EB48C"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1" w:history="1">
            <w:r w:rsidR="00673A04" w:rsidRPr="00673A04">
              <w:rPr>
                <w:rStyle w:val="Hipervnculo"/>
                <w:rFonts w:eastAsia="Calibri"/>
                <w:bCs/>
                <w:noProof/>
                <w:color w:val="auto"/>
                <w:lang w:eastAsia="en-US"/>
              </w:rPr>
              <w:t>e)</w:t>
            </w:r>
            <w:r w:rsidR="00673A04" w:rsidRPr="00673A04">
              <w:rPr>
                <w:rStyle w:val="Hipervnculo"/>
                <w:noProof/>
                <w:color w:val="auto"/>
              </w:rPr>
              <w:t xml:space="preserve"> </w:t>
            </w:r>
            <w:r w:rsidR="00673A04" w:rsidRPr="00673A04">
              <w:rPr>
                <w:rStyle w:val="Hipervnculo"/>
                <w:noProof/>
                <w:color w:val="auto"/>
                <w:lang w:val="es-ES"/>
              </w:rPr>
              <w:t>Manifestaciones de la Parte Recurrente</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_Toc198750421 \h </w:instrText>
            </w:r>
            <w:r w:rsidR="00673A04" w:rsidRPr="00673A04">
              <w:rPr>
                <w:noProof/>
                <w:webHidden/>
              </w:rPr>
            </w:r>
            <w:r w:rsidR="00673A04" w:rsidRPr="00673A04">
              <w:rPr>
                <w:noProof/>
                <w:webHidden/>
              </w:rPr>
              <w:fldChar w:fldCharType="separate"/>
            </w:r>
            <w:r w:rsidR="00393779">
              <w:rPr>
                <w:noProof/>
                <w:webHidden/>
              </w:rPr>
              <w:t>5</w:t>
            </w:r>
            <w:r w:rsidR="00673A04" w:rsidRPr="00673A04">
              <w:rPr>
                <w:noProof/>
                <w:webHidden/>
              </w:rPr>
              <w:fldChar w:fldCharType="end"/>
            </w:r>
          </w:hyperlink>
        </w:p>
        <w:p w14:paraId="3D11199B"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2" w:history="1">
            <w:r w:rsidR="00673A04" w:rsidRPr="00673A04">
              <w:rPr>
                <w:rStyle w:val="Hipervnculo"/>
                <w:rFonts w:eastAsia="Calibri"/>
                <w:noProof/>
                <w:color w:val="auto"/>
              </w:rPr>
              <w:t xml:space="preserve">f) </w:t>
            </w:r>
            <w:r w:rsidR="00673A04" w:rsidRPr="00673A04">
              <w:rPr>
                <w:rStyle w:val="Hipervnculo"/>
                <w:noProof/>
                <w:color w:val="auto"/>
              </w:rPr>
              <w:t>Cierre de instrucción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_Toc198750422 \h </w:instrText>
            </w:r>
            <w:r w:rsidR="00673A04" w:rsidRPr="00673A04">
              <w:rPr>
                <w:noProof/>
                <w:webHidden/>
              </w:rPr>
            </w:r>
            <w:r w:rsidR="00673A04" w:rsidRPr="00673A04">
              <w:rPr>
                <w:noProof/>
                <w:webHidden/>
              </w:rPr>
              <w:fldChar w:fldCharType="separate"/>
            </w:r>
            <w:r w:rsidR="00393779">
              <w:rPr>
                <w:noProof/>
                <w:webHidden/>
              </w:rPr>
              <w:t>6</w:t>
            </w:r>
            <w:r w:rsidR="00673A04" w:rsidRPr="00673A04">
              <w:rPr>
                <w:noProof/>
                <w:webHidden/>
              </w:rPr>
              <w:fldChar w:fldCharType="end"/>
            </w:r>
          </w:hyperlink>
        </w:p>
        <w:p w14:paraId="5410125E" w14:textId="77777777" w:rsidR="00673A04" w:rsidRPr="00673A04" w:rsidRDefault="005B6FB1" w:rsidP="00673A04">
          <w:pPr>
            <w:pStyle w:val="TDC1"/>
            <w:tabs>
              <w:tab w:val="right" w:leader="dot" w:pos="9034"/>
            </w:tabs>
            <w:rPr>
              <w:rFonts w:asciiTheme="minorHAnsi" w:eastAsiaTheme="minorEastAsia" w:hAnsiTheme="minorHAnsi" w:cstheme="minorBidi"/>
              <w:noProof/>
              <w:szCs w:val="22"/>
              <w:lang w:eastAsia="es-MX"/>
            </w:rPr>
          </w:pPr>
          <w:hyperlink w:anchor="_Toc198750423" w:history="1">
            <w:r w:rsidR="00673A04" w:rsidRPr="00673A04">
              <w:rPr>
                <w:rStyle w:val="Hipervnculo"/>
                <w:rFonts w:eastAsiaTheme="minorHAnsi"/>
                <w:noProof/>
                <w:color w:val="auto"/>
                <w:lang w:eastAsia="en-US"/>
              </w:rPr>
              <w:t>CONSIDERANDOS</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_Toc198750423 \h </w:instrText>
            </w:r>
            <w:r w:rsidR="00673A04" w:rsidRPr="00673A04">
              <w:rPr>
                <w:noProof/>
                <w:webHidden/>
              </w:rPr>
            </w:r>
            <w:r w:rsidR="00673A04" w:rsidRPr="00673A04">
              <w:rPr>
                <w:noProof/>
                <w:webHidden/>
              </w:rPr>
              <w:fldChar w:fldCharType="separate"/>
            </w:r>
            <w:r w:rsidR="00393779">
              <w:rPr>
                <w:noProof/>
                <w:webHidden/>
              </w:rPr>
              <w:t>6</w:t>
            </w:r>
            <w:r w:rsidR="00673A04" w:rsidRPr="00673A04">
              <w:rPr>
                <w:noProof/>
                <w:webHidden/>
              </w:rPr>
              <w:fldChar w:fldCharType="end"/>
            </w:r>
          </w:hyperlink>
        </w:p>
        <w:p w14:paraId="079D8FCC" w14:textId="77777777" w:rsidR="00673A04" w:rsidRPr="00673A04" w:rsidRDefault="005B6FB1" w:rsidP="00673A04">
          <w:pPr>
            <w:pStyle w:val="TDC2"/>
            <w:rPr>
              <w:rFonts w:asciiTheme="minorHAnsi" w:eastAsiaTheme="minorEastAsia" w:hAnsiTheme="minorHAnsi" w:cstheme="minorBidi"/>
              <w:noProof/>
              <w:szCs w:val="22"/>
              <w:lang w:eastAsia="es-MX"/>
            </w:rPr>
          </w:pPr>
          <w:hyperlink w:anchor="_Toc198750424" w:history="1">
            <w:r w:rsidR="00673A04" w:rsidRPr="00673A04">
              <w:rPr>
                <w:rStyle w:val="Hipervnculo"/>
                <w:rFonts w:eastAsia="Batang"/>
                <w:noProof/>
                <w:color w:val="auto"/>
              </w:rPr>
              <w:t>PRIMERO. Procedibilidad</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_Toc198750424 \h </w:instrText>
            </w:r>
            <w:r w:rsidR="00673A04" w:rsidRPr="00673A04">
              <w:rPr>
                <w:noProof/>
                <w:webHidden/>
              </w:rPr>
            </w:r>
            <w:r w:rsidR="00673A04" w:rsidRPr="00673A04">
              <w:rPr>
                <w:noProof/>
                <w:webHidden/>
              </w:rPr>
              <w:fldChar w:fldCharType="separate"/>
            </w:r>
            <w:r w:rsidR="00393779">
              <w:rPr>
                <w:noProof/>
                <w:webHidden/>
              </w:rPr>
              <w:t>6</w:t>
            </w:r>
            <w:r w:rsidR="00673A04" w:rsidRPr="00673A04">
              <w:rPr>
                <w:noProof/>
                <w:webHidden/>
              </w:rPr>
              <w:fldChar w:fldCharType="end"/>
            </w:r>
          </w:hyperlink>
        </w:p>
        <w:p w14:paraId="42A22AF3"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5" w:history="1">
            <w:r w:rsidR="00673A04" w:rsidRPr="00673A04">
              <w:rPr>
                <w:rStyle w:val="Hipervnculo"/>
                <w:noProof/>
                <w:color w:val="auto"/>
              </w:rPr>
              <w:t>a) Competencia del Instituto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_Toc198750425 \h </w:instrText>
            </w:r>
            <w:r w:rsidR="00673A04" w:rsidRPr="00673A04">
              <w:rPr>
                <w:noProof/>
                <w:webHidden/>
              </w:rPr>
            </w:r>
            <w:r w:rsidR="00673A04" w:rsidRPr="00673A04">
              <w:rPr>
                <w:noProof/>
                <w:webHidden/>
              </w:rPr>
              <w:fldChar w:fldCharType="separate"/>
            </w:r>
            <w:r w:rsidR="00393779">
              <w:rPr>
                <w:noProof/>
                <w:webHidden/>
              </w:rPr>
              <w:t>6</w:t>
            </w:r>
            <w:r w:rsidR="00673A04" w:rsidRPr="00673A04">
              <w:rPr>
                <w:noProof/>
                <w:webHidden/>
              </w:rPr>
              <w:fldChar w:fldCharType="end"/>
            </w:r>
          </w:hyperlink>
        </w:p>
        <w:p w14:paraId="62567BB3"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6" w:history="1">
            <w:r w:rsidR="00673A04" w:rsidRPr="00673A04">
              <w:rPr>
                <w:rStyle w:val="Hipervnculo"/>
                <w:noProof/>
                <w:color w:val="auto"/>
              </w:rPr>
              <w:t>b) Legitimidad de la parte recurrente</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_Toc198750426 \h </w:instrText>
            </w:r>
            <w:r w:rsidR="00673A04" w:rsidRPr="00673A04">
              <w:rPr>
                <w:noProof/>
                <w:webHidden/>
              </w:rPr>
            </w:r>
            <w:r w:rsidR="00673A04" w:rsidRPr="00673A04">
              <w:rPr>
                <w:noProof/>
                <w:webHidden/>
              </w:rPr>
              <w:fldChar w:fldCharType="separate"/>
            </w:r>
            <w:r w:rsidR="00393779">
              <w:rPr>
                <w:noProof/>
                <w:webHidden/>
              </w:rPr>
              <w:t>7</w:t>
            </w:r>
            <w:r w:rsidR="00673A04" w:rsidRPr="00673A04">
              <w:rPr>
                <w:noProof/>
                <w:webHidden/>
              </w:rPr>
              <w:fldChar w:fldCharType="end"/>
            </w:r>
          </w:hyperlink>
        </w:p>
        <w:p w14:paraId="2AD4708C"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7" w:history="1">
            <w:r w:rsidR="00673A04" w:rsidRPr="00673A04">
              <w:rPr>
                <w:rStyle w:val="Hipervnculo"/>
                <w:rFonts w:eastAsia="Calibri"/>
                <w:noProof/>
                <w:color w:val="auto"/>
                <w:lang w:eastAsia="es-ES_tradnl"/>
              </w:rPr>
              <w:t>c) Plazo para interponer el recurso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_Toc198750427 \h </w:instrText>
            </w:r>
            <w:r w:rsidR="00673A04" w:rsidRPr="00673A04">
              <w:rPr>
                <w:noProof/>
                <w:webHidden/>
              </w:rPr>
            </w:r>
            <w:r w:rsidR="00673A04" w:rsidRPr="00673A04">
              <w:rPr>
                <w:noProof/>
                <w:webHidden/>
              </w:rPr>
              <w:fldChar w:fldCharType="separate"/>
            </w:r>
            <w:r w:rsidR="00393779">
              <w:rPr>
                <w:noProof/>
                <w:webHidden/>
              </w:rPr>
              <w:t>7</w:t>
            </w:r>
            <w:r w:rsidR="00673A04" w:rsidRPr="00673A04">
              <w:rPr>
                <w:noProof/>
                <w:webHidden/>
              </w:rPr>
              <w:fldChar w:fldCharType="end"/>
            </w:r>
          </w:hyperlink>
        </w:p>
        <w:p w14:paraId="32EE81A1"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8" w:history="1">
            <w:r w:rsidR="00673A04" w:rsidRPr="00673A04">
              <w:rPr>
                <w:rStyle w:val="Hipervnculo"/>
                <w:rFonts w:eastAsia="Calibri"/>
                <w:noProof/>
                <w:color w:val="auto"/>
                <w:lang w:eastAsia="es-ES_tradnl"/>
              </w:rPr>
              <w:t>d) Causal de procedencia</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_Toc198750428 \h </w:instrText>
            </w:r>
            <w:r w:rsidR="00673A04" w:rsidRPr="00673A04">
              <w:rPr>
                <w:noProof/>
                <w:webHidden/>
              </w:rPr>
            </w:r>
            <w:r w:rsidR="00673A04" w:rsidRPr="00673A04">
              <w:rPr>
                <w:noProof/>
                <w:webHidden/>
              </w:rPr>
              <w:fldChar w:fldCharType="separate"/>
            </w:r>
            <w:r w:rsidR="00393779">
              <w:rPr>
                <w:noProof/>
                <w:webHidden/>
              </w:rPr>
              <w:t>7</w:t>
            </w:r>
            <w:r w:rsidR="00673A04" w:rsidRPr="00673A04">
              <w:rPr>
                <w:noProof/>
                <w:webHidden/>
              </w:rPr>
              <w:fldChar w:fldCharType="end"/>
            </w:r>
          </w:hyperlink>
        </w:p>
        <w:p w14:paraId="02EFBE01"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29" w:history="1">
            <w:r w:rsidR="00673A04" w:rsidRPr="00673A04">
              <w:rPr>
                <w:rStyle w:val="Hipervnculo"/>
                <w:noProof/>
                <w:color w:val="auto"/>
              </w:rPr>
              <w:t>e) Requisitos formales para la interposición del recurso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_Toc198750429 \h </w:instrText>
            </w:r>
            <w:r w:rsidR="00673A04" w:rsidRPr="00673A04">
              <w:rPr>
                <w:noProof/>
                <w:webHidden/>
              </w:rPr>
            </w:r>
            <w:r w:rsidR="00673A04" w:rsidRPr="00673A04">
              <w:rPr>
                <w:noProof/>
                <w:webHidden/>
              </w:rPr>
              <w:fldChar w:fldCharType="separate"/>
            </w:r>
            <w:r w:rsidR="00393779">
              <w:rPr>
                <w:noProof/>
                <w:webHidden/>
              </w:rPr>
              <w:t>7</w:t>
            </w:r>
            <w:r w:rsidR="00673A04" w:rsidRPr="00673A04">
              <w:rPr>
                <w:noProof/>
                <w:webHidden/>
              </w:rPr>
              <w:fldChar w:fldCharType="end"/>
            </w:r>
          </w:hyperlink>
        </w:p>
        <w:p w14:paraId="4258EEE6" w14:textId="77777777" w:rsidR="00673A04" w:rsidRPr="00673A04" w:rsidRDefault="005B6FB1" w:rsidP="00673A04">
          <w:pPr>
            <w:pStyle w:val="TDC2"/>
            <w:rPr>
              <w:rFonts w:asciiTheme="minorHAnsi" w:eastAsiaTheme="minorEastAsia" w:hAnsiTheme="minorHAnsi" w:cstheme="minorBidi"/>
              <w:noProof/>
              <w:szCs w:val="22"/>
              <w:lang w:eastAsia="es-MX"/>
            </w:rPr>
          </w:pPr>
          <w:hyperlink w:anchor="_Toc198750430" w:history="1">
            <w:r w:rsidR="00673A04" w:rsidRPr="00673A04">
              <w:rPr>
                <w:rStyle w:val="Hipervnculo"/>
                <w:noProof/>
                <w:color w:val="auto"/>
              </w:rPr>
              <w:t>SEGUNDO. Estudio de Fondo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_Toc198750430 \h </w:instrText>
            </w:r>
            <w:r w:rsidR="00673A04" w:rsidRPr="00673A04">
              <w:rPr>
                <w:noProof/>
                <w:webHidden/>
              </w:rPr>
            </w:r>
            <w:r w:rsidR="00673A04" w:rsidRPr="00673A04">
              <w:rPr>
                <w:noProof/>
                <w:webHidden/>
              </w:rPr>
              <w:fldChar w:fldCharType="separate"/>
            </w:r>
            <w:r w:rsidR="00393779">
              <w:rPr>
                <w:noProof/>
                <w:webHidden/>
              </w:rPr>
              <w:t>8</w:t>
            </w:r>
            <w:r w:rsidR="00673A04" w:rsidRPr="00673A04">
              <w:rPr>
                <w:noProof/>
                <w:webHidden/>
              </w:rPr>
              <w:fldChar w:fldCharType="end"/>
            </w:r>
          </w:hyperlink>
        </w:p>
        <w:p w14:paraId="68D1D2C8"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31" w:history="1">
            <w:r w:rsidR="00673A04" w:rsidRPr="00673A04">
              <w:rPr>
                <w:rStyle w:val="Hipervnculo"/>
                <w:noProof/>
                <w:color w:val="auto"/>
              </w:rPr>
              <w:t>a) Mandato de transparencia y responsabilidad del Sujeto Obligado</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_Toc198750431 \h </w:instrText>
            </w:r>
            <w:r w:rsidR="00673A04" w:rsidRPr="00673A04">
              <w:rPr>
                <w:noProof/>
                <w:webHidden/>
              </w:rPr>
            </w:r>
            <w:r w:rsidR="00673A04" w:rsidRPr="00673A04">
              <w:rPr>
                <w:noProof/>
                <w:webHidden/>
              </w:rPr>
              <w:fldChar w:fldCharType="separate"/>
            </w:r>
            <w:r w:rsidR="00393779">
              <w:rPr>
                <w:noProof/>
                <w:webHidden/>
              </w:rPr>
              <w:t>8</w:t>
            </w:r>
            <w:r w:rsidR="00673A04" w:rsidRPr="00673A04">
              <w:rPr>
                <w:noProof/>
                <w:webHidden/>
              </w:rPr>
              <w:fldChar w:fldCharType="end"/>
            </w:r>
          </w:hyperlink>
        </w:p>
        <w:p w14:paraId="549042B5"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32" w:history="1">
            <w:r w:rsidR="00673A04" w:rsidRPr="00673A04">
              <w:rPr>
                <w:rStyle w:val="Hipervnculo"/>
                <w:rFonts w:eastAsia="Calibri"/>
                <w:noProof/>
                <w:color w:val="auto"/>
                <w:lang w:eastAsia="es-ES_tradnl"/>
              </w:rPr>
              <w:t>b) Controversia a resolver</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_Toc198750432 \h </w:instrText>
            </w:r>
            <w:r w:rsidR="00673A04" w:rsidRPr="00673A04">
              <w:rPr>
                <w:noProof/>
                <w:webHidden/>
              </w:rPr>
            </w:r>
            <w:r w:rsidR="00673A04" w:rsidRPr="00673A04">
              <w:rPr>
                <w:noProof/>
                <w:webHidden/>
              </w:rPr>
              <w:fldChar w:fldCharType="separate"/>
            </w:r>
            <w:r w:rsidR="00393779">
              <w:rPr>
                <w:noProof/>
                <w:webHidden/>
              </w:rPr>
              <w:t>10</w:t>
            </w:r>
            <w:r w:rsidR="00673A04" w:rsidRPr="00673A04">
              <w:rPr>
                <w:noProof/>
                <w:webHidden/>
              </w:rPr>
              <w:fldChar w:fldCharType="end"/>
            </w:r>
          </w:hyperlink>
        </w:p>
        <w:p w14:paraId="3D5C03DA"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33" w:history="1">
            <w:r w:rsidR="00673A04" w:rsidRPr="00673A04">
              <w:rPr>
                <w:rStyle w:val="Hipervnculo"/>
                <w:noProof/>
                <w:color w:val="auto"/>
              </w:rPr>
              <w:t>c) Estudio de la controversia</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_Toc198750433 \h </w:instrText>
            </w:r>
            <w:r w:rsidR="00673A04" w:rsidRPr="00673A04">
              <w:rPr>
                <w:noProof/>
                <w:webHidden/>
              </w:rPr>
            </w:r>
            <w:r w:rsidR="00673A04" w:rsidRPr="00673A04">
              <w:rPr>
                <w:noProof/>
                <w:webHidden/>
              </w:rPr>
              <w:fldChar w:fldCharType="separate"/>
            </w:r>
            <w:r w:rsidR="00393779">
              <w:rPr>
                <w:noProof/>
                <w:webHidden/>
              </w:rPr>
              <w:t>11</w:t>
            </w:r>
            <w:r w:rsidR="00673A04" w:rsidRPr="00673A04">
              <w:rPr>
                <w:noProof/>
                <w:webHidden/>
              </w:rPr>
              <w:fldChar w:fldCharType="end"/>
            </w:r>
          </w:hyperlink>
        </w:p>
        <w:p w14:paraId="0E0CA3D5" w14:textId="77777777" w:rsidR="00673A04" w:rsidRPr="00673A04" w:rsidRDefault="005B6FB1" w:rsidP="00673A04">
          <w:pPr>
            <w:pStyle w:val="TDC3"/>
            <w:rPr>
              <w:rFonts w:asciiTheme="minorHAnsi" w:eastAsiaTheme="minorEastAsia" w:hAnsiTheme="minorHAnsi" w:cstheme="minorBidi"/>
              <w:noProof/>
              <w:szCs w:val="22"/>
              <w:lang w:eastAsia="es-MX"/>
            </w:rPr>
          </w:pPr>
          <w:hyperlink w:anchor="_Toc198750434" w:history="1">
            <w:r w:rsidR="00673A04" w:rsidRPr="00673A04">
              <w:rPr>
                <w:rStyle w:val="Hipervnculo"/>
                <w:noProof/>
                <w:color w:val="auto"/>
              </w:rPr>
              <w:t>d) Conclusión</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_Toc198750434 \h </w:instrText>
            </w:r>
            <w:r w:rsidR="00673A04" w:rsidRPr="00673A04">
              <w:rPr>
                <w:noProof/>
                <w:webHidden/>
              </w:rPr>
            </w:r>
            <w:r w:rsidR="00673A04" w:rsidRPr="00673A04">
              <w:rPr>
                <w:noProof/>
                <w:webHidden/>
              </w:rPr>
              <w:fldChar w:fldCharType="separate"/>
            </w:r>
            <w:r w:rsidR="00393779">
              <w:rPr>
                <w:noProof/>
                <w:webHidden/>
              </w:rPr>
              <w:t>14</w:t>
            </w:r>
            <w:r w:rsidR="00673A04" w:rsidRPr="00673A04">
              <w:rPr>
                <w:noProof/>
                <w:webHidden/>
              </w:rPr>
              <w:fldChar w:fldCharType="end"/>
            </w:r>
          </w:hyperlink>
        </w:p>
        <w:p w14:paraId="15F5C97F" w14:textId="77777777" w:rsidR="00673A04" w:rsidRPr="00673A04" w:rsidRDefault="005B6FB1" w:rsidP="00673A04">
          <w:pPr>
            <w:pStyle w:val="TDC1"/>
            <w:tabs>
              <w:tab w:val="right" w:leader="dot" w:pos="9034"/>
            </w:tabs>
            <w:rPr>
              <w:rFonts w:asciiTheme="minorHAnsi" w:eastAsiaTheme="minorEastAsia" w:hAnsiTheme="minorHAnsi" w:cstheme="minorBidi"/>
              <w:noProof/>
              <w:szCs w:val="22"/>
              <w:lang w:eastAsia="es-MX"/>
            </w:rPr>
          </w:pPr>
          <w:hyperlink w:anchor="_Toc198750435" w:history="1">
            <w:r w:rsidR="00673A04" w:rsidRPr="00673A04">
              <w:rPr>
                <w:rStyle w:val="Hipervnculo"/>
                <w:noProof/>
                <w:color w:val="auto"/>
              </w:rPr>
              <w:t>RESUELVE</w:t>
            </w:r>
            <w:r w:rsidR="00673A04" w:rsidRPr="00673A04">
              <w:rPr>
                <w:noProof/>
                <w:webHidden/>
              </w:rPr>
              <w:tab/>
            </w:r>
            <w:r w:rsidR="00673A04" w:rsidRPr="00673A04">
              <w:rPr>
                <w:noProof/>
                <w:webHidden/>
              </w:rPr>
              <w:fldChar w:fldCharType="begin"/>
            </w:r>
            <w:r w:rsidR="00673A04" w:rsidRPr="00673A04">
              <w:rPr>
                <w:noProof/>
                <w:webHidden/>
              </w:rPr>
              <w:instrText xml:space="preserve"> PAGEREF _Toc198750435 \h </w:instrText>
            </w:r>
            <w:r w:rsidR="00673A04" w:rsidRPr="00673A04">
              <w:rPr>
                <w:noProof/>
                <w:webHidden/>
              </w:rPr>
            </w:r>
            <w:r w:rsidR="00673A04" w:rsidRPr="00673A04">
              <w:rPr>
                <w:noProof/>
                <w:webHidden/>
              </w:rPr>
              <w:fldChar w:fldCharType="separate"/>
            </w:r>
            <w:r w:rsidR="00393779">
              <w:rPr>
                <w:noProof/>
                <w:webHidden/>
              </w:rPr>
              <w:t>14</w:t>
            </w:r>
            <w:r w:rsidR="00673A04" w:rsidRPr="00673A04">
              <w:rPr>
                <w:noProof/>
                <w:webHidden/>
              </w:rPr>
              <w:fldChar w:fldCharType="end"/>
            </w:r>
          </w:hyperlink>
        </w:p>
        <w:p w14:paraId="0C82FD7A" w14:textId="383B9702" w:rsidR="009B2945" w:rsidRPr="00673A04" w:rsidRDefault="00AE3DA7" w:rsidP="00673A04">
          <w:pPr>
            <w:spacing w:line="240" w:lineRule="auto"/>
            <w:rPr>
              <w:b/>
              <w:bCs/>
              <w:lang w:val="es-ES"/>
            </w:rPr>
          </w:pPr>
          <w:r w:rsidRPr="00673A04">
            <w:rPr>
              <w:b/>
              <w:bCs/>
              <w:sz w:val="16"/>
              <w:szCs w:val="16"/>
              <w:lang w:val="es-ES"/>
            </w:rPr>
            <w:fldChar w:fldCharType="end"/>
          </w:r>
        </w:p>
      </w:sdtContent>
    </w:sdt>
    <w:p w14:paraId="603A07E2" w14:textId="77777777" w:rsidR="00646436" w:rsidRPr="00673A04" w:rsidRDefault="00646436" w:rsidP="00673A04">
      <w:pPr>
        <w:rPr>
          <w:rFonts w:cs="Tahoma"/>
          <w:szCs w:val="22"/>
        </w:rPr>
        <w:sectPr w:rsidR="00646436" w:rsidRPr="00673A0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13FB993" w:rsidR="00775BFC" w:rsidRPr="00673A04" w:rsidRDefault="00775BFC" w:rsidP="00673A04">
      <w:r w:rsidRPr="00673A04">
        <w:lastRenderedPageBreak/>
        <w:t>Resolución del Pleno del Instituto de Transparencia, Acceso a la Información Pública y Protección de Datos Personales del Estado de México y Municipios, con domicilio e</w:t>
      </w:r>
      <w:r w:rsidR="004D0573" w:rsidRPr="00673A04">
        <w:t>n Metepec, Estado de México, de</w:t>
      </w:r>
      <w:r w:rsidR="00673A04" w:rsidRPr="00673A04">
        <w:t>l</w:t>
      </w:r>
      <w:r w:rsidR="004D0573" w:rsidRPr="00673A04">
        <w:t xml:space="preserve"> </w:t>
      </w:r>
      <w:r w:rsidR="00D81542" w:rsidRPr="00673A04">
        <w:rPr>
          <w:b/>
        </w:rPr>
        <w:t xml:space="preserve">veintiuno de </w:t>
      </w:r>
      <w:r w:rsidR="004C4BC6" w:rsidRPr="00673A04">
        <w:rPr>
          <w:b/>
        </w:rPr>
        <w:t xml:space="preserve">mayo </w:t>
      </w:r>
      <w:r w:rsidR="006E7E69" w:rsidRPr="00673A04">
        <w:rPr>
          <w:b/>
        </w:rPr>
        <w:t>de dos mil veinticinco</w:t>
      </w:r>
      <w:r w:rsidRPr="00673A04">
        <w:t>.</w:t>
      </w:r>
    </w:p>
    <w:p w14:paraId="0AF3AAC4" w14:textId="77777777" w:rsidR="00775BFC" w:rsidRPr="00673A04" w:rsidRDefault="00775BFC" w:rsidP="00673A04"/>
    <w:p w14:paraId="40EAE038" w14:textId="77C1A2F8" w:rsidR="00775BFC" w:rsidRPr="00673A04" w:rsidRDefault="00775BFC" w:rsidP="00673A04">
      <w:r w:rsidRPr="00673A04">
        <w:rPr>
          <w:b/>
        </w:rPr>
        <w:t xml:space="preserve">VISTO </w:t>
      </w:r>
      <w:r w:rsidRPr="00673A04">
        <w:t xml:space="preserve">el expediente formado con motivo del Recurso de Revisión </w:t>
      </w:r>
      <w:r w:rsidR="006E7E69" w:rsidRPr="00673A04">
        <w:rPr>
          <w:rFonts w:eastAsia="Calibri"/>
          <w:b/>
          <w:lang w:eastAsia="en-US"/>
        </w:rPr>
        <w:t>0</w:t>
      </w:r>
      <w:r w:rsidR="00F536B0" w:rsidRPr="00673A04">
        <w:rPr>
          <w:rFonts w:eastAsia="Calibri"/>
          <w:b/>
          <w:lang w:eastAsia="en-US"/>
        </w:rPr>
        <w:t>4042</w:t>
      </w:r>
      <w:r w:rsidR="006E7E69" w:rsidRPr="00673A04">
        <w:rPr>
          <w:rFonts w:eastAsia="Calibri"/>
          <w:b/>
          <w:lang w:eastAsia="en-US"/>
        </w:rPr>
        <w:t>/INFOEM/IP/RR/2025</w:t>
      </w:r>
      <w:r w:rsidRPr="00673A04">
        <w:rPr>
          <w:rFonts w:eastAsia="Calibri"/>
          <w:lang w:eastAsia="en-US"/>
        </w:rPr>
        <w:t xml:space="preserve"> </w:t>
      </w:r>
      <w:r w:rsidRPr="00673A04">
        <w:t xml:space="preserve">interpuesto por </w:t>
      </w:r>
      <w:bookmarkStart w:id="3" w:name="_GoBack"/>
      <w:r w:rsidR="00CC2186">
        <w:rPr>
          <w:rFonts w:eastAsia="Calibri"/>
          <w:b/>
          <w:bCs/>
          <w:lang w:eastAsia="en-US"/>
        </w:rPr>
        <w:t>XXXXXXXXX XXXXXXXXX XXXXX</w:t>
      </w:r>
      <w:bookmarkEnd w:id="3"/>
      <w:r w:rsidRPr="00673A04">
        <w:rPr>
          <w:rFonts w:eastAsia="Calibri"/>
          <w:b/>
          <w:lang w:eastAsia="en-US"/>
        </w:rPr>
        <w:t>,</w:t>
      </w:r>
      <w:r w:rsidRPr="00673A04">
        <w:t xml:space="preserve"> a quien en lo subsecuente se le denominará </w:t>
      </w:r>
      <w:r w:rsidRPr="00673A04">
        <w:rPr>
          <w:b/>
          <w:bCs/>
        </w:rPr>
        <w:t>LA PARTE RECURRENTE</w:t>
      </w:r>
      <w:r w:rsidRPr="00673A04">
        <w:t xml:space="preserve">, en contra de la </w:t>
      </w:r>
      <w:r w:rsidR="00773DD6" w:rsidRPr="00673A04">
        <w:t xml:space="preserve">respuesta </w:t>
      </w:r>
      <w:r w:rsidR="00BA1AB6" w:rsidRPr="00673A04">
        <w:t>de</w:t>
      </w:r>
      <w:r w:rsidR="00773DD6" w:rsidRPr="00673A04">
        <w:t xml:space="preserve"> </w:t>
      </w:r>
      <w:r w:rsidR="00F536B0" w:rsidRPr="00673A04">
        <w:rPr>
          <w:rFonts w:eastAsia="Calibri"/>
          <w:b/>
          <w:bCs/>
          <w:lang w:eastAsia="en-US"/>
        </w:rPr>
        <w:t>Servicios Educativos Integrados al Estado de México</w:t>
      </w:r>
      <w:r w:rsidRPr="00673A04">
        <w:rPr>
          <w:b/>
          <w:bCs/>
        </w:rPr>
        <w:t>,</w:t>
      </w:r>
      <w:r w:rsidRPr="00673A04">
        <w:t xml:space="preserve"> en adelante </w:t>
      </w:r>
      <w:r w:rsidRPr="00673A04">
        <w:rPr>
          <w:b/>
          <w:bCs/>
        </w:rPr>
        <w:t>EL SUJETO OBLIGADO</w:t>
      </w:r>
      <w:r w:rsidRPr="00673A04">
        <w:rPr>
          <w:rFonts w:eastAsia="Calibri"/>
          <w:lang w:eastAsia="en-US"/>
        </w:rPr>
        <w:t xml:space="preserve">, </w:t>
      </w:r>
      <w:r w:rsidRPr="00673A04">
        <w:t>se emite la presente Resolución con base en los Antecedentes y Considerandos que se exponen a continuación:</w:t>
      </w:r>
    </w:p>
    <w:p w14:paraId="2116968C" w14:textId="77777777" w:rsidR="00775BFC" w:rsidRPr="00673A04" w:rsidRDefault="00775BFC" w:rsidP="00673A04"/>
    <w:p w14:paraId="5A444FB6" w14:textId="639D3567" w:rsidR="00664420" w:rsidRPr="00673A04" w:rsidRDefault="00664420" w:rsidP="00673A04">
      <w:pPr>
        <w:pStyle w:val="Ttulo1"/>
      </w:pPr>
      <w:bookmarkStart w:id="4" w:name="_Toc198750412"/>
      <w:r w:rsidRPr="00673A04">
        <w:t>ANTECEDENTES</w:t>
      </w:r>
      <w:bookmarkEnd w:id="4"/>
    </w:p>
    <w:p w14:paraId="5CB5034E" w14:textId="77777777" w:rsidR="00AC2DB8" w:rsidRPr="00673A04" w:rsidRDefault="00AC2DB8" w:rsidP="00673A04"/>
    <w:p w14:paraId="09B2D38F" w14:textId="6E49D146" w:rsidR="00664420" w:rsidRPr="00673A04" w:rsidRDefault="00E37A3F" w:rsidP="00673A04">
      <w:pPr>
        <w:pStyle w:val="Ttulo2"/>
      </w:pPr>
      <w:bookmarkStart w:id="5" w:name="_Toc198750413"/>
      <w:r w:rsidRPr="00673A04">
        <w:t>DE LA SOLICITUD DE INFORMACIÓN</w:t>
      </w:r>
      <w:bookmarkEnd w:id="5"/>
    </w:p>
    <w:p w14:paraId="2C6AD1A5" w14:textId="0405B3CD" w:rsidR="00664420" w:rsidRPr="00673A04" w:rsidRDefault="00E37A3F" w:rsidP="00673A04">
      <w:pPr>
        <w:pStyle w:val="Ttulo3"/>
      </w:pPr>
      <w:bookmarkStart w:id="6" w:name="_Toc198750414"/>
      <w:r w:rsidRPr="00673A04">
        <w:t xml:space="preserve">a) </w:t>
      </w:r>
      <w:r w:rsidR="006B10B0" w:rsidRPr="00673A04">
        <w:t>S</w:t>
      </w:r>
      <w:r w:rsidR="00664420" w:rsidRPr="00673A04">
        <w:t xml:space="preserve">olicitud de </w:t>
      </w:r>
      <w:r w:rsidR="006B10B0" w:rsidRPr="00673A04">
        <w:t>i</w:t>
      </w:r>
      <w:r w:rsidR="00664420" w:rsidRPr="00673A04">
        <w:t>nformación</w:t>
      </w:r>
      <w:bookmarkEnd w:id="6"/>
    </w:p>
    <w:p w14:paraId="6F73510B" w14:textId="7FD21378" w:rsidR="000F32E8" w:rsidRPr="00673A04" w:rsidRDefault="00B169A2" w:rsidP="00673A04">
      <w:pPr>
        <w:pStyle w:val="Prrafodelista"/>
        <w:tabs>
          <w:tab w:val="left" w:pos="0"/>
        </w:tabs>
        <w:ind w:left="0"/>
        <w:contextualSpacing w:val="0"/>
        <w:rPr>
          <w:rFonts w:cs="Tahoma"/>
        </w:rPr>
      </w:pPr>
      <w:r w:rsidRPr="00673A04">
        <w:rPr>
          <w:rFonts w:cs="Tahoma"/>
        </w:rPr>
        <w:t xml:space="preserve">El </w:t>
      </w:r>
      <w:r w:rsidR="00F536B0" w:rsidRPr="00673A04">
        <w:rPr>
          <w:rFonts w:cs="Tahoma"/>
          <w:b/>
          <w:bCs/>
        </w:rPr>
        <w:t xml:space="preserve">cuatro de abril </w:t>
      </w:r>
      <w:r w:rsidR="006E7E69" w:rsidRPr="00673A04">
        <w:rPr>
          <w:rFonts w:cs="Tahoma"/>
          <w:b/>
          <w:bCs/>
        </w:rPr>
        <w:t>de dos mil veinticinco</w:t>
      </w:r>
      <w:r w:rsidRPr="00673A04">
        <w:rPr>
          <w:rFonts w:cs="Tahoma"/>
        </w:rPr>
        <w:t xml:space="preserve">, </w:t>
      </w:r>
      <w:r w:rsidRPr="00673A04">
        <w:rPr>
          <w:b/>
          <w:bCs/>
        </w:rPr>
        <w:t>LA PARTE RECURRENTE</w:t>
      </w:r>
      <w:r w:rsidRPr="00673A04">
        <w:rPr>
          <w:rFonts w:cs="Tahoma"/>
        </w:rPr>
        <w:t xml:space="preserve"> presentó una solicitud de acceso a la información pública ante el </w:t>
      </w:r>
      <w:r w:rsidRPr="00673A04">
        <w:rPr>
          <w:rFonts w:cs="Tahoma"/>
          <w:b/>
          <w:bCs/>
        </w:rPr>
        <w:t>SUJETO OBLIGADO</w:t>
      </w:r>
      <w:r w:rsidRPr="00673A04">
        <w:rPr>
          <w:rFonts w:cs="Tahoma"/>
        </w:rPr>
        <w:t xml:space="preserve">, a través </w:t>
      </w:r>
      <w:r w:rsidR="000F32E8" w:rsidRPr="00673A04">
        <w:rPr>
          <w:rFonts w:cs="Tahoma"/>
        </w:rPr>
        <w:t>Sistema de Acceso a la Información Mexiquense (</w:t>
      </w:r>
      <w:r w:rsidR="000F32E8" w:rsidRPr="00673A04">
        <w:rPr>
          <w:rFonts w:cs="Tahoma"/>
          <w:b/>
        </w:rPr>
        <w:t>SAIMEX</w:t>
      </w:r>
      <w:r w:rsidR="000F32E8" w:rsidRPr="00673A04">
        <w:rPr>
          <w:rFonts w:cs="Tahoma"/>
        </w:rPr>
        <w:t xml:space="preserve">). </w:t>
      </w:r>
      <w:r w:rsidRPr="00673A04">
        <w:rPr>
          <w:rFonts w:cs="Tahoma"/>
        </w:rPr>
        <w:t>Dicha solicitud quedó registrada con el número de folio</w:t>
      </w:r>
      <w:r w:rsidRPr="00673A04">
        <w:rPr>
          <w:rFonts w:cs="Tahoma"/>
          <w:b/>
          <w:bCs/>
        </w:rPr>
        <w:t xml:space="preserve"> </w:t>
      </w:r>
      <w:r w:rsidR="00F536B0" w:rsidRPr="00673A04">
        <w:rPr>
          <w:rFonts w:cs="Tahoma"/>
          <w:b/>
          <w:bCs/>
        </w:rPr>
        <w:t xml:space="preserve">00103/SEIEM/IP/2025 </w:t>
      </w:r>
      <w:r w:rsidRPr="00673A04">
        <w:rPr>
          <w:rFonts w:cs="Tahoma"/>
        </w:rPr>
        <w:t>y en ella se requirió la siguiente información:</w:t>
      </w:r>
    </w:p>
    <w:p w14:paraId="0459D6AC" w14:textId="77777777" w:rsidR="00664420" w:rsidRPr="00673A04" w:rsidRDefault="00664420" w:rsidP="00673A04">
      <w:pPr>
        <w:pStyle w:val="Puesto"/>
      </w:pPr>
    </w:p>
    <w:p w14:paraId="64B27DE3" w14:textId="0B5B7318" w:rsidR="00664420" w:rsidRPr="00673A04" w:rsidRDefault="002B1D44" w:rsidP="00673A04">
      <w:pPr>
        <w:pStyle w:val="Puesto"/>
      </w:pPr>
      <w:r w:rsidRPr="00673A04">
        <w:t>“</w:t>
      </w:r>
      <w:r w:rsidR="00F536B0" w:rsidRPr="00673A04">
        <w:t>SOLICITO LOS CONVENIOS VIGENTES PARA DESCUENTO VIA NOMINA A LOS TRABAJADORES DE SEIEM SUSCRITOS ENTRE SERVICIOS EDUCATIVOS INTEGRADOS AL ESTADO DE MEXICO (SEIEM), CON EL FONDO DE AYUDA SINDICAL (FAS) DE LAS SECCIONES 36 Y 17 DEL SNTE.</w:t>
      </w:r>
      <w:r w:rsidRPr="00673A04">
        <w:t>”</w:t>
      </w:r>
      <w:r w:rsidR="00BA1AB6" w:rsidRPr="00673A04">
        <w:t xml:space="preserve"> (sic)</w:t>
      </w:r>
    </w:p>
    <w:p w14:paraId="07B1E1B5" w14:textId="77777777" w:rsidR="004D0573" w:rsidRPr="00673A04" w:rsidRDefault="004D0573" w:rsidP="00673A04">
      <w:pPr>
        <w:pStyle w:val="Puesto"/>
      </w:pPr>
    </w:p>
    <w:p w14:paraId="0BD6321D" w14:textId="5D8567EA" w:rsidR="00664420" w:rsidRPr="00673A04" w:rsidRDefault="009A2D78" w:rsidP="00673A04">
      <w:pPr>
        <w:tabs>
          <w:tab w:val="left" w:pos="4667"/>
        </w:tabs>
        <w:ind w:left="567" w:right="567"/>
        <w:rPr>
          <w:rFonts w:cs="Tahoma"/>
          <w:bCs/>
          <w:szCs w:val="22"/>
        </w:rPr>
      </w:pPr>
      <w:r w:rsidRPr="00673A04">
        <w:rPr>
          <w:rFonts w:cs="Tahoma"/>
          <w:b/>
          <w:bCs/>
          <w:szCs w:val="22"/>
        </w:rPr>
        <w:t>Modalidad de entrega</w:t>
      </w:r>
      <w:r w:rsidRPr="00673A04">
        <w:rPr>
          <w:rFonts w:cs="Tahoma"/>
          <w:bCs/>
          <w:szCs w:val="22"/>
        </w:rPr>
        <w:t>: a</w:t>
      </w:r>
      <w:r w:rsidR="00664420" w:rsidRPr="00673A04">
        <w:rPr>
          <w:rFonts w:cs="Tahoma"/>
          <w:bCs/>
          <w:i/>
          <w:szCs w:val="22"/>
        </w:rPr>
        <w:t xml:space="preserve"> través del </w:t>
      </w:r>
      <w:r w:rsidR="00664420" w:rsidRPr="00673A04">
        <w:rPr>
          <w:rFonts w:cs="Tahoma"/>
          <w:b/>
          <w:bCs/>
          <w:i/>
          <w:szCs w:val="22"/>
        </w:rPr>
        <w:t>SAIMEX</w:t>
      </w:r>
      <w:r w:rsidRPr="00673A04">
        <w:rPr>
          <w:rFonts w:cs="Tahoma"/>
          <w:bCs/>
          <w:i/>
          <w:szCs w:val="22"/>
        </w:rPr>
        <w:t>.</w:t>
      </w:r>
    </w:p>
    <w:p w14:paraId="334D2860" w14:textId="77777777" w:rsidR="00664420" w:rsidRPr="00673A04" w:rsidRDefault="00664420" w:rsidP="00673A04">
      <w:pPr>
        <w:autoSpaceDE w:val="0"/>
        <w:autoSpaceDN w:val="0"/>
        <w:adjustRightInd w:val="0"/>
        <w:ind w:right="-28"/>
        <w:rPr>
          <w:rFonts w:cs="Tahoma"/>
          <w:bCs/>
          <w:i/>
          <w:szCs w:val="22"/>
        </w:rPr>
      </w:pPr>
    </w:p>
    <w:p w14:paraId="2F4BAB13" w14:textId="04EC32A4" w:rsidR="00D81542" w:rsidRPr="00673A04" w:rsidRDefault="00C55281" w:rsidP="00673A04">
      <w:pPr>
        <w:pStyle w:val="Ttulo3"/>
      </w:pPr>
      <w:bookmarkStart w:id="7" w:name="_Toc195183471"/>
      <w:bookmarkStart w:id="8" w:name="_Toc198750415"/>
      <w:r w:rsidRPr="00673A04">
        <w:lastRenderedPageBreak/>
        <w:t xml:space="preserve">b) </w:t>
      </w:r>
      <w:bookmarkEnd w:id="7"/>
      <w:r w:rsidR="00D81542" w:rsidRPr="00673A04">
        <w:rPr>
          <w:lang w:val="es-ES"/>
        </w:rPr>
        <w:t xml:space="preserve">Respuesta </w:t>
      </w:r>
      <w:r w:rsidR="00D81542" w:rsidRPr="00673A04">
        <w:rPr>
          <w:rFonts w:eastAsia="Calibri"/>
          <w:lang w:eastAsia="en-US"/>
        </w:rPr>
        <w:t>del Sujeto Obligado</w:t>
      </w:r>
      <w:bookmarkEnd w:id="8"/>
    </w:p>
    <w:p w14:paraId="6E178022" w14:textId="7A51360F" w:rsidR="004C4BC6" w:rsidRPr="00673A04" w:rsidRDefault="00D81542" w:rsidP="00673A04">
      <w:pPr>
        <w:rPr>
          <w:lang w:val="es-ES"/>
        </w:rPr>
      </w:pPr>
      <w:r w:rsidRPr="00673A04">
        <w:rPr>
          <w:lang w:val="es-ES"/>
        </w:rPr>
        <w:t xml:space="preserve">El </w:t>
      </w:r>
      <w:r w:rsidR="00F536B0" w:rsidRPr="00673A04">
        <w:rPr>
          <w:b/>
          <w:bCs/>
          <w:lang w:val="es-ES"/>
        </w:rPr>
        <w:t xml:space="preserve">cuatro de abril </w:t>
      </w:r>
      <w:r w:rsidRPr="00673A04">
        <w:rPr>
          <w:b/>
          <w:bCs/>
          <w:lang w:val="es-ES"/>
        </w:rPr>
        <w:t>de dos mil veinticinco</w:t>
      </w:r>
      <w:r w:rsidRPr="00673A04">
        <w:rPr>
          <w:lang w:val="es-ES"/>
        </w:rPr>
        <w:t xml:space="preserve">, el Titular de la Unidad de Transparencia del </w:t>
      </w:r>
      <w:r w:rsidRPr="00673A04">
        <w:rPr>
          <w:b/>
          <w:lang w:val="es-ES"/>
        </w:rPr>
        <w:t>SUJETO OBLIGADO</w:t>
      </w:r>
      <w:r w:rsidRPr="00673A04">
        <w:rPr>
          <w:lang w:val="es-ES"/>
        </w:rPr>
        <w:t xml:space="preserve"> notificó la siguiente respuesta a través del </w:t>
      </w:r>
      <w:r w:rsidRPr="00673A04">
        <w:rPr>
          <w:b/>
          <w:lang w:val="es-ES"/>
        </w:rPr>
        <w:t>SAIMEX</w:t>
      </w:r>
      <w:r w:rsidRPr="00673A04">
        <w:rPr>
          <w:lang w:val="es-ES"/>
        </w:rPr>
        <w:t>:</w:t>
      </w:r>
    </w:p>
    <w:p w14:paraId="1C6FA70F" w14:textId="77777777" w:rsidR="00D81542" w:rsidRPr="00673A04" w:rsidRDefault="00D81542" w:rsidP="00673A04">
      <w:pPr>
        <w:pStyle w:val="Puesto"/>
        <w:rPr>
          <w:lang w:val="es-ES"/>
        </w:rPr>
      </w:pPr>
    </w:p>
    <w:p w14:paraId="79762283" w14:textId="77777777" w:rsidR="00F536B0" w:rsidRPr="00673A04" w:rsidRDefault="004C4BC6" w:rsidP="00673A04">
      <w:pPr>
        <w:pStyle w:val="Puesto"/>
        <w:rPr>
          <w:lang w:val="es-ES"/>
        </w:rPr>
      </w:pPr>
      <w:r w:rsidRPr="00673A04">
        <w:rPr>
          <w:lang w:val="es-ES"/>
        </w:rPr>
        <w:t>“</w:t>
      </w:r>
      <w:r w:rsidR="00F536B0" w:rsidRPr="00673A04">
        <w:rPr>
          <w:lang w:val="es-ES"/>
        </w:rPr>
        <w:t>No son datos administrados por el Organismo.</w:t>
      </w:r>
    </w:p>
    <w:p w14:paraId="79530C7F" w14:textId="77777777" w:rsidR="00F536B0" w:rsidRPr="00673A04" w:rsidRDefault="00F536B0" w:rsidP="00673A04">
      <w:pPr>
        <w:rPr>
          <w:lang w:val="es-ES"/>
        </w:rPr>
      </w:pPr>
    </w:p>
    <w:p w14:paraId="4416EAB5" w14:textId="77777777" w:rsidR="00F536B0" w:rsidRPr="00673A04" w:rsidRDefault="00F536B0" w:rsidP="00673A04">
      <w:pPr>
        <w:pStyle w:val="Puesto"/>
        <w:rPr>
          <w:lang w:val="es-ES"/>
        </w:rPr>
      </w:pPr>
      <w:r w:rsidRPr="00673A04">
        <w:rPr>
          <w:lang w:val="es-ES"/>
        </w:rPr>
        <w:t>ATENTAMENTE</w:t>
      </w:r>
    </w:p>
    <w:p w14:paraId="3D08AED6" w14:textId="77777777" w:rsidR="00F536B0" w:rsidRPr="00673A04" w:rsidRDefault="00F536B0" w:rsidP="00673A04">
      <w:pPr>
        <w:rPr>
          <w:lang w:val="es-ES"/>
        </w:rPr>
      </w:pPr>
    </w:p>
    <w:p w14:paraId="0DBC6FF9" w14:textId="3E3709FB" w:rsidR="004C4BC6" w:rsidRPr="00673A04" w:rsidRDefault="00F536B0" w:rsidP="00673A04">
      <w:pPr>
        <w:pStyle w:val="Puesto"/>
        <w:rPr>
          <w:lang w:val="es-ES"/>
        </w:rPr>
      </w:pPr>
      <w:r w:rsidRPr="00673A04">
        <w:rPr>
          <w:lang w:val="es-ES"/>
        </w:rPr>
        <w:t>Lic. Joaquín Raúl Benítez Vera (SUPLENTE)</w:t>
      </w:r>
      <w:r w:rsidR="004C4BC6" w:rsidRPr="00673A04">
        <w:rPr>
          <w:lang w:val="es-ES"/>
        </w:rPr>
        <w:t xml:space="preserve">” (sic) </w:t>
      </w:r>
    </w:p>
    <w:p w14:paraId="11205A9C" w14:textId="77777777" w:rsidR="004C4BC6" w:rsidRPr="00673A04" w:rsidRDefault="004C4BC6" w:rsidP="00673A04">
      <w:pPr>
        <w:rPr>
          <w:lang w:val="es-ES"/>
        </w:rPr>
      </w:pPr>
    </w:p>
    <w:p w14:paraId="5C067CBB" w14:textId="461DADF1" w:rsidR="00F536B0" w:rsidRPr="00673A04" w:rsidRDefault="00F536B0" w:rsidP="00673A04">
      <w:pPr>
        <w:rPr>
          <w:rFonts w:cs="Tahoma"/>
          <w:bCs/>
          <w:szCs w:val="22"/>
          <w:lang w:val="es-ES"/>
        </w:rPr>
      </w:pPr>
      <w:r w:rsidRPr="00673A04">
        <w:rPr>
          <w:rFonts w:cs="Tahoma"/>
          <w:bCs/>
          <w:szCs w:val="22"/>
          <w:lang w:val="es-ES"/>
        </w:rPr>
        <w:t xml:space="preserve">Asimismo, </w:t>
      </w:r>
      <w:r w:rsidRPr="00673A04">
        <w:rPr>
          <w:rFonts w:cs="Tahoma"/>
          <w:b/>
          <w:szCs w:val="22"/>
          <w:lang w:val="es-ES"/>
        </w:rPr>
        <w:t xml:space="preserve">EL SUJETO OBLIGADO </w:t>
      </w:r>
      <w:r w:rsidRPr="00673A04">
        <w:rPr>
          <w:rFonts w:cs="Tahoma"/>
          <w:bCs/>
          <w:szCs w:val="22"/>
          <w:lang w:val="es-ES"/>
        </w:rPr>
        <w:t xml:space="preserve">adjuntó a su respuesta el archivo denominado </w:t>
      </w:r>
      <w:r w:rsidRPr="00673A04">
        <w:rPr>
          <w:b/>
          <w:bCs/>
          <w:i/>
          <w:iCs/>
        </w:rPr>
        <w:t>incompetencia 103.pdf</w:t>
      </w:r>
      <w:r w:rsidRPr="00673A04">
        <w:rPr>
          <w:rFonts w:cs="Tahoma"/>
          <w:b/>
          <w:i/>
          <w:iCs/>
          <w:szCs w:val="22"/>
          <w:lang w:val="es-ES"/>
        </w:rPr>
        <w:t xml:space="preserve">, </w:t>
      </w:r>
      <w:r w:rsidRPr="00673A04">
        <w:rPr>
          <w:rFonts w:cs="Tahoma"/>
          <w:bCs/>
          <w:szCs w:val="22"/>
          <w:lang w:val="es-ES"/>
        </w:rPr>
        <w:t xml:space="preserve">el cual contiene el oficio número 228C0101030002S/UT/0355/20025 del cuatro de abril de dos mil veinticinco, por medio del cual el suplente del Titular de la Unidad de </w:t>
      </w:r>
      <w:r w:rsidR="006A7A44" w:rsidRPr="00673A04">
        <w:rPr>
          <w:rFonts w:cs="Tahoma"/>
          <w:bCs/>
          <w:szCs w:val="22"/>
          <w:lang w:val="es-ES"/>
        </w:rPr>
        <w:t>Transparencia</w:t>
      </w:r>
      <w:r w:rsidRPr="00673A04">
        <w:rPr>
          <w:rFonts w:cs="Tahoma"/>
          <w:bCs/>
          <w:szCs w:val="22"/>
          <w:lang w:val="es-ES"/>
        </w:rPr>
        <w:t xml:space="preserve"> refiere que el análisis realizado al contenido de la solicitud, se advierte la incompetencia para atenderla; en consecuencia, sugiere dirigir la solicitud a la Secretaría de Educación Pública. </w:t>
      </w:r>
    </w:p>
    <w:p w14:paraId="07394E44" w14:textId="77777777" w:rsidR="00F536B0" w:rsidRPr="00673A04" w:rsidRDefault="00F536B0" w:rsidP="00673A04">
      <w:pPr>
        <w:rPr>
          <w:rFonts w:cs="Tahoma"/>
          <w:bCs/>
          <w:szCs w:val="22"/>
          <w:lang w:val="es-ES"/>
        </w:rPr>
      </w:pPr>
    </w:p>
    <w:p w14:paraId="0F24A322" w14:textId="7F9E5F9A" w:rsidR="00B137E8" w:rsidRPr="00673A04" w:rsidRDefault="00B137E8" w:rsidP="00673A04">
      <w:pPr>
        <w:pStyle w:val="Ttulo2"/>
        <w:jc w:val="left"/>
      </w:pPr>
      <w:bookmarkStart w:id="9" w:name="_Toc171527280"/>
      <w:bookmarkStart w:id="10" w:name="_Toc198750416"/>
      <w:r w:rsidRPr="00673A04">
        <w:t>DEL RECURSO DE REVISIÓN</w:t>
      </w:r>
      <w:bookmarkEnd w:id="9"/>
      <w:bookmarkEnd w:id="10"/>
    </w:p>
    <w:p w14:paraId="2B216813" w14:textId="61ADBB2B" w:rsidR="00664420" w:rsidRPr="00673A04" w:rsidRDefault="006E25BC" w:rsidP="00673A04">
      <w:pPr>
        <w:pStyle w:val="Ttulo3"/>
      </w:pPr>
      <w:bookmarkStart w:id="11" w:name="_Toc198750417"/>
      <w:r w:rsidRPr="00673A04">
        <w:rPr>
          <w:szCs w:val="32"/>
        </w:rPr>
        <w:t>a)</w:t>
      </w:r>
      <w:r w:rsidRPr="00673A04">
        <w:t xml:space="preserve"> </w:t>
      </w:r>
      <w:r w:rsidR="00664420" w:rsidRPr="00673A04">
        <w:t>Interposición del Recurso de Revisión</w:t>
      </w:r>
      <w:bookmarkEnd w:id="11"/>
    </w:p>
    <w:p w14:paraId="6279C622" w14:textId="3399CD38" w:rsidR="00664420" w:rsidRPr="00673A04" w:rsidRDefault="00664420" w:rsidP="00673A04">
      <w:pPr>
        <w:autoSpaceDE w:val="0"/>
        <w:autoSpaceDN w:val="0"/>
        <w:adjustRightInd w:val="0"/>
        <w:ind w:right="-28"/>
        <w:rPr>
          <w:rFonts w:cs="Tahoma"/>
          <w:szCs w:val="22"/>
        </w:rPr>
      </w:pPr>
      <w:r w:rsidRPr="00673A04">
        <w:rPr>
          <w:rFonts w:cs="Tahoma"/>
          <w:szCs w:val="22"/>
        </w:rPr>
        <w:t xml:space="preserve">El </w:t>
      </w:r>
      <w:r w:rsidR="00F536B0" w:rsidRPr="00673A04">
        <w:rPr>
          <w:rFonts w:cs="Tahoma"/>
          <w:b/>
          <w:bCs/>
          <w:szCs w:val="22"/>
        </w:rPr>
        <w:t xml:space="preserve">siete de abril </w:t>
      </w:r>
      <w:r w:rsidR="00475FF6" w:rsidRPr="00673A04">
        <w:rPr>
          <w:rFonts w:cs="Tahoma"/>
          <w:b/>
          <w:bCs/>
          <w:szCs w:val="22"/>
        </w:rPr>
        <w:t xml:space="preserve">de </w:t>
      </w:r>
      <w:r w:rsidRPr="00673A04">
        <w:rPr>
          <w:rFonts w:cs="Tahoma"/>
          <w:b/>
          <w:bCs/>
          <w:szCs w:val="22"/>
        </w:rPr>
        <w:t>dos mil</w:t>
      </w:r>
      <w:r w:rsidR="00F45902" w:rsidRPr="00673A04">
        <w:rPr>
          <w:rFonts w:cs="Tahoma"/>
          <w:b/>
          <w:bCs/>
          <w:szCs w:val="22"/>
        </w:rPr>
        <w:t xml:space="preserve"> veintic</w:t>
      </w:r>
      <w:r w:rsidR="006E7E69" w:rsidRPr="00673A04">
        <w:rPr>
          <w:rFonts w:cs="Tahoma"/>
          <w:b/>
          <w:bCs/>
          <w:szCs w:val="22"/>
        </w:rPr>
        <w:t>inco</w:t>
      </w:r>
      <w:r w:rsidR="00887577" w:rsidRPr="00673A04">
        <w:rPr>
          <w:rFonts w:cs="Tahoma"/>
          <w:b/>
          <w:bCs/>
          <w:szCs w:val="22"/>
        </w:rPr>
        <w:t xml:space="preserve"> </w:t>
      </w:r>
      <w:r w:rsidR="00F75D23" w:rsidRPr="00673A04">
        <w:rPr>
          <w:rFonts w:cs="Tahoma"/>
          <w:b/>
          <w:bCs/>
          <w:szCs w:val="22"/>
        </w:rPr>
        <w:t>LA PARTE RECURRENTE</w:t>
      </w:r>
      <w:r w:rsidR="00F75D23" w:rsidRPr="00673A04">
        <w:rPr>
          <w:rFonts w:cs="Tahoma"/>
          <w:szCs w:val="22"/>
        </w:rPr>
        <w:t xml:space="preserve"> interpuso el recurso de revisión en contra de la respuesta emitida por el </w:t>
      </w:r>
      <w:r w:rsidR="00F75D23" w:rsidRPr="00673A04">
        <w:rPr>
          <w:rFonts w:cs="Tahoma"/>
          <w:b/>
          <w:bCs/>
          <w:szCs w:val="22"/>
        </w:rPr>
        <w:t>SUJETO OBLIGADO</w:t>
      </w:r>
      <w:r w:rsidR="00953430" w:rsidRPr="00673A04">
        <w:rPr>
          <w:rFonts w:cs="Tahoma"/>
          <w:szCs w:val="22"/>
        </w:rPr>
        <w:t xml:space="preserve">, mismo que fue registrado en el </w:t>
      </w:r>
      <w:r w:rsidR="00953430" w:rsidRPr="00673A04">
        <w:rPr>
          <w:rFonts w:cs="Tahoma"/>
          <w:b/>
          <w:szCs w:val="22"/>
        </w:rPr>
        <w:t>SAIMEX</w:t>
      </w:r>
      <w:r w:rsidR="00953430" w:rsidRPr="00673A04">
        <w:rPr>
          <w:rFonts w:cs="Tahoma"/>
          <w:szCs w:val="22"/>
        </w:rPr>
        <w:t xml:space="preserve"> con el número de expediente </w:t>
      </w:r>
      <w:r w:rsidR="006E7E69" w:rsidRPr="00673A04">
        <w:rPr>
          <w:rFonts w:cs="Tahoma"/>
          <w:b/>
          <w:bCs/>
          <w:szCs w:val="22"/>
        </w:rPr>
        <w:t>0</w:t>
      </w:r>
      <w:r w:rsidR="00F536B0" w:rsidRPr="00673A04">
        <w:rPr>
          <w:rFonts w:cs="Tahoma"/>
          <w:b/>
          <w:bCs/>
          <w:szCs w:val="22"/>
        </w:rPr>
        <w:t>404</w:t>
      </w:r>
      <w:r w:rsidR="004C4BC6" w:rsidRPr="00673A04">
        <w:rPr>
          <w:rFonts w:cs="Tahoma"/>
          <w:b/>
          <w:bCs/>
          <w:szCs w:val="22"/>
        </w:rPr>
        <w:t>2</w:t>
      </w:r>
      <w:r w:rsidR="001A3AF8" w:rsidRPr="00673A04">
        <w:rPr>
          <w:rFonts w:cs="Tahoma"/>
          <w:b/>
          <w:bCs/>
          <w:szCs w:val="22"/>
        </w:rPr>
        <w:t>/</w:t>
      </w:r>
      <w:r w:rsidR="006E7E69" w:rsidRPr="00673A04">
        <w:rPr>
          <w:rFonts w:cs="Tahoma"/>
          <w:b/>
          <w:bCs/>
          <w:szCs w:val="22"/>
        </w:rPr>
        <w:t>INFOEM/IP/RR/2025</w:t>
      </w:r>
      <w:r w:rsidR="00953430" w:rsidRPr="00673A04">
        <w:rPr>
          <w:rFonts w:cs="Tahoma"/>
          <w:szCs w:val="22"/>
        </w:rPr>
        <w:t>, y en el cual manifiesta lo siguiente</w:t>
      </w:r>
      <w:r w:rsidRPr="00673A04">
        <w:rPr>
          <w:rFonts w:cs="Tahoma"/>
          <w:szCs w:val="22"/>
        </w:rPr>
        <w:t>:</w:t>
      </w:r>
    </w:p>
    <w:p w14:paraId="74B30008" w14:textId="77777777" w:rsidR="00664420" w:rsidRPr="00673A04" w:rsidRDefault="00664420" w:rsidP="00673A04">
      <w:pPr>
        <w:tabs>
          <w:tab w:val="left" w:pos="4667"/>
        </w:tabs>
        <w:ind w:right="539"/>
        <w:rPr>
          <w:rFonts w:cs="Tahoma"/>
          <w:szCs w:val="22"/>
        </w:rPr>
      </w:pPr>
    </w:p>
    <w:p w14:paraId="7DD5D65D" w14:textId="77777777" w:rsidR="00F61982" w:rsidRPr="00673A04" w:rsidRDefault="00664420" w:rsidP="00673A04">
      <w:pPr>
        <w:tabs>
          <w:tab w:val="left" w:pos="4667"/>
        </w:tabs>
        <w:ind w:right="539"/>
        <w:rPr>
          <w:rFonts w:cs="Tahoma"/>
          <w:b/>
          <w:iCs/>
        </w:rPr>
      </w:pPr>
      <w:r w:rsidRPr="00673A04">
        <w:rPr>
          <w:rFonts w:cs="Tahoma"/>
          <w:b/>
          <w:iCs/>
        </w:rPr>
        <w:t>ACTO IMPUGNADO</w:t>
      </w:r>
      <w:r w:rsidR="00F61982" w:rsidRPr="00673A04">
        <w:rPr>
          <w:rFonts w:cs="Tahoma"/>
          <w:b/>
          <w:iCs/>
        </w:rPr>
        <w:t xml:space="preserve">: </w:t>
      </w:r>
    </w:p>
    <w:p w14:paraId="4A91E67C" w14:textId="77777777" w:rsidR="00F61982" w:rsidRPr="00673A04" w:rsidRDefault="00F61982" w:rsidP="00673A04">
      <w:pPr>
        <w:tabs>
          <w:tab w:val="left" w:pos="4667"/>
        </w:tabs>
        <w:ind w:right="539"/>
        <w:rPr>
          <w:rFonts w:cs="Tahoma"/>
          <w:b/>
          <w:iCs/>
        </w:rPr>
      </w:pPr>
    </w:p>
    <w:p w14:paraId="3C1C9027" w14:textId="7A3E66C7" w:rsidR="00F61982" w:rsidRPr="00673A04" w:rsidRDefault="00F61982" w:rsidP="00673A04">
      <w:pPr>
        <w:pStyle w:val="Puesto"/>
      </w:pPr>
      <w:r w:rsidRPr="00673A04">
        <w:t>“</w:t>
      </w:r>
      <w:r w:rsidR="00F536B0" w:rsidRPr="00673A04">
        <w:t>RESPUESTA A LA SOLICITUD 00103/SEIEM/IP/2025</w:t>
      </w:r>
      <w:r w:rsidRPr="00673A04">
        <w:t xml:space="preserve">” (sic) </w:t>
      </w:r>
    </w:p>
    <w:p w14:paraId="5A440799" w14:textId="77777777" w:rsidR="00F61982" w:rsidRPr="00673A04" w:rsidRDefault="00F61982" w:rsidP="00673A04">
      <w:pPr>
        <w:tabs>
          <w:tab w:val="left" w:pos="4667"/>
        </w:tabs>
        <w:ind w:right="539"/>
        <w:rPr>
          <w:rFonts w:cs="Tahoma"/>
          <w:b/>
          <w:iCs/>
        </w:rPr>
      </w:pPr>
    </w:p>
    <w:p w14:paraId="2780191D" w14:textId="5AAE0319" w:rsidR="006415E5" w:rsidRPr="00673A04" w:rsidRDefault="001A3AF8" w:rsidP="00673A04">
      <w:pPr>
        <w:tabs>
          <w:tab w:val="left" w:pos="4667"/>
        </w:tabs>
        <w:ind w:right="539"/>
        <w:rPr>
          <w:rFonts w:cs="Tahoma"/>
          <w:b/>
          <w:iCs/>
        </w:rPr>
      </w:pPr>
      <w:r w:rsidRPr="00673A04">
        <w:rPr>
          <w:rFonts w:cs="Tahoma"/>
          <w:b/>
          <w:iCs/>
        </w:rPr>
        <w:t>RAZONES O MOTIVOS DE INCONFORMIDAD</w:t>
      </w:r>
      <w:r w:rsidR="006415E5" w:rsidRPr="00673A04">
        <w:rPr>
          <w:rFonts w:cs="Tahoma"/>
          <w:b/>
          <w:iCs/>
        </w:rPr>
        <w:t xml:space="preserve">: </w:t>
      </w:r>
    </w:p>
    <w:p w14:paraId="369BEFEA" w14:textId="77777777" w:rsidR="006415E5" w:rsidRPr="00673A04" w:rsidRDefault="006415E5" w:rsidP="00673A04">
      <w:pPr>
        <w:pStyle w:val="Puesto"/>
      </w:pPr>
    </w:p>
    <w:p w14:paraId="174FC425" w14:textId="0A6E517E" w:rsidR="006415E5" w:rsidRPr="00673A04" w:rsidRDefault="006415E5" w:rsidP="00673A04">
      <w:pPr>
        <w:pStyle w:val="Puesto"/>
      </w:pPr>
      <w:r w:rsidRPr="00673A04">
        <w:t>“</w:t>
      </w:r>
      <w:r w:rsidR="00F536B0" w:rsidRPr="00673A04">
        <w:t>SE ESTABLECE QUE LA INFORMACIÓN SOLICITADA NO LA ADMINISTRA EL ORGANISMO, CUANDO LA COORDINACIÓN DE ADMINISTRACIÓN Y FINANZAS Y LA DIRECCIÓN DE ADMINISTRACIÓN Y DESARROLLO DE PERSONAL DE SEIEM, EN ESPECIFICO EL DEPARTAMENTOI DE ASUNTOS LABORALES CUENTA CON MULTIPLES CONVENIOS PARA DESCUENTOS VIA NOMINA CON MUCHAS EMPRESAS PRIVADAS PARA PRESTAMOS Y SEGUROS, ENTRE LOS CUALES SE ENCUENTRA LA DEL FONDE DE AYUDA SINDICAL QUE A LA FECHA OPERA Y DESCUANTA ALOS TRABAJADORES DE SEIEM.</w:t>
      </w:r>
      <w:r w:rsidRPr="00673A04">
        <w:t xml:space="preserve">” (sic) </w:t>
      </w:r>
    </w:p>
    <w:p w14:paraId="737EA022" w14:textId="77777777" w:rsidR="006415E5" w:rsidRPr="00673A04" w:rsidRDefault="006415E5" w:rsidP="00673A04">
      <w:pPr>
        <w:pStyle w:val="Puesto"/>
      </w:pPr>
    </w:p>
    <w:p w14:paraId="6804DEF1" w14:textId="1FD3227A" w:rsidR="00664420" w:rsidRPr="00673A04" w:rsidRDefault="006E25BC" w:rsidP="00673A04">
      <w:pPr>
        <w:pStyle w:val="Ttulo3"/>
      </w:pPr>
      <w:bookmarkStart w:id="12" w:name="_Toc198750418"/>
      <w:r w:rsidRPr="00673A04">
        <w:t>b</w:t>
      </w:r>
      <w:r w:rsidR="00664420" w:rsidRPr="00673A04">
        <w:t>) Turno del Recurso de Revisión</w:t>
      </w:r>
      <w:bookmarkEnd w:id="12"/>
    </w:p>
    <w:p w14:paraId="1173671B" w14:textId="21BA7B72" w:rsidR="00C72DAA" w:rsidRPr="00673A04" w:rsidRDefault="00C72DAA" w:rsidP="00673A04">
      <w:r w:rsidRPr="00673A04">
        <w:t>Con fundamento en el artículo 185, fracción I de la Ley de Transparencia y Acceso a la Información Pública del Estado de México y Municipios, el</w:t>
      </w:r>
      <w:r w:rsidRPr="00673A04">
        <w:rPr>
          <w:b/>
          <w:bCs/>
        </w:rPr>
        <w:t xml:space="preserve"> </w:t>
      </w:r>
      <w:r w:rsidR="00F536B0" w:rsidRPr="00673A04">
        <w:rPr>
          <w:rFonts w:eastAsia="Palatino Linotype" w:cs="Palatino Linotype"/>
          <w:b/>
        </w:rPr>
        <w:t xml:space="preserve">siete de abril </w:t>
      </w:r>
      <w:r w:rsidR="009A1340" w:rsidRPr="00673A04">
        <w:rPr>
          <w:rFonts w:eastAsia="Palatino Linotype" w:cs="Palatino Linotype"/>
          <w:b/>
        </w:rPr>
        <w:t xml:space="preserve">de dos mil veinticinco, </w:t>
      </w:r>
      <w:r w:rsidRPr="00673A04">
        <w:t>se turnó el recurso de revisión a través del</w:t>
      </w:r>
      <w:r w:rsidRPr="00673A04">
        <w:rPr>
          <w:rFonts w:eastAsia="Arial Unicode MS"/>
        </w:rPr>
        <w:t xml:space="preserve"> </w:t>
      </w:r>
      <w:r w:rsidRPr="00673A04">
        <w:rPr>
          <w:rFonts w:eastAsia="Arial Unicode MS"/>
          <w:b/>
          <w:bCs/>
        </w:rPr>
        <w:t>SAIMEX</w:t>
      </w:r>
      <w:r w:rsidRPr="00673A04">
        <w:t xml:space="preserve"> a la </w:t>
      </w:r>
      <w:r w:rsidRPr="00673A04">
        <w:rPr>
          <w:b/>
        </w:rPr>
        <w:t>Comisionada Sharon Cristina Morales Martínez</w:t>
      </w:r>
      <w:r w:rsidRPr="00673A04">
        <w:rPr>
          <w:bCs/>
        </w:rPr>
        <w:t xml:space="preserve">, </w:t>
      </w:r>
      <w:r w:rsidRPr="00673A04">
        <w:t xml:space="preserve">a efecto de decretar su admisión o desechamiento. </w:t>
      </w:r>
    </w:p>
    <w:p w14:paraId="18F305CB" w14:textId="77777777" w:rsidR="00664420" w:rsidRPr="00673A04" w:rsidRDefault="00664420" w:rsidP="00673A04">
      <w:pPr>
        <w:rPr>
          <w:rFonts w:eastAsia="Batang" w:cs="Tahoma"/>
          <w:bCs/>
          <w:szCs w:val="22"/>
        </w:rPr>
      </w:pPr>
    </w:p>
    <w:p w14:paraId="3E31EC2D" w14:textId="295256A1" w:rsidR="00664420" w:rsidRPr="00673A04" w:rsidRDefault="006E25BC" w:rsidP="00673A04">
      <w:pPr>
        <w:pStyle w:val="Ttulo3"/>
      </w:pPr>
      <w:bookmarkStart w:id="13" w:name="_Toc198750419"/>
      <w:r w:rsidRPr="00673A04">
        <w:t>c</w:t>
      </w:r>
      <w:r w:rsidR="00664420" w:rsidRPr="00673A04">
        <w:t>) Admisión del Recurso de Revisión</w:t>
      </w:r>
      <w:bookmarkEnd w:id="13"/>
    </w:p>
    <w:p w14:paraId="240447D5" w14:textId="4A5BDDF4" w:rsidR="000E09C4" w:rsidRPr="00673A04" w:rsidRDefault="000E09C4" w:rsidP="00673A04">
      <w:pPr>
        <w:rPr>
          <w:rFonts w:cs="Arial"/>
        </w:rPr>
      </w:pPr>
      <w:r w:rsidRPr="00673A04">
        <w:rPr>
          <w:rFonts w:cs="Arial"/>
        </w:rPr>
        <w:t xml:space="preserve">El </w:t>
      </w:r>
      <w:r w:rsidR="00F536B0" w:rsidRPr="00673A04">
        <w:rPr>
          <w:rFonts w:eastAsia="Palatino Linotype" w:cs="Palatino Linotype"/>
          <w:b/>
        </w:rPr>
        <w:t xml:space="preserve">diez de abril </w:t>
      </w:r>
      <w:r w:rsidR="003A67CC" w:rsidRPr="00673A04">
        <w:rPr>
          <w:rFonts w:eastAsia="Palatino Linotype" w:cs="Palatino Linotype"/>
          <w:b/>
        </w:rPr>
        <w:t>d</w:t>
      </w:r>
      <w:r w:rsidR="00657603" w:rsidRPr="00673A04">
        <w:rPr>
          <w:rFonts w:eastAsia="Palatino Linotype" w:cs="Palatino Linotype"/>
          <w:b/>
        </w:rPr>
        <w:t>e dos mil veintic</w:t>
      </w:r>
      <w:r w:rsidR="009A1340" w:rsidRPr="00673A04">
        <w:rPr>
          <w:rFonts w:eastAsia="Palatino Linotype" w:cs="Palatino Linotype"/>
          <w:b/>
        </w:rPr>
        <w:t>inco</w:t>
      </w:r>
      <w:r w:rsidRPr="00673A0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73A04">
        <w:rPr>
          <w:rFonts w:cs="Arial"/>
        </w:rPr>
        <w:t>, fracción II</w:t>
      </w:r>
      <w:r w:rsidRPr="00673A04">
        <w:rPr>
          <w:rFonts w:cs="Arial"/>
        </w:rPr>
        <w:t xml:space="preserve"> de la Ley de Transparencia y Acceso a la Información Pública del Estado de México y Municipios.</w:t>
      </w:r>
    </w:p>
    <w:p w14:paraId="34EC3F86" w14:textId="77777777" w:rsidR="00D2790D" w:rsidRPr="00673A04" w:rsidRDefault="00D2790D" w:rsidP="00673A04">
      <w:pPr>
        <w:rPr>
          <w:rFonts w:cs="Arial"/>
        </w:rPr>
      </w:pPr>
    </w:p>
    <w:p w14:paraId="3B820F58" w14:textId="503F9071" w:rsidR="00865CF4" w:rsidRPr="00673A04" w:rsidRDefault="0075751F" w:rsidP="00673A04">
      <w:pPr>
        <w:pStyle w:val="Ttulo3"/>
      </w:pPr>
      <w:bookmarkStart w:id="14" w:name="_Toc198750420"/>
      <w:r w:rsidRPr="00673A04">
        <w:lastRenderedPageBreak/>
        <w:t>d</w:t>
      </w:r>
      <w:r w:rsidR="00664420" w:rsidRPr="00673A04">
        <w:t xml:space="preserve">) </w:t>
      </w:r>
      <w:r w:rsidR="00865CF4" w:rsidRPr="00673A04">
        <w:t>Informe Justificado del Sujeto Obligado</w:t>
      </w:r>
      <w:bookmarkEnd w:id="14"/>
    </w:p>
    <w:p w14:paraId="30B28A08" w14:textId="236A94EE" w:rsidR="00D81542" w:rsidRPr="00673A04" w:rsidRDefault="00F61982" w:rsidP="00673A04">
      <w:pPr>
        <w:rPr>
          <w:rFonts w:cs="Tahoma"/>
          <w:bCs/>
          <w:szCs w:val="24"/>
        </w:rPr>
      </w:pPr>
      <w:r w:rsidRPr="00673A04">
        <w:rPr>
          <w:rFonts w:cs="Tahoma"/>
          <w:bCs/>
          <w:szCs w:val="24"/>
        </w:rPr>
        <w:t xml:space="preserve">El </w:t>
      </w:r>
      <w:r w:rsidR="00F536B0" w:rsidRPr="00673A04">
        <w:rPr>
          <w:rFonts w:cs="Tahoma"/>
          <w:b/>
          <w:szCs w:val="24"/>
        </w:rPr>
        <w:t xml:space="preserve">veintiocho de abril </w:t>
      </w:r>
      <w:r w:rsidRPr="00673A04">
        <w:rPr>
          <w:rFonts w:cs="Tahoma"/>
          <w:b/>
          <w:szCs w:val="24"/>
        </w:rPr>
        <w:t>de dos mil veinticinco EL SUJETO OBLIGADO</w:t>
      </w:r>
      <w:r w:rsidRPr="00673A04">
        <w:rPr>
          <w:rFonts w:cs="Tahoma"/>
          <w:bCs/>
          <w:szCs w:val="24"/>
        </w:rPr>
        <w:t xml:space="preserve"> rindió su informe justificado a través del </w:t>
      </w:r>
      <w:r w:rsidRPr="00673A04">
        <w:rPr>
          <w:rFonts w:cs="Tahoma"/>
          <w:b/>
          <w:bCs/>
          <w:szCs w:val="24"/>
        </w:rPr>
        <w:t>SAIMEX</w:t>
      </w:r>
      <w:r w:rsidRPr="00673A04">
        <w:rPr>
          <w:rFonts w:cs="Tahoma"/>
          <w:bCs/>
          <w:szCs w:val="24"/>
        </w:rPr>
        <w:t xml:space="preserve">, </w:t>
      </w:r>
      <w:bookmarkStart w:id="15" w:name="_Hlk165379932"/>
      <w:r w:rsidRPr="00673A04">
        <w:rPr>
          <w:rFonts w:cs="Tahoma"/>
          <w:bCs/>
          <w:szCs w:val="24"/>
        </w:rPr>
        <w:t xml:space="preserve">adjuntando para ello </w:t>
      </w:r>
      <w:r w:rsidR="00D81542" w:rsidRPr="00673A04">
        <w:rPr>
          <w:rFonts w:cs="Tahoma"/>
          <w:bCs/>
          <w:szCs w:val="24"/>
        </w:rPr>
        <w:t>los</w:t>
      </w:r>
      <w:r w:rsidRPr="00673A04">
        <w:rPr>
          <w:rFonts w:cs="Tahoma"/>
          <w:bCs/>
          <w:szCs w:val="24"/>
        </w:rPr>
        <w:t xml:space="preserve"> archivo</w:t>
      </w:r>
      <w:r w:rsidR="00D81542" w:rsidRPr="00673A04">
        <w:rPr>
          <w:rFonts w:cs="Tahoma"/>
          <w:bCs/>
          <w:szCs w:val="24"/>
        </w:rPr>
        <w:t>s</w:t>
      </w:r>
      <w:r w:rsidRPr="00673A04">
        <w:rPr>
          <w:rFonts w:cs="Tahoma"/>
          <w:bCs/>
          <w:szCs w:val="24"/>
        </w:rPr>
        <w:t xml:space="preserve"> </w:t>
      </w:r>
      <w:r w:rsidR="003A0664" w:rsidRPr="00673A04">
        <w:rPr>
          <w:rFonts w:cs="Tahoma"/>
          <w:bCs/>
          <w:szCs w:val="24"/>
        </w:rPr>
        <w:t>electrónico</w:t>
      </w:r>
      <w:r w:rsidR="00D81542" w:rsidRPr="00673A04">
        <w:rPr>
          <w:rFonts w:cs="Tahoma"/>
          <w:bCs/>
          <w:szCs w:val="24"/>
        </w:rPr>
        <w:t xml:space="preserve">s que a continuación se describen: </w:t>
      </w:r>
    </w:p>
    <w:p w14:paraId="626A09A6" w14:textId="77777777" w:rsidR="00D81542" w:rsidRPr="00673A04" w:rsidRDefault="00D81542" w:rsidP="00673A04">
      <w:pPr>
        <w:rPr>
          <w:rFonts w:cs="Tahoma"/>
          <w:bCs/>
          <w:szCs w:val="24"/>
        </w:rPr>
      </w:pPr>
    </w:p>
    <w:p w14:paraId="1465DBA5" w14:textId="46B47B58" w:rsidR="00F536B0" w:rsidRPr="00673A04" w:rsidRDefault="005B6FB1" w:rsidP="00673A04">
      <w:pPr>
        <w:pStyle w:val="Prrafodelista"/>
        <w:numPr>
          <w:ilvl w:val="0"/>
          <w:numId w:val="50"/>
        </w:numPr>
        <w:rPr>
          <w:rFonts w:cs="Tahoma"/>
          <w:b/>
          <w:bCs/>
          <w:i/>
          <w:iCs/>
          <w:szCs w:val="24"/>
        </w:rPr>
      </w:pPr>
      <w:hyperlink r:id="rId14" w:history="1">
        <w:r w:rsidR="00F536B0" w:rsidRPr="00673A04">
          <w:rPr>
            <w:rFonts w:cs="Tahoma"/>
            <w:b/>
            <w:bCs/>
            <w:i/>
            <w:iCs/>
            <w:szCs w:val="24"/>
          </w:rPr>
          <w:t>INF. DE JUST. 00103 ( RR 04042).pdf</w:t>
        </w:r>
      </w:hyperlink>
      <w:r w:rsidR="00F536B0" w:rsidRPr="00673A04">
        <w:rPr>
          <w:rFonts w:cs="Tahoma"/>
          <w:b/>
          <w:bCs/>
          <w:i/>
          <w:iCs/>
          <w:szCs w:val="24"/>
        </w:rPr>
        <w:t xml:space="preserve">, </w:t>
      </w:r>
      <w:r w:rsidR="00F536B0" w:rsidRPr="00673A04">
        <w:rPr>
          <w:rFonts w:cs="Tahoma"/>
          <w:szCs w:val="24"/>
        </w:rPr>
        <w:t xml:space="preserve">el cual contiene el oficio número 228C0101030002S/UT/400/2025 del veintiocho de abril de dos mil veinticinco, por medio del cual el suplente del titular de la Unidad de Transparencia, </w:t>
      </w:r>
      <w:r w:rsidR="005F5D00" w:rsidRPr="00673A04">
        <w:rPr>
          <w:rFonts w:cs="Tahoma"/>
          <w:szCs w:val="24"/>
        </w:rPr>
        <w:t xml:space="preserve">refiere adjuntar el informe de la servidora pública habilitada de la Dirección de Administración y Desarrollo de Personal. </w:t>
      </w:r>
    </w:p>
    <w:p w14:paraId="54BDF91D" w14:textId="778A5E03" w:rsidR="00F536B0" w:rsidRPr="00673A04" w:rsidRDefault="00F536B0" w:rsidP="00673A04">
      <w:pPr>
        <w:pStyle w:val="Prrafodelista"/>
        <w:numPr>
          <w:ilvl w:val="0"/>
          <w:numId w:val="50"/>
        </w:numPr>
        <w:rPr>
          <w:rFonts w:cs="Tahoma"/>
          <w:b/>
          <w:bCs/>
          <w:i/>
          <w:iCs/>
          <w:szCs w:val="24"/>
        </w:rPr>
      </w:pPr>
      <w:r w:rsidRPr="00673A04">
        <w:rPr>
          <w:rFonts w:cs="Tahoma"/>
          <w:b/>
          <w:bCs/>
          <w:i/>
          <w:iCs/>
          <w:szCs w:val="24"/>
        </w:rPr>
        <w:t>ANEXOS SOL. 0103.pdf</w:t>
      </w:r>
      <w:r w:rsidR="005F5D00" w:rsidRPr="00673A04">
        <w:rPr>
          <w:rFonts w:cs="Tahoma"/>
          <w:b/>
          <w:bCs/>
          <w:i/>
          <w:iCs/>
          <w:szCs w:val="24"/>
        </w:rPr>
        <w:t xml:space="preserve">, </w:t>
      </w:r>
      <w:r w:rsidR="005F5D00" w:rsidRPr="00673A04">
        <w:rPr>
          <w:rFonts w:cs="Tahoma"/>
          <w:szCs w:val="24"/>
        </w:rPr>
        <w:t>el cual contiene el oficio número 228C0101230102L/0255/2025 del diez de abril de dos mil veinticinco, por medio del cual la encargada del despacho del Departamento de Prestaciones y servidora pública habilitada, hace del conocimiento quela información requerida fue a su vez solicitada mediante oficio al Departamento de Asuntos Laborales de acuerdo a las funciones encomendadas por el Manual General de Organización el cual adjunta oficio número 228C0101230103L/414/2025; así como el Reglamento Fondo de Ayuda Sindical, Sección 17 del SNTE, Valle de Toluca de noviembre de 2010.</w:t>
      </w:r>
    </w:p>
    <w:p w14:paraId="790303E0" w14:textId="0B719DF9" w:rsidR="003A0664" w:rsidRPr="00673A04" w:rsidRDefault="003A0664" w:rsidP="00673A04">
      <w:pPr>
        <w:rPr>
          <w:rFonts w:cs="Tahoma"/>
          <w:szCs w:val="24"/>
        </w:rPr>
      </w:pPr>
    </w:p>
    <w:bookmarkEnd w:id="15"/>
    <w:p w14:paraId="0DFD1463" w14:textId="7168ADB3" w:rsidR="00F61982" w:rsidRPr="00673A04" w:rsidRDefault="00F61982" w:rsidP="00673A04">
      <w:pPr>
        <w:rPr>
          <w:rFonts w:cs="Tahoma"/>
          <w:bCs/>
          <w:szCs w:val="24"/>
        </w:rPr>
      </w:pPr>
      <w:r w:rsidRPr="00673A04">
        <w:rPr>
          <w:rFonts w:cs="Tahoma"/>
          <w:bCs/>
          <w:szCs w:val="24"/>
        </w:rPr>
        <w:t xml:space="preserve">Esta información fue puesta a la vista de </w:t>
      </w:r>
      <w:r w:rsidRPr="00673A04">
        <w:rPr>
          <w:rFonts w:cs="Tahoma"/>
          <w:b/>
          <w:szCs w:val="24"/>
        </w:rPr>
        <w:t xml:space="preserve">LA PARTE RECURRENTE </w:t>
      </w:r>
      <w:r w:rsidRPr="00673A04">
        <w:rPr>
          <w:rFonts w:cs="Tahoma"/>
          <w:bCs/>
          <w:szCs w:val="24"/>
        </w:rPr>
        <w:t xml:space="preserve">el </w:t>
      </w:r>
      <w:r w:rsidR="005F5D00" w:rsidRPr="00673A04">
        <w:rPr>
          <w:rFonts w:cs="Tahoma"/>
          <w:b/>
          <w:szCs w:val="24"/>
        </w:rPr>
        <w:t>catorce</w:t>
      </w:r>
      <w:r w:rsidR="003F769B" w:rsidRPr="00673A04">
        <w:rPr>
          <w:rFonts w:cs="Tahoma"/>
          <w:b/>
          <w:szCs w:val="24"/>
        </w:rPr>
        <w:t xml:space="preserve"> de ma</w:t>
      </w:r>
      <w:r w:rsidR="0039580A" w:rsidRPr="00673A04">
        <w:rPr>
          <w:rFonts w:cs="Tahoma"/>
          <w:b/>
          <w:szCs w:val="24"/>
        </w:rPr>
        <w:t>y</w:t>
      </w:r>
      <w:r w:rsidR="003F769B" w:rsidRPr="00673A04">
        <w:rPr>
          <w:rFonts w:cs="Tahoma"/>
          <w:b/>
          <w:szCs w:val="24"/>
        </w:rPr>
        <w:t xml:space="preserve">o </w:t>
      </w:r>
      <w:r w:rsidRPr="00673A04">
        <w:rPr>
          <w:rFonts w:cs="Tahoma"/>
          <w:b/>
          <w:szCs w:val="24"/>
        </w:rPr>
        <w:t>de dos mil veinticinco</w:t>
      </w:r>
      <w:r w:rsidRPr="00673A04">
        <w:rPr>
          <w:rFonts w:cs="Tahoma"/>
          <w:bCs/>
          <w:szCs w:val="24"/>
        </w:rPr>
        <w:t xml:space="preserve"> para que, en un plazo de tres días hábiles, manifestara lo que a su derecho conviniera, de conformidad con lo establecido en el </w:t>
      </w:r>
      <w:r w:rsidRPr="00673A04">
        <w:rPr>
          <w:rFonts w:cs="Arial"/>
        </w:rPr>
        <w:t>artículo 185, fracción III de la Ley de Transparencia y Acceso a la Información Pública del Estado de México y Municipios</w:t>
      </w:r>
      <w:r w:rsidRPr="00673A04">
        <w:rPr>
          <w:rFonts w:cs="Tahoma"/>
          <w:bCs/>
          <w:szCs w:val="24"/>
        </w:rPr>
        <w:t>.</w:t>
      </w:r>
    </w:p>
    <w:p w14:paraId="4103CA12" w14:textId="77777777" w:rsidR="00F61982" w:rsidRPr="00673A04" w:rsidRDefault="00F61982" w:rsidP="00673A04">
      <w:pPr>
        <w:ind w:right="539"/>
        <w:rPr>
          <w:rFonts w:cs="Tahoma"/>
          <w:bCs/>
          <w:szCs w:val="24"/>
        </w:rPr>
      </w:pPr>
    </w:p>
    <w:p w14:paraId="755B7730" w14:textId="3EA3E31D" w:rsidR="00664420" w:rsidRPr="00673A04" w:rsidRDefault="0075751F" w:rsidP="00673A04">
      <w:pPr>
        <w:pStyle w:val="Ttulo3"/>
        <w:rPr>
          <w:lang w:val="es-ES"/>
        </w:rPr>
      </w:pPr>
      <w:bookmarkStart w:id="16" w:name="_Toc198750421"/>
      <w:r w:rsidRPr="00673A04">
        <w:rPr>
          <w:rFonts w:eastAsia="Calibri"/>
          <w:bCs/>
          <w:lang w:eastAsia="en-US"/>
        </w:rPr>
        <w:lastRenderedPageBreak/>
        <w:t>e</w:t>
      </w:r>
      <w:r w:rsidR="00664420" w:rsidRPr="00673A04">
        <w:rPr>
          <w:rFonts w:eastAsia="Calibri"/>
          <w:bCs/>
          <w:lang w:eastAsia="en-US"/>
        </w:rPr>
        <w:t>)</w:t>
      </w:r>
      <w:r w:rsidR="00664420" w:rsidRPr="00673A04">
        <w:t xml:space="preserve"> </w:t>
      </w:r>
      <w:r w:rsidR="00865CF4" w:rsidRPr="00673A04">
        <w:rPr>
          <w:lang w:val="es-ES"/>
        </w:rPr>
        <w:t>Manifestaciones de la Parte Recurrente</w:t>
      </w:r>
      <w:bookmarkEnd w:id="16"/>
    </w:p>
    <w:p w14:paraId="217A35D8" w14:textId="77777777" w:rsidR="0086345C" w:rsidRPr="00673A04" w:rsidRDefault="0086345C" w:rsidP="00673A04">
      <w:pPr>
        <w:rPr>
          <w:rFonts w:eastAsia="Arial Unicode MS" w:cs="Arial"/>
        </w:rPr>
      </w:pPr>
      <w:r w:rsidRPr="00673A04">
        <w:rPr>
          <w:rFonts w:cs="Tahoma"/>
          <w:b/>
          <w:szCs w:val="24"/>
        </w:rPr>
        <w:t xml:space="preserve">LA PARTE RECURRENTE </w:t>
      </w:r>
      <w:r w:rsidRPr="00673A04">
        <w:rPr>
          <w:rFonts w:eastAsia="Arial Unicode MS" w:cs="Arial"/>
        </w:rPr>
        <w:t>no realizó manifestación alguna dentro del término legalmente concedido para tal efecto, ni presentó pruebas o alegatos.</w:t>
      </w:r>
    </w:p>
    <w:p w14:paraId="43289D82" w14:textId="77777777" w:rsidR="00865CF4" w:rsidRPr="00673A04" w:rsidRDefault="00865CF4" w:rsidP="00673A04">
      <w:pPr>
        <w:rPr>
          <w:rFonts w:eastAsia="Arial Unicode MS" w:cs="Arial"/>
        </w:rPr>
      </w:pPr>
    </w:p>
    <w:p w14:paraId="76DA46CB" w14:textId="77777777" w:rsidR="009F08C3" w:rsidRPr="00673A04" w:rsidRDefault="009F08C3" w:rsidP="00673A04">
      <w:pPr>
        <w:rPr>
          <w:rFonts w:eastAsia="Arial Unicode MS" w:cs="Arial"/>
          <w:b/>
        </w:rPr>
      </w:pPr>
      <w:bookmarkStart w:id="17" w:name="_Toc194584225"/>
      <w:r w:rsidRPr="00673A04">
        <w:rPr>
          <w:rFonts w:eastAsia="Arial Unicode MS" w:cs="Arial"/>
          <w:b/>
        </w:rPr>
        <w:t>f) Desistimiento del Recurso Revisión.</w:t>
      </w:r>
      <w:bookmarkEnd w:id="17"/>
    </w:p>
    <w:p w14:paraId="2EDAD874" w14:textId="2B37E1A9" w:rsidR="009F08C3" w:rsidRPr="00673A04" w:rsidRDefault="009F08C3" w:rsidP="00673A04">
      <w:pPr>
        <w:rPr>
          <w:rFonts w:eastAsia="Arial Unicode MS" w:cs="Arial"/>
        </w:rPr>
      </w:pPr>
      <w:r w:rsidRPr="00673A04">
        <w:rPr>
          <w:rFonts w:eastAsia="Arial Unicode MS" w:cs="Arial"/>
        </w:rPr>
        <w:t>De las constancias que obran en el expediente electrónico del</w:t>
      </w:r>
      <w:r w:rsidRPr="00673A04">
        <w:rPr>
          <w:rFonts w:eastAsia="Arial Unicode MS" w:cs="Arial"/>
          <w:b/>
        </w:rPr>
        <w:t xml:space="preserve"> SAIMEX, </w:t>
      </w:r>
      <w:r w:rsidRPr="00673A04">
        <w:rPr>
          <w:rFonts w:eastAsia="Arial Unicode MS" w:cs="Arial"/>
        </w:rPr>
        <w:t xml:space="preserve">se observa que el </w:t>
      </w:r>
      <w:r w:rsidRPr="00673A04">
        <w:rPr>
          <w:rFonts w:eastAsia="Arial Unicode MS" w:cs="Arial"/>
          <w:b/>
        </w:rPr>
        <w:t xml:space="preserve">siete de mayo de dos mil veinticinco, </w:t>
      </w:r>
      <w:r w:rsidRPr="00673A04">
        <w:rPr>
          <w:rFonts w:eastAsia="Arial Unicode MS" w:cs="Arial"/>
        </w:rPr>
        <w:t>el Recurso de Revisión</w:t>
      </w:r>
      <w:r w:rsidRPr="00673A04">
        <w:rPr>
          <w:rFonts w:eastAsia="Arial Unicode MS" w:cs="Arial"/>
          <w:b/>
        </w:rPr>
        <w:t xml:space="preserve"> </w:t>
      </w:r>
      <w:r w:rsidRPr="00673A04">
        <w:rPr>
          <w:rFonts w:eastAsia="Arial Unicode MS" w:cs="Arial"/>
        </w:rPr>
        <w:t>que nos ocupa fue desistido por</w:t>
      </w:r>
      <w:r w:rsidRPr="00673A04">
        <w:rPr>
          <w:rFonts w:eastAsia="Arial Unicode MS" w:cs="Arial"/>
          <w:b/>
        </w:rPr>
        <w:t xml:space="preserve"> </w:t>
      </w:r>
      <w:bookmarkStart w:id="18" w:name="_Hlk171924735"/>
      <w:r w:rsidRPr="00673A04">
        <w:rPr>
          <w:rFonts w:eastAsia="Arial Unicode MS" w:cs="Arial"/>
          <w:b/>
        </w:rPr>
        <w:t>LA PARTE RECURRENTE</w:t>
      </w:r>
      <w:bookmarkEnd w:id="18"/>
      <w:r w:rsidRPr="00673A04">
        <w:rPr>
          <w:rFonts w:eastAsia="Arial Unicode MS" w:cs="Arial"/>
          <w:b/>
        </w:rPr>
        <w:t xml:space="preserve">, </w:t>
      </w:r>
      <w:r w:rsidRPr="00673A04">
        <w:rPr>
          <w:rFonts w:eastAsia="Arial Unicode MS" w:cs="Arial"/>
          <w:bCs/>
        </w:rPr>
        <w:t xml:space="preserve">tal y </w:t>
      </w:r>
      <w:r w:rsidRPr="00673A04">
        <w:rPr>
          <w:rFonts w:eastAsia="Arial Unicode MS" w:cs="Arial"/>
        </w:rPr>
        <w:t>como se puede apreciar en la siguiente</w:t>
      </w:r>
      <w:r w:rsidRPr="00673A04">
        <w:rPr>
          <w:rFonts w:eastAsia="Arial Unicode MS" w:cs="Arial"/>
          <w:b/>
        </w:rPr>
        <w:t xml:space="preserve"> </w:t>
      </w:r>
      <w:r w:rsidRPr="00673A04">
        <w:rPr>
          <w:rFonts w:eastAsia="Arial Unicode MS" w:cs="Arial"/>
        </w:rPr>
        <w:t>imagen:</w:t>
      </w:r>
    </w:p>
    <w:p w14:paraId="2C970B69" w14:textId="2AD34F36" w:rsidR="009F08C3" w:rsidRPr="00673A04" w:rsidRDefault="009F08C3" w:rsidP="00673A04">
      <w:pPr>
        <w:rPr>
          <w:rFonts w:eastAsia="Arial Unicode MS" w:cs="Arial"/>
          <w:b/>
        </w:rPr>
      </w:pPr>
      <w:r w:rsidRPr="00673A04">
        <w:rPr>
          <w:rFonts w:eastAsia="Arial Unicode MS" w:cs="Arial"/>
          <w:noProof/>
          <w:lang w:eastAsia="es-MX"/>
        </w:rPr>
        <mc:AlternateContent>
          <mc:Choice Requires="wps">
            <w:drawing>
              <wp:anchor distT="0" distB="0" distL="114300" distR="114300" simplePos="0" relativeHeight="251659264" behindDoc="0" locked="0" layoutInCell="1" allowOverlap="1" wp14:anchorId="159209E6" wp14:editId="47D030C8">
                <wp:simplePos x="0" y="0"/>
                <wp:positionH relativeFrom="margin">
                  <wp:posOffset>106045</wp:posOffset>
                </wp:positionH>
                <wp:positionV relativeFrom="paragraph">
                  <wp:posOffset>2043430</wp:posOffset>
                </wp:positionV>
                <wp:extent cx="5610225" cy="236855"/>
                <wp:effectExtent l="0" t="0" r="28575" b="10795"/>
                <wp:wrapNone/>
                <wp:docPr id="1491397451" name="Rectángulo: esquinas redondeadas 4"/>
                <wp:cNvGraphicFramePr/>
                <a:graphic xmlns:a="http://schemas.openxmlformats.org/drawingml/2006/main">
                  <a:graphicData uri="http://schemas.microsoft.com/office/word/2010/wordprocessingShape">
                    <wps:wsp>
                      <wps:cNvSpPr/>
                      <wps:spPr>
                        <a:xfrm>
                          <a:off x="0" y="0"/>
                          <a:ext cx="5610225" cy="23685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roundrect w14:anchorId="6D3755EA" id="Rectángulo: esquinas redondeadas 4" o:spid="_x0000_s1026" style="position:absolute;margin-left:8.35pt;margin-top:160.9pt;width:441.75pt;height:18.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" filled="f" strokecolor="red" strokeweight="1.5pt">
                <v:stroke joinstyle="miter"/>
                <w10:wrap anchorx="margin"/>
              </v:roundrect>
            </w:pict>
          </mc:Fallback>
        </mc:AlternateContent>
      </w:r>
      <w:r w:rsidRPr="00673A04">
        <w:rPr>
          <w:rFonts w:eastAsia="Arial Unicode MS" w:cs="Arial"/>
          <w:b/>
          <w:noProof/>
          <w:lang w:eastAsia="es-MX"/>
        </w:rPr>
        <w:drawing>
          <wp:inline distT="0" distB="0" distL="0" distR="0" wp14:anchorId="47F83D6F" wp14:editId="1A78FB1D">
            <wp:extent cx="5742940" cy="2473960"/>
            <wp:effectExtent l="0" t="0" r="0" b="2540"/>
            <wp:docPr id="26760812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08123" name="Imagen 1" descr="Interfaz de usuario gráfica&#10;&#10;El contenido generado por IA puede ser incorrecto."/>
                    <pic:cNvPicPr/>
                  </pic:nvPicPr>
                  <pic:blipFill>
                    <a:blip r:embed="rId15"/>
                    <a:stretch>
                      <a:fillRect/>
                    </a:stretch>
                  </pic:blipFill>
                  <pic:spPr>
                    <a:xfrm>
                      <a:off x="0" y="0"/>
                      <a:ext cx="5742940" cy="2473960"/>
                    </a:xfrm>
                    <a:prstGeom prst="rect">
                      <a:avLst/>
                    </a:prstGeom>
                  </pic:spPr>
                </pic:pic>
              </a:graphicData>
            </a:graphic>
          </wp:inline>
        </w:drawing>
      </w:r>
    </w:p>
    <w:p w14:paraId="7061ADB9" w14:textId="77777777" w:rsidR="009F08C3" w:rsidRPr="00673A04" w:rsidRDefault="009F08C3" w:rsidP="00673A04">
      <w:pPr>
        <w:rPr>
          <w:rFonts w:eastAsia="Arial Unicode MS" w:cs="Arial"/>
        </w:rPr>
      </w:pPr>
    </w:p>
    <w:p w14:paraId="6E527B2E" w14:textId="77777777" w:rsidR="009F08C3" w:rsidRPr="00673A04" w:rsidRDefault="009F08C3" w:rsidP="00673A04">
      <w:pPr>
        <w:rPr>
          <w:rFonts w:eastAsia="Arial Unicode MS" w:cs="Arial"/>
        </w:rPr>
      </w:pPr>
      <w:r w:rsidRPr="00673A04">
        <w:rPr>
          <w:rFonts w:eastAsia="Arial Unicode MS" w:cs="Arial"/>
        </w:rPr>
        <w:t xml:space="preserve">Manifestando </w:t>
      </w:r>
      <w:r w:rsidRPr="00673A04">
        <w:rPr>
          <w:rFonts w:eastAsia="Arial Unicode MS" w:cs="Arial"/>
          <w:b/>
        </w:rPr>
        <w:t>LA PARTE RECURRENTE</w:t>
      </w:r>
      <w:r w:rsidRPr="00673A04">
        <w:rPr>
          <w:rFonts w:eastAsia="Arial Unicode MS" w:cs="Arial"/>
        </w:rPr>
        <w:t xml:space="preserve"> lo siguiente: </w:t>
      </w:r>
    </w:p>
    <w:p w14:paraId="5E229A80" w14:textId="77777777" w:rsidR="009F08C3" w:rsidRPr="00673A04" w:rsidRDefault="009F08C3" w:rsidP="00673A04">
      <w:pPr>
        <w:rPr>
          <w:rFonts w:eastAsia="Arial Unicode MS" w:cs="Arial"/>
        </w:rPr>
      </w:pPr>
    </w:p>
    <w:p w14:paraId="024F58C9" w14:textId="77777777" w:rsidR="009F08C3" w:rsidRPr="00673A04" w:rsidRDefault="009F08C3" w:rsidP="00673A04">
      <w:pPr>
        <w:pStyle w:val="Puesto"/>
        <w:rPr>
          <w:rFonts w:eastAsia="Arial Unicode MS"/>
        </w:rPr>
      </w:pPr>
      <w:r w:rsidRPr="00673A04">
        <w:rPr>
          <w:rFonts w:eastAsia="Arial Unicode MS"/>
        </w:rPr>
        <w:t>“por así convenir a mis intereses</w:t>
      </w:r>
    </w:p>
    <w:p w14:paraId="693A5AD5" w14:textId="77777777" w:rsidR="009F08C3" w:rsidRPr="00673A04" w:rsidRDefault="009F08C3" w:rsidP="00673A04">
      <w:pPr>
        <w:rPr>
          <w:rFonts w:eastAsia="Arial Unicode MS"/>
        </w:rPr>
      </w:pPr>
    </w:p>
    <w:p w14:paraId="390DD8CF" w14:textId="77777777" w:rsidR="009F08C3" w:rsidRPr="00673A04" w:rsidRDefault="009F08C3" w:rsidP="00673A04">
      <w:pPr>
        <w:pStyle w:val="Puesto"/>
        <w:rPr>
          <w:rFonts w:eastAsia="Arial Unicode MS"/>
        </w:rPr>
      </w:pPr>
      <w:r w:rsidRPr="00673A04">
        <w:rPr>
          <w:rFonts w:eastAsia="Arial Unicode MS"/>
        </w:rPr>
        <w:t>ATENTAMENTE</w:t>
      </w:r>
    </w:p>
    <w:p w14:paraId="7C77075F" w14:textId="77777777" w:rsidR="009F08C3" w:rsidRPr="00673A04" w:rsidRDefault="009F08C3" w:rsidP="00673A04">
      <w:pPr>
        <w:rPr>
          <w:rFonts w:eastAsia="Arial Unicode MS"/>
        </w:rPr>
      </w:pPr>
    </w:p>
    <w:p w14:paraId="1C0F28AE" w14:textId="47A88F5C" w:rsidR="009F08C3" w:rsidRPr="00673A04" w:rsidRDefault="00CC2186" w:rsidP="00673A04">
      <w:pPr>
        <w:pStyle w:val="Puesto"/>
        <w:rPr>
          <w:rFonts w:eastAsia="Arial Unicode MS"/>
        </w:rPr>
      </w:pPr>
      <w:r>
        <w:rPr>
          <w:rFonts w:eastAsia="Arial Unicode MS"/>
        </w:rPr>
        <w:t>XXXXXXXXX XXXXXXXXX XXXXX</w:t>
      </w:r>
      <w:r w:rsidR="009F08C3" w:rsidRPr="00673A04">
        <w:rPr>
          <w:rFonts w:eastAsia="Arial Unicode MS"/>
        </w:rPr>
        <w:t>” (Sic)</w:t>
      </w:r>
    </w:p>
    <w:p w14:paraId="2B91358D" w14:textId="77777777" w:rsidR="009F08C3" w:rsidRPr="00673A04" w:rsidRDefault="009F08C3" w:rsidP="00673A04">
      <w:pPr>
        <w:rPr>
          <w:rFonts w:eastAsia="Arial Unicode MS" w:cs="Arial"/>
        </w:rPr>
      </w:pPr>
    </w:p>
    <w:p w14:paraId="0E651988" w14:textId="34BB599E" w:rsidR="00664420" w:rsidRPr="00673A04" w:rsidRDefault="00673A04" w:rsidP="00673A04">
      <w:pPr>
        <w:pStyle w:val="Ttulo3"/>
      </w:pPr>
      <w:bookmarkStart w:id="19" w:name="_Toc171349463"/>
      <w:bookmarkStart w:id="20" w:name="_Toc194501117"/>
      <w:bookmarkStart w:id="21" w:name="_Toc196843280"/>
      <w:bookmarkStart w:id="22" w:name="_Toc198750422"/>
      <w:r w:rsidRPr="00673A04">
        <w:rPr>
          <w:rFonts w:eastAsia="Calibri"/>
        </w:rPr>
        <w:lastRenderedPageBreak/>
        <w:t>f</w:t>
      </w:r>
      <w:r w:rsidR="0039580A" w:rsidRPr="00673A04">
        <w:rPr>
          <w:rFonts w:eastAsia="Calibri"/>
        </w:rPr>
        <w:t xml:space="preserve">) </w:t>
      </w:r>
      <w:bookmarkEnd w:id="19"/>
      <w:bookmarkEnd w:id="20"/>
      <w:bookmarkEnd w:id="21"/>
      <w:r w:rsidR="00664420" w:rsidRPr="00673A04">
        <w:t>Cierre de instrucción</w:t>
      </w:r>
      <w:bookmarkEnd w:id="22"/>
    </w:p>
    <w:p w14:paraId="79AF95DC" w14:textId="308D5655" w:rsidR="00664420" w:rsidRPr="00673A04" w:rsidRDefault="00BF091A" w:rsidP="00673A04">
      <w:r w:rsidRPr="00673A04">
        <w:rPr>
          <w:rFonts w:cs="Tahoma"/>
          <w:szCs w:val="22"/>
        </w:rPr>
        <w:t>Al no existir diligencias pendientes por desahogar</w:t>
      </w:r>
      <w:r w:rsidRPr="00673A04">
        <w:rPr>
          <w:rFonts w:cs="Arial"/>
        </w:rPr>
        <w:t xml:space="preserve">, el </w:t>
      </w:r>
      <w:bookmarkStart w:id="23" w:name="_Hlk104892386"/>
      <w:r w:rsidR="005F5D00" w:rsidRPr="00673A04">
        <w:rPr>
          <w:rFonts w:cs="Arial"/>
          <w:b/>
        </w:rPr>
        <w:t xml:space="preserve">veinte de </w:t>
      </w:r>
      <w:r w:rsidR="0039580A" w:rsidRPr="00673A04">
        <w:rPr>
          <w:rFonts w:cs="Arial"/>
          <w:b/>
        </w:rPr>
        <w:t xml:space="preserve">mayo </w:t>
      </w:r>
      <w:r w:rsidR="009A1340" w:rsidRPr="00673A04">
        <w:rPr>
          <w:rFonts w:cs="Arial"/>
          <w:b/>
        </w:rPr>
        <w:t xml:space="preserve">de dos mil veinticinco </w:t>
      </w:r>
      <w:bookmarkEnd w:id="23"/>
      <w:r w:rsidRPr="00673A04">
        <w:rPr>
          <w:rFonts w:cs="Arial"/>
        </w:rPr>
        <w:t xml:space="preserve">la </w:t>
      </w:r>
      <w:r w:rsidRPr="00673A04">
        <w:rPr>
          <w:rFonts w:cs="Arial"/>
          <w:b/>
          <w:bCs/>
        </w:rPr>
        <w:t xml:space="preserve">Comisionada </w:t>
      </w:r>
      <w:r w:rsidRPr="00673A04">
        <w:rPr>
          <w:b/>
        </w:rPr>
        <w:t xml:space="preserve">Sharon Cristina Morales Martínez </w:t>
      </w:r>
      <w:r w:rsidRPr="00673A04">
        <w:rPr>
          <w:rFonts w:cs="Arial"/>
        </w:rPr>
        <w:t>acordó el cierre de instrucción</w:t>
      </w:r>
      <w:r w:rsidR="0011350D" w:rsidRPr="00673A04">
        <w:rPr>
          <w:rFonts w:cs="Arial"/>
        </w:rPr>
        <w:t xml:space="preserve"> y</w:t>
      </w:r>
      <w:r w:rsidRPr="00673A04">
        <w:rPr>
          <w:rFonts w:cs="Arial"/>
        </w:rPr>
        <w:t xml:space="preserve"> </w:t>
      </w:r>
      <w:r w:rsidR="0011350D" w:rsidRPr="00673A04">
        <w:rPr>
          <w:rFonts w:cs="Arial"/>
        </w:rPr>
        <w:t xml:space="preserve">la </w:t>
      </w:r>
      <w:r w:rsidRPr="00673A04">
        <w:rPr>
          <w:rFonts w:cs="Arial"/>
        </w:rPr>
        <w:t>remisión del expediente a efecto de ser resuelto, de conformidad con lo establecido en el artículo 185 fracciones VI y VIII de la Ley de Transparencia y Acceso a la Información Pública del Estado de México y Municipios</w:t>
      </w:r>
      <w:r w:rsidRPr="00673A04">
        <w:t>.</w:t>
      </w:r>
      <w:r w:rsidR="0011350D" w:rsidRPr="00673A04">
        <w:t xml:space="preserve"> Dicho acuerdo </w:t>
      </w:r>
      <w:r w:rsidR="00664420" w:rsidRPr="00673A04">
        <w:rPr>
          <w:rFonts w:cs="Tahoma"/>
          <w:szCs w:val="22"/>
        </w:rPr>
        <w:t xml:space="preserve">fue notificado a las partes el mismo día a través del </w:t>
      </w:r>
      <w:r w:rsidR="00664420" w:rsidRPr="00673A04">
        <w:rPr>
          <w:rFonts w:cs="Tahoma"/>
          <w:szCs w:val="22"/>
          <w:lang w:val="es-ES"/>
        </w:rPr>
        <w:t>SAIMEX</w:t>
      </w:r>
      <w:r w:rsidR="00664420" w:rsidRPr="00673A04">
        <w:rPr>
          <w:rFonts w:cs="Tahoma"/>
          <w:szCs w:val="22"/>
        </w:rPr>
        <w:t>.</w:t>
      </w:r>
    </w:p>
    <w:p w14:paraId="741683E3" w14:textId="77777777" w:rsidR="0011350D" w:rsidRPr="00673A04" w:rsidRDefault="0011350D" w:rsidP="00673A04">
      <w:pPr>
        <w:rPr>
          <w:rFonts w:cs="Tahoma"/>
          <w:szCs w:val="22"/>
        </w:rPr>
      </w:pPr>
    </w:p>
    <w:p w14:paraId="7A9629DE" w14:textId="77777777" w:rsidR="00664420" w:rsidRPr="00673A04" w:rsidRDefault="00664420" w:rsidP="00673A04">
      <w:pPr>
        <w:pStyle w:val="Ttulo1"/>
        <w:rPr>
          <w:rFonts w:eastAsiaTheme="minorHAnsi"/>
          <w:lang w:eastAsia="en-US"/>
        </w:rPr>
      </w:pPr>
      <w:bookmarkStart w:id="24" w:name="_Toc198750423"/>
      <w:r w:rsidRPr="00673A04">
        <w:rPr>
          <w:rFonts w:eastAsiaTheme="minorHAnsi"/>
          <w:lang w:eastAsia="en-US"/>
        </w:rPr>
        <w:t>CONSIDERANDOS</w:t>
      </w:r>
      <w:bookmarkEnd w:id="24"/>
    </w:p>
    <w:p w14:paraId="6DD1243B" w14:textId="77777777" w:rsidR="00664420" w:rsidRPr="00673A04" w:rsidRDefault="00664420" w:rsidP="00673A04">
      <w:pPr>
        <w:contextualSpacing/>
        <w:jc w:val="center"/>
        <w:rPr>
          <w:rFonts w:eastAsiaTheme="minorHAnsi" w:cs="Tahoma"/>
          <w:b/>
          <w:szCs w:val="22"/>
          <w:lang w:eastAsia="en-US"/>
        </w:rPr>
      </w:pPr>
    </w:p>
    <w:p w14:paraId="0B67CB92" w14:textId="2E307D3B" w:rsidR="00664420" w:rsidRPr="00673A04" w:rsidRDefault="00664420" w:rsidP="00673A04">
      <w:pPr>
        <w:pStyle w:val="Ttulo2"/>
        <w:rPr>
          <w:rFonts w:eastAsia="Batang"/>
        </w:rPr>
      </w:pPr>
      <w:bookmarkStart w:id="25" w:name="_Toc198750424"/>
      <w:r w:rsidRPr="00673A04">
        <w:rPr>
          <w:rFonts w:eastAsia="Batang"/>
        </w:rPr>
        <w:t xml:space="preserve">PRIMERO. </w:t>
      </w:r>
      <w:r w:rsidR="00BA55A8" w:rsidRPr="00673A04">
        <w:rPr>
          <w:rFonts w:eastAsia="Batang"/>
        </w:rPr>
        <w:t>Procedibilidad</w:t>
      </w:r>
      <w:bookmarkEnd w:id="25"/>
    </w:p>
    <w:p w14:paraId="39C52BC1" w14:textId="56FCC20D" w:rsidR="00BA55A8" w:rsidRPr="00673A04" w:rsidRDefault="00BA55A8" w:rsidP="00673A04">
      <w:pPr>
        <w:pStyle w:val="Ttulo3"/>
      </w:pPr>
      <w:bookmarkStart w:id="26" w:name="_Toc198750425"/>
      <w:r w:rsidRPr="00673A04">
        <w:t>a) Competencia</w:t>
      </w:r>
      <w:r w:rsidR="00150C49" w:rsidRPr="00673A04">
        <w:t xml:space="preserve"> del Instituto</w:t>
      </w:r>
      <w:bookmarkEnd w:id="26"/>
    </w:p>
    <w:p w14:paraId="56E64942" w14:textId="10B8AF3E" w:rsidR="0011350D" w:rsidRPr="00673A04" w:rsidRDefault="0011350D" w:rsidP="00673A04">
      <w:pPr>
        <w:rPr>
          <w:rFonts w:cs="Arial"/>
        </w:rPr>
      </w:pPr>
      <w:r w:rsidRPr="00673A04">
        <w:t xml:space="preserve">Este Instituto de Transparencia, Acceso a la Información Pública y Protección de Datos Personales del Estado de México y Municipios es competente para conocer y resolver </w:t>
      </w:r>
      <w:r w:rsidR="005F65B7" w:rsidRPr="00673A04">
        <w:t xml:space="preserve">el </w:t>
      </w:r>
      <w:r w:rsidRPr="00673A04">
        <w:t xml:space="preserve">presente Recurso de Revisión, conforme a lo dispuesto en los artículos 6, Apartado A de la Constitución Política de los Estados Unidos Mexicanos; 5, párrafos trigésimo </w:t>
      </w:r>
      <w:r w:rsidR="000A3BA5" w:rsidRPr="00673A04">
        <w:t xml:space="preserve">séptimo, trigésimo octavo, </w:t>
      </w:r>
      <w:r w:rsidRPr="00673A04">
        <w:t xml:space="preserve">trigésimo </w:t>
      </w:r>
      <w:r w:rsidR="000A3BA5" w:rsidRPr="00673A04">
        <w:t xml:space="preserve">noveno, </w:t>
      </w:r>
      <w:r w:rsidRPr="00673A04">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73A0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73A04" w:rsidRDefault="00DB1C09" w:rsidP="00673A04">
      <w:pPr>
        <w:rPr>
          <w:rFonts w:cs="Arial"/>
        </w:rPr>
      </w:pPr>
    </w:p>
    <w:p w14:paraId="517A2DD6" w14:textId="4169BE4D" w:rsidR="00664420" w:rsidRPr="00673A04" w:rsidRDefault="00BA55A8" w:rsidP="00673A04">
      <w:pPr>
        <w:pStyle w:val="Ttulo3"/>
      </w:pPr>
      <w:bookmarkStart w:id="27" w:name="_Toc198750426"/>
      <w:r w:rsidRPr="00673A04">
        <w:lastRenderedPageBreak/>
        <w:t>b)</w:t>
      </w:r>
      <w:r w:rsidR="00664420" w:rsidRPr="00673A04">
        <w:t xml:space="preserve"> </w:t>
      </w:r>
      <w:r w:rsidR="00D91CB4" w:rsidRPr="00673A04">
        <w:t>Legitimidad</w:t>
      </w:r>
      <w:r w:rsidRPr="00673A04">
        <w:t xml:space="preserve"> de la parte recurrente</w:t>
      </w:r>
      <w:bookmarkEnd w:id="27"/>
    </w:p>
    <w:p w14:paraId="26FEA382" w14:textId="0B06695C" w:rsidR="00D91CB4" w:rsidRPr="00673A04" w:rsidRDefault="00D91CB4" w:rsidP="00673A04">
      <w:pPr>
        <w:rPr>
          <w:rFonts w:cs="Arial"/>
          <w:bCs/>
        </w:rPr>
      </w:pPr>
      <w:r w:rsidRPr="00673A04">
        <w:rPr>
          <w:rFonts w:cs="Arial"/>
          <w:bCs/>
        </w:rPr>
        <w:t>El recurso de revisión fue interpuesto por parte legítima, ya que se presentó por la misma persona que formuló la solicitud de acceso a la Información Pública,</w:t>
      </w:r>
      <w:r w:rsidRPr="00673A04">
        <w:rPr>
          <w:rFonts w:cs="Arial"/>
          <w:b/>
          <w:bCs/>
        </w:rPr>
        <w:t xml:space="preserve"> </w:t>
      </w:r>
      <w:r w:rsidRPr="00673A04">
        <w:rPr>
          <w:rFonts w:cs="Arial"/>
        </w:rPr>
        <w:t>debido a que los datos de acceso</w:t>
      </w:r>
      <w:r w:rsidRPr="00673A04">
        <w:rPr>
          <w:rFonts w:cs="Arial"/>
          <w:b/>
          <w:bCs/>
        </w:rPr>
        <w:t xml:space="preserve"> </w:t>
      </w:r>
      <w:r w:rsidRPr="00673A04">
        <w:rPr>
          <w:rFonts w:cs="Arial"/>
          <w:b/>
        </w:rPr>
        <w:t>SAIMEX</w:t>
      </w:r>
      <w:r w:rsidRPr="00673A04">
        <w:rPr>
          <w:rFonts w:eastAsia="Calibri" w:cs="Arial"/>
          <w:lang w:eastAsia="en-US"/>
        </w:rPr>
        <w:t xml:space="preserve"> son personales e irrepetibles.</w:t>
      </w:r>
    </w:p>
    <w:p w14:paraId="2C367810" w14:textId="77777777" w:rsidR="00D91CB4" w:rsidRPr="00673A04" w:rsidRDefault="00D91CB4" w:rsidP="00673A04"/>
    <w:p w14:paraId="5C5FA5A8" w14:textId="77777777" w:rsidR="004565C2" w:rsidRPr="00673A04" w:rsidRDefault="004565C2" w:rsidP="00673A04">
      <w:pPr>
        <w:pStyle w:val="Ttulo3"/>
        <w:rPr>
          <w:rFonts w:eastAsia="Calibri"/>
          <w:lang w:eastAsia="es-ES_tradnl"/>
        </w:rPr>
      </w:pPr>
      <w:bookmarkStart w:id="28" w:name="_Toc170932820"/>
      <w:bookmarkStart w:id="29" w:name="_Toc198750427"/>
      <w:r w:rsidRPr="00673A04">
        <w:rPr>
          <w:rFonts w:eastAsia="Calibri"/>
          <w:lang w:eastAsia="es-ES_tradnl"/>
        </w:rPr>
        <w:t>c) Plazo para interponer el recurso</w:t>
      </w:r>
      <w:bookmarkEnd w:id="28"/>
      <w:bookmarkEnd w:id="29"/>
    </w:p>
    <w:p w14:paraId="5C63152A" w14:textId="2489E017" w:rsidR="004565C2" w:rsidRPr="00673A04" w:rsidRDefault="004565C2" w:rsidP="00673A04">
      <w:pPr>
        <w:rPr>
          <w:rFonts w:eastAsiaTheme="minorEastAsia" w:cs="Arial"/>
          <w:lang w:val="es-ES_tradnl"/>
        </w:rPr>
      </w:pPr>
      <w:r w:rsidRPr="00673A04">
        <w:rPr>
          <w:rFonts w:cs="Arial"/>
          <w:b/>
        </w:rPr>
        <w:t>EL SUJETO OBLIGADO</w:t>
      </w:r>
      <w:r w:rsidRPr="00673A04">
        <w:rPr>
          <w:rFonts w:cs="Arial"/>
        </w:rPr>
        <w:t xml:space="preserve"> notificó la respuesta a la solicitud de acceso a la Información Pública el </w:t>
      </w:r>
      <w:r w:rsidR="005F5D00" w:rsidRPr="00673A04">
        <w:rPr>
          <w:rFonts w:eastAsia="Palatino Linotype" w:cs="Palatino Linotype"/>
          <w:b/>
        </w:rPr>
        <w:t xml:space="preserve">cuatro de abril </w:t>
      </w:r>
      <w:r w:rsidR="00B373AF" w:rsidRPr="00673A04">
        <w:rPr>
          <w:rFonts w:eastAsia="Palatino Linotype" w:cs="Palatino Linotype"/>
          <w:b/>
        </w:rPr>
        <w:t>d</w:t>
      </w:r>
      <w:r w:rsidR="009A1340" w:rsidRPr="00673A04">
        <w:rPr>
          <w:rFonts w:eastAsia="Palatino Linotype" w:cs="Palatino Linotype"/>
          <w:b/>
        </w:rPr>
        <w:t xml:space="preserve">e dos mil veinticinco </w:t>
      </w:r>
      <w:r w:rsidRPr="00673A04">
        <w:rPr>
          <w:rFonts w:cs="Arial"/>
        </w:rPr>
        <w:t xml:space="preserve">y el recurso </w:t>
      </w:r>
      <w:r w:rsidRPr="00673A04">
        <w:rPr>
          <w:rFonts w:eastAsia="Palatino Linotype" w:cs="Palatino Linotype"/>
        </w:rPr>
        <w:t xml:space="preserve">que nos ocupa se </w:t>
      </w:r>
      <w:r w:rsidR="005D5854" w:rsidRPr="00673A04">
        <w:rPr>
          <w:rFonts w:eastAsia="Palatino Linotype" w:cs="Palatino Linotype"/>
        </w:rPr>
        <w:t xml:space="preserve">tuvo por </w:t>
      </w:r>
      <w:r w:rsidRPr="00673A04">
        <w:rPr>
          <w:rFonts w:eastAsia="Palatino Linotype" w:cs="Palatino Linotype"/>
        </w:rPr>
        <w:t>interpu</w:t>
      </w:r>
      <w:r w:rsidR="005D5854" w:rsidRPr="00673A04">
        <w:rPr>
          <w:rFonts w:eastAsia="Palatino Linotype" w:cs="Palatino Linotype"/>
        </w:rPr>
        <w:t>e</w:t>
      </w:r>
      <w:r w:rsidR="00E27023" w:rsidRPr="00673A04">
        <w:rPr>
          <w:rFonts w:eastAsia="Palatino Linotype" w:cs="Palatino Linotype"/>
        </w:rPr>
        <w:t>s</w:t>
      </w:r>
      <w:r w:rsidR="005D5854" w:rsidRPr="00673A04">
        <w:rPr>
          <w:rFonts w:eastAsia="Palatino Linotype" w:cs="Palatino Linotype"/>
        </w:rPr>
        <w:t>t</w:t>
      </w:r>
      <w:r w:rsidR="00E27023" w:rsidRPr="00673A04">
        <w:rPr>
          <w:rFonts w:eastAsia="Palatino Linotype" w:cs="Palatino Linotype"/>
        </w:rPr>
        <w:t>o</w:t>
      </w:r>
      <w:r w:rsidRPr="00673A04">
        <w:rPr>
          <w:rFonts w:eastAsia="Palatino Linotype" w:cs="Palatino Linotype"/>
        </w:rPr>
        <w:t xml:space="preserve"> el </w:t>
      </w:r>
      <w:r w:rsidR="005F5D00" w:rsidRPr="00673A04">
        <w:rPr>
          <w:rFonts w:eastAsia="Palatino Linotype" w:cs="Palatino Linotype"/>
          <w:b/>
        </w:rPr>
        <w:t xml:space="preserve">siete de abril </w:t>
      </w:r>
      <w:r w:rsidR="009A1340" w:rsidRPr="00673A04">
        <w:rPr>
          <w:rFonts w:eastAsia="Palatino Linotype" w:cs="Palatino Linotype"/>
          <w:b/>
        </w:rPr>
        <w:t>de dos mil veinticinco</w:t>
      </w:r>
      <w:r w:rsidRPr="00673A04">
        <w:rPr>
          <w:rFonts w:eastAsia="Palatino Linotype" w:cs="Palatino Linotype"/>
          <w:bCs/>
        </w:rPr>
        <w:t>;</w:t>
      </w:r>
      <w:r w:rsidRPr="00673A04">
        <w:rPr>
          <w:rFonts w:eastAsia="Palatino Linotype" w:cs="Palatino Linotype"/>
        </w:rPr>
        <w:t xml:space="preserve"> por lo tanto, éste se encuentra dentro del margen temporal previsto en el artículo 178 de la </w:t>
      </w:r>
      <w:r w:rsidRPr="00673A04">
        <w:rPr>
          <w:rFonts w:cs="Arial"/>
        </w:rPr>
        <w:t>Ley de Transparencia y Acceso a la Información Pública del Estado de México y Municipios</w:t>
      </w:r>
      <w:r w:rsidRPr="00673A04">
        <w:rPr>
          <w:rFonts w:eastAsiaTheme="minorEastAsia" w:cs="Arial"/>
          <w:lang w:val="es-ES_tradnl"/>
        </w:rPr>
        <w:t>.</w:t>
      </w:r>
    </w:p>
    <w:p w14:paraId="41262D82" w14:textId="77777777" w:rsidR="00813497" w:rsidRPr="00673A04" w:rsidRDefault="00813497" w:rsidP="00673A04"/>
    <w:p w14:paraId="46C0EB3A" w14:textId="5A92AF42" w:rsidR="00A53315" w:rsidRPr="00673A04" w:rsidRDefault="00BA55A8" w:rsidP="00673A04">
      <w:pPr>
        <w:pStyle w:val="Ttulo3"/>
        <w:rPr>
          <w:rFonts w:eastAsia="Calibri"/>
          <w:lang w:eastAsia="es-ES_tradnl"/>
        </w:rPr>
      </w:pPr>
      <w:bookmarkStart w:id="30" w:name="_Toc198750428"/>
      <w:r w:rsidRPr="00673A04">
        <w:rPr>
          <w:rFonts w:eastAsia="Calibri"/>
          <w:lang w:eastAsia="es-ES_tradnl"/>
        </w:rPr>
        <w:t>d)</w:t>
      </w:r>
      <w:r w:rsidR="00D91CB4" w:rsidRPr="00673A04">
        <w:rPr>
          <w:rFonts w:eastAsia="Calibri"/>
          <w:lang w:eastAsia="es-ES_tradnl"/>
        </w:rPr>
        <w:t xml:space="preserve"> </w:t>
      </w:r>
      <w:r w:rsidR="004565C2" w:rsidRPr="00673A04">
        <w:rPr>
          <w:rFonts w:eastAsia="Calibri"/>
          <w:lang w:eastAsia="es-ES_tradnl"/>
        </w:rPr>
        <w:t>Causal de procedencia</w:t>
      </w:r>
      <w:bookmarkEnd w:id="30"/>
    </w:p>
    <w:p w14:paraId="190404A6" w14:textId="5866A0B8" w:rsidR="00BA55A8" w:rsidRPr="00673A04" w:rsidRDefault="00BA55A8" w:rsidP="00673A04">
      <w:r w:rsidRPr="00673A04">
        <w:rPr>
          <w:rFonts w:cs="Arial"/>
        </w:rPr>
        <w:t xml:space="preserve">Resulta procedente la interposición del recurso de revisión, ya que </w:t>
      </w:r>
      <w:r w:rsidRPr="00673A04">
        <w:rPr>
          <w:rFonts w:eastAsia="Calibri" w:cs="Tahoma"/>
          <w:szCs w:val="22"/>
          <w:lang w:eastAsia="es-MX"/>
        </w:rPr>
        <w:t xml:space="preserve">se actualiza la causal de procedencia señalada en el artículo 179, </w:t>
      </w:r>
      <w:r w:rsidR="005D5854" w:rsidRPr="00673A04">
        <w:rPr>
          <w:rFonts w:eastAsia="Calibri" w:cs="Tahoma"/>
          <w:szCs w:val="22"/>
          <w:lang w:eastAsia="es-MX"/>
        </w:rPr>
        <w:t xml:space="preserve">fracción </w:t>
      </w:r>
      <w:r w:rsidR="005F5D00" w:rsidRPr="00673A04">
        <w:rPr>
          <w:rFonts w:eastAsia="Calibri" w:cs="Tahoma"/>
          <w:szCs w:val="22"/>
          <w:lang w:eastAsia="es-MX"/>
        </w:rPr>
        <w:t>I</w:t>
      </w:r>
      <w:r w:rsidR="0039580A" w:rsidRPr="00673A04">
        <w:rPr>
          <w:rFonts w:eastAsia="Calibri" w:cs="Tahoma"/>
          <w:szCs w:val="22"/>
          <w:lang w:eastAsia="es-MX"/>
        </w:rPr>
        <w:t>V</w:t>
      </w:r>
      <w:r w:rsidR="005D5854" w:rsidRPr="00673A04">
        <w:rPr>
          <w:rFonts w:eastAsia="Calibri" w:cs="Tahoma"/>
          <w:szCs w:val="22"/>
          <w:lang w:eastAsia="es-MX"/>
        </w:rPr>
        <w:t xml:space="preserve"> </w:t>
      </w:r>
      <w:r w:rsidRPr="00673A04">
        <w:rPr>
          <w:rFonts w:cs="Arial"/>
        </w:rPr>
        <w:t xml:space="preserve">de la </w:t>
      </w:r>
      <w:r w:rsidRPr="00673A04">
        <w:t>Ley de Transparencia y Acceso a la Información Pública del Estado de México y Municipios.</w:t>
      </w:r>
    </w:p>
    <w:p w14:paraId="0EFF7141" w14:textId="77777777" w:rsidR="00362A11" w:rsidRPr="00673A04" w:rsidRDefault="00362A11" w:rsidP="00673A04"/>
    <w:p w14:paraId="2284D7EB" w14:textId="3EE1D036" w:rsidR="00BA55A8" w:rsidRPr="00673A04" w:rsidRDefault="00362A11" w:rsidP="00673A04">
      <w:pPr>
        <w:pStyle w:val="Ttulo3"/>
      </w:pPr>
      <w:bookmarkStart w:id="31" w:name="_Toc198750429"/>
      <w:r w:rsidRPr="00673A04">
        <w:t>e) Requisitos formales para la interposición del recurso</w:t>
      </w:r>
      <w:bookmarkEnd w:id="31"/>
    </w:p>
    <w:p w14:paraId="677C7009" w14:textId="77777777" w:rsidR="00185C7C" w:rsidRPr="00673A04" w:rsidRDefault="00185C7C" w:rsidP="00673A04">
      <w:pPr>
        <w:rPr>
          <w:rFonts w:cs="Arial"/>
        </w:rPr>
      </w:pPr>
      <w:r w:rsidRPr="00673A04">
        <w:rPr>
          <w:rFonts w:cs="Arial"/>
          <w:b/>
          <w:bCs/>
        </w:rPr>
        <w:t xml:space="preserve">LA PARTE RECURRENTE </w:t>
      </w:r>
      <w:r w:rsidRPr="00673A04">
        <w:rPr>
          <w:rFonts w:cs="Arial"/>
        </w:rPr>
        <w:t>acreditó todos y cada uno de los elementos formales exigidos por el artículo 180 de la misma normatividad.</w:t>
      </w:r>
    </w:p>
    <w:p w14:paraId="2BE2EBCD" w14:textId="77777777" w:rsidR="00185C7C" w:rsidRPr="00673A04" w:rsidRDefault="00185C7C" w:rsidP="00673A04">
      <w:pPr>
        <w:rPr>
          <w:rFonts w:cs="Arial"/>
        </w:rPr>
      </w:pPr>
    </w:p>
    <w:p w14:paraId="457548E9" w14:textId="3F7AF03B" w:rsidR="00C71CEF" w:rsidRPr="00673A04" w:rsidRDefault="00C71CEF" w:rsidP="00673A04">
      <w:pPr>
        <w:pStyle w:val="Ttulo2"/>
      </w:pPr>
      <w:bookmarkStart w:id="32" w:name="_Toc198750430"/>
      <w:r w:rsidRPr="00673A04">
        <w:lastRenderedPageBreak/>
        <w:t>SEGUNDO. Estudio de Fondo</w:t>
      </w:r>
      <w:bookmarkEnd w:id="32"/>
    </w:p>
    <w:p w14:paraId="2A308F59" w14:textId="0FF373F0" w:rsidR="00C049E2" w:rsidRPr="00673A04" w:rsidRDefault="00C71CEF" w:rsidP="00673A04">
      <w:pPr>
        <w:pStyle w:val="Ttulo3"/>
      </w:pPr>
      <w:bookmarkStart w:id="33" w:name="_Toc198750431"/>
      <w:r w:rsidRPr="00673A04">
        <w:t>a</w:t>
      </w:r>
      <w:r w:rsidR="00C049E2" w:rsidRPr="00673A04">
        <w:t>) Mandato de transparencia y responsabilidad del Sujeto Obligado</w:t>
      </w:r>
      <w:bookmarkEnd w:id="33"/>
    </w:p>
    <w:p w14:paraId="6901A889" w14:textId="59EEDAE1" w:rsidR="00C049E2" w:rsidRPr="00673A04" w:rsidRDefault="00C049E2" w:rsidP="00673A04">
      <w:pPr>
        <w:rPr>
          <w:rFonts w:eastAsia="Palatino Linotype"/>
        </w:rPr>
      </w:pPr>
      <w:r w:rsidRPr="00673A04">
        <w:rPr>
          <w:rFonts w:eastAsia="Palatino Linotype"/>
        </w:rPr>
        <w:t xml:space="preserve">El </w:t>
      </w:r>
      <w:r w:rsidR="00717E59" w:rsidRPr="00673A04">
        <w:rPr>
          <w:rFonts w:eastAsia="Palatino Linotype"/>
        </w:rPr>
        <w:t>d</w:t>
      </w:r>
      <w:r w:rsidRPr="00673A04">
        <w:rPr>
          <w:rFonts w:eastAsia="Palatino Linotype"/>
        </w:rPr>
        <w:t xml:space="preserve">erecho de </w:t>
      </w:r>
      <w:r w:rsidR="00717E59" w:rsidRPr="00673A04">
        <w:rPr>
          <w:rFonts w:eastAsia="Palatino Linotype"/>
        </w:rPr>
        <w:t>a</w:t>
      </w:r>
      <w:r w:rsidRPr="00673A04">
        <w:rPr>
          <w:rFonts w:eastAsia="Palatino Linotype"/>
        </w:rPr>
        <w:t xml:space="preserve">cceso a la </w:t>
      </w:r>
      <w:r w:rsidR="00717E59" w:rsidRPr="00673A04">
        <w:rPr>
          <w:rFonts w:eastAsia="Palatino Linotype"/>
        </w:rPr>
        <w:t>i</w:t>
      </w:r>
      <w:r w:rsidRPr="00673A04">
        <w:rPr>
          <w:rFonts w:eastAsia="Palatino Linotype"/>
        </w:rPr>
        <w:t xml:space="preserve">nformación </w:t>
      </w:r>
      <w:r w:rsidR="00717E59" w:rsidRPr="00673A04">
        <w:rPr>
          <w:rFonts w:eastAsia="Palatino Linotype"/>
        </w:rPr>
        <w:t>p</w:t>
      </w:r>
      <w:r w:rsidRPr="00673A0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73A04">
        <w:rPr>
          <w:rFonts w:eastAsia="Palatino Linotype"/>
        </w:rPr>
        <w:t>:</w:t>
      </w:r>
    </w:p>
    <w:p w14:paraId="7FAB8D32" w14:textId="77777777" w:rsidR="00C049E2" w:rsidRPr="00673A04" w:rsidRDefault="00C049E2" w:rsidP="00673A04">
      <w:pPr>
        <w:rPr>
          <w:rFonts w:eastAsia="Palatino Linotype"/>
        </w:rPr>
      </w:pPr>
    </w:p>
    <w:p w14:paraId="05320813" w14:textId="77777777" w:rsidR="00C049E2" w:rsidRPr="00673A04" w:rsidRDefault="00C049E2" w:rsidP="00673A04">
      <w:pPr>
        <w:pStyle w:val="Puesto"/>
        <w:rPr>
          <w:rFonts w:eastAsia="Palatino Linotype"/>
          <w:b/>
        </w:rPr>
      </w:pPr>
      <w:r w:rsidRPr="00673A04">
        <w:rPr>
          <w:rFonts w:eastAsia="Palatino Linotype"/>
          <w:b/>
        </w:rPr>
        <w:t>Constitución Política de los Estados Unidos Mexicanos</w:t>
      </w:r>
    </w:p>
    <w:p w14:paraId="6B6C67B6" w14:textId="77777777" w:rsidR="00C049E2" w:rsidRPr="00673A04" w:rsidRDefault="00C049E2" w:rsidP="00673A04">
      <w:pPr>
        <w:pStyle w:val="Puesto"/>
        <w:rPr>
          <w:rFonts w:eastAsia="Palatino Linotype"/>
          <w:b/>
        </w:rPr>
      </w:pPr>
      <w:r w:rsidRPr="00673A04">
        <w:rPr>
          <w:rFonts w:eastAsia="Palatino Linotype"/>
        </w:rPr>
        <w:t>“</w:t>
      </w:r>
      <w:r w:rsidRPr="00673A04">
        <w:rPr>
          <w:rFonts w:eastAsia="Palatino Linotype"/>
          <w:b/>
        </w:rPr>
        <w:t>Artículo 6.</w:t>
      </w:r>
    </w:p>
    <w:p w14:paraId="38D3B4C4" w14:textId="77777777" w:rsidR="00C049E2" w:rsidRPr="00673A04" w:rsidRDefault="00C049E2" w:rsidP="00673A04">
      <w:pPr>
        <w:pStyle w:val="Puesto"/>
        <w:rPr>
          <w:rFonts w:eastAsia="Palatino Linotype"/>
        </w:rPr>
      </w:pPr>
      <w:r w:rsidRPr="00673A04">
        <w:rPr>
          <w:rFonts w:eastAsia="Palatino Linotype"/>
        </w:rPr>
        <w:t>(…)</w:t>
      </w:r>
    </w:p>
    <w:p w14:paraId="2CCAA297" w14:textId="6602827B" w:rsidR="00C049E2" w:rsidRPr="00673A04" w:rsidRDefault="00C049E2" w:rsidP="00673A04">
      <w:pPr>
        <w:pStyle w:val="Puesto"/>
        <w:rPr>
          <w:rFonts w:eastAsia="Palatino Linotype"/>
        </w:rPr>
      </w:pPr>
      <w:r w:rsidRPr="00673A04">
        <w:rPr>
          <w:rFonts w:eastAsia="Palatino Linotype"/>
        </w:rPr>
        <w:t>Para efectos de lo dispuesto en el presente artículo se observará lo siguiente:</w:t>
      </w:r>
    </w:p>
    <w:p w14:paraId="74CC3718" w14:textId="77777777" w:rsidR="00C049E2" w:rsidRPr="00673A04" w:rsidRDefault="00C049E2" w:rsidP="00673A04">
      <w:pPr>
        <w:pStyle w:val="Puesto"/>
        <w:rPr>
          <w:rFonts w:eastAsia="Palatino Linotype"/>
        </w:rPr>
      </w:pPr>
      <w:r w:rsidRPr="00673A0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673A04" w:rsidRDefault="00C049E2" w:rsidP="00673A04">
      <w:pPr>
        <w:pStyle w:val="Puesto"/>
        <w:rPr>
          <w:rFonts w:eastAsia="Palatino Linotype"/>
        </w:rPr>
      </w:pPr>
      <w:r w:rsidRPr="00673A04">
        <w:rPr>
          <w:rFonts w:eastAsia="Palatino Linotype"/>
        </w:rPr>
        <w:t xml:space="preserve">I. </w:t>
      </w:r>
      <w:r w:rsidRPr="00673A0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673A04" w:rsidRDefault="00C049E2" w:rsidP="00673A04">
      <w:pPr>
        <w:pStyle w:val="Puesto"/>
        <w:rPr>
          <w:rFonts w:eastAsia="Palatino Linotype"/>
        </w:rPr>
      </w:pPr>
    </w:p>
    <w:p w14:paraId="504F12DB" w14:textId="77777777" w:rsidR="00C049E2" w:rsidRPr="00673A04" w:rsidRDefault="00C049E2" w:rsidP="00673A04">
      <w:pPr>
        <w:pStyle w:val="Puesto"/>
        <w:rPr>
          <w:rFonts w:eastAsia="Palatino Linotype"/>
          <w:b/>
        </w:rPr>
      </w:pPr>
      <w:r w:rsidRPr="00673A04">
        <w:rPr>
          <w:rFonts w:eastAsia="Palatino Linotype"/>
          <w:b/>
        </w:rPr>
        <w:t>Constitución Política del Estado Libre y Soberano de México</w:t>
      </w:r>
    </w:p>
    <w:p w14:paraId="04932D29" w14:textId="77777777" w:rsidR="00C049E2" w:rsidRPr="00673A04" w:rsidRDefault="00C049E2" w:rsidP="00673A04">
      <w:pPr>
        <w:pStyle w:val="Puesto"/>
        <w:rPr>
          <w:rFonts w:eastAsia="Palatino Linotype"/>
          <w:b/>
        </w:rPr>
      </w:pPr>
      <w:r w:rsidRPr="00673A04">
        <w:rPr>
          <w:rFonts w:eastAsia="Palatino Linotype"/>
        </w:rPr>
        <w:t>“</w:t>
      </w:r>
      <w:r w:rsidRPr="00673A04">
        <w:rPr>
          <w:rFonts w:eastAsia="Palatino Linotype"/>
          <w:b/>
        </w:rPr>
        <w:t xml:space="preserve">Artículo 5.- </w:t>
      </w:r>
    </w:p>
    <w:p w14:paraId="1D3829F4" w14:textId="77777777" w:rsidR="00C049E2" w:rsidRPr="00673A04" w:rsidRDefault="00C049E2" w:rsidP="00673A04">
      <w:pPr>
        <w:pStyle w:val="Puesto"/>
        <w:rPr>
          <w:rFonts w:eastAsia="Palatino Linotype"/>
        </w:rPr>
      </w:pPr>
      <w:r w:rsidRPr="00673A04">
        <w:rPr>
          <w:rFonts w:eastAsia="Palatino Linotype"/>
        </w:rPr>
        <w:t>(…)</w:t>
      </w:r>
    </w:p>
    <w:p w14:paraId="0EAE47FD" w14:textId="77777777" w:rsidR="00C049E2" w:rsidRPr="00673A04" w:rsidRDefault="00C049E2" w:rsidP="00673A04">
      <w:pPr>
        <w:pStyle w:val="Puesto"/>
        <w:rPr>
          <w:rFonts w:eastAsia="Palatino Linotype"/>
        </w:rPr>
      </w:pPr>
      <w:r w:rsidRPr="00673A0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673A04" w:rsidRDefault="00C049E2" w:rsidP="00673A04">
      <w:pPr>
        <w:pStyle w:val="Puesto"/>
        <w:rPr>
          <w:rFonts w:eastAsia="Palatino Linotype"/>
        </w:rPr>
      </w:pPr>
      <w:r w:rsidRPr="00673A0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73A04" w:rsidRDefault="00C049E2" w:rsidP="00673A04">
      <w:pPr>
        <w:pStyle w:val="Puesto"/>
        <w:rPr>
          <w:rFonts w:eastAsia="Palatino Linotype"/>
        </w:rPr>
      </w:pPr>
      <w:r w:rsidRPr="00673A04">
        <w:rPr>
          <w:rFonts w:eastAsia="Palatino Linotype"/>
        </w:rPr>
        <w:t>Este derecho se regirá por los principios y bases siguientes:</w:t>
      </w:r>
    </w:p>
    <w:p w14:paraId="4A3E8CBA" w14:textId="77777777" w:rsidR="00C049E2" w:rsidRPr="00673A04" w:rsidRDefault="00C049E2" w:rsidP="00673A04">
      <w:pPr>
        <w:pStyle w:val="Puesto"/>
        <w:rPr>
          <w:rFonts w:eastAsia="Palatino Linotype"/>
        </w:rPr>
      </w:pPr>
      <w:r w:rsidRPr="00673A04">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673A04" w:rsidRDefault="00C049E2" w:rsidP="00673A04">
      <w:pPr>
        <w:rPr>
          <w:rFonts w:eastAsia="Palatino Linotype"/>
          <w:b/>
          <w:i/>
        </w:rPr>
      </w:pPr>
    </w:p>
    <w:p w14:paraId="6FC1BB3B" w14:textId="3BF4A33D" w:rsidR="00C049E2" w:rsidRPr="00673A04" w:rsidRDefault="00717E59" w:rsidP="00673A04">
      <w:pPr>
        <w:rPr>
          <w:rFonts w:eastAsia="Palatino Linotype"/>
          <w:i/>
        </w:rPr>
      </w:pPr>
      <w:r w:rsidRPr="00673A04">
        <w:rPr>
          <w:rFonts w:eastAsia="Palatino Linotype"/>
        </w:rPr>
        <w:t xml:space="preserve">Asimismo, </w:t>
      </w:r>
      <w:r w:rsidR="00C049E2" w:rsidRPr="00673A04">
        <w:rPr>
          <w:rFonts w:eastAsia="Palatino Linotype"/>
        </w:rPr>
        <w:t>el artículo 150 de la Ley de Transparencia y Acceso a la Información Pública del Estado de México y Municipios</w:t>
      </w:r>
      <w:r w:rsidR="00057B2D" w:rsidRPr="00673A04">
        <w:rPr>
          <w:rFonts w:eastAsia="Palatino Linotype"/>
        </w:rPr>
        <w:t xml:space="preserve"> </w:t>
      </w:r>
      <w:r w:rsidR="00E9335C" w:rsidRPr="00673A04">
        <w:rPr>
          <w:rFonts w:eastAsia="Palatino Linotype"/>
        </w:rPr>
        <w:t xml:space="preserve">indica </w:t>
      </w:r>
      <w:r w:rsidR="00057B2D" w:rsidRPr="00673A04">
        <w:rPr>
          <w:rFonts w:eastAsia="Palatino Linotype"/>
        </w:rPr>
        <w:t>que</w:t>
      </w:r>
      <w:r w:rsidR="00C049E2" w:rsidRPr="00673A04">
        <w:rPr>
          <w:rFonts w:eastAsia="Palatino Linotype"/>
        </w:rPr>
        <w:t xml:space="preserve"> la solicitud es la garantía primaria del Derecho de Acceso a la Información, además, establece que se regirá </w:t>
      </w:r>
      <w:r w:rsidR="00C049E2" w:rsidRPr="00673A04">
        <w:rPr>
          <w:rFonts w:eastAsia="Palatino Linotype"/>
          <w:i/>
        </w:rPr>
        <w:t>por los principios de simplicidad, rapidez</w:t>
      </w:r>
      <w:r w:rsidR="005F65B7" w:rsidRPr="00673A04">
        <w:rPr>
          <w:rFonts w:eastAsia="Palatino Linotype"/>
          <w:i/>
        </w:rPr>
        <w:t>,</w:t>
      </w:r>
      <w:r w:rsidR="00C049E2" w:rsidRPr="00673A04">
        <w:rPr>
          <w:rFonts w:eastAsia="Palatino Linotype"/>
          <w:i/>
        </w:rPr>
        <w:t xml:space="preserve"> gratuidad del procedimiento, auxilio y orientación a los particulare</w:t>
      </w:r>
      <w:r w:rsidR="001A58B3" w:rsidRPr="00673A04">
        <w:rPr>
          <w:rFonts w:eastAsia="Palatino Linotype"/>
          <w:i/>
        </w:rPr>
        <w:t>s.</w:t>
      </w:r>
    </w:p>
    <w:p w14:paraId="033466A6" w14:textId="77777777" w:rsidR="001A58B3" w:rsidRPr="00673A04" w:rsidRDefault="001A58B3" w:rsidP="00673A04">
      <w:pPr>
        <w:rPr>
          <w:rFonts w:eastAsia="Palatino Linotype"/>
          <w:i/>
        </w:rPr>
      </w:pPr>
    </w:p>
    <w:p w14:paraId="04ADA10B" w14:textId="574A944A" w:rsidR="001A58B3" w:rsidRPr="00673A04" w:rsidRDefault="00233F17" w:rsidP="00673A04">
      <w:pPr>
        <w:rPr>
          <w:rFonts w:eastAsia="Palatino Linotype" w:cs="Palatino Linotype"/>
          <w:i/>
          <w:szCs w:val="22"/>
        </w:rPr>
      </w:pPr>
      <w:r w:rsidRPr="00673A04">
        <w:rPr>
          <w:rFonts w:eastAsia="Palatino Linotype" w:cs="Palatino Linotype"/>
        </w:rPr>
        <w:t xml:space="preserve">Por su parte, el artículo 4 de </w:t>
      </w:r>
      <w:r w:rsidR="001A58B3" w:rsidRPr="00673A0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673A04">
        <w:rPr>
          <w:rFonts w:eastAsia="Palatino Linotype" w:cs="Palatino Linotype"/>
        </w:rPr>
        <w:t>.</w:t>
      </w:r>
    </w:p>
    <w:p w14:paraId="1407DBB8" w14:textId="77777777" w:rsidR="001A58B3" w:rsidRPr="00673A04" w:rsidRDefault="001A58B3" w:rsidP="00673A04">
      <w:pPr>
        <w:rPr>
          <w:rFonts w:eastAsia="Palatino Linotype" w:cs="Palatino Linotype"/>
        </w:rPr>
      </w:pPr>
    </w:p>
    <w:p w14:paraId="7552AA79" w14:textId="5C52E4A4" w:rsidR="001A58B3" w:rsidRPr="00673A04" w:rsidRDefault="001A58B3" w:rsidP="00673A04">
      <w:pPr>
        <w:rPr>
          <w:rFonts w:eastAsia="Palatino Linotype" w:cs="Palatino Linotype"/>
        </w:rPr>
      </w:pPr>
      <w:r w:rsidRPr="00673A04">
        <w:rPr>
          <w:rFonts w:eastAsia="Palatino Linotype" w:cs="Palatino Linotype"/>
        </w:rPr>
        <w:t xml:space="preserve">Esto es, que los Sujetos Obligados </w:t>
      </w:r>
      <w:r w:rsidR="00FA5957" w:rsidRPr="00673A04">
        <w:rPr>
          <w:rFonts w:eastAsia="Palatino Linotype" w:cs="Palatino Linotype"/>
        </w:rPr>
        <w:t>deben</w:t>
      </w:r>
      <w:r w:rsidRPr="00673A04">
        <w:rPr>
          <w:rFonts w:eastAsia="Palatino Linotype" w:cs="Palatino Linotype"/>
        </w:rPr>
        <w:t xml:space="preserve"> atender las solicitudes de acceso a la información pública que se les </w:t>
      </w:r>
      <w:r w:rsidR="00FA5957" w:rsidRPr="00673A04">
        <w:rPr>
          <w:rFonts w:eastAsia="Palatino Linotype" w:cs="Palatino Linotype"/>
        </w:rPr>
        <w:t>sean realizadas,</w:t>
      </w:r>
      <w:r w:rsidRPr="00673A04">
        <w:rPr>
          <w:rFonts w:eastAsia="Palatino Linotype" w:cs="Palatino Linotype"/>
        </w:rPr>
        <w:t xml:space="preserve"> y proporcionar la información pública que obre en su poder</w:t>
      </w:r>
      <w:r w:rsidR="00FA5957" w:rsidRPr="00673A04">
        <w:rPr>
          <w:rFonts w:eastAsia="Palatino Linotype" w:cs="Palatino Linotype"/>
        </w:rPr>
        <w:t>,</w:t>
      </w:r>
      <w:r w:rsidRPr="00673A04">
        <w:rPr>
          <w:rFonts w:eastAsia="Palatino Linotype" w:cs="Palatino Linotype"/>
        </w:rPr>
        <w:t xml:space="preserve"> conforme </w:t>
      </w:r>
      <w:r w:rsidR="00FA5957" w:rsidRPr="00673A04">
        <w:rPr>
          <w:rFonts w:eastAsia="Palatino Linotype" w:cs="Palatino Linotype"/>
        </w:rPr>
        <w:t>a</w:t>
      </w:r>
      <w:r w:rsidRPr="00673A04">
        <w:rPr>
          <w:rFonts w:eastAsia="Palatino Linotype" w:cs="Palatino Linotype"/>
        </w:rPr>
        <w:t xml:space="preserve">l estado </w:t>
      </w:r>
      <w:r w:rsidR="00FA5957" w:rsidRPr="00673A04">
        <w:rPr>
          <w:rFonts w:eastAsia="Palatino Linotype" w:cs="Palatino Linotype"/>
        </w:rPr>
        <w:t xml:space="preserve">en </w:t>
      </w:r>
      <w:r w:rsidRPr="00673A04">
        <w:rPr>
          <w:rFonts w:eastAsia="Palatino Linotype" w:cs="Palatino Linotype"/>
        </w:rPr>
        <w:t>que se encuentr</w:t>
      </w:r>
      <w:r w:rsidR="00FA5957" w:rsidRPr="00673A04">
        <w:rPr>
          <w:rFonts w:eastAsia="Palatino Linotype" w:cs="Palatino Linotype"/>
        </w:rPr>
        <w:t>e, sin que sea necesario</w:t>
      </w:r>
      <w:r w:rsidRPr="00673A04">
        <w:rPr>
          <w:rFonts w:eastAsia="Palatino Linotype" w:cs="Palatino Linotype"/>
        </w:rPr>
        <w:t xml:space="preserve"> </w:t>
      </w:r>
      <w:r w:rsidR="00FA5957" w:rsidRPr="00673A04">
        <w:rPr>
          <w:rFonts w:eastAsia="Palatino Linotype" w:cs="Palatino Linotype"/>
        </w:rPr>
        <w:t>procesar</w:t>
      </w:r>
      <w:r w:rsidRPr="00673A04">
        <w:rPr>
          <w:rFonts w:eastAsia="Palatino Linotype" w:cs="Palatino Linotype"/>
        </w:rPr>
        <w:t xml:space="preserve"> la misma, ni presentarla conforme al interés del solicitante; </w:t>
      </w:r>
      <w:r w:rsidR="00FA5957" w:rsidRPr="00673A04">
        <w:rPr>
          <w:rFonts w:eastAsia="Palatino Linotype" w:cs="Palatino Linotype"/>
        </w:rPr>
        <w:t>tal y como</w:t>
      </w:r>
      <w:r w:rsidRPr="00673A04">
        <w:rPr>
          <w:rFonts w:eastAsia="Palatino Linotype" w:cs="Palatino Linotype"/>
        </w:rPr>
        <w:t xml:space="preserve"> lo establece el artículo 12 de la Ley de Transparencia y Acceso a la Información Pública del Estado de México y Municipios</w:t>
      </w:r>
      <w:r w:rsidR="00970EB3" w:rsidRPr="00673A04">
        <w:rPr>
          <w:rFonts w:eastAsia="Palatino Linotype" w:cs="Palatino Linotype"/>
        </w:rPr>
        <w:t>.</w:t>
      </w:r>
    </w:p>
    <w:p w14:paraId="73245195" w14:textId="77777777" w:rsidR="00970EB3" w:rsidRPr="00673A04" w:rsidRDefault="00970EB3" w:rsidP="00673A04">
      <w:pPr>
        <w:rPr>
          <w:rFonts w:eastAsia="Palatino Linotype" w:cs="Palatino Linotype"/>
        </w:rPr>
      </w:pPr>
    </w:p>
    <w:p w14:paraId="7F62D4DF" w14:textId="775730E1" w:rsidR="001A58B3" w:rsidRPr="00673A04" w:rsidRDefault="001A58B3" w:rsidP="00673A04">
      <w:pPr>
        <w:rPr>
          <w:rFonts w:eastAsia="Palatino Linotype" w:cs="Palatino Linotype"/>
        </w:rPr>
      </w:pPr>
      <w:r w:rsidRPr="00673A04">
        <w:rPr>
          <w:rFonts w:eastAsia="Palatino Linotype" w:cs="Palatino Linotype"/>
        </w:rPr>
        <w:lastRenderedPageBreak/>
        <w:t>Es decir, que todo sujeto obligado que genere, recopile, administre, procese, archive, posea o conserven, son responsables de la misma</w:t>
      </w:r>
      <w:r w:rsidR="00970EB3" w:rsidRPr="00673A04">
        <w:rPr>
          <w:rFonts w:eastAsia="Palatino Linotype" w:cs="Palatino Linotype"/>
        </w:rPr>
        <w:t>,</w:t>
      </w:r>
      <w:r w:rsidRPr="00673A0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73A04">
        <w:rPr>
          <w:rFonts w:eastAsia="Palatino Linotype" w:cs="Palatino Linotype"/>
        </w:rPr>
        <w:t>o</w:t>
      </w:r>
      <w:r w:rsidRPr="00673A0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73A04" w:rsidRDefault="001A58B3" w:rsidP="00673A04">
      <w:pPr>
        <w:rPr>
          <w:rFonts w:eastAsia="Palatino Linotype" w:cs="Palatino Linotype"/>
        </w:rPr>
      </w:pPr>
    </w:p>
    <w:p w14:paraId="04E42DFE" w14:textId="573F1198" w:rsidR="001A58B3" w:rsidRPr="00673A04" w:rsidRDefault="001A58B3" w:rsidP="00673A04">
      <w:pPr>
        <w:rPr>
          <w:rFonts w:eastAsia="Palatino Linotype" w:cs="Palatino Linotype"/>
        </w:rPr>
      </w:pPr>
      <w:r w:rsidRPr="00673A0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73A04">
        <w:rPr>
          <w:rFonts w:eastAsia="Palatino Linotype" w:cs="Palatino Linotype"/>
        </w:rPr>
        <w:t>, s</w:t>
      </w:r>
      <w:r w:rsidRPr="00673A04">
        <w:rPr>
          <w:rFonts w:eastAsia="Palatino Linotype" w:cs="Palatino Linotype"/>
        </w:rPr>
        <w:t xml:space="preserve">iempre y cuando no se trate de información reservada o </w:t>
      </w:r>
      <w:r w:rsidR="00331F35" w:rsidRPr="00673A04">
        <w:rPr>
          <w:rFonts w:eastAsia="Palatino Linotype" w:cs="Palatino Linotype"/>
        </w:rPr>
        <w:t>confidencial.</w:t>
      </w:r>
    </w:p>
    <w:p w14:paraId="40C5219F" w14:textId="77777777" w:rsidR="001A58B3" w:rsidRPr="00673A04" w:rsidRDefault="001A58B3" w:rsidP="00673A04">
      <w:pPr>
        <w:rPr>
          <w:rFonts w:eastAsia="Palatino Linotype" w:cs="Palatino Linotype"/>
        </w:rPr>
      </w:pPr>
    </w:p>
    <w:p w14:paraId="2E629608" w14:textId="01727E15" w:rsidR="00C049E2" w:rsidRPr="00673A04" w:rsidRDefault="006067C7" w:rsidP="00673A04">
      <w:pPr>
        <w:rPr>
          <w:rFonts w:eastAsia="Palatino Linotype"/>
        </w:rPr>
      </w:pPr>
      <w:bookmarkStart w:id="34" w:name="_heading=h.2s8eyo1" w:colFirst="0" w:colLast="0"/>
      <w:bookmarkEnd w:id="34"/>
      <w:r w:rsidRPr="00673A04">
        <w:rPr>
          <w:rFonts w:eastAsia="Palatino Linotype"/>
        </w:rPr>
        <w:t>Con base en lo anterior</w:t>
      </w:r>
      <w:r w:rsidR="00B22A80" w:rsidRPr="00673A04">
        <w:rPr>
          <w:rFonts w:eastAsia="Palatino Linotype"/>
        </w:rPr>
        <w:t>, se considera que</w:t>
      </w:r>
      <w:r w:rsidR="00C049E2" w:rsidRPr="00673A04">
        <w:rPr>
          <w:rFonts w:eastAsia="Palatino Linotype"/>
        </w:rPr>
        <w:t xml:space="preserve"> </w:t>
      </w:r>
      <w:r w:rsidR="00B22A80" w:rsidRPr="00673A04">
        <w:rPr>
          <w:rFonts w:eastAsia="Palatino Linotype"/>
          <w:b/>
          <w:bCs/>
        </w:rPr>
        <w:t>EL</w:t>
      </w:r>
      <w:r w:rsidR="00C049E2" w:rsidRPr="00673A04">
        <w:rPr>
          <w:rFonts w:eastAsia="Palatino Linotype"/>
        </w:rPr>
        <w:t xml:space="preserve"> </w:t>
      </w:r>
      <w:r w:rsidR="00C049E2" w:rsidRPr="00673A04">
        <w:rPr>
          <w:rFonts w:eastAsia="Palatino Linotype"/>
          <w:b/>
        </w:rPr>
        <w:t>SUJETO OBLIGADO</w:t>
      </w:r>
      <w:r w:rsidR="00C049E2" w:rsidRPr="00673A04">
        <w:rPr>
          <w:rFonts w:eastAsia="Palatino Linotype"/>
        </w:rPr>
        <w:t xml:space="preserve"> </w:t>
      </w:r>
      <w:r w:rsidR="00B22A80" w:rsidRPr="00673A04">
        <w:rPr>
          <w:rFonts w:eastAsia="Palatino Linotype"/>
        </w:rPr>
        <w:t xml:space="preserve">se </w:t>
      </w:r>
      <w:r w:rsidR="00717E59" w:rsidRPr="00673A04">
        <w:rPr>
          <w:rFonts w:eastAsia="Palatino Linotype"/>
        </w:rPr>
        <w:t>encontraba</w:t>
      </w:r>
      <w:r w:rsidR="00B22A80" w:rsidRPr="00673A04">
        <w:rPr>
          <w:rFonts w:eastAsia="Palatino Linotype"/>
        </w:rPr>
        <w:t xml:space="preserve"> compelido a</w:t>
      </w:r>
      <w:r w:rsidR="00C049E2" w:rsidRPr="00673A04">
        <w:rPr>
          <w:rFonts w:eastAsia="Palatino Linotype"/>
        </w:rPr>
        <w:t xml:space="preserve"> atender la solicitud de acceso a la información </w:t>
      </w:r>
      <w:r w:rsidR="00B22A80" w:rsidRPr="00673A04">
        <w:rPr>
          <w:rFonts w:eastAsia="Palatino Linotype"/>
        </w:rPr>
        <w:t xml:space="preserve">realizada por </w:t>
      </w:r>
      <w:r w:rsidR="00B22A80" w:rsidRPr="00673A04">
        <w:rPr>
          <w:rFonts w:eastAsia="Palatino Linotype"/>
          <w:b/>
          <w:bCs/>
        </w:rPr>
        <w:t>LA PARTE RECURRENTE</w:t>
      </w:r>
      <w:r w:rsidR="00331F35" w:rsidRPr="00673A04">
        <w:rPr>
          <w:rFonts w:eastAsia="Palatino Linotype"/>
        </w:rPr>
        <w:t>.</w:t>
      </w:r>
    </w:p>
    <w:p w14:paraId="1611F147" w14:textId="77777777" w:rsidR="00BD5A7C" w:rsidRPr="00673A04" w:rsidRDefault="00BD5A7C" w:rsidP="00673A04">
      <w:pPr>
        <w:rPr>
          <w:rFonts w:eastAsia="Palatino Linotype"/>
        </w:rPr>
      </w:pPr>
    </w:p>
    <w:p w14:paraId="51A0E8B4" w14:textId="676DCA47" w:rsidR="00664420" w:rsidRPr="00673A04" w:rsidRDefault="00C71CEF" w:rsidP="00673A04">
      <w:pPr>
        <w:pStyle w:val="Ttulo3"/>
        <w:rPr>
          <w:rFonts w:eastAsia="Calibri"/>
          <w:lang w:eastAsia="es-ES_tradnl"/>
        </w:rPr>
      </w:pPr>
      <w:bookmarkStart w:id="35" w:name="_Toc198750432"/>
      <w:r w:rsidRPr="00673A04">
        <w:rPr>
          <w:rFonts w:eastAsia="Calibri"/>
          <w:lang w:eastAsia="es-ES_tradnl"/>
        </w:rPr>
        <w:t>b)</w:t>
      </w:r>
      <w:r w:rsidR="00A53315" w:rsidRPr="00673A04">
        <w:rPr>
          <w:rFonts w:eastAsia="Calibri"/>
          <w:lang w:eastAsia="es-ES_tradnl"/>
        </w:rPr>
        <w:t xml:space="preserve"> </w:t>
      </w:r>
      <w:r w:rsidR="00A21A20" w:rsidRPr="00673A04">
        <w:rPr>
          <w:rFonts w:eastAsia="Calibri"/>
          <w:lang w:eastAsia="es-ES_tradnl"/>
        </w:rPr>
        <w:t>Controversia a resolver</w:t>
      </w:r>
      <w:bookmarkEnd w:id="35"/>
    </w:p>
    <w:p w14:paraId="5EA50E01" w14:textId="1B6FE57C" w:rsidR="006A7A44" w:rsidRPr="00673A04" w:rsidRDefault="00664420" w:rsidP="00673A04">
      <w:pPr>
        <w:rPr>
          <w:rFonts w:eastAsia="Calibri"/>
          <w:lang w:eastAsia="es-ES_tradnl"/>
        </w:rPr>
      </w:pPr>
      <w:r w:rsidRPr="00673A0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673A04">
        <w:rPr>
          <w:rFonts w:eastAsia="Calibri"/>
          <w:b/>
          <w:bCs/>
          <w:lang w:eastAsia="es-ES_tradnl"/>
        </w:rPr>
        <w:t>LA PARTE RECURRENTE</w:t>
      </w:r>
      <w:r w:rsidR="004565C2" w:rsidRPr="00673A04">
        <w:rPr>
          <w:rFonts w:eastAsia="Calibri"/>
          <w:lang w:eastAsia="es-ES_tradnl"/>
        </w:rPr>
        <w:t xml:space="preserve"> solicitó</w:t>
      </w:r>
      <w:r w:rsidR="006A7A44" w:rsidRPr="00673A04">
        <w:rPr>
          <w:rFonts w:eastAsia="Calibri"/>
          <w:lang w:eastAsia="es-ES_tradnl"/>
        </w:rPr>
        <w:t xml:space="preserve"> los convenios vigentes para descuento vía nomina a los trabajadores de SEIEM suscritos entre Servicios Educativos Integrados al Estado de México (</w:t>
      </w:r>
      <w:r w:rsidR="009F08C3" w:rsidRPr="00673A04">
        <w:rPr>
          <w:rFonts w:eastAsia="Calibri"/>
          <w:lang w:eastAsia="es-ES_tradnl"/>
        </w:rPr>
        <w:t>SEIEM</w:t>
      </w:r>
      <w:r w:rsidR="006A7A44" w:rsidRPr="00673A04">
        <w:rPr>
          <w:rFonts w:eastAsia="Calibri"/>
          <w:lang w:eastAsia="es-ES_tradnl"/>
        </w:rPr>
        <w:t>) con el Fondo de Ayuda Sindical (FAS) de las secciones 36 y 17 del SNTE.</w:t>
      </w:r>
    </w:p>
    <w:p w14:paraId="25FBB849" w14:textId="77777777" w:rsidR="006A7A44" w:rsidRPr="00673A04" w:rsidRDefault="006A7A44" w:rsidP="00673A04">
      <w:pPr>
        <w:rPr>
          <w:rFonts w:eastAsia="Calibri"/>
          <w:lang w:eastAsia="es-ES_tradnl"/>
        </w:rPr>
      </w:pPr>
    </w:p>
    <w:p w14:paraId="120F0DC0" w14:textId="513A7EAF" w:rsidR="006A7A44" w:rsidRPr="00673A04" w:rsidRDefault="00462338" w:rsidP="00673A04">
      <w:pPr>
        <w:tabs>
          <w:tab w:val="left" w:pos="4962"/>
        </w:tabs>
        <w:contextualSpacing/>
        <w:rPr>
          <w:rFonts w:cs="Tahoma"/>
          <w:bCs/>
          <w:szCs w:val="22"/>
          <w:lang w:val="es-ES"/>
        </w:rPr>
      </w:pPr>
      <w:r w:rsidRPr="00673A04">
        <w:rPr>
          <w:rFonts w:eastAsiaTheme="minorHAnsi" w:cs="Tahoma"/>
          <w:bCs/>
          <w:iCs/>
          <w:szCs w:val="22"/>
          <w:lang w:eastAsia="en-US"/>
        </w:rPr>
        <w:lastRenderedPageBreak/>
        <w:t xml:space="preserve">En respuesta, </w:t>
      </w:r>
      <w:r w:rsidRPr="00673A04">
        <w:rPr>
          <w:rFonts w:eastAsiaTheme="minorHAnsi" w:cs="Tahoma"/>
          <w:b/>
          <w:iCs/>
          <w:szCs w:val="22"/>
          <w:lang w:eastAsia="en-US"/>
        </w:rPr>
        <w:t>EL SUJETO OBLIGADO</w:t>
      </w:r>
      <w:r w:rsidR="007E069C" w:rsidRPr="00673A04">
        <w:rPr>
          <w:rFonts w:eastAsiaTheme="minorHAnsi" w:cs="Tahoma"/>
          <w:b/>
          <w:iCs/>
          <w:szCs w:val="22"/>
          <w:lang w:eastAsia="en-US"/>
        </w:rPr>
        <w:t xml:space="preserve"> </w:t>
      </w:r>
      <w:r w:rsidR="006A7A44" w:rsidRPr="00673A04">
        <w:rPr>
          <w:rFonts w:cs="Tahoma"/>
          <w:bCs/>
          <w:szCs w:val="22"/>
          <w:lang w:val="es-ES"/>
        </w:rPr>
        <w:t xml:space="preserve">advirtió la incompetencia para atender la solicitud; en consecuencia, sugirió dirigir la solicitud a la Secretaría de Educación Pública. </w:t>
      </w:r>
    </w:p>
    <w:p w14:paraId="42E97A8B" w14:textId="77777777" w:rsidR="006A7A44" w:rsidRPr="00673A04" w:rsidRDefault="006A7A44" w:rsidP="00673A04">
      <w:pPr>
        <w:tabs>
          <w:tab w:val="left" w:pos="4962"/>
        </w:tabs>
        <w:contextualSpacing/>
        <w:rPr>
          <w:rFonts w:eastAsiaTheme="minorHAnsi" w:cs="Tahoma"/>
          <w:b/>
          <w:iCs/>
          <w:szCs w:val="22"/>
          <w:lang w:val="es-ES" w:eastAsia="en-US"/>
        </w:rPr>
      </w:pPr>
    </w:p>
    <w:p w14:paraId="7B62F4F7" w14:textId="2CB77296" w:rsidR="00DA54C1" w:rsidRPr="00673A04" w:rsidRDefault="00CF7586" w:rsidP="00673A04">
      <w:pPr>
        <w:autoSpaceDE w:val="0"/>
        <w:autoSpaceDN w:val="0"/>
        <w:adjustRightInd w:val="0"/>
        <w:ind w:right="-28"/>
        <w:rPr>
          <w:rFonts w:eastAsiaTheme="minorHAnsi" w:cs="Tahoma"/>
          <w:bCs/>
          <w:iCs/>
          <w:szCs w:val="22"/>
          <w:lang w:eastAsia="en-US"/>
        </w:rPr>
      </w:pPr>
      <w:r w:rsidRPr="00673A04">
        <w:rPr>
          <w:rFonts w:eastAsiaTheme="minorHAnsi" w:cs="Tahoma"/>
          <w:bCs/>
          <w:iCs/>
          <w:szCs w:val="22"/>
          <w:lang w:eastAsia="en-US"/>
        </w:rPr>
        <w:t xml:space="preserve">Ahora bien, en la interposición del presente recurso </w:t>
      </w:r>
      <w:r w:rsidRPr="00673A04">
        <w:rPr>
          <w:rFonts w:eastAsiaTheme="minorHAnsi" w:cs="Tahoma"/>
          <w:b/>
          <w:iCs/>
          <w:szCs w:val="22"/>
          <w:lang w:eastAsia="en-US"/>
        </w:rPr>
        <w:t>LA PARTE RECURRENTE</w:t>
      </w:r>
      <w:r w:rsidR="00237120" w:rsidRPr="00673A04">
        <w:rPr>
          <w:rFonts w:eastAsiaTheme="minorHAnsi" w:cs="Tahoma"/>
          <w:bCs/>
          <w:iCs/>
          <w:szCs w:val="22"/>
          <w:lang w:eastAsia="en-US"/>
        </w:rPr>
        <w:t xml:space="preserve"> s</w:t>
      </w:r>
      <w:r w:rsidR="00E11AA0" w:rsidRPr="00673A04">
        <w:rPr>
          <w:rFonts w:eastAsiaTheme="minorHAnsi" w:cs="Tahoma"/>
          <w:bCs/>
          <w:iCs/>
          <w:szCs w:val="22"/>
          <w:lang w:eastAsia="en-US"/>
        </w:rPr>
        <w:t xml:space="preserve">e inconformó medularmente </w:t>
      </w:r>
      <w:r w:rsidR="006A7A44" w:rsidRPr="00673A04">
        <w:rPr>
          <w:rFonts w:eastAsiaTheme="minorHAnsi" w:cs="Tahoma"/>
          <w:bCs/>
          <w:iCs/>
          <w:szCs w:val="22"/>
          <w:lang w:eastAsia="en-US"/>
        </w:rPr>
        <w:t xml:space="preserve">por la incompetencia del </w:t>
      </w:r>
      <w:r w:rsidR="006A7A44" w:rsidRPr="00673A04">
        <w:rPr>
          <w:rFonts w:eastAsiaTheme="minorHAnsi" w:cs="Tahoma"/>
          <w:b/>
          <w:iCs/>
          <w:szCs w:val="22"/>
          <w:lang w:eastAsia="en-US"/>
        </w:rPr>
        <w:t>SUJETO OBLIGADO.</w:t>
      </w:r>
      <w:r w:rsidR="00953EBD" w:rsidRPr="00673A04">
        <w:rPr>
          <w:rFonts w:eastAsiaTheme="minorHAnsi" w:cs="Tahoma"/>
          <w:bCs/>
          <w:iCs/>
          <w:szCs w:val="22"/>
          <w:lang w:eastAsia="en-US"/>
        </w:rPr>
        <w:t xml:space="preserve"> </w:t>
      </w:r>
    </w:p>
    <w:p w14:paraId="62D736AD" w14:textId="77777777" w:rsidR="00DA54C1" w:rsidRPr="00673A04" w:rsidRDefault="00DA54C1" w:rsidP="00673A04">
      <w:pPr>
        <w:tabs>
          <w:tab w:val="left" w:pos="4962"/>
        </w:tabs>
        <w:contextualSpacing/>
        <w:rPr>
          <w:rFonts w:eastAsiaTheme="minorHAnsi" w:cs="Tahoma"/>
          <w:bCs/>
          <w:iCs/>
          <w:szCs w:val="22"/>
          <w:lang w:eastAsia="en-US"/>
        </w:rPr>
      </w:pPr>
    </w:p>
    <w:p w14:paraId="63A89B01" w14:textId="75B5A9E4" w:rsidR="006A7A44" w:rsidRPr="00673A04" w:rsidRDefault="00C2636E" w:rsidP="00673A04">
      <w:pPr>
        <w:autoSpaceDE w:val="0"/>
        <w:autoSpaceDN w:val="0"/>
        <w:adjustRightInd w:val="0"/>
        <w:ind w:right="-28"/>
        <w:rPr>
          <w:rFonts w:cs="Tahoma"/>
          <w:b/>
          <w:bCs/>
          <w:i/>
          <w:iCs/>
          <w:szCs w:val="24"/>
        </w:rPr>
      </w:pPr>
      <w:r w:rsidRPr="00673A04">
        <w:rPr>
          <w:rFonts w:eastAsiaTheme="minorHAnsi" w:cs="Tahoma"/>
          <w:bCs/>
          <w:iCs/>
          <w:szCs w:val="22"/>
          <w:lang w:eastAsia="en-US"/>
        </w:rPr>
        <w:t>Asimismo</w:t>
      </w:r>
      <w:r w:rsidRPr="00673A04">
        <w:t xml:space="preserve">, es importante señalar que </w:t>
      </w:r>
      <w:r w:rsidRPr="00673A04">
        <w:rPr>
          <w:b/>
          <w:iCs/>
        </w:rPr>
        <w:t>LA PARTE RECURRENTE</w:t>
      </w:r>
      <w:r w:rsidRPr="00673A04">
        <w:rPr>
          <w:bCs/>
          <w:iCs/>
        </w:rPr>
        <w:t xml:space="preserve"> </w:t>
      </w:r>
      <w:r w:rsidRPr="00673A04">
        <w:t xml:space="preserve">no realizó </w:t>
      </w:r>
      <w:r w:rsidRPr="00673A04">
        <w:rPr>
          <w:rFonts w:eastAsiaTheme="minorHAnsi" w:cs="Tahoma"/>
          <w:bCs/>
          <w:iCs/>
          <w:szCs w:val="22"/>
          <w:lang w:eastAsia="en-US"/>
        </w:rPr>
        <w:t>manifestaciones</w:t>
      </w:r>
      <w:r w:rsidRPr="00673A04">
        <w:t xml:space="preserve">, alegatos o pruebas y por su parte </w:t>
      </w:r>
      <w:r w:rsidRPr="00673A04">
        <w:rPr>
          <w:b/>
        </w:rPr>
        <w:t>EL SUJETO OBLIGADO</w:t>
      </w:r>
      <w:r w:rsidRPr="00673A04">
        <w:rPr>
          <w:rFonts w:cs="Arial"/>
        </w:rPr>
        <w:t xml:space="preserve"> </w:t>
      </w:r>
      <w:r w:rsidR="00E3193A" w:rsidRPr="00673A04">
        <w:rPr>
          <w:rFonts w:cs="Arial"/>
        </w:rPr>
        <w:t xml:space="preserve">mediante </w:t>
      </w:r>
      <w:r w:rsidRPr="00673A04">
        <w:t>Informe Justificado,</w:t>
      </w:r>
      <w:r w:rsidR="006A7A44" w:rsidRPr="00673A04">
        <w:t xml:space="preserve"> </w:t>
      </w:r>
      <w:r w:rsidR="006A7A44" w:rsidRPr="00673A04">
        <w:rPr>
          <w:rFonts w:cs="Tahoma"/>
          <w:szCs w:val="24"/>
        </w:rPr>
        <w:t>la encargada del despacho del Departamento de Prestaciones y servidora pública habilitada, hizo del conocimiento que la información requerida fue a su vez solicitada al Departamento de Asuntos Laborales quién proporcionó el Reglamento Fondo de Ayuda Sindical, Sección 17 del SNTE, Valle de Toluca de noviembre de 2010.</w:t>
      </w:r>
    </w:p>
    <w:p w14:paraId="06AD62CA" w14:textId="77777777" w:rsidR="005D5854" w:rsidRPr="00673A04" w:rsidRDefault="005D5854" w:rsidP="00673A04">
      <w:pPr>
        <w:pStyle w:val="Prrafodelista"/>
        <w:widowControl w:val="0"/>
        <w:autoSpaceDE w:val="0"/>
        <w:autoSpaceDN w:val="0"/>
        <w:adjustRightInd w:val="0"/>
        <w:ind w:left="0"/>
      </w:pPr>
    </w:p>
    <w:p w14:paraId="09F604ED" w14:textId="77777777" w:rsidR="009F08C3" w:rsidRPr="00673A04" w:rsidRDefault="009F08C3" w:rsidP="00673A04">
      <w:pPr>
        <w:autoSpaceDE w:val="0"/>
        <w:autoSpaceDN w:val="0"/>
        <w:adjustRightInd w:val="0"/>
        <w:ind w:right="-28"/>
        <w:rPr>
          <w:bCs/>
        </w:rPr>
      </w:pPr>
      <w:r w:rsidRPr="00673A04">
        <w:t xml:space="preserve">Determinado lo </w:t>
      </w:r>
      <w:r w:rsidRPr="00673A04">
        <w:rPr>
          <w:rFonts w:cs="Tahoma"/>
          <w:szCs w:val="24"/>
        </w:rPr>
        <w:t>anterior</w:t>
      </w:r>
      <w:r w:rsidRPr="00673A04">
        <w:t xml:space="preserve">, es importante señalar que una vez admitido el recurso de revisión que nos ocupa, </w:t>
      </w:r>
      <w:r w:rsidRPr="00673A04">
        <w:rPr>
          <w:b/>
          <w:iCs/>
        </w:rPr>
        <w:t>LA PARTE RECURRENTE</w:t>
      </w:r>
      <w:r w:rsidRPr="00673A04">
        <w:rPr>
          <w:bCs/>
          <w:iCs/>
        </w:rPr>
        <w:t xml:space="preserve"> </w:t>
      </w:r>
      <w:r w:rsidRPr="00673A04">
        <w:rPr>
          <w:lang w:val="es-ES_tradnl"/>
        </w:rPr>
        <w:t>presentó el desistimiento expreso respecto al medio de impugnación que pretendía, como se aprecia en el análisis de los antecedentes de la presente resolución.</w:t>
      </w:r>
    </w:p>
    <w:p w14:paraId="2F0A6312" w14:textId="77777777" w:rsidR="009F08C3" w:rsidRPr="00673A04" w:rsidRDefault="009F08C3" w:rsidP="00673A04">
      <w:pPr>
        <w:pStyle w:val="Prrafodelista"/>
        <w:widowControl w:val="0"/>
        <w:autoSpaceDE w:val="0"/>
        <w:autoSpaceDN w:val="0"/>
        <w:adjustRightInd w:val="0"/>
        <w:ind w:left="0"/>
      </w:pPr>
    </w:p>
    <w:p w14:paraId="414FD2D5" w14:textId="4408E416" w:rsidR="00664420" w:rsidRPr="00673A04" w:rsidRDefault="00A21A20" w:rsidP="00673A04">
      <w:pPr>
        <w:pStyle w:val="Ttulo3"/>
      </w:pPr>
      <w:bookmarkStart w:id="36" w:name="_Toc198750433"/>
      <w:r w:rsidRPr="00673A04">
        <w:t>c)</w:t>
      </w:r>
      <w:r w:rsidR="00664420" w:rsidRPr="00673A04">
        <w:t xml:space="preserve"> </w:t>
      </w:r>
      <w:r w:rsidRPr="00673A04">
        <w:t>Estudio de la controversia</w:t>
      </w:r>
      <w:bookmarkEnd w:id="36"/>
    </w:p>
    <w:p w14:paraId="310F460A" w14:textId="5D92606F" w:rsidR="009F08C3" w:rsidRPr="00673A04" w:rsidRDefault="009F08C3" w:rsidP="00673A04">
      <w:pPr>
        <w:rPr>
          <w:rFonts w:cs="Arial"/>
          <w:b/>
          <w:bCs/>
        </w:rPr>
      </w:pPr>
      <w:r w:rsidRPr="00673A04">
        <w:rPr>
          <w:rFonts w:cs="Arial"/>
          <w:lang w:val="es-ES_tradnl"/>
        </w:rPr>
        <w:t xml:space="preserve">Así ante la manifestación del desistimiento expreso </w:t>
      </w:r>
      <w:r w:rsidRPr="00673A04">
        <w:rPr>
          <w:rFonts w:cs="Arial"/>
        </w:rPr>
        <w:t xml:space="preserve">es pertinente indicar que para que </w:t>
      </w:r>
      <w:r w:rsidRPr="00673A04">
        <w:rPr>
          <w:rFonts w:cs="Arial"/>
          <w:b/>
        </w:rPr>
        <w:t xml:space="preserve">LA PARTE RECURRENTE </w:t>
      </w:r>
      <w:r w:rsidRPr="00673A04">
        <w:rPr>
          <w:rFonts w:cs="Arial"/>
        </w:rPr>
        <w:t xml:space="preserve">pueda configurar de manera directa dicha figura, es necesario que ingrese al </w:t>
      </w:r>
      <w:r w:rsidRPr="00673A04">
        <w:rPr>
          <w:rFonts w:cs="Arial"/>
          <w:b/>
        </w:rPr>
        <w:t>SAIMEX</w:t>
      </w:r>
      <w:r w:rsidRPr="00673A04">
        <w:rPr>
          <w:rFonts w:cs="Arial"/>
        </w:rPr>
        <w:t xml:space="preserve"> mediante la utilización de su clave de usuario y contraseña, razón por la cual, no existe duda de que se trata de un </w:t>
      </w:r>
      <w:r w:rsidRPr="00673A04">
        <w:rPr>
          <w:rFonts w:cs="Arial"/>
          <w:b/>
          <w:bCs/>
        </w:rPr>
        <w:t>desistimiento expreso.</w:t>
      </w:r>
    </w:p>
    <w:p w14:paraId="31FEBF88" w14:textId="77777777" w:rsidR="009F08C3" w:rsidRPr="00673A04" w:rsidRDefault="009F08C3" w:rsidP="00673A04">
      <w:pPr>
        <w:rPr>
          <w:rFonts w:cs="Arial"/>
        </w:rPr>
      </w:pPr>
      <w:r w:rsidRPr="00673A04">
        <w:rPr>
          <w:rFonts w:cs="Arial"/>
        </w:rPr>
        <w:lastRenderedPageBreak/>
        <w:t xml:space="preserve">En ese orden de ideas, también es conveniente referir que la palabra desistir significa </w:t>
      </w:r>
      <w:r w:rsidRPr="00673A04">
        <w:rPr>
          <w:rFonts w:cs="Arial"/>
          <w:i/>
        </w:rPr>
        <w:t>“abdicar o abandonar un derecho o una acción procesal”</w:t>
      </w:r>
      <w:r w:rsidRPr="00673A04">
        <w:rPr>
          <w:rFonts w:cs="Arial"/>
        </w:rPr>
        <w:t>, tal y como lo señala el Diccionario de la Lengua Española</w:t>
      </w:r>
      <w:r w:rsidRPr="00673A04">
        <w:rPr>
          <w:rFonts w:cs="Arial"/>
          <w:vertAlign w:val="superscript"/>
        </w:rPr>
        <w:footnoteReference w:id="1"/>
      </w:r>
    </w:p>
    <w:p w14:paraId="00996AEE" w14:textId="77777777" w:rsidR="009F08C3" w:rsidRPr="00673A04" w:rsidRDefault="009F08C3" w:rsidP="00673A04">
      <w:pPr>
        <w:rPr>
          <w:rFonts w:cs="Arial"/>
        </w:rPr>
      </w:pPr>
    </w:p>
    <w:p w14:paraId="0DA344A8" w14:textId="77777777" w:rsidR="009F08C3" w:rsidRPr="00673A04" w:rsidRDefault="009F08C3" w:rsidP="00673A04">
      <w:pPr>
        <w:widowControl w:val="0"/>
        <w:autoSpaceDE w:val="0"/>
        <w:autoSpaceDN w:val="0"/>
        <w:adjustRightInd w:val="0"/>
        <w:rPr>
          <w:lang w:val="es-ES"/>
        </w:rPr>
      </w:pPr>
      <w:r w:rsidRPr="00673A04">
        <w:t>Ahora bien, en materia procesal, el desistimiento debe entenderse, de conformidad con el tratadista Cipriano Gómez Lara</w:t>
      </w:r>
      <w:r w:rsidRPr="00673A04">
        <w:rPr>
          <w:vertAlign w:val="superscript"/>
        </w:rPr>
        <w:footnoteReference w:id="2"/>
      </w:r>
      <w:r w:rsidRPr="00673A04">
        <w:t xml:space="preserve">, </w:t>
      </w:r>
      <w:r w:rsidRPr="00673A04">
        <w:rPr>
          <w:lang w:val="es-ES"/>
        </w:rPr>
        <w:t>como una renuncia procesal de derechos o de pretensiones.</w:t>
      </w:r>
    </w:p>
    <w:p w14:paraId="48234F3A" w14:textId="77777777" w:rsidR="009F08C3" w:rsidRPr="00673A04" w:rsidRDefault="009F08C3" w:rsidP="00673A04">
      <w:pPr>
        <w:rPr>
          <w:rFonts w:cs="Arial"/>
          <w:lang w:val="es-ES"/>
        </w:rPr>
      </w:pPr>
    </w:p>
    <w:p w14:paraId="027FC248" w14:textId="77777777" w:rsidR="009F08C3" w:rsidRPr="00673A04" w:rsidRDefault="009F08C3" w:rsidP="00673A04">
      <w:pPr>
        <w:widowControl w:val="0"/>
        <w:autoSpaceDE w:val="0"/>
        <w:autoSpaceDN w:val="0"/>
        <w:adjustRightInd w:val="0"/>
        <w:rPr>
          <w:rFonts w:cs="Arial"/>
        </w:rPr>
      </w:pPr>
      <w:r w:rsidRPr="00673A04">
        <w:t>Como apoyo de lo anterior, se cita la Tesis 211360. Tribunales Colegiados de Circuito. Octava Época. Semanario Judicial de la Federación. Tomo XIV, Julio de 1994, Pág. 547</w:t>
      </w:r>
      <w:r w:rsidRPr="00673A04">
        <w:rPr>
          <w:rFonts w:cs="Arial"/>
        </w:rPr>
        <w:t xml:space="preserve">, la cual refiere lo siguiente: </w:t>
      </w:r>
    </w:p>
    <w:p w14:paraId="0B61AC19" w14:textId="77777777" w:rsidR="009F08C3" w:rsidRPr="00673A04" w:rsidRDefault="009F08C3" w:rsidP="00673A04">
      <w:pPr>
        <w:rPr>
          <w:rFonts w:cs="Arial"/>
        </w:rPr>
      </w:pPr>
    </w:p>
    <w:p w14:paraId="3742A778" w14:textId="77777777" w:rsidR="009F08C3" w:rsidRPr="00673A04" w:rsidRDefault="009F08C3" w:rsidP="00673A04">
      <w:pPr>
        <w:tabs>
          <w:tab w:val="left" w:pos="851"/>
        </w:tabs>
        <w:spacing w:line="240" w:lineRule="auto"/>
        <w:ind w:left="851" w:right="901"/>
        <w:rPr>
          <w:rFonts w:cs="Arial"/>
          <w:i/>
        </w:rPr>
      </w:pPr>
      <w:r w:rsidRPr="00673A04">
        <w:rPr>
          <w:rFonts w:cs="Arial"/>
          <w:i/>
        </w:rPr>
        <w:t>“</w:t>
      </w:r>
      <w:r w:rsidRPr="00673A04">
        <w:rPr>
          <w:rFonts w:cs="Arial"/>
          <w:b/>
          <w:bCs/>
          <w:i/>
        </w:rPr>
        <w:t>DESISTIMIENTOS DE LA ACCION Y DE LA DEMANDA. DIFERENCIAS</w:t>
      </w:r>
      <w:r w:rsidRPr="00673A04">
        <w:rPr>
          <w:rFonts w:cs="Arial"/>
          <w:i/>
        </w:rPr>
        <w:t xml:space="preserve">. No es lo mismo desistir de la acción que de la demanda o instancia, ya que en el desistimiento de la demanda se pierden todos los derechos y </w:t>
      </w:r>
      <w:r w:rsidRPr="00673A04">
        <w:rPr>
          <w:rFonts w:cs="Arial"/>
          <w:i/>
          <w:szCs w:val="24"/>
        </w:rPr>
        <w:t>situaciones</w:t>
      </w:r>
      <w:r w:rsidRPr="00673A04">
        <w:rPr>
          <w:rFonts w:cs="Arial"/>
          <w:i/>
        </w:rPr>
        <w:t xml:space="preserve">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58F8A778" w14:textId="77777777" w:rsidR="009F08C3" w:rsidRPr="00673A04" w:rsidRDefault="009F08C3" w:rsidP="00673A04">
      <w:pPr>
        <w:tabs>
          <w:tab w:val="left" w:pos="851"/>
        </w:tabs>
        <w:spacing w:line="240" w:lineRule="auto"/>
        <w:ind w:left="851" w:right="901"/>
        <w:rPr>
          <w:rFonts w:cs="Arial"/>
          <w:i/>
        </w:rPr>
      </w:pPr>
    </w:p>
    <w:p w14:paraId="131F7379" w14:textId="77777777" w:rsidR="009F08C3" w:rsidRPr="00673A04" w:rsidRDefault="009F08C3" w:rsidP="00673A04">
      <w:pPr>
        <w:rPr>
          <w:rFonts w:cs="Arial"/>
        </w:rPr>
      </w:pPr>
      <w:r w:rsidRPr="00673A04">
        <w:rPr>
          <w:rFonts w:cs="Arial"/>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2915BB0" w14:textId="77777777" w:rsidR="009F08C3" w:rsidRPr="00673A04" w:rsidRDefault="009F08C3" w:rsidP="00673A04">
      <w:pPr>
        <w:rPr>
          <w:rFonts w:cs="Arial"/>
        </w:rPr>
      </w:pPr>
    </w:p>
    <w:p w14:paraId="389DAA5F" w14:textId="77777777" w:rsidR="009F08C3" w:rsidRPr="00673A04" w:rsidRDefault="009F08C3" w:rsidP="00673A04">
      <w:pPr>
        <w:pStyle w:val="Puesto"/>
        <w:rPr>
          <w:rFonts w:eastAsia="Times New Roman"/>
        </w:rPr>
      </w:pPr>
      <w:r w:rsidRPr="00673A04">
        <w:rPr>
          <w:rFonts w:eastAsia="Times New Roman"/>
        </w:rPr>
        <w:t>“</w:t>
      </w:r>
      <w:r w:rsidRPr="00673A04">
        <w:rPr>
          <w:rFonts w:eastAsia="Times New Roman"/>
          <w:b/>
        </w:rPr>
        <w:t>Artículo 192</w:t>
      </w:r>
      <w:r w:rsidRPr="00673A04">
        <w:rPr>
          <w:rFonts w:eastAsia="Times New Roman"/>
        </w:rPr>
        <w:t xml:space="preserve">. </w:t>
      </w:r>
      <w:r w:rsidRPr="00673A04">
        <w:rPr>
          <w:rFonts w:eastAsia="Times New Roman"/>
          <w:b/>
        </w:rPr>
        <w:t>El recurso será sobreseído</w:t>
      </w:r>
      <w:r w:rsidRPr="00673A04">
        <w:rPr>
          <w:rFonts w:eastAsia="Times New Roman"/>
        </w:rPr>
        <w:t>, en todo o en parte</w:t>
      </w:r>
      <w:r w:rsidRPr="00673A04">
        <w:rPr>
          <w:rFonts w:eastAsia="Times New Roman"/>
          <w:b/>
        </w:rPr>
        <w:t>, cuando una vez admitido</w:t>
      </w:r>
      <w:r w:rsidRPr="00673A04">
        <w:rPr>
          <w:rFonts w:eastAsia="Times New Roman"/>
        </w:rPr>
        <w:t>, se actualicen alguno de los siguientes supuestos:</w:t>
      </w:r>
    </w:p>
    <w:p w14:paraId="118344E5" w14:textId="77777777" w:rsidR="009F08C3" w:rsidRPr="00673A04" w:rsidRDefault="009F08C3" w:rsidP="00673A04"/>
    <w:p w14:paraId="139DC7F2" w14:textId="77777777" w:rsidR="009F08C3" w:rsidRPr="00673A04" w:rsidRDefault="009F08C3" w:rsidP="00673A04">
      <w:pPr>
        <w:pStyle w:val="Puesto"/>
        <w:rPr>
          <w:rFonts w:eastAsia="Times New Roman"/>
        </w:rPr>
      </w:pPr>
      <w:r w:rsidRPr="00673A04">
        <w:rPr>
          <w:rFonts w:eastAsia="Times New Roman"/>
          <w:b/>
          <w:u w:val="single"/>
        </w:rPr>
        <w:t>I. El recurrente se desista expresamente del recurso;</w:t>
      </w:r>
      <w:r w:rsidRPr="00673A04">
        <w:rPr>
          <w:rFonts w:eastAsia="Times New Roman"/>
        </w:rPr>
        <w:t>”</w:t>
      </w:r>
    </w:p>
    <w:p w14:paraId="32F5E0E5" w14:textId="77777777" w:rsidR="009F08C3" w:rsidRPr="00673A04" w:rsidRDefault="009F08C3" w:rsidP="00673A04">
      <w:pPr>
        <w:rPr>
          <w:rFonts w:cs="Arial"/>
          <w:i/>
        </w:rPr>
      </w:pPr>
    </w:p>
    <w:p w14:paraId="376295D1" w14:textId="77777777" w:rsidR="009F08C3" w:rsidRPr="00673A04" w:rsidRDefault="009F08C3" w:rsidP="00673A04">
      <w:pPr>
        <w:widowControl w:val="0"/>
        <w:autoSpaceDE w:val="0"/>
        <w:autoSpaceDN w:val="0"/>
        <w:adjustRightInd w:val="0"/>
        <w:rPr>
          <w:lang w:eastAsia="es-MX"/>
        </w:rPr>
      </w:pPr>
      <w:r w:rsidRPr="00673A04">
        <w:rPr>
          <w:rFonts w:cs="Arial"/>
        </w:rPr>
        <w:t xml:space="preserve">Derivado de lo anterior, es de referir que este Órgano Garante no se pronuncia sobre las razones o motivos de inconformidad expuestos por </w:t>
      </w:r>
      <w:r w:rsidRPr="00673A04">
        <w:rPr>
          <w:rFonts w:cs="Arial"/>
          <w:b/>
        </w:rPr>
        <w:t>LA PARTE RECURRENTE</w:t>
      </w:r>
      <w:r w:rsidRPr="00673A04">
        <w:rPr>
          <w:rFonts w:cs="Arial"/>
        </w:rPr>
        <w:t xml:space="preserve">, toda vez que se infiere que al desistirse voluntariamente el pasado </w:t>
      </w:r>
      <w:r w:rsidRPr="00673A04">
        <w:rPr>
          <w:rFonts w:cs="Arial"/>
          <w:b/>
        </w:rPr>
        <w:t>siete de mayo de dos mil veinticuatro</w:t>
      </w:r>
      <w:r w:rsidRPr="00673A04">
        <w:rPr>
          <w:rFonts w:cs="Arial"/>
        </w:rPr>
        <w:t xml:space="preserve">, </w:t>
      </w:r>
      <w:bookmarkStart w:id="37" w:name="_Toc194584238"/>
      <w:r w:rsidRPr="00673A04">
        <w:t xml:space="preserve">siendo aplicable </w:t>
      </w:r>
      <w:r w:rsidRPr="00673A04">
        <w:rPr>
          <w:rFonts w:eastAsia="Calibri"/>
          <w:lang w:eastAsia="en-US"/>
        </w:rPr>
        <w:t xml:space="preserve">la jurisprudencia de la décima época </w:t>
      </w:r>
      <w:r w:rsidRPr="00673A04">
        <w:rPr>
          <w:lang w:eastAsia="es-MX"/>
        </w:rPr>
        <w:t>visible en el Semanario Judicial de la Federación y su Gaceta. Instancia: Segunda Sala. Tesis 2a./J. 82/2016 (10a.) bajo el número de registro 2012059 cuyo rubro y texto esgrime:</w:t>
      </w:r>
    </w:p>
    <w:p w14:paraId="5C1A317D" w14:textId="77777777" w:rsidR="009F08C3" w:rsidRPr="00673A04" w:rsidRDefault="009F08C3" w:rsidP="00673A04">
      <w:pPr>
        <w:widowControl w:val="0"/>
        <w:autoSpaceDE w:val="0"/>
        <w:autoSpaceDN w:val="0"/>
        <w:adjustRightInd w:val="0"/>
        <w:rPr>
          <w:rFonts w:eastAsia="Calibri"/>
          <w:lang w:eastAsia="en-US"/>
        </w:rPr>
      </w:pPr>
    </w:p>
    <w:p w14:paraId="73E97BF2" w14:textId="77777777" w:rsidR="009F08C3" w:rsidRPr="00673A04" w:rsidRDefault="009F08C3" w:rsidP="00673A04">
      <w:pPr>
        <w:pStyle w:val="Puesto"/>
        <w:rPr>
          <w:b/>
          <w:bCs/>
          <w:lang w:eastAsia="es-MX"/>
        </w:rPr>
      </w:pPr>
      <w:r w:rsidRPr="00673A04">
        <w:rPr>
          <w:lang w:eastAsia="es-MX"/>
        </w:rPr>
        <w:t>“</w:t>
      </w:r>
      <w:r w:rsidRPr="00673A04">
        <w:rPr>
          <w:b/>
          <w:bCs/>
          <w:lang w:eastAsia="es-MX"/>
        </w:rPr>
        <w:t>DESISTIMIENTO DE LA ACCIÓN DE AMPARO. SUS CONSECUENCIAS.</w:t>
      </w:r>
    </w:p>
    <w:p w14:paraId="5F44F690" w14:textId="77777777" w:rsidR="009F08C3" w:rsidRPr="00673A04" w:rsidRDefault="009F08C3" w:rsidP="00673A04">
      <w:pPr>
        <w:pStyle w:val="Puesto"/>
        <w:rPr>
          <w:lang w:eastAsia="es-MX"/>
        </w:rPr>
      </w:pPr>
      <w:r w:rsidRPr="00673A04">
        <w:rPr>
          <w:rFonts w:cs="Arial"/>
        </w:rPr>
        <w:t xml:space="preserve">El desistimiento de la acción de amparo consiste en la declaración de voluntad del quejoso de no proseguir con el juicio, el cual, debidamente ratificado, conlleva emitir una resolución con la que finaliza la instancia de amparo, independientemente de la etapa en que se </w:t>
      </w:r>
      <w:r w:rsidRPr="00673A04">
        <w:rPr>
          <w:rFonts w:cs="Arial"/>
          <w:b/>
          <w:bCs/>
        </w:rPr>
        <w:t>encuentre (desde el inicio del juicio hasta antes de que cause ejecutoria la sentencia que se dicte) y sin necesidad de examinar los conceptos de violación o, en su caso, los agravios</w:t>
      </w:r>
      <w:r w:rsidRPr="00673A04">
        <w:rPr>
          <w:rFonts w:cs="Arial"/>
        </w:rPr>
        <w:t>.</w:t>
      </w:r>
      <w:r w:rsidRPr="00673A04">
        <w:rPr>
          <w:lang w:eastAsia="es-MX"/>
        </w:rPr>
        <w:t>” (sic)</w:t>
      </w:r>
    </w:p>
    <w:p w14:paraId="516E9D9D" w14:textId="77777777" w:rsidR="009F08C3" w:rsidRPr="00673A04" w:rsidRDefault="009F08C3" w:rsidP="00673A04">
      <w:pPr>
        <w:rPr>
          <w:rFonts w:cs="Arial"/>
          <w:b/>
        </w:rPr>
      </w:pPr>
    </w:p>
    <w:p w14:paraId="717E9DF4" w14:textId="77777777" w:rsidR="009F08C3" w:rsidRPr="00673A04" w:rsidRDefault="009F08C3" w:rsidP="00673A04">
      <w:pPr>
        <w:tabs>
          <w:tab w:val="left" w:pos="709"/>
        </w:tabs>
        <w:ind w:right="51"/>
        <w:rPr>
          <w:rFonts w:eastAsia="Calibri"/>
          <w:lang w:eastAsia="en-US"/>
        </w:rPr>
      </w:pPr>
      <w:r w:rsidRPr="00673A04">
        <w:rPr>
          <w:rFonts w:eastAsia="Calibri"/>
          <w:lang w:eastAsia="en-US"/>
        </w:rPr>
        <w:t xml:space="preserve">De lo anteriormente citado, se concluye que la manifestación de la voluntad del </w:t>
      </w:r>
      <w:r w:rsidRPr="00673A04">
        <w:rPr>
          <w:rFonts w:eastAsia="Calibri"/>
          <w:b/>
          <w:lang w:eastAsia="en-US"/>
        </w:rPr>
        <w:t>RECURRENTE</w:t>
      </w:r>
      <w:r w:rsidRPr="00673A04">
        <w:rPr>
          <w:rFonts w:eastAsia="Calibri"/>
          <w:lang w:eastAsia="en-US"/>
        </w:rPr>
        <w:t xml:space="preserve"> respecto a desistirse de la acción ejercida, por lo que acepta de manera expresa que el procedimiento concluya sin provocar consecuencias de derecho; asimismo, como lo señala la tesis aislada antes referida, el desistimiento del recurso por parte del actor genera que el Órgano Garante no entra al análisis de los planteamientos señalados en la Litis y únicamente realizar el análisis respecto a las actuaciones que subsistan, sin necesidad de examinar los agravios planteados.</w:t>
      </w:r>
    </w:p>
    <w:p w14:paraId="48EAC46E" w14:textId="77777777" w:rsidR="009F08C3" w:rsidRPr="00673A04" w:rsidRDefault="009F08C3" w:rsidP="00673A04">
      <w:pPr>
        <w:rPr>
          <w:rFonts w:cs="Arial"/>
          <w:b/>
        </w:rPr>
      </w:pPr>
    </w:p>
    <w:p w14:paraId="0C3DC4A2" w14:textId="5E893978" w:rsidR="009F08C3" w:rsidRPr="00673A04" w:rsidRDefault="009F08C3" w:rsidP="00673A04">
      <w:pPr>
        <w:rPr>
          <w:rFonts w:cs="Arial"/>
          <w:b/>
        </w:rPr>
      </w:pPr>
      <w:r w:rsidRPr="00673A04">
        <w:rPr>
          <w:rFonts w:cs="Arial"/>
          <w:b/>
        </w:rPr>
        <w:t>d) Conclusión</w:t>
      </w:r>
      <w:bookmarkEnd w:id="37"/>
    </w:p>
    <w:p w14:paraId="38AD2F4D" w14:textId="77777777" w:rsidR="009F08C3" w:rsidRPr="00673A04" w:rsidRDefault="009F08C3" w:rsidP="00673A04">
      <w:pPr>
        <w:rPr>
          <w:rFonts w:cs="Arial"/>
        </w:rPr>
      </w:pPr>
      <w:r w:rsidRPr="00673A04">
        <w:rPr>
          <w:rFonts w:cs="Arial"/>
        </w:rPr>
        <w:t xml:space="preserve">De lo anteriormente citado, se concluye que la manifestación de la voluntad de </w:t>
      </w:r>
      <w:r w:rsidRPr="00673A04">
        <w:rPr>
          <w:rFonts w:cs="Arial"/>
          <w:b/>
        </w:rPr>
        <w:t>LA PARTE</w:t>
      </w:r>
      <w:r w:rsidRPr="00673A04">
        <w:rPr>
          <w:rFonts w:cs="Arial"/>
        </w:rPr>
        <w:t xml:space="preserve"> </w:t>
      </w:r>
      <w:r w:rsidRPr="00673A04">
        <w:rPr>
          <w:rFonts w:cs="Arial"/>
          <w:b/>
        </w:rPr>
        <w:t>RECURRENTE</w:t>
      </w:r>
      <w:r w:rsidRPr="00673A04">
        <w:rPr>
          <w:rFonts w:cs="Arial"/>
        </w:rPr>
        <w:t xml:space="preserve"> es desistirse de la pretensión plasmada, por lo que acepta que el procedimiento concluya sin provocar consecuencias de derecho; al mismo tiempo genera que </w:t>
      </w:r>
      <w:r w:rsidRPr="00673A04">
        <w:rPr>
          <w:rFonts w:cs="Arial"/>
        </w:rPr>
        <w:lastRenderedPageBreak/>
        <w:t>este Órgano Garante no ingrese al análisis de los planteamientos señalados en la Litis, y únicamente realice el análisis respecto a las actuaciones que subsistan, sin necesidad de examinar los agravios planteados.</w:t>
      </w:r>
    </w:p>
    <w:p w14:paraId="66FC7C81" w14:textId="77777777" w:rsidR="009F08C3" w:rsidRPr="00673A04" w:rsidRDefault="009F08C3" w:rsidP="00673A04">
      <w:pPr>
        <w:rPr>
          <w:rFonts w:cs="Arial"/>
          <w:bCs/>
        </w:rPr>
      </w:pPr>
    </w:p>
    <w:p w14:paraId="0197C957" w14:textId="77777777" w:rsidR="00EE7964" w:rsidRPr="00673A04" w:rsidRDefault="00EE7964" w:rsidP="00673A04">
      <w:pPr>
        <w:pStyle w:val="Ttulo3"/>
      </w:pPr>
      <w:bookmarkStart w:id="38" w:name="_Toc198750434"/>
      <w:r w:rsidRPr="00673A04">
        <w:t>d) Conclusión</w:t>
      </w:r>
      <w:bookmarkEnd w:id="38"/>
    </w:p>
    <w:p w14:paraId="3713AFCD" w14:textId="068C080B" w:rsidR="00EE7964" w:rsidRPr="00673A04" w:rsidRDefault="00EE7964" w:rsidP="00673A04">
      <w:pPr>
        <w:rPr>
          <w:rFonts w:cs="Arial"/>
          <w:szCs w:val="28"/>
          <w:lang w:val="es-ES"/>
        </w:rPr>
      </w:pPr>
      <w:r w:rsidRPr="00673A04">
        <w:t xml:space="preserve">Derivado de lo anterior, este Órgano Garante determina que se actualiza la causal de sobreseimiento establecida en el artículo 192, fracción </w:t>
      </w:r>
      <w:r w:rsidR="009F08C3" w:rsidRPr="00673A04">
        <w:t>I</w:t>
      </w:r>
      <w:r w:rsidRPr="00673A04">
        <w:t xml:space="preserve"> de la Ley de Transparencia y Acceso a la Información Pública del Estado de México y Municipios; al </w:t>
      </w:r>
      <w:r w:rsidR="00281DF3" w:rsidRPr="00673A04">
        <w:t xml:space="preserve">haberse desistido </w:t>
      </w:r>
      <w:r w:rsidR="00281DF3" w:rsidRPr="00673A04">
        <w:rPr>
          <w:b/>
          <w:bCs/>
        </w:rPr>
        <w:t>LA PARTE RECURRENTE</w:t>
      </w:r>
      <w:r w:rsidRPr="00673A04">
        <w:rPr>
          <w:rFonts w:cs="Arial"/>
          <w:szCs w:val="28"/>
          <w:lang w:val="es-ES"/>
        </w:rPr>
        <w:t xml:space="preserve">. </w:t>
      </w:r>
    </w:p>
    <w:p w14:paraId="094C10DC" w14:textId="77777777" w:rsidR="00EE7964" w:rsidRPr="00673A04" w:rsidRDefault="00EE7964" w:rsidP="00673A04">
      <w:pPr>
        <w:rPr>
          <w:rFonts w:cs="Arial"/>
        </w:rPr>
      </w:pPr>
    </w:p>
    <w:p w14:paraId="462F8E81" w14:textId="77777777" w:rsidR="00EE7964" w:rsidRPr="00673A04" w:rsidRDefault="00EE7964" w:rsidP="00673A04">
      <w:pPr>
        <w:widowControl w:val="0"/>
        <w:autoSpaceDE w:val="0"/>
        <w:autoSpaceDN w:val="0"/>
        <w:adjustRightInd w:val="0"/>
        <w:rPr>
          <w:rFonts w:eastAsia="Calibri" w:cs="Arial"/>
        </w:rPr>
      </w:pPr>
      <w:r w:rsidRPr="00673A04">
        <w:t xml:space="preserve">En consecuencia, se </w:t>
      </w:r>
      <w:r w:rsidRPr="00673A04">
        <w:rPr>
          <w:rFonts w:cs="Arial"/>
          <w:lang w:val="es-ES_tradnl"/>
        </w:rPr>
        <w:t xml:space="preserve">determina </w:t>
      </w:r>
      <w:r w:rsidRPr="00673A04">
        <w:rPr>
          <w:rFonts w:cs="Arial"/>
          <w:b/>
          <w:lang w:val="es-ES_tradnl"/>
        </w:rPr>
        <w:t>SOBRESEER</w:t>
      </w:r>
      <w:r w:rsidRPr="00673A04">
        <w:rPr>
          <w:rFonts w:cs="Arial"/>
          <w:lang w:val="es-ES_tradnl"/>
        </w:rPr>
        <w:t xml:space="preserve"> el presente Recurso de Revisión, en </w:t>
      </w:r>
      <w:r w:rsidRPr="00673A04">
        <w:rPr>
          <w:bCs/>
        </w:rPr>
        <w:t>términos</w:t>
      </w:r>
      <w:r w:rsidRPr="00673A04">
        <w:rPr>
          <w:rFonts w:cs="Arial"/>
          <w:lang w:val="es-ES_tradnl"/>
        </w:rPr>
        <w:t xml:space="preserve"> del artículo 186, fracción I, de la </w:t>
      </w:r>
      <w:r w:rsidRPr="00673A04">
        <w:rPr>
          <w:rFonts w:eastAsia="Calibri" w:cs="Arial"/>
        </w:rPr>
        <w:t>Ley de Transparencia y Acceso a la Información Pública del Estado de México y Municipios:</w:t>
      </w:r>
    </w:p>
    <w:p w14:paraId="297AC8C0" w14:textId="77777777" w:rsidR="00EE7964" w:rsidRPr="00673A04" w:rsidRDefault="00EE7964" w:rsidP="00673A04">
      <w:pPr>
        <w:widowControl w:val="0"/>
        <w:autoSpaceDE w:val="0"/>
        <w:autoSpaceDN w:val="0"/>
        <w:adjustRightInd w:val="0"/>
        <w:rPr>
          <w:rFonts w:eastAsia="Calibri" w:cs="Arial"/>
        </w:rPr>
      </w:pPr>
    </w:p>
    <w:p w14:paraId="66743814" w14:textId="77777777" w:rsidR="00EE7964" w:rsidRPr="00673A04" w:rsidRDefault="00EE7964" w:rsidP="00673A04">
      <w:pPr>
        <w:pStyle w:val="Puesto"/>
        <w:rPr>
          <w:b/>
        </w:rPr>
      </w:pPr>
      <w:r w:rsidRPr="00673A04">
        <w:t>“</w:t>
      </w:r>
      <w:r w:rsidRPr="00673A04">
        <w:rPr>
          <w:b/>
        </w:rPr>
        <w:t xml:space="preserve">Artículo 186. Las resoluciones del Instituto podrán: </w:t>
      </w:r>
    </w:p>
    <w:p w14:paraId="1398384D" w14:textId="77777777" w:rsidR="00EE7964" w:rsidRPr="00673A04" w:rsidRDefault="00EE7964" w:rsidP="00673A04">
      <w:pPr>
        <w:pStyle w:val="Puesto"/>
      </w:pPr>
      <w:r w:rsidRPr="00673A04">
        <w:t xml:space="preserve">I. Desechar o </w:t>
      </w:r>
      <w:r w:rsidRPr="00673A04">
        <w:rPr>
          <w:b/>
        </w:rPr>
        <w:t>sobreseer el recurso;”</w:t>
      </w:r>
      <w:r w:rsidRPr="00673A04">
        <w:t xml:space="preserve"> </w:t>
      </w:r>
    </w:p>
    <w:p w14:paraId="51B49E10" w14:textId="77777777" w:rsidR="00EE7964" w:rsidRPr="00673A04" w:rsidRDefault="00EE7964" w:rsidP="00673A04">
      <w:pPr>
        <w:pStyle w:val="Puesto"/>
      </w:pPr>
      <w:r w:rsidRPr="00673A04">
        <w:t>(Énfasis añadido)</w:t>
      </w:r>
    </w:p>
    <w:p w14:paraId="1920BF94" w14:textId="77777777" w:rsidR="00EE7964" w:rsidRPr="00673A04" w:rsidRDefault="00EE7964" w:rsidP="00673A04">
      <w:pPr>
        <w:ind w:right="-93"/>
        <w:rPr>
          <w:rFonts w:cs="Tahoma"/>
          <w:bCs/>
          <w:szCs w:val="22"/>
        </w:rPr>
      </w:pPr>
    </w:p>
    <w:p w14:paraId="1BE784C2" w14:textId="1BDCC45F" w:rsidR="00393779" w:rsidRPr="00393779" w:rsidRDefault="00EE7964" w:rsidP="00393779">
      <w:pPr>
        <w:ind w:right="-93"/>
        <w:rPr>
          <w:rFonts w:cs="Tahoma"/>
          <w:bCs/>
          <w:szCs w:val="22"/>
        </w:rPr>
      </w:pPr>
      <w:r w:rsidRPr="00673A04">
        <w:rPr>
          <w:rFonts w:cs="Tahoma"/>
          <w:bCs/>
          <w:szCs w:val="22"/>
        </w:rPr>
        <w:t xml:space="preserve">Así, con fundamento en lo establecido en los artículos 5, párrafos </w:t>
      </w:r>
      <w:r w:rsidRPr="00673A04">
        <w:t>trigésimo séptimo, trigésimo octavo, trigésimo noveno, fracciones IV y V</w:t>
      </w:r>
      <w:r w:rsidRPr="00673A0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7045605" w14:textId="77777777" w:rsidR="00EE7964" w:rsidRPr="00673A04" w:rsidRDefault="00EE7964" w:rsidP="00673A04">
      <w:pPr>
        <w:pStyle w:val="Ttulo1"/>
      </w:pPr>
      <w:bookmarkStart w:id="39" w:name="_Toc198750435"/>
      <w:r w:rsidRPr="00673A04">
        <w:t>RESUELVE</w:t>
      </w:r>
      <w:bookmarkEnd w:id="39"/>
    </w:p>
    <w:p w14:paraId="6C64D2B5" w14:textId="77777777" w:rsidR="00EE7964" w:rsidRPr="00673A04" w:rsidRDefault="00EE7964" w:rsidP="00673A04">
      <w:pPr>
        <w:ind w:right="113"/>
        <w:rPr>
          <w:rFonts w:cs="Arial"/>
          <w:b/>
          <w:szCs w:val="22"/>
        </w:rPr>
      </w:pPr>
    </w:p>
    <w:p w14:paraId="39259036" w14:textId="30A17A9D" w:rsidR="00281DF3" w:rsidRPr="00673A04" w:rsidRDefault="00281DF3" w:rsidP="00673A04">
      <w:pPr>
        <w:ind w:right="113"/>
        <w:rPr>
          <w:szCs w:val="22"/>
        </w:rPr>
      </w:pPr>
      <w:r w:rsidRPr="00673A04">
        <w:rPr>
          <w:b/>
          <w:bCs/>
          <w:szCs w:val="22"/>
        </w:rPr>
        <w:t>PRIMERO</w:t>
      </w:r>
      <w:r w:rsidRPr="00673A04">
        <w:rPr>
          <w:szCs w:val="22"/>
        </w:rPr>
        <w:t xml:space="preserve">. Se </w:t>
      </w:r>
      <w:r w:rsidRPr="00673A04">
        <w:rPr>
          <w:b/>
          <w:bCs/>
          <w:szCs w:val="22"/>
        </w:rPr>
        <w:t>SOBRESEE</w:t>
      </w:r>
      <w:r w:rsidRPr="00673A04">
        <w:rPr>
          <w:szCs w:val="22"/>
        </w:rPr>
        <w:t xml:space="preserve"> el Recurso de Revisión número </w:t>
      </w:r>
      <w:r w:rsidRPr="00673A04">
        <w:rPr>
          <w:b/>
          <w:bCs/>
          <w:szCs w:val="22"/>
        </w:rPr>
        <w:t>04042/INFOEM/IP/RR/2025</w:t>
      </w:r>
      <w:r w:rsidRPr="00673A04">
        <w:rPr>
          <w:szCs w:val="22"/>
        </w:rPr>
        <w:t xml:space="preserve">, en </w:t>
      </w:r>
      <w:r w:rsidRPr="00673A04">
        <w:rPr>
          <w:rFonts w:cs="Arial"/>
          <w:szCs w:val="22"/>
        </w:rPr>
        <w:t>términos</w:t>
      </w:r>
      <w:r w:rsidRPr="00673A04">
        <w:rPr>
          <w:szCs w:val="22"/>
        </w:rPr>
        <w:t xml:space="preserve"> de lo establecido en el artículo 192 fracción I de la Ley de Transparencia y Acceso a </w:t>
      </w:r>
      <w:r w:rsidRPr="00673A04">
        <w:rPr>
          <w:szCs w:val="22"/>
        </w:rPr>
        <w:lastRenderedPageBreak/>
        <w:t xml:space="preserve">la Información Pública del Estado de México y Municipios, </w:t>
      </w:r>
      <w:r w:rsidRPr="00673A04">
        <w:rPr>
          <w:b/>
          <w:bCs/>
          <w:szCs w:val="22"/>
        </w:rPr>
        <w:t>por haberse desistido expresamente LA PARTE RECURRENTE</w:t>
      </w:r>
      <w:r w:rsidRPr="00673A04">
        <w:rPr>
          <w:szCs w:val="22"/>
        </w:rPr>
        <w:t xml:space="preserve">, en términos del Considerando </w:t>
      </w:r>
      <w:r w:rsidRPr="00673A04">
        <w:rPr>
          <w:b/>
          <w:bCs/>
          <w:szCs w:val="22"/>
        </w:rPr>
        <w:t>SEGUNDO</w:t>
      </w:r>
      <w:r w:rsidRPr="00673A04">
        <w:rPr>
          <w:szCs w:val="22"/>
        </w:rPr>
        <w:t xml:space="preserve"> de la presente resolución.</w:t>
      </w:r>
    </w:p>
    <w:p w14:paraId="24699B00" w14:textId="77777777" w:rsidR="00EE7964" w:rsidRPr="00673A04" w:rsidRDefault="00EE7964" w:rsidP="00673A04">
      <w:pPr>
        <w:pStyle w:val="Prrafodelista"/>
        <w:ind w:left="0"/>
        <w:rPr>
          <w:rFonts w:cs="Arial"/>
          <w:szCs w:val="22"/>
        </w:rPr>
      </w:pPr>
    </w:p>
    <w:p w14:paraId="026C0494" w14:textId="77777777" w:rsidR="00EE7964" w:rsidRPr="00673A04" w:rsidRDefault="00EE7964" w:rsidP="00673A04">
      <w:pPr>
        <w:ind w:right="113"/>
        <w:rPr>
          <w:rFonts w:cs="Arial"/>
          <w:bCs/>
          <w:szCs w:val="22"/>
        </w:rPr>
      </w:pPr>
      <w:r w:rsidRPr="00673A04">
        <w:rPr>
          <w:rFonts w:cs="Arial"/>
          <w:b/>
          <w:bCs/>
          <w:szCs w:val="22"/>
        </w:rPr>
        <w:t>SEGUNDO. Notifíquese vía SAIMEX</w:t>
      </w:r>
      <w:r w:rsidRPr="00673A04">
        <w:rPr>
          <w:rFonts w:cs="Arial"/>
          <w:bCs/>
          <w:szCs w:val="22"/>
        </w:rPr>
        <w:t xml:space="preserve"> la presente resolución al Titular de la Unidad de Transparencia del </w:t>
      </w:r>
      <w:r w:rsidRPr="00673A04">
        <w:rPr>
          <w:rFonts w:cs="Arial"/>
          <w:b/>
          <w:bCs/>
          <w:szCs w:val="22"/>
        </w:rPr>
        <w:t>SUJETO OBLIGADO</w:t>
      </w:r>
      <w:r w:rsidRPr="00673A04">
        <w:rPr>
          <w:rFonts w:cs="Arial"/>
          <w:bCs/>
          <w:szCs w:val="22"/>
        </w:rPr>
        <w:t xml:space="preserve"> para su conocimiento.</w:t>
      </w:r>
    </w:p>
    <w:p w14:paraId="04F85060" w14:textId="77777777" w:rsidR="00EE7964" w:rsidRPr="00673A04" w:rsidRDefault="00EE7964" w:rsidP="00673A04">
      <w:pPr>
        <w:widowControl w:val="0"/>
        <w:autoSpaceDE w:val="0"/>
        <w:autoSpaceDN w:val="0"/>
        <w:adjustRightInd w:val="0"/>
        <w:rPr>
          <w:rFonts w:cs="Arial"/>
          <w:szCs w:val="22"/>
        </w:rPr>
      </w:pPr>
    </w:p>
    <w:p w14:paraId="4530259B" w14:textId="77777777" w:rsidR="00EE7964" w:rsidRPr="00673A04" w:rsidRDefault="00EE7964" w:rsidP="00673A04">
      <w:pPr>
        <w:pStyle w:val="Prrafodelista"/>
        <w:ind w:left="0"/>
        <w:rPr>
          <w:rFonts w:cs="Arial"/>
          <w:szCs w:val="22"/>
        </w:rPr>
      </w:pPr>
      <w:r w:rsidRPr="00673A04">
        <w:rPr>
          <w:rFonts w:cs="Arial"/>
          <w:b/>
          <w:szCs w:val="22"/>
        </w:rPr>
        <w:t xml:space="preserve">TERCERO. </w:t>
      </w:r>
      <w:r w:rsidRPr="00673A04">
        <w:rPr>
          <w:b/>
          <w:szCs w:val="22"/>
          <w:lang w:eastAsia="es-ES_tradnl"/>
        </w:rPr>
        <w:t>Notifíquese</w:t>
      </w:r>
      <w:r w:rsidRPr="00673A04">
        <w:rPr>
          <w:szCs w:val="22"/>
          <w:lang w:eastAsia="es-ES_tradnl"/>
        </w:rPr>
        <w:t xml:space="preserve"> a </w:t>
      </w:r>
      <w:r w:rsidRPr="00673A04">
        <w:rPr>
          <w:rFonts w:eastAsiaTheme="minorHAnsi" w:cs="Tahoma"/>
          <w:b/>
          <w:iCs/>
          <w:szCs w:val="22"/>
          <w:lang w:eastAsia="en-US"/>
        </w:rPr>
        <w:t>LA PARTE RECURRENTE</w:t>
      </w:r>
      <w:r w:rsidRPr="00673A04">
        <w:rPr>
          <w:rFonts w:eastAsiaTheme="minorHAnsi" w:cs="Tahoma"/>
          <w:bCs/>
          <w:iCs/>
          <w:szCs w:val="22"/>
          <w:lang w:eastAsia="en-US"/>
        </w:rPr>
        <w:t xml:space="preserve"> </w:t>
      </w:r>
      <w:r w:rsidRPr="00673A04">
        <w:rPr>
          <w:szCs w:val="22"/>
          <w:lang w:eastAsia="es-ES_tradnl"/>
        </w:rPr>
        <w:t xml:space="preserve">la presente resolución vía </w:t>
      </w:r>
      <w:r w:rsidRPr="00673A04">
        <w:rPr>
          <w:rFonts w:cs="Arial"/>
          <w:szCs w:val="22"/>
        </w:rPr>
        <w:t xml:space="preserve">Sistema de Acceso a la Información Mexiquense </w:t>
      </w:r>
      <w:r w:rsidRPr="00673A04">
        <w:rPr>
          <w:rFonts w:cs="Arial"/>
          <w:b/>
          <w:bCs/>
          <w:szCs w:val="22"/>
        </w:rPr>
        <w:t>SAIMEX</w:t>
      </w:r>
      <w:r w:rsidRPr="00673A04">
        <w:rPr>
          <w:rFonts w:cs="Arial"/>
          <w:szCs w:val="22"/>
        </w:rPr>
        <w:t>.</w:t>
      </w:r>
    </w:p>
    <w:p w14:paraId="631F74A7" w14:textId="77777777" w:rsidR="00EE7964" w:rsidRPr="00673A04" w:rsidRDefault="00EE7964" w:rsidP="00673A04">
      <w:pPr>
        <w:pStyle w:val="Prrafodelista"/>
        <w:ind w:left="0"/>
        <w:rPr>
          <w:b/>
          <w:szCs w:val="22"/>
          <w:lang w:eastAsia="es-ES_tradnl"/>
        </w:rPr>
      </w:pPr>
    </w:p>
    <w:p w14:paraId="48CB14EB" w14:textId="77777777" w:rsidR="00EE7964" w:rsidRDefault="00EE7964" w:rsidP="00673A04">
      <w:pPr>
        <w:pStyle w:val="Prrafodelista"/>
        <w:ind w:left="0"/>
        <w:rPr>
          <w:szCs w:val="22"/>
          <w:lang w:eastAsia="es-ES_tradnl"/>
        </w:rPr>
      </w:pPr>
      <w:r w:rsidRPr="00673A04">
        <w:rPr>
          <w:rFonts w:cs="Arial"/>
          <w:b/>
          <w:szCs w:val="22"/>
        </w:rPr>
        <w:t xml:space="preserve">CUARTO. </w:t>
      </w:r>
      <w:r w:rsidRPr="00673A04">
        <w:rPr>
          <w:b/>
          <w:szCs w:val="22"/>
          <w:lang w:eastAsia="es-ES_tradnl"/>
        </w:rPr>
        <w:t>Hágase</w:t>
      </w:r>
      <w:r w:rsidRPr="00673A04">
        <w:rPr>
          <w:szCs w:val="22"/>
          <w:lang w:eastAsia="es-ES_tradnl"/>
        </w:rPr>
        <w:t xml:space="preserve"> </w:t>
      </w:r>
      <w:r w:rsidRPr="00673A04">
        <w:rPr>
          <w:b/>
          <w:szCs w:val="22"/>
          <w:lang w:eastAsia="es-ES_tradnl"/>
        </w:rPr>
        <w:t xml:space="preserve">del </w:t>
      </w:r>
      <w:r w:rsidRPr="00673A04">
        <w:rPr>
          <w:b/>
          <w:szCs w:val="22"/>
        </w:rPr>
        <w:t>conocimiento</w:t>
      </w:r>
      <w:r w:rsidRPr="00673A04">
        <w:rPr>
          <w:b/>
          <w:szCs w:val="22"/>
          <w:lang w:eastAsia="es-ES_tradnl"/>
        </w:rPr>
        <w:t xml:space="preserve"> </w:t>
      </w:r>
      <w:r w:rsidRPr="00673A04">
        <w:rPr>
          <w:szCs w:val="22"/>
          <w:lang w:eastAsia="es-ES_tradnl"/>
        </w:rPr>
        <w:t xml:space="preserve">de </w:t>
      </w:r>
      <w:r w:rsidRPr="00673A04">
        <w:rPr>
          <w:rFonts w:eastAsiaTheme="minorHAnsi" w:cs="Tahoma"/>
          <w:b/>
          <w:iCs/>
          <w:szCs w:val="22"/>
          <w:lang w:eastAsia="en-US"/>
        </w:rPr>
        <w:t>LA PARTE RECURRENTE</w:t>
      </w:r>
      <w:r w:rsidRPr="00673A04">
        <w:rPr>
          <w:szCs w:val="22"/>
          <w:lang w:eastAsia="es-ES_tradnl"/>
        </w:rPr>
        <w:t xml:space="preserve">, que de </w:t>
      </w:r>
      <w:r w:rsidRPr="00673A04">
        <w:rPr>
          <w:szCs w:val="22"/>
        </w:rPr>
        <w:t>conformidad</w:t>
      </w:r>
      <w:r w:rsidRPr="00673A04">
        <w:rPr>
          <w:szCs w:val="22"/>
          <w:lang w:eastAsia="es-ES_tradnl"/>
        </w:rPr>
        <w:t xml:space="preserve"> </w:t>
      </w:r>
      <w:r w:rsidRPr="00673A04">
        <w:rPr>
          <w:rFonts w:cs="Arial"/>
          <w:szCs w:val="22"/>
        </w:rPr>
        <w:t>con</w:t>
      </w:r>
      <w:r w:rsidRPr="00673A04">
        <w:rPr>
          <w:szCs w:val="22"/>
          <w:lang w:eastAsia="es-ES_tradnl"/>
        </w:rPr>
        <w:t xml:space="preserve"> lo </w:t>
      </w:r>
      <w:r w:rsidRPr="00673A04">
        <w:rPr>
          <w:rFonts w:cs="Arial"/>
          <w:szCs w:val="22"/>
        </w:rPr>
        <w:t>establecido</w:t>
      </w:r>
      <w:r w:rsidRPr="00673A04">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673A04" w:rsidRDefault="00EE7964" w:rsidP="00673A04">
      <w:pPr>
        <w:rPr>
          <w:rFonts w:cs="Arial"/>
        </w:rPr>
      </w:pPr>
    </w:p>
    <w:p w14:paraId="35066B95" w14:textId="49C4A429" w:rsidR="009216AE" w:rsidRPr="00673A04" w:rsidRDefault="009216AE" w:rsidP="00673A04">
      <w:r w:rsidRPr="00673A0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DE MAYO DE DOS MIL VEINTICINCO ANTE EL SECRETARIO TÉCNICO DEL PLENO, ALEXIS TAPIA RAMÍREZ.</w:t>
      </w:r>
    </w:p>
    <w:p w14:paraId="1DA361E5" w14:textId="3DE9A4CA" w:rsidR="00D85CEA" w:rsidRPr="00673A04" w:rsidRDefault="009C04A8" w:rsidP="00673A04">
      <w:pPr>
        <w:ind w:right="-93"/>
        <w:rPr>
          <w:rFonts w:eastAsia="Palatino Linotype" w:cs="Palatino Linotype"/>
          <w:sz w:val="20"/>
        </w:rPr>
      </w:pPr>
      <w:r w:rsidRPr="00673A04">
        <w:rPr>
          <w:rFonts w:eastAsia="Palatino Linotype" w:cs="Palatino Linotype"/>
          <w:sz w:val="20"/>
        </w:rPr>
        <w:t>SCMM/AGZ/DEMF/RPG</w:t>
      </w:r>
      <w:r w:rsidR="00D85CEA" w:rsidRPr="00673A04">
        <w:rPr>
          <w:rFonts w:eastAsia="Palatino Linotype" w:cs="Palatino Linotype"/>
          <w:sz w:val="20"/>
        </w:rPr>
        <w:br w:type="page"/>
      </w:r>
    </w:p>
    <w:p w14:paraId="2D425474" w14:textId="77777777" w:rsidR="009C04A8" w:rsidRPr="00673A04" w:rsidRDefault="009C04A8" w:rsidP="00673A04">
      <w:pPr>
        <w:ind w:right="-93"/>
        <w:rPr>
          <w:rFonts w:eastAsia="Calibri" w:cs="Tahoma"/>
          <w:szCs w:val="22"/>
          <w:lang w:val="es-ES"/>
        </w:rPr>
      </w:pPr>
    </w:p>
    <w:p w14:paraId="696BC976" w14:textId="77777777" w:rsidR="00664420" w:rsidRPr="00673A04" w:rsidRDefault="00664420" w:rsidP="00673A04">
      <w:pPr>
        <w:ind w:right="-93"/>
        <w:rPr>
          <w:rFonts w:eastAsia="Calibri" w:cs="Tahoma"/>
          <w:bCs/>
          <w:szCs w:val="22"/>
          <w:lang w:val="es-ES" w:eastAsia="en-US"/>
        </w:rPr>
      </w:pPr>
    </w:p>
    <w:p w14:paraId="671CB0C5" w14:textId="77777777" w:rsidR="00664420" w:rsidRPr="00673A04" w:rsidRDefault="00664420" w:rsidP="00673A04">
      <w:pPr>
        <w:ind w:right="-93"/>
        <w:rPr>
          <w:rFonts w:eastAsia="Calibri" w:cs="Tahoma"/>
          <w:bCs/>
          <w:szCs w:val="22"/>
          <w:lang w:val="es-ES_tradnl" w:eastAsia="en-US"/>
        </w:rPr>
      </w:pPr>
    </w:p>
    <w:p w14:paraId="6FDF3D7E" w14:textId="77777777" w:rsidR="00664420" w:rsidRPr="00673A04" w:rsidRDefault="00664420" w:rsidP="00673A04">
      <w:pPr>
        <w:tabs>
          <w:tab w:val="center" w:pos="4568"/>
        </w:tabs>
        <w:ind w:right="-93"/>
        <w:rPr>
          <w:rFonts w:eastAsia="Calibri" w:cs="Tahoma"/>
          <w:bCs/>
          <w:szCs w:val="22"/>
          <w:lang w:eastAsia="en-US"/>
        </w:rPr>
      </w:pPr>
    </w:p>
    <w:p w14:paraId="6246F818" w14:textId="77777777" w:rsidR="00664420" w:rsidRPr="00673A04" w:rsidRDefault="00664420" w:rsidP="00673A04">
      <w:pPr>
        <w:tabs>
          <w:tab w:val="center" w:pos="4568"/>
        </w:tabs>
        <w:ind w:right="-93"/>
        <w:rPr>
          <w:rFonts w:eastAsia="Calibri" w:cs="Tahoma"/>
          <w:bCs/>
          <w:szCs w:val="22"/>
          <w:lang w:eastAsia="en-US"/>
        </w:rPr>
      </w:pPr>
    </w:p>
    <w:p w14:paraId="57A88B28" w14:textId="77777777" w:rsidR="00664420" w:rsidRPr="00673A04" w:rsidRDefault="00664420" w:rsidP="00673A04">
      <w:pPr>
        <w:tabs>
          <w:tab w:val="center" w:pos="4568"/>
        </w:tabs>
        <w:ind w:right="-93"/>
        <w:rPr>
          <w:rFonts w:eastAsia="Calibri" w:cs="Tahoma"/>
          <w:bCs/>
          <w:szCs w:val="22"/>
          <w:lang w:eastAsia="en-US"/>
        </w:rPr>
      </w:pPr>
    </w:p>
    <w:p w14:paraId="77EF6095" w14:textId="77777777" w:rsidR="00664420" w:rsidRPr="00673A04" w:rsidRDefault="00664420" w:rsidP="00673A04">
      <w:pPr>
        <w:tabs>
          <w:tab w:val="center" w:pos="4568"/>
        </w:tabs>
        <w:ind w:right="-93"/>
        <w:rPr>
          <w:rFonts w:eastAsia="Calibri" w:cs="Tahoma"/>
          <w:bCs/>
          <w:szCs w:val="22"/>
          <w:lang w:eastAsia="en-US"/>
        </w:rPr>
      </w:pPr>
    </w:p>
    <w:p w14:paraId="35593947" w14:textId="77777777" w:rsidR="00664420" w:rsidRPr="00673A04" w:rsidRDefault="00664420" w:rsidP="00673A04">
      <w:pPr>
        <w:tabs>
          <w:tab w:val="center" w:pos="4568"/>
        </w:tabs>
        <w:ind w:right="-93"/>
        <w:rPr>
          <w:rFonts w:eastAsia="Calibri" w:cs="Tahoma"/>
          <w:bCs/>
          <w:szCs w:val="22"/>
          <w:lang w:eastAsia="en-US"/>
        </w:rPr>
      </w:pPr>
    </w:p>
    <w:p w14:paraId="3AF72A17" w14:textId="77777777" w:rsidR="00664420" w:rsidRPr="00673A04" w:rsidRDefault="00664420" w:rsidP="00673A04">
      <w:pPr>
        <w:tabs>
          <w:tab w:val="center" w:pos="4568"/>
        </w:tabs>
        <w:ind w:right="-93"/>
        <w:rPr>
          <w:rFonts w:eastAsia="Calibri" w:cs="Tahoma"/>
          <w:bCs/>
          <w:szCs w:val="22"/>
          <w:lang w:eastAsia="en-US"/>
        </w:rPr>
      </w:pPr>
    </w:p>
    <w:p w14:paraId="37169144" w14:textId="77777777" w:rsidR="00664420" w:rsidRPr="00673A04" w:rsidRDefault="00664420" w:rsidP="00673A04">
      <w:pPr>
        <w:tabs>
          <w:tab w:val="center" w:pos="4568"/>
        </w:tabs>
        <w:ind w:right="-93"/>
        <w:rPr>
          <w:rFonts w:eastAsia="Calibri" w:cs="Tahoma"/>
          <w:bCs/>
          <w:szCs w:val="22"/>
          <w:lang w:eastAsia="en-US"/>
        </w:rPr>
      </w:pPr>
    </w:p>
    <w:p w14:paraId="77CFC088" w14:textId="77777777" w:rsidR="00664420" w:rsidRPr="00673A04" w:rsidRDefault="00664420" w:rsidP="00673A04">
      <w:pPr>
        <w:tabs>
          <w:tab w:val="center" w:pos="4568"/>
        </w:tabs>
        <w:ind w:right="-93"/>
        <w:rPr>
          <w:rFonts w:eastAsia="Calibri" w:cs="Tahoma"/>
          <w:bCs/>
          <w:szCs w:val="22"/>
          <w:lang w:eastAsia="en-US"/>
        </w:rPr>
      </w:pPr>
    </w:p>
    <w:p w14:paraId="781A11A5" w14:textId="77777777" w:rsidR="00664420" w:rsidRPr="00673A04" w:rsidRDefault="00664420" w:rsidP="00673A04">
      <w:pPr>
        <w:tabs>
          <w:tab w:val="center" w:pos="4568"/>
        </w:tabs>
        <w:ind w:right="-93"/>
        <w:rPr>
          <w:rFonts w:eastAsia="Calibri" w:cs="Tahoma"/>
          <w:bCs/>
          <w:szCs w:val="22"/>
          <w:lang w:eastAsia="en-US"/>
        </w:rPr>
      </w:pPr>
    </w:p>
    <w:bookmarkEnd w:id="0"/>
    <w:p w14:paraId="5B4ADFF3" w14:textId="77777777" w:rsidR="00A131AC" w:rsidRPr="00673A04" w:rsidRDefault="00A131AC" w:rsidP="00673A04"/>
    <w:sectPr w:rsidR="00A131AC" w:rsidRPr="00673A04"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E9AE" w14:textId="77777777" w:rsidR="005B6FB1" w:rsidRDefault="005B6FB1" w:rsidP="00664420">
      <w:pPr>
        <w:spacing w:line="240" w:lineRule="auto"/>
      </w:pPr>
      <w:r>
        <w:separator/>
      </w:r>
    </w:p>
  </w:endnote>
  <w:endnote w:type="continuationSeparator" w:id="0">
    <w:p w14:paraId="32B4FD1F" w14:textId="77777777" w:rsidR="005B6FB1" w:rsidRDefault="005B6FB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39580A" w:rsidRDefault="0039580A">
    <w:pPr>
      <w:tabs>
        <w:tab w:val="center" w:pos="4550"/>
        <w:tab w:val="left" w:pos="5818"/>
      </w:tabs>
      <w:ind w:right="260"/>
      <w:jc w:val="right"/>
      <w:rPr>
        <w:color w:val="071320" w:themeColor="text2" w:themeShade="80"/>
        <w:sz w:val="24"/>
        <w:szCs w:val="24"/>
      </w:rPr>
    </w:pPr>
  </w:p>
  <w:p w14:paraId="1BCA7F23" w14:textId="77777777" w:rsidR="0039580A" w:rsidRDefault="00395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39580A" w:rsidRDefault="00395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D3FCC" w:rsidRPr="00ED3FCC">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D3FCC" w:rsidRPr="00ED3FCC">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39580A" w:rsidRDefault="003958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D9EEA" w14:textId="77777777" w:rsidR="005B6FB1" w:rsidRDefault="005B6FB1" w:rsidP="00664420">
      <w:pPr>
        <w:spacing w:line="240" w:lineRule="auto"/>
      </w:pPr>
      <w:r>
        <w:separator/>
      </w:r>
    </w:p>
  </w:footnote>
  <w:footnote w:type="continuationSeparator" w:id="0">
    <w:p w14:paraId="7C3903FD" w14:textId="77777777" w:rsidR="005B6FB1" w:rsidRDefault="005B6FB1" w:rsidP="00664420">
      <w:pPr>
        <w:spacing w:line="240" w:lineRule="auto"/>
      </w:pPr>
      <w:r>
        <w:continuationSeparator/>
      </w:r>
    </w:p>
  </w:footnote>
  <w:footnote w:id="1">
    <w:p w14:paraId="07DCD5E1" w14:textId="77777777" w:rsidR="009F08C3" w:rsidRDefault="009F08C3" w:rsidP="009F08C3">
      <w:pPr>
        <w:pStyle w:val="Textonotapie"/>
        <w:rPr>
          <w:rFonts w:cstheme="minorBidi"/>
          <w:i/>
          <w:sz w:val="16"/>
        </w:rPr>
      </w:pPr>
      <w:r>
        <w:rPr>
          <w:rStyle w:val="Refdenotaalpie"/>
          <w:rFonts w:eastAsiaTheme="majorEastAsia"/>
        </w:rPr>
        <w:footnoteRef/>
      </w:r>
      <w:r>
        <w:t xml:space="preserve"> </w:t>
      </w:r>
      <w:r>
        <w:rPr>
          <w:i/>
          <w:sz w:val="16"/>
        </w:rPr>
        <w:t>Para su consulta en el enlace electrónico</w:t>
      </w:r>
      <w:r>
        <w:rPr>
          <w:b/>
          <w:i/>
          <w:sz w:val="16"/>
        </w:rPr>
        <w:t>: http://dle.rae.es/?id=D78E0XT</w:t>
      </w:r>
    </w:p>
  </w:footnote>
  <w:footnote w:id="2">
    <w:p w14:paraId="4B8D99AD" w14:textId="77777777" w:rsidR="009F08C3" w:rsidRPr="00C36DD0" w:rsidRDefault="009F08C3" w:rsidP="009F08C3">
      <w:pPr>
        <w:pStyle w:val="Textonotapie"/>
        <w:rPr>
          <w:sz w:val="16"/>
          <w:szCs w:val="16"/>
          <w:lang w:val="es-ES"/>
        </w:rPr>
      </w:pPr>
      <w:r w:rsidRPr="00B37A0D">
        <w:rPr>
          <w:rStyle w:val="Refdenotaalpie"/>
          <w:sz w:val="16"/>
          <w:szCs w:val="16"/>
        </w:rPr>
        <w:footnoteRef/>
      </w:r>
      <w:r w:rsidRPr="00B37A0D">
        <w:rPr>
          <w:sz w:val="16"/>
          <w:szCs w:val="16"/>
        </w:rPr>
        <w:t xml:space="preserve"> </w:t>
      </w:r>
      <w:r>
        <w:rPr>
          <w:sz w:val="16"/>
          <w:szCs w:val="16"/>
        </w:rPr>
        <w:t xml:space="preserve">Teoría General del Proceso, Editorial Oxford. 10a Edición. </w:t>
      </w:r>
      <w:r>
        <w:rPr>
          <w:sz w:val="16"/>
          <w:szCs w:val="16"/>
          <w:lang w:val="es-ES"/>
        </w:rPr>
        <w:t>México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9580A" w:rsidRPr="00330DA7" w14:paraId="070A4B18" w14:textId="77777777" w:rsidTr="003F35FD">
      <w:trPr>
        <w:trHeight w:val="144"/>
        <w:jc w:val="right"/>
      </w:trPr>
      <w:tc>
        <w:tcPr>
          <w:tcW w:w="2727" w:type="dxa"/>
        </w:tcPr>
        <w:p w14:paraId="62B7493A"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274909D" w:rsidR="0039580A" w:rsidRPr="00A90C72" w:rsidRDefault="0039580A" w:rsidP="00467940">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F536B0">
            <w:rPr>
              <w:rFonts w:eastAsia="Calibri" w:cs="Tahoma"/>
              <w:szCs w:val="22"/>
              <w:lang w:eastAsia="en-US"/>
            </w:rPr>
            <w:t>4</w:t>
          </w:r>
          <w:r>
            <w:rPr>
              <w:rFonts w:eastAsia="Calibri" w:cs="Tahoma"/>
              <w:szCs w:val="22"/>
              <w:lang w:eastAsia="en-US"/>
            </w:rPr>
            <w:t>042/</w:t>
          </w:r>
          <w:r w:rsidRPr="006E7E69">
            <w:rPr>
              <w:rFonts w:eastAsia="Calibri" w:cs="Tahoma"/>
              <w:szCs w:val="22"/>
              <w:lang w:eastAsia="en-US"/>
            </w:rPr>
            <w:t>INFOEM/IP/RR/2025</w:t>
          </w:r>
        </w:p>
      </w:tc>
    </w:tr>
    <w:tr w:rsidR="0039580A" w:rsidRPr="00330DA7" w14:paraId="4521E058" w14:textId="77777777" w:rsidTr="003F35FD">
      <w:trPr>
        <w:trHeight w:val="283"/>
        <w:jc w:val="right"/>
      </w:trPr>
      <w:tc>
        <w:tcPr>
          <w:tcW w:w="2727" w:type="dxa"/>
        </w:tcPr>
        <w:p w14:paraId="0B68C086"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ED273E6" w:rsidR="0039580A" w:rsidRPr="009233A1" w:rsidRDefault="00F536B0" w:rsidP="00C55281">
          <w:pPr>
            <w:tabs>
              <w:tab w:val="right" w:pos="8838"/>
            </w:tabs>
            <w:spacing w:line="240" w:lineRule="auto"/>
            <w:ind w:left="-74" w:right="-105"/>
            <w:rPr>
              <w:rFonts w:eastAsia="Calibri" w:cs="Tahoma"/>
              <w:szCs w:val="22"/>
              <w:lang w:val="es-MX" w:eastAsia="en-US"/>
            </w:rPr>
          </w:pPr>
          <w:r w:rsidRPr="00F536B0">
            <w:rPr>
              <w:rFonts w:eastAsia="Calibri" w:cs="Tahoma"/>
              <w:szCs w:val="22"/>
              <w:lang w:eastAsia="en-US"/>
            </w:rPr>
            <w:t>Servicios Educativos Integrados al Estado de México</w:t>
          </w:r>
        </w:p>
      </w:tc>
    </w:tr>
    <w:tr w:rsidR="0039580A" w:rsidRPr="00330DA7" w14:paraId="6331D9B6" w14:textId="77777777" w:rsidTr="003F35FD">
      <w:trPr>
        <w:trHeight w:val="283"/>
        <w:jc w:val="right"/>
      </w:trPr>
      <w:tc>
        <w:tcPr>
          <w:tcW w:w="2727" w:type="dxa"/>
        </w:tcPr>
        <w:p w14:paraId="3FA86BAE" w14:textId="6568823B" w:rsidR="0039580A" w:rsidRPr="00330DA7" w:rsidRDefault="003958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39580A" w:rsidRPr="00EA66FC" w:rsidRDefault="003958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39580A" w:rsidRPr="00443C6B" w:rsidRDefault="0039580A"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39580A" w:rsidRPr="00330DA7" w14:paraId="29CFF901" w14:textId="77777777" w:rsidTr="004D0573">
      <w:trPr>
        <w:trHeight w:val="1435"/>
      </w:trPr>
      <w:tc>
        <w:tcPr>
          <w:tcW w:w="283" w:type="dxa"/>
          <w:shd w:val="clear" w:color="auto" w:fill="auto"/>
        </w:tcPr>
        <w:p w14:paraId="046B9F8F" w14:textId="77777777" w:rsidR="0039580A" w:rsidRPr="00330DA7" w:rsidRDefault="0039580A"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39580A" w:rsidRPr="00330DA7" w14:paraId="04F272D2" w14:textId="77777777" w:rsidTr="004D0573">
            <w:trPr>
              <w:trHeight w:val="144"/>
            </w:trPr>
            <w:tc>
              <w:tcPr>
                <w:tcW w:w="2727" w:type="dxa"/>
              </w:tcPr>
              <w:p w14:paraId="2FD4DBF6" w14:textId="77777777" w:rsidR="0039580A" w:rsidRPr="00330DA7" w:rsidRDefault="0039580A"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1E778A3D" w:rsidR="0039580A" w:rsidRPr="004D0573" w:rsidRDefault="0039580A"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F536B0">
                  <w:rPr>
                    <w:rFonts w:eastAsia="Calibri" w:cs="Tahoma"/>
                    <w:szCs w:val="22"/>
                    <w:lang w:eastAsia="en-US"/>
                  </w:rPr>
                  <w:t>4042</w:t>
                </w:r>
                <w:r w:rsidRPr="006E7E69">
                  <w:rPr>
                    <w:rFonts w:eastAsia="Calibri" w:cs="Tahoma"/>
                    <w:szCs w:val="22"/>
                    <w:lang w:eastAsia="en-US"/>
                  </w:rPr>
                  <w:t>/INFOEM/IP/RR/2025</w:t>
                </w:r>
              </w:p>
            </w:tc>
            <w:tc>
              <w:tcPr>
                <w:tcW w:w="3402" w:type="dxa"/>
              </w:tcPr>
              <w:p w14:paraId="71DEA1CF" w14:textId="77777777" w:rsidR="0039580A" w:rsidRDefault="0039580A" w:rsidP="004D0573">
                <w:pPr>
                  <w:tabs>
                    <w:tab w:val="right" w:pos="8838"/>
                  </w:tabs>
                  <w:spacing w:line="240" w:lineRule="auto"/>
                  <w:ind w:left="-74" w:right="-105"/>
                  <w:rPr>
                    <w:rFonts w:eastAsia="Calibri" w:cs="Tahoma"/>
                    <w:szCs w:val="22"/>
                    <w:lang w:eastAsia="en-US"/>
                  </w:rPr>
                </w:pPr>
              </w:p>
            </w:tc>
          </w:tr>
          <w:tr w:rsidR="0039580A" w:rsidRPr="00330DA7" w14:paraId="05C58951" w14:textId="77777777" w:rsidTr="004D0573">
            <w:trPr>
              <w:trHeight w:val="144"/>
            </w:trPr>
            <w:tc>
              <w:tcPr>
                <w:tcW w:w="2727" w:type="dxa"/>
              </w:tcPr>
              <w:p w14:paraId="642B9610" w14:textId="77777777" w:rsidR="0039580A" w:rsidRPr="00330DA7" w:rsidRDefault="0039580A"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AF5365C" w:rsidR="0039580A" w:rsidRPr="004C4BC6" w:rsidRDefault="00CC2186" w:rsidP="00C55281">
                <w:pPr>
                  <w:tabs>
                    <w:tab w:val="right" w:pos="8838"/>
                  </w:tabs>
                  <w:spacing w:line="240" w:lineRule="auto"/>
                  <w:ind w:left="-74" w:right="-105"/>
                  <w:rPr>
                    <w:rFonts w:eastAsia="Calibri" w:cs="Tahoma"/>
                    <w:szCs w:val="22"/>
                    <w:lang w:eastAsia="en-US"/>
                  </w:rPr>
                </w:pPr>
                <w:r>
                  <w:rPr>
                    <w:rFonts w:eastAsia="Calibri" w:cs="Tahoma"/>
                    <w:szCs w:val="22"/>
                    <w:lang w:eastAsia="en-US"/>
                  </w:rPr>
                  <w:t>XXXXXXXXX XXXXXXXXX XXXXX</w:t>
                </w:r>
              </w:p>
            </w:tc>
            <w:tc>
              <w:tcPr>
                <w:tcW w:w="3402" w:type="dxa"/>
              </w:tcPr>
              <w:p w14:paraId="73F47F53" w14:textId="77777777" w:rsidR="0039580A" w:rsidRPr="005F19B1" w:rsidRDefault="0039580A" w:rsidP="004D0573">
                <w:pPr>
                  <w:tabs>
                    <w:tab w:val="left" w:pos="3122"/>
                    <w:tab w:val="right" w:pos="8838"/>
                  </w:tabs>
                  <w:spacing w:line="240" w:lineRule="auto"/>
                  <w:ind w:left="-105" w:right="-105"/>
                  <w:rPr>
                    <w:rFonts w:eastAsia="Calibri" w:cs="Tahoma"/>
                    <w:szCs w:val="22"/>
                    <w:lang w:eastAsia="en-US"/>
                  </w:rPr>
                </w:pPr>
              </w:p>
            </w:tc>
          </w:tr>
          <w:bookmarkEnd w:id="2"/>
          <w:tr w:rsidR="0039580A" w:rsidRPr="00330DA7" w14:paraId="00E6CDC1" w14:textId="77777777" w:rsidTr="004D0573">
            <w:trPr>
              <w:trHeight w:val="283"/>
            </w:trPr>
            <w:tc>
              <w:tcPr>
                <w:tcW w:w="2727" w:type="dxa"/>
              </w:tcPr>
              <w:p w14:paraId="0631AD24" w14:textId="77777777" w:rsidR="0039580A" w:rsidRPr="00330DA7" w:rsidRDefault="0039580A"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E0DB416" w:rsidR="0039580A" w:rsidRPr="00467940" w:rsidRDefault="00F536B0" w:rsidP="00F536B0">
                <w:pPr>
                  <w:tabs>
                    <w:tab w:val="right" w:pos="8838"/>
                  </w:tabs>
                  <w:spacing w:line="240" w:lineRule="auto"/>
                  <w:ind w:left="-74" w:right="-105"/>
                  <w:rPr>
                    <w:rFonts w:ascii="Times New Roman" w:hAnsi="Times New Roman"/>
                    <w:lang w:eastAsia="es-MX"/>
                  </w:rPr>
                </w:pPr>
                <w:r w:rsidRPr="00F536B0">
                  <w:rPr>
                    <w:rFonts w:eastAsia="Calibri" w:cs="Tahoma"/>
                    <w:szCs w:val="22"/>
                    <w:lang w:eastAsia="en-US"/>
                  </w:rPr>
                  <w:t>Servicios Educativos Integrados al Estado de México</w:t>
                </w:r>
              </w:p>
            </w:tc>
            <w:tc>
              <w:tcPr>
                <w:tcW w:w="3402" w:type="dxa"/>
              </w:tcPr>
              <w:p w14:paraId="3A7DA319" w14:textId="77777777" w:rsidR="0039580A" w:rsidRPr="00A90C72" w:rsidRDefault="0039580A" w:rsidP="004D0573">
                <w:pPr>
                  <w:tabs>
                    <w:tab w:val="left" w:pos="2834"/>
                    <w:tab w:val="right" w:pos="8838"/>
                  </w:tabs>
                  <w:spacing w:line="240" w:lineRule="auto"/>
                  <w:ind w:left="-108" w:right="-105"/>
                  <w:rPr>
                    <w:rFonts w:eastAsia="Calibri" w:cs="Tahoma"/>
                    <w:szCs w:val="22"/>
                    <w:lang w:eastAsia="en-US"/>
                  </w:rPr>
                </w:pPr>
              </w:p>
            </w:tc>
          </w:tr>
          <w:tr w:rsidR="0039580A" w:rsidRPr="00330DA7" w14:paraId="0F6CD8D2" w14:textId="77777777" w:rsidTr="004D0573">
            <w:trPr>
              <w:trHeight w:val="283"/>
            </w:trPr>
            <w:tc>
              <w:tcPr>
                <w:tcW w:w="2727" w:type="dxa"/>
              </w:tcPr>
              <w:p w14:paraId="31700628" w14:textId="0565A62A" w:rsidR="0039580A" w:rsidRPr="00330DA7" w:rsidRDefault="0039580A"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39580A" w:rsidRPr="00EA66FC" w:rsidRDefault="0039580A"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39580A" w:rsidRPr="00330DA7" w:rsidRDefault="0039580A" w:rsidP="004D0573">
                <w:pPr>
                  <w:tabs>
                    <w:tab w:val="right" w:pos="8838"/>
                  </w:tabs>
                  <w:spacing w:line="240" w:lineRule="auto"/>
                  <w:ind w:left="-108" w:right="-105"/>
                  <w:rPr>
                    <w:rFonts w:eastAsia="Calibri" w:cs="Tahoma"/>
                    <w:szCs w:val="22"/>
                    <w:lang w:eastAsia="en-US"/>
                  </w:rPr>
                </w:pPr>
              </w:p>
            </w:tc>
          </w:tr>
        </w:tbl>
        <w:p w14:paraId="5DC6AC61" w14:textId="77777777" w:rsidR="0039580A" w:rsidRPr="00330DA7" w:rsidRDefault="0039580A" w:rsidP="004D0573">
          <w:pPr>
            <w:tabs>
              <w:tab w:val="right" w:pos="8838"/>
            </w:tabs>
            <w:ind w:left="-28"/>
            <w:rPr>
              <w:rFonts w:ascii="Arial" w:eastAsia="Calibri" w:hAnsi="Arial" w:cs="Arial"/>
              <w:b/>
              <w:szCs w:val="22"/>
              <w:lang w:eastAsia="en-US"/>
            </w:rPr>
          </w:pPr>
        </w:p>
      </w:tc>
    </w:tr>
  </w:tbl>
  <w:p w14:paraId="2A906731" w14:textId="77777777" w:rsidR="0039580A" w:rsidRPr="00765661" w:rsidRDefault="005B6FB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56.1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43F39"/>
    <w:multiLevelType w:val="hybridMultilevel"/>
    <w:tmpl w:val="4FB66C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1"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4D61D6"/>
    <w:multiLevelType w:val="hybridMultilevel"/>
    <w:tmpl w:val="24ECE5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951835"/>
    <w:multiLevelType w:val="hybridMultilevel"/>
    <w:tmpl w:val="BC86E84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8368BF"/>
    <w:multiLevelType w:val="hybridMultilevel"/>
    <w:tmpl w:val="8B0A6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4A5A73"/>
    <w:multiLevelType w:val="hybridMultilevel"/>
    <w:tmpl w:val="637E3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1"/>
  </w:num>
  <w:num w:numId="4">
    <w:abstractNumId w:val="15"/>
  </w:num>
  <w:num w:numId="5">
    <w:abstractNumId w:val="6"/>
  </w:num>
  <w:num w:numId="6">
    <w:abstractNumId w:val="44"/>
  </w:num>
  <w:num w:numId="7">
    <w:abstractNumId w:val="29"/>
  </w:num>
  <w:num w:numId="8">
    <w:abstractNumId w:val="13"/>
  </w:num>
  <w:num w:numId="9">
    <w:abstractNumId w:val="28"/>
  </w:num>
  <w:num w:numId="10">
    <w:abstractNumId w:val="20"/>
    <w:lvlOverride w:ilvl="0">
      <w:startOverride w:val="1"/>
    </w:lvlOverride>
    <w:lvlOverride w:ilvl="1"/>
    <w:lvlOverride w:ilvl="2"/>
    <w:lvlOverride w:ilvl="3"/>
    <w:lvlOverride w:ilvl="4"/>
    <w:lvlOverride w:ilvl="5"/>
    <w:lvlOverride w:ilvl="6"/>
    <w:lvlOverride w:ilvl="7"/>
    <w:lvlOverride w:ilvl="8"/>
  </w:num>
  <w:num w:numId="11">
    <w:abstractNumId w:val="20"/>
  </w:num>
  <w:num w:numId="12">
    <w:abstractNumId w:val="18"/>
  </w:num>
  <w:num w:numId="13">
    <w:abstractNumId w:val="4"/>
  </w:num>
  <w:num w:numId="14">
    <w:abstractNumId w:val="12"/>
  </w:num>
  <w:num w:numId="15">
    <w:abstractNumId w:val="30"/>
  </w:num>
  <w:num w:numId="16">
    <w:abstractNumId w:val="39"/>
  </w:num>
  <w:num w:numId="17">
    <w:abstractNumId w:val="38"/>
  </w:num>
  <w:num w:numId="18">
    <w:abstractNumId w:val="10"/>
  </w:num>
  <w:num w:numId="19">
    <w:abstractNumId w:val="7"/>
  </w:num>
  <w:num w:numId="20">
    <w:abstractNumId w:val="46"/>
  </w:num>
  <w:num w:numId="21">
    <w:abstractNumId w:val="11"/>
  </w:num>
  <w:num w:numId="22">
    <w:abstractNumId w:val="33"/>
  </w:num>
  <w:num w:numId="23">
    <w:abstractNumId w:val="40"/>
  </w:num>
  <w:num w:numId="24">
    <w:abstractNumId w:val="16"/>
  </w:num>
  <w:num w:numId="25">
    <w:abstractNumId w:val="14"/>
  </w:num>
  <w:num w:numId="26">
    <w:abstractNumId w:val="1"/>
  </w:num>
  <w:num w:numId="27">
    <w:abstractNumId w:val="2"/>
  </w:num>
  <w:num w:numId="28">
    <w:abstractNumId w:val="21"/>
  </w:num>
  <w:num w:numId="29">
    <w:abstractNumId w:val="31"/>
  </w:num>
  <w:num w:numId="30">
    <w:abstractNumId w:val="8"/>
  </w:num>
  <w:num w:numId="31">
    <w:abstractNumId w:val="19"/>
  </w:num>
  <w:num w:numId="32">
    <w:abstractNumId w:val="17"/>
  </w:num>
  <w:num w:numId="33">
    <w:abstractNumId w:val="42"/>
  </w:num>
  <w:num w:numId="34">
    <w:abstractNumId w:val="37"/>
  </w:num>
  <w:num w:numId="35">
    <w:abstractNumId w:val="26"/>
  </w:num>
  <w:num w:numId="36">
    <w:abstractNumId w:val="23"/>
  </w:num>
  <w:num w:numId="37">
    <w:abstractNumId w:val="24"/>
  </w:num>
  <w:num w:numId="38">
    <w:abstractNumId w:val="34"/>
  </w:num>
  <w:num w:numId="39">
    <w:abstractNumId w:val="0"/>
  </w:num>
  <w:num w:numId="40">
    <w:abstractNumId w:val="36"/>
  </w:num>
  <w:num w:numId="41">
    <w:abstractNumId w:val="43"/>
  </w:num>
  <w:num w:numId="42">
    <w:abstractNumId w:val="5"/>
  </w:num>
  <w:num w:numId="43">
    <w:abstractNumId w:val="22"/>
  </w:num>
  <w:num w:numId="44">
    <w:abstractNumId w:val="45"/>
  </w:num>
  <w:num w:numId="45">
    <w:abstractNumId w:val="47"/>
  </w:num>
  <w:num w:numId="46">
    <w:abstractNumId w:val="25"/>
  </w:num>
  <w:num w:numId="47">
    <w:abstractNumId w:val="35"/>
  </w:num>
  <w:num w:numId="48">
    <w:abstractNumId w:val="3"/>
  </w:num>
  <w:num w:numId="49">
    <w:abstractNumId w:val="9"/>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097"/>
    <w:rsid w:val="00245D19"/>
    <w:rsid w:val="002553CD"/>
    <w:rsid w:val="00281DF3"/>
    <w:rsid w:val="00293D29"/>
    <w:rsid w:val="002958FA"/>
    <w:rsid w:val="002961A6"/>
    <w:rsid w:val="002961B5"/>
    <w:rsid w:val="0029641C"/>
    <w:rsid w:val="002A3601"/>
    <w:rsid w:val="002B0D19"/>
    <w:rsid w:val="002B1D44"/>
    <w:rsid w:val="002B4ED6"/>
    <w:rsid w:val="002B7C6F"/>
    <w:rsid w:val="002D111C"/>
    <w:rsid w:val="002E18F0"/>
    <w:rsid w:val="002F2C23"/>
    <w:rsid w:val="002F6393"/>
    <w:rsid w:val="00302476"/>
    <w:rsid w:val="00303B21"/>
    <w:rsid w:val="00304C8C"/>
    <w:rsid w:val="00306C07"/>
    <w:rsid w:val="00327203"/>
    <w:rsid w:val="00331F35"/>
    <w:rsid w:val="003336D1"/>
    <w:rsid w:val="00335CDF"/>
    <w:rsid w:val="003411BC"/>
    <w:rsid w:val="00341E94"/>
    <w:rsid w:val="00346BC2"/>
    <w:rsid w:val="0035131E"/>
    <w:rsid w:val="00353A30"/>
    <w:rsid w:val="00362A11"/>
    <w:rsid w:val="00386CD1"/>
    <w:rsid w:val="003872A2"/>
    <w:rsid w:val="00392B32"/>
    <w:rsid w:val="00393779"/>
    <w:rsid w:val="0039580A"/>
    <w:rsid w:val="003A0664"/>
    <w:rsid w:val="003A3A7E"/>
    <w:rsid w:val="003A40C1"/>
    <w:rsid w:val="003A67CC"/>
    <w:rsid w:val="003B0255"/>
    <w:rsid w:val="003B0AEC"/>
    <w:rsid w:val="003B2486"/>
    <w:rsid w:val="003B5D3E"/>
    <w:rsid w:val="003D5A19"/>
    <w:rsid w:val="003E4F16"/>
    <w:rsid w:val="003F28CD"/>
    <w:rsid w:val="003F35FD"/>
    <w:rsid w:val="003F4455"/>
    <w:rsid w:val="003F769B"/>
    <w:rsid w:val="00407AC6"/>
    <w:rsid w:val="0041385B"/>
    <w:rsid w:val="00416357"/>
    <w:rsid w:val="00430170"/>
    <w:rsid w:val="0043654A"/>
    <w:rsid w:val="00441BFA"/>
    <w:rsid w:val="00446958"/>
    <w:rsid w:val="00454FBD"/>
    <w:rsid w:val="004565C2"/>
    <w:rsid w:val="00462338"/>
    <w:rsid w:val="00467940"/>
    <w:rsid w:val="00475FF6"/>
    <w:rsid w:val="0048002D"/>
    <w:rsid w:val="004A4241"/>
    <w:rsid w:val="004B001B"/>
    <w:rsid w:val="004B689A"/>
    <w:rsid w:val="004C1963"/>
    <w:rsid w:val="004C40FB"/>
    <w:rsid w:val="004C43D3"/>
    <w:rsid w:val="004C4BC6"/>
    <w:rsid w:val="004D0573"/>
    <w:rsid w:val="004D7CD8"/>
    <w:rsid w:val="004E2939"/>
    <w:rsid w:val="004E3EB0"/>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6FB1"/>
    <w:rsid w:val="005D57B7"/>
    <w:rsid w:val="005D5854"/>
    <w:rsid w:val="005D5A50"/>
    <w:rsid w:val="005E0FE5"/>
    <w:rsid w:val="005F5301"/>
    <w:rsid w:val="005F5D00"/>
    <w:rsid w:val="005F65B7"/>
    <w:rsid w:val="006024B6"/>
    <w:rsid w:val="006067C7"/>
    <w:rsid w:val="00615195"/>
    <w:rsid w:val="006159AD"/>
    <w:rsid w:val="00622632"/>
    <w:rsid w:val="006415E5"/>
    <w:rsid w:val="00646436"/>
    <w:rsid w:val="00657603"/>
    <w:rsid w:val="00664420"/>
    <w:rsid w:val="0066480D"/>
    <w:rsid w:val="00672811"/>
    <w:rsid w:val="00673A04"/>
    <w:rsid w:val="006A21FC"/>
    <w:rsid w:val="006A646A"/>
    <w:rsid w:val="006A7A44"/>
    <w:rsid w:val="006B10B0"/>
    <w:rsid w:val="006B238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DD6"/>
    <w:rsid w:val="00773EAB"/>
    <w:rsid w:val="00774516"/>
    <w:rsid w:val="00775BFC"/>
    <w:rsid w:val="00782160"/>
    <w:rsid w:val="00786F72"/>
    <w:rsid w:val="00794BA5"/>
    <w:rsid w:val="007A19A3"/>
    <w:rsid w:val="007A2B8D"/>
    <w:rsid w:val="007A3459"/>
    <w:rsid w:val="007B6074"/>
    <w:rsid w:val="007C7C47"/>
    <w:rsid w:val="007D1C55"/>
    <w:rsid w:val="007D1C84"/>
    <w:rsid w:val="007D317F"/>
    <w:rsid w:val="007E069C"/>
    <w:rsid w:val="007E07E1"/>
    <w:rsid w:val="007F5D06"/>
    <w:rsid w:val="00805A6E"/>
    <w:rsid w:val="00807B7D"/>
    <w:rsid w:val="00811211"/>
    <w:rsid w:val="00811F75"/>
    <w:rsid w:val="00813497"/>
    <w:rsid w:val="008201EF"/>
    <w:rsid w:val="00823BA5"/>
    <w:rsid w:val="00826C28"/>
    <w:rsid w:val="008300D5"/>
    <w:rsid w:val="00831728"/>
    <w:rsid w:val="00860F56"/>
    <w:rsid w:val="0086345C"/>
    <w:rsid w:val="00864CC1"/>
    <w:rsid w:val="00865CF4"/>
    <w:rsid w:val="00876DBC"/>
    <w:rsid w:val="00887577"/>
    <w:rsid w:val="008950DC"/>
    <w:rsid w:val="008A21E1"/>
    <w:rsid w:val="008A6003"/>
    <w:rsid w:val="008A6F88"/>
    <w:rsid w:val="008B1E16"/>
    <w:rsid w:val="008D7A00"/>
    <w:rsid w:val="008E1316"/>
    <w:rsid w:val="008E6224"/>
    <w:rsid w:val="00903DBE"/>
    <w:rsid w:val="00910FD2"/>
    <w:rsid w:val="00911079"/>
    <w:rsid w:val="009176E8"/>
    <w:rsid w:val="009216AE"/>
    <w:rsid w:val="009233A1"/>
    <w:rsid w:val="009246CF"/>
    <w:rsid w:val="0092767B"/>
    <w:rsid w:val="00931437"/>
    <w:rsid w:val="00934C3D"/>
    <w:rsid w:val="00936B5A"/>
    <w:rsid w:val="0095155D"/>
    <w:rsid w:val="00953212"/>
    <w:rsid w:val="00953430"/>
    <w:rsid w:val="00953EBD"/>
    <w:rsid w:val="00965647"/>
    <w:rsid w:val="00965890"/>
    <w:rsid w:val="00967B87"/>
    <w:rsid w:val="00970EB3"/>
    <w:rsid w:val="0097369C"/>
    <w:rsid w:val="009749EB"/>
    <w:rsid w:val="00976247"/>
    <w:rsid w:val="00982877"/>
    <w:rsid w:val="00985840"/>
    <w:rsid w:val="00985F73"/>
    <w:rsid w:val="0098693C"/>
    <w:rsid w:val="00993ED0"/>
    <w:rsid w:val="009A1340"/>
    <w:rsid w:val="009A2D78"/>
    <w:rsid w:val="009A2EDE"/>
    <w:rsid w:val="009A7C10"/>
    <w:rsid w:val="009B2945"/>
    <w:rsid w:val="009C04A8"/>
    <w:rsid w:val="009E0652"/>
    <w:rsid w:val="009E2DEE"/>
    <w:rsid w:val="009E45F2"/>
    <w:rsid w:val="009E4644"/>
    <w:rsid w:val="009E6A88"/>
    <w:rsid w:val="009F08C3"/>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9208D"/>
    <w:rsid w:val="00A964CC"/>
    <w:rsid w:val="00AA3AE9"/>
    <w:rsid w:val="00AA6EA9"/>
    <w:rsid w:val="00AC2DB8"/>
    <w:rsid w:val="00AC3CA0"/>
    <w:rsid w:val="00AD4855"/>
    <w:rsid w:val="00AE3DA7"/>
    <w:rsid w:val="00AE5AEF"/>
    <w:rsid w:val="00AF03C4"/>
    <w:rsid w:val="00AF05FE"/>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71CEF"/>
    <w:rsid w:val="00C72DAA"/>
    <w:rsid w:val="00C73A98"/>
    <w:rsid w:val="00C7571D"/>
    <w:rsid w:val="00C80B14"/>
    <w:rsid w:val="00C93BC8"/>
    <w:rsid w:val="00CA50B3"/>
    <w:rsid w:val="00CA64AF"/>
    <w:rsid w:val="00CB4F52"/>
    <w:rsid w:val="00CB7C31"/>
    <w:rsid w:val="00CB7E9A"/>
    <w:rsid w:val="00CC2186"/>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20F37"/>
    <w:rsid w:val="00D228A6"/>
    <w:rsid w:val="00D2790D"/>
    <w:rsid w:val="00D44B43"/>
    <w:rsid w:val="00D51ECD"/>
    <w:rsid w:val="00D53CE6"/>
    <w:rsid w:val="00D5461D"/>
    <w:rsid w:val="00D55AF4"/>
    <w:rsid w:val="00D55FDA"/>
    <w:rsid w:val="00D6170E"/>
    <w:rsid w:val="00D81542"/>
    <w:rsid w:val="00D85CEA"/>
    <w:rsid w:val="00D91CB4"/>
    <w:rsid w:val="00DA54C1"/>
    <w:rsid w:val="00DB1C09"/>
    <w:rsid w:val="00DC30FA"/>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1DE2"/>
    <w:rsid w:val="00E83EF5"/>
    <w:rsid w:val="00E87A1E"/>
    <w:rsid w:val="00E9335C"/>
    <w:rsid w:val="00E96D88"/>
    <w:rsid w:val="00ED1C1E"/>
    <w:rsid w:val="00ED3FCC"/>
    <w:rsid w:val="00EE2AF2"/>
    <w:rsid w:val="00EE7028"/>
    <w:rsid w:val="00EE77E9"/>
    <w:rsid w:val="00EE7964"/>
    <w:rsid w:val="00EF56AF"/>
    <w:rsid w:val="00EF6D46"/>
    <w:rsid w:val="00F07EE6"/>
    <w:rsid w:val="00F15B01"/>
    <w:rsid w:val="00F30A1A"/>
    <w:rsid w:val="00F32348"/>
    <w:rsid w:val="00F33CC8"/>
    <w:rsid w:val="00F4481C"/>
    <w:rsid w:val="00F45902"/>
    <w:rsid w:val="00F52005"/>
    <w:rsid w:val="00F52089"/>
    <w:rsid w:val="00F536B0"/>
    <w:rsid w:val="00F5552D"/>
    <w:rsid w:val="00F578A1"/>
    <w:rsid w:val="00F61982"/>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A44"/>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Mencinsinresolver3">
    <w:name w:val="Mención sin resolver3"/>
    <w:basedOn w:val="Fuentedeprrafopredeter"/>
    <w:uiPriority w:val="99"/>
    <w:semiHidden/>
    <w:unhideWhenUsed/>
    <w:rsid w:val="00F5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51316333">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7155937">
      <w:bodyDiv w:val="1"/>
      <w:marLeft w:val="0"/>
      <w:marRight w:val="0"/>
      <w:marTop w:val="0"/>
      <w:marBottom w:val="0"/>
      <w:divBdr>
        <w:top w:val="none" w:sz="0" w:space="0" w:color="auto"/>
        <w:left w:val="none" w:sz="0" w:space="0" w:color="auto"/>
        <w:bottom w:val="none" w:sz="0" w:space="0" w:color="auto"/>
        <w:right w:val="none" w:sz="0" w:space="0" w:color="auto"/>
      </w:divBdr>
    </w:div>
    <w:div w:id="329676502">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50002267">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8956117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641603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498114295">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50402668">
      <w:bodyDiv w:val="1"/>
      <w:marLeft w:val="0"/>
      <w:marRight w:val="0"/>
      <w:marTop w:val="0"/>
      <w:marBottom w:val="0"/>
      <w:divBdr>
        <w:top w:val="none" w:sz="0" w:space="0" w:color="auto"/>
        <w:left w:val="none" w:sz="0" w:space="0" w:color="auto"/>
        <w:bottom w:val="none" w:sz="0" w:space="0" w:color="auto"/>
        <w:right w:val="none" w:sz="0" w:space="0" w:color="auto"/>
      </w:divBdr>
    </w:div>
    <w:div w:id="1655379967">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3160763">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9467541">
      <w:bodyDiv w:val="1"/>
      <w:marLeft w:val="0"/>
      <w:marRight w:val="0"/>
      <w:marTop w:val="0"/>
      <w:marBottom w:val="0"/>
      <w:divBdr>
        <w:top w:val="none" w:sz="0" w:space="0" w:color="auto"/>
        <w:left w:val="none" w:sz="0" w:space="0" w:color="auto"/>
        <w:bottom w:val="none" w:sz="0" w:space="0" w:color="auto"/>
        <w:right w:val="none" w:sz="0" w:space="0" w:color="auto"/>
      </w:divBdr>
    </w:div>
    <w:div w:id="1865827836">
      <w:bodyDiv w:val="1"/>
      <w:marLeft w:val="0"/>
      <w:marRight w:val="0"/>
      <w:marTop w:val="0"/>
      <w:marBottom w:val="0"/>
      <w:divBdr>
        <w:top w:val="none" w:sz="0" w:space="0" w:color="auto"/>
        <w:left w:val="none" w:sz="0" w:space="0" w:color="auto"/>
        <w:bottom w:val="none" w:sz="0" w:space="0" w:color="auto"/>
        <w:right w:val="none" w:sz="0" w:space="0" w:color="auto"/>
      </w:divBdr>
    </w:div>
    <w:div w:id="2088376889">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imex.org.mx/saimex/solicitud/downloadAttach/242302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A147C955-1C50-4E09-94CE-B1845C5C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3807</Words>
  <Characters>20942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7</cp:revision>
  <cp:lastPrinted>2025-05-22T20:10:00Z</cp:lastPrinted>
  <dcterms:created xsi:type="dcterms:W3CDTF">2025-05-14T06:07:00Z</dcterms:created>
  <dcterms:modified xsi:type="dcterms:W3CDTF">2025-06-05T21:37:00Z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