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EB5E" w14:textId="351834A8" w:rsidR="005C690F" w:rsidRPr="00D43035" w:rsidRDefault="007D6307" w:rsidP="001555A7">
      <w:pPr>
        <w:tabs>
          <w:tab w:val="left" w:pos="8931"/>
        </w:tabs>
        <w:spacing w:after="0" w:line="360" w:lineRule="auto"/>
      </w:pPr>
      <w:r w:rsidRPr="00D43035">
        <w:t>Resolución del Pleno del Instituto de Transparencia, Acceso a la Información Pública y Protección de Datos Personales del Estado de México y Municipios, con domicilio en Metepec, Estado de México, de fecha</w:t>
      </w:r>
      <w:r w:rsidR="00B60DBE" w:rsidRPr="00D43035">
        <w:t xml:space="preserve"> </w:t>
      </w:r>
      <w:r w:rsidR="00FF6DBF">
        <w:t>tres de septiembre</w:t>
      </w:r>
      <w:r w:rsidR="0083264E">
        <w:t xml:space="preserve"> de dos mil veinticinco</w:t>
      </w:r>
      <w:r w:rsidRPr="00D43035">
        <w:t xml:space="preserve">. </w:t>
      </w:r>
    </w:p>
    <w:p w14:paraId="0DCD3B82" w14:textId="77777777" w:rsidR="005C690F" w:rsidRPr="00D43035" w:rsidRDefault="005C690F" w:rsidP="001555A7">
      <w:pPr>
        <w:spacing w:after="0" w:line="360" w:lineRule="auto"/>
        <w:rPr>
          <w:b/>
          <w:color w:val="FF0000"/>
        </w:rPr>
      </w:pPr>
    </w:p>
    <w:p w14:paraId="1570B336" w14:textId="5BD5D324" w:rsidR="005C690F" w:rsidRPr="00D44EE1" w:rsidRDefault="007D6307" w:rsidP="001555A7">
      <w:pPr>
        <w:spacing w:after="0" w:line="360" w:lineRule="auto"/>
      </w:pPr>
      <w:r w:rsidRPr="00D44EE1">
        <w:rPr>
          <w:b/>
        </w:rPr>
        <w:t xml:space="preserve">VISTO </w:t>
      </w:r>
      <w:r w:rsidRPr="00D44EE1">
        <w:t>el expediente electrónico conformado con motivo de</w:t>
      </w:r>
      <w:r w:rsidR="0083264E">
        <w:t>l</w:t>
      </w:r>
      <w:r w:rsidRPr="00D44EE1">
        <w:t xml:space="preserve"> Recurso de Revisión </w:t>
      </w:r>
      <w:r w:rsidR="00D44659" w:rsidRPr="002E41FF">
        <w:rPr>
          <w:b/>
          <w:bCs/>
        </w:rPr>
        <w:t>03926/INFOEM/IP/RR/2025</w:t>
      </w:r>
      <w:r w:rsidRPr="001555A7">
        <w:t>, interpuesto por</w:t>
      </w:r>
      <w:r w:rsidR="00D44EE1" w:rsidRPr="001555A7">
        <w:t xml:space="preserve"> </w:t>
      </w:r>
      <w:r w:rsidR="007641F2" w:rsidRPr="007641F2">
        <w:rPr>
          <w:b/>
          <w:bCs/>
          <w:highlight w:val="black"/>
        </w:rPr>
        <w:t>XXXXXXXXXXXXX</w:t>
      </w:r>
      <w:r w:rsidR="007C5477" w:rsidRPr="002E41FF">
        <w:rPr>
          <w:b/>
          <w:bCs/>
        </w:rPr>
        <w:t>,</w:t>
      </w:r>
      <w:r w:rsidR="007C5477" w:rsidRPr="001555A7">
        <w:t xml:space="preserve"> en </w:t>
      </w:r>
      <w:r w:rsidR="0029572E" w:rsidRPr="001555A7">
        <w:t>lo sucesivo</w:t>
      </w:r>
      <w:r w:rsidR="007C5477" w:rsidRPr="001555A7">
        <w:t xml:space="preserve"> </w:t>
      </w:r>
      <w:r w:rsidRPr="001555A7">
        <w:t xml:space="preserve">Recurrente o Particular, en contra de la respuesta del Sujeto Obligado, </w:t>
      </w:r>
      <w:r w:rsidR="0083264E" w:rsidRPr="002E41FF">
        <w:rPr>
          <w:b/>
          <w:bCs/>
        </w:rPr>
        <w:t xml:space="preserve">Ayuntamiento de </w:t>
      </w:r>
      <w:r w:rsidR="00FF6DBF" w:rsidRPr="002E41FF">
        <w:rPr>
          <w:b/>
          <w:bCs/>
        </w:rPr>
        <w:t>Toluca</w:t>
      </w:r>
      <w:r w:rsidR="0029572E" w:rsidRPr="001555A7">
        <w:t>,</w:t>
      </w:r>
      <w:r w:rsidRPr="001555A7">
        <w:t xml:space="preserve"> a la solicitud de acceso a la información pública</w:t>
      </w:r>
      <w:r w:rsidR="00D44EE1" w:rsidRPr="001555A7">
        <w:t xml:space="preserve"> </w:t>
      </w:r>
      <w:r w:rsidR="00FF6DBF" w:rsidRPr="001555A7">
        <w:t>01239/TOLUCA/IP/2025</w:t>
      </w:r>
      <w:r w:rsidRPr="00E24E36">
        <w:rPr>
          <w:bCs/>
        </w:rPr>
        <w:t>, se</w:t>
      </w:r>
      <w:r w:rsidRPr="00D44EE1">
        <w:t xml:space="preserve"> emite la presente Resolución, con base en los Antecedentes y Considerandos que se exponen a continuación:</w:t>
      </w:r>
    </w:p>
    <w:p w14:paraId="1F97CEF3" w14:textId="77777777" w:rsidR="005C690F" w:rsidRPr="00D43035" w:rsidRDefault="005C690F" w:rsidP="001555A7">
      <w:pPr>
        <w:spacing w:after="0" w:line="360" w:lineRule="auto"/>
        <w:rPr>
          <w:b/>
          <w:color w:val="FF0000"/>
        </w:rPr>
      </w:pPr>
    </w:p>
    <w:p w14:paraId="1DEAF9D3" w14:textId="37358D04" w:rsidR="005C690F" w:rsidRPr="00D44EE1" w:rsidRDefault="00EB35EB" w:rsidP="001555A7">
      <w:pPr>
        <w:spacing w:after="0" w:line="360" w:lineRule="auto"/>
        <w:jc w:val="center"/>
        <w:rPr>
          <w:b/>
        </w:rPr>
      </w:pPr>
      <w:r w:rsidRPr="00D44EE1">
        <w:rPr>
          <w:b/>
        </w:rPr>
        <w:t>A N T E C E D E N T E S</w:t>
      </w:r>
    </w:p>
    <w:p w14:paraId="5A7EDA4F" w14:textId="77777777" w:rsidR="005C690F" w:rsidRPr="00D44EE1" w:rsidRDefault="005C690F" w:rsidP="001555A7">
      <w:pPr>
        <w:spacing w:after="0" w:line="360" w:lineRule="auto"/>
        <w:jc w:val="center"/>
        <w:rPr>
          <w:b/>
        </w:rPr>
      </w:pPr>
    </w:p>
    <w:p w14:paraId="4F89ED8D" w14:textId="71B8A590" w:rsidR="005C690F" w:rsidRPr="00D44EE1" w:rsidRDefault="007D6307" w:rsidP="001555A7">
      <w:pPr>
        <w:spacing w:after="0" w:line="360" w:lineRule="auto"/>
        <w:rPr>
          <w:b/>
        </w:rPr>
      </w:pPr>
      <w:r w:rsidRPr="00D44EE1">
        <w:rPr>
          <w:b/>
        </w:rPr>
        <w:t>I. Presentación</w:t>
      </w:r>
      <w:r w:rsidR="00EB35EB" w:rsidRPr="00D44EE1">
        <w:rPr>
          <w:b/>
        </w:rPr>
        <w:t xml:space="preserve"> de la solicitud de información</w:t>
      </w:r>
    </w:p>
    <w:p w14:paraId="796B26CA" w14:textId="77777777" w:rsidR="005C690F" w:rsidRPr="00D43035" w:rsidRDefault="005C690F" w:rsidP="001555A7">
      <w:pPr>
        <w:spacing w:after="0" w:line="360" w:lineRule="auto"/>
        <w:rPr>
          <w:b/>
          <w:color w:val="FF0000"/>
        </w:rPr>
      </w:pPr>
    </w:p>
    <w:p w14:paraId="316A861A" w14:textId="52805775" w:rsidR="005C690F" w:rsidRPr="001555A7" w:rsidRDefault="0029572E" w:rsidP="001555A7">
      <w:pPr>
        <w:spacing w:after="0" w:line="360" w:lineRule="auto"/>
      </w:pPr>
      <w:r>
        <w:t>El</w:t>
      </w:r>
      <w:r w:rsidR="007D6307" w:rsidRPr="00D44EE1">
        <w:t xml:space="preserve"> </w:t>
      </w:r>
      <w:r w:rsidR="00FF6DBF">
        <w:t>veintiocho de febrero</w:t>
      </w:r>
      <w:r w:rsidR="007D6307" w:rsidRPr="00D44EE1">
        <w:t xml:space="preserve"> de dos mil </w:t>
      </w:r>
      <w:r w:rsidRPr="00D44EE1">
        <w:t>v</w:t>
      </w:r>
      <w:r>
        <w:t>einticinco</w:t>
      </w:r>
      <w:r w:rsidR="007D6307" w:rsidRPr="00D44EE1">
        <w:t xml:space="preserve">, </w:t>
      </w:r>
      <w:r w:rsidR="00412BAA">
        <w:t>el</w:t>
      </w:r>
      <w:r w:rsidR="007D6307" w:rsidRPr="00D44EE1">
        <w:t xml:space="preserve"> </w:t>
      </w:r>
      <w:r>
        <w:t>Solicitante</w:t>
      </w:r>
      <w:r w:rsidR="007D6307" w:rsidRPr="00D44EE1">
        <w:t xml:space="preserve"> presentó </w:t>
      </w:r>
      <w:r w:rsidR="0083264E">
        <w:t>una</w:t>
      </w:r>
      <w:r w:rsidR="007D6307" w:rsidRPr="00D44EE1">
        <w:t xml:space="preserve"> solicitud de acceso a la información, a través del Sistema de Acceso a la Información Mexiquense (SAIMEX), ante el</w:t>
      </w:r>
      <w:r w:rsidR="009C716A" w:rsidRPr="00D44EE1">
        <w:t xml:space="preserve"> </w:t>
      </w:r>
      <w:r w:rsidR="0083264E" w:rsidRPr="0083264E">
        <w:t xml:space="preserve">Ayuntamiento de </w:t>
      </w:r>
      <w:r w:rsidR="00412BAA">
        <w:t>Toluca</w:t>
      </w:r>
      <w:r>
        <w:t xml:space="preserve">, </w:t>
      </w:r>
      <w:r w:rsidR="007D6307" w:rsidRPr="00D44EE1">
        <w:t>en los siguientes términos:</w:t>
      </w:r>
    </w:p>
    <w:p w14:paraId="7EF8B248" w14:textId="60EA9D71" w:rsidR="00182020" w:rsidRDefault="0083264E" w:rsidP="001555A7">
      <w:pPr>
        <w:tabs>
          <w:tab w:val="left" w:pos="4667"/>
        </w:tabs>
        <w:spacing w:after="0" w:line="360" w:lineRule="auto"/>
        <w:ind w:left="567" w:right="567"/>
        <w:rPr>
          <w:b/>
          <w:i/>
          <w:sz w:val="20"/>
          <w:szCs w:val="20"/>
        </w:rPr>
      </w:pPr>
      <w:r>
        <w:rPr>
          <w:b/>
          <w:i/>
          <w:sz w:val="20"/>
          <w:szCs w:val="20"/>
        </w:rPr>
        <w:t xml:space="preserve"> </w:t>
      </w:r>
    </w:p>
    <w:p w14:paraId="5EA7729A" w14:textId="0FA66EE3" w:rsidR="005C690F" w:rsidRPr="00D44EE1" w:rsidRDefault="007D6307" w:rsidP="001555A7">
      <w:pPr>
        <w:tabs>
          <w:tab w:val="left" w:pos="4667"/>
        </w:tabs>
        <w:spacing w:after="0" w:line="360" w:lineRule="auto"/>
        <w:ind w:left="567" w:right="567"/>
        <w:rPr>
          <w:b/>
          <w:i/>
          <w:sz w:val="20"/>
          <w:szCs w:val="20"/>
        </w:rPr>
      </w:pPr>
      <w:r w:rsidRPr="00D44EE1">
        <w:rPr>
          <w:b/>
          <w:i/>
          <w:sz w:val="20"/>
          <w:szCs w:val="20"/>
        </w:rPr>
        <w:t>“DESCRIPCIÓN CLARA Y PRECISA DE LA INFORMACIÓN SOLICITADA</w:t>
      </w:r>
    </w:p>
    <w:p w14:paraId="58E47202" w14:textId="60F2511F" w:rsidR="005C690F" w:rsidRPr="00D44EE1" w:rsidRDefault="00FF6DBF" w:rsidP="001555A7">
      <w:pPr>
        <w:spacing w:after="0" w:line="360" w:lineRule="auto"/>
        <w:ind w:left="567" w:right="567"/>
        <w:rPr>
          <w:i/>
          <w:sz w:val="20"/>
          <w:szCs w:val="20"/>
        </w:rPr>
      </w:pPr>
      <w:r w:rsidRPr="00FF6DBF">
        <w:rPr>
          <w:i/>
          <w:sz w:val="20"/>
          <w:szCs w:val="20"/>
        </w:rPr>
        <w:t>CONVOCATORIA DEL AYUNTAMIENTO DE TOLUCA Y VIGENTE 2025 DEL PROCESO DE SELECCION DE AUTORIDADES AUXILIARES FECHA DEL PROCESO Y CUANTOS PRESUPUESTO SE DESIGANRA Y COO SE DESIGANRA CUNATO COSTARA POR CADA COMPRA PARA EL PROCESO</w:t>
      </w:r>
      <w:r w:rsidR="0083264E" w:rsidRPr="0083264E">
        <w:rPr>
          <w:i/>
          <w:sz w:val="20"/>
          <w:szCs w:val="20"/>
        </w:rPr>
        <w:t>.</w:t>
      </w:r>
      <w:r w:rsidR="00981A9C">
        <w:rPr>
          <w:i/>
          <w:sz w:val="20"/>
          <w:szCs w:val="20"/>
        </w:rPr>
        <w:t xml:space="preserve">” </w:t>
      </w:r>
      <w:r w:rsidR="00A36E65" w:rsidRPr="00D44EE1">
        <w:rPr>
          <w:i/>
          <w:sz w:val="20"/>
          <w:szCs w:val="20"/>
        </w:rPr>
        <w:t>(Sic)</w:t>
      </w:r>
    </w:p>
    <w:p w14:paraId="4EF69E6D" w14:textId="77777777" w:rsidR="005C690F" w:rsidRPr="00D44EE1" w:rsidRDefault="005C690F" w:rsidP="001555A7">
      <w:pPr>
        <w:tabs>
          <w:tab w:val="left" w:pos="4667"/>
        </w:tabs>
        <w:spacing w:after="0" w:line="360" w:lineRule="auto"/>
        <w:ind w:right="567"/>
        <w:rPr>
          <w:i/>
          <w:sz w:val="20"/>
          <w:szCs w:val="20"/>
        </w:rPr>
      </w:pPr>
    </w:p>
    <w:p w14:paraId="6628A46C" w14:textId="77777777" w:rsidR="005C690F" w:rsidRPr="00D44EE1" w:rsidRDefault="007D6307" w:rsidP="001555A7">
      <w:pPr>
        <w:tabs>
          <w:tab w:val="left" w:pos="4667"/>
        </w:tabs>
        <w:spacing w:after="0" w:line="360" w:lineRule="auto"/>
        <w:ind w:left="567" w:right="567"/>
        <w:rPr>
          <w:b/>
          <w:i/>
          <w:sz w:val="20"/>
          <w:szCs w:val="20"/>
        </w:rPr>
      </w:pPr>
      <w:r w:rsidRPr="00D44EE1">
        <w:rPr>
          <w:b/>
          <w:i/>
          <w:sz w:val="20"/>
          <w:szCs w:val="20"/>
        </w:rPr>
        <w:t>“MODALIDAD DE ENTREGA</w:t>
      </w:r>
    </w:p>
    <w:p w14:paraId="4038A17F" w14:textId="7196751D" w:rsidR="005C690F" w:rsidRDefault="007D6307" w:rsidP="001555A7">
      <w:pPr>
        <w:spacing w:after="0" w:line="360" w:lineRule="auto"/>
        <w:ind w:left="567" w:right="567"/>
        <w:rPr>
          <w:i/>
          <w:sz w:val="20"/>
          <w:szCs w:val="20"/>
        </w:rPr>
      </w:pPr>
      <w:r w:rsidRPr="00D44EE1">
        <w:rPr>
          <w:i/>
          <w:sz w:val="20"/>
          <w:szCs w:val="20"/>
        </w:rPr>
        <w:t>A través del SAIMEX” (Sic)</w:t>
      </w:r>
      <w:r w:rsidR="00EB35EB" w:rsidRPr="00D44EE1">
        <w:rPr>
          <w:i/>
          <w:sz w:val="20"/>
          <w:szCs w:val="20"/>
        </w:rPr>
        <w:t>.</w:t>
      </w:r>
    </w:p>
    <w:p w14:paraId="652F13C9" w14:textId="77777777" w:rsidR="0083264E" w:rsidRDefault="0083264E" w:rsidP="001555A7">
      <w:pPr>
        <w:spacing w:after="0" w:line="360" w:lineRule="auto"/>
        <w:rPr>
          <w:b/>
        </w:rPr>
      </w:pPr>
    </w:p>
    <w:p w14:paraId="6F3EA0EF" w14:textId="501256A8" w:rsidR="005C690F" w:rsidRPr="00C6040D" w:rsidRDefault="00E24E36" w:rsidP="001555A7">
      <w:pPr>
        <w:spacing w:after="0" w:line="360" w:lineRule="auto"/>
        <w:rPr>
          <w:b/>
        </w:rPr>
      </w:pPr>
      <w:r>
        <w:rPr>
          <w:b/>
        </w:rPr>
        <w:lastRenderedPageBreak/>
        <w:t xml:space="preserve">II. </w:t>
      </w:r>
      <w:r w:rsidR="00C6040D" w:rsidRPr="00C6040D">
        <w:rPr>
          <w:b/>
        </w:rPr>
        <w:t>Respuesta del Sujeto Obligado</w:t>
      </w:r>
    </w:p>
    <w:p w14:paraId="469BCC58" w14:textId="77777777" w:rsidR="00C6040D" w:rsidRPr="00C6040D" w:rsidRDefault="00C6040D" w:rsidP="001555A7">
      <w:pPr>
        <w:spacing w:after="0" w:line="360" w:lineRule="auto"/>
        <w:rPr>
          <w:b/>
          <w:color w:val="FF0000"/>
        </w:rPr>
      </w:pPr>
    </w:p>
    <w:p w14:paraId="54B79B35" w14:textId="6AFBAE06" w:rsidR="005C690F" w:rsidRDefault="0029572E" w:rsidP="001555A7">
      <w:pPr>
        <w:spacing w:after="0" w:line="360" w:lineRule="auto"/>
      </w:pPr>
      <w:bookmarkStart w:id="0" w:name="_heading=h.gjdgxs" w:colFirst="0" w:colLast="0"/>
      <w:bookmarkEnd w:id="0"/>
      <w:r>
        <w:t xml:space="preserve">El </w:t>
      </w:r>
      <w:r w:rsidR="00D44659" w:rsidRPr="00D44659">
        <w:t>veinticinco de marzo de dos mil veinticinco</w:t>
      </w:r>
      <w:r w:rsidR="007D6307" w:rsidRPr="00366246">
        <w:t xml:space="preserve">, el </w:t>
      </w:r>
      <w:r w:rsidR="00C937E2">
        <w:t>Sujeto Obligado</w:t>
      </w:r>
      <w:r>
        <w:t xml:space="preserve">, </w:t>
      </w:r>
      <w:r w:rsidR="007D6307" w:rsidRPr="00366246">
        <w:t>notificó la respuesta a la</w:t>
      </w:r>
      <w:r w:rsidR="00182020">
        <w:t xml:space="preserve"> </w:t>
      </w:r>
      <w:r w:rsidR="007D6307" w:rsidRPr="00366246">
        <w:t>solicitud, a través del Sistema de Acceso a la Informació</w:t>
      </w:r>
      <w:r w:rsidR="00F57508">
        <w:t xml:space="preserve">n Mexiquense (SAIMEX), </w:t>
      </w:r>
      <w:r>
        <w:t>por medio de</w:t>
      </w:r>
      <w:r w:rsidR="00182020">
        <w:t xml:space="preserve"> </w:t>
      </w:r>
      <w:r w:rsidR="00C937E2">
        <w:t>la remisión de lo siguiente:</w:t>
      </w:r>
    </w:p>
    <w:p w14:paraId="54500647" w14:textId="77777777" w:rsidR="00D44659" w:rsidRDefault="00D44659" w:rsidP="001555A7">
      <w:pPr>
        <w:spacing w:after="0" w:line="360" w:lineRule="auto"/>
      </w:pPr>
    </w:p>
    <w:p w14:paraId="1D0DB36D" w14:textId="260F5CB1" w:rsidR="00D44659" w:rsidRDefault="00A75414" w:rsidP="001555A7">
      <w:pPr>
        <w:pStyle w:val="Prrafodelista"/>
        <w:numPr>
          <w:ilvl w:val="0"/>
          <w:numId w:val="12"/>
        </w:numPr>
        <w:spacing w:line="360" w:lineRule="auto"/>
      </w:pPr>
      <w:r>
        <w:t xml:space="preserve">Oficio del Tesorero municipal donde refiere que la información solicitada se encuentra en proceso de integración en términos de los periodos establecidos por el Órgano Superior de Fiscalización para la entrega del Primer Informe Trimestral. </w:t>
      </w:r>
    </w:p>
    <w:p w14:paraId="1949A00C" w14:textId="7CCB925E" w:rsidR="00A75414" w:rsidRDefault="0041309E" w:rsidP="001555A7">
      <w:pPr>
        <w:pStyle w:val="Prrafodelista"/>
        <w:numPr>
          <w:ilvl w:val="0"/>
          <w:numId w:val="12"/>
        </w:numPr>
        <w:spacing w:line="360" w:lineRule="auto"/>
      </w:pPr>
      <w:r>
        <w:t>Digitalización de la convocatoria para la elección de Consejos de Participación Ciudadana 2025-2027</w:t>
      </w:r>
    </w:p>
    <w:p w14:paraId="6C03DDDB" w14:textId="6BF51646" w:rsidR="0041309E" w:rsidRPr="0041309E" w:rsidRDefault="0041309E" w:rsidP="001555A7">
      <w:pPr>
        <w:pStyle w:val="Prrafodelista"/>
        <w:numPr>
          <w:ilvl w:val="0"/>
          <w:numId w:val="12"/>
        </w:numPr>
        <w:spacing w:line="360" w:lineRule="auto"/>
      </w:pPr>
      <w:r w:rsidRPr="0041309E">
        <w:t xml:space="preserve">Digitalización de la convocatoria para la elección de </w:t>
      </w:r>
      <w:proofErr w:type="gramStart"/>
      <w:r>
        <w:t>Delegados</w:t>
      </w:r>
      <w:proofErr w:type="gramEnd"/>
      <w:r>
        <w:t xml:space="preserve"> y </w:t>
      </w:r>
      <w:proofErr w:type="gramStart"/>
      <w:r>
        <w:t>Subdelegados</w:t>
      </w:r>
      <w:proofErr w:type="gramEnd"/>
      <w:r w:rsidRPr="0041309E">
        <w:t xml:space="preserve"> 2025-2027</w:t>
      </w:r>
    </w:p>
    <w:p w14:paraId="154092C3" w14:textId="4555D424" w:rsidR="0041309E" w:rsidRDefault="0041309E" w:rsidP="001555A7">
      <w:pPr>
        <w:pStyle w:val="Prrafodelista"/>
        <w:numPr>
          <w:ilvl w:val="0"/>
          <w:numId w:val="12"/>
        </w:numPr>
        <w:spacing w:line="360" w:lineRule="auto"/>
      </w:pPr>
      <w:r w:rsidRPr="0041309E">
        <w:t xml:space="preserve">Digitalización de la </w:t>
      </w:r>
      <w:r>
        <w:t xml:space="preserve">Consulta previa a la </w:t>
      </w:r>
      <w:r w:rsidRPr="0041309E">
        <w:t xml:space="preserve">convocatoria para </w:t>
      </w:r>
      <w:r w:rsidR="0043636F">
        <w:t>designar</w:t>
      </w:r>
      <w:r>
        <w:t xml:space="preserve"> el Representante Indígena</w:t>
      </w:r>
      <w:r w:rsidRPr="0041309E">
        <w:t xml:space="preserve"> 2025-2027</w:t>
      </w:r>
    </w:p>
    <w:p w14:paraId="5ECB7671" w14:textId="30F42226" w:rsidR="0021791B" w:rsidRPr="0041309E" w:rsidRDefault="0021791B" w:rsidP="001555A7">
      <w:pPr>
        <w:pStyle w:val="Prrafodelista"/>
        <w:numPr>
          <w:ilvl w:val="0"/>
          <w:numId w:val="12"/>
        </w:numPr>
        <w:spacing w:line="360" w:lineRule="auto"/>
      </w:pPr>
      <w:r>
        <w:t xml:space="preserve">Remite un </w:t>
      </w:r>
      <w:proofErr w:type="gramStart"/>
      <w:r>
        <w:t>link</w:t>
      </w:r>
      <w:proofErr w:type="gramEnd"/>
      <w:r>
        <w:t xml:space="preserve"> en formato abierto que direcciona a las convocatorias antes referidas</w:t>
      </w:r>
    </w:p>
    <w:p w14:paraId="3D26E151" w14:textId="77777777" w:rsidR="0041309E" w:rsidRDefault="0041309E" w:rsidP="001555A7">
      <w:pPr>
        <w:spacing w:after="0" w:line="360" w:lineRule="auto"/>
        <w:ind w:left="360"/>
      </w:pPr>
    </w:p>
    <w:p w14:paraId="6770F932" w14:textId="4965DBA6" w:rsidR="005C690F" w:rsidRPr="00950E22" w:rsidRDefault="0043636F" w:rsidP="001555A7">
      <w:pPr>
        <w:spacing w:after="0" w:line="360" w:lineRule="auto"/>
        <w:rPr>
          <w:b/>
        </w:rPr>
      </w:pPr>
      <w:r>
        <w:rPr>
          <w:b/>
        </w:rPr>
        <w:t>III</w:t>
      </w:r>
      <w:r w:rsidR="007D6307" w:rsidRPr="00AD5E14">
        <w:rPr>
          <w:b/>
        </w:rPr>
        <w:t>. Interpo</w:t>
      </w:r>
      <w:r w:rsidR="00EB35EB" w:rsidRPr="00AD5E14">
        <w:rPr>
          <w:b/>
        </w:rPr>
        <w:t xml:space="preserve">sición </w:t>
      </w:r>
      <w:proofErr w:type="gramStart"/>
      <w:r w:rsidR="00EB35EB" w:rsidRPr="00AD5E14">
        <w:rPr>
          <w:b/>
        </w:rPr>
        <w:t>de</w:t>
      </w:r>
      <w:r w:rsidR="007E6E65">
        <w:rPr>
          <w:b/>
        </w:rPr>
        <w:t xml:space="preserve">l </w:t>
      </w:r>
      <w:r w:rsidR="00EB35EB" w:rsidRPr="00AD5E14">
        <w:rPr>
          <w:b/>
        </w:rPr>
        <w:t xml:space="preserve"> Recurso</w:t>
      </w:r>
      <w:proofErr w:type="gramEnd"/>
      <w:r w:rsidR="00EB35EB" w:rsidRPr="00AD5E14">
        <w:rPr>
          <w:b/>
        </w:rPr>
        <w:t xml:space="preserve"> de Revisión</w:t>
      </w:r>
    </w:p>
    <w:p w14:paraId="7414D026" w14:textId="77777777" w:rsidR="005C690F" w:rsidRPr="00D43035" w:rsidRDefault="005C690F" w:rsidP="001555A7">
      <w:pPr>
        <w:spacing w:after="0" w:line="360" w:lineRule="auto"/>
        <w:rPr>
          <w:color w:val="FF0000"/>
        </w:rPr>
      </w:pPr>
    </w:p>
    <w:p w14:paraId="5D822B9A" w14:textId="2BCFE27B" w:rsidR="005C690F" w:rsidRPr="00950E22" w:rsidRDefault="0029572E" w:rsidP="001555A7">
      <w:pPr>
        <w:widowControl w:val="0"/>
        <w:spacing w:after="0" w:line="360" w:lineRule="auto"/>
      </w:pPr>
      <w:r>
        <w:t xml:space="preserve">El </w:t>
      </w:r>
      <w:r w:rsidR="0043636F">
        <w:t xml:space="preserve">dos de abril </w:t>
      </w:r>
      <w:r>
        <w:t>de dos mil veinticinco</w:t>
      </w:r>
      <w:r w:rsidR="007D6307" w:rsidRPr="00950E22">
        <w:t xml:space="preserve">, </w:t>
      </w:r>
      <w:r w:rsidR="007E6E65">
        <w:t>se recibió</w:t>
      </w:r>
      <w:r w:rsidR="007D6307" w:rsidRPr="00950E22">
        <w:t xml:space="preserve"> en este Instituto, a través del Sistema de Acceso a la Información Mexiquense (SAIMEX</w:t>
      </w:r>
      <w:proofErr w:type="gramStart"/>
      <w:r w:rsidR="007D6307" w:rsidRPr="00950E22">
        <w:t xml:space="preserve">), </w:t>
      </w:r>
      <w:r w:rsidR="00182020">
        <w:t xml:space="preserve"> </w:t>
      </w:r>
      <w:r w:rsidR="007D6307" w:rsidRPr="00950E22">
        <w:t>Recurso</w:t>
      </w:r>
      <w:proofErr w:type="gramEnd"/>
      <w:r w:rsidR="007D6307" w:rsidRPr="00950E22">
        <w:t xml:space="preserve"> de Revisión</w:t>
      </w:r>
      <w:r w:rsidR="00182020">
        <w:t xml:space="preserve">, </w:t>
      </w:r>
      <w:r w:rsidR="007E6E65">
        <w:t>interpuesto</w:t>
      </w:r>
      <w:r w:rsidR="007D6307" w:rsidRPr="00950E22">
        <w:t xml:space="preserve"> por la </w:t>
      </w:r>
      <w:r w:rsidR="0026334C">
        <w:t>persona</w:t>
      </w:r>
      <w:r w:rsidR="007D6307" w:rsidRPr="00950E22">
        <w:t xml:space="preserve"> Recurrente, en contra de la respuesta del Sujeto Obligado, en los términos siguientes: </w:t>
      </w:r>
    </w:p>
    <w:p w14:paraId="65CF9F11" w14:textId="77777777" w:rsidR="005C690F" w:rsidRPr="00D43035" w:rsidRDefault="005C690F" w:rsidP="001555A7">
      <w:pPr>
        <w:tabs>
          <w:tab w:val="left" w:pos="4667"/>
        </w:tabs>
        <w:spacing w:after="0" w:line="360" w:lineRule="auto"/>
        <w:ind w:left="567" w:right="567"/>
        <w:rPr>
          <w:b/>
          <w:i/>
          <w:color w:val="FF0000"/>
          <w:sz w:val="20"/>
          <w:szCs w:val="20"/>
        </w:rPr>
      </w:pPr>
    </w:p>
    <w:p w14:paraId="69162D22" w14:textId="77777777" w:rsidR="005C690F" w:rsidRPr="00950E22" w:rsidRDefault="007D6307" w:rsidP="001555A7">
      <w:pPr>
        <w:spacing w:after="0" w:line="360" w:lineRule="auto"/>
        <w:ind w:left="567" w:right="567"/>
        <w:rPr>
          <w:b/>
          <w:i/>
          <w:sz w:val="20"/>
          <w:szCs w:val="20"/>
        </w:rPr>
      </w:pPr>
      <w:r w:rsidRPr="00950E22">
        <w:rPr>
          <w:b/>
          <w:i/>
          <w:sz w:val="20"/>
          <w:szCs w:val="20"/>
        </w:rPr>
        <w:t>“ACTO IMPUGNADO</w:t>
      </w:r>
    </w:p>
    <w:p w14:paraId="12CE6904" w14:textId="3673DEE1" w:rsidR="005C690F" w:rsidRPr="00950E22" w:rsidRDefault="0043636F" w:rsidP="001555A7">
      <w:pPr>
        <w:tabs>
          <w:tab w:val="left" w:pos="4667"/>
        </w:tabs>
        <w:spacing w:after="0" w:line="360" w:lineRule="auto"/>
        <w:ind w:left="567" w:right="567"/>
        <w:rPr>
          <w:i/>
          <w:sz w:val="20"/>
          <w:szCs w:val="20"/>
        </w:rPr>
      </w:pPr>
      <w:r w:rsidRPr="0043636F">
        <w:rPr>
          <w:i/>
          <w:iCs/>
          <w:sz w:val="20"/>
          <w:szCs w:val="20"/>
        </w:rPr>
        <w:t xml:space="preserve">La respuesta no </w:t>
      </w:r>
      <w:proofErr w:type="spellStart"/>
      <w:r w:rsidRPr="0043636F">
        <w:rPr>
          <w:i/>
          <w:iCs/>
          <w:sz w:val="20"/>
          <w:szCs w:val="20"/>
        </w:rPr>
        <w:t>esta</w:t>
      </w:r>
      <w:proofErr w:type="spellEnd"/>
      <w:r w:rsidRPr="0043636F">
        <w:rPr>
          <w:i/>
          <w:iCs/>
          <w:sz w:val="20"/>
          <w:szCs w:val="20"/>
        </w:rPr>
        <w:t xml:space="preserve"> completa</w:t>
      </w:r>
      <w:r w:rsidR="003F6C55" w:rsidRPr="00950E22">
        <w:rPr>
          <w:i/>
          <w:sz w:val="20"/>
          <w:szCs w:val="20"/>
        </w:rPr>
        <w:t>” (Sic.)</w:t>
      </w:r>
    </w:p>
    <w:p w14:paraId="7A6426FC" w14:textId="77777777" w:rsidR="008C607D" w:rsidRDefault="008C607D" w:rsidP="001555A7">
      <w:pPr>
        <w:tabs>
          <w:tab w:val="left" w:pos="4667"/>
        </w:tabs>
        <w:spacing w:after="0" w:line="360" w:lineRule="auto"/>
        <w:ind w:left="567" w:right="567"/>
        <w:rPr>
          <w:b/>
          <w:i/>
          <w:color w:val="FF0000"/>
          <w:sz w:val="20"/>
          <w:szCs w:val="20"/>
        </w:rPr>
      </w:pPr>
    </w:p>
    <w:p w14:paraId="2498979B" w14:textId="77777777" w:rsidR="00A72698" w:rsidRPr="00D43035" w:rsidRDefault="00A72698" w:rsidP="001555A7">
      <w:pPr>
        <w:tabs>
          <w:tab w:val="left" w:pos="4667"/>
        </w:tabs>
        <w:spacing w:after="0" w:line="360" w:lineRule="auto"/>
        <w:ind w:left="567" w:right="567"/>
        <w:rPr>
          <w:b/>
          <w:i/>
          <w:color w:val="FF0000"/>
          <w:sz w:val="20"/>
          <w:szCs w:val="20"/>
        </w:rPr>
      </w:pPr>
    </w:p>
    <w:p w14:paraId="675863D4" w14:textId="77777777" w:rsidR="005C690F" w:rsidRPr="00950E22" w:rsidRDefault="007D6307" w:rsidP="001555A7">
      <w:pPr>
        <w:tabs>
          <w:tab w:val="left" w:pos="4667"/>
        </w:tabs>
        <w:spacing w:after="0" w:line="360" w:lineRule="auto"/>
        <w:ind w:left="567" w:right="567"/>
        <w:rPr>
          <w:b/>
          <w:i/>
          <w:sz w:val="20"/>
          <w:szCs w:val="20"/>
        </w:rPr>
      </w:pPr>
      <w:r w:rsidRPr="00950E22">
        <w:rPr>
          <w:b/>
          <w:i/>
          <w:sz w:val="20"/>
          <w:szCs w:val="20"/>
        </w:rPr>
        <w:t>“RAZONES O MOTIVOS DE LA INCONFORMIDAD</w:t>
      </w:r>
    </w:p>
    <w:p w14:paraId="44FAAC42" w14:textId="232A6BEA" w:rsidR="005C690F" w:rsidRPr="00950E22" w:rsidRDefault="0043636F" w:rsidP="001555A7">
      <w:pPr>
        <w:tabs>
          <w:tab w:val="left" w:pos="4667"/>
        </w:tabs>
        <w:spacing w:after="0" w:line="360" w:lineRule="auto"/>
        <w:ind w:left="567" w:right="567"/>
        <w:rPr>
          <w:i/>
          <w:sz w:val="20"/>
          <w:szCs w:val="20"/>
        </w:rPr>
      </w:pPr>
      <w:r w:rsidRPr="0043636F">
        <w:rPr>
          <w:i/>
          <w:sz w:val="20"/>
          <w:szCs w:val="20"/>
        </w:rPr>
        <w:lastRenderedPageBreak/>
        <w:t xml:space="preserve">Falta información no </w:t>
      </w:r>
      <w:proofErr w:type="spellStart"/>
      <w:r w:rsidRPr="0043636F">
        <w:rPr>
          <w:i/>
          <w:sz w:val="20"/>
          <w:szCs w:val="20"/>
        </w:rPr>
        <w:t>esta</w:t>
      </w:r>
      <w:proofErr w:type="spellEnd"/>
      <w:r w:rsidRPr="0043636F">
        <w:rPr>
          <w:i/>
          <w:sz w:val="20"/>
          <w:szCs w:val="20"/>
        </w:rPr>
        <w:t xml:space="preserve"> completo de acuerdo con lo solicitado</w:t>
      </w:r>
      <w:r w:rsidR="0029572E" w:rsidRPr="0029572E">
        <w:rPr>
          <w:i/>
          <w:sz w:val="20"/>
          <w:szCs w:val="20"/>
        </w:rPr>
        <w:t>.</w:t>
      </w:r>
      <w:r w:rsidR="003F6C55" w:rsidRPr="00950E22">
        <w:rPr>
          <w:i/>
          <w:sz w:val="20"/>
          <w:szCs w:val="20"/>
        </w:rPr>
        <w:t>” (Sic.)</w:t>
      </w:r>
    </w:p>
    <w:p w14:paraId="5FAF3D8F" w14:textId="77777777" w:rsidR="005C690F" w:rsidRPr="00D43035" w:rsidRDefault="005C690F" w:rsidP="001555A7">
      <w:pPr>
        <w:spacing w:after="0" w:line="360" w:lineRule="auto"/>
        <w:rPr>
          <w:color w:val="FF0000"/>
          <w:sz w:val="20"/>
          <w:szCs w:val="20"/>
        </w:rPr>
      </w:pPr>
    </w:p>
    <w:p w14:paraId="60D99221" w14:textId="61809419" w:rsidR="005C690F" w:rsidRPr="00950E22" w:rsidRDefault="0029572E" w:rsidP="001555A7">
      <w:pPr>
        <w:spacing w:after="0" w:line="360" w:lineRule="auto"/>
        <w:rPr>
          <w:b/>
        </w:rPr>
      </w:pPr>
      <w:r>
        <w:rPr>
          <w:b/>
        </w:rPr>
        <w:t>I</w:t>
      </w:r>
      <w:r w:rsidR="007D6307" w:rsidRPr="00950E22">
        <w:rPr>
          <w:b/>
        </w:rPr>
        <w:t>V. Trámite de</w:t>
      </w:r>
      <w:r w:rsidR="00A72698">
        <w:rPr>
          <w:b/>
        </w:rPr>
        <w:t xml:space="preserve"> </w:t>
      </w:r>
      <w:r w:rsidR="007D6307" w:rsidRPr="00950E22">
        <w:rPr>
          <w:b/>
        </w:rPr>
        <w:t>l</w:t>
      </w:r>
      <w:r w:rsidR="00A72698">
        <w:rPr>
          <w:b/>
        </w:rPr>
        <w:t>os</w:t>
      </w:r>
      <w:r w:rsidR="007D6307" w:rsidRPr="00950E22">
        <w:rPr>
          <w:b/>
        </w:rPr>
        <w:t xml:space="preserve"> Recurso</w:t>
      </w:r>
      <w:r w:rsidR="00A72698">
        <w:rPr>
          <w:b/>
        </w:rPr>
        <w:t>s</w:t>
      </w:r>
      <w:r w:rsidR="007D6307" w:rsidRPr="00950E22">
        <w:rPr>
          <w:b/>
        </w:rPr>
        <w:t xml:space="preserve"> </w:t>
      </w:r>
      <w:r w:rsidR="00EB35EB" w:rsidRPr="00950E22">
        <w:rPr>
          <w:b/>
        </w:rPr>
        <w:t>de Revisión ante este Instituto</w:t>
      </w:r>
    </w:p>
    <w:p w14:paraId="15C7ED82" w14:textId="77777777" w:rsidR="005C690F" w:rsidRPr="00D43035" w:rsidRDefault="005C690F" w:rsidP="001555A7">
      <w:pPr>
        <w:spacing w:after="0" w:line="360" w:lineRule="auto"/>
        <w:rPr>
          <w:b/>
          <w:color w:val="FF0000"/>
        </w:rPr>
      </w:pPr>
    </w:p>
    <w:p w14:paraId="31EF4ED2" w14:textId="566343F6" w:rsidR="005C690F" w:rsidRPr="00950E22" w:rsidRDefault="007D6307" w:rsidP="001555A7">
      <w:pPr>
        <w:spacing w:after="0" w:line="360" w:lineRule="auto"/>
        <w:rPr>
          <w:b/>
        </w:rPr>
      </w:pPr>
      <w:r w:rsidRPr="00950E22">
        <w:rPr>
          <w:b/>
        </w:rPr>
        <w:t>a) Turno de</w:t>
      </w:r>
      <w:r w:rsidR="00A72698">
        <w:rPr>
          <w:b/>
        </w:rPr>
        <w:t xml:space="preserve"> </w:t>
      </w:r>
      <w:r w:rsidRPr="00950E22">
        <w:rPr>
          <w:b/>
        </w:rPr>
        <w:t>l</w:t>
      </w:r>
      <w:r w:rsidR="00A72698">
        <w:rPr>
          <w:b/>
        </w:rPr>
        <w:t>os</w:t>
      </w:r>
      <w:r w:rsidRPr="00950E22">
        <w:rPr>
          <w:b/>
        </w:rPr>
        <w:t xml:space="preserve"> Medio</w:t>
      </w:r>
      <w:r w:rsidR="00A72698">
        <w:rPr>
          <w:b/>
        </w:rPr>
        <w:t>s</w:t>
      </w:r>
      <w:r w:rsidRPr="00950E22">
        <w:rPr>
          <w:b/>
        </w:rPr>
        <w:t xml:space="preserve"> de Impugnación. </w:t>
      </w:r>
      <w:r w:rsidRPr="00950E22">
        <w:t xml:space="preserve">El </w:t>
      </w:r>
      <w:r w:rsidR="0043636F" w:rsidRPr="0043636F">
        <w:t>dos de abril de dos mil veinticinco</w:t>
      </w:r>
      <w:r w:rsidR="007E6E65" w:rsidRPr="007E6E65">
        <w:t>,</w:t>
      </w:r>
      <w:r w:rsidRPr="00950E22">
        <w:t xml:space="preserve"> el Sistema de Acceso a la Información Mexiquense (SAIMEX), asignó el número de expediente</w:t>
      </w:r>
      <w:r w:rsidRPr="00950E22">
        <w:rPr>
          <w:b/>
        </w:rPr>
        <w:t xml:space="preserve"> </w:t>
      </w:r>
      <w:r w:rsidR="00FF6DBF" w:rsidRPr="00FF6DBF">
        <w:rPr>
          <w:b/>
        </w:rPr>
        <w:t>03926/INFOEM/IP/RR/2025</w:t>
      </w:r>
      <w:r w:rsidR="00FF6DBF">
        <w:rPr>
          <w:b/>
        </w:rPr>
        <w:t xml:space="preserve"> </w:t>
      </w:r>
      <w:r w:rsidRPr="00950E22">
        <w:t>a</w:t>
      </w:r>
      <w:r w:rsidR="00833201">
        <w:t>l</w:t>
      </w:r>
      <w:r w:rsidRPr="00950E22">
        <w:t xml:space="preserve"> Medio de Impugnación que nos ocupa, con base en el sistema aprobado por el Pleno de este Órgano Garante y lo</w:t>
      </w:r>
      <w:r w:rsidR="00A72698">
        <w:t>s</w:t>
      </w:r>
      <w:r w:rsidRPr="00950E22">
        <w:t xml:space="preserve"> </w:t>
      </w:r>
      <w:r w:rsidR="00833201">
        <w:t>turnó</w:t>
      </w:r>
      <w:r w:rsidRPr="00950E22">
        <w:t xml:space="preserve"> al </w:t>
      </w:r>
      <w:r w:rsidRPr="00950E22">
        <w:rPr>
          <w:b/>
        </w:rPr>
        <w:t>Comisionado Ponente Luis Gustavo Parra Noriega</w:t>
      </w:r>
      <w:r w:rsidRPr="00950E22">
        <w:t>, para los efectos del artículo 185, fracción I de la Ley de Transparencia y Acceso a la Información Pública del Estado de México y Municipios.</w:t>
      </w:r>
    </w:p>
    <w:p w14:paraId="44AFA9C7" w14:textId="77777777" w:rsidR="005C690F" w:rsidRPr="00D43035" w:rsidRDefault="005C690F" w:rsidP="001555A7">
      <w:pPr>
        <w:spacing w:after="0" w:line="360" w:lineRule="auto"/>
        <w:rPr>
          <w:color w:val="FF0000"/>
        </w:rPr>
      </w:pPr>
    </w:p>
    <w:p w14:paraId="221108D1" w14:textId="3016E705" w:rsidR="005C690F" w:rsidRPr="00950E22" w:rsidRDefault="00DF525C" w:rsidP="001555A7">
      <w:pPr>
        <w:spacing w:after="0" w:line="360" w:lineRule="auto"/>
      </w:pPr>
      <w:r w:rsidRPr="00DF525C">
        <w:rPr>
          <w:rFonts w:eastAsia="Batang" w:cs="Tahoma"/>
          <w:b/>
          <w:bCs/>
          <w:lang w:eastAsia="es-ES"/>
        </w:rPr>
        <w:t xml:space="preserve">b) </w:t>
      </w:r>
      <w:r w:rsidR="007D6307" w:rsidRPr="00950E22">
        <w:rPr>
          <w:b/>
        </w:rPr>
        <w:t xml:space="preserve">Admisión del Recurso de Revisión. </w:t>
      </w:r>
      <w:r w:rsidR="007D6307" w:rsidRPr="00950E22">
        <w:t xml:space="preserve">El </w:t>
      </w:r>
      <w:r w:rsidR="00CB6E17">
        <w:t xml:space="preserve">siete de abril </w:t>
      </w:r>
      <w:r w:rsidR="00E73BE4">
        <w:t xml:space="preserve"> de dos mil veinticinco</w:t>
      </w:r>
      <w:r w:rsidR="007D6307" w:rsidRPr="00950E22">
        <w:t>,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950E22">
        <w:t xml:space="preserve"> mismo día</w:t>
      </w:r>
      <w:r w:rsidR="007D6307" w:rsidRPr="00950E22">
        <w:t xml:space="preserve">, a través del Sistema de Acceso a la Información Mexiquense (SAIMEX), en el que se les otorgó un plazo de siete días hábiles posteriores a la misma, para que manifestaran lo que a su derecho conviniera y formularan alegatos. </w:t>
      </w:r>
    </w:p>
    <w:p w14:paraId="028C0562" w14:textId="77777777" w:rsidR="005C690F" w:rsidRPr="00D43035" w:rsidRDefault="005C690F" w:rsidP="001555A7">
      <w:pPr>
        <w:spacing w:after="0" w:line="360" w:lineRule="auto"/>
        <w:rPr>
          <w:color w:val="FF0000"/>
        </w:rPr>
      </w:pPr>
    </w:p>
    <w:p w14:paraId="4BAB196A" w14:textId="39128A09" w:rsidR="005C690F" w:rsidRDefault="00185393" w:rsidP="001555A7">
      <w:pPr>
        <w:spacing w:after="0" w:line="360" w:lineRule="auto"/>
      </w:pPr>
      <w:r>
        <w:rPr>
          <w:b/>
        </w:rPr>
        <w:t>c</w:t>
      </w:r>
      <w:r w:rsidR="00A72698">
        <w:rPr>
          <w:b/>
        </w:rPr>
        <w:t xml:space="preserve">) </w:t>
      </w:r>
      <w:r w:rsidR="007D6307" w:rsidRPr="00BB0D42">
        <w:rPr>
          <w:b/>
        </w:rPr>
        <w:t>Informe Justificad</w:t>
      </w:r>
      <w:r w:rsidR="00E73BE4">
        <w:rPr>
          <w:b/>
        </w:rPr>
        <w:t>o o manifestaciones</w:t>
      </w:r>
      <w:r w:rsidR="007D6307" w:rsidRPr="00BB0D42">
        <w:rPr>
          <w:b/>
        </w:rPr>
        <w:t>.</w:t>
      </w:r>
      <w:r w:rsidR="007D6307" w:rsidRPr="00BB0D42">
        <w:t xml:space="preserve"> </w:t>
      </w:r>
      <w:r w:rsidR="00CB6E17">
        <w:t>El Sujeto Obligado rindió su informe justificado el veintitrés de abril de dos mil veinticinco, mismo que fue puesto a la vista de la Recurrente, quien omitió realizar manifestaciones.</w:t>
      </w:r>
    </w:p>
    <w:p w14:paraId="2BF46DB0" w14:textId="77777777" w:rsidR="00185393" w:rsidRDefault="00185393" w:rsidP="001555A7">
      <w:pPr>
        <w:spacing w:after="0" w:line="360" w:lineRule="auto"/>
      </w:pPr>
    </w:p>
    <w:p w14:paraId="4608EDDE" w14:textId="7F16B208" w:rsidR="00185393" w:rsidRPr="0019462A" w:rsidRDefault="00185393" w:rsidP="001555A7">
      <w:pPr>
        <w:spacing w:after="0" w:line="360" w:lineRule="auto"/>
        <w:rPr>
          <w:lang w:val="es-ES"/>
        </w:rPr>
      </w:pPr>
      <w:r>
        <w:rPr>
          <w:b/>
          <w:bCs/>
          <w:lang w:val="es-ES"/>
        </w:rPr>
        <w:t>d</w:t>
      </w:r>
      <w:r w:rsidRPr="0019462A">
        <w:rPr>
          <w:b/>
          <w:bCs/>
          <w:lang w:val="es-ES"/>
        </w:rPr>
        <w:t xml:space="preserve">) Ampliación de plazo para resolver. </w:t>
      </w:r>
      <w:r w:rsidRPr="0019462A">
        <w:rPr>
          <w:lang w:val="es-ES"/>
        </w:rPr>
        <w:t xml:space="preserve">El </w:t>
      </w:r>
      <w:r>
        <w:t>veintisiete de agosto de dos mil veinticinco</w:t>
      </w:r>
      <w:r w:rsidRPr="0019462A">
        <w:rPr>
          <w:lang w:val="es-ES"/>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w:t>
      </w:r>
      <w:r w:rsidRPr="0019462A">
        <w:rPr>
          <w:lang w:val="es-ES"/>
        </w:rPr>
        <w:lastRenderedPageBreak/>
        <w:t>que fue notificado a las partes, mediante el Sistema de Acceso a la Información Mexiquense (SAIMEX).</w:t>
      </w:r>
    </w:p>
    <w:p w14:paraId="5F9A48F2" w14:textId="77777777" w:rsidR="00185393" w:rsidRPr="0019462A" w:rsidRDefault="00185393" w:rsidP="001555A7">
      <w:pPr>
        <w:spacing w:after="0" w:line="360" w:lineRule="auto"/>
        <w:rPr>
          <w:lang w:val="es-ES"/>
        </w:rPr>
      </w:pPr>
    </w:p>
    <w:p w14:paraId="5AAF6F49" w14:textId="082642CE" w:rsidR="0005404B" w:rsidRPr="00D1568D" w:rsidRDefault="00A72698" w:rsidP="001555A7">
      <w:pPr>
        <w:spacing w:after="0" w:line="360" w:lineRule="auto"/>
        <w:rPr>
          <w:rFonts w:cs="Tahoma"/>
        </w:rPr>
      </w:pPr>
      <w:r>
        <w:rPr>
          <w:b/>
          <w:bCs/>
        </w:rPr>
        <w:t>e</w:t>
      </w:r>
      <w:r w:rsidR="000229AF" w:rsidRPr="000229AF">
        <w:rPr>
          <w:b/>
          <w:bCs/>
        </w:rPr>
        <w:t xml:space="preserve">) </w:t>
      </w:r>
      <w:r w:rsidR="0005404B" w:rsidRPr="00D1568D">
        <w:rPr>
          <w:rFonts w:cs="Tahoma"/>
          <w:b/>
        </w:rPr>
        <w:t>Cierre de instrucción.</w:t>
      </w:r>
      <w:r w:rsidR="0005404B" w:rsidRPr="00D1568D">
        <w:rPr>
          <w:rFonts w:cs="Tahoma"/>
        </w:rPr>
        <w:t xml:space="preserve"> El </w:t>
      </w:r>
      <w:r w:rsidR="00185393">
        <w:rPr>
          <w:rFonts w:cs="Tahoma"/>
        </w:rPr>
        <w:t>dos de septiembre</w:t>
      </w:r>
      <w:r w:rsidR="007E41C3">
        <w:rPr>
          <w:rFonts w:cs="Tahoma"/>
        </w:rPr>
        <w:t xml:space="preserve"> de dos mil veinticinco,</w:t>
      </w:r>
      <w:r w:rsidR="0005404B" w:rsidRPr="00D1568D">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D1568D">
        <w:rPr>
          <w:lang w:val="es-ES"/>
        </w:rPr>
        <w:t>acto que fue notificado a las partes, mediante el Sistema de Acceso a la Información Mexiquense (SAIMEX), el mismo día.</w:t>
      </w:r>
    </w:p>
    <w:p w14:paraId="174D393C" w14:textId="77777777" w:rsidR="0005404B" w:rsidRDefault="0005404B" w:rsidP="001555A7">
      <w:pPr>
        <w:spacing w:after="0" w:line="360" w:lineRule="auto"/>
        <w:ind w:right="-28"/>
      </w:pPr>
    </w:p>
    <w:p w14:paraId="089973FD" w14:textId="77777777" w:rsidR="0005404B" w:rsidRPr="006A0CDD" w:rsidRDefault="0005404B" w:rsidP="001555A7">
      <w:pPr>
        <w:spacing w:after="0" w:line="360" w:lineRule="auto"/>
        <w:rPr>
          <w:color w:val="000000"/>
        </w:rPr>
      </w:pPr>
      <w:proofErr w:type="gramStart"/>
      <w:r w:rsidRPr="006A0CDD">
        <w:rPr>
          <w:color w:val="000000"/>
        </w:rPr>
        <w:t>En razón de</w:t>
      </w:r>
      <w:proofErr w:type="gramEnd"/>
      <w:r w:rsidRPr="006A0CDD">
        <w:rPr>
          <w:color w:val="000000"/>
        </w:rPr>
        <w:t xml:space="preserve"> que fue debidamente sustanciado e integrado el expediente electrónico y no existe diligencia pendiente de desahogo, se emite la resolución que conforme a Derecho proceda, </w:t>
      </w:r>
      <w:proofErr w:type="gramStart"/>
      <w:r w:rsidRPr="006A0CDD">
        <w:rPr>
          <w:color w:val="000000"/>
        </w:rPr>
        <w:t>de acuerdo a</w:t>
      </w:r>
      <w:proofErr w:type="gramEnd"/>
      <w:r w:rsidRPr="006A0CDD">
        <w:rPr>
          <w:color w:val="000000"/>
        </w:rPr>
        <w:t xml:space="preserve"> los siguientes:</w:t>
      </w:r>
    </w:p>
    <w:p w14:paraId="1C132216" w14:textId="77777777" w:rsidR="005C690F" w:rsidRPr="000229AF" w:rsidRDefault="005C690F" w:rsidP="001555A7">
      <w:pPr>
        <w:spacing w:after="0" w:line="360" w:lineRule="auto"/>
        <w:rPr>
          <w:b/>
        </w:rPr>
      </w:pPr>
    </w:p>
    <w:p w14:paraId="250F6589" w14:textId="1EC8D5BC" w:rsidR="005C690F" w:rsidRPr="000229AF" w:rsidRDefault="00EB35EB" w:rsidP="001555A7">
      <w:pPr>
        <w:spacing w:after="0" w:line="360" w:lineRule="auto"/>
        <w:jc w:val="center"/>
        <w:rPr>
          <w:b/>
        </w:rPr>
      </w:pPr>
      <w:r w:rsidRPr="000229AF">
        <w:rPr>
          <w:b/>
        </w:rPr>
        <w:t>C O N S I D E R A N D O S</w:t>
      </w:r>
    </w:p>
    <w:p w14:paraId="5AB6ED71" w14:textId="77777777" w:rsidR="005C690F" w:rsidRDefault="005C690F" w:rsidP="001555A7">
      <w:pPr>
        <w:spacing w:after="0" w:line="360" w:lineRule="auto"/>
        <w:jc w:val="center"/>
        <w:rPr>
          <w:b/>
        </w:rPr>
      </w:pPr>
    </w:p>
    <w:p w14:paraId="36BFFC7E" w14:textId="682FE507" w:rsidR="005C690F" w:rsidRPr="000229AF" w:rsidRDefault="007D6307" w:rsidP="001555A7">
      <w:pPr>
        <w:spacing w:after="0" w:line="360" w:lineRule="auto"/>
        <w:rPr>
          <w:b/>
        </w:rPr>
      </w:pPr>
      <w:r w:rsidRPr="000229AF">
        <w:rPr>
          <w:b/>
        </w:rPr>
        <w:t>PRIMERO</w:t>
      </w:r>
      <w:r w:rsidRPr="000229AF">
        <w:t xml:space="preserve">. </w:t>
      </w:r>
      <w:r w:rsidR="00EB35EB" w:rsidRPr="000229AF">
        <w:rPr>
          <w:b/>
        </w:rPr>
        <w:t>Competencia</w:t>
      </w:r>
    </w:p>
    <w:p w14:paraId="7E462B96" w14:textId="77777777" w:rsidR="005C690F" w:rsidRPr="00D43035" w:rsidRDefault="005C690F" w:rsidP="001555A7">
      <w:pPr>
        <w:spacing w:after="0" w:line="360" w:lineRule="auto"/>
        <w:rPr>
          <w:b/>
          <w:color w:val="FF0000"/>
        </w:rPr>
      </w:pPr>
    </w:p>
    <w:p w14:paraId="65031413" w14:textId="0F6812D4" w:rsidR="005C690F" w:rsidRPr="000229AF" w:rsidRDefault="007D6307" w:rsidP="001555A7">
      <w:pPr>
        <w:spacing w:after="0" w:line="360" w:lineRule="auto"/>
      </w:pPr>
      <w:bookmarkStart w:id="1" w:name="_heading=h.30j0zll" w:colFirst="0" w:colLast="0"/>
      <w:bookmarkEnd w:id="1"/>
      <w:r w:rsidRPr="000229AF">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1555A7">
        <w:t>noveno</w:t>
      </w:r>
      <w:r w:rsidRPr="000229AF">
        <w:t xml:space="preserve">, </w:t>
      </w:r>
      <w:r w:rsidR="001555A7">
        <w:t>cuadragésimo</w:t>
      </w:r>
      <w:r w:rsidRPr="000229AF">
        <w:t xml:space="preserve"> y </w:t>
      </w:r>
      <w:r w:rsidR="001555A7">
        <w:t>cuadragésimo primero</w:t>
      </w:r>
      <w:r w:rsidRPr="000229AF">
        <w:t xml:space="preserve">,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w:t>
      </w:r>
      <w:r w:rsidRPr="000229AF">
        <w:lastRenderedPageBreak/>
        <w:t>Instituto de Transparencia, Acceso a la Información Pública y Protección de Datos Personales del Estado de México y Municipios.</w:t>
      </w:r>
    </w:p>
    <w:p w14:paraId="4225FD09" w14:textId="77777777" w:rsidR="005C690F" w:rsidRPr="00D43035" w:rsidRDefault="005C690F" w:rsidP="001555A7">
      <w:pPr>
        <w:spacing w:after="0" w:line="360" w:lineRule="auto"/>
        <w:rPr>
          <w:b/>
          <w:color w:val="FF0000"/>
        </w:rPr>
      </w:pPr>
    </w:p>
    <w:p w14:paraId="46691DD5" w14:textId="5834B274" w:rsidR="005C690F" w:rsidRPr="000229AF" w:rsidRDefault="007D6307" w:rsidP="001555A7">
      <w:pPr>
        <w:spacing w:after="0" w:line="360" w:lineRule="auto"/>
      </w:pPr>
      <w:r w:rsidRPr="000229AF">
        <w:rPr>
          <w:b/>
        </w:rPr>
        <w:t>SEGUNDO</w:t>
      </w:r>
      <w:r w:rsidRPr="000229AF">
        <w:t xml:space="preserve">. </w:t>
      </w:r>
      <w:r w:rsidRPr="000229AF">
        <w:rPr>
          <w:b/>
        </w:rPr>
        <w:t>Causales de</w:t>
      </w:r>
      <w:r w:rsidR="00EB35EB" w:rsidRPr="000229AF">
        <w:rPr>
          <w:b/>
        </w:rPr>
        <w:t xml:space="preserve"> improcedencia y sobreseimiento</w:t>
      </w:r>
    </w:p>
    <w:p w14:paraId="49AA4CDE" w14:textId="77777777" w:rsidR="005C690F" w:rsidRPr="00D43035" w:rsidRDefault="005C690F" w:rsidP="001555A7">
      <w:pPr>
        <w:spacing w:after="0" w:line="360" w:lineRule="auto"/>
        <w:rPr>
          <w:color w:val="FF0000"/>
        </w:rPr>
      </w:pPr>
    </w:p>
    <w:p w14:paraId="2553CE58" w14:textId="77777777" w:rsidR="005C690F" w:rsidRPr="000229AF" w:rsidRDefault="007D6307" w:rsidP="001555A7">
      <w:pPr>
        <w:spacing w:after="0" w:line="360" w:lineRule="auto"/>
      </w:pPr>
      <w:r w:rsidRPr="000229AF">
        <w:t xml:space="preserve">De las constancias que forma parte del Recurso de Revisión que se analiza, se advierte que previo al estudio del fondo de la </w:t>
      </w:r>
      <w:r w:rsidRPr="000229AF">
        <w:rPr>
          <w:i/>
        </w:rPr>
        <w:t>litis</w:t>
      </w:r>
      <w:r w:rsidRPr="000229AF">
        <w:t>, es necesario estudiar las causales de improcedencia y sobreseimiento que se adviertan, para determinar lo que en Derecho proceda.</w:t>
      </w:r>
    </w:p>
    <w:p w14:paraId="1B1FDCD0" w14:textId="77777777" w:rsidR="005C690F" w:rsidRPr="00D43035" w:rsidRDefault="005C690F" w:rsidP="001555A7">
      <w:pPr>
        <w:spacing w:after="0" w:line="360" w:lineRule="auto"/>
        <w:rPr>
          <w:b/>
          <w:color w:val="FF0000"/>
        </w:rPr>
      </w:pPr>
    </w:p>
    <w:p w14:paraId="3066DF0C" w14:textId="77777777" w:rsidR="005C690F" w:rsidRPr="00173C13" w:rsidRDefault="007D6307" w:rsidP="001555A7">
      <w:pPr>
        <w:spacing w:after="0" w:line="360" w:lineRule="auto"/>
        <w:rPr>
          <w:b/>
        </w:rPr>
      </w:pPr>
      <w:r w:rsidRPr="00173C13">
        <w:rPr>
          <w:b/>
        </w:rPr>
        <w:t>Causales de improcedencia</w:t>
      </w:r>
    </w:p>
    <w:p w14:paraId="75878DC6" w14:textId="77777777" w:rsidR="005C690F" w:rsidRPr="00D43035" w:rsidRDefault="005C690F" w:rsidP="001555A7">
      <w:pPr>
        <w:spacing w:after="0" w:line="360" w:lineRule="auto"/>
        <w:rPr>
          <w:color w:val="FF0000"/>
        </w:rPr>
      </w:pPr>
    </w:p>
    <w:p w14:paraId="6C56CA88" w14:textId="77777777" w:rsidR="005C690F" w:rsidRPr="00173C13" w:rsidRDefault="007D6307" w:rsidP="001555A7">
      <w:pPr>
        <w:spacing w:after="0" w:line="360" w:lineRule="auto"/>
      </w:pPr>
      <w:r w:rsidRPr="00173C13">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43035" w:rsidRDefault="005C690F" w:rsidP="001555A7">
      <w:pPr>
        <w:spacing w:after="0" w:line="360" w:lineRule="auto"/>
        <w:rPr>
          <w:color w:val="FF0000"/>
        </w:rPr>
      </w:pPr>
    </w:p>
    <w:p w14:paraId="3FF1B775" w14:textId="77777777" w:rsidR="005C690F" w:rsidRPr="00173C13" w:rsidRDefault="007D6307" w:rsidP="001555A7">
      <w:pPr>
        <w:spacing w:after="0" w:line="360" w:lineRule="auto"/>
      </w:pPr>
      <w:r w:rsidRPr="00173C13">
        <w:t>En el presente caso, </w:t>
      </w:r>
      <w:r w:rsidRPr="00173C13">
        <w:rPr>
          <w:b/>
        </w:rPr>
        <w:t>no se actualiza ninguna de las causales de improcedencia</w:t>
      </w:r>
      <w:r w:rsidRPr="00173C13">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D43035" w:rsidRDefault="001664D6" w:rsidP="001555A7">
      <w:pPr>
        <w:spacing w:after="0" w:line="360" w:lineRule="auto"/>
        <w:rPr>
          <w:color w:val="FF0000"/>
        </w:rPr>
      </w:pPr>
    </w:p>
    <w:p w14:paraId="2BF1CF5B" w14:textId="41946D1F" w:rsidR="005C690F" w:rsidRPr="00173C13" w:rsidRDefault="007D6307" w:rsidP="001555A7">
      <w:pPr>
        <w:spacing w:after="0" w:line="360" w:lineRule="auto"/>
      </w:pPr>
      <w:r w:rsidRPr="00173C13">
        <w:lastRenderedPageBreak/>
        <w:t>Por lo cual, se actualiza la causal de procedencia del Recurso de Revisión señalada</w:t>
      </w:r>
      <w:r w:rsidR="00BA032C">
        <w:t xml:space="preserve">s en el artículo 179, </w:t>
      </w:r>
      <w:r w:rsidR="009D155B">
        <w:t>fracción V</w:t>
      </w:r>
      <w:r w:rsidR="007E41C3">
        <w:t>,</w:t>
      </w:r>
      <w:r w:rsidR="00BA032C">
        <w:t xml:space="preserve"> </w:t>
      </w:r>
      <w:r w:rsidR="009D155B">
        <w:t>de la Ley en cita.</w:t>
      </w:r>
    </w:p>
    <w:p w14:paraId="76AC95E5" w14:textId="77777777" w:rsidR="005C690F" w:rsidRPr="00173C13" w:rsidRDefault="005C690F" w:rsidP="001555A7">
      <w:pPr>
        <w:spacing w:after="0" w:line="360" w:lineRule="auto"/>
      </w:pPr>
    </w:p>
    <w:p w14:paraId="55FF691A" w14:textId="6C1AD8ED" w:rsidR="005C690F" w:rsidRPr="00173C13" w:rsidRDefault="00EB35EB" w:rsidP="001555A7">
      <w:pPr>
        <w:spacing w:after="0" w:line="360" w:lineRule="auto"/>
      </w:pPr>
      <w:r w:rsidRPr="00173C13">
        <w:rPr>
          <w:b/>
        </w:rPr>
        <w:t>Causales de sobreseimiento</w:t>
      </w:r>
    </w:p>
    <w:p w14:paraId="426FEE7A" w14:textId="77777777" w:rsidR="005C690F" w:rsidRPr="00173C13" w:rsidRDefault="005C690F" w:rsidP="001555A7">
      <w:pPr>
        <w:spacing w:after="0" w:line="360" w:lineRule="auto"/>
      </w:pPr>
    </w:p>
    <w:p w14:paraId="5B1C849A" w14:textId="77777777" w:rsidR="005C690F" w:rsidRPr="00173C13" w:rsidRDefault="007D6307" w:rsidP="001555A7">
      <w:pPr>
        <w:spacing w:after="0" w:line="360" w:lineRule="auto"/>
      </w:pPr>
      <w:r w:rsidRPr="00173C13">
        <w:t>Por ser de previo y especial pronunciamiento, este Instituto analiza si se actualiza alguna causal de sobreseimiento.</w:t>
      </w:r>
    </w:p>
    <w:p w14:paraId="7017F051" w14:textId="77777777" w:rsidR="005C690F" w:rsidRPr="00173C13" w:rsidRDefault="005C690F" w:rsidP="001555A7">
      <w:pPr>
        <w:spacing w:after="0" w:line="360" w:lineRule="auto"/>
      </w:pPr>
    </w:p>
    <w:p w14:paraId="616B549A" w14:textId="77777777" w:rsidR="005C690F" w:rsidRPr="00173C13" w:rsidRDefault="007D6307" w:rsidP="001555A7">
      <w:pPr>
        <w:spacing w:after="0" w:line="360" w:lineRule="auto"/>
      </w:pPr>
      <w:r w:rsidRPr="00173C13">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173C13" w:rsidRDefault="005C690F" w:rsidP="001555A7">
      <w:pPr>
        <w:spacing w:after="0" w:line="360" w:lineRule="auto"/>
      </w:pPr>
    </w:p>
    <w:p w14:paraId="338973DD" w14:textId="77777777" w:rsidR="005C690F" w:rsidRPr="00173C13" w:rsidRDefault="007D6307" w:rsidP="001555A7">
      <w:pPr>
        <w:spacing w:after="0" w:line="360" w:lineRule="auto"/>
      </w:pPr>
      <w:r w:rsidRPr="00173C13">
        <w:t xml:space="preserve">Por tales motivos, se considera procedente entrar al fondo del presente asunto. </w:t>
      </w:r>
    </w:p>
    <w:p w14:paraId="3B2EB888" w14:textId="77777777" w:rsidR="005C690F" w:rsidRPr="00173C13" w:rsidRDefault="005C690F" w:rsidP="001555A7">
      <w:pPr>
        <w:spacing w:after="0" w:line="360" w:lineRule="auto"/>
        <w:rPr>
          <w:b/>
        </w:rPr>
      </w:pPr>
    </w:p>
    <w:p w14:paraId="0A6A0BAE" w14:textId="07E1FE7C" w:rsidR="005C690F" w:rsidRPr="00173C13" w:rsidRDefault="007D6307" w:rsidP="001555A7">
      <w:pPr>
        <w:spacing w:after="0" w:line="360" w:lineRule="auto"/>
        <w:rPr>
          <w:b/>
        </w:rPr>
      </w:pPr>
      <w:r w:rsidRPr="00173C13">
        <w:rPr>
          <w:b/>
        </w:rPr>
        <w:t>TERCERO. De</w:t>
      </w:r>
      <w:r w:rsidR="00EB35EB" w:rsidRPr="00173C13">
        <w:rPr>
          <w:b/>
        </w:rPr>
        <w:t>terminación de la Controversia</w:t>
      </w:r>
    </w:p>
    <w:p w14:paraId="214ED69F" w14:textId="77777777" w:rsidR="005C690F" w:rsidRPr="00D43035" w:rsidRDefault="005C690F" w:rsidP="001555A7">
      <w:pPr>
        <w:spacing w:after="0" w:line="360" w:lineRule="auto"/>
        <w:rPr>
          <w:color w:val="FF0000"/>
        </w:rPr>
      </w:pPr>
    </w:p>
    <w:p w14:paraId="209765DD" w14:textId="1BD03553" w:rsidR="005C690F" w:rsidRPr="00DA0B8F" w:rsidRDefault="007D6307" w:rsidP="001555A7">
      <w:pPr>
        <w:spacing w:after="0" w:line="360" w:lineRule="auto"/>
      </w:pPr>
      <w:r w:rsidRPr="00173C13">
        <w:t>Una vez realizado el estudio de las constancias que integran el expediente en que se actúa, se advierte que el Particular requirió</w:t>
      </w:r>
      <w:r w:rsidR="00B4737F">
        <w:t xml:space="preserve"> l</w:t>
      </w:r>
      <w:r w:rsidR="00185393">
        <w:t xml:space="preserve">a </w:t>
      </w:r>
      <w:r w:rsidR="00DA28E0" w:rsidRPr="00185393">
        <w:t>convocatoria del proceso de selección de autoridades auxiliares</w:t>
      </w:r>
      <w:r w:rsidR="00DA28E0">
        <w:t xml:space="preserve">, </w:t>
      </w:r>
      <w:proofErr w:type="gramStart"/>
      <w:r w:rsidR="00DA28E0">
        <w:t xml:space="preserve">la </w:t>
      </w:r>
      <w:r w:rsidR="00DA28E0" w:rsidRPr="00185393">
        <w:t xml:space="preserve"> fecha</w:t>
      </w:r>
      <w:proofErr w:type="gramEnd"/>
      <w:r w:rsidR="00DA28E0" w:rsidRPr="00185393">
        <w:t xml:space="preserve"> del proceso y </w:t>
      </w:r>
      <w:r w:rsidR="00DA28E0">
        <w:t xml:space="preserve">el </w:t>
      </w:r>
      <w:r w:rsidR="00DA28E0" w:rsidRPr="00185393">
        <w:t xml:space="preserve">presupuesto </w:t>
      </w:r>
      <w:r w:rsidR="00DA28E0">
        <w:t>asignado para dicha selección. Por respuesta el Sujeto Obligado por medio del Tesorero, informó que la información solicitada se encontraba</w:t>
      </w:r>
      <w:r w:rsidR="00104BD7">
        <w:t xml:space="preserve"> en proceso de integración </w:t>
      </w:r>
      <w:r w:rsidR="00DA28E0">
        <w:t>para la entrega</w:t>
      </w:r>
      <w:r w:rsidR="00104BD7">
        <w:t xml:space="preserve"> del Primer Informe Trimestral y remitió la d</w:t>
      </w:r>
      <w:r w:rsidR="00CB1BDB">
        <w:t>igitalización de la C</w:t>
      </w:r>
      <w:r w:rsidR="00DA28E0">
        <w:t>onvocatoria para la elección de Consejos de Participación Ciudadana 2025-2027</w:t>
      </w:r>
      <w:r w:rsidR="00104BD7">
        <w:t xml:space="preserve">, </w:t>
      </w:r>
      <w:r w:rsidR="00CB1BDB">
        <w:t xml:space="preserve"> de la C</w:t>
      </w:r>
      <w:r w:rsidR="00DA28E0">
        <w:t>onvocatoria para la elección de Delegados y Subdelegados 2025-2027</w:t>
      </w:r>
      <w:r w:rsidR="00104BD7">
        <w:t xml:space="preserve"> así </w:t>
      </w:r>
      <w:r w:rsidR="00104BD7">
        <w:lastRenderedPageBreak/>
        <w:t xml:space="preserve">como </w:t>
      </w:r>
      <w:r w:rsidR="00DA28E0">
        <w:t>de la Consulta previa a la convocatoria para designar el Representante Indígena 2025-2027</w:t>
      </w:r>
      <w:r w:rsidR="00104BD7">
        <w:t>;</w:t>
      </w:r>
      <w:r w:rsidR="0021791B">
        <w:t xml:space="preserve"> así mismo, se proporcionó un link en formato abierto que direcciona a las mismas convocatorias; </w:t>
      </w:r>
      <w:r w:rsidR="00104BD7">
        <w:t xml:space="preserve"> </w:t>
      </w:r>
      <w:r w:rsidR="008E77C4">
        <w:t>ante dicha respuesta, el Particular se inconfo</w:t>
      </w:r>
      <w:r w:rsidR="00104BD7">
        <w:t xml:space="preserve">rmó de la entrega incompleta </w:t>
      </w:r>
      <w:r w:rsidR="008E77C4">
        <w:t xml:space="preserve"> de la información, </w:t>
      </w:r>
      <w:r w:rsidR="008E77C4" w:rsidRPr="008E77C4">
        <w:t xml:space="preserve"> </w:t>
      </w:r>
      <w:r w:rsidR="00104BD7">
        <w:t>l</w:t>
      </w:r>
      <w:r w:rsidR="00FC1EB8" w:rsidRPr="00DA0B8F">
        <w:t>o</w:t>
      </w:r>
      <w:r w:rsidR="00CB5335">
        <w:t xml:space="preserve"> </w:t>
      </w:r>
      <w:r w:rsidR="00826412">
        <w:t>cual actualiza</w:t>
      </w:r>
      <w:r w:rsidR="00CB5335">
        <w:t xml:space="preserve"> </w:t>
      </w:r>
      <w:r w:rsidR="00773978">
        <w:t>el</w:t>
      </w:r>
      <w:r w:rsidRPr="00DA0B8F">
        <w:t xml:space="preserve"> </w:t>
      </w:r>
      <w:r w:rsidR="00826412" w:rsidRPr="00DA0B8F">
        <w:t>supuesto previ</w:t>
      </w:r>
      <w:r w:rsidR="00826412">
        <w:t>sto</w:t>
      </w:r>
      <w:r w:rsidR="00CB5335">
        <w:t xml:space="preserve"> en el artículo 179, </w:t>
      </w:r>
      <w:r w:rsidR="0045222D">
        <w:t xml:space="preserve">fracción </w:t>
      </w:r>
      <w:r w:rsidR="00104BD7">
        <w:t>V</w:t>
      </w:r>
      <w:r w:rsidRPr="00DA0B8F">
        <w:t>, de la Ley de Transparencia y Acceso a la Información Pública del Estado de México y Municipios. Así las cosas, una vez admitido y notificado el Recurso de Revisión</w:t>
      </w:r>
      <w:r w:rsidR="00773978">
        <w:t xml:space="preserve"> a las partes, </w:t>
      </w:r>
      <w:r w:rsidR="00104BD7">
        <w:t>el Sujeto Obligado ratificó su respuesta.</w:t>
      </w:r>
    </w:p>
    <w:p w14:paraId="6B2BA4ED" w14:textId="77777777" w:rsidR="005C690F" w:rsidRPr="00D43035" w:rsidRDefault="005C690F" w:rsidP="001555A7">
      <w:pPr>
        <w:tabs>
          <w:tab w:val="left" w:pos="4962"/>
        </w:tabs>
        <w:spacing w:after="0" w:line="360" w:lineRule="auto"/>
        <w:rPr>
          <w:color w:val="FF0000"/>
        </w:rPr>
      </w:pPr>
    </w:p>
    <w:p w14:paraId="0463098B" w14:textId="761511E0" w:rsidR="005C690F" w:rsidRPr="00AA46D6" w:rsidRDefault="007D6307" w:rsidP="001555A7">
      <w:pPr>
        <w:tabs>
          <w:tab w:val="left" w:pos="4962"/>
        </w:tabs>
        <w:spacing w:after="0" w:line="360" w:lineRule="auto"/>
      </w:pPr>
      <w:r w:rsidRPr="00AA46D6">
        <w:t>Lo anterior, se desprende de las documentales que obran en el expediente de referencia, materia de la presente resolución, consistente en: la solic</w:t>
      </w:r>
      <w:r w:rsidR="00CB5335">
        <w:t>itud de acceso a la información, la resp</w:t>
      </w:r>
      <w:r w:rsidR="00104BD7">
        <w:t xml:space="preserve">uesta, </w:t>
      </w:r>
      <w:r w:rsidRPr="00AA46D6">
        <w:t xml:space="preserve">el escrito </w:t>
      </w:r>
      <w:proofErr w:type="spellStart"/>
      <w:r w:rsidRPr="00AA46D6">
        <w:t>recursal</w:t>
      </w:r>
      <w:proofErr w:type="spellEnd"/>
      <w:r w:rsidR="00104BD7">
        <w:t xml:space="preserve"> y el informe justificado</w:t>
      </w:r>
      <w:r w:rsidRPr="00AA46D6">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AA46D6" w:rsidRDefault="005C690F" w:rsidP="001555A7">
      <w:pPr>
        <w:spacing w:after="0" w:line="360" w:lineRule="auto"/>
        <w:rPr>
          <w:b/>
        </w:rPr>
      </w:pPr>
    </w:p>
    <w:p w14:paraId="36DCBD9D" w14:textId="2594974F" w:rsidR="005C690F" w:rsidRPr="00AA46D6" w:rsidRDefault="007D6307" w:rsidP="001555A7">
      <w:pPr>
        <w:spacing w:after="0" w:line="360" w:lineRule="auto"/>
        <w:rPr>
          <w:b/>
        </w:rPr>
      </w:pPr>
      <w:r w:rsidRPr="00AA46D6">
        <w:rPr>
          <w:b/>
        </w:rPr>
        <w:t xml:space="preserve">CUARTO. Marco normativo aplicable en materia de transparencia y </w:t>
      </w:r>
      <w:r w:rsidR="00EB35EB" w:rsidRPr="00AA46D6">
        <w:rPr>
          <w:b/>
        </w:rPr>
        <w:t>acceso a la información pública</w:t>
      </w:r>
    </w:p>
    <w:p w14:paraId="4D62F8F1" w14:textId="77777777" w:rsidR="005C690F" w:rsidRPr="00D43035" w:rsidRDefault="005C690F" w:rsidP="001555A7">
      <w:pPr>
        <w:spacing w:after="0" w:line="360" w:lineRule="auto"/>
        <w:rPr>
          <w:color w:val="FF0000"/>
        </w:rPr>
      </w:pPr>
    </w:p>
    <w:p w14:paraId="68F50546" w14:textId="77777777" w:rsidR="005C690F" w:rsidRPr="00AA46D6" w:rsidRDefault="007D6307" w:rsidP="001555A7">
      <w:pPr>
        <w:spacing w:after="0" w:line="360" w:lineRule="auto"/>
      </w:pPr>
      <w:r w:rsidRPr="00AA46D6">
        <w:t xml:space="preserve">El artículo 6°, Apartado A), fracción I de la Constitución Política de los Estados Unidos Mexicanos, establece que toda la información en posesión de cualquier </w:t>
      </w:r>
      <w:proofErr w:type="gramStart"/>
      <w:r w:rsidRPr="00AA46D6">
        <w:t>autoridad,</w:t>
      </w:r>
      <w:proofErr w:type="gramEnd"/>
      <w:r w:rsidRPr="00AA46D6">
        <w:t xml:space="preserve"> es pública y sólo podrá ser reservada temporalmente por razones de interés público.</w:t>
      </w:r>
    </w:p>
    <w:p w14:paraId="1AD83276" w14:textId="77777777" w:rsidR="005C690F" w:rsidRPr="00AA46D6" w:rsidRDefault="005C690F" w:rsidP="001555A7">
      <w:pPr>
        <w:spacing w:after="0" w:line="360" w:lineRule="auto"/>
      </w:pPr>
    </w:p>
    <w:p w14:paraId="73149F26" w14:textId="77777777" w:rsidR="005C690F" w:rsidRPr="00AA46D6" w:rsidRDefault="007D6307" w:rsidP="001555A7">
      <w:pPr>
        <w:spacing w:after="0" w:line="360" w:lineRule="auto"/>
      </w:pPr>
      <w:r w:rsidRPr="00AA46D6">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AA46D6" w:rsidRDefault="005C690F" w:rsidP="001555A7">
      <w:pPr>
        <w:spacing w:after="0" w:line="360" w:lineRule="auto"/>
      </w:pPr>
    </w:p>
    <w:p w14:paraId="69458899" w14:textId="77777777" w:rsidR="005C690F" w:rsidRPr="00AA46D6" w:rsidRDefault="007D6307" w:rsidP="001555A7">
      <w:pPr>
        <w:spacing w:after="0" w:line="360" w:lineRule="auto"/>
      </w:pPr>
      <w:r w:rsidRPr="00AA46D6">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A46D6" w:rsidRDefault="005C690F" w:rsidP="001555A7">
      <w:pPr>
        <w:spacing w:after="0" w:line="360" w:lineRule="auto"/>
      </w:pPr>
    </w:p>
    <w:p w14:paraId="3D8EBDEC" w14:textId="77777777" w:rsidR="005C690F" w:rsidRPr="00AA46D6" w:rsidRDefault="007D6307" w:rsidP="001555A7">
      <w:pPr>
        <w:spacing w:after="0" w:line="360" w:lineRule="auto"/>
      </w:pPr>
      <w:r w:rsidRPr="00AA46D6">
        <w:t>Por su parte, la Ley de Transparencia y Acceso a la Información Pública del Estado de México y Municipios (Reglamentaria del artículo 5° de la Constitución Local), establece lo siguiente:</w:t>
      </w:r>
    </w:p>
    <w:p w14:paraId="2818D616" w14:textId="77777777" w:rsidR="005C690F" w:rsidRPr="00AA46D6" w:rsidRDefault="005C690F" w:rsidP="001555A7">
      <w:pPr>
        <w:spacing w:after="0" w:line="360" w:lineRule="auto"/>
      </w:pPr>
    </w:p>
    <w:p w14:paraId="5BD9CB2E" w14:textId="77777777" w:rsidR="005C690F" w:rsidRPr="00AA46D6" w:rsidRDefault="007D6307" w:rsidP="001555A7">
      <w:pPr>
        <w:spacing w:after="0" w:line="360" w:lineRule="auto"/>
      </w:pPr>
      <w:r w:rsidRPr="00AA46D6">
        <w:t>El artículo 12, que, quienes generen, recopilen, administren, manejen, procesen, archiven o conserven información pública serán responsables de la misma.</w:t>
      </w:r>
    </w:p>
    <w:p w14:paraId="6F3883CF" w14:textId="49D4BDDE" w:rsidR="008C607D" w:rsidRPr="00AA46D6" w:rsidRDefault="008C607D" w:rsidP="001555A7">
      <w:pPr>
        <w:spacing w:after="0" w:line="360" w:lineRule="auto"/>
      </w:pPr>
    </w:p>
    <w:p w14:paraId="3D899A16" w14:textId="77777777" w:rsidR="005C690F" w:rsidRPr="00AA46D6" w:rsidRDefault="007D6307" w:rsidP="001555A7">
      <w:pPr>
        <w:widowControl w:val="0"/>
        <w:spacing w:after="0" w:line="360" w:lineRule="auto"/>
      </w:pPr>
      <w:r w:rsidRPr="00AA46D6">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AA46D6" w:rsidRDefault="005C690F" w:rsidP="001555A7">
      <w:pPr>
        <w:spacing w:after="0" w:line="360" w:lineRule="auto"/>
      </w:pPr>
    </w:p>
    <w:p w14:paraId="204D3A32" w14:textId="0DD83477" w:rsidR="005C690F" w:rsidRDefault="007D6307" w:rsidP="001555A7">
      <w:pPr>
        <w:spacing w:after="0" w:line="360" w:lineRule="auto"/>
      </w:pPr>
      <w:r w:rsidRPr="00AA46D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61673D" w14:textId="45C256DE" w:rsidR="00570E7D" w:rsidRDefault="00570E7D" w:rsidP="001555A7">
      <w:pPr>
        <w:spacing w:after="0" w:line="360" w:lineRule="auto"/>
      </w:pPr>
    </w:p>
    <w:p w14:paraId="3AF871E5" w14:textId="7A36EC1F" w:rsidR="005C690F" w:rsidRPr="00AA46D6" w:rsidRDefault="00EB35EB" w:rsidP="001555A7">
      <w:pPr>
        <w:spacing w:after="0" w:line="360" w:lineRule="auto"/>
        <w:rPr>
          <w:b/>
        </w:rPr>
      </w:pPr>
      <w:r w:rsidRPr="00AA46D6">
        <w:rPr>
          <w:b/>
        </w:rPr>
        <w:t>Quinto. Estudio de Fondo</w:t>
      </w:r>
    </w:p>
    <w:p w14:paraId="68364344" w14:textId="77777777" w:rsidR="005C690F" w:rsidRDefault="005C690F" w:rsidP="001555A7">
      <w:pPr>
        <w:spacing w:after="0" w:line="360" w:lineRule="auto"/>
        <w:rPr>
          <w:b/>
        </w:rPr>
      </w:pPr>
    </w:p>
    <w:p w14:paraId="49FF6F31" w14:textId="77777777" w:rsidR="00773978" w:rsidRDefault="00773978" w:rsidP="001555A7">
      <w:pPr>
        <w:widowControl w:val="0"/>
        <w:autoSpaceDE w:val="0"/>
        <w:autoSpaceDN w:val="0"/>
        <w:adjustRightInd w:val="0"/>
        <w:spacing w:after="0" w:line="360" w:lineRule="auto"/>
        <w:contextualSpacing/>
        <w:rPr>
          <w:rFonts w:eastAsia="Times New Roman" w:cs="Times New Roman"/>
          <w:lang w:eastAsia="es-ES"/>
        </w:rPr>
      </w:pPr>
      <w:r w:rsidRPr="00D95B8B">
        <w:rPr>
          <w:rFonts w:eastAsia="Times New Roman" w:cs="Tahoma"/>
          <w:bCs/>
          <w:iCs/>
          <w:lang w:eastAsia="es-ES"/>
        </w:rPr>
        <w:t>Expuestas las posturas de las partes, se procede al análisis del agravio hecho valer por la persona Recurrente</w:t>
      </w:r>
      <w:r w:rsidRPr="00D95B8B">
        <w:rPr>
          <w:rFonts w:eastAsia="Times New Roman" w:cs="Times New Roman"/>
          <w:lang w:eastAsia="es-ES"/>
        </w:rPr>
        <w:t>, para lo cual, en principio es necesario contextualizar la solicitud de información.</w:t>
      </w:r>
      <w:r w:rsidRPr="00773978">
        <w:rPr>
          <w:rFonts w:eastAsia="Times New Roman" w:cs="Times New Roman"/>
          <w:lang w:eastAsia="es-ES"/>
        </w:rPr>
        <w:t xml:space="preserve"> </w:t>
      </w:r>
    </w:p>
    <w:p w14:paraId="5F486079" w14:textId="77777777" w:rsidR="001204E1" w:rsidRPr="00773978" w:rsidRDefault="001204E1" w:rsidP="001555A7">
      <w:pPr>
        <w:widowControl w:val="0"/>
        <w:autoSpaceDE w:val="0"/>
        <w:autoSpaceDN w:val="0"/>
        <w:adjustRightInd w:val="0"/>
        <w:spacing w:after="0" w:line="360" w:lineRule="auto"/>
        <w:contextualSpacing/>
        <w:rPr>
          <w:rFonts w:eastAsia="Times New Roman" w:cs="Times New Roman"/>
          <w:lang w:eastAsia="es-ES"/>
        </w:rPr>
      </w:pPr>
    </w:p>
    <w:p w14:paraId="3EFE9135" w14:textId="4ABAC010" w:rsidR="003A4FA6" w:rsidRDefault="007C3DA6" w:rsidP="001555A7">
      <w:pPr>
        <w:widowControl w:val="0"/>
        <w:autoSpaceDE w:val="0"/>
        <w:autoSpaceDN w:val="0"/>
        <w:adjustRightInd w:val="0"/>
        <w:spacing w:after="0" w:line="360" w:lineRule="auto"/>
        <w:contextualSpacing/>
        <w:rPr>
          <w:rFonts w:eastAsia="Calibri" w:cs="Tahoma"/>
          <w:bCs/>
          <w:color w:val="000000"/>
          <w:szCs w:val="24"/>
          <w:lang w:eastAsia="es-MX"/>
        </w:rPr>
      </w:pPr>
      <w:r>
        <w:rPr>
          <w:rFonts w:eastAsia="Times New Roman" w:cs="Times New Roman"/>
          <w:lang w:eastAsia="es-ES"/>
        </w:rPr>
        <w:lastRenderedPageBreak/>
        <w:t xml:space="preserve">En tal sentido, la Ley Orgánica Municipal del Estado de México, contempla en sus </w:t>
      </w:r>
      <w:proofErr w:type="gramStart"/>
      <w:r>
        <w:rPr>
          <w:rFonts w:eastAsia="Times New Roman" w:cs="Times New Roman"/>
          <w:lang w:eastAsia="es-ES"/>
        </w:rPr>
        <w:t>artículos  56</w:t>
      </w:r>
      <w:proofErr w:type="gramEnd"/>
      <w:r>
        <w:rPr>
          <w:rFonts w:eastAsia="Times New Roman" w:cs="Times New Roman"/>
          <w:lang w:eastAsia="es-ES"/>
        </w:rPr>
        <w:t xml:space="preserve"> y 59 que s</w:t>
      </w:r>
      <w:r w:rsidR="00087164" w:rsidRPr="00087164">
        <w:rPr>
          <w:rFonts w:eastAsia="Times New Roman" w:cs="Times New Roman"/>
          <w:lang w:eastAsia="es-ES"/>
        </w:rPr>
        <w:t>on autoridades auxiliares municipales, las personas titulares de las</w:t>
      </w:r>
      <w:r w:rsidR="00087164">
        <w:rPr>
          <w:rFonts w:eastAsia="Times New Roman" w:cs="Times New Roman"/>
          <w:lang w:eastAsia="es-ES"/>
        </w:rPr>
        <w:t xml:space="preserve"> </w:t>
      </w:r>
      <w:r w:rsidR="00087164" w:rsidRPr="00087164">
        <w:rPr>
          <w:rFonts w:eastAsia="Times New Roman" w:cs="Times New Roman"/>
          <w:lang w:eastAsia="es-ES"/>
        </w:rPr>
        <w:t>delegaciones, subdelegaciones, jefaturas de sector, de sección y de manzana que designe el</w:t>
      </w:r>
      <w:r>
        <w:rPr>
          <w:rFonts w:eastAsia="Times New Roman" w:cs="Times New Roman"/>
          <w:lang w:eastAsia="es-ES"/>
        </w:rPr>
        <w:t xml:space="preserve"> </w:t>
      </w:r>
      <w:r w:rsidR="00087164" w:rsidRPr="00087164">
        <w:rPr>
          <w:rFonts w:eastAsia="Times New Roman" w:cs="Times New Roman"/>
          <w:lang w:eastAsia="es-ES"/>
        </w:rPr>
        <w:t xml:space="preserve">Ayuntamiento. </w:t>
      </w:r>
      <w:r w:rsidR="00087164" w:rsidRPr="00087164">
        <w:rPr>
          <w:rFonts w:eastAsia="Calibri" w:cs="Tahoma"/>
          <w:bCs/>
          <w:color w:val="000000"/>
          <w:szCs w:val="24"/>
          <w:lang w:eastAsia="es-MX"/>
        </w:rPr>
        <w:t xml:space="preserve"> La elección de las personas titulares de las Delegaciones y Subdelegaciones será</w:t>
      </w:r>
      <w:r>
        <w:rPr>
          <w:rFonts w:eastAsia="Calibri" w:cs="Tahoma"/>
          <w:bCs/>
          <w:color w:val="000000"/>
          <w:szCs w:val="24"/>
          <w:lang w:eastAsia="es-MX"/>
        </w:rPr>
        <w:t xml:space="preserve"> </w:t>
      </w:r>
      <w:r w:rsidR="00087164" w:rsidRPr="00087164">
        <w:rPr>
          <w:rFonts w:eastAsia="Calibri" w:cs="Tahoma"/>
          <w:bCs/>
          <w:color w:val="000000"/>
          <w:szCs w:val="24"/>
          <w:lang w:eastAsia="es-MX"/>
        </w:rPr>
        <w:t>mediante voto libre, secreto y directo de las personas vecinas de la localidad y se sujetará al</w:t>
      </w:r>
      <w:r>
        <w:rPr>
          <w:rFonts w:eastAsia="Calibri" w:cs="Tahoma"/>
          <w:bCs/>
          <w:color w:val="000000"/>
          <w:szCs w:val="24"/>
          <w:lang w:eastAsia="es-MX"/>
        </w:rPr>
        <w:t xml:space="preserve"> </w:t>
      </w:r>
      <w:r w:rsidR="00087164" w:rsidRPr="00087164">
        <w:rPr>
          <w:rFonts w:eastAsia="Calibri" w:cs="Tahoma"/>
          <w:bCs/>
          <w:color w:val="000000"/>
          <w:szCs w:val="24"/>
          <w:lang w:eastAsia="es-MX"/>
        </w:rPr>
        <w:t>procedimiento establecido en la convocatoria que al efecto expida el Ayuntamiento, misma que</w:t>
      </w:r>
      <w:r>
        <w:rPr>
          <w:rFonts w:eastAsia="Calibri" w:cs="Tahoma"/>
          <w:bCs/>
          <w:color w:val="000000"/>
          <w:szCs w:val="24"/>
          <w:lang w:eastAsia="es-MX"/>
        </w:rPr>
        <w:t xml:space="preserve"> </w:t>
      </w:r>
      <w:r w:rsidR="00087164" w:rsidRPr="00087164">
        <w:rPr>
          <w:rFonts w:eastAsia="Calibri" w:cs="Tahoma"/>
          <w:bCs/>
          <w:color w:val="000000"/>
          <w:szCs w:val="24"/>
          <w:lang w:eastAsia="es-MX"/>
        </w:rPr>
        <w:t xml:space="preserve">deberá establecer la obligación de que las candidaturas sean ocupadas paritariamente. </w:t>
      </w:r>
    </w:p>
    <w:p w14:paraId="47156A02" w14:textId="77777777" w:rsidR="003A4FA6" w:rsidRDefault="003A4FA6" w:rsidP="001555A7">
      <w:pPr>
        <w:tabs>
          <w:tab w:val="left" w:pos="4962"/>
        </w:tabs>
        <w:spacing w:after="0" w:line="360" w:lineRule="auto"/>
        <w:contextualSpacing/>
        <w:rPr>
          <w:rFonts w:eastAsia="Calibri" w:cs="Tahoma"/>
          <w:bCs/>
          <w:color w:val="000000"/>
          <w:szCs w:val="24"/>
          <w:lang w:eastAsia="es-MX"/>
        </w:rPr>
      </w:pPr>
    </w:p>
    <w:p w14:paraId="3B04166B" w14:textId="4100A9F3" w:rsidR="00C6702F" w:rsidRDefault="00C6702F" w:rsidP="001555A7">
      <w:pPr>
        <w:tabs>
          <w:tab w:val="left" w:pos="4962"/>
        </w:tabs>
        <w:spacing w:after="0" w:line="360" w:lineRule="auto"/>
        <w:contextualSpacing/>
        <w:rPr>
          <w:color w:val="000000"/>
        </w:rPr>
      </w:pPr>
      <w:r>
        <w:rPr>
          <w:rFonts w:eastAsia="Calibri" w:cs="Tahoma"/>
          <w:bCs/>
          <w:color w:val="000000"/>
          <w:szCs w:val="24"/>
          <w:lang w:eastAsia="es-MX"/>
        </w:rPr>
        <w:t xml:space="preserve">Por otro </w:t>
      </w:r>
      <w:proofErr w:type="gramStart"/>
      <w:r>
        <w:rPr>
          <w:rFonts w:eastAsia="Calibri" w:cs="Tahoma"/>
          <w:bCs/>
          <w:color w:val="000000"/>
          <w:szCs w:val="24"/>
          <w:lang w:eastAsia="es-MX"/>
        </w:rPr>
        <w:t xml:space="preserve">lado,  </w:t>
      </w:r>
      <w:r>
        <w:rPr>
          <w:color w:val="000000"/>
        </w:rPr>
        <w:t>la</w:t>
      </w:r>
      <w:proofErr w:type="gramEnd"/>
      <w:r>
        <w:rPr>
          <w:color w:val="000000"/>
        </w:rPr>
        <w:t xml:space="preserve"> Guía Técnica 7 Elaboración y Ejercicio de Presupuesto de Egresos del Instituto Nacional para el Federalismo y el Desarrollo Municipal, establece que el Presupuesto de Egresos constituye el programa anual de gastos del municipio, que permite al Ayuntamiento:</w:t>
      </w:r>
    </w:p>
    <w:p w14:paraId="26DCE5CF" w14:textId="77777777" w:rsidR="00C6702F" w:rsidRDefault="00C6702F" w:rsidP="001555A7">
      <w:pPr>
        <w:spacing w:after="0" w:line="360" w:lineRule="auto"/>
        <w:rPr>
          <w:b/>
          <w:color w:val="000000"/>
        </w:rPr>
      </w:pPr>
      <w:r>
        <w:rPr>
          <w:b/>
          <w:color w:val="000000"/>
        </w:rPr>
        <w:t xml:space="preserve"> </w:t>
      </w:r>
    </w:p>
    <w:p w14:paraId="0368EF00" w14:textId="77777777" w:rsidR="00C6702F" w:rsidRDefault="00C6702F" w:rsidP="001555A7">
      <w:pPr>
        <w:numPr>
          <w:ilvl w:val="0"/>
          <w:numId w:val="13"/>
        </w:numPr>
        <w:spacing w:after="0" w:line="360" w:lineRule="auto"/>
        <w:jc w:val="left"/>
        <w:rPr>
          <w:color w:val="000000"/>
        </w:rPr>
      </w:pPr>
      <w:r>
        <w:rPr>
          <w:color w:val="000000"/>
        </w:rPr>
        <w:t>Prever los recursos financieros necesarios para la administración municipal;</w:t>
      </w:r>
    </w:p>
    <w:p w14:paraId="6BA57A56" w14:textId="77777777" w:rsidR="00C6702F" w:rsidRDefault="00C6702F" w:rsidP="001555A7">
      <w:pPr>
        <w:numPr>
          <w:ilvl w:val="0"/>
          <w:numId w:val="13"/>
        </w:numPr>
        <w:spacing w:after="0" w:line="360" w:lineRule="auto"/>
        <w:jc w:val="left"/>
        <w:rPr>
          <w:color w:val="000000"/>
        </w:rPr>
      </w:pPr>
      <w:r>
        <w:rPr>
          <w:color w:val="000000"/>
        </w:rPr>
        <w:t>Llevar el control estricto de los gastos de la administración municipal, y</w:t>
      </w:r>
    </w:p>
    <w:p w14:paraId="46531CF1" w14:textId="77777777" w:rsidR="00C6702F" w:rsidRDefault="00C6702F" w:rsidP="001555A7">
      <w:pPr>
        <w:numPr>
          <w:ilvl w:val="0"/>
          <w:numId w:val="13"/>
        </w:numPr>
        <w:spacing w:after="0" w:line="360" w:lineRule="auto"/>
        <w:jc w:val="left"/>
        <w:rPr>
          <w:color w:val="000000"/>
        </w:rPr>
      </w:pPr>
      <w:r>
        <w:rPr>
          <w:color w:val="000000"/>
        </w:rPr>
        <w:t>Manejar adecuada y honestamente los fondos financieros del municipio.</w:t>
      </w:r>
    </w:p>
    <w:p w14:paraId="7D8A325F" w14:textId="77777777" w:rsidR="00C6702F" w:rsidRDefault="00C6702F" w:rsidP="001555A7">
      <w:pPr>
        <w:spacing w:after="0" w:line="360" w:lineRule="auto"/>
        <w:rPr>
          <w:color w:val="000000"/>
        </w:rPr>
      </w:pPr>
      <w:r>
        <w:rPr>
          <w:color w:val="000000"/>
        </w:rPr>
        <w:t xml:space="preserve"> </w:t>
      </w:r>
    </w:p>
    <w:p w14:paraId="39BB6B23" w14:textId="77777777" w:rsidR="00C6702F" w:rsidRDefault="00C6702F" w:rsidP="001555A7">
      <w:pPr>
        <w:spacing w:after="0" w:line="360" w:lineRule="auto"/>
        <w:rPr>
          <w:color w:val="000000"/>
        </w:rPr>
      </w:pPr>
      <w:r>
        <w:rPr>
          <w:color w:val="000000"/>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6609E4AC" w14:textId="77777777" w:rsidR="00C6702F" w:rsidRDefault="00C6702F" w:rsidP="001555A7">
      <w:pPr>
        <w:spacing w:after="0" w:line="360" w:lineRule="auto"/>
        <w:rPr>
          <w:color w:val="000000"/>
        </w:rPr>
      </w:pPr>
      <w:r>
        <w:rPr>
          <w:color w:val="000000"/>
        </w:rPr>
        <w:t xml:space="preserve"> </w:t>
      </w:r>
    </w:p>
    <w:p w14:paraId="249674DA" w14:textId="77777777" w:rsidR="00C6702F" w:rsidRDefault="00C6702F" w:rsidP="001555A7">
      <w:pPr>
        <w:spacing w:after="0" w:line="360" w:lineRule="auto"/>
        <w:rPr>
          <w:b/>
          <w:color w:val="000000"/>
        </w:rPr>
      </w:pPr>
      <w:r>
        <w:rPr>
          <w:color w:val="000000"/>
        </w:rPr>
        <w:t xml:space="preserve">En ese sentido, el artículo 31, fracción XIX, de la Ley Orgánica Municipal del Estado de México, establece que los </w:t>
      </w:r>
      <w:r>
        <w:rPr>
          <w:b/>
          <w:color w:val="000000"/>
        </w:rPr>
        <w:t xml:space="preserve">Ayuntamientos serán los encargados de aprobar anualmente, el Presupuesto de Egresos, en base a los ingresos presupuestados para el ejercicio de corresponda. </w:t>
      </w:r>
    </w:p>
    <w:p w14:paraId="3B0D84EB" w14:textId="77777777" w:rsidR="00C6702F" w:rsidRDefault="00C6702F" w:rsidP="001555A7">
      <w:pPr>
        <w:spacing w:after="0" w:line="360" w:lineRule="auto"/>
        <w:rPr>
          <w:b/>
          <w:color w:val="000000"/>
        </w:rPr>
      </w:pPr>
      <w:r>
        <w:rPr>
          <w:b/>
          <w:color w:val="000000"/>
        </w:rPr>
        <w:t xml:space="preserve"> </w:t>
      </w:r>
    </w:p>
    <w:p w14:paraId="10B10E48" w14:textId="77777777" w:rsidR="00C6702F" w:rsidRDefault="00C6702F" w:rsidP="001555A7">
      <w:pPr>
        <w:spacing w:after="0" w:line="360" w:lineRule="auto"/>
        <w:rPr>
          <w:b/>
          <w:color w:val="000000"/>
        </w:rPr>
      </w:pPr>
      <w:r>
        <w:rPr>
          <w:color w:val="000000"/>
        </w:rPr>
        <w:lastRenderedPageBreak/>
        <w:t>En ese orden de ideas, de conformidad con el artículo 100 y 101, fracción II, de dicho ordenamiento jurídico, el Presupuesto de Egresos, deberá contener las previsiones de gasto público y se conformará, entre otras cosas, por la</w:t>
      </w:r>
      <w:r>
        <w:rPr>
          <w:b/>
          <w:color w:val="000000"/>
        </w:rPr>
        <w:t xml:space="preserve"> estimación de los ingresos y gastos del ejercicio fiscal calendarizados.</w:t>
      </w:r>
    </w:p>
    <w:p w14:paraId="737D8AA3" w14:textId="77777777" w:rsidR="00C6702F" w:rsidRDefault="00C6702F" w:rsidP="001555A7">
      <w:pPr>
        <w:spacing w:after="0" w:line="360" w:lineRule="auto"/>
        <w:rPr>
          <w:b/>
          <w:color w:val="000000"/>
        </w:rPr>
      </w:pPr>
      <w:r>
        <w:rPr>
          <w:b/>
          <w:color w:val="000000"/>
        </w:rPr>
        <w:t xml:space="preserve"> </w:t>
      </w:r>
    </w:p>
    <w:p w14:paraId="323C8F0B" w14:textId="77777777" w:rsidR="00C6702F" w:rsidRDefault="00C6702F" w:rsidP="001555A7">
      <w:pPr>
        <w:spacing w:after="0" w:line="360" w:lineRule="auto"/>
        <w:rPr>
          <w:color w:val="000000"/>
        </w:rPr>
      </w:pPr>
      <w:r>
        <w:rPr>
          <w:color w:val="000000"/>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58486E57" w14:textId="77777777" w:rsidR="00C6702F" w:rsidRDefault="00C6702F" w:rsidP="001555A7">
      <w:pPr>
        <w:spacing w:after="0" w:line="360" w:lineRule="auto"/>
        <w:rPr>
          <w:color w:val="000000"/>
        </w:rPr>
      </w:pPr>
      <w:r>
        <w:rPr>
          <w:color w:val="000000"/>
        </w:rPr>
        <w:t xml:space="preserve"> </w:t>
      </w:r>
    </w:p>
    <w:p w14:paraId="6DBDD52C" w14:textId="77777777" w:rsidR="00C6702F" w:rsidRDefault="00C6702F" w:rsidP="001555A7">
      <w:pPr>
        <w:spacing w:after="0" w:line="360" w:lineRule="auto"/>
        <w:rPr>
          <w:color w:val="000000"/>
        </w:rPr>
      </w:pPr>
      <w:r>
        <w:rPr>
          <w:color w:val="000000"/>
        </w:rPr>
        <w:t>Además, dicho normatividad, precisa que el Programa Presupuestario es la Categoría programática que permite organizar, en forma representativa y homogénea, las asignaciones de recursos (</w:t>
      </w:r>
      <w:r w:rsidRPr="00803C59">
        <w:rPr>
          <w:color w:val="000000"/>
        </w:rPr>
        <w:t>Programa de estructura programática municipal</w:t>
      </w:r>
      <w:r>
        <w:rPr>
          <w:color w:val="000000"/>
        </w:rPr>
        <w:t>);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26A7E376" w14:textId="77777777" w:rsidR="00C6702F" w:rsidRDefault="00C6702F" w:rsidP="001555A7">
      <w:pPr>
        <w:spacing w:after="0" w:line="360" w:lineRule="auto"/>
        <w:rPr>
          <w:color w:val="000000"/>
        </w:rPr>
      </w:pPr>
    </w:p>
    <w:p w14:paraId="11CDDDB1" w14:textId="77777777" w:rsidR="00C6702F" w:rsidRDefault="00C6702F" w:rsidP="001555A7">
      <w:pPr>
        <w:spacing w:after="0" w:line="360" w:lineRule="auto"/>
        <w:rPr>
          <w:color w:val="000000"/>
        </w:rPr>
      </w:pPr>
      <w:r w:rsidRPr="00FD03A1">
        <w:rPr>
          <w:noProof/>
          <w:color w:val="000000"/>
          <w:lang w:eastAsia="es-MX"/>
        </w:rPr>
        <w:drawing>
          <wp:inline distT="0" distB="0" distL="0" distR="0" wp14:anchorId="03D16615" wp14:editId="1345F2F2">
            <wp:extent cx="5612130" cy="358140"/>
            <wp:effectExtent l="0" t="0" r="7620" b="3810"/>
            <wp:docPr id="2145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96" name=""/>
                    <pic:cNvPicPr/>
                  </pic:nvPicPr>
                  <pic:blipFill>
                    <a:blip r:embed="rId9"/>
                    <a:stretch>
                      <a:fillRect/>
                    </a:stretch>
                  </pic:blipFill>
                  <pic:spPr>
                    <a:xfrm>
                      <a:off x="0" y="0"/>
                      <a:ext cx="5612130" cy="358140"/>
                    </a:xfrm>
                    <a:prstGeom prst="rect">
                      <a:avLst/>
                    </a:prstGeom>
                  </pic:spPr>
                </pic:pic>
              </a:graphicData>
            </a:graphic>
          </wp:inline>
        </w:drawing>
      </w:r>
    </w:p>
    <w:p w14:paraId="21BE8F24" w14:textId="77777777" w:rsidR="00C6702F" w:rsidRDefault="00C6702F" w:rsidP="001555A7">
      <w:pPr>
        <w:spacing w:after="0" w:line="360" w:lineRule="auto"/>
        <w:rPr>
          <w:color w:val="000000"/>
        </w:rPr>
      </w:pPr>
    </w:p>
    <w:p w14:paraId="235A0CEB" w14:textId="64AE4B3F" w:rsidR="00EA5F5D" w:rsidRPr="00EA5F5D" w:rsidRDefault="0088440F" w:rsidP="001555A7">
      <w:pPr>
        <w:tabs>
          <w:tab w:val="left" w:pos="4962"/>
        </w:tabs>
        <w:spacing w:after="0" w:line="360" w:lineRule="auto"/>
        <w:contextualSpacing/>
        <w:rPr>
          <w:rFonts w:eastAsia="Calibri" w:cs="Tahoma"/>
          <w:bCs/>
          <w:color w:val="000000"/>
          <w:szCs w:val="24"/>
          <w:lang w:val="es-ES" w:eastAsia="es-MX"/>
        </w:rPr>
      </w:pPr>
      <w:r w:rsidRPr="00CB1BDB">
        <w:rPr>
          <w:rFonts w:eastAsia="Calibri" w:cs="Tahoma"/>
          <w:bCs/>
          <w:color w:val="000000"/>
          <w:szCs w:val="24"/>
          <w:lang w:eastAsia="es-MX"/>
        </w:rPr>
        <w:t>En tal virtud</w:t>
      </w:r>
      <w:r w:rsidR="00FF63D0" w:rsidRPr="00CB1BDB">
        <w:rPr>
          <w:rFonts w:eastAsia="Calibri" w:cs="Tahoma"/>
          <w:bCs/>
          <w:color w:val="000000"/>
          <w:szCs w:val="24"/>
          <w:lang w:eastAsia="es-MX"/>
        </w:rPr>
        <w:t>, se procede a analizar la información proporcionada por el Sujeto Obligado, por lo que, en principio, cabe puntualizar que el Ente Recurrido turno la solicitud</w:t>
      </w:r>
      <w:r w:rsidRPr="00CB1BDB">
        <w:rPr>
          <w:rFonts w:eastAsia="Calibri" w:cs="Tahoma"/>
          <w:bCs/>
          <w:color w:val="000000"/>
          <w:szCs w:val="24"/>
          <w:lang w:eastAsia="es-MX"/>
        </w:rPr>
        <w:t xml:space="preserve"> </w:t>
      </w:r>
      <w:r w:rsidR="00FF63D0" w:rsidRPr="00CB1BDB">
        <w:rPr>
          <w:rFonts w:eastAsia="Calibri" w:cs="Tahoma"/>
          <w:bCs/>
          <w:color w:val="000000"/>
          <w:szCs w:val="24"/>
          <w:lang w:eastAsia="es-MX"/>
        </w:rPr>
        <w:t>de información, a la</w:t>
      </w:r>
      <w:r w:rsidR="00B76EC5" w:rsidRPr="00CB1BDB">
        <w:rPr>
          <w:rFonts w:eastAsia="Calibri" w:cs="Tahoma"/>
          <w:bCs/>
          <w:color w:val="000000"/>
          <w:szCs w:val="24"/>
          <w:lang w:eastAsia="es-MX"/>
        </w:rPr>
        <w:t xml:space="preserve"> </w:t>
      </w:r>
      <w:r w:rsidR="001204E1" w:rsidRPr="00CB1BDB">
        <w:rPr>
          <w:rFonts w:eastAsia="Calibri" w:cs="Tahoma"/>
          <w:bCs/>
          <w:color w:val="000000"/>
          <w:szCs w:val="24"/>
          <w:lang w:eastAsia="es-MX"/>
        </w:rPr>
        <w:t xml:space="preserve">Tesorería municipal </w:t>
      </w:r>
      <w:r w:rsidR="0039467D" w:rsidRPr="00CB1BDB">
        <w:rPr>
          <w:rFonts w:eastAsia="Calibri" w:cs="Tahoma"/>
          <w:bCs/>
          <w:iCs/>
          <w:color w:val="000000"/>
          <w:szCs w:val="24"/>
          <w:lang w:eastAsia="es-MX"/>
        </w:rPr>
        <w:t xml:space="preserve"> y a la Secretaría del Ayuntamiento, </w:t>
      </w:r>
      <w:r w:rsidR="00FF63D0" w:rsidRPr="00CB1BDB">
        <w:rPr>
          <w:rFonts w:eastAsia="Calibri" w:cs="Tahoma"/>
          <w:bCs/>
          <w:iCs/>
          <w:color w:val="000000"/>
          <w:szCs w:val="24"/>
          <w:lang w:eastAsia="es-MX"/>
        </w:rPr>
        <w:t xml:space="preserve"> por lo que</w:t>
      </w:r>
      <w:r w:rsidR="00FF63D0" w:rsidRPr="00FF63D0">
        <w:rPr>
          <w:rFonts w:eastAsia="Calibri" w:cs="Tahoma"/>
          <w:bCs/>
          <w:iCs/>
          <w:color w:val="000000"/>
          <w:szCs w:val="24"/>
          <w:lang w:eastAsia="es-MX"/>
        </w:rPr>
        <w:t xml:space="preserve">, es necesario hacer referencia al procedimiento de búsqueda </w:t>
      </w:r>
      <w:r w:rsidR="00FF63D0" w:rsidRPr="00FF63D0">
        <w:rPr>
          <w:rFonts w:eastAsia="Calibri" w:cs="Tahoma"/>
          <w:bCs/>
          <w:color w:val="000000"/>
          <w:szCs w:val="24"/>
          <w:lang w:val="es-ES" w:eastAsia="es-MX"/>
        </w:rPr>
        <w:t xml:space="preserve">que deben de seguir los Sujetos Obligados para localizar la información, el cual se encuentra previsto en </w:t>
      </w:r>
      <w:r w:rsidR="0007454B">
        <w:rPr>
          <w:rFonts w:eastAsia="Calibri" w:cs="Tahoma"/>
          <w:bCs/>
          <w:color w:val="000000"/>
          <w:szCs w:val="24"/>
          <w:lang w:val="es-ES" w:eastAsia="es-MX"/>
        </w:rPr>
        <w:t>el artículo</w:t>
      </w:r>
      <w:r w:rsidR="00FF63D0" w:rsidRPr="00FF63D0">
        <w:rPr>
          <w:rFonts w:eastAsia="Calibri" w:cs="Tahoma"/>
          <w:bCs/>
          <w:color w:val="000000"/>
          <w:szCs w:val="24"/>
          <w:lang w:val="es-ES" w:eastAsia="es-MX"/>
        </w:rPr>
        <w:t xml:space="preserve"> 162 de la Ley de Transparencia y Acceso a la Información Pública del Estado de México y Municipios, </w:t>
      </w:r>
      <w:r w:rsidR="0007454B">
        <w:rPr>
          <w:rFonts w:eastAsia="Calibri" w:cs="Tahoma"/>
          <w:bCs/>
          <w:color w:val="000000"/>
          <w:szCs w:val="24"/>
          <w:lang w:val="es-ES" w:eastAsia="es-MX"/>
        </w:rPr>
        <w:t xml:space="preserve">el cual </w:t>
      </w:r>
      <w:r w:rsidR="0007454B">
        <w:rPr>
          <w:rFonts w:eastAsia="Calibri" w:cs="Tahoma"/>
          <w:bCs/>
          <w:color w:val="000000"/>
          <w:szCs w:val="24"/>
          <w:lang w:val="es-ES" w:eastAsia="es-MX"/>
        </w:rPr>
        <w:lastRenderedPageBreak/>
        <w:t>establece que las</w:t>
      </w:r>
      <w:r w:rsidR="00EA5F5D" w:rsidRPr="00EA5F5D">
        <w:rPr>
          <w:rFonts w:eastAsia="Calibri" w:cs="Tahoma"/>
          <w:bCs/>
          <w:color w:val="000000"/>
          <w:szCs w:val="24"/>
          <w:lang w:val="es-ES" w:eastAsia="es-MX"/>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07454B">
        <w:rPr>
          <w:rFonts w:eastAsia="Calibri" w:cs="Tahoma"/>
          <w:bCs/>
          <w:color w:val="000000"/>
          <w:szCs w:val="24"/>
          <w:lang w:val="es-ES" w:eastAsia="es-MX"/>
        </w:rPr>
        <w:t>.</w:t>
      </w:r>
    </w:p>
    <w:p w14:paraId="7416996B" w14:textId="77777777" w:rsidR="00E152EB" w:rsidRPr="00EA5F5D" w:rsidRDefault="00E152EB" w:rsidP="001555A7">
      <w:pPr>
        <w:spacing w:after="0" w:line="360" w:lineRule="auto"/>
        <w:contextualSpacing/>
        <w:rPr>
          <w:rFonts w:eastAsia="Calibri" w:cs="Tahoma"/>
          <w:bCs/>
          <w:color w:val="000000"/>
          <w:szCs w:val="24"/>
          <w:lang w:val="es-ES" w:eastAsia="es-MX"/>
        </w:rPr>
      </w:pPr>
    </w:p>
    <w:p w14:paraId="44878DF9" w14:textId="69EEF577" w:rsidR="00E0577F" w:rsidRDefault="00E152EB" w:rsidP="001555A7">
      <w:pPr>
        <w:tabs>
          <w:tab w:val="left" w:pos="4962"/>
        </w:tabs>
        <w:spacing w:after="0" w:line="360" w:lineRule="auto"/>
        <w:contextualSpacing/>
        <w:rPr>
          <w:rFonts w:eastAsia="Calibri" w:cs="Tahoma"/>
          <w:bCs/>
          <w:color w:val="000000"/>
          <w:szCs w:val="24"/>
          <w:lang w:eastAsia="es-MX"/>
        </w:rPr>
      </w:pPr>
      <w:r w:rsidRPr="00E152EB">
        <w:rPr>
          <w:rFonts w:eastAsia="Calibri" w:cs="Tahoma"/>
          <w:bCs/>
          <w:color w:val="000000"/>
          <w:szCs w:val="24"/>
          <w:lang w:eastAsia="es-MX"/>
        </w:rPr>
        <w:t xml:space="preserve">Así, a efecto de verificar si el Sujeto Obligado cumplió con dicho procedimiento, es necesario traer al estudio </w:t>
      </w:r>
      <w:r w:rsidR="00145BA0">
        <w:rPr>
          <w:rFonts w:eastAsia="Calibri" w:cs="Tahoma"/>
          <w:bCs/>
          <w:color w:val="000000"/>
          <w:szCs w:val="24"/>
          <w:lang w:eastAsia="es-MX"/>
        </w:rPr>
        <w:t>el Código Reglamentario Municipal d</w:t>
      </w:r>
      <w:r w:rsidR="00145BA0" w:rsidRPr="00145BA0">
        <w:rPr>
          <w:rFonts w:eastAsia="Calibri" w:cs="Tahoma"/>
          <w:bCs/>
          <w:color w:val="000000"/>
          <w:szCs w:val="24"/>
          <w:lang w:eastAsia="es-MX"/>
        </w:rPr>
        <w:t>e Toluca</w:t>
      </w:r>
      <w:r w:rsidR="00145BA0">
        <w:rPr>
          <w:rFonts w:eastAsia="Calibri" w:cs="Tahoma"/>
          <w:bCs/>
          <w:color w:val="000000"/>
          <w:szCs w:val="24"/>
          <w:lang w:eastAsia="es-MX"/>
        </w:rPr>
        <w:t xml:space="preserve">, en sus artículos </w:t>
      </w:r>
      <w:r w:rsidR="00C1374E">
        <w:rPr>
          <w:rFonts w:eastAsia="Calibri" w:cs="Tahoma"/>
          <w:bCs/>
          <w:color w:val="000000"/>
          <w:szCs w:val="24"/>
          <w:lang w:eastAsia="es-MX"/>
        </w:rPr>
        <w:t>3.11</w:t>
      </w:r>
      <w:r w:rsidR="0032021F">
        <w:rPr>
          <w:rFonts w:eastAsia="Calibri" w:cs="Tahoma"/>
          <w:bCs/>
          <w:color w:val="000000"/>
          <w:szCs w:val="24"/>
          <w:lang w:eastAsia="es-MX"/>
        </w:rPr>
        <w:t xml:space="preserve"> fracción IX, </w:t>
      </w:r>
      <w:r w:rsidR="00C1374E">
        <w:rPr>
          <w:rFonts w:eastAsia="Calibri" w:cs="Tahoma"/>
          <w:bCs/>
          <w:color w:val="000000"/>
          <w:szCs w:val="24"/>
          <w:lang w:eastAsia="es-MX"/>
        </w:rPr>
        <w:t xml:space="preserve">3.13 </w:t>
      </w:r>
      <w:r w:rsidR="00323DAE">
        <w:rPr>
          <w:rFonts w:eastAsia="Calibri" w:cs="Tahoma"/>
          <w:bCs/>
          <w:color w:val="000000"/>
          <w:szCs w:val="24"/>
          <w:lang w:eastAsia="es-MX"/>
        </w:rPr>
        <w:t xml:space="preserve">fracción XV </w:t>
      </w:r>
      <w:r w:rsidR="00C1374E">
        <w:rPr>
          <w:rFonts w:eastAsia="Calibri" w:cs="Tahoma"/>
          <w:bCs/>
          <w:color w:val="000000"/>
          <w:szCs w:val="24"/>
          <w:lang w:eastAsia="es-MX"/>
        </w:rPr>
        <w:t xml:space="preserve">y </w:t>
      </w:r>
      <w:r w:rsidR="00145BA0" w:rsidRPr="00145BA0">
        <w:rPr>
          <w:rFonts w:eastAsia="Calibri" w:cs="Tahoma"/>
          <w:bCs/>
          <w:color w:val="000000"/>
          <w:szCs w:val="24"/>
          <w:lang w:eastAsia="es-MX"/>
        </w:rPr>
        <w:t>3.21</w:t>
      </w:r>
      <w:r w:rsidR="00C1374E">
        <w:rPr>
          <w:rFonts w:eastAsia="Calibri" w:cs="Tahoma"/>
          <w:bCs/>
          <w:color w:val="000000"/>
          <w:szCs w:val="24"/>
          <w:lang w:eastAsia="es-MX"/>
        </w:rPr>
        <w:t>,</w:t>
      </w:r>
      <w:r w:rsidR="00325CEA">
        <w:rPr>
          <w:rFonts w:eastAsia="Calibri" w:cs="Tahoma"/>
          <w:bCs/>
          <w:color w:val="000000"/>
          <w:szCs w:val="24"/>
          <w:lang w:eastAsia="es-MX"/>
        </w:rPr>
        <w:t xml:space="preserve"> fracción </w:t>
      </w:r>
      <w:r w:rsidR="00325CEA" w:rsidRPr="00325CEA">
        <w:rPr>
          <w:rFonts w:eastAsia="Calibri" w:cs="Tahoma"/>
          <w:bCs/>
          <w:color w:val="000000"/>
          <w:szCs w:val="24"/>
          <w:lang w:eastAsia="es-MX"/>
        </w:rPr>
        <w:t>XXIII</w:t>
      </w:r>
      <w:r w:rsidR="00325CEA">
        <w:rPr>
          <w:rFonts w:eastAsia="Calibri" w:cs="Tahoma"/>
          <w:bCs/>
          <w:color w:val="000000"/>
          <w:szCs w:val="24"/>
          <w:lang w:eastAsia="es-MX"/>
        </w:rPr>
        <w:t xml:space="preserve"> que</w:t>
      </w:r>
      <w:r w:rsidR="00C1374E">
        <w:rPr>
          <w:rFonts w:eastAsia="Calibri" w:cs="Tahoma"/>
          <w:bCs/>
          <w:color w:val="000000"/>
          <w:szCs w:val="24"/>
          <w:lang w:eastAsia="es-MX"/>
        </w:rPr>
        <w:t xml:space="preserve"> contemplan que s</w:t>
      </w:r>
      <w:r w:rsidR="00145BA0" w:rsidRPr="00145BA0">
        <w:rPr>
          <w:rFonts w:eastAsia="Calibri" w:cs="Tahoma"/>
          <w:bCs/>
          <w:color w:val="000000"/>
          <w:szCs w:val="24"/>
          <w:lang w:eastAsia="es-MX"/>
        </w:rPr>
        <w:t>on atribuciones de la Presidenta o Presidente Municipal</w:t>
      </w:r>
      <w:r w:rsidR="0032021F">
        <w:rPr>
          <w:rFonts w:eastAsia="Calibri" w:cs="Tahoma"/>
          <w:bCs/>
          <w:color w:val="000000"/>
          <w:szCs w:val="24"/>
          <w:lang w:eastAsia="es-MX"/>
        </w:rPr>
        <w:t>, c</w:t>
      </w:r>
      <w:r w:rsidR="0032021F" w:rsidRPr="0032021F">
        <w:rPr>
          <w:rFonts w:eastAsia="Calibri" w:cs="Tahoma"/>
          <w:bCs/>
          <w:color w:val="000000"/>
          <w:szCs w:val="24"/>
          <w:lang w:eastAsia="es-MX"/>
        </w:rPr>
        <w:t>oordinar el proceso de elección de las y los delegados y subdelegados, consejos de participación</w:t>
      </w:r>
      <w:r w:rsidR="0032021F">
        <w:rPr>
          <w:rFonts w:eastAsia="Calibri" w:cs="Tahoma"/>
          <w:bCs/>
          <w:color w:val="000000"/>
          <w:szCs w:val="24"/>
          <w:lang w:eastAsia="es-MX"/>
        </w:rPr>
        <w:t xml:space="preserve"> </w:t>
      </w:r>
      <w:r w:rsidR="0032021F" w:rsidRPr="0032021F">
        <w:rPr>
          <w:rFonts w:eastAsia="Calibri" w:cs="Tahoma"/>
          <w:bCs/>
          <w:color w:val="000000"/>
          <w:szCs w:val="24"/>
          <w:lang w:eastAsia="es-MX"/>
        </w:rPr>
        <w:t>ciudadana, de las y los jefes de manzana del municipio de Toluca y mantener comunicación permanente</w:t>
      </w:r>
      <w:r w:rsidR="0032021F">
        <w:rPr>
          <w:rFonts w:eastAsia="Calibri" w:cs="Tahoma"/>
          <w:bCs/>
          <w:color w:val="000000"/>
          <w:szCs w:val="24"/>
          <w:lang w:eastAsia="es-MX"/>
        </w:rPr>
        <w:t xml:space="preserve"> </w:t>
      </w:r>
      <w:r w:rsidR="0032021F" w:rsidRPr="0032021F">
        <w:rPr>
          <w:rFonts w:eastAsia="Calibri" w:cs="Tahoma"/>
          <w:bCs/>
          <w:color w:val="000000"/>
          <w:szCs w:val="24"/>
          <w:lang w:eastAsia="es-MX"/>
        </w:rPr>
        <w:t>con estas autoridades, para coadyuvar en el desarrollo de sus programas de trabajo;</w:t>
      </w:r>
      <w:r w:rsidR="00323DAE">
        <w:rPr>
          <w:rFonts w:eastAsia="Calibri" w:cs="Tahoma"/>
          <w:bCs/>
          <w:color w:val="000000"/>
          <w:szCs w:val="24"/>
          <w:lang w:eastAsia="es-MX"/>
        </w:rPr>
        <w:t xml:space="preserve"> por su parte l</w:t>
      </w:r>
      <w:r w:rsidR="00145BA0" w:rsidRPr="00145BA0">
        <w:rPr>
          <w:rFonts w:eastAsia="Calibri" w:cs="Tahoma"/>
          <w:bCs/>
          <w:color w:val="000000"/>
          <w:szCs w:val="24"/>
          <w:lang w:eastAsia="es-MX"/>
        </w:rPr>
        <w:t xml:space="preserve">a o el titular de la Tesorería Municipal tendrá las </w:t>
      </w:r>
      <w:r w:rsidR="00323DAE">
        <w:rPr>
          <w:rFonts w:eastAsia="Calibri" w:cs="Tahoma"/>
          <w:bCs/>
          <w:color w:val="000000"/>
          <w:szCs w:val="24"/>
          <w:lang w:eastAsia="es-MX"/>
        </w:rPr>
        <w:t xml:space="preserve">  atribuciones de p</w:t>
      </w:r>
      <w:r w:rsidR="001204E1" w:rsidRPr="001204E1">
        <w:rPr>
          <w:rFonts w:eastAsia="Calibri" w:cs="Tahoma"/>
          <w:bCs/>
          <w:color w:val="000000"/>
          <w:szCs w:val="24"/>
          <w:lang w:eastAsia="es-MX"/>
        </w:rPr>
        <w:t>roponer al Ayuntamiento los presupuestos de ingresos y egresos los cuales deberán ser elaborados y</w:t>
      </w:r>
      <w:r w:rsidR="00323DAE">
        <w:rPr>
          <w:rFonts w:eastAsia="Calibri" w:cs="Tahoma"/>
          <w:bCs/>
          <w:color w:val="000000"/>
          <w:szCs w:val="24"/>
          <w:lang w:eastAsia="es-MX"/>
        </w:rPr>
        <w:t xml:space="preserve"> </w:t>
      </w:r>
      <w:r w:rsidR="001204E1" w:rsidRPr="001204E1">
        <w:rPr>
          <w:rFonts w:eastAsia="Calibri" w:cs="Tahoma"/>
          <w:bCs/>
          <w:color w:val="000000"/>
          <w:szCs w:val="24"/>
          <w:lang w:eastAsia="es-MX"/>
        </w:rPr>
        <w:t>etiquetados con perspectiva de género, informar de su ejercicio y sugerir las modificaciones, en caso</w:t>
      </w:r>
      <w:r w:rsidR="00323DAE">
        <w:rPr>
          <w:rFonts w:eastAsia="Calibri" w:cs="Tahoma"/>
          <w:bCs/>
          <w:color w:val="000000"/>
          <w:szCs w:val="24"/>
          <w:lang w:eastAsia="es-MX"/>
        </w:rPr>
        <w:t xml:space="preserve"> </w:t>
      </w:r>
      <w:r w:rsidR="001204E1" w:rsidRPr="001204E1">
        <w:rPr>
          <w:rFonts w:eastAsia="Calibri" w:cs="Tahoma"/>
          <w:bCs/>
          <w:color w:val="000000"/>
          <w:szCs w:val="24"/>
          <w:lang w:eastAsia="es-MX"/>
        </w:rPr>
        <w:t>necesario;</w:t>
      </w:r>
      <w:r w:rsidR="00325CEA">
        <w:rPr>
          <w:rFonts w:eastAsia="Calibri" w:cs="Tahoma"/>
          <w:bCs/>
          <w:color w:val="000000"/>
          <w:szCs w:val="24"/>
          <w:lang w:eastAsia="es-MX"/>
        </w:rPr>
        <w:t xml:space="preserve"> </w:t>
      </w:r>
      <w:r w:rsidR="00323DAE">
        <w:rPr>
          <w:rFonts w:eastAsia="Calibri" w:cs="Tahoma"/>
          <w:bCs/>
          <w:color w:val="000000"/>
          <w:szCs w:val="24"/>
          <w:lang w:eastAsia="es-MX"/>
        </w:rPr>
        <w:t>Por otro lado, al</w:t>
      </w:r>
      <w:r w:rsidR="00C1374E" w:rsidRPr="00C1374E">
        <w:rPr>
          <w:rFonts w:eastAsia="Calibri" w:cs="Tahoma"/>
          <w:bCs/>
          <w:color w:val="000000"/>
          <w:szCs w:val="24"/>
          <w:lang w:eastAsia="es-MX"/>
        </w:rPr>
        <w:t xml:space="preserve"> titular de la Secretaría del Ayuntamiento le corresponde, </w:t>
      </w:r>
      <w:r w:rsidR="00325CEA">
        <w:rPr>
          <w:rFonts w:eastAsia="Calibri" w:cs="Tahoma"/>
          <w:bCs/>
          <w:color w:val="000000"/>
          <w:szCs w:val="24"/>
          <w:lang w:eastAsia="es-MX"/>
        </w:rPr>
        <w:t xml:space="preserve"> a</w:t>
      </w:r>
      <w:r w:rsidR="00325CEA" w:rsidRPr="00325CEA">
        <w:rPr>
          <w:rFonts w:eastAsia="Calibri" w:cs="Tahoma"/>
          <w:bCs/>
          <w:color w:val="000000"/>
          <w:szCs w:val="24"/>
          <w:lang w:eastAsia="es-MX"/>
        </w:rPr>
        <w:t>poyar a la comisión edilicia transitoria en el proceso de elección de delegados, subdelegados y</w:t>
      </w:r>
      <w:r w:rsidR="00325CEA">
        <w:rPr>
          <w:rFonts w:eastAsia="Calibri" w:cs="Tahoma"/>
          <w:bCs/>
          <w:color w:val="000000"/>
          <w:szCs w:val="24"/>
          <w:lang w:eastAsia="es-MX"/>
        </w:rPr>
        <w:t xml:space="preserve"> </w:t>
      </w:r>
      <w:r w:rsidR="00325CEA" w:rsidRPr="00325CEA">
        <w:rPr>
          <w:rFonts w:eastAsia="Calibri" w:cs="Tahoma"/>
          <w:bCs/>
          <w:color w:val="000000"/>
          <w:szCs w:val="24"/>
          <w:lang w:eastAsia="es-MX"/>
        </w:rPr>
        <w:t>consejos de participación ciudadana;</w:t>
      </w:r>
    </w:p>
    <w:p w14:paraId="0F4BB5EB" w14:textId="77777777" w:rsidR="00325CEA" w:rsidRDefault="00325CEA" w:rsidP="001555A7">
      <w:pPr>
        <w:tabs>
          <w:tab w:val="left" w:pos="4962"/>
        </w:tabs>
        <w:spacing w:after="0" w:line="360" w:lineRule="auto"/>
        <w:contextualSpacing/>
        <w:rPr>
          <w:rFonts w:eastAsia="Calibri" w:cs="Tahoma"/>
          <w:bCs/>
          <w:color w:val="000000"/>
          <w:szCs w:val="24"/>
          <w:lang w:eastAsia="es-MX"/>
        </w:rPr>
      </w:pPr>
    </w:p>
    <w:p w14:paraId="0720A441" w14:textId="7B1BB180" w:rsidR="008A1DF8" w:rsidRDefault="00315D87" w:rsidP="001555A7">
      <w:pPr>
        <w:tabs>
          <w:tab w:val="left" w:pos="4962"/>
        </w:tabs>
        <w:spacing w:after="0" w:line="360" w:lineRule="auto"/>
        <w:contextualSpacing/>
        <w:rPr>
          <w:rFonts w:eastAsia="Calibri" w:cs="Tahoma"/>
          <w:bCs/>
          <w:iCs/>
          <w:color w:val="000000"/>
          <w:szCs w:val="24"/>
          <w:lang w:eastAsia="es-MX"/>
        </w:rPr>
      </w:pPr>
      <w:r w:rsidRPr="00315D87">
        <w:rPr>
          <w:rFonts w:eastAsia="Calibri" w:cs="Tahoma"/>
          <w:bCs/>
          <w:iCs/>
          <w:color w:val="000000"/>
          <w:szCs w:val="24"/>
          <w:lang w:eastAsia="es-MX"/>
        </w:rPr>
        <w:t xml:space="preserve">Conforme a lo anterior, se logra colegir </w:t>
      </w:r>
      <w:r w:rsidR="001636B3" w:rsidRPr="001636B3">
        <w:rPr>
          <w:rFonts w:eastAsia="Calibri" w:cs="Tahoma"/>
          <w:bCs/>
          <w:iCs/>
          <w:color w:val="000000"/>
          <w:szCs w:val="24"/>
          <w:lang w:eastAsia="es-MX"/>
        </w:rPr>
        <w:t>que el Sujeto Obligado</w:t>
      </w:r>
      <w:r w:rsidR="006710AC">
        <w:rPr>
          <w:rFonts w:eastAsia="Calibri" w:cs="Tahoma"/>
          <w:bCs/>
          <w:iCs/>
          <w:color w:val="000000"/>
          <w:szCs w:val="24"/>
          <w:lang w:eastAsia="es-MX"/>
        </w:rPr>
        <w:t xml:space="preserve"> </w:t>
      </w:r>
      <w:r w:rsidR="00C424BF">
        <w:rPr>
          <w:rFonts w:eastAsia="Calibri" w:cs="Tahoma"/>
          <w:bCs/>
          <w:iCs/>
          <w:color w:val="000000"/>
          <w:szCs w:val="24"/>
          <w:lang w:eastAsia="es-MX"/>
        </w:rPr>
        <w:t xml:space="preserve"> no</w:t>
      </w:r>
      <w:r w:rsidR="001636B3">
        <w:rPr>
          <w:rFonts w:eastAsia="Calibri" w:cs="Tahoma"/>
          <w:bCs/>
          <w:iCs/>
          <w:color w:val="000000"/>
          <w:szCs w:val="24"/>
          <w:lang w:eastAsia="es-MX"/>
        </w:rPr>
        <w:t xml:space="preserve"> cumplió con el </w:t>
      </w:r>
      <w:r w:rsidR="00DC0199" w:rsidRPr="00DC0199">
        <w:rPr>
          <w:rFonts w:eastAsia="Calibri" w:cs="Tahoma"/>
          <w:bCs/>
          <w:iCs/>
          <w:color w:val="000000"/>
          <w:szCs w:val="24"/>
          <w:lang w:eastAsia="es-MX"/>
        </w:rPr>
        <w:t>procedimiento de búsqueda, establecido en el artículo 162 de la Ley de Transparencia y Acceso a la Información Pública del Estado de México y Municipios</w:t>
      </w:r>
      <w:r w:rsidR="00E01492">
        <w:rPr>
          <w:rFonts w:eastAsia="Calibri" w:cs="Tahoma"/>
          <w:bCs/>
          <w:iCs/>
          <w:color w:val="000000"/>
          <w:szCs w:val="24"/>
          <w:lang w:eastAsia="es-MX"/>
        </w:rPr>
        <w:t>, pues</w:t>
      </w:r>
      <w:r w:rsidR="006710AC">
        <w:rPr>
          <w:rFonts w:eastAsia="Calibri" w:cs="Tahoma"/>
          <w:bCs/>
          <w:iCs/>
          <w:color w:val="000000"/>
          <w:szCs w:val="24"/>
          <w:lang w:eastAsia="es-MX"/>
        </w:rPr>
        <w:t xml:space="preserve"> </w:t>
      </w:r>
      <w:r w:rsidR="00C424BF">
        <w:rPr>
          <w:rFonts w:eastAsia="Calibri" w:cs="Tahoma"/>
          <w:bCs/>
          <w:iCs/>
          <w:color w:val="000000"/>
          <w:szCs w:val="24"/>
          <w:lang w:eastAsia="es-MX"/>
        </w:rPr>
        <w:t>no obstante turnó</w:t>
      </w:r>
      <w:r w:rsidR="00E01492">
        <w:rPr>
          <w:rFonts w:eastAsia="Calibri" w:cs="Tahoma"/>
          <w:bCs/>
          <w:iCs/>
          <w:color w:val="000000"/>
          <w:szCs w:val="24"/>
          <w:lang w:eastAsia="es-MX"/>
        </w:rPr>
        <w:t xml:space="preserve"> el requerimiento </w:t>
      </w:r>
      <w:r w:rsidR="00CA02B6">
        <w:rPr>
          <w:rFonts w:eastAsia="Calibri" w:cs="Tahoma"/>
          <w:bCs/>
          <w:iCs/>
          <w:color w:val="000000"/>
          <w:szCs w:val="24"/>
          <w:lang w:eastAsia="es-MX"/>
        </w:rPr>
        <w:t xml:space="preserve">a la </w:t>
      </w:r>
      <w:r w:rsidR="00230883">
        <w:rPr>
          <w:rFonts w:eastAsia="Calibri" w:cs="Tahoma"/>
          <w:bCs/>
          <w:iCs/>
          <w:color w:val="000000"/>
          <w:szCs w:val="24"/>
          <w:lang w:eastAsia="es-MX"/>
        </w:rPr>
        <w:t>Secretaría</w:t>
      </w:r>
      <w:r w:rsidR="006710AC">
        <w:rPr>
          <w:rFonts w:eastAsia="Calibri" w:cs="Tahoma"/>
          <w:bCs/>
          <w:iCs/>
          <w:color w:val="000000"/>
          <w:szCs w:val="24"/>
          <w:lang w:eastAsia="es-MX"/>
        </w:rPr>
        <w:t xml:space="preserve"> del </w:t>
      </w:r>
      <w:r w:rsidR="00230883">
        <w:rPr>
          <w:rFonts w:eastAsia="Calibri" w:cs="Tahoma"/>
          <w:bCs/>
          <w:iCs/>
          <w:color w:val="000000"/>
          <w:szCs w:val="24"/>
          <w:lang w:eastAsia="es-MX"/>
        </w:rPr>
        <w:t>Ayuntamiento</w:t>
      </w:r>
      <w:r w:rsidR="006710AC">
        <w:rPr>
          <w:rFonts w:eastAsia="Calibri" w:cs="Tahoma"/>
          <w:bCs/>
          <w:iCs/>
          <w:color w:val="000000"/>
          <w:szCs w:val="24"/>
          <w:lang w:eastAsia="es-MX"/>
        </w:rPr>
        <w:t xml:space="preserve">, que tiene </w:t>
      </w:r>
      <w:r w:rsidR="00230883">
        <w:rPr>
          <w:rFonts w:eastAsia="Calibri" w:cs="Tahoma"/>
          <w:bCs/>
          <w:iCs/>
          <w:color w:val="000000"/>
          <w:szCs w:val="24"/>
          <w:lang w:eastAsia="es-MX"/>
        </w:rPr>
        <w:t>atribuciones</w:t>
      </w:r>
      <w:r w:rsidR="006710AC">
        <w:rPr>
          <w:rFonts w:eastAsia="Calibri" w:cs="Tahoma"/>
          <w:bCs/>
          <w:iCs/>
          <w:color w:val="000000"/>
          <w:szCs w:val="24"/>
          <w:lang w:eastAsia="es-MX"/>
        </w:rPr>
        <w:t xml:space="preserve"> para </w:t>
      </w:r>
      <w:r w:rsidR="00325CEA" w:rsidRPr="00325CEA">
        <w:rPr>
          <w:rFonts w:eastAsia="Calibri" w:cs="Tahoma"/>
          <w:bCs/>
          <w:iCs/>
          <w:color w:val="000000"/>
          <w:szCs w:val="24"/>
          <w:lang w:eastAsia="es-MX"/>
        </w:rPr>
        <w:t>apoyar a la comisión edilicia transitoria en el proceso de elección de delegados, subdelegados</w:t>
      </w:r>
      <w:r w:rsidR="00230883">
        <w:rPr>
          <w:rFonts w:eastAsia="Calibri" w:cs="Tahoma"/>
          <w:bCs/>
          <w:iCs/>
          <w:color w:val="000000"/>
          <w:szCs w:val="24"/>
          <w:lang w:eastAsia="es-MX"/>
        </w:rPr>
        <w:t xml:space="preserve">; </w:t>
      </w:r>
      <w:r w:rsidR="006710AC">
        <w:rPr>
          <w:rFonts w:eastAsia="Calibri" w:cs="Tahoma"/>
          <w:bCs/>
          <w:iCs/>
          <w:color w:val="000000"/>
          <w:szCs w:val="24"/>
          <w:lang w:eastAsia="es-MX"/>
        </w:rPr>
        <w:t xml:space="preserve">Así mismo la </w:t>
      </w:r>
      <w:r w:rsidR="00B4737F">
        <w:rPr>
          <w:rFonts w:eastAsia="Calibri" w:cs="Tahoma"/>
          <w:bCs/>
          <w:iCs/>
          <w:color w:val="000000"/>
          <w:szCs w:val="24"/>
          <w:lang w:eastAsia="es-MX"/>
        </w:rPr>
        <w:t>Tesorería tiene atribuciones para</w:t>
      </w:r>
      <w:r w:rsidR="00B4737F" w:rsidRPr="00B4737F">
        <w:rPr>
          <w:rFonts w:eastAsia="Calibri" w:cs="Tahoma"/>
          <w:bCs/>
          <w:iCs/>
          <w:color w:val="000000"/>
          <w:szCs w:val="24"/>
          <w:lang w:eastAsia="es-MX"/>
        </w:rPr>
        <w:t xml:space="preserve"> proponer al Ayuntamiento los presupuestos de ingresos y egresos los cuales deberán ser elaborados y etiquetados con perspectiva de género, </w:t>
      </w:r>
      <w:r w:rsidR="00C424BF">
        <w:rPr>
          <w:rFonts w:eastAsia="Calibri" w:cs="Tahoma"/>
          <w:bCs/>
          <w:iCs/>
          <w:color w:val="000000"/>
          <w:szCs w:val="24"/>
          <w:lang w:eastAsia="es-MX"/>
        </w:rPr>
        <w:lastRenderedPageBreak/>
        <w:t xml:space="preserve">e </w:t>
      </w:r>
      <w:r w:rsidR="00B4737F" w:rsidRPr="00B4737F">
        <w:rPr>
          <w:rFonts w:eastAsia="Calibri" w:cs="Tahoma"/>
          <w:bCs/>
          <w:iCs/>
          <w:color w:val="000000"/>
          <w:szCs w:val="24"/>
          <w:lang w:eastAsia="es-MX"/>
        </w:rPr>
        <w:t>informar de su ejercicio</w:t>
      </w:r>
      <w:r w:rsidR="00C424BF">
        <w:rPr>
          <w:rFonts w:eastAsia="Calibri" w:cs="Tahoma"/>
          <w:bCs/>
          <w:iCs/>
          <w:color w:val="000000"/>
          <w:szCs w:val="24"/>
          <w:lang w:eastAsia="es-MX"/>
        </w:rPr>
        <w:t xml:space="preserve">, no se turnó la solicitud a la Presidencia municipal, que cuenta con atribuciones para </w:t>
      </w:r>
      <w:r w:rsidR="001308A1" w:rsidRPr="001308A1">
        <w:rPr>
          <w:rFonts w:eastAsia="Calibri" w:cs="Tahoma"/>
          <w:bCs/>
          <w:iCs/>
          <w:color w:val="000000"/>
          <w:szCs w:val="24"/>
          <w:lang w:eastAsia="es-MX"/>
        </w:rPr>
        <w:t>coordinar el proceso de elección de las y los delegados y subdelegados</w:t>
      </w:r>
      <w:r w:rsidR="001308A1">
        <w:rPr>
          <w:rFonts w:eastAsia="Calibri" w:cs="Tahoma"/>
          <w:bCs/>
          <w:iCs/>
          <w:color w:val="000000"/>
          <w:szCs w:val="24"/>
          <w:lang w:eastAsia="es-MX"/>
        </w:rPr>
        <w:t>.</w:t>
      </w:r>
    </w:p>
    <w:p w14:paraId="55BAED07" w14:textId="77777777" w:rsidR="00DF6CD0" w:rsidRDefault="00DF6CD0" w:rsidP="001555A7">
      <w:pPr>
        <w:tabs>
          <w:tab w:val="left" w:pos="4962"/>
        </w:tabs>
        <w:spacing w:after="0" w:line="360" w:lineRule="auto"/>
        <w:contextualSpacing/>
        <w:rPr>
          <w:rFonts w:eastAsia="Calibri" w:cs="Tahoma"/>
          <w:bCs/>
          <w:iCs/>
          <w:color w:val="000000"/>
          <w:szCs w:val="24"/>
          <w:lang w:eastAsia="es-MX"/>
        </w:rPr>
      </w:pPr>
    </w:p>
    <w:p w14:paraId="49BFCA5C" w14:textId="7B377048" w:rsidR="0039467D" w:rsidRDefault="0039467D" w:rsidP="001555A7">
      <w:pPr>
        <w:spacing w:after="0" w:line="360" w:lineRule="auto"/>
        <w:contextualSpacing/>
        <w:rPr>
          <w:rFonts w:eastAsia="Calibri"/>
          <w:bCs/>
        </w:rPr>
      </w:pPr>
      <w:r>
        <w:rPr>
          <w:rFonts w:eastAsia="Calibri"/>
          <w:bCs/>
        </w:rPr>
        <w:t xml:space="preserve">En tal sentido, el Sujeto Obligado remitió diversa información con la que pretendió atender el requerimiento. En esa virtud, con el fin de analizar </w:t>
      </w:r>
      <w:r w:rsidR="00230883">
        <w:rPr>
          <w:rFonts w:eastAsia="Calibri"/>
          <w:bCs/>
        </w:rPr>
        <w:t>a la</w:t>
      </w:r>
      <w:r>
        <w:rPr>
          <w:rFonts w:eastAsia="Calibri"/>
          <w:bCs/>
        </w:rPr>
        <w:t xml:space="preserve"> respuesta, se inserta la siguiente tabla de relación:</w:t>
      </w:r>
    </w:p>
    <w:p w14:paraId="0D1462FB" w14:textId="77777777" w:rsidR="00B4737F" w:rsidRDefault="00B4737F" w:rsidP="001555A7">
      <w:pPr>
        <w:spacing w:after="0" w:line="360" w:lineRule="auto"/>
        <w:contextualSpacing/>
        <w:rPr>
          <w:rFonts w:eastAsia="Calibri"/>
          <w:bCs/>
        </w:rPr>
      </w:pPr>
    </w:p>
    <w:tbl>
      <w:tblPr>
        <w:tblStyle w:val="Tablaconcuadrcula"/>
        <w:tblW w:w="0" w:type="auto"/>
        <w:tblLook w:val="04A0" w:firstRow="1" w:lastRow="0" w:firstColumn="1" w:lastColumn="0" w:noHBand="0" w:noVBand="1"/>
      </w:tblPr>
      <w:tblGrid>
        <w:gridCol w:w="2973"/>
        <w:gridCol w:w="2974"/>
        <w:gridCol w:w="2974"/>
      </w:tblGrid>
      <w:tr w:rsidR="0039467D" w:rsidRPr="00230883" w14:paraId="36556D45" w14:textId="77777777" w:rsidTr="00412620">
        <w:tc>
          <w:tcPr>
            <w:tcW w:w="2973" w:type="dxa"/>
            <w:shd w:val="clear" w:color="auto" w:fill="D9D9D9" w:themeFill="background1" w:themeFillShade="D9"/>
          </w:tcPr>
          <w:p w14:paraId="4B4C3AD9" w14:textId="77777777" w:rsidR="0039467D" w:rsidRPr="00230883" w:rsidRDefault="0039467D" w:rsidP="001555A7">
            <w:pPr>
              <w:spacing w:line="360" w:lineRule="auto"/>
              <w:contextualSpacing/>
              <w:rPr>
                <w:rFonts w:eastAsia="Calibri"/>
                <w:bCs/>
              </w:rPr>
            </w:pPr>
            <w:r w:rsidRPr="00230883">
              <w:rPr>
                <w:rFonts w:eastAsia="Calibri"/>
                <w:bCs/>
              </w:rPr>
              <w:t>SOLICITUD</w:t>
            </w:r>
          </w:p>
        </w:tc>
        <w:tc>
          <w:tcPr>
            <w:tcW w:w="2974" w:type="dxa"/>
            <w:shd w:val="clear" w:color="auto" w:fill="D9D9D9" w:themeFill="background1" w:themeFillShade="D9"/>
          </w:tcPr>
          <w:p w14:paraId="467A7AB6" w14:textId="77777777" w:rsidR="0039467D" w:rsidRPr="00230883" w:rsidRDefault="0039467D" w:rsidP="001555A7">
            <w:pPr>
              <w:spacing w:line="360" w:lineRule="auto"/>
              <w:contextualSpacing/>
              <w:rPr>
                <w:rFonts w:eastAsia="Calibri"/>
                <w:bCs/>
              </w:rPr>
            </w:pPr>
            <w:r w:rsidRPr="00230883">
              <w:rPr>
                <w:rFonts w:eastAsia="Calibri"/>
                <w:bCs/>
              </w:rPr>
              <w:t>RESPUESTA</w:t>
            </w:r>
          </w:p>
        </w:tc>
        <w:tc>
          <w:tcPr>
            <w:tcW w:w="2974" w:type="dxa"/>
            <w:shd w:val="clear" w:color="auto" w:fill="D9D9D9" w:themeFill="background1" w:themeFillShade="D9"/>
          </w:tcPr>
          <w:p w14:paraId="63C276D3" w14:textId="77777777" w:rsidR="0039467D" w:rsidRPr="00230883" w:rsidRDefault="0039467D" w:rsidP="001555A7">
            <w:pPr>
              <w:spacing w:line="360" w:lineRule="auto"/>
              <w:contextualSpacing/>
              <w:rPr>
                <w:rFonts w:eastAsia="Calibri"/>
                <w:bCs/>
              </w:rPr>
            </w:pPr>
            <w:r w:rsidRPr="00230883">
              <w:rPr>
                <w:rFonts w:eastAsia="Calibri"/>
                <w:bCs/>
              </w:rPr>
              <w:t>OBSERVACIONES</w:t>
            </w:r>
          </w:p>
        </w:tc>
      </w:tr>
      <w:tr w:rsidR="0039467D" w14:paraId="16F50337" w14:textId="77777777" w:rsidTr="001555A7">
        <w:trPr>
          <w:trHeight w:val="3107"/>
        </w:trPr>
        <w:tc>
          <w:tcPr>
            <w:tcW w:w="2973" w:type="dxa"/>
          </w:tcPr>
          <w:p w14:paraId="7B748311" w14:textId="3F5135B6" w:rsidR="00AF21B0" w:rsidRDefault="00AF21B0" w:rsidP="001555A7">
            <w:pPr>
              <w:spacing w:line="360" w:lineRule="auto"/>
              <w:contextualSpacing/>
              <w:rPr>
                <w:rFonts w:eastAsia="Calibri"/>
                <w:bCs/>
              </w:rPr>
            </w:pPr>
            <w:r>
              <w:rPr>
                <w:rFonts w:eastAsia="Calibri"/>
                <w:bCs/>
              </w:rPr>
              <w:t>L</w:t>
            </w:r>
            <w:r w:rsidRPr="00AF21B0">
              <w:rPr>
                <w:rFonts w:eastAsia="Calibri"/>
                <w:bCs/>
              </w:rPr>
              <w:t xml:space="preserve">a convocatoria del proceso de selección de autoridades auxiliares, </w:t>
            </w:r>
            <w:proofErr w:type="gramStart"/>
            <w:r w:rsidRPr="00AF21B0">
              <w:rPr>
                <w:rFonts w:eastAsia="Calibri"/>
                <w:bCs/>
              </w:rPr>
              <w:t>la  fecha</w:t>
            </w:r>
            <w:proofErr w:type="gramEnd"/>
            <w:r w:rsidRPr="00AF21B0">
              <w:rPr>
                <w:rFonts w:eastAsia="Calibri"/>
                <w:bCs/>
              </w:rPr>
              <w:t xml:space="preserve"> del proceso </w:t>
            </w:r>
          </w:p>
          <w:p w14:paraId="6F8448EE" w14:textId="77777777" w:rsidR="00AF21B0" w:rsidRDefault="00AF21B0" w:rsidP="001555A7">
            <w:pPr>
              <w:spacing w:line="360" w:lineRule="auto"/>
              <w:contextualSpacing/>
              <w:rPr>
                <w:rFonts w:eastAsia="Calibri"/>
                <w:bCs/>
              </w:rPr>
            </w:pPr>
          </w:p>
          <w:p w14:paraId="064DCA22" w14:textId="6CA9FF92" w:rsidR="0039467D" w:rsidRPr="00230883" w:rsidRDefault="0039467D" w:rsidP="001555A7">
            <w:pPr>
              <w:spacing w:line="360" w:lineRule="auto"/>
              <w:contextualSpacing/>
              <w:rPr>
                <w:rFonts w:eastAsia="Calibri"/>
                <w:bCs/>
              </w:rPr>
            </w:pPr>
          </w:p>
        </w:tc>
        <w:tc>
          <w:tcPr>
            <w:tcW w:w="2974" w:type="dxa"/>
          </w:tcPr>
          <w:p w14:paraId="4201E56A" w14:textId="621B785F" w:rsidR="0039467D" w:rsidRDefault="00AF21B0" w:rsidP="001555A7">
            <w:pPr>
              <w:spacing w:line="360" w:lineRule="auto"/>
              <w:contextualSpacing/>
              <w:rPr>
                <w:rFonts w:eastAsia="Calibri"/>
                <w:bCs/>
              </w:rPr>
            </w:pPr>
            <w:r>
              <w:rPr>
                <w:rFonts w:eastAsia="Calibri"/>
                <w:bCs/>
              </w:rPr>
              <w:t>R</w:t>
            </w:r>
            <w:r w:rsidRPr="00AF21B0">
              <w:rPr>
                <w:rFonts w:eastAsia="Calibri"/>
                <w:bCs/>
              </w:rPr>
              <w:t xml:space="preserve">emitió la digitalización de la convocatoria para la elección de </w:t>
            </w:r>
            <w:proofErr w:type="gramStart"/>
            <w:r w:rsidRPr="00AF21B0">
              <w:rPr>
                <w:rFonts w:eastAsia="Calibri"/>
                <w:bCs/>
              </w:rPr>
              <w:t>Delegados</w:t>
            </w:r>
            <w:proofErr w:type="gramEnd"/>
            <w:r w:rsidRPr="00AF21B0">
              <w:rPr>
                <w:rFonts w:eastAsia="Calibri"/>
                <w:bCs/>
              </w:rPr>
              <w:t xml:space="preserve"> y </w:t>
            </w:r>
            <w:proofErr w:type="gramStart"/>
            <w:r w:rsidRPr="00AF21B0">
              <w:rPr>
                <w:rFonts w:eastAsia="Calibri"/>
                <w:bCs/>
              </w:rPr>
              <w:t>Subdelegados</w:t>
            </w:r>
            <w:proofErr w:type="gramEnd"/>
            <w:r w:rsidRPr="00AF21B0">
              <w:rPr>
                <w:rFonts w:eastAsia="Calibri"/>
                <w:bCs/>
              </w:rPr>
              <w:t xml:space="preserve"> 2025-2027</w:t>
            </w:r>
          </w:p>
          <w:p w14:paraId="71503A90" w14:textId="661747AF" w:rsidR="00911AB2" w:rsidRPr="00230883" w:rsidRDefault="00911AB2" w:rsidP="001555A7">
            <w:pPr>
              <w:spacing w:line="360" w:lineRule="auto"/>
              <w:contextualSpacing/>
              <w:rPr>
                <w:rFonts w:eastAsia="Calibri"/>
                <w:bCs/>
              </w:rPr>
            </w:pPr>
          </w:p>
        </w:tc>
        <w:tc>
          <w:tcPr>
            <w:tcW w:w="2974" w:type="dxa"/>
          </w:tcPr>
          <w:p w14:paraId="0F8C5DBE" w14:textId="72FD0C14" w:rsidR="0039467D" w:rsidRDefault="00911AB2" w:rsidP="001555A7">
            <w:pPr>
              <w:spacing w:line="360" w:lineRule="auto"/>
              <w:contextualSpacing/>
              <w:rPr>
                <w:rFonts w:eastAsia="Calibri"/>
                <w:bCs/>
              </w:rPr>
            </w:pPr>
            <w:r>
              <w:rPr>
                <w:rFonts w:eastAsia="Calibri"/>
                <w:bCs/>
              </w:rPr>
              <w:t xml:space="preserve">Satisface el requerimiento, toda vez que se proporcionó la convocatoria para la elección de los </w:t>
            </w:r>
            <w:proofErr w:type="gramStart"/>
            <w:r>
              <w:rPr>
                <w:rFonts w:eastAsia="Calibri"/>
                <w:bCs/>
              </w:rPr>
              <w:t>Delegados</w:t>
            </w:r>
            <w:proofErr w:type="gramEnd"/>
            <w:r>
              <w:rPr>
                <w:rFonts w:eastAsia="Calibri"/>
                <w:bCs/>
              </w:rPr>
              <w:t xml:space="preserve"> y los </w:t>
            </w:r>
            <w:proofErr w:type="gramStart"/>
            <w:r>
              <w:rPr>
                <w:rFonts w:eastAsia="Calibri"/>
                <w:bCs/>
              </w:rPr>
              <w:t>Subdelegados</w:t>
            </w:r>
            <w:proofErr w:type="gramEnd"/>
            <w:r w:rsidR="00B45FF4">
              <w:rPr>
                <w:rFonts w:eastAsia="Calibri"/>
                <w:bCs/>
              </w:rPr>
              <w:t xml:space="preserve"> donde se aprecia</w:t>
            </w:r>
            <w:r w:rsidR="001308A1">
              <w:rPr>
                <w:rFonts w:eastAsia="Calibri"/>
                <w:bCs/>
              </w:rPr>
              <w:t>n</w:t>
            </w:r>
            <w:r w:rsidR="00B45FF4">
              <w:rPr>
                <w:rFonts w:eastAsia="Calibri"/>
                <w:bCs/>
              </w:rPr>
              <w:t xml:space="preserve"> la</w:t>
            </w:r>
            <w:r w:rsidR="001308A1">
              <w:rPr>
                <w:rFonts w:eastAsia="Calibri"/>
                <w:bCs/>
              </w:rPr>
              <w:t>s</w:t>
            </w:r>
            <w:r w:rsidR="00B45FF4">
              <w:rPr>
                <w:rFonts w:eastAsia="Calibri"/>
                <w:bCs/>
              </w:rPr>
              <w:t xml:space="preserve"> fecha</w:t>
            </w:r>
            <w:r w:rsidR="001308A1">
              <w:rPr>
                <w:rFonts w:eastAsia="Calibri"/>
                <w:bCs/>
              </w:rPr>
              <w:t>s</w:t>
            </w:r>
            <w:r w:rsidR="00B45FF4">
              <w:rPr>
                <w:rFonts w:eastAsia="Calibri"/>
                <w:bCs/>
              </w:rPr>
              <w:t xml:space="preserve"> del proceso</w:t>
            </w:r>
          </w:p>
        </w:tc>
      </w:tr>
      <w:tr w:rsidR="00911AB2" w14:paraId="798765C6" w14:textId="77777777" w:rsidTr="001555A7">
        <w:trPr>
          <w:trHeight w:val="2669"/>
        </w:trPr>
        <w:tc>
          <w:tcPr>
            <w:tcW w:w="2973" w:type="dxa"/>
          </w:tcPr>
          <w:p w14:paraId="18755A86" w14:textId="577EB90E" w:rsidR="00911AB2" w:rsidRDefault="00B45FF4" w:rsidP="001555A7">
            <w:pPr>
              <w:spacing w:line="360" w:lineRule="auto"/>
              <w:contextualSpacing/>
              <w:rPr>
                <w:rFonts w:eastAsia="Calibri"/>
                <w:bCs/>
              </w:rPr>
            </w:pPr>
            <w:r>
              <w:rPr>
                <w:rFonts w:eastAsia="Calibri"/>
                <w:bCs/>
              </w:rPr>
              <w:t>E</w:t>
            </w:r>
            <w:r w:rsidR="00911AB2" w:rsidRPr="00AF21B0">
              <w:rPr>
                <w:rFonts w:eastAsia="Calibri"/>
                <w:bCs/>
              </w:rPr>
              <w:t xml:space="preserve">l presupuesto asignado </w:t>
            </w:r>
          </w:p>
        </w:tc>
        <w:tc>
          <w:tcPr>
            <w:tcW w:w="2974" w:type="dxa"/>
          </w:tcPr>
          <w:p w14:paraId="691E8F0F" w14:textId="26A715D3" w:rsidR="00911AB2" w:rsidRDefault="00B45FF4" w:rsidP="001555A7">
            <w:pPr>
              <w:spacing w:line="360" w:lineRule="auto"/>
              <w:contextualSpacing/>
              <w:rPr>
                <w:rFonts w:eastAsia="Calibri"/>
                <w:bCs/>
              </w:rPr>
            </w:pPr>
            <w:proofErr w:type="gramStart"/>
            <w:r w:rsidRPr="00B45FF4">
              <w:rPr>
                <w:rFonts w:eastAsia="Calibri"/>
                <w:bCs/>
              </w:rPr>
              <w:t>El  Tesorero</w:t>
            </w:r>
            <w:proofErr w:type="gramEnd"/>
            <w:r w:rsidRPr="00B45FF4">
              <w:rPr>
                <w:rFonts w:eastAsia="Calibri"/>
                <w:bCs/>
              </w:rPr>
              <w:t>, informó que la información solicitada se encontraba en proceso de integración para la entrega del Primer Informe Trimestral</w:t>
            </w:r>
          </w:p>
        </w:tc>
        <w:tc>
          <w:tcPr>
            <w:tcW w:w="2974" w:type="dxa"/>
          </w:tcPr>
          <w:p w14:paraId="5612FE22" w14:textId="1B838051" w:rsidR="00911AB2" w:rsidRDefault="00B45FF4" w:rsidP="001555A7">
            <w:pPr>
              <w:spacing w:line="360" w:lineRule="auto"/>
              <w:contextualSpacing/>
              <w:rPr>
                <w:rFonts w:eastAsia="Calibri"/>
                <w:bCs/>
              </w:rPr>
            </w:pPr>
            <w:r>
              <w:rPr>
                <w:rFonts w:eastAsia="Calibri"/>
                <w:bCs/>
              </w:rPr>
              <w:t>No satisface</w:t>
            </w:r>
            <w:r w:rsidR="001308A1">
              <w:rPr>
                <w:rFonts w:eastAsia="Calibri"/>
                <w:bCs/>
              </w:rPr>
              <w:t>, respuesta incongruente con lo solicitado.</w:t>
            </w:r>
          </w:p>
          <w:p w14:paraId="54631E1F" w14:textId="733F0DFF" w:rsidR="00911AB2" w:rsidRDefault="00911AB2" w:rsidP="001555A7">
            <w:pPr>
              <w:spacing w:line="360" w:lineRule="auto"/>
              <w:contextualSpacing/>
              <w:rPr>
                <w:rFonts w:eastAsia="Calibri"/>
                <w:bCs/>
              </w:rPr>
            </w:pPr>
          </w:p>
        </w:tc>
      </w:tr>
    </w:tbl>
    <w:p w14:paraId="50890981" w14:textId="77777777" w:rsidR="0039467D" w:rsidRDefault="0039467D" w:rsidP="001555A7">
      <w:pPr>
        <w:spacing w:after="0" w:line="360" w:lineRule="auto"/>
        <w:contextualSpacing/>
        <w:rPr>
          <w:rFonts w:eastAsia="Calibri"/>
          <w:bCs/>
        </w:rPr>
      </w:pPr>
    </w:p>
    <w:p w14:paraId="343E805E" w14:textId="6AF7134E" w:rsidR="0039467D" w:rsidRDefault="0039467D" w:rsidP="001555A7">
      <w:pPr>
        <w:spacing w:after="0" w:line="360" w:lineRule="auto"/>
        <w:contextualSpacing/>
        <w:rPr>
          <w:rFonts w:eastAsia="Calibri"/>
          <w:bCs/>
        </w:rPr>
      </w:pPr>
      <w:r>
        <w:rPr>
          <w:rFonts w:eastAsia="Calibri"/>
          <w:bCs/>
        </w:rPr>
        <w:t>Como se aprecia del cuadro anterior,</w:t>
      </w:r>
      <w:r w:rsidR="00B45FF4">
        <w:rPr>
          <w:rFonts w:eastAsia="Calibri"/>
          <w:bCs/>
        </w:rPr>
        <w:t xml:space="preserve"> el Ayuntamiento de Toluca</w:t>
      </w:r>
      <w:r>
        <w:rPr>
          <w:rFonts w:eastAsia="Calibri"/>
          <w:bCs/>
        </w:rPr>
        <w:t xml:space="preserve"> remitió la información relativa a </w:t>
      </w:r>
      <w:r w:rsidR="00B45FF4">
        <w:rPr>
          <w:rFonts w:eastAsia="Calibri"/>
          <w:bCs/>
        </w:rPr>
        <w:t xml:space="preserve">la Convocatoria para la elección de </w:t>
      </w:r>
      <w:proofErr w:type="gramStart"/>
      <w:r w:rsidR="00B45FF4">
        <w:rPr>
          <w:rFonts w:eastAsia="Calibri"/>
          <w:bCs/>
        </w:rPr>
        <w:t>Delegados  y</w:t>
      </w:r>
      <w:proofErr w:type="gramEnd"/>
      <w:r w:rsidR="00B45FF4">
        <w:rPr>
          <w:rFonts w:eastAsia="Calibri"/>
          <w:bCs/>
        </w:rPr>
        <w:t xml:space="preserve"> </w:t>
      </w:r>
      <w:proofErr w:type="gramStart"/>
      <w:r w:rsidR="00B45FF4">
        <w:rPr>
          <w:rFonts w:eastAsia="Calibri"/>
          <w:bCs/>
        </w:rPr>
        <w:t>Subdelegados</w:t>
      </w:r>
      <w:proofErr w:type="gramEnd"/>
      <w:r w:rsidR="00B45FF4">
        <w:rPr>
          <w:rFonts w:eastAsia="Calibri"/>
          <w:bCs/>
        </w:rPr>
        <w:t xml:space="preserve">, </w:t>
      </w:r>
      <w:r w:rsidR="001308A1">
        <w:rPr>
          <w:rFonts w:eastAsia="Calibri"/>
          <w:bCs/>
        </w:rPr>
        <w:t xml:space="preserve">mismos que como ya se ha hecho referencia, la ley concede el carácter de autoridades auxiliares, </w:t>
      </w:r>
      <w:r w:rsidR="00B45FF4">
        <w:rPr>
          <w:rFonts w:eastAsia="Calibri"/>
          <w:bCs/>
        </w:rPr>
        <w:t xml:space="preserve">donde se </w:t>
      </w:r>
      <w:r w:rsidR="00DE0A5D">
        <w:rPr>
          <w:rFonts w:eastAsia="Calibri"/>
          <w:bCs/>
        </w:rPr>
        <w:t>menciona</w:t>
      </w:r>
      <w:r w:rsidR="00B45FF4">
        <w:rPr>
          <w:rFonts w:eastAsia="Calibri"/>
          <w:bCs/>
        </w:rPr>
        <w:t xml:space="preserve"> la fecha del proceso</w:t>
      </w:r>
      <w:r w:rsidR="00A65A12">
        <w:rPr>
          <w:rFonts w:eastAsia="Calibri"/>
          <w:bCs/>
        </w:rPr>
        <w:t>, como se aprecia en el extracto siguiente:</w:t>
      </w:r>
    </w:p>
    <w:p w14:paraId="5CCF5C34" w14:textId="77777777" w:rsidR="0039467D" w:rsidRDefault="0039467D" w:rsidP="001555A7">
      <w:pPr>
        <w:spacing w:after="0" w:line="360" w:lineRule="auto"/>
        <w:contextualSpacing/>
        <w:rPr>
          <w:rFonts w:eastAsia="Calibri"/>
          <w:bCs/>
        </w:rPr>
      </w:pPr>
    </w:p>
    <w:p w14:paraId="1A1130BA" w14:textId="0B28CFBD" w:rsidR="0039467D" w:rsidRDefault="00B45FF4" w:rsidP="001555A7">
      <w:pPr>
        <w:spacing w:after="0" w:line="360" w:lineRule="auto"/>
        <w:contextualSpacing/>
        <w:jc w:val="center"/>
        <w:rPr>
          <w:rFonts w:eastAsia="Calibri"/>
          <w:bCs/>
        </w:rPr>
      </w:pPr>
      <w:r w:rsidRPr="00B45FF4">
        <w:rPr>
          <w:rFonts w:eastAsia="Calibri"/>
          <w:bCs/>
          <w:noProof/>
          <w:lang w:eastAsia="es-MX"/>
        </w:rPr>
        <w:lastRenderedPageBreak/>
        <w:drawing>
          <wp:inline distT="0" distB="0" distL="0" distR="0" wp14:anchorId="5163DA81" wp14:editId="2C4B51FF">
            <wp:extent cx="5861421" cy="3339003"/>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1721" cy="3367657"/>
                    </a:xfrm>
                    <a:prstGeom prst="rect">
                      <a:avLst/>
                    </a:prstGeom>
                  </pic:spPr>
                </pic:pic>
              </a:graphicData>
            </a:graphic>
          </wp:inline>
        </w:drawing>
      </w:r>
    </w:p>
    <w:p w14:paraId="20871063" w14:textId="77777777" w:rsidR="0039467D" w:rsidRDefault="0039467D" w:rsidP="001555A7">
      <w:pPr>
        <w:spacing w:after="0" w:line="360" w:lineRule="auto"/>
        <w:contextualSpacing/>
        <w:rPr>
          <w:rFonts w:eastAsia="Calibri"/>
          <w:bCs/>
        </w:rPr>
      </w:pPr>
    </w:p>
    <w:p w14:paraId="71BC92C1" w14:textId="5C876C7E" w:rsidR="00B45FF4" w:rsidRDefault="00B45FF4" w:rsidP="001555A7">
      <w:pPr>
        <w:spacing w:after="0" w:line="360" w:lineRule="auto"/>
        <w:contextualSpacing/>
        <w:rPr>
          <w:rFonts w:eastAsia="Calibri"/>
          <w:bCs/>
        </w:rPr>
      </w:pPr>
    </w:p>
    <w:p w14:paraId="211B2274" w14:textId="4E02ABD9" w:rsidR="00B45FF4" w:rsidRDefault="00696D2E" w:rsidP="001555A7">
      <w:pPr>
        <w:spacing w:after="0" w:line="360" w:lineRule="auto"/>
        <w:contextualSpacing/>
        <w:rPr>
          <w:rFonts w:eastAsia="Calibri"/>
          <w:bCs/>
        </w:rPr>
      </w:pPr>
      <w:r w:rsidRPr="00696D2E">
        <w:rPr>
          <w:rFonts w:eastAsia="Calibri"/>
          <w:bCs/>
          <w:noProof/>
          <w:lang w:eastAsia="es-MX"/>
        </w:rPr>
        <w:drawing>
          <wp:inline distT="0" distB="0" distL="0" distR="0" wp14:anchorId="38B0B210" wp14:editId="366E1987">
            <wp:extent cx="5671185" cy="136155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7970" cy="1367983"/>
                    </a:xfrm>
                    <a:prstGeom prst="rect">
                      <a:avLst/>
                    </a:prstGeom>
                  </pic:spPr>
                </pic:pic>
              </a:graphicData>
            </a:graphic>
          </wp:inline>
        </w:drawing>
      </w:r>
    </w:p>
    <w:p w14:paraId="2905851F" w14:textId="77777777" w:rsidR="00B45FF4" w:rsidRDefault="00B45FF4" w:rsidP="001555A7">
      <w:pPr>
        <w:spacing w:after="0" w:line="360" w:lineRule="auto"/>
        <w:contextualSpacing/>
        <w:rPr>
          <w:rFonts w:eastAsia="Calibri"/>
          <w:bCs/>
        </w:rPr>
      </w:pPr>
    </w:p>
    <w:p w14:paraId="53D0CCF4" w14:textId="302FE0E6" w:rsidR="00B45FF4" w:rsidRDefault="00A65A12" w:rsidP="001555A7">
      <w:pPr>
        <w:spacing w:after="0" w:line="360" w:lineRule="auto"/>
        <w:contextualSpacing/>
        <w:rPr>
          <w:rFonts w:eastAsia="Calibri"/>
          <w:bCs/>
        </w:rPr>
      </w:pPr>
      <w:r>
        <w:rPr>
          <w:rFonts w:eastAsia="Calibri"/>
          <w:bCs/>
        </w:rPr>
        <w:t xml:space="preserve">En tal sentido se proporcionó la expresión documental que atiende el requerimiento de información, por lo </w:t>
      </w:r>
      <w:proofErr w:type="gramStart"/>
      <w:r>
        <w:rPr>
          <w:rFonts w:eastAsia="Calibri"/>
          <w:bCs/>
        </w:rPr>
        <w:t>que</w:t>
      </w:r>
      <w:proofErr w:type="gramEnd"/>
      <w:r>
        <w:rPr>
          <w:rFonts w:eastAsia="Calibri"/>
          <w:bCs/>
        </w:rPr>
        <w:t xml:space="preserve"> en relación con el presente punto, se tiene por atendido de forma satisfactoria el requerimiento. </w:t>
      </w:r>
    </w:p>
    <w:p w14:paraId="37D3B6DD" w14:textId="77777777" w:rsidR="00A65A12" w:rsidRDefault="00A65A12" w:rsidP="001555A7">
      <w:pPr>
        <w:spacing w:after="0" w:line="360" w:lineRule="auto"/>
        <w:contextualSpacing/>
        <w:rPr>
          <w:rFonts w:eastAsia="Calibri"/>
          <w:bCs/>
        </w:rPr>
      </w:pPr>
    </w:p>
    <w:p w14:paraId="501B17EC" w14:textId="24407D89" w:rsidR="00A65A12" w:rsidRDefault="00A65A12" w:rsidP="001555A7">
      <w:pPr>
        <w:spacing w:after="0" w:line="360" w:lineRule="auto"/>
        <w:contextualSpacing/>
        <w:rPr>
          <w:rFonts w:eastAsia="Calibri"/>
          <w:bCs/>
        </w:rPr>
      </w:pPr>
      <w:r>
        <w:rPr>
          <w:rFonts w:eastAsia="Calibri"/>
          <w:bCs/>
        </w:rPr>
        <w:t>Ahora bien, por lo que respecta a</w:t>
      </w:r>
      <w:r w:rsidR="00333A6F">
        <w:rPr>
          <w:rFonts w:eastAsia="Calibri"/>
          <w:bCs/>
        </w:rPr>
        <w:t xml:space="preserve">l presupuesto destinado para la elección de las autoridades auxiliares, el Ayuntamiento de Toluca </w:t>
      </w:r>
      <w:proofErr w:type="gramStart"/>
      <w:r w:rsidR="00333A6F">
        <w:rPr>
          <w:rFonts w:eastAsia="Calibri"/>
          <w:bCs/>
        </w:rPr>
        <w:t xml:space="preserve">refirió </w:t>
      </w:r>
      <w:r>
        <w:rPr>
          <w:rFonts w:eastAsia="Calibri"/>
          <w:bCs/>
        </w:rPr>
        <w:t xml:space="preserve"> </w:t>
      </w:r>
      <w:r w:rsidR="00333A6F" w:rsidRPr="00333A6F">
        <w:rPr>
          <w:rFonts w:eastAsia="Calibri"/>
          <w:bCs/>
        </w:rPr>
        <w:t>que</w:t>
      </w:r>
      <w:proofErr w:type="gramEnd"/>
      <w:r w:rsidR="00333A6F" w:rsidRPr="00333A6F">
        <w:rPr>
          <w:rFonts w:eastAsia="Calibri"/>
          <w:bCs/>
        </w:rPr>
        <w:t xml:space="preserve"> la información solicitada se encontraba en proceso de integración para la entrega del Primer Informe Trimestral</w:t>
      </w:r>
      <w:r w:rsidR="00333A6F">
        <w:rPr>
          <w:rFonts w:eastAsia="Calibri"/>
          <w:bCs/>
        </w:rPr>
        <w:t xml:space="preserve">. </w:t>
      </w:r>
    </w:p>
    <w:p w14:paraId="591CB4A7" w14:textId="77777777" w:rsidR="00333A6F" w:rsidRDefault="00333A6F" w:rsidP="001555A7">
      <w:pPr>
        <w:spacing w:after="0" w:line="360" w:lineRule="auto"/>
        <w:contextualSpacing/>
        <w:rPr>
          <w:rFonts w:eastAsia="Calibri"/>
          <w:bCs/>
        </w:rPr>
      </w:pPr>
    </w:p>
    <w:p w14:paraId="3D4B5A3D" w14:textId="3184789B" w:rsidR="00333A6F" w:rsidRDefault="00333A6F" w:rsidP="001555A7">
      <w:pPr>
        <w:spacing w:after="0" w:line="360" w:lineRule="auto"/>
        <w:contextualSpacing/>
        <w:rPr>
          <w:rFonts w:eastAsia="Calibri"/>
          <w:bCs/>
        </w:rPr>
      </w:pPr>
      <w:r>
        <w:rPr>
          <w:rFonts w:eastAsia="Calibri"/>
          <w:bCs/>
        </w:rPr>
        <w:t xml:space="preserve">En tal virtud, </w:t>
      </w:r>
      <w:r w:rsidR="00DF6CD0">
        <w:rPr>
          <w:rFonts w:eastAsia="Calibri"/>
          <w:bCs/>
        </w:rPr>
        <w:t xml:space="preserve">se aprecia que dicha respuesta no </w:t>
      </w:r>
      <w:r w:rsidR="00802F8E">
        <w:rPr>
          <w:rFonts w:eastAsia="Calibri"/>
          <w:bCs/>
        </w:rPr>
        <w:t>atiende</w:t>
      </w:r>
      <w:r w:rsidR="00DF6CD0">
        <w:rPr>
          <w:rFonts w:eastAsia="Calibri"/>
          <w:bCs/>
        </w:rPr>
        <w:t xml:space="preserve"> lo solicitado, pues no se requirió el informe trimestral </w:t>
      </w:r>
      <w:r w:rsidR="00F20A03">
        <w:rPr>
          <w:rFonts w:eastAsia="Calibri"/>
          <w:bCs/>
        </w:rPr>
        <w:t xml:space="preserve">que se remite al OSFEM, sino el presupuesto con el que el Ayuntamiento de Toluca </w:t>
      </w:r>
      <w:r w:rsidR="00DE0A5D">
        <w:rPr>
          <w:rFonts w:eastAsia="Calibri"/>
          <w:bCs/>
        </w:rPr>
        <w:t>habría destinado para</w:t>
      </w:r>
      <w:r w:rsidR="00F20A03">
        <w:rPr>
          <w:rFonts w:eastAsia="Calibri"/>
          <w:bCs/>
        </w:rPr>
        <w:t xml:space="preserve"> la elección de </w:t>
      </w:r>
      <w:proofErr w:type="gramStart"/>
      <w:r w:rsidR="00F20A03">
        <w:rPr>
          <w:rFonts w:eastAsia="Calibri"/>
          <w:bCs/>
        </w:rPr>
        <w:t>Delegados</w:t>
      </w:r>
      <w:proofErr w:type="gramEnd"/>
      <w:r w:rsidR="00F20A03">
        <w:rPr>
          <w:rFonts w:eastAsia="Calibri"/>
          <w:bCs/>
        </w:rPr>
        <w:t xml:space="preserve"> y </w:t>
      </w:r>
      <w:proofErr w:type="gramStart"/>
      <w:r w:rsidR="00F20A03">
        <w:rPr>
          <w:rFonts w:eastAsia="Calibri"/>
          <w:bCs/>
        </w:rPr>
        <w:t>Subdelegados</w:t>
      </w:r>
      <w:proofErr w:type="gramEnd"/>
      <w:r w:rsidR="00F20A03">
        <w:rPr>
          <w:rFonts w:eastAsia="Calibri"/>
          <w:bCs/>
        </w:rPr>
        <w:t xml:space="preserve">. En tal sentido, de conformidad con la convocatoria emitida por el propio Sujeto Obligado, el proceso para la elección daría inicio con la publicación de la Convocatoria el día </w:t>
      </w:r>
      <w:r w:rsidR="00CB5A48">
        <w:rPr>
          <w:rFonts w:eastAsia="Calibri"/>
          <w:bCs/>
        </w:rPr>
        <w:t xml:space="preserve">veintiséis de febrero de dos mil veinticinco. </w:t>
      </w:r>
    </w:p>
    <w:p w14:paraId="4CBC8650" w14:textId="77777777" w:rsidR="00802F8E" w:rsidRDefault="00802F8E" w:rsidP="001555A7">
      <w:pPr>
        <w:spacing w:after="0" w:line="360" w:lineRule="auto"/>
        <w:contextualSpacing/>
        <w:rPr>
          <w:rFonts w:eastAsia="Calibri"/>
          <w:bCs/>
        </w:rPr>
      </w:pPr>
    </w:p>
    <w:p w14:paraId="7C43C3E0" w14:textId="6BAB86D2" w:rsidR="00B45FF4" w:rsidRDefault="00CB5A48" w:rsidP="001555A7">
      <w:pPr>
        <w:spacing w:after="0" w:line="360" w:lineRule="auto"/>
        <w:contextualSpacing/>
        <w:rPr>
          <w:rFonts w:eastAsia="Calibri"/>
          <w:bCs/>
        </w:rPr>
      </w:pPr>
      <w:r>
        <w:rPr>
          <w:rFonts w:eastAsia="Calibri"/>
          <w:bCs/>
        </w:rPr>
        <w:t xml:space="preserve">En relación con lo anterior, el artículo 31 fracción XIX de la Ley Orgánica Municipal del Estado de México, los Ayuntamientos deben </w:t>
      </w:r>
      <w:r w:rsidR="002728FA">
        <w:rPr>
          <w:rFonts w:eastAsia="Calibri"/>
          <w:bCs/>
        </w:rPr>
        <w:t xml:space="preserve"> a</w:t>
      </w:r>
      <w:r w:rsidR="002728FA" w:rsidRPr="002728FA">
        <w:rPr>
          <w:rFonts w:eastAsia="Calibri"/>
          <w:bCs/>
        </w:rPr>
        <w:t>probar anualmente a más tardar el 20 de diciembre, su Presupuesto de Egresos, en base</w:t>
      </w:r>
      <w:r w:rsidR="002728FA">
        <w:rPr>
          <w:rFonts w:eastAsia="Calibri"/>
          <w:bCs/>
        </w:rPr>
        <w:t xml:space="preserve"> </w:t>
      </w:r>
      <w:r w:rsidR="002728FA" w:rsidRPr="002728FA">
        <w:rPr>
          <w:rFonts w:eastAsia="Calibri"/>
          <w:bCs/>
        </w:rPr>
        <w:t>a los ingresos presupuestados para el ejercicio que corresponda, el cual podrá ser adecuado en</w:t>
      </w:r>
      <w:r w:rsidR="002728FA">
        <w:rPr>
          <w:rFonts w:eastAsia="Calibri"/>
          <w:bCs/>
        </w:rPr>
        <w:t xml:space="preserve"> </w:t>
      </w:r>
      <w:r w:rsidR="002728FA" w:rsidRPr="002728FA">
        <w:rPr>
          <w:rFonts w:eastAsia="Calibri"/>
          <w:bCs/>
        </w:rPr>
        <w:t>función de las implicaciones que deriven de la aprobación de la Ley de Ingresos Municipal que</w:t>
      </w:r>
      <w:r w:rsidR="002728FA">
        <w:rPr>
          <w:rFonts w:eastAsia="Calibri"/>
          <w:bCs/>
        </w:rPr>
        <w:t xml:space="preserve"> </w:t>
      </w:r>
      <w:r w:rsidR="002728FA" w:rsidRPr="002728FA">
        <w:rPr>
          <w:rFonts w:eastAsia="Calibri"/>
          <w:bCs/>
        </w:rPr>
        <w:t>haga la Legislatura, así como por la asignación de las participaciones y aportaciones federales y</w:t>
      </w:r>
      <w:r w:rsidR="002728FA">
        <w:rPr>
          <w:rFonts w:eastAsia="Calibri"/>
          <w:bCs/>
        </w:rPr>
        <w:t xml:space="preserve"> </w:t>
      </w:r>
      <w:r w:rsidR="002728FA" w:rsidRPr="002728FA">
        <w:rPr>
          <w:rFonts w:eastAsia="Calibri"/>
          <w:bCs/>
        </w:rPr>
        <w:t>estatales.</w:t>
      </w:r>
      <w:r w:rsidR="002728FA" w:rsidRPr="002728FA">
        <w:rPr>
          <w:rFonts w:eastAsia="Calibri"/>
          <w:bCs/>
        </w:rPr>
        <w:cr/>
      </w:r>
    </w:p>
    <w:p w14:paraId="2027A365" w14:textId="0F33A87A" w:rsidR="001555A7" w:rsidRPr="001555A7" w:rsidRDefault="002728FA" w:rsidP="001555A7">
      <w:pPr>
        <w:spacing w:after="0" w:line="360" w:lineRule="auto"/>
        <w:contextualSpacing/>
        <w:rPr>
          <w:rFonts w:eastAsia="Times New Roman" w:cs="Arial"/>
          <w:lang w:eastAsia="es-ES"/>
        </w:rPr>
      </w:pPr>
      <w:r>
        <w:rPr>
          <w:rFonts w:eastAsia="Calibri"/>
          <w:bCs/>
        </w:rPr>
        <w:t>De acuerdo a lo anterior, a la fecha de presentación de la solicitud, el Ayuntamiento de Toluca debía contar con el presupuesto de egresos para el ejercicio dos mil veinticinco, donde se contemplarían los recursos destinados para la elección de los Delegados y Subdelegados</w:t>
      </w:r>
      <w:r w:rsidR="001555A7">
        <w:rPr>
          <w:rFonts w:eastAsia="Calibri"/>
          <w:bCs/>
        </w:rPr>
        <w:t xml:space="preserve">; además que la pretensión del Recurrente no es obtener formatos del Informe Trimestral, pues el Sujeto Obligado debió generar diversos documentos para aprobar el Presupuesto de Egresos, así como, para entregar el Paquete Presupuestal, aunado al hecho que la Tesorería Municipal de manera diaria realiza acciones </w:t>
      </w:r>
      <w:proofErr w:type="spellStart"/>
      <w:r w:rsidR="001555A7">
        <w:rPr>
          <w:rFonts w:eastAsia="Calibri"/>
          <w:bCs/>
        </w:rPr>
        <w:t>relacioandas</w:t>
      </w:r>
      <w:proofErr w:type="spellEnd"/>
      <w:r w:rsidR="001555A7">
        <w:rPr>
          <w:rFonts w:eastAsia="Calibri"/>
          <w:bCs/>
        </w:rPr>
        <w:t xml:space="preserve"> con la Hacienda Municipal, por lo que, su respuesta </w:t>
      </w:r>
      <w:r w:rsidR="001555A7" w:rsidRPr="001555A7">
        <w:rPr>
          <w:rFonts w:eastAsia="Times New Roman" w:cs="Arial"/>
          <w:lang w:eastAsia="es-ES"/>
        </w:rPr>
        <w:t>resulta incongruente</w:t>
      </w:r>
      <w:r w:rsidR="001555A7">
        <w:rPr>
          <w:rFonts w:eastAsia="Times New Roman" w:cs="Arial"/>
          <w:lang w:eastAsia="es-ES"/>
        </w:rPr>
        <w:t>.</w:t>
      </w:r>
    </w:p>
    <w:p w14:paraId="2BB42991" w14:textId="77777777" w:rsidR="001555A7" w:rsidRPr="001555A7" w:rsidRDefault="001555A7" w:rsidP="001555A7">
      <w:pPr>
        <w:spacing w:after="0" w:line="360" w:lineRule="auto"/>
        <w:contextualSpacing/>
        <w:rPr>
          <w:rFonts w:eastAsia="Times New Roman" w:cs="Arial"/>
          <w:lang w:eastAsia="es-ES"/>
        </w:rPr>
      </w:pPr>
    </w:p>
    <w:p w14:paraId="39AB6B47" w14:textId="6618C4B6" w:rsidR="001555A7" w:rsidRPr="001555A7" w:rsidRDefault="001555A7" w:rsidP="001555A7">
      <w:pPr>
        <w:spacing w:after="0" w:line="360" w:lineRule="auto"/>
        <w:ind w:right="48"/>
        <w:contextualSpacing/>
        <w:rPr>
          <w:rFonts w:eastAsia="Calibri" w:cs="Tahoma"/>
          <w:bCs/>
          <w:lang w:val="es-ES"/>
        </w:rPr>
      </w:pPr>
      <w:r w:rsidRPr="001555A7">
        <w:rPr>
          <w:rFonts w:eastAsia="Calibri" w:cs="Times New Roman"/>
          <w:color w:val="000000"/>
        </w:rPr>
        <w:t xml:space="preserve">Sobre </w:t>
      </w:r>
      <w:r w:rsidRPr="001555A7">
        <w:rPr>
          <w:rFonts w:eastAsia="Times New Roman" w:cs="Tahoma"/>
          <w:lang w:val="es-ES" w:eastAsia="es-ES"/>
        </w:rPr>
        <w:t>lo anterior</w:t>
      </w:r>
      <w:r w:rsidRPr="001555A7">
        <w:rPr>
          <w:rFonts w:eastAsia="Calibri" w:cs="Tahoma"/>
        </w:rPr>
        <w:t xml:space="preserve">, </w:t>
      </w:r>
      <w:r w:rsidRPr="001555A7">
        <w:rPr>
          <w:rFonts w:eastAsia="Calibri" w:cs="Times New Roman"/>
          <w:color w:val="000000"/>
        </w:rPr>
        <w:t xml:space="preserve">el </w:t>
      </w:r>
      <w:r w:rsidRPr="001555A7">
        <w:rPr>
          <w:rFonts w:eastAsia="Times New Roman" w:cs="Tahoma"/>
          <w:lang w:val="es-ES" w:eastAsia="es-ES"/>
        </w:rPr>
        <w:t>artículo 1.8, fracción IX, del Código Administrativo del Estado de México, establece que para que un acto administrativo tenga validez, deberá guardar congruencia con lo solicitado; as</w:t>
      </w:r>
      <w:r w:rsidRPr="001555A7">
        <w:rPr>
          <w:rFonts w:eastAsia="Times New Roman" w:cs="Times New Roman"/>
          <w:lang w:val="es-ES" w:eastAsia="es-ES"/>
        </w:rPr>
        <w:t>imismo,</w:t>
      </w:r>
      <w:r w:rsidRPr="001555A7">
        <w:rPr>
          <w:rFonts w:eastAsia="Times New Roman" w:cs="Tahoma"/>
          <w:szCs w:val="24"/>
          <w:lang w:eastAsia="es-MX"/>
        </w:rPr>
        <w:t xml:space="preserve"> resulta necesario traer</w:t>
      </w:r>
      <w:r w:rsidRPr="001555A7">
        <w:rPr>
          <w:rFonts w:eastAsia="Calibri" w:cs="Tahoma"/>
          <w:bCs/>
          <w:lang w:val="es-ES"/>
        </w:rPr>
        <w:t xml:space="preserve"> por analogía, el Criterio</w:t>
      </w:r>
      <w:r>
        <w:rPr>
          <w:rFonts w:eastAsia="Calibri" w:cs="Tahoma"/>
          <w:bCs/>
          <w:lang w:val="es-ES"/>
        </w:rPr>
        <w:t xml:space="preserve"> </w:t>
      </w:r>
      <w:r>
        <w:rPr>
          <w:rFonts w:eastAsia="Calibri" w:cs="Tahoma"/>
          <w:bCs/>
          <w:lang w:val="es-ES"/>
        </w:rPr>
        <w:lastRenderedPageBreak/>
        <w:t>Orientador, con clave de control SO/0</w:t>
      </w:r>
      <w:r w:rsidRPr="001555A7">
        <w:rPr>
          <w:rFonts w:eastAsia="Calibri" w:cs="Tahoma"/>
          <w:bCs/>
          <w:lang w:val="es-ES"/>
        </w:rPr>
        <w:t>02/</w:t>
      </w:r>
      <w:r>
        <w:rPr>
          <w:rFonts w:eastAsia="Calibri" w:cs="Tahoma"/>
          <w:bCs/>
          <w:lang w:val="es-ES"/>
        </w:rPr>
        <w:t>20</w:t>
      </w:r>
      <w:r w:rsidRPr="001555A7">
        <w:rPr>
          <w:rFonts w:eastAsia="Calibri" w:cs="Tahoma"/>
          <w:bCs/>
          <w:lang w:val="es-ES"/>
        </w:rPr>
        <w:t>17, emitido por el</w:t>
      </w:r>
      <w:r>
        <w:rPr>
          <w:rFonts w:eastAsia="Calibri" w:cs="Tahoma"/>
          <w:bCs/>
          <w:lang w:val="es-ES"/>
        </w:rPr>
        <w:t xml:space="preserve"> entonces</w:t>
      </w:r>
      <w:r w:rsidRPr="001555A7">
        <w:rPr>
          <w:rFonts w:eastAsia="Calibri" w:cs="Tahoma"/>
          <w:bCs/>
          <w:lang w:val="es-ES"/>
        </w:rPr>
        <w:t xml:space="preserve"> Instituto Nacional de Transparencia, Acceso a la Información y Protección de Datos Personales, que señala lo siguiente:</w:t>
      </w:r>
    </w:p>
    <w:p w14:paraId="003F6733" w14:textId="77777777" w:rsidR="001555A7" w:rsidRPr="001555A7" w:rsidRDefault="001555A7" w:rsidP="001555A7">
      <w:pPr>
        <w:spacing w:after="0" w:line="360" w:lineRule="auto"/>
        <w:ind w:right="48"/>
        <w:contextualSpacing/>
        <w:rPr>
          <w:rFonts w:eastAsia="Times New Roman" w:cs="Tahoma"/>
          <w:lang w:eastAsia="es-ES"/>
        </w:rPr>
      </w:pPr>
    </w:p>
    <w:p w14:paraId="1B66D24A" w14:textId="77777777" w:rsidR="001555A7" w:rsidRPr="001555A7" w:rsidRDefault="001555A7" w:rsidP="001555A7">
      <w:pPr>
        <w:spacing w:after="0" w:line="360" w:lineRule="auto"/>
        <w:ind w:left="567" w:right="567"/>
        <w:rPr>
          <w:rFonts w:eastAsia="Calibri" w:cs="Tahoma"/>
          <w:i/>
          <w:sz w:val="20"/>
          <w:szCs w:val="20"/>
        </w:rPr>
      </w:pPr>
      <w:r w:rsidRPr="001555A7">
        <w:rPr>
          <w:rFonts w:eastAsia="Calibri" w:cs="Tahoma"/>
          <w:b/>
          <w:bCs/>
          <w:i/>
          <w:sz w:val="20"/>
          <w:szCs w:val="20"/>
        </w:rPr>
        <w:t xml:space="preserve">“Congruencia y exhaustividad. Sus alcances para garantizar el derecho de acceso a la información. </w:t>
      </w:r>
      <w:r w:rsidRPr="001555A7">
        <w:rPr>
          <w:rFonts w:eastAsia="Calibri" w:cs="Tahoma"/>
          <w:bCs/>
          <w:i/>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1555A7">
        <w:rPr>
          <w:rFonts w:eastAsia="Calibri" w:cs="Tahoma"/>
          <w:i/>
          <w:sz w:val="20"/>
          <w:szCs w:val="20"/>
        </w:rPr>
        <w:t>atiendan de manera puntual y expresa, cada uno de los contenidos de información.”</w:t>
      </w:r>
    </w:p>
    <w:p w14:paraId="529E34A7" w14:textId="77777777" w:rsidR="001555A7" w:rsidRPr="001555A7" w:rsidRDefault="001555A7" w:rsidP="001555A7">
      <w:pPr>
        <w:spacing w:after="0" w:line="360" w:lineRule="auto"/>
        <w:ind w:left="567" w:right="567"/>
        <w:rPr>
          <w:rFonts w:eastAsia="Calibri" w:cs="Tahoma"/>
          <w:bCs/>
          <w:i/>
          <w:sz w:val="20"/>
          <w:szCs w:val="20"/>
        </w:rPr>
      </w:pPr>
    </w:p>
    <w:p w14:paraId="1F0C602C" w14:textId="66241583" w:rsidR="00802F8E" w:rsidRDefault="001555A7" w:rsidP="001555A7">
      <w:pPr>
        <w:spacing w:after="0" w:line="360" w:lineRule="auto"/>
        <w:rPr>
          <w:rFonts w:cs="Tahoma"/>
        </w:rPr>
      </w:pPr>
      <w:r w:rsidRPr="001555A7">
        <w:rPr>
          <w:rFonts w:eastAsia="Calibri" w:cs="Times New Roman"/>
          <w:color w:val="000000"/>
        </w:rPr>
        <w:t xml:space="preserve">Del citado criterio, se desprende que </w:t>
      </w:r>
      <w:r w:rsidRPr="001555A7">
        <w:rPr>
          <w:rFonts w:eastAsia="Calibri" w:cs="Times New Roman"/>
          <w:bCs/>
          <w:color w:val="000000"/>
        </w:rPr>
        <w:t>todo acto administrativo debe apegarse al</w:t>
      </w:r>
      <w:r w:rsidRPr="001555A7">
        <w:rPr>
          <w:rFonts w:eastAsia="Calibri" w:cs="Times New Roman"/>
          <w:color w:val="000000"/>
          <w:lang w:val="es-ES"/>
        </w:rPr>
        <w:t xml:space="preserve"> </w:t>
      </w:r>
      <w:r w:rsidRPr="001555A7">
        <w:rPr>
          <w:rFonts w:eastAsia="Calibri" w:cs="Times New Roman"/>
          <w:b/>
          <w:color w:val="000000"/>
          <w:lang w:val="es-ES"/>
        </w:rPr>
        <w:t xml:space="preserve">Principio de Congruencia, </w:t>
      </w:r>
      <w:r w:rsidRPr="001555A7">
        <w:rPr>
          <w:rFonts w:eastAsia="Calibri" w:cs="Times New Roman"/>
          <w:color w:val="000000"/>
          <w:lang w:val="es-ES"/>
        </w:rPr>
        <w:t>el cual</w:t>
      </w:r>
      <w:r w:rsidRPr="001555A7">
        <w:rPr>
          <w:rFonts w:eastAsia="Calibri" w:cs="Times New Roman"/>
          <w:b/>
          <w:color w:val="000000"/>
          <w:lang w:val="es-ES"/>
        </w:rPr>
        <w:t xml:space="preserve"> </w:t>
      </w:r>
      <w:r w:rsidRPr="001555A7">
        <w:rPr>
          <w:rFonts w:eastAsia="Calibri" w:cs="Times New Roman"/>
          <w:color w:val="000000"/>
          <w:lang w:val="es-ES"/>
        </w:rPr>
        <w:t>implica que exista concordancia entre el requerimiento formulado y la respuesta entregada; por lo que,</w:t>
      </w:r>
      <w:r>
        <w:rPr>
          <w:rFonts w:eastAsia="Calibri" w:cs="Times New Roman"/>
          <w:color w:val="000000"/>
          <w:lang w:val="es-ES"/>
        </w:rPr>
        <w:t xml:space="preserve"> </w:t>
      </w:r>
      <w:r>
        <w:rPr>
          <w:rFonts w:eastAsia="Calibri" w:cs="Tahoma"/>
          <w:bCs/>
          <w:kern w:val="2"/>
          <w:szCs w:val="24"/>
          <w:lang w:eastAsia="es-ES"/>
          <w14:ligatures w14:val="standardContextual"/>
        </w:rPr>
        <w:t>en</w:t>
      </w:r>
      <w:r w:rsidR="00802F8E" w:rsidRPr="00382548">
        <w:rPr>
          <w:rFonts w:cs="Tahoma"/>
        </w:rPr>
        <w:t xml:space="preserve"> resumidas cuentas, el </w:t>
      </w:r>
      <w:r w:rsidR="00802F8E">
        <w:rPr>
          <w:rFonts w:cs="Tahoma"/>
        </w:rPr>
        <w:t xml:space="preserve">Ayuntamiento </w:t>
      </w:r>
      <w:proofErr w:type="gramStart"/>
      <w:r w:rsidR="00802F8E">
        <w:rPr>
          <w:rFonts w:cs="Tahoma"/>
        </w:rPr>
        <w:t>de  Toluca</w:t>
      </w:r>
      <w:proofErr w:type="gramEnd"/>
      <w:r w:rsidR="00802F8E">
        <w:rPr>
          <w:rFonts w:cs="Tahoma"/>
        </w:rPr>
        <w:t xml:space="preserve"> no fue congruente</w:t>
      </w:r>
      <w:r w:rsidR="00DE0A5D">
        <w:rPr>
          <w:rFonts w:cs="Tahoma"/>
        </w:rPr>
        <w:t xml:space="preserve"> </w:t>
      </w:r>
      <w:r w:rsidR="00802F8E">
        <w:rPr>
          <w:rFonts w:cs="Tahoma"/>
        </w:rPr>
        <w:t>con la respuesta proporcionada</w:t>
      </w:r>
      <w:r>
        <w:rPr>
          <w:rFonts w:cs="Tahoma"/>
        </w:rPr>
        <w:t>.</w:t>
      </w:r>
    </w:p>
    <w:p w14:paraId="06D85F89" w14:textId="77777777" w:rsidR="001555A7" w:rsidRDefault="001555A7" w:rsidP="001555A7">
      <w:pPr>
        <w:spacing w:after="0" w:line="360" w:lineRule="auto"/>
        <w:rPr>
          <w:rFonts w:cs="Tahoma"/>
        </w:rPr>
      </w:pPr>
    </w:p>
    <w:p w14:paraId="2AFF8710" w14:textId="0DABD5F8" w:rsidR="00BA5F75" w:rsidRPr="00B53AC4" w:rsidRDefault="00CA02B6" w:rsidP="00BD643D">
      <w:pPr>
        <w:spacing w:after="0" w:line="360" w:lineRule="auto"/>
        <w:rPr>
          <w:rFonts w:eastAsia="Times New Roman" w:cs="Tahoma"/>
          <w:lang w:eastAsia="es-ES"/>
        </w:rPr>
      </w:pPr>
      <w:r>
        <w:rPr>
          <w:rFonts w:eastAsia="Times New Roman" w:cs="Tahoma"/>
          <w:lang w:eastAsia="es-ES"/>
        </w:rPr>
        <w:t xml:space="preserve">Es así, que este Instituto considera que el agravio resulta </w:t>
      </w:r>
      <w:r w:rsidR="00BD643D" w:rsidRPr="00BD643D">
        <w:rPr>
          <w:rFonts w:eastAsia="Times New Roman" w:cs="Tahoma"/>
          <w:b/>
          <w:bCs/>
          <w:lang w:eastAsia="es-ES"/>
        </w:rPr>
        <w:t xml:space="preserve">PARCIALMENTE </w:t>
      </w:r>
      <w:r>
        <w:rPr>
          <w:rFonts w:eastAsia="Times New Roman" w:cs="Tahoma"/>
          <w:b/>
          <w:bCs/>
          <w:lang w:eastAsia="es-ES"/>
        </w:rPr>
        <w:t>FUNDADO</w:t>
      </w:r>
      <w:r>
        <w:rPr>
          <w:rFonts w:eastAsia="Times New Roman" w:cs="Tahoma"/>
          <w:lang w:eastAsia="es-ES"/>
        </w:rPr>
        <w:t xml:space="preserve">, pues como se refirió, en el presente caso, no se </w:t>
      </w:r>
      <w:r w:rsidR="0039467D">
        <w:rPr>
          <w:rFonts w:eastAsia="Times New Roman" w:cs="Tahoma"/>
          <w:lang w:eastAsia="es-ES"/>
        </w:rPr>
        <w:t>propo</w:t>
      </w:r>
      <w:r w:rsidR="004B5911">
        <w:rPr>
          <w:rFonts w:eastAsia="Times New Roman" w:cs="Tahoma"/>
          <w:lang w:eastAsia="es-ES"/>
        </w:rPr>
        <w:t xml:space="preserve">rcionó la información relativa </w:t>
      </w:r>
      <w:r w:rsidR="0039467D">
        <w:rPr>
          <w:rFonts w:eastAsia="Times New Roman" w:cs="Tahoma"/>
          <w:lang w:eastAsia="es-ES"/>
        </w:rPr>
        <w:t xml:space="preserve"> </w:t>
      </w:r>
      <w:r w:rsidR="004B5911">
        <w:rPr>
          <w:rFonts w:eastAsia="Times New Roman" w:cs="Tahoma"/>
          <w:lang w:eastAsia="es-ES"/>
        </w:rPr>
        <w:t>al presupuesto</w:t>
      </w:r>
      <w:r w:rsidR="00BD643D">
        <w:rPr>
          <w:rFonts w:eastAsia="Times New Roman" w:cs="Tahoma"/>
          <w:lang w:eastAsia="es-ES"/>
        </w:rPr>
        <w:t xml:space="preserve"> asignado; por lo que, para </w:t>
      </w:r>
      <w:r w:rsidR="00935C9C" w:rsidRPr="007242E5">
        <w:rPr>
          <w:rFonts w:eastAsia="Calibri" w:cs="Times New Roman"/>
          <w:bCs/>
          <w:color w:val="000000"/>
        </w:rPr>
        <w:t xml:space="preserve">atender el requerimiento de la información, el Sujeto Obligado </w:t>
      </w:r>
      <w:r w:rsidR="00935C9C" w:rsidRPr="009F05B7">
        <w:rPr>
          <w:rFonts w:eastAsia="Calibri" w:cs="Times New Roman"/>
          <w:bCs/>
          <w:color w:val="000000"/>
        </w:rPr>
        <w:t>deberá realizar una búsqueda exhaustiva y razonable, en los archivos de la</w:t>
      </w:r>
      <w:r w:rsidR="006A5CAF" w:rsidRPr="009F05B7">
        <w:rPr>
          <w:rFonts w:eastAsia="Calibri" w:cs="Times New Roman"/>
          <w:bCs/>
          <w:color w:val="000000"/>
        </w:rPr>
        <w:t xml:space="preserve"> </w:t>
      </w:r>
      <w:r w:rsidR="004B5911">
        <w:rPr>
          <w:rFonts w:eastAsia="Calibri" w:cs="Times New Roman"/>
          <w:bCs/>
          <w:color w:val="000000"/>
        </w:rPr>
        <w:t>Tesorería</w:t>
      </w:r>
      <w:r w:rsidR="00BD643D">
        <w:rPr>
          <w:rFonts w:eastAsia="Calibri" w:cs="Times New Roman"/>
          <w:bCs/>
          <w:color w:val="000000"/>
        </w:rPr>
        <w:t xml:space="preserve"> Municipal</w:t>
      </w:r>
      <w:r w:rsidR="00935C9C" w:rsidRPr="009F05B7">
        <w:rPr>
          <w:rFonts w:eastAsia="Calibri" w:cs="Times New Roman"/>
          <w:bCs/>
          <w:color w:val="000000"/>
        </w:rPr>
        <w:t xml:space="preserve">, a efecto de que proporcione </w:t>
      </w:r>
      <w:r w:rsidR="00AE4AB2">
        <w:rPr>
          <w:rFonts w:eastAsia="Calibri" w:cs="Times New Roman"/>
          <w:bCs/>
          <w:color w:val="000000"/>
        </w:rPr>
        <w:t>la información faltante</w:t>
      </w:r>
      <w:r w:rsidR="009F05B7">
        <w:rPr>
          <w:rFonts w:eastAsia="Calibri" w:cs="Times New Roman"/>
          <w:bCs/>
          <w:color w:val="000000"/>
        </w:rPr>
        <w:t xml:space="preserve">; </w:t>
      </w:r>
      <w:r w:rsidR="00BA5F75">
        <w:rPr>
          <w:rFonts w:eastAsia="Calibri" w:cs="Tahoma"/>
          <w:bCs/>
        </w:rPr>
        <w:t>d</w:t>
      </w:r>
      <w:r w:rsidR="00BA5F75" w:rsidRPr="00B53AC4">
        <w:rPr>
          <w:rFonts w:eastAsia="Calibri" w:cs="Tahoma"/>
          <w:bCs/>
        </w:rPr>
        <w:t>icha</w:t>
      </w:r>
      <w:r w:rsidR="00BA5F75" w:rsidRPr="00B53AC4">
        <w:rPr>
          <w:rFonts w:eastAsia="Times New Roman" w:cs="Tahoma"/>
          <w:bCs/>
          <w:iCs/>
          <w:szCs w:val="24"/>
          <w:lang w:val="es-ES" w:eastAsia="es-ES"/>
        </w:rPr>
        <w:t xml:space="preserve"> determinación toma relevancia, pues </w:t>
      </w:r>
      <w:r w:rsidR="00BA5F75" w:rsidRPr="00B53AC4">
        <w:rPr>
          <w:rFonts w:eastAsia="Times New Roman" w:cs="Tahoma"/>
          <w:lang w:eastAsia="es-ES"/>
        </w:rPr>
        <w:t xml:space="preserve">conforme al artículo 12 de la Ley de Transparencia y Acceso a la Información Pública del Estado de México y Municipios, los sujetos obligados </w:t>
      </w:r>
      <w:r w:rsidR="00BA5F75" w:rsidRPr="00B53AC4">
        <w:rPr>
          <w:rFonts w:eastAsia="Times New Roman" w:cs="Tahoma"/>
          <w:lang w:eastAsia="es-ES"/>
        </w:rPr>
        <w:lastRenderedPageBreak/>
        <w:t>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ED311A" w14:textId="77777777" w:rsidR="00BA5F75" w:rsidRDefault="00BA5F75" w:rsidP="001555A7">
      <w:pPr>
        <w:tabs>
          <w:tab w:val="left" w:pos="4962"/>
        </w:tabs>
        <w:spacing w:after="0" w:line="360" w:lineRule="auto"/>
        <w:rPr>
          <w:rFonts w:eastAsia="Times New Roman" w:cs="Tahoma"/>
          <w:lang w:eastAsia="es-ES"/>
        </w:rPr>
      </w:pPr>
    </w:p>
    <w:p w14:paraId="515804D2" w14:textId="77777777" w:rsidR="00BD643D" w:rsidRPr="004768E4" w:rsidRDefault="00BD643D" w:rsidP="00BD643D">
      <w:pPr>
        <w:tabs>
          <w:tab w:val="left" w:pos="4962"/>
        </w:tabs>
        <w:spacing w:after="0" w:line="360" w:lineRule="auto"/>
        <w:contextualSpacing/>
        <w:rPr>
          <w:rFonts w:eastAsia="Calibri" w:cs="Tahoma"/>
        </w:rPr>
      </w:pPr>
      <w:r w:rsidRPr="004768E4">
        <w:rPr>
          <w:rFonts w:eastAsia="Calibri" w:cs="Tahoma"/>
        </w:rPr>
        <w:t xml:space="preserve">De esta manera, </w:t>
      </w:r>
      <w:r w:rsidRPr="004768E4">
        <w:rPr>
          <w:rFonts w:eastAsia="Calibri" w:cs="Tahoma"/>
          <w:szCs w:val="24"/>
        </w:rPr>
        <w:t xml:space="preserve">el derecho de acceso a la información pública se satisface en aquellos casos en que se entregue el soporte documental en el que conste la información solicitada, sin necesidad de elaborar documentos </w:t>
      </w:r>
      <w:r w:rsidRPr="004768E4">
        <w:rPr>
          <w:rFonts w:eastAsia="Calibri" w:cs="Tahoma"/>
          <w:i/>
        </w:rPr>
        <w:t>ad hoc</w:t>
      </w:r>
      <w:r w:rsidRPr="004768E4">
        <w:rPr>
          <w:rFonts w:eastAsia="Calibri"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8BDBB6A" w14:textId="77777777" w:rsidR="00BD643D" w:rsidRPr="004768E4" w:rsidRDefault="00BD643D" w:rsidP="00BD643D">
      <w:pPr>
        <w:tabs>
          <w:tab w:val="left" w:pos="4962"/>
        </w:tabs>
        <w:spacing w:after="0" w:line="360" w:lineRule="auto"/>
        <w:contextualSpacing/>
        <w:rPr>
          <w:rFonts w:eastAsia="Calibri" w:cs="Tahoma"/>
        </w:rPr>
      </w:pPr>
    </w:p>
    <w:p w14:paraId="3D65C9A4" w14:textId="7EB6456F" w:rsidR="00BD643D" w:rsidRDefault="00BD643D" w:rsidP="00BD643D">
      <w:pPr>
        <w:tabs>
          <w:tab w:val="left" w:pos="4962"/>
        </w:tabs>
        <w:spacing w:after="0" w:line="360" w:lineRule="auto"/>
        <w:rPr>
          <w:rFonts w:eastAsia="Times New Roman" w:cs="Tahoma"/>
          <w:lang w:eastAsia="es-ES"/>
        </w:rPr>
      </w:pPr>
      <w:r w:rsidRPr="004768E4">
        <w:rPr>
          <w:rFonts w:eastAsia="Calibri" w:cs="Tahoma"/>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w:t>
      </w:r>
      <w:r>
        <w:rPr>
          <w:rFonts w:eastAsia="Calibri" w:cs="Arial"/>
          <w:bCs/>
          <w:color w:val="000000"/>
          <w:lang w:val="es-ES"/>
        </w:rPr>
        <w:t>se deberá proporcionar el documento donde conste el presupuesto asignado para la realización de los dos procedimientos de selección de autoridades auxiliares referidas en respuesta.</w:t>
      </w:r>
    </w:p>
    <w:p w14:paraId="5613D179" w14:textId="77777777" w:rsidR="00BD643D" w:rsidRPr="00B53AC4" w:rsidRDefault="00BD643D" w:rsidP="001555A7">
      <w:pPr>
        <w:tabs>
          <w:tab w:val="left" w:pos="4962"/>
        </w:tabs>
        <w:spacing w:after="0" w:line="360" w:lineRule="auto"/>
        <w:rPr>
          <w:rFonts w:eastAsia="Times New Roman" w:cs="Tahoma"/>
          <w:lang w:eastAsia="es-ES"/>
        </w:rPr>
      </w:pPr>
    </w:p>
    <w:p w14:paraId="76524DFF" w14:textId="7BB25E49" w:rsidR="00F22F3F" w:rsidRPr="00BD643D" w:rsidRDefault="00937079" w:rsidP="00BD643D">
      <w:pPr>
        <w:tabs>
          <w:tab w:val="left" w:pos="4962"/>
        </w:tabs>
        <w:spacing w:after="0" w:line="360" w:lineRule="auto"/>
        <w:rPr>
          <w:rFonts w:eastAsia="Calibri" w:cs="Tahoma"/>
          <w:lang w:eastAsia="es-MX"/>
        </w:rPr>
      </w:pPr>
      <w:r w:rsidRPr="00BD643D">
        <w:rPr>
          <w:rFonts w:eastAsia="Calibri" w:cs="Tahoma"/>
          <w:lang w:eastAsia="es-MX"/>
        </w:rPr>
        <w:t>Finalmente</w:t>
      </w:r>
      <w:r w:rsidR="00F22F3F" w:rsidRPr="00BD643D">
        <w:rPr>
          <w:rFonts w:eastAsia="Calibri" w:cs="Tahoma"/>
          <w:lang w:eastAsia="es-MX"/>
        </w:rPr>
        <w:t>,  es posible que los documentos que den cuenta de la información que se ordena entregar pudiera</w:t>
      </w:r>
      <w:r w:rsidR="00AE4AB2" w:rsidRPr="00BD643D">
        <w:rPr>
          <w:rFonts w:eastAsia="Calibri" w:cs="Tahoma"/>
          <w:lang w:eastAsia="es-MX"/>
        </w:rPr>
        <w:t>n</w:t>
      </w:r>
      <w:r w:rsidR="00F22F3F" w:rsidRPr="00BD643D">
        <w:rPr>
          <w:rFonts w:eastAsia="Calibri" w:cs="Tahoma"/>
          <w:lang w:eastAsia="es-MX"/>
        </w:rPr>
        <w:t xml:space="preserve">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w:t>
      </w:r>
      <w:r w:rsidR="00F22F3F" w:rsidRPr="00BD643D">
        <w:rPr>
          <w:rFonts w:eastAsia="Calibri" w:cs="Tahoma"/>
          <w:lang w:eastAsia="es-MX"/>
        </w:rPr>
        <w:lastRenderedPageBreak/>
        <w:t>Clasificación y Desclasificación de la Información, así como para Elaboración de Versiones Públicas.</w:t>
      </w:r>
    </w:p>
    <w:p w14:paraId="11D7D231" w14:textId="77777777" w:rsidR="00937079" w:rsidRPr="002E41D8" w:rsidRDefault="00937079" w:rsidP="001555A7">
      <w:pPr>
        <w:shd w:val="clear" w:color="auto" w:fill="FFFFFF" w:themeFill="background1"/>
        <w:spacing w:after="0" w:line="360" w:lineRule="auto"/>
        <w:ind w:right="-93"/>
        <w:rPr>
          <w:rFonts w:eastAsia="Calibri" w:cs="Tahoma"/>
          <w:bCs/>
          <w:iCs/>
          <w:lang w:eastAsia="es-ES_tradnl"/>
        </w:rPr>
      </w:pPr>
    </w:p>
    <w:p w14:paraId="36982C10" w14:textId="77777777" w:rsidR="004528C0" w:rsidRPr="004528C0" w:rsidRDefault="004528C0" w:rsidP="001555A7">
      <w:pPr>
        <w:spacing w:after="0" w:line="360" w:lineRule="auto"/>
        <w:contextualSpacing/>
        <w:rPr>
          <w:rFonts w:eastAsia="Times New Roman" w:cs="Tahoma"/>
          <w:b/>
          <w:bCs/>
          <w:iCs/>
          <w:lang w:val="es-ES" w:eastAsia="es-ES"/>
        </w:rPr>
      </w:pPr>
      <w:r w:rsidRPr="004528C0">
        <w:rPr>
          <w:rFonts w:eastAsia="Times New Roman" w:cs="Tahoma"/>
          <w:b/>
          <w:bCs/>
          <w:iCs/>
          <w:lang w:val="es-ES" w:eastAsia="es-ES"/>
        </w:rPr>
        <w:t>SEXTO. Decisión</w:t>
      </w:r>
    </w:p>
    <w:p w14:paraId="06DF2121" w14:textId="77777777" w:rsidR="004528C0" w:rsidRPr="004528C0" w:rsidRDefault="004528C0" w:rsidP="001555A7">
      <w:pPr>
        <w:spacing w:after="0" w:line="360" w:lineRule="auto"/>
        <w:contextualSpacing/>
        <w:rPr>
          <w:rFonts w:eastAsia="Times New Roman" w:cs="Tahoma"/>
          <w:iCs/>
          <w:lang w:val="es-ES" w:eastAsia="es-ES"/>
        </w:rPr>
      </w:pPr>
    </w:p>
    <w:p w14:paraId="515F40B3" w14:textId="536D6602" w:rsidR="004528C0" w:rsidRPr="004528C0" w:rsidRDefault="004528C0" w:rsidP="001555A7">
      <w:pPr>
        <w:spacing w:after="0" w:line="360" w:lineRule="auto"/>
        <w:contextualSpacing/>
        <w:rPr>
          <w:rFonts w:eastAsia="Times New Roman" w:cs="Tahoma"/>
          <w:iCs/>
          <w:lang w:val="es-ES" w:eastAsia="es-ES"/>
        </w:rPr>
      </w:pPr>
      <w:r w:rsidRPr="004528C0">
        <w:rPr>
          <w:rFonts w:eastAsia="Times New Roman" w:cs="Tahoma"/>
          <w:iCs/>
          <w:lang w:val="es-ES" w:eastAsia="es-ES"/>
        </w:rPr>
        <w:t>Con fundamento en el artículo 186, fracción III, de la Ley de Transparencia y Acceso a la</w:t>
      </w:r>
      <w:r>
        <w:rPr>
          <w:rFonts w:eastAsia="Times New Roman" w:cs="Tahoma"/>
          <w:iCs/>
          <w:lang w:val="es-ES" w:eastAsia="es-ES"/>
        </w:rPr>
        <w:t xml:space="preserve"> </w:t>
      </w:r>
      <w:r w:rsidRPr="004528C0">
        <w:rPr>
          <w:rFonts w:eastAsia="Times New Roman" w:cs="Tahoma"/>
          <w:iCs/>
          <w:lang w:val="es-ES" w:eastAsia="es-ES"/>
        </w:rPr>
        <w:t>Información Pública del Estado de México y Municipios, este Instituto considera procedente</w:t>
      </w:r>
    </w:p>
    <w:p w14:paraId="73070220" w14:textId="550E8FEE" w:rsidR="00D15CC6" w:rsidRPr="00AE4AB2" w:rsidRDefault="00E0416F" w:rsidP="001555A7">
      <w:pPr>
        <w:tabs>
          <w:tab w:val="left" w:pos="4962"/>
        </w:tabs>
        <w:spacing w:after="0" w:line="360" w:lineRule="auto"/>
        <w:contextualSpacing/>
        <w:rPr>
          <w:rFonts w:eastAsia="Times New Roman" w:cs="Tahoma"/>
          <w:b/>
          <w:iCs/>
          <w:lang w:val="es-ES" w:eastAsia="es-ES"/>
        </w:rPr>
      </w:pPr>
      <w:r>
        <w:rPr>
          <w:rFonts w:eastAsia="Times New Roman" w:cs="Tahoma"/>
          <w:b/>
          <w:bCs/>
          <w:iCs/>
          <w:lang w:val="es-ES" w:eastAsia="es-ES"/>
        </w:rPr>
        <w:t>MODIFI</w:t>
      </w:r>
      <w:r w:rsidR="004528C0" w:rsidRPr="004528C0">
        <w:rPr>
          <w:rFonts w:eastAsia="Times New Roman" w:cs="Tahoma"/>
          <w:b/>
          <w:bCs/>
          <w:iCs/>
          <w:lang w:val="es-ES" w:eastAsia="es-ES"/>
        </w:rPr>
        <w:t>CAR</w:t>
      </w:r>
      <w:r w:rsidR="004528C0" w:rsidRPr="004528C0">
        <w:rPr>
          <w:rFonts w:eastAsia="Times New Roman" w:cs="Tahoma"/>
          <w:iCs/>
          <w:lang w:val="es-ES" w:eastAsia="es-ES"/>
        </w:rPr>
        <w:t xml:space="preserve"> la respuesta otorgada a la solicitud de </w:t>
      </w:r>
      <w:proofErr w:type="gramStart"/>
      <w:r w:rsidR="004528C0" w:rsidRPr="004528C0">
        <w:rPr>
          <w:rFonts w:eastAsia="Times New Roman" w:cs="Tahoma"/>
          <w:iCs/>
          <w:lang w:val="es-ES" w:eastAsia="es-ES"/>
        </w:rPr>
        <w:t>información</w:t>
      </w:r>
      <w:r w:rsidR="009F05B7">
        <w:rPr>
          <w:rFonts w:eastAsia="Times New Roman" w:cs="Tahoma"/>
          <w:iCs/>
          <w:lang w:val="es-ES" w:eastAsia="es-ES"/>
        </w:rPr>
        <w:t xml:space="preserve"> </w:t>
      </w:r>
      <w:r w:rsidR="00AE4AB2">
        <w:rPr>
          <w:rFonts w:eastAsia="Times New Roman" w:cs="Tahoma"/>
          <w:iCs/>
          <w:lang w:val="es-ES" w:eastAsia="es-ES"/>
        </w:rPr>
        <w:t xml:space="preserve"> </w:t>
      </w:r>
      <w:r w:rsidR="00AE4AB2" w:rsidRPr="00AE4AB2">
        <w:rPr>
          <w:rFonts w:eastAsia="Times New Roman" w:cs="Tahoma"/>
          <w:b/>
          <w:iCs/>
          <w:lang w:val="es-ES" w:eastAsia="es-ES"/>
        </w:rPr>
        <w:t>01239</w:t>
      </w:r>
      <w:proofErr w:type="gramEnd"/>
      <w:r w:rsidR="00AE4AB2" w:rsidRPr="00AE4AB2">
        <w:rPr>
          <w:rFonts w:eastAsia="Times New Roman" w:cs="Tahoma"/>
          <w:b/>
          <w:iCs/>
          <w:lang w:val="es-ES" w:eastAsia="es-ES"/>
        </w:rPr>
        <w:t>/TOLUCA/IP/2025</w:t>
      </w:r>
      <w:r w:rsidR="004528C0" w:rsidRPr="004528C0">
        <w:rPr>
          <w:rFonts w:eastAsia="Times New Roman" w:cs="Tahoma"/>
          <w:iCs/>
          <w:lang w:val="es-ES" w:eastAsia="es-ES"/>
        </w:rPr>
        <w:t>, a efecto de que, previa</w:t>
      </w:r>
      <w:r w:rsidR="004528C0">
        <w:rPr>
          <w:rFonts w:eastAsia="Times New Roman" w:cs="Tahoma"/>
          <w:iCs/>
          <w:lang w:val="es-ES" w:eastAsia="es-ES"/>
        </w:rPr>
        <w:t xml:space="preserve"> </w:t>
      </w:r>
      <w:r w:rsidR="004528C0" w:rsidRPr="004528C0">
        <w:rPr>
          <w:rFonts w:eastAsia="Times New Roman" w:cs="Tahoma"/>
          <w:iCs/>
          <w:lang w:val="es-ES" w:eastAsia="es-ES"/>
        </w:rPr>
        <w:t>búsqueda exhaustiva y razonable en las unidades administrativas competentes, entre las</w:t>
      </w:r>
      <w:r w:rsidR="004528C0">
        <w:rPr>
          <w:rFonts w:eastAsia="Times New Roman" w:cs="Tahoma"/>
          <w:iCs/>
          <w:lang w:val="es-ES" w:eastAsia="es-ES"/>
        </w:rPr>
        <w:t xml:space="preserve"> </w:t>
      </w:r>
      <w:r w:rsidR="004528C0" w:rsidRPr="004528C0">
        <w:rPr>
          <w:rFonts w:eastAsia="Times New Roman" w:cs="Tahoma"/>
          <w:iCs/>
          <w:lang w:val="es-ES" w:eastAsia="es-ES"/>
        </w:rPr>
        <w:t xml:space="preserve">cuales, se encuentra la </w:t>
      </w:r>
      <w:r w:rsidR="00AE4AB2">
        <w:rPr>
          <w:rFonts w:eastAsia="Times New Roman" w:cs="Tahoma"/>
          <w:iCs/>
          <w:lang w:val="es-ES" w:eastAsia="es-ES"/>
        </w:rPr>
        <w:t>Tesorería Municipal</w:t>
      </w:r>
      <w:r w:rsidR="004528C0" w:rsidRPr="004528C0">
        <w:rPr>
          <w:rFonts w:eastAsia="Times New Roman" w:cs="Tahoma"/>
          <w:iCs/>
          <w:lang w:val="es-ES" w:eastAsia="es-ES"/>
        </w:rPr>
        <w:t xml:space="preserve"> entregue, en su</w:t>
      </w:r>
      <w:r w:rsidR="004528C0">
        <w:rPr>
          <w:rFonts w:eastAsia="Times New Roman" w:cs="Tahoma"/>
          <w:iCs/>
          <w:lang w:val="es-ES" w:eastAsia="es-ES"/>
        </w:rPr>
        <w:t xml:space="preserve"> </w:t>
      </w:r>
      <w:r w:rsidR="004528C0" w:rsidRPr="004528C0">
        <w:rPr>
          <w:rFonts w:eastAsia="Times New Roman" w:cs="Tahoma"/>
          <w:iCs/>
          <w:lang w:val="es-ES" w:eastAsia="es-ES"/>
        </w:rPr>
        <w:t>caso, en versión pública,</w:t>
      </w:r>
      <w:r w:rsidR="008E0FB5">
        <w:rPr>
          <w:rFonts w:eastAsia="Times New Roman" w:cs="Tahoma"/>
          <w:iCs/>
          <w:lang w:val="es-ES" w:eastAsia="es-ES"/>
        </w:rPr>
        <w:t xml:space="preserve"> </w:t>
      </w:r>
      <w:r w:rsidR="00D04F8A">
        <w:rPr>
          <w:rFonts w:eastAsia="Times New Roman" w:cs="Tahoma"/>
          <w:iCs/>
          <w:lang w:val="es-ES" w:eastAsia="es-ES"/>
        </w:rPr>
        <w:t xml:space="preserve">los documentos donde conste el presupuesto asignado para la elección de </w:t>
      </w:r>
      <w:proofErr w:type="gramStart"/>
      <w:r w:rsidR="00D04F8A">
        <w:rPr>
          <w:rFonts w:eastAsia="Times New Roman" w:cs="Tahoma"/>
          <w:iCs/>
          <w:lang w:val="es-ES" w:eastAsia="es-ES"/>
        </w:rPr>
        <w:t>Delegados</w:t>
      </w:r>
      <w:proofErr w:type="gramEnd"/>
      <w:r w:rsidR="00D04F8A">
        <w:rPr>
          <w:rFonts w:eastAsia="Times New Roman" w:cs="Tahoma"/>
          <w:iCs/>
          <w:lang w:val="es-ES" w:eastAsia="es-ES"/>
        </w:rPr>
        <w:t xml:space="preserve"> y </w:t>
      </w:r>
      <w:proofErr w:type="gramStart"/>
      <w:r w:rsidR="00D04F8A">
        <w:rPr>
          <w:rFonts w:eastAsia="Times New Roman" w:cs="Tahoma"/>
          <w:iCs/>
          <w:lang w:val="es-ES" w:eastAsia="es-ES"/>
        </w:rPr>
        <w:t>Subdelegados</w:t>
      </w:r>
      <w:proofErr w:type="gramEnd"/>
      <w:r w:rsidR="00D04F8A">
        <w:rPr>
          <w:rFonts w:eastAsia="Times New Roman" w:cs="Tahoma"/>
          <w:iCs/>
          <w:lang w:val="es-ES" w:eastAsia="es-ES"/>
        </w:rPr>
        <w:t>.</w:t>
      </w:r>
    </w:p>
    <w:p w14:paraId="0FF6DC2B" w14:textId="77777777" w:rsidR="005821AA" w:rsidRPr="008E0FB5" w:rsidRDefault="005821AA" w:rsidP="001555A7">
      <w:pPr>
        <w:tabs>
          <w:tab w:val="left" w:pos="4962"/>
        </w:tabs>
        <w:spacing w:after="0" w:line="360" w:lineRule="auto"/>
        <w:contextualSpacing/>
        <w:rPr>
          <w:rFonts w:eastAsia="Times New Roman" w:cs="Tahoma"/>
          <w:iCs/>
          <w:lang w:eastAsia="es-ES"/>
        </w:rPr>
      </w:pPr>
    </w:p>
    <w:p w14:paraId="7ECF696D" w14:textId="3A48206A" w:rsidR="009B45E2" w:rsidRPr="0099645E" w:rsidRDefault="0099645E" w:rsidP="001555A7">
      <w:pPr>
        <w:spacing w:after="0" w:line="360" w:lineRule="auto"/>
        <w:contextualSpacing/>
        <w:rPr>
          <w:rFonts w:eastAsia="Times New Roman" w:cs="Tahoma"/>
          <w:b/>
          <w:bCs/>
          <w:iCs/>
          <w:lang w:val="es-ES" w:eastAsia="es-ES"/>
        </w:rPr>
      </w:pPr>
      <w:r w:rsidRPr="0099645E">
        <w:rPr>
          <w:rFonts w:eastAsia="Times New Roman" w:cs="Tahoma"/>
          <w:b/>
          <w:bCs/>
          <w:iCs/>
          <w:lang w:val="es-ES" w:eastAsia="es-ES"/>
        </w:rPr>
        <w:t>Términos de la Resolución para conocimiento del Particular</w:t>
      </w:r>
    </w:p>
    <w:p w14:paraId="6A047520" w14:textId="77777777" w:rsidR="004528C0" w:rsidRPr="00AF0924" w:rsidRDefault="004528C0" w:rsidP="001555A7">
      <w:pPr>
        <w:spacing w:after="0" w:line="360" w:lineRule="auto"/>
        <w:contextualSpacing/>
        <w:rPr>
          <w:rFonts w:eastAsia="Times New Roman" w:cs="Tahoma"/>
          <w:iCs/>
          <w:lang w:val="es-ES" w:eastAsia="es-ES"/>
        </w:rPr>
      </w:pPr>
    </w:p>
    <w:p w14:paraId="0A1053CE" w14:textId="24C833D4" w:rsidR="005821AA" w:rsidRDefault="00BB55CC" w:rsidP="001555A7">
      <w:pPr>
        <w:spacing w:after="0" w:line="360" w:lineRule="auto"/>
        <w:contextualSpacing/>
      </w:pPr>
      <w:r>
        <w:t>Se le hace del conocimiento a la Particular, que, en el presente caso, se le concede la razón</w:t>
      </w:r>
      <w:r w:rsidR="005821AA">
        <w:t xml:space="preserve"> parcialmente</w:t>
      </w:r>
      <w:r>
        <w:t xml:space="preserve">, toda vez que el Sujeto Obligado </w:t>
      </w:r>
      <w:r w:rsidR="00E0416F">
        <w:t xml:space="preserve">no </w:t>
      </w:r>
      <w:r w:rsidR="005821AA">
        <w:t xml:space="preserve">remitió la información </w:t>
      </w:r>
      <w:r w:rsidR="00D04F8A">
        <w:t>relativa al presupuesto para la elección de autoridades auxiliares</w:t>
      </w:r>
      <w:r w:rsidR="00E0416F">
        <w:t>; por lo que, para atender el req</w:t>
      </w:r>
      <w:r w:rsidR="005821AA">
        <w:t xml:space="preserve">uerimiento deberá proporcionarla vía SAIMEX. </w:t>
      </w:r>
    </w:p>
    <w:p w14:paraId="67756420" w14:textId="77777777" w:rsidR="008E0FB5" w:rsidRDefault="008E0FB5" w:rsidP="001555A7">
      <w:pPr>
        <w:spacing w:after="0" w:line="360" w:lineRule="auto"/>
        <w:contextualSpacing/>
      </w:pPr>
    </w:p>
    <w:p w14:paraId="2A3E1EA8" w14:textId="3C6037DA" w:rsidR="00AF7D2D" w:rsidRDefault="006D59E7" w:rsidP="001555A7">
      <w:pPr>
        <w:spacing w:after="0" w:line="360" w:lineRule="auto"/>
        <w:contextualSpacing/>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Default="006D59E7" w:rsidP="001555A7">
      <w:pPr>
        <w:spacing w:after="0" w:line="360" w:lineRule="auto"/>
        <w:contextualSpacing/>
      </w:pPr>
    </w:p>
    <w:p w14:paraId="2346E822" w14:textId="77777777" w:rsidR="006D59E7" w:rsidRDefault="006D59E7" w:rsidP="001555A7">
      <w:pPr>
        <w:spacing w:after="0" w:line="360" w:lineRule="auto"/>
        <w:contextualSpacing/>
      </w:pPr>
      <w:r>
        <w:t>Por lo expuesto y fundado, este Pleno:</w:t>
      </w:r>
    </w:p>
    <w:p w14:paraId="72442AD4" w14:textId="77777777" w:rsidR="006D59E7" w:rsidRDefault="006D59E7" w:rsidP="001555A7">
      <w:pPr>
        <w:spacing w:after="0" w:line="360" w:lineRule="auto"/>
        <w:contextualSpacing/>
      </w:pPr>
    </w:p>
    <w:p w14:paraId="0213E5CF" w14:textId="3C2BF5FC" w:rsidR="006D59E7" w:rsidRDefault="006D59E7" w:rsidP="001555A7">
      <w:pPr>
        <w:spacing w:after="0" w:line="360" w:lineRule="auto"/>
        <w:contextualSpacing/>
        <w:jc w:val="center"/>
        <w:rPr>
          <w:b/>
          <w:bCs/>
        </w:rPr>
      </w:pPr>
      <w:r w:rsidRPr="006D59E7">
        <w:rPr>
          <w:b/>
          <w:bCs/>
        </w:rPr>
        <w:lastRenderedPageBreak/>
        <w:t>R E S U E L V E</w:t>
      </w:r>
    </w:p>
    <w:p w14:paraId="377690E8" w14:textId="77777777" w:rsidR="00A56E19" w:rsidRDefault="00A56E19" w:rsidP="001555A7">
      <w:pPr>
        <w:spacing w:after="0" w:line="360" w:lineRule="auto"/>
        <w:contextualSpacing/>
        <w:jc w:val="center"/>
        <w:rPr>
          <w:b/>
          <w:bCs/>
        </w:rPr>
      </w:pPr>
    </w:p>
    <w:p w14:paraId="5D8B7CB4" w14:textId="3FE26BF9" w:rsidR="00671B91" w:rsidRPr="00A56E19" w:rsidRDefault="00671B91" w:rsidP="001555A7">
      <w:pPr>
        <w:spacing w:after="0" w:line="360" w:lineRule="auto"/>
        <w:contextualSpacing/>
      </w:pPr>
      <w:r w:rsidRPr="00A56E19">
        <w:rPr>
          <w:b/>
          <w:bCs/>
        </w:rPr>
        <w:t>PRIMERO.</w:t>
      </w:r>
      <w:r w:rsidRPr="00A56E19">
        <w:t xml:space="preserve"> Se </w:t>
      </w:r>
      <w:r w:rsidR="00E0416F">
        <w:rPr>
          <w:b/>
          <w:bCs/>
        </w:rPr>
        <w:t>MODIFI</w:t>
      </w:r>
      <w:r w:rsidRPr="00A56E19">
        <w:rPr>
          <w:b/>
          <w:bCs/>
        </w:rPr>
        <w:t>CA</w:t>
      </w:r>
      <w:r w:rsidRPr="00A56E19">
        <w:t xml:space="preserve"> la respuesta entregada por el </w:t>
      </w:r>
      <w:r w:rsidR="001534B7">
        <w:t>Ayuntamiento de Toluca</w:t>
      </w:r>
      <w:r w:rsidR="005821AA" w:rsidRPr="005821AA">
        <w:t xml:space="preserve"> </w:t>
      </w:r>
      <w:r w:rsidRPr="00A56E19">
        <w:t>a la</w:t>
      </w:r>
      <w:r w:rsidR="00A56E19" w:rsidRPr="00A56E19">
        <w:t xml:space="preserve"> </w:t>
      </w:r>
      <w:r w:rsidRPr="00A56E19">
        <w:t xml:space="preserve">solicitud de </w:t>
      </w:r>
      <w:r w:rsidRPr="00E67882">
        <w:t>información</w:t>
      </w:r>
      <w:r w:rsidR="00B15DE9">
        <w:t xml:space="preserve"> </w:t>
      </w:r>
      <w:r w:rsidR="001534B7" w:rsidRPr="001534B7">
        <w:rPr>
          <w:b/>
        </w:rPr>
        <w:t>01239/TOLUCA/IP/2025</w:t>
      </w:r>
      <w:r w:rsidRPr="00A56E19">
        <w:t xml:space="preserve">, por resultar </w:t>
      </w:r>
      <w:r w:rsidR="00BD643D">
        <w:rPr>
          <w:b/>
          <w:bCs/>
        </w:rPr>
        <w:t xml:space="preserve">PARCIALMENTE </w:t>
      </w:r>
      <w:r w:rsidRPr="008E0FB5">
        <w:rPr>
          <w:b/>
          <w:bCs/>
        </w:rPr>
        <w:t xml:space="preserve">FUNDADAS </w:t>
      </w:r>
      <w:r w:rsidRPr="00A56E19">
        <w:t>las razones o</w:t>
      </w:r>
      <w:r w:rsidR="003A5923">
        <w:t xml:space="preserve"> </w:t>
      </w:r>
      <w:r w:rsidRPr="00A56E19">
        <w:t>motivos de inconformidad hechos valer por el Recurrente, en términos de los</w:t>
      </w:r>
      <w:r w:rsidR="00A56E19">
        <w:t xml:space="preserve"> </w:t>
      </w:r>
      <w:r w:rsidRPr="00A56E19">
        <w:t>considerandos QUINTO y SEXTO de la presente Resolución.</w:t>
      </w:r>
    </w:p>
    <w:p w14:paraId="4B3BE06E" w14:textId="77777777" w:rsidR="00671B91" w:rsidRPr="00671B91" w:rsidRDefault="00671B91" w:rsidP="001555A7">
      <w:pPr>
        <w:spacing w:after="0" w:line="360" w:lineRule="auto"/>
        <w:contextualSpacing/>
        <w:jc w:val="left"/>
        <w:rPr>
          <w:b/>
          <w:bCs/>
        </w:rPr>
      </w:pPr>
    </w:p>
    <w:p w14:paraId="37372121" w14:textId="2E802B4C" w:rsidR="00671B91" w:rsidRDefault="00671B91" w:rsidP="001555A7">
      <w:pPr>
        <w:spacing w:after="0" w:line="360" w:lineRule="auto"/>
        <w:contextualSpacing/>
      </w:pPr>
      <w:r w:rsidRPr="00A725DE">
        <w:rPr>
          <w:b/>
          <w:bCs/>
        </w:rPr>
        <w:t>SEGUNDO</w:t>
      </w:r>
      <w:r w:rsidRPr="003A5923">
        <w:t xml:space="preserve">. Se </w:t>
      </w:r>
      <w:r w:rsidRPr="00A725DE">
        <w:rPr>
          <w:b/>
          <w:bCs/>
        </w:rPr>
        <w:t>ORDENA</w:t>
      </w:r>
      <w:r w:rsidRPr="003A5923">
        <w:t xml:space="preserve"> al Sujeto Obligado, a efecto de que previa búsqueda exhaustiva</w:t>
      </w:r>
      <w:r w:rsidR="003A5923">
        <w:t xml:space="preserve"> </w:t>
      </w:r>
      <w:r w:rsidRPr="003A5923">
        <w:t>y razonable, en los archivos de las unidades administrativas competentes, entregue a</w:t>
      </w:r>
      <w:r w:rsidR="003A5923">
        <w:t xml:space="preserve"> </w:t>
      </w:r>
      <w:r w:rsidRPr="003A5923">
        <w:t>través del Sistema de Acceso a la Información Mexiquense (SAIMEX), en</w:t>
      </w:r>
      <w:r w:rsidR="003A5923">
        <w:t xml:space="preserve"> </w:t>
      </w:r>
      <w:r w:rsidR="00B15DE9">
        <w:t xml:space="preserve">su caso en </w:t>
      </w:r>
      <w:r w:rsidRPr="003A5923">
        <w:t xml:space="preserve">versión </w:t>
      </w:r>
      <w:r w:rsidR="00222A40" w:rsidRPr="003A5923">
        <w:t xml:space="preserve">pública, </w:t>
      </w:r>
      <w:r w:rsidR="00222A40">
        <w:t>lo</w:t>
      </w:r>
      <w:r w:rsidR="00B15DE9">
        <w:t>s documentos</w:t>
      </w:r>
      <w:r w:rsidR="00BD643D">
        <w:t xml:space="preserve"> con los que contara al veintiocho de febrero de dos mil veinticinco,</w:t>
      </w:r>
      <w:r w:rsidR="00B15DE9">
        <w:t xml:space="preserve"> donde conste</w:t>
      </w:r>
      <w:r w:rsidR="00FE6AD3">
        <w:t>,</w:t>
      </w:r>
      <w:r w:rsidR="00B15DE9">
        <w:t xml:space="preserve"> lo siguiente: </w:t>
      </w:r>
    </w:p>
    <w:p w14:paraId="32F33534" w14:textId="77777777" w:rsidR="00B15DE9" w:rsidRDefault="00B15DE9" w:rsidP="001555A7">
      <w:pPr>
        <w:spacing w:after="0" w:line="360" w:lineRule="auto"/>
        <w:contextualSpacing/>
      </w:pPr>
    </w:p>
    <w:p w14:paraId="40C749B7" w14:textId="77692E00" w:rsidR="00222A40" w:rsidRPr="003A5923" w:rsidRDefault="001534B7" w:rsidP="00BD643D">
      <w:pPr>
        <w:pStyle w:val="Prrafodelista"/>
        <w:numPr>
          <w:ilvl w:val="0"/>
          <w:numId w:val="14"/>
        </w:numPr>
        <w:spacing w:line="360" w:lineRule="auto"/>
      </w:pPr>
      <w:r>
        <w:t xml:space="preserve">El presupuesto </w:t>
      </w:r>
      <w:r w:rsidR="00FE6AD3">
        <w:t xml:space="preserve">asignado </w:t>
      </w:r>
      <w:r>
        <w:t xml:space="preserve">para </w:t>
      </w:r>
      <w:r w:rsidR="00BD643D">
        <w:t xml:space="preserve">la realización de los procesos de selección de las </w:t>
      </w:r>
      <w:r w:rsidR="00495C28">
        <w:t xml:space="preserve">autoridades auxiliares </w:t>
      </w:r>
      <w:r w:rsidR="00BD643D">
        <w:t>referidas en respuesta.</w:t>
      </w:r>
    </w:p>
    <w:p w14:paraId="0409444F" w14:textId="77777777" w:rsidR="00D15CC6" w:rsidRDefault="00D15CC6" w:rsidP="001555A7">
      <w:pPr>
        <w:spacing w:after="0" w:line="360" w:lineRule="auto"/>
        <w:contextualSpacing/>
      </w:pPr>
    </w:p>
    <w:p w14:paraId="7E8F622A" w14:textId="30193BEC" w:rsidR="00671B91" w:rsidRDefault="00671B91" w:rsidP="001555A7">
      <w:pPr>
        <w:spacing w:after="0" w:line="360" w:lineRule="auto"/>
        <w:contextualSpacing/>
      </w:pPr>
      <w:r w:rsidRPr="00222A40">
        <w:t>Además</w:t>
      </w:r>
      <w:r w:rsidR="00E0416F">
        <w:t xml:space="preserve">, </w:t>
      </w:r>
      <w:r w:rsidR="00495C28">
        <w:t xml:space="preserve">en su caso, </w:t>
      </w:r>
      <w:r w:rsidRPr="00222A40">
        <w:t>deberá proporcionar el Acuerdo de Clasificación donde el</w:t>
      </w:r>
      <w:r w:rsidR="00222A40">
        <w:t xml:space="preserve"> </w:t>
      </w:r>
      <w:r w:rsidRPr="00222A40">
        <w:t>Comité de Transparencia, confirme la eliminación de los datos</w:t>
      </w:r>
      <w:r w:rsidR="008E0FB5">
        <w:t xml:space="preserve"> o información</w:t>
      </w:r>
      <w:r w:rsidRPr="00222A40">
        <w:t>, en la versión pública, de</w:t>
      </w:r>
      <w:r w:rsidR="00222A40">
        <w:t xml:space="preserve"> </w:t>
      </w:r>
      <w:r w:rsidRPr="00222A40">
        <w:t>conformidad con los artículos 49, fracciones II y VIII y 132, fracción II, de la Ley de</w:t>
      </w:r>
      <w:r w:rsidR="00222A40">
        <w:t xml:space="preserve"> </w:t>
      </w:r>
      <w:r w:rsidRPr="00222A40">
        <w:t>Transparencia y Acceso a la Información Pública del Estado de México y Municipios.</w:t>
      </w:r>
    </w:p>
    <w:p w14:paraId="7119E5D3" w14:textId="77777777" w:rsidR="007A69B7" w:rsidRDefault="007A69B7" w:rsidP="001555A7">
      <w:pPr>
        <w:spacing w:after="0" w:line="360" w:lineRule="auto"/>
        <w:contextualSpacing/>
      </w:pPr>
    </w:p>
    <w:p w14:paraId="56348D88" w14:textId="7AD6C040" w:rsidR="002966D0" w:rsidRDefault="002966D0" w:rsidP="001555A7">
      <w:pPr>
        <w:spacing w:after="0" w:line="360" w:lineRule="auto"/>
        <w:contextualSpacing/>
      </w:pPr>
      <w:r w:rsidRPr="002966D0">
        <w:rPr>
          <w:b/>
          <w:bCs/>
        </w:rPr>
        <w:t>TERCERO. NOTIFÍQUESE</w:t>
      </w:r>
      <w:r>
        <w:t xml:space="preserve"> </w:t>
      </w:r>
      <w:r w:rsidR="00D15CC6" w:rsidRPr="00AE7D7A">
        <w:rPr>
          <w:b/>
        </w:rPr>
        <w:t>VÍA SAIMEX</w:t>
      </w:r>
      <w:r w:rsidR="00D15CC6">
        <w:t xml:space="preserve">,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lastRenderedPageBreak/>
        <w:t>resolución o hacerlo de manera parcial, se le impondrá una medida de apremio de conformidad con lo previsto en los artículos 198, 200, fracción III, 214, 215 y 216 de la Ley referida.</w:t>
      </w:r>
    </w:p>
    <w:p w14:paraId="2B3019BF" w14:textId="77777777" w:rsidR="00903FF3" w:rsidRDefault="00903FF3" w:rsidP="001555A7">
      <w:pPr>
        <w:spacing w:after="0" w:line="360" w:lineRule="auto"/>
        <w:contextualSpacing/>
      </w:pPr>
    </w:p>
    <w:p w14:paraId="2FCE815A" w14:textId="72675371" w:rsidR="00903FF3" w:rsidRDefault="00903FF3" w:rsidP="001555A7">
      <w:pPr>
        <w:spacing w:after="0" w:line="360" w:lineRule="auto"/>
        <w:contextualSpacing/>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Default="00903FF3" w:rsidP="001555A7">
      <w:pPr>
        <w:spacing w:after="0" w:line="360" w:lineRule="auto"/>
        <w:contextualSpacing/>
      </w:pPr>
    </w:p>
    <w:p w14:paraId="134A90AE" w14:textId="71CDBB8D" w:rsidR="00A41EB9" w:rsidRDefault="00A41EB9" w:rsidP="001555A7">
      <w:pPr>
        <w:spacing w:after="0" w:line="360" w:lineRule="auto"/>
        <w:contextualSpacing/>
      </w:pPr>
      <w:r w:rsidRPr="00A41EB9">
        <w:rPr>
          <w:b/>
          <w:bCs/>
        </w:rPr>
        <w:t>CUARTO. NOTIFÍQUESE</w:t>
      </w:r>
      <w:r>
        <w:t xml:space="preserve"> </w:t>
      </w:r>
      <w:r w:rsidR="00D15CC6" w:rsidRPr="00D15CC6">
        <w:rPr>
          <w:b/>
        </w:rPr>
        <w:t>VÍA SAIMEX</w:t>
      </w:r>
      <w:r w:rsidR="00D15CC6">
        <w:t xml:space="preserve"> </w:t>
      </w:r>
      <w:r>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A4B7D51" w14:textId="77777777" w:rsidR="00A41EB9" w:rsidRDefault="00A41EB9" w:rsidP="001555A7">
      <w:pPr>
        <w:spacing w:after="0" w:line="360" w:lineRule="auto"/>
        <w:contextualSpacing/>
      </w:pPr>
    </w:p>
    <w:p w14:paraId="32CFAE63" w14:textId="47A920C1" w:rsidR="00A41EB9" w:rsidRDefault="007A69B7" w:rsidP="001555A7">
      <w:pPr>
        <w:spacing w:after="0" w:line="360" w:lineRule="auto"/>
        <w:contextualSpacing/>
      </w:pPr>
      <w:r w:rsidRPr="007A69B7">
        <w:t xml:space="preserve">ASÍ LO RESUELVE, POR </w:t>
      </w:r>
      <w:r w:rsidRPr="002E41FF">
        <w:rPr>
          <w:b/>
          <w:bCs/>
        </w:rPr>
        <w:t>UNANIMIDAD</w:t>
      </w:r>
      <w:r w:rsidRPr="007A69B7">
        <w:t xml:space="preserve"> DE VOTOS EL PLENO DEL INSTITUTO DE TRANSPARENCIA, ACCESO A LA INFORMACIÓN PÚBLICA Y PROTECCIÓN DE DATOS PERSONALES DEL ESTADO DE MÉXICO Y MUNICIPIOS, CONFORMADO POR LOS COMISIONADOS JOSÉ MARTÍNEZ VILCHIS, MARÍA DEL ROSARIO MEJÍA AYALA</w:t>
      </w:r>
      <w:r w:rsidR="007A3C29">
        <w:t xml:space="preserve"> (AUSENCIA JUSTIFICADA)</w:t>
      </w:r>
      <w:r w:rsidRPr="007A69B7">
        <w:t xml:space="preserve">, SHARON CRISTINA MORALES MARTÍNEZ, LUIS GUSTAVO PARRA NORIEGA Y GUADALUPE RAMÍREZ PEÑA, EN LA </w:t>
      </w:r>
      <w:r w:rsidR="005C2DDC" w:rsidRPr="007A69B7">
        <w:t xml:space="preserve">TRIGÉSIMA </w:t>
      </w:r>
      <w:r w:rsidR="005C2DDC">
        <w:t xml:space="preserve">PRIMERA </w:t>
      </w:r>
      <w:r w:rsidRPr="007A69B7">
        <w:t xml:space="preserve">SESIÓN ORDINARIA, CELEBRADA EL </w:t>
      </w:r>
      <w:r w:rsidR="005C2DDC">
        <w:t xml:space="preserve">TRES DE SEPTIEMBRE </w:t>
      </w:r>
      <w:r w:rsidRPr="007A69B7">
        <w:t xml:space="preserve">  DE DOS MIL VEINTICINCO, ANTE EL SECRETARIO TÉCNICO DEL PLENO, ALEXIS TAPIA RAMÍREZ.</w:t>
      </w:r>
    </w:p>
    <w:p w14:paraId="179505B9" w14:textId="77777777" w:rsidR="00A41EB9" w:rsidRDefault="00A41EB9" w:rsidP="001555A7">
      <w:pPr>
        <w:spacing w:after="0" w:line="360" w:lineRule="auto"/>
        <w:contextualSpacing/>
      </w:pPr>
    </w:p>
    <w:p w14:paraId="3CF1EFD9" w14:textId="77777777" w:rsidR="00A41EB9" w:rsidRDefault="00A41EB9" w:rsidP="001555A7">
      <w:pPr>
        <w:spacing w:after="0" w:line="360" w:lineRule="auto"/>
        <w:contextualSpacing/>
      </w:pPr>
    </w:p>
    <w:p w14:paraId="00EBCEEB" w14:textId="77777777" w:rsidR="00A41EB9" w:rsidRDefault="00A41EB9" w:rsidP="001555A7">
      <w:pPr>
        <w:spacing w:after="0" w:line="360" w:lineRule="auto"/>
        <w:contextualSpacing/>
      </w:pPr>
    </w:p>
    <w:p w14:paraId="17BD76D7" w14:textId="77777777" w:rsidR="00A41EB9" w:rsidRDefault="00A41EB9" w:rsidP="001555A7">
      <w:pPr>
        <w:spacing w:after="0" w:line="360" w:lineRule="auto"/>
        <w:contextualSpacing/>
      </w:pPr>
    </w:p>
    <w:p w14:paraId="340AE13B" w14:textId="77777777" w:rsidR="00A41EB9" w:rsidRDefault="00A41EB9" w:rsidP="001555A7">
      <w:pPr>
        <w:spacing w:after="0" w:line="360" w:lineRule="auto"/>
        <w:contextualSpacing/>
      </w:pPr>
    </w:p>
    <w:p w14:paraId="6E1FC283" w14:textId="77777777" w:rsidR="00A41EB9" w:rsidRDefault="00A41EB9" w:rsidP="001555A7">
      <w:pPr>
        <w:spacing w:after="0" w:line="360" w:lineRule="auto"/>
        <w:contextualSpacing/>
      </w:pPr>
    </w:p>
    <w:p w14:paraId="74295718" w14:textId="77777777" w:rsidR="00A41EB9" w:rsidRDefault="00A41EB9" w:rsidP="001555A7">
      <w:pPr>
        <w:spacing w:after="0" w:line="360" w:lineRule="auto"/>
        <w:contextualSpacing/>
      </w:pPr>
    </w:p>
    <w:p w14:paraId="095817D5" w14:textId="77777777" w:rsidR="00A41EB9" w:rsidRDefault="00A41EB9" w:rsidP="001555A7">
      <w:pPr>
        <w:spacing w:after="0" w:line="360" w:lineRule="auto"/>
        <w:contextualSpacing/>
      </w:pPr>
    </w:p>
    <w:p w14:paraId="22F90CDA" w14:textId="77777777" w:rsidR="00A41EB9" w:rsidRDefault="00A41EB9" w:rsidP="001555A7">
      <w:pPr>
        <w:spacing w:after="0" w:line="360" w:lineRule="auto"/>
        <w:contextualSpacing/>
      </w:pPr>
    </w:p>
    <w:p w14:paraId="010FC6BA" w14:textId="77777777" w:rsidR="00A41EB9" w:rsidRDefault="00A41EB9" w:rsidP="001555A7">
      <w:pPr>
        <w:spacing w:after="0" w:line="360" w:lineRule="auto"/>
        <w:contextualSpacing/>
      </w:pPr>
    </w:p>
    <w:p w14:paraId="309F1885" w14:textId="77777777" w:rsidR="00A41EB9" w:rsidRDefault="00A41EB9" w:rsidP="001555A7">
      <w:pPr>
        <w:spacing w:after="0" w:line="360" w:lineRule="auto"/>
        <w:contextualSpacing/>
      </w:pPr>
    </w:p>
    <w:p w14:paraId="5C087ED1" w14:textId="77777777" w:rsidR="00A41EB9" w:rsidRDefault="00A41EB9" w:rsidP="001555A7">
      <w:pPr>
        <w:spacing w:after="0" w:line="360" w:lineRule="auto"/>
        <w:contextualSpacing/>
      </w:pPr>
    </w:p>
    <w:p w14:paraId="13039579" w14:textId="77777777" w:rsidR="00A41EB9" w:rsidRDefault="00A41EB9" w:rsidP="001555A7">
      <w:pPr>
        <w:spacing w:after="0" w:line="360" w:lineRule="auto"/>
        <w:contextualSpacing/>
      </w:pPr>
    </w:p>
    <w:p w14:paraId="46C8719C" w14:textId="77777777" w:rsidR="00A41EB9" w:rsidRDefault="00A41EB9" w:rsidP="001555A7">
      <w:pPr>
        <w:spacing w:after="0" w:line="360" w:lineRule="auto"/>
        <w:contextualSpacing/>
      </w:pPr>
    </w:p>
    <w:p w14:paraId="33C7B461" w14:textId="77777777" w:rsidR="00A41EB9" w:rsidRDefault="00A41EB9" w:rsidP="001555A7">
      <w:pPr>
        <w:spacing w:after="0" w:line="360" w:lineRule="auto"/>
        <w:contextualSpacing/>
      </w:pPr>
    </w:p>
    <w:p w14:paraId="64B3667C" w14:textId="77777777" w:rsidR="00A41EB9" w:rsidRDefault="00A41EB9" w:rsidP="001555A7">
      <w:pPr>
        <w:spacing w:after="0" w:line="360" w:lineRule="auto"/>
        <w:contextualSpacing/>
      </w:pPr>
    </w:p>
    <w:p w14:paraId="3EFCAC48" w14:textId="77777777" w:rsidR="00A41EB9" w:rsidRDefault="00A41EB9" w:rsidP="001555A7">
      <w:pPr>
        <w:spacing w:after="0" w:line="360" w:lineRule="auto"/>
        <w:contextualSpacing/>
      </w:pPr>
    </w:p>
    <w:p w14:paraId="4765F64D" w14:textId="77777777" w:rsidR="00A41EB9" w:rsidRPr="006D59E7" w:rsidRDefault="00A41EB9" w:rsidP="001555A7">
      <w:pPr>
        <w:spacing w:after="0" w:line="360" w:lineRule="auto"/>
        <w:contextualSpacing/>
        <w:rPr>
          <w:b/>
          <w:bCs/>
        </w:rPr>
      </w:pPr>
    </w:p>
    <w:sectPr w:rsidR="00A41EB9" w:rsidRPr="006D59E7" w:rsidSect="00254117">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30C7" w14:textId="77777777" w:rsidR="00FC75A0" w:rsidRDefault="00FC75A0">
      <w:pPr>
        <w:spacing w:after="0" w:line="240" w:lineRule="auto"/>
      </w:pPr>
      <w:r>
        <w:separator/>
      </w:r>
    </w:p>
  </w:endnote>
  <w:endnote w:type="continuationSeparator" w:id="0">
    <w:p w14:paraId="4A17D0C8" w14:textId="77777777" w:rsidR="00FC75A0" w:rsidRDefault="00FC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29</w:t>
    </w:r>
    <w:r>
      <w:rPr>
        <w:b/>
        <w:color w:val="000000"/>
        <w:sz w:val="24"/>
        <w:szCs w:val="24"/>
      </w:rPr>
      <w:fldChar w:fldCharType="end"/>
    </w:r>
  </w:p>
  <w:p w14:paraId="7EB9860B"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359E">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359E">
      <w:rPr>
        <w:b/>
        <w:noProof/>
        <w:color w:val="000000"/>
        <w:sz w:val="24"/>
        <w:szCs w:val="24"/>
      </w:rPr>
      <w:t>20</w:t>
    </w:r>
    <w:r>
      <w:rPr>
        <w:b/>
        <w:color w:val="000000"/>
        <w:sz w:val="24"/>
        <w:szCs w:val="24"/>
      </w:rPr>
      <w:fldChar w:fldCharType="end"/>
    </w:r>
  </w:p>
  <w:p w14:paraId="0D7FA8D9"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359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359E">
      <w:rPr>
        <w:b/>
        <w:noProof/>
        <w:color w:val="000000"/>
        <w:sz w:val="24"/>
        <w:szCs w:val="24"/>
      </w:rPr>
      <w:t>20</w:t>
    </w:r>
    <w:r>
      <w:rPr>
        <w:b/>
        <w:color w:val="000000"/>
        <w:sz w:val="24"/>
        <w:szCs w:val="24"/>
      </w:rPr>
      <w:fldChar w:fldCharType="end"/>
    </w:r>
  </w:p>
  <w:p w14:paraId="6796AF5F"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C5A9" w14:textId="77777777" w:rsidR="00FC75A0" w:rsidRDefault="00FC75A0">
      <w:pPr>
        <w:spacing w:after="0" w:line="240" w:lineRule="auto"/>
      </w:pPr>
      <w:r>
        <w:separator/>
      </w:r>
    </w:p>
  </w:footnote>
  <w:footnote w:type="continuationSeparator" w:id="0">
    <w:p w14:paraId="4BD94254" w14:textId="77777777" w:rsidR="00FC75A0" w:rsidRDefault="00FC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308A1" w:rsidRDefault="001308A1">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308A1" w14:paraId="10C29E94" w14:textId="77777777">
      <w:trPr>
        <w:trHeight w:val="132"/>
      </w:trPr>
      <w:tc>
        <w:tcPr>
          <w:tcW w:w="2691" w:type="dxa"/>
        </w:tcPr>
        <w:p w14:paraId="7D85A4B8" w14:textId="77777777" w:rsidR="001308A1" w:rsidRDefault="001308A1">
          <w:pPr>
            <w:tabs>
              <w:tab w:val="right" w:pos="8838"/>
            </w:tabs>
            <w:ind w:right="-105"/>
            <w:rPr>
              <w:b/>
            </w:rPr>
          </w:pPr>
          <w:r>
            <w:rPr>
              <w:b/>
            </w:rPr>
            <w:t>Recurso de Revisión:</w:t>
          </w:r>
        </w:p>
      </w:tc>
      <w:tc>
        <w:tcPr>
          <w:tcW w:w="3405" w:type="dxa"/>
        </w:tcPr>
        <w:p w14:paraId="0B0D1A9D" w14:textId="77777777" w:rsidR="001308A1" w:rsidRDefault="001308A1">
          <w:pPr>
            <w:tabs>
              <w:tab w:val="right" w:pos="8838"/>
            </w:tabs>
            <w:ind w:left="-28" w:right="-32"/>
          </w:pPr>
          <w:r>
            <w:t>03846/INFOEM/IP/RR/2020</w:t>
          </w:r>
        </w:p>
      </w:tc>
    </w:tr>
    <w:tr w:rsidR="001308A1" w14:paraId="2F47AC72" w14:textId="77777777">
      <w:trPr>
        <w:trHeight w:val="261"/>
      </w:trPr>
      <w:tc>
        <w:tcPr>
          <w:tcW w:w="2691" w:type="dxa"/>
        </w:tcPr>
        <w:p w14:paraId="154A4752" w14:textId="77777777" w:rsidR="001308A1" w:rsidRDefault="001308A1">
          <w:pPr>
            <w:tabs>
              <w:tab w:val="right" w:pos="8838"/>
            </w:tabs>
            <w:ind w:right="-105"/>
            <w:rPr>
              <w:b/>
            </w:rPr>
          </w:pPr>
          <w:r>
            <w:rPr>
              <w:b/>
            </w:rPr>
            <w:t>Sujeto Obligado:</w:t>
          </w:r>
        </w:p>
      </w:tc>
      <w:tc>
        <w:tcPr>
          <w:tcW w:w="3405" w:type="dxa"/>
        </w:tcPr>
        <w:p w14:paraId="5D9EC711" w14:textId="77777777" w:rsidR="001308A1" w:rsidRDefault="001308A1">
          <w:pPr>
            <w:tabs>
              <w:tab w:val="right" w:pos="8838"/>
            </w:tabs>
            <w:ind w:right="-32"/>
          </w:pPr>
          <w:r>
            <w:t>Ayuntamiento de Temascalcingo</w:t>
          </w:r>
        </w:p>
      </w:tc>
    </w:tr>
    <w:tr w:rsidR="001308A1" w14:paraId="11FBB450" w14:textId="77777777">
      <w:trPr>
        <w:trHeight w:val="261"/>
      </w:trPr>
      <w:tc>
        <w:tcPr>
          <w:tcW w:w="2691" w:type="dxa"/>
        </w:tcPr>
        <w:p w14:paraId="6BAF6003" w14:textId="77777777" w:rsidR="001308A1" w:rsidRDefault="001308A1">
          <w:pPr>
            <w:tabs>
              <w:tab w:val="right" w:pos="8838"/>
            </w:tabs>
            <w:ind w:right="-105"/>
            <w:rPr>
              <w:b/>
            </w:rPr>
          </w:pPr>
          <w:r>
            <w:rPr>
              <w:b/>
            </w:rPr>
            <w:t>Comisionado Ponente:</w:t>
          </w:r>
        </w:p>
      </w:tc>
      <w:tc>
        <w:tcPr>
          <w:tcW w:w="3405" w:type="dxa"/>
        </w:tcPr>
        <w:p w14:paraId="420341AF" w14:textId="77777777" w:rsidR="001308A1" w:rsidRDefault="001308A1">
          <w:pPr>
            <w:tabs>
              <w:tab w:val="right" w:pos="8838"/>
            </w:tabs>
            <w:ind w:right="-32"/>
            <w:rPr>
              <w:b/>
            </w:rPr>
          </w:pPr>
          <w:r>
            <w:t>Luis Gustavo Parra Noriega</w:t>
          </w:r>
        </w:p>
      </w:tc>
    </w:tr>
  </w:tbl>
  <w:p w14:paraId="00411D75" w14:textId="77777777" w:rsidR="001308A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77777777" w:rsidR="001308A1" w:rsidRDefault="001308A1">
    <w:pPr>
      <w:widowControl w:val="0"/>
      <w:pBdr>
        <w:top w:val="nil"/>
        <w:left w:val="nil"/>
        <w:bottom w:val="nil"/>
        <w:right w:val="nil"/>
        <w:between w:val="nil"/>
      </w:pBdr>
      <w:spacing w:after="0" w:line="276" w:lineRule="auto"/>
      <w:jc w:val="left"/>
    </w:pPr>
  </w:p>
  <w:tbl>
    <w:tblPr>
      <w:tblStyle w:val="a0"/>
      <w:tblW w:w="6803"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1308A1" w14:paraId="40D5D5A3" w14:textId="77777777" w:rsidTr="001555A7">
      <w:trPr>
        <w:trHeight w:val="138"/>
      </w:trPr>
      <w:tc>
        <w:tcPr>
          <w:tcW w:w="2551" w:type="dxa"/>
          <w:vAlign w:val="center"/>
        </w:tcPr>
        <w:p w14:paraId="1DB5C8D0" w14:textId="77777777" w:rsidR="001308A1" w:rsidRDefault="001308A1">
          <w:pPr>
            <w:tabs>
              <w:tab w:val="right" w:pos="8838"/>
            </w:tabs>
            <w:ind w:right="-105"/>
            <w:jc w:val="left"/>
            <w:rPr>
              <w:b/>
            </w:rPr>
          </w:pPr>
          <w:r>
            <w:rPr>
              <w:b/>
            </w:rPr>
            <w:t>Recurso de Revisión:</w:t>
          </w:r>
        </w:p>
      </w:tc>
      <w:tc>
        <w:tcPr>
          <w:tcW w:w="4252" w:type="dxa"/>
        </w:tcPr>
        <w:p w14:paraId="61E59D71" w14:textId="5DDC72D8" w:rsidR="001308A1" w:rsidRDefault="001308A1">
          <w:pPr>
            <w:tabs>
              <w:tab w:val="right" w:pos="8838"/>
            </w:tabs>
            <w:ind w:left="-113" w:right="57"/>
          </w:pPr>
          <w:r w:rsidRPr="00FF6DBF">
            <w:t>03926/INFOEM/IP/RR/2025</w:t>
          </w:r>
        </w:p>
      </w:tc>
    </w:tr>
    <w:tr w:rsidR="001308A1" w14:paraId="7A281F30" w14:textId="77777777" w:rsidTr="001555A7">
      <w:trPr>
        <w:trHeight w:val="273"/>
      </w:trPr>
      <w:tc>
        <w:tcPr>
          <w:tcW w:w="2551" w:type="dxa"/>
        </w:tcPr>
        <w:p w14:paraId="6671A308" w14:textId="77777777" w:rsidR="001308A1" w:rsidRDefault="001308A1">
          <w:pPr>
            <w:tabs>
              <w:tab w:val="right" w:pos="8838"/>
            </w:tabs>
            <w:ind w:right="-105"/>
            <w:rPr>
              <w:b/>
            </w:rPr>
          </w:pPr>
          <w:r>
            <w:rPr>
              <w:b/>
            </w:rPr>
            <w:t>Sujeto Obligado:</w:t>
          </w:r>
        </w:p>
      </w:tc>
      <w:tc>
        <w:tcPr>
          <w:tcW w:w="4252" w:type="dxa"/>
        </w:tcPr>
        <w:p w14:paraId="30885B6D" w14:textId="5A1C9DE6" w:rsidR="001308A1" w:rsidRDefault="001308A1" w:rsidP="00B60DBE">
          <w:pPr>
            <w:tabs>
              <w:tab w:val="right" w:pos="8838"/>
            </w:tabs>
            <w:ind w:left="-113" w:right="-113"/>
          </w:pPr>
          <w:r w:rsidRPr="00EF5D37">
            <w:t xml:space="preserve">Ayuntamiento de </w:t>
          </w:r>
          <w:r>
            <w:t>Toluca</w:t>
          </w:r>
        </w:p>
      </w:tc>
    </w:tr>
    <w:tr w:rsidR="001308A1" w14:paraId="00C22F2F" w14:textId="77777777" w:rsidTr="001555A7">
      <w:trPr>
        <w:trHeight w:val="273"/>
      </w:trPr>
      <w:tc>
        <w:tcPr>
          <w:tcW w:w="2551" w:type="dxa"/>
        </w:tcPr>
        <w:p w14:paraId="70417649" w14:textId="77777777" w:rsidR="001308A1" w:rsidRDefault="001308A1">
          <w:pPr>
            <w:tabs>
              <w:tab w:val="right" w:pos="8838"/>
            </w:tabs>
            <w:ind w:right="-105"/>
            <w:rPr>
              <w:b/>
            </w:rPr>
          </w:pPr>
          <w:r>
            <w:rPr>
              <w:b/>
            </w:rPr>
            <w:t>Comisionado Ponente:</w:t>
          </w:r>
        </w:p>
      </w:tc>
      <w:tc>
        <w:tcPr>
          <w:tcW w:w="4252" w:type="dxa"/>
        </w:tcPr>
        <w:p w14:paraId="1A63C67B" w14:textId="77777777" w:rsidR="001308A1" w:rsidRDefault="001308A1">
          <w:pPr>
            <w:tabs>
              <w:tab w:val="right" w:pos="8838"/>
            </w:tabs>
            <w:ind w:left="-113" w:right="-170"/>
            <w:rPr>
              <w:b/>
            </w:rPr>
          </w:pPr>
          <w:r>
            <w:t>Luis Gustavo Parra Noriega</w:t>
          </w:r>
        </w:p>
      </w:tc>
    </w:tr>
  </w:tbl>
  <w:p w14:paraId="3498D107" w14:textId="77777777" w:rsidR="001308A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308A1" w:rsidRDefault="001308A1"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308A1" w14:paraId="6B3232BD" w14:textId="77777777" w:rsidTr="001555A7">
      <w:trPr>
        <w:trHeight w:val="132"/>
      </w:trPr>
      <w:tc>
        <w:tcPr>
          <w:tcW w:w="2551" w:type="dxa"/>
        </w:tcPr>
        <w:p w14:paraId="38F16E2F" w14:textId="77777777" w:rsidR="001308A1" w:rsidRDefault="001308A1">
          <w:pPr>
            <w:tabs>
              <w:tab w:val="right" w:pos="8838"/>
            </w:tabs>
            <w:ind w:right="-105"/>
            <w:rPr>
              <w:b/>
            </w:rPr>
          </w:pPr>
          <w:r>
            <w:rPr>
              <w:b/>
            </w:rPr>
            <w:t>Recurso de Revisión:</w:t>
          </w:r>
        </w:p>
      </w:tc>
      <w:tc>
        <w:tcPr>
          <w:tcW w:w="4253" w:type="dxa"/>
        </w:tcPr>
        <w:p w14:paraId="211CDC0A" w14:textId="00B8B633" w:rsidR="001308A1" w:rsidRDefault="001308A1">
          <w:pPr>
            <w:tabs>
              <w:tab w:val="right" w:pos="8838"/>
            </w:tabs>
            <w:ind w:left="-111" w:right="-32"/>
          </w:pPr>
          <w:bookmarkStart w:id="2" w:name="_Hlk206651950"/>
          <w:r w:rsidRPr="00EF5D37">
            <w:t>0</w:t>
          </w:r>
          <w:r>
            <w:t>3926</w:t>
          </w:r>
          <w:r w:rsidRPr="00EF5D37">
            <w:t>/INFOEM/IP/RR/2025</w:t>
          </w:r>
          <w:bookmarkEnd w:id="2"/>
        </w:p>
      </w:tc>
    </w:tr>
    <w:tr w:rsidR="001308A1" w14:paraId="6AA3CC58" w14:textId="77777777" w:rsidTr="001555A7">
      <w:trPr>
        <w:trHeight w:val="132"/>
      </w:trPr>
      <w:tc>
        <w:tcPr>
          <w:tcW w:w="2551" w:type="dxa"/>
        </w:tcPr>
        <w:p w14:paraId="7FD164F5" w14:textId="77777777" w:rsidR="001308A1" w:rsidRDefault="001308A1">
          <w:pPr>
            <w:tabs>
              <w:tab w:val="left" w:pos="1875"/>
            </w:tabs>
            <w:ind w:right="-105"/>
            <w:rPr>
              <w:b/>
            </w:rPr>
          </w:pPr>
          <w:r>
            <w:rPr>
              <w:b/>
            </w:rPr>
            <w:t>Recurrente:</w:t>
          </w:r>
          <w:r>
            <w:rPr>
              <w:b/>
            </w:rPr>
            <w:tab/>
          </w:r>
        </w:p>
      </w:tc>
      <w:tc>
        <w:tcPr>
          <w:tcW w:w="4253" w:type="dxa"/>
        </w:tcPr>
        <w:p w14:paraId="1F1B0537" w14:textId="513F372F" w:rsidR="001308A1" w:rsidRDefault="007641F2">
          <w:pPr>
            <w:tabs>
              <w:tab w:val="right" w:pos="8838"/>
            </w:tabs>
            <w:ind w:left="-113"/>
          </w:pPr>
          <w:r w:rsidRPr="007641F2">
            <w:rPr>
              <w:highlight w:val="black"/>
            </w:rPr>
            <w:t>XXXXXXXXXXXXXX</w:t>
          </w:r>
        </w:p>
      </w:tc>
    </w:tr>
    <w:tr w:rsidR="001308A1" w14:paraId="5113CAA6" w14:textId="77777777" w:rsidTr="001555A7">
      <w:trPr>
        <w:trHeight w:val="261"/>
      </w:trPr>
      <w:tc>
        <w:tcPr>
          <w:tcW w:w="2551" w:type="dxa"/>
        </w:tcPr>
        <w:p w14:paraId="28E3431B" w14:textId="77777777" w:rsidR="001308A1" w:rsidRDefault="001308A1">
          <w:pPr>
            <w:tabs>
              <w:tab w:val="right" w:pos="8838"/>
            </w:tabs>
            <w:ind w:right="-105"/>
            <w:rPr>
              <w:b/>
            </w:rPr>
          </w:pPr>
          <w:r>
            <w:rPr>
              <w:b/>
            </w:rPr>
            <w:t>Sujeto Obligado:</w:t>
          </w:r>
        </w:p>
      </w:tc>
      <w:tc>
        <w:tcPr>
          <w:tcW w:w="4253" w:type="dxa"/>
        </w:tcPr>
        <w:p w14:paraId="3192354E" w14:textId="6DE902B8" w:rsidR="001308A1" w:rsidRDefault="001308A1">
          <w:pPr>
            <w:tabs>
              <w:tab w:val="right" w:pos="8838"/>
            </w:tabs>
            <w:ind w:left="-111" w:right="-32"/>
          </w:pPr>
          <w:r w:rsidRPr="00EF5D37">
            <w:t xml:space="preserve">Ayuntamiento de </w:t>
          </w:r>
          <w:r>
            <w:t xml:space="preserve">Toluca </w:t>
          </w:r>
        </w:p>
      </w:tc>
    </w:tr>
    <w:tr w:rsidR="001308A1" w14:paraId="5D4C2A35" w14:textId="77777777" w:rsidTr="001555A7">
      <w:trPr>
        <w:trHeight w:val="261"/>
      </w:trPr>
      <w:tc>
        <w:tcPr>
          <w:tcW w:w="2551" w:type="dxa"/>
        </w:tcPr>
        <w:p w14:paraId="7F522FEC" w14:textId="77777777" w:rsidR="001308A1" w:rsidRDefault="001308A1">
          <w:pPr>
            <w:tabs>
              <w:tab w:val="right" w:pos="8838"/>
            </w:tabs>
            <w:ind w:right="-105"/>
            <w:rPr>
              <w:b/>
            </w:rPr>
          </w:pPr>
          <w:r>
            <w:rPr>
              <w:b/>
            </w:rPr>
            <w:t>Comisionado Ponente:</w:t>
          </w:r>
        </w:p>
      </w:tc>
      <w:tc>
        <w:tcPr>
          <w:tcW w:w="4253" w:type="dxa"/>
        </w:tcPr>
        <w:p w14:paraId="0F0566F9" w14:textId="77777777" w:rsidR="001308A1" w:rsidRDefault="001308A1">
          <w:pPr>
            <w:tabs>
              <w:tab w:val="right" w:pos="8838"/>
            </w:tabs>
            <w:ind w:left="-111" w:right="-32"/>
            <w:rPr>
              <w:b/>
            </w:rPr>
          </w:pPr>
          <w:r>
            <w:t>Luis Gustavo Parra Noriega</w:t>
          </w:r>
        </w:p>
      </w:tc>
    </w:tr>
  </w:tbl>
  <w:p w14:paraId="4DFC2598" w14:textId="77777777" w:rsidR="001308A1" w:rsidRDefault="00000000"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30F08"/>
    <w:multiLevelType w:val="hybridMultilevel"/>
    <w:tmpl w:val="C0DE932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7D36AC"/>
    <w:multiLevelType w:val="hybridMultilevel"/>
    <w:tmpl w:val="24AAF5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3A21450"/>
    <w:multiLevelType w:val="multilevel"/>
    <w:tmpl w:val="D75EA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A39BD"/>
    <w:multiLevelType w:val="hybridMultilevel"/>
    <w:tmpl w:val="9D9CFF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B9260E"/>
    <w:multiLevelType w:val="hybridMultilevel"/>
    <w:tmpl w:val="9D9859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242569337">
    <w:abstractNumId w:val="13"/>
  </w:num>
  <w:num w:numId="2" w16cid:durableId="1016345495">
    <w:abstractNumId w:val="11"/>
  </w:num>
  <w:num w:numId="3" w16cid:durableId="1360861603">
    <w:abstractNumId w:val="10"/>
  </w:num>
  <w:num w:numId="4" w16cid:durableId="331644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875530">
    <w:abstractNumId w:val="0"/>
  </w:num>
  <w:num w:numId="6" w16cid:durableId="1524785037">
    <w:abstractNumId w:val="7"/>
  </w:num>
  <w:num w:numId="7" w16cid:durableId="1128161861">
    <w:abstractNumId w:val="3"/>
  </w:num>
  <w:num w:numId="8" w16cid:durableId="863983979">
    <w:abstractNumId w:val="9"/>
  </w:num>
  <w:num w:numId="9" w16cid:durableId="1728725792">
    <w:abstractNumId w:val="8"/>
  </w:num>
  <w:num w:numId="10" w16cid:durableId="1180316640">
    <w:abstractNumId w:val="4"/>
  </w:num>
  <w:num w:numId="11" w16cid:durableId="1258173166">
    <w:abstractNumId w:val="12"/>
  </w:num>
  <w:num w:numId="12" w16cid:durableId="899054362">
    <w:abstractNumId w:val="1"/>
  </w:num>
  <w:num w:numId="13" w16cid:durableId="453868658">
    <w:abstractNumId w:val="5"/>
  </w:num>
  <w:num w:numId="14" w16cid:durableId="99360686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5062"/>
    <w:rsid w:val="00016290"/>
    <w:rsid w:val="000229AF"/>
    <w:rsid w:val="00024F00"/>
    <w:rsid w:val="0002588C"/>
    <w:rsid w:val="00030404"/>
    <w:rsid w:val="0003084A"/>
    <w:rsid w:val="00040A1A"/>
    <w:rsid w:val="000525DA"/>
    <w:rsid w:val="0005404B"/>
    <w:rsid w:val="00061123"/>
    <w:rsid w:val="0007199C"/>
    <w:rsid w:val="000735F0"/>
    <w:rsid w:val="0007454B"/>
    <w:rsid w:val="000751D7"/>
    <w:rsid w:val="00080CDD"/>
    <w:rsid w:val="00085A90"/>
    <w:rsid w:val="00087164"/>
    <w:rsid w:val="00092D0E"/>
    <w:rsid w:val="000939C6"/>
    <w:rsid w:val="000950E3"/>
    <w:rsid w:val="000A3DC3"/>
    <w:rsid w:val="000A4A44"/>
    <w:rsid w:val="000A4AA6"/>
    <w:rsid w:val="000A7F91"/>
    <w:rsid w:val="000C0D96"/>
    <w:rsid w:val="000E6248"/>
    <w:rsid w:val="000F1944"/>
    <w:rsid w:val="00104BD7"/>
    <w:rsid w:val="00104C38"/>
    <w:rsid w:val="001065C6"/>
    <w:rsid w:val="00115D96"/>
    <w:rsid w:val="0011710B"/>
    <w:rsid w:val="001204E1"/>
    <w:rsid w:val="0012063F"/>
    <w:rsid w:val="001209B4"/>
    <w:rsid w:val="001240CA"/>
    <w:rsid w:val="00124EDA"/>
    <w:rsid w:val="001308A1"/>
    <w:rsid w:val="00130BC1"/>
    <w:rsid w:val="00136BF5"/>
    <w:rsid w:val="00137036"/>
    <w:rsid w:val="00141D6C"/>
    <w:rsid w:val="0014359E"/>
    <w:rsid w:val="00145BA0"/>
    <w:rsid w:val="001479C0"/>
    <w:rsid w:val="001534B7"/>
    <w:rsid w:val="001555A7"/>
    <w:rsid w:val="001558BD"/>
    <w:rsid w:val="001636B3"/>
    <w:rsid w:val="00165F1F"/>
    <w:rsid w:val="001664D6"/>
    <w:rsid w:val="00173C13"/>
    <w:rsid w:val="00174B8E"/>
    <w:rsid w:val="00174EDF"/>
    <w:rsid w:val="00182020"/>
    <w:rsid w:val="00185393"/>
    <w:rsid w:val="00186EB9"/>
    <w:rsid w:val="00191605"/>
    <w:rsid w:val="00192C48"/>
    <w:rsid w:val="001A5CF9"/>
    <w:rsid w:val="001B0019"/>
    <w:rsid w:val="001B2064"/>
    <w:rsid w:val="001D1EB8"/>
    <w:rsid w:val="001D2A2A"/>
    <w:rsid w:val="001F0268"/>
    <w:rsid w:val="002065CD"/>
    <w:rsid w:val="00215023"/>
    <w:rsid w:val="0021659C"/>
    <w:rsid w:val="0021791B"/>
    <w:rsid w:val="00222A40"/>
    <w:rsid w:val="00222B2E"/>
    <w:rsid w:val="002237EF"/>
    <w:rsid w:val="00226133"/>
    <w:rsid w:val="00230883"/>
    <w:rsid w:val="002365DE"/>
    <w:rsid w:val="002374EA"/>
    <w:rsid w:val="00254117"/>
    <w:rsid w:val="0026334C"/>
    <w:rsid w:val="002728FA"/>
    <w:rsid w:val="0029191E"/>
    <w:rsid w:val="00294C03"/>
    <w:rsid w:val="0029572E"/>
    <w:rsid w:val="002966D0"/>
    <w:rsid w:val="002A3947"/>
    <w:rsid w:val="002C61DE"/>
    <w:rsid w:val="002C64AD"/>
    <w:rsid w:val="002D48DA"/>
    <w:rsid w:val="002D6E95"/>
    <w:rsid w:val="002D76E8"/>
    <w:rsid w:val="002E41FF"/>
    <w:rsid w:val="002E5C60"/>
    <w:rsid w:val="002F08A1"/>
    <w:rsid w:val="002F4779"/>
    <w:rsid w:val="00302BCB"/>
    <w:rsid w:val="00307F86"/>
    <w:rsid w:val="003131F2"/>
    <w:rsid w:val="00315D87"/>
    <w:rsid w:val="0032021F"/>
    <w:rsid w:val="00323DAE"/>
    <w:rsid w:val="00325CEA"/>
    <w:rsid w:val="00333A6F"/>
    <w:rsid w:val="0033681E"/>
    <w:rsid w:val="003459AF"/>
    <w:rsid w:val="00345AE7"/>
    <w:rsid w:val="00362295"/>
    <w:rsid w:val="0036621C"/>
    <w:rsid w:val="00366246"/>
    <w:rsid w:val="00366BB8"/>
    <w:rsid w:val="0039467D"/>
    <w:rsid w:val="003A4A24"/>
    <w:rsid w:val="003A4FA6"/>
    <w:rsid w:val="003A5923"/>
    <w:rsid w:val="003B7575"/>
    <w:rsid w:val="003D1DC8"/>
    <w:rsid w:val="003F1C87"/>
    <w:rsid w:val="003F3BBA"/>
    <w:rsid w:val="003F6C55"/>
    <w:rsid w:val="00412620"/>
    <w:rsid w:val="00412BAA"/>
    <w:rsid w:val="0041309E"/>
    <w:rsid w:val="00413B16"/>
    <w:rsid w:val="00421D0F"/>
    <w:rsid w:val="00424ADE"/>
    <w:rsid w:val="0043636F"/>
    <w:rsid w:val="0043680A"/>
    <w:rsid w:val="004431A6"/>
    <w:rsid w:val="0044451C"/>
    <w:rsid w:val="0045222D"/>
    <w:rsid w:val="004528C0"/>
    <w:rsid w:val="00455784"/>
    <w:rsid w:val="0047432B"/>
    <w:rsid w:val="00483B2B"/>
    <w:rsid w:val="004863F7"/>
    <w:rsid w:val="00487B31"/>
    <w:rsid w:val="004937B2"/>
    <w:rsid w:val="00493883"/>
    <w:rsid w:val="00495C28"/>
    <w:rsid w:val="004A01B0"/>
    <w:rsid w:val="004A0B53"/>
    <w:rsid w:val="004A497F"/>
    <w:rsid w:val="004B057A"/>
    <w:rsid w:val="004B4FBD"/>
    <w:rsid w:val="004B5911"/>
    <w:rsid w:val="004C1E47"/>
    <w:rsid w:val="004C4625"/>
    <w:rsid w:val="004C68AD"/>
    <w:rsid w:val="004D7BFA"/>
    <w:rsid w:val="004E47CC"/>
    <w:rsid w:val="004E661E"/>
    <w:rsid w:val="004F0490"/>
    <w:rsid w:val="004F1C19"/>
    <w:rsid w:val="004F66CF"/>
    <w:rsid w:val="00515399"/>
    <w:rsid w:val="00517D0A"/>
    <w:rsid w:val="00525797"/>
    <w:rsid w:val="00531A8A"/>
    <w:rsid w:val="00537AF2"/>
    <w:rsid w:val="00545195"/>
    <w:rsid w:val="00545867"/>
    <w:rsid w:val="00545DC7"/>
    <w:rsid w:val="00546639"/>
    <w:rsid w:val="00555BF7"/>
    <w:rsid w:val="005572DD"/>
    <w:rsid w:val="00557BC1"/>
    <w:rsid w:val="005618D0"/>
    <w:rsid w:val="00563957"/>
    <w:rsid w:val="0056443F"/>
    <w:rsid w:val="00566EE1"/>
    <w:rsid w:val="00570E7D"/>
    <w:rsid w:val="00571E1C"/>
    <w:rsid w:val="00575CC8"/>
    <w:rsid w:val="0057694C"/>
    <w:rsid w:val="00576A76"/>
    <w:rsid w:val="005816DE"/>
    <w:rsid w:val="005821AA"/>
    <w:rsid w:val="005825C9"/>
    <w:rsid w:val="0058573A"/>
    <w:rsid w:val="00587759"/>
    <w:rsid w:val="00596423"/>
    <w:rsid w:val="005A0E97"/>
    <w:rsid w:val="005A1D48"/>
    <w:rsid w:val="005A1EA6"/>
    <w:rsid w:val="005B354D"/>
    <w:rsid w:val="005B41A9"/>
    <w:rsid w:val="005B5507"/>
    <w:rsid w:val="005C2DDC"/>
    <w:rsid w:val="005C6174"/>
    <w:rsid w:val="005C690F"/>
    <w:rsid w:val="005D4CE5"/>
    <w:rsid w:val="005D6BC1"/>
    <w:rsid w:val="005E022D"/>
    <w:rsid w:val="005E1B32"/>
    <w:rsid w:val="005E513B"/>
    <w:rsid w:val="005E56D2"/>
    <w:rsid w:val="005F481B"/>
    <w:rsid w:val="006010D8"/>
    <w:rsid w:val="006037C1"/>
    <w:rsid w:val="00603969"/>
    <w:rsid w:val="00604493"/>
    <w:rsid w:val="00615C93"/>
    <w:rsid w:val="00621445"/>
    <w:rsid w:val="006214F0"/>
    <w:rsid w:val="006242F2"/>
    <w:rsid w:val="00630F09"/>
    <w:rsid w:val="00631A3B"/>
    <w:rsid w:val="00652269"/>
    <w:rsid w:val="00652B3E"/>
    <w:rsid w:val="00655628"/>
    <w:rsid w:val="00664865"/>
    <w:rsid w:val="006710AC"/>
    <w:rsid w:val="00671B38"/>
    <w:rsid w:val="00671B91"/>
    <w:rsid w:val="006741BC"/>
    <w:rsid w:val="006767E0"/>
    <w:rsid w:val="006810E4"/>
    <w:rsid w:val="00681CD4"/>
    <w:rsid w:val="006912CF"/>
    <w:rsid w:val="0069197C"/>
    <w:rsid w:val="00696D2E"/>
    <w:rsid w:val="006A2326"/>
    <w:rsid w:val="006A596C"/>
    <w:rsid w:val="006A5C6D"/>
    <w:rsid w:val="006A5CAF"/>
    <w:rsid w:val="006C5A4E"/>
    <w:rsid w:val="006D0B39"/>
    <w:rsid w:val="006D1757"/>
    <w:rsid w:val="006D59E7"/>
    <w:rsid w:val="006D65A5"/>
    <w:rsid w:val="006E72D4"/>
    <w:rsid w:val="006F1838"/>
    <w:rsid w:val="006F3A3C"/>
    <w:rsid w:val="00700106"/>
    <w:rsid w:val="007003B8"/>
    <w:rsid w:val="007010E1"/>
    <w:rsid w:val="0070220D"/>
    <w:rsid w:val="00704C20"/>
    <w:rsid w:val="00705E8E"/>
    <w:rsid w:val="00706DFE"/>
    <w:rsid w:val="0071030D"/>
    <w:rsid w:val="00710CDC"/>
    <w:rsid w:val="007141CE"/>
    <w:rsid w:val="00720ACF"/>
    <w:rsid w:val="00721247"/>
    <w:rsid w:val="0072384E"/>
    <w:rsid w:val="007241C3"/>
    <w:rsid w:val="007242E5"/>
    <w:rsid w:val="00726ADD"/>
    <w:rsid w:val="00731AD1"/>
    <w:rsid w:val="00733C21"/>
    <w:rsid w:val="00737DC2"/>
    <w:rsid w:val="007445B5"/>
    <w:rsid w:val="007641F2"/>
    <w:rsid w:val="00764A84"/>
    <w:rsid w:val="0076657F"/>
    <w:rsid w:val="00770E69"/>
    <w:rsid w:val="00773978"/>
    <w:rsid w:val="00782AB8"/>
    <w:rsid w:val="00784CEA"/>
    <w:rsid w:val="0078575A"/>
    <w:rsid w:val="0079001B"/>
    <w:rsid w:val="00793436"/>
    <w:rsid w:val="00795B91"/>
    <w:rsid w:val="007A28BC"/>
    <w:rsid w:val="007A3C29"/>
    <w:rsid w:val="007A69B7"/>
    <w:rsid w:val="007B0A00"/>
    <w:rsid w:val="007C1238"/>
    <w:rsid w:val="007C3DA6"/>
    <w:rsid w:val="007C5477"/>
    <w:rsid w:val="007D354B"/>
    <w:rsid w:val="007D6307"/>
    <w:rsid w:val="007E41C3"/>
    <w:rsid w:val="007E6E65"/>
    <w:rsid w:val="007E7D1B"/>
    <w:rsid w:val="007F1825"/>
    <w:rsid w:val="007F1FDE"/>
    <w:rsid w:val="007F6273"/>
    <w:rsid w:val="007F7FAB"/>
    <w:rsid w:val="00802F8E"/>
    <w:rsid w:val="008046BD"/>
    <w:rsid w:val="00814006"/>
    <w:rsid w:val="00826412"/>
    <w:rsid w:val="0083264E"/>
    <w:rsid w:val="00833201"/>
    <w:rsid w:val="00835AD2"/>
    <w:rsid w:val="00840538"/>
    <w:rsid w:val="00841947"/>
    <w:rsid w:val="0084266E"/>
    <w:rsid w:val="0084381A"/>
    <w:rsid w:val="008446AF"/>
    <w:rsid w:val="008448BE"/>
    <w:rsid w:val="00844CC8"/>
    <w:rsid w:val="00853647"/>
    <w:rsid w:val="00854E73"/>
    <w:rsid w:val="008609DD"/>
    <w:rsid w:val="00870729"/>
    <w:rsid w:val="00874E6B"/>
    <w:rsid w:val="00876731"/>
    <w:rsid w:val="0088440F"/>
    <w:rsid w:val="0089209E"/>
    <w:rsid w:val="00896312"/>
    <w:rsid w:val="008A1DF8"/>
    <w:rsid w:val="008A35D4"/>
    <w:rsid w:val="008A3B69"/>
    <w:rsid w:val="008A55BB"/>
    <w:rsid w:val="008A7C67"/>
    <w:rsid w:val="008B1E2D"/>
    <w:rsid w:val="008B31D5"/>
    <w:rsid w:val="008B65FE"/>
    <w:rsid w:val="008B7D4E"/>
    <w:rsid w:val="008C41EF"/>
    <w:rsid w:val="008C5311"/>
    <w:rsid w:val="008C607D"/>
    <w:rsid w:val="008D0AEA"/>
    <w:rsid w:val="008D6CEC"/>
    <w:rsid w:val="008E0FB5"/>
    <w:rsid w:val="008E77C4"/>
    <w:rsid w:val="00901728"/>
    <w:rsid w:val="00903FF3"/>
    <w:rsid w:val="009073D8"/>
    <w:rsid w:val="0091128A"/>
    <w:rsid w:val="00911AB2"/>
    <w:rsid w:val="00911F82"/>
    <w:rsid w:val="0091239A"/>
    <w:rsid w:val="00917CB5"/>
    <w:rsid w:val="00922FF2"/>
    <w:rsid w:val="009253ED"/>
    <w:rsid w:val="009343C9"/>
    <w:rsid w:val="00935C9C"/>
    <w:rsid w:val="00937079"/>
    <w:rsid w:val="00937304"/>
    <w:rsid w:val="00945DB5"/>
    <w:rsid w:val="00950E22"/>
    <w:rsid w:val="009534F1"/>
    <w:rsid w:val="00956BB1"/>
    <w:rsid w:val="009643D0"/>
    <w:rsid w:val="00967676"/>
    <w:rsid w:val="00977A93"/>
    <w:rsid w:val="00981A9C"/>
    <w:rsid w:val="00991A42"/>
    <w:rsid w:val="00994107"/>
    <w:rsid w:val="00995579"/>
    <w:rsid w:val="0099645E"/>
    <w:rsid w:val="009A3E6E"/>
    <w:rsid w:val="009B45E2"/>
    <w:rsid w:val="009C5AA2"/>
    <w:rsid w:val="009C6A8A"/>
    <w:rsid w:val="009C716A"/>
    <w:rsid w:val="009C78CF"/>
    <w:rsid w:val="009D155B"/>
    <w:rsid w:val="009D628B"/>
    <w:rsid w:val="009E0F24"/>
    <w:rsid w:val="009E159C"/>
    <w:rsid w:val="009F05B7"/>
    <w:rsid w:val="009F11D5"/>
    <w:rsid w:val="009F41B4"/>
    <w:rsid w:val="009F770E"/>
    <w:rsid w:val="00A0143D"/>
    <w:rsid w:val="00A033B7"/>
    <w:rsid w:val="00A045F2"/>
    <w:rsid w:val="00A15A6C"/>
    <w:rsid w:val="00A34673"/>
    <w:rsid w:val="00A36E65"/>
    <w:rsid w:val="00A417CB"/>
    <w:rsid w:val="00A41EB9"/>
    <w:rsid w:val="00A45EE8"/>
    <w:rsid w:val="00A56E19"/>
    <w:rsid w:val="00A63A42"/>
    <w:rsid w:val="00A65A12"/>
    <w:rsid w:val="00A725DE"/>
    <w:rsid w:val="00A72698"/>
    <w:rsid w:val="00A73E9A"/>
    <w:rsid w:val="00A7420B"/>
    <w:rsid w:val="00A75414"/>
    <w:rsid w:val="00A75CCB"/>
    <w:rsid w:val="00A9389F"/>
    <w:rsid w:val="00A94490"/>
    <w:rsid w:val="00AA1014"/>
    <w:rsid w:val="00AA46D6"/>
    <w:rsid w:val="00AB6D5E"/>
    <w:rsid w:val="00AC46AC"/>
    <w:rsid w:val="00AD468B"/>
    <w:rsid w:val="00AD5E14"/>
    <w:rsid w:val="00AE00D2"/>
    <w:rsid w:val="00AE0B54"/>
    <w:rsid w:val="00AE1A7F"/>
    <w:rsid w:val="00AE4AB2"/>
    <w:rsid w:val="00AE5C65"/>
    <w:rsid w:val="00AE7D7A"/>
    <w:rsid w:val="00AF0924"/>
    <w:rsid w:val="00AF0F00"/>
    <w:rsid w:val="00AF21B0"/>
    <w:rsid w:val="00AF2E12"/>
    <w:rsid w:val="00AF4DA4"/>
    <w:rsid w:val="00AF5530"/>
    <w:rsid w:val="00AF5A2D"/>
    <w:rsid w:val="00AF7D2D"/>
    <w:rsid w:val="00B050D9"/>
    <w:rsid w:val="00B07349"/>
    <w:rsid w:val="00B1191D"/>
    <w:rsid w:val="00B1579E"/>
    <w:rsid w:val="00B15DE9"/>
    <w:rsid w:val="00B168F8"/>
    <w:rsid w:val="00B17B26"/>
    <w:rsid w:val="00B22A17"/>
    <w:rsid w:val="00B23894"/>
    <w:rsid w:val="00B24F38"/>
    <w:rsid w:val="00B326D6"/>
    <w:rsid w:val="00B37AFC"/>
    <w:rsid w:val="00B37D7A"/>
    <w:rsid w:val="00B42101"/>
    <w:rsid w:val="00B45FF4"/>
    <w:rsid w:val="00B4737F"/>
    <w:rsid w:val="00B54628"/>
    <w:rsid w:val="00B60DBE"/>
    <w:rsid w:val="00B675A3"/>
    <w:rsid w:val="00B72E8D"/>
    <w:rsid w:val="00B73BAE"/>
    <w:rsid w:val="00B75392"/>
    <w:rsid w:val="00B755EB"/>
    <w:rsid w:val="00B76EC5"/>
    <w:rsid w:val="00B80CDA"/>
    <w:rsid w:val="00B92EA5"/>
    <w:rsid w:val="00B94D06"/>
    <w:rsid w:val="00BA032C"/>
    <w:rsid w:val="00BA5F75"/>
    <w:rsid w:val="00BA6CAF"/>
    <w:rsid w:val="00BB0D42"/>
    <w:rsid w:val="00BB3E6C"/>
    <w:rsid w:val="00BB55CC"/>
    <w:rsid w:val="00BC39D9"/>
    <w:rsid w:val="00BD1024"/>
    <w:rsid w:val="00BD4D4A"/>
    <w:rsid w:val="00BD5262"/>
    <w:rsid w:val="00BD643D"/>
    <w:rsid w:val="00BD6505"/>
    <w:rsid w:val="00BF0C25"/>
    <w:rsid w:val="00BF4B51"/>
    <w:rsid w:val="00BF616E"/>
    <w:rsid w:val="00C05369"/>
    <w:rsid w:val="00C1374E"/>
    <w:rsid w:val="00C174CE"/>
    <w:rsid w:val="00C30287"/>
    <w:rsid w:val="00C32E6A"/>
    <w:rsid w:val="00C35C8B"/>
    <w:rsid w:val="00C424BF"/>
    <w:rsid w:val="00C42A8E"/>
    <w:rsid w:val="00C500A8"/>
    <w:rsid w:val="00C529B0"/>
    <w:rsid w:val="00C54B58"/>
    <w:rsid w:val="00C6040D"/>
    <w:rsid w:val="00C60D14"/>
    <w:rsid w:val="00C6702F"/>
    <w:rsid w:val="00C771DF"/>
    <w:rsid w:val="00C8214A"/>
    <w:rsid w:val="00C82973"/>
    <w:rsid w:val="00C85B33"/>
    <w:rsid w:val="00C91E33"/>
    <w:rsid w:val="00C937E2"/>
    <w:rsid w:val="00C97E41"/>
    <w:rsid w:val="00CA02B6"/>
    <w:rsid w:val="00CB0FED"/>
    <w:rsid w:val="00CB1BDB"/>
    <w:rsid w:val="00CB32BD"/>
    <w:rsid w:val="00CB5335"/>
    <w:rsid w:val="00CB59FE"/>
    <w:rsid w:val="00CB5A48"/>
    <w:rsid w:val="00CB6E17"/>
    <w:rsid w:val="00CC0435"/>
    <w:rsid w:val="00CD6876"/>
    <w:rsid w:val="00CE1F3F"/>
    <w:rsid w:val="00CE2973"/>
    <w:rsid w:val="00CE719D"/>
    <w:rsid w:val="00CF3A4D"/>
    <w:rsid w:val="00CF7CC5"/>
    <w:rsid w:val="00D02831"/>
    <w:rsid w:val="00D04F8A"/>
    <w:rsid w:val="00D04FC1"/>
    <w:rsid w:val="00D076B8"/>
    <w:rsid w:val="00D07E4B"/>
    <w:rsid w:val="00D11A3C"/>
    <w:rsid w:val="00D13ABB"/>
    <w:rsid w:val="00D143F3"/>
    <w:rsid w:val="00D144B1"/>
    <w:rsid w:val="00D15CC6"/>
    <w:rsid w:val="00D164BC"/>
    <w:rsid w:val="00D201BB"/>
    <w:rsid w:val="00D4009D"/>
    <w:rsid w:val="00D43035"/>
    <w:rsid w:val="00D438D9"/>
    <w:rsid w:val="00D44659"/>
    <w:rsid w:val="00D44EE1"/>
    <w:rsid w:val="00D45BA7"/>
    <w:rsid w:val="00D5130B"/>
    <w:rsid w:val="00D51DF9"/>
    <w:rsid w:val="00D573CD"/>
    <w:rsid w:val="00D57A07"/>
    <w:rsid w:val="00D62F25"/>
    <w:rsid w:val="00D641E4"/>
    <w:rsid w:val="00D663A5"/>
    <w:rsid w:val="00D66670"/>
    <w:rsid w:val="00D72EDD"/>
    <w:rsid w:val="00D87BA4"/>
    <w:rsid w:val="00D918B3"/>
    <w:rsid w:val="00D95B8B"/>
    <w:rsid w:val="00DA0B8F"/>
    <w:rsid w:val="00DA28E0"/>
    <w:rsid w:val="00DB68B0"/>
    <w:rsid w:val="00DC0199"/>
    <w:rsid w:val="00DC4300"/>
    <w:rsid w:val="00DC7907"/>
    <w:rsid w:val="00DD4191"/>
    <w:rsid w:val="00DD4394"/>
    <w:rsid w:val="00DD5666"/>
    <w:rsid w:val="00DD60F4"/>
    <w:rsid w:val="00DE07E8"/>
    <w:rsid w:val="00DE0A5D"/>
    <w:rsid w:val="00DE5550"/>
    <w:rsid w:val="00DF413B"/>
    <w:rsid w:val="00DF525C"/>
    <w:rsid w:val="00DF6CD0"/>
    <w:rsid w:val="00E00FB3"/>
    <w:rsid w:val="00E01492"/>
    <w:rsid w:val="00E0416F"/>
    <w:rsid w:val="00E0577F"/>
    <w:rsid w:val="00E063A6"/>
    <w:rsid w:val="00E07436"/>
    <w:rsid w:val="00E145A9"/>
    <w:rsid w:val="00E152EB"/>
    <w:rsid w:val="00E15E3A"/>
    <w:rsid w:val="00E24E36"/>
    <w:rsid w:val="00E25D0D"/>
    <w:rsid w:val="00E2710E"/>
    <w:rsid w:val="00E30794"/>
    <w:rsid w:val="00E332FF"/>
    <w:rsid w:val="00E34B3F"/>
    <w:rsid w:val="00E4572D"/>
    <w:rsid w:val="00E52A73"/>
    <w:rsid w:val="00E6106E"/>
    <w:rsid w:val="00E618A0"/>
    <w:rsid w:val="00E67777"/>
    <w:rsid w:val="00E67882"/>
    <w:rsid w:val="00E73BE4"/>
    <w:rsid w:val="00E9384A"/>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F092F"/>
    <w:rsid w:val="00EF1B16"/>
    <w:rsid w:val="00EF5D37"/>
    <w:rsid w:val="00EF6C8B"/>
    <w:rsid w:val="00F02694"/>
    <w:rsid w:val="00F04168"/>
    <w:rsid w:val="00F10C95"/>
    <w:rsid w:val="00F20885"/>
    <w:rsid w:val="00F20A03"/>
    <w:rsid w:val="00F2122C"/>
    <w:rsid w:val="00F21999"/>
    <w:rsid w:val="00F22F3F"/>
    <w:rsid w:val="00F2518C"/>
    <w:rsid w:val="00F33A95"/>
    <w:rsid w:val="00F35BEC"/>
    <w:rsid w:val="00F36880"/>
    <w:rsid w:val="00F4055D"/>
    <w:rsid w:val="00F4644A"/>
    <w:rsid w:val="00F46BC3"/>
    <w:rsid w:val="00F50072"/>
    <w:rsid w:val="00F50145"/>
    <w:rsid w:val="00F536C0"/>
    <w:rsid w:val="00F54034"/>
    <w:rsid w:val="00F57508"/>
    <w:rsid w:val="00F6479C"/>
    <w:rsid w:val="00F7006D"/>
    <w:rsid w:val="00F71C92"/>
    <w:rsid w:val="00F75A8B"/>
    <w:rsid w:val="00F81A76"/>
    <w:rsid w:val="00F936DE"/>
    <w:rsid w:val="00F94611"/>
    <w:rsid w:val="00F9598D"/>
    <w:rsid w:val="00F95DFD"/>
    <w:rsid w:val="00FA322B"/>
    <w:rsid w:val="00FB3A22"/>
    <w:rsid w:val="00FC1EB8"/>
    <w:rsid w:val="00FC2034"/>
    <w:rsid w:val="00FC5EA3"/>
    <w:rsid w:val="00FC71D4"/>
    <w:rsid w:val="00FC75A0"/>
    <w:rsid w:val="00FD6527"/>
    <w:rsid w:val="00FE6AD3"/>
    <w:rsid w:val="00FF63D0"/>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B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1CFF33-8C41-4E9E-9FAB-38E238C5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4816</Words>
  <Characters>25915</Characters>
  <Application>Microsoft Office Word</Application>
  <DocSecurity>0</DocSecurity>
  <Lines>539</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Roxana Lechuga</cp:lastModifiedBy>
  <cp:revision>4</cp:revision>
  <cp:lastPrinted>2025-09-05T05:03:00Z</cp:lastPrinted>
  <dcterms:created xsi:type="dcterms:W3CDTF">2025-09-05T05:02:00Z</dcterms:created>
  <dcterms:modified xsi:type="dcterms:W3CDTF">2025-11-28T02:41:00Z</dcterms:modified>
</cp:coreProperties>
</file>