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D461" w14:textId="699D901B" w:rsidR="00FA2EA1" w:rsidRDefault="00FA2EA1">
      <w:pPr>
        <w:rPr>
          <w:rFonts w:ascii="Palatino Linotype" w:eastAsia="Palatino Linotype" w:hAnsi="Palatino Linotype" w:cs="Palatino Linotype"/>
          <w:color w:val="000000"/>
          <w:sz w:val="22"/>
          <w:szCs w:val="22"/>
        </w:rPr>
      </w:pPr>
    </w:p>
    <w:sdt>
      <w:sdtPr>
        <w:rPr>
          <w:rFonts w:ascii="Times New Roman" w:eastAsia="Times New Roman" w:hAnsi="Times New Roman" w:cs="Times New Roman"/>
          <w:color w:val="auto"/>
          <w:sz w:val="20"/>
          <w:szCs w:val="20"/>
          <w:lang w:val="es-ES" w:eastAsia="es-ES"/>
        </w:rPr>
        <w:id w:val="2082561232"/>
        <w:docPartObj>
          <w:docPartGallery w:val="Table of Contents"/>
          <w:docPartUnique/>
        </w:docPartObj>
      </w:sdtPr>
      <w:sdtEndPr>
        <w:rPr>
          <w:b/>
          <w:bCs/>
        </w:rPr>
      </w:sdtEndPr>
      <w:sdtContent>
        <w:p w14:paraId="21243687" w14:textId="10B9AC3B" w:rsidR="00FA2EA1" w:rsidRPr="00BD7A62" w:rsidRDefault="00FA2EA1">
          <w:pPr>
            <w:pStyle w:val="TtulodeTDC"/>
          </w:pPr>
          <w:r w:rsidRPr="00BD7A62">
            <w:rPr>
              <w:lang w:val="es-ES"/>
            </w:rPr>
            <w:t>Tabla de contenido</w:t>
          </w:r>
        </w:p>
        <w:p w14:paraId="2EF8AB77" w14:textId="77777777" w:rsidR="00BD7A62" w:rsidRPr="00BD7A62" w:rsidRDefault="00FA2EA1">
          <w:pPr>
            <w:pStyle w:val="TDC1"/>
            <w:tabs>
              <w:tab w:val="right" w:leader="dot" w:pos="9032"/>
            </w:tabs>
            <w:rPr>
              <w:rFonts w:asciiTheme="minorHAnsi" w:eastAsiaTheme="minorEastAsia" w:hAnsiTheme="minorHAnsi" w:cstheme="minorBidi"/>
              <w:noProof/>
              <w:sz w:val="22"/>
              <w:szCs w:val="22"/>
              <w:lang w:eastAsia="es-MX"/>
            </w:rPr>
          </w:pPr>
          <w:r w:rsidRPr="00BD7A62">
            <w:fldChar w:fldCharType="begin"/>
          </w:r>
          <w:r w:rsidRPr="00BD7A62">
            <w:instrText xml:space="preserve"> TOC \o "1-3" \h \z \u </w:instrText>
          </w:r>
          <w:r w:rsidRPr="00BD7A62">
            <w:fldChar w:fldCharType="separate"/>
          </w:r>
          <w:hyperlink w:anchor="_Toc196405796" w:history="1">
            <w:r w:rsidR="00BD7A62" w:rsidRPr="00BD7A62">
              <w:rPr>
                <w:rStyle w:val="Hipervnculo"/>
                <w:rFonts w:ascii="Palatino Linotype" w:eastAsia="Palatino Linotype" w:hAnsi="Palatino Linotype" w:cs="Palatino Linotype"/>
                <w:b/>
                <w:noProof/>
              </w:rPr>
              <w:t>A N T E C E D E N T E S</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_Toc196405796 \h </w:instrText>
            </w:r>
            <w:r w:rsidR="00BD7A62" w:rsidRPr="00BD7A62">
              <w:rPr>
                <w:noProof/>
                <w:webHidden/>
              </w:rPr>
            </w:r>
            <w:r w:rsidR="00BD7A62" w:rsidRPr="00BD7A62">
              <w:rPr>
                <w:noProof/>
                <w:webHidden/>
              </w:rPr>
              <w:fldChar w:fldCharType="separate"/>
            </w:r>
            <w:r w:rsidR="00EB3C6E">
              <w:rPr>
                <w:noProof/>
                <w:webHidden/>
              </w:rPr>
              <w:t>2</w:t>
            </w:r>
            <w:r w:rsidR="00BD7A62" w:rsidRPr="00BD7A62">
              <w:rPr>
                <w:noProof/>
                <w:webHidden/>
              </w:rPr>
              <w:fldChar w:fldCharType="end"/>
            </w:r>
          </w:hyperlink>
        </w:p>
        <w:p w14:paraId="14D6AF6D" w14:textId="77777777" w:rsidR="00BD7A62" w:rsidRPr="00BD7A62" w:rsidRDefault="00177E53">
          <w:pPr>
            <w:pStyle w:val="TDC1"/>
            <w:tabs>
              <w:tab w:val="right" w:leader="dot" w:pos="9032"/>
            </w:tabs>
            <w:rPr>
              <w:rFonts w:asciiTheme="minorHAnsi" w:eastAsiaTheme="minorEastAsia" w:hAnsiTheme="minorHAnsi" w:cstheme="minorBidi"/>
              <w:noProof/>
              <w:sz w:val="22"/>
              <w:szCs w:val="22"/>
              <w:lang w:eastAsia="es-MX"/>
            </w:rPr>
          </w:pPr>
          <w:hyperlink w:anchor="_Toc196405797" w:history="1">
            <w:r w:rsidR="00BD7A62" w:rsidRPr="00BD7A62">
              <w:rPr>
                <w:rStyle w:val="Hipervnculo"/>
                <w:rFonts w:ascii="Palatino Linotype" w:eastAsia="Palatino Linotype" w:hAnsi="Palatino Linotype" w:cs="Palatino Linotype"/>
                <w:b/>
                <w:noProof/>
              </w:rPr>
              <w:t>I. Presentación de la solicitud de información</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_Toc196405797 \h </w:instrText>
            </w:r>
            <w:r w:rsidR="00BD7A62" w:rsidRPr="00BD7A62">
              <w:rPr>
                <w:noProof/>
                <w:webHidden/>
              </w:rPr>
            </w:r>
            <w:r w:rsidR="00BD7A62" w:rsidRPr="00BD7A62">
              <w:rPr>
                <w:noProof/>
                <w:webHidden/>
              </w:rPr>
              <w:fldChar w:fldCharType="separate"/>
            </w:r>
            <w:r w:rsidR="00EB3C6E">
              <w:rPr>
                <w:noProof/>
                <w:webHidden/>
              </w:rPr>
              <w:t>2</w:t>
            </w:r>
            <w:r w:rsidR="00BD7A62" w:rsidRPr="00BD7A62">
              <w:rPr>
                <w:noProof/>
                <w:webHidden/>
              </w:rPr>
              <w:fldChar w:fldCharType="end"/>
            </w:r>
          </w:hyperlink>
        </w:p>
        <w:p w14:paraId="0B14AF1C" w14:textId="77777777" w:rsidR="00BD7A62" w:rsidRPr="00BD7A62" w:rsidRDefault="00177E53">
          <w:pPr>
            <w:pStyle w:val="TDC2"/>
            <w:tabs>
              <w:tab w:val="right" w:leader="dot" w:pos="9032"/>
            </w:tabs>
            <w:rPr>
              <w:rFonts w:asciiTheme="minorHAnsi" w:eastAsiaTheme="minorEastAsia" w:hAnsiTheme="minorHAnsi" w:cstheme="minorBidi"/>
              <w:noProof/>
              <w:sz w:val="22"/>
              <w:szCs w:val="22"/>
              <w:lang w:eastAsia="es-MX"/>
            </w:rPr>
          </w:pPr>
          <w:hyperlink w:anchor="_Toc196405798" w:history="1">
            <w:r w:rsidR="00BD7A62" w:rsidRPr="00BD7A62">
              <w:rPr>
                <w:rStyle w:val="Hipervnculo"/>
                <w:rFonts w:ascii="Palatino Linotype" w:eastAsia="Palatino Linotype" w:hAnsi="Palatino Linotype" w:cs="Palatino Linotype"/>
                <w:noProof/>
              </w:rPr>
              <w:t>II. Respuesta del Sujeto Obligado</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_Toc196405798 \h </w:instrText>
            </w:r>
            <w:r w:rsidR="00BD7A62" w:rsidRPr="00BD7A62">
              <w:rPr>
                <w:noProof/>
                <w:webHidden/>
              </w:rPr>
            </w:r>
            <w:r w:rsidR="00BD7A62" w:rsidRPr="00BD7A62">
              <w:rPr>
                <w:noProof/>
                <w:webHidden/>
              </w:rPr>
              <w:fldChar w:fldCharType="separate"/>
            </w:r>
            <w:r w:rsidR="00EB3C6E">
              <w:rPr>
                <w:noProof/>
                <w:webHidden/>
              </w:rPr>
              <w:t>3</w:t>
            </w:r>
            <w:r w:rsidR="00BD7A62" w:rsidRPr="00BD7A62">
              <w:rPr>
                <w:noProof/>
                <w:webHidden/>
              </w:rPr>
              <w:fldChar w:fldCharType="end"/>
            </w:r>
          </w:hyperlink>
        </w:p>
        <w:p w14:paraId="338E75BA" w14:textId="77777777" w:rsidR="00BD7A62" w:rsidRPr="00BD7A62" w:rsidRDefault="00177E53">
          <w:pPr>
            <w:pStyle w:val="TDC2"/>
            <w:tabs>
              <w:tab w:val="right" w:leader="dot" w:pos="9032"/>
            </w:tabs>
            <w:rPr>
              <w:rFonts w:asciiTheme="minorHAnsi" w:eastAsiaTheme="minorEastAsia" w:hAnsiTheme="minorHAnsi" w:cstheme="minorBidi"/>
              <w:noProof/>
              <w:sz w:val="22"/>
              <w:szCs w:val="22"/>
              <w:lang w:eastAsia="es-MX"/>
            </w:rPr>
          </w:pPr>
          <w:hyperlink w:anchor="_Toc196405799" w:history="1">
            <w:r w:rsidR="00BD7A62" w:rsidRPr="00BD7A62">
              <w:rPr>
                <w:rStyle w:val="Hipervnculo"/>
                <w:rFonts w:ascii="Palatino Linotype" w:eastAsia="Palatino Linotype" w:hAnsi="Palatino Linotype" w:cs="Palatino Linotype"/>
                <w:noProof/>
              </w:rPr>
              <w:t>III. Interposición del Recurso de Revisión</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_Toc196405799 \h </w:instrText>
            </w:r>
            <w:r w:rsidR="00BD7A62" w:rsidRPr="00BD7A62">
              <w:rPr>
                <w:noProof/>
                <w:webHidden/>
              </w:rPr>
            </w:r>
            <w:r w:rsidR="00BD7A62" w:rsidRPr="00BD7A62">
              <w:rPr>
                <w:noProof/>
                <w:webHidden/>
              </w:rPr>
              <w:fldChar w:fldCharType="separate"/>
            </w:r>
            <w:r w:rsidR="00EB3C6E">
              <w:rPr>
                <w:noProof/>
                <w:webHidden/>
              </w:rPr>
              <w:t>4</w:t>
            </w:r>
            <w:r w:rsidR="00BD7A62" w:rsidRPr="00BD7A62">
              <w:rPr>
                <w:noProof/>
                <w:webHidden/>
              </w:rPr>
              <w:fldChar w:fldCharType="end"/>
            </w:r>
          </w:hyperlink>
        </w:p>
        <w:p w14:paraId="7B472F04" w14:textId="77777777" w:rsidR="00BD7A62" w:rsidRPr="00BD7A62" w:rsidRDefault="00177E53">
          <w:pPr>
            <w:pStyle w:val="TDC2"/>
            <w:tabs>
              <w:tab w:val="right" w:leader="dot" w:pos="9032"/>
            </w:tabs>
            <w:rPr>
              <w:rFonts w:asciiTheme="minorHAnsi" w:eastAsiaTheme="minorEastAsia" w:hAnsiTheme="minorHAnsi" w:cstheme="minorBidi"/>
              <w:noProof/>
              <w:sz w:val="22"/>
              <w:szCs w:val="22"/>
              <w:lang w:eastAsia="es-MX"/>
            </w:rPr>
          </w:pPr>
          <w:hyperlink w:anchor="_Toc196405800" w:history="1">
            <w:r w:rsidR="00BD7A62" w:rsidRPr="00BD7A62">
              <w:rPr>
                <w:rStyle w:val="Hipervnculo"/>
                <w:rFonts w:ascii="Palatino Linotype" w:eastAsia="Palatino Linotype" w:hAnsi="Palatino Linotype" w:cs="Palatino Linotype"/>
                <w:noProof/>
              </w:rPr>
              <w:t>IV. Trámite del Recurso de Revisión ante el Instituto.</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_Toc196405800 \h </w:instrText>
            </w:r>
            <w:r w:rsidR="00BD7A62" w:rsidRPr="00BD7A62">
              <w:rPr>
                <w:noProof/>
                <w:webHidden/>
              </w:rPr>
            </w:r>
            <w:r w:rsidR="00BD7A62" w:rsidRPr="00BD7A62">
              <w:rPr>
                <w:noProof/>
                <w:webHidden/>
              </w:rPr>
              <w:fldChar w:fldCharType="separate"/>
            </w:r>
            <w:r w:rsidR="00EB3C6E">
              <w:rPr>
                <w:noProof/>
                <w:webHidden/>
              </w:rPr>
              <w:t>6</w:t>
            </w:r>
            <w:r w:rsidR="00BD7A62" w:rsidRPr="00BD7A62">
              <w:rPr>
                <w:noProof/>
                <w:webHidden/>
              </w:rPr>
              <w:fldChar w:fldCharType="end"/>
            </w:r>
          </w:hyperlink>
        </w:p>
        <w:p w14:paraId="74E3B379" w14:textId="77777777" w:rsidR="00BD7A62" w:rsidRPr="00BD7A62" w:rsidRDefault="00177E53">
          <w:pPr>
            <w:pStyle w:val="TDC1"/>
            <w:tabs>
              <w:tab w:val="right" w:leader="dot" w:pos="9032"/>
            </w:tabs>
            <w:rPr>
              <w:rFonts w:asciiTheme="minorHAnsi" w:eastAsiaTheme="minorEastAsia" w:hAnsiTheme="minorHAnsi" w:cstheme="minorBidi"/>
              <w:noProof/>
              <w:sz w:val="22"/>
              <w:szCs w:val="22"/>
              <w:lang w:eastAsia="es-MX"/>
            </w:rPr>
          </w:pPr>
          <w:hyperlink w:anchor="_Toc196405801" w:history="1">
            <w:r w:rsidR="00BD7A62" w:rsidRPr="00BD7A62">
              <w:rPr>
                <w:rStyle w:val="Hipervnculo"/>
                <w:rFonts w:ascii="Palatino Linotype" w:eastAsia="Palatino Linotype" w:hAnsi="Palatino Linotype" w:cs="Palatino Linotype"/>
                <w:b/>
                <w:noProof/>
              </w:rPr>
              <w:t>C O N S I D E R A N D O S</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_Toc196405801 \h </w:instrText>
            </w:r>
            <w:r w:rsidR="00BD7A62" w:rsidRPr="00BD7A62">
              <w:rPr>
                <w:noProof/>
                <w:webHidden/>
              </w:rPr>
            </w:r>
            <w:r w:rsidR="00BD7A62" w:rsidRPr="00BD7A62">
              <w:rPr>
                <w:noProof/>
                <w:webHidden/>
              </w:rPr>
              <w:fldChar w:fldCharType="separate"/>
            </w:r>
            <w:r w:rsidR="00EB3C6E">
              <w:rPr>
                <w:noProof/>
                <w:webHidden/>
              </w:rPr>
              <w:t>9</w:t>
            </w:r>
            <w:r w:rsidR="00BD7A62" w:rsidRPr="00BD7A62">
              <w:rPr>
                <w:noProof/>
                <w:webHidden/>
              </w:rPr>
              <w:fldChar w:fldCharType="end"/>
            </w:r>
          </w:hyperlink>
        </w:p>
        <w:p w14:paraId="5E690F15" w14:textId="77777777" w:rsidR="00BD7A62" w:rsidRPr="00BD7A62" w:rsidRDefault="00177E53">
          <w:pPr>
            <w:pStyle w:val="TDC2"/>
            <w:tabs>
              <w:tab w:val="right" w:leader="dot" w:pos="9032"/>
            </w:tabs>
            <w:rPr>
              <w:rFonts w:asciiTheme="minorHAnsi" w:eastAsiaTheme="minorEastAsia" w:hAnsiTheme="minorHAnsi" w:cstheme="minorBidi"/>
              <w:noProof/>
              <w:sz w:val="22"/>
              <w:szCs w:val="22"/>
              <w:lang w:eastAsia="es-MX"/>
            </w:rPr>
          </w:pPr>
          <w:hyperlink w:anchor="_Toc196405802" w:history="1">
            <w:r w:rsidR="00BD7A62" w:rsidRPr="00BD7A62">
              <w:rPr>
                <w:rStyle w:val="Hipervnculo"/>
                <w:rFonts w:ascii="Palatino Linotype" w:eastAsia="Palatino Linotype" w:hAnsi="Palatino Linotype" w:cs="Palatino Linotype"/>
                <w:noProof/>
              </w:rPr>
              <w:t>PRIMERO. Competencia</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_Toc196405802 \h </w:instrText>
            </w:r>
            <w:r w:rsidR="00BD7A62" w:rsidRPr="00BD7A62">
              <w:rPr>
                <w:noProof/>
                <w:webHidden/>
              </w:rPr>
            </w:r>
            <w:r w:rsidR="00BD7A62" w:rsidRPr="00BD7A62">
              <w:rPr>
                <w:noProof/>
                <w:webHidden/>
              </w:rPr>
              <w:fldChar w:fldCharType="separate"/>
            </w:r>
            <w:r w:rsidR="00EB3C6E">
              <w:rPr>
                <w:noProof/>
                <w:webHidden/>
              </w:rPr>
              <w:t>9</w:t>
            </w:r>
            <w:r w:rsidR="00BD7A62" w:rsidRPr="00BD7A62">
              <w:rPr>
                <w:noProof/>
                <w:webHidden/>
              </w:rPr>
              <w:fldChar w:fldCharType="end"/>
            </w:r>
          </w:hyperlink>
        </w:p>
        <w:p w14:paraId="7F7488A5" w14:textId="77777777" w:rsidR="00BD7A62" w:rsidRPr="00BD7A62" w:rsidRDefault="00177E53">
          <w:pPr>
            <w:pStyle w:val="TDC2"/>
            <w:tabs>
              <w:tab w:val="right" w:leader="dot" w:pos="9032"/>
            </w:tabs>
            <w:rPr>
              <w:rFonts w:asciiTheme="minorHAnsi" w:eastAsiaTheme="minorEastAsia" w:hAnsiTheme="minorHAnsi" w:cstheme="minorBidi"/>
              <w:noProof/>
              <w:sz w:val="22"/>
              <w:szCs w:val="22"/>
              <w:lang w:eastAsia="es-MX"/>
            </w:rPr>
          </w:pPr>
          <w:hyperlink w:anchor="_Toc196405803" w:history="1">
            <w:r w:rsidR="00BD7A62" w:rsidRPr="00BD7A62">
              <w:rPr>
                <w:rStyle w:val="Hipervnculo"/>
                <w:rFonts w:ascii="Palatino Linotype" w:eastAsia="Palatino Linotype" w:hAnsi="Palatino Linotype" w:cs="Palatino Linotype"/>
                <w:noProof/>
              </w:rPr>
              <w:t>SEGUNDO. Causales de improcedencia y sobreseimiento</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_Toc196405803 \h </w:instrText>
            </w:r>
            <w:r w:rsidR="00BD7A62" w:rsidRPr="00BD7A62">
              <w:rPr>
                <w:noProof/>
                <w:webHidden/>
              </w:rPr>
            </w:r>
            <w:r w:rsidR="00BD7A62" w:rsidRPr="00BD7A62">
              <w:rPr>
                <w:noProof/>
                <w:webHidden/>
              </w:rPr>
              <w:fldChar w:fldCharType="separate"/>
            </w:r>
            <w:r w:rsidR="00EB3C6E">
              <w:rPr>
                <w:noProof/>
                <w:webHidden/>
              </w:rPr>
              <w:t>10</w:t>
            </w:r>
            <w:r w:rsidR="00BD7A62" w:rsidRPr="00BD7A62">
              <w:rPr>
                <w:noProof/>
                <w:webHidden/>
              </w:rPr>
              <w:fldChar w:fldCharType="end"/>
            </w:r>
          </w:hyperlink>
        </w:p>
        <w:p w14:paraId="34AB10FC" w14:textId="77777777" w:rsidR="00BD7A62" w:rsidRPr="00BD7A62" w:rsidRDefault="00177E53">
          <w:pPr>
            <w:pStyle w:val="TDC2"/>
            <w:tabs>
              <w:tab w:val="right" w:leader="dot" w:pos="9032"/>
            </w:tabs>
            <w:rPr>
              <w:rFonts w:asciiTheme="minorHAnsi" w:eastAsiaTheme="minorEastAsia" w:hAnsiTheme="minorHAnsi" w:cstheme="minorBidi"/>
              <w:noProof/>
              <w:sz w:val="22"/>
              <w:szCs w:val="22"/>
              <w:lang w:eastAsia="es-MX"/>
            </w:rPr>
          </w:pPr>
          <w:hyperlink w:anchor="_Toc196405804" w:history="1">
            <w:r w:rsidR="00BD7A62" w:rsidRPr="00BD7A62">
              <w:rPr>
                <w:rStyle w:val="Hipervnculo"/>
                <w:rFonts w:ascii="Palatino Linotype" w:eastAsia="Palatino Linotype" w:hAnsi="Palatino Linotype" w:cs="Palatino Linotype"/>
                <w:noProof/>
              </w:rPr>
              <w:t>TERCERO. Determinación de la Controversia</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_Toc196405804 \h </w:instrText>
            </w:r>
            <w:r w:rsidR="00BD7A62" w:rsidRPr="00BD7A62">
              <w:rPr>
                <w:noProof/>
                <w:webHidden/>
              </w:rPr>
            </w:r>
            <w:r w:rsidR="00BD7A62" w:rsidRPr="00BD7A62">
              <w:rPr>
                <w:noProof/>
                <w:webHidden/>
              </w:rPr>
              <w:fldChar w:fldCharType="separate"/>
            </w:r>
            <w:r w:rsidR="00EB3C6E">
              <w:rPr>
                <w:noProof/>
                <w:webHidden/>
              </w:rPr>
              <w:t>11</w:t>
            </w:r>
            <w:r w:rsidR="00BD7A62" w:rsidRPr="00BD7A62">
              <w:rPr>
                <w:noProof/>
                <w:webHidden/>
              </w:rPr>
              <w:fldChar w:fldCharType="end"/>
            </w:r>
          </w:hyperlink>
        </w:p>
        <w:p w14:paraId="21B774E2" w14:textId="77777777" w:rsidR="00BD7A62" w:rsidRPr="00BD7A62" w:rsidRDefault="00177E53">
          <w:pPr>
            <w:pStyle w:val="TDC2"/>
            <w:tabs>
              <w:tab w:val="right" w:leader="dot" w:pos="9032"/>
            </w:tabs>
            <w:rPr>
              <w:rFonts w:asciiTheme="minorHAnsi" w:eastAsiaTheme="minorEastAsia" w:hAnsiTheme="minorHAnsi" w:cstheme="minorBidi"/>
              <w:noProof/>
              <w:sz w:val="22"/>
              <w:szCs w:val="22"/>
              <w:lang w:eastAsia="es-MX"/>
            </w:rPr>
          </w:pPr>
          <w:hyperlink w:anchor="_Toc196405805" w:history="1">
            <w:r w:rsidR="00BD7A62" w:rsidRPr="00BD7A62">
              <w:rPr>
                <w:rStyle w:val="Hipervnculo"/>
                <w:rFonts w:ascii="Palatino Linotype" w:eastAsia="Palatino Linotype" w:hAnsi="Palatino Linotype" w:cs="Palatino Linotype"/>
                <w:noProof/>
              </w:rPr>
              <w:t>CUARTO. Marco normativo aplicable en materia de acceso, rectificación, cancelación y oposición de datos personales.</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_Toc196405805 \h </w:instrText>
            </w:r>
            <w:r w:rsidR="00BD7A62" w:rsidRPr="00BD7A62">
              <w:rPr>
                <w:noProof/>
                <w:webHidden/>
              </w:rPr>
            </w:r>
            <w:r w:rsidR="00BD7A62" w:rsidRPr="00BD7A62">
              <w:rPr>
                <w:noProof/>
                <w:webHidden/>
              </w:rPr>
              <w:fldChar w:fldCharType="separate"/>
            </w:r>
            <w:r w:rsidR="00EB3C6E">
              <w:rPr>
                <w:noProof/>
                <w:webHidden/>
              </w:rPr>
              <w:t>13</w:t>
            </w:r>
            <w:r w:rsidR="00BD7A62" w:rsidRPr="00BD7A62">
              <w:rPr>
                <w:noProof/>
                <w:webHidden/>
              </w:rPr>
              <w:fldChar w:fldCharType="end"/>
            </w:r>
          </w:hyperlink>
        </w:p>
        <w:p w14:paraId="160BB3B5" w14:textId="77777777" w:rsidR="00BD7A62" w:rsidRPr="00BD7A62" w:rsidRDefault="00177E53">
          <w:pPr>
            <w:pStyle w:val="TDC2"/>
            <w:tabs>
              <w:tab w:val="right" w:leader="dot" w:pos="9032"/>
            </w:tabs>
            <w:rPr>
              <w:rFonts w:asciiTheme="minorHAnsi" w:eastAsiaTheme="minorEastAsia" w:hAnsiTheme="minorHAnsi" w:cstheme="minorBidi"/>
              <w:noProof/>
              <w:sz w:val="22"/>
              <w:szCs w:val="22"/>
              <w:lang w:eastAsia="es-MX"/>
            </w:rPr>
          </w:pPr>
          <w:hyperlink w:anchor="_Toc196405806" w:history="1">
            <w:r w:rsidR="00BD7A62" w:rsidRPr="00BD7A62">
              <w:rPr>
                <w:rStyle w:val="Hipervnculo"/>
                <w:rFonts w:ascii="Palatino Linotype" w:eastAsia="Palatino Linotype" w:hAnsi="Palatino Linotype" w:cs="Palatino Linotype"/>
                <w:noProof/>
              </w:rPr>
              <w:t>QUINTO. Estudio de Fondo</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_Toc196405806 \h </w:instrText>
            </w:r>
            <w:r w:rsidR="00BD7A62" w:rsidRPr="00BD7A62">
              <w:rPr>
                <w:noProof/>
                <w:webHidden/>
              </w:rPr>
            </w:r>
            <w:r w:rsidR="00BD7A62" w:rsidRPr="00BD7A62">
              <w:rPr>
                <w:noProof/>
                <w:webHidden/>
              </w:rPr>
              <w:fldChar w:fldCharType="separate"/>
            </w:r>
            <w:r w:rsidR="00EB3C6E">
              <w:rPr>
                <w:noProof/>
                <w:webHidden/>
              </w:rPr>
              <w:t>14</w:t>
            </w:r>
            <w:r w:rsidR="00BD7A62" w:rsidRPr="00BD7A62">
              <w:rPr>
                <w:noProof/>
                <w:webHidden/>
              </w:rPr>
              <w:fldChar w:fldCharType="end"/>
            </w:r>
          </w:hyperlink>
        </w:p>
        <w:p w14:paraId="59F9E3AB" w14:textId="77777777" w:rsidR="00BD7A62" w:rsidRPr="00BD7A62" w:rsidRDefault="00177E53">
          <w:pPr>
            <w:pStyle w:val="TDC2"/>
            <w:tabs>
              <w:tab w:val="right" w:leader="dot" w:pos="9032"/>
            </w:tabs>
            <w:rPr>
              <w:rFonts w:asciiTheme="minorHAnsi" w:eastAsiaTheme="minorEastAsia" w:hAnsiTheme="minorHAnsi" w:cstheme="minorBidi"/>
              <w:noProof/>
              <w:sz w:val="22"/>
              <w:szCs w:val="22"/>
              <w:lang w:eastAsia="es-MX"/>
            </w:rPr>
          </w:pPr>
          <w:hyperlink w:anchor="_Toc196405807" w:history="1">
            <w:r w:rsidR="00BD7A62" w:rsidRPr="00BD7A62">
              <w:rPr>
                <w:rStyle w:val="Hipervnculo"/>
                <w:rFonts w:ascii="Palatino Linotype" w:eastAsia="Palatino Linotype" w:hAnsi="Palatino Linotype" w:cs="Palatino Linotype"/>
                <w:noProof/>
              </w:rPr>
              <w:t>SEXTO. Decisión</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_Toc196405807 \h </w:instrText>
            </w:r>
            <w:r w:rsidR="00BD7A62" w:rsidRPr="00BD7A62">
              <w:rPr>
                <w:noProof/>
                <w:webHidden/>
              </w:rPr>
            </w:r>
            <w:r w:rsidR="00BD7A62" w:rsidRPr="00BD7A62">
              <w:rPr>
                <w:noProof/>
                <w:webHidden/>
              </w:rPr>
              <w:fldChar w:fldCharType="separate"/>
            </w:r>
            <w:r w:rsidR="00EB3C6E">
              <w:rPr>
                <w:noProof/>
                <w:webHidden/>
              </w:rPr>
              <w:t>26</w:t>
            </w:r>
            <w:r w:rsidR="00BD7A62" w:rsidRPr="00BD7A62">
              <w:rPr>
                <w:noProof/>
                <w:webHidden/>
              </w:rPr>
              <w:fldChar w:fldCharType="end"/>
            </w:r>
          </w:hyperlink>
        </w:p>
        <w:p w14:paraId="62A00ACF" w14:textId="77777777" w:rsidR="00BD7A62" w:rsidRPr="00BD7A62" w:rsidRDefault="00177E53">
          <w:pPr>
            <w:pStyle w:val="TDC1"/>
            <w:tabs>
              <w:tab w:val="right" w:leader="dot" w:pos="9032"/>
            </w:tabs>
            <w:rPr>
              <w:rFonts w:asciiTheme="minorHAnsi" w:eastAsiaTheme="minorEastAsia" w:hAnsiTheme="minorHAnsi" w:cstheme="minorBidi"/>
              <w:noProof/>
              <w:sz w:val="22"/>
              <w:szCs w:val="22"/>
              <w:lang w:eastAsia="es-MX"/>
            </w:rPr>
          </w:pPr>
          <w:hyperlink w:anchor="_Toc196405808" w:history="1">
            <w:r w:rsidR="00BD7A62" w:rsidRPr="00BD7A62">
              <w:rPr>
                <w:rStyle w:val="Hipervnculo"/>
                <w:rFonts w:ascii="Palatino Linotype" w:eastAsia="Palatino Linotype" w:hAnsi="Palatino Linotype" w:cs="Palatino Linotype"/>
                <w:b/>
                <w:noProof/>
              </w:rPr>
              <w:t>R E S U E L V E</w:t>
            </w:r>
            <w:r w:rsidR="00BD7A62" w:rsidRPr="00BD7A62">
              <w:rPr>
                <w:noProof/>
                <w:webHidden/>
              </w:rPr>
              <w:tab/>
            </w:r>
            <w:r w:rsidR="00BD7A62" w:rsidRPr="00BD7A62">
              <w:rPr>
                <w:noProof/>
                <w:webHidden/>
              </w:rPr>
              <w:fldChar w:fldCharType="begin"/>
            </w:r>
            <w:r w:rsidR="00BD7A62" w:rsidRPr="00BD7A62">
              <w:rPr>
                <w:noProof/>
                <w:webHidden/>
              </w:rPr>
              <w:instrText xml:space="preserve"> PAGEREF _Toc196405808 \h </w:instrText>
            </w:r>
            <w:r w:rsidR="00BD7A62" w:rsidRPr="00BD7A62">
              <w:rPr>
                <w:noProof/>
                <w:webHidden/>
              </w:rPr>
            </w:r>
            <w:r w:rsidR="00BD7A62" w:rsidRPr="00BD7A62">
              <w:rPr>
                <w:noProof/>
                <w:webHidden/>
              </w:rPr>
              <w:fldChar w:fldCharType="separate"/>
            </w:r>
            <w:r w:rsidR="00EB3C6E">
              <w:rPr>
                <w:noProof/>
                <w:webHidden/>
              </w:rPr>
              <w:t>28</w:t>
            </w:r>
            <w:r w:rsidR="00BD7A62" w:rsidRPr="00BD7A62">
              <w:rPr>
                <w:noProof/>
                <w:webHidden/>
              </w:rPr>
              <w:fldChar w:fldCharType="end"/>
            </w:r>
          </w:hyperlink>
        </w:p>
        <w:p w14:paraId="054C8FBF" w14:textId="1404A1A3" w:rsidR="00FA2EA1" w:rsidRPr="00BD7A62" w:rsidRDefault="00FA2EA1">
          <w:r w:rsidRPr="00BD7A62">
            <w:rPr>
              <w:b/>
              <w:bCs/>
              <w:lang w:val="es-ES"/>
            </w:rPr>
            <w:fldChar w:fldCharType="end"/>
          </w:r>
        </w:p>
      </w:sdtContent>
    </w:sdt>
    <w:p w14:paraId="59645106" w14:textId="71B75F64" w:rsidR="00FA2EA1" w:rsidRPr="00BD7A62" w:rsidRDefault="00FA2EA1">
      <w:pPr>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br w:type="page"/>
      </w:r>
    </w:p>
    <w:p w14:paraId="78853EA0"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color w:val="000000"/>
          <w:sz w:val="22"/>
          <w:szCs w:val="22"/>
        </w:rPr>
        <w:lastRenderedPageBreak/>
        <w:t xml:space="preserve">Resolución del Pleno del Instituto de Transparencia, Acceso a la Información Pública y </w:t>
      </w:r>
      <w:r w:rsidRPr="00BD7A62">
        <w:rPr>
          <w:rFonts w:ascii="Palatino Linotype" w:eastAsia="Palatino Linotype" w:hAnsi="Palatino Linotype" w:cs="Palatino Linotype"/>
          <w:sz w:val="22"/>
          <w:szCs w:val="22"/>
        </w:rPr>
        <w:t xml:space="preserve">Protección de Datos Personales del Estado de México y Municipios, con domicilio en Metepec, Estado de México, de fecha veintitrés de abril de dos mil veinticinco . </w:t>
      </w:r>
    </w:p>
    <w:p w14:paraId="2AC06C19"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32FFCB2E" w14:textId="4D151104" w:rsidR="009677CC" w:rsidRPr="00BD7A62" w:rsidRDefault="00F22DA1">
      <w:pPr>
        <w:spacing w:line="360" w:lineRule="auto"/>
        <w:jc w:val="both"/>
        <w:rPr>
          <w:rFonts w:ascii="Palatino Linotype" w:eastAsia="Palatino Linotype" w:hAnsi="Palatino Linotype" w:cs="Palatino Linotype"/>
          <w:b/>
          <w:color w:val="000000"/>
          <w:sz w:val="22"/>
          <w:szCs w:val="22"/>
        </w:rPr>
      </w:pPr>
      <w:r w:rsidRPr="00BD7A62">
        <w:rPr>
          <w:rFonts w:ascii="Palatino Linotype" w:eastAsia="Palatino Linotype" w:hAnsi="Palatino Linotype" w:cs="Palatino Linotype"/>
          <w:b/>
          <w:color w:val="000000"/>
          <w:sz w:val="22"/>
          <w:szCs w:val="22"/>
        </w:rPr>
        <w:t xml:space="preserve">VISTO </w:t>
      </w:r>
      <w:r w:rsidRPr="00BD7A62">
        <w:rPr>
          <w:rFonts w:ascii="Palatino Linotype" w:eastAsia="Palatino Linotype" w:hAnsi="Palatino Linotype" w:cs="Palatino Linotype"/>
          <w:color w:val="000000"/>
          <w:sz w:val="22"/>
          <w:szCs w:val="22"/>
        </w:rPr>
        <w:t xml:space="preserve">el expediente conformado con motivo del Recurso de Revisión </w:t>
      </w:r>
      <w:r w:rsidRPr="00BD7A62">
        <w:rPr>
          <w:rFonts w:ascii="Palatino Linotype" w:eastAsia="Palatino Linotype" w:hAnsi="Palatino Linotype" w:cs="Palatino Linotype"/>
          <w:b/>
          <w:color w:val="000000"/>
          <w:sz w:val="22"/>
          <w:szCs w:val="22"/>
        </w:rPr>
        <w:t xml:space="preserve">00796/INFOEM/IP/RR/2025 </w:t>
      </w:r>
      <w:r w:rsidRPr="00BD7A62">
        <w:rPr>
          <w:rFonts w:ascii="Palatino Linotype" w:eastAsia="Palatino Linotype" w:hAnsi="Palatino Linotype" w:cs="Palatino Linotype"/>
          <w:color w:val="000000"/>
          <w:sz w:val="22"/>
          <w:szCs w:val="22"/>
        </w:rPr>
        <w:t xml:space="preserve">interpuesto por </w:t>
      </w:r>
      <w:r w:rsidR="00C53DBD" w:rsidRPr="00C53DBD">
        <w:rPr>
          <w:rFonts w:ascii="Palatino Linotype" w:eastAsia="Palatino Linotype" w:hAnsi="Palatino Linotype" w:cs="Palatino Linotype"/>
          <w:sz w:val="22"/>
          <w:szCs w:val="22"/>
          <w:highlight w:val="black"/>
        </w:rPr>
        <w:t>XXXXXXXXXXXXXXXXX</w:t>
      </w:r>
      <w:r w:rsidRPr="00BD7A62">
        <w:rPr>
          <w:rFonts w:ascii="Palatino Linotype" w:eastAsia="Palatino Linotype" w:hAnsi="Palatino Linotype" w:cs="Palatino Linotype"/>
          <w:b/>
          <w:color w:val="000000"/>
          <w:sz w:val="22"/>
          <w:szCs w:val="22"/>
        </w:rPr>
        <w:t xml:space="preserve">, </w:t>
      </w:r>
      <w:r w:rsidRPr="00BD7A62">
        <w:rPr>
          <w:rFonts w:ascii="Palatino Linotype" w:eastAsia="Palatino Linotype" w:hAnsi="Palatino Linotype" w:cs="Palatino Linotype"/>
          <w:color w:val="000000"/>
          <w:sz w:val="22"/>
          <w:szCs w:val="22"/>
        </w:rPr>
        <w:t xml:space="preserve">en lo subsecuente la persona </w:t>
      </w:r>
      <w:r w:rsidRPr="00BD7A62">
        <w:rPr>
          <w:rFonts w:ascii="Palatino Linotype" w:eastAsia="Palatino Linotype" w:hAnsi="Palatino Linotype" w:cs="Palatino Linotype"/>
          <w:color w:val="0D0D0D"/>
          <w:sz w:val="22"/>
          <w:szCs w:val="22"/>
        </w:rPr>
        <w:t>Recurrente o Particular</w:t>
      </w:r>
      <w:r w:rsidRPr="00BD7A62">
        <w:rPr>
          <w:rFonts w:ascii="Palatino Linotype" w:eastAsia="Palatino Linotype" w:hAnsi="Palatino Linotype" w:cs="Palatino Linotype"/>
          <w:color w:val="000000"/>
          <w:sz w:val="22"/>
          <w:szCs w:val="22"/>
        </w:rPr>
        <w:t xml:space="preserve">, en contra de la respuesta del Sujeto Obligado, </w:t>
      </w:r>
      <w:r w:rsidRPr="00BD7A62">
        <w:rPr>
          <w:rFonts w:ascii="Palatino Linotype" w:eastAsia="Palatino Linotype" w:hAnsi="Palatino Linotype" w:cs="Palatino Linotype"/>
          <w:b/>
          <w:sz w:val="22"/>
          <w:szCs w:val="22"/>
        </w:rPr>
        <w:t>Secretaría de Finanzas</w:t>
      </w:r>
      <w:r w:rsidRPr="00BD7A62">
        <w:rPr>
          <w:rFonts w:ascii="Palatino Linotype" w:eastAsia="Palatino Linotype" w:hAnsi="Palatino Linotype" w:cs="Palatino Linotype"/>
          <w:color w:val="000000"/>
          <w:sz w:val="22"/>
          <w:szCs w:val="22"/>
        </w:rPr>
        <w:t>, se emite la presente resolución, con base en los antecedentes y considerandos que a continuación se exponen:</w:t>
      </w:r>
      <w:r w:rsidR="00C53DBD">
        <w:rPr>
          <w:rFonts w:ascii="Palatino Linotype" w:eastAsia="Palatino Linotype" w:hAnsi="Palatino Linotype" w:cs="Palatino Linotype"/>
          <w:color w:val="000000"/>
          <w:sz w:val="22"/>
          <w:szCs w:val="22"/>
        </w:rPr>
        <w:t xml:space="preserve"> </w:t>
      </w:r>
    </w:p>
    <w:p w14:paraId="1A228439" w14:textId="77777777" w:rsidR="009677CC" w:rsidRPr="00BD7A62" w:rsidRDefault="009677CC">
      <w:pPr>
        <w:tabs>
          <w:tab w:val="left" w:pos="2835"/>
        </w:tabs>
        <w:spacing w:line="360" w:lineRule="auto"/>
        <w:ind w:right="-93"/>
        <w:jc w:val="both"/>
        <w:rPr>
          <w:rFonts w:ascii="Palatino Linotype" w:eastAsia="Palatino Linotype" w:hAnsi="Palatino Linotype" w:cs="Palatino Linotype"/>
          <w:sz w:val="22"/>
          <w:szCs w:val="22"/>
        </w:rPr>
      </w:pPr>
    </w:p>
    <w:p w14:paraId="39373063" w14:textId="77777777" w:rsidR="009677CC" w:rsidRPr="00BD7A62" w:rsidRDefault="00F22DA1">
      <w:pPr>
        <w:pStyle w:val="Ttulo1"/>
        <w:spacing w:before="0" w:line="360" w:lineRule="auto"/>
        <w:jc w:val="center"/>
        <w:rPr>
          <w:rFonts w:ascii="Palatino Linotype" w:eastAsia="Palatino Linotype" w:hAnsi="Palatino Linotype" w:cs="Palatino Linotype"/>
          <w:b/>
          <w:color w:val="000000"/>
          <w:sz w:val="22"/>
          <w:szCs w:val="22"/>
        </w:rPr>
      </w:pPr>
      <w:bookmarkStart w:id="0" w:name="_Toc196151069"/>
      <w:bookmarkStart w:id="1" w:name="_Toc196405796"/>
      <w:r w:rsidRPr="00BD7A62">
        <w:rPr>
          <w:rFonts w:ascii="Palatino Linotype" w:eastAsia="Palatino Linotype" w:hAnsi="Palatino Linotype" w:cs="Palatino Linotype"/>
          <w:b/>
          <w:color w:val="000000"/>
          <w:sz w:val="22"/>
          <w:szCs w:val="22"/>
        </w:rPr>
        <w:t>A N T E C E D E N T E S</w:t>
      </w:r>
      <w:bookmarkEnd w:id="0"/>
      <w:bookmarkEnd w:id="1"/>
    </w:p>
    <w:p w14:paraId="154809DA" w14:textId="77777777" w:rsidR="009677CC" w:rsidRPr="00BD7A62" w:rsidRDefault="009677CC">
      <w:pPr>
        <w:spacing w:line="360" w:lineRule="auto"/>
        <w:ind w:right="-93"/>
        <w:jc w:val="both"/>
        <w:rPr>
          <w:rFonts w:ascii="Palatino Linotype" w:eastAsia="Palatino Linotype" w:hAnsi="Palatino Linotype" w:cs="Palatino Linotype"/>
          <w:sz w:val="22"/>
          <w:szCs w:val="22"/>
        </w:rPr>
      </w:pPr>
    </w:p>
    <w:p w14:paraId="07AEB967" w14:textId="77777777" w:rsidR="009677CC" w:rsidRPr="00BD7A62" w:rsidRDefault="00F22DA1">
      <w:pPr>
        <w:pStyle w:val="Ttulo1"/>
        <w:spacing w:before="0" w:line="360" w:lineRule="auto"/>
        <w:rPr>
          <w:rFonts w:ascii="Palatino Linotype" w:eastAsia="Palatino Linotype" w:hAnsi="Palatino Linotype" w:cs="Palatino Linotype"/>
          <w:b/>
          <w:color w:val="000000"/>
          <w:sz w:val="22"/>
          <w:szCs w:val="22"/>
        </w:rPr>
      </w:pPr>
      <w:bookmarkStart w:id="2" w:name="_Toc196151070"/>
      <w:bookmarkStart w:id="3" w:name="_Toc196405797"/>
      <w:r w:rsidRPr="00BD7A62">
        <w:rPr>
          <w:rFonts w:ascii="Palatino Linotype" w:eastAsia="Palatino Linotype" w:hAnsi="Palatino Linotype" w:cs="Palatino Linotype"/>
          <w:b/>
          <w:color w:val="000000"/>
          <w:sz w:val="22"/>
          <w:szCs w:val="22"/>
        </w:rPr>
        <w:t>I. Presentación de la solicitud de información</w:t>
      </w:r>
      <w:bookmarkEnd w:id="2"/>
      <w:bookmarkEnd w:id="3"/>
    </w:p>
    <w:p w14:paraId="550B69A7" w14:textId="77777777" w:rsidR="009677CC" w:rsidRPr="00BD7A62" w:rsidRDefault="009677CC">
      <w:pPr>
        <w:tabs>
          <w:tab w:val="left" w:pos="567"/>
        </w:tabs>
        <w:spacing w:line="360" w:lineRule="auto"/>
        <w:jc w:val="both"/>
        <w:rPr>
          <w:rFonts w:ascii="Palatino Linotype" w:eastAsia="Palatino Linotype" w:hAnsi="Palatino Linotype" w:cs="Palatino Linotype"/>
          <w:sz w:val="22"/>
          <w:szCs w:val="22"/>
        </w:rPr>
      </w:pPr>
    </w:p>
    <w:p w14:paraId="31E0FF37" w14:textId="77777777"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En fecha trece de enero de dos mil veinticinco, se radicaron las solicitudes presentadas por la parte Solicitante, que ingresaron el día </w:t>
      </w:r>
      <w:r w:rsidRPr="00BD7A62">
        <w:rPr>
          <w:rFonts w:ascii="Palatino Linotype" w:eastAsia="Palatino Linotype" w:hAnsi="Palatino Linotype" w:cs="Palatino Linotype"/>
          <w:b/>
          <w:bCs/>
          <w:color w:val="000000"/>
          <w:sz w:val="22"/>
          <w:szCs w:val="22"/>
        </w:rPr>
        <w:t>ocho de enero del mismo año</w:t>
      </w:r>
      <w:r w:rsidRPr="00BD7A62">
        <w:rPr>
          <w:rFonts w:ascii="Palatino Linotype" w:eastAsia="Palatino Linotype" w:hAnsi="Palatino Linotype" w:cs="Palatino Linotype"/>
          <w:color w:val="000000"/>
          <w:sz w:val="22"/>
          <w:szCs w:val="22"/>
        </w:rPr>
        <w:t xml:space="preserve">, por tratarse del siguiente día hábil de conformidad con el calendario de este Instituto, a través del Sistema de Acceso a la Información Mexiquense, en lo sucesivo el SAIMEX, ante el Secretaría de Finanzas, mediante las que requirió lo siguiente: </w:t>
      </w:r>
    </w:p>
    <w:p w14:paraId="1FABA8C4" w14:textId="77777777" w:rsidR="009677CC" w:rsidRPr="00BD7A62" w:rsidRDefault="009677CC">
      <w:pPr>
        <w:spacing w:line="360" w:lineRule="auto"/>
        <w:ind w:right="567"/>
        <w:rPr>
          <w:rFonts w:ascii="Palatino Linotype" w:eastAsia="Palatino Linotype" w:hAnsi="Palatino Linotype" w:cs="Palatino Linotype"/>
          <w:b/>
          <w:sz w:val="22"/>
          <w:szCs w:val="22"/>
        </w:rPr>
      </w:pPr>
    </w:p>
    <w:p w14:paraId="17761B22" w14:textId="77777777" w:rsidR="009677CC" w:rsidRPr="00BD7A62" w:rsidRDefault="00F22DA1">
      <w:pPr>
        <w:tabs>
          <w:tab w:val="left" w:pos="567"/>
        </w:tabs>
        <w:spacing w:line="360" w:lineRule="auto"/>
        <w:ind w:left="567" w:right="539"/>
        <w:jc w:val="both"/>
        <w:rPr>
          <w:rFonts w:ascii="Palatino Linotype" w:eastAsia="Palatino Linotype" w:hAnsi="Palatino Linotype" w:cs="Palatino Linotype"/>
          <w:b/>
        </w:rPr>
      </w:pPr>
      <w:r w:rsidRPr="00BD7A62">
        <w:rPr>
          <w:rFonts w:ascii="Palatino Linotype" w:eastAsia="Palatino Linotype" w:hAnsi="Palatino Linotype" w:cs="Palatino Linotype"/>
          <w:b/>
        </w:rPr>
        <w:t>Folio de la solicitud: 00007/SF/IP/2025</w:t>
      </w:r>
    </w:p>
    <w:p w14:paraId="28FB961C" w14:textId="77777777" w:rsidR="009677CC" w:rsidRPr="00BD7A62" w:rsidRDefault="00F22DA1">
      <w:pPr>
        <w:tabs>
          <w:tab w:val="left" w:pos="567"/>
        </w:tabs>
        <w:spacing w:line="360" w:lineRule="auto"/>
        <w:ind w:left="567" w:right="539"/>
        <w:jc w:val="both"/>
        <w:rPr>
          <w:rFonts w:ascii="Palatino Linotype" w:eastAsia="Palatino Linotype" w:hAnsi="Palatino Linotype" w:cs="Palatino Linotype"/>
          <w:b/>
        </w:rPr>
      </w:pPr>
      <w:r w:rsidRPr="00BD7A62">
        <w:rPr>
          <w:rFonts w:ascii="Palatino Linotype" w:eastAsia="Palatino Linotype" w:hAnsi="Palatino Linotype" w:cs="Palatino Linotype"/>
          <w:b/>
        </w:rPr>
        <w:t>DESCRIPCIÓN CLARA Y PRECISA DE LA INFORMACIÓN SOLICITADA</w:t>
      </w:r>
    </w:p>
    <w:p w14:paraId="56BA70D5" w14:textId="68691982" w:rsidR="009677CC" w:rsidRPr="00BD7A62" w:rsidRDefault="00F22DA1">
      <w:pPr>
        <w:tabs>
          <w:tab w:val="left" w:pos="567"/>
        </w:tabs>
        <w:spacing w:line="360" w:lineRule="auto"/>
        <w:ind w:left="567" w:right="567"/>
        <w:jc w:val="both"/>
        <w:rPr>
          <w:rFonts w:ascii="Palatino Linotype" w:eastAsia="Palatino Linotype" w:hAnsi="Palatino Linotype" w:cs="Palatino Linotype"/>
          <w:i/>
        </w:rPr>
      </w:pPr>
      <w:r w:rsidRPr="00BD7A62">
        <w:rPr>
          <w:rFonts w:ascii="Palatino Linotype" w:eastAsia="Palatino Linotype" w:hAnsi="Palatino Linotype" w:cs="Palatino Linotype"/>
          <w:i/>
        </w:rPr>
        <w:t xml:space="preserve">“En fecha 28/06/2016, se expidió la tarjeta de circulación de servicio particular en el GOBIERNO DEL ESTADO DE MEXICO a nombre de </w:t>
      </w:r>
      <w:r w:rsidR="00C53DBD" w:rsidRPr="00C53DBD">
        <w:rPr>
          <w:rFonts w:ascii="Palatino Linotype" w:eastAsia="Palatino Linotype" w:hAnsi="Palatino Linotype" w:cs="Palatino Linotype"/>
          <w:sz w:val="22"/>
          <w:szCs w:val="22"/>
          <w:highlight w:val="black"/>
        </w:rPr>
        <w:t>XXXXXXXXXXXXXXX</w:t>
      </w:r>
      <w:r w:rsidR="00C53DBD">
        <w:rPr>
          <w:rFonts w:ascii="Palatino Linotype" w:eastAsia="Palatino Linotype" w:hAnsi="Palatino Linotype" w:cs="Palatino Linotype"/>
          <w:sz w:val="22"/>
          <w:szCs w:val="22"/>
          <w:highlight w:val="black"/>
        </w:rPr>
        <w:t>XXXX</w:t>
      </w:r>
      <w:bookmarkStart w:id="4" w:name="_GoBack"/>
      <w:bookmarkEnd w:id="4"/>
      <w:r w:rsidR="00C53DBD" w:rsidRPr="00C53DBD">
        <w:rPr>
          <w:rFonts w:ascii="Palatino Linotype" w:eastAsia="Palatino Linotype" w:hAnsi="Palatino Linotype" w:cs="Palatino Linotype"/>
          <w:sz w:val="22"/>
          <w:szCs w:val="22"/>
          <w:highlight w:val="black"/>
        </w:rPr>
        <w:t>XX</w:t>
      </w:r>
      <w:r w:rsidRPr="00BD7A62">
        <w:rPr>
          <w:rFonts w:ascii="Palatino Linotype" w:eastAsia="Palatino Linotype" w:hAnsi="Palatino Linotype" w:cs="Palatino Linotype"/>
          <w:i/>
        </w:rPr>
        <w:t xml:space="preserve">, con FOLIO (…), oficina </w:t>
      </w:r>
      <w:proofErr w:type="spellStart"/>
      <w:r w:rsidRPr="00BD7A62">
        <w:rPr>
          <w:rFonts w:ascii="Palatino Linotype" w:eastAsia="Palatino Linotype" w:hAnsi="Palatino Linotype" w:cs="Palatino Linotype"/>
          <w:i/>
        </w:rPr>
        <w:t>exp</w:t>
      </w:r>
      <w:proofErr w:type="spellEnd"/>
      <w:r w:rsidRPr="00BD7A62">
        <w:rPr>
          <w:rFonts w:ascii="Palatino Linotype" w:eastAsia="Palatino Linotype" w:hAnsi="Palatino Linotype" w:cs="Palatino Linotype"/>
          <w:i/>
        </w:rPr>
        <w:t>. 1911, del vehículo (…), marca (…), modelo (…), (…), MOTOR (…), PLACAS (…)</w:t>
      </w:r>
      <w:r w:rsidR="00FF782A" w:rsidRPr="00BD7A62">
        <w:rPr>
          <w:rFonts w:ascii="Palatino Linotype" w:eastAsia="Palatino Linotype" w:hAnsi="Palatino Linotype" w:cs="Palatino Linotype"/>
          <w:i/>
        </w:rPr>
        <w:t xml:space="preserve"> </w:t>
      </w:r>
      <w:r w:rsidRPr="00BD7A62">
        <w:rPr>
          <w:rFonts w:ascii="Palatino Linotype" w:eastAsia="Palatino Linotype" w:hAnsi="Palatino Linotype" w:cs="Palatino Linotype"/>
          <w:i/>
        </w:rPr>
        <w:t xml:space="preserve">9582, firmado por el SECRETARIO DE FINANZAS JOAQUIN CASTILLO TORRES. </w:t>
      </w:r>
      <w:r w:rsidRPr="00BD7A62">
        <w:rPr>
          <w:rFonts w:ascii="Palatino Linotype" w:eastAsia="Palatino Linotype" w:hAnsi="Palatino Linotype" w:cs="Palatino Linotype"/>
          <w:i/>
        </w:rPr>
        <w:lastRenderedPageBreak/>
        <w:t xml:space="preserve">MOTIVO de la tarjeta por cambio de propietario ANTERIOR </w:t>
      </w:r>
      <w:r w:rsidR="00FF782A" w:rsidRPr="00BD7A62">
        <w:rPr>
          <w:rFonts w:ascii="Palatino Linotype" w:eastAsia="Palatino Linotype" w:hAnsi="Palatino Linotype" w:cs="Palatino Linotype"/>
          <w:i/>
        </w:rPr>
        <w:t>(…)</w:t>
      </w:r>
      <w:r w:rsidRPr="00BD7A62">
        <w:rPr>
          <w:rFonts w:ascii="Palatino Linotype" w:eastAsia="Palatino Linotype" w:hAnsi="Palatino Linotype" w:cs="Palatino Linotype"/>
          <w:i/>
        </w:rPr>
        <w:t xml:space="preserve"> Y PLACAS ANTERIORES (…)</w:t>
      </w:r>
      <w:r w:rsidR="00FF782A" w:rsidRPr="00BD7A62">
        <w:rPr>
          <w:rFonts w:ascii="Palatino Linotype" w:eastAsia="Palatino Linotype" w:hAnsi="Palatino Linotype" w:cs="Palatino Linotype"/>
          <w:i/>
        </w:rPr>
        <w:t xml:space="preserve"> </w:t>
      </w:r>
      <w:r w:rsidRPr="00BD7A62">
        <w:rPr>
          <w:rFonts w:ascii="Palatino Linotype" w:eastAsia="Palatino Linotype" w:hAnsi="Palatino Linotype" w:cs="Palatino Linotype"/>
          <w:i/>
        </w:rPr>
        <w:t xml:space="preserve">5401. POR LO QUE SOLICITO </w:t>
      </w:r>
      <w:r w:rsidRPr="00BD7A62">
        <w:rPr>
          <w:rFonts w:ascii="Palatino Linotype" w:eastAsia="Palatino Linotype" w:hAnsi="Palatino Linotype" w:cs="Palatino Linotype"/>
          <w:b/>
          <w:i/>
        </w:rPr>
        <w:t>COPIA CERTIFICADA DEL DOCUMENTO QUE AMPARA EL TRAMITE DE BAJA DE LAS PLACAS (…)</w:t>
      </w:r>
      <w:r w:rsidR="00FF782A" w:rsidRPr="00BD7A62">
        <w:rPr>
          <w:rFonts w:ascii="Palatino Linotype" w:eastAsia="Palatino Linotype" w:hAnsi="Palatino Linotype" w:cs="Palatino Linotype"/>
          <w:b/>
          <w:i/>
        </w:rPr>
        <w:t xml:space="preserve"> </w:t>
      </w:r>
      <w:r w:rsidRPr="00BD7A62">
        <w:rPr>
          <w:rFonts w:ascii="Palatino Linotype" w:eastAsia="Palatino Linotype" w:hAnsi="Palatino Linotype" w:cs="Palatino Linotype"/>
          <w:b/>
          <w:i/>
        </w:rPr>
        <w:t>5401 Y ADEMAS COPIAS DE LA BAJA DE LAS PLACAS (…)</w:t>
      </w:r>
      <w:r w:rsidR="00FF782A" w:rsidRPr="00BD7A62">
        <w:rPr>
          <w:rFonts w:ascii="Palatino Linotype" w:eastAsia="Palatino Linotype" w:hAnsi="Palatino Linotype" w:cs="Palatino Linotype"/>
          <w:b/>
          <w:i/>
        </w:rPr>
        <w:t xml:space="preserve"> </w:t>
      </w:r>
      <w:r w:rsidRPr="00BD7A62">
        <w:rPr>
          <w:rFonts w:ascii="Palatino Linotype" w:eastAsia="Palatino Linotype" w:hAnsi="Palatino Linotype" w:cs="Palatino Linotype"/>
          <w:b/>
          <w:i/>
        </w:rPr>
        <w:t>9582.</w:t>
      </w:r>
      <w:r w:rsidRPr="00BD7A62">
        <w:rPr>
          <w:rFonts w:ascii="Palatino Linotype" w:eastAsia="Palatino Linotype" w:hAnsi="Palatino Linotype" w:cs="Palatino Linotype"/>
          <w:i/>
        </w:rPr>
        <w:t>” (</w:t>
      </w:r>
      <w:r w:rsidR="001C1E07" w:rsidRPr="00BD7A62">
        <w:rPr>
          <w:rFonts w:ascii="Palatino Linotype" w:eastAsia="Palatino Linotype" w:hAnsi="Palatino Linotype" w:cs="Palatino Linotype"/>
          <w:i/>
        </w:rPr>
        <w:t>S</w:t>
      </w:r>
      <w:r w:rsidRPr="00BD7A62">
        <w:rPr>
          <w:rFonts w:ascii="Palatino Linotype" w:eastAsia="Palatino Linotype" w:hAnsi="Palatino Linotype" w:cs="Palatino Linotype"/>
          <w:i/>
        </w:rPr>
        <w:t>ic)</w:t>
      </w:r>
      <w:r w:rsidR="001C1E07" w:rsidRPr="00BD7A62">
        <w:rPr>
          <w:rFonts w:ascii="Palatino Linotype" w:eastAsia="Palatino Linotype" w:hAnsi="Palatino Linotype" w:cs="Palatino Linotype"/>
          <w:i/>
        </w:rPr>
        <w:t>.</w:t>
      </w:r>
    </w:p>
    <w:p w14:paraId="49879237" w14:textId="3361171D" w:rsidR="009677CC" w:rsidRPr="00BD7A62" w:rsidRDefault="00F22DA1">
      <w:pPr>
        <w:tabs>
          <w:tab w:val="left" w:pos="567"/>
        </w:tabs>
        <w:spacing w:line="360" w:lineRule="auto"/>
        <w:ind w:left="567" w:right="567"/>
        <w:rPr>
          <w:rFonts w:ascii="Palatino Linotype" w:eastAsia="Palatino Linotype" w:hAnsi="Palatino Linotype" w:cs="Palatino Linotype"/>
          <w:i/>
        </w:rPr>
      </w:pPr>
      <w:r w:rsidRPr="00BD7A62">
        <w:rPr>
          <w:rFonts w:ascii="Palatino Linotype" w:eastAsia="Palatino Linotype" w:hAnsi="Palatino Linotype" w:cs="Palatino Linotype"/>
          <w:i/>
        </w:rPr>
        <w:t>(Énfasis añadido)</w:t>
      </w:r>
      <w:r w:rsidR="001C1E07" w:rsidRPr="00BD7A62">
        <w:rPr>
          <w:rFonts w:ascii="Palatino Linotype" w:eastAsia="Palatino Linotype" w:hAnsi="Palatino Linotype" w:cs="Palatino Linotype"/>
          <w:i/>
        </w:rPr>
        <w:t>.</w:t>
      </w:r>
    </w:p>
    <w:p w14:paraId="710124F7" w14:textId="77777777" w:rsidR="009677CC" w:rsidRPr="00BD7A62" w:rsidRDefault="009677CC">
      <w:pPr>
        <w:tabs>
          <w:tab w:val="left" w:pos="567"/>
        </w:tabs>
        <w:spacing w:line="360" w:lineRule="auto"/>
        <w:ind w:left="567" w:right="567"/>
        <w:rPr>
          <w:rFonts w:ascii="Palatino Linotype" w:eastAsia="Palatino Linotype" w:hAnsi="Palatino Linotype" w:cs="Palatino Linotype"/>
          <w:i/>
        </w:rPr>
      </w:pPr>
    </w:p>
    <w:p w14:paraId="53F40187" w14:textId="21D36AA3" w:rsidR="009677CC" w:rsidRPr="00BD7A62" w:rsidRDefault="00F22DA1">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sidRPr="00BD7A62">
        <w:rPr>
          <w:rFonts w:ascii="Palatino Linotype" w:eastAsia="Palatino Linotype" w:hAnsi="Palatino Linotype" w:cs="Palatino Linotype"/>
          <w:b/>
          <w:color w:val="000000"/>
        </w:rPr>
        <w:t xml:space="preserve">MODALIDAD DE ENTREGA </w:t>
      </w:r>
      <w:r w:rsidRPr="00BD7A62">
        <w:rPr>
          <w:rFonts w:ascii="Palatino Linotype" w:eastAsia="Palatino Linotype" w:hAnsi="Palatino Linotype" w:cs="Palatino Linotype"/>
          <w:i/>
          <w:color w:val="000000"/>
        </w:rPr>
        <w:t>“Copias Certificadas</w:t>
      </w:r>
      <w:r w:rsidR="00FF782A" w:rsidRPr="00BD7A62">
        <w:rPr>
          <w:rFonts w:ascii="Palatino Linotype" w:eastAsia="Palatino Linotype" w:hAnsi="Palatino Linotype" w:cs="Palatino Linotype"/>
          <w:i/>
          <w:color w:val="000000"/>
        </w:rPr>
        <w:t xml:space="preserve"> </w:t>
      </w:r>
      <w:r w:rsidRPr="00BD7A62">
        <w:rPr>
          <w:rFonts w:ascii="Palatino Linotype" w:eastAsia="Palatino Linotype" w:hAnsi="Palatino Linotype" w:cs="Palatino Linotype"/>
          <w:i/>
          <w:color w:val="000000"/>
        </w:rPr>
        <w:t>(con costo)”</w:t>
      </w:r>
    </w:p>
    <w:p w14:paraId="52EB842A" w14:textId="77777777" w:rsidR="009677CC" w:rsidRPr="00BD7A62" w:rsidRDefault="009677CC">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14:paraId="303A1D38" w14:textId="77777777" w:rsidR="009677CC" w:rsidRPr="00BD7A62" w:rsidRDefault="00F22DA1">
      <w:pPr>
        <w:pStyle w:val="Ttulo2"/>
        <w:spacing w:before="0" w:after="0" w:line="360" w:lineRule="auto"/>
        <w:rPr>
          <w:rFonts w:ascii="Palatino Linotype" w:eastAsia="Palatino Linotype" w:hAnsi="Palatino Linotype" w:cs="Palatino Linotype"/>
          <w:b w:val="0"/>
          <w:color w:val="000000"/>
          <w:sz w:val="22"/>
          <w:szCs w:val="22"/>
        </w:rPr>
      </w:pPr>
      <w:bookmarkStart w:id="5" w:name="_Toc196151071"/>
      <w:bookmarkStart w:id="6" w:name="_Toc196405798"/>
      <w:r w:rsidRPr="00BD7A62">
        <w:rPr>
          <w:rFonts w:ascii="Palatino Linotype" w:eastAsia="Palatino Linotype" w:hAnsi="Palatino Linotype" w:cs="Palatino Linotype"/>
          <w:color w:val="000000"/>
          <w:sz w:val="22"/>
          <w:szCs w:val="22"/>
        </w:rPr>
        <w:t>II. Respuesta del Sujeto Obligado</w:t>
      </w:r>
      <w:bookmarkEnd w:id="5"/>
      <w:bookmarkEnd w:id="6"/>
    </w:p>
    <w:p w14:paraId="407FBEA4" w14:textId="77777777" w:rsidR="009677CC" w:rsidRPr="00BD7A62" w:rsidRDefault="009677CC">
      <w:pPr>
        <w:spacing w:line="360" w:lineRule="auto"/>
        <w:jc w:val="both"/>
        <w:rPr>
          <w:rFonts w:ascii="Palatino Linotype" w:eastAsia="Palatino Linotype" w:hAnsi="Palatino Linotype" w:cs="Palatino Linotype"/>
          <w:b/>
          <w:color w:val="000000"/>
          <w:sz w:val="22"/>
          <w:szCs w:val="22"/>
        </w:rPr>
      </w:pPr>
    </w:p>
    <w:p w14:paraId="7FC1767C" w14:textId="77777777" w:rsidR="009677CC" w:rsidRPr="00BD7A62" w:rsidRDefault="00F22DA1">
      <w:pPr>
        <w:tabs>
          <w:tab w:val="left" w:pos="567"/>
        </w:tabs>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En fecha cuatro de febrero de dos mil veinticinco, el Sujeto Obligado notificó la respuesta a la solicitud de acceso a la información, a través del SAIMEX, en los siguientes términos:</w:t>
      </w:r>
    </w:p>
    <w:p w14:paraId="3BEB7C3E" w14:textId="77777777" w:rsidR="009677CC" w:rsidRPr="00BD7A62" w:rsidRDefault="009677CC">
      <w:pPr>
        <w:tabs>
          <w:tab w:val="left" w:pos="567"/>
        </w:tabs>
        <w:spacing w:line="360" w:lineRule="auto"/>
        <w:jc w:val="both"/>
        <w:rPr>
          <w:rFonts w:ascii="Palatino Linotype" w:eastAsia="Palatino Linotype" w:hAnsi="Palatino Linotype" w:cs="Palatino Linotype"/>
          <w:b/>
          <w:i/>
          <w:sz w:val="22"/>
          <w:szCs w:val="22"/>
        </w:rPr>
      </w:pPr>
    </w:p>
    <w:p w14:paraId="540A207A" w14:textId="49126C3F" w:rsidR="009677CC" w:rsidRPr="00BD7A62" w:rsidRDefault="00F22DA1">
      <w:pPr>
        <w:tabs>
          <w:tab w:val="left" w:pos="567"/>
        </w:tabs>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b/>
          <w:i/>
          <w:sz w:val="22"/>
          <w:szCs w:val="22"/>
        </w:rPr>
        <w:t>-007 RECAUDACIÓN.pdf</w:t>
      </w:r>
      <w:r w:rsidR="00FF782A" w:rsidRPr="00BD7A62">
        <w:rPr>
          <w:rFonts w:ascii="Palatino Linotype" w:eastAsia="Palatino Linotype" w:hAnsi="Palatino Linotype" w:cs="Palatino Linotype"/>
          <w:b/>
          <w:i/>
          <w:sz w:val="22"/>
          <w:szCs w:val="22"/>
        </w:rPr>
        <w:t xml:space="preserve">: </w:t>
      </w:r>
      <w:r w:rsidR="00FF782A" w:rsidRPr="00BD7A62">
        <w:rPr>
          <w:rFonts w:ascii="Palatino Linotype" w:eastAsia="Palatino Linotype" w:hAnsi="Palatino Linotype" w:cs="Palatino Linotype"/>
          <w:i/>
          <w:sz w:val="22"/>
          <w:szCs w:val="22"/>
        </w:rPr>
        <w:t>Del</w:t>
      </w:r>
      <w:r w:rsidRPr="00BD7A62">
        <w:rPr>
          <w:rFonts w:ascii="Palatino Linotype" w:eastAsia="Palatino Linotype" w:hAnsi="Palatino Linotype" w:cs="Palatino Linotype"/>
          <w:sz w:val="22"/>
          <w:szCs w:val="22"/>
        </w:rPr>
        <w:t xml:space="preserve"> que se desprenden los siguientes:</w:t>
      </w:r>
    </w:p>
    <w:p w14:paraId="238CCCE0" w14:textId="77777777" w:rsidR="009677CC" w:rsidRPr="00BD7A62" w:rsidRDefault="00F22DA1">
      <w:pPr>
        <w:numPr>
          <w:ilvl w:val="0"/>
          <w:numId w:val="1"/>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Oficio suscrito por la Subdirectora de Normas y Procedimientos y servidora pública habilitada suplente de la Dirección General de Recaudación, en el que remitió al Encargado de la Unidad de Información, Planeación, Programación y Evaluación un oficio emitido por la Dirección del Registro Estatal de Vehículos y solicitó que se sometiera a consideración del Comité de Transparencia la clasificación como información confidencial todos los documentos relacionados con las bajas de los vehículos señalados en la solicitud.</w:t>
      </w:r>
    </w:p>
    <w:p w14:paraId="6B9C7E12" w14:textId="126CC6EA" w:rsidR="009677CC" w:rsidRPr="00BD7A62" w:rsidRDefault="00F22DA1">
      <w:pPr>
        <w:numPr>
          <w:ilvl w:val="0"/>
          <w:numId w:val="1"/>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Oficio suscrito por la Directora del Registro Estatal de Vehículos, dirigido al Director Jurídico Consultivo y </w:t>
      </w:r>
      <w:r w:rsidR="001C1E07" w:rsidRPr="00BD7A62">
        <w:rPr>
          <w:rFonts w:ascii="Palatino Linotype" w:eastAsia="Palatino Linotype" w:hAnsi="Palatino Linotype" w:cs="Palatino Linotype"/>
          <w:color w:val="000000"/>
          <w:sz w:val="22"/>
          <w:szCs w:val="22"/>
        </w:rPr>
        <w:t xml:space="preserve">Servidor Público Habilitado </w:t>
      </w:r>
      <w:r w:rsidRPr="00BD7A62">
        <w:rPr>
          <w:rFonts w:ascii="Palatino Linotype" w:eastAsia="Palatino Linotype" w:hAnsi="Palatino Linotype" w:cs="Palatino Linotype"/>
          <w:color w:val="000000"/>
          <w:sz w:val="22"/>
          <w:szCs w:val="22"/>
        </w:rPr>
        <w:t>de la Dirección General de Recaudación, en el que medularmente señaló que la información solicitada debe clasificarse como confidencial por actualizar el supuesto previsto en el artículo 143</w:t>
      </w:r>
      <w:r w:rsidR="001C1E07" w:rsidRPr="00BD7A62">
        <w:rPr>
          <w:rFonts w:ascii="Palatino Linotype" w:eastAsia="Palatino Linotype" w:hAnsi="Palatino Linotype" w:cs="Palatino Linotype"/>
          <w:color w:val="000000"/>
          <w:sz w:val="22"/>
          <w:szCs w:val="22"/>
        </w:rPr>
        <w:t>,</w:t>
      </w:r>
      <w:r w:rsidRPr="00BD7A62">
        <w:rPr>
          <w:rFonts w:ascii="Palatino Linotype" w:eastAsia="Palatino Linotype" w:hAnsi="Palatino Linotype" w:cs="Palatino Linotype"/>
          <w:color w:val="000000"/>
          <w:sz w:val="22"/>
          <w:szCs w:val="22"/>
        </w:rPr>
        <w:t xml:space="preserve"> fracciones I y III de la Ley de la materia, también señaló que se relaciona con un </w:t>
      </w:r>
      <w:r w:rsidRPr="00BD7A62">
        <w:rPr>
          <w:rFonts w:ascii="Palatino Linotype" w:eastAsia="Palatino Linotype" w:hAnsi="Palatino Linotype" w:cs="Palatino Linotype"/>
          <w:sz w:val="22"/>
          <w:szCs w:val="22"/>
        </w:rPr>
        <w:t>trámite</w:t>
      </w:r>
      <w:r w:rsidRPr="00BD7A62">
        <w:rPr>
          <w:rFonts w:ascii="Palatino Linotype" w:eastAsia="Palatino Linotype" w:hAnsi="Palatino Linotype" w:cs="Palatino Linotype"/>
          <w:color w:val="000000"/>
          <w:sz w:val="22"/>
          <w:szCs w:val="22"/>
        </w:rPr>
        <w:t xml:space="preserve"> </w:t>
      </w:r>
      <w:r w:rsidRPr="00BD7A62">
        <w:rPr>
          <w:rFonts w:ascii="Palatino Linotype" w:eastAsia="Palatino Linotype" w:hAnsi="Palatino Linotype" w:cs="Palatino Linotype"/>
          <w:color w:val="000000"/>
          <w:sz w:val="22"/>
          <w:szCs w:val="22"/>
        </w:rPr>
        <w:lastRenderedPageBreak/>
        <w:t>en el que el titular del vehículo inscribió o actualizó los dato en el padrón vehicular de la entidad.</w:t>
      </w:r>
    </w:p>
    <w:p w14:paraId="6D9D6A6D" w14:textId="77777777" w:rsidR="009677CC" w:rsidRPr="00BD7A62" w:rsidRDefault="009677CC">
      <w:pPr>
        <w:pBdr>
          <w:top w:val="nil"/>
          <w:left w:val="nil"/>
          <w:bottom w:val="nil"/>
          <w:right w:val="nil"/>
          <w:between w:val="nil"/>
        </w:pBdr>
        <w:tabs>
          <w:tab w:val="left" w:pos="567"/>
        </w:tabs>
        <w:spacing w:line="360" w:lineRule="auto"/>
        <w:ind w:left="720"/>
        <w:jc w:val="both"/>
        <w:rPr>
          <w:rFonts w:ascii="Palatino Linotype" w:eastAsia="Palatino Linotype" w:hAnsi="Palatino Linotype" w:cs="Palatino Linotype"/>
          <w:color w:val="000000"/>
          <w:sz w:val="22"/>
          <w:szCs w:val="22"/>
        </w:rPr>
      </w:pPr>
    </w:p>
    <w:p w14:paraId="4B08DB65" w14:textId="137481B8" w:rsidR="009677CC" w:rsidRPr="00BD7A62" w:rsidRDefault="00F22DA1">
      <w:pPr>
        <w:pBdr>
          <w:top w:val="nil"/>
          <w:left w:val="nil"/>
          <w:bottom w:val="nil"/>
          <w:right w:val="nil"/>
          <w:between w:val="nil"/>
        </w:pBdr>
        <w:tabs>
          <w:tab w:val="left" w:pos="567"/>
        </w:tabs>
        <w:spacing w:line="360" w:lineRule="auto"/>
        <w:ind w:left="720"/>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Además, dijo que, lo solicitado puede relacionarse con datos personales y enunció y argumentó la clasificación de la factura de origen o documento que acredite propiedad del vehículo, importe de factura, código bidimensional (QR), código de barras, </w:t>
      </w:r>
      <w:r w:rsidR="001C1E07" w:rsidRPr="00BD7A62">
        <w:rPr>
          <w:rFonts w:ascii="Palatino Linotype" w:eastAsia="Palatino Linotype" w:hAnsi="Palatino Linotype" w:cs="Palatino Linotype"/>
          <w:color w:val="000000"/>
          <w:sz w:val="22"/>
          <w:szCs w:val="22"/>
        </w:rPr>
        <w:t>número</w:t>
      </w:r>
      <w:r w:rsidRPr="00BD7A62">
        <w:rPr>
          <w:rFonts w:ascii="Palatino Linotype" w:eastAsia="Palatino Linotype" w:hAnsi="Palatino Linotype" w:cs="Palatino Linotype"/>
          <w:color w:val="000000"/>
          <w:sz w:val="22"/>
          <w:szCs w:val="22"/>
        </w:rPr>
        <w:t xml:space="preserve"> de identificación vehicular, placa de circulación, tarjeta de circulación, numero de motor, domicilio particular, nombre de propietario del vehículo, CURP, RFC, edad, sexo, fecha de nacimiento, lugar de nacimiento y firma. </w:t>
      </w:r>
    </w:p>
    <w:p w14:paraId="2DD59F03" w14:textId="77777777" w:rsidR="009677CC" w:rsidRPr="00BD7A62" w:rsidRDefault="009677CC">
      <w:pPr>
        <w:pBdr>
          <w:top w:val="nil"/>
          <w:left w:val="nil"/>
          <w:bottom w:val="nil"/>
          <w:right w:val="nil"/>
          <w:between w:val="nil"/>
        </w:pBdr>
        <w:tabs>
          <w:tab w:val="left" w:pos="567"/>
        </w:tabs>
        <w:spacing w:line="360" w:lineRule="auto"/>
        <w:ind w:left="720"/>
        <w:jc w:val="both"/>
        <w:rPr>
          <w:rFonts w:ascii="Palatino Linotype" w:eastAsia="Palatino Linotype" w:hAnsi="Palatino Linotype" w:cs="Palatino Linotype"/>
          <w:color w:val="000000"/>
          <w:sz w:val="22"/>
          <w:szCs w:val="22"/>
        </w:rPr>
      </w:pPr>
    </w:p>
    <w:p w14:paraId="77421073" w14:textId="77777777" w:rsidR="009677CC" w:rsidRPr="00BD7A62" w:rsidRDefault="00F22DA1">
      <w:pPr>
        <w:pBdr>
          <w:top w:val="nil"/>
          <w:left w:val="nil"/>
          <w:bottom w:val="nil"/>
          <w:right w:val="nil"/>
          <w:between w:val="nil"/>
        </w:pBdr>
        <w:tabs>
          <w:tab w:val="left" w:pos="567"/>
        </w:tabs>
        <w:spacing w:line="360" w:lineRule="auto"/>
        <w:ind w:left="720"/>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Por último, señaló que, en caso de que la persona Solicitante sea el titular de la información, podría acudir a las oficinas de la Dirección de Registro Estatal de Vehículos y que previa acreditación de su personalidad e interés jurídico, se le entregaría la información. </w:t>
      </w:r>
    </w:p>
    <w:p w14:paraId="3C7E0E3A" w14:textId="77777777" w:rsidR="009677CC" w:rsidRPr="00BD7A62" w:rsidRDefault="009677CC">
      <w:pPr>
        <w:pBdr>
          <w:top w:val="nil"/>
          <w:left w:val="nil"/>
          <w:bottom w:val="nil"/>
          <w:right w:val="nil"/>
          <w:between w:val="nil"/>
        </w:pBdr>
        <w:tabs>
          <w:tab w:val="left" w:pos="567"/>
        </w:tabs>
        <w:spacing w:line="360" w:lineRule="auto"/>
        <w:ind w:left="720"/>
        <w:jc w:val="both"/>
        <w:rPr>
          <w:rFonts w:ascii="Palatino Linotype" w:eastAsia="Palatino Linotype" w:hAnsi="Palatino Linotype" w:cs="Palatino Linotype"/>
          <w:color w:val="000000"/>
          <w:sz w:val="22"/>
          <w:szCs w:val="22"/>
        </w:rPr>
      </w:pPr>
    </w:p>
    <w:p w14:paraId="4AF4AA0D" w14:textId="77777777" w:rsidR="009677CC" w:rsidRPr="00BD7A62" w:rsidRDefault="00F22DA1">
      <w:pPr>
        <w:tabs>
          <w:tab w:val="left" w:pos="567"/>
        </w:tabs>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b/>
          <w:i/>
          <w:sz w:val="22"/>
          <w:szCs w:val="22"/>
        </w:rPr>
        <w:t xml:space="preserve">-CT-2025-010.pdf: </w:t>
      </w:r>
      <w:r w:rsidRPr="00BD7A62">
        <w:rPr>
          <w:rFonts w:ascii="Palatino Linotype" w:eastAsia="Palatino Linotype" w:hAnsi="Palatino Linotype" w:cs="Palatino Linotype"/>
          <w:i/>
          <w:sz w:val="22"/>
          <w:szCs w:val="22"/>
        </w:rPr>
        <w:t xml:space="preserve"> </w:t>
      </w:r>
      <w:r w:rsidRPr="00BD7A62">
        <w:rPr>
          <w:rFonts w:ascii="Palatino Linotype" w:eastAsia="Palatino Linotype" w:hAnsi="Palatino Linotype" w:cs="Palatino Linotype"/>
          <w:sz w:val="22"/>
          <w:szCs w:val="22"/>
        </w:rPr>
        <w:t>del que se advierte la resolución emitida por el Comité de Transparencia del Sujeto Obligado, en el que se confirmó la clasificación como confidencial de los documentos relativos al trámite de baja de los vehículos referidos en la solicitud de información que nos ocupa.</w:t>
      </w:r>
    </w:p>
    <w:p w14:paraId="272C8C8A" w14:textId="77777777" w:rsidR="009677CC" w:rsidRPr="00BD7A62" w:rsidRDefault="009677CC">
      <w:pPr>
        <w:tabs>
          <w:tab w:val="left" w:pos="567"/>
        </w:tabs>
        <w:spacing w:line="360" w:lineRule="auto"/>
        <w:jc w:val="both"/>
        <w:rPr>
          <w:rFonts w:ascii="Palatino Linotype" w:eastAsia="Palatino Linotype" w:hAnsi="Palatino Linotype" w:cs="Palatino Linotype"/>
          <w:sz w:val="22"/>
          <w:szCs w:val="22"/>
        </w:rPr>
      </w:pPr>
    </w:p>
    <w:p w14:paraId="73185F79" w14:textId="77777777" w:rsidR="009677CC" w:rsidRPr="00BD7A62" w:rsidRDefault="00F22DA1">
      <w:pPr>
        <w:tabs>
          <w:tab w:val="left" w:pos="567"/>
        </w:tabs>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b/>
          <w:i/>
          <w:sz w:val="22"/>
          <w:szCs w:val="22"/>
        </w:rPr>
        <w:t>-007 SOLICITANTE .</w:t>
      </w:r>
      <w:proofErr w:type="spellStart"/>
      <w:r w:rsidRPr="00BD7A62">
        <w:rPr>
          <w:rFonts w:ascii="Palatino Linotype" w:eastAsia="Palatino Linotype" w:hAnsi="Palatino Linotype" w:cs="Palatino Linotype"/>
          <w:b/>
          <w:i/>
          <w:sz w:val="22"/>
          <w:szCs w:val="22"/>
        </w:rPr>
        <w:t>pdf</w:t>
      </w:r>
      <w:proofErr w:type="spellEnd"/>
      <w:r w:rsidRPr="00BD7A62">
        <w:rPr>
          <w:rFonts w:ascii="Palatino Linotype" w:eastAsia="Palatino Linotype" w:hAnsi="Palatino Linotype" w:cs="Palatino Linotype"/>
          <w:b/>
          <w:i/>
          <w:sz w:val="22"/>
          <w:szCs w:val="22"/>
        </w:rPr>
        <w:t>:</w:t>
      </w:r>
      <w:r w:rsidRPr="00BD7A62">
        <w:rPr>
          <w:rFonts w:ascii="Palatino Linotype" w:eastAsia="Palatino Linotype" w:hAnsi="Palatino Linotype" w:cs="Palatino Linotype"/>
          <w:b/>
          <w:sz w:val="22"/>
          <w:szCs w:val="22"/>
        </w:rPr>
        <w:t xml:space="preserve"> </w:t>
      </w:r>
      <w:r w:rsidRPr="00BD7A62">
        <w:rPr>
          <w:rFonts w:ascii="Palatino Linotype" w:eastAsia="Palatino Linotype" w:hAnsi="Palatino Linotype" w:cs="Palatino Linotype"/>
          <w:sz w:val="22"/>
          <w:szCs w:val="22"/>
        </w:rPr>
        <w:t xml:space="preserve">del que se desprende un oficio suscrito por el Encargado de la UIPPE del Sujeto Obligado, por el que dio respuesta conforme al oficio suscrito por la Dirección General de Recaudación. </w:t>
      </w:r>
    </w:p>
    <w:p w14:paraId="0913A0E4" w14:textId="77777777" w:rsidR="009677CC" w:rsidRPr="00BD7A62" w:rsidRDefault="009677CC">
      <w:pPr>
        <w:tabs>
          <w:tab w:val="left" w:pos="567"/>
        </w:tabs>
        <w:spacing w:line="360" w:lineRule="auto"/>
        <w:jc w:val="both"/>
        <w:rPr>
          <w:rFonts w:ascii="Palatino Linotype" w:eastAsia="Palatino Linotype" w:hAnsi="Palatino Linotype" w:cs="Palatino Linotype"/>
          <w:sz w:val="22"/>
          <w:szCs w:val="22"/>
        </w:rPr>
      </w:pPr>
    </w:p>
    <w:p w14:paraId="51100F16" w14:textId="77777777" w:rsidR="009677CC" w:rsidRPr="00BD7A62" w:rsidRDefault="00F22DA1">
      <w:pPr>
        <w:pStyle w:val="Ttulo2"/>
        <w:spacing w:before="0" w:after="0" w:line="360" w:lineRule="auto"/>
        <w:rPr>
          <w:rFonts w:ascii="Palatino Linotype" w:eastAsia="Palatino Linotype" w:hAnsi="Palatino Linotype" w:cs="Palatino Linotype"/>
          <w:b w:val="0"/>
          <w:color w:val="000000"/>
          <w:sz w:val="22"/>
          <w:szCs w:val="22"/>
        </w:rPr>
      </w:pPr>
      <w:bookmarkStart w:id="7" w:name="_Toc196151072"/>
      <w:bookmarkStart w:id="8" w:name="_Toc196405799"/>
      <w:r w:rsidRPr="00BD7A62">
        <w:rPr>
          <w:rFonts w:ascii="Palatino Linotype" w:eastAsia="Palatino Linotype" w:hAnsi="Palatino Linotype" w:cs="Palatino Linotype"/>
          <w:color w:val="000000"/>
          <w:sz w:val="22"/>
          <w:szCs w:val="22"/>
        </w:rPr>
        <w:t>III. Interposición del Recurso de Revisión</w:t>
      </w:r>
      <w:bookmarkEnd w:id="7"/>
      <w:bookmarkEnd w:id="8"/>
    </w:p>
    <w:p w14:paraId="701FAB09" w14:textId="77777777" w:rsidR="009677CC" w:rsidRPr="00BD7A62" w:rsidRDefault="009677CC">
      <w:pPr>
        <w:spacing w:line="360" w:lineRule="auto"/>
        <w:jc w:val="both"/>
        <w:rPr>
          <w:rFonts w:ascii="Palatino Linotype" w:eastAsia="Palatino Linotype" w:hAnsi="Palatino Linotype" w:cs="Palatino Linotype"/>
          <w:b/>
          <w:color w:val="000000"/>
          <w:sz w:val="22"/>
          <w:szCs w:val="22"/>
        </w:rPr>
      </w:pPr>
    </w:p>
    <w:p w14:paraId="09F175A1"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lastRenderedPageBreak/>
        <w:t>En fecha siete de febrero de dos mil veinticinco, se recibió en este Instituto, a través del SAIMEX, el Recurso de Revisión interpuesto por la parte Recurrente, en los siguientes términos:</w:t>
      </w:r>
    </w:p>
    <w:p w14:paraId="0F3A509F"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4B33A0E7" w14:textId="77777777" w:rsidR="009677CC" w:rsidRPr="00BD7A62" w:rsidRDefault="00F22DA1">
      <w:pPr>
        <w:spacing w:line="360" w:lineRule="auto"/>
        <w:ind w:left="567" w:right="537"/>
        <w:jc w:val="both"/>
        <w:rPr>
          <w:rFonts w:ascii="Palatino Linotype" w:eastAsia="Palatino Linotype" w:hAnsi="Palatino Linotype" w:cs="Palatino Linotype"/>
          <w:b/>
        </w:rPr>
      </w:pPr>
      <w:r w:rsidRPr="00BD7A62">
        <w:rPr>
          <w:rFonts w:ascii="Palatino Linotype" w:eastAsia="Palatino Linotype" w:hAnsi="Palatino Linotype" w:cs="Palatino Linotype"/>
          <w:b/>
        </w:rPr>
        <w:t>ACTO IMPUGNADO</w:t>
      </w:r>
      <w:r w:rsidRPr="00BD7A62">
        <w:rPr>
          <w:rFonts w:ascii="Palatino Linotype" w:eastAsia="Palatino Linotype" w:hAnsi="Palatino Linotype" w:cs="Palatino Linotype"/>
          <w:b/>
        </w:rPr>
        <w:tab/>
      </w:r>
    </w:p>
    <w:p w14:paraId="16B0A027" w14:textId="77777777" w:rsidR="009677CC" w:rsidRPr="00BD7A62" w:rsidRDefault="00F22DA1">
      <w:pPr>
        <w:spacing w:line="360" w:lineRule="auto"/>
        <w:ind w:left="567" w:right="537"/>
        <w:jc w:val="both"/>
        <w:rPr>
          <w:rFonts w:ascii="Palatino Linotype" w:eastAsia="Palatino Linotype" w:hAnsi="Palatino Linotype" w:cs="Palatino Linotype"/>
          <w:i/>
        </w:rPr>
      </w:pPr>
      <w:r w:rsidRPr="00BD7A62">
        <w:rPr>
          <w:rFonts w:ascii="Palatino Linotype" w:eastAsia="Palatino Linotype" w:hAnsi="Palatino Linotype" w:cs="Palatino Linotype"/>
          <w:i/>
        </w:rPr>
        <w:t>“Respuesta que presento la Dirección General de Recaudación como información confidencial y que fue confirmada por el comité de transparencia de la secretaria de finanzas CT 2025 010” (sic.)</w:t>
      </w:r>
    </w:p>
    <w:p w14:paraId="10FCB0AB" w14:textId="77777777" w:rsidR="009677CC" w:rsidRPr="00BD7A62" w:rsidRDefault="009677CC">
      <w:pPr>
        <w:spacing w:line="360" w:lineRule="auto"/>
        <w:ind w:left="567" w:right="537"/>
        <w:jc w:val="both"/>
        <w:rPr>
          <w:rFonts w:ascii="Palatino Linotype" w:eastAsia="Palatino Linotype" w:hAnsi="Palatino Linotype" w:cs="Palatino Linotype"/>
        </w:rPr>
      </w:pPr>
    </w:p>
    <w:p w14:paraId="491241F3" w14:textId="77777777" w:rsidR="009677CC" w:rsidRPr="00BD7A62" w:rsidRDefault="00F22DA1">
      <w:pPr>
        <w:spacing w:line="360" w:lineRule="auto"/>
        <w:ind w:left="567" w:right="537"/>
        <w:jc w:val="both"/>
        <w:rPr>
          <w:rFonts w:ascii="Palatino Linotype" w:eastAsia="Palatino Linotype" w:hAnsi="Palatino Linotype" w:cs="Palatino Linotype"/>
          <w:b/>
        </w:rPr>
      </w:pPr>
      <w:r w:rsidRPr="00BD7A62">
        <w:rPr>
          <w:rFonts w:ascii="Palatino Linotype" w:eastAsia="Palatino Linotype" w:hAnsi="Palatino Linotype" w:cs="Palatino Linotype"/>
          <w:b/>
        </w:rPr>
        <w:t>RAZONES O MOTIVOS DE LA INCONFORMIDAD</w:t>
      </w:r>
      <w:r w:rsidRPr="00BD7A62">
        <w:rPr>
          <w:rFonts w:ascii="Palatino Linotype" w:eastAsia="Palatino Linotype" w:hAnsi="Palatino Linotype" w:cs="Palatino Linotype"/>
          <w:b/>
        </w:rPr>
        <w:tab/>
      </w:r>
    </w:p>
    <w:p w14:paraId="5C78D919" w14:textId="77777777" w:rsidR="009677CC" w:rsidRPr="00BD7A62" w:rsidRDefault="00F22DA1">
      <w:pPr>
        <w:tabs>
          <w:tab w:val="left" w:pos="4667"/>
        </w:tabs>
        <w:spacing w:line="360" w:lineRule="auto"/>
        <w:ind w:left="567" w:right="537"/>
        <w:jc w:val="both"/>
        <w:rPr>
          <w:rFonts w:ascii="Palatino Linotype" w:eastAsia="Palatino Linotype" w:hAnsi="Palatino Linotype" w:cs="Palatino Linotype"/>
          <w:i/>
        </w:rPr>
      </w:pPr>
      <w:r w:rsidRPr="00BD7A62">
        <w:rPr>
          <w:rFonts w:ascii="Palatino Linotype" w:eastAsia="Palatino Linotype" w:hAnsi="Palatino Linotype" w:cs="Palatino Linotype"/>
          <w:i/>
        </w:rPr>
        <w:t>“A SOLICITUD REQUERIDA ES, EL DOCUMENTO QUE AMPARA EL TRAMITE DE BAJA DE LAS PLACAS (…</w:t>
      </w:r>
      <w:proofErr w:type="gramStart"/>
      <w:r w:rsidRPr="00BD7A62">
        <w:rPr>
          <w:rFonts w:ascii="Palatino Linotype" w:eastAsia="Palatino Linotype" w:hAnsi="Palatino Linotype" w:cs="Palatino Linotype"/>
          <w:i/>
        </w:rPr>
        <w:t>)5401</w:t>
      </w:r>
      <w:proofErr w:type="gramEnd"/>
      <w:r w:rsidRPr="00BD7A62">
        <w:rPr>
          <w:rFonts w:ascii="Palatino Linotype" w:eastAsia="Palatino Linotype" w:hAnsi="Palatino Linotype" w:cs="Palatino Linotype"/>
          <w:i/>
        </w:rPr>
        <w:t>. RELACIONADAS CON EL ALTA DE NUEVO PROPIETARIO, YA QUE EN SU MOMENTO SE ENTREGARON TODOS LOS DOCUEMTNOS NECESARIOS PARA DICHO TRAMITE. "</w:t>
      </w:r>
      <w:r w:rsidRPr="00BD7A62">
        <w:rPr>
          <w:rFonts w:ascii="Palatino Linotype" w:eastAsia="Palatino Linotype" w:hAnsi="Palatino Linotype" w:cs="Palatino Linotype"/>
          <w:b/>
          <w:i/>
        </w:rPr>
        <w:t>NO SE ESTA SOLICITADO LA DOCUMENTACION QUE SOPORTA EL TRAMITE FINAL</w:t>
      </w:r>
      <w:r w:rsidRPr="00BD7A62">
        <w:rPr>
          <w:rFonts w:ascii="Palatino Linotype" w:eastAsia="Palatino Linotype" w:hAnsi="Palatino Linotype" w:cs="Palatino Linotype"/>
          <w:i/>
        </w:rPr>
        <w:t xml:space="preserve">, </w:t>
      </w:r>
      <w:r w:rsidRPr="00BD7A62">
        <w:rPr>
          <w:rFonts w:ascii="Palatino Linotype" w:eastAsia="Palatino Linotype" w:hAnsi="Palatino Linotype" w:cs="Palatino Linotype"/>
          <w:b/>
          <w:i/>
        </w:rPr>
        <w:t>SI NO EL DOCUMENTO DONDE SE ESPECIFIQUE QUE LAS PLACAS ESTAN DADAS DE BAJA EN RAZON AL ALTA DEL NUEVO PROPIETARIO NORBERTO ROSALES MARTINEZ</w:t>
      </w:r>
      <w:r w:rsidRPr="00BD7A62">
        <w:rPr>
          <w:rFonts w:ascii="Palatino Linotype" w:eastAsia="Palatino Linotype" w:hAnsi="Palatino Linotype" w:cs="Palatino Linotype"/>
          <w:i/>
        </w:rPr>
        <w:t xml:space="preserve">. CABE SEÑALAR QUE SI BIEN ES CIERTO HAY DATOS CONFIDENCIALES DENTRO DEL EXPEDIENTE QUE SE GENERO EN SU MOMENTO. </w:t>
      </w:r>
      <w:r w:rsidRPr="00BD7A62">
        <w:rPr>
          <w:rFonts w:ascii="Palatino Linotype" w:eastAsia="Palatino Linotype" w:hAnsi="Palatino Linotype" w:cs="Palatino Linotype"/>
          <w:b/>
          <w:i/>
        </w:rPr>
        <w:t xml:space="preserve">TAMBIEN EL PETICIONARIO ES PARTE DE ESE EXPEDIENTE </w:t>
      </w:r>
      <w:r w:rsidRPr="00BD7A62">
        <w:rPr>
          <w:rFonts w:ascii="Palatino Linotype" w:eastAsia="Palatino Linotype" w:hAnsi="Palatino Linotype" w:cs="Palatino Linotype"/>
          <w:i/>
        </w:rPr>
        <w:t xml:space="preserve">Y TAMBIEN GOZA DE LOS MISMOS DERECHOS PARA QUE SE LE OTORGE LA CONTANCIA DE BAJA DE Y ALTA DE LAS PLACAS QUE ESTAN A SU NOMBRE. Y SI NO ES POSIBLE ESTE DERECHO SOLICITO SE MENCIONE LOS NOMBRES DE LAS PERSONAS CON EL DERECHO PARA SOLICITAR ESTE DOCUMENTO, PARA ESTAR EN LA POSIBILIDAD DE EJERCER EL DERECHO QUE LE </w:t>
      </w:r>
      <w:proofErr w:type="gramStart"/>
      <w:r w:rsidRPr="00BD7A62">
        <w:rPr>
          <w:rFonts w:ascii="Palatino Linotype" w:eastAsia="Palatino Linotype" w:hAnsi="Palatino Linotype" w:cs="Palatino Linotype"/>
          <w:i/>
        </w:rPr>
        <w:t>CORRESPONDA .</w:t>
      </w:r>
      <w:proofErr w:type="gramEnd"/>
      <w:r w:rsidRPr="00BD7A62">
        <w:rPr>
          <w:rFonts w:ascii="Palatino Linotype" w:eastAsia="Palatino Linotype" w:hAnsi="Palatino Linotype" w:cs="Palatino Linotype"/>
          <w:i/>
        </w:rPr>
        <w:t xml:space="preserve"> Y ACREDITAR LA PERSONALIDAD JURIDICA QUE A DERECHO CORRESPONDA.” (Sic).</w:t>
      </w:r>
    </w:p>
    <w:p w14:paraId="232D7B69" w14:textId="77777777" w:rsidR="009677CC" w:rsidRPr="00BD7A62" w:rsidRDefault="00F22DA1">
      <w:pPr>
        <w:tabs>
          <w:tab w:val="left" w:pos="4667"/>
        </w:tabs>
        <w:spacing w:line="360" w:lineRule="auto"/>
        <w:ind w:left="567" w:right="537"/>
        <w:jc w:val="both"/>
        <w:rPr>
          <w:rFonts w:ascii="Palatino Linotype" w:eastAsia="Palatino Linotype" w:hAnsi="Palatino Linotype" w:cs="Palatino Linotype"/>
          <w:i/>
        </w:rPr>
      </w:pPr>
      <w:r w:rsidRPr="00BD7A62">
        <w:rPr>
          <w:rFonts w:ascii="Palatino Linotype" w:eastAsia="Palatino Linotype" w:hAnsi="Palatino Linotype" w:cs="Palatino Linotype"/>
          <w:i/>
        </w:rPr>
        <w:t>(Énfasis añadido)</w:t>
      </w:r>
    </w:p>
    <w:p w14:paraId="22E43121" w14:textId="77777777" w:rsidR="009677CC" w:rsidRPr="00BD7A62" w:rsidRDefault="009677CC">
      <w:pPr>
        <w:tabs>
          <w:tab w:val="left" w:pos="4667"/>
        </w:tabs>
        <w:spacing w:line="360" w:lineRule="auto"/>
        <w:ind w:left="567" w:right="537"/>
        <w:jc w:val="both"/>
        <w:rPr>
          <w:rFonts w:ascii="Palatino Linotype" w:eastAsia="Palatino Linotype" w:hAnsi="Palatino Linotype" w:cs="Palatino Linotype"/>
        </w:rPr>
      </w:pPr>
    </w:p>
    <w:p w14:paraId="273D8B7E" w14:textId="77777777" w:rsidR="009677CC" w:rsidRPr="00BD7A62" w:rsidRDefault="00F22DA1">
      <w:pPr>
        <w:pStyle w:val="Ttulo2"/>
        <w:spacing w:before="0" w:after="0" w:line="360" w:lineRule="auto"/>
        <w:rPr>
          <w:rFonts w:ascii="Palatino Linotype" w:eastAsia="Palatino Linotype" w:hAnsi="Palatino Linotype" w:cs="Palatino Linotype"/>
          <w:b w:val="0"/>
          <w:color w:val="000000"/>
          <w:sz w:val="22"/>
          <w:szCs w:val="22"/>
        </w:rPr>
      </w:pPr>
      <w:bookmarkStart w:id="9" w:name="_Toc196151073"/>
      <w:bookmarkStart w:id="10" w:name="_Toc196405800"/>
      <w:r w:rsidRPr="00BD7A62">
        <w:rPr>
          <w:rFonts w:ascii="Palatino Linotype" w:eastAsia="Palatino Linotype" w:hAnsi="Palatino Linotype" w:cs="Palatino Linotype"/>
          <w:color w:val="000000"/>
          <w:sz w:val="22"/>
          <w:szCs w:val="22"/>
        </w:rPr>
        <w:lastRenderedPageBreak/>
        <w:t>IV. Trámite del Recurso de Revisión ante el Instituto.</w:t>
      </w:r>
      <w:bookmarkEnd w:id="9"/>
      <w:bookmarkEnd w:id="10"/>
    </w:p>
    <w:p w14:paraId="7F1D25B4"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1C3C6ECB" w14:textId="77777777"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b/>
          <w:color w:val="000000"/>
          <w:sz w:val="22"/>
          <w:szCs w:val="22"/>
        </w:rPr>
        <w:t xml:space="preserve">a) Turno del Medio de Impugnación. </w:t>
      </w:r>
      <w:r w:rsidRPr="00BD7A62">
        <w:rPr>
          <w:rFonts w:ascii="Palatino Linotype" w:eastAsia="Palatino Linotype" w:hAnsi="Palatino Linotype" w:cs="Palatino Linotype"/>
          <w:color w:val="000000"/>
          <w:sz w:val="22"/>
          <w:szCs w:val="22"/>
        </w:rPr>
        <w:t xml:space="preserve">El siete de marzo de dos mil veinticinco, el SAIMEX, asignó el número de expediente </w:t>
      </w:r>
      <w:r w:rsidRPr="00BD7A62">
        <w:rPr>
          <w:rFonts w:ascii="Palatino Linotype" w:eastAsia="Palatino Linotype" w:hAnsi="Palatino Linotype" w:cs="Palatino Linotype"/>
          <w:b/>
          <w:color w:val="000000"/>
          <w:sz w:val="22"/>
          <w:szCs w:val="22"/>
        </w:rPr>
        <w:t xml:space="preserve">00796/INFOEM/IP/RR/2025, </w:t>
      </w:r>
      <w:r w:rsidRPr="00BD7A62">
        <w:rPr>
          <w:rFonts w:ascii="Palatino Linotype" w:eastAsia="Palatino Linotype" w:hAnsi="Palatino Linotype" w:cs="Palatino Linotype"/>
          <w:color w:val="000000"/>
          <w:sz w:val="22"/>
          <w:szCs w:val="22"/>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557313B9"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3AC87FF7"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b/>
          <w:sz w:val="22"/>
          <w:szCs w:val="22"/>
        </w:rPr>
        <w:t xml:space="preserve">b) Reconducción de vía y prevención. </w:t>
      </w:r>
      <w:r w:rsidRPr="00BD7A62">
        <w:rPr>
          <w:rFonts w:ascii="Palatino Linotype" w:eastAsia="Palatino Linotype" w:hAnsi="Palatino Linotype" w:cs="Palatino Linotype"/>
          <w:sz w:val="22"/>
          <w:szCs w:val="22"/>
        </w:rPr>
        <w:t xml:space="preserve">En fecha diecisiete de febrero de dos mil veinticinco, se dictó acuerdo mediante el cual, se recondujo la vía a un acceso a datos personales, asimismo, se previno a la persona Recurrente, a fin de que, en un término no mayor a cinco días hábiles contados a partir del día siguiente de la notificación del acuerdo, </w:t>
      </w:r>
      <w:r w:rsidRPr="00BD7A62">
        <w:rPr>
          <w:rFonts w:ascii="Palatino Linotype" w:eastAsia="Palatino Linotype" w:hAnsi="Palatino Linotype" w:cs="Palatino Linotype"/>
          <w:b/>
          <w:sz w:val="22"/>
          <w:szCs w:val="22"/>
        </w:rPr>
        <w:t>acreditará su identidad y que actualmente es propietario del vehículo identificado en la solicitud</w:t>
      </w:r>
      <w:r w:rsidRPr="00BD7A62">
        <w:rPr>
          <w:rFonts w:ascii="Palatino Linotype" w:eastAsia="Palatino Linotype" w:hAnsi="Palatino Linotype" w:cs="Palatino Linotype"/>
          <w:sz w:val="22"/>
          <w:szCs w:val="22"/>
        </w:rPr>
        <w:t>, acto que se notificó a las partes a través del SAIMEX en la misma fecha.</w:t>
      </w:r>
    </w:p>
    <w:p w14:paraId="38E205D1" w14:textId="77777777" w:rsidR="009677CC" w:rsidRPr="00BD7A62" w:rsidRDefault="009677CC">
      <w:pPr>
        <w:spacing w:line="360" w:lineRule="auto"/>
        <w:jc w:val="both"/>
        <w:rPr>
          <w:rFonts w:ascii="Palatino Linotype" w:eastAsia="Palatino Linotype" w:hAnsi="Palatino Linotype" w:cs="Palatino Linotype"/>
          <w:b/>
          <w:sz w:val="22"/>
          <w:szCs w:val="22"/>
        </w:rPr>
      </w:pPr>
    </w:p>
    <w:p w14:paraId="5205E9A8"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b/>
          <w:sz w:val="22"/>
          <w:szCs w:val="22"/>
        </w:rPr>
        <w:t xml:space="preserve">c) Desahogo de la prevención. </w:t>
      </w:r>
      <w:r w:rsidRPr="00BD7A62">
        <w:rPr>
          <w:rFonts w:ascii="Palatino Linotype" w:eastAsia="Palatino Linotype" w:hAnsi="Palatino Linotype" w:cs="Palatino Linotype"/>
          <w:sz w:val="22"/>
          <w:szCs w:val="22"/>
        </w:rPr>
        <w:t>En fecha veinte de febrero del año en curso, a través de SAIMEX y por correo electrónico, la parte Recurrente desahogó la prevención y remitió los siguientes:</w:t>
      </w:r>
    </w:p>
    <w:p w14:paraId="47E1BDDA"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3A3D3CA5" w14:textId="77777777" w:rsidR="009677CC" w:rsidRPr="00BD7A62" w:rsidRDefault="00F22DA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Credencial para votar, expedida por el Instituto Nacional Electoral, a favor de la persona Recurrente.</w:t>
      </w:r>
    </w:p>
    <w:p w14:paraId="5A4C67B9" w14:textId="77777777" w:rsidR="009677CC" w:rsidRPr="00BD7A62" w:rsidRDefault="00F22DA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Tarjeta de Circulación expedida en el año 2016 a favor de la persona Recurrente en el que se advierten los datos de identificación del vehículo en los mismos términos precisados en la solicitud y en el que se señala la placa con terminación 9582</w:t>
      </w:r>
    </w:p>
    <w:p w14:paraId="4033FF9F" w14:textId="77777777" w:rsidR="009677CC" w:rsidRPr="00BD7A62" w:rsidRDefault="00F22DA1">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lastRenderedPageBreak/>
        <w:t xml:space="preserve">Factura expedida en el año 2005 a favor de la persona identificada en la solicitud y en el que se especifica el mismo número de serie (NIV) que aparece en la tarjeta de circulación descrita en el punto anterior y que fue especificado en la solicitud. </w:t>
      </w:r>
    </w:p>
    <w:p w14:paraId="25E24151"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73F08FFF" w14:textId="77777777"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b/>
          <w:color w:val="000000"/>
          <w:sz w:val="22"/>
          <w:szCs w:val="22"/>
        </w:rPr>
        <w:t xml:space="preserve">d) Admisión del Recurso de Revisión. </w:t>
      </w:r>
      <w:r w:rsidRPr="00BD7A62">
        <w:rPr>
          <w:rFonts w:ascii="Palatino Linotype" w:eastAsia="Palatino Linotype" w:hAnsi="Palatino Linotype" w:cs="Palatino Linotype"/>
          <w:color w:val="000000"/>
          <w:sz w:val="22"/>
          <w:szCs w:val="22"/>
        </w:rPr>
        <w:t xml:space="preserve">En fecha veinticuatro de febrero de dos mil veinticinco, se acordó el desahogo en tiempo y forma de la prevención realizada a la parte Recurrente, en consecuencia, se admitió el Recurso de Revisión, en términos de los artículos 128, 129, fracciones IV, V y IX y 130 de la Ley de Protección de Datos Personales en Posesión de Sujetos Obligados del Estado de México y Municipios, asimismo, de conformidad con el artículo 132, fracción I de la misma Ley, se otorgó a las partes un plazo no mayor a siete días hábiles para que expresaran su voluntad de conciliar, dicho acuerdo fue notificado a las partes en la misma fecha a través de SAIMEX. </w:t>
      </w:r>
    </w:p>
    <w:p w14:paraId="6ED12617" w14:textId="77777777" w:rsidR="009677CC" w:rsidRPr="00BD7A62" w:rsidRDefault="009677CC">
      <w:pPr>
        <w:spacing w:line="360" w:lineRule="auto"/>
        <w:jc w:val="both"/>
        <w:rPr>
          <w:rFonts w:ascii="Palatino Linotype" w:eastAsia="Palatino Linotype" w:hAnsi="Palatino Linotype" w:cs="Palatino Linotype"/>
          <w:b/>
          <w:sz w:val="22"/>
          <w:szCs w:val="22"/>
        </w:rPr>
      </w:pPr>
    </w:p>
    <w:p w14:paraId="68AF3551"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b/>
          <w:sz w:val="22"/>
          <w:szCs w:val="22"/>
        </w:rPr>
        <w:t xml:space="preserve">e) Período de conciliación.  </w:t>
      </w:r>
      <w:r w:rsidRPr="00BD7A62">
        <w:rPr>
          <w:rFonts w:ascii="Palatino Linotype" w:eastAsia="Palatino Linotype" w:hAnsi="Palatino Linotype" w:cs="Palatino Linotype"/>
          <w:sz w:val="22"/>
          <w:szCs w:val="22"/>
        </w:rPr>
        <w:t xml:space="preserve">En fecha doce de marzo de dos mil veinticinco, se dictó acuerdo mediante el cual se tuvo por cerrada la etapa de conciliación y se apertura la etapa de manifestaciones, ello en atención a que de las constancias que obran en el expediente digital en SAIMEX y en los correos electrónicos de las personas pertenecientes a la ponencia </w:t>
      </w:r>
      <w:proofErr w:type="spellStart"/>
      <w:r w:rsidRPr="00BD7A62">
        <w:rPr>
          <w:rFonts w:ascii="Palatino Linotype" w:eastAsia="Palatino Linotype" w:hAnsi="Palatino Linotype" w:cs="Palatino Linotype"/>
          <w:sz w:val="22"/>
          <w:szCs w:val="22"/>
        </w:rPr>
        <w:t>resolutora</w:t>
      </w:r>
      <w:proofErr w:type="spellEnd"/>
      <w:r w:rsidRPr="00BD7A62">
        <w:rPr>
          <w:rFonts w:ascii="Palatino Linotype" w:eastAsia="Palatino Linotype" w:hAnsi="Palatino Linotype" w:cs="Palatino Linotype"/>
          <w:sz w:val="22"/>
          <w:szCs w:val="22"/>
        </w:rPr>
        <w:t xml:space="preserve"> y una vez concluido el periodo concedido para expresar la voluntad de conciliar, se advirtió que </w:t>
      </w:r>
      <w:r w:rsidRPr="00BD7A62">
        <w:rPr>
          <w:rFonts w:ascii="Palatino Linotype" w:eastAsia="Palatino Linotype" w:hAnsi="Palatino Linotype" w:cs="Palatino Linotype"/>
          <w:b/>
          <w:sz w:val="22"/>
          <w:szCs w:val="22"/>
        </w:rPr>
        <w:t>ambas partes fueron omisas en expresar su voluntad de conciliar el presente asunto,</w:t>
      </w:r>
      <w:r w:rsidRPr="00BD7A62">
        <w:rPr>
          <w:rFonts w:ascii="Palatino Linotype" w:eastAsia="Palatino Linotype" w:hAnsi="Palatino Linotype" w:cs="Palatino Linotype"/>
          <w:sz w:val="22"/>
          <w:szCs w:val="22"/>
        </w:rPr>
        <w:t xml:space="preserve"> por tanto, se concedió un plazo de siete días hábiles para que las partes remitieran a este Organismo Garante los elementos que consideren pertinentes con el objeto de ser considerados para emitir la presente resolución. </w:t>
      </w:r>
    </w:p>
    <w:p w14:paraId="249D5319" w14:textId="77777777" w:rsidR="009677CC" w:rsidRPr="00BD7A62" w:rsidRDefault="009677CC">
      <w:pPr>
        <w:spacing w:line="360" w:lineRule="auto"/>
        <w:jc w:val="both"/>
        <w:rPr>
          <w:rFonts w:ascii="Palatino Linotype" w:eastAsia="Palatino Linotype" w:hAnsi="Palatino Linotype" w:cs="Palatino Linotype"/>
          <w:b/>
          <w:sz w:val="22"/>
          <w:szCs w:val="22"/>
        </w:rPr>
      </w:pPr>
    </w:p>
    <w:p w14:paraId="4289A46C"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b/>
          <w:sz w:val="22"/>
          <w:szCs w:val="22"/>
        </w:rPr>
        <w:t xml:space="preserve">f) Informe Justificado. </w:t>
      </w:r>
      <w:r w:rsidRPr="00BD7A62">
        <w:rPr>
          <w:rFonts w:ascii="Palatino Linotype" w:eastAsia="Palatino Linotype" w:hAnsi="Palatino Linotype" w:cs="Palatino Linotype"/>
          <w:sz w:val="22"/>
          <w:szCs w:val="22"/>
        </w:rPr>
        <w:t>En fecha veintiuno de marzo de dos mil veinticinco, el Sujeto Obligado rindió informe justificado, a través de SAIMEX, en los siguientes términos:</w:t>
      </w:r>
    </w:p>
    <w:p w14:paraId="3575A1DF"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7CCFAB4B" w14:textId="77777777" w:rsidR="009677CC" w:rsidRPr="00BD7A62" w:rsidRDefault="00F22DA1">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sidRPr="00BD7A62">
        <w:rPr>
          <w:rFonts w:ascii="Palatino Linotype" w:eastAsia="Palatino Linotype" w:hAnsi="Palatino Linotype" w:cs="Palatino Linotype"/>
          <w:b/>
          <w:i/>
          <w:color w:val="000000"/>
          <w:sz w:val="22"/>
          <w:szCs w:val="22"/>
        </w:rPr>
        <w:lastRenderedPageBreak/>
        <w:t xml:space="preserve">RR 0796-2025 INFORME JUSTIFICADO.pdf; </w:t>
      </w:r>
      <w:r w:rsidRPr="00BD7A62">
        <w:rPr>
          <w:rFonts w:ascii="Palatino Linotype" w:eastAsia="Palatino Linotype" w:hAnsi="Palatino Linotype" w:cs="Palatino Linotype"/>
          <w:b/>
          <w:color w:val="000000"/>
          <w:sz w:val="22"/>
          <w:szCs w:val="22"/>
        </w:rPr>
        <w:t>d</w:t>
      </w:r>
      <w:r w:rsidRPr="00BD7A62">
        <w:rPr>
          <w:rFonts w:ascii="Palatino Linotype" w:eastAsia="Palatino Linotype" w:hAnsi="Palatino Linotype" w:cs="Palatino Linotype"/>
          <w:color w:val="000000"/>
          <w:sz w:val="22"/>
          <w:szCs w:val="22"/>
        </w:rPr>
        <w:t xml:space="preserve">el que se advierte un oficio suscrito por el Encargado de la UIPPE y de la Unidad de Transparencia, en el rindió informe justificado y señaló que en virtud de que se puso a disposición la información en las oficinas de la Dirección del Registro Estatal de Vehículos, previa acreditación de la identidad e interés jurídico, solicitó que se sobresea el Recurso de Revisión. </w:t>
      </w:r>
    </w:p>
    <w:p w14:paraId="45EB60CB" w14:textId="77777777" w:rsidR="009677CC" w:rsidRPr="00BD7A62" w:rsidRDefault="00F22DA1">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sidRPr="00BD7A62">
        <w:rPr>
          <w:rFonts w:ascii="Palatino Linotype" w:eastAsia="Palatino Linotype" w:hAnsi="Palatino Linotype" w:cs="Palatino Linotype"/>
          <w:b/>
          <w:i/>
          <w:color w:val="000000"/>
          <w:sz w:val="22"/>
          <w:szCs w:val="22"/>
        </w:rPr>
        <w:t xml:space="preserve">RR 0796-2025 DGR.pdf: </w:t>
      </w:r>
      <w:r w:rsidRPr="00BD7A62">
        <w:rPr>
          <w:rFonts w:ascii="Palatino Linotype" w:eastAsia="Palatino Linotype" w:hAnsi="Palatino Linotype" w:cs="Palatino Linotype"/>
          <w:color w:val="000000"/>
          <w:sz w:val="22"/>
          <w:szCs w:val="22"/>
        </w:rPr>
        <w:t>del que se desprenden los siguientes:</w:t>
      </w:r>
    </w:p>
    <w:p w14:paraId="71ED3205" w14:textId="77777777" w:rsidR="009677CC" w:rsidRPr="00BD7A62" w:rsidRDefault="00F22DA1">
      <w:pPr>
        <w:numPr>
          <w:ilvl w:val="1"/>
          <w:numId w:val="3"/>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sidRPr="00BD7A62">
        <w:rPr>
          <w:rFonts w:ascii="Palatino Linotype" w:eastAsia="Palatino Linotype" w:hAnsi="Palatino Linotype" w:cs="Palatino Linotype"/>
          <w:color w:val="000000"/>
          <w:sz w:val="22"/>
          <w:szCs w:val="22"/>
        </w:rPr>
        <w:t xml:space="preserve"> Oficio suscrito por la Subdirectora de Normas y Procedimientos y servidora </w:t>
      </w:r>
      <w:r w:rsidRPr="00BD7A62">
        <w:rPr>
          <w:rFonts w:ascii="Palatino Linotype" w:eastAsia="Palatino Linotype" w:hAnsi="Palatino Linotype" w:cs="Palatino Linotype"/>
          <w:sz w:val="22"/>
          <w:szCs w:val="22"/>
        </w:rPr>
        <w:t>pública</w:t>
      </w:r>
      <w:r w:rsidRPr="00BD7A62">
        <w:rPr>
          <w:rFonts w:ascii="Palatino Linotype" w:eastAsia="Palatino Linotype" w:hAnsi="Palatino Linotype" w:cs="Palatino Linotype"/>
          <w:color w:val="000000"/>
          <w:sz w:val="22"/>
          <w:szCs w:val="22"/>
        </w:rPr>
        <w:t xml:space="preserve"> habilitada suplente de la Dirección General de Recaudación en el que ratificó la respuesta inicial. </w:t>
      </w:r>
    </w:p>
    <w:p w14:paraId="33A4E7B2" w14:textId="77777777" w:rsidR="009677CC" w:rsidRPr="00BD7A62" w:rsidRDefault="00F22DA1">
      <w:pPr>
        <w:numPr>
          <w:ilvl w:val="1"/>
          <w:numId w:val="3"/>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r w:rsidRPr="00BD7A62">
        <w:rPr>
          <w:rFonts w:ascii="Palatino Linotype" w:eastAsia="Palatino Linotype" w:hAnsi="Palatino Linotype" w:cs="Palatino Linotype"/>
          <w:color w:val="000000"/>
          <w:sz w:val="22"/>
          <w:szCs w:val="22"/>
        </w:rPr>
        <w:t xml:space="preserve">Oficio suscrito por la Directora del Registro Estatal de Vehículos, en el que señaló que si bien la parte Solicitante indicó que las placas están a su nombre, no acreditó su calidad de titular de la información, por lo que la entrega de la misma tendría lugar una vez que se acredite la personalidad ante la Unidad de Transparencia, asimismo indicó a la persona Recurrente que puede acudir a las oficinas de la Dirección del Registro Estatal de Vehículos, proporcionó su ubicación, el horario y señaló que previa acreditación de la personalidad e interés jurídico se le haría entrega de la documentación que pretende conocer.   </w:t>
      </w:r>
    </w:p>
    <w:p w14:paraId="5859777F" w14:textId="77777777" w:rsidR="009677CC" w:rsidRPr="00BD7A62" w:rsidRDefault="009677CC">
      <w:pPr>
        <w:spacing w:line="360" w:lineRule="auto"/>
        <w:jc w:val="both"/>
        <w:rPr>
          <w:rFonts w:ascii="Palatino Linotype" w:eastAsia="Palatino Linotype" w:hAnsi="Palatino Linotype" w:cs="Palatino Linotype"/>
          <w:b/>
          <w:sz w:val="22"/>
          <w:szCs w:val="22"/>
        </w:rPr>
      </w:pPr>
    </w:p>
    <w:p w14:paraId="7B4A2930" w14:textId="77777777" w:rsidR="009677CC" w:rsidRPr="00BD7A62" w:rsidRDefault="00F22DA1">
      <w:pPr>
        <w:spacing w:line="360" w:lineRule="auto"/>
        <w:jc w:val="both"/>
        <w:rPr>
          <w:rFonts w:ascii="Palatino Linotype" w:eastAsia="Palatino Linotype" w:hAnsi="Palatino Linotype" w:cs="Palatino Linotype"/>
          <w:b/>
          <w:sz w:val="22"/>
          <w:szCs w:val="22"/>
        </w:rPr>
      </w:pPr>
      <w:r w:rsidRPr="00BD7A62">
        <w:rPr>
          <w:rFonts w:ascii="Palatino Linotype" w:eastAsia="Palatino Linotype" w:hAnsi="Palatino Linotype" w:cs="Palatino Linotype"/>
          <w:b/>
          <w:sz w:val="22"/>
          <w:szCs w:val="22"/>
        </w:rPr>
        <w:t xml:space="preserve">g) Vista del informe justificado. </w:t>
      </w:r>
      <w:r w:rsidRPr="00BD7A62">
        <w:rPr>
          <w:rFonts w:ascii="Palatino Linotype" w:eastAsia="Palatino Linotype" w:hAnsi="Palatino Linotype" w:cs="Palatino Linotype"/>
          <w:sz w:val="22"/>
          <w:szCs w:val="22"/>
        </w:rPr>
        <w:t>En fecha veintiocho de marzo de dos mil veinticinco, se dictó un acuerdo mediante el cual, se puso a la vista de la parte Recurrente el informe justificado, que fue notificado a las partes en la misma fecha, a través del SAIMEX.</w:t>
      </w:r>
    </w:p>
    <w:p w14:paraId="671AFF69" w14:textId="77777777" w:rsidR="009677CC" w:rsidRPr="00BD7A62" w:rsidRDefault="009677CC">
      <w:pPr>
        <w:spacing w:line="360" w:lineRule="auto"/>
        <w:jc w:val="both"/>
        <w:rPr>
          <w:rFonts w:ascii="Palatino Linotype" w:eastAsia="Palatino Linotype" w:hAnsi="Palatino Linotype" w:cs="Palatino Linotype"/>
          <w:b/>
          <w:sz w:val="22"/>
          <w:szCs w:val="22"/>
        </w:rPr>
      </w:pPr>
    </w:p>
    <w:p w14:paraId="11C54B6B" w14:textId="77777777" w:rsidR="009677CC" w:rsidRPr="00BD7A62" w:rsidRDefault="00F22DA1">
      <w:pPr>
        <w:spacing w:line="360" w:lineRule="auto"/>
        <w:jc w:val="both"/>
        <w:rPr>
          <w:rFonts w:ascii="Palatino Linotype" w:eastAsia="Palatino Linotype" w:hAnsi="Palatino Linotype" w:cs="Palatino Linotype"/>
          <w:b/>
          <w:sz w:val="22"/>
          <w:szCs w:val="22"/>
        </w:rPr>
      </w:pPr>
      <w:r w:rsidRPr="00BD7A62">
        <w:rPr>
          <w:rFonts w:ascii="Palatino Linotype" w:eastAsia="Palatino Linotype" w:hAnsi="Palatino Linotype" w:cs="Palatino Linotype"/>
          <w:b/>
          <w:sz w:val="22"/>
          <w:szCs w:val="22"/>
        </w:rPr>
        <w:t xml:space="preserve">h) Manifestaciones de la parte Recurrente. </w:t>
      </w:r>
      <w:r w:rsidRPr="00BD7A62">
        <w:rPr>
          <w:rFonts w:ascii="Palatino Linotype" w:eastAsia="Palatino Linotype" w:hAnsi="Palatino Linotype" w:cs="Palatino Linotype"/>
          <w:sz w:val="22"/>
          <w:szCs w:val="22"/>
        </w:rPr>
        <w:t>De las constancias que obran en el expediente electrónico, se advierte que la parte Recurrente no emitió manifestaciones</w:t>
      </w:r>
      <w:r w:rsidRPr="00BD7A62">
        <w:rPr>
          <w:rFonts w:ascii="Palatino Linotype" w:eastAsia="Palatino Linotype" w:hAnsi="Palatino Linotype" w:cs="Palatino Linotype"/>
          <w:b/>
          <w:sz w:val="22"/>
          <w:szCs w:val="22"/>
        </w:rPr>
        <w:t>.</w:t>
      </w:r>
    </w:p>
    <w:p w14:paraId="58EB0D67" w14:textId="77777777" w:rsidR="009677CC" w:rsidRPr="00BD7A62" w:rsidRDefault="009677CC">
      <w:pPr>
        <w:spacing w:line="360" w:lineRule="auto"/>
        <w:jc w:val="both"/>
        <w:rPr>
          <w:rFonts w:ascii="Palatino Linotype" w:eastAsia="Palatino Linotype" w:hAnsi="Palatino Linotype" w:cs="Palatino Linotype"/>
          <w:b/>
          <w:sz w:val="22"/>
          <w:szCs w:val="22"/>
        </w:rPr>
      </w:pPr>
    </w:p>
    <w:p w14:paraId="4C6E17D6" w14:textId="241726BC" w:rsidR="009677CC" w:rsidRPr="00BD7A62" w:rsidRDefault="00F22DA1">
      <w:pPr>
        <w:spacing w:line="360" w:lineRule="auto"/>
        <w:jc w:val="both"/>
        <w:rPr>
          <w:rFonts w:ascii="Palatino Linotype" w:eastAsia="Palatino Linotype" w:hAnsi="Palatino Linotype" w:cs="Palatino Linotype"/>
          <w:b/>
          <w:sz w:val="22"/>
          <w:szCs w:val="22"/>
        </w:rPr>
      </w:pPr>
      <w:r w:rsidRPr="00BD7A62">
        <w:rPr>
          <w:rFonts w:ascii="Palatino Linotype" w:eastAsia="Palatino Linotype" w:hAnsi="Palatino Linotype" w:cs="Palatino Linotype"/>
          <w:b/>
          <w:sz w:val="22"/>
          <w:szCs w:val="22"/>
        </w:rPr>
        <w:lastRenderedPageBreak/>
        <w:t xml:space="preserve">i) Cierre de instrucción. </w:t>
      </w:r>
      <w:r w:rsidRPr="00BD7A62">
        <w:rPr>
          <w:rFonts w:ascii="Palatino Linotype" w:eastAsia="Palatino Linotype" w:hAnsi="Palatino Linotype" w:cs="Palatino Linotype"/>
          <w:sz w:val="22"/>
          <w:szCs w:val="22"/>
        </w:rPr>
        <w:t xml:space="preserve">En fecha </w:t>
      </w:r>
      <w:r w:rsidR="005D4C4E" w:rsidRPr="00BD7A62">
        <w:rPr>
          <w:rFonts w:ascii="Palatino Linotype" w:eastAsia="Palatino Linotype" w:hAnsi="Palatino Linotype" w:cs="Palatino Linotype"/>
          <w:sz w:val="22"/>
          <w:szCs w:val="22"/>
        </w:rPr>
        <w:t>veintitrés</w:t>
      </w:r>
      <w:r w:rsidRPr="00BD7A62">
        <w:rPr>
          <w:rFonts w:ascii="Palatino Linotype" w:eastAsia="Palatino Linotype" w:hAnsi="Palatino Linotype" w:cs="Palatino Linotype"/>
          <w:sz w:val="22"/>
          <w:szCs w:val="22"/>
        </w:rPr>
        <w:t xml:space="preserve"> de abril de dos mil veinticinco,</w:t>
      </w:r>
      <w:r w:rsidR="005D4C4E" w:rsidRPr="00BD7A62">
        <w:rPr>
          <w:rFonts w:ascii="Palatino Linotype" w:eastAsia="Palatino Linotype" w:hAnsi="Palatino Linotype" w:cs="Palatino Linotype"/>
          <w:sz w:val="22"/>
          <w:szCs w:val="22"/>
        </w:rPr>
        <w:t xml:space="preserve"> se notificó a través del SAIMEX el acuerdo dictado en fecha veintidós de abril del mismo año,</w:t>
      </w:r>
      <w:r w:rsidRPr="00BD7A62">
        <w:rPr>
          <w:rFonts w:ascii="Palatino Linotype" w:eastAsia="Palatino Linotype" w:hAnsi="Palatino Linotype" w:cs="Palatino Linotype"/>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w:t>
      </w:r>
      <w:r w:rsidRPr="00BD7A62">
        <w:rPr>
          <w:rFonts w:ascii="Palatino Linotype" w:eastAsia="Palatino Linotype" w:hAnsi="Palatino Linotype" w:cs="Palatino Linotype"/>
          <w:color w:val="000000"/>
          <w:sz w:val="22"/>
          <w:szCs w:val="22"/>
        </w:rPr>
        <w:t>en aplicación supletoria</w:t>
      </w:r>
      <w:r w:rsidR="005D4C4E" w:rsidRPr="00BD7A62">
        <w:rPr>
          <w:rFonts w:ascii="Palatino Linotype" w:eastAsia="Palatino Linotype" w:hAnsi="Palatino Linotype" w:cs="Palatino Linotype"/>
          <w:color w:val="000000"/>
          <w:sz w:val="22"/>
          <w:szCs w:val="22"/>
        </w:rPr>
        <w:t>.</w:t>
      </w:r>
    </w:p>
    <w:p w14:paraId="36954A67" w14:textId="77777777" w:rsidR="009677CC" w:rsidRPr="00BD7A62" w:rsidRDefault="009677CC">
      <w:pPr>
        <w:spacing w:line="360" w:lineRule="auto"/>
        <w:jc w:val="both"/>
        <w:rPr>
          <w:rFonts w:ascii="Palatino Linotype" w:eastAsia="Palatino Linotype" w:hAnsi="Palatino Linotype" w:cs="Palatino Linotype"/>
          <w:b/>
          <w:sz w:val="22"/>
          <w:szCs w:val="22"/>
        </w:rPr>
      </w:pPr>
    </w:p>
    <w:p w14:paraId="18542D35" w14:textId="77777777"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EE2AF48" w14:textId="77777777" w:rsidR="001C1E07" w:rsidRPr="00BD7A62" w:rsidRDefault="001C1E07">
      <w:pPr>
        <w:pStyle w:val="Ttulo1"/>
        <w:spacing w:before="0" w:line="360" w:lineRule="auto"/>
        <w:jc w:val="center"/>
        <w:rPr>
          <w:rFonts w:ascii="Palatino Linotype" w:eastAsia="Palatino Linotype" w:hAnsi="Palatino Linotype" w:cs="Palatino Linotype"/>
          <w:b/>
          <w:color w:val="000000"/>
          <w:sz w:val="22"/>
          <w:szCs w:val="22"/>
        </w:rPr>
      </w:pPr>
    </w:p>
    <w:p w14:paraId="70571149" w14:textId="77A137B2" w:rsidR="009677CC" w:rsidRPr="00BD7A62" w:rsidRDefault="00F22DA1">
      <w:pPr>
        <w:pStyle w:val="Ttulo1"/>
        <w:spacing w:before="0" w:line="360" w:lineRule="auto"/>
        <w:jc w:val="center"/>
        <w:rPr>
          <w:rFonts w:ascii="Palatino Linotype" w:eastAsia="Palatino Linotype" w:hAnsi="Palatino Linotype" w:cs="Palatino Linotype"/>
          <w:b/>
          <w:color w:val="000000"/>
          <w:sz w:val="22"/>
          <w:szCs w:val="22"/>
        </w:rPr>
      </w:pPr>
      <w:bookmarkStart w:id="11" w:name="_Toc196151074"/>
      <w:bookmarkStart w:id="12" w:name="_Toc196405801"/>
      <w:r w:rsidRPr="00BD7A62">
        <w:rPr>
          <w:rFonts w:ascii="Palatino Linotype" w:eastAsia="Palatino Linotype" w:hAnsi="Palatino Linotype" w:cs="Palatino Linotype"/>
          <w:b/>
          <w:color w:val="000000"/>
          <w:sz w:val="22"/>
          <w:szCs w:val="22"/>
        </w:rPr>
        <w:t>C O N S I D E R A N D O S</w:t>
      </w:r>
      <w:bookmarkEnd w:id="11"/>
      <w:bookmarkEnd w:id="12"/>
    </w:p>
    <w:p w14:paraId="5BDC11FA" w14:textId="77777777" w:rsidR="005D4C4E" w:rsidRPr="00BD7A62" w:rsidRDefault="005D4C4E" w:rsidP="005D4C4E">
      <w:pPr>
        <w:pStyle w:val="Ttulo2"/>
        <w:rPr>
          <w:rFonts w:ascii="Palatino Linotype" w:eastAsia="Palatino Linotype" w:hAnsi="Palatino Linotype" w:cs="Palatino Linotype"/>
          <w:sz w:val="22"/>
          <w:szCs w:val="22"/>
        </w:rPr>
      </w:pPr>
      <w:bookmarkStart w:id="13" w:name="_Toc196405802"/>
      <w:r w:rsidRPr="00BD7A62">
        <w:rPr>
          <w:rFonts w:ascii="Palatino Linotype" w:eastAsia="Palatino Linotype" w:hAnsi="Palatino Linotype" w:cs="Palatino Linotype"/>
          <w:sz w:val="22"/>
          <w:szCs w:val="22"/>
        </w:rPr>
        <w:t>PRIMERO. Competencia</w:t>
      </w:r>
      <w:bookmarkEnd w:id="13"/>
    </w:p>
    <w:p w14:paraId="573EFEDA"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26C3C93D"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w:t>
      </w:r>
    </w:p>
    <w:p w14:paraId="400BED0C"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 xml:space="preserve">los artículos 5°, párrafos trigésimos séptimos,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XXIV, así como los artículos 1°, 4°, fracción XXII 81, 82, fracción III, 119 y 137, fracción I, de la Ley de Protección de Datos Personales en Posesión de Sujetos Obligados del Estado de México y Municipios, y 11 del Reglamento Interior del </w:t>
      </w:r>
      <w:r w:rsidRPr="00BD7A62">
        <w:rPr>
          <w:rFonts w:ascii="Palatino Linotype" w:eastAsia="Palatino Linotype" w:hAnsi="Palatino Linotype" w:cs="Palatino Linotype"/>
          <w:sz w:val="22"/>
          <w:szCs w:val="22"/>
        </w:rPr>
        <w:lastRenderedPageBreak/>
        <w:t>Instituto de Transparencia, Acceso a la Información Pública y Protección de Datos Personales del Estado de México y Municipios.</w:t>
      </w:r>
    </w:p>
    <w:p w14:paraId="2491AE91"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03E2B5EA" w14:textId="77777777" w:rsidR="009677CC" w:rsidRPr="00BD7A62" w:rsidRDefault="00F22DA1">
      <w:pPr>
        <w:pStyle w:val="Ttulo2"/>
        <w:spacing w:before="0" w:after="0" w:line="360" w:lineRule="auto"/>
        <w:rPr>
          <w:rFonts w:ascii="Palatino Linotype" w:eastAsia="Palatino Linotype" w:hAnsi="Palatino Linotype" w:cs="Palatino Linotype"/>
          <w:sz w:val="22"/>
          <w:szCs w:val="22"/>
        </w:rPr>
      </w:pPr>
      <w:bookmarkStart w:id="14" w:name="_Toc196151075"/>
      <w:bookmarkStart w:id="15" w:name="_Toc196405803"/>
      <w:r w:rsidRPr="00BD7A62">
        <w:rPr>
          <w:rFonts w:ascii="Palatino Linotype" w:eastAsia="Palatino Linotype" w:hAnsi="Palatino Linotype" w:cs="Palatino Linotype"/>
          <w:sz w:val="22"/>
          <w:szCs w:val="22"/>
        </w:rPr>
        <w:t>SEGUNDO. Causales de improcedencia y sobreseimiento</w:t>
      </w:r>
      <w:bookmarkEnd w:id="14"/>
      <w:bookmarkEnd w:id="15"/>
      <w:r w:rsidRPr="00BD7A62">
        <w:rPr>
          <w:rFonts w:ascii="Palatino Linotype" w:eastAsia="Palatino Linotype" w:hAnsi="Palatino Linotype" w:cs="Palatino Linotype"/>
          <w:sz w:val="22"/>
          <w:szCs w:val="22"/>
        </w:rPr>
        <w:t xml:space="preserve"> </w:t>
      </w:r>
    </w:p>
    <w:p w14:paraId="2B697F31" w14:textId="77777777" w:rsidR="009677CC" w:rsidRPr="00BD7A62" w:rsidRDefault="009677CC">
      <w:pPr>
        <w:tabs>
          <w:tab w:val="left" w:pos="4667"/>
        </w:tabs>
        <w:spacing w:line="360" w:lineRule="auto"/>
        <w:jc w:val="both"/>
        <w:rPr>
          <w:rFonts w:ascii="Palatino Linotype" w:eastAsia="Palatino Linotype" w:hAnsi="Palatino Linotype" w:cs="Palatino Linotype"/>
          <w:sz w:val="22"/>
          <w:szCs w:val="22"/>
        </w:rPr>
      </w:pPr>
    </w:p>
    <w:p w14:paraId="09414296" w14:textId="77777777" w:rsidR="009677CC" w:rsidRPr="00BD7A62" w:rsidRDefault="00F22DA1">
      <w:pPr>
        <w:tabs>
          <w:tab w:val="left" w:pos="4667"/>
        </w:tabs>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 </w:t>
      </w:r>
    </w:p>
    <w:p w14:paraId="27A4286B" w14:textId="77777777" w:rsidR="009677CC" w:rsidRPr="00BD7A62" w:rsidRDefault="009677CC">
      <w:pPr>
        <w:tabs>
          <w:tab w:val="left" w:pos="4667"/>
        </w:tabs>
        <w:spacing w:line="360" w:lineRule="auto"/>
        <w:jc w:val="both"/>
        <w:rPr>
          <w:rFonts w:ascii="Palatino Linotype" w:eastAsia="Palatino Linotype" w:hAnsi="Palatino Linotype" w:cs="Palatino Linotype"/>
          <w:sz w:val="22"/>
          <w:szCs w:val="22"/>
        </w:rPr>
      </w:pPr>
    </w:p>
    <w:p w14:paraId="5FAF65FD" w14:textId="77777777" w:rsidR="009677CC" w:rsidRPr="00BD7A62" w:rsidRDefault="00F22DA1">
      <w:pPr>
        <w:numPr>
          <w:ilvl w:val="0"/>
          <w:numId w:val="7"/>
        </w:numPr>
        <w:pBdr>
          <w:top w:val="nil"/>
          <w:left w:val="nil"/>
          <w:bottom w:val="nil"/>
          <w:right w:val="nil"/>
          <w:between w:val="nil"/>
        </w:pBdr>
        <w:tabs>
          <w:tab w:val="left" w:pos="4667"/>
        </w:tabs>
        <w:spacing w:line="360" w:lineRule="auto"/>
        <w:jc w:val="both"/>
        <w:rPr>
          <w:rFonts w:ascii="Palatino Linotype" w:eastAsia="Palatino Linotype" w:hAnsi="Palatino Linotype" w:cs="Palatino Linotype"/>
          <w:b/>
          <w:color w:val="000000"/>
          <w:sz w:val="22"/>
          <w:szCs w:val="22"/>
        </w:rPr>
      </w:pPr>
      <w:r w:rsidRPr="00BD7A62">
        <w:rPr>
          <w:rFonts w:ascii="Palatino Linotype" w:eastAsia="Palatino Linotype" w:hAnsi="Palatino Linotype" w:cs="Palatino Linotype"/>
          <w:b/>
          <w:color w:val="000000"/>
          <w:sz w:val="22"/>
          <w:szCs w:val="22"/>
        </w:rPr>
        <w:t>Causales de improcedencia</w:t>
      </w:r>
    </w:p>
    <w:p w14:paraId="66E881EF" w14:textId="77777777" w:rsidR="009677CC" w:rsidRPr="00BD7A62" w:rsidRDefault="009677CC">
      <w:pPr>
        <w:tabs>
          <w:tab w:val="left" w:pos="4667"/>
        </w:tabs>
        <w:spacing w:line="360" w:lineRule="auto"/>
        <w:jc w:val="both"/>
        <w:rPr>
          <w:rFonts w:ascii="Palatino Linotype" w:eastAsia="Palatino Linotype" w:hAnsi="Palatino Linotype" w:cs="Palatino Linotype"/>
          <w:sz w:val="22"/>
          <w:szCs w:val="22"/>
        </w:rPr>
      </w:pPr>
    </w:p>
    <w:p w14:paraId="00CDA4AA" w14:textId="77777777" w:rsidR="009677CC" w:rsidRPr="00BD7A62" w:rsidRDefault="00F22DA1">
      <w:pPr>
        <w:tabs>
          <w:tab w:val="left" w:pos="4667"/>
        </w:tabs>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la persona Solicitante acreditó su identidad para efectos de la interposición del Recurso de Revisión; este Instituto no tiene conocimiento de haber resuelto sobre la materia del medio de impugnación que nos ocupa; no se tiene conocimiento que ante Tribunales competentes se esté tramitando algún recurso o medio de defensa en contra del acto recurrido ante este Instituto; la parte Recurrente no modificó ni amplió su solicitud de acceso a datos personales y; finalmente la persona Recurrente acreditó el interés jurídico para efectos de interponer el medio de impugnación que nos ocupa y se advierte la actualización de un supuesto de procedencia. </w:t>
      </w:r>
    </w:p>
    <w:p w14:paraId="6C32C461" w14:textId="77777777" w:rsidR="009677CC" w:rsidRPr="00BD7A62" w:rsidRDefault="009677CC">
      <w:pPr>
        <w:tabs>
          <w:tab w:val="left" w:pos="4667"/>
        </w:tabs>
        <w:spacing w:line="360" w:lineRule="auto"/>
        <w:jc w:val="both"/>
        <w:rPr>
          <w:rFonts w:ascii="Palatino Linotype" w:eastAsia="Palatino Linotype" w:hAnsi="Palatino Linotype" w:cs="Palatino Linotype"/>
          <w:sz w:val="22"/>
          <w:szCs w:val="22"/>
        </w:rPr>
      </w:pPr>
    </w:p>
    <w:p w14:paraId="72A4A709" w14:textId="77777777" w:rsidR="009677CC" w:rsidRPr="00BD7A62" w:rsidRDefault="00F22DA1">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D7A62">
        <w:rPr>
          <w:rFonts w:ascii="Palatino Linotype" w:eastAsia="Palatino Linotype" w:hAnsi="Palatino Linotype" w:cs="Palatino Linotype"/>
          <w:b/>
          <w:color w:val="000000"/>
          <w:sz w:val="22"/>
          <w:szCs w:val="22"/>
        </w:rPr>
        <w:t>Causales de sobreseimiento.</w:t>
      </w:r>
    </w:p>
    <w:p w14:paraId="31A8FBEE"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3AD5B673"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 xml:space="preserve"> De los autos que corren agregados al expediente en el que se actúa, no fue posible advertir que se actualizarán causales de sobreseimiento previstas en el artículo 139 de la Ley de Protección de Datos Personales en Posesión de Sujetos Obligados del Estado de México y Municipios; toda vez que no obra constancia de que la parte Recurrente se hubiera desistido del recurso, que hubiera fallecido, que hubiera aparecido una causal de improcedencia durante el trámite del presente recurso, que el Sujeto Obligado hubiera modificado su respuesta y con ello dejado sin materia el Recurso de Revisión, o bien que el asunto hubiera quedado sin materia por algún motivo. 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con la finalidad de determinar claramente la cuestión a resolver.</w:t>
      </w:r>
    </w:p>
    <w:p w14:paraId="33C51D37"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2BFE8CBE" w14:textId="77777777" w:rsidR="009677CC" w:rsidRPr="00BD7A62" w:rsidRDefault="00F22DA1">
      <w:pPr>
        <w:pStyle w:val="Ttulo2"/>
        <w:spacing w:before="0" w:after="0" w:line="360" w:lineRule="auto"/>
        <w:rPr>
          <w:rFonts w:ascii="Palatino Linotype" w:eastAsia="Palatino Linotype" w:hAnsi="Palatino Linotype" w:cs="Palatino Linotype"/>
          <w:color w:val="000000"/>
          <w:sz w:val="22"/>
          <w:szCs w:val="22"/>
        </w:rPr>
      </w:pPr>
      <w:bookmarkStart w:id="16" w:name="_Toc196151076"/>
      <w:bookmarkStart w:id="17" w:name="_Toc196405804"/>
      <w:r w:rsidRPr="00BD7A62">
        <w:rPr>
          <w:rFonts w:ascii="Palatino Linotype" w:eastAsia="Palatino Linotype" w:hAnsi="Palatino Linotype" w:cs="Palatino Linotype"/>
          <w:color w:val="000000"/>
          <w:sz w:val="22"/>
          <w:szCs w:val="22"/>
        </w:rPr>
        <w:t>TERCERO. Determinación de la Controversia</w:t>
      </w:r>
      <w:bookmarkEnd w:id="16"/>
      <w:bookmarkEnd w:id="17"/>
    </w:p>
    <w:p w14:paraId="62CF89CC" w14:textId="77777777" w:rsidR="00FF782A" w:rsidRPr="00BD7A62" w:rsidRDefault="00FF782A" w:rsidP="00FF782A">
      <w:pPr>
        <w:rPr>
          <w:rFonts w:eastAsia="Palatino Linotype"/>
        </w:rPr>
      </w:pPr>
    </w:p>
    <w:p w14:paraId="5F6A0C9E" w14:textId="77777777" w:rsidR="009677CC" w:rsidRPr="00BD7A62" w:rsidRDefault="00F22DA1">
      <w:pPr>
        <w:tabs>
          <w:tab w:val="left" w:pos="4962"/>
        </w:tabs>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La parte Solicitante requirió copias certificadas de los siguientes documentos relacionados con un vehículo:</w:t>
      </w:r>
    </w:p>
    <w:p w14:paraId="02730110" w14:textId="596B54AA" w:rsidR="009677CC" w:rsidRPr="00BD7A62" w:rsidRDefault="00F22DA1">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Documento que acredite la baja de las placas identificadas en la solicitud con terminación 5401.</w:t>
      </w:r>
    </w:p>
    <w:p w14:paraId="10FC795D" w14:textId="059BF32D" w:rsidR="009677CC" w:rsidRPr="00BD7A62" w:rsidRDefault="00F22DA1">
      <w:pPr>
        <w:numPr>
          <w:ilvl w:val="0"/>
          <w:numId w:val="4"/>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Documento que acredite la baja de las placas identificadas en la solicitud con terminación 9582.</w:t>
      </w:r>
    </w:p>
    <w:p w14:paraId="40C8A141" w14:textId="77777777" w:rsidR="009677CC" w:rsidRPr="00BD7A62" w:rsidRDefault="009677CC">
      <w:pPr>
        <w:tabs>
          <w:tab w:val="left" w:pos="4962"/>
        </w:tabs>
        <w:spacing w:line="360" w:lineRule="auto"/>
        <w:jc w:val="both"/>
        <w:rPr>
          <w:rFonts w:ascii="Palatino Linotype" w:eastAsia="Palatino Linotype" w:hAnsi="Palatino Linotype" w:cs="Palatino Linotype"/>
          <w:b/>
          <w:sz w:val="22"/>
          <w:szCs w:val="22"/>
        </w:rPr>
      </w:pPr>
    </w:p>
    <w:p w14:paraId="28BC00C5" w14:textId="691E7A1F" w:rsidR="001C1E07" w:rsidRPr="00BD7A62" w:rsidRDefault="001C1E07">
      <w:pPr>
        <w:tabs>
          <w:tab w:val="left" w:pos="4962"/>
        </w:tabs>
        <w:spacing w:line="360" w:lineRule="auto"/>
        <w:jc w:val="both"/>
        <w:rPr>
          <w:rFonts w:ascii="Palatino Linotype" w:eastAsia="Palatino Linotype" w:hAnsi="Palatino Linotype" w:cs="Palatino Linotype"/>
          <w:bCs/>
          <w:sz w:val="22"/>
          <w:szCs w:val="22"/>
        </w:rPr>
      </w:pPr>
      <w:r w:rsidRPr="00BD7A62">
        <w:rPr>
          <w:rFonts w:ascii="Palatino Linotype" w:eastAsia="Palatino Linotype" w:hAnsi="Palatino Linotype" w:cs="Palatino Linotype"/>
          <w:bCs/>
          <w:sz w:val="22"/>
          <w:szCs w:val="22"/>
        </w:rPr>
        <w:t xml:space="preserve">Es de destacar que ambas bajas corresponden al vehículo de la persona Recurrente, </w:t>
      </w:r>
      <w:proofErr w:type="gramStart"/>
      <w:r w:rsidRPr="00BD7A62">
        <w:rPr>
          <w:rFonts w:ascii="Palatino Linotype" w:eastAsia="Palatino Linotype" w:hAnsi="Palatino Linotype" w:cs="Palatino Linotype"/>
          <w:bCs/>
          <w:sz w:val="22"/>
          <w:szCs w:val="22"/>
        </w:rPr>
        <w:t>mismo</w:t>
      </w:r>
      <w:proofErr w:type="gramEnd"/>
      <w:r w:rsidRPr="00BD7A62">
        <w:rPr>
          <w:rFonts w:ascii="Palatino Linotype" w:eastAsia="Palatino Linotype" w:hAnsi="Palatino Linotype" w:cs="Palatino Linotype"/>
          <w:bCs/>
          <w:sz w:val="22"/>
          <w:szCs w:val="22"/>
        </w:rPr>
        <w:t xml:space="preserve"> que acreditó ser el propietario del vehículo.</w:t>
      </w:r>
    </w:p>
    <w:p w14:paraId="1D8407B9" w14:textId="77777777" w:rsidR="001C1E07" w:rsidRPr="00BD7A62" w:rsidRDefault="001C1E07">
      <w:pPr>
        <w:tabs>
          <w:tab w:val="left" w:pos="4962"/>
        </w:tabs>
        <w:spacing w:line="360" w:lineRule="auto"/>
        <w:jc w:val="both"/>
        <w:rPr>
          <w:rFonts w:ascii="Palatino Linotype" w:eastAsia="Palatino Linotype" w:hAnsi="Palatino Linotype" w:cs="Palatino Linotype"/>
          <w:bCs/>
          <w:sz w:val="22"/>
          <w:szCs w:val="22"/>
        </w:rPr>
      </w:pPr>
    </w:p>
    <w:p w14:paraId="6BDF1B7E" w14:textId="77777777" w:rsidR="009677CC" w:rsidRPr="00BD7A62" w:rsidRDefault="00F22DA1">
      <w:pPr>
        <w:tabs>
          <w:tab w:val="left" w:pos="4962"/>
        </w:tabs>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lastRenderedPageBreak/>
        <w:t xml:space="preserve">En respuesta, el Sujeto Obligado a través de la Subdirectora de Normas y Procedimientos y servidora pública habilitada suplente de la Dirección General de Recaudación y de la Directora del Registro Estatal de Vehículos, señalaron que la información se encuentra clasificada como confidencial por tratarse de datos personales confidenciales y que en caso de tratarse del titular de los datos, se le informó de la posibilidad de acudir a las oficinas de la Dirección de Registro Estatal de Vehículos y que previa acreditación de su personalidad e interés jurídico, se le entregaría la información. De igual forma, se remitió el acuerdo del Comité de Transparencia en el que se confirmó la clasificación de los documentos relativos al trámite de baja de los vehículos referidos en la solicitud. Derivado de la respuesta, la parte Recurrente se inconformó y señaló que es parte del expediente relacionado con el trámite de baja de placas y que, por tanto, se trata de un acceso a sus datos personales, asimismo solicitó que le indicarán el nombre de las personas que pueden acceder a la información para ejercer el derecho. </w:t>
      </w:r>
    </w:p>
    <w:p w14:paraId="692EABA7" w14:textId="77777777" w:rsidR="009677CC" w:rsidRPr="00BD7A62" w:rsidRDefault="009677CC">
      <w:pPr>
        <w:tabs>
          <w:tab w:val="left" w:pos="4962"/>
        </w:tabs>
        <w:spacing w:line="360" w:lineRule="auto"/>
        <w:jc w:val="both"/>
        <w:rPr>
          <w:rFonts w:ascii="Palatino Linotype" w:eastAsia="Palatino Linotype" w:hAnsi="Palatino Linotype" w:cs="Palatino Linotype"/>
          <w:sz w:val="22"/>
          <w:szCs w:val="22"/>
        </w:rPr>
      </w:pPr>
    </w:p>
    <w:p w14:paraId="3E7C21AD" w14:textId="77777777" w:rsidR="009677CC" w:rsidRPr="00BD7A62" w:rsidRDefault="00F22DA1">
      <w:pPr>
        <w:tabs>
          <w:tab w:val="left" w:pos="4962"/>
        </w:tabs>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Derivado de lo anterior, se recondujo la vía y dado que la persona Recurrente acreditó su identidad y ser propietario del vehículo, se determinó procedente admitir el Recurso de Revisión en un ejercicio de acceso a datos personales. Durante la etapa de conciliación, ambas partes fueron omisas en expresar su voluntad de conciliar.</w:t>
      </w:r>
    </w:p>
    <w:p w14:paraId="3B24B4ED" w14:textId="77777777" w:rsidR="009677CC" w:rsidRPr="00BD7A62" w:rsidRDefault="009677CC">
      <w:pPr>
        <w:tabs>
          <w:tab w:val="left" w:pos="4962"/>
        </w:tabs>
        <w:spacing w:line="360" w:lineRule="auto"/>
        <w:jc w:val="both"/>
        <w:rPr>
          <w:rFonts w:ascii="Palatino Linotype" w:eastAsia="Palatino Linotype" w:hAnsi="Palatino Linotype" w:cs="Palatino Linotype"/>
          <w:sz w:val="22"/>
          <w:szCs w:val="22"/>
        </w:rPr>
      </w:pPr>
    </w:p>
    <w:p w14:paraId="0A3DC217" w14:textId="77777777" w:rsidR="009677CC" w:rsidRPr="00BD7A62" w:rsidRDefault="00F22DA1">
      <w:pPr>
        <w:tabs>
          <w:tab w:val="left" w:pos="4962"/>
        </w:tabs>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Durante la sustanciación del Recurso de Revisión, el Sujeto Obligado rindió informe justificado en el que medularmente ratificó la respuesta inicial e insistió en que, para el caso de que se trate del titular de los datos personales acuda ante las oficinas de la Dirección del Registro Estatal de Vehículos, proporcionó su ubicación, el horario y señaló que previa acreditación de la personalidad e interés jurídico se le haría entrega de la documentación que pretende conocer</w:t>
      </w:r>
    </w:p>
    <w:p w14:paraId="7E4BA599" w14:textId="77777777" w:rsidR="009677CC" w:rsidRPr="00BD7A62" w:rsidRDefault="009677CC">
      <w:pPr>
        <w:tabs>
          <w:tab w:val="left" w:pos="4962"/>
        </w:tabs>
        <w:spacing w:line="360" w:lineRule="auto"/>
        <w:jc w:val="both"/>
        <w:rPr>
          <w:rFonts w:ascii="Palatino Linotype" w:eastAsia="Palatino Linotype" w:hAnsi="Palatino Linotype" w:cs="Palatino Linotype"/>
          <w:sz w:val="22"/>
          <w:szCs w:val="22"/>
        </w:rPr>
      </w:pPr>
    </w:p>
    <w:p w14:paraId="371CD618"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color w:val="000000"/>
          <w:sz w:val="22"/>
          <w:szCs w:val="22"/>
        </w:rPr>
        <w:lastRenderedPageBreak/>
        <w:t>E</w:t>
      </w:r>
      <w:r w:rsidRPr="00BD7A62">
        <w:rPr>
          <w:rFonts w:ascii="Palatino Linotype" w:eastAsia="Palatino Linotype" w:hAnsi="Palatino Linotype" w:cs="Palatino Linotype"/>
          <w:sz w:val="22"/>
          <w:szCs w:val="22"/>
        </w:rPr>
        <w:t>n este sentido, se identifica que es procedente el recurso de revisión al rubro, toda vez que se actualiza la causal de procedencia establecida en el artículo 129, fracción XII, de la Ley de Protección de Datos Personales en Posesión de Sujetos Obligados del Estado de México y Municipios, toda vez que se consideró que la respuesta es desfavorable a la solicitud.</w:t>
      </w:r>
    </w:p>
    <w:p w14:paraId="613DC778" w14:textId="77777777" w:rsidR="005D4C4E" w:rsidRPr="00BD7A62" w:rsidRDefault="005D4C4E">
      <w:pPr>
        <w:spacing w:line="360" w:lineRule="auto"/>
        <w:jc w:val="both"/>
        <w:rPr>
          <w:rFonts w:ascii="Palatino Linotype" w:eastAsia="Palatino Linotype" w:hAnsi="Palatino Linotype" w:cs="Palatino Linotype"/>
          <w:sz w:val="22"/>
          <w:szCs w:val="22"/>
        </w:rPr>
      </w:pPr>
    </w:p>
    <w:p w14:paraId="190BC23F" w14:textId="77777777" w:rsidR="009677CC" w:rsidRPr="00BD7A62" w:rsidRDefault="00F22DA1">
      <w:pPr>
        <w:pStyle w:val="Ttulo2"/>
        <w:spacing w:before="0" w:after="0" w:line="360" w:lineRule="auto"/>
        <w:rPr>
          <w:rFonts w:ascii="Palatino Linotype" w:eastAsia="Palatino Linotype" w:hAnsi="Palatino Linotype" w:cs="Palatino Linotype"/>
          <w:b w:val="0"/>
          <w:sz w:val="22"/>
          <w:szCs w:val="22"/>
        </w:rPr>
      </w:pPr>
      <w:bookmarkStart w:id="18" w:name="_Toc196151077"/>
      <w:bookmarkStart w:id="19" w:name="_Toc196405805"/>
      <w:r w:rsidRPr="00BD7A62">
        <w:rPr>
          <w:rFonts w:ascii="Palatino Linotype" w:eastAsia="Palatino Linotype" w:hAnsi="Palatino Linotype" w:cs="Palatino Linotype"/>
          <w:sz w:val="22"/>
          <w:szCs w:val="22"/>
        </w:rPr>
        <w:t>CUARTO. Marco normativo aplicable en materia de acceso, rectificación, cancelación y oposición de datos personales.</w:t>
      </w:r>
      <w:bookmarkEnd w:id="18"/>
      <w:bookmarkEnd w:id="19"/>
    </w:p>
    <w:p w14:paraId="7327AFE5" w14:textId="77777777" w:rsidR="009677CC" w:rsidRPr="00BD7A62" w:rsidRDefault="009677CC">
      <w:pPr>
        <w:spacing w:line="360" w:lineRule="auto"/>
        <w:jc w:val="both"/>
        <w:rPr>
          <w:rFonts w:ascii="Palatino Linotype" w:eastAsia="Palatino Linotype" w:hAnsi="Palatino Linotype" w:cs="Palatino Linotype"/>
          <w:b/>
          <w:sz w:val="22"/>
          <w:szCs w:val="22"/>
        </w:rPr>
      </w:pPr>
    </w:p>
    <w:p w14:paraId="5493C932"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Los derechos de Acceso, Rectificación, Cancelación y Oposición de datos personales, se encuentran regulados en los artículos 5°, fracción V, de la Constitución Política del Estado Libre y Soberano de México, establece que, en los mecanismos de garantizar los datos personales, se debe considerar que los procedimientos de acceso, corrección y suspensión de datos y los recursos de revisión se pueden tramitar a través de medios electrónicos.</w:t>
      </w:r>
    </w:p>
    <w:p w14:paraId="449A574F"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70144ADC"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 xml:space="preserve">Por su parte la Ley de protección de datos personales en posesión de Sujetos Obligados del Estado de México, establece en sus artículos 81 y 82 fracción III que el Instituto es la autoridad encargada de garantizar a toda persona la protección de sus datos personales y que tiene atribuciones para conocer, sustanciar y resolver los recursos de revisión interpuestos por los titulares o sus representantes. </w:t>
      </w:r>
    </w:p>
    <w:p w14:paraId="5588DFF8"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7F050548"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 xml:space="preserve">De igual forma el artículo 97 de la Ley de protección de datos personales en posesión de Sujetos Obligados del Estado de México, establece los derechos de acceso, rectificación, cancelación y oposición de datos personales son derechos independientes y que el ejercicio de cualquiera de estos derechos ARCO, forma parte de las garantías primarias del derecho a la protección de datos personales. </w:t>
      </w:r>
    </w:p>
    <w:p w14:paraId="5C6CEFCC" w14:textId="77777777" w:rsidR="001C1E07" w:rsidRPr="00BD7A62" w:rsidRDefault="001C1E07">
      <w:pPr>
        <w:spacing w:line="360" w:lineRule="auto"/>
        <w:jc w:val="both"/>
        <w:rPr>
          <w:rFonts w:ascii="Palatino Linotype" w:eastAsia="Palatino Linotype" w:hAnsi="Palatino Linotype" w:cs="Palatino Linotype"/>
          <w:sz w:val="22"/>
          <w:szCs w:val="22"/>
        </w:rPr>
      </w:pPr>
    </w:p>
    <w:p w14:paraId="7EA89356"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lastRenderedPageBreak/>
        <w:t>Así pues, 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242957EF"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611F31E1" w14:textId="77777777" w:rsidR="009677CC" w:rsidRPr="00BD7A62" w:rsidRDefault="00F22DA1">
      <w:pPr>
        <w:pStyle w:val="Ttulo2"/>
        <w:spacing w:before="0" w:after="0" w:line="360" w:lineRule="auto"/>
        <w:rPr>
          <w:rFonts w:ascii="Palatino Linotype" w:eastAsia="Palatino Linotype" w:hAnsi="Palatino Linotype" w:cs="Palatino Linotype"/>
          <w:b w:val="0"/>
          <w:sz w:val="22"/>
          <w:szCs w:val="22"/>
        </w:rPr>
      </w:pPr>
      <w:bookmarkStart w:id="20" w:name="_Toc196151078"/>
      <w:bookmarkStart w:id="21" w:name="_Toc196405806"/>
      <w:r w:rsidRPr="00BD7A62">
        <w:rPr>
          <w:rFonts w:ascii="Palatino Linotype" w:eastAsia="Palatino Linotype" w:hAnsi="Palatino Linotype" w:cs="Palatino Linotype"/>
          <w:sz w:val="22"/>
          <w:szCs w:val="22"/>
        </w:rPr>
        <w:t>QUINTO. Estudio de Fondo</w:t>
      </w:r>
      <w:bookmarkEnd w:id="20"/>
      <w:bookmarkEnd w:id="21"/>
    </w:p>
    <w:p w14:paraId="04C97E93"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41098E37" w14:textId="77777777"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Una vez expuesto lo anterior es menester señalar que, en los motivos de inconformidad, la parte Recurrente amplió su solicitud de información inicial, ya que, señaló lo siguiente:</w:t>
      </w:r>
    </w:p>
    <w:p w14:paraId="26A1B264" w14:textId="77777777" w:rsidR="009677CC" w:rsidRPr="00BD7A62" w:rsidRDefault="009677CC">
      <w:pPr>
        <w:spacing w:line="360" w:lineRule="auto"/>
        <w:jc w:val="both"/>
        <w:rPr>
          <w:rFonts w:ascii="Palatino Linotype" w:eastAsia="Palatino Linotype" w:hAnsi="Palatino Linotype" w:cs="Palatino Linotype"/>
          <w:color w:val="000000"/>
        </w:rPr>
      </w:pPr>
    </w:p>
    <w:p w14:paraId="24457B13" w14:textId="77777777" w:rsidR="009677CC" w:rsidRPr="00BD7A62" w:rsidRDefault="00F22DA1">
      <w:pPr>
        <w:spacing w:line="360" w:lineRule="auto"/>
        <w:jc w:val="both"/>
        <w:rPr>
          <w:rFonts w:ascii="Palatino Linotype" w:eastAsia="Palatino Linotype" w:hAnsi="Palatino Linotype" w:cs="Palatino Linotype"/>
          <w:color w:val="000000"/>
        </w:rPr>
      </w:pPr>
      <w:r w:rsidRPr="00BD7A62">
        <w:rPr>
          <w:rFonts w:ascii="Palatino Linotype" w:eastAsia="Palatino Linotype" w:hAnsi="Palatino Linotype" w:cs="Palatino Linotype"/>
          <w:i/>
        </w:rPr>
        <w:t xml:space="preserve">“…Y SI NO ES POSIBLE ESTE DERECHO SOLICITO SE MENCIONE LOS NOMBRES DE LAS PERSONAS CON EL DERECHO PARA SOLICITAR ESTE DOCUMENTO, PARA ESTAR EN LA POSIBILIDAD DE EJERCER EL DERECHO QUE LE </w:t>
      </w:r>
      <w:proofErr w:type="gramStart"/>
      <w:r w:rsidRPr="00BD7A62">
        <w:rPr>
          <w:rFonts w:ascii="Palatino Linotype" w:eastAsia="Palatino Linotype" w:hAnsi="Palatino Linotype" w:cs="Palatino Linotype"/>
          <w:i/>
        </w:rPr>
        <w:t>CORRESPONDA .</w:t>
      </w:r>
      <w:proofErr w:type="gramEnd"/>
      <w:r w:rsidRPr="00BD7A62">
        <w:rPr>
          <w:rFonts w:ascii="Palatino Linotype" w:eastAsia="Palatino Linotype" w:hAnsi="Palatino Linotype" w:cs="Palatino Linotype"/>
          <w:i/>
        </w:rPr>
        <w:t xml:space="preserve"> Y ACREDITAR LA PERSONALIDAD JURIDICA QUE A DERECHO CORRESPONDA.” (Sic).</w:t>
      </w:r>
    </w:p>
    <w:p w14:paraId="188F4C17"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4C66CD12" w14:textId="77777777" w:rsidR="009677CC" w:rsidRPr="00BD7A62" w:rsidRDefault="00F22DA1">
      <w:pPr>
        <w:tabs>
          <w:tab w:val="left" w:pos="4962"/>
        </w:tabs>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sz w:val="22"/>
          <w:szCs w:val="22"/>
        </w:rPr>
        <w:t xml:space="preserve">En virtud de que los anteriores no fueron requeridos en la solicitud inicial, se configura lo que se conoce como </w:t>
      </w:r>
      <w:r w:rsidRPr="00BD7A62">
        <w:rPr>
          <w:rFonts w:ascii="Palatino Linotype" w:eastAsia="Palatino Linotype" w:hAnsi="Palatino Linotype" w:cs="Palatino Linotype"/>
          <w:b/>
          <w:i/>
          <w:sz w:val="22"/>
          <w:szCs w:val="22"/>
        </w:rPr>
        <w:t xml:space="preserve">plus </w:t>
      </w:r>
      <w:proofErr w:type="spellStart"/>
      <w:r w:rsidRPr="00BD7A62">
        <w:rPr>
          <w:rFonts w:ascii="Palatino Linotype" w:eastAsia="Palatino Linotype" w:hAnsi="Palatino Linotype" w:cs="Palatino Linotype"/>
          <w:b/>
          <w:i/>
          <w:sz w:val="22"/>
          <w:szCs w:val="22"/>
        </w:rPr>
        <w:t>petitio</w:t>
      </w:r>
      <w:proofErr w:type="spellEnd"/>
      <w:r w:rsidRPr="00BD7A62">
        <w:rPr>
          <w:rFonts w:ascii="Palatino Linotype" w:eastAsia="Palatino Linotype" w:hAnsi="Palatino Linotype" w:cs="Palatino Linotype"/>
          <w:i/>
          <w:sz w:val="22"/>
          <w:szCs w:val="22"/>
        </w:rPr>
        <w:t xml:space="preserve">, </w:t>
      </w:r>
      <w:r w:rsidRPr="00BD7A62">
        <w:rPr>
          <w:rFonts w:ascii="Palatino Linotype" w:eastAsia="Palatino Linotype" w:hAnsi="Palatino Linotype" w:cs="Palatino Linotype"/>
          <w:sz w:val="22"/>
          <w:szCs w:val="22"/>
        </w:rPr>
        <w:t xml:space="preserve">que consiste en una ampliación a su requerimiento informativo, argumentos que no son susceptibles de ser valorados en términos de la fracción VII del Artículo 138, fracción VI de la </w:t>
      </w:r>
      <w:r w:rsidRPr="00BD7A62">
        <w:rPr>
          <w:rFonts w:ascii="Palatino Linotype" w:eastAsia="Palatino Linotype" w:hAnsi="Palatino Linotype" w:cs="Palatino Linotype"/>
          <w:color w:val="000000"/>
          <w:sz w:val="22"/>
          <w:szCs w:val="22"/>
        </w:rPr>
        <w:t xml:space="preserve">Ley de protección de datos personales en posesión de Sujetos Obligados del Estado de México y Municipios, el cual señala la improcedencia cuando la persona Recurrente amplíe su solicitud en el recurso de revisión, </w:t>
      </w:r>
      <w:r w:rsidRPr="00BD7A62">
        <w:rPr>
          <w:rFonts w:ascii="Palatino Linotype" w:eastAsia="Palatino Linotype" w:hAnsi="Palatino Linotype" w:cs="Palatino Linotype"/>
          <w:b/>
          <w:color w:val="000000"/>
          <w:sz w:val="22"/>
          <w:szCs w:val="22"/>
          <w:u w:val="single"/>
        </w:rPr>
        <w:t>únicamente respecto de los nuevos contenidos</w:t>
      </w:r>
      <w:r w:rsidRPr="00BD7A62">
        <w:rPr>
          <w:rFonts w:ascii="Palatino Linotype" w:eastAsia="Palatino Linotype" w:hAnsi="Palatino Linotype" w:cs="Palatino Linotype"/>
          <w:color w:val="000000"/>
          <w:sz w:val="22"/>
          <w:szCs w:val="22"/>
        </w:rPr>
        <w:t>. Por lo cual el requerimiento realizado a través del medio de impugnación configura un nuevo contenido que pretende ampliar la solicitud, situación que no será sujeta de análisis por resultar improcedente.</w:t>
      </w:r>
    </w:p>
    <w:p w14:paraId="1ED606A7" w14:textId="77777777" w:rsidR="009677CC" w:rsidRPr="00BD7A62" w:rsidRDefault="009677CC">
      <w:pPr>
        <w:tabs>
          <w:tab w:val="left" w:pos="4962"/>
        </w:tabs>
        <w:spacing w:line="360" w:lineRule="auto"/>
        <w:jc w:val="both"/>
        <w:rPr>
          <w:rFonts w:ascii="Palatino Linotype" w:eastAsia="Palatino Linotype" w:hAnsi="Palatino Linotype" w:cs="Palatino Linotype"/>
          <w:color w:val="000000"/>
          <w:sz w:val="22"/>
          <w:szCs w:val="22"/>
        </w:rPr>
      </w:pPr>
    </w:p>
    <w:p w14:paraId="13CA09B7" w14:textId="77777777" w:rsidR="009677CC" w:rsidRPr="00BD7A62" w:rsidRDefault="00F22DA1">
      <w:pPr>
        <w:tabs>
          <w:tab w:val="left" w:pos="4962"/>
        </w:tabs>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lastRenderedPageBreak/>
        <w:t xml:space="preserve">Así pues, subsiste el motivo de agravio en contra de la respuesta proporcionada por el Sujeto Obligado, para cuyo análisis, es necesario recordar que la parte Recurrente requiere la entrega de documentos relacionados con la baja de placas, así a fin de determinar la competencia con la que cuenta el Sujeto Obligado, vale la pena señalar que en el artículo 7.8 de Código Administrativo del Estado de México, se precisa que a la Secretaría de Finanzas le corresponde matricular los vehículos destinados al transporte de uso particular, por lo que expide las placas de matriculación y demás elementos de identificación, asimismo </w:t>
      </w:r>
      <w:r w:rsidRPr="00BD7A62">
        <w:rPr>
          <w:rFonts w:ascii="Palatino Linotype" w:eastAsia="Palatino Linotype" w:hAnsi="Palatino Linotype" w:cs="Palatino Linotype"/>
          <w:sz w:val="22"/>
          <w:szCs w:val="22"/>
        </w:rPr>
        <w:t>realizar</w:t>
      </w:r>
      <w:r w:rsidRPr="00BD7A62">
        <w:rPr>
          <w:rFonts w:ascii="Palatino Linotype" w:eastAsia="Palatino Linotype" w:hAnsi="Palatino Linotype" w:cs="Palatino Linotype"/>
          <w:color w:val="000000"/>
          <w:sz w:val="22"/>
          <w:szCs w:val="22"/>
        </w:rPr>
        <w:t xml:space="preserve"> aquellos </w:t>
      </w:r>
      <w:r w:rsidRPr="00BD7A62">
        <w:rPr>
          <w:rFonts w:ascii="Palatino Linotype" w:eastAsia="Palatino Linotype" w:hAnsi="Palatino Linotype" w:cs="Palatino Linotype"/>
          <w:sz w:val="22"/>
          <w:szCs w:val="22"/>
        </w:rPr>
        <w:t>trámites</w:t>
      </w:r>
      <w:r w:rsidRPr="00BD7A62">
        <w:rPr>
          <w:rFonts w:ascii="Palatino Linotype" w:eastAsia="Palatino Linotype" w:hAnsi="Palatino Linotype" w:cs="Palatino Linotype"/>
          <w:color w:val="000000"/>
          <w:sz w:val="22"/>
          <w:szCs w:val="22"/>
        </w:rPr>
        <w:t xml:space="preserve"> de control vehicular que modifiquen y actualicen el registro de vehículos, por lo que </w:t>
      </w:r>
      <w:r w:rsidRPr="00BD7A62">
        <w:rPr>
          <w:rFonts w:ascii="Palatino Linotype" w:eastAsia="Palatino Linotype" w:hAnsi="Palatino Linotype" w:cs="Palatino Linotype"/>
          <w:b/>
          <w:color w:val="000000"/>
          <w:sz w:val="22"/>
          <w:szCs w:val="22"/>
        </w:rPr>
        <w:t>se robustece la competencia del Sujeto Obligado para conocer de los registros vehiculares.</w:t>
      </w:r>
    </w:p>
    <w:p w14:paraId="48E36B2D" w14:textId="77777777" w:rsidR="009677CC" w:rsidRPr="00BD7A62" w:rsidRDefault="009677CC">
      <w:pPr>
        <w:tabs>
          <w:tab w:val="left" w:pos="4962"/>
        </w:tabs>
        <w:spacing w:line="360" w:lineRule="auto"/>
        <w:jc w:val="both"/>
        <w:rPr>
          <w:rFonts w:ascii="Palatino Linotype" w:eastAsia="Palatino Linotype" w:hAnsi="Palatino Linotype" w:cs="Palatino Linotype"/>
          <w:color w:val="000000"/>
          <w:sz w:val="22"/>
          <w:szCs w:val="22"/>
        </w:rPr>
      </w:pPr>
    </w:p>
    <w:p w14:paraId="579371F1" w14:textId="77777777" w:rsidR="009677CC" w:rsidRPr="00BD7A62" w:rsidRDefault="00F22DA1">
      <w:pPr>
        <w:tabs>
          <w:tab w:val="left" w:pos="4962"/>
        </w:tabs>
        <w:spacing w:line="360" w:lineRule="auto"/>
        <w:jc w:val="both"/>
        <w:rPr>
          <w:rFonts w:ascii="Palatino Linotype" w:eastAsia="Palatino Linotype" w:hAnsi="Palatino Linotype" w:cs="Palatino Linotype"/>
          <w:b/>
          <w:color w:val="000000"/>
          <w:sz w:val="22"/>
          <w:szCs w:val="22"/>
        </w:rPr>
      </w:pPr>
      <w:r w:rsidRPr="00BD7A62">
        <w:rPr>
          <w:rFonts w:ascii="Palatino Linotype" w:eastAsia="Palatino Linotype" w:hAnsi="Palatino Linotype" w:cs="Palatino Linotype"/>
          <w:color w:val="000000"/>
          <w:sz w:val="22"/>
          <w:szCs w:val="22"/>
        </w:rPr>
        <w:t xml:space="preserve">Cabe precisar que el artículo 7.14 del mismo Código Administrativo del Estado de México, establece las obligaciones con la que cuentan los propietarios o poseedores de vehículos automotores, y entre ellas, se advierte la tramitación de la matricular, renovación de placas, baja de vehículos, cambio de propietario o reposición de la tarjeta de circulación y dar aviso en el cambio o modificación del vehículo ante el Registro vehicular, que tendrá lugar ante la Secretaría de Finanzas y </w:t>
      </w:r>
      <w:proofErr w:type="spellStart"/>
      <w:r w:rsidRPr="00BD7A62">
        <w:rPr>
          <w:rFonts w:ascii="Palatino Linotype" w:eastAsia="Palatino Linotype" w:hAnsi="Palatino Linotype" w:cs="Palatino Linotype"/>
          <w:color w:val="000000"/>
          <w:sz w:val="22"/>
          <w:szCs w:val="22"/>
        </w:rPr>
        <w:t>especifica</w:t>
      </w:r>
      <w:proofErr w:type="spellEnd"/>
      <w:r w:rsidRPr="00BD7A62">
        <w:rPr>
          <w:rFonts w:ascii="Palatino Linotype" w:eastAsia="Palatino Linotype" w:hAnsi="Palatino Linotype" w:cs="Palatino Linotype"/>
          <w:color w:val="000000"/>
          <w:sz w:val="22"/>
          <w:szCs w:val="22"/>
        </w:rPr>
        <w:t xml:space="preserve">, que en el </w:t>
      </w:r>
      <w:r w:rsidRPr="00BD7A62">
        <w:rPr>
          <w:rFonts w:ascii="Palatino Linotype" w:eastAsia="Palatino Linotype" w:hAnsi="Palatino Linotype" w:cs="Palatino Linotype"/>
          <w:sz w:val="22"/>
          <w:szCs w:val="22"/>
        </w:rPr>
        <w:t>trámite</w:t>
      </w:r>
      <w:r w:rsidRPr="00BD7A62">
        <w:rPr>
          <w:rFonts w:ascii="Palatino Linotype" w:eastAsia="Palatino Linotype" w:hAnsi="Palatino Linotype" w:cs="Palatino Linotype"/>
          <w:color w:val="000000"/>
          <w:sz w:val="22"/>
          <w:szCs w:val="22"/>
        </w:rPr>
        <w:t xml:space="preserve"> de baja de placas, deben entregarse las mismas, </w:t>
      </w:r>
      <w:r w:rsidRPr="00BD7A62">
        <w:rPr>
          <w:rFonts w:ascii="Palatino Linotype" w:eastAsia="Palatino Linotype" w:hAnsi="Palatino Linotype" w:cs="Palatino Linotype"/>
          <w:b/>
          <w:color w:val="000000"/>
          <w:sz w:val="22"/>
          <w:szCs w:val="22"/>
        </w:rPr>
        <w:t xml:space="preserve"> lo cual fortalece que la Secretaría de Finanzas conoce de los </w:t>
      </w:r>
      <w:r w:rsidRPr="00BD7A62">
        <w:rPr>
          <w:rFonts w:ascii="Palatino Linotype" w:eastAsia="Palatino Linotype" w:hAnsi="Palatino Linotype" w:cs="Palatino Linotype"/>
          <w:b/>
          <w:sz w:val="22"/>
          <w:szCs w:val="22"/>
        </w:rPr>
        <w:t>trámites</w:t>
      </w:r>
      <w:r w:rsidRPr="00BD7A62">
        <w:rPr>
          <w:rFonts w:ascii="Palatino Linotype" w:eastAsia="Palatino Linotype" w:hAnsi="Palatino Linotype" w:cs="Palatino Linotype"/>
          <w:b/>
          <w:color w:val="000000"/>
          <w:sz w:val="22"/>
          <w:szCs w:val="22"/>
        </w:rPr>
        <w:t xml:space="preserve"> de las bajas de placas. </w:t>
      </w:r>
    </w:p>
    <w:p w14:paraId="4E870729" w14:textId="77777777" w:rsidR="009677CC" w:rsidRPr="00BD7A62" w:rsidRDefault="009677CC">
      <w:pPr>
        <w:tabs>
          <w:tab w:val="left" w:pos="4962"/>
        </w:tabs>
        <w:spacing w:line="360" w:lineRule="auto"/>
        <w:jc w:val="both"/>
        <w:rPr>
          <w:rFonts w:ascii="Palatino Linotype" w:eastAsia="Palatino Linotype" w:hAnsi="Palatino Linotype" w:cs="Palatino Linotype"/>
          <w:color w:val="000000"/>
          <w:sz w:val="22"/>
          <w:szCs w:val="22"/>
        </w:rPr>
      </w:pPr>
    </w:p>
    <w:p w14:paraId="2D2A9D37" w14:textId="3F3A8F41" w:rsidR="009677CC" w:rsidRPr="00BD7A62" w:rsidRDefault="00F22DA1">
      <w:pPr>
        <w:tabs>
          <w:tab w:val="left" w:pos="4962"/>
        </w:tabs>
        <w:spacing w:line="360" w:lineRule="auto"/>
        <w:jc w:val="both"/>
        <w:rPr>
          <w:rFonts w:ascii="Palatino Linotype" w:eastAsia="Palatino Linotype" w:hAnsi="Palatino Linotype" w:cs="Palatino Linotype"/>
          <w:b/>
          <w:color w:val="000000"/>
          <w:sz w:val="22"/>
          <w:szCs w:val="22"/>
        </w:rPr>
      </w:pPr>
      <w:r w:rsidRPr="00BD7A62">
        <w:rPr>
          <w:rFonts w:ascii="Palatino Linotype" w:eastAsia="Palatino Linotype" w:hAnsi="Palatino Linotype" w:cs="Palatino Linotype"/>
          <w:color w:val="000000"/>
          <w:sz w:val="22"/>
          <w:szCs w:val="22"/>
        </w:rPr>
        <w:t xml:space="preserve">Por su parte, el Código Financiero del Estado de México y Municipios establece en su artículo 47, fracción II, que dentro de las obligaciones de los contribuyentes se encuentra tramitar la baja de vehículos del padrón vehicular de la entidad, en caso de que exista un siniestro que cause la </w:t>
      </w:r>
      <w:r w:rsidRPr="00BD7A62">
        <w:rPr>
          <w:rFonts w:ascii="Palatino Linotype" w:eastAsia="Palatino Linotype" w:hAnsi="Palatino Linotype" w:cs="Palatino Linotype"/>
          <w:sz w:val="22"/>
          <w:szCs w:val="22"/>
        </w:rPr>
        <w:t>pérdida</w:t>
      </w:r>
      <w:r w:rsidRPr="00BD7A62">
        <w:rPr>
          <w:rFonts w:ascii="Palatino Linotype" w:eastAsia="Palatino Linotype" w:hAnsi="Palatino Linotype" w:cs="Palatino Linotype"/>
          <w:color w:val="000000"/>
          <w:sz w:val="22"/>
          <w:szCs w:val="22"/>
        </w:rPr>
        <w:t xml:space="preserve"> total del vehículo, robo, deje de ser propietario, tenedor o usuario, en un término que no exceda de quince días a partir del evento, asimismo, en el artículo 77 del mismo Código se establece el cost</w:t>
      </w:r>
      <w:r w:rsidR="001C1E07" w:rsidRPr="00BD7A62">
        <w:rPr>
          <w:rFonts w:ascii="Palatino Linotype" w:eastAsia="Palatino Linotype" w:hAnsi="Palatino Linotype" w:cs="Palatino Linotype"/>
          <w:color w:val="000000"/>
          <w:sz w:val="22"/>
          <w:szCs w:val="22"/>
        </w:rPr>
        <w:t>o</w:t>
      </w:r>
      <w:r w:rsidRPr="00BD7A62">
        <w:rPr>
          <w:rFonts w:ascii="Palatino Linotype" w:eastAsia="Palatino Linotype" w:hAnsi="Palatino Linotype" w:cs="Palatino Linotype"/>
          <w:color w:val="000000"/>
          <w:sz w:val="22"/>
          <w:szCs w:val="22"/>
        </w:rPr>
        <w:t xml:space="preserve"> por el </w:t>
      </w:r>
      <w:r w:rsidRPr="00BD7A62">
        <w:rPr>
          <w:rFonts w:ascii="Palatino Linotype" w:eastAsia="Palatino Linotype" w:hAnsi="Palatino Linotype" w:cs="Palatino Linotype"/>
          <w:sz w:val="22"/>
          <w:szCs w:val="22"/>
        </w:rPr>
        <w:t>trámite</w:t>
      </w:r>
      <w:r w:rsidRPr="00BD7A62">
        <w:rPr>
          <w:rFonts w:ascii="Palatino Linotype" w:eastAsia="Palatino Linotype" w:hAnsi="Palatino Linotype" w:cs="Palatino Linotype"/>
          <w:color w:val="000000"/>
          <w:sz w:val="22"/>
          <w:szCs w:val="22"/>
        </w:rPr>
        <w:t xml:space="preserve"> de baja de vehículos, </w:t>
      </w:r>
      <w:r w:rsidRPr="00BD7A62">
        <w:rPr>
          <w:rFonts w:ascii="Palatino Linotype" w:eastAsia="Palatino Linotype" w:hAnsi="Palatino Linotype" w:cs="Palatino Linotype"/>
          <w:b/>
          <w:color w:val="000000"/>
          <w:sz w:val="22"/>
          <w:szCs w:val="22"/>
        </w:rPr>
        <w:t xml:space="preserve">por lo que se advierte </w:t>
      </w:r>
      <w:r w:rsidRPr="00BD7A62">
        <w:rPr>
          <w:rFonts w:ascii="Palatino Linotype" w:eastAsia="Palatino Linotype" w:hAnsi="Palatino Linotype" w:cs="Palatino Linotype"/>
          <w:b/>
          <w:color w:val="000000"/>
          <w:sz w:val="22"/>
          <w:szCs w:val="22"/>
        </w:rPr>
        <w:lastRenderedPageBreak/>
        <w:t xml:space="preserve">que el trámite de baja de placas le corresponde hacerlo al propietario o poseedor cuando así se requiera. </w:t>
      </w:r>
    </w:p>
    <w:p w14:paraId="56DE2158" w14:textId="77777777" w:rsidR="009677CC" w:rsidRPr="00BD7A62" w:rsidRDefault="009677CC">
      <w:pPr>
        <w:spacing w:line="360" w:lineRule="auto"/>
        <w:rPr>
          <w:rFonts w:ascii="Palatino Linotype" w:eastAsia="Palatino Linotype" w:hAnsi="Palatino Linotype" w:cs="Palatino Linotype"/>
          <w:sz w:val="22"/>
          <w:szCs w:val="22"/>
        </w:rPr>
      </w:pPr>
    </w:p>
    <w:p w14:paraId="22B2090F" w14:textId="77777777"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En atención a lo anterior se robustece que el Sujeto Obligado es competente para conocer de la información solicitada y que, el </w:t>
      </w:r>
      <w:r w:rsidRPr="00BD7A62">
        <w:rPr>
          <w:rFonts w:ascii="Palatino Linotype" w:eastAsia="Palatino Linotype" w:hAnsi="Palatino Linotype" w:cs="Palatino Linotype"/>
          <w:sz w:val="22"/>
          <w:szCs w:val="22"/>
        </w:rPr>
        <w:t>trámite</w:t>
      </w:r>
      <w:r w:rsidRPr="00BD7A62">
        <w:rPr>
          <w:rFonts w:ascii="Palatino Linotype" w:eastAsia="Palatino Linotype" w:hAnsi="Palatino Linotype" w:cs="Palatino Linotype"/>
          <w:color w:val="000000"/>
          <w:sz w:val="22"/>
          <w:szCs w:val="22"/>
        </w:rPr>
        <w:t xml:space="preserve"> de baja de placas tiene lugar cuando las personas propietarias o poseedoras del vehículo lo requieran, lo que implica, que da oportunidad a que no se hubiese actualizado algún supuesto para que se llevará a cabo el trámite.</w:t>
      </w:r>
    </w:p>
    <w:p w14:paraId="4EE639F0" w14:textId="77777777" w:rsidR="00FF782A" w:rsidRPr="00BD7A62" w:rsidRDefault="00FF782A">
      <w:pPr>
        <w:spacing w:line="360" w:lineRule="auto"/>
        <w:jc w:val="both"/>
        <w:rPr>
          <w:rFonts w:ascii="Palatino Linotype" w:eastAsia="Palatino Linotype" w:hAnsi="Palatino Linotype" w:cs="Palatino Linotype"/>
          <w:color w:val="000000"/>
          <w:sz w:val="22"/>
          <w:szCs w:val="22"/>
        </w:rPr>
      </w:pPr>
    </w:p>
    <w:p w14:paraId="0E542120" w14:textId="77777777"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En este contexto, es preciso señalar que el Sujeto Obligado a través </w:t>
      </w:r>
      <w:r w:rsidRPr="00BD7A62">
        <w:rPr>
          <w:rFonts w:ascii="Palatino Linotype" w:eastAsia="Palatino Linotype" w:hAnsi="Palatino Linotype" w:cs="Palatino Linotype"/>
          <w:b/>
          <w:color w:val="000000"/>
          <w:sz w:val="22"/>
          <w:szCs w:val="22"/>
        </w:rPr>
        <w:t>de respuesta e informe justificado indicó que la información relacionada con los trámites de baja de placas de vehículos particulares estaba clasificada como confidencial,</w:t>
      </w:r>
      <w:r w:rsidRPr="00BD7A62">
        <w:rPr>
          <w:rFonts w:ascii="Palatino Linotype" w:eastAsia="Palatino Linotype" w:hAnsi="Palatino Linotype" w:cs="Palatino Linotype"/>
          <w:color w:val="000000"/>
          <w:sz w:val="22"/>
          <w:szCs w:val="22"/>
        </w:rPr>
        <w:t xml:space="preserve"> por lo que remitió un acuerdo demitido por el Comité de Transparencia en el que se determinó la clasificación de la información y señaló que la parte Solicitante no acreditó su identidad en la solicitud; al respecto, es menester precisar que mediante la solicitud y el Recurso de Revisión,  la parte Recurrente señaló que forma parte de los expedientes de baja de las placas y que por tanto, se trata de una acceso a sus datos personales.</w:t>
      </w:r>
    </w:p>
    <w:p w14:paraId="4C877BBA"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04A263C5" w14:textId="77777777" w:rsidR="009677CC" w:rsidRPr="00BD7A62" w:rsidRDefault="00F22DA1">
      <w:pPr>
        <w:spacing w:line="360" w:lineRule="auto"/>
        <w:jc w:val="both"/>
        <w:rPr>
          <w:rFonts w:ascii="Palatino Linotype" w:eastAsia="Palatino Linotype" w:hAnsi="Palatino Linotype" w:cs="Palatino Linotype"/>
          <w:b/>
          <w:color w:val="000000"/>
          <w:sz w:val="22"/>
          <w:szCs w:val="22"/>
        </w:rPr>
      </w:pPr>
      <w:r w:rsidRPr="00BD7A62">
        <w:rPr>
          <w:rFonts w:ascii="Palatino Linotype" w:eastAsia="Palatino Linotype" w:hAnsi="Palatino Linotype" w:cs="Palatino Linotype"/>
          <w:color w:val="000000"/>
          <w:sz w:val="22"/>
          <w:szCs w:val="22"/>
        </w:rPr>
        <w:t xml:space="preserve">Es preciso señalar que se si bien, la solicitud de información ingresó a través del el Sistema de Acceso a la Información Mexiquense (SAIMEX), que corresponde al Sistema en el que se </w:t>
      </w:r>
      <w:r w:rsidRPr="00BD7A62">
        <w:rPr>
          <w:rFonts w:ascii="Palatino Linotype" w:eastAsia="Palatino Linotype" w:hAnsi="Palatino Linotype" w:cs="Palatino Linotype"/>
          <w:sz w:val="22"/>
          <w:szCs w:val="22"/>
        </w:rPr>
        <w:t>sustancian</w:t>
      </w:r>
      <w:r w:rsidRPr="00BD7A62">
        <w:rPr>
          <w:rFonts w:ascii="Palatino Linotype" w:eastAsia="Palatino Linotype" w:hAnsi="Palatino Linotype" w:cs="Palatino Linotype"/>
          <w:color w:val="000000"/>
          <w:sz w:val="22"/>
          <w:szCs w:val="22"/>
        </w:rPr>
        <w:t xml:space="preserve"> las solicitudes y Recursos de Revisión en materia de acceso a la información pública y transparencia, no así del ejercicio de los derechos arco; de la simple lectura de la solicitud se destacan elementos para considerar que se trata de una solicitud de acceso a datos personales y el Sujeto Obligado debe tener en consideración que las personas </w:t>
      </w:r>
      <w:r w:rsidRPr="00BD7A62">
        <w:rPr>
          <w:rFonts w:ascii="Palatino Linotype" w:eastAsia="Palatino Linotype" w:hAnsi="Palatino Linotype" w:cs="Palatino Linotype"/>
          <w:b/>
          <w:color w:val="000000"/>
          <w:sz w:val="22"/>
          <w:szCs w:val="22"/>
        </w:rPr>
        <w:t>no pueden ser consideradas como expertas en la materia.</w:t>
      </w:r>
    </w:p>
    <w:p w14:paraId="64DA1DD5"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1EB76719" w14:textId="77777777" w:rsidR="009677CC" w:rsidRPr="00BD7A62" w:rsidRDefault="00F22DA1">
      <w:pPr>
        <w:spacing w:line="360" w:lineRule="auto"/>
        <w:jc w:val="both"/>
        <w:rPr>
          <w:rFonts w:ascii="Palatino Linotype" w:eastAsia="Palatino Linotype" w:hAnsi="Palatino Linotype" w:cs="Palatino Linotype"/>
          <w:b/>
          <w:color w:val="000000"/>
          <w:sz w:val="22"/>
          <w:szCs w:val="22"/>
        </w:rPr>
      </w:pPr>
      <w:r w:rsidRPr="00BD7A62">
        <w:rPr>
          <w:rFonts w:ascii="Palatino Linotype" w:eastAsia="Palatino Linotype" w:hAnsi="Palatino Linotype" w:cs="Palatino Linotype"/>
          <w:color w:val="000000"/>
          <w:sz w:val="22"/>
          <w:szCs w:val="22"/>
        </w:rPr>
        <w:lastRenderedPageBreak/>
        <w:t>Aunado a ello, el Sujeto Obligado pudo aplicar lo previsto en el artículo 111 de la Ley de protección de datos personales en posesión de Sujetos Obligado del Estado de México y Municipios, a fin de prevenir a la parte Solicitante para que satisficiera los requisitos necesarios para dar trámite a las solicitudes de acceso a datos personales</w:t>
      </w:r>
      <w:r w:rsidRPr="00BD7A62">
        <w:rPr>
          <w:rFonts w:ascii="Palatino Linotype" w:eastAsia="Palatino Linotype" w:hAnsi="Palatino Linotype" w:cs="Palatino Linotype"/>
          <w:b/>
          <w:color w:val="000000"/>
          <w:sz w:val="22"/>
          <w:szCs w:val="22"/>
        </w:rPr>
        <w:t>, con lo que pudo dar oportunidad de que la persona Recurrente cumpliera con los requerimientos necesarios para lograr el acceso a sus datos personales, como lo era acreditar su identidad y propiedad del vehículo previo a dar respuesta.</w:t>
      </w:r>
    </w:p>
    <w:p w14:paraId="7CFAE113"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3F99A28B" w14:textId="2A59FA91"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Así pues, para el caso de la solicitud que nos ocupa, se advierte que la parte Solicitante corresponde al titular </w:t>
      </w:r>
      <w:r w:rsidR="00FF782A" w:rsidRPr="00BD7A62">
        <w:rPr>
          <w:rFonts w:ascii="Palatino Linotype" w:eastAsia="Palatino Linotype" w:hAnsi="Palatino Linotype" w:cs="Palatino Linotype"/>
          <w:color w:val="000000"/>
          <w:sz w:val="22"/>
          <w:szCs w:val="22"/>
        </w:rPr>
        <w:t>del vehículo del cual requiere la información</w:t>
      </w:r>
      <w:r w:rsidRPr="00BD7A62">
        <w:rPr>
          <w:rFonts w:ascii="Palatino Linotype" w:eastAsia="Palatino Linotype" w:hAnsi="Palatino Linotype" w:cs="Palatino Linotype"/>
          <w:color w:val="000000"/>
          <w:sz w:val="22"/>
          <w:szCs w:val="22"/>
        </w:rPr>
        <w:t xml:space="preserve">, lo cual se acreditó, puesto que, este Organismo Garante requirió al Particular para que acreditará su identidad y la propiedad del vehículo del cual versa la solicitud, en consecuencia, la parte Recurrente remitió la documentación que permite advertir su identidad y su </w:t>
      </w:r>
      <w:r w:rsidRPr="00BD7A62">
        <w:rPr>
          <w:rFonts w:ascii="Palatino Linotype" w:eastAsia="Palatino Linotype" w:hAnsi="Palatino Linotype" w:cs="Palatino Linotype"/>
          <w:sz w:val="22"/>
          <w:szCs w:val="22"/>
        </w:rPr>
        <w:t>vínculo</w:t>
      </w:r>
      <w:r w:rsidRPr="00BD7A62">
        <w:rPr>
          <w:rFonts w:ascii="Palatino Linotype" w:eastAsia="Palatino Linotype" w:hAnsi="Palatino Linotype" w:cs="Palatino Linotype"/>
          <w:color w:val="000000"/>
          <w:sz w:val="22"/>
          <w:szCs w:val="22"/>
        </w:rPr>
        <w:t xml:space="preserve"> con el vehículo del que requiere la información, por tanto, se determinó que se trata de un acceso a datos personales y en ejercicio de la máxima garantía en favor de las personas se recondujo la vía para dar tratamiento como acceso a datos personales.</w:t>
      </w:r>
    </w:p>
    <w:p w14:paraId="03FD8617"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77B24B68" w14:textId="28A74952" w:rsidR="00FF782A" w:rsidRPr="00BD7A62" w:rsidRDefault="00FF782A" w:rsidP="00FF782A">
      <w:pPr>
        <w:pStyle w:val="Prrafodelista"/>
        <w:numPr>
          <w:ilvl w:val="0"/>
          <w:numId w:val="8"/>
        </w:numPr>
        <w:spacing w:line="360" w:lineRule="auto"/>
        <w:jc w:val="both"/>
        <w:rPr>
          <w:rFonts w:ascii="Palatino Linotype" w:eastAsia="Palatino Linotype" w:hAnsi="Palatino Linotype" w:cs="Palatino Linotype"/>
          <w:b/>
          <w:color w:val="000000"/>
          <w:szCs w:val="22"/>
        </w:rPr>
      </w:pPr>
      <w:r w:rsidRPr="00BD7A62">
        <w:rPr>
          <w:rFonts w:ascii="Palatino Linotype" w:eastAsia="Palatino Linotype" w:hAnsi="Palatino Linotype" w:cs="Palatino Linotype"/>
          <w:b/>
          <w:color w:val="000000"/>
          <w:szCs w:val="22"/>
        </w:rPr>
        <w:t>Respecto a la baja de la placa con terminación 5401.</w:t>
      </w:r>
    </w:p>
    <w:p w14:paraId="3F749CDB" w14:textId="77777777" w:rsidR="00FF782A" w:rsidRPr="00BD7A62" w:rsidRDefault="00FF782A">
      <w:pPr>
        <w:spacing w:line="360" w:lineRule="auto"/>
        <w:jc w:val="both"/>
        <w:rPr>
          <w:rFonts w:ascii="Palatino Linotype" w:eastAsia="Palatino Linotype" w:hAnsi="Palatino Linotype" w:cs="Palatino Linotype"/>
          <w:color w:val="000000"/>
          <w:sz w:val="22"/>
          <w:szCs w:val="22"/>
        </w:rPr>
      </w:pPr>
    </w:p>
    <w:p w14:paraId="58EE471E" w14:textId="3C17B234" w:rsidR="00FF782A"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En este entendido, es menester considerar que la parte Solicitante requiere la entrega de dos documentos, que corresponden a dos bajas de placas que se vinculan con un mismo vehículo, en este tenor, se advierte que requiere la baja de la placa con terminación 5401, mediante la cual la anterior propietaria identificada en la solicitud, dio de baja la </w:t>
      </w:r>
      <w:r w:rsidR="00FF782A" w:rsidRPr="00BD7A62">
        <w:rPr>
          <w:rFonts w:ascii="Palatino Linotype" w:eastAsia="Palatino Linotype" w:hAnsi="Palatino Linotype" w:cs="Palatino Linotype"/>
          <w:color w:val="000000"/>
          <w:sz w:val="22"/>
          <w:szCs w:val="22"/>
        </w:rPr>
        <w:t>placa por cambio de propietario; al respecto, es menester precisar que la documentación solicitada</w:t>
      </w:r>
      <w:r w:rsidRPr="00BD7A62">
        <w:rPr>
          <w:rFonts w:ascii="Palatino Linotype" w:eastAsia="Palatino Linotype" w:hAnsi="Palatino Linotype" w:cs="Palatino Linotype"/>
          <w:color w:val="000000"/>
          <w:sz w:val="22"/>
          <w:szCs w:val="22"/>
        </w:rPr>
        <w:t xml:space="preserve"> si bien corresponde al mismo bien, es decir, el vehículo del cual se acreditó la titularidad, lo cierto, es </w:t>
      </w:r>
      <w:r w:rsidRPr="00BD7A62">
        <w:rPr>
          <w:rFonts w:ascii="Palatino Linotype" w:eastAsia="Palatino Linotype" w:hAnsi="Palatino Linotype" w:cs="Palatino Linotype"/>
          <w:color w:val="000000"/>
          <w:sz w:val="22"/>
          <w:szCs w:val="22"/>
        </w:rPr>
        <w:lastRenderedPageBreak/>
        <w:t>que se trata de un documento que tiene datos personales de un tercero, es decir de la anterior propietaria.</w:t>
      </w:r>
    </w:p>
    <w:p w14:paraId="741C4C67" w14:textId="77777777" w:rsidR="00F22DA1" w:rsidRPr="00BD7A62" w:rsidRDefault="00F22DA1">
      <w:pPr>
        <w:spacing w:line="360" w:lineRule="auto"/>
        <w:jc w:val="both"/>
        <w:rPr>
          <w:rFonts w:ascii="Palatino Linotype" w:eastAsia="Palatino Linotype" w:hAnsi="Palatino Linotype" w:cs="Palatino Linotype"/>
          <w:color w:val="000000"/>
          <w:sz w:val="22"/>
          <w:szCs w:val="22"/>
        </w:rPr>
      </w:pPr>
    </w:p>
    <w:p w14:paraId="7CAC119C" w14:textId="777E9D34" w:rsidR="00F22DA1"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En este tenor, se debe tener en consideración lo dispuesto en los artículos 4° fracción XLVII de la Ley de Protección de datos personales en posesión de Sujetos Obligados del Estado de México y Municipios, que define al tercero como aquella persona física o jurídica colectiva distinta al titular de los datos personales, que en el presente caso corresponde a la anterior propietaria. </w:t>
      </w:r>
    </w:p>
    <w:p w14:paraId="4F61C807" w14:textId="77777777" w:rsidR="00F22DA1" w:rsidRPr="00BD7A62" w:rsidRDefault="00F22DA1">
      <w:pPr>
        <w:spacing w:line="360" w:lineRule="auto"/>
        <w:jc w:val="both"/>
        <w:rPr>
          <w:rFonts w:ascii="Palatino Linotype" w:eastAsia="Palatino Linotype" w:hAnsi="Palatino Linotype" w:cs="Palatino Linotype"/>
          <w:color w:val="000000"/>
          <w:sz w:val="22"/>
          <w:szCs w:val="22"/>
        </w:rPr>
      </w:pPr>
    </w:p>
    <w:p w14:paraId="7543A35C" w14:textId="6F735522" w:rsidR="00F22DA1"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Ahora bien, el artículo 6° de la misma Ley prevé que el Estado debe garantizar la privacidad de los individuos y velará porque no se incurra en conductas que puedan afectarlas arbitrariamente y que, dentro de las limitaciones al ejercicio de los datos personales, se encuentra que se protejan los derechos de terceros, en atención a ello, en el presente caso, si bien la persona Recurrente acreditó ser propietario del</w:t>
      </w:r>
      <w:r w:rsidR="002C1FE8" w:rsidRPr="00BD7A62">
        <w:rPr>
          <w:rFonts w:ascii="Palatino Linotype" w:eastAsia="Palatino Linotype" w:hAnsi="Palatino Linotype" w:cs="Palatino Linotype"/>
          <w:color w:val="000000"/>
          <w:sz w:val="22"/>
          <w:szCs w:val="22"/>
        </w:rPr>
        <w:t xml:space="preserve"> vehículo</w:t>
      </w:r>
      <w:r w:rsidRPr="00BD7A62">
        <w:rPr>
          <w:rFonts w:ascii="Palatino Linotype" w:eastAsia="Palatino Linotype" w:hAnsi="Palatino Linotype" w:cs="Palatino Linotype"/>
          <w:color w:val="000000"/>
          <w:sz w:val="22"/>
          <w:szCs w:val="22"/>
        </w:rPr>
        <w:t>, lo cierto es que el documento de baja corresponde a la anterior propietaria y por tanto, puede tener sus datos personales, los cuales resultan ajenos al Solicitante y que requieren ser protegidos.</w:t>
      </w:r>
    </w:p>
    <w:p w14:paraId="3DEF2E54" w14:textId="28A3DDDF" w:rsidR="00FF782A" w:rsidRPr="00BD7A62" w:rsidRDefault="002C1FE8">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br/>
        <w:t>Así pues, resulta claro que el Recurrente acreditó ser propietario del vehículo y por tanto, puede conocer de la información generada en función de sus registros, sin embargo, ello no le otorga derechos para acceder a los datos personales de un tercero, que en este caso es la anterior propietaria. En consecuencia, el Sujeto Obligado deberá realizar la búsqueda de la información y entregar previa acreditación de la titularidad del vehículo y de su identidad, la copia certificada de la baja de las placas de la anterior propietaria en versión pública en la que proteja los datos personales confidenciales de terceros.</w:t>
      </w:r>
    </w:p>
    <w:p w14:paraId="6DD394B0" w14:textId="77777777" w:rsidR="002C1FE8" w:rsidRPr="00BD7A62" w:rsidRDefault="002C1FE8">
      <w:pPr>
        <w:spacing w:line="360" w:lineRule="auto"/>
        <w:jc w:val="both"/>
        <w:rPr>
          <w:rFonts w:ascii="Palatino Linotype" w:eastAsia="Palatino Linotype" w:hAnsi="Palatino Linotype" w:cs="Palatino Linotype"/>
          <w:color w:val="000000"/>
          <w:sz w:val="22"/>
          <w:szCs w:val="22"/>
        </w:rPr>
      </w:pPr>
    </w:p>
    <w:p w14:paraId="68FC2470" w14:textId="0650115F" w:rsidR="002C1FE8" w:rsidRPr="00BD7A62" w:rsidRDefault="002C1FE8">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lastRenderedPageBreak/>
        <w:t>Para las versiones públicas, se deberá proporcionar el Acuerdo de Clasificación donde el Comité de Transparencia, confirme la eliminación de los datos confidenciales de acuerdo con los artículos 49, fracciones II y VIII, 132, fracción II, 143, fracción I y 149 de la Ley de Transparencia y Acceso a la Información Pública del Estado de México y Municipios.</w:t>
      </w:r>
    </w:p>
    <w:p w14:paraId="7D14B894" w14:textId="77777777" w:rsidR="002C1FE8" w:rsidRPr="00BD7A62" w:rsidRDefault="002C1FE8">
      <w:pPr>
        <w:spacing w:line="360" w:lineRule="auto"/>
        <w:jc w:val="both"/>
        <w:rPr>
          <w:rFonts w:ascii="Palatino Linotype" w:eastAsia="Palatino Linotype" w:hAnsi="Palatino Linotype" w:cs="Palatino Linotype"/>
          <w:color w:val="000000"/>
          <w:sz w:val="22"/>
          <w:szCs w:val="22"/>
        </w:rPr>
      </w:pPr>
    </w:p>
    <w:p w14:paraId="5392DE96" w14:textId="77777777" w:rsidR="00CA0140" w:rsidRPr="00BD7A62" w:rsidRDefault="00CA0140" w:rsidP="00CA0140">
      <w:pPr>
        <w:spacing w:line="360" w:lineRule="auto"/>
        <w:contextualSpacing/>
        <w:jc w:val="both"/>
        <w:rPr>
          <w:rFonts w:ascii="Palatino Linotype" w:eastAsia="Palatino Linotype" w:hAnsi="Palatino Linotype" w:cs="Palatino Linotype"/>
          <w:b/>
          <w:color w:val="000000"/>
          <w:sz w:val="22"/>
          <w:szCs w:val="22"/>
          <w:lang w:eastAsia="es-MX"/>
        </w:rPr>
      </w:pPr>
      <w:r w:rsidRPr="00BD7A62">
        <w:rPr>
          <w:rFonts w:ascii="Palatino Linotype" w:eastAsia="Palatino Linotype" w:hAnsi="Palatino Linotype" w:cs="Palatino Linotype"/>
          <w:b/>
          <w:color w:val="000000"/>
          <w:sz w:val="22"/>
          <w:szCs w:val="22"/>
          <w:lang w:eastAsia="es-MX"/>
        </w:rPr>
        <w:t>Versión Pública</w:t>
      </w:r>
    </w:p>
    <w:p w14:paraId="4471F05E" w14:textId="77777777" w:rsidR="00CA0140" w:rsidRPr="00BD7A62" w:rsidRDefault="00CA0140" w:rsidP="00CA0140">
      <w:pPr>
        <w:spacing w:line="360" w:lineRule="auto"/>
        <w:contextualSpacing/>
        <w:jc w:val="both"/>
        <w:rPr>
          <w:rFonts w:ascii="Palatino Linotype" w:eastAsia="Palatino Linotype" w:hAnsi="Palatino Linotype" w:cs="Palatino Linotype"/>
          <w:b/>
          <w:smallCaps/>
          <w:color w:val="000000"/>
          <w:sz w:val="22"/>
          <w:szCs w:val="22"/>
          <w:lang w:eastAsia="es-MX"/>
        </w:rPr>
      </w:pPr>
    </w:p>
    <w:p w14:paraId="621F11C0"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 xml:space="preserve">Establecido lo anterior,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5CF8D727"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5162DC4B"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14:paraId="58A9FD04"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0C5C5F25"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4EBAB601"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6BE51A9A"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F3A88C5"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139DCD1A"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27D228A0"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446D5538"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BD7A62">
        <w:rPr>
          <w:rFonts w:ascii="Palatino Linotype" w:eastAsia="Palatino Linotype" w:hAnsi="Palatino Linotype" w:cs="Palatino Linotype"/>
          <w:smallCaps/>
          <w:color w:val="000000"/>
          <w:sz w:val="22"/>
          <w:szCs w:val="22"/>
          <w:lang w:eastAsia="es-MX"/>
        </w:rPr>
        <w:t>I</w:t>
      </w:r>
      <w:r w:rsidRPr="00BD7A62">
        <w:rPr>
          <w:rFonts w:ascii="Palatino Linotype" w:eastAsia="Palatino Linotype" w:hAnsi="Palatino Linotype" w:cs="Palatino Linotype"/>
          <w:color w:val="000000"/>
          <w:sz w:val="22"/>
          <w:szCs w:val="22"/>
          <w:lang w:eastAsia="es-MX"/>
        </w:rPr>
        <w:t xml:space="preserve">) la información se encuentre en registros públicos o fuentes de acceso público, </w:t>
      </w:r>
      <w:r w:rsidRPr="00BD7A62">
        <w:rPr>
          <w:rFonts w:ascii="Palatino Linotype" w:eastAsia="Palatino Linotype" w:hAnsi="Palatino Linotype" w:cs="Palatino Linotype"/>
          <w:smallCaps/>
          <w:color w:val="000000"/>
          <w:sz w:val="22"/>
          <w:szCs w:val="22"/>
          <w:lang w:eastAsia="es-MX"/>
        </w:rPr>
        <w:t>II</w:t>
      </w:r>
      <w:r w:rsidRPr="00BD7A62">
        <w:rPr>
          <w:rFonts w:ascii="Palatino Linotype" w:eastAsia="Palatino Linotype" w:hAnsi="Palatino Linotype" w:cs="Palatino Linotype"/>
          <w:color w:val="000000"/>
          <w:sz w:val="22"/>
          <w:szCs w:val="22"/>
          <w:lang w:eastAsia="es-MX"/>
        </w:rPr>
        <w:t xml:space="preserve">) por ley tenga el carácter de pública, </w:t>
      </w:r>
      <w:r w:rsidRPr="00BD7A62">
        <w:rPr>
          <w:rFonts w:ascii="Palatino Linotype" w:eastAsia="Palatino Linotype" w:hAnsi="Palatino Linotype" w:cs="Palatino Linotype"/>
          <w:smallCaps/>
          <w:color w:val="000000"/>
          <w:sz w:val="22"/>
          <w:szCs w:val="22"/>
          <w:lang w:eastAsia="es-MX"/>
        </w:rPr>
        <w:t>III</w:t>
      </w:r>
      <w:r w:rsidRPr="00BD7A62">
        <w:rPr>
          <w:rFonts w:ascii="Palatino Linotype" w:eastAsia="Palatino Linotype" w:hAnsi="Palatino Linotype" w:cs="Palatino Linotype"/>
          <w:color w:val="000000"/>
          <w:sz w:val="22"/>
          <w:szCs w:val="22"/>
          <w:lang w:eastAsia="es-MX"/>
        </w:rPr>
        <w:t xml:space="preserve">) exista una orden judicial, </w:t>
      </w:r>
      <w:r w:rsidRPr="00BD7A62">
        <w:rPr>
          <w:rFonts w:ascii="Palatino Linotype" w:eastAsia="Palatino Linotype" w:hAnsi="Palatino Linotype" w:cs="Palatino Linotype"/>
          <w:smallCaps/>
          <w:color w:val="000000"/>
          <w:sz w:val="22"/>
          <w:szCs w:val="22"/>
          <w:lang w:eastAsia="es-MX"/>
        </w:rPr>
        <w:t>IV</w:t>
      </w:r>
      <w:r w:rsidRPr="00BD7A62">
        <w:rPr>
          <w:rFonts w:ascii="Palatino Linotype" w:eastAsia="Palatino Linotype" w:hAnsi="Palatino Linotype" w:cs="Palatino Linotype"/>
          <w:color w:val="000000"/>
          <w:sz w:val="22"/>
          <w:szCs w:val="22"/>
          <w:lang w:eastAsia="es-MX"/>
        </w:rPr>
        <w:t xml:space="preserve">) por razones de seguridad nacional y salubridad general o </w:t>
      </w:r>
      <w:r w:rsidRPr="00BD7A62">
        <w:rPr>
          <w:rFonts w:ascii="Palatino Linotype" w:eastAsia="Palatino Linotype" w:hAnsi="Palatino Linotype" w:cs="Palatino Linotype"/>
          <w:smallCaps/>
          <w:color w:val="000000"/>
          <w:sz w:val="22"/>
          <w:szCs w:val="22"/>
          <w:lang w:eastAsia="es-MX"/>
        </w:rPr>
        <w:t>V</w:t>
      </w:r>
      <w:r w:rsidRPr="00BD7A62">
        <w:rPr>
          <w:rFonts w:ascii="Palatino Linotype" w:eastAsia="Palatino Linotype" w:hAnsi="Palatino Linotype" w:cs="Palatino Linotype"/>
          <w:color w:val="000000"/>
          <w:sz w:val="22"/>
          <w:szCs w:val="22"/>
          <w:lang w:eastAsia="es-MX"/>
        </w:rPr>
        <w:t>) para proteger los derechos de terceros o cuando se transmitan entre sujetos obligados en términos de los tratados y los acuerdos interinstitucionales.</w:t>
      </w:r>
    </w:p>
    <w:p w14:paraId="316B300B"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781EE2A5"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En términos de lo expuesto, la documentación y aquellos datos que se consideren confidenciales, serán una limitante del derecho de acceso a la información, siempre y cuando:</w:t>
      </w:r>
    </w:p>
    <w:p w14:paraId="53E9CD2D"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4B710D4A" w14:textId="77777777" w:rsidR="00CA0140" w:rsidRPr="00BD7A62" w:rsidRDefault="00CA0140" w:rsidP="00CA0140">
      <w:pPr>
        <w:numPr>
          <w:ilvl w:val="0"/>
          <w:numId w:val="9"/>
        </w:numPr>
        <w:spacing w:after="160"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 xml:space="preserve">Se trate de datos personales o información privada; esto es, información concerniente a una persona física o jurídica colectiva y que esta sea identificada o identificable. </w:t>
      </w:r>
    </w:p>
    <w:p w14:paraId="4B17B6D5" w14:textId="77777777" w:rsidR="00CA0140" w:rsidRPr="00BD7A62" w:rsidRDefault="00CA0140" w:rsidP="00CA0140">
      <w:pPr>
        <w:numPr>
          <w:ilvl w:val="0"/>
          <w:numId w:val="9"/>
        </w:numPr>
        <w:spacing w:after="160"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 xml:space="preserve">Para la difusión de los datos, se requiere el consentimiento del titular. </w:t>
      </w:r>
    </w:p>
    <w:p w14:paraId="67CDF93F"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63DFC6FE"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lastRenderedPageBreak/>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AE1E7B3"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6782874E"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Además, en el artículo 5° de dicho ordenamiento jurídico, establece que es la Ley aplicable para todo tratamiento de datos personales.</w:t>
      </w:r>
    </w:p>
    <w:p w14:paraId="158DADE7"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77554657"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D786621"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2EF2B078"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F68B314"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5EAAC4AE"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58482CD0"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63EC0D17"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De tal suerte, las instituciones públicas tienen la doble responsabilidad, por un lado, de proteger los datos personales y por otro, darles publicidad cuando la relevancia de esos datos sea de interés público.</w:t>
      </w:r>
    </w:p>
    <w:p w14:paraId="71BF09EA"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48EC38B0"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29479A52"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3AF80239"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w:t>
      </w:r>
      <w:r w:rsidRPr="00BD7A62">
        <w:rPr>
          <w:rFonts w:ascii="Palatino Linotype" w:eastAsia="Palatino Linotype" w:hAnsi="Palatino Linotype" w:cs="Palatino Linotype"/>
          <w:color w:val="000000"/>
          <w:sz w:val="22"/>
          <w:szCs w:val="22"/>
          <w:lang w:eastAsia="es-MX"/>
        </w:rPr>
        <w:lastRenderedPageBreak/>
        <w:t>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577A14A8"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0177439B"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57694B3A"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7D77D991"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r w:rsidRPr="00BD7A62">
        <w:rPr>
          <w:rFonts w:ascii="Palatino Linotype" w:eastAsia="Palatino Linotype" w:hAnsi="Palatino Linotype" w:cs="Palatino Linotype"/>
          <w:color w:val="000000"/>
          <w:sz w:val="22"/>
          <w:szCs w:val="22"/>
          <w:lang w:eastAsia="es-MX"/>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sidRPr="00BD7A62">
        <w:rPr>
          <w:rFonts w:ascii="Palatino Linotype" w:eastAsia="Palatino Linotype" w:hAnsi="Palatino Linotype" w:cs="Palatino Linotype"/>
          <w:color w:val="000000"/>
          <w:sz w:val="22"/>
          <w:szCs w:val="22"/>
          <w:u w:val="single"/>
          <w:lang w:eastAsia="es-MX"/>
        </w:rPr>
        <w:t>son nombres de terceros, domicilios de terceros, CURP, RFC, entre otros</w:t>
      </w:r>
      <w:r w:rsidRPr="00BD7A62">
        <w:rPr>
          <w:rFonts w:ascii="Palatino Linotype" w:eastAsia="Palatino Linotype" w:hAnsi="Palatino Linotype" w:cs="Palatino Linotype"/>
          <w:color w:val="000000"/>
          <w:sz w:val="22"/>
          <w:szCs w:val="22"/>
          <w:lang w:eastAsia="es-MX"/>
        </w:rPr>
        <w:t>, los cuales  actualizan la causal de clasificación establecida en el artículo 143, fracción I, de la Ley de Transparencia y Acceso a la Información Pública del Estado de México y Municipios.</w:t>
      </w:r>
    </w:p>
    <w:p w14:paraId="79E291C0" w14:textId="77777777" w:rsidR="00CA0140" w:rsidRPr="00BD7A62" w:rsidRDefault="00CA0140" w:rsidP="00CA0140">
      <w:pPr>
        <w:spacing w:line="360" w:lineRule="auto"/>
        <w:contextualSpacing/>
        <w:jc w:val="both"/>
        <w:rPr>
          <w:rFonts w:ascii="Palatino Linotype" w:eastAsia="Palatino Linotype" w:hAnsi="Palatino Linotype" w:cs="Palatino Linotype"/>
          <w:color w:val="000000"/>
          <w:sz w:val="22"/>
          <w:szCs w:val="22"/>
          <w:lang w:eastAsia="es-MX"/>
        </w:rPr>
      </w:pPr>
    </w:p>
    <w:p w14:paraId="03FE592E" w14:textId="77777777" w:rsidR="00CA0140" w:rsidRPr="00BD7A62" w:rsidRDefault="00CA0140" w:rsidP="00CA0140">
      <w:pPr>
        <w:spacing w:line="360" w:lineRule="auto"/>
        <w:contextualSpacing/>
        <w:rPr>
          <w:rFonts w:ascii="Calibri" w:eastAsia="Calibri" w:hAnsi="Calibri"/>
          <w:sz w:val="22"/>
          <w:szCs w:val="22"/>
          <w:lang w:eastAsia="en-US"/>
        </w:rPr>
      </w:pPr>
      <w:r w:rsidRPr="00BD7A62">
        <w:rPr>
          <w:rFonts w:ascii="Palatino Linotype" w:eastAsia="Palatino Linotype" w:hAnsi="Palatino Linotype" w:cs="Palatino Linotype"/>
          <w:color w:val="000000"/>
          <w:sz w:val="22"/>
          <w:szCs w:val="22"/>
          <w:lang w:eastAsia="es-MX"/>
        </w:rPr>
        <w:t xml:space="preserve">Además, el Sujeto Obligado deberá seguir el procedimiento establecido en el artículo 168 de dicho ordenamiento jurídico; esto es, que el área competente deberá elaborar la versión pública en los términos planteados en la presente Resolución, así como emitir el Acuerdo, </w:t>
      </w:r>
      <w:r w:rsidRPr="00BD7A62">
        <w:rPr>
          <w:rFonts w:ascii="Palatino Linotype" w:eastAsia="Palatino Linotype" w:hAnsi="Palatino Linotype" w:cs="Palatino Linotype"/>
          <w:color w:val="000000"/>
          <w:sz w:val="22"/>
          <w:szCs w:val="22"/>
          <w:lang w:eastAsia="es-MX"/>
        </w:rPr>
        <w:lastRenderedPageBreak/>
        <w:t>por parte del Comité de Transparencia, donde confirme la clasificación de los datos previamente señalados, fundando y motivando la clasificación.</w:t>
      </w:r>
    </w:p>
    <w:p w14:paraId="3ECA6370" w14:textId="77777777" w:rsidR="002C1FE8" w:rsidRPr="00BD7A62" w:rsidRDefault="002C1FE8">
      <w:pPr>
        <w:spacing w:line="360" w:lineRule="auto"/>
        <w:jc w:val="both"/>
        <w:rPr>
          <w:rFonts w:ascii="Palatino Linotype" w:eastAsia="Palatino Linotype" w:hAnsi="Palatino Linotype" w:cs="Palatino Linotype"/>
          <w:color w:val="000000"/>
          <w:sz w:val="22"/>
          <w:szCs w:val="22"/>
        </w:rPr>
      </w:pPr>
    </w:p>
    <w:p w14:paraId="1F75ADAE" w14:textId="10330BF1" w:rsidR="009677CC" w:rsidRPr="00BD7A62" w:rsidRDefault="00FF782A" w:rsidP="00FF782A">
      <w:pPr>
        <w:pStyle w:val="Prrafodelista"/>
        <w:numPr>
          <w:ilvl w:val="0"/>
          <w:numId w:val="8"/>
        </w:numPr>
        <w:spacing w:line="360" w:lineRule="auto"/>
        <w:jc w:val="both"/>
        <w:rPr>
          <w:rFonts w:ascii="Palatino Linotype" w:eastAsia="Palatino Linotype" w:hAnsi="Palatino Linotype" w:cs="Palatino Linotype"/>
          <w:color w:val="000000"/>
          <w:szCs w:val="22"/>
        </w:rPr>
      </w:pPr>
      <w:r w:rsidRPr="00BD7A62">
        <w:rPr>
          <w:rFonts w:ascii="Palatino Linotype" w:eastAsia="Palatino Linotype" w:hAnsi="Palatino Linotype" w:cs="Palatino Linotype"/>
          <w:b/>
          <w:color w:val="000000"/>
          <w:szCs w:val="22"/>
        </w:rPr>
        <w:t>Respecto a la baja con terminación 9582</w:t>
      </w:r>
    </w:p>
    <w:p w14:paraId="115DC9BC" w14:textId="77777777" w:rsidR="00FF782A" w:rsidRPr="00BD7A62" w:rsidRDefault="00FF782A" w:rsidP="002C1FE8">
      <w:pPr>
        <w:pStyle w:val="Prrafodelista"/>
        <w:spacing w:line="360" w:lineRule="auto"/>
        <w:jc w:val="both"/>
        <w:rPr>
          <w:rFonts w:ascii="Palatino Linotype" w:eastAsia="Palatino Linotype" w:hAnsi="Palatino Linotype" w:cs="Palatino Linotype"/>
          <w:color w:val="000000"/>
          <w:szCs w:val="22"/>
        </w:rPr>
      </w:pPr>
    </w:p>
    <w:p w14:paraId="0094AF33" w14:textId="43C8309F"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Ahora bien, respecto a la baja de placas con terminación 9582 que se encontraban a nombre del hoy Recurrente</w:t>
      </w:r>
      <w:r w:rsidR="00362FA2" w:rsidRPr="00BD7A62">
        <w:rPr>
          <w:rFonts w:ascii="Palatino Linotype" w:eastAsia="Palatino Linotype" w:hAnsi="Palatino Linotype" w:cs="Palatino Linotype"/>
          <w:color w:val="000000"/>
          <w:sz w:val="22"/>
          <w:szCs w:val="22"/>
        </w:rPr>
        <w:t xml:space="preserve">, </w:t>
      </w:r>
      <w:r w:rsidRPr="00BD7A62">
        <w:rPr>
          <w:rFonts w:ascii="Palatino Linotype" w:eastAsia="Palatino Linotype" w:hAnsi="Palatino Linotype" w:cs="Palatino Linotype"/>
          <w:color w:val="000000"/>
          <w:sz w:val="22"/>
          <w:szCs w:val="22"/>
        </w:rPr>
        <w:t xml:space="preserve">no se tiene certeza sobre su existencia, en virtud de que el Sujeto Obligado no afirmó que haya tenido lugar, </w:t>
      </w:r>
      <w:r w:rsidR="00362FA2" w:rsidRPr="00BD7A62">
        <w:rPr>
          <w:rFonts w:ascii="Palatino Linotype" w:eastAsia="Palatino Linotype" w:hAnsi="Palatino Linotype" w:cs="Palatino Linotype"/>
          <w:color w:val="000000"/>
          <w:sz w:val="22"/>
          <w:szCs w:val="22"/>
        </w:rPr>
        <w:t>no obstante</w:t>
      </w:r>
      <w:r w:rsidRPr="00BD7A62">
        <w:rPr>
          <w:rFonts w:ascii="Palatino Linotype" w:eastAsia="Palatino Linotype" w:hAnsi="Palatino Linotype" w:cs="Palatino Linotype"/>
          <w:color w:val="000000"/>
          <w:sz w:val="22"/>
          <w:szCs w:val="22"/>
        </w:rPr>
        <w:t xml:space="preserve">, al tratarse de placas que conforme a la Tarjeta de circulación presentada por el Particular se encuentran a su nombre, resulta lógico que la baja de la placa, en caso de que haya tenido lugar, implica </w:t>
      </w:r>
      <w:r w:rsidR="00362FA2" w:rsidRPr="00BD7A62">
        <w:rPr>
          <w:rFonts w:ascii="Palatino Linotype" w:eastAsia="Palatino Linotype" w:hAnsi="Palatino Linotype" w:cs="Palatino Linotype"/>
          <w:color w:val="000000"/>
          <w:sz w:val="22"/>
          <w:szCs w:val="22"/>
        </w:rPr>
        <w:t>que se trata de un acceso a sus propios datos personales puesto que se trata de un documento propio del Solicitante</w:t>
      </w:r>
      <w:r w:rsidRPr="00BD7A62">
        <w:rPr>
          <w:rFonts w:ascii="Palatino Linotype" w:eastAsia="Palatino Linotype" w:hAnsi="Palatino Linotype" w:cs="Palatino Linotype"/>
          <w:color w:val="000000"/>
          <w:sz w:val="22"/>
          <w:szCs w:val="22"/>
        </w:rPr>
        <w:t>.</w:t>
      </w:r>
    </w:p>
    <w:p w14:paraId="6311F9D6"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43AA7D6E" w14:textId="77777777"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b/>
          <w:color w:val="000000"/>
          <w:sz w:val="22"/>
          <w:szCs w:val="22"/>
        </w:rPr>
        <w:t>En consecuencia, resulta procedente la entrega de la documentación solicitada,</w:t>
      </w:r>
      <w:r w:rsidRPr="00BD7A62">
        <w:rPr>
          <w:rFonts w:ascii="Palatino Linotype" w:eastAsia="Palatino Linotype" w:hAnsi="Palatino Linotype" w:cs="Palatino Linotype"/>
          <w:color w:val="000000"/>
          <w:sz w:val="22"/>
          <w:szCs w:val="22"/>
        </w:rPr>
        <w:t xml:space="preserve"> en el ejercicio de acceso a datos personales, tanto de la baja de la placa con terminación 5401, como de aquella que tuviera lugar respecto a la placa con terminación 9582, y para el caso de esta última, si derivado de la búsqueda de la información el Sujeto Obligado no localice dicha baja por no tener lugar, bastará que lo haga del conocimiento del Particular de forma precisa y clara. </w:t>
      </w:r>
    </w:p>
    <w:p w14:paraId="398C2735"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50C8E48F" w14:textId="71FE2F82"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Ahora bien, es de señalar que la parte Solicitante requirió la entrega de la </w:t>
      </w:r>
      <w:r w:rsidRPr="00BD7A62">
        <w:rPr>
          <w:rFonts w:ascii="Palatino Linotype" w:eastAsia="Palatino Linotype" w:hAnsi="Palatino Linotype" w:cs="Palatino Linotype"/>
          <w:b/>
          <w:color w:val="000000"/>
          <w:sz w:val="22"/>
          <w:szCs w:val="22"/>
        </w:rPr>
        <w:t>información vía copia certificadas</w:t>
      </w:r>
      <w:r w:rsidRPr="00BD7A62">
        <w:rPr>
          <w:rFonts w:ascii="Palatino Linotype" w:eastAsia="Palatino Linotype" w:hAnsi="Palatino Linotype" w:cs="Palatino Linotype"/>
          <w:color w:val="000000"/>
          <w:sz w:val="22"/>
          <w:szCs w:val="22"/>
        </w:rPr>
        <w:t>, al respecto, si bien tanto en respuesta como en informe justificado</w:t>
      </w:r>
      <w:r w:rsidR="00362FA2" w:rsidRPr="00BD7A62">
        <w:rPr>
          <w:rFonts w:ascii="Palatino Linotype" w:eastAsia="Palatino Linotype" w:hAnsi="Palatino Linotype" w:cs="Palatino Linotype"/>
          <w:color w:val="000000"/>
          <w:sz w:val="22"/>
          <w:szCs w:val="22"/>
        </w:rPr>
        <w:t>,</w:t>
      </w:r>
      <w:r w:rsidRPr="00BD7A62">
        <w:rPr>
          <w:rFonts w:ascii="Palatino Linotype" w:eastAsia="Palatino Linotype" w:hAnsi="Palatino Linotype" w:cs="Palatino Linotype"/>
          <w:color w:val="000000"/>
          <w:sz w:val="22"/>
          <w:szCs w:val="22"/>
        </w:rPr>
        <w:t xml:space="preserve"> el Sujeto Obligado invitó al Particular a acudir a la las oficinas de la Dirección de Registro Estatal de Vehículos y proporcionó su ubicación, el horario y señaló que previa acreditación de la personalidad e interés jurídico se le haría entrega de la documentación que pretende conocer, lo cierto es que, </w:t>
      </w:r>
      <w:r w:rsidRPr="00BD7A62">
        <w:rPr>
          <w:rFonts w:ascii="Palatino Linotype" w:eastAsia="Palatino Linotype" w:hAnsi="Palatino Linotype" w:cs="Palatino Linotype"/>
          <w:b/>
          <w:color w:val="000000"/>
          <w:sz w:val="22"/>
          <w:szCs w:val="22"/>
        </w:rPr>
        <w:t>no indicó al Particular</w:t>
      </w:r>
      <w:r w:rsidRPr="00BD7A62">
        <w:rPr>
          <w:rFonts w:ascii="Palatino Linotype" w:eastAsia="Palatino Linotype" w:hAnsi="Palatino Linotype" w:cs="Palatino Linotype"/>
          <w:color w:val="000000"/>
          <w:sz w:val="22"/>
          <w:szCs w:val="22"/>
        </w:rPr>
        <w:t xml:space="preserve"> sí existe la información, la cantidad de documentación que recibiría, ni los elementos indispensables para la entrega de las copias certificadas, por </w:t>
      </w:r>
      <w:r w:rsidRPr="00BD7A62">
        <w:rPr>
          <w:rFonts w:ascii="Palatino Linotype" w:eastAsia="Palatino Linotype" w:hAnsi="Palatino Linotype" w:cs="Palatino Linotype"/>
          <w:color w:val="000000"/>
          <w:sz w:val="22"/>
          <w:szCs w:val="22"/>
        </w:rPr>
        <w:lastRenderedPageBreak/>
        <w:t>tanto, no es posible tener por atendida la solicitud con lo indicado por el Sujeto Obligado en respuesta e informe justificado.</w:t>
      </w:r>
    </w:p>
    <w:p w14:paraId="45F526A7"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68D8B34D" w14:textId="77777777"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Así, para que tenga lugar la entrega de la información el Sujeto Obligado, deberá indicar al Particular de manera clara y precisa, el procedimiento a seguir para acreditar su identidad y deberá considerar al menos lo siguiente: </w:t>
      </w:r>
    </w:p>
    <w:p w14:paraId="5C637A9F"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6F6403F2" w14:textId="77777777" w:rsidR="009677CC" w:rsidRPr="00BD7A62" w:rsidRDefault="00F22DA1">
      <w:pPr>
        <w:spacing w:line="360" w:lineRule="auto"/>
        <w:ind w:left="720"/>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I. El Particular, deberá acreditar su identidad por medio de credencial válida y vigente en términos del artículo 2.5 Bis del Código Civil del Estado de México, para lo cual, el Sujeto Obligado deberá informar al Particular lo siguiente: </w:t>
      </w:r>
    </w:p>
    <w:p w14:paraId="6AF8411D" w14:textId="77777777" w:rsidR="009677CC" w:rsidRPr="00BD7A62" w:rsidRDefault="00F22DA1">
      <w:pPr>
        <w:spacing w:line="360" w:lineRule="auto"/>
        <w:ind w:left="1440"/>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a) Horarios de atención. </w:t>
      </w:r>
    </w:p>
    <w:p w14:paraId="50E6EC72" w14:textId="77777777" w:rsidR="009677CC" w:rsidRPr="00BD7A62" w:rsidRDefault="00F22DA1">
      <w:pPr>
        <w:spacing w:line="360" w:lineRule="auto"/>
        <w:ind w:left="1440"/>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b) Domicilio de la oficina en donde se presentará la solicitante. </w:t>
      </w:r>
    </w:p>
    <w:p w14:paraId="4609B571" w14:textId="77777777" w:rsidR="009677CC" w:rsidRPr="00BD7A62" w:rsidRDefault="00F22DA1">
      <w:pPr>
        <w:spacing w:line="360" w:lineRule="auto"/>
        <w:ind w:left="1440"/>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c) Teléfono y/o correos electrónicos de atención. </w:t>
      </w:r>
    </w:p>
    <w:p w14:paraId="7D829CB2" w14:textId="77777777" w:rsidR="009677CC" w:rsidRPr="00BD7A62" w:rsidRDefault="00F22DA1">
      <w:pPr>
        <w:spacing w:line="360" w:lineRule="auto"/>
        <w:ind w:left="1440"/>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d) Personal que atenderán a la solicitante. </w:t>
      </w:r>
    </w:p>
    <w:p w14:paraId="16C2410B" w14:textId="77777777" w:rsidR="009677CC" w:rsidRPr="00BD7A62" w:rsidRDefault="00F22DA1">
      <w:pPr>
        <w:spacing w:line="360" w:lineRule="auto"/>
        <w:ind w:left="1440"/>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e) Deberá indicar si requiere hacer previa cita. </w:t>
      </w:r>
    </w:p>
    <w:p w14:paraId="3545F786" w14:textId="77777777" w:rsidR="009677CC" w:rsidRPr="00BD7A62" w:rsidRDefault="009677CC">
      <w:pPr>
        <w:spacing w:line="360" w:lineRule="auto"/>
        <w:ind w:left="720"/>
        <w:jc w:val="both"/>
        <w:rPr>
          <w:rFonts w:ascii="Palatino Linotype" w:eastAsia="Palatino Linotype" w:hAnsi="Palatino Linotype" w:cs="Palatino Linotype"/>
          <w:color w:val="000000"/>
          <w:sz w:val="22"/>
          <w:szCs w:val="22"/>
        </w:rPr>
      </w:pPr>
    </w:p>
    <w:p w14:paraId="58358FD1" w14:textId="77777777" w:rsidR="009677CC" w:rsidRPr="00BD7A62" w:rsidRDefault="00F22DA1">
      <w:pPr>
        <w:spacing w:line="360" w:lineRule="auto"/>
        <w:ind w:left="720"/>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II. Cuando acuda, se deberá dar certeza de que la Particular acudió a acreditar la identidad, conforme a los procedimientos internos del Sujeto Obligado. La información deberá ser entregada a la parte Solicitante, quien acusará de recibida la información.</w:t>
      </w:r>
    </w:p>
    <w:p w14:paraId="19DB315A" w14:textId="77777777" w:rsidR="009677CC" w:rsidRPr="00BD7A62" w:rsidRDefault="009677CC">
      <w:pPr>
        <w:spacing w:line="360" w:lineRule="auto"/>
        <w:ind w:left="720"/>
        <w:jc w:val="both"/>
        <w:rPr>
          <w:rFonts w:ascii="Palatino Linotype" w:eastAsia="Palatino Linotype" w:hAnsi="Palatino Linotype" w:cs="Palatino Linotype"/>
          <w:color w:val="000000"/>
          <w:sz w:val="22"/>
          <w:szCs w:val="22"/>
        </w:rPr>
      </w:pPr>
    </w:p>
    <w:p w14:paraId="0900F6CE" w14:textId="77777777" w:rsidR="009677CC" w:rsidRPr="00BD7A62" w:rsidRDefault="00F22DA1">
      <w:pPr>
        <w:spacing w:line="360" w:lineRule="auto"/>
        <w:ind w:left="720"/>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III. Desde la emisión de la resolución, la información deberá tenerse a disposición del Particular por un plazo de sesenta días y que en caso de que el mismo no acuda a recoger la misma, se entenderá atendida, de conformidad a lo consagrado en el artículo 118 de la Ley de Protección de Datos Personales en referencia</w:t>
      </w:r>
    </w:p>
    <w:p w14:paraId="0508FDA7"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44F7A7B7"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color w:val="000000"/>
          <w:sz w:val="22"/>
          <w:szCs w:val="22"/>
        </w:rPr>
        <w:lastRenderedPageBreak/>
        <w:t xml:space="preserve">De igual forma, deberá entregar la información en </w:t>
      </w:r>
      <w:r w:rsidRPr="00BD7A62">
        <w:rPr>
          <w:rFonts w:ascii="Palatino Linotype" w:eastAsia="Palatino Linotype" w:hAnsi="Palatino Linotype" w:cs="Palatino Linotype"/>
          <w:b/>
          <w:color w:val="000000"/>
          <w:sz w:val="22"/>
          <w:szCs w:val="22"/>
        </w:rPr>
        <w:t xml:space="preserve">copias </w:t>
      </w:r>
      <w:r w:rsidRPr="00BD7A62">
        <w:rPr>
          <w:rFonts w:ascii="Palatino Linotype" w:eastAsia="Palatino Linotype" w:hAnsi="Palatino Linotype" w:cs="Palatino Linotype"/>
          <w:b/>
          <w:sz w:val="22"/>
          <w:szCs w:val="22"/>
        </w:rPr>
        <w:t>certificadas</w:t>
      </w:r>
      <w:r w:rsidRPr="00BD7A62">
        <w:rPr>
          <w:rFonts w:ascii="Palatino Linotype" w:eastAsia="Palatino Linotype" w:hAnsi="Palatino Linotype" w:cs="Palatino Linotype"/>
          <w:b/>
          <w:color w:val="000000"/>
          <w:sz w:val="22"/>
          <w:szCs w:val="22"/>
        </w:rPr>
        <w:t xml:space="preserve"> sin costo únicamente por cuanto hace a las primeras 20 hojas</w:t>
      </w:r>
      <w:r w:rsidRPr="00BD7A62">
        <w:rPr>
          <w:rFonts w:ascii="Palatino Linotype" w:eastAsia="Palatino Linotype" w:hAnsi="Palatino Linotype" w:cs="Palatino Linotype"/>
          <w:color w:val="000000"/>
          <w:sz w:val="22"/>
          <w:szCs w:val="22"/>
        </w:rPr>
        <w:t xml:space="preserve">, lo anterior toda vez que el artículo 110 de la Ley </w:t>
      </w:r>
      <w:r w:rsidRPr="00BD7A62">
        <w:rPr>
          <w:rFonts w:ascii="Palatino Linotype" w:eastAsia="Palatino Linotype" w:hAnsi="Palatino Linotype" w:cs="Palatino Linotype"/>
          <w:sz w:val="22"/>
          <w:szCs w:val="22"/>
        </w:rPr>
        <w:t>de Protección de Datos Personales en Posesión de Sujetos Obligados del Estado de México y Municipios, los Sujetos Obligados deberán atender las solicitudes conforme a lo modalidad elegida por los Particulares.</w:t>
      </w:r>
    </w:p>
    <w:p w14:paraId="6BE9EC39"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08183142" w14:textId="704E53F7"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En consecuencia, de lo anterior, es procedente </w:t>
      </w:r>
      <w:r w:rsidRPr="00BD7A62">
        <w:rPr>
          <w:rFonts w:ascii="Palatino Linotype" w:eastAsia="Palatino Linotype" w:hAnsi="Palatino Linotype" w:cs="Palatino Linotype"/>
          <w:b/>
          <w:color w:val="000000"/>
          <w:sz w:val="22"/>
          <w:szCs w:val="22"/>
        </w:rPr>
        <w:t>REVOCAR</w:t>
      </w:r>
      <w:r w:rsidRPr="00BD7A62">
        <w:rPr>
          <w:rFonts w:ascii="Palatino Linotype" w:eastAsia="Palatino Linotype" w:hAnsi="Palatino Linotype" w:cs="Palatino Linotype"/>
          <w:color w:val="000000"/>
          <w:sz w:val="22"/>
          <w:szCs w:val="22"/>
        </w:rPr>
        <w:t xml:space="preserve"> la respuesta inicial y ordenar</w:t>
      </w:r>
      <w:r w:rsidR="00362FA2" w:rsidRPr="00BD7A62">
        <w:rPr>
          <w:rFonts w:ascii="Palatino Linotype" w:eastAsia="Palatino Linotype" w:hAnsi="Palatino Linotype" w:cs="Palatino Linotype"/>
          <w:color w:val="000000"/>
          <w:sz w:val="22"/>
          <w:szCs w:val="22"/>
        </w:rPr>
        <w:t xml:space="preserve"> la entrega de la baja de placa con terminación 5401 en versión pública y</w:t>
      </w:r>
      <w:r w:rsidRPr="00BD7A62">
        <w:rPr>
          <w:rFonts w:ascii="Palatino Linotype" w:eastAsia="Palatino Linotype" w:hAnsi="Palatino Linotype" w:cs="Palatino Linotype"/>
          <w:color w:val="000000"/>
          <w:sz w:val="22"/>
          <w:szCs w:val="22"/>
        </w:rPr>
        <w:t xml:space="preserve"> el acceso a los datos personales</w:t>
      </w:r>
      <w:r w:rsidR="00362FA2" w:rsidRPr="00BD7A62">
        <w:rPr>
          <w:rFonts w:ascii="Palatino Linotype" w:eastAsia="Palatino Linotype" w:hAnsi="Palatino Linotype" w:cs="Palatino Linotype"/>
          <w:color w:val="000000"/>
          <w:sz w:val="22"/>
          <w:szCs w:val="22"/>
        </w:rPr>
        <w:t xml:space="preserve"> a la baja de placa con terminación 9582</w:t>
      </w:r>
      <w:r w:rsidRPr="00BD7A62">
        <w:rPr>
          <w:rFonts w:ascii="Palatino Linotype" w:eastAsia="Palatino Linotype" w:hAnsi="Palatino Linotype" w:cs="Palatino Linotype"/>
          <w:color w:val="000000"/>
          <w:sz w:val="22"/>
          <w:szCs w:val="22"/>
        </w:rPr>
        <w:t>, a través de la entrega de la documentación en copias certificadas, por lo que el Sujeto Obligado deberá indicar a través de SAIMEX los elementos necesarios para que el Recurrente pueda obtener la documentación que se ordena</w:t>
      </w:r>
      <w:r w:rsidR="00362FA2" w:rsidRPr="00BD7A62">
        <w:rPr>
          <w:rFonts w:ascii="Palatino Linotype" w:eastAsia="Palatino Linotype" w:hAnsi="Palatino Linotype" w:cs="Palatino Linotype"/>
          <w:color w:val="000000"/>
          <w:sz w:val="22"/>
          <w:szCs w:val="22"/>
        </w:rPr>
        <w:t>, previa acreditación de su identidad y propiedad del vehículo</w:t>
      </w:r>
      <w:r w:rsidRPr="00BD7A62">
        <w:rPr>
          <w:rFonts w:ascii="Palatino Linotype" w:eastAsia="Palatino Linotype" w:hAnsi="Palatino Linotype" w:cs="Palatino Linotype"/>
          <w:color w:val="000000"/>
          <w:sz w:val="22"/>
          <w:szCs w:val="22"/>
        </w:rPr>
        <w:t xml:space="preserve">. </w:t>
      </w:r>
    </w:p>
    <w:p w14:paraId="496629C3" w14:textId="77777777" w:rsidR="002C1FE8" w:rsidRPr="00BD7A62" w:rsidRDefault="002C1FE8">
      <w:pPr>
        <w:spacing w:line="360" w:lineRule="auto"/>
        <w:jc w:val="both"/>
        <w:rPr>
          <w:rFonts w:ascii="Palatino Linotype" w:eastAsia="Palatino Linotype" w:hAnsi="Palatino Linotype" w:cs="Palatino Linotype"/>
          <w:color w:val="000000"/>
          <w:sz w:val="22"/>
          <w:szCs w:val="22"/>
        </w:rPr>
      </w:pPr>
    </w:p>
    <w:p w14:paraId="149D7428" w14:textId="77777777" w:rsidR="009677CC" w:rsidRPr="00BD7A62" w:rsidRDefault="00F22DA1">
      <w:pPr>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 xml:space="preserve">Sumado a lo anterior, se debe tener en cuenta que el acceso a información pública no es la vía para acceder a datos personales, ya que el Sistema de Acceso a la Información Mexiquense (SAIMEX) no cuenta con las medidas de seguridad necesarias para la entrega de datos personales ni permite acreditar la identidad de los solicitantes, motivo por el cual este Organismo Garante cuenta con un sistema exclusivo para el ejercicio de los Derechos ARCO el Sistema de Acceso, Rectificación, Cancelación y Oposición de Datos Personales del Estado de México (SARCOEM), por lo que, se dejan a salvo sus derechos para ejercer el derecho de Acceso a datos personales y entrega de dicha documentación a través de dicho sistema, en caso de así convenir a sus intereses. </w:t>
      </w:r>
    </w:p>
    <w:p w14:paraId="68CB4E7C" w14:textId="77777777" w:rsidR="00CA0140" w:rsidRPr="00BD7A62" w:rsidRDefault="00CA0140">
      <w:pPr>
        <w:spacing w:line="360" w:lineRule="auto"/>
        <w:jc w:val="both"/>
        <w:rPr>
          <w:rFonts w:ascii="Palatino Linotype" w:eastAsia="Palatino Linotype" w:hAnsi="Palatino Linotype" w:cs="Palatino Linotype"/>
          <w:color w:val="000000"/>
          <w:sz w:val="22"/>
          <w:szCs w:val="22"/>
        </w:rPr>
      </w:pPr>
    </w:p>
    <w:p w14:paraId="355370B0" w14:textId="77777777" w:rsidR="009677CC" w:rsidRPr="00BD7A62" w:rsidRDefault="00F22DA1">
      <w:pPr>
        <w:pStyle w:val="Ttulo2"/>
        <w:spacing w:before="0" w:after="0" w:line="360" w:lineRule="auto"/>
        <w:rPr>
          <w:rFonts w:ascii="Palatino Linotype" w:eastAsia="Palatino Linotype" w:hAnsi="Palatino Linotype" w:cs="Palatino Linotype"/>
          <w:b w:val="0"/>
          <w:sz w:val="22"/>
          <w:szCs w:val="22"/>
        </w:rPr>
      </w:pPr>
      <w:bookmarkStart w:id="22" w:name="_Toc196151079"/>
      <w:bookmarkStart w:id="23" w:name="_Toc196405807"/>
      <w:r w:rsidRPr="00BD7A62">
        <w:rPr>
          <w:rFonts w:ascii="Palatino Linotype" w:eastAsia="Palatino Linotype" w:hAnsi="Palatino Linotype" w:cs="Palatino Linotype"/>
          <w:sz w:val="22"/>
          <w:szCs w:val="22"/>
        </w:rPr>
        <w:t>SEXTO. Decisión</w:t>
      </w:r>
      <w:bookmarkEnd w:id="22"/>
      <w:bookmarkEnd w:id="23"/>
    </w:p>
    <w:p w14:paraId="5D16DD7D" w14:textId="77777777" w:rsidR="009677CC" w:rsidRPr="00BD7A62" w:rsidRDefault="009677CC">
      <w:pPr>
        <w:spacing w:line="360" w:lineRule="auto"/>
        <w:jc w:val="both"/>
        <w:rPr>
          <w:rFonts w:ascii="Palatino Linotype" w:eastAsia="Palatino Linotype" w:hAnsi="Palatino Linotype" w:cs="Palatino Linotype"/>
          <w:b/>
          <w:sz w:val="22"/>
          <w:szCs w:val="22"/>
        </w:rPr>
      </w:pPr>
    </w:p>
    <w:p w14:paraId="513BDE2C"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lastRenderedPageBreak/>
        <w:t xml:space="preserve">Con fundamento en el artículo 137, fracción III, de la Ley de Protección de Datos Personales en Posesión de Sujetos Obligados del Estado de México y Municipios y 186, fracción III, de la Ley de Transparencia y Acceso a la Información Pública del Estado de México y Municipios, este Instituto considera procedente </w:t>
      </w:r>
      <w:r w:rsidRPr="00BD7A62">
        <w:rPr>
          <w:rFonts w:ascii="Palatino Linotype" w:eastAsia="Palatino Linotype" w:hAnsi="Palatino Linotype" w:cs="Palatino Linotype"/>
          <w:b/>
          <w:sz w:val="22"/>
          <w:szCs w:val="22"/>
        </w:rPr>
        <w:t>REVOCAR</w:t>
      </w:r>
      <w:r w:rsidRPr="00BD7A62">
        <w:rPr>
          <w:rFonts w:ascii="Palatino Linotype" w:eastAsia="Palatino Linotype" w:hAnsi="Palatino Linotype" w:cs="Palatino Linotype"/>
          <w:sz w:val="22"/>
          <w:szCs w:val="22"/>
        </w:rPr>
        <w:t xml:space="preserve"> la respuesta otorgada por el Secretaría de Finanzas, a efecto de que, por medio del SAIMEX, informe al Solicitante de los elementos necesarios para la entrega de la información, previa acreditación de la identidad.</w:t>
      </w:r>
    </w:p>
    <w:p w14:paraId="00C72F0E" w14:textId="77777777" w:rsidR="009677CC" w:rsidRPr="00BD7A62" w:rsidRDefault="009677CC">
      <w:pPr>
        <w:tabs>
          <w:tab w:val="left" w:pos="4667"/>
        </w:tabs>
        <w:spacing w:line="360" w:lineRule="auto"/>
        <w:jc w:val="both"/>
        <w:rPr>
          <w:rFonts w:ascii="Palatino Linotype" w:eastAsia="Palatino Linotype" w:hAnsi="Palatino Linotype" w:cs="Palatino Linotype"/>
          <w:sz w:val="22"/>
          <w:szCs w:val="22"/>
        </w:rPr>
      </w:pPr>
    </w:p>
    <w:p w14:paraId="7464E33B" w14:textId="77777777" w:rsidR="009677CC" w:rsidRPr="00BD7A62" w:rsidRDefault="00F22DA1">
      <w:pPr>
        <w:spacing w:line="360" w:lineRule="auto"/>
        <w:jc w:val="both"/>
        <w:rPr>
          <w:rFonts w:ascii="Palatino Linotype" w:eastAsia="Palatino Linotype" w:hAnsi="Palatino Linotype" w:cs="Palatino Linotype"/>
          <w:b/>
          <w:sz w:val="22"/>
          <w:szCs w:val="22"/>
          <w:u w:val="single"/>
        </w:rPr>
      </w:pPr>
      <w:r w:rsidRPr="00BD7A62">
        <w:rPr>
          <w:rFonts w:ascii="Palatino Linotype" w:eastAsia="Palatino Linotype" w:hAnsi="Palatino Linotype" w:cs="Palatino Linotype"/>
          <w:b/>
          <w:sz w:val="22"/>
          <w:szCs w:val="22"/>
          <w:u w:val="single"/>
        </w:rPr>
        <w:t>Términos de la Resolución para la parte Recurrente</w:t>
      </w:r>
    </w:p>
    <w:p w14:paraId="5D6E42A6" w14:textId="77777777" w:rsidR="009677CC" w:rsidRPr="00BD7A62" w:rsidRDefault="009677CC">
      <w:pPr>
        <w:spacing w:line="360" w:lineRule="auto"/>
        <w:jc w:val="both"/>
        <w:rPr>
          <w:rFonts w:ascii="Palatino Linotype" w:eastAsia="Palatino Linotype" w:hAnsi="Palatino Linotype" w:cs="Palatino Linotype"/>
          <w:b/>
          <w:sz w:val="22"/>
          <w:szCs w:val="22"/>
          <w:u w:val="single"/>
        </w:rPr>
      </w:pPr>
    </w:p>
    <w:p w14:paraId="2F4AB297" w14:textId="42C93576" w:rsidR="00362FA2" w:rsidRPr="00BD7A62" w:rsidRDefault="00F22DA1">
      <w:pPr>
        <w:spacing w:line="360" w:lineRule="auto"/>
        <w:jc w:val="both"/>
        <w:rPr>
          <w:rFonts w:ascii="Palatino Linotype" w:eastAsia="Palatino Linotype" w:hAnsi="Palatino Linotype" w:cs="Palatino Linotype"/>
          <w:sz w:val="22"/>
          <w:szCs w:val="22"/>
          <w:u w:val="single"/>
        </w:rPr>
      </w:pPr>
      <w:r w:rsidRPr="00BD7A62">
        <w:rPr>
          <w:rFonts w:ascii="Palatino Linotype" w:eastAsia="Palatino Linotype" w:hAnsi="Palatino Linotype" w:cs="Palatino Linotype"/>
          <w:sz w:val="22"/>
          <w:szCs w:val="22"/>
          <w:u w:val="single"/>
        </w:rPr>
        <w:t>Este organismo garante determinó otorgarle la razón en virtud, de que se advierte que pretende acceder a sus datos personales, por lo que se ordena el acceso a datos</w:t>
      </w:r>
      <w:r w:rsidR="00362FA2" w:rsidRPr="00BD7A62">
        <w:rPr>
          <w:rFonts w:ascii="Palatino Linotype" w:eastAsia="Palatino Linotype" w:hAnsi="Palatino Linotype" w:cs="Palatino Linotype"/>
          <w:sz w:val="22"/>
          <w:szCs w:val="22"/>
          <w:u w:val="single"/>
        </w:rPr>
        <w:t xml:space="preserve"> a la baja de placas a su nombre</w:t>
      </w:r>
      <w:r w:rsidRPr="00BD7A62">
        <w:rPr>
          <w:rFonts w:ascii="Palatino Linotype" w:eastAsia="Palatino Linotype" w:hAnsi="Palatino Linotype" w:cs="Palatino Linotype"/>
          <w:sz w:val="22"/>
          <w:szCs w:val="22"/>
          <w:u w:val="single"/>
        </w:rPr>
        <w:t xml:space="preserve">, </w:t>
      </w:r>
      <w:r w:rsidR="00362FA2" w:rsidRPr="00BD7A62">
        <w:rPr>
          <w:rFonts w:ascii="Palatino Linotype" w:eastAsia="Palatino Linotype" w:hAnsi="Palatino Linotype" w:cs="Palatino Linotype"/>
          <w:sz w:val="22"/>
          <w:szCs w:val="22"/>
          <w:u w:val="single"/>
        </w:rPr>
        <w:t>y para el caso de la baja de placa con terminación 5401, se advierte que requiere datos de terceros, los cuales deben protegerse, por lo que se ordena la entrega de la documentación en versión pública.</w:t>
      </w:r>
    </w:p>
    <w:p w14:paraId="4D3714DE" w14:textId="77777777" w:rsidR="00362FA2" w:rsidRPr="00BD7A62" w:rsidRDefault="00362FA2">
      <w:pPr>
        <w:spacing w:line="360" w:lineRule="auto"/>
        <w:jc w:val="both"/>
        <w:rPr>
          <w:rFonts w:ascii="Palatino Linotype" w:eastAsia="Palatino Linotype" w:hAnsi="Palatino Linotype" w:cs="Palatino Linotype"/>
          <w:sz w:val="22"/>
          <w:szCs w:val="22"/>
          <w:u w:val="single"/>
        </w:rPr>
      </w:pPr>
    </w:p>
    <w:p w14:paraId="69FFB531" w14:textId="230353DD" w:rsidR="009677CC" w:rsidRPr="00BD7A62" w:rsidRDefault="00362FA2">
      <w:pPr>
        <w:spacing w:line="360" w:lineRule="auto"/>
        <w:jc w:val="both"/>
        <w:rPr>
          <w:rFonts w:ascii="Palatino Linotype" w:eastAsia="Palatino Linotype" w:hAnsi="Palatino Linotype" w:cs="Palatino Linotype"/>
          <w:sz w:val="22"/>
          <w:szCs w:val="22"/>
          <w:u w:val="single"/>
        </w:rPr>
      </w:pPr>
      <w:r w:rsidRPr="00BD7A62">
        <w:rPr>
          <w:rFonts w:ascii="Palatino Linotype" w:eastAsia="Palatino Linotype" w:hAnsi="Palatino Linotype" w:cs="Palatino Linotype"/>
          <w:sz w:val="22"/>
          <w:szCs w:val="22"/>
          <w:u w:val="single"/>
        </w:rPr>
        <w:t xml:space="preserve">Lo anterior, </w:t>
      </w:r>
      <w:r w:rsidR="00F22DA1" w:rsidRPr="00BD7A62">
        <w:rPr>
          <w:rFonts w:ascii="Palatino Linotype" w:eastAsia="Palatino Linotype" w:hAnsi="Palatino Linotype" w:cs="Palatino Linotype"/>
          <w:sz w:val="22"/>
          <w:szCs w:val="22"/>
          <w:u w:val="single"/>
        </w:rPr>
        <w:t xml:space="preserve">través de la entrega de la documentación en copias certificadas, para lo cual deberá acreditar su identidad y el Sujeto Obligado deberá señalar todos los elementos necesarios para la entrega de la información. Es importante hacerle del conocimiento que las primeras 20 hojas de copias certificadas son gratuitas. </w:t>
      </w:r>
    </w:p>
    <w:p w14:paraId="11D6FF4E" w14:textId="77777777" w:rsidR="009677CC" w:rsidRPr="00BD7A62" w:rsidRDefault="009677CC">
      <w:pPr>
        <w:spacing w:line="360" w:lineRule="auto"/>
        <w:jc w:val="both"/>
        <w:rPr>
          <w:rFonts w:ascii="Palatino Linotype" w:eastAsia="Palatino Linotype" w:hAnsi="Palatino Linotype" w:cs="Palatino Linotype"/>
          <w:sz w:val="22"/>
          <w:szCs w:val="22"/>
          <w:u w:val="single"/>
        </w:rPr>
      </w:pPr>
    </w:p>
    <w:p w14:paraId="000D1966" w14:textId="59344F19" w:rsidR="009677CC" w:rsidRPr="00BD7A62" w:rsidRDefault="00F22DA1">
      <w:pPr>
        <w:spacing w:line="360" w:lineRule="auto"/>
        <w:jc w:val="both"/>
        <w:rPr>
          <w:rFonts w:ascii="Palatino Linotype" w:eastAsia="Palatino Linotype" w:hAnsi="Palatino Linotype" w:cs="Palatino Linotype"/>
          <w:sz w:val="22"/>
          <w:szCs w:val="22"/>
          <w:u w:val="single"/>
        </w:rPr>
      </w:pPr>
      <w:r w:rsidRPr="00BD7A62">
        <w:rPr>
          <w:rFonts w:ascii="Palatino Linotype" w:eastAsia="Palatino Linotype" w:hAnsi="Palatino Linotype" w:cs="Palatino Linotype"/>
          <w:sz w:val="22"/>
          <w:szCs w:val="22"/>
          <w:u w:val="single"/>
        </w:rPr>
        <w:t>Asi</w:t>
      </w:r>
      <w:r w:rsidR="00362FA2" w:rsidRPr="00BD7A62">
        <w:rPr>
          <w:rFonts w:ascii="Palatino Linotype" w:eastAsia="Palatino Linotype" w:hAnsi="Palatino Linotype" w:cs="Palatino Linotype"/>
          <w:sz w:val="22"/>
          <w:szCs w:val="22"/>
          <w:u w:val="single"/>
        </w:rPr>
        <w:t>mismo, se le informa que en el E</w:t>
      </w:r>
      <w:r w:rsidRPr="00BD7A62">
        <w:rPr>
          <w:rFonts w:ascii="Palatino Linotype" w:eastAsia="Palatino Linotype" w:hAnsi="Palatino Linotype" w:cs="Palatino Linotype"/>
          <w:sz w:val="22"/>
          <w:szCs w:val="22"/>
          <w:u w:val="single"/>
        </w:rPr>
        <w:t xml:space="preserve">stado de México se cuenta con la plataforma SARCOEM que corresponde al sistema en el que se pueden ejercer los derechos relacionados con datos personales. </w:t>
      </w:r>
    </w:p>
    <w:p w14:paraId="11940B2A" w14:textId="77777777" w:rsidR="009677CC" w:rsidRPr="00BD7A62" w:rsidRDefault="009677CC">
      <w:pPr>
        <w:spacing w:line="360" w:lineRule="auto"/>
        <w:jc w:val="both"/>
        <w:rPr>
          <w:rFonts w:ascii="Palatino Linotype" w:eastAsia="Palatino Linotype" w:hAnsi="Palatino Linotype" w:cs="Palatino Linotype"/>
          <w:sz w:val="22"/>
          <w:szCs w:val="22"/>
          <w:u w:val="single"/>
        </w:rPr>
      </w:pPr>
    </w:p>
    <w:p w14:paraId="777D0B12" w14:textId="77777777" w:rsidR="009677CC" w:rsidRPr="00BD7A62" w:rsidRDefault="00F22DA1">
      <w:pPr>
        <w:spacing w:line="360" w:lineRule="auto"/>
        <w:jc w:val="both"/>
        <w:rPr>
          <w:rFonts w:ascii="Palatino Linotype" w:eastAsia="Palatino Linotype" w:hAnsi="Palatino Linotype" w:cs="Palatino Linotype"/>
          <w:sz w:val="22"/>
          <w:szCs w:val="22"/>
          <w:u w:val="single"/>
        </w:rPr>
      </w:pPr>
      <w:r w:rsidRPr="00BD7A62">
        <w:rPr>
          <w:rFonts w:ascii="Palatino Linotype" w:eastAsia="Palatino Linotype" w:hAnsi="Palatino Linotype" w:cs="Palatino Linotype"/>
          <w:sz w:val="22"/>
          <w:szCs w:val="22"/>
          <w:u w:val="single"/>
        </w:rPr>
        <w:t xml:space="preserve">La labor del INFOEM, es apoyar a la población para acceder a la información pública y garantizar la protección y el acceso de sus datos personales. </w:t>
      </w:r>
    </w:p>
    <w:p w14:paraId="131E9D9C" w14:textId="77777777" w:rsidR="009677CC" w:rsidRPr="00BD7A62" w:rsidRDefault="009677CC">
      <w:pPr>
        <w:spacing w:line="360" w:lineRule="auto"/>
        <w:jc w:val="both"/>
        <w:rPr>
          <w:rFonts w:ascii="Palatino Linotype" w:eastAsia="Palatino Linotype" w:hAnsi="Palatino Linotype" w:cs="Palatino Linotype"/>
          <w:sz w:val="22"/>
          <w:szCs w:val="22"/>
          <w:u w:val="single"/>
        </w:rPr>
      </w:pPr>
    </w:p>
    <w:p w14:paraId="18911283"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Por lo expuesto y fundado, este Pleno:</w:t>
      </w:r>
    </w:p>
    <w:p w14:paraId="107FDED8" w14:textId="77777777" w:rsidR="009677CC" w:rsidRPr="00BD7A62" w:rsidRDefault="009677CC">
      <w:pPr>
        <w:tabs>
          <w:tab w:val="left" w:pos="1470"/>
        </w:tabs>
        <w:spacing w:line="360" w:lineRule="auto"/>
        <w:ind w:right="-28"/>
        <w:jc w:val="both"/>
        <w:rPr>
          <w:rFonts w:ascii="Palatino Linotype" w:eastAsia="Palatino Linotype" w:hAnsi="Palatino Linotype" w:cs="Palatino Linotype"/>
          <w:color w:val="0D0D0D"/>
          <w:sz w:val="22"/>
          <w:szCs w:val="22"/>
        </w:rPr>
      </w:pPr>
    </w:p>
    <w:p w14:paraId="1494C13D" w14:textId="77777777" w:rsidR="009677CC" w:rsidRPr="00BD7A62" w:rsidRDefault="00F22DA1">
      <w:pPr>
        <w:pStyle w:val="Ttulo1"/>
        <w:spacing w:before="0" w:line="360" w:lineRule="auto"/>
        <w:jc w:val="center"/>
        <w:rPr>
          <w:rFonts w:ascii="Palatino Linotype" w:eastAsia="Palatino Linotype" w:hAnsi="Palatino Linotype" w:cs="Palatino Linotype"/>
          <w:b/>
          <w:color w:val="000000"/>
          <w:sz w:val="22"/>
          <w:szCs w:val="22"/>
        </w:rPr>
      </w:pPr>
      <w:bookmarkStart w:id="24" w:name="_Toc196151080"/>
      <w:bookmarkStart w:id="25" w:name="_Toc196405808"/>
      <w:r w:rsidRPr="00BD7A62">
        <w:rPr>
          <w:rFonts w:ascii="Palatino Linotype" w:eastAsia="Palatino Linotype" w:hAnsi="Palatino Linotype" w:cs="Palatino Linotype"/>
          <w:b/>
          <w:color w:val="000000"/>
          <w:sz w:val="22"/>
          <w:szCs w:val="22"/>
        </w:rPr>
        <w:t>R E S U E L V E</w:t>
      </w:r>
      <w:bookmarkEnd w:id="24"/>
      <w:bookmarkEnd w:id="25"/>
    </w:p>
    <w:p w14:paraId="29C6008D" w14:textId="77777777" w:rsidR="009677CC" w:rsidRPr="00BD7A62" w:rsidRDefault="009677CC">
      <w:pPr>
        <w:spacing w:line="360" w:lineRule="auto"/>
        <w:jc w:val="both"/>
        <w:rPr>
          <w:rFonts w:ascii="Palatino Linotype" w:eastAsia="Palatino Linotype" w:hAnsi="Palatino Linotype" w:cs="Palatino Linotype"/>
          <w:b/>
          <w:sz w:val="22"/>
          <w:szCs w:val="22"/>
        </w:rPr>
      </w:pPr>
    </w:p>
    <w:p w14:paraId="2C0FEE53"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b/>
          <w:sz w:val="22"/>
          <w:szCs w:val="22"/>
        </w:rPr>
        <w:t>PRIMERO</w:t>
      </w:r>
      <w:r w:rsidRPr="00BD7A62">
        <w:rPr>
          <w:rFonts w:ascii="Palatino Linotype" w:eastAsia="Palatino Linotype" w:hAnsi="Palatino Linotype" w:cs="Palatino Linotype"/>
          <w:sz w:val="22"/>
          <w:szCs w:val="22"/>
        </w:rPr>
        <w:t xml:space="preserve">. Se </w:t>
      </w:r>
      <w:r w:rsidRPr="00BD7A62">
        <w:rPr>
          <w:rFonts w:ascii="Palatino Linotype" w:eastAsia="Palatino Linotype" w:hAnsi="Palatino Linotype" w:cs="Palatino Linotype"/>
          <w:b/>
          <w:sz w:val="22"/>
          <w:szCs w:val="22"/>
        </w:rPr>
        <w:t>REVOCA</w:t>
      </w:r>
      <w:r w:rsidRPr="00BD7A62">
        <w:rPr>
          <w:rFonts w:ascii="Palatino Linotype" w:eastAsia="Palatino Linotype" w:hAnsi="Palatino Linotype" w:cs="Palatino Linotype"/>
          <w:sz w:val="22"/>
          <w:szCs w:val="22"/>
        </w:rPr>
        <w:t xml:space="preserve"> la respuesta entregada por el Secretaría de Finanzas a la solicitud </w:t>
      </w:r>
      <w:r w:rsidRPr="00BD7A62">
        <w:rPr>
          <w:rFonts w:ascii="Palatino Linotype" w:eastAsia="Palatino Linotype" w:hAnsi="Palatino Linotype" w:cs="Palatino Linotype"/>
          <w:b/>
          <w:sz w:val="22"/>
          <w:szCs w:val="22"/>
        </w:rPr>
        <w:t>00007/SF/IP/2025</w:t>
      </w:r>
      <w:r w:rsidRPr="00BD7A62">
        <w:rPr>
          <w:rFonts w:ascii="Palatino Linotype" w:eastAsia="Palatino Linotype" w:hAnsi="Palatino Linotype" w:cs="Palatino Linotype"/>
          <w:sz w:val="22"/>
          <w:szCs w:val="22"/>
        </w:rPr>
        <w:t xml:space="preserve"> por resultar FUNDADAS las razones o motivos de inconformidad hechos valer por la persona Recurrente en el Recurso de Revisión </w:t>
      </w:r>
      <w:r w:rsidRPr="00BD7A62">
        <w:rPr>
          <w:rFonts w:ascii="Palatino Linotype" w:eastAsia="Palatino Linotype" w:hAnsi="Palatino Linotype" w:cs="Palatino Linotype"/>
          <w:b/>
          <w:color w:val="000000"/>
          <w:sz w:val="22"/>
          <w:szCs w:val="22"/>
        </w:rPr>
        <w:t>00796/INFOEM/IP/RR/2025</w:t>
      </w:r>
      <w:r w:rsidRPr="00BD7A62">
        <w:rPr>
          <w:rFonts w:ascii="Palatino Linotype" w:eastAsia="Palatino Linotype" w:hAnsi="Palatino Linotype" w:cs="Palatino Linotype"/>
          <w:sz w:val="22"/>
          <w:szCs w:val="22"/>
        </w:rPr>
        <w:t>, en términos de los considerandos QUINTO y SEXTO de la presente Resolución.</w:t>
      </w:r>
    </w:p>
    <w:p w14:paraId="7A36BC77"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20E92B07"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b/>
          <w:sz w:val="22"/>
          <w:szCs w:val="22"/>
        </w:rPr>
        <w:t>SEGUNDO</w:t>
      </w:r>
      <w:r w:rsidRPr="00BD7A62">
        <w:rPr>
          <w:rFonts w:ascii="Palatino Linotype" w:eastAsia="Palatino Linotype" w:hAnsi="Palatino Linotype" w:cs="Palatino Linotype"/>
          <w:sz w:val="22"/>
          <w:szCs w:val="22"/>
        </w:rPr>
        <w:t xml:space="preserve">. Se </w:t>
      </w:r>
      <w:r w:rsidRPr="00BD7A62">
        <w:rPr>
          <w:rFonts w:ascii="Palatino Linotype" w:eastAsia="Palatino Linotype" w:hAnsi="Palatino Linotype" w:cs="Palatino Linotype"/>
          <w:b/>
          <w:sz w:val="22"/>
          <w:szCs w:val="22"/>
        </w:rPr>
        <w:t>ORDENA</w:t>
      </w:r>
      <w:r w:rsidRPr="00BD7A62">
        <w:rPr>
          <w:rFonts w:ascii="Palatino Linotype" w:eastAsia="Palatino Linotype" w:hAnsi="Palatino Linotype" w:cs="Palatino Linotype"/>
          <w:sz w:val="22"/>
          <w:szCs w:val="22"/>
        </w:rPr>
        <w:t xml:space="preserve"> al Sujeto Obligado, a efecto de que, por medio del SAIMEX, informe al Solicitante de los elementos necesarios para la entrega en copias certificadas sin costo las veinte primeras hojas, previa acreditación de la identidad, de los documentos que consten en sus archivos a la fecha de la solicitud, en el que conste lo siguiente:</w:t>
      </w:r>
    </w:p>
    <w:p w14:paraId="2C246085"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0A9791E8"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Del vehículo identificado en la solicitud:</w:t>
      </w:r>
    </w:p>
    <w:p w14:paraId="73C51E9C" w14:textId="2B61FED1" w:rsidR="009677CC" w:rsidRPr="00BD7A62" w:rsidRDefault="00F22DA1">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Documento que acredite la baja de las placas con terminación 5401</w:t>
      </w:r>
      <w:r w:rsidR="00765125" w:rsidRPr="00BD7A62">
        <w:rPr>
          <w:rFonts w:ascii="Palatino Linotype" w:eastAsia="Palatino Linotype" w:hAnsi="Palatino Linotype" w:cs="Palatino Linotype"/>
          <w:color w:val="000000"/>
          <w:sz w:val="22"/>
          <w:szCs w:val="22"/>
        </w:rPr>
        <w:t>,</w:t>
      </w:r>
      <w:r w:rsidR="00CA0140" w:rsidRPr="00BD7A62">
        <w:rPr>
          <w:rFonts w:ascii="Palatino Linotype" w:eastAsia="Palatino Linotype" w:hAnsi="Palatino Linotype" w:cs="Palatino Linotype"/>
          <w:color w:val="000000"/>
          <w:sz w:val="22"/>
          <w:szCs w:val="22"/>
        </w:rPr>
        <w:t xml:space="preserve"> en versión pública</w:t>
      </w:r>
      <w:r w:rsidRPr="00BD7A62">
        <w:rPr>
          <w:rFonts w:ascii="Palatino Linotype" w:eastAsia="Palatino Linotype" w:hAnsi="Palatino Linotype" w:cs="Palatino Linotype"/>
          <w:color w:val="000000"/>
          <w:sz w:val="22"/>
          <w:szCs w:val="22"/>
        </w:rPr>
        <w:t>.</w:t>
      </w:r>
    </w:p>
    <w:p w14:paraId="6C3442C0" w14:textId="77777777" w:rsidR="009677CC" w:rsidRPr="00BD7A62" w:rsidRDefault="00F22DA1">
      <w:pPr>
        <w:numPr>
          <w:ilvl w:val="0"/>
          <w:numId w:val="5"/>
        </w:numPr>
        <w:pBdr>
          <w:top w:val="nil"/>
          <w:left w:val="nil"/>
          <w:bottom w:val="nil"/>
          <w:right w:val="nil"/>
          <w:between w:val="nil"/>
        </w:pBdr>
        <w:tabs>
          <w:tab w:val="left" w:pos="4962"/>
        </w:tabs>
        <w:spacing w:line="360" w:lineRule="auto"/>
        <w:jc w:val="both"/>
        <w:rPr>
          <w:rFonts w:ascii="Palatino Linotype" w:eastAsia="Palatino Linotype" w:hAnsi="Palatino Linotype" w:cs="Palatino Linotype"/>
          <w:color w:val="000000"/>
          <w:sz w:val="22"/>
          <w:szCs w:val="22"/>
        </w:rPr>
      </w:pPr>
      <w:r w:rsidRPr="00BD7A62">
        <w:rPr>
          <w:rFonts w:ascii="Palatino Linotype" w:eastAsia="Palatino Linotype" w:hAnsi="Palatino Linotype" w:cs="Palatino Linotype"/>
          <w:color w:val="000000"/>
          <w:sz w:val="22"/>
          <w:szCs w:val="22"/>
        </w:rPr>
        <w:t>Documento que acredite la baja de las placas con terminación 9582 a nombre de la persona Recurrente.</w:t>
      </w:r>
    </w:p>
    <w:p w14:paraId="7FCF42B1"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4D3E7051" w14:textId="50910468"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 xml:space="preserve">En caso de que no cuente con la información ordenada </w:t>
      </w:r>
      <w:r w:rsidR="008740A9" w:rsidRPr="00BD7A62">
        <w:rPr>
          <w:rFonts w:ascii="Palatino Linotype" w:eastAsia="Palatino Linotype" w:hAnsi="Palatino Linotype" w:cs="Palatino Linotype"/>
          <w:sz w:val="22"/>
          <w:szCs w:val="22"/>
        </w:rPr>
        <w:t>en el</w:t>
      </w:r>
      <w:r w:rsidR="0087536F" w:rsidRPr="00BD7A62">
        <w:rPr>
          <w:rFonts w:ascii="Palatino Linotype" w:eastAsia="Palatino Linotype" w:hAnsi="Palatino Linotype" w:cs="Palatino Linotype"/>
          <w:sz w:val="22"/>
          <w:szCs w:val="22"/>
        </w:rPr>
        <w:t xml:space="preserve"> punto </w:t>
      </w:r>
      <w:r w:rsidRPr="00BD7A62">
        <w:rPr>
          <w:rFonts w:ascii="Palatino Linotype" w:eastAsia="Palatino Linotype" w:hAnsi="Palatino Linotype" w:cs="Palatino Linotype"/>
          <w:sz w:val="22"/>
          <w:szCs w:val="22"/>
        </w:rPr>
        <w:t>2, porque a la fecha de la solicitud no se haya tramitado ninguna baja de la placa bastará que lo haga del conocimiento del Recurrente de manera precisa y clara.</w:t>
      </w:r>
    </w:p>
    <w:p w14:paraId="6F67C28B"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4D8F934F" w14:textId="7A110418" w:rsidR="00CA0140" w:rsidRPr="00BD7A62" w:rsidRDefault="00CA0140">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 xml:space="preserve">Para la versión pública de lo ordenado en el punto 1, se deberá proporcionar el Acuerdo de Clasificación donde el Comité de Transparencia, confirme la eliminación de los datos </w:t>
      </w:r>
      <w:r w:rsidRPr="00BD7A62">
        <w:rPr>
          <w:rFonts w:ascii="Palatino Linotype" w:eastAsia="Palatino Linotype" w:hAnsi="Palatino Linotype" w:cs="Palatino Linotype"/>
          <w:sz w:val="22"/>
          <w:szCs w:val="22"/>
        </w:rPr>
        <w:lastRenderedPageBreak/>
        <w:t>confidenciales de acuerdo con los artículos 49, fracciones II y VIII, 132, fracción II, 143, fracción I y 149 de la Ley de Transparencia y Acceso a la Información Pública del Estado de México y Municipios.</w:t>
      </w:r>
    </w:p>
    <w:p w14:paraId="5BA366E5" w14:textId="77777777" w:rsidR="002D2B8A" w:rsidRPr="00BD7A62" w:rsidRDefault="002D2B8A">
      <w:pPr>
        <w:spacing w:line="360" w:lineRule="auto"/>
        <w:jc w:val="both"/>
        <w:rPr>
          <w:rFonts w:ascii="Palatino Linotype" w:eastAsia="Palatino Linotype" w:hAnsi="Palatino Linotype" w:cs="Palatino Linotype"/>
          <w:sz w:val="22"/>
          <w:szCs w:val="22"/>
        </w:rPr>
      </w:pPr>
    </w:p>
    <w:p w14:paraId="7A9F36A5"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b/>
          <w:sz w:val="22"/>
          <w:szCs w:val="22"/>
        </w:rPr>
        <w:t>TERCERO. NOTIFÍQUESE POR SAIMEX</w:t>
      </w:r>
      <w:r w:rsidRPr="00BD7A62">
        <w:rPr>
          <w:rFonts w:ascii="Palatino Linotype" w:eastAsia="Palatino Linotype" w:hAnsi="Palatino Linotype" w:cs="Palatino Linotype"/>
          <w:sz w:val="22"/>
          <w:szCs w:val="22"/>
        </w:rPr>
        <w:t xml:space="preserve"> la presente resolución al Titular de la Unidad de Transparencia del Sujeto Obligado, para que conforme al artículo 137, segundo párrafo y 141 de la Ley de Protección de Datos Personales en Posesión de Sujetos Obligados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900445D"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2A4B7755"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C2DBFA9" w14:textId="77777777" w:rsidR="009677CC" w:rsidRPr="00BD7A62" w:rsidRDefault="009677CC">
      <w:pPr>
        <w:spacing w:line="360" w:lineRule="auto"/>
        <w:jc w:val="both"/>
        <w:rPr>
          <w:rFonts w:ascii="Palatino Linotype" w:eastAsia="Palatino Linotype" w:hAnsi="Palatino Linotype" w:cs="Palatino Linotype"/>
          <w:sz w:val="22"/>
          <w:szCs w:val="22"/>
        </w:rPr>
      </w:pPr>
    </w:p>
    <w:p w14:paraId="721E90AE" w14:textId="77777777" w:rsidR="009677CC" w:rsidRPr="00BD7A62"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b/>
          <w:sz w:val="22"/>
          <w:szCs w:val="22"/>
        </w:rPr>
        <w:t>CUARTO. NOTIFÍQUESE POR SAIMEX</w:t>
      </w:r>
      <w:r w:rsidRPr="00BD7A62">
        <w:rPr>
          <w:rFonts w:ascii="Palatino Linotype" w:eastAsia="Palatino Linotype" w:hAnsi="Palatino Linotype" w:cs="Palatino Linotype"/>
          <w:sz w:val="22"/>
          <w:szCs w:val="22"/>
        </w:rPr>
        <w:t xml:space="preserve"> a la persona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términos de las leyes aplicables.</w:t>
      </w:r>
    </w:p>
    <w:p w14:paraId="19A15EB2" w14:textId="77777777" w:rsidR="009677CC" w:rsidRPr="00BD7A62" w:rsidRDefault="009677CC">
      <w:pPr>
        <w:spacing w:line="360" w:lineRule="auto"/>
        <w:jc w:val="both"/>
        <w:rPr>
          <w:rFonts w:ascii="Palatino Linotype" w:eastAsia="Palatino Linotype" w:hAnsi="Palatino Linotype" w:cs="Palatino Linotype"/>
          <w:color w:val="000000"/>
          <w:sz w:val="22"/>
          <w:szCs w:val="22"/>
        </w:rPr>
      </w:pPr>
    </w:p>
    <w:p w14:paraId="5EBA9353" w14:textId="6134F794" w:rsidR="009677CC" w:rsidRDefault="00F22DA1">
      <w:pPr>
        <w:spacing w:line="360" w:lineRule="auto"/>
        <w:jc w:val="both"/>
        <w:rPr>
          <w:rFonts w:ascii="Palatino Linotype" w:eastAsia="Palatino Linotype" w:hAnsi="Palatino Linotype" w:cs="Palatino Linotype"/>
          <w:sz w:val="22"/>
          <w:szCs w:val="22"/>
        </w:rPr>
      </w:pPr>
      <w:r w:rsidRPr="00BD7A62">
        <w:rPr>
          <w:rFonts w:ascii="Palatino Linotype" w:eastAsia="Palatino Linotype" w:hAnsi="Palatino Linotype" w:cs="Palatino Linotype"/>
          <w:sz w:val="22"/>
          <w:szCs w:val="22"/>
        </w:rPr>
        <w:lastRenderedPageBreak/>
        <w:t xml:space="preserve">ASÍ LO RESUELVE, POR </w:t>
      </w:r>
      <w:r w:rsidRPr="00BD7A62">
        <w:rPr>
          <w:rFonts w:ascii="Palatino Linotype" w:eastAsia="Palatino Linotype" w:hAnsi="Palatino Linotype" w:cs="Palatino Linotype"/>
          <w:b/>
          <w:sz w:val="22"/>
          <w:szCs w:val="22"/>
        </w:rPr>
        <w:t>UNANIMIDAD</w:t>
      </w:r>
      <w:r w:rsidRPr="00BD7A62">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w:t>
      </w:r>
      <w:r w:rsidR="005D4C4E" w:rsidRPr="00BD7A62">
        <w:rPr>
          <w:rFonts w:ascii="Palatino Linotype" w:eastAsia="Palatino Linotype" w:hAnsi="Palatino Linotype" w:cs="Palatino Linotype"/>
          <w:sz w:val="22"/>
          <w:szCs w:val="22"/>
        </w:rPr>
        <w:t xml:space="preserve"> CON VOTO PARTICULAR CONCURRENTE</w:t>
      </w:r>
      <w:r w:rsidRPr="00BD7A62">
        <w:rPr>
          <w:rFonts w:ascii="Palatino Linotype" w:eastAsia="Palatino Linotype" w:hAnsi="Palatino Linotype" w:cs="Palatino Linotype"/>
          <w:sz w:val="22"/>
          <w:szCs w:val="22"/>
        </w:rPr>
        <w:t>, MARÍA DEL ROSARIO MEJÍA AYALA, SHARON CRISTINA MORALES MARTÍNEZ, LUIS GUSTAVO PARRA NORIEGA Y GUADALUPE RAMÍREZ PEÑA</w:t>
      </w:r>
      <w:r w:rsidR="005D4C4E" w:rsidRPr="00BD7A62">
        <w:rPr>
          <w:rFonts w:ascii="Palatino Linotype" w:eastAsia="Palatino Linotype" w:hAnsi="Palatino Linotype" w:cs="Palatino Linotype"/>
          <w:sz w:val="22"/>
          <w:szCs w:val="22"/>
        </w:rPr>
        <w:t xml:space="preserve"> CON VOTO PARTICULAR CONCURRENTE</w:t>
      </w:r>
      <w:r w:rsidRPr="00BD7A62">
        <w:rPr>
          <w:rFonts w:ascii="Palatino Linotype" w:eastAsia="Palatino Linotype" w:hAnsi="Palatino Linotype" w:cs="Palatino Linotype"/>
          <w:sz w:val="22"/>
          <w:szCs w:val="22"/>
        </w:rPr>
        <w:t>, EN LA DÉCIMA CUARTA SESIÓN ORDINARIA, CELEBRADA EL VEINTITRÉS DE ABRIL DE DOS MIL VEINTICINCO, ANTE EL SECRETARIO TÉCNICO DEL PLENO, ALEXIS TAPIA RAMÍREZ.</w:t>
      </w:r>
    </w:p>
    <w:p w14:paraId="36B2CDFD" w14:textId="77777777" w:rsidR="009677CC" w:rsidRDefault="009677CC">
      <w:pPr>
        <w:tabs>
          <w:tab w:val="left" w:pos="4962"/>
        </w:tabs>
        <w:spacing w:line="360" w:lineRule="auto"/>
        <w:jc w:val="both"/>
        <w:rPr>
          <w:rFonts w:ascii="Palatino Linotype" w:eastAsia="Palatino Linotype" w:hAnsi="Palatino Linotype" w:cs="Palatino Linotype"/>
          <w:b/>
          <w:sz w:val="22"/>
          <w:szCs w:val="22"/>
        </w:rPr>
      </w:pPr>
    </w:p>
    <w:p w14:paraId="04953FE6" w14:textId="77777777" w:rsidR="009677CC" w:rsidRDefault="009677CC">
      <w:pPr>
        <w:tabs>
          <w:tab w:val="left" w:pos="4962"/>
        </w:tabs>
        <w:spacing w:line="360" w:lineRule="auto"/>
        <w:jc w:val="both"/>
        <w:rPr>
          <w:rFonts w:ascii="Palatino Linotype" w:eastAsia="Palatino Linotype" w:hAnsi="Palatino Linotype" w:cs="Palatino Linotype"/>
          <w:sz w:val="22"/>
          <w:szCs w:val="22"/>
        </w:rPr>
      </w:pPr>
    </w:p>
    <w:p w14:paraId="6CC11DFD" w14:textId="77777777" w:rsidR="009677CC" w:rsidRDefault="009677CC">
      <w:pPr>
        <w:tabs>
          <w:tab w:val="left" w:pos="4962"/>
        </w:tabs>
        <w:spacing w:line="360" w:lineRule="auto"/>
        <w:jc w:val="both"/>
        <w:rPr>
          <w:rFonts w:ascii="Palatino Linotype" w:eastAsia="Palatino Linotype" w:hAnsi="Palatino Linotype" w:cs="Palatino Linotype"/>
          <w:sz w:val="22"/>
          <w:szCs w:val="22"/>
        </w:rPr>
      </w:pPr>
    </w:p>
    <w:p w14:paraId="47A85F08" w14:textId="77777777" w:rsidR="009677CC" w:rsidRDefault="009677CC">
      <w:pPr>
        <w:spacing w:line="360" w:lineRule="auto"/>
        <w:jc w:val="both"/>
        <w:rPr>
          <w:rFonts w:ascii="Palatino Linotype" w:eastAsia="Palatino Linotype" w:hAnsi="Palatino Linotype" w:cs="Palatino Linotype"/>
          <w:color w:val="000000"/>
          <w:sz w:val="22"/>
          <w:szCs w:val="22"/>
        </w:rPr>
      </w:pPr>
    </w:p>
    <w:p w14:paraId="215293F2" w14:textId="77777777" w:rsidR="009677CC" w:rsidRDefault="009677CC">
      <w:pPr>
        <w:spacing w:line="360" w:lineRule="auto"/>
        <w:jc w:val="both"/>
        <w:rPr>
          <w:rFonts w:ascii="Palatino Linotype" w:eastAsia="Palatino Linotype" w:hAnsi="Palatino Linotype" w:cs="Palatino Linotype"/>
          <w:color w:val="000000"/>
          <w:sz w:val="22"/>
          <w:szCs w:val="22"/>
        </w:rPr>
      </w:pPr>
    </w:p>
    <w:p w14:paraId="78025CD0" w14:textId="77777777" w:rsidR="009677CC" w:rsidRDefault="009677CC">
      <w:pPr>
        <w:spacing w:line="360" w:lineRule="auto"/>
        <w:jc w:val="both"/>
        <w:rPr>
          <w:rFonts w:ascii="Palatino Linotype" w:eastAsia="Palatino Linotype" w:hAnsi="Palatino Linotype" w:cs="Palatino Linotype"/>
          <w:color w:val="000000"/>
          <w:sz w:val="22"/>
          <w:szCs w:val="22"/>
        </w:rPr>
      </w:pPr>
    </w:p>
    <w:p w14:paraId="0DAF96B8" w14:textId="77777777" w:rsidR="009677CC" w:rsidRDefault="009677CC">
      <w:pPr>
        <w:spacing w:line="360" w:lineRule="auto"/>
        <w:jc w:val="both"/>
        <w:rPr>
          <w:rFonts w:ascii="Palatino Linotype" w:eastAsia="Palatino Linotype" w:hAnsi="Palatino Linotype" w:cs="Palatino Linotype"/>
          <w:color w:val="000000"/>
          <w:sz w:val="22"/>
          <w:szCs w:val="22"/>
        </w:rPr>
      </w:pPr>
    </w:p>
    <w:p w14:paraId="2435CDC3" w14:textId="77777777" w:rsidR="009677CC" w:rsidRDefault="009677CC">
      <w:pPr>
        <w:spacing w:line="360" w:lineRule="auto"/>
        <w:jc w:val="both"/>
        <w:rPr>
          <w:rFonts w:ascii="Palatino Linotype" w:eastAsia="Palatino Linotype" w:hAnsi="Palatino Linotype" w:cs="Palatino Linotype"/>
          <w:color w:val="000000"/>
          <w:sz w:val="22"/>
          <w:szCs w:val="22"/>
        </w:rPr>
      </w:pPr>
    </w:p>
    <w:p w14:paraId="3F237F2B" w14:textId="77777777" w:rsidR="009677CC" w:rsidRDefault="009677CC">
      <w:pPr>
        <w:spacing w:line="360" w:lineRule="auto"/>
        <w:jc w:val="both"/>
        <w:rPr>
          <w:rFonts w:ascii="Palatino Linotype" w:eastAsia="Palatino Linotype" w:hAnsi="Palatino Linotype" w:cs="Palatino Linotype"/>
          <w:color w:val="000000"/>
          <w:sz w:val="22"/>
          <w:szCs w:val="22"/>
        </w:rPr>
      </w:pPr>
    </w:p>
    <w:p w14:paraId="4FD2597B" w14:textId="77777777" w:rsidR="009677CC" w:rsidRDefault="009677CC">
      <w:pPr>
        <w:spacing w:line="360" w:lineRule="auto"/>
        <w:jc w:val="both"/>
        <w:rPr>
          <w:rFonts w:ascii="Palatino Linotype" w:eastAsia="Palatino Linotype" w:hAnsi="Palatino Linotype" w:cs="Palatino Linotype"/>
          <w:color w:val="000000"/>
          <w:sz w:val="22"/>
          <w:szCs w:val="22"/>
        </w:rPr>
      </w:pPr>
    </w:p>
    <w:p w14:paraId="53BF9AC0" w14:textId="77777777" w:rsidR="009677CC" w:rsidRDefault="009677CC">
      <w:pPr>
        <w:spacing w:line="360" w:lineRule="auto"/>
        <w:jc w:val="both"/>
        <w:rPr>
          <w:rFonts w:ascii="Palatino Linotype" w:eastAsia="Palatino Linotype" w:hAnsi="Palatino Linotype" w:cs="Palatino Linotype"/>
          <w:color w:val="000000"/>
          <w:sz w:val="22"/>
          <w:szCs w:val="22"/>
        </w:rPr>
      </w:pPr>
    </w:p>
    <w:p w14:paraId="78A09422" w14:textId="77777777" w:rsidR="009677CC" w:rsidRDefault="009677CC">
      <w:pPr>
        <w:spacing w:line="360" w:lineRule="auto"/>
        <w:jc w:val="both"/>
        <w:rPr>
          <w:rFonts w:ascii="Palatino Linotype" w:eastAsia="Palatino Linotype" w:hAnsi="Palatino Linotype" w:cs="Palatino Linotype"/>
          <w:color w:val="000000"/>
          <w:sz w:val="22"/>
          <w:szCs w:val="22"/>
        </w:rPr>
      </w:pPr>
    </w:p>
    <w:p w14:paraId="5580EF94" w14:textId="77777777" w:rsidR="00EB3C6E" w:rsidRDefault="00EB3C6E">
      <w:pPr>
        <w:spacing w:line="360" w:lineRule="auto"/>
        <w:jc w:val="both"/>
        <w:rPr>
          <w:rFonts w:ascii="Palatino Linotype" w:eastAsia="Palatino Linotype" w:hAnsi="Palatino Linotype" w:cs="Palatino Linotype"/>
          <w:color w:val="000000"/>
          <w:sz w:val="22"/>
          <w:szCs w:val="22"/>
        </w:rPr>
      </w:pPr>
    </w:p>
    <w:p w14:paraId="4E73ED09" w14:textId="77777777" w:rsidR="00EB3C6E" w:rsidRDefault="00EB3C6E">
      <w:pPr>
        <w:spacing w:line="360" w:lineRule="auto"/>
        <w:jc w:val="both"/>
        <w:rPr>
          <w:rFonts w:ascii="Palatino Linotype" w:eastAsia="Palatino Linotype" w:hAnsi="Palatino Linotype" w:cs="Palatino Linotype"/>
          <w:color w:val="000000"/>
          <w:sz w:val="22"/>
          <w:szCs w:val="22"/>
        </w:rPr>
      </w:pPr>
    </w:p>
    <w:p w14:paraId="50595E2A" w14:textId="77777777" w:rsidR="00EB3C6E" w:rsidRDefault="00EB3C6E">
      <w:pPr>
        <w:spacing w:line="360" w:lineRule="auto"/>
        <w:jc w:val="both"/>
        <w:rPr>
          <w:rFonts w:ascii="Palatino Linotype" w:eastAsia="Palatino Linotype" w:hAnsi="Palatino Linotype" w:cs="Palatino Linotype"/>
          <w:color w:val="000000"/>
          <w:sz w:val="22"/>
          <w:szCs w:val="22"/>
        </w:rPr>
      </w:pPr>
    </w:p>
    <w:p w14:paraId="0F7E60AE" w14:textId="77777777" w:rsidR="00EB3C6E" w:rsidRDefault="00EB3C6E">
      <w:pPr>
        <w:spacing w:line="360" w:lineRule="auto"/>
        <w:jc w:val="both"/>
        <w:rPr>
          <w:rFonts w:ascii="Palatino Linotype" w:eastAsia="Palatino Linotype" w:hAnsi="Palatino Linotype" w:cs="Palatino Linotype"/>
          <w:color w:val="000000"/>
          <w:sz w:val="22"/>
          <w:szCs w:val="22"/>
        </w:rPr>
      </w:pPr>
    </w:p>
    <w:p w14:paraId="7E4FAA81" w14:textId="77777777" w:rsidR="00EB3C6E" w:rsidRDefault="00EB3C6E">
      <w:pPr>
        <w:spacing w:line="360" w:lineRule="auto"/>
        <w:jc w:val="both"/>
        <w:rPr>
          <w:rFonts w:ascii="Palatino Linotype" w:eastAsia="Palatino Linotype" w:hAnsi="Palatino Linotype" w:cs="Palatino Linotype"/>
          <w:color w:val="000000"/>
          <w:sz w:val="22"/>
          <w:szCs w:val="22"/>
        </w:rPr>
      </w:pPr>
    </w:p>
    <w:p w14:paraId="514D1903" w14:textId="77777777" w:rsidR="00EB3C6E" w:rsidRDefault="00EB3C6E">
      <w:pPr>
        <w:spacing w:line="360" w:lineRule="auto"/>
        <w:jc w:val="both"/>
        <w:rPr>
          <w:rFonts w:ascii="Palatino Linotype" w:eastAsia="Palatino Linotype" w:hAnsi="Palatino Linotype" w:cs="Palatino Linotype"/>
          <w:color w:val="000000"/>
          <w:sz w:val="22"/>
          <w:szCs w:val="22"/>
        </w:rPr>
      </w:pPr>
    </w:p>
    <w:p w14:paraId="15C57590" w14:textId="77777777" w:rsidR="00EB3C6E" w:rsidRDefault="00EB3C6E">
      <w:pPr>
        <w:spacing w:line="360" w:lineRule="auto"/>
        <w:jc w:val="both"/>
        <w:rPr>
          <w:rFonts w:ascii="Palatino Linotype" w:eastAsia="Palatino Linotype" w:hAnsi="Palatino Linotype" w:cs="Palatino Linotype"/>
          <w:color w:val="000000"/>
          <w:sz w:val="22"/>
          <w:szCs w:val="22"/>
        </w:rPr>
      </w:pPr>
    </w:p>
    <w:p w14:paraId="435FDB21" w14:textId="77777777" w:rsidR="009677CC" w:rsidRDefault="009677CC">
      <w:pPr>
        <w:spacing w:line="360" w:lineRule="auto"/>
        <w:jc w:val="both"/>
        <w:rPr>
          <w:rFonts w:ascii="Palatino Linotype" w:eastAsia="Palatino Linotype" w:hAnsi="Palatino Linotype" w:cs="Palatino Linotype"/>
          <w:color w:val="000000"/>
          <w:sz w:val="22"/>
          <w:szCs w:val="22"/>
        </w:rPr>
      </w:pPr>
    </w:p>
    <w:p w14:paraId="4F6667B7" w14:textId="77777777" w:rsidR="009677CC" w:rsidRDefault="009677CC">
      <w:pPr>
        <w:spacing w:line="360" w:lineRule="auto"/>
        <w:jc w:val="both"/>
        <w:rPr>
          <w:rFonts w:ascii="Palatino Linotype" w:eastAsia="Palatino Linotype" w:hAnsi="Palatino Linotype" w:cs="Palatino Linotype"/>
          <w:color w:val="000000"/>
          <w:sz w:val="22"/>
          <w:szCs w:val="22"/>
        </w:rPr>
      </w:pPr>
    </w:p>
    <w:p w14:paraId="26A5B272" w14:textId="77777777" w:rsidR="009677CC" w:rsidRDefault="009677CC">
      <w:pPr>
        <w:spacing w:line="360" w:lineRule="auto"/>
        <w:jc w:val="both"/>
        <w:rPr>
          <w:rFonts w:ascii="Palatino Linotype" w:eastAsia="Palatino Linotype" w:hAnsi="Palatino Linotype" w:cs="Palatino Linotype"/>
          <w:color w:val="000000"/>
          <w:sz w:val="22"/>
          <w:szCs w:val="22"/>
        </w:rPr>
      </w:pPr>
    </w:p>
    <w:sectPr w:rsidR="009677CC">
      <w:headerReference w:type="default" r:id="rId9"/>
      <w:footerReference w:type="default" r:id="rId10"/>
      <w:headerReference w:type="first" r:id="rId11"/>
      <w:footerReference w:type="first" r:id="rId12"/>
      <w:pgSz w:w="12240" w:h="15840"/>
      <w:pgMar w:top="851" w:right="1610" w:bottom="1418" w:left="1588" w:header="284"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1FAA6" w14:textId="77777777" w:rsidR="00177E53" w:rsidRDefault="00177E53">
      <w:r>
        <w:separator/>
      </w:r>
    </w:p>
  </w:endnote>
  <w:endnote w:type="continuationSeparator" w:id="0">
    <w:p w14:paraId="1851D7B2" w14:textId="77777777" w:rsidR="00177E53" w:rsidRDefault="0017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582EF" w14:textId="77777777" w:rsidR="00362FA2" w:rsidRDefault="00362FA2">
    <w:pPr>
      <w:pBdr>
        <w:top w:val="nil"/>
        <w:left w:val="nil"/>
        <w:bottom w:val="nil"/>
        <w:right w:val="nil"/>
        <w:between w:val="nil"/>
      </w:pBdr>
      <w:tabs>
        <w:tab w:val="center" w:pos="4419"/>
        <w:tab w:val="right" w:pos="8838"/>
      </w:tabs>
      <w:jc w:val="right"/>
      <w:rPr>
        <w:color w:val="000000"/>
        <w:sz w:val="26"/>
        <w:szCs w:val="26"/>
      </w:rPr>
    </w:pPr>
  </w:p>
  <w:p w14:paraId="0A2CEF28" w14:textId="77777777" w:rsidR="00362FA2" w:rsidRDefault="00362FA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53DBD">
      <w:rPr>
        <w:b/>
        <w:noProof/>
        <w:color w:val="000000"/>
        <w:sz w:val="24"/>
        <w:szCs w:val="24"/>
      </w:rPr>
      <w:t>22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53DBD">
      <w:rPr>
        <w:b/>
        <w:noProof/>
        <w:color w:val="000000"/>
        <w:sz w:val="24"/>
        <w:szCs w:val="24"/>
      </w:rPr>
      <w:t>31</w:t>
    </w:r>
    <w:r>
      <w:rPr>
        <w:b/>
        <w:color w:val="000000"/>
        <w:sz w:val="24"/>
        <w:szCs w:val="24"/>
      </w:rPr>
      <w:fldChar w:fldCharType="end"/>
    </w:r>
  </w:p>
  <w:p w14:paraId="78DF8D65" w14:textId="77777777" w:rsidR="00362FA2" w:rsidRDefault="00362FA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5654B" w14:textId="77777777" w:rsidR="00362FA2" w:rsidRDefault="00362FA2">
    <w:pPr>
      <w:pBdr>
        <w:top w:val="nil"/>
        <w:left w:val="nil"/>
        <w:bottom w:val="nil"/>
        <w:right w:val="nil"/>
        <w:between w:val="nil"/>
      </w:pBdr>
      <w:tabs>
        <w:tab w:val="center" w:pos="4419"/>
        <w:tab w:val="right" w:pos="8838"/>
      </w:tabs>
      <w:jc w:val="right"/>
      <w:rPr>
        <w:color w:val="000000"/>
      </w:rPr>
    </w:pPr>
  </w:p>
  <w:p w14:paraId="248BEE27" w14:textId="77777777" w:rsidR="00362FA2" w:rsidRDefault="00362FA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53DB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53DBD">
      <w:rPr>
        <w:b/>
        <w:noProof/>
        <w:color w:val="000000"/>
        <w:sz w:val="24"/>
        <w:szCs w:val="24"/>
      </w:rPr>
      <w:t>31</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0A217" w14:textId="77777777" w:rsidR="00177E53" w:rsidRDefault="00177E53">
      <w:r>
        <w:separator/>
      </w:r>
    </w:p>
  </w:footnote>
  <w:footnote w:type="continuationSeparator" w:id="0">
    <w:p w14:paraId="10B936AB" w14:textId="77777777" w:rsidR="00177E53" w:rsidRDefault="0017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C1290" w14:textId="77777777" w:rsidR="00362FA2" w:rsidRDefault="00177E5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r>
      <w:rPr>
        <w:rFonts w:ascii="Garamond" w:eastAsia="Garamond" w:hAnsi="Garamond" w:cs="Garamond"/>
        <w:color w:val="000000"/>
        <w:sz w:val="16"/>
        <w:szCs w:val="16"/>
      </w:rPr>
      <w:pict w14:anchorId="2D10E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8.3pt;margin-top:-132.5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tbl>
    <w:tblPr>
      <w:tblStyle w:val="a2"/>
      <w:tblW w:w="9782" w:type="dxa"/>
      <w:tblInd w:w="0" w:type="dxa"/>
      <w:tblLayout w:type="fixed"/>
      <w:tblLook w:val="0400" w:firstRow="0" w:lastRow="0" w:firstColumn="0" w:lastColumn="0" w:noHBand="0" w:noVBand="1"/>
    </w:tblPr>
    <w:tblGrid>
      <w:gridCol w:w="2835"/>
      <w:gridCol w:w="6947"/>
    </w:tblGrid>
    <w:tr w:rsidR="00362FA2" w14:paraId="129BE5A4" w14:textId="77777777">
      <w:trPr>
        <w:trHeight w:val="1412"/>
      </w:trPr>
      <w:tc>
        <w:tcPr>
          <w:tcW w:w="2835" w:type="dxa"/>
          <w:shd w:val="clear" w:color="auto" w:fill="auto"/>
        </w:tcPr>
        <w:p w14:paraId="6E80EDF5" w14:textId="77777777" w:rsidR="00362FA2" w:rsidRDefault="00362FA2">
          <w:pPr>
            <w:tabs>
              <w:tab w:val="right" w:pos="4273"/>
            </w:tabs>
            <w:rPr>
              <w:rFonts w:ascii="Garamond" w:eastAsia="Garamond" w:hAnsi="Garamond" w:cs="Garamond"/>
              <w:sz w:val="16"/>
              <w:szCs w:val="16"/>
            </w:rPr>
          </w:pPr>
        </w:p>
      </w:tc>
      <w:tc>
        <w:tcPr>
          <w:tcW w:w="6947" w:type="dxa"/>
          <w:shd w:val="clear" w:color="auto" w:fill="auto"/>
        </w:tcPr>
        <w:p w14:paraId="6335D36D" w14:textId="77777777" w:rsidR="00362FA2" w:rsidRDefault="00362FA2">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3"/>
            <w:tblW w:w="5818" w:type="dxa"/>
            <w:tblInd w:w="305" w:type="dxa"/>
            <w:tblLayout w:type="fixed"/>
            <w:tblLook w:val="0400" w:firstRow="0" w:lastRow="0" w:firstColumn="0" w:lastColumn="0" w:noHBand="0" w:noVBand="1"/>
          </w:tblPr>
          <w:tblGrid>
            <w:gridCol w:w="2694"/>
            <w:gridCol w:w="3124"/>
          </w:tblGrid>
          <w:tr w:rsidR="00362FA2" w14:paraId="6A898DC9" w14:textId="77777777">
            <w:trPr>
              <w:trHeight w:val="153"/>
            </w:trPr>
            <w:tc>
              <w:tcPr>
                <w:tcW w:w="2694" w:type="dxa"/>
              </w:tcPr>
              <w:p w14:paraId="22FCED84" w14:textId="77777777" w:rsidR="00362FA2" w:rsidRDefault="00362FA2">
                <w:pPr>
                  <w:tabs>
                    <w:tab w:val="right" w:pos="8838"/>
                  </w:tabs>
                  <w:rPr>
                    <w:rFonts w:ascii="Palatino Linotype" w:eastAsia="Palatino Linotype" w:hAnsi="Palatino Linotype" w:cs="Palatino Linotype"/>
                    <w:b/>
                    <w:sz w:val="22"/>
                    <w:szCs w:val="22"/>
                  </w:rPr>
                </w:pPr>
              </w:p>
              <w:p w14:paraId="5C30B087" w14:textId="77777777" w:rsidR="00362FA2" w:rsidRDefault="00362FA2">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24" w:type="dxa"/>
              </w:tcPr>
              <w:p w14:paraId="52F10122" w14:textId="77777777" w:rsidR="00362FA2" w:rsidRDefault="00362FA2">
                <w:pPr>
                  <w:tabs>
                    <w:tab w:val="right" w:pos="8838"/>
                  </w:tabs>
                  <w:ind w:left="-108"/>
                  <w:jc w:val="both"/>
                  <w:rPr>
                    <w:rFonts w:ascii="Palatino Linotype" w:eastAsia="Palatino Linotype" w:hAnsi="Palatino Linotype" w:cs="Palatino Linotype"/>
                    <w:b/>
                    <w:sz w:val="22"/>
                    <w:szCs w:val="22"/>
                  </w:rPr>
                </w:pPr>
              </w:p>
              <w:p w14:paraId="02C56A3E" w14:textId="77777777" w:rsidR="00362FA2" w:rsidRDefault="00362FA2">
                <w:pPr>
                  <w:tabs>
                    <w:tab w:val="right" w:pos="8838"/>
                  </w:tabs>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00796/INFOEM/IP/RR/2025</w:t>
                </w:r>
              </w:p>
            </w:tc>
          </w:tr>
          <w:tr w:rsidR="00362FA2" w14:paraId="3928D935" w14:textId="77777777">
            <w:trPr>
              <w:trHeight w:val="153"/>
            </w:trPr>
            <w:tc>
              <w:tcPr>
                <w:tcW w:w="2694" w:type="dxa"/>
              </w:tcPr>
              <w:p w14:paraId="3A1139E1" w14:textId="77777777" w:rsidR="00362FA2" w:rsidRDefault="00362FA2">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24" w:type="dxa"/>
              </w:tcPr>
              <w:p w14:paraId="41E63FC2" w14:textId="77777777" w:rsidR="00362FA2" w:rsidRDefault="00362FA2">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Finanzas</w:t>
                </w:r>
              </w:p>
            </w:tc>
          </w:tr>
          <w:tr w:rsidR="00362FA2" w14:paraId="4BA1137B" w14:textId="77777777">
            <w:trPr>
              <w:trHeight w:val="147"/>
            </w:trPr>
            <w:tc>
              <w:tcPr>
                <w:tcW w:w="2694" w:type="dxa"/>
              </w:tcPr>
              <w:p w14:paraId="6F219706" w14:textId="77777777" w:rsidR="00362FA2" w:rsidRDefault="00362FA2">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124" w:type="dxa"/>
              </w:tcPr>
              <w:p w14:paraId="76ABBA09" w14:textId="77777777" w:rsidR="00362FA2" w:rsidRDefault="00362FA2">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350CEB06" w14:textId="77777777" w:rsidR="00362FA2" w:rsidRDefault="00362FA2">
                <w:pPr>
                  <w:tabs>
                    <w:tab w:val="right" w:pos="8838"/>
                  </w:tabs>
                  <w:ind w:left="-108"/>
                  <w:jc w:val="both"/>
                  <w:rPr>
                    <w:rFonts w:ascii="Palatino Linotype" w:eastAsia="Palatino Linotype" w:hAnsi="Palatino Linotype" w:cs="Palatino Linotype"/>
                    <w:b/>
                    <w:sz w:val="22"/>
                    <w:szCs w:val="22"/>
                  </w:rPr>
                </w:pPr>
              </w:p>
            </w:tc>
          </w:tr>
        </w:tbl>
        <w:p w14:paraId="7D752867" w14:textId="77777777" w:rsidR="00362FA2" w:rsidRDefault="00362FA2">
          <w:pPr>
            <w:tabs>
              <w:tab w:val="right" w:pos="8838"/>
            </w:tabs>
            <w:ind w:left="-28"/>
            <w:jc w:val="both"/>
            <w:rPr>
              <w:rFonts w:ascii="Arial" w:eastAsia="Arial" w:hAnsi="Arial" w:cs="Arial"/>
              <w:b/>
              <w:sz w:val="22"/>
              <w:szCs w:val="22"/>
            </w:rPr>
          </w:pPr>
        </w:p>
      </w:tc>
    </w:tr>
  </w:tbl>
  <w:p w14:paraId="01C57F8D" w14:textId="77777777" w:rsidR="00362FA2" w:rsidRDefault="00362FA2">
    <w:pPr>
      <w:pBdr>
        <w:top w:val="nil"/>
        <w:left w:val="nil"/>
        <w:bottom w:val="nil"/>
        <w:right w:val="nil"/>
        <w:between w:val="nil"/>
      </w:pBdr>
      <w:tabs>
        <w:tab w:val="center" w:pos="4419"/>
        <w:tab w:val="right" w:pos="8838"/>
      </w:tabs>
      <w:rPr>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2C959" w14:textId="77777777" w:rsidR="00362FA2" w:rsidRDefault="00177E53">
    <w:r>
      <w:rPr>
        <w:rFonts w:ascii="Palatino Linotype" w:eastAsia="Palatino Linotype" w:hAnsi="Palatino Linotype" w:cs="Palatino Linotype"/>
        <w:b/>
        <w:sz w:val="22"/>
        <w:szCs w:val="22"/>
      </w:rPr>
      <w:pict w14:anchorId="7C2B3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65.15pt;margin-top:-113.55pt;width:663.5pt;height:12in;z-index:-251659264;mso-position-horizontal:absolute;mso-position-horizontal-relative:margin;mso-position-vertical:absolute;mso-position-vertical-relative:margin">
          <v:imagedata r:id="rId1" o:title="image2"/>
          <w10:wrap anchorx="margin" anchory="margin"/>
        </v:shape>
      </w:pict>
    </w:r>
  </w:p>
  <w:tbl>
    <w:tblPr>
      <w:tblStyle w:val="a4"/>
      <w:tblpPr w:leftFromText="141" w:rightFromText="141" w:vertAnchor="page" w:horzAnchor="margin" w:tblpY="556"/>
      <w:tblW w:w="92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61"/>
      <w:gridCol w:w="2693"/>
      <w:gridCol w:w="3302"/>
    </w:tblGrid>
    <w:tr w:rsidR="00362FA2" w14:paraId="21BB1D1E" w14:textId="77777777">
      <w:trPr>
        <w:trHeight w:val="466"/>
      </w:trPr>
      <w:tc>
        <w:tcPr>
          <w:tcW w:w="3261" w:type="dxa"/>
          <w:vAlign w:val="bottom"/>
        </w:tcPr>
        <w:p w14:paraId="7C833B16" w14:textId="77777777" w:rsidR="00362FA2" w:rsidRDefault="00362FA2">
          <w:pPr>
            <w:tabs>
              <w:tab w:val="right" w:pos="8838"/>
            </w:tabs>
            <w:ind w:right="-105"/>
            <w:rPr>
              <w:rFonts w:ascii="Palatino Linotype" w:eastAsia="Palatino Linotype" w:hAnsi="Palatino Linotype" w:cs="Palatino Linotype"/>
              <w:b/>
              <w:sz w:val="22"/>
              <w:szCs w:val="22"/>
            </w:rPr>
          </w:pPr>
        </w:p>
      </w:tc>
      <w:tc>
        <w:tcPr>
          <w:tcW w:w="2693" w:type="dxa"/>
          <w:vAlign w:val="bottom"/>
        </w:tcPr>
        <w:p w14:paraId="517EC070" w14:textId="77777777" w:rsidR="00362FA2" w:rsidRDefault="00362FA2">
          <w:pPr>
            <w:tabs>
              <w:tab w:val="left" w:pos="1735"/>
              <w:tab w:val="right" w:pos="8838"/>
            </w:tabs>
            <w:ind w:left="-28"/>
            <w:jc w:val="both"/>
            <w:rPr>
              <w:rFonts w:ascii="Palatino Linotype" w:eastAsia="Palatino Linotype" w:hAnsi="Palatino Linotype" w:cs="Palatino Linotype"/>
              <w:b/>
              <w:sz w:val="22"/>
              <w:szCs w:val="22"/>
            </w:rPr>
          </w:pPr>
        </w:p>
        <w:p w14:paraId="06A975DD" w14:textId="77777777" w:rsidR="00362FA2" w:rsidRDefault="00362FA2">
          <w:pPr>
            <w:tabs>
              <w:tab w:val="left" w:pos="1735"/>
              <w:tab w:val="right" w:pos="8838"/>
            </w:tabs>
            <w:ind w:left="-28"/>
            <w:jc w:val="both"/>
            <w:rPr>
              <w:rFonts w:ascii="Palatino Linotype" w:eastAsia="Palatino Linotype" w:hAnsi="Palatino Linotype" w:cs="Palatino Linotype"/>
              <w:b/>
              <w:sz w:val="22"/>
              <w:szCs w:val="22"/>
            </w:rPr>
          </w:pPr>
        </w:p>
        <w:p w14:paraId="2E1B455A" w14:textId="77777777" w:rsidR="00362FA2" w:rsidRDefault="00362FA2">
          <w:pPr>
            <w:tabs>
              <w:tab w:val="left" w:pos="1735"/>
              <w:tab w:val="right" w:pos="8838"/>
            </w:tabs>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02" w:type="dxa"/>
          <w:vAlign w:val="bottom"/>
        </w:tcPr>
        <w:p w14:paraId="67404BA9" w14:textId="77777777" w:rsidR="00362FA2" w:rsidRDefault="00362FA2">
          <w:pPr>
            <w:tabs>
              <w:tab w:val="left" w:pos="3435"/>
              <w:tab w:val="right" w:pos="8838"/>
            </w:tabs>
            <w:ind w:left="-28" w:right="39"/>
            <w:jc w:val="both"/>
            <w:rPr>
              <w:rFonts w:ascii="Palatino Linotype" w:eastAsia="Palatino Linotype" w:hAnsi="Palatino Linotype" w:cs="Palatino Linotype"/>
              <w:b/>
              <w:sz w:val="22"/>
              <w:szCs w:val="22"/>
            </w:rPr>
          </w:pPr>
        </w:p>
        <w:p w14:paraId="28A3748D" w14:textId="77777777" w:rsidR="00362FA2" w:rsidRDefault="00362FA2">
          <w:pPr>
            <w:tabs>
              <w:tab w:val="left" w:pos="3435"/>
              <w:tab w:val="right" w:pos="8838"/>
            </w:tabs>
            <w:ind w:left="-28" w:right="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00796/INFOEM/IP/RR/2025</w:t>
          </w:r>
        </w:p>
      </w:tc>
    </w:tr>
    <w:tr w:rsidR="00362FA2" w14:paraId="31423B2B" w14:textId="77777777">
      <w:trPr>
        <w:trHeight w:val="119"/>
      </w:trPr>
      <w:tc>
        <w:tcPr>
          <w:tcW w:w="3261" w:type="dxa"/>
        </w:tcPr>
        <w:p w14:paraId="2258BDD9" w14:textId="77777777" w:rsidR="00362FA2" w:rsidRDefault="00362FA2">
          <w:pPr>
            <w:tabs>
              <w:tab w:val="right" w:pos="8838"/>
            </w:tabs>
            <w:ind w:right="-105"/>
            <w:rPr>
              <w:rFonts w:ascii="Palatino Linotype" w:eastAsia="Palatino Linotype" w:hAnsi="Palatino Linotype" w:cs="Palatino Linotype"/>
              <w:b/>
              <w:sz w:val="22"/>
              <w:szCs w:val="22"/>
            </w:rPr>
          </w:pPr>
        </w:p>
      </w:tc>
      <w:tc>
        <w:tcPr>
          <w:tcW w:w="2693" w:type="dxa"/>
        </w:tcPr>
        <w:p w14:paraId="4177FF48" w14:textId="77777777" w:rsidR="00362FA2" w:rsidRDefault="00362FA2">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302" w:type="dxa"/>
        </w:tcPr>
        <w:p w14:paraId="338931A4" w14:textId="01148E71" w:rsidR="00362FA2" w:rsidRDefault="00C53DBD">
          <w:pPr>
            <w:tabs>
              <w:tab w:val="right" w:pos="8838"/>
            </w:tabs>
            <w:ind w:right="171"/>
            <w:jc w:val="both"/>
            <w:rPr>
              <w:rFonts w:ascii="Palatino Linotype" w:eastAsia="Palatino Linotype" w:hAnsi="Palatino Linotype" w:cs="Palatino Linotype"/>
              <w:sz w:val="22"/>
              <w:szCs w:val="22"/>
            </w:rPr>
          </w:pPr>
          <w:r w:rsidRPr="00C53DBD">
            <w:rPr>
              <w:rFonts w:ascii="Palatino Linotype" w:eastAsia="Palatino Linotype" w:hAnsi="Palatino Linotype" w:cs="Palatino Linotype"/>
              <w:sz w:val="22"/>
              <w:szCs w:val="22"/>
              <w:highlight w:val="black"/>
            </w:rPr>
            <w:t>XXXXXXXXXXXXXXXXX</w:t>
          </w:r>
        </w:p>
      </w:tc>
    </w:tr>
    <w:tr w:rsidR="00362FA2" w14:paraId="4A0F76BE" w14:textId="77777777">
      <w:trPr>
        <w:trHeight w:val="234"/>
      </w:trPr>
      <w:tc>
        <w:tcPr>
          <w:tcW w:w="3261" w:type="dxa"/>
        </w:tcPr>
        <w:p w14:paraId="54E4AB40" w14:textId="77777777" w:rsidR="00362FA2" w:rsidRDefault="00362FA2">
          <w:pPr>
            <w:tabs>
              <w:tab w:val="right" w:pos="8838"/>
            </w:tabs>
            <w:ind w:right="26"/>
            <w:rPr>
              <w:rFonts w:ascii="Palatino Linotype" w:eastAsia="Palatino Linotype" w:hAnsi="Palatino Linotype" w:cs="Palatino Linotype"/>
              <w:b/>
              <w:sz w:val="22"/>
              <w:szCs w:val="22"/>
            </w:rPr>
          </w:pPr>
        </w:p>
      </w:tc>
      <w:tc>
        <w:tcPr>
          <w:tcW w:w="2693" w:type="dxa"/>
        </w:tcPr>
        <w:p w14:paraId="638A8CCA" w14:textId="77777777" w:rsidR="00362FA2" w:rsidRDefault="00362FA2">
          <w:pPr>
            <w:tabs>
              <w:tab w:val="right" w:pos="8838"/>
            </w:tabs>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02" w:type="dxa"/>
        </w:tcPr>
        <w:p w14:paraId="554819B7" w14:textId="77777777" w:rsidR="00362FA2" w:rsidRDefault="00362FA2">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Finanzas</w:t>
          </w:r>
        </w:p>
      </w:tc>
    </w:tr>
    <w:tr w:rsidR="00362FA2" w14:paraId="1A935FAE" w14:textId="77777777">
      <w:trPr>
        <w:trHeight w:val="234"/>
      </w:trPr>
      <w:tc>
        <w:tcPr>
          <w:tcW w:w="3261" w:type="dxa"/>
        </w:tcPr>
        <w:p w14:paraId="4E4B3B21" w14:textId="77777777" w:rsidR="00362FA2" w:rsidRDefault="00362FA2">
          <w:pPr>
            <w:tabs>
              <w:tab w:val="right" w:pos="8838"/>
            </w:tabs>
            <w:ind w:right="-105"/>
            <w:rPr>
              <w:rFonts w:ascii="Palatino Linotype" w:eastAsia="Palatino Linotype" w:hAnsi="Palatino Linotype" w:cs="Palatino Linotype"/>
              <w:b/>
              <w:sz w:val="22"/>
              <w:szCs w:val="22"/>
            </w:rPr>
          </w:pPr>
        </w:p>
      </w:tc>
      <w:tc>
        <w:tcPr>
          <w:tcW w:w="2693" w:type="dxa"/>
        </w:tcPr>
        <w:p w14:paraId="37282E3D" w14:textId="77777777" w:rsidR="00362FA2" w:rsidRDefault="00362FA2">
          <w:pPr>
            <w:tabs>
              <w:tab w:val="right" w:pos="8838"/>
            </w:tabs>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302" w:type="dxa"/>
        </w:tcPr>
        <w:p w14:paraId="1B82BE6B" w14:textId="77777777" w:rsidR="00362FA2" w:rsidRDefault="00362FA2">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01CFC3B3" w14:textId="77777777" w:rsidR="00362FA2" w:rsidRDefault="00362FA2">
          <w:pPr>
            <w:tabs>
              <w:tab w:val="right" w:pos="8838"/>
            </w:tabs>
            <w:ind w:right="171"/>
            <w:jc w:val="both"/>
            <w:rPr>
              <w:rFonts w:ascii="Palatino Linotype" w:eastAsia="Palatino Linotype" w:hAnsi="Palatino Linotype" w:cs="Palatino Linotype"/>
              <w:sz w:val="22"/>
              <w:szCs w:val="22"/>
            </w:rPr>
          </w:pPr>
        </w:p>
      </w:tc>
    </w:tr>
  </w:tbl>
  <w:p w14:paraId="22CA4BCA" w14:textId="77777777" w:rsidR="00362FA2" w:rsidRDefault="00362F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9A8"/>
    <w:multiLevelType w:val="hybridMultilevel"/>
    <w:tmpl w:val="62E8F8A2"/>
    <w:lvl w:ilvl="0" w:tplc="55E6E65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4575A"/>
    <w:multiLevelType w:val="multilevel"/>
    <w:tmpl w:val="A2A63E2C"/>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428D4"/>
    <w:multiLevelType w:val="multilevel"/>
    <w:tmpl w:val="0632E8E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15307C"/>
    <w:multiLevelType w:val="multilevel"/>
    <w:tmpl w:val="8E0E4D2C"/>
    <w:lvl w:ilvl="0">
      <w:start w:val="7"/>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12355B"/>
    <w:multiLevelType w:val="multilevel"/>
    <w:tmpl w:val="44FE23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8741DE1"/>
    <w:multiLevelType w:val="multilevel"/>
    <w:tmpl w:val="E708A6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3F69AB"/>
    <w:multiLevelType w:val="multilevel"/>
    <w:tmpl w:val="012415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85E2F4A"/>
    <w:multiLevelType w:val="multilevel"/>
    <w:tmpl w:val="D6507096"/>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FD1021"/>
    <w:multiLevelType w:val="multilevel"/>
    <w:tmpl w:val="FD84357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1"/>
  </w:num>
  <w:num w:numId="4">
    <w:abstractNumId w:val="8"/>
  </w:num>
  <w:num w:numId="5">
    <w:abstractNumId w:val="2"/>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CC"/>
    <w:rsid w:val="00177E53"/>
    <w:rsid w:val="001A4A00"/>
    <w:rsid w:val="001C1E07"/>
    <w:rsid w:val="002A3C2E"/>
    <w:rsid w:val="002C1FE8"/>
    <w:rsid w:val="002D2B8A"/>
    <w:rsid w:val="00316F9C"/>
    <w:rsid w:val="00347D3A"/>
    <w:rsid w:val="00362FA2"/>
    <w:rsid w:val="003D1E5C"/>
    <w:rsid w:val="003E7696"/>
    <w:rsid w:val="00510C6D"/>
    <w:rsid w:val="0056357D"/>
    <w:rsid w:val="005D2C14"/>
    <w:rsid w:val="005D4C4E"/>
    <w:rsid w:val="006F3C45"/>
    <w:rsid w:val="00711E0C"/>
    <w:rsid w:val="00765125"/>
    <w:rsid w:val="007C2623"/>
    <w:rsid w:val="0087241B"/>
    <w:rsid w:val="008740A9"/>
    <w:rsid w:val="0087536F"/>
    <w:rsid w:val="008C1F44"/>
    <w:rsid w:val="009249A4"/>
    <w:rsid w:val="009677CC"/>
    <w:rsid w:val="009F7F92"/>
    <w:rsid w:val="00A37EBD"/>
    <w:rsid w:val="00BD7A62"/>
    <w:rsid w:val="00C53DBD"/>
    <w:rsid w:val="00CA0140"/>
    <w:rsid w:val="00D13B04"/>
    <w:rsid w:val="00EB3C6E"/>
    <w:rsid w:val="00F22DA1"/>
    <w:rsid w:val="00FA2EA1"/>
    <w:rsid w:val="00FF7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0D03D7"/>
  <w15:docId w15:val="{24819103-7FDB-40F4-930E-1CAA3F38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82D"/>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633135"/>
    <w:rPr>
      <w:color w:val="605E5C"/>
      <w:shd w:val="clear" w:color="auto" w:fill="E1DFDD"/>
    </w:rPr>
  </w:style>
  <w:style w:type="paragraph" w:styleId="TtulodeTDC">
    <w:name w:val="TOC Heading"/>
    <w:basedOn w:val="Ttulo1"/>
    <w:next w:val="Normal"/>
    <w:uiPriority w:val="39"/>
    <w:unhideWhenUsed/>
    <w:qFormat/>
    <w:rsid w:val="009F4CD6"/>
    <w:pPr>
      <w:spacing w:line="259" w:lineRule="auto"/>
      <w:outlineLvl w:val="9"/>
    </w:pPr>
    <w:rPr>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0"/>
    <w:rPr>
      <w:rFonts w:ascii="Calibri" w:eastAsia="Calibri" w:hAnsi="Calibri" w:cs="Calibri"/>
    </w:rPr>
    <w:tblPr>
      <w:tblStyleRowBandSize w:val="1"/>
      <w:tblStyleColBandSize w:val="1"/>
      <w:tblCellMar>
        <w:left w:w="108" w:type="dxa"/>
        <w:right w:w="108" w:type="dxa"/>
      </w:tblCellMar>
    </w:tblPr>
  </w:style>
  <w:style w:type="paragraph" w:styleId="TDC1">
    <w:name w:val="toc 1"/>
    <w:basedOn w:val="Normal"/>
    <w:next w:val="Normal"/>
    <w:autoRedefine/>
    <w:uiPriority w:val="39"/>
    <w:unhideWhenUsed/>
    <w:rsid w:val="00401C6D"/>
    <w:pPr>
      <w:spacing w:after="100"/>
    </w:pPr>
  </w:style>
  <w:style w:type="paragraph" w:styleId="TDC2">
    <w:name w:val="toc 2"/>
    <w:basedOn w:val="Normal"/>
    <w:next w:val="Normal"/>
    <w:autoRedefine/>
    <w:uiPriority w:val="39"/>
    <w:unhideWhenUsed/>
    <w:rsid w:val="00401C6D"/>
    <w:pPr>
      <w:spacing w:after="100"/>
      <w:ind w:left="200"/>
    </w:pPr>
  </w:style>
  <w:style w:type="character" w:customStyle="1" w:styleId="Mencinsinresolver4">
    <w:name w:val="Mención sin resolver4"/>
    <w:basedOn w:val="Fuentedeprrafopredeter"/>
    <w:uiPriority w:val="99"/>
    <w:semiHidden/>
    <w:unhideWhenUsed/>
    <w:rsid w:val="00087FB8"/>
    <w:rPr>
      <w:color w:val="605E5C"/>
      <w:shd w:val="clear" w:color="auto" w:fill="E1DFDD"/>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00343">
      <w:bodyDiv w:val="1"/>
      <w:marLeft w:val="0"/>
      <w:marRight w:val="0"/>
      <w:marTop w:val="0"/>
      <w:marBottom w:val="0"/>
      <w:divBdr>
        <w:top w:val="none" w:sz="0" w:space="0" w:color="auto"/>
        <w:left w:val="none" w:sz="0" w:space="0" w:color="auto"/>
        <w:bottom w:val="none" w:sz="0" w:space="0" w:color="auto"/>
        <w:right w:val="none" w:sz="0" w:space="0" w:color="auto"/>
      </w:divBdr>
    </w:div>
    <w:div w:id="2077121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1tL1sjDt98glxCaCnJcS1iP6gQ==">CgMxLjAyDmgudnN5aWlwYzBxY3E3Mg5oLmJuencxdXhjNGdvaDIOaC5sa28wanB2cHQ0a24yDmguZG5lMWZ5anZsNDJ2Mg5oLmdiOTBhdWhqNDVqODIOaC51YWI2eGR3MzBic3gyDmguNGN2cDZrY3J1MG53Mg1oLmd1NWh2MzVqbnBwMg5oLjVjY3N6aDg4MjJpcjIOaC5hMjhrazU1cDBpbngyDmguN3czdWZsYjI1ZWxpMg5oLjhycm8xOHRvY3p3cTgAciExaFhOaVFwOHlfSWt5X0NvY3VlTzh5Sk53bG1DMlNaMU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F7F661-1422-4730-96B1-D078A20F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7569</Words>
  <Characters>41631</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INFOEM500</cp:lastModifiedBy>
  <cp:revision>3</cp:revision>
  <cp:lastPrinted>2025-04-25T16:52:00Z</cp:lastPrinted>
  <dcterms:created xsi:type="dcterms:W3CDTF">2025-04-25T16:54:00Z</dcterms:created>
  <dcterms:modified xsi:type="dcterms:W3CDTF">2025-06-02T19:01:00Z</dcterms:modified>
</cp:coreProperties>
</file>