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FB8" w:rsidRDefault="00BC0FB8">
      <w:pPr>
        <w:widowControl w:val="0"/>
        <w:pBdr>
          <w:top w:val="nil"/>
          <w:left w:val="nil"/>
          <w:bottom w:val="nil"/>
          <w:right w:val="nil"/>
          <w:between w:val="nil"/>
        </w:pBdr>
        <w:spacing w:after="0" w:line="276" w:lineRule="auto"/>
        <w:jc w:val="left"/>
      </w:pPr>
    </w:p>
    <w:p w:rsidR="00BC0FB8" w:rsidRDefault="00BC0FB8">
      <w:pPr>
        <w:widowControl w:val="0"/>
        <w:pBdr>
          <w:top w:val="nil"/>
          <w:left w:val="nil"/>
          <w:bottom w:val="nil"/>
          <w:right w:val="nil"/>
          <w:between w:val="nil"/>
        </w:pBdr>
        <w:spacing w:after="0" w:line="360" w:lineRule="auto"/>
        <w:jc w:val="left"/>
      </w:pPr>
    </w:p>
    <w:p w:rsidR="00BC0FB8" w:rsidRDefault="00BC0FB8">
      <w:pPr>
        <w:widowControl w:val="0"/>
        <w:pBdr>
          <w:top w:val="nil"/>
          <w:left w:val="nil"/>
          <w:bottom w:val="nil"/>
          <w:right w:val="nil"/>
          <w:between w:val="nil"/>
        </w:pBdr>
        <w:spacing w:after="0" w:line="360" w:lineRule="auto"/>
        <w:jc w:val="left"/>
      </w:pPr>
    </w:p>
    <w:p w:rsidR="00BC0FB8" w:rsidRDefault="00F03AF1">
      <w:pPr>
        <w:tabs>
          <w:tab w:val="left" w:pos="8931"/>
        </w:tabs>
        <w:spacing w:after="0" w:line="360" w:lineRule="auto"/>
      </w:pPr>
      <w:r>
        <w:t xml:space="preserve"> </w:t>
      </w:r>
    </w:p>
    <w:p w:rsidR="00BC0FB8" w:rsidRPr="007257EC" w:rsidRDefault="00F03AF1" w:rsidP="00EF7B9D">
      <w:pPr>
        <w:keepNext/>
        <w:keepLines/>
        <w:pBdr>
          <w:top w:val="nil"/>
          <w:left w:val="nil"/>
          <w:bottom w:val="nil"/>
          <w:right w:val="nil"/>
          <w:between w:val="nil"/>
        </w:pBdr>
        <w:spacing w:after="0" w:line="360" w:lineRule="auto"/>
        <w:jc w:val="center"/>
        <w:rPr>
          <w:color w:val="000000"/>
        </w:rPr>
      </w:pPr>
      <w:r w:rsidRPr="007257EC">
        <w:rPr>
          <w:color w:val="000000"/>
        </w:rPr>
        <w:t>RESOLUCIÓN DEL RECURSO DE REVISIÓN 08941/INFOEM/IP/RR/2025</w:t>
      </w:r>
    </w:p>
    <w:sdt>
      <w:sdtPr>
        <w:rPr>
          <w:rFonts w:ascii="Palatino Linotype" w:eastAsia="Palatino Linotype" w:hAnsi="Palatino Linotype" w:cs="Palatino Linotype"/>
          <w:color w:val="auto"/>
          <w:sz w:val="22"/>
          <w:szCs w:val="22"/>
          <w:lang w:val="es-ES"/>
        </w:rPr>
        <w:id w:val="-456099365"/>
        <w:docPartObj>
          <w:docPartGallery w:val="Table of Contents"/>
          <w:docPartUnique/>
        </w:docPartObj>
      </w:sdtPr>
      <w:sdtEndPr>
        <w:rPr>
          <w:b/>
          <w:bCs/>
        </w:rPr>
      </w:sdtEndPr>
      <w:sdtContent>
        <w:p w:rsidR="00EF7B9D" w:rsidRPr="007257EC" w:rsidRDefault="00EF7B9D">
          <w:pPr>
            <w:pStyle w:val="TtulodeTDC"/>
          </w:pPr>
        </w:p>
        <w:p w:rsidR="007257EC" w:rsidRPr="007257EC" w:rsidRDefault="00EF7B9D">
          <w:pPr>
            <w:pStyle w:val="TDC1"/>
            <w:tabs>
              <w:tab w:val="right" w:leader="dot" w:pos="8921"/>
            </w:tabs>
            <w:rPr>
              <w:rFonts w:asciiTheme="minorHAnsi" w:eastAsiaTheme="minorEastAsia" w:hAnsiTheme="minorHAnsi" w:cstheme="minorBidi"/>
              <w:noProof/>
            </w:rPr>
          </w:pPr>
          <w:r w:rsidRPr="007257EC">
            <w:rPr>
              <w:b/>
              <w:bCs/>
              <w:lang w:val="es-ES"/>
            </w:rPr>
            <w:fldChar w:fldCharType="begin"/>
          </w:r>
          <w:r w:rsidRPr="007257EC">
            <w:rPr>
              <w:b/>
              <w:bCs/>
              <w:lang w:val="es-ES"/>
            </w:rPr>
            <w:instrText xml:space="preserve"> TOC \o "1-3" \h \z \u </w:instrText>
          </w:r>
          <w:r w:rsidRPr="007257EC">
            <w:rPr>
              <w:b/>
              <w:bCs/>
              <w:lang w:val="es-ES"/>
            </w:rPr>
            <w:fldChar w:fldCharType="separate"/>
          </w:r>
          <w:hyperlink w:anchor="_Toc210317136" w:history="1">
            <w:r w:rsidR="007257EC" w:rsidRPr="007257EC">
              <w:rPr>
                <w:rStyle w:val="Hipervnculo"/>
                <w:noProof/>
              </w:rPr>
              <w:t>A N T E C E D E N T E S</w:t>
            </w:r>
            <w:r w:rsidR="007257EC" w:rsidRPr="007257EC">
              <w:rPr>
                <w:noProof/>
                <w:webHidden/>
              </w:rPr>
              <w:tab/>
            </w:r>
            <w:r w:rsidR="007257EC" w:rsidRPr="007257EC">
              <w:rPr>
                <w:noProof/>
                <w:webHidden/>
              </w:rPr>
              <w:fldChar w:fldCharType="begin"/>
            </w:r>
            <w:r w:rsidR="007257EC" w:rsidRPr="007257EC">
              <w:rPr>
                <w:noProof/>
                <w:webHidden/>
              </w:rPr>
              <w:instrText xml:space="preserve"> PAGEREF _Toc210317136 \h </w:instrText>
            </w:r>
            <w:r w:rsidR="007257EC" w:rsidRPr="007257EC">
              <w:rPr>
                <w:noProof/>
                <w:webHidden/>
              </w:rPr>
            </w:r>
            <w:r w:rsidR="007257EC" w:rsidRPr="007257EC">
              <w:rPr>
                <w:noProof/>
                <w:webHidden/>
              </w:rPr>
              <w:fldChar w:fldCharType="separate"/>
            </w:r>
            <w:r w:rsidR="00084E49">
              <w:rPr>
                <w:noProof/>
                <w:webHidden/>
              </w:rPr>
              <w:t>2</w:t>
            </w:r>
            <w:r w:rsidR="007257EC" w:rsidRPr="007257EC">
              <w:rPr>
                <w:noProof/>
                <w:webHidden/>
              </w:rPr>
              <w:fldChar w:fldCharType="end"/>
            </w:r>
          </w:hyperlink>
        </w:p>
        <w:p w:rsidR="007257EC" w:rsidRPr="007257EC" w:rsidRDefault="005402DC">
          <w:pPr>
            <w:pStyle w:val="TDC2"/>
            <w:tabs>
              <w:tab w:val="right" w:leader="dot" w:pos="8921"/>
            </w:tabs>
            <w:rPr>
              <w:rFonts w:asciiTheme="minorHAnsi" w:eastAsiaTheme="minorEastAsia" w:hAnsiTheme="minorHAnsi" w:cstheme="minorBidi"/>
              <w:noProof/>
            </w:rPr>
          </w:pPr>
          <w:hyperlink w:anchor="_Toc210317137" w:history="1">
            <w:r w:rsidR="007257EC" w:rsidRPr="007257EC">
              <w:rPr>
                <w:rStyle w:val="Hipervnculo"/>
                <w:noProof/>
              </w:rPr>
              <w:t>I. Presentación de la solicitud de información</w:t>
            </w:r>
            <w:r w:rsidR="007257EC" w:rsidRPr="007257EC">
              <w:rPr>
                <w:noProof/>
                <w:webHidden/>
              </w:rPr>
              <w:tab/>
            </w:r>
            <w:r w:rsidR="007257EC" w:rsidRPr="007257EC">
              <w:rPr>
                <w:noProof/>
                <w:webHidden/>
              </w:rPr>
              <w:fldChar w:fldCharType="begin"/>
            </w:r>
            <w:r w:rsidR="007257EC" w:rsidRPr="007257EC">
              <w:rPr>
                <w:noProof/>
                <w:webHidden/>
              </w:rPr>
              <w:instrText xml:space="preserve"> PAGEREF _Toc210317137 \h </w:instrText>
            </w:r>
            <w:r w:rsidR="007257EC" w:rsidRPr="007257EC">
              <w:rPr>
                <w:noProof/>
                <w:webHidden/>
              </w:rPr>
            </w:r>
            <w:r w:rsidR="007257EC" w:rsidRPr="007257EC">
              <w:rPr>
                <w:noProof/>
                <w:webHidden/>
              </w:rPr>
              <w:fldChar w:fldCharType="separate"/>
            </w:r>
            <w:r w:rsidR="00084E49">
              <w:rPr>
                <w:noProof/>
                <w:webHidden/>
              </w:rPr>
              <w:t>2</w:t>
            </w:r>
            <w:r w:rsidR="007257EC" w:rsidRPr="007257EC">
              <w:rPr>
                <w:noProof/>
                <w:webHidden/>
              </w:rPr>
              <w:fldChar w:fldCharType="end"/>
            </w:r>
          </w:hyperlink>
        </w:p>
        <w:p w:rsidR="007257EC" w:rsidRPr="007257EC" w:rsidRDefault="005402DC">
          <w:pPr>
            <w:pStyle w:val="TDC2"/>
            <w:tabs>
              <w:tab w:val="right" w:leader="dot" w:pos="8921"/>
            </w:tabs>
            <w:rPr>
              <w:rFonts w:asciiTheme="minorHAnsi" w:eastAsiaTheme="minorEastAsia" w:hAnsiTheme="minorHAnsi" w:cstheme="minorBidi"/>
              <w:noProof/>
            </w:rPr>
          </w:pPr>
          <w:hyperlink w:anchor="_Toc210317138" w:history="1">
            <w:r w:rsidR="007257EC" w:rsidRPr="007257EC">
              <w:rPr>
                <w:rStyle w:val="Hipervnculo"/>
                <w:noProof/>
              </w:rPr>
              <w:t>II. Respuesta del Sujeto Obligado</w:t>
            </w:r>
            <w:r w:rsidR="007257EC" w:rsidRPr="007257EC">
              <w:rPr>
                <w:noProof/>
                <w:webHidden/>
              </w:rPr>
              <w:tab/>
            </w:r>
            <w:r w:rsidR="007257EC" w:rsidRPr="007257EC">
              <w:rPr>
                <w:noProof/>
                <w:webHidden/>
              </w:rPr>
              <w:fldChar w:fldCharType="begin"/>
            </w:r>
            <w:r w:rsidR="007257EC" w:rsidRPr="007257EC">
              <w:rPr>
                <w:noProof/>
                <w:webHidden/>
              </w:rPr>
              <w:instrText xml:space="preserve"> PAGEREF _Toc210317138 \h </w:instrText>
            </w:r>
            <w:r w:rsidR="007257EC" w:rsidRPr="007257EC">
              <w:rPr>
                <w:noProof/>
                <w:webHidden/>
              </w:rPr>
            </w:r>
            <w:r w:rsidR="007257EC" w:rsidRPr="007257EC">
              <w:rPr>
                <w:noProof/>
                <w:webHidden/>
              </w:rPr>
              <w:fldChar w:fldCharType="separate"/>
            </w:r>
            <w:r w:rsidR="00084E49">
              <w:rPr>
                <w:noProof/>
                <w:webHidden/>
              </w:rPr>
              <w:t>3</w:t>
            </w:r>
            <w:r w:rsidR="007257EC" w:rsidRPr="007257EC">
              <w:rPr>
                <w:noProof/>
                <w:webHidden/>
              </w:rPr>
              <w:fldChar w:fldCharType="end"/>
            </w:r>
          </w:hyperlink>
        </w:p>
        <w:p w:rsidR="007257EC" w:rsidRPr="007257EC" w:rsidRDefault="005402DC">
          <w:pPr>
            <w:pStyle w:val="TDC2"/>
            <w:tabs>
              <w:tab w:val="right" w:leader="dot" w:pos="8921"/>
            </w:tabs>
            <w:rPr>
              <w:rFonts w:asciiTheme="minorHAnsi" w:eastAsiaTheme="minorEastAsia" w:hAnsiTheme="minorHAnsi" w:cstheme="minorBidi"/>
              <w:noProof/>
            </w:rPr>
          </w:pPr>
          <w:hyperlink w:anchor="_Toc210317139" w:history="1">
            <w:r w:rsidR="007257EC" w:rsidRPr="007257EC">
              <w:rPr>
                <w:rStyle w:val="Hipervnculo"/>
                <w:noProof/>
              </w:rPr>
              <w:t>III. Interposición del Recurso de Revisión</w:t>
            </w:r>
            <w:r w:rsidR="007257EC" w:rsidRPr="007257EC">
              <w:rPr>
                <w:noProof/>
                <w:webHidden/>
              </w:rPr>
              <w:tab/>
            </w:r>
            <w:r w:rsidR="007257EC" w:rsidRPr="007257EC">
              <w:rPr>
                <w:noProof/>
                <w:webHidden/>
              </w:rPr>
              <w:fldChar w:fldCharType="begin"/>
            </w:r>
            <w:r w:rsidR="007257EC" w:rsidRPr="007257EC">
              <w:rPr>
                <w:noProof/>
                <w:webHidden/>
              </w:rPr>
              <w:instrText xml:space="preserve"> PAGEREF _Toc210317139 \h </w:instrText>
            </w:r>
            <w:r w:rsidR="007257EC" w:rsidRPr="007257EC">
              <w:rPr>
                <w:noProof/>
                <w:webHidden/>
              </w:rPr>
            </w:r>
            <w:r w:rsidR="007257EC" w:rsidRPr="007257EC">
              <w:rPr>
                <w:noProof/>
                <w:webHidden/>
              </w:rPr>
              <w:fldChar w:fldCharType="separate"/>
            </w:r>
            <w:r w:rsidR="00084E49">
              <w:rPr>
                <w:noProof/>
                <w:webHidden/>
              </w:rPr>
              <w:t>4</w:t>
            </w:r>
            <w:r w:rsidR="007257EC" w:rsidRPr="007257EC">
              <w:rPr>
                <w:noProof/>
                <w:webHidden/>
              </w:rPr>
              <w:fldChar w:fldCharType="end"/>
            </w:r>
          </w:hyperlink>
        </w:p>
        <w:p w:rsidR="007257EC" w:rsidRPr="007257EC" w:rsidRDefault="005402DC">
          <w:pPr>
            <w:pStyle w:val="TDC2"/>
            <w:tabs>
              <w:tab w:val="right" w:leader="dot" w:pos="8921"/>
            </w:tabs>
            <w:rPr>
              <w:rFonts w:asciiTheme="minorHAnsi" w:eastAsiaTheme="minorEastAsia" w:hAnsiTheme="minorHAnsi" w:cstheme="minorBidi"/>
              <w:noProof/>
            </w:rPr>
          </w:pPr>
          <w:hyperlink w:anchor="_Toc210317140" w:history="1">
            <w:r w:rsidR="007257EC" w:rsidRPr="007257EC">
              <w:rPr>
                <w:rStyle w:val="Hipervnculo"/>
                <w:noProof/>
              </w:rPr>
              <w:t>IV. Trámite del Recurso de Revisión ante este Instituto</w:t>
            </w:r>
            <w:r w:rsidR="007257EC" w:rsidRPr="007257EC">
              <w:rPr>
                <w:noProof/>
                <w:webHidden/>
              </w:rPr>
              <w:tab/>
            </w:r>
            <w:r w:rsidR="007257EC" w:rsidRPr="007257EC">
              <w:rPr>
                <w:noProof/>
                <w:webHidden/>
              </w:rPr>
              <w:fldChar w:fldCharType="begin"/>
            </w:r>
            <w:r w:rsidR="007257EC" w:rsidRPr="007257EC">
              <w:rPr>
                <w:noProof/>
                <w:webHidden/>
              </w:rPr>
              <w:instrText xml:space="preserve"> PAGEREF _Toc210317140 \h </w:instrText>
            </w:r>
            <w:r w:rsidR="007257EC" w:rsidRPr="007257EC">
              <w:rPr>
                <w:noProof/>
                <w:webHidden/>
              </w:rPr>
            </w:r>
            <w:r w:rsidR="007257EC" w:rsidRPr="007257EC">
              <w:rPr>
                <w:noProof/>
                <w:webHidden/>
              </w:rPr>
              <w:fldChar w:fldCharType="separate"/>
            </w:r>
            <w:r w:rsidR="00084E49">
              <w:rPr>
                <w:noProof/>
                <w:webHidden/>
              </w:rPr>
              <w:t>5</w:t>
            </w:r>
            <w:r w:rsidR="007257EC" w:rsidRPr="007257EC">
              <w:rPr>
                <w:noProof/>
                <w:webHidden/>
              </w:rPr>
              <w:fldChar w:fldCharType="end"/>
            </w:r>
          </w:hyperlink>
        </w:p>
        <w:p w:rsidR="007257EC" w:rsidRPr="007257EC" w:rsidRDefault="005402DC">
          <w:pPr>
            <w:pStyle w:val="TDC1"/>
            <w:tabs>
              <w:tab w:val="right" w:leader="dot" w:pos="8921"/>
            </w:tabs>
            <w:rPr>
              <w:rFonts w:asciiTheme="minorHAnsi" w:eastAsiaTheme="minorEastAsia" w:hAnsiTheme="minorHAnsi" w:cstheme="minorBidi"/>
              <w:noProof/>
            </w:rPr>
          </w:pPr>
          <w:hyperlink w:anchor="_Toc210317141" w:history="1">
            <w:r w:rsidR="007257EC" w:rsidRPr="007257EC">
              <w:rPr>
                <w:rStyle w:val="Hipervnculo"/>
                <w:noProof/>
              </w:rPr>
              <w:t>C O N S I D E R A N D O S</w:t>
            </w:r>
            <w:r w:rsidR="007257EC" w:rsidRPr="007257EC">
              <w:rPr>
                <w:noProof/>
                <w:webHidden/>
              </w:rPr>
              <w:tab/>
            </w:r>
            <w:r w:rsidR="007257EC" w:rsidRPr="007257EC">
              <w:rPr>
                <w:noProof/>
                <w:webHidden/>
              </w:rPr>
              <w:fldChar w:fldCharType="begin"/>
            </w:r>
            <w:r w:rsidR="007257EC" w:rsidRPr="007257EC">
              <w:rPr>
                <w:noProof/>
                <w:webHidden/>
              </w:rPr>
              <w:instrText xml:space="preserve"> PAGEREF _Toc210317141 \h </w:instrText>
            </w:r>
            <w:r w:rsidR="007257EC" w:rsidRPr="007257EC">
              <w:rPr>
                <w:noProof/>
                <w:webHidden/>
              </w:rPr>
            </w:r>
            <w:r w:rsidR="007257EC" w:rsidRPr="007257EC">
              <w:rPr>
                <w:noProof/>
                <w:webHidden/>
              </w:rPr>
              <w:fldChar w:fldCharType="separate"/>
            </w:r>
            <w:r w:rsidR="00084E49">
              <w:rPr>
                <w:noProof/>
                <w:webHidden/>
              </w:rPr>
              <w:t>6</w:t>
            </w:r>
            <w:r w:rsidR="007257EC" w:rsidRPr="007257EC">
              <w:rPr>
                <w:noProof/>
                <w:webHidden/>
              </w:rPr>
              <w:fldChar w:fldCharType="end"/>
            </w:r>
          </w:hyperlink>
        </w:p>
        <w:p w:rsidR="007257EC" w:rsidRPr="007257EC" w:rsidRDefault="005402DC">
          <w:pPr>
            <w:pStyle w:val="TDC2"/>
            <w:tabs>
              <w:tab w:val="right" w:leader="dot" w:pos="8921"/>
            </w:tabs>
            <w:rPr>
              <w:rFonts w:asciiTheme="minorHAnsi" w:eastAsiaTheme="minorEastAsia" w:hAnsiTheme="minorHAnsi" w:cstheme="minorBidi"/>
              <w:noProof/>
            </w:rPr>
          </w:pPr>
          <w:hyperlink w:anchor="_Toc210317142" w:history="1">
            <w:r w:rsidR="007257EC" w:rsidRPr="007257EC">
              <w:rPr>
                <w:rStyle w:val="Hipervnculo"/>
                <w:noProof/>
              </w:rPr>
              <w:t>PRIMERO. Competencia</w:t>
            </w:r>
            <w:r w:rsidR="007257EC" w:rsidRPr="007257EC">
              <w:rPr>
                <w:noProof/>
                <w:webHidden/>
              </w:rPr>
              <w:tab/>
            </w:r>
            <w:r w:rsidR="007257EC" w:rsidRPr="007257EC">
              <w:rPr>
                <w:noProof/>
                <w:webHidden/>
              </w:rPr>
              <w:fldChar w:fldCharType="begin"/>
            </w:r>
            <w:r w:rsidR="007257EC" w:rsidRPr="007257EC">
              <w:rPr>
                <w:noProof/>
                <w:webHidden/>
              </w:rPr>
              <w:instrText xml:space="preserve"> PAGEREF _Toc210317142 \h </w:instrText>
            </w:r>
            <w:r w:rsidR="007257EC" w:rsidRPr="007257EC">
              <w:rPr>
                <w:noProof/>
                <w:webHidden/>
              </w:rPr>
            </w:r>
            <w:r w:rsidR="007257EC" w:rsidRPr="007257EC">
              <w:rPr>
                <w:noProof/>
                <w:webHidden/>
              </w:rPr>
              <w:fldChar w:fldCharType="separate"/>
            </w:r>
            <w:r w:rsidR="00084E49">
              <w:rPr>
                <w:noProof/>
                <w:webHidden/>
              </w:rPr>
              <w:t>6</w:t>
            </w:r>
            <w:r w:rsidR="007257EC" w:rsidRPr="007257EC">
              <w:rPr>
                <w:noProof/>
                <w:webHidden/>
              </w:rPr>
              <w:fldChar w:fldCharType="end"/>
            </w:r>
          </w:hyperlink>
        </w:p>
        <w:p w:rsidR="007257EC" w:rsidRPr="007257EC" w:rsidRDefault="005402DC">
          <w:pPr>
            <w:pStyle w:val="TDC2"/>
            <w:tabs>
              <w:tab w:val="right" w:leader="dot" w:pos="8921"/>
            </w:tabs>
            <w:rPr>
              <w:rFonts w:asciiTheme="minorHAnsi" w:eastAsiaTheme="minorEastAsia" w:hAnsiTheme="minorHAnsi" w:cstheme="minorBidi"/>
              <w:noProof/>
            </w:rPr>
          </w:pPr>
          <w:hyperlink w:anchor="_Toc210317143" w:history="1">
            <w:r w:rsidR="007257EC" w:rsidRPr="007257EC">
              <w:rPr>
                <w:rStyle w:val="Hipervnculo"/>
                <w:noProof/>
              </w:rPr>
              <w:t>SEGUNDO. Causales de improcedencia y sobreseimiento</w:t>
            </w:r>
            <w:r w:rsidR="007257EC" w:rsidRPr="007257EC">
              <w:rPr>
                <w:noProof/>
                <w:webHidden/>
              </w:rPr>
              <w:tab/>
            </w:r>
            <w:r w:rsidR="007257EC" w:rsidRPr="007257EC">
              <w:rPr>
                <w:noProof/>
                <w:webHidden/>
              </w:rPr>
              <w:fldChar w:fldCharType="begin"/>
            </w:r>
            <w:r w:rsidR="007257EC" w:rsidRPr="007257EC">
              <w:rPr>
                <w:noProof/>
                <w:webHidden/>
              </w:rPr>
              <w:instrText xml:space="preserve"> PAGEREF _Toc210317143 \h </w:instrText>
            </w:r>
            <w:r w:rsidR="007257EC" w:rsidRPr="007257EC">
              <w:rPr>
                <w:noProof/>
                <w:webHidden/>
              </w:rPr>
            </w:r>
            <w:r w:rsidR="007257EC" w:rsidRPr="007257EC">
              <w:rPr>
                <w:noProof/>
                <w:webHidden/>
              </w:rPr>
              <w:fldChar w:fldCharType="separate"/>
            </w:r>
            <w:r w:rsidR="00084E49">
              <w:rPr>
                <w:noProof/>
                <w:webHidden/>
              </w:rPr>
              <w:t>7</w:t>
            </w:r>
            <w:r w:rsidR="007257EC" w:rsidRPr="007257EC">
              <w:rPr>
                <w:noProof/>
                <w:webHidden/>
              </w:rPr>
              <w:fldChar w:fldCharType="end"/>
            </w:r>
          </w:hyperlink>
        </w:p>
        <w:p w:rsidR="007257EC" w:rsidRPr="007257EC" w:rsidRDefault="005402DC">
          <w:pPr>
            <w:pStyle w:val="TDC2"/>
            <w:tabs>
              <w:tab w:val="right" w:leader="dot" w:pos="8921"/>
            </w:tabs>
            <w:rPr>
              <w:rFonts w:asciiTheme="minorHAnsi" w:eastAsiaTheme="minorEastAsia" w:hAnsiTheme="minorHAnsi" w:cstheme="minorBidi"/>
              <w:noProof/>
            </w:rPr>
          </w:pPr>
          <w:hyperlink w:anchor="_Toc210317144" w:history="1">
            <w:r w:rsidR="007257EC" w:rsidRPr="007257EC">
              <w:rPr>
                <w:rStyle w:val="Hipervnculo"/>
                <w:noProof/>
              </w:rPr>
              <w:t>TERCERO. Determinación de la Controversia</w:t>
            </w:r>
            <w:r w:rsidR="007257EC" w:rsidRPr="007257EC">
              <w:rPr>
                <w:noProof/>
                <w:webHidden/>
              </w:rPr>
              <w:tab/>
            </w:r>
            <w:r w:rsidR="007257EC" w:rsidRPr="007257EC">
              <w:rPr>
                <w:noProof/>
                <w:webHidden/>
              </w:rPr>
              <w:fldChar w:fldCharType="begin"/>
            </w:r>
            <w:r w:rsidR="007257EC" w:rsidRPr="007257EC">
              <w:rPr>
                <w:noProof/>
                <w:webHidden/>
              </w:rPr>
              <w:instrText xml:space="preserve"> PAGEREF _Toc210317144 \h </w:instrText>
            </w:r>
            <w:r w:rsidR="007257EC" w:rsidRPr="007257EC">
              <w:rPr>
                <w:noProof/>
                <w:webHidden/>
              </w:rPr>
            </w:r>
            <w:r w:rsidR="007257EC" w:rsidRPr="007257EC">
              <w:rPr>
                <w:noProof/>
                <w:webHidden/>
              </w:rPr>
              <w:fldChar w:fldCharType="separate"/>
            </w:r>
            <w:r w:rsidR="00084E49">
              <w:rPr>
                <w:noProof/>
                <w:webHidden/>
              </w:rPr>
              <w:t>8</w:t>
            </w:r>
            <w:r w:rsidR="007257EC" w:rsidRPr="007257EC">
              <w:rPr>
                <w:noProof/>
                <w:webHidden/>
              </w:rPr>
              <w:fldChar w:fldCharType="end"/>
            </w:r>
          </w:hyperlink>
        </w:p>
        <w:p w:rsidR="007257EC" w:rsidRPr="007257EC" w:rsidRDefault="005402DC">
          <w:pPr>
            <w:pStyle w:val="TDC2"/>
            <w:tabs>
              <w:tab w:val="right" w:leader="dot" w:pos="8921"/>
            </w:tabs>
            <w:rPr>
              <w:rFonts w:asciiTheme="minorHAnsi" w:eastAsiaTheme="minorEastAsia" w:hAnsiTheme="minorHAnsi" w:cstheme="minorBidi"/>
              <w:noProof/>
            </w:rPr>
          </w:pPr>
          <w:hyperlink w:anchor="_Toc210317145" w:history="1">
            <w:r w:rsidR="007257EC" w:rsidRPr="007257EC">
              <w:rPr>
                <w:rStyle w:val="Hipervnculo"/>
                <w:noProof/>
              </w:rPr>
              <w:t>CUARTO. Marco normativo aplicable en materia de transparencia y acceso a la información pública</w:t>
            </w:r>
            <w:r w:rsidR="007257EC" w:rsidRPr="007257EC">
              <w:rPr>
                <w:noProof/>
                <w:webHidden/>
              </w:rPr>
              <w:tab/>
            </w:r>
            <w:r w:rsidR="007257EC" w:rsidRPr="007257EC">
              <w:rPr>
                <w:noProof/>
                <w:webHidden/>
              </w:rPr>
              <w:fldChar w:fldCharType="begin"/>
            </w:r>
            <w:r w:rsidR="007257EC" w:rsidRPr="007257EC">
              <w:rPr>
                <w:noProof/>
                <w:webHidden/>
              </w:rPr>
              <w:instrText xml:space="preserve"> PAGEREF _Toc210317145 \h </w:instrText>
            </w:r>
            <w:r w:rsidR="007257EC" w:rsidRPr="007257EC">
              <w:rPr>
                <w:noProof/>
                <w:webHidden/>
              </w:rPr>
            </w:r>
            <w:r w:rsidR="007257EC" w:rsidRPr="007257EC">
              <w:rPr>
                <w:noProof/>
                <w:webHidden/>
              </w:rPr>
              <w:fldChar w:fldCharType="separate"/>
            </w:r>
            <w:r w:rsidR="00084E49">
              <w:rPr>
                <w:noProof/>
                <w:webHidden/>
              </w:rPr>
              <w:t>9</w:t>
            </w:r>
            <w:r w:rsidR="007257EC" w:rsidRPr="007257EC">
              <w:rPr>
                <w:noProof/>
                <w:webHidden/>
              </w:rPr>
              <w:fldChar w:fldCharType="end"/>
            </w:r>
          </w:hyperlink>
        </w:p>
        <w:p w:rsidR="007257EC" w:rsidRPr="007257EC" w:rsidRDefault="005402DC">
          <w:pPr>
            <w:pStyle w:val="TDC2"/>
            <w:tabs>
              <w:tab w:val="right" w:leader="dot" w:pos="8921"/>
            </w:tabs>
            <w:rPr>
              <w:rFonts w:asciiTheme="minorHAnsi" w:eastAsiaTheme="minorEastAsia" w:hAnsiTheme="minorHAnsi" w:cstheme="minorBidi"/>
              <w:noProof/>
            </w:rPr>
          </w:pPr>
          <w:hyperlink w:anchor="_Toc210317146" w:history="1">
            <w:r w:rsidR="007257EC" w:rsidRPr="007257EC">
              <w:rPr>
                <w:rStyle w:val="Hipervnculo"/>
                <w:noProof/>
              </w:rPr>
              <w:t>QUINTO. Estudio de Fondo</w:t>
            </w:r>
            <w:r w:rsidR="007257EC" w:rsidRPr="007257EC">
              <w:rPr>
                <w:noProof/>
                <w:webHidden/>
              </w:rPr>
              <w:tab/>
            </w:r>
            <w:r w:rsidR="007257EC" w:rsidRPr="007257EC">
              <w:rPr>
                <w:noProof/>
                <w:webHidden/>
              </w:rPr>
              <w:fldChar w:fldCharType="begin"/>
            </w:r>
            <w:r w:rsidR="007257EC" w:rsidRPr="007257EC">
              <w:rPr>
                <w:noProof/>
                <w:webHidden/>
              </w:rPr>
              <w:instrText xml:space="preserve"> PAGEREF _Toc210317146 \h </w:instrText>
            </w:r>
            <w:r w:rsidR="007257EC" w:rsidRPr="007257EC">
              <w:rPr>
                <w:noProof/>
                <w:webHidden/>
              </w:rPr>
            </w:r>
            <w:r w:rsidR="007257EC" w:rsidRPr="007257EC">
              <w:rPr>
                <w:noProof/>
                <w:webHidden/>
              </w:rPr>
              <w:fldChar w:fldCharType="separate"/>
            </w:r>
            <w:r w:rsidR="00084E49">
              <w:rPr>
                <w:noProof/>
                <w:webHidden/>
              </w:rPr>
              <w:t>10</w:t>
            </w:r>
            <w:r w:rsidR="007257EC" w:rsidRPr="007257EC">
              <w:rPr>
                <w:noProof/>
                <w:webHidden/>
              </w:rPr>
              <w:fldChar w:fldCharType="end"/>
            </w:r>
          </w:hyperlink>
        </w:p>
        <w:p w:rsidR="007257EC" w:rsidRPr="007257EC" w:rsidRDefault="005402DC">
          <w:pPr>
            <w:pStyle w:val="TDC2"/>
            <w:tabs>
              <w:tab w:val="right" w:leader="dot" w:pos="8921"/>
            </w:tabs>
            <w:rPr>
              <w:rFonts w:asciiTheme="minorHAnsi" w:eastAsiaTheme="minorEastAsia" w:hAnsiTheme="minorHAnsi" w:cstheme="minorBidi"/>
              <w:noProof/>
            </w:rPr>
          </w:pPr>
          <w:hyperlink w:anchor="_Toc210317147" w:history="1">
            <w:r w:rsidR="007257EC" w:rsidRPr="007257EC">
              <w:rPr>
                <w:rStyle w:val="Hipervnculo"/>
                <w:noProof/>
              </w:rPr>
              <w:t>SEXTO. Decisión</w:t>
            </w:r>
            <w:r w:rsidR="007257EC" w:rsidRPr="007257EC">
              <w:rPr>
                <w:noProof/>
                <w:webHidden/>
              </w:rPr>
              <w:tab/>
            </w:r>
            <w:r w:rsidR="007257EC" w:rsidRPr="007257EC">
              <w:rPr>
                <w:noProof/>
                <w:webHidden/>
              </w:rPr>
              <w:fldChar w:fldCharType="begin"/>
            </w:r>
            <w:r w:rsidR="007257EC" w:rsidRPr="007257EC">
              <w:rPr>
                <w:noProof/>
                <w:webHidden/>
              </w:rPr>
              <w:instrText xml:space="preserve"> PAGEREF _Toc210317147 \h </w:instrText>
            </w:r>
            <w:r w:rsidR="007257EC" w:rsidRPr="007257EC">
              <w:rPr>
                <w:noProof/>
                <w:webHidden/>
              </w:rPr>
            </w:r>
            <w:r w:rsidR="007257EC" w:rsidRPr="007257EC">
              <w:rPr>
                <w:noProof/>
                <w:webHidden/>
              </w:rPr>
              <w:fldChar w:fldCharType="separate"/>
            </w:r>
            <w:r w:rsidR="00084E49">
              <w:rPr>
                <w:noProof/>
                <w:webHidden/>
              </w:rPr>
              <w:t>22</w:t>
            </w:r>
            <w:r w:rsidR="007257EC" w:rsidRPr="007257EC">
              <w:rPr>
                <w:noProof/>
                <w:webHidden/>
              </w:rPr>
              <w:fldChar w:fldCharType="end"/>
            </w:r>
          </w:hyperlink>
        </w:p>
        <w:p w:rsidR="007257EC" w:rsidRPr="007257EC" w:rsidRDefault="005402DC">
          <w:pPr>
            <w:pStyle w:val="TDC1"/>
            <w:tabs>
              <w:tab w:val="right" w:leader="dot" w:pos="8921"/>
            </w:tabs>
            <w:rPr>
              <w:rFonts w:asciiTheme="minorHAnsi" w:eastAsiaTheme="minorEastAsia" w:hAnsiTheme="minorHAnsi" w:cstheme="minorBidi"/>
              <w:noProof/>
            </w:rPr>
          </w:pPr>
          <w:hyperlink w:anchor="_Toc210317148" w:history="1">
            <w:r w:rsidR="007257EC" w:rsidRPr="007257EC">
              <w:rPr>
                <w:rStyle w:val="Hipervnculo"/>
                <w:noProof/>
              </w:rPr>
              <w:t>R E S U E L V E</w:t>
            </w:r>
            <w:r w:rsidR="007257EC" w:rsidRPr="007257EC">
              <w:rPr>
                <w:noProof/>
                <w:webHidden/>
              </w:rPr>
              <w:tab/>
            </w:r>
            <w:r w:rsidR="007257EC" w:rsidRPr="007257EC">
              <w:rPr>
                <w:noProof/>
                <w:webHidden/>
              </w:rPr>
              <w:fldChar w:fldCharType="begin"/>
            </w:r>
            <w:r w:rsidR="007257EC" w:rsidRPr="007257EC">
              <w:rPr>
                <w:noProof/>
                <w:webHidden/>
              </w:rPr>
              <w:instrText xml:space="preserve"> PAGEREF _Toc210317148 \h </w:instrText>
            </w:r>
            <w:r w:rsidR="007257EC" w:rsidRPr="007257EC">
              <w:rPr>
                <w:noProof/>
                <w:webHidden/>
              </w:rPr>
            </w:r>
            <w:r w:rsidR="007257EC" w:rsidRPr="007257EC">
              <w:rPr>
                <w:noProof/>
                <w:webHidden/>
              </w:rPr>
              <w:fldChar w:fldCharType="separate"/>
            </w:r>
            <w:r w:rsidR="00084E49">
              <w:rPr>
                <w:noProof/>
                <w:webHidden/>
              </w:rPr>
              <w:t>23</w:t>
            </w:r>
            <w:r w:rsidR="007257EC" w:rsidRPr="007257EC">
              <w:rPr>
                <w:noProof/>
                <w:webHidden/>
              </w:rPr>
              <w:fldChar w:fldCharType="end"/>
            </w:r>
          </w:hyperlink>
        </w:p>
        <w:p w:rsidR="00EF7B9D" w:rsidRPr="007257EC" w:rsidRDefault="00EF7B9D">
          <w:r w:rsidRPr="007257EC">
            <w:rPr>
              <w:b/>
              <w:bCs/>
              <w:lang w:val="es-ES"/>
            </w:rPr>
            <w:fldChar w:fldCharType="end"/>
          </w:r>
        </w:p>
      </w:sdtContent>
    </w:sdt>
    <w:p w:rsidR="00BC0FB8" w:rsidRPr="007257EC" w:rsidRDefault="00BC0FB8">
      <w:pPr>
        <w:tabs>
          <w:tab w:val="left" w:pos="8931"/>
        </w:tabs>
        <w:spacing w:after="0" w:line="360" w:lineRule="auto"/>
      </w:pPr>
    </w:p>
    <w:p w:rsidR="00EF7B9D" w:rsidRPr="007257EC" w:rsidRDefault="00EF7B9D">
      <w:pPr>
        <w:tabs>
          <w:tab w:val="left" w:pos="8931"/>
        </w:tabs>
        <w:spacing w:after="0" w:line="360" w:lineRule="auto"/>
      </w:pPr>
    </w:p>
    <w:p w:rsidR="00EF7B9D" w:rsidRPr="007257EC" w:rsidRDefault="00EF7B9D">
      <w:pPr>
        <w:tabs>
          <w:tab w:val="left" w:pos="8931"/>
        </w:tabs>
        <w:spacing w:after="0" w:line="360" w:lineRule="auto"/>
      </w:pPr>
    </w:p>
    <w:p w:rsidR="00EF7B9D" w:rsidRPr="007257EC" w:rsidRDefault="00EF7B9D">
      <w:pPr>
        <w:tabs>
          <w:tab w:val="left" w:pos="8931"/>
        </w:tabs>
        <w:spacing w:after="0" w:line="360" w:lineRule="auto"/>
      </w:pPr>
    </w:p>
    <w:p w:rsidR="00EF7B9D" w:rsidRPr="007257EC" w:rsidRDefault="00EF7B9D">
      <w:pPr>
        <w:tabs>
          <w:tab w:val="left" w:pos="8931"/>
        </w:tabs>
        <w:spacing w:after="0" w:line="360" w:lineRule="auto"/>
      </w:pPr>
    </w:p>
    <w:p w:rsidR="00EF7B9D" w:rsidRPr="007257EC" w:rsidRDefault="00EF7B9D">
      <w:pPr>
        <w:tabs>
          <w:tab w:val="left" w:pos="8931"/>
        </w:tabs>
        <w:spacing w:after="0" w:line="360" w:lineRule="auto"/>
      </w:pPr>
    </w:p>
    <w:p w:rsidR="00BC0FB8" w:rsidRPr="007257EC" w:rsidRDefault="00BC0FB8">
      <w:pPr>
        <w:tabs>
          <w:tab w:val="left" w:pos="8931"/>
        </w:tabs>
        <w:spacing w:after="0" w:line="360" w:lineRule="auto"/>
      </w:pPr>
    </w:p>
    <w:p w:rsidR="00BC0FB8" w:rsidRPr="007257EC" w:rsidRDefault="00F03AF1">
      <w:pPr>
        <w:tabs>
          <w:tab w:val="left" w:pos="8931"/>
        </w:tabs>
        <w:spacing w:after="0" w:line="360" w:lineRule="auto"/>
      </w:pPr>
      <w:r w:rsidRPr="007257EC">
        <w:lastRenderedPageBreak/>
        <w:t xml:space="preserve">Resolución del Pleno del Instituto de Transparencia, Acceso a la Información Pública y Protección de Datos Personales del Estado de México y Municipios, con domicilio en Metepec, Estado de México, de fecha primero de octubre de dos mil veinticinco. </w:t>
      </w:r>
    </w:p>
    <w:p w:rsidR="00BC0FB8" w:rsidRPr="007257EC" w:rsidRDefault="00BC0FB8">
      <w:pPr>
        <w:spacing w:after="0" w:line="360" w:lineRule="auto"/>
        <w:rPr>
          <w:b/>
        </w:rPr>
      </w:pPr>
    </w:p>
    <w:p w:rsidR="00BC0FB8" w:rsidRPr="007257EC" w:rsidRDefault="00F03AF1">
      <w:pPr>
        <w:spacing w:after="0" w:line="360" w:lineRule="auto"/>
        <w:rPr>
          <w:color w:val="0D0D0D"/>
        </w:rPr>
      </w:pPr>
      <w:r w:rsidRPr="007257EC">
        <w:rPr>
          <w:b/>
        </w:rPr>
        <w:t xml:space="preserve">VISTO </w:t>
      </w:r>
      <w:r w:rsidRPr="007257EC">
        <w:t xml:space="preserve">el expediente electrónico conformado con motivo del Recurso de Revisión </w:t>
      </w:r>
      <w:r w:rsidRPr="00395EAD">
        <w:rPr>
          <w:b/>
        </w:rPr>
        <w:t>08941/INFOEM/IP/RR/2025</w:t>
      </w:r>
      <w:r w:rsidRPr="007257EC">
        <w:t xml:space="preserve">, interpuesto por quien será la persona </w:t>
      </w:r>
      <w:r w:rsidRPr="007257EC">
        <w:rPr>
          <w:color w:val="0D0D0D"/>
        </w:rPr>
        <w:t xml:space="preserve">Recurrente o Particular, en contra de la respuesta del Sujeto Obligado, </w:t>
      </w:r>
      <w:bookmarkStart w:id="0" w:name="_GoBack"/>
      <w:r w:rsidRPr="00395EAD">
        <w:rPr>
          <w:b/>
        </w:rPr>
        <w:t>Ayuntamiento de Toluca</w:t>
      </w:r>
      <w:bookmarkEnd w:id="0"/>
      <w:r w:rsidRPr="007257EC">
        <w:t>,</w:t>
      </w:r>
      <w:r w:rsidRPr="007257EC">
        <w:rPr>
          <w:color w:val="0D0D0D"/>
        </w:rPr>
        <w:t xml:space="preserve"> a la solicitud de acceso a la información pública </w:t>
      </w:r>
      <w:r w:rsidRPr="007257EC">
        <w:t>03722/TOLUCA/IP/2025</w:t>
      </w:r>
      <w:r w:rsidRPr="007257EC">
        <w:rPr>
          <w:color w:val="000000"/>
        </w:rPr>
        <w:t xml:space="preserve">, </w:t>
      </w:r>
      <w:r w:rsidRPr="007257EC">
        <w:rPr>
          <w:color w:val="0D0D0D"/>
        </w:rPr>
        <w:t>se emite la presente Resolución, con base en los Antecedentes y Considerandos que se exponen a continuación:</w:t>
      </w:r>
    </w:p>
    <w:p w:rsidR="00BC0FB8" w:rsidRPr="007257EC" w:rsidRDefault="00BC0FB8">
      <w:pPr>
        <w:spacing w:after="0" w:line="360" w:lineRule="auto"/>
        <w:rPr>
          <w:b/>
        </w:rPr>
      </w:pPr>
    </w:p>
    <w:p w:rsidR="00BC0FB8" w:rsidRPr="007257EC" w:rsidRDefault="00F03AF1">
      <w:pPr>
        <w:pStyle w:val="Ttulo1"/>
        <w:spacing w:before="0" w:after="0" w:line="360" w:lineRule="auto"/>
        <w:jc w:val="center"/>
        <w:rPr>
          <w:sz w:val="22"/>
          <w:szCs w:val="22"/>
        </w:rPr>
      </w:pPr>
      <w:bookmarkStart w:id="1" w:name="_heading=h.16elvqbv52mj" w:colFirst="0" w:colLast="0"/>
      <w:bookmarkStart w:id="2" w:name="_Toc210317136"/>
      <w:bookmarkEnd w:id="1"/>
      <w:r w:rsidRPr="007257EC">
        <w:rPr>
          <w:sz w:val="22"/>
          <w:szCs w:val="22"/>
        </w:rPr>
        <w:t>A N T E C E D E N T E S</w:t>
      </w:r>
      <w:bookmarkEnd w:id="2"/>
    </w:p>
    <w:p w:rsidR="00BC0FB8" w:rsidRPr="007257EC" w:rsidRDefault="00BC0FB8">
      <w:pPr>
        <w:spacing w:after="0" w:line="360" w:lineRule="auto"/>
        <w:jc w:val="center"/>
        <w:rPr>
          <w:b/>
        </w:rPr>
      </w:pPr>
    </w:p>
    <w:p w:rsidR="00BC0FB8" w:rsidRPr="007257EC" w:rsidRDefault="00F03AF1">
      <w:pPr>
        <w:pStyle w:val="Ttulo2"/>
        <w:spacing w:before="0" w:after="0" w:line="360" w:lineRule="auto"/>
        <w:rPr>
          <w:sz w:val="22"/>
          <w:szCs w:val="22"/>
        </w:rPr>
      </w:pPr>
      <w:bookmarkStart w:id="3" w:name="_heading=h.3ul0h046jsws" w:colFirst="0" w:colLast="0"/>
      <w:bookmarkStart w:id="4" w:name="_Toc210317137"/>
      <w:bookmarkEnd w:id="3"/>
      <w:r w:rsidRPr="007257EC">
        <w:rPr>
          <w:sz w:val="22"/>
          <w:szCs w:val="22"/>
        </w:rPr>
        <w:t>I. Presentación de la solicitud de información</w:t>
      </w:r>
      <w:bookmarkEnd w:id="4"/>
    </w:p>
    <w:p w:rsidR="00BC0FB8" w:rsidRPr="007257EC" w:rsidRDefault="00BC0FB8">
      <w:pPr>
        <w:tabs>
          <w:tab w:val="left" w:pos="567"/>
        </w:tabs>
        <w:spacing w:after="0" w:line="360" w:lineRule="auto"/>
      </w:pPr>
    </w:p>
    <w:p w:rsidR="00BC0FB8" w:rsidRPr="007257EC" w:rsidRDefault="00F03AF1">
      <w:pPr>
        <w:spacing w:after="0" w:line="360" w:lineRule="auto"/>
      </w:pPr>
      <w:r w:rsidRPr="007257EC">
        <w:t>El veintisiete de junio de dos mil veinticinco el Particular presentó una solicitud de acceso a la información pública, a través del Sistema de Acceso a la Información Mexiquense (SAIMEX), ante el Ayuntamiento de Toluca</w:t>
      </w:r>
      <w:r w:rsidRPr="007257EC">
        <w:rPr>
          <w:color w:val="000000"/>
        </w:rPr>
        <w:t>,</w:t>
      </w:r>
      <w:r w:rsidRPr="007257EC">
        <w:t xml:space="preserve"> en los siguientes términos: </w:t>
      </w:r>
    </w:p>
    <w:p w:rsidR="00BC0FB8" w:rsidRPr="007257EC" w:rsidRDefault="00BC0FB8">
      <w:pPr>
        <w:spacing w:after="0" w:line="360" w:lineRule="auto"/>
      </w:pPr>
    </w:p>
    <w:p w:rsidR="00BC0FB8" w:rsidRPr="007257EC" w:rsidRDefault="00F03AF1">
      <w:pPr>
        <w:tabs>
          <w:tab w:val="left" w:pos="4667"/>
        </w:tabs>
        <w:spacing w:after="0" w:line="360" w:lineRule="auto"/>
        <w:ind w:left="567" w:right="567"/>
        <w:rPr>
          <w:b/>
          <w:i/>
          <w:sz w:val="20"/>
          <w:szCs w:val="20"/>
        </w:rPr>
      </w:pPr>
      <w:r w:rsidRPr="007257EC">
        <w:rPr>
          <w:b/>
          <w:i/>
          <w:sz w:val="20"/>
          <w:szCs w:val="20"/>
        </w:rPr>
        <w:t>“DESCRIPCIÓN CLARA Y PRECISA DE LA INFORMACIÓN SOLICITADA</w:t>
      </w:r>
    </w:p>
    <w:p w:rsidR="00BC0FB8" w:rsidRPr="007257EC" w:rsidRDefault="00F03AF1">
      <w:pPr>
        <w:tabs>
          <w:tab w:val="left" w:pos="4667"/>
        </w:tabs>
        <w:spacing w:after="0" w:line="360" w:lineRule="auto"/>
        <w:ind w:left="567" w:right="567"/>
        <w:rPr>
          <w:i/>
          <w:sz w:val="20"/>
          <w:szCs w:val="20"/>
        </w:rPr>
      </w:pPr>
      <w:proofErr w:type="gramStart"/>
      <w:r w:rsidRPr="007257EC">
        <w:rPr>
          <w:i/>
          <w:sz w:val="20"/>
          <w:szCs w:val="20"/>
        </w:rPr>
        <w:t>solicito</w:t>
      </w:r>
      <w:proofErr w:type="gramEnd"/>
      <w:r w:rsidRPr="007257EC">
        <w:rPr>
          <w:i/>
          <w:sz w:val="20"/>
          <w:szCs w:val="20"/>
        </w:rPr>
        <w:t xml:space="preserve"> el proyecto a la ciclo -pista que se han instalado o se van instalar en el municipio en su administración...” (Sic.)</w:t>
      </w:r>
    </w:p>
    <w:p w:rsidR="00BC0FB8" w:rsidRPr="007257EC" w:rsidRDefault="00BC0FB8">
      <w:pPr>
        <w:tabs>
          <w:tab w:val="left" w:pos="4667"/>
        </w:tabs>
        <w:spacing w:after="0" w:line="360" w:lineRule="auto"/>
        <w:ind w:left="567" w:right="567"/>
        <w:rPr>
          <w:b/>
          <w:i/>
          <w:sz w:val="20"/>
          <w:szCs w:val="20"/>
        </w:rPr>
      </w:pPr>
    </w:p>
    <w:p w:rsidR="00BC0FB8" w:rsidRPr="007257EC" w:rsidRDefault="00F03AF1">
      <w:pPr>
        <w:tabs>
          <w:tab w:val="left" w:pos="4667"/>
        </w:tabs>
        <w:spacing w:after="0" w:line="360" w:lineRule="auto"/>
        <w:ind w:left="567" w:right="567"/>
        <w:rPr>
          <w:b/>
          <w:i/>
          <w:sz w:val="20"/>
          <w:szCs w:val="20"/>
        </w:rPr>
      </w:pPr>
      <w:r w:rsidRPr="007257EC">
        <w:rPr>
          <w:b/>
          <w:i/>
          <w:sz w:val="20"/>
          <w:szCs w:val="20"/>
        </w:rPr>
        <w:t>“MODALIDAD DE ENTREGA</w:t>
      </w:r>
    </w:p>
    <w:p w:rsidR="00BC0FB8" w:rsidRPr="007257EC" w:rsidRDefault="00F03AF1">
      <w:pPr>
        <w:spacing w:after="0" w:line="360" w:lineRule="auto"/>
        <w:ind w:left="567" w:right="567"/>
        <w:rPr>
          <w:i/>
          <w:sz w:val="20"/>
          <w:szCs w:val="20"/>
        </w:rPr>
      </w:pPr>
      <w:r w:rsidRPr="007257EC">
        <w:rPr>
          <w:i/>
          <w:sz w:val="20"/>
          <w:szCs w:val="20"/>
        </w:rPr>
        <w:t>A través del SAIMEX”</w:t>
      </w:r>
    </w:p>
    <w:p w:rsidR="00BC0FB8" w:rsidRPr="007257EC" w:rsidRDefault="00BC0FB8">
      <w:pPr>
        <w:spacing w:after="0" w:line="360" w:lineRule="auto"/>
        <w:ind w:left="567" w:right="567"/>
        <w:rPr>
          <w:i/>
          <w:sz w:val="20"/>
          <w:szCs w:val="20"/>
        </w:rPr>
      </w:pPr>
    </w:p>
    <w:p w:rsidR="00BC0FB8" w:rsidRPr="007257EC" w:rsidRDefault="00BC0FB8">
      <w:pPr>
        <w:spacing w:after="0" w:line="360" w:lineRule="auto"/>
        <w:ind w:left="567" w:right="567"/>
        <w:rPr>
          <w:sz w:val="20"/>
          <w:szCs w:val="20"/>
        </w:rPr>
      </w:pPr>
    </w:p>
    <w:p w:rsidR="00BC0FB8" w:rsidRPr="007257EC" w:rsidRDefault="00BC0FB8">
      <w:pPr>
        <w:spacing w:after="0" w:line="360" w:lineRule="auto"/>
        <w:ind w:left="567" w:right="567"/>
        <w:rPr>
          <w:i/>
          <w:sz w:val="20"/>
          <w:szCs w:val="20"/>
        </w:rPr>
      </w:pPr>
    </w:p>
    <w:p w:rsidR="00BC0FB8" w:rsidRPr="007257EC" w:rsidRDefault="00BC0FB8">
      <w:pPr>
        <w:spacing w:after="0" w:line="360" w:lineRule="auto"/>
        <w:ind w:left="567" w:right="567"/>
        <w:rPr>
          <w:i/>
          <w:sz w:val="20"/>
          <w:szCs w:val="20"/>
        </w:rPr>
      </w:pPr>
    </w:p>
    <w:p w:rsidR="00BC0FB8" w:rsidRPr="007257EC" w:rsidRDefault="00F03AF1">
      <w:pPr>
        <w:pStyle w:val="Ttulo2"/>
        <w:spacing w:before="0" w:after="0" w:line="360" w:lineRule="auto"/>
        <w:rPr>
          <w:sz w:val="22"/>
          <w:szCs w:val="22"/>
        </w:rPr>
      </w:pPr>
      <w:bookmarkStart w:id="5" w:name="_heading=h.baalp8imw6d" w:colFirst="0" w:colLast="0"/>
      <w:bookmarkStart w:id="6" w:name="_Toc210317138"/>
      <w:bookmarkEnd w:id="5"/>
      <w:r w:rsidRPr="007257EC">
        <w:rPr>
          <w:sz w:val="22"/>
          <w:szCs w:val="22"/>
        </w:rPr>
        <w:lastRenderedPageBreak/>
        <w:t>II. Respuesta del Sujeto Obligado</w:t>
      </w:r>
      <w:bookmarkEnd w:id="6"/>
    </w:p>
    <w:p w:rsidR="00BC0FB8" w:rsidRPr="007257EC" w:rsidRDefault="00BC0FB8">
      <w:pPr>
        <w:spacing w:after="0" w:line="360" w:lineRule="auto"/>
        <w:rPr>
          <w:b/>
        </w:rPr>
      </w:pPr>
    </w:p>
    <w:p w:rsidR="00BC0FB8" w:rsidRPr="007257EC" w:rsidRDefault="00F03AF1">
      <w:pPr>
        <w:spacing w:after="0" w:line="360" w:lineRule="auto"/>
      </w:pPr>
      <w:r w:rsidRPr="007257EC">
        <w:t>El dieciocho de julio de dos mil veinticinco, el Sujeto Obligado notificó, a través del Sistema de Acceso a la Información Mexiquense (SAIMEX), la respuesta a la solicitud de acceso a la información pública, mediante los siguientes documentos:</w:t>
      </w:r>
    </w:p>
    <w:p w:rsidR="00BC0FB8" w:rsidRPr="007257EC" w:rsidRDefault="00BC0FB8">
      <w:pPr>
        <w:spacing w:after="0" w:line="360" w:lineRule="auto"/>
      </w:pPr>
    </w:p>
    <w:p w:rsidR="00BC0FB8" w:rsidRPr="007257EC" w:rsidRDefault="00F03AF1">
      <w:pPr>
        <w:numPr>
          <w:ilvl w:val="0"/>
          <w:numId w:val="1"/>
        </w:numPr>
        <w:pBdr>
          <w:top w:val="nil"/>
          <w:left w:val="nil"/>
          <w:bottom w:val="nil"/>
          <w:right w:val="nil"/>
          <w:between w:val="nil"/>
        </w:pBdr>
        <w:spacing w:after="0" w:line="360" w:lineRule="auto"/>
      </w:pPr>
      <w:r w:rsidRPr="007257EC">
        <w:rPr>
          <w:color w:val="000000"/>
        </w:rPr>
        <w:t>Oficio número UT/DGOP/002253/2025, de fecha tres de julio de dos mil veinticinco, suscrito por el Director de Obras Públicas, y dirigido al Titular de la Unidad de Transparencia, en los siguientes términos:</w:t>
      </w:r>
    </w:p>
    <w:p w:rsidR="00BC0FB8" w:rsidRPr="007257EC" w:rsidRDefault="00BC0FB8">
      <w:pPr>
        <w:pBdr>
          <w:top w:val="nil"/>
          <w:left w:val="nil"/>
          <w:bottom w:val="nil"/>
          <w:right w:val="nil"/>
          <w:between w:val="nil"/>
        </w:pBdr>
        <w:spacing w:after="0" w:line="360" w:lineRule="auto"/>
        <w:ind w:left="720"/>
        <w:rPr>
          <w:color w:val="000000"/>
        </w:rPr>
      </w:pPr>
    </w:p>
    <w:p w:rsidR="00BC0FB8" w:rsidRPr="007257EC" w:rsidRDefault="00F03AF1">
      <w:pPr>
        <w:spacing w:after="0" w:line="360" w:lineRule="auto"/>
        <w:ind w:left="567" w:right="567"/>
        <w:rPr>
          <w:i/>
          <w:sz w:val="20"/>
          <w:szCs w:val="20"/>
        </w:rPr>
      </w:pPr>
      <w:r w:rsidRPr="007257EC">
        <w:t>“</w:t>
      </w:r>
      <w:r w:rsidRPr="007257EC">
        <w:rPr>
          <w:i/>
          <w:sz w:val="20"/>
          <w:szCs w:val="20"/>
        </w:rPr>
        <w:t xml:space="preserve">De acuerdo con lo establecido en el Código Reglamentario vigente, no es competencia, ni atribución de esta Dirección generar ni administrar la información del proyecto requerido por el solicitante; no obstante se realizó una búsqueda exhaustiva de lo solicitado y no se localizó expresión documental que dé cuenta de lo solicitado, en razón de no generarse ni administrarlos.”            </w:t>
      </w:r>
    </w:p>
    <w:p w:rsidR="00BC0FB8" w:rsidRPr="007257EC" w:rsidRDefault="00BC0FB8">
      <w:pPr>
        <w:spacing w:after="0" w:line="360" w:lineRule="auto"/>
        <w:rPr>
          <w:i/>
          <w:sz w:val="20"/>
          <w:szCs w:val="20"/>
        </w:rPr>
      </w:pPr>
    </w:p>
    <w:p w:rsidR="00BC0FB8" w:rsidRPr="007257EC" w:rsidRDefault="00F03AF1">
      <w:pPr>
        <w:numPr>
          <w:ilvl w:val="0"/>
          <w:numId w:val="1"/>
        </w:numPr>
        <w:pBdr>
          <w:top w:val="nil"/>
          <w:left w:val="nil"/>
          <w:bottom w:val="nil"/>
          <w:right w:val="nil"/>
          <w:between w:val="nil"/>
        </w:pBdr>
        <w:spacing w:after="0" w:line="360" w:lineRule="auto"/>
        <w:rPr>
          <w:i/>
          <w:color w:val="000000"/>
        </w:rPr>
      </w:pPr>
      <w:r w:rsidRPr="007257EC">
        <w:rPr>
          <w:color w:val="000000"/>
        </w:rPr>
        <w:t>Oficio número 209010000/DGT/CAT/00125/2025, de fecha ocho de julio de dos mil veinticinco, suscrito por el Director General de Innovación, Planeación y Gestión Urbana, dirigido al Titular de la Unidad de Transparencia, en los siguientes términos:</w:t>
      </w:r>
    </w:p>
    <w:p w:rsidR="00BC0FB8" w:rsidRPr="007257EC" w:rsidRDefault="00BC0FB8">
      <w:pPr>
        <w:pBdr>
          <w:top w:val="nil"/>
          <w:left w:val="nil"/>
          <w:bottom w:val="nil"/>
          <w:right w:val="nil"/>
          <w:between w:val="nil"/>
        </w:pBdr>
        <w:spacing w:after="0" w:line="360" w:lineRule="auto"/>
        <w:ind w:left="720"/>
        <w:rPr>
          <w:i/>
          <w:color w:val="000000"/>
        </w:rPr>
      </w:pPr>
    </w:p>
    <w:p w:rsidR="00BC0FB8" w:rsidRPr="007257EC" w:rsidRDefault="00F03AF1">
      <w:pPr>
        <w:spacing w:after="0" w:line="360" w:lineRule="auto"/>
        <w:ind w:left="567" w:right="567"/>
        <w:rPr>
          <w:i/>
          <w:sz w:val="20"/>
          <w:szCs w:val="20"/>
        </w:rPr>
      </w:pPr>
      <w:r w:rsidRPr="007257EC">
        <w:rPr>
          <w:i/>
        </w:rPr>
        <w:t>“</w:t>
      </w:r>
      <w:r w:rsidRPr="007257EC">
        <w:rPr>
          <w:i/>
          <w:sz w:val="20"/>
          <w:szCs w:val="20"/>
        </w:rPr>
        <w:t>Al respecto, se realizó una búsqueda exhaustiva y razonable de la información objeto, de la solicitud en archivos, que se encuentran bajo resguardo y custodia de esta Dirección no se localizó proyectos o acciones relacionados con la instalación de ciclo-pista, toda vez que la información solicitada es de competencia estatal.”</w:t>
      </w:r>
    </w:p>
    <w:p w:rsidR="00BC0FB8" w:rsidRPr="007257EC" w:rsidRDefault="00BC0FB8">
      <w:pPr>
        <w:spacing w:after="0" w:line="360" w:lineRule="auto"/>
        <w:rPr>
          <w:i/>
          <w:sz w:val="20"/>
          <w:szCs w:val="20"/>
        </w:rPr>
      </w:pPr>
    </w:p>
    <w:p w:rsidR="00BC0FB8" w:rsidRPr="007257EC" w:rsidRDefault="00F03AF1">
      <w:pPr>
        <w:numPr>
          <w:ilvl w:val="0"/>
          <w:numId w:val="1"/>
        </w:numPr>
        <w:pBdr>
          <w:top w:val="nil"/>
          <w:left w:val="nil"/>
          <w:bottom w:val="nil"/>
          <w:right w:val="nil"/>
          <w:between w:val="nil"/>
        </w:pBdr>
        <w:spacing w:after="0" w:line="360" w:lineRule="auto"/>
        <w:rPr>
          <w:i/>
          <w:color w:val="000000"/>
          <w:sz w:val="20"/>
          <w:szCs w:val="20"/>
        </w:rPr>
      </w:pPr>
      <w:r w:rsidRPr="007257EC">
        <w:rPr>
          <w:color w:val="000000"/>
        </w:rPr>
        <w:t>Oficio número 205015000/2708/2025, de fecha dos de julio de dos mil veinticinco, suscrito por el Director de Sustentabilidad Vial y dirigido a la Directora Jurídica de la Dirección General de Seguridad y Protección en lo que refiere:</w:t>
      </w:r>
    </w:p>
    <w:p w:rsidR="00BC0FB8" w:rsidRPr="007257EC" w:rsidRDefault="00F03AF1">
      <w:pPr>
        <w:spacing w:after="0" w:line="360" w:lineRule="auto"/>
        <w:ind w:left="567" w:right="567"/>
        <w:rPr>
          <w:i/>
          <w:sz w:val="20"/>
          <w:szCs w:val="20"/>
        </w:rPr>
      </w:pPr>
      <w:r w:rsidRPr="007257EC">
        <w:rPr>
          <w:i/>
          <w:sz w:val="20"/>
          <w:szCs w:val="20"/>
        </w:rPr>
        <w:lastRenderedPageBreak/>
        <w:t>“Al respecto le informo que en 2024 personal de esta Dirección realizo un recorrido de inspección con personal de la Secretaria de Movilidad del Estado de México, con la finalidad de revisar las condiciones sociales, viajes y geométricas de Boulevard Isidro Fabela, en el tramo comprendido de Av. Solidaridad las Torres a la Maquinita, esto derivado del proyecto de ciclo vía que dicha dependencia llevo a cabo; por lo que el Proyecto, Presupuesto, Personal, Instalación y demás documentación generada de dicho proyecto, fueron desarrollados por la Secretaria de Movilidad del Estado de México.</w:t>
      </w:r>
    </w:p>
    <w:p w:rsidR="00BC0FB8" w:rsidRPr="007257EC" w:rsidRDefault="00BC0FB8">
      <w:pPr>
        <w:spacing w:after="0" w:line="360" w:lineRule="auto"/>
        <w:ind w:left="567" w:right="567"/>
        <w:rPr>
          <w:i/>
          <w:sz w:val="20"/>
          <w:szCs w:val="20"/>
        </w:rPr>
      </w:pPr>
    </w:p>
    <w:p w:rsidR="00BC0FB8" w:rsidRPr="007257EC" w:rsidRDefault="00F03AF1">
      <w:pPr>
        <w:spacing w:after="0" w:line="360" w:lineRule="auto"/>
        <w:ind w:left="567" w:right="567"/>
        <w:rPr>
          <w:i/>
          <w:sz w:val="20"/>
          <w:szCs w:val="20"/>
        </w:rPr>
      </w:pPr>
      <w:r w:rsidRPr="007257EC">
        <w:rPr>
          <w:i/>
          <w:sz w:val="20"/>
          <w:szCs w:val="20"/>
        </w:rPr>
        <w:t>No omito mencionar que se ha dado inicio a la segunda etapa de adecuaciones geométrica, así como la instalación de los dispositivos de control de tránsito y señalamiento vial, por parte de la Secretaria de Movilidad de Gobierno del Estado de México, para dar continuidad a dicho proyecto.</w:t>
      </w:r>
    </w:p>
    <w:p w:rsidR="00BC0FB8" w:rsidRPr="007257EC" w:rsidRDefault="00F03AF1">
      <w:pPr>
        <w:spacing w:after="0" w:line="360" w:lineRule="auto"/>
        <w:ind w:left="567" w:right="567"/>
        <w:rPr>
          <w:i/>
          <w:sz w:val="20"/>
          <w:szCs w:val="20"/>
        </w:rPr>
      </w:pPr>
      <w:r w:rsidRPr="007257EC">
        <w:rPr>
          <w:i/>
          <w:sz w:val="20"/>
          <w:szCs w:val="20"/>
        </w:rPr>
        <w:t>...”</w:t>
      </w:r>
    </w:p>
    <w:p w:rsidR="00BC0FB8" w:rsidRPr="007257EC" w:rsidRDefault="00BC0FB8">
      <w:pPr>
        <w:spacing w:after="0" w:line="360" w:lineRule="auto"/>
        <w:rPr>
          <w:i/>
          <w:sz w:val="20"/>
          <w:szCs w:val="20"/>
        </w:rPr>
      </w:pPr>
    </w:p>
    <w:p w:rsidR="00BC0FB8" w:rsidRPr="007257EC" w:rsidRDefault="00F03AF1">
      <w:pPr>
        <w:pStyle w:val="Ttulo2"/>
        <w:spacing w:before="0" w:after="0" w:line="360" w:lineRule="auto"/>
        <w:rPr>
          <w:sz w:val="22"/>
          <w:szCs w:val="22"/>
        </w:rPr>
      </w:pPr>
      <w:bookmarkStart w:id="7" w:name="_heading=h.rrb4mpokrpd6" w:colFirst="0" w:colLast="0"/>
      <w:bookmarkStart w:id="8" w:name="_Toc210317139"/>
      <w:bookmarkEnd w:id="7"/>
      <w:r w:rsidRPr="007257EC">
        <w:rPr>
          <w:sz w:val="22"/>
          <w:szCs w:val="22"/>
        </w:rPr>
        <w:t>III. Interposición del Recurso de Revisión</w:t>
      </w:r>
      <w:bookmarkEnd w:id="8"/>
    </w:p>
    <w:p w:rsidR="00BC0FB8" w:rsidRPr="007257EC" w:rsidRDefault="00BC0FB8">
      <w:pPr>
        <w:spacing w:after="0" w:line="360" w:lineRule="auto"/>
        <w:rPr>
          <w:b/>
        </w:rPr>
      </w:pPr>
    </w:p>
    <w:p w:rsidR="00BC0FB8" w:rsidRPr="007257EC" w:rsidRDefault="00F03AF1">
      <w:pPr>
        <w:spacing w:after="0" w:line="360" w:lineRule="auto"/>
      </w:pPr>
      <w:r w:rsidRPr="007257EC">
        <w:t>El veintidós de julio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rsidR="00BC0FB8" w:rsidRPr="007257EC" w:rsidRDefault="00BC0FB8">
      <w:pPr>
        <w:spacing w:after="0" w:line="360" w:lineRule="auto"/>
        <w:ind w:left="567" w:right="567"/>
        <w:rPr>
          <w:b/>
          <w:i/>
          <w:sz w:val="20"/>
          <w:szCs w:val="20"/>
        </w:rPr>
      </w:pPr>
    </w:p>
    <w:p w:rsidR="00BC0FB8" w:rsidRPr="007257EC" w:rsidRDefault="00F03AF1">
      <w:pPr>
        <w:spacing w:after="0" w:line="360" w:lineRule="auto"/>
        <w:ind w:left="567" w:right="567"/>
        <w:rPr>
          <w:i/>
          <w:sz w:val="20"/>
          <w:szCs w:val="20"/>
        </w:rPr>
      </w:pPr>
      <w:r w:rsidRPr="007257EC">
        <w:rPr>
          <w:b/>
          <w:i/>
          <w:sz w:val="20"/>
          <w:szCs w:val="20"/>
        </w:rPr>
        <w:t>‘’ACTO IMPUGNADO</w:t>
      </w:r>
    </w:p>
    <w:p w:rsidR="00BC0FB8" w:rsidRPr="007257EC" w:rsidRDefault="00F03AF1">
      <w:pPr>
        <w:spacing w:after="0" w:line="360" w:lineRule="auto"/>
        <w:ind w:left="567" w:right="567"/>
        <w:rPr>
          <w:i/>
          <w:sz w:val="20"/>
          <w:szCs w:val="20"/>
        </w:rPr>
      </w:pPr>
      <w:r w:rsidRPr="007257EC">
        <w:rPr>
          <w:i/>
          <w:sz w:val="20"/>
          <w:szCs w:val="20"/>
        </w:rPr>
        <w:t xml:space="preserve">La respuesta la información </w:t>
      </w:r>
      <w:proofErr w:type="spellStart"/>
      <w:r w:rsidRPr="007257EC">
        <w:rPr>
          <w:i/>
          <w:sz w:val="20"/>
          <w:szCs w:val="20"/>
        </w:rPr>
        <w:t>esta</w:t>
      </w:r>
      <w:proofErr w:type="spellEnd"/>
      <w:r w:rsidRPr="007257EC">
        <w:rPr>
          <w:i/>
          <w:sz w:val="20"/>
          <w:szCs w:val="20"/>
        </w:rPr>
        <w:t xml:space="preserve"> incompleta no atiende mi solicitud de acuerdo a lo solicitado.” (Sic.)</w:t>
      </w:r>
    </w:p>
    <w:p w:rsidR="00BC0FB8" w:rsidRPr="007257EC" w:rsidRDefault="00BC0FB8">
      <w:pPr>
        <w:spacing w:after="0" w:line="360" w:lineRule="auto"/>
        <w:ind w:left="567" w:right="567"/>
        <w:rPr>
          <w:i/>
          <w:sz w:val="20"/>
          <w:szCs w:val="20"/>
        </w:rPr>
      </w:pPr>
    </w:p>
    <w:p w:rsidR="00BC0FB8" w:rsidRPr="007257EC" w:rsidRDefault="00F03AF1">
      <w:pPr>
        <w:spacing w:after="0" w:line="360" w:lineRule="auto"/>
        <w:ind w:left="567" w:right="567"/>
        <w:rPr>
          <w:b/>
          <w:i/>
          <w:sz w:val="20"/>
          <w:szCs w:val="20"/>
        </w:rPr>
      </w:pPr>
      <w:r w:rsidRPr="007257EC">
        <w:rPr>
          <w:b/>
          <w:i/>
          <w:sz w:val="20"/>
          <w:szCs w:val="20"/>
        </w:rPr>
        <w:t>‘’RAZONES O MOTIVOS DE LA INCONFORMIDAD</w:t>
      </w:r>
    </w:p>
    <w:p w:rsidR="00BC0FB8" w:rsidRPr="007257EC" w:rsidRDefault="00F03AF1">
      <w:pPr>
        <w:spacing w:after="0" w:line="360" w:lineRule="auto"/>
        <w:ind w:left="567" w:right="567"/>
        <w:rPr>
          <w:i/>
          <w:sz w:val="20"/>
          <w:szCs w:val="20"/>
        </w:rPr>
      </w:pPr>
      <w:r w:rsidRPr="007257EC">
        <w:rPr>
          <w:i/>
          <w:sz w:val="20"/>
          <w:szCs w:val="20"/>
        </w:rPr>
        <w:t xml:space="preserve">La respuesta la información </w:t>
      </w:r>
      <w:proofErr w:type="spellStart"/>
      <w:r w:rsidRPr="007257EC">
        <w:rPr>
          <w:i/>
          <w:sz w:val="20"/>
          <w:szCs w:val="20"/>
        </w:rPr>
        <w:t>esta</w:t>
      </w:r>
      <w:proofErr w:type="spellEnd"/>
      <w:r w:rsidRPr="007257EC">
        <w:rPr>
          <w:i/>
          <w:sz w:val="20"/>
          <w:szCs w:val="20"/>
        </w:rPr>
        <w:t xml:space="preserve"> incompleta no atiende mi solicitud de acuerdo a lo solicitado.” (Sic.)</w:t>
      </w:r>
    </w:p>
    <w:p w:rsidR="00BC0FB8" w:rsidRPr="007257EC" w:rsidRDefault="00BC0FB8">
      <w:pPr>
        <w:spacing w:after="0" w:line="360" w:lineRule="auto"/>
        <w:ind w:right="567"/>
      </w:pPr>
    </w:p>
    <w:p w:rsidR="00BC0FB8" w:rsidRPr="007257EC" w:rsidRDefault="00F03AF1">
      <w:pPr>
        <w:pStyle w:val="Ttulo2"/>
        <w:spacing w:before="0" w:after="0" w:line="360" w:lineRule="auto"/>
        <w:rPr>
          <w:sz w:val="22"/>
          <w:szCs w:val="22"/>
        </w:rPr>
      </w:pPr>
      <w:bookmarkStart w:id="9" w:name="_heading=h.zb8qc2a9egps" w:colFirst="0" w:colLast="0"/>
      <w:bookmarkStart w:id="10" w:name="_Toc210317140"/>
      <w:bookmarkEnd w:id="9"/>
      <w:r w:rsidRPr="007257EC">
        <w:rPr>
          <w:sz w:val="22"/>
          <w:szCs w:val="22"/>
        </w:rPr>
        <w:lastRenderedPageBreak/>
        <w:t>IV. Trámite del Recurso de Revisión ante este Instituto</w:t>
      </w:r>
      <w:bookmarkEnd w:id="10"/>
    </w:p>
    <w:p w:rsidR="00BC0FB8" w:rsidRPr="007257EC" w:rsidRDefault="00BC0FB8">
      <w:pPr>
        <w:spacing w:after="0" w:line="360" w:lineRule="auto"/>
        <w:rPr>
          <w:b/>
        </w:rPr>
      </w:pPr>
    </w:p>
    <w:p w:rsidR="00BC0FB8" w:rsidRPr="007257EC" w:rsidRDefault="00F03AF1">
      <w:pPr>
        <w:spacing w:after="0" w:line="360" w:lineRule="auto"/>
      </w:pPr>
      <w:r w:rsidRPr="007257EC">
        <w:rPr>
          <w:b/>
        </w:rPr>
        <w:t>a) Turno del Medio de Impugnación.</w:t>
      </w:r>
      <w:r w:rsidRPr="007257EC">
        <w:t xml:space="preserve"> El veintidós de julio de dos mil veinticinco, el Sistema de Acceso a la Información Mexiquense (SAIMEX), asignó el número de expediente </w:t>
      </w:r>
      <w:r w:rsidRPr="007257EC">
        <w:rPr>
          <w:b/>
        </w:rPr>
        <w:t>08941/INFOEM/IP/RR/2025</w:t>
      </w:r>
      <w:r w:rsidRPr="007257EC">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rsidR="00BC0FB8" w:rsidRPr="007257EC" w:rsidRDefault="00BC0FB8">
      <w:pPr>
        <w:spacing w:after="0" w:line="360" w:lineRule="auto"/>
        <w:rPr>
          <w:b/>
        </w:rPr>
      </w:pPr>
    </w:p>
    <w:p w:rsidR="00BC0FB8" w:rsidRPr="007257EC" w:rsidRDefault="00F03AF1">
      <w:pPr>
        <w:spacing w:after="0" w:line="360" w:lineRule="auto"/>
      </w:pPr>
      <w:r w:rsidRPr="007257EC">
        <w:rPr>
          <w:b/>
        </w:rPr>
        <w:t xml:space="preserve">b) Admisión del Recurso de Revisión. </w:t>
      </w:r>
      <w:r w:rsidRPr="007257EC">
        <w:t>El siete de agosto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rsidR="00BC0FB8" w:rsidRPr="007257EC" w:rsidRDefault="00BC0FB8">
      <w:pPr>
        <w:spacing w:after="0" w:line="360" w:lineRule="auto"/>
      </w:pPr>
    </w:p>
    <w:p w:rsidR="00BC0FB8" w:rsidRPr="007257EC" w:rsidRDefault="00F03AF1">
      <w:pPr>
        <w:spacing w:after="0" w:line="360" w:lineRule="auto"/>
      </w:pPr>
      <w:r w:rsidRPr="007257EC">
        <w:rPr>
          <w:b/>
        </w:rPr>
        <w:t xml:space="preserve">c) Informe Justificado y Manifestaciones. </w:t>
      </w:r>
      <w:r w:rsidRPr="007257EC">
        <w:t>El dieciocho de agosto  de dos mil veinticinco se recibió en este Instituto, a través del Sistema de Acceso a la Información Mexiquense (SAIMEX), el Informe Justificado, por parte del Sujeto Obligado, donde medularmente ratificó su respuesta inicial.</w:t>
      </w:r>
    </w:p>
    <w:p w:rsidR="00BC0FB8" w:rsidRPr="007257EC" w:rsidRDefault="00BC0FB8">
      <w:pPr>
        <w:spacing w:after="0" w:line="360" w:lineRule="auto"/>
      </w:pPr>
    </w:p>
    <w:p w:rsidR="00BC0FB8" w:rsidRPr="007257EC" w:rsidRDefault="00F03AF1">
      <w:pPr>
        <w:spacing w:after="0" w:line="360" w:lineRule="auto"/>
      </w:pPr>
      <w:r w:rsidRPr="007257EC">
        <w:rPr>
          <w:b/>
        </w:rPr>
        <w:t>d) Vista de Informe Justificado</w:t>
      </w:r>
      <w:r w:rsidRPr="007257EC">
        <w:t>. El veinticinco de septiembre de dos mil veinticinco, se notificó a través del SAIMEX, el acuerdo mediante el cual se puso a la vista del Particular el Informe Justificado, proveído por el cual se le otorgó a este último, un término de tres días hábiles contados a partir del día siguiente a la notificación, para que emitiera las manifestaciones que conforme a sus intereses convenga.</w:t>
      </w:r>
    </w:p>
    <w:p w:rsidR="00BC0FB8" w:rsidRPr="007257EC" w:rsidRDefault="00BC0FB8">
      <w:pPr>
        <w:spacing w:after="0" w:line="360" w:lineRule="auto"/>
      </w:pPr>
    </w:p>
    <w:p w:rsidR="00BC0FB8" w:rsidRPr="007257EC" w:rsidRDefault="00F03AF1">
      <w:pPr>
        <w:spacing w:after="0" w:line="360" w:lineRule="auto"/>
        <w:rPr>
          <w:b/>
          <w:color w:val="000000"/>
        </w:rPr>
      </w:pPr>
      <w:bookmarkStart w:id="11" w:name="_heading=h.743p5vcvj01t" w:colFirst="0" w:colLast="0"/>
      <w:bookmarkEnd w:id="11"/>
      <w:r w:rsidRPr="007257EC">
        <w:rPr>
          <w:b/>
          <w:color w:val="000000"/>
        </w:rPr>
        <w:t xml:space="preserve">e) Ampliación de plazo para resolver. </w:t>
      </w:r>
      <w:r w:rsidRPr="007257EC">
        <w:rPr>
          <w:color w:val="000000"/>
        </w:rPr>
        <w:t>El veinticinco de septiembre 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w:t>
      </w:r>
      <w:r w:rsidRPr="007257EC">
        <w:t xml:space="preserve"> </w:t>
      </w:r>
      <w:r w:rsidRPr="007257EC">
        <w:rPr>
          <w:color w:val="000000"/>
        </w:rPr>
        <w:t>mediante el Sistema de Acceso a la Información Mexiquense (SAIMEX).</w:t>
      </w:r>
    </w:p>
    <w:p w:rsidR="00BC0FB8" w:rsidRPr="007257EC" w:rsidRDefault="00BC0FB8">
      <w:pPr>
        <w:spacing w:after="0" w:line="360" w:lineRule="auto"/>
        <w:rPr>
          <w:b/>
          <w:color w:val="000000"/>
        </w:rPr>
      </w:pPr>
    </w:p>
    <w:p w:rsidR="00BC0FB8" w:rsidRPr="007257EC" w:rsidRDefault="00F03AF1">
      <w:pPr>
        <w:spacing w:after="0" w:line="360" w:lineRule="auto"/>
      </w:pPr>
      <w:r w:rsidRPr="007257EC">
        <w:rPr>
          <w:b/>
        </w:rPr>
        <w:t>f) Cierre de instrucción.</w:t>
      </w:r>
      <w:r w:rsidRPr="007257EC">
        <w:t xml:space="preserve"> El primero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rsidR="00BC0FB8" w:rsidRPr="007257EC" w:rsidRDefault="00BC0FB8">
      <w:pPr>
        <w:spacing w:after="0" w:line="360" w:lineRule="auto"/>
        <w:rPr>
          <w:b/>
        </w:rPr>
      </w:pPr>
    </w:p>
    <w:p w:rsidR="00BC0FB8" w:rsidRPr="007257EC" w:rsidRDefault="00F03AF1">
      <w:pPr>
        <w:spacing w:after="0" w:line="360" w:lineRule="auto"/>
        <w:rPr>
          <w:color w:val="000000"/>
        </w:rPr>
      </w:pPr>
      <w:r w:rsidRPr="007257EC">
        <w:rPr>
          <w:color w:val="000000"/>
        </w:rPr>
        <w:t>En razón de que fue debidamente sustanciado e integrado el expediente electrónico y no existe diligencia pendiente de desahogo, se emite la resolución que conforme a Derecho proceda, de acuerdo a los siguientes:</w:t>
      </w:r>
    </w:p>
    <w:p w:rsidR="00BC0FB8" w:rsidRPr="007257EC" w:rsidRDefault="00BC0FB8">
      <w:pPr>
        <w:spacing w:after="0" w:line="360" w:lineRule="auto"/>
        <w:rPr>
          <w:color w:val="000000"/>
        </w:rPr>
      </w:pPr>
    </w:p>
    <w:p w:rsidR="00BC0FB8" w:rsidRPr="007257EC" w:rsidRDefault="00F03AF1">
      <w:pPr>
        <w:pStyle w:val="Ttulo1"/>
        <w:spacing w:before="0" w:after="0" w:line="360" w:lineRule="auto"/>
        <w:jc w:val="center"/>
        <w:rPr>
          <w:sz w:val="22"/>
          <w:szCs w:val="22"/>
        </w:rPr>
      </w:pPr>
      <w:bookmarkStart w:id="12" w:name="_heading=h.60yst5ygzh3b" w:colFirst="0" w:colLast="0"/>
      <w:bookmarkStart w:id="13" w:name="_Toc210317141"/>
      <w:bookmarkEnd w:id="12"/>
      <w:r w:rsidRPr="007257EC">
        <w:rPr>
          <w:sz w:val="22"/>
          <w:szCs w:val="22"/>
        </w:rPr>
        <w:t>C O N S I D E R A N D O S</w:t>
      </w:r>
      <w:bookmarkEnd w:id="13"/>
    </w:p>
    <w:p w:rsidR="00BC0FB8" w:rsidRPr="007257EC" w:rsidRDefault="00BC0FB8">
      <w:pPr>
        <w:spacing w:after="0" w:line="360" w:lineRule="auto"/>
        <w:jc w:val="center"/>
        <w:rPr>
          <w:b/>
          <w:color w:val="000000"/>
        </w:rPr>
      </w:pPr>
    </w:p>
    <w:p w:rsidR="00BC0FB8" w:rsidRPr="007257EC" w:rsidRDefault="00F03AF1">
      <w:pPr>
        <w:pStyle w:val="Ttulo2"/>
        <w:spacing w:before="0" w:after="0" w:line="360" w:lineRule="auto"/>
        <w:rPr>
          <w:sz w:val="22"/>
          <w:szCs w:val="22"/>
        </w:rPr>
      </w:pPr>
      <w:bookmarkStart w:id="14" w:name="_heading=h.34hfgyb0dopa" w:colFirst="0" w:colLast="0"/>
      <w:bookmarkStart w:id="15" w:name="_Toc210317142"/>
      <w:bookmarkEnd w:id="14"/>
      <w:r w:rsidRPr="007257EC">
        <w:rPr>
          <w:sz w:val="22"/>
          <w:szCs w:val="22"/>
        </w:rPr>
        <w:t>PRIMERO. Competencia</w:t>
      </w:r>
      <w:bookmarkEnd w:id="15"/>
    </w:p>
    <w:p w:rsidR="00BC0FB8" w:rsidRPr="007257EC" w:rsidRDefault="00BC0FB8">
      <w:pPr>
        <w:spacing w:after="0" w:line="360" w:lineRule="auto"/>
      </w:pPr>
      <w:bookmarkStart w:id="16" w:name="_heading=h.30j0zll" w:colFirst="0" w:colLast="0"/>
      <w:bookmarkEnd w:id="16"/>
    </w:p>
    <w:p w:rsidR="00BC0FB8" w:rsidRPr="007257EC" w:rsidRDefault="00F03AF1">
      <w:pPr>
        <w:spacing w:after="0" w:line="360" w:lineRule="auto"/>
      </w:pPr>
      <w:r w:rsidRPr="007257EC">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w:t>
      </w:r>
      <w:r w:rsidRPr="007257EC">
        <w:lastRenderedPageBreak/>
        <w:t>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BC0FB8" w:rsidRPr="007257EC" w:rsidRDefault="00BC0FB8">
      <w:pPr>
        <w:spacing w:after="0" w:line="360" w:lineRule="auto"/>
        <w:rPr>
          <w:b/>
          <w:color w:val="000000"/>
        </w:rPr>
      </w:pPr>
    </w:p>
    <w:p w:rsidR="00BC0FB8" w:rsidRPr="007257EC" w:rsidRDefault="00F03AF1">
      <w:pPr>
        <w:pStyle w:val="Ttulo2"/>
        <w:spacing w:before="0" w:after="0" w:line="360" w:lineRule="auto"/>
        <w:rPr>
          <w:sz w:val="22"/>
          <w:szCs w:val="22"/>
        </w:rPr>
      </w:pPr>
      <w:bookmarkStart w:id="17" w:name="_heading=h.3qgfb6jrgva" w:colFirst="0" w:colLast="0"/>
      <w:bookmarkStart w:id="18" w:name="_Toc210317143"/>
      <w:bookmarkEnd w:id="17"/>
      <w:r w:rsidRPr="007257EC">
        <w:rPr>
          <w:sz w:val="22"/>
          <w:szCs w:val="22"/>
        </w:rPr>
        <w:t>SEGUNDO. Causales de improcedencia y sobreseimiento</w:t>
      </w:r>
      <w:bookmarkEnd w:id="18"/>
    </w:p>
    <w:p w:rsidR="00BC0FB8" w:rsidRPr="007257EC" w:rsidRDefault="00BC0FB8">
      <w:pPr>
        <w:spacing w:after="0" w:line="360" w:lineRule="auto"/>
        <w:rPr>
          <w:color w:val="000000"/>
        </w:rPr>
      </w:pPr>
    </w:p>
    <w:p w:rsidR="00BC0FB8" w:rsidRPr="007257EC" w:rsidRDefault="00F03AF1">
      <w:pPr>
        <w:spacing w:after="0" w:line="360" w:lineRule="auto"/>
        <w:rPr>
          <w:color w:val="000000"/>
        </w:rPr>
      </w:pPr>
      <w:r w:rsidRPr="007257EC">
        <w:rPr>
          <w:color w:val="000000"/>
        </w:rPr>
        <w:t xml:space="preserve">De las constancias que forma parte del Recurso de Revisión que se analiza, se advierte que previo al estudio del fondo de la </w:t>
      </w:r>
      <w:proofErr w:type="spellStart"/>
      <w:r w:rsidRPr="007257EC">
        <w:rPr>
          <w:i/>
          <w:color w:val="000000"/>
        </w:rPr>
        <w:t>litis</w:t>
      </w:r>
      <w:proofErr w:type="spellEnd"/>
      <w:r w:rsidRPr="007257EC">
        <w:rPr>
          <w:color w:val="000000"/>
        </w:rPr>
        <w:t>, es necesario estudiar las causales de improcedencia y sobreseimiento que se adviertan, para determinar lo que en Derecho proceda.</w:t>
      </w:r>
    </w:p>
    <w:p w:rsidR="00BC0FB8" w:rsidRPr="007257EC" w:rsidRDefault="00BC0FB8">
      <w:pPr>
        <w:spacing w:after="0" w:line="360" w:lineRule="auto"/>
        <w:rPr>
          <w:color w:val="000000"/>
        </w:rPr>
      </w:pPr>
    </w:p>
    <w:p w:rsidR="00BC0FB8" w:rsidRPr="007257EC" w:rsidRDefault="00F03AF1">
      <w:pPr>
        <w:spacing w:after="0" w:line="360" w:lineRule="auto"/>
        <w:rPr>
          <w:b/>
        </w:rPr>
      </w:pPr>
      <w:r w:rsidRPr="007257EC">
        <w:rPr>
          <w:b/>
        </w:rPr>
        <w:t>Causales de improcedencia</w:t>
      </w:r>
    </w:p>
    <w:p w:rsidR="00BC0FB8" w:rsidRPr="007257EC" w:rsidRDefault="00BC0FB8">
      <w:pPr>
        <w:spacing w:after="0" w:line="360" w:lineRule="auto"/>
        <w:rPr>
          <w:b/>
        </w:rPr>
      </w:pPr>
    </w:p>
    <w:p w:rsidR="00BC0FB8" w:rsidRPr="007257EC" w:rsidRDefault="00F03AF1">
      <w:pPr>
        <w:spacing w:after="0" w:line="360" w:lineRule="auto"/>
        <w:rPr>
          <w:color w:val="000000"/>
        </w:rPr>
      </w:pPr>
      <w:r w:rsidRPr="007257EC">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BC0FB8" w:rsidRPr="007257EC" w:rsidRDefault="00BC0FB8">
      <w:pPr>
        <w:spacing w:after="0" w:line="360" w:lineRule="auto"/>
        <w:rPr>
          <w:color w:val="000000"/>
        </w:rPr>
      </w:pPr>
    </w:p>
    <w:p w:rsidR="00BC0FB8" w:rsidRPr="007257EC" w:rsidRDefault="00F03AF1">
      <w:pPr>
        <w:spacing w:after="0" w:line="360" w:lineRule="auto"/>
        <w:rPr>
          <w:color w:val="000000"/>
        </w:rPr>
      </w:pPr>
      <w:r w:rsidRPr="007257EC">
        <w:rPr>
          <w:color w:val="000000"/>
        </w:rPr>
        <w:t>En el presente caso, </w:t>
      </w:r>
      <w:r w:rsidRPr="007257EC">
        <w:rPr>
          <w:b/>
          <w:color w:val="000000"/>
        </w:rPr>
        <w:t>no se actualiza ninguna de las causales de improcedencia</w:t>
      </w:r>
      <w:r w:rsidRPr="007257EC">
        <w:rPr>
          <w:color w:val="000000"/>
        </w:rPr>
        <w:t xml:space="preserve"> establecidas en el ordenamiento jurídico previamente señalado, toda vez que: este Instituto no tiene conocimiento de que se encuentre en trámite algún medio de defensa presentado por la </w:t>
      </w:r>
      <w:r w:rsidRPr="007257EC">
        <w:rPr>
          <w:color w:val="000000"/>
        </w:rPr>
        <w:lastRenderedPageBreak/>
        <w:t>persona Recurrente ante otra instancia; no existió prevención alguna; la veracidad de la respuesta no formó parte del agravio; ni se realizó una consulta o ampliación a los alcances del requerimiento informativo.</w:t>
      </w:r>
    </w:p>
    <w:p w:rsidR="00BC0FB8" w:rsidRPr="007257EC" w:rsidRDefault="00BC0FB8">
      <w:pPr>
        <w:spacing w:after="0" w:line="360" w:lineRule="auto"/>
        <w:rPr>
          <w:color w:val="000000"/>
        </w:rPr>
      </w:pPr>
    </w:p>
    <w:p w:rsidR="00BC0FB8" w:rsidRPr="007257EC" w:rsidRDefault="00F03AF1">
      <w:pPr>
        <w:spacing w:after="0" w:line="360" w:lineRule="auto"/>
      </w:pPr>
      <w:r w:rsidRPr="007257EC">
        <w:t>Por lo cual, se actualiza la causal de procedencia del Recurso de Revisión señalada en el artículo 179, fracción V, de la Ley en cita, pues la persona Recurrente se inconformó de la información incompleta.</w:t>
      </w:r>
    </w:p>
    <w:p w:rsidR="00BC0FB8" w:rsidRPr="007257EC" w:rsidRDefault="00BC0FB8">
      <w:pPr>
        <w:spacing w:after="0" w:line="360" w:lineRule="auto"/>
      </w:pPr>
    </w:p>
    <w:p w:rsidR="00BC0FB8" w:rsidRPr="007257EC" w:rsidRDefault="00F03AF1">
      <w:pPr>
        <w:spacing w:after="0" w:line="360" w:lineRule="auto"/>
        <w:rPr>
          <w:color w:val="0D0D0D"/>
        </w:rPr>
      </w:pPr>
      <w:r w:rsidRPr="007257EC">
        <w:rPr>
          <w:b/>
          <w:color w:val="0D0D0D"/>
        </w:rPr>
        <w:t>Causales de sobreseimiento</w:t>
      </w:r>
    </w:p>
    <w:p w:rsidR="00BC0FB8" w:rsidRPr="007257EC" w:rsidRDefault="00BC0FB8">
      <w:pPr>
        <w:spacing w:after="0" w:line="360" w:lineRule="auto"/>
        <w:rPr>
          <w:color w:val="0D0D0D"/>
        </w:rPr>
      </w:pPr>
    </w:p>
    <w:p w:rsidR="00BC0FB8" w:rsidRPr="007257EC" w:rsidRDefault="00F03AF1">
      <w:pPr>
        <w:spacing w:after="0" w:line="360" w:lineRule="auto"/>
        <w:rPr>
          <w:color w:val="0D0D0D"/>
        </w:rPr>
      </w:pPr>
      <w:r w:rsidRPr="007257EC">
        <w:rPr>
          <w:color w:val="0D0D0D"/>
        </w:rPr>
        <w:t>Por ser de previo y especial pronunciamiento, este Instituto analiza si se actualiza alguna causal de sobreseimiento.</w:t>
      </w:r>
    </w:p>
    <w:p w:rsidR="00BC0FB8" w:rsidRPr="007257EC" w:rsidRDefault="00BC0FB8">
      <w:pPr>
        <w:spacing w:after="0" w:line="360" w:lineRule="auto"/>
        <w:rPr>
          <w:color w:val="0D0D0D"/>
        </w:rPr>
      </w:pPr>
    </w:p>
    <w:p w:rsidR="00BC0FB8" w:rsidRPr="007257EC" w:rsidRDefault="00F03AF1">
      <w:pPr>
        <w:spacing w:after="0" w:line="360" w:lineRule="auto"/>
        <w:rPr>
          <w:color w:val="000000"/>
        </w:rPr>
      </w:pPr>
      <w:r w:rsidRPr="007257EC">
        <w:rPr>
          <w:color w:val="0D0D0D"/>
        </w:rPr>
        <w:t>Sobre el tema, e</w:t>
      </w:r>
      <w:r w:rsidRPr="007257EC">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rsidR="00BC0FB8" w:rsidRPr="007257EC" w:rsidRDefault="00BC0FB8">
      <w:pPr>
        <w:spacing w:after="0" w:line="360" w:lineRule="auto"/>
        <w:rPr>
          <w:color w:val="000000"/>
        </w:rPr>
      </w:pPr>
    </w:p>
    <w:p w:rsidR="00BC0FB8" w:rsidRPr="007257EC" w:rsidRDefault="00F03AF1">
      <w:pPr>
        <w:spacing w:after="0" w:line="360" w:lineRule="auto"/>
        <w:rPr>
          <w:color w:val="0D0D0D"/>
        </w:rPr>
      </w:pPr>
      <w:r w:rsidRPr="007257EC">
        <w:rPr>
          <w:color w:val="0D0D0D"/>
        </w:rPr>
        <w:t>Por tales motivos, se considera procedente entrar al fondo del presente asunto.</w:t>
      </w:r>
    </w:p>
    <w:p w:rsidR="00BC0FB8" w:rsidRPr="007257EC" w:rsidRDefault="00BC0FB8">
      <w:pPr>
        <w:spacing w:after="0" w:line="360" w:lineRule="auto"/>
        <w:rPr>
          <w:b/>
          <w:color w:val="000000"/>
        </w:rPr>
      </w:pPr>
    </w:p>
    <w:p w:rsidR="00BC0FB8" w:rsidRPr="007257EC" w:rsidRDefault="00F03AF1">
      <w:pPr>
        <w:pStyle w:val="Ttulo2"/>
        <w:spacing w:before="0" w:after="0" w:line="360" w:lineRule="auto"/>
        <w:rPr>
          <w:sz w:val="22"/>
          <w:szCs w:val="22"/>
        </w:rPr>
      </w:pPr>
      <w:bookmarkStart w:id="19" w:name="_heading=h.nj3r27kqsye" w:colFirst="0" w:colLast="0"/>
      <w:bookmarkStart w:id="20" w:name="_Toc210317144"/>
      <w:bookmarkEnd w:id="19"/>
      <w:r w:rsidRPr="007257EC">
        <w:rPr>
          <w:sz w:val="22"/>
          <w:szCs w:val="22"/>
        </w:rPr>
        <w:t>TERCERO. Determinación de la Controversia</w:t>
      </w:r>
      <w:bookmarkEnd w:id="20"/>
    </w:p>
    <w:p w:rsidR="00BC0FB8" w:rsidRPr="007257EC" w:rsidRDefault="00BC0FB8">
      <w:pPr>
        <w:spacing w:after="0" w:line="360" w:lineRule="auto"/>
        <w:rPr>
          <w:b/>
          <w:color w:val="000000"/>
        </w:rPr>
      </w:pPr>
    </w:p>
    <w:p w:rsidR="00BC0FB8" w:rsidRPr="007257EC" w:rsidRDefault="00F03AF1">
      <w:pPr>
        <w:spacing w:after="0" w:line="360" w:lineRule="auto"/>
      </w:pPr>
      <w:r w:rsidRPr="007257EC">
        <w:lastRenderedPageBreak/>
        <w:t xml:space="preserve">Con el objetivo de ilustrar la controversia planteada, resulta conveniente precisar, que una vez realizado el estudio de las constancias que integran el expediente en el que se actúa, se desprende que el Particular requirió, del Ayuntamiento de Toluca el </w:t>
      </w:r>
      <w:r w:rsidRPr="007257EC">
        <w:rPr>
          <w:color w:val="000000"/>
        </w:rPr>
        <w:t xml:space="preserve">Proyecto de la </w:t>
      </w:r>
      <w:r w:rsidRPr="007257EC">
        <w:t>Ciclo-Pista instalada o se encuentra planeada instalar durante la presente administración.</w:t>
      </w:r>
    </w:p>
    <w:p w:rsidR="00BC0FB8" w:rsidRPr="007257EC" w:rsidRDefault="00BC0FB8">
      <w:pPr>
        <w:pBdr>
          <w:top w:val="nil"/>
          <w:left w:val="nil"/>
          <w:bottom w:val="nil"/>
          <w:right w:val="nil"/>
          <w:between w:val="nil"/>
        </w:pBdr>
        <w:spacing w:after="0" w:line="360" w:lineRule="auto"/>
        <w:ind w:left="720"/>
      </w:pPr>
    </w:p>
    <w:p w:rsidR="00BC0FB8" w:rsidRPr="007257EC" w:rsidRDefault="00F03AF1">
      <w:pPr>
        <w:spacing w:after="0" w:line="360" w:lineRule="auto"/>
      </w:pPr>
      <w:r w:rsidRPr="007257EC">
        <w:rPr>
          <w:color w:val="000000"/>
        </w:rPr>
        <w:t>En respuesta, el Sujeto Obligado, a través de la Director General de Innovación, Planeación y Gestión Urbana, Dirección de Obras Públicas, mencionaron que la información solicitada después de una búsqueda exhaustiva no obraba en sus archivos, por otro lado la Dirección de Sustentabilidad Vial se pronunció referente a que el proyecto, presupuesto, personal instalación y demás documentación fueron desarrollados por la Secretaria de Movilidad del Estado de México</w:t>
      </w:r>
      <w:r w:rsidRPr="007257EC">
        <w:rPr>
          <w:color w:val="000000"/>
          <w:sz w:val="24"/>
          <w:szCs w:val="24"/>
        </w:rPr>
        <w:t>;</w:t>
      </w:r>
      <w:r w:rsidRPr="007257EC">
        <w:t xml:space="preserve"> ante dicha circunstancia, el Particular se inconformó de la información incompleta, lo cual actualiza la causal de procedencia prevista en la fracción V, del artículo 179 de la Ley de Transparencia y Acceso a la Información Pública del Estado de México y Municipios</w:t>
      </w:r>
      <w:r w:rsidRPr="007257EC">
        <w:rPr>
          <w:color w:val="0D0D0D"/>
        </w:rPr>
        <w:t xml:space="preserve">. </w:t>
      </w:r>
      <w:r w:rsidRPr="007257EC">
        <w:t>Así, las cosas, una vez admitido y notificado el Recurso de Revisión, el Sujeto Obligado ratificó su respuesta inicial y la parte Recurrente omitió manifestaciones o alegatos.</w:t>
      </w:r>
    </w:p>
    <w:p w:rsidR="00BC0FB8" w:rsidRPr="007257EC" w:rsidRDefault="00BC0FB8">
      <w:pPr>
        <w:spacing w:after="0" w:line="360" w:lineRule="auto"/>
        <w:ind w:right="567"/>
        <w:rPr>
          <w:i/>
          <w:sz w:val="20"/>
          <w:szCs w:val="20"/>
        </w:rPr>
      </w:pPr>
    </w:p>
    <w:p w:rsidR="00BC0FB8" w:rsidRPr="007257EC" w:rsidRDefault="00F03AF1">
      <w:pPr>
        <w:tabs>
          <w:tab w:val="left" w:pos="4962"/>
        </w:tabs>
        <w:spacing w:after="0" w:line="360" w:lineRule="auto"/>
      </w:pPr>
      <w:r w:rsidRPr="007257EC">
        <w:t>Lo anterior, se desprende de las documentales que obran en el expediente de referencia, materia de la presente resolución, consistente en: la solicitud de acceso a la información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rsidR="00BC0FB8" w:rsidRPr="007257EC" w:rsidRDefault="00BC0FB8">
      <w:pPr>
        <w:spacing w:after="0" w:line="360" w:lineRule="auto"/>
      </w:pPr>
    </w:p>
    <w:p w:rsidR="00BC0FB8" w:rsidRPr="007257EC" w:rsidRDefault="00F03AF1">
      <w:pPr>
        <w:pStyle w:val="Ttulo2"/>
        <w:spacing w:before="0" w:after="0" w:line="360" w:lineRule="auto"/>
        <w:rPr>
          <w:sz w:val="22"/>
          <w:szCs w:val="22"/>
        </w:rPr>
      </w:pPr>
      <w:bookmarkStart w:id="21" w:name="_heading=h.grkdj3yvyf1l" w:colFirst="0" w:colLast="0"/>
      <w:bookmarkStart w:id="22" w:name="_Toc210317145"/>
      <w:bookmarkEnd w:id="21"/>
      <w:r w:rsidRPr="007257EC">
        <w:rPr>
          <w:sz w:val="22"/>
          <w:szCs w:val="22"/>
        </w:rPr>
        <w:t>CUARTO. Marco normativo aplicable en materia de transparencia y acceso a la información pública</w:t>
      </w:r>
      <w:bookmarkEnd w:id="22"/>
    </w:p>
    <w:p w:rsidR="00BC0FB8" w:rsidRPr="007257EC" w:rsidRDefault="00BC0FB8">
      <w:pPr>
        <w:spacing w:after="0" w:line="360" w:lineRule="auto"/>
        <w:rPr>
          <w:color w:val="000000"/>
        </w:rPr>
      </w:pPr>
    </w:p>
    <w:p w:rsidR="00BC0FB8" w:rsidRPr="007257EC" w:rsidRDefault="00F03AF1">
      <w:pPr>
        <w:spacing w:after="0" w:line="360" w:lineRule="auto"/>
        <w:rPr>
          <w:color w:val="000000"/>
        </w:rPr>
      </w:pPr>
      <w:r w:rsidRPr="007257EC">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BC0FB8" w:rsidRPr="007257EC" w:rsidRDefault="00BC0FB8">
      <w:pPr>
        <w:spacing w:after="0" w:line="360" w:lineRule="auto"/>
        <w:rPr>
          <w:color w:val="000000"/>
        </w:rPr>
      </w:pPr>
    </w:p>
    <w:p w:rsidR="00BC0FB8" w:rsidRPr="007257EC" w:rsidRDefault="00F03AF1">
      <w:pPr>
        <w:spacing w:after="0" w:line="360" w:lineRule="auto"/>
        <w:rPr>
          <w:color w:val="000000"/>
        </w:rPr>
      </w:pPr>
      <w:r w:rsidRPr="007257E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C0FB8" w:rsidRPr="007257EC" w:rsidRDefault="00BC0FB8">
      <w:pPr>
        <w:spacing w:after="0" w:line="360" w:lineRule="auto"/>
        <w:rPr>
          <w:color w:val="000000"/>
        </w:rPr>
      </w:pPr>
    </w:p>
    <w:p w:rsidR="00BC0FB8" w:rsidRPr="007257EC" w:rsidRDefault="00F03AF1">
      <w:pPr>
        <w:spacing w:after="0" w:line="360" w:lineRule="auto"/>
        <w:rPr>
          <w:color w:val="000000"/>
        </w:rPr>
      </w:pPr>
      <w:r w:rsidRPr="007257EC">
        <w:rPr>
          <w:color w:val="000000"/>
        </w:rPr>
        <w:t>Por su parte, la Ley de Transparencia y Acceso a la Información Pública del Estado de México y Municipios (Reglamentaria del artículo 5° de la Constitución Local), establece lo siguiente:</w:t>
      </w:r>
    </w:p>
    <w:p w:rsidR="00BC0FB8" w:rsidRPr="007257EC" w:rsidRDefault="00BC0FB8">
      <w:pPr>
        <w:spacing w:after="0" w:line="360" w:lineRule="auto"/>
        <w:rPr>
          <w:color w:val="000000"/>
        </w:rPr>
      </w:pPr>
    </w:p>
    <w:p w:rsidR="00BC0FB8" w:rsidRPr="007257EC" w:rsidRDefault="00F03AF1">
      <w:pPr>
        <w:spacing w:after="0" w:line="360" w:lineRule="auto"/>
        <w:rPr>
          <w:color w:val="000000"/>
        </w:rPr>
      </w:pPr>
      <w:r w:rsidRPr="007257EC">
        <w:rPr>
          <w:color w:val="000000"/>
        </w:rPr>
        <w:t>El artículo 12, que, quienes generen, recopilen, administren, manejen, procesen, archiven o conserven información pública serán responsables de la misma.</w:t>
      </w:r>
    </w:p>
    <w:p w:rsidR="00BC0FB8" w:rsidRPr="007257EC" w:rsidRDefault="00BC0FB8">
      <w:pPr>
        <w:spacing w:after="0" w:line="360" w:lineRule="auto"/>
        <w:rPr>
          <w:color w:val="000000"/>
        </w:rPr>
      </w:pPr>
    </w:p>
    <w:p w:rsidR="00BC0FB8" w:rsidRPr="007257EC" w:rsidRDefault="00F03AF1">
      <w:pPr>
        <w:widowControl w:val="0"/>
        <w:spacing w:after="0" w:line="360" w:lineRule="auto"/>
        <w:rPr>
          <w:color w:val="000000"/>
        </w:rPr>
      </w:pPr>
      <w:r w:rsidRPr="007257E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BC0FB8" w:rsidRPr="007257EC" w:rsidRDefault="00BC0FB8">
      <w:pPr>
        <w:widowControl w:val="0"/>
        <w:spacing w:after="0" w:line="360" w:lineRule="auto"/>
        <w:rPr>
          <w:color w:val="000000"/>
        </w:rPr>
      </w:pPr>
    </w:p>
    <w:p w:rsidR="00BC0FB8" w:rsidRPr="007257EC" w:rsidRDefault="00F03AF1">
      <w:pPr>
        <w:spacing w:after="0" w:line="360" w:lineRule="auto"/>
        <w:rPr>
          <w:color w:val="000000"/>
        </w:rPr>
      </w:pPr>
      <w:r w:rsidRPr="007257E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BC0FB8" w:rsidRPr="007257EC" w:rsidRDefault="00BC0FB8">
      <w:pPr>
        <w:spacing w:after="0" w:line="360" w:lineRule="auto"/>
      </w:pPr>
    </w:p>
    <w:p w:rsidR="00BC0FB8" w:rsidRPr="007257EC" w:rsidRDefault="00F03AF1">
      <w:pPr>
        <w:pStyle w:val="Ttulo2"/>
        <w:spacing w:before="0" w:after="0" w:line="360" w:lineRule="auto"/>
        <w:rPr>
          <w:sz w:val="22"/>
          <w:szCs w:val="22"/>
        </w:rPr>
      </w:pPr>
      <w:bookmarkStart w:id="23" w:name="_heading=h.dv0usfz4am2b" w:colFirst="0" w:colLast="0"/>
      <w:bookmarkStart w:id="24" w:name="_Toc210317146"/>
      <w:bookmarkEnd w:id="23"/>
      <w:r w:rsidRPr="007257EC">
        <w:rPr>
          <w:sz w:val="22"/>
          <w:szCs w:val="22"/>
        </w:rPr>
        <w:t>QUINTO. Estudio de Fondo</w:t>
      </w:r>
      <w:bookmarkEnd w:id="24"/>
    </w:p>
    <w:p w:rsidR="00BC0FB8" w:rsidRPr="007257EC" w:rsidRDefault="00BC0FB8">
      <w:pPr>
        <w:spacing w:after="0" w:line="360" w:lineRule="auto"/>
        <w:rPr>
          <w:b/>
          <w:color w:val="000000"/>
        </w:rPr>
      </w:pPr>
    </w:p>
    <w:p w:rsidR="00BC0FB8" w:rsidRPr="007257EC" w:rsidRDefault="00F03AF1">
      <w:pPr>
        <w:spacing w:after="0" w:line="360" w:lineRule="auto"/>
      </w:pPr>
      <w:r w:rsidRPr="007257EC">
        <w:rPr>
          <w:color w:val="000000"/>
        </w:rPr>
        <w:lastRenderedPageBreak/>
        <w:t>Expuestas las posturas de las partes, se procede al análisis de los agravios hechos valer por la persona Recurrente</w:t>
      </w:r>
      <w:r w:rsidRPr="007257EC">
        <w:t>, para lo cual, el Ayuntamiento de Toluca en respuesta, por una parte, precisó que después de realizar una búsqueda exhaustiva y razonable en los archivos no localizó información, y por otra, indicó que carecía de atribuciones para conocer de lo requerido; al respecto, cabe señalar que la inexistencia y la incompetencia, son cuestiones jurídicas distintas, conforme a lo siguiente:</w:t>
      </w:r>
    </w:p>
    <w:p w:rsidR="00BC0FB8" w:rsidRPr="007257EC" w:rsidRDefault="00BC0FB8">
      <w:pPr>
        <w:spacing w:after="0" w:line="360" w:lineRule="auto"/>
      </w:pPr>
    </w:p>
    <w:p w:rsidR="00BC0FB8" w:rsidRPr="007257EC" w:rsidRDefault="00F03AF1">
      <w:pPr>
        <w:spacing w:after="0" w:line="360" w:lineRule="auto"/>
      </w:pPr>
      <w:r w:rsidRPr="007257EC">
        <w:t xml:space="preserve">En ese sentido, por lo que hace a la </w:t>
      </w:r>
      <w:r w:rsidRPr="007257EC">
        <w:rPr>
          <w:b/>
        </w:rPr>
        <w:t xml:space="preserve">inexistencia </w:t>
      </w:r>
      <w:r w:rsidRPr="007257EC">
        <w:t>de la información</w:t>
      </w:r>
      <w:r w:rsidRPr="007257EC">
        <w:rPr>
          <w:b/>
        </w:rPr>
        <w:t>,</w:t>
      </w:r>
      <w:r w:rsidRPr="007257EC">
        <w:t xml:space="preserve"> en los en los artículos 19, tercer párrafo, 160 y 162 de la Ley de Transparencia y Acceso a la Información Pública del Estado de México y Municipios, se precisa lo siguiente:</w:t>
      </w:r>
    </w:p>
    <w:p w:rsidR="00BC0FB8" w:rsidRPr="007257EC" w:rsidRDefault="00BC0FB8">
      <w:pPr>
        <w:spacing w:after="0" w:line="360" w:lineRule="auto"/>
      </w:pPr>
    </w:p>
    <w:p w:rsidR="00BC0FB8" w:rsidRPr="007257EC" w:rsidRDefault="00F03AF1">
      <w:pPr>
        <w:numPr>
          <w:ilvl w:val="0"/>
          <w:numId w:val="2"/>
        </w:numPr>
        <w:spacing w:after="0" w:line="360" w:lineRule="auto"/>
        <w:jc w:val="left"/>
      </w:pPr>
      <w:r w:rsidRPr="007257EC">
        <w:t xml:space="preserve">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7257EC">
        <w:rPr>
          <w:b/>
        </w:rPr>
        <w:t>el Comité de Transparencia deberá emitir un acuerdo de inexistencia</w:t>
      </w:r>
      <w:r w:rsidRPr="007257EC">
        <w:t>, debidamente fundado y motivado, en el que detalle las razones del por qué no obra en sus archivos.</w:t>
      </w:r>
    </w:p>
    <w:p w:rsidR="00BC0FB8" w:rsidRPr="007257EC" w:rsidRDefault="00BC0FB8">
      <w:pPr>
        <w:spacing w:after="0" w:line="360" w:lineRule="auto"/>
        <w:ind w:left="720"/>
      </w:pPr>
    </w:p>
    <w:p w:rsidR="00BC0FB8" w:rsidRPr="007257EC" w:rsidRDefault="00F03AF1">
      <w:pPr>
        <w:numPr>
          <w:ilvl w:val="0"/>
          <w:numId w:val="2"/>
        </w:numPr>
        <w:spacing w:after="0" w:line="360" w:lineRule="auto"/>
        <w:jc w:val="left"/>
      </w:pPr>
      <w:r w:rsidRPr="007257EC">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BC0FB8" w:rsidRPr="007257EC" w:rsidRDefault="00BC0FB8">
      <w:pPr>
        <w:spacing w:after="0" w:line="360" w:lineRule="auto"/>
        <w:ind w:left="720"/>
      </w:pPr>
    </w:p>
    <w:p w:rsidR="00BC0FB8" w:rsidRPr="007257EC" w:rsidRDefault="00F03AF1">
      <w:pPr>
        <w:numPr>
          <w:ilvl w:val="0"/>
          <w:numId w:val="2"/>
        </w:numPr>
        <w:spacing w:after="0" w:line="360" w:lineRule="auto"/>
        <w:jc w:val="left"/>
      </w:pPr>
      <w:r w:rsidRPr="007257EC">
        <w:t xml:space="preserve">Los sujetos obligados otorgaran acceso a los documentos que se encuentren en sus archivos o que estén obligados a documentar de acuerdo con sus facultades, </w:t>
      </w:r>
      <w:r w:rsidRPr="007257EC">
        <w:lastRenderedPageBreak/>
        <w:t>competencias o funciones, en el formato en que la solicitante manifieste, de entre aquellos formatos existentes.</w:t>
      </w:r>
    </w:p>
    <w:p w:rsidR="00BC0FB8" w:rsidRPr="007257EC" w:rsidRDefault="00BC0FB8">
      <w:pPr>
        <w:spacing w:after="0" w:line="360" w:lineRule="auto"/>
      </w:pPr>
    </w:p>
    <w:p w:rsidR="00BC0FB8" w:rsidRPr="007257EC" w:rsidRDefault="00F03AF1">
      <w:pPr>
        <w:spacing w:after="0" w:line="360" w:lineRule="auto"/>
      </w:pPr>
      <w:r w:rsidRPr="007257EC">
        <w:t>En términos de los artículos referidos, cuando un sujeto obligado recibe una solicitud de información, la Unidad de Transparencia respectiva debe remitirla a las unidades administrativas que tengan o puedan tener la información, con objeto de que éstas la localicen, verifiquen su clasificación y le comuniquen a la primera la procedencia del acceso, y la manera en que se encuentra disponible, proporcionando la información que obre en sus archivos y para el caso de que no existe la misma, deberá el Comité de Transparencia declarar la inexistencia de la información.</w:t>
      </w:r>
    </w:p>
    <w:p w:rsidR="00BC0FB8" w:rsidRPr="007257EC" w:rsidRDefault="00BC0FB8">
      <w:pPr>
        <w:spacing w:after="0" w:line="360" w:lineRule="auto"/>
      </w:pPr>
    </w:p>
    <w:p w:rsidR="00BC0FB8" w:rsidRPr="007257EC" w:rsidRDefault="00F03AF1">
      <w:pPr>
        <w:spacing w:after="0" w:line="360" w:lineRule="auto"/>
      </w:pPr>
      <w:r w:rsidRPr="007257EC">
        <w:t xml:space="preserve">En ese orden de ideas, en </w:t>
      </w:r>
      <w:r w:rsidRPr="007257EC">
        <w:rPr>
          <w:color w:val="000000"/>
        </w:rPr>
        <w:t>el Criterio de interpretación, con clave de control SO/014/2017, de la Segunda época, emitido por el Instituto Nacional de Transparencia, Acceso a la Información Pública y Protección de Datos Personales en el Estado de México y Municipios, el cual establece</w:t>
      </w:r>
      <w:r w:rsidRPr="007257EC">
        <w:t xml:space="preserve"> que la inexistencia de la información, es una cuestión de hecho que se le atribuye a la misma, cuando ésta no se encuentra en los archivos del sujeto obligado.</w:t>
      </w:r>
    </w:p>
    <w:p w:rsidR="00BC0FB8" w:rsidRPr="007257EC" w:rsidRDefault="00BC0FB8">
      <w:pPr>
        <w:spacing w:after="0" w:line="360" w:lineRule="auto"/>
      </w:pPr>
    </w:p>
    <w:p w:rsidR="00BC0FB8" w:rsidRPr="007257EC" w:rsidRDefault="00F03AF1">
      <w:pPr>
        <w:spacing w:after="0" w:line="360" w:lineRule="auto"/>
      </w:pPr>
      <w:r w:rsidRPr="007257EC">
        <w:t xml:space="preserve">En ese orden de ideas, según Trujillo, Humberto (2019), en el “Diccionario de Transparencia y Acceso a la Información Pública” (p. 171), </w:t>
      </w:r>
      <w:r w:rsidRPr="007257EC">
        <w:rPr>
          <w:b/>
        </w:rPr>
        <w:t>la inexistencia de la información</w:t>
      </w:r>
      <w:r w:rsidRPr="007257EC">
        <w:t xml:space="preserve">, es cuando la información requerida no se encuentra en los archivos públicos, reservados o clasificados, de los sujetos obligados. Conforme a lo anterior, es posible concluir que la </w:t>
      </w:r>
      <w:r w:rsidRPr="007257EC">
        <w:rPr>
          <w:b/>
        </w:rPr>
        <w:t>inexistencia</w:t>
      </w:r>
      <w:r w:rsidRPr="007257EC">
        <w:t xml:space="preserve"> presupone la competencia del sujeto obligado para conocer de la información, pero por alguna circunstancia, la documentación solicitada no obra en sus archivos.</w:t>
      </w:r>
    </w:p>
    <w:p w:rsidR="00BC0FB8" w:rsidRPr="007257EC" w:rsidRDefault="00BC0FB8">
      <w:pPr>
        <w:spacing w:after="0" w:line="360" w:lineRule="auto"/>
        <w:ind w:right="-93"/>
      </w:pPr>
    </w:p>
    <w:p w:rsidR="00BC0FB8" w:rsidRPr="007257EC" w:rsidRDefault="00F03AF1">
      <w:pPr>
        <w:spacing w:after="0" w:line="360" w:lineRule="auto"/>
      </w:pPr>
      <w:r w:rsidRPr="007257EC">
        <w:t>Por otra parte, según Cabanellas, Guillermo (1993), en el “Diccionario Jurídico Elemental” (p. 32 y 161), precisó los siguientes conceptos:</w:t>
      </w:r>
    </w:p>
    <w:p w:rsidR="00BC0FB8" w:rsidRPr="007257EC" w:rsidRDefault="00BC0FB8">
      <w:pPr>
        <w:spacing w:after="0" w:line="360" w:lineRule="auto"/>
      </w:pPr>
    </w:p>
    <w:p w:rsidR="00BC0FB8" w:rsidRPr="007257EC" w:rsidRDefault="00F03AF1">
      <w:pPr>
        <w:numPr>
          <w:ilvl w:val="0"/>
          <w:numId w:val="3"/>
        </w:numPr>
        <w:spacing w:after="0" w:line="360" w:lineRule="auto"/>
        <w:jc w:val="left"/>
        <w:rPr>
          <w:sz w:val="24"/>
          <w:szCs w:val="24"/>
        </w:rPr>
      </w:pPr>
      <w:r w:rsidRPr="007257EC">
        <w:rPr>
          <w:b/>
          <w:sz w:val="24"/>
          <w:szCs w:val="24"/>
        </w:rPr>
        <w:lastRenderedPageBreak/>
        <w:t xml:space="preserve">Competencia: </w:t>
      </w:r>
      <w:r w:rsidRPr="007257EC">
        <w:rPr>
          <w:sz w:val="24"/>
          <w:szCs w:val="24"/>
        </w:rPr>
        <w:t>La capacidad de una autoridad para conocer sobre una materia o asunto.</w:t>
      </w:r>
    </w:p>
    <w:p w:rsidR="00BC0FB8" w:rsidRPr="007257EC" w:rsidRDefault="00F03AF1">
      <w:pPr>
        <w:numPr>
          <w:ilvl w:val="0"/>
          <w:numId w:val="3"/>
        </w:numPr>
        <w:spacing w:after="0" w:line="360" w:lineRule="auto"/>
        <w:jc w:val="left"/>
        <w:rPr>
          <w:sz w:val="24"/>
          <w:szCs w:val="24"/>
        </w:rPr>
      </w:pPr>
      <w:r w:rsidRPr="007257EC">
        <w:rPr>
          <w:b/>
          <w:sz w:val="24"/>
          <w:szCs w:val="24"/>
        </w:rPr>
        <w:t>Incompetencia:</w:t>
      </w:r>
      <w:r w:rsidRPr="007257EC">
        <w:rPr>
          <w:sz w:val="24"/>
          <w:szCs w:val="24"/>
        </w:rPr>
        <w:t xml:space="preserve"> Falta de Competencia.</w:t>
      </w:r>
    </w:p>
    <w:p w:rsidR="00BC0FB8" w:rsidRPr="007257EC" w:rsidRDefault="00BC0FB8">
      <w:pPr>
        <w:spacing w:after="0" w:line="360" w:lineRule="auto"/>
      </w:pPr>
    </w:p>
    <w:p w:rsidR="00BC0FB8" w:rsidRPr="007257EC" w:rsidRDefault="00F03AF1">
      <w:pPr>
        <w:spacing w:after="0" w:line="360" w:lineRule="auto"/>
      </w:pPr>
      <w:r w:rsidRPr="007257EC">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w:t>
      </w:r>
      <w:proofErr w:type="spellStart"/>
      <w:r w:rsidRPr="007257EC">
        <w:t>Pag</w:t>
      </w:r>
      <w:proofErr w:type="spellEnd"/>
      <w:r w:rsidRPr="007257EC">
        <w:t xml:space="preserve">. 1243, ya que precisa lo siguiente: </w:t>
      </w:r>
    </w:p>
    <w:p w:rsidR="00BC0FB8" w:rsidRPr="007257EC" w:rsidRDefault="00BC0FB8">
      <w:pPr>
        <w:spacing w:after="0" w:line="360" w:lineRule="auto"/>
      </w:pPr>
    </w:p>
    <w:p w:rsidR="00BC0FB8" w:rsidRPr="007257EC" w:rsidRDefault="00F03AF1">
      <w:pPr>
        <w:spacing w:after="0" w:line="360" w:lineRule="auto"/>
        <w:ind w:left="567" w:right="567"/>
        <w:rPr>
          <w:i/>
          <w:sz w:val="20"/>
          <w:szCs w:val="20"/>
        </w:rPr>
      </w:pPr>
      <w:r w:rsidRPr="007257EC">
        <w:rPr>
          <w:b/>
          <w:i/>
          <w:sz w:val="20"/>
          <w:szCs w:val="20"/>
        </w:rPr>
        <w:t xml:space="preserve">“LEGITIMACIÓN DE FUNCIONARIOS PÚBLICOS. LOS TRIBUNALES DE AMPARO, POR ESTAR VINCULADOS CON EL CONCEPTO DE COMPETENCIA A QUE SE REFIERE EL ARTÍCULO 16 CONSTITUCIONAL, NO PUEDEN CONOCER DE AQUÉLLA. </w:t>
      </w:r>
      <w:r w:rsidRPr="007257EC">
        <w:rPr>
          <w:i/>
          <w:sz w:val="20"/>
          <w:szCs w:val="20"/>
        </w:rPr>
        <w:t>El artículo </w:t>
      </w:r>
      <w:hyperlink r:id="rId9">
        <w:r w:rsidRPr="007257EC">
          <w:rPr>
            <w:rFonts w:ascii="Times New Roman" w:eastAsia="Times New Roman" w:hAnsi="Times New Roman" w:cs="Times New Roman"/>
            <w:i/>
            <w:color w:val="0563C1"/>
            <w:sz w:val="20"/>
            <w:szCs w:val="20"/>
            <w:u w:val="single"/>
          </w:rPr>
          <w:t>16 constitucional</w:t>
        </w:r>
      </w:hyperlink>
      <w:r w:rsidRPr="007257EC">
        <w:rPr>
          <w:i/>
          <w:sz w:val="20"/>
          <w:szCs w:val="20"/>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00BC0FB8" w:rsidRPr="007257EC" w:rsidRDefault="00BC0FB8">
      <w:pPr>
        <w:spacing w:after="0" w:line="360" w:lineRule="auto"/>
      </w:pPr>
    </w:p>
    <w:p w:rsidR="00BC0FB8" w:rsidRPr="007257EC" w:rsidRDefault="00F03AF1">
      <w:pPr>
        <w:spacing w:after="0" w:line="360" w:lineRule="auto"/>
      </w:pPr>
      <w:r w:rsidRPr="007257EC">
        <w:t xml:space="preserve">Por otro lado, en el Criterio de interpretación, con número de registro SO/013/2017, de la Segunda Época, emitido por el Instituto Nacional de Transparencia, Acceso a la Información y Protección de Datos Personales, el cual establece que la </w:t>
      </w:r>
      <w:r w:rsidRPr="007257EC">
        <w:rPr>
          <w:b/>
        </w:rPr>
        <w:t xml:space="preserve">incompetencia </w:t>
      </w:r>
      <w:r w:rsidRPr="007257EC">
        <w:t xml:space="preserve">implica que, de conformidad con las atribuciones conferidas al sujeto obligado, no habría razón por la cual éste deba contar con la información solicitada. En cuyo caso, tendría que orientar al particular </w:t>
      </w:r>
      <w:r w:rsidRPr="007257EC">
        <w:lastRenderedPageBreak/>
        <w:t>para que acuda a la instancia competente, tal como lo establece el artículo 167 de la Ley de Transparencia y Acceso a la Información Pública del Estado de México y Municipios. 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rsidR="00BC0FB8" w:rsidRPr="007257EC" w:rsidRDefault="00BC0FB8">
      <w:pPr>
        <w:spacing w:after="0" w:line="360" w:lineRule="auto"/>
      </w:pPr>
    </w:p>
    <w:p w:rsidR="00BC0FB8" w:rsidRPr="007257EC" w:rsidRDefault="00F03AF1">
      <w:pPr>
        <w:spacing w:after="0" w:line="360" w:lineRule="auto"/>
      </w:pPr>
      <w:r w:rsidRPr="007257EC">
        <w:t xml:space="preserve">Por lo tanto, ambas figuras jurídicas no pueden coexistir, pues la </w:t>
      </w:r>
      <w:r w:rsidRPr="007257EC">
        <w:rPr>
          <w:b/>
        </w:rPr>
        <w:t>inexistencia</w:t>
      </w:r>
      <w:r w:rsidRPr="007257EC">
        <w:t xml:space="preserve"> presupone la competencia del sujeto obligado para conocer de la información, pero por alguna circunstancia, el documento solicitado no obra en sus archivos. En cambio, la </w:t>
      </w:r>
      <w:r w:rsidRPr="007257EC">
        <w:rPr>
          <w:b/>
        </w:rPr>
        <w:t>incompetencia</w:t>
      </w:r>
      <w:r w:rsidRPr="007257EC">
        <w:t xml:space="preserve"> implica que el sujeto obligado no cuenta con atribuciones para conocer de lo requerido y, por tanto, no habría razón para que en sus archivos obre información relacionada con la materia de la solicitud.</w:t>
      </w:r>
    </w:p>
    <w:p w:rsidR="00BC0FB8" w:rsidRPr="007257EC" w:rsidRDefault="00BC0FB8">
      <w:pPr>
        <w:spacing w:after="0" w:line="360" w:lineRule="auto"/>
      </w:pPr>
    </w:p>
    <w:p w:rsidR="00BC0FB8" w:rsidRPr="007257EC" w:rsidRDefault="00F03AF1">
      <w:pPr>
        <w:spacing w:after="0" w:line="360" w:lineRule="auto"/>
      </w:pPr>
      <w:r w:rsidRPr="007257EC">
        <w:t>Conforme a lo expuesto y, en atención a la respuesta brindada por el Ayuntamiento Toluca, se puede colegir que, en el presente caso, se trata de una cuestión de incompetencia y no de inexistencia, por lo que, se procede analizar la respuesta entregada, en atención a dicha circunstancia.</w:t>
      </w:r>
    </w:p>
    <w:p w:rsidR="00BC0FB8" w:rsidRPr="007257EC" w:rsidRDefault="00BC0FB8">
      <w:pPr>
        <w:spacing w:after="0" w:line="360" w:lineRule="auto"/>
      </w:pPr>
    </w:p>
    <w:p w:rsidR="00BC0FB8" w:rsidRPr="007257EC" w:rsidRDefault="00F03AF1">
      <w:pPr>
        <w:spacing w:after="0" w:line="360" w:lineRule="auto"/>
        <w:rPr>
          <w:color w:val="000000"/>
        </w:rPr>
      </w:pPr>
      <w:proofErr w:type="gramStart"/>
      <w:r w:rsidRPr="007257EC">
        <w:rPr>
          <w:color w:val="000000"/>
        </w:rPr>
        <w:t>el</w:t>
      </w:r>
      <w:proofErr w:type="gramEnd"/>
      <w:r w:rsidRPr="007257EC">
        <w:rPr>
          <w:color w:val="000000"/>
        </w:rPr>
        <w:t xml:space="preserve"> artículo 115 de la Constitución Política de los Estados Unidos Mexicanos, con relación al 122 de la Constitución Política del Estado Libre y Soberano de México, que precisan que los Estados adoptarán, para su régimen interior, la forma de gobierno republicano, representativo, democrático, laico y popular, teniendo como base de su división territorial y de su organización política y administrativa, el municipio libre, encargado de realizar las funciones y servicios públicos siguientes:</w:t>
      </w:r>
    </w:p>
    <w:p w:rsidR="00BC0FB8" w:rsidRPr="007257EC" w:rsidRDefault="00BC0FB8">
      <w:pPr>
        <w:spacing w:after="0" w:line="360" w:lineRule="auto"/>
        <w:rPr>
          <w:color w:val="000000"/>
        </w:rPr>
      </w:pPr>
    </w:p>
    <w:p w:rsidR="00BC0FB8" w:rsidRPr="007257EC" w:rsidRDefault="00F03AF1">
      <w:pPr>
        <w:numPr>
          <w:ilvl w:val="0"/>
          <w:numId w:val="4"/>
        </w:numPr>
        <w:spacing w:after="0" w:line="360" w:lineRule="auto"/>
        <w:jc w:val="left"/>
        <w:rPr>
          <w:color w:val="000000"/>
        </w:rPr>
      </w:pPr>
      <w:r w:rsidRPr="007257EC">
        <w:rPr>
          <w:color w:val="000000"/>
        </w:rPr>
        <w:t>Agua potable, drenaje, alcantarillado, saneamiento, tratamiento y disposición de sus aguas residuales;</w:t>
      </w:r>
    </w:p>
    <w:p w:rsidR="00BC0FB8" w:rsidRPr="007257EC" w:rsidRDefault="00F03AF1">
      <w:pPr>
        <w:numPr>
          <w:ilvl w:val="0"/>
          <w:numId w:val="4"/>
        </w:numPr>
        <w:spacing w:after="0" w:line="360" w:lineRule="auto"/>
        <w:jc w:val="left"/>
        <w:rPr>
          <w:color w:val="000000"/>
        </w:rPr>
      </w:pPr>
      <w:r w:rsidRPr="007257EC">
        <w:rPr>
          <w:color w:val="000000"/>
        </w:rPr>
        <w:lastRenderedPageBreak/>
        <w:t>Alumbrado público;</w:t>
      </w:r>
    </w:p>
    <w:p w:rsidR="00BC0FB8" w:rsidRPr="007257EC" w:rsidRDefault="00F03AF1">
      <w:pPr>
        <w:numPr>
          <w:ilvl w:val="0"/>
          <w:numId w:val="4"/>
        </w:numPr>
        <w:spacing w:after="0" w:line="360" w:lineRule="auto"/>
        <w:jc w:val="left"/>
        <w:rPr>
          <w:color w:val="000000"/>
        </w:rPr>
      </w:pPr>
      <w:r w:rsidRPr="007257EC">
        <w:rPr>
          <w:color w:val="000000"/>
        </w:rPr>
        <w:t>Limpia, recolección, traslado, tratamiento y disposición final de residuos;</w:t>
      </w:r>
    </w:p>
    <w:p w:rsidR="00BC0FB8" w:rsidRPr="007257EC" w:rsidRDefault="00F03AF1">
      <w:pPr>
        <w:numPr>
          <w:ilvl w:val="0"/>
          <w:numId w:val="4"/>
        </w:numPr>
        <w:spacing w:after="0" w:line="360" w:lineRule="auto"/>
        <w:jc w:val="left"/>
        <w:rPr>
          <w:color w:val="000000"/>
        </w:rPr>
      </w:pPr>
      <w:r w:rsidRPr="007257EC">
        <w:rPr>
          <w:color w:val="000000"/>
        </w:rPr>
        <w:t>Mercados y centrales de abasto;</w:t>
      </w:r>
    </w:p>
    <w:p w:rsidR="00BC0FB8" w:rsidRPr="007257EC" w:rsidRDefault="00F03AF1">
      <w:pPr>
        <w:numPr>
          <w:ilvl w:val="0"/>
          <w:numId w:val="4"/>
        </w:numPr>
        <w:spacing w:after="0" w:line="360" w:lineRule="auto"/>
        <w:jc w:val="left"/>
        <w:rPr>
          <w:color w:val="000000"/>
        </w:rPr>
      </w:pPr>
      <w:r w:rsidRPr="007257EC">
        <w:rPr>
          <w:color w:val="000000"/>
        </w:rPr>
        <w:t xml:space="preserve">Panteones; </w:t>
      </w:r>
    </w:p>
    <w:p w:rsidR="00BC0FB8" w:rsidRPr="007257EC" w:rsidRDefault="00F03AF1">
      <w:pPr>
        <w:numPr>
          <w:ilvl w:val="0"/>
          <w:numId w:val="4"/>
        </w:numPr>
        <w:spacing w:after="0" w:line="360" w:lineRule="auto"/>
        <w:jc w:val="left"/>
        <w:rPr>
          <w:color w:val="000000"/>
        </w:rPr>
      </w:pPr>
      <w:r w:rsidRPr="007257EC">
        <w:rPr>
          <w:color w:val="000000"/>
        </w:rPr>
        <w:t xml:space="preserve">Rastro; </w:t>
      </w:r>
    </w:p>
    <w:p w:rsidR="00BC0FB8" w:rsidRPr="007257EC" w:rsidRDefault="00F03AF1">
      <w:pPr>
        <w:numPr>
          <w:ilvl w:val="0"/>
          <w:numId w:val="4"/>
        </w:numPr>
        <w:spacing w:after="0" w:line="360" w:lineRule="auto"/>
        <w:jc w:val="left"/>
        <w:rPr>
          <w:color w:val="000000"/>
        </w:rPr>
      </w:pPr>
      <w:r w:rsidRPr="007257EC">
        <w:rPr>
          <w:color w:val="000000"/>
        </w:rPr>
        <w:t>Calles, parques y jardines y su equipamiento, y</w:t>
      </w:r>
    </w:p>
    <w:p w:rsidR="00BC0FB8" w:rsidRPr="007257EC" w:rsidRDefault="00F03AF1">
      <w:pPr>
        <w:numPr>
          <w:ilvl w:val="0"/>
          <w:numId w:val="4"/>
        </w:numPr>
        <w:spacing w:after="0" w:line="360" w:lineRule="auto"/>
        <w:jc w:val="left"/>
        <w:rPr>
          <w:color w:val="000000"/>
        </w:rPr>
      </w:pPr>
      <w:r w:rsidRPr="007257EC">
        <w:rPr>
          <w:color w:val="000000"/>
        </w:rPr>
        <w:t>Seguridad pública, policía preventiva municipal y tránsito.</w:t>
      </w:r>
    </w:p>
    <w:p w:rsidR="00BC0FB8" w:rsidRPr="007257EC" w:rsidRDefault="00BC0FB8">
      <w:pPr>
        <w:spacing w:after="0" w:line="360" w:lineRule="auto"/>
        <w:ind w:left="360"/>
        <w:rPr>
          <w:color w:val="000000"/>
        </w:rPr>
      </w:pPr>
    </w:p>
    <w:p w:rsidR="00BC0FB8" w:rsidRPr="007257EC" w:rsidRDefault="00F03AF1">
      <w:pPr>
        <w:spacing w:after="0" w:line="360" w:lineRule="auto"/>
        <w:rPr>
          <w:color w:val="000000"/>
        </w:rPr>
      </w:pPr>
      <w:r w:rsidRPr="007257EC">
        <w:rPr>
          <w:color w:val="000000"/>
        </w:rPr>
        <w:t>Además, el artículo 31 de la Ley Orgánica Municipal del Estado de México, precisa que los Ayuntamientos tendrán las siguientes funciones:</w:t>
      </w:r>
    </w:p>
    <w:p w:rsidR="00BC0FB8" w:rsidRPr="007257EC" w:rsidRDefault="00BC0FB8">
      <w:pPr>
        <w:spacing w:after="0" w:line="360" w:lineRule="auto"/>
        <w:rPr>
          <w:color w:val="000000"/>
        </w:rPr>
      </w:pPr>
    </w:p>
    <w:p w:rsidR="00BC0FB8" w:rsidRPr="007257EC" w:rsidRDefault="00BC0FB8">
      <w:pPr>
        <w:spacing w:after="0" w:line="360" w:lineRule="auto"/>
        <w:rPr>
          <w:color w:val="000000"/>
        </w:rPr>
      </w:pPr>
    </w:p>
    <w:p w:rsidR="00BC0FB8" w:rsidRPr="007257EC" w:rsidRDefault="00F03AF1">
      <w:pPr>
        <w:widowControl w:val="0"/>
        <w:numPr>
          <w:ilvl w:val="0"/>
          <w:numId w:val="5"/>
        </w:numPr>
        <w:spacing w:after="0" w:line="360" w:lineRule="auto"/>
        <w:rPr>
          <w:color w:val="000000"/>
        </w:rPr>
      </w:pPr>
      <w:r w:rsidRPr="007257EC">
        <w:rPr>
          <w:color w:val="000000"/>
        </w:rPr>
        <w:t>Expedir y reformar el Bando Municipal, así como los reglamentos, circulares y disposiciones administrativas de observancia general dentro del territorio del municipio;</w:t>
      </w:r>
    </w:p>
    <w:p w:rsidR="00BC0FB8" w:rsidRPr="007257EC" w:rsidRDefault="00F03AF1">
      <w:pPr>
        <w:widowControl w:val="0"/>
        <w:numPr>
          <w:ilvl w:val="0"/>
          <w:numId w:val="5"/>
        </w:numPr>
        <w:spacing w:after="0" w:line="360" w:lineRule="auto"/>
        <w:rPr>
          <w:color w:val="000000"/>
        </w:rPr>
      </w:pPr>
      <w:r w:rsidRPr="007257EC">
        <w:rPr>
          <w:color w:val="000000"/>
        </w:rPr>
        <w:t>Aprobar e implementar programas y acciones que promuevan un proceso constante de mejora regulatoria;</w:t>
      </w:r>
    </w:p>
    <w:p w:rsidR="00BC0FB8" w:rsidRPr="007257EC" w:rsidRDefault="00F03AF1">
      <w:pPr>
        <w:widowControl w:val="0"/>
        <w:numPr>
          <w:ilvl w:val="0"/>
          <w:numId w:val="5"/>
        </w:numPr>
        <w:spacing w:after="0" w:line="360" w:lineRule="auto"/>
        <w:rPr>
          <w:color w:val="000000"/>
        </w:rPr>
      </w:pPr>
      <w:r w:rsidRPr="007257EC">
        <w:rPr>
          <w:color w:val="000000"/>
        </w:rPr>
        <w:t>Aprobar y promover un programa para el otorgamiento de la licencia o permiso provisional de funcionamiento para negocios de bajo riesgo que no impliquen riesgos sanitarios, ambientales o de protección civil;</w:t>
      </w:r>
    </w:p>
    <w:p w:rsidR="00BC0FB8" w:rsidRPr="007257EC" w:rsidRDefault="00F03AF1">
      <w:pPr>
        <w:widowControl w:val="0"/>
        <w:numPr>
          <w:ilvl w:val="0"/>
          <w:numId w:val="5"/>
        </w:numPr>
        <w:spacing w:after="0" w:line="360" w:lineRule="auto"/>
        <w:rPr>
          <w:color w:val="000000"/>
        </w:rPr>
      </w:pPr>
      <w:r w:rsidRPr="007257EC">
        <w:rPr>
          <w:color w:val="000000"/>
        </w:rPr>
        <w:t>Formular, aprobar, implementar y ejecutar las políticas, programas y acciones en materia de Gobierno Digital;</w:t>
      </w:r>
    </w:p>
    <w:p w:rsidR="00BC0FB8" w:rsidRPr="007257EC" w:rsidRDefault="00F03AF1">
      <w:pPr>
        <w:widowControl w:val="0"/>
        <w:numPr>
          <w:ilvl w:val="0"/>
          <w:numId w:val="5"/>
        </w:numPr>
        <w:spacing w:after="0" w:line="360" w:lineRule="auto"/>
        <w:rPr>
          <w:color w:val="000000"/>
        </w:rPr>
      </w:pPr>
      <w:r w:rsidRPr="007257EC">
        <w:rPr>
          <w:color w:val="000000"/>
        </w:rPr>
        <w:t>Formular, aprobar, implementar y ejecutar los programas y acciones para la prevención, atención y en su caso, el pago de las responsabilidades económicas;</w:t>
      </w:r>
    </w:p>
    <w:p w:rsidR="00BC0FB8" w:rsidRPr="007257EC" w:rsidRDefault="00F03AF1">
      <w:pPr>
        <w:widowControl w:val="0"/>
        <w:numPr>
          <w:ilvl w:val="0"/>
          <w:numId w:val="5"/>
        </w:numPr>
        <w:spacing w:after="0" w:line="360" w:lineRule="auto"/>
        <w:rPr>
          <w:color w:val="000000"/>
        </w:rPr>
      </w:pPr>
      <w:r w:rsidRPr="007257EC">
        <w:rPr>
          <w:color w:val="000000"/>
        </w:rPr>
        <w:t>Celebrar convenios;</w:t>
      </w:r>
    </w:p>
    <w:p w:rsidR="00BC0FB8" w:rsidRPr="007257EC" w:rsidRDefault="00F03AF1">
      <w:pPr>
        <w:widowControl w:val="0"/>
        <w:numPr>
          <w:ilvl w:val="0"/>
          <w:numId w:val="5"/>
        </w:numPr>
        <w:spacing w:after="0" w:line="360" w:lineRule="auto"/>
        <w:rPr>
          <w:color w:val="000000"/>
        </w:rPr>
      </w:pPr>
      <w:r w:rsidRPr="007257EC">
        <w:rPr>
          <w:color w:val="000000"/>
        </w:rPr>
        <w:t>Acordar la división territorial municipal en delegaciones, subdelegaciones, colonias, sectores y manzanas;</w:t>
      </w:r>
    </w:p>
    <w:p w:rsidR="00BC0FB8" w:rsidRPr="007257EC" w:rsidRDefault="00F03AF1">
      <w:pPr>
        <w:widowControl w:val="0"/>
        <w:numPr>
          <w:ilvl w:val="0"/>
          <w:numId w:val="5"/>
        </w:numPr>
        <w:spacing w:after="0" w:line="360" w:lineRule="auto"/>
        <w:rPr>
          <w:color w:val="000000"/>
        </w:rPr>
      </w:pPr>
      <w:r w:rsidRPr="007257EC">
        <w:rPr>
          <w:color w:val="000000"/>
        </w:rPr>
        <w:lastRenderedPageBreak/>
        <w:t>Convenir, contratar o concesionar, la ejecución de obras y la prestación de servicios públicos;</w:t>
      </w:r>
    </w:p>
    <w:p w:rsidR="00BC0FB8" w:rsidRPr="007257EC" w:rsidRDefault="00F03AF1">
      <w:pPr>
        <w:widowControl w:val="0"/>
        <w:numPr>
          <w:ilvl w:val="0"/>
          <w:numId w:val="5"/>
        </w:numPr>
        <w:spacing w:after="0" w:line="360" w:lineRule="auto"/>
        <w:rPr>
          <w:color w:val="000000"/>
        </w:rPr>
      </w:pPr>
      <w:r w:rsidRPr="007257EC">
        <w:rPr>
          <w:color w:val="000000"/>
        </w:rPr>
        <w:t>Concluir las obras iniciadas por administraciones anteriores y dar mantenimiento a la infraestructura e instalaciones de los servicios públicos municipales;</w:t>
      </w:r>
    </w:p>
    <w:p w:rsidR="00BC0FB8" w:rsidRPr="007257EC" w:rsidRDefault="00F03AF1">
      <w:pPr>
        <w:widowControl w:val="0"/>
        <w:numPr>
          <w:ilvl w:val="0"/>
          <w:numId w:val="5"/>
        </w:numPr>
        <w:spacing w:after="0" w:line="360" w:lineRule="auto"/>
        <w:rPr>
          <w:color w:val="000000"/>
        </w:rPr>
      </w:pPr>
      <w:r w:rsidRPr="007257EC">
        <w:rPr>
          <w:color w:val="000000"/>
        </w:rPr>
        <w:t>Crear las unidades administrativas necesarias para el adecuado funcionamiento de la administración pública municipal;</w:t>
      </w:r>
    </w:p>
    <w:p w:rsidR="00BC0FB8" w:rsidRPr="007257EC" w:rsidRDefault="00F03AF1">
      <w:pPr>
        <w:widowControl w:val="0"/>
        <w:numPr>
          <w:ilvl w:val="0"/>
          <w:numId w:val="5"/>
        </w:numPr>
        <w:spacing w:after="0" w:line="360" w:lineRule="auto"/>
        <w:rPr>
          <w:color w:val="000000"/>
        </w:rPr>
      </w:pPr>
      <w:r w:rsidRPr="007257EC">
        <w:rPr>
          <w:color w:val="000000"/>
        </w:rPr>
        <w:t>Conocer los informes contables y financieros anuales;</w:t>
      </w:r>
    </w:p>
    <w:p w:rsidR="00BC0FB8" w:rsidRPr="007257EC" w:rsidRDefault="00F03AF1">
      <w:pPr>
        <w:widowControl w:val="0"/>
        <w:numPr>
          <w:ilvl w:val="0"/>
          <w:numId w:val="5"/>
        </w:numPr>
        <w:spacing w:after="0" w:line="360" w:lineRule="auto"/>
        <w:rPr>
          <w:color w:val="000000"/>
        </w:rPr>
      </w:pPr>
      <w:r w:rsidRPr="007257EC">
        <w:rPr>
          <w:color w:val="000000"/>
        </w:rPr>
        <w:t>Municipalizar los servicios públicos;</w:t>
      </w:r>
    </w:p>
    <w:p w:rsidR="00BC0FB8" w:rsidRPr="007257EC" w:rsidRDefault="00F03AF1">
      <w:pPr>
        <w:widowControl w:val="0"/>
        <w:numPr>
          <w:ilvl w:val="0"/>
          <w:numId w:val="5"/>
        </w:numPr>
        <w:spacing w:after="0" w:line="360" w:lineRule="auto"/>
        <w:rPr>
          <w:color w:val="000000"/>
        </w:rPr>
      </w:pPr>
      <w:r w:rsidRPr="007257EC">
        <w:rPr>
          <w:color w:val="000000"/>
        </w:rPr>
        <w:t>Administrar su hacienda en términos de ley;</w:t>
      </w:r>
    </w:p>
    <w:p w:rsidR="00BC0FB8" w:rsidRPr="007257EC" w:rsidRDefault="00F03AF1">
      <w:pPr>
        <w:widowControl w:val="0"/>
        <w:numPr>
          <w:ilvl w:val="0"/>
          <w:numId w:val="5"/>
        </w:numPr>
        <w:spacing w:after="0" w:line="360" w:lineRule="auto"/>
        <w:rPr>
          <w:color w:val="000000"/>
        </w:rPr>
      </w:pPr>
      <w:r w:rsidRPr="007257EC">
        <w:rPr>
          <w:color w:val="000000"/>
        </w:rPr>
        <w:t>Autorizar la contratación de empréstitos;</w:t>
      </w:r>
    </w:p>
    <w:p w:rsidR="00BC0FB8" w:rsidRPr="007257EC" w:rsidRDefault="00F03AF1">
      <w:pPr>
        <w:widowControl w:val="0"/>
        <w:numPr>
          <w:ilvl w:val="0"/>
          <w:numId w:val="5"/>
        </w:numPr>
        <w:spacing w:after="0" w:line="360" w:lineRule="auto"/>
        <w:rPr>
          <w:color w:val="000000"/>
        </w:rPr>
      </w:pPr>
      <w:r w:rsidRPr="007257EC">
        <w:rPr>
          <w:color w:val="000000"/>
        </w:rPr>
        <w:t>Formular, aprobar y ejecutar los planes de desarrollo municipal y los Programas correspondientes;</w:t>
      </w:r>
    </w:p>
    <w:p w:rsidR="00BC0FB8" w:rsidRPr="007257EC" w:rsidRDefault="00F03AF1">
      <w:pPr>
        <w:widowControl w:val="0"/>
        <w:numPr>
          <w:ilvl w:val="0"/>
          <w:numId w:val="5"/>
        </w:numPr>
        <w:spacing w:after="0" w:line="360" w:lineRule="auto"/>
        <w:jc w:val="left"/>
        <w:rPr>
          <w:color w:val="000000"/>
        </w:rPr>
      </w:pPr>
      <w:r w:rsidRPr="007257EC">
        <w:rPr>
          <w:color w:val="000000"/>
        </w:rPr>
        <w:t>Promover, desarrollar, vigilar y evaluar en su municipio, los programas en materia de protección civil;</w:t>
      </w:r>
    </w:p>
    <w:p w:rsidR="00BC0FB8" w:rsidRPr="007257EC" w:rsidRDefault="00F03AF1">
      <w:pPr>
        <w:widowControl w:val="0"/>
        <w:numPr>
          <w:ilvl w:val="0"/>
          <w:numId w:val="5"/>
        </w:numPr>
        <w:spacing w:after="0" w:line="360" w:lineRule="auto"/>
        <w:jc w:val="left"/>
        <w:rPr>
          <w:color w:val="000000"/>
        </w:rPr>
      </w:pPr>
      <w:r w:rsidRPr="007257EC">
        <w:rPr>
          <w:color w:val="000000"/>
        </w:rPr>
        <w:t>Dotar de servicios públicos a los habitantes del municipio, y</w:t>
      </w:r>
    </w:p>
    <w:p w:rsidR="00BC0FB8" w:rsidRPr="007257EC" w:rsidRDefault="00F03AF1">
      <w:pPr>
        <w:widowControl w:val="0"/>
        <w:numPr>
          <w:ilvl w:val="0"/>
          <w:numId w:val="5"/>
        </w:numPr>
        <w:spacing w:after="0" w:line="360" w:lineRule="auto"/>
        <w:jc w:val="left"/>
        <w:rPr>
          <w:color w:val="000000"/>
        </w:rPr>
      </w:pPr>
      <w:r w:rsidRPr="007257EC">
        <w:rPr>
          <w:color w:val="000000"/>
        </w:rPr>
        <w:t>Promover la creación, desarrollo y actualización permanente, de los atlas municipales de riesgos.</w:t>
      </w:r>
    </w:p>
    <w:p w:rsidR="00BC0FB8" w:rsidRPr="007257EC" w:rsidRDefault="00BC0FB8">
      <w:pPr>
        <w:spacing w:after="0" w:line="360" w:lineRule="auto"/>
      </w:pPr>
    </w:p>
    <w:p w:rsidR="00BC0FB8" w:rsidRPr="007257EC" w:rsidRDefault="00F03AF1">
      <w:pPr>
        <w:spacing w:after="0" w:line="360" w:lineRule="auto"/>
      </w:pPr>
      <w:r w:rsidRPr="007257EC">
        <w:t xml:space="preserve">Además, se revisó el Bando Municipal, el Código Reglamentario Municipal de Toluca, los Manuales de Organización y Procedimientos, así como, su página oficial, redes sociales y el Portal de Información Pública de Oficio Mexiquense y no se localizó algún indicio de que el Sujeto Obligado haya realizado o planeado alguna ciclovía dentro del Municipio; por lo que, se considera que en primera instancia carece de atribuciones para conocer de lo peticionado; por lo que, se procede analizar si la Secretaría de Movilidad tiene competencia. </w:t>
      </w:r>
    </w:p>
    <w:p w:rsidR="00BC0FB8" w:rsidRPr="007257EC" w:rsidRDefault="00BC0FB8">
      <w:pPr>
        <w:spacing w:after="0" w:line="360" w:lineRule="auto"/>
      </w:pPr>
    </w:p>
    <w:p w:rsidR="00BC0FB8" w:rsidRPr="007257EC" w:rsidRDefault="00BC0FB8">
      <w:pPr>
        <w:spacing w:after="0" w:line="360" w:lineRule="auto"/>
      </w:pPr>
    </w:p>
    <w:p w:rsidR="00BC0FB8" w:rsidRPr="007257EC" w:rsidRDefault="00BC0FB8">
      <w:pPr>
        <w:spacing w:after="0" w:line="360" w:lineRule="auto"/>
      </w:pPr>
    </w:p>
    <w:p w:rsidR="00BC0FB8" w:rsidRPr="007257EC" w:rsidRDefault="00F03AF1">
      <w:pPr>
        <w:spacing w:after="0" w:line="360" w:lineRule="auto"/>
      </w:pPr>
      <w:r w:rsidRPr="007257EC">
        <w:lastRenderedPageBreak/>
        <w:t>Al respecto el artículo 2 fracción XLVI de la Ley de Movilidad y Seguridad Vial del Estado de México y sus Municipios refiere que el estudio de impacto de movilidad, es un mecanismo de evaluación que realizan las autoridades en coordinación con los tres ámbitos de gobierno en el esfera de sus funciones, con el fin de analizar las vías públicas, su funcionamiento y las dinámicas de movilidad que se dan en ellas, determinando el impacto potencial de algún proyecto, infraestructura, obra pública o privada de edificación o urbanización, determinando las necesidades de cualquier mejora a la seguridad vial y accesibilidad universal del sistema de movilidad que permitan solucionar, evitar o reducir los efectos negativos de los desplazamientos de las personas y sus bienes, favoreciendo la calidad de vida de la ciudadanía y el cuidado al medio ambiente.</w:t>
      </w:r>
    </w:p>
    <w:p w:rsidR="00BC0FB8" w:rsidRPr="007257EC" w:rsidRDefault="00BC0FB8">
      <w:pPr>
        <w:spacing w:after="0" w:line="360" w:lineRule="auto"/>
      </w:pPr>
    </w:p>
    <w:p w:rsidR="00BC0FB8" w:rsidRPr="007257EC" w:rsidRDefault="00F03AF1">
      <w:pPr>
        <w:spacing w:after="0" w:line="360" w:lineRule="auto"/>
      </w:pPr>
      <w:r w:rsidRPr="007257EC">
        <w:t xml:space="preserve">En ese mismo orden de ideas el artículo 20 de la Ley en comento, refiere que, dentro de las </w:t>
      </w:r>
      <w:r w:rsidRPr="007257EC">
        <w:rPr>
          <w:b/>
        </w:rPr>
        <w:t>atribuciones de la Secretaría de Movilidad</w:t>
      </w:r>
      <w:r w:rsidRPr="007257EC">
        <w:t>, se encuentra el ordenar y realizar auditorías e inspecciones de movilidad y seguridad vial, dictámenes de factibilidad, estudios de impacto de movilidad.</w:t>
      </w:r>
    </w:p>
    <w:p w:rsidR="00BC0FB8" w:rsidRPr="007257EC" w:rsidRDefault="00BC0FB8">
      <w:pPr>
        <w:spacing w:after="0" w:line="360" w:lineRule="auto"/>
      </w:pPr>
    </w:p>
    <w:p w:rsidR="00BC0FB8" w:rsidRPr="007257EC" w:rsidRDefault="00F03AF1">
      <w:pPr>
        <w:spacing w:after="0" w:line="360" w:lineRule="auto"/>
      </w:pPr>
      <w:r w:rsidRPr="007257EC">
        <w:t>Por su parte el artículo 51 de la citada Ley refiere que las autoridades estatales y municipales deberán realizar estudios técnicos, económicos y sociales, incluyendo modelos de demanda, materiales, pavimentos, simulación de flujo peatonal y vehicular de los modos motorizados y no motorizados y de estimación de beneficios sociales y ambientales, con la finalidad de proponer planes, programas y proyectos de movilidad y seguridad vial, para garantizar la movilidad eficiente, segura y reducir las externalidades negativas en las vías.</w:t>
      </w:r>
    </w:p>
    <w:p w:rsidR="00BC0FB8" w:rsidRPr="007257EC" w:rsidRDefault="00BC0FB8">
      <w:pPr>
        <w:spacing w:after="0" w:line="360" w:lineRule="auto"/>
      </w:pPr>
    </w:p>
    <w:p w:rsidR="00BC0FB8" w:rsidRPr="007257EC" w:rsidRDefault="00F03AF1">
      <w:pPr>
        <w:spacing w:after="0" w:line="360" w:lineRule="auto"/>
        <w:rPr>
          <w:u w:val="single"/>
        </w:rPr>
      </w:pPr>
      <w:r w:rsidRPr="007257EC">
        <w:rPr>
          <w:u w:val="single"/>
        </w:rPr>
        <w:t>Lo anterior con la finalidad de proponer planes, programas y proyectos de movilidad y seguridad vial, para garantizar la movilidad eficiente, segura y reducir las externalidades negativas en las vías.</w:t>
      </w:r>
    </w:p>
    <w:p w:rsidR="00BC0FB8" w:rsidRPr="007257EC" w:rsidRDefault="00BC0FB8">
      <w:pPr>
        <w:spacing w:after="0" w:line="360" w:lineRule="auto"/>
        <w:rPr>
          <w:u w:val="single"/>
        </w:rPr>
      </w:pPr>
    </w:p>
    <w:p w:rsidR="00BC0FB8" w:rsidRPr="007257EC" w:rsidRDefault="00F03AF1">
      <w:pPr>
        <w:spacing w:after="0" w:line="360" w:lineRule="auto"/>
      </w:pPr>
      <w:r w:rsidRPr="007257EC">
        <w:lastRenderedPageBreak/>
        <w:t xml:space="preserve">Dentro del Reglamento Interno de la Secretaría de Movilidad,  en su artículo 7 fracción XXXI,  corresponde a la Secretaría de Movilidad del Estado de México y Municipios, aprobar y desarrollar los planes, </w:t>
      </w:r>
      <w:r w:rsidRPr="007257EC">
        <w:rPr>
          <w:b/>
          <w:u w:val="single"/>
        </w:rPr>
        <w:t>programas, proyectos, estrategias y acciones para la movilidad y seguridad vial,</w:t>
      </w:r>
      <w:r w:rsidRPr="007257EC">
        <w:t xml:space="preserve"> en conjunto con  el municipio, con prioridad en el uso del transporte público y los modos no motorizados, así como, el desarrollo del transporte y sus servicios conexos, infraestructura vial primaria y comunicaciones de jurisdicción local, incluyendo los relativos a sistemas de transporte masivo o de alta capacidad, así como vigilar su ejecución;</w:t>
      </w:r>
    </w:p>
    <w:p w:rsidR="00BC0FB8" w:rsidRPr="007257EC" w:rsidRDefault="00BC0FB8">
      <w:pPr>
        <w:spacing w:after="0" w:line="360" w:lineRule="auto"/>
      </w:pPr>
    </w:p>
    <w:p w:rsidR="00BC0FB8" w:rsidRPr="007257EC" w:rsidRDefault="00F03AF1">
      <w:pPr>
        <w:spacing w:after="0" w:line="360" w:lineRule="auto"/>
      </w:pPr>
      <w:r w:rsidRPr="007257EC">
        <w:t xml:space="preserve">En esa consecución de ideas el artículo 15 del Reglamento Interior de la </w:t>
      </w:r>
      <w:r w:rsidRPr="007257EC">
        <w:rPr>
          <w:b/>
        </w:rPr>
        <w:t>Secretaría de Movilidad</w:t>
      </w:r>
      <w:r w:rsidRPr="007257EC">
        <w:t xml:space="preserve"> refiere que corresponde a la Dirección General de Vialidad entre otras cosas promover la creación de ciclo vías y ciclo estacionamientos, e</w:t>
      </w:r>
      <w:r w:rsidRPr="007257EC">
        <w:rPr>
          <w:b/>
          <w:u w:val="single"/>
        </w:rPr>
        <w:t>n coordinación con las autoridades estatales y municipales</w:t>
      </w:r>
      <w:r w:rsidRPr="007257EC">
        <w:t xml:space="preserve">, así como valuar juntamente con autoridades federales, de otras entidades federativas, municipales, con los sectores social y privado, el avance de programas y proyectos, así como de ejecución de obras de infraestructura vial y para la movilidad, realizadas mediante convenios o acuerdos. </w:t>
      </w:r>
    </w:p>
    <w:p w:rsidR="00BC0FB8" w:rsidRPr="007257EC" w:rsidRDefault="00BC0FB8">
      <w:pPr>
        <w:spacing w:after="0" w:line="360" w:lineRule="auto"/>
      </w:pPr>
    </w:p>
    <w:p w:rsidR="00BC0FB8" w:rsidRPr="007257EC" w:rsidRDefault="00F03AF1">
      <w:pPr>
        <w:spacing w:after="0" w:line="360" w:lineRule="auto"/>
      </w:pPr>
      <w:r w:rsidRPr="007257EC">
        <w:t>En ese contexto el artículo 10 fracción XIV, del Reglamento en comento señala que la Subsecretaría, dentro de sus atribuciones de la Subsecretaría se encuentra el proponer mecanismos para incentivar la circulación de vehículos eficientes ambientalmente, establecer el marco normativo y programas correspondientes para su adecuada operación; así como instruir la implementación de su infraestructura vial y equipamiento necesario, en coordinación con las autoridades competentes.</w:t>
      </w:r>
    </w:p>
    <w:p w:rsidR="00BC0FB8" w:rsidRPr="007257EC" w:rsidRDefault="00BC0FB8">
      <w:pPr>
        <w:spacing w:after="0" w:line="360" w:lineRule="auto"/>
      </w:pPr>
    </w:p>
    <w:p w:rsidR="00BC0FB8" w:rsidRPr="007257EC" w:rsidRDefault="00F03AF1">
      <w:pPr>
        <w:spacing w:after="0" w:line="360" w:lineRule="auto"/>
      </w:pPr>
      <w:r w:rsidRPr="007257EC">
        <w:t>Además, este Instituto localizo dentro de la página oficial del Ayuntamiento de Toluca el comunicado número 781/2025 del veintitrés de junio de dos mil veinticinco,  emitido por el Sujeto Obligado en el cual precisa que el Gobierno municipal en colaboración con el Gobierno del Estado de México, a t</w:t>
      </w:r>
      <w:r w:rsidRPr="007257EC">
        <w:rPr>
          <w:b/>
        </w:rPr>
        <w:t xml:space="preserve">ravés de la Secretaría de Movilidad del Estado de México </w:t>
      </w:r>
      <w:r w:rsidRPr="007257EC">
        <w:t xml:space="preserve">dieron </w:t>
      </w:r>
      <w:r w:rsidRPr="007257EC">
        <w:lastRenderedPageBreak/>
        <w:t>inicio a la segunda etapa de la ciclo-vía en la avenida Isidro Fabela, vía que será clave para las y los ciclistas de la zona norte, quienes diariamente se desplazan hacia el sur, parques industriales y municipios aledaños.</w:t>
      </w:r>
    </w:p>
    <w:p w:rsidR="00BC0FB8" w:rsidRPr="007257EC" w:rsidRDefault="00BC0FB8">
      <w:pPr>
        <w:spacing w:after="0" w:line="360" w:lineRule="auto"/>
      </w:pPr>
    </w:p>
    <w:p w:rsidR="00BC0FB8" w:rsidRPr="007257EC" w:rsidRDefault="00F03AF1">
      <w:pPr>
        <w:spacing w:after="0" w:line="360" w:lineRule="auto"/>
      </w:pPr>
      <w:r w:rsidRPr="007257EC">
        <w:t xml:space="preserve">En ese orden de ideas el comunicado refiere que la </w:t>
      </w:r>
      <w:r w:rsidRPr="007257EC">
        <w:rPr>
          <w:b/>
        </w:rPr>
        <w:t>Secretaria de Movilidad del Estado de México, manifiesta que dicho proyecto es un parteaguas en la movilidad ciclista en la entidad,</w:t>
      </w:r>
      <w:r w:rsidRPr="007257EC">
        <w:t xml:space="preserve"> pues con la participación de la ciudadanía, colectivos y ciclistas, esta obra prioriza la movilidad activa y sustentable, pues el nuevo tramo tendrá una longitud de 1.90 kilómetros, beneficiaria a más de 226 mil personas, que contará con la construcción de un carril exclusivo para ciclistas, además se realizará la reconfiguración de los carriles vehiculares y se implementarán señalamientos para diferenciar la zona.</w:t>
      </w:r>
    </w:p>
    <w:p w:rsidR="00BC0FB8" w:rsidRPr="007257EC" w:rsidRDefault="00BC0FB8">
      <w:pPr>
        <w:spacing w:after="0" w:line="360" w:lineRule="auto"/>
      </w:pPr>
    </w:p>
    <w:p w:rsidR="00BC0FB8" w:rsidRPr="007257EC" w:rsidRDefault="00F03AF1">
      <w:pPr>
        <w:spacing w:after="0" w:line="360" w:lineRule="auto"/>
        <w:jc w:val="center"/>
      </w:pPr>
      <w:r w:rsidRPr="007257EC">
        <w:rPr>
          <w:noProof/>
        </w:rPr>
        <w:drawing>
          <wp:inline distT="0" distB="0" distL="0" distR="0">
            <wp:extent cx="4387423" cy="3330889"/>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14657" t="4624"/>
                    <a:stretch>
                      <a:fillRect/>
                    </a:stretch>
                  </pic:blipFill>
                  <pic:spPr>
                    <a:xfrm>
                      <a:off x="0" y="0"/>
                      <a:ext cx="4387423" cy="3330889"/>
                    </a:xfrm>
                    <a:prstGeom prst="rect">
                      <a:avLst/>
                    </a:prstGeom>
                    <a:ln/>
                  </pic:spPr>
                </pic:pic>
              </a:graphicData>
            </a:graphic>
          </wp:inline>
        </w:drawing>
      </w:r>
    </w:p>
    <w:p w:rsidR="00BC0FB8" w:rsidRPr="007257EC" w:rsidRDefault="00BC0FB8">
      <w:pPr>
        <w:spacing w:after="0" w:line="360" w:lineRule="auto"/>
        <w:jc w:val="center"/>
      </w:pPr>
    </w:p>
    <w:p w:rsidR="00BC0FB8" w:rsidRPr="007257EC" w:rsidRDefault="00BC0FB8">
      <w:pPr>
        <w:spacing w:after="0" w:line="360" w:lineRule="auto"/>
      </w:pPr>
    </w:p>
    <w:p w:rsidR="00BC0FB8" w:rsidRPr="007257EC" w:rsidRDefault="00F03AF1">
      <w:pPr>
        <w:spacing w:after="0" w:line="360" w:lineRule="auto"/>
      </w:pPr>
      <w:r w:rsidRPr="007257EC">
        <w:lastRenderedPageBreak/>
        <w:t xml:space="preserve">Así mismo, se localizó la nota periodística “Como son las </w:t>
      </w:r>
      <w:proofErr w:type="spellStart"/>
      <w:r w:rsidRPr="007257EC">
        <w:t>ciclovías</w:t>
      </w:r>
      <w:proofErr w:type="spellEnd"/>
      <w:r w:rsidRPr="007257EC">
        <w:t xml:space="preserve"> en Toluca”, (consultada en las liga electrónica </w:t>
      </w:r>
      <w:hyperlink r:id="rId11">
        <w:r w:rsidRPr="007257EC">
          <w:rPr>
            <w:color w:val="0000FF"/>
            <w:u w:val="single"/>
          </w:rPr>
          <w:t>https://adnoticias.mx/toluca-ciclovias-ciclistas/</w:t>
        </w:r>
      </w:hyperlink>
      <w:r w:rsidRPr="007257EC">
        <w:t xml:space="preserve"> tal como se muestra a continuación:</w:t>
      </w:r>
    </w:p>
    <w:p w:rsidR="00BC0FB8" w:rsidRPr="007257EC" w:rsidRDefault="00F03AF1">
      <w:pPr>
        <w:spacing w:after="0" w:line="360" w:lineRule="auto"/>
      </w:pPr>
      <w:r w:rsidRPr="007257EC">
        <w:rPr>
          <w:noProof/>
        </w:rPr>
        <w:drawing>
          <wp:inline distT="0" distB="0" distL="0" distR="0">
            <wp:extent cx="5671185" cy="1152525"/>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b="48068"/>
                    <a:stretch>
                      <a:fillRect/>
                    </a:stretch>
                  </pic:blipFill>
                  <pic:spPr>
                    <a:xfrm>
                      <a:off x="0" y="0"/>
                      <a:ext cx="5671185" cy="1152525"/>
                    </a:xfrm>
                    <a:prstGeom prst="rect">
                      <a:avLst/>
                    </a:prstGeom>
                    <a:ln/>
                  </pic:spPr>
                </pic:pic>
              </a:graphicData>
            </a:graphic>
          </wp:inline>
        </w:drawing>
      </w:r>
    </w:p>
    <w:p w:rsidR="00BC0FB8" w:rsidRPr="007257EC" w:rsidRDefault="00F03AF1">
      <w:pPr>
        <w:spacing w:after="0" w:line="360" w:lineRule="auto"/>
      </w:pPr>
      <w:r w:rsidRPr="007257EC">
        <w:rPr>
          <w:noProof/>
        </w:rPr>
        <w:drawing>
          <wp:inline distT="0" distB="0" distL="0" distR="0">
            <wp:extent cx="5671185" cy="1496695"/>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71185" cy="1496695"/>
                    </a:xfrm>
                    <a:prstGeom prst="rect">
                      <a:avLst/>
                    </a:prstGeom>
                    <a:ln/>
                  </pic:spPr>
                </pic:pic>
              </a:graphicData>
            </a:graphic>
          </wp:inline>
        </w:drawing>
      </w:r>
    </w:p>
    <w:p w:rsidR="00BC0FB8" w:rsidRPr="007257EC" w:rsidRDefault="00BC0FB8">
      <w:pPr>
        <w:spacing w:after="0" w:line="360" w:lineRule="auto"/>
      </w:pPr>
    </w:p>
    <w:p w:rsidR="00BC0FB8" w:rsidRPr="007257EC" w:rsidRDefault="00F03AF1">
      <w:pPr>
        <w:spacing w:after="0" w:line="360" w:lineRule="auto"/>
      </w:pPr>
      <w:r w:rsidRPr="007257EC">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7257EC">
        <w:rPr>
          <w:b/>
          <w:i/>
        </w:rPr>
        <w:t>NOTAS PERIODISTICAS, EL CONOCIMIENTO QUE DE ELLAS SE OBTIENE NO CONSTITUYE ‘UN HECHO PUBLICO Y NOTORIO’</w:t>
      </w:r>
      <w:r w:rsidRPr="007257EC">
        <w:rPr>
          <w:i/>
        </w:rPr>
        <w:t>”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r w:rsidRPr="007257EC">
        <w:t xml:space="preserve"> De tal situación, lo consignado en las notas periodísticas no constituye un hecho público o notorio, sino que es una opinión de su autor, por lo que sólo se pueden tomar como </w:t>
      </w:r>
      <w:r w:rsidRPr="007257EC">
        <w:rPr>
          <w:b/>
        </w:rPr>
        <w:t>indicios.</w:t>
      </w:r>
      <w:r w:rsidRPr="007257EC">
        <w:t xml:space="preserve"> </w:t>
      </w:r>
    </w:p>
    <w:p w:rsidR="00BC0FB8" w:rsidRPr="007257EC" w:rsidRDefault="00BC0FB8">
      <w:pPr>
        <w:spacing w:after="0" w:line="360" w:lineRule="auto"/>
      </w:pPr>
    </w:p>
    <w:p w:rsidR="00BC0FB8" w:rsidRPr="007257EC" w:rsidRDefault="00F03AF1">
      <w:pPr>
        <w:spacing w:after="0" w:line="360" w:lineRule="auto"/>
      </w:pPr>
      <w:r w:rsidRPr="007257EC">
        <w:t xml:space="preserve">En ese sentido, si bien de la nota periodística señalada, contiene información que guarda relación con lo solicitado, a saber, de las </w:t>
      </w:r>
      <w:proofErr w:type="spellStart"/>
      <w:r w:rsidRPr="007257EC">
        <w:t>ciclovías</w:t>
      </w:r>
      <w:proofErr w:type="spellEnd"/>
      <w:r w:rsidRPr="007257EC">
        <w:t xml:space="preserve"> en el Municipio, lo cierto es que no constituyen prueba plena, al ser una opinión privada realizada por parte de un particular; sin embargo, en el presente caso, sirven de indicio para robustecer lo encontrado en las redes sociales del Sujeto Obligado.</w:t>
      </w:r>
    </w:p>
    <w:p w:rsidR="00BC0FB8" w:rsidRPr="007257EC" w:rsidRDefault="00BC0FB8">
      <w:pPr>
        <w:spacing w:after="0" w:line="360" w:lineRule="auto"/>
      </w:pPr>
    </w:p>
    <w:p w:rsidR="00BC0FB8" w:rsidRPr="007257EC" w:rsidRDefault="00F03AF1">
      <w:pPr>
        <w:spacing w:after="0" w:line="360" w:lineRule="auto"/>
      </w:pPr>
      <w:r w:rsidRPr="007257EC">
        <w:t xml:space="preserve">Como se logra observar, el Ayuntamiento de Toluca </w:t>
      </w:r>
      <w:r w:rsidRPr="007257EC">
        <w:rPr>
          <w:color w:val="000000"/>
        </w:rPr>
        <w:t>es</w:t>
      </w:r>
      <w:r w:rsidRPr="007257EC">
        <w:t xml:space="preserve"> Sujeto Obligado distinto al que posee la información relativa al proyecto ejecutivo de las Ciclo-vías, por lo que la Secretaria de Movilidad del Estado de México y Municipios es el Ente Recurrido, que tiene su propia área competente, y se encuentran constreñido a proporcionar la documentación que obre en sus archivos.</w:t>
      </w:r>
    </w:p>
    <w:p w:rsidR="00BC0FB8" w:rsidRPr="007257EC" w:rsidRDefault="00BC0FB8">
      <w:pPr>
        <w:spacing w:after="0" w:line="360" w:lineRule="auto"/>
      </w:pPr>
    </w:p>
    <w:p w:rsidR="00BC0FB8" w:rsidRPr="007257EC" w:rsidRDefault="00F03AF1">
      <w:pPr>
        <w:spacing w:after="0" w:line="360" w:lineRule="auto"/>
        <w:jc w:val="center"/>
      </w:pPr>
      <w:r w:rsidRPr="007257EC">
        <w:rPr>
          <w:noProof/>
          <w:sz w:val="20"/>
          <w:szCs w:val="20"/>
        </w:rPr>
        <w:drawing>
          <wp:inline distT="0" distB="0" distL="0" distR="0">
            <wp:extent cx="5361507" cy="1458791"/>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361507" cy="1458791"/>
                    </a:xfrm>
                    <a:prstGeom prst="rect">
                      <a:avLst/>
                    </a:prstGeom>
                    <a:ln/>
                  </pic:spPr>
                </pic:pic>
              </a:graphicData>
            </a:graphic>
          </wp:inline>
        </w:drawing>
      </w:r>
    </w:p>
    <w:p w:rsidR="00BC0FB8" w:rsidRPr="007257EC" w:rsidRDefault="00BC0FB8">
      <w:pPr>
        <w:spacing w:after="0" w:line="360" w:lineRule="auto"/>
      </w:pPr>
    </w:p>
    <w:p w:rsidR="00BC0FB8" w:rsidRPr="007257EC" w:rsidRDefault="00F03AF1">
      <w:pPr>
        <w:spacing w:after="0" w:line="360" w:lineRule="auto"/>
        <w:rPr>
          <w:b/>
        </w:rPr>
      </w:pPr>
      <w:r w:rsidRPr="007257EC">
        <w:t xml:space="preserve">Conforme a lo expuesto, se considera que el Sujeto Obligado fue congruente con su respuesta, al señalar que no generaba y contaba con dicha documental que diera cuenta de lo solicitado, al carecer de atribuciones para conocer de lo requerido, pues el proyecto de las </w:t>
      </w:r>
      <w:proofErr w:type="spellStart"/>
      <w:r w:rsidRPr="007257EC">
        <w:t>ciclovías</w:t>
      </w:r>
      <w:proofErr w:type="spellEnd"/>
      <w:r w:rsidRPr="007257EC">
        <w:t xml:space="preserve"> es realizado por la Secretaría de Movilidad del Estado de México; por lo que, se concluye que el Ayuntamiento, </w:t>
      </w:r>
      <w:r w:rsidRPr="007257EC">
        <w:rPr>
          <w:b/>
        </w:rPr>
        <w:t xml:space="preserve">es notoriamente incompetente </w:t>
      </w:r>
      <w:r w:rsidRPr="007257EC">
        <w:t xml:space="preserve">para conocer de la solicitud de información, y, por lo tanto, el agravio del Recurrente deviene de </w:t>
      </w:r>
      <w:r w:rsidRPr="007257EC">
        <w:rPr>
          <w:b/>
        </w:rPr>
        <w:t>INFUNDADO.</w:t>
      </w:r>
    </w:p>
    <w:p w:rsidR="00BC0FB8" w:rsidRPr="007257EC" w:rsidRDefault="00BC0FB8">
      <w:pPr>
        <w:spacing w:after="0" w:line="360" w:lineRule="auto"/>
      </w:pPr>
    </w:p>
    <w:p w:rsidR="00BC0FB8" w:rsidRPr="007257EC" w:rsidRDefault="00BC0FB8">
      <w:pPr>
        <w:spacing w:after="0" w:line="360" w:lineRule="auto"/>
      </w:pPr>
    </w:p>
    <w:p w:rsidR="00BC0FB8" w:rsidRPr="007257EC" w:rsidRDefault="00F03AF1">
      <w:pPr>
        <w:pStyle w:val="Ttulo2"/>
        <w:spacing w:before="0" w:after="0" w:line="360" w:lineRule="auto"/>
        <w:rPr>
          <w:sz w:val="22"/>
          <w:szCs w:val="22"/>
        </w:rPr>
      </w:pPr>
      <w:bookmarkStart w:id="25" w:name="_heading=h.aylzjpw68zw2" w:colFirst="0" w:colLast="0"/>
      <w:bookmarkStart w:id="26" w:name="_Toc210317147"/>
      <w:bookmarkEnd w:id="25"/>
      <w:r w:rsidRPr="007257EC">
        <w:rPr>
          <w:sz w:val="22"/>
          <w:szCs w:val="22"/>
        </w:rPr>
        <w:t>SEXTO. Decisión</w:t>
      </w:r>
      <w:bookmarkEnd w:id="26"/>
    </w:p>
    <w:p w:rsidR="00BC0FB8" w:rsidRPr="007257EC" w:rsidRDefault="00BC0FB8">
      <w:pPr>
        <w:spacing w:after="0" w:line="360" w:lineRule="auto"/>
        <w:rPr>
          <w:b/>
        </w:rPr>
      </w:pPr>
    </w:p>
    <w:p w:rsidR="00BC0FB8" w:rsidRPr="007257EC" w:rsidRDefault="00F03AF1">
      <w:pPr>
        <w:spacing w:after="0" w:line="360" w:lineRule="auto"/>
      </w:pPr>
      <w:r w:rsidRPr="007257EC">
        <w:t xml:space="preserve">Con fundamento en el artículo 186, fracción II, de la Ley de Transparencia y Acceso a la Información Pública del Estado de México y Municipios, este Instituto considera procedente </w:t>
      </w:r>
      <w:r w:rsidRPr="007257EC">
        <w:rPr>
          <w:b/>
        </w:rPr>
        <w:t>CONFIRMAR</w:t>
      </w:r>
      <w:r w:rsidRPr="007257EC">
        <w:t xml:space="preserve"> la respuesta otorgada a la solicitud de información, toda vez que el Sujeto Obligado, no proporcionó la información requerida al señalar su incompetencia para conocer de la información,</w:t>
      </w:r>
    </w:p>
    <w:p w:rsidR="00BC0FB8" w:rsidRPr="007257EC" w:rsidRDefault="00BC0FB8">
      <w:pPr>
        <w:spacing w:after="0" w:line="360" w:lineRule="auto"/>
      </w:pPr>
    </w:p>
    <w:p w:rsidR="00BC0FB8" w:rsidRPr="007257EC" w:rsidRDefault="00F03AF1">
      <w:pPr>
        <w:spacing w:after="0" w:line="360" w:lineRule="auto"/>
        <w:rPr>
          <w:b/>
        </w:rPr>
      </w:pPr>
      <w:r w:rsidRPr="007257EC">
        <w:rPr>
          <w:b/>
        </w:rPr>
        <w:t>Términos de la Resolución para conocimiento del Particular</w:t>
      </w:r>
    </w:p>
    <w:p w:rsidR="00BC0FB8" w:rsidRPr="007257EC" w:rsidRDefault="00BC0FB8">
      <w:pPr>
        <w:spacing w:after="0" w:line="360" w:lineRule="auto"/>
        <w:rPr>
          <w:b/>
        </w:rPr>
      </w:pPr>
    </w:p>
    <w:p w:rsidR="00BC0FB8" w:rsidRPr="007257EC" w:rsidRDefault="00F03AF1">
      <w:pPr>
        <w:spacing w:after="0" w:line="360" w:lineRule="auto"/>
      </w:pPr>
      <w:r w:rsidRPr="007257EC">
        <w:t xml:space="preserve">Se le hace del conocimiento a la persona Recurrente o Particular, que, en el presente caso, no se le concede la razón, en virtud de que se tuvo por atendida su solicitud, ya que el Sujeto Obligado indico su incompetencia para conocer sobre la información solicitada, pues la </w:t>
      </w:r>
      <w:proofErr w:type="spellStart"/>
      <w:r w:rsidRPr="007257EC">
        <w:t>ciclovías</w:t>
      </w:r>
      <w:proofErr w:type="spellEnd"/>
      <w:r w:rsidRPr="007257EC">
        <w:t xml:space="preserve"> realizadas en el Municipio, son ejecutadas por la Secretaría de Movilidad.</w:t>
      </w:r>
    </w:p>
    <w:p w:rsidR="00BC0FB8" w:rsidRPr="007257EC" w:rsidRDefault="00BC0FB8">
      <w:pPr>
        <w:spacing w:after="0" w:line="360" w:lineRule="auto"/>
      </w:pPr>
    </w:p>
    <w:p w:rsidR="00BC0FB8" w:rsidRPr="007257EC" w:rsidRDefault="00F03AF1">
      <w:pPr>
        <w:spacing w:after="0" w:line="360" w:lineRule="auto"/>
      </w:pPr>
      <w:r w:rsidRPr="007257EC">
        <w:rPr>
          <w:color w:val="000000"/>
        </w:rPr>
        <w:t>Además, se le hace del conocimiento que se le dejan a salvo sus derechos, a efecto de que, si es de su interés, presente la solicitud de información nuevamente, ante la Secretaría de Movilidad del Estado de México y Municipios.</w:t>
      </w:r>
    </w:p>
    <w:p w:rsidR="00BC0FB8" w:rsidRPr="007257EC" w:rsidRDefault="00BC0FB8">
      <w:pPr>
        <w:spacing w:after="0" w:line="360" w:lineRule="auto"/>
      </w:pPr>
    </w:p>
    <w:p w:rsidR="00BC0FB8" w:rsidRPr="007257EC" w:rsidRDefault="00F03AF1">
      <w:pPr>
        <w:spacing w:after="0" w:line="360" w:lineRule="auto"/>
        <w:rPr>
          <w:color w:val="000000"/>
        </w:rPr>
      </w:pPr>
      <w:r w:rsidRPr="007257EC">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rsidR="00BC0FB8" w:rsidRPr="007257EC" w:rsidRDefault="00BC0FB8">
      <w:pPr>
        <w:spacing w:after="0" w:line="360" w:lineRule="auto"/>
      </w:pPr>
    </w:p>
    <w:p w:rsidR="00BC0FB8" w:rsidRPr="007257EC" w:rsidRDefault="00F03AF1">
      <w:pPr>
        <w:spacing w:after="0" w:line="360" w:lineRule="auto"/>
        <w:rPr>
          <w:color w:val="000000"/>
        </w:rPr>
      </w:pPr>
      <w:r w:rsidRPr="007257EC">
        <w:t>Por</w:t>
      </w:r>
      <w:r w:rsidRPr="007257EC">
        <w:rPr>
          <w:color w:val="000000"/>
        </w:rPr>
        <w:t xml:space="preserve"> lo expuesto y fundado, este Pleno:</w:t>
      </w:r>
    </w:p>
    <w:p w:rsidR="00BC0FB8" w:rsidRPr="007257EC" w:rsidRDefault="00BC0FB8">
      <w:pPr>
        <w:spacing w:after="0" w:line="360" w:lineRule="auto"/>
      </w:pPr>
    </w:p>
    <w:p w:rsidR="00BC0FB8" w:rsidRPr="007257EC" w:rsidRDefault="00F03AF1">
      <w:pPr>
        <w:pStyle w:val="Ttulo1"/>
        <w:spacing w:before="0" w:after="0" w:line="360" w:lineRule="auto"/>
        <w:jc w:val="center"/>
        <w:rPr>
          <w:sz w:val="22"/>
          <w:szCs w:val="22"/>
        </w:rPr>
      </w:pPr>
      <w:bookmarkStart w:id="27" w:name="_heading=h.xstlbh65weqj" w:colFirst="0" w:colLast="0"/>
      <w:bookmarkStart w:id="28" w:name="_Toc210317148"/>
      <w:bookmarkEnd w:id="27"/>
      <w:r w:rsidRPr="007257EC">
        <w:rPr>
          <w:sz w:val="22"/>
          <w:szCs w:val="22"/>
        </w:rPr>
        <w:lastRenderedPageBreak/>
        <w:t>R E S U E L V E</w:t>
      </w:r>
      <w:bookmarkEnd w:id="28"/>
    </w:p>
    <w:p w:rsidR="00BC0FB8" w:rsidRPr="007257EC" w:rsidRDefault="00BC0FB8">
      <w:pPr>
        <w:spacing w:after="0" w:line="360" w:lineRule="auto"/>
      </w:pPr>
    </w:p>
    <w:p w:rsidR="00BC0FB8" w:rsidRPr="007257EC" w:rsidRDefault="00F03AF1">
      <w:pPr>
        <w:spacing w:after="0" w:line="360" w:lineRule="auto"/>
      </w:pPr>
      <w:r w:rsidRPr="007257EC">
        <w:rPr>
          <w:b/>
        </w:rPr>
        <w:t xml:space="preserve">PRIMERO. </w:t>
      </w:r>
      <w:r w:rsidRPr="007257EC">
        <w:t xml:space="preserve">Se </w:t>
      </w:r>
      <w:r w:rsidRPr="007257EC">
        <w:rPr>
          <w:b/>
        </w:rPr>
        <w:t>CONFIRMA</w:t>
      </w:r>
      <w:r w:rsidRPr="007257EC">
        <w:t xml:space="preserve"> la respuesta entregada por el Ayuntamiento de Toluca, a la solicitud de información 03722/TOLUCA/IP/2025, por resultar </w:t>
      </w:r>
      <w:r w:rsidRPr="007257EC">
        <w:rPr>
          <w:b/>
        </w:rPr>
        <w:t>INFUNDADAS</w:t>
      </w:r>
      <w:r w:rsidRPr="007257EC">
        <w:t xml:space="preserve"> las razones o motivos de inconformidad hechos valer por la Particular, en términos de los considerandos QUINTO y SEXTO de la presente Resolución.</w:t>
      </w:r>
    </w:p>
    <w:p w:rsidR="00BC0FB8" w:rsidRPr="007257EC" w:rsidRDefault="00BC0FB8">
      <w:pPr>
        <w:spacing w:after="0" w:line="360" w:lineRule="auto"/>
      </w:pPr>
    </w:p>
    <w:p w:rsidR="00BC0FB8" w:rsidRPr="007257EC" w:rsidRDefault="00F03AF1">
      <w:pPr>
        <w:spacing w:after="0" w:line="360" w:lineRule="auto"/>
        <w:rPr>
          <w:b/>
          <w:color w:val="000000"/>
        </w:rPr>
      </w:pPr>
      <w:r w:rsidRPr="007257EC">
        <w:rPr>
          <w:b/>
          <w:color w:val="000000"/>
        </w:rPr>
        <w:t xml:space="preserve">SEGUNDO. NOTIFÍQUESE POR SAIMEX </w:t>
      </w:r>
      <w:r w:rsidRPr="007257EC">
        <w:rPr>
          <w:color w:val="000000"/>
        </w:rPr>
        <w:t>la presente Resolución, al Titular de la Unidad de Transparencia del Sujeto Obligado.</w:t>
      </w:r>
    </w:p>
    <w:p w:rsidR="00BC0FB8" w:rsidRPr="007257EC" w:rsidRDefault="00BC0FB8">
      <w:pPr>
        <w:spacing w:after="0" w:line="360" w:lineRule="auto"/>
        <w:rPr>
          <w:b/>
          <w:i/>
          <w:color w:val="000000"/>
        </w:rPr>
      </w:pPr>
    </w:p>
    <w:p w:rsidR="00BC0FB8" w:rsidRPr="007257EC" w:rsidRDefault="00F03AF1">
      <w:pPr>
        <w:spacing w:after="0" w:line="360" w:lineRule="auto"/>
        <w:rPr>
          <w:b/>
          <w:color w:val="000000"/>
        </w:rPr>
      </w:pPr>
      <w:r w:rsidRPr="007257EC">
        <w:rPr>
          <w:b/>
          <w:color w:val="000000"/>
        </w:rPr>
        <w:t xml:space="preserve">TERCERO. NOTIFÍQUESE POR SAIMEX </w:t>
      </w:r>
      <w:r w:rsidRPr="007257EC">
        <w:rPr>
          <w:color w:val="000000"/>
        </w:rPr>
        <w:t>a la persona Recurrente, la presente Resolución</w:t>
      </w:r>
      <w:r w:rsidRPr="007257EC">
        <w:t>,</w:t>
      </w:r>
      <w:r w:rsidRPr="007257EC">
        <w:rPr>
          <w:color w:val="000000"/>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C0FB8" w:rsidRPr="007257EC" w:rsidRDefault="00BC0FB8">
      <w:pPr>
        <w:spacing w:after="0" w:line="360" w:lineRule="auto"/>
        <w:rPr>
          <w:b/>
        </w:rPr>
      </w:pPr>
    </w:p>
    <w:p w:rsidR="00BC0FB8" w:rsidRDefault="00F03AF1">
      <w:pPr>
        <w:spacing w:after="0" w:line="360" w:lineRule="auto"/>
        <w:rPr>
          <w:b/>
        </w:rPr>
      </w:pPr>
      <w:r w:rsidRPr="007257EC">
        <w:t>ASÍ LO RESUELVE, POR </w:t>
      </w:r>
      <w:r w:rsidRPr="007257EC">
        <w:rPr>
          <w:b/>
        </w:rPr>
        <w:t>UNANIMIDAD</w:t>
      </w:r>
      <w:r w:rsidRPr="007257EC">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p>
    <w:p w:rsidR="00BC0FB8" w:rsidRDefault="00BC0FB8">
      <w:pPr>
        <w:spacing w:after="0" w:line="360" w:lineRule="auto"/>
        <w:ind w:right="-28"/>
        <w:rPr>
          <w:color w:val="000000"/>
        </w:rPr>
      </w:pPr>
    </w:p>
    <w:p w:rsidR="00BC0FB8" w:rsidRDefault="00BC0FB8">
      <w:pPr>
        <w:spacing w:after="0" w:line="360" w:lineRule="auto"/>
        <w:rPr>
          <w:b/>
        </w:rPr>
      </w:pPr>
    </w:p>
    <w:p w:rsidR="00BC0FB8" w:rsidRDefault="00BC0FB8">
      <w:pPr>
        <w:spacing w:after="0" w:line="360" w:lineRule="auto"/>
        <w:rPr>
          <w:b/>
        </w:rPr>
      </w:pPr>
    </w:p>
    <w:p w:rsidR="00BC0FB8" w:rsidRDefault="00BC0FB8">
      <w:pPr>
        <w:spacing w:after="0" w:line="360" w:lineRule="auto"/>
        <w:rPr>
          <w:color w:val="000000"/>
        </w:rPr>
      </w:pPr>
    </w:p>
    <w:p w:rsidR="00BC0FB8" w:rsidRDefault="00BC0FB8">
      <w:pPr>
        <w:spacing w:after="0" w:line="360" w:lineRule="auto"/>
        <w:rPr>
          <w:color w:val="000000"/>
        </w:rPr>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p>
    <w:p w:rsidR="00BC0FB8" w:rsidRDefault="00BC0FB8">
      <w:pPr>
        <w:spacing w:after="0" w:line="360" w:lineRule="auto"/>
      </w:pPr>
      <w:bookmarkStart w:id="29" w:name="_heading=h.vpmxpbkk804" w:colFirst="0" w:colLast="0"/>
      <w:bookmarkEnd w:id="29"/>
    </w:p>
    <w:p w:rsidR="00BC0FB8" w:rsidRDefault="00BC0FB8">
      <w:pPr>
        <w:spacing w:after="0" w:line="360" w:lineRule="auto"/>
      </w:pPr>
    </w:p>
    <w:p w:rsidR="00BC0FB8" w:rsidRDefault="00BC0FB8">
      <w:pPr>
        <w:spacing w:after="0" w:line="360" w:lineRule="auto"/>
        <w:rPr>
          <w:color w:val="000000"/>
        </w:rPr>
      </w:pPr>
    </w:p>
    <w:p w:rsidR="00BC0FB8" w:rsidRDefault="00BC0FB8">
      <w:pPr>
        <w:spacing w:after="0" w:line="360" w:lineRule="auto"/>
        <w:rPr>
          <w:color w:val="000000"/>
        </w:rPr>
      </w:pPr>
    </w:p>
    <w:p w:rsidR="00BC0FB8" w:rsidRDefault="00BC0FB8">
      <w:pPr>
        <w:tabs>
          <w:tab w:val="right" w:pos="8931"/>
        </w:tabs>
        <w:spacing w:after="0" w:line="360" w:lineRule="auto"/>
      </w:pPr>
    </w:p>
    <w:p w:rsidR="00BC0FB8" w:rsidRDefault="00BC0FB8">
      <w:pPr>
        <w:tabs>
          <w:tab w:val="right" w:pos="8931"/>
        </w:tabs>
        <w:spacing w:after="0" w:line="360" w:lineRule="auto"/>
      </w:pPr>
    </w:p>
    <w:p w:rsidR="00BC0FB8" w:rsidRDefault="00BC0FB8">
      <w:pPr>
        <w:spacing w:after="0" w:line="360" w:lineRule="auto"/>
      </w:pPr>
    </w:p>
    <w:p w:rsidR="00BC0FB8" w:rsidRDefault="00BC0FB8">
      <w:pPr>
        <w:spacing w:after="0" w:line="360" w:lineRule="auto"/>
      </w:pPr>
    </w:p>
    <w:sectPr w:rsidR="00BC0FB8">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2DC" w:rsidRDefault="005402DC">
      <w:pPr>
        <w:spacing w:after="0" w:line="240" w:lineRule="auto"/>
      </w:pPr>
      <w:r>
        <w:separator/>
      </w:r>
    </w:p>
  </w:endnote>
  <w:endnote w:type="continuationSeparator" w:id="0">
    <w:p w:rsidR="005402DC" w:rsidRDefault="00540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FB8" w:rsidRDefault="00F03AF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084E49">
      <w:rPr>
        <w:b/>
        <w:color w:val="000000"/>
        <w:sz w:val="24"/>
        <w:szCs w:val="24"/>
      </w:rPr>
      <w:fldChar w:fldCharType="separate"/>
    </w:r>
    <w:r w:rsidR="00084E49">
      <w:rPr>
        <w:b/>
        <w:noProof/>
        <w:color w:val="000000"/>
        <w:sz w:val="24"/>
        <w:szCs w:val="24"/>
      </w:rPr>
      <w:t>24</w:t>
    </w:r>
    <w:r>
      <w:rPr>
        <w:b/>
        <w:color w:val="000000"/>
        <w:sz w:val="24"/>
        <w:szCs w:val="24"/>
      </w:rPr>
      <w:fldChar w:fldCharType="end"/>
    </w:r>
  </w:p>
  <w:p w:rsidR="00BC0FB8" w:rsidRDefault="00BC0FB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FB8" w:rsidRDefault="00F03AF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84E49">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84E49">
      <w:rPr>
        <w:b/>
        <w:noProof/>
        <w:color w:val="000000"/>
        <w:sz w:val="24"/>
        <w:szCs w:val="24"/>
      </w:rPr>
      <w:t>24</w:t>
    </w:r>
    <w:r>
      <w:rPr>
        <w:b/>
        <w:color w:val="000000"/>
        <w:sz w:val="24"/>
        <w:szCs w:val="24"/>
      </w:rPr>
      <w:fldChar w:fldCharType="end"/>
    </w:r>
  </w:p>
  <w:p w:rsidR="00BC0FB8" w:rsidRDefault="00BC0FB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FB8" w:rsidRDefault="00F03AF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84E4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84E49">
      <w:rPr>
        <w:b/>
        <w:noProof/>
        <w:color w:val="000000"/>
        <w:sz w:val="24"/>
        <w:szCs w:val="24"/>
      </w:rPr>
      <w:t>24</w:t>
    </w:r>
    <w:r>
      <w:rPr>
        <w:b/>
        <w:color w:val="000000"/>
        <w:sz w:val="24"/>
        <w:szCs w:val="24"/>
      </w:rPr>
      <w:fldChar w:fldCharType="end"/>
    </w:r>
  </w:p>
  <w:p w:rsidR="00BC0FB8" w:rsidRDefault="00BC0FB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2DC" w:rsidRDefault="005402DC">
      <w:pPr>
        <w:spacing w:after="0" w:line="240" w:lineRule="auto"/>
      </w:pPr>
      <w:r>
        <w:separator/>
      </w:r>
    </w:p>
  </w:footnote>
  <w:footnote w:type="continuationSeparator" w:id="0">
    <w:p w:rsidR="005402DC" w:rsidRDefault="00540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FB8" w:rsidRDefault="00BC0FB8">
    <w:pPr>
      <w:widowControl w:val="0"/>
      <w:pBdr>
        <w:top w:val="nil"/>
        <w:left w:val="nil"/>
        <w:bottom w:val="nil"/>
        <w:right w:val="nil"/>
        <w:between w:val="nil"/>
      </w:pBdr>
      <w:spacing w:after="0" w:line="276" w:lineRule="auto"/>
      <w:jc w:val="left"/>
      <w:rPr>
        <w:color w:val="000000"/>
      </w:rPr>
    </w:pPr>
  </w:p>
  <w:tbl>
    <w:tblPr>
      <w:tblStyle w:val="a5"/>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BC0FB8">
      <w:trPr>
        <w:trHeight w:val="132"/>
      </w:trPr>
      <w:tc>
        <w:tcPr>
          <w:tcW w:w="0" w:type="auto"/>
        </w:tcPr>
        <w:p w:rsidR="00BC0FB8" w:rsidRDefault="00F03AF1">
          <w:pPr>
            <w:tabs>
              <w:tab w:val="right" w:pos="8838"/>
            </w:tabs>
            <w:ind w:right="-105"/>
            <w:rPr>
              <w:b/>
            </w:rPr>
          </w:pPr>
          <w:r>
            <w:rPr>
              <w:b/>
            </w:rPr>
            <w:t>Recurso de Revisión:</w:t>
          </w:r>
        </w:p>
      </w:tc>
      <w:tc>
        <w:tcPr>
          <w:tcW w:w="0" w:type="auto"/>
        </w:tcPr>
        <w:p w:rsidR="00BC0FB8" w:rsidRDefault="00F03AF1">
          <w:pPr>
            <w:tabs>
              <w:tab w:val="right" w:pos="8838"/>
            </w:tabs>
            <w:ind w:left="-28" w:right="-32"/>
          </w:pPr>
          <w:r>
            <w:t>03846/INFOEM/IP/RR/2020</w:t>
          </w:r>
        </w:p>
      </w:tc>
    </w:tr>
    <w:tr w:rsidR="00BC0FB8">
      <w:trPr>
        <w:trHeight w:val="261"/>
      </w:trPr>
      <w:tc>
        <w:tcPr>
          <w:tcW w:w="0" w:type="auto"/>
        </w:tcPr>
        <w:p w:rsidR="00BC0FB8" w:rsidRDefault="00F03AF1">
          <w:pPr>
            <w:tabs>
              <w:tab w:val="right" w:pos="8838"/>
            </w:tabs>
            <w:ind w:right="-105"/>
            <w:rPr>
              <w:b/>
            </w:rPr>
          </w:pPr>
          <w:r>
            <w:rPr>
              <w:b/>
            </w:rPr>
            <w:t>Sujeto Obligado:</w:t>
          </w:r>
        </w:p>
      </w:tc>
      <w:tc>
        <w:tcPr>
          <w:tcW w:w="0" w:type="auto"/>
        </w:tcPr>
        <w:p w:rsidR="00BC0FB8" w:rsidRDefault="00F03AF1">
          <w:pPr>
            <w:tabs>
              <w:tab w:val="right" w:pos="8838"/>
            </w:tabs>
            <w:ind w:right="-32"/>
          </w:pPr>
          <w:r>
            <w:t xml:space="preserve">Ayuntamiento de </w:t>
          </w:r>
          <w:proofErr w:type="spellStart"/>
          <w:r>
            <w:t>Temascalcingo</w:t>
          </w:r>
          <w:proofErr w:type="spellEnd"/>
        </w:p>
      </w:tc>
    </w:tr>
    <w:tr w:rsidR="00BC0FB8">
      <w:trPr>
        <w:trHeight w:val="261"/>
      </w:trPr>
      <w:tc>
        <w:tcPr>
          <w:tcW w:w="0" w:type="auto"/>
        </w:tcPr>
        <w:p w:rsidR="00BC0FB8" w:rsidRDefault="00F03AF1">
          <w:pPr>
            <w:tabs>
              <w:tab w:val="right" w:pos="8838"/>
            </w:tabs>
            <w:ind w:right="-105"/>
            <w:rPr>
              <w:b/>
            </w:rPr>
          </w:pPr>
          <w:r>
            <w:rPr>
              <w:b/>
            </w:rPr>
            <w:t>Comisionado Ponente:</w:t>
          </w:r>
        </w:p>
      </w:tc>
      <w:tc>
        <w:tcPr>
          <w:tcW w:w="0" w:type="auto"/>
        </w:tcPr>
        <w:p w:rsidR="00BC0FB8" w:rsidRDefault="00F03AF1">
          <w:pPr>
            <w:tabs>
              <w:tab w:val="right" w:pos="8838"/>
            </w:tabs>
            <w:ind w:right="-32"/>
            <w:rPr>
              <w:b/>
            </w:rPr>
          </w:pPr>
          <w:r>
            <w:t>Luis Gustavo Parra Noriega</w:t>
          </w:r>
        </w:p>
      </w:tc>
    </w:tr>
  </w:tbl>
  <w:p w:rsidR="00BC0FB8" w:rsidRDefault="005402DC">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FB8" w:rsidRDefault="005402DC">
    <w:pPr>
      <w:widowControl w:val="0"/>
      <w:pBdr>
        <w:top w:val="nil"/>
        <w:left w:val="nil"/>
        <w:bottom w:val="nil"/>
        <w:right w:val="nil"/>
        <w:between w:val="nil"/>
      </w:pBdr>
      <w:spacing w:after="0" w:line="276" w:lineRule="auto"/>
      <w:jc w:val="left"/>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6"/>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BC0FB8">
      <w:trPr>
        <w:trHeight w:val="138"/>
      </w:trPr>
      <w:tc>
        <w:tcPr>
          <w:tcW w:w="2693" w:type="dxa"/>
          <w:vAlign w:val="center"/>
        </w:tcPr>
        <w:p w:rsidR="00BC0FB8" w:rsidRDefault="00BC0FB8">
          <w:pPr>
            <w:tabs>
              <w:tab w:val="right" w:pos="8838"/>
            </w:tabs>
            <w:ind w:left="-108" w:right="-105"/>
            <w:jc w:val="left"/>
            <w:rPr>
              <w:b/>
            </w:rPr>
          </w:pPr>
        </w:p>
        <w:p w:rsidR="00BC0FB8" w:rsidRDefault="00F03AF1">
          <w:pPr>
            <w:tabs>
              <w:tab w:val="right" w:pos="8838"/>
            </w:tabs>
            <w:ind w:left="-108" w:right="-105"/>
            <w:jc w:val="left"/>
            <w:rPr>
              <w:b/>
            </w:rPr>
          </w:pPr>
          <w:r>
            <w:rPr>
              <w:b/>
            </w:rPr>
            <w:t>Recurso de Revisión:</w:t>
          </w:r>
        </w:p>
      </w:tc>
      <w:tc>
        <w:tcPr>
          <w:tcW w:w="3969" w:type="dxa"/>
        </w:tcPr>
        <w:p w:rsidR="00BC0FB8" w:rsidRDefault="00BC0FB8">
          <w:pPr>
            <w:tabs>
              <w:tab w:val="right" w:pos="8838"/>
            </w:tabs>
            <w:ind w:right="57"/>
          </w:pPr>
        </w:p>
        <w:p w:rsidR="00BC0FB8" w:rsidRDefault="00F03AF1">
          <w:pPr>
            <w:tabs>
              <w:tab w:val="right" w:pos="8838"/>
            </w:tabs>
            <w:ind w:right="57"/>
          </w:pPr>
          <w:r>
            <w:t>08941/INFOEM/IP/RR/2025</w:t>
          </w:r>
        </w:p>
      </w:tc>
    </w:tr>
    <w:tr w:rsidR="00BC0FB8">
      <w:trPr>
        <w:trHeight w:val="273"/>
      </w:trPr>
      <w:tc>
        <w:tcPr>
          <w:tcW w:w="2693" w:type="dxa"/>
        </w:tcPr>
        <w:p w:rsidR="00BC0FB8" w:rsidRDefault="00F03AF1">
          <w:pPr>
            <w:tabs>
              <w:tab w:val="right" w:pos="8838"/>
            </w:tabs>
            <w:ind w:left="-108" w:right="-105"/>
            <w:rPr>
              <w:b/>
            </w:rPr>
          </w:pPr>
          <w:r>
            <w:rPr>
              <w:b/>
            </w:rPr>
            <w:t>Sujeto Obligado:</w:t>
          </w:r>
        </w:p>
      </w:tc>
      <w:tc>
        <w:tcPr>
          <w:tcW w:w="3969" w:type="dxa"/>
        </w:tcPr>
        <w:p w:rsidR="00BC0FB8" w:rsidRDefault="00F03AF1">
          <w:pPr>
            <w:tabs>
              <w:tab w:val="right" w:pos="8838"/>
            </w:tabs>
            <w:ind w:right="180"/>
          </w:pPr>
          <w:r>
            <w:t>Ayuntamiento de Toluca</w:t>
          </w:r>
        </w:p>
      </w:tc>
    </w:tr>
    <w:tr w:rsidR="00BC0FB8">
      <w:trPr>
        <w:trHeight w:val="273"/>
      </w:trPr>
      <w:tc>
        <w:tcPr>
          <w:tcW w:w="2693" w:type="dxa"/>
        </w:tcPr>
        <w:p w:rsidR="00BC0FB8" w:rsidRDefault="00F03AF1">
          <w:pPr>
            <w:tabs>
              <w:tab w:val="right" w:pos="8838"/>
            </w:tabs>
            <w:ind w:left="-108" w:right="-105"/>
            <w:rPr>
              <w:b/>
            </w:rPr>
          </w:pPr>
          <w:r>
            <w:rPr>
              <w:b/>
            </w:rPr>
            <w:t>Comisionado Ponente:</w:t>
          </w:r>
        </w:p>
      </w:tc>
      <w:tc>
        <w:tcPr>
          <w:tcW w:w="3969" w:type="dxa"/>
        </w:tcPr>
        <w:p w:rsidR="00BC0FB8" w:rsidRDefault="00F03AF1">
          <w:pPr>
            <w:tabs>
              <w:tab w:val="right" w:pos="8838"/>
            </w:tabs>
            <w:ind w:right="-170"/>
          </w:pPr>
          <w:r>
            <w:t>Luis Gustavo Parra Noriega</w:t>
          </w:r>
        </w:p>
        <w:p w:rsidR="00BC0FB8" w:rsidRDefault="00BC0FB8">
          <w:pPr>
            <w:tabs>
              <w:tab w:val="right" w:pos="8838"/>
            </w:tabs>
            <w:ind w:right="-170"/>
            <w:rPr>
              <w:b/>
            </w:rPr>
          </w:pPr>
        </w:p>
      </w:tc>
    </w:tr>
  </w:tbl>
  <w:p w:rsidR="00BC0FB8" w:rsidRDefault="00BC0FB8">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FB8" w:rsidRDefault="00BC0FB8">
    <w:pPr>
      <w:widowControl w:val="0"/>
      <w:pBdr>
        <w:top w:val="nil"/>
        <w:left w:val="nil"/>
        <w:bottom w:val="nil"/>
        <w:right w:val="nil"/>
        <w:between w:val="nil"/>
      </w:pBdr>
      <w:spacing w:after="0" w:line="276" w:lineRule="auto"/>
      <w:jc w:val="left"/>
      <w:rPr>
        <w:color w:val="000000"/>
      </w:rPr>
    </w:pPr>
  </w:p>
  <w:tbl>
    <w:tblPr>
      <w:tblStyle w:val="a7"/>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BC0FB8">
      <w:trPr>
        <w:trHeight w:val="132"/>
      </w:trPr>
      <w:tc>
        <w:tcPr>
          <w:tcW w:w="2551" w:type="dxa"/>
        </w:tcPr>
        <w:p w:rsidR="00BC0FB8" w:rsidRDefault="00F03AF1">
          <w:pPr>
            <w:tabs>
              <w:tab w:val="right" w:pos="8838"/>
            </w:tabs>
            <w:ind w:right="-105"/>
            <w:rPr>
              <w:b/>
            </w:rPr>
          </w:pPr>
          <w:r>
            <w:rPr>
              <w:b/>
            </w:rPr>
            <w:t>Recurso de Revisión:</w:t>
          </w:r>
        </w:p>
      </w:tc>
      <w:tc>
        <w:tcPr>
          <w:tcW w:w="4253" w:type="dxa"/>
        </w:tcPr>
        <w:p w:rsidR="00BC0FB8" w:rsidRDefault="00F03AF1">
          <w:r>
            <w:t>08941/INFOEM/IP/RR/2025</w:t>
          </w:r>
        </w:p>
      </w:tc>
    </w:tr>
    <w:tr w:rsidR="00BC0FB8">
      <w:trPr>
        <w:trHeight w:val="132"/>
      </w:trPr>
      <w:tc>
        <w:tcPr>
          <w:tcW w:w="2551" w:type="dxa"/>
        </w:tcPr>
        <w:p w:rsidR="00BC0FB8" w:rsidRDefault="00F03AF1">
          <w:pPr>
            <w:tabs>
              <w:tab w:val="left" w:pos="1875"/>
            </w:tabs>
            <w:ind w:right="-105"/>
            <w:rPr>
              <w:b/>
            </w:rPr>
          </w:pPr>
          <w:r>
            <w:rPr>
              <w:b/>
            </w:rPr>
            <w:t>Recurrente:</w:t>
          </w:r>
          <w:r>
            <w:rPr>
              <w:b/>
            </w:rPr>
            <w:tab/>
          </w:r>
        </w:p>
      </w:tc>
      <w:tc>
        <w:tcPr>
          <w:tcW w:w="4253" w:type="dxa"/>
        </w:tcPr>
        <w:p w:rsidR="00BC0FB8" w:rsidRDefault="00BC0FB8">
          <w:pPr>
            <w:tabs>
              <w:tab w:val="right" w:pos="8838"/>
            </w:tabs>
            <w:ind w:right="-250"/>
          </w:pPr>
        </w:p>
      </w:tc>
    </w:tr>
    <w:tr w:rsidR="00BC0FB8">
      <w:trPr>
        <w:trHeight w:val="261"/>
      </w:trPr>
      <w:tc>
        <w:tcPr>
          <w:tcW w:w="2551" w:type="dxa"/>
        </w:tcPr>
        <w:p w:rsidR="00BC0FB8" w:rsidRDefault="00F03AF1">
          <w:pPr>
            <w:tabs>
              <w:tab w:val="right" w:pos="8838"/>
            </w:tabs>
            <w:ind w:right="-105"/>
            <w:rPr>
              <w:b/>
            </w:rPr>
          </w:pPr>
          <w:r>
            <w:rPr>
              <w:b/>
            </w:rPr>
            <w:t>Sujeto Obligado:</w:t>
          </w:r>
        </w:p>
      </w:tc>
      <w:tc>
        <w:tcPr>
          <w:tcW w:w="4253" w:type="dxa"/>
        </w:tcPr>
        <w:p w:rsidR="00BC0FB8" w:rsidRDefault="00F03AF1">
          <w:r>
            <w:t>Ayuntamiento de Toluca</w:t>
          </w:r>
        </w:p>
      </w:tc>
    </w:tr>
    <w:tr w:rsidR="00BC0FB8">
      <w:trPr>
        <w:trHeight w:val="261"/>
      </w:trPr>
      <w:tc>
        <w:tcPr>
          <w:tcW w:w="2551" w:type="dxa"/>
        </w:tcPr>
        <w:p w:rsidR="00BC0FB8" w:rsidRDefault="00F03AF1">
          <w:pPr>
            <w:tabs>
              <w:tab w:val="right" w:pos="8838"/>
            </w:tabs>
            <w:ind w:right="-105"/>
            <w:rPr>
              <w:b/>
            </w:rPr>
          </w:pPr>
          <w:r>
            <w:rPr>
              <w:b/>
            </w:rPr>
            <w:t>Comisionado Ponente:</w:t>
          </w:r>
        </w:p>
      </w:tc>
      <w:tc>
        <w:tcPr>
          <w:tcW w:w="4253" w:type="dxa"/>
        </w:tcPr>
        <w:p w:rsidR="00BC0FB8" w:rsidRDefault="00F03AF1">
          <w:pPr>
            <w:tabs>
              <w:tab w:val="right" w:pos="8838"/>
            </w:tabs>
            <w:ind w:right="-32"/>
            <w:rPr>
              <w:b/>
            </w:rPr>
          </w:pPr>
          <w:r>
            <w:t>Luis Gustavo Parra Noriega</w:t>
          </w:r>
        </w:p>
      </w:tc>
    </w:tr>
  </w:tbl>
  <w:p w:rsidR="00BC0FB8" w:rsidRDefault="005402DC">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D262E"/>
    <w:multiLevelType w:val="multilevel"/>
    <w:tmpl w:val="FEA80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EC7D3B"/>
    <w:multiLevelType w:val="multilevel"/>
    <w:tmpl w:val="13EED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5B38CF"/>
    <w:multiLevelType w:val="multilevel"/>
    <w:tmpl w:val="1C6CC09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62C75D8"/>
    <w:multiLevelType w:val="multilevel"/>
    <w:tmpl w:val="61E02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337B99"/>
    <w:multiLevelType w:val="multilevel"/>
    <w:tmpl w:val="BC908F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B8"/>
    <w:rsid w:val="00084E49"/>
    <w:rsid w:val="00395EAD"/>
    <w:rsid w:val="00452773"/>
    <w:rsid w:val="005402DC"/>
    <w:rsid w:val="007257EC"/>
    <w:rsid w:val="00BC0FB8"/>
    <w:rsid w:val="00EF7B9D"/>
    <w:rsid w:val="00F03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0B58255-9EB0-4DAF-9862-33BF42FF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4">
    <w:name w:val="4"/>
    <w:basedOn w:val="TableNormal2"/>
    <w:pPr>
      <w:spacing w:after="0" w:line="240" w:lineRule="auto"/>
    </w:pPr>
    <w:tblPr>
      <w:tblStyleRowBandSize w:val="1"/>
      <w:tblStyleColBandSize w:val="1"/>
      <w:tblCellMar>
        <w:left w:w="108" w:type="dxa"/>
        <w:right w:w="108" w:type="dxa"/>
      </w:tblCellMar>
    </w:tblPr>
  </w:style>
  <w:style w:type="table" w:customStyle="1" w:styleId="3">
    <w:name w:val="3"/>
    <w:basedOn w:val="TableNormal2"/>
    <w:pPr>
      <w:spacing w:after="0" w:line="240" w:lineRule="auto"/>
    </w:pPr>
    <w:tblPr>
      <w:tblStyleRowBandSize w:val="1"/>
      <w:tblStyleColBandSize w:val="1"/>
      <w:tblCellMar>
        <w:left w:w="108" w:type="dxa"/>
        <w:right w:w="108" w:type="dxa"/>
      </w:tblCellMar>
    </w:tblPr>
  </w:style>
  <w:style w:type="table" w:customStyle="1" w:styleId="2">
    <w:name w:val="2"/>
    <w:basedOn w:val="TableNormal2"/>
    <w:pPr>
      <w:spacing w:after="0" w:line="240" w:lineRule="auto"/>
    </w:pPr>
    <w:tblPr>
      <w:tblStyleRowBandSize w:val="1"/>
      <w:tblStyleColBandSize w:val="1"/>
      <w:tblCellMar>
        <w:left w:w="108" w:type="dxa"/>
        <w:right w:w="108" w:type="dxa"/>
      </w:tblCellMar>
    </w:tblPr>
  </w:style>
  <w:style w:type="table" w:customStyle="1" w:styleId="1">
    <w:name w:val="1"/>
    <w:basedOn w:val="TableNormal2"/>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noticias.mx/toluca-ciclovias-ciclista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brtKz0swJ3zBZb+Xnahl4XlTEA==">CgMxLjAyDmguMTZlbHZxYnY1Mm1qMg5oLjN1bDBoMDQ2anN3czINaC5iYWFscDhpbXc2ZDIOaC5ycmI0bXBva3JwZDYyDmguemI4cWMyYTllZ3BzMg5oLjc0M3A1dmN2ajAxdDIOaC42MHlzdDV5Z3poM2IyDmguMzRoZmd5YjBkb3BhMgloLjMwajB6bGwyDWguM3FnZmI2anJndmEyDWgubmozcjI3a3FzeWUyDmguZ3JrZGozeXZ5ZjFsMg5oLmR2MHVzZno0YW0yYjIOaC5heWx6anB3Njh6dzIyDmgueHN0bGJoNjV3ZXFqMg1oLnZwbXhwYmtrODA0OAByITFRYnpXaVloY09TV2phdjV1V014VWZrODN5NzRlV1dY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9C734C-54DE-4B54-9AE0-91961216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5575</Words>
  <Characters>30666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2025-10-03T16:05:00Z</cp:lastPrinted>
  <dcterms:created xsi:type="dcterms:W3CDTF">2025-10-03T16:05:00Z</dcterms:created>
  <dcterms:modified xsi:type="dcterms:W3CDTF">2025-10-03T16:05:00Z</dcterms:modified>
</cp:coreProperties>
</file>