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06537B" w:rsidRDefault="00A077F4">
      <w:pPr>
        <w:tabs>
          <w:tab w:val="left" w:pos="3465"/>
        </w:tabs>
        <w:spacing w:line="360" w:lineRule="auto"/>
        <w:ind w:right="-787"/>
        <w:jc w:val="both"/>
        <w:rPr>
          <w:rFonts w:ascii="Palatino Linotype" w:eastAsia="Palatino Linotype" w:hAnsi="Palatino Linotype" w:cs="Palatino Linotype"/>
          <w:b/>
        </w:rPr>
      </w:pPr>
      <w:r w:rsidRPr="0006537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6537B">
        <w:rPr>
          <w:rFonts w:ascii="Palatino Linotype" w:eastAsia="Palatino Linotype" w:hAnsi="Palatino Linotype" w:cs="Palatino Linotype"/>
          <w:b/>
        </w:rPr>
        <w:t xml:space="preserve">de fecha </w:t>
      </w:r>
      <w:r w:rsidR="0028403B" w:rsidRPr="0006537B">
        <w:rPr>
          <w:rFonts w:ascii="Palatino Linotype" w:eastAsia="Palatino Linotype" w:hAnsi="Palatino Linotype" w:cs="Palatino Linotype"/>
          <w:b/>
        </w:rPr>
        <w:t>dieciséis (16</w:t>
      </w:r>
      <w:r w:rsidR="004C5179" w:rsidRPr="0006537B">
        <w:rPr>
          <w:rFonts w:ascii="Palatino Linotype" w:eastAsia="Palatino Linotype" w:hAnsi="Palatino Linotype" w:cs="Palatino Linotype"/>
          <w:b/>
        </w:rPr>
        <w:t>) de julio</w:t>
      </w:r>
      <w:r w:rsidRPr="0006537B">
        <w:rPr>
          <w:rFonts w:ascii="Palatino Linotype" w:eastAsia="Palatino Linotype" w:hAnsi="Palatino Linotype" w:cs="Palatino Linotype"/>
          <w:b/>
        </w:rPr>
        <w:t xml:space="preserve"> de dos mil veinticinco.</w:t>
      </w:r>
    </w:p>
    <w:p w:rsidR="0072148B" w:rsidRPr="0006537B" w:rsidRDefault="0072148B">
      <w:pPr>
        <w:tabs>
          <w:tab w:val="left" w:pos="3465"/>
        </w:tabs>
        <w:spacing w:line="360" w:lineRule="auto"/>
        <w:ind w:right="-787"/>
        <w:jc w:val="both"/>
        <w:rPr>
          <w:rFonts w:ascii="Palatino Linotype" w:eastAsia="Palatino Linotype" w:hAnsi="Palatino Linotype" w:cs="Palatino Linotype"/>
        </w:rPr>
      </w:pPr>
    </w:p>
    <w:p w:rsidR="0072148B" w:rsidRPr="0006537B" w:rsidRDefault="00A077F4">
      <w:pPr>
        <w:spacing w:line="360" w:lineRule="auto"/>
        <w:ind w:right="-787"/>
        <w:jc w:val="both"/>
        <w:rPr>
          <w:rFonts w:ascii="Palatino Linotype" w:eastAsia="Palatino Linotype" w:hAnsi="Palatino Linotype" w:cs="Palatino Linotype"/>
        </w:rPr>
      </w:pPr>
      <w:r w:rsidRPr="0006537B">
        <w:rPr>
          <w:rFonts w:ascii="Palatino Linotype" w:eastAsia="Palatino Linotype" w:hAnsi="Palatino Linotype" w:cs="Palatino Linotype"/>
          <w:b/>
        </w:rPr>
        <w:t xml:space="preserve">VISTAS </w:t>
      </w:r>
      <w:r w:rsidRPr="0006537B">
        <w:rPr>
          <w:rFonts w:ascii="Palatino Linotype" w:eastAsia="Palatino Linotype" w:hAnsi="Palatino Linotype" w:cs="Palatino Linotype"/>
        </w:rPr>
        <w:t xml:space="preserve">las constancias para resolver </w:t>
      </w:r>
      <w:r w:rsidR="002C4BEC" w:rsidRPr="0006537B">
        <w:rPr>
          <w:rFonts w:ascii="Palatino Linotype" w:eastAsia="Palatino Linotype" w:hAnsi="Palatino Linotype" w:cs="Palatino Linotype"/>
          <w:color w:val="000000"/>
        </w:rPr>
        <w:t>el Recurso</w:t>
      </w:r>
      <w:r w:rsidRPr="0006537B">
        <w:rPr>
          <w:rFonts w:ascii="Palatino Linotype" w:eastAsia="Palatino Linotype" w:hAnsi="Palatino Linotype" w:cs="Palatino Linotype"/>
          <w:color w:val="000000"/>
        </w:rPr>
        <w:t xml:space="preserve"> de Revisión </w:t>
      </w:r>
      <w:r w:rsidR="006C1591" w:rsidRPr="0006537B">
        <w:rPr>
          <w:rFonts w:ascii="Palatino Linotype" w:eastAsia="Palatino Linotype" w:hAnsi="Palatino Linotype" w:cs="Palatino Linotype"/>
          <w:b/>
          <w:color w:val="000000"/>
        </w:rPr>
        <w:t>02773</w:t>
      </w:r>
      <w:r w:rsidRPr="0006537B">
        <w:rPr>
          <w:rFonts w:ascii="Palatino Linotype" w:eastAsia="Palatino Linotype" w:hAnsi="Palatino Linotype" w:cs="Palatino Linotype"/>
          <w:b/>
          <w:color w:val="000000"/>
        </w:rPr>
        <w:t>/INFOEM/IP/RR/2025</w:t>
      </w:r>
      <w:r w:rsidR="002C4BEC" w:rsidRPr="0006537B">
        <w:rPr>
          <w:rFonts w:ascii="Palatino Linotype" w:eastAsia="Palatino Linotype" w:hAnsi="Palatino Linotype" w:cs="Palatino Linotype"/>
          <w:color w:val="000000"/>
        </w:rPr>
        <w:t>, promovido</w:t>
      </w:r>
      <w:r w:rsidRPr="0006537B">
        <w:rPr>
          <w:rFonts w:ascii="Palatino Linotype" w:eastAsia="Palatino Linotype" w:hAnsi="Palatino Linotype" w:cs="Palatino Linotype"/>
          <w:color w:val="000000"/>
        </w:rPr>
        <w:t xml:space="preserve"> por </w:t>
      </w:r>
      <w:r w:rsidR="00B95873" w:rsidRPr="0006537B">
        <w:rPr>
          <w:rFonts w:ascii="Palatino Linotype" w:eastAsia="Palatino Linotype" w:hAnsi="Palatino Linotype" w:cs="Palatino Linotype"/>
          <w:color w:val="000000"/>
        </w:rPr>
        <w:t xml:space="preserve">una persona </w:t>
      </w:r>
      <w:r w:rsidR="006C1591" w:rsidRPr="0006537B">
        <w:rPr>
          <w:rFonts w:ascii="Palatino Linotype" w:eastAsia="Palatino Linotype" w:hAnsi="Palatino Linotype" w:cs="Palatino Linotype"/>
          <w:color w:val="000000"/>
        </w:rPr>
        <w:t>de</w:t>
      </w:r>
      <w:r w:rsidR="00B95873" w:rsidRPr="0006537B">
        <w:rPr>
          <w:rFonts w:ascii="Palatino Linotype" w:eastAsia="Palatino Linotype" w:hAnsi="Palatino Linotype" w:cs="Palatino Linotype"/>
          <w:color w:val="000000"/>
        </w:rPr>
        <w:t xml:space="preserve"> registró </w:t>
      </w:r>
      <w:r w:rsidR="006C1591" w:rsidRPr="0006537B">
        <w:rPr>
          <w:rFonts w:ascii="Palatino Linotype" w:eastAsia="Palatino Linotype" w:hAnsi="Palatino Linotype" w:cs="Palatino Linotype"/>
          <w:color w:val="000000"/>
        </w:rPr>
        <w:t xml:space="preserve">bajo el nombre de </w:t>
      </w:r>
      <w:r w:rsidR="00120E42">
        <w:rPr>
          <w:rFonts w:ascii="Palatino Linotype" w:eastAsia="Palatino Linotype" w:hAnsi="Palatino Linotype" w:cs="Palatino Linotype"/>
          <w:b/>
          <w:color w:val="000000"/>
        </w:rPr>
        <w:t>XXXX</w:t>
      </w:r>
      <w:r w:rsidRPr="0006537B">
        <w:rPr>
          <w:rFonts w:ascii="Palatino Linotype" w:eastAsia="Palatino Linotype" w:hAnsi="Palatino Linotype" w:cs="Palatino Linotype"/>
          <w:color w:val="000000"/>
        </w:rPr>
        <w:t>,</w:t>
      </w:r>
      <w:r w:rsidRPr="0006537B">
        <w:rPr>
          <w:rFonts w:ascii="Palatino Linotype" w:eastAsia="Palatino Linotype" w:hAnsi="Palatino Linotype" w:cs="Palatino Linotype"/>
        </w:rPr>
        <w:t xml:space="preserve"> en lo sucesivo </w:t>
      </w:r>
      <w:r w:rsidRPr="0006537B">
        <w:rPr>
          <w:rFonts w:ascii="Palatino Linotype" w:eastAsia="Palatino Linotype" w:hAnsi="Palatino Linotype" w:cs="Palatino Linotype"/>
          <w:b/>
        </w:rPr>
        <w:t>EL RECURRENTE</w:t>
      </w:r>
      <w:r w:rsidRPr="0006537B">
        <w:rPr>
          <w:rFonts w:ascii="Palatino Linotype" w:eastAsia="Palatino Linotype" w:hAnsi="Palatino Linotype" w:cs="Palatino Linotype"/>
        </w:rPr>
        <w:t>, en contr</w:t>
      </w:r>
      <w:r w:rsidR="002C4BEC" w:rsidRPr="0006537B">
        <w:rPr>
          <w:rFonts w:ascii="Palatino Linotype" w:eastAsia="Palatino Linotype" w:hAnsi="Palatino Linotype" w:cs="Palatino Linotype"/>
        </w:rPr>
        <w:t>a de la resp</w:t>
      </w:r>
      <w:bookmarkStart w:id="0" w:name="_GoBack"/>
      <w:bookmarkEnd w:id="0"/>
      <w:r w:rsidR="002C4BEC" w:rsidRPr="0006537B">
        <w:rPr>
          <w:rFonts w:ascii="Palatino Linotype" w:eastAsia="Palatino Linotype" w:hAnsi="Palatino Linotype" w:cs="Palatino Linotype"/>
        </w:rPr>
        <w:t>uesta otorgada a la solicitud</w:t>
      </w:r>
      <w:r w:rsidRPr="0006537B">
        <w:rPr>
          <w:rFonts w:ascii="Palatino Linotype" w:eastAsia="Palatino Linotype" w:hAnsi="Palatino Linotype" w:cs="Palatino Linotype"/>
        </w:rPr>
        <w:t xml:space="preserve"> de información </w:t>
      </w:r>
      <w:r w:rsidR="00A069EB" w:rsidRPr="0006537B">
        <w:rPr>
          <w:rFonts w:ascii="Palatino Linotype" w:eastAsia="Palatino Linotype" w:hAnsi="Palatino Linotype" w:cs="Palatino Linotype"/>
          <w:b/>
        </w:rPr>
        <w:t>00031/MATEOATE/IP/2025</w:t>
      </w:r>
      <w:r w:rsidRPr="0006537B">
        <w:rPr>
          <w:rFonts w:ascii="Palatino Linotype" w:eastAsia="Palatino Linotype" w:hAnsi="Palatino Linotype" w:cs="Palatino Linotype"/>
        </w:rPr>
        <w:t xml:space="preserve">, por parte del </w:t>
      </w:r>
      <w:r w:rsidR="00A069EB" w:rsidRPr="0006537B">
        <w:rPr>
          <w:rFonts w:ascii="Palatino Linotype" w:eastAsia="Palatino Linotype" w:hAnsi="Palatino Linotype" w:cs="Palatino Linotype"/>
          <w:b/>
        </w:rPr>
        <w:t>Ayuntamiento de San Mateo Atenco</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 xml:space="preserve">en adelante el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 se emite la presente resolución con base en los siguientes:</w:t>
      </w: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06537B">
        <w:rPr>
          <w:rFonts w:ascii="Palatino Linotype" w:eastAsia="Palatino Linotype" w:hAnsi="Palatino Linotype" w:cs="Palatino Linotype"/>
          <w:b/>
          <w:color w:val="000000"/>
          <w:sz w:val="24"/>
          <w:szCs w:val="24"/>
        </w:rPr>
        <w:t>A N T E C E D E N T E S</w:t>
      </w:r>
    </w:p>
    <w:p w:rsidR="0072148B" w:rsidRPr="0006537B"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06537B"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El </w:t>
      </w:r>
      <w:r w:rsidR="00A069EB" w:rsidRPr="0006537B">
        <w:rPr>
          <w:rFonts w:ascii="Palatino Linotype" w:eastAsia="Palatino Linotype" w:hAnsi="Palatino Linotype" w:cs="Palatino Linotype"/>
          <w:b/>
          <w:color w:val="000000"/>
        </w:rPr>
        <w:t>cinco</w:t>
      </w:r>
      <w:r w:rsidR="0049478E" w:rsidRPr="0006537B">
        <w:rPr>
          <w:rFonts w:ascii="Palatino Linotype" w:eastAsia="Palatino Linotype" w:hAnsi="Palatino Linotype" w:cs="Palatino Linotype"/>
          <w:b/>
          <w:color w:val="000000"/>
        </w:rPr>
        <w:t xml:space="preserve"> de febrero</w:t>
      </w:r>
      <w:r w:rsidRPr="0006537B">
        <w:rPr>
          <w:rFonts w:ascii="Palatino Linotype" w:eastAsia="Palatino Linotype" w:hAnsi="Palatino Linotype" w:cs="Palatino Linotype"/>
          <w:b/>
          <w:color w:val="000000"/>
        </w:rPr>
        <w:t xml:space="preserve"> de dos mil veinticinco</w:t>
      </w:r>
      <w:r w:rsidRPr="0006537B">
        <w:rPr>
          <w:rFonts w:ascii="Palatino Linotype" w:eastAsia="Palatino Linotype" w:hAnsi="Palatino Linotype" w:cs="Palatino Linotype"/>
          <w:color w:val="000000"/>
        </w:rPr>
        <w:t>,</w:t>
      </w:r>
      <w:r w:rsidRPr="0006537B">
        <w:rPr>
          <w:rFonts w:ascii="Palatino Linotype" w:eastAsia="Palatino Linotype" w:hAnsi="Palatino Linotype" w:cs="Palatino Linotype"/>
          <w:b/>
          <w:color w:val="000000"/>
        </w:rPr>
        <w:t xml:space="preserve"> </w:t>
      </w:r>
      <w:r w:rsidRPr="0006537B">
        <w:rPr>
          <w:rFonts w:ascii="Palatino Linotype" w:eastAsia="Palatino Linotype" w:hAnsi="Palatino Linotype" w:cs="Palatino Linotype"/>
          <w:color w:val="000000"/>
        </w:rPr>
        <w:t>se presentó ante el Sujeto Obligado vía Sistema de Acceso a la Información Mex</w:t>
      </w:r>
      <w:r w:rsidR="002C4BEC" w:rsidRPr="0006537B">
        <w:rPr>
          <w:rFonts w:ascii="Palatino Linotype" w:eastAsia="Palatino Linotype" w:hAnsi="Palatino Linotype" w:cs="Palatino Linotype"/>
          <w:color w:val="000000"/>
        </w:rPr>
        <w:t xml:space="preserve">iquense, en adelante SAIMEX, la siguiente solicitud </w:t>
      </w:r>
      <w:r w:rsidRPr="0006537B">
        <w:rPr>
          <w:rFonts w:ascii="Palatino Linotype" w:eastAsia="Palatino Linotype" w:hAnsi="Palatino Linotype" w:cs="Palatino Linotype"/>
          <w:color w:val="000000"/>
        </w:rPr>
        <w:t>de información pública:</w:t>
      </w:r>
    </w:p>
    <w:p w:rsidR="0072148B" w:rsidRPr="0006537B"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72148B" w:rsidRPr="0006537B" w:rsidRDefault="002C4BEC" w:rsidP="0049478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 xml:space="preserve"> </w:t>
      </w:r>
      <w:r w:rsidR="00223B24" w:rsidRPr="0006537B">
        <w:rPr>
          <w:rFonts w:ascii="Palatino Linotype" w:eastAsia="Palatino Linotype" w:hAnsi="Palatino Linotype" w:cs="Palatino Linotype"/>
          <w:i/>
          <w:color w:val="000000"/>
        </w:rPr>
        <w:t>“</w:t>
      </w:r>
      <w:r w:rsidR="00B06822" w:rsidRPr="0006537B">
        <w:rPr>
          <w:rFonts w:ascii="Palatino Linotype" w:eastAsia="Palatino Linotype" w:hAnsi="Palatino Linotype" w:cs="Palatino Linotype"/>
          <w:i/>
          <w:color w:val="000000"/>
        </w:rPr>
        <w:t>SOLICITO LAS NOMINAS,Y RECIBOS DE HONORARIOS FIRMADAS DE LA PRIMERA Y SEGUNDA Q UINCENA DE ENERO DE 2025 DE TODOS Y CADA UNO DE LOS DIRECTORES, COOORDINADORES, SUBDIRECTORES, DIRECTORES DE ORGANISMOS AUXILIARES, ORGANISMOS AUTONOMOS, Y JEFES DE DEPARTAMENTO DEL H. AYUNTAMIENTO DE SAN MATEO ATENCO.</w:t>
      </w:r>
      <w:r w:rsidR="00223B24" w:rsidRPr="0006537B">
        <w:rPr>
          <w:rFonts w:ascii="Palatino Linotype" w:eastAsia="Palatino Linotype" w:hAnsi="Palatino Linotype" w:cs="Palatino Linotype"/>
          <w:i/>
          <w:color w:val="000000"/>
        </w:rPr>
        <w:t>” (Sic)</w:t>
      </w:r>
    </w:p>
    <w:p w:rsidR="00223B24" w:rsidRPr="0006537B" w:rsidRDefault="00223B24" w:rsidP="00EF157F">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06537B"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Se eligió como modalidad de entrega de la información: A través del </w:t>
      </w:r>
      <w:r w:rsidRPr="0006537B">
        <w:rPr>
          <w:rFonts w:ascii="Palatino Linotype" w:eastAsia="Palatino Linotype" w:hAnsi="Palatino Linotype" w:cs="Palatino Linotype"/>
          <w:b/>
          <w:color w:val="000000"/>
        </w:rPr>
        <w:t>SAIMEX.</w:t>
      </w:r>
    </w:p>
    <w:p w:rsidR="009B2185" w:rsidRPr="0006537B" w:rsidRDefault="009B2185" w:rsidP="009B2185">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06537B"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El</w:t>
      </w:r>
      <w:r w:rsidRPr="0006537B">
        <w:rPr>
          <w:rFonts w:ascii="Palatino Linotype" w:eastAsia="Palatino Linotype" w:hAnsi="Palatino Linotype" w:cs="Palatino Linotype"/>
          <w:b/>
          <w:color w:val="000000"/>
        </w:rPr>
        <w:t xml:space="preserve"> </w:t>
      </w:r>
      <w:r w:rsidR="00B06822" w:rsidRPr="0006537B">
        <w:rPr>
          <w:rFonts w:ascii="Palatino Linotype" w:eastAsia="Palatino Linotype" w:hAnsi="Palatino Linotype" w:cs="Palatino Linotype"/>
          <w:b/>
          <w:color w:val="000000"/>
        </w:rPr>
        <w:t>veintiséis de febrero</w:t>
      </w:r>
      <w:r w:rsidRPr="0006537B">
        <w:rPr>
          <w:rFonts w:ascii="Palatino Linotype" w:eastAsia="Palatino Linotype" w:hAnsi="Palatino Linotype" w:cs="Palatino Linotype"/>
          <w:b/>
          <w:color w:val="000000"/>
        </w:rPr>
        <w:t xml:space="preserve"> de dos mil veinticinco</w:t>
      </w:r>
      <w:r w:rsidRPr="0006537B">
        <w:rPr>
          <w:rFonts w:ascii="Palatino Linotype" w:eastAsia="Palatino Linotype" w:hAnsi="Palatino Linotype" w:cs="Palatino Linotype"/>
          <w:color w:val="000000"/>
        </w:rPr>
        <w:t>, el Sujeto Obligado</w:t>
      </w:r>
      <w:r w:rsidRPr="0006537B">
        <w:rPr>
          <w:rFonts w:ascii="Palatino Linotype" w:eastAsia="Palatino Linotype" w:hAnsi="Palatino Linotype" w:cs="Palatino Linotype"/>
          <w:b/>
          <w:color w:val="000000"/>
        </w:rPr>
        <w:t>,</w:t>
      </w:r>
      <w:r w:rsidRPr="0006537B">
        <w:rPr>
          <w:rFonts w:ascii="Palatino Linotype" w:eastAsia="Palatino Linotype" w:hAnsi="Palatino Linotype" w:cs="Palatino Linotype"/>
          <w:color w:val="000000"/>
        </w:rPr>
        <w:t xml:space="preserve"> dio </w:t>
      </w:r>
      <w:r w:rsidRPr="0006537B">
        <w:rPr>
          <w:rFonts w:ascii="Palatino Linotype" w:eastAsia="Palatino Linotype" w:hAnsi="Palatino Linotype" w:cs="Palatino Linotype"/>
          <w:b/>
          <w:color w:val="000000"/>
        </w:rPr>
        <w:t>respuesta</w:t>
      </w:r>
      <w:r w:rsidRPr="0006537B">
        <w:rPr>
          <w:rFonts w:ascii="Palatino Linotype" w:eastAsia="Palatino Linotype" w:hAnsi="Palatino Linotype" w:cs="Palatino Linotype"/>
          <w:color w:val="000000"/>
        </w:rPr>
        <w:t xml:space="preserve"> a través </w:t>
      </w:r>
      <w:r w:rsidR="00B06822" w:rsidRPr="0006537B">
        <w:rPr>
          <w:rFonts w:ascii="Palatino Linotype" w:eastAsia="Palatino Linotype" w:hAnsi="Palatino Linotype" w:cs="Palatino Linotype"/>
          <w:color w:val="000000"/>
        </w:rPr>
        <w:t>del siguiente archivo electrónico</w:t>
      </w:r>
      <w:r w:rsidRPr="0006537B">
        <w:rPr>
          <w:rFonts w:ascii="Palatino Linotype" w:eastAsia="Palatino Linotype" w:hAnsi="Palatino Linotype" w:cs="Palatino Linotype"/>
          <w:b/>
          <w:i/>
          <w:color w:val="000000"/>
        </w:rPr>
        <w:t>:</w:t>
      </w:r>
    </w:p>
    <w:p w:rsidR="00391D31" w:rsidRPr="0006537B" w:rsidRDefault="00391D31" w:rsidP="00391D31">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B7C68" w:rsidRPr="0006537B" w:rsidRDefault="00391D31"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06537B">
        <w:rPr>
          <w:rFonts w:ascii="Palatino Linotype" w:eastAsia="Palatino Linotype" w:hAnsi="Palatino Linotype" w:cs="Palatino Linotype"/>
          <w:b/>
          <w:i/>
          <w:color w:val="000000"/>
        </w:rPr>
        <w:lastRenderedPageBreak/>
        <w:t>UT 126_TURNO 0031.pdf</w:t>
      </w:r>
    </w:p>
    <w:p w:rsidR="00391D31" w:rsidRPr="0006537B" w:rsidRDefault="003E48E0"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 </w:t>
      </w:r>
      <w:r w:rsidR="00391D31" w:rsidRPr="0006537B">
        <w:rPr>
          <w:rFonts w:ascii="Palatino Linotype" w:eastAsia="Palatino Linotype" w:hAnsi="Palatino Linotype" w:cs="Palatino Linotype"/>
          <w:color w:val="000000"/>
        </w:rPr>
        <w:t>Oficio  SMA/UIPPET/UT/0126/2025 de fecha 26 de febrero de 2025, firmado por la Jefa de la Unidad de Transparencia</w:t>
      </w:r>
      <w:r w:rsidRPr="0006537B">
        <w:rPr>
          <w:rFonts w:ascii="Palatino Linotype" w:eastAsia="Palatino Linotype" w:hAnsi="Palatino Linotype" w:cs="Palatino Linotype"/>
          <w:color w:val="000000"/>
        </w:rPr>
        <w:t xml:space="preserve"> a través del cual adjunta la respuesta emitida por el área competente.</w:t>
      </w:r>
    </w:p>
    <w:p w:rsidR="003E48E0" w:rsidRPr="0006537B" w:rsidRDefault="003E48E0"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3E48E0" w:rsidRPr="0006537B" w:rsidRDefault="003E48E0" w:rsidP="003E48E0">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 Oficio SMA/RH/0251/2025 de fecha 20 de febrero de 2025, firmado por el Jefe de Departamento de Recursos Humanos, a través del cual refiere que la información solicitada contiene información privada y datos concernientes a una persona física o </w:t>
      </w:r>
      <w:r w:rsidR="008F0F39" w:rsidRPr="0006537B">
        <w:rPr>
          <w:rFonts w:ascii="Palatino Linotype" w:eastAsia="Palatino Linotype" w:hAnsi="Palatino Linotype" w:cs="Palatino Linotype"/>
          <w:color w:val="000000"/>
        </w:rPr>
        <w:t>jurídica</w:t>
      </w:r>
      <w:r w:rsidRPr="0006537B">
        <w:rPr>
          <w:rFonts w:ascii="Palatino Linotype" w:eastAsia="Palatino Linotype" w:hAnsi="Palatino Linotype" w:cs="Palatino Linotype"/>
          <w:color w:val="000000"/>
        </w:rPr>
        <w:t xml:space="preserve"> colectiva identificada o identificable, la cual se encuentra clasificada como confidencial.</w:t>
      </w:r>
    </w:p>
    <w:p w:rsidR="003E48E0" w:rsidRPr="0006537B" w:rsidRDefault="003E48E0" w:rsidP="00391D31">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391D31" w:rsidRPr="0006537B" w:rsidRDefault="00391D31" w:rsidP="008F0F39">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72148B" w:rsidRPr="0006537B" w:rsidRDefault="00A077F4"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El</w:t>
      </w:r>
      <w:r w:rsidRPr="0006537B">
        <w:rPr>
          <w:rFonts w:ascii="Palatino Linotype" w:eastAsia="Palatino Linotype" w:hAnsi="Palatino Linotype" w:cs="Palatino Linotype"/>
          <w:b/>
          <w:color w:val="000000"/>
        </w:rPr>
        <w:t xml:space="preserve"> </w:t>
      </w:r>
      <w:r w:rsidR="00463AA6" w:rsidRPr="0006537B">
        <w:rPr>
          <w:rFonts w:ascii="Palatino Linotype" w:eastAsia="Palatino Linotype" w:hAnsi="Palatino Linotype" w:cs="Palatino Linotype"/>
          <w:b/>
          <w:color w:val="000000"/>
        </w:rPr>
        <w:t>once</w:t>
      </w:r>
      <w:r w:rsidR="00A42B65" w:rsidRPr="0006537B">
        <w:rPr>
          <w:rFonts w:ascii="Palatino Linotype" w:eastAsia="Palatino Linotype" w:hAnsi="Palatino Linotype" w:cs="Palatino Linotype"/>
          <w:b/>
          <w:color w:val="000000"/>
        </w:rPr>
        <w:t xml:space="preserve"> de marzo</w:t>
      </w:r>
      <w:r w:rsidRPr="0006537B">
        <w:rPr>
          <w:rFonts w:ascii="Palatino Linotype" w:eastAsia="Palatino Linotype" w:hAnsi="Palatino Linotype" w:cs="Palatino Linotype"/>
          <w:b/>
          <w:color w:val="000000"/>
        </w:rPr>
        <w:t xml:space="preserve"> de dos mil veinticinco</w:t>
      </w:r>
      <w:r w:rsidRPr="0006537B">
        <w:rPr>
          <w:rFonts w:ascii="Palatino Linotype" w:eastAsia="Palatino Linotype" w:hAnsi="Palatino Linotype" w:cs="Palatino Linotype"/>
          <w:color w:val="000000"/>
        </w:rPr>
        <w:t xml:space="preserve">, el particular interpuso </w:t>
      </w:r>
      <w:r w:rsidR="00E30A06" w:rsidRPr="0006537B">
        <w:rPr>
          <w:rFonts w:ascii="Palatino Linotype" w:eastAsia="Palatino Linotype" w:hAnsi="Palatino Linotype" w:cs="Palatino Linotype"/>
          <w:color w:val="000000"/>
        </w:rPr>
        <w:t xml:space="preserve">el </w:t>
      </w:r>
      <w:r w:rsidR="00E30A06" w:rsidRPr="0006537B">
        <w:rPr>
          <w:rFonts w:ascii="Palatino Linotype" w:eastAsia="Palatino Linotype" w:hAnsi="Palatino Linotype" w:cs="Palatino Linotype"/>
          <w:b/>
          <w:color w:val="000000"/>
        </w:rPr>
        <w:t>recurso</w:t>
      </w:r>
      <w:r w:rsidRPr="0006537B">
        <w:rPr>
          <w:rFonts w:ascii="Palatino Linotype" w:eastAsia="Palatino Linotype" w:hAnsi="Palatino Linotype" w:cs="Palatino Linotype"/>
          <w:b/>
          <w:color w:val="000000"/>
        </w:rPr>
        <w:t xml:space="preserve"> de revisión</w:t>
      </w:r>
      <w:r w:rsidRPr="0006537B">
        <w:rPr>
          <w:rFonts w:ascii="Palatino Linotype" w:eastAsia="Palatino Linotype" w:hAnsi="Palatino Linotype" w:cs="Palatino Linotype"/>
          <w:color w:val="000000"/>
        </w:rPr>
        <w:t xml:space="preserve"> a</w:t>
      </w:r>
      <w:r w:rsidR="00E30A06" w:rsidRPr="0006537B">
        <w:rPr>
          <w:rFonts w:ascii="Palatino Linotype" w:eastAsia="Palatino Linotype" w:hAnsi="Palatino Linotype" w:cs="Palatino Linotype"/>
          <w:color w:val="000000"/>
        </w:rPr>
        <w:t>l</w:t>
      </w:r>
      <w:r w:rsidRPr="0006537B">
        <w:rPr>
          <w:rFonts w:ascii="Palatino Linotype" w:eastAsia="Palatino Linotype" w:hAnsi="Palatino Linotype" w:cs="Palatino Linotype"/>
          <w:color w:val="000000"/>
        </w:rPr>
        <w:t xml:space="preserve"> </w:t>
      </w:r>
      <w:r w:rsidR="00E30A06" w:rsidRPr="0006537B">
        <w:rPr>
          <w:rFonts w:ascii="Palatino Linotype" w:eastAsia="Palatino Linotype" w:hAnsi="Palatino Linotype" w:cs="Palatino Linotype"/>
          <w:color w:val="000000"/>
        </w:rPr>
        <w:t>que se le</w:t>
      </w:r>
      <w:r w:rsidRPr="0006537B">
        <w:rPr>
          <w:rFonts w:ascii="Palatino Linotype" w:eastAsia="Palatino Linotype" w:hAnsi="Palatino Linotype" w:cs="Palatino Linotype"/>
          <w:color w:val="000000"/>
        </w:rPr>
        <w:t xml:space="preserve"> </w:t>
      </w:r>
      <w:r w:rsidR="00E30A06" w:rsidRPr="0006537B">
        <w:rPr>
          <w:rFonts w:ascii="Palatino Linotype" w:eastAsia="Palatino Linotype" w:hAnsi="Palatino Linotype" w:cs="Palatino Linotype"/>
          <w:color w:val="000000"/>
        </w:rPr>
        <w:t>asignó</w:t>
      </w:r>
      <w:r w:rsidRPr="0006537B">
        <w:rPr>
          <w:rFonts w:ascii="Palatino Linotype" w:eastAsia="Palatino Linotype" w:hAnsi="Palatino Linotype" w:cs="Palatino Linotype"/>
          <w:color w:val="000000"/>
        </w:rPr>
        <w:t xml:space="preserve"> </w:t>
      </w:r>
      <w:r w:rsidR="00E30A06" w:rsidRPr="0006537B">
        <w:rPr>
          <w:rFonts w:ascii="Palatino Linotype" w:eastAsia="Palatino Linotype" w:hAnsi="Palatino Linotype" w:cs="Palatino Linotype"/>
          <w:color w:val="000000"/>
        </w:rPr>
        <w:t>el folio</w:t>
      </w:r>
      <w:r w:rsidRPr="0006537B">
        <w:rPr>
          <w:rFonts w:ascii="Palatino Linotype" w:eastAsia="Palatino Linotype" w:hAnsi="Palatino Linotype" w:cs="Palatino Linotype"/>
          <w:color w:val="000000"/>
        </w:rPr>
        <w:t xml:space="preserve"> </w:t>
      </w:r>
      <w:r w:rsidR="00463AA6" w:rsidRPr="0006537B">
        <w:rPr>
          <w:rFonts w:ascii="Palatino Linotype" w:eastAsia="Palatino Linotype" w:hAnsi="Palatino Linotype" w:cs="Palatino Linotype"/>
          <w:b/>
          <w:color w:val="000000"/>
        </w:rPr>
        <w:t>02773</w:t>
      </w:r>
      <w:r w:rsidR="00E30A06" w:rsidRPr="0006537B">
        <w:rPr>
          <w:rFonts w:ascii="Palatino Linotype" w:eastAsia="Palatino Linotype" w:hAnsi="Palatino Linotype" w:cs="Palatino Linotype"/>
          <w:b/>
          <w:color w:val="000000"/>
        </w:rPr>
        <w:t>/INFOEM/IP/RR/2025</w:t>
      </w:r>
      <w:r w:rsidRPr="0006537B">
        <w:rPr>
          <w:rFonts w:ascii="Palatino Linotype" w:eastAsia="Palatino Linotype" w:hAnsi="Palatino Linotype" w:cs="Palatino Linotype"/>
          <w:b/>
          <w:color w:val="000000"/>
        </w:rPr>
        <w:t xml:space="preserve"> </w:t>
      </w:r>
      <w:r w:rsidRPr="0006537B">
        <w:rPr>
          <w:rFonts w:ascii="Palatino Linotype" w:eastAsia="Palatino Linotype" w:hAnsi="Palatino Linotype" w:cs="Palatino Linotype"/>
          <w:color w:val="000000"/>
        </w:rPr>
        <w:t xml:space="preserve">en contra de </w:t>
      </w:r>
      <w:r w:rsidR="00E30A06" w:rsidRPr="0006537B">
        <w:rPr>
          <w:rFonts w:ascii="Palatino Linotype" w:eastAsia="Palatino Linotype" w:hAnsi="Palatino Linotype" w:cs="Palatino Linotype"/>
          <w:color w:val="000000"/>
        </w:rPr>
        <w:t>la respuesta emitida</w:t>
      </w:r>
      <w:r w:rsidRPr="0006537B">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06537B"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06537B" w:rsidRDefault="00A077F4" w:rsidP="0006537B">
      <w:pPr>
        <w:pStyle w:val="Prrafodelista"/>
        <w:numPr>
          <w:ilvl w:val="0"/>
          <w:numId w:val="9"/>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06537B">
        <w:rPr>
          <w:rFonts w:ascii="Palatino Linotype" w:eastAsia="Palatino Linotype" w:hAnsi="Palatino Linotype" w:cs="Palatino Linotype"/>
          <w:b/>
          <w:color w:val="000000"/>
        </w:rPr>
        <w:t xml:space="preserve">Acto impugnado: </w:t>
      </w:r>
      <w:r w:rsidRPr="0006537B">
        <w:rPr>
          <w:rFonts w:ascii="Palatino Linotype" w:eastAsia="Palatino Linotype" w:hAnsi="Palatino Linotype" w:cs="Palatino Linotype"/>
          <w:i/>
          <w:color w:val="000000"/>
        </w:rPr>
        <w:t>“</w:t>
      </w:r>
      <w:r w:rsidR="00463AA6" w:rsidRPr="0006537B">
        <w:rPr>
          <w:rFonts w:ascii="Palatino Linotype" w:eastAsia="Palatino Linotype" w:hAnsi="Palatino Linotype" w:cs="Palatino Linotype"/>
          <w:i/>
          <w:color w:val="000000"/>
        </w:rPr>
        <w:t>el oficio sma/uippet/ut/126/2025 mediante el cual me negaron se me otorguen LAS NOMINAS,Y RECIBOS DE HONORARIOS FIRMADAS DE LA PRIMERA Y SEGUNDA Q UINCENA DE ENERO DE 2025 DE TODOS Y CADA UNO DE LOS DIRECTORES, COOORDINADORES, SUBDIRECTORES, DIRECTORES DE ORGANISMOS AUXILIARES, ORGANISMOS AUTONOMOS, Y JEFES DE DEPARTAMENTO DEL H. AYUNTAMIENTO DE SAN MATEO ATENCO ya que al ser estos recibos de nomina del sueldo de servidores públicos y de dineros devengados con presupuesto del erario publico estas me deben ser proporcionados</w:t>
      </w:r>
      <w:r w:rsidRPr="0006537B">
        <w:rPr>
          <w:rFonts w:ascii="Palatino Linotype" w:eastAsia="Palatino Linotype" w:hAnsi="Palatino Linotype" w:cs="Palatino Linotype"/>
          <w:i/>
          <w:color w:val="000000"/>
        </w:rPr>
        <w:t>” (Sic)</w:t>
      </w:r>
    </w:p>
    <w:p w:rsidR="0072148B" w:rsidRPr="0006537B" w:rsidRDefault="0072148B" w:rsidP="0006537B">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06537B" w:rsidRDefault="00A077F4" w:rsidP="0006537B">
      <w:pPr>
        <w:pStyle w:val="Prrafodelista"/>
        <w:numPr>
          <w:ilvl w:val="0"/>
          <w:numId w:val="9"/>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3" w:name="_heading=h.1fob9te" w:colFirst="0" w:colLast="0"/>
      <w:bookmarkEnd w:id="3"/>
      <w:r w:rsidRPr="0006537B">
        <w:rPr>
          <w:rFonts w:ascii="Palatino Linotype" w:eastAsia="Palatino Linotype" w:hAnsi="Palatino Linotype" w:cs="Palatino Linotype"/>
          <w:b/>
          <w:color w:val="000000"/>
        </w:rPr>
        <w:t xml:space="preserve">Razones o Motivos de inconformidad: </w:t>
      </w:r>
      <w:r w:rsidRPr="0006537B">
        <w:rPr>
          <w:rFonts w:ascii="Palatino Linotype" w:eastAsia="Palatino Linotype" w:hAnsi="Palatino Linotype" w:cs="Palatino Linotype"/>
          <w:i/>
          <w:color w:val="000000"/>
        </w:rPr>
        <w:t>“</w:t>
      </w:r>
      <w:r w:rsidR="00463AA6" w:rsidRPr="0006537B">
        <w:rPr>
          <w:rFonts w:ascii="Palatino Linotype" w:eastAsia="Palatino Linotype" w:hAnsi="Palatino Linotype" w:cs="Palatino Linotype"/>
          <w:i/>
          <w:color w:val="000000"/>
        </w:rPr>
        <w:t>se me deben otorgar las nominas solicitadas ya que las mismas contiene datos de servidores publicos asi mismo esos recibos hacen constar los pagos de dineros devengados con dineros del presupuesto publico, por tal motivo me deben ser proporcionados</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color w:val="000000"/>
        </w:rPr>
        <w:t>(Sic)</w:t>
      </w:r>
    </w:p>
    <w:p w:rsidR="0072148B" w:rsidRPr="0006537B"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06537B" w:rsidRDefault="006C72E8" w:rsidP="0053347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La Comisionada Ponente</w:t>
      </w:r>
      <w:r w:rsidR="00A077F4" w:rsidRPr="0006537B">
        <w:rPr>
          <w:rFonts w:ascii="Palatino Linotype" w:eastAsia="Palatino Linotype" w:hAnsi="Palatino Linotype" w:cs="Palatino Linotype"/>
          <w:color w:val="000000"/>
        </w:rPr>
        <w:t xml:space="preserve"> con fundamento en lo dispuesto por el artículo 185, fracción II, de la ley de la materia, a través </w:t>
      </w:r>
      <w:r w:rsidRPr="0006537B">
        <w:rPr>
          <w:rFonts w:ascii="Palatino Linotype" w:eastAsia="Palatino Linotype" w:hAnsi="Palatino Linotype" w:cs="Palatino Linotype"/>
          <w:color w:val="000000"/>
        </w:rPr>
        <w:t>del</w:t>
      </w:r>
      <w:r w:rsidR="00A077F4" w:rsidRPr="0006537B">
        <w:rPr>
          <w:rFonts w:ascii="Palatino Linotype" w:eastAsia="Palatino Linotype" w:hAnsi="Palatino Linotype" w:cs="Palatino Linotype"/>
          <w:color w:val="000000"/>
        </w:rPr>
        <w:t xml:space="preserve"> </w:t>
      </w:r>
      <w:r w:rsidRPr="0006537B">
        <w:rPr>
          <w:rFonts w:ascii="Palatino Linotype" w:eastAsia="Palatino Linotype" w:hAnsi="Palatino Linotype" w:cs="Palatino Linotype"/>
          <w:b/>
          <w:color w:val="000000"/>
        </w:rPr>
        <w:t>acuerdo</w:t>
      </w:r>
      <w:r w:rsidR="00A077F4" w:rsidRPr="0006537B">
        <w:rPr>
          <w:rFonts w:ascii="Palatino Linotype" w:eastAsia="Palatino Linotype" w:hAnsi="Palatino Linotype" w:cs="Palatino Linotype"/>
          <w:b/>
          <w:color w:val="000000"/>
        </w:rPr>
        <w:t xml:space="preserve"> de admisión </w:t>
      </w:r>
      <w:r w:rsidRPr="0006537B">
        <w:rPr>
          <w:rFonts w:ascii="Palatino Linotype" w:eastAsia="Palatino Linotype" w:hAnsi="Palatino Linotype" w:cs="Palatino Linotype"/>
          <w:color w:val="000000"/>
        </w:rPr>
        <w:t>de fecha</w:t>
      </w:r>
      <w:r w:rsidR="00A077F4" w:rsidRPr="0006537B">
        <w:rPr>
          <w:rFonts w:ascii="Palatino Linotype" w:eastAsia="Palatino Linotype" w:hAnsi="Palatino Linotype" w:cs="Palatino Linotype"/>
          <w:color w:val="000000"/>
        </w:rPr>
        <w:t xml:space="preserve"> </w:t>
      </w:r>
      <w:r w:rsidR="00EF3409" w:rsidRPr="0006537B">
        <w:rPr>
          <w:rFonts w:ascii="Palatino Linotype" w:eastAsia="Palatino Linotype" w:hAnsi="Palatino Linotype" w:cs="Palatino Linotype"/>
          <w:b/>
          <w:color w:val="000000"/>
        </w:rPr>
        <w:t>trece</w:t>
      </w:r>
      <w:r w:rsidR="00BB0B24" w:rsidRPr="0006537B">
        <w:rPr>
          <w:rFonts w:ascii="Palatino Linotype" w:eastAsia="Palatino Linotype" w:hAnsi="Palatino Linotype" w:cs="Palatino Linotype"/>
          <w:b/>
          <w:color w:val="000000"/>
        </w:rPr>
        <w:t xml:space="preserve"> de marzo</w:t>
      </w:r>
      <w:r w:rsidR="00A077F4" w:rsidRPr="0006537B">
        <w:rPr>
          <w:rFonts w:ascii="Palatino Linotype" w:eastAsia="Palatino Linotype" w:hAnsi="Palatino Linotype" w:cs="Palatino Linotype"/>
          <w:b/>
          <w:color w:val="000000"/>
        </w:rPr>
        <w:t xml:space="preserve"> dos mil </w:t>
      </w:r>
      <w:r w:rsidR="00A077F4" w:rsidRPr="0006537B">
        <w:rPr>
          <w:rFonts w:ascii="Palatino Linotype" w:eastAsia="Palatino Linotype" w:hAnsi="Palatino Linotype" w:cs="Palatino Linotype"/>
          <w:b/>
          <w:color w:val="000000"/>
        </w:rPr>
        <w:lastRenderedPageBreak/>
        <w:t xml:space="preserve">veinticinco, </w:t>
      </w:r>
      <w:r w:rsidRPr="0006537B">
        <w:rPr>
          <w:rFonts w:ascii="Palatino Linotype" w:eastAsia="Palatino Linotype" w:hAnsi="Palatino Linotype" w:cs="Palatino Linotype"/>
          <w:color w:val="000000"/>
        </w:rPr>
        <w:t>puso</w:t>
      </w:r>
      <w:r w:rsidR="00A077F4" w:rsidRPr="0006537B">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06537B">
        <w:rPr>
          <w:rFonts w:ascii="Palatino Linotype" w:eastAsia="Palatino Linotype" w:hAnsi="Palatino Linotype" w:cs="Palatino Linotype"/>
        </w:rPr>
        <w:t>manifestara</w:t>
      </w:r>
      <w:r w:rsidR="00A077F4" w:rsidRPr="0006537B">
        <w:rPr>
          <w:rFonts w:ascii="Palatino Linotype" w:eastAsia="Palatino Linotype" w:hAnsi="Palatino Linotype" w:cs="Palatino Linotype"/>
          <w:color w:val="000000"/>
        </w:rPr>
        <w:t xml:space="preserve"> lo que a su derecho conviniera, </w:t>
      </w:r>
      <w:r w:rsidR="00A077F4" w:rsidRPr="0006537B">
        <w:rPr>
          <w:rFonts w:ascii="Palatino Linotype" w:eastAsia="Palatino Linotype" w:hAnsi="Palatino Linotype" w:cs="Palatino Linotype"/>
        </w:rPr>
        <w:t>ofreciera</w:t>
      </w:r>
      <w:r w:rsidR="00A077F4" w:rsidRPr="0006537B">
        <w:rPr>
          <w:rFonts w:ascii="Palatino Linotype" w:eastAsia="Palatino Linotype" w:hAnsi="Palatino Linotype" w:cs="Palatino Linotype"/>
          <w:color w:val="000000"/>
        </w:rPr>
        <w:t xml:space="preserve"> pruebas y alegatos según corresponda al caso concreto, de esta forma para que el </w:t>
      </w:r>
      <w:r w:rsidR="00A077F4" w:rsidRPr="0006537B">
        <w:rPr>
          <w:rFonts w:ascii="Palatino Linotype" w:eastAsia="Palatino Linotype" w:hAnsi="Palatino Linotype" w:cs="Palatino Linotype"/>
          <w:b/>
          <w:color w:val="000000"/>
        </w:rPr>
        <w:t xml:space="preserve">SUJETO OBLIGADO </w:t>
      </w:r>
      <w:r w:rsidR="00A077F4" w:rsidRPr="0006537B">
        <w:rPr>
          <w:rFonts w:ascii="Palatino Linotype" w:eastAsia="Palatino Linotype" w:hAnsi="Palatino Linotype" w:cs="Palatino Linotype"/>
        </w:rPr>
        <w:t>presentara</w:t>
      </w:r>
      <w:r w:rsidR="00A077F4" w:rsidRPr="0006537B">
        <w:rPr>
          <w:rFonts w:ascii="Palatino Linotype" w:eastAsia="Palatino Linotype" w:hAnsi="Palatino Linotype" w:cs="Palatino Linotype"/>
          <w:color w:val="000000"/>
        </w:rPr>
        <w:t xml:space="preserve"> el Informe Justificado procedente.</w:t>
      </w:r>
    </w:p>
    <w:p w:rsidR="004E0AFD" w:rsidRPr="0006537B"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4E0AFD" w:rsidRPr="0006537B" w:rsidRDefault="004E0AFD"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El Recurrente</w:t>
      </w:r>
      <w:r w:rsidRPr="0006537B">
        <w:rPr>
          <w:rFonts w:ascii="Palatino Linotype" w:eastAsia="Palatino Linotype" w:hAnsi="Palatino Linotype" w:cs="Palatino Linotype"/>
          <w:b/>
          <w:color w:val="000000"/>
        </w:rPr>
        <w:t xml:space="preserve"> </w:t>
      </w:r>
      <w:r w:rsidRPr="0006537B">
        <w:rPr>
          <w:rFonts w:ascii="Palatino Linotype" w:eastAsia="Palatino Linotype" w:hAnsi="Palatino Linotype" w:cs="Palatino Linotype"/>
          <w:color w:val="000000"/>
        </w:rPr>
        <w:t>dejó de realizar manifestaciones que a su derecho conviniera y asistiera. Por su parte, el Sujeto Obligado,</w:t>
      </w:r>
      <w:r w:rsidRPr="0006537B">
        <w:rPr>
          <w:rFonts w:ascii="Palatino Linotype" w:eastAsia="Palatino Linotype" w:hAnsi="Palatino Linotype" w:cs="Palatino Linotype"/>
          <w:b/>
          <w:color w:val="000000"/>
        </w:rPr>
        <w:t xml:space="preserve"> </w:t>
      </w:r>
      <w:r w:rsidR="007D3696" w:rsidRPr="0006537B">
        <w:rPr>
          <w:rFonts w:ascii="Palatino Linotype" w:eastAsia="Palatino Linotype" w:hAnsi="Palatino Linotype" w:cs="Palatino Linotype"/>
          <w:color w:val="000000"/>
        </w:rPr>
        <w:t>no rindió informe justificado, tal como se muestra en la siguiente imagen</w:t>
      </w:r>
      <w:r w:rsidRPr="0006537B">
        <w:rPr>
          <w:rFonts w:ascii="Palatino Linotype" w:eastAsia="Palatino Linotype" w:hAnsi="Palatino Linotype" w:cs="Palatino Linotype"/>
          <w:color w:val="000000"/>
        </w:rPr>
        <w:t xml:space="preserve">: </w:t>
      </w:r>
    </w:p>
    <w:p w:rsidR="00451CF4" w:rsidRPr="0006537B" w:rsidRDefault="007D3696" w:rsidP="007D3696">
      <w:pPr>
        <w:pBdr>
          <w:top w:val="nil"/>
          <w:left w:val="nil"/>
          <w:bottom w:val="nil"/>
          <w:right w:val="nil"/>
          <w:between w:val="nil"/>
        </w:pBdr>
        <w:tabs>
          <w:tab w:val="left" w:pos="0"/>
        </w:tabs>
        <w:spacing w:line="360" w:lineRule="auto"/>
        <w:ind w:right="-787"/>
        <w:jc w:val="center"/>
        <w:rPr>
          <w:rFonts w:ascii="Palatino Linotype" w:eastAsia="Palatino Linotype" w:hAnsi="Palatino Linotype" w:cs="Palatino Linotype"/>
          <w:color w:val="000000"/>
        </w:rPr>
      </w:pPr>
      <w:r w:rsidRPr="0006537B">
        <w:rPr>
          <w:rFonts w:ascii="Palatino Linotype" w:eastAsia="Palatino Linotype" w:hAnsi="Palatino Linotype" w:cs="Palatino Linotype"/>
          <w:b/>
          <w:noProof/>
          <w:color w:val="000000"/>
          <w:lang w:val="es-MX" w:eastAsia="es-MX"/>
        </w:rPr>
        <w:drawing>
          <wp:inline distT="0" distB="0" distL="0" distR="0" wp14:anchorId="537A37F7" wp14:editId="78518E86">
            <wp:extent cx="5469196" cy="1316468"/>
            <wp:effectExtent l="152400" t="152400" r="360680" b="3600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0031" cy="1321483"/>
                    </a:xfrm>
                    <a:prstGeom prst="rect">
                      <a:avLst/>
                    </a:prstGeom>
                    <a:ln>
                      <a:noFill/>
                    </a:ln>
                    <a:effectLst>
                      <a:outerShdw blurRad="292100" dist="139700" dir="2700000" algn="tl" rotWithShape="0">
                        <a:srgbClr val="333333">
                          <a:alpha val="65000"/>
                        </a:srgbClr>
                      </a:outerShdw>
                    </a:effectLst>
                  </pic:spPr>
                </pic:pic>
              </a:graphicData>
            </a:graphic>
          </wp:inline>
        </w:drawing>
      </w:r>
    </w:p>
    <w:p w:rsidR="00084793" w:rsidRPr="0006537B" w:rsidRDefault="00084793"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06537B">
        <w:rPr>
          <w:rFonts w:ascii="Palatino Linotype" w:eastAsia="Palatino Linotype" w:hAnsi="Palatino Linotype" w:cs="Palatino Linotype"/>
          <w:color w:val="000000"/>
        </w:rPr>
        <w:t>En fecha</w:t>
      </w:r>
      <w:r w:rsidRPr="0006537B">
        <w:rPr>
          <w:rFonts w:ascii="Palatino Linotype" w:eastAsia="Palatino Linotype" w:hAnsi="Palatino Linotype" w:cs="Palatino Linotype"/>
          <w:b/>
          <w:color w:val="000000"/>
        </w:rPr>
        <w:t xml:space="preserve"> </w:t>
      </w:r>
      <w:r w:rsidR="009845A2" w:rsidRPr="0006537B">
        <w:rPr>
          <w:rFonts w:ascii="Palatino Linotype" w:eastAsia="Palatino Linotype" w:hAnsi="Palatino Linotype" w:cs="Palatino Linotype"/>
          <w:b/>
          <w:color w:val="000000"/>
        </w:rPr>
        <w:t>ocho de mayo</w:t>
      </w:r>
      <w:r w:rsidRPr="0006537B">
        <w:rPr>
          <w:rFonts w:ascii="Palatino Linotype" w:eastAsia="Palatino Linotype" w:hAnsi="Palatino Linotype" w:cs="Palatino Linotype"/>
          <w:b/>
          <w:color w:val="000000"/>
        </w:rPr>
        <w:t xml:space="preserve"> de dos mil veinticinco</w:t>
      </w:r>
      <w:r w:rsidRPr="0006537B">
        <w:rPr>
          <w:rFonts w:ascii="Palatino Linotype" w:eastAsia="Palatino Linotype" w:hAnsi="Palatino Linotype" w:cs="Palatino Linotype"/>
          <w:color w:val="000000"/>
        </w:rPr>
        <w:t>, se acordó ampliar el pazo para resolver el presente Recurso de Revisión.</w:t>
      </w:r>
    </w:p>
    <w:p w:rsidR="00084793" w:rsidRPr="0006537B" w:rsidRDefault="00084793" w:rsidP="00084793">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06537B" w:rsidRDefault="00A077F4"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color w:val="000000"/>
        </w:rPr>
        <w:t xml:space="preserve">Seguidamente, en fecha </w:t>
      </w:r>
      <w:r w:rsidR="000F388A" w:rsidRPr="0006537B">
        <w:rPr>
          <w:rFonts w:ascii="Palatino Linotype" w:eastAsia="Palatino Linotype" w:hAnsi="Palatino Linotype" w:cs="Palatino Linotype"/>
          <w:b/>
          <w:color w:val="000000"/>
        </w:rPr>
        <w:t>siete</w:t>
      </w:r>
      <w:r w:rsidR="009845A2" w:rsidRPr="0006537B">
        <w:rPr>
          <w:rFonts w:ascii="Palatino Linotype" w:eastAsia="Palatino Linotype" w:hAnsi="Palatino Linotype" w:cs="Palatino Linotype"/>
          <w:b/>
          <w:color w:val="000000"/>
        </w:rPr>
        <w:t xml:space="preserve"> de julio</w:t>
      </w:r>
      <w:r w:rsidRPr="0006537B">
        <w:rPr>
          <w:rFonts w:ascii="Palatino Linotype" w:eastAsia="Palatino Linotype" w:hAnsi="Palatino Linotype" w:cs="Palatino Linotype"/>
          <w:b/>
          <w:color w:val="000000"/>
        </w:rPr>
        <w:t xml:space="preserve"> de dos mil veinticinco</w:t>
      </w:r>
      <w:r w:rsidRPr="0006537B">
        <w:rPr>
          <w:rFonts w:ascii="Palatino Linotype" w:eastAsia="Palatino Linotype" w:hAnsi="Palatino Linotype" w:cs="Palatino Linotype"/>
          <w:color w:val="000000"/>
        </w:rPr>
        <w:t xml:space="preserve">, la Comisionada Ponente dictó el </w:t>
      </w:r>
      <w:r w:rsidRPr="0006537B">
        <w:rPr>
          <w:rFonts w:ascii="Palatino Linotype" w:eastAsia="Palatino Linotype" w:hAnsi="Palatino Linotype" w:cs="Palatino Linotype"/>
          <w:b/>
          <w:color w:val="000000"/>
        </w:rPr>
        <w:t>cierre del periodo de instrucción</w:t>
      </w:r>
      <w:r w:rsidRPr="0006537B">
        <w:rPr>
          <w:rFonts w:ascii="Palatino Linotype" w:eastAsia="Palatino Linotype" w:hAnsi="Palatino Linotype" w:cs="Palatino Linotype"/>
          <w:color w:val="000000"/>
        </w:rPr>
        <w:t xml:space="preserve"> y, ordenó la resolución</w:t>
      </w:r>
      <w:r w:rsidR="00315C9B" w:rsidRPr="0006537B">
        <w:rPr>
          <w:rFonts w:ascii="Palatino Linotype" w:eastAsia="Palatino Linotype" w:hAnsi="Palatino Linotype" w:cs="Palatino Linotype"/>
          <w:color w:val="000000"/>
        </w:rPr>
        <w:t xml:space="preserve"> que conforme a Derecho proceda</w:t>
      </w:r>
      <w:r w:rsidRPr="0006537B">
        <w:rPr>
          <w:rFonts w:ascii="Palatino Linotype" w:eastAsia="Palatino Linotype" w:hAnsi="Palatino Linotype" w:cs="Palatino Linotype"/>
          <w:color w:val="000000"/>
        </w:rPr>
        <w:t>:</w:t>
      </w:r>
      <w:r w:rsidR="0006537B">
        <w:rPr>
          <w:rFonts w:ascii="Palatino Linotype" w:eastAsia="Palatino Linotype" w:hAnsi="Palatino Linotype" w:cs="Palatino Linotype"/>
          <w:color w:val="000000"/>
        </w:rPr>
        <w:t>---------------------------------------------------------------------------------------------------------------</w:t>
      </w:r>
    </w:p>
    <w:p w:rsidR="0072148B" w:rsidRPr="0006537B"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315C9B" w:rsidRPr="0006537B" w:rsidRDefault="00315C9B" w:rsidP="00465085">
      <w:pPr>
        <w:keepNext/>
        <w:keepLines/>
        <w:spacing w:line="360" w:lineRule="auto"/>
        <w:jc w:val="center"/>
        <w:rPr>
          <w:rFonts w:ascii="Palatino Linotype" w:eastAsia="Palatino Linotype" w:hAnsi="Palatino Linotype" w:cs="Palatino Linotype"/>
          <w:b/>
        </w:rPr>
      </w:pPr>
      <w:r w:rsidRPr="0006537B">
        <w:rPr>
          <w:rFonts w:ascii="Palatino Linotype" w:eastAsia="Palatino Linotype" w:hAnsi="Palatino Linotype" w:cs="Palatino Linotype"/>
          <w:b/>
        </w:rPr>
        <w:lastRenderedPageBreak/>
        <w:t>C</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O</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N</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S</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I</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D</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E</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R</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A</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N</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D</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O</w:t>
      </w:r>
      <w:r w:rsid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b/>
        </w:rPr>
        <w:t xml:space="preserve"> </w:t>
      </w:r>
    </w:p>
    <w:p w:rsidR="00465085" w:rsidRPr="0006537B" w:rsidRDefault="00465085" w:rsidP="00465085">
      <w:pPr>
        <w:keepNext/>
        <w:keepLines/>
        <w:spacing w:line="360" w:lineRule="auto"/>
        <w:jc w:val="center"/>
        <w:rPr>
          <w:rFonts w:ascii="Palatino Linotype" w:eastAsia="Palatino Linotype" w:hAnsi="Palatino Linotype" w:cs="Palatino Linotype"/>
          <w:b/>
        </w:rPr>
      </w:pPr>
    </w:p>
    <w:p w:rsidR="00315C9B" w:rsidRPr="0006537B" w:rsidRDefault="00315C9B" w:rsidP="00315C9B">
      <w:pPr>
        <w:keepNext/>
        <w:keepLines/>
        <w:spacing w:line="360" w:lineRule="auto"/>
        <w:rPr>
          <w:rFonts w:ascii="Palatino Linotype" w:eastAsia="Palatino Linotype" w:hAnsi="Palatino Linotype" w:cs="Palatino Linotype"/>
          <w:b/>
        </w:rPr>
      </w:pPr>
      <w:r w:rsidRPr="0006537B">
        <w:rPr>
          <w:rFonts w:ascii="Palatino Linotype" w:eastAsia="Palatino Linotype" w:hAnsi="Palatino Linotype" w:cs="Palatino Linotype"/>
          <w:b/>
        </w:rPr>
        <w:t>PRIMERO. De la competencia</w:t>
      </w:r>
    </w:p>
    <w:p w:rsidR="00315C9B" w:rsidRPr="0006537B" w:rsidRDefault="00315C9B" w:rsidP="00315C9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15C9B" w:rsidRPr="0006537B" w:rsidRDefault="00315C9B" w:rsidP="00315C9B">
      <w:pPr>
        <w:tabs>
          <w:tab w:val="left" w:pos="426"/>
        </w:tabs>
        <w:spacing w:line="360" w:lineRule="auto"/>
        <w:jc w:val="both"/>
        <w:rPr>
          <w:rFonts w:ascii="Palatino Linotype" w:eastAsia="Palatino Linotype" w:hAnsi="Palatino Linotype" w:cs="Palatino Linotype"/>
          <w:color w:val="000000"/>
        </w:rPr>
      </w:pPr>
    </w:p>
    <w:p w:rsidR="00315C9B" w:rsidRPr="0006537B" w:rsidRDefault="00315C9B" w:rsidP="00315C9B">
      <w:pPr>
        <w:keepNext/>
        <w:keepLines/>
        <w:spacing w:line="360" w:lineRule="auto"/>
        <w:rPr>
          <w:rFonts w:ascii="Palatino Linotype" w:eastAsia="Palatino Linotype" w:hAnsi="Palatino Linotype" w:cs="Palatino Linotype"/>
          <w:b/>
        </w:rPr>
      </w:pPr>
      <w:r w:rsidRPr="0006537B">
        <w:rPr>
          <w:rFonts w:ascii="Palatino Linotype" w:eastAsia="Palatino Linotype" w:hAnsi="Palatino Linotype" w:cs="Palatino Linotype"/>
          <w:b/>
        </w:rPr>
        <w:t>SEGUNDO. De la oportunidad y procedencia.</w:t>
      </w:r>
    </w:p>
    <w:p w:rsidR="00315C9B" w:rsidRPr="0006537B" w:rsidRDefault="00315C9B" w:rsidP="00315C9B">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El medio de impugnación fue presentado a través del </w:t>
      </w:r>
      <w:r w:rsidRPr="0006537B">
        <w:rPr>
          <w:rFonts w:ascii="Palatino Linotype" w:eastAsia="Palatino Linotype" w:hAnsi="Palatino Linotype" w:cs="Palatino Linotype"/>
          <w:b/>
        </w:rPr>
        <w:t>SAIMEX,</w:t>
      </w:r>
      <w:r w:rsidRPr="0006537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 xml:space="preserve"> entregó respuesta el </w:t>
      </w:r>
      <w:r w:rsidRPr="0006537B">
        <w:rPr>
          <w:rFonts w:ascii="Palatino Linotype" w:eastAsia="Palatino Linotype" w:hAnsi="Palatino Linotype" w:cs="Palatino Linotype"/>
          <w:b/>
        </w:rPr>
        <w:t>veintiséis de febrero de dos mil veinticinco</w:t>
      </w:r>
      <w:r w:rsidRPr="0006537B">
        <w:rPr>
          <w:rFonts w:ascii="Palatino Linotype" w:eastAsia="Palatino Linotype" w:hAnsi="Palatino Linotype" w:cs="Palatino Linotype"/>
        </w:rPr>
        <w:t xml:space="preserve">, de tal forma que el plazo para interponer el recurso transcurrió del </w:t>
      </w:r>
      <w:r w:rsidRPr="0006537B">
        <w:rPr>
          <w:rFonts w:ascii="Palatino Linotype" w:eastAsia="Palatino Linotype" w:hAnsi="Palatino Linotype" w:cs="Palatino Linotype"/>
          <w:b/>
        </w:rPr>
        <w:t xml:space="preserve">veintisiete de febrero al veintiuno de marzo de dos mil veinticinco, </w:t>
      </w:r>
      <w:r w:rsidRPr="0006537B">
        <w:rPr>
          <w:rFonts w:ascii="Palatino Linotype" w:eastAsia="Palatino Linotype" w:hAnsi="Palatino Linotype" w:cs="Palatino Linotype"/>
        </w:rPr>
        <w:t xml:space="preserve">en consecuencia, si el </w:t>
      </w:r>
      <w:r w:rsidRPr="0006537B">
        <w:rPr>
          <w:rFonts w:ascii="Palatino Linotype" w:eastAsia="Palatino Linotype" w:hAnsi="Palatino Linotype" w:cs="Palatino Linotype"/>
          <w:b/>
        </w:rPr>
        <w:t>PARTICULAR</w:t>
      </w:r>
      <w:r w:rsidRPr="0006537B">
        <w:rPr>
          <w:rFonts w:ascii="Palatino Linotype" w:eastAsia="Palatino Linotype" w:hAnsi="Palatino Linotype" w:cs="Palatino Linotype"/>
        </w:rPr>
        <w:t xml:space="preserve"> presentó su inconformidad el </w:t>
      </w:r>
      <w:r w:rsidRPr="0006537B">
        <w:rPr>
          <w:rFonts w:ascii="Palatino Linotype" w:eastAsia="Palatino Linotype" w:hAnsi="Palatino Linotype" w:cs="Palatino Linotype"/>
          <w:b/>
        </w:rPr>
        <w:t>once de marzo de dos mil veinticinco</w:t>
      </w:r>
      <w:r w:rsidRPr="0006537B">
        <w:rPr>
          <w:rFonts w:ascii="Palatino Linotype" w:eastAsia="Palatino Linotype" w:hAnsi="Palatino Linotype" w:cs="Palatino Linotype"/>
        </w:rPr>
        <w:t xml:space="preserve">, este  se encuentra dentro de los márgenes temporales previstos en el artículo 178 de la </w:t>
      </w:r>
      <w:r w:rsidRPr="0006537B">
        <w:rPr>
          <w:rFonts w:ascii="Palatino Linotype" w:eastAsia="Palatino Linotype" w:hAnsi="Palatino Linotype" w:cs="Palatino Linotype"/>
          <w:b/>
        </w:rPr>
        <w:t xml:space="preserve">Ley de Transparencia y Acceso a la Información Pública del Estado de México y Municipios </w:t>
      </w:r>
      <w:r w:rsidRPr="0006537B">
        <w:rPr>
          <w:rFonts w:ascii="Palatino Linotype" w:eastAsia="Palatino Linotype" w:hAnsi="Palatino Linotype" w:cs="Palatino Linotype"/>
        </w:rPr>
        <w:t xml:space="preserve">vigente. </w:t>
      </w:r>
    </w:p>
    <w:p w:rsidR="00315C9B" w:rsidRPr="0006537B" w:rsidRDefault="00315C9B" w:rsidP="00315C9B">
      <w:pPr>
        <w:pStyle w:val="Ttulo2"/>
        <w:rPr>
          <w:rFonts w:ascii="Palatino Linotype" w:eastAsia="Palatino Linotype" w:hAnsi="Palatino Linotype" w:cs="Palatino Linotype"/>
          <w:b/>
          <w:i/>
          <w:color w:val="000000"/>
          <w:sz w:val="24"/>
          <w:szCs w:val="24"/>
        </w:rPr>
      </w:pPr>
      <w:bookmarkStart w:id="5" w:name="_heading=h.2et92p0" w:colFirst="0" w:colLast="0"/>
      <w:bookmarkEnd w:id="5"/>
      <w:r w:rsidRPr="0006537B">
        <w:rPr>
          <w:rFonts w:ascii="Palatino Linotype" w:eastAsia="Palatino Linotype" w:hAnsi="Palatino Linotype" w:cs="Palatino Linotype"/>
          <w:b/>
          <w:color w:val="000000"/>
          <w:sz w:val="24"/>
          <w:szCs w:val="24"/>
        </w:rPr>
        <w:lastRenderedPageBreak/>
        <w:t xml:space="preserve">TERCERO. Del planteamiento de la </w:t>
      </w:r>
      <w:r w:rsidRPr="0006537B">
        <w:rPr>
          <w:rFonts w:ascii="Palatino Linotype" w:eastAsia="Palatino Linotype" w:hAnsi="Palatino Linotype" w:cs="Palatino Linotype"/>
          <w:b/>
          <w:i/>
          <w:color w:val="000000"/>
          <w:sz w:val="24"/>
          <w:szCs w:val="24"/>
        </w:rPr>
        <w:t>Litis.</w:t>
      </w:r>
    </w:p>
    <w:p w:rsidR="002B7A1B" w:rsidRPr="0006537B" w:rsidRDefault="002B7A1B" w:rsidP="0053347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Se solicitó tener acceso, a la información que a continuación se simplifica:</w:t>
      </w:r>
    </w:p>
    <w:p w:rsidR="002B7A1B" w:rsidRPr="0006537B" w:rsidRDefault="00646D82" w:rsidP="00533477">
      <w:pPr>
        <w:pStyle w:val="Prrafodelista"/>
        <w:numPr>
          <w:ilvl w:val="0"/>
          <w:numId w:val="6"/>
        </w:numPr>
        <w:ind w:right="-788"/>
        <w:jc w:val="both"/>
        <w:rPr>
          <w:rFonts w:ascii="Palatino Linotype" w:eastAsia="Palatino Linotype" w:hAnsi="Palatino Linotype" w:cs="Palatino Linotype"/>
        </w:rPr>
      </w:pPr>
      <w:r w:rsidRPr="0006537B">
        <w:rPr>
          <w:rFonts w:ascii="Palatino Linotype" w:eastAsia="Palatino Linotype" w:hAnsi="Palatino Linotype" w:cs="Palatino Linotype"/>
          <w:i/>
          <w:color w:val="000000"/>
        </w:rPr>
        <w:t>La nómina, y recibos de honorarios firmados, de la primera y segunda quincena de enero de 2025, de los directores, coordinadores, subdirectores, directores de organismos auxiliares, organismos autónomos y jefes de departamento.</w:t>
      </w:r>
    </w:p>
    <w:p w:rsidR="00846A61" w:rsidRPr="0006537B" w:rsidRDefault="00846A61" w:rsidP="00846A61">
      <w:pPr>
        <w:pStyle w:val="Prrafodelista"/>
        <w:ind w:left="1440" w:right="-788"/>
        <w:jc w:val="both"/>
        <w:rPr>
          <w:rFonts w:ascii="Palatino Linotype" w:eastAsia="Palatino Linotype" w:hAnsi="Palatino Linotype" w:cs="Palatino Linotype"/>
        </w:rPr>
      </w:pPr>
    </w:p>
    <w:p w:rsidR="004D4FA6" w:rsidRPr="0006537B" w:rsidRDefault="004D4FA6" w:rsidP="00846A61">
      <w:pPr>
        <w:pStyle w:val="Prrafodelista"/>
        <w:ind w:left="1440" w:right="-788"/>
        <w:jc w:val="both"/>
        <w:rPr>
          <w:rFonts w:ascii="Palatino Linotype" w:eastAsia="Palatino Linotype" w:hAnsi="Palatino Linotype" w:cs="Palatino Linotype"/>
        </w:rPr>
      </w:pPr>
    </w:p>
    <w:p w:rsidR="002B7A1B" w:rsidRPr="0006537B" w:rsidRDefault="002B7A1B"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rPr>
        <w:t>En respuesta, el Sujeto Obligado</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remitió los archivos ya descritos en el anteri</w:t>
      </w:r>
      <w:r w:rsidR="00154601" w:rsidRPr="0006537B">
        <w:rPr>
          <w:rFonts w:ascii="Palatino Linotype" w:eastAsia="Palatino Linotype" w:hAnsi="Palatino Linotype" w:cs="Palatino Linotype"/>
        </w:rPr>
        <w:t>or Párrafo 2, inconforme con la respuesta</w:t>
      </w:r>
      <w:r w:rsidRPr="0006537B">
        <w:rPr>
          <w:rFonts w:ascii="Palatino Linotype" w:eastAsia="Palatino Linotype" w:hAnsi="Palatino Linotype" w:cs="Palatino Linotype"/>
        </w:rPr>
        <w:t xml:space="preserve">, se interpuso recurso de revisión argumentando sustancialmente </w:t>
      </w:r>
      <w:r w:rsidR="00895953" w:rsidRPr="0006537B">
        <w:rPr>
          <w:rFonts w:ascii="Palatino Linotype" w:eastAsia="Palatino Linotype" w:hAnsi="Palatino Linotype" w:cs="Palatino Linotype"/>
        </w:rPr>
        <w:t xml:space="preserve">que </w:t>
      </w:r>
      <w:r w:rsidR="00846A61" w:rsidRPr="0006537B">
        <w:rPr>
          <w:rFonts w:ascii="Palatino Linotype" w:eastAsia="Palatino Linotype" w:hAnsi="Palatino Linotype" w:cs="Palatino Linotype"/>
        </w:rPr>
        <w:t>la negativa de la información</w:t>
      </w:r>
      <w:r w:rsidRPr="0006537B">
        <w:rPr>
          <w:rFonts w:ascii="Palatino Linotype" w:eastAsia="Palatino Linotype" w:hAnsi="Palatino Linotype" w:cs="Palatino Linotype"/>
        </w:rPr>
        <w:t>.</w:t>
      </w:r>
    </w:p>
    <w:p w:rsidR="002B7A1B" w:rsidRPr="0006537B" w:rsidRDefault="002B7A1B" w:rsidP="002B7A1B">
      <w:pPr>
        <w:ind w:left="720" w:right="-788"/>
        <w:contextualSpacing/>
        <w:jc w:val="both"/>
        <w:rPr>
          <w:rFonts w:ascii="Palatino Linotype" w:eastAsia="Palatino Linotype" w:hAnsi="Palatino Linotype" w:cs="Palatino Linotype"/>
          <w:i/>
          <w:color w:val="000000"/>
        </w:rPr>
      </w:pPr>
    </w:p>
    <w:p w:rsidR="002B7A1B" w:rsidRPr="0006537B"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895953" w:rsidRPr="0006537B">
        <w:rPr>
          <w:rFonts w:ascii="Palatino Linotype" w:eastAsia="Palatino Linotype" w:hAnsi="Palatino Linotype" w:cs="Palatino Linotype"/>
        </w:rPr>
        <w:t>fracción</w:t>
      </w:r>
      <w:r w:rsidRPr="0006537B">
        <w:rPr>
          <w:rFonts w:ascii="Palatino Linotype" w:eastAsia="Palatino Linotype" w:hAnsi="Palatino Linotype" w:cs="Palatino Linotype"/>
        </w:rPr>
        <w:t xml:space="preserve"> </w:t>
      </w:r>
      <w:r w:rsidR="004F1783" w:rsidRPr="0006537B">
        <w:rPr>
          <w:rFonts w:ascii="Palatino Linotype" w:eastAsia="Palatino Linotype" w:hAnsi="Palatino Linotype" w:cs="Palatino Linotype"/>
        </w:rPr>
        <w:t>I</w:t>
      </w:r>
      <w:r w:rsidRPr="0006537B">
        <w:rPr>
          <w:rFonts w:ascii="Palatino Linotype" w:eastAsia="Palatino Linotype" w:hAnsi="Palatino Linotype" w:cs="Palatino Linotype"/>
        </w:rPr>
        <w:t>,</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de la Ley de Transparencia y Acceso a la Información Pública del Estado de</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México</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y</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 xml:space="preserve">Municipios; </w:t>
      </w:r>
      <w:r w:rsidR="00895953" w:rsidRPr="0006537B">
        <w:rPr>
          <w:rFonts w:ascii="Palatino Linotype" w:eastAsia="Palatino Linotype" w:hAnsi="Palatino Linotype" w:cs="Palatino Linotype"/>
          <w:color w:val="000000"/>
        </w:rPr>
        <w:t>fracción</w:t>
      </w:r>
      <w:r w:rsidRPr="0006537B">
        <w:rPr>
          <w:rFonts w:ascii="Palatino Linotype" w:eastAsia="Palatino Linotype" w:hAnsi="Palatino Linotype" w:cs="Palatino Linotype"/>
          <w:color w:val="000000"/>
        </w:rPr>
        <w:t xml:space="preserve"> que determina la hipótesis relativa a la </w:t>
      </w:r>
      <w:r w:rsidR="004F1783" w:rsidRPr="0006537B">
        <w:rPr>
          <w:rFonts w:ascii="Palatino Linotype" w:eastAsia="Palatino Linotype" w:hAnsi="Palatino Linotype" w:cs="Palatino Linotype"/>
          <w:color w:val="000000"/>
        </w:rPr>
        <w:t>negativa a la información solicitada</w:t>
      </w:r>
      <w:r w:rsidRPr="0006537B">
        <w:rPr>
          <w:rFonts w:ascii="Palatino Linotype" w:eastAsia="Palatino Linotype" w:hAnsi="Palatino Linotype" w:cs="Palatino Linotype"/>
          <w:color w:val="000000"/>
        </w:rPr>
        <w:t xml:space="preserve">; </w:t>
      </w:r>
      <w:r w:rsidRPr="0006537B">
        <w:rPr>
          <w:rFonts w:ascii="Palatino Linotype" w:eastAsia="Palatino Linotype" w:hAnsi="Palatino Linotype" w:cs="Palatino Linotype"/>
        </w:rPr>
        <w:t>contexto del cual se dolió el Recurrente al momento de interponer su inconformidad.</w:t>
      </w:r>
      <w:r w:rsidRPr="0006537B">
        <w:rPr>
          <w:rFonts w:ascii="Palatino Linotype" w:eastAsia="Palatino Linotype" w:hAnsi="Palatino Linotype" w:cs="Palatino Linotype"/>
          <w:color w:val="000000"/>
        </w:rPr>
        <w:t xml:space="preserve"> De modo tal que el presente recurso de revisión se </w:t>
      </w:r>
      <w:r w:rsidRPr="0006537B">
        <w:rPr>
          <w:rFonts w:ascii="Palatino Linotype" w:eastAsia="Palatino Linotype" w:hAnsi="Palatino Linotype" w:cs="Palatino Linotype"/>
        </w:rPr>
        <w:t>abocará</w:t>
      </w:r>
      <w:r w:rsidRPr="0006537B">
        <w:rPr>
          <w:rFonts w:ascii="Palatino Linotype" w:eastAsia="Palatino Linotype" w:hAnsi="Palatino Linotype" w:cs="Palatino Linotype"/>
          <w:color w:val="000000"/>
        </w:rPr>
        <w:t xml:space="preserve"> en determinar si el Sujeto Obligado con su respuesta ciertamente actualiza la causal de procedencia</w:t>
      </w:r>
      <w:r w:rsidRPr="0006537B">
        <w:rPr>
          <w:rFonts w:ascii="Palatino Linotype" w:eastAsia="Palatino Linotype" w:hAnsi="Palatino Linotype" w:cs="Palatino Linotype"/>
          <w:b/>
          <w:color w:val="000000"/>
        </w:rPr>
        <w:t xml:space="preserve"> </w:t>
      </w:r>
      <w:r w:rsidRPr="0006537B">
        <w:rPr>
          <w:rFonts w:ascii="Palatino Linotype" w:eastAsia="Palatino Linotype" w:hAnsi="Palatino Linotype" w:cs="Palatino Linotype"/>
          <w:color w:val="000000"/>
        </w:rPr>
        <w:t xml:space="preserve">señalada. </w:t>
      </w:r>
    </w:p>
    <w:p w:rsidR="002B7A1B" w:rsidRPr="0006537B" w:rsidRDefault="002B7A1B" w:rsidP="002B7A1B">
      <w:pPr>
        <w:spacing w:line="360" w:lineRule="auto"/>
        <w:ind w:right="-787"/>
        <w:rPr>
          <w:rFonts w:ascii="Palatino Linotype" w:eastAsia="Palatino Linotype" w:hAnsi="Palatino Linotype" w:cs="Palatino Linotype"/>
        </w:rPr>
      </w:pPr>
    </w:p>
    <w:p w:rsidR="00315C9B" w:rsidRPr="0006537B" w:rsidRDefault="00315C9B" w:rsidP="00315C9B">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06537B">
        <w:rPr>
          <w:rFonts w:ascii="Palatino Linotype" w:eastAsia="Palatino Linotype" w:hAnsi="Palatino Linotype" w:cs="Palatino Linotype"/>
          <w:b/>
          <w:color w:val="000000"/>
          <w:sz w:val="24"/>
          <w:szCs w:val="24"/>
        </w:rPr>
        <w:t>CUARTO. Del estudio y resolución del asunto.</w:t>
      </w:r>
    </w:p>
    <w:p w:rsidR="002B7A1B" w:rsidRPr="0006537B"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06537B">
        <w:rPr>
          <w:rFonts w:ascii="Palatino Linotype" w:eastAsia="Palatino Linotype" w:hAnsi="Palatino Linotype" w:cs="Palatino Linotype"/>
        </w:rPr>
        <w:lastRenderedPageBreak/>
        <w:t>funciones desde su origen la eventual publicidad y reutilización de la información que generen.</w:t>
      </w:r>
    </w:p>
    <w:p w:rsidR="002B7A1B" w:rsidRPr="0006537B" w:rsidRDefault="002B7A1B" w:rsidP="002B7A1B">
      <w:pPr>
        <w:spacing w:line="360" w:lineRule="auto"/>
        <w:ind w:right="-787"/>
        <w:jc w:val="both"/>
        <w:rPr>
          <w:rFonts w:ascii="Palatino Linotype" w:eastAsia="Palatino Linotype" w:hAnsi="Palatino Linotype" w:cs="Palatino Linotype"/>
        </w:rPr>
      </w:pPr>
    </w:p>
    <w:p w:rsidR="002B7A1B" w:rsidRPr="0006537B"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06537B" w:rsidRDefault="002B7A1B" w:rsidP="002B7A1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2B7A1B" w:rsidRPr="0006537B" w:rsidRDefault="002B7A1B"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06537B" w:rsidRDefault="002B7A1B" w:rsidP="002B7A1B">
      <w:pPr>
        <w:ind w:right="-788"/>
        <w:jc w:val="both"/>
        <w:rPr>
          <w:rFonts w:ascii="Palatino Linotype" w:eastAsia="Palatino Linotype" w:hAnsi="Palatino Linotype" w:cs="Palatino Linotype"/>
        </w:rPr>
      </w:pPr>
    </w:p>
    <w:p w:rsidR="002B7A1B" w:rsidRPr="0006537B" w:rsidRDefault="002B7A1B" w:rsidP="00533477">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Del Sujeto Obligado.</w:t>
      </w:r>
    </w:p>
    <w:p w:rsidR="00816B3B" w:rsidRPr="0006537B" w:rsidRDefault="00FB1F8E" w:rsidP="00533477">
      <w:pPr>
        <w:numPr>
          <w:ilvl w:val="0"/>
          <w:numId w:val="2"/>
        </w:numPr>
        <w:spacing w:line="360" w:lineRule="auto"/>
        <w:ind w:left="0" w:right="-787" w:firstLine="0"/>
        <w:jc w:val="both"/>
      </w:pPr>
      <w:r w:rsidRPr="0006537B">
        <w:rPr>
          <w:rFonts w:ascii="Palatino Linotype" w:eastAsia="Palatino Linotype" w:hAnsi="Palatino Linotype" w:cs="Palatino Linotype"/>
        </w:rPr>
        <w:t>La Administración Pública Municipal contará con las dependencias, organismos desconcentrados, descentralizados, autónomos, auxiliares y demás unidades administrativas que requiera para su eficaz funcionamiento y cuya factibilidad presupuestaria le permita</w:t>
      </w:r>
      <w:r w:rsidR="00816B3B" w:rsidRPr="0006537B">
        <w:rPr>
          <w:rFonts w:ascii="Palatino Linotype" w:eastAsia="Palatino Linotype" w:hAnsi="Palatino Linotype" w:cs="Palatino Linotype"/>
        </w:rPr>
        <w:t xml:space="preserve">, de conformidad con el artículo </w:t>
      </w:r>
      <w:r w:rsidRPr="0006537B">
        <w:rPr>
          <w:rFonts w:ascii="Palatino Linotype" w:eastAsia="Palatino Linotype" w:hAnsi="Palatino Linotype" w:cs="Palatino Linotype"/>
        </w:rPr>
        <w:t>73</w:t>
      </w:r>
      <w:r w:rsidR="00816B3B" w:rsidRPr="0006537B">
        <w:rPr>
          <w:rFonts w:ascii="Palatino Linotype" w:eastAsia="Palatino Linotype" w:hAnsi="Palatino Linotype" w:cs="Palatino Linotype"/>
        </w:rPr>
        <w:t>, del Bando Municipal 2025:</w:t>
      </w:r>
    </w:p>
    <w:p w:rsidR="00816B3B" w:rsidRPr="0006537B" w:rsidRDefault="00816B3B" w:rsidP="00670285">
      <w:pPr>
        <w:ind w:left="567" w:right="-220"/>
        <w:jc w:val="center"/>
        <w:rPr>
          <w:rFonts w:ascii="Palatino Linotype" w:eastAsia="Palatino Linotype" w:hAnsi="Palatino Linotype" w:cs="Palatino Linotype"/>
          <w:b/>
          <w:i/>
        </w:rPr>
      </w:pPr>
      <w:r w:rsidRPr="0006537B">
        <w:rPr>
          <w:rFonts w:ascii="Palatino Linotype" w:eastAsia="Palatino Linotype" w:hAnsi="Palatino Linotype" w:cs="Palatino Linotype"/>
          <w:b/>
          <w:i/>
        </w:rPr>
        <w:lastRenderedPageBreak/>
        <w:t>Bando Municipal 2025</w:t>
      </w:r>
    </w:p>
    <w:p w:rsidR="00816B3B" w:rsidRPr="0006537B" w:rsidRDefault="00816B3B" w:rsidP="00670285">
      <w:pPr>
        <w:ind w:left="567" w:right="-220"/>
        <w:jc w:val="center"/>
        <w:rPr>
          <w:rFonts w:ascii="Palatino Linotype" w:eastAsia="Palatino Linotype" w:hAnsi="Palatino Linotype" w:cs="Palatino Linotype"/>
          <w:b/>
          <w:i/>
        </w:rPr>
      </w:pPr>
    </w:p>
    <w:p w:rsidR="00816B3B"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73</w:t>
      </w:r>
      <w:r w:rsidRPr="0006537B">
        <w:rPr>
          <w:rFonts w:ascii="Palatino Linotype" w:eastAsia="Palatino Linotype" w:hAnsi="Palatino Linotype" w:cs="Palatino Linotype"/>
          <w:i/>
        </w:rPr>
        <w:t>. La organización de las unidades administrativas del Ayuntamiento se integra de la siguiente manera</w:t>
      </w:r>
      <w:r w:rsidR="00816B3B" w:rsidRPr="0006537B">
        <w:rPr>
          <w:rFonts w:ascii="Palatino Linotype" w:eastAsia="Palatino Linotype" w:hAnsi="Palatino Linotype" w:cs="Palatino Linotype"/>
          <w:i/>
        </w:rPr>
        <w:t>:</w:t>
      </w:r>
    </w:p>
    <w:p w:rsidR="00816B3B" w:rsidRPr="0006537B" w:rsidRDefault="00816B3B" w:rsidP="00670285">
      <w:pPr>
        <w:ind w:left="567" w:right="-788"/>
        <w:jc w:val="both"/>
        <w:rPr>
          <w:rFonts w:ascii="Palatino Linotype" w:eastAsia="Palatino Linotype" w:hAnsi="Palatino Linotype" w:cs="Palatino Linotype"/>
          <w:i/>
        </w:rPr>
      </w:pPr>
    </w:p>
    <w:p w:rsidR="00FB1F8E" w:rsidRPr="0006537B" w:rsidRDefault="00FB1F8E" w:rsidP="00670285">
      <w:pPr>
        <w:ind w:left="567" w:right="-788"/>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t xml:space="preserve">A. Dependencias </w:t>
      </w:r>
    </w:p>
    <w:p w:rsidR="00FB1F8E" w:rsidRPr="0006537B" w:rsidRDefault="00FB1F8E" w:rsidP="00670285">
      <w:pPr>
        <w:ind w:left="567" w:right="-788"/>
        <w:jc w:val="both"/>
        <w:rPr>
          <w:rFonts w:ascii="Palatino Linotype" w:eastAsia="Palatino Linotype" w:hAnsi="Palatino Linotype" w:cs="Palatino Linotype"/>
          <w:b/>
          <w:i/>
        </w:rPr>
      </w:pP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 Presidencia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II. Secretaría Particular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III. Oficina de Presidencia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IV. Órgano Interno de Control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V. Unidad de Información, Planeación, Programación, Evaluación y Transparencia.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VI. Dirección de Comunicación Social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VII. Consejería Jurídica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VIII. Coordinación General Municipal de Mejora Regulatoria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IX. Secretaría Técnica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 Coordinación de Atención Ciudadana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XI. Coordinación de Gestión y Políticas Públicas Municipales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XII. Coordinación de Gobernanza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XIII. Secretaría del Ayuntamiento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XIV. Tesorería Municipal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XV. Dirección de Administración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XVI. Dirección de Obras Públicas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XVII. Dirección de Desarrollo Urbano y Metropolitano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XVIII. Dirección de Servicios Públicos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XIX. Dirección de Desarrollo Económico y Empleo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 Dirección del Bienestar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XXI. Dirección de Fortalecimiento a la Industria del Calzado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XXII. Dirección del Campo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XXIII. Dirección de Educación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XXIV. Dirección de Cultura y Turismo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XXV. Dirección de Salud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XXVI. Dirección de la Mujer </w:t>
      </w:r>
    </w:p>
    <w:p w:rsidR="00816B3B"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XXVII. Dirección del Medio Ambiente y Desarrollo Sostenible</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XXVIII. Dirección de Gobernación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XXIX. Dirección de Seguridad Humana, Orden Vial y Protección Civil </w:t>
      </w:r>
    </w:p>
    <w:p w:rsidR="00FB1F8E" w:rsidRPr="0006537B" w:rsidRDefault="00FB1F8E" w:rsidP="00670285">
      <w:pPr>
        <w:ind w:left="567" w:right="-788"/>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lastRenderedPageBreak/>
        <w:t xml:space="preserve">B. Organismos Descentralizados </w:t>
      </w:r>
    </w:p>
    <w:p w:rsidR="00FB1F8E" w:rsidRPr="0006537B" w:rsidRDefault="00FB1F8E" w:rsidP="00670285">
      <w:pPr>
        <w:ind w:left="567" w:right="-788"/>
        <w:jc w:val="both"/>
        <w:rPr>
          <w:rFonts w:ascii="Palatino Linotype" w:eastAsia="Palatino Linotype" w:hAnsi="Palatino Linotype" w:cs="Palatino Linotype"/>
          <w:i/>
        </w:rPr>
      </w:pP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XXX. Sistema Municipal para el Desarrollo Integral de la Familia (DIF)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XXXI. Organismo Público Descentralizado para la prestación de los Servicios de Agua Potable, Alcantarillado y Saneamiento del Municipio de San Mateo Atenco (OPDAPAS).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XXXII. Instituto Municipal de Cultura Física y Deporte C. Organismos Desconcentrados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XXXIII. Instituto Municipal de la Juventud </w:t>
      </w:r>
    </w:p>
    <w:p w:rsidR="00FB1F8E" w:rsidRPr="0006537B" w:rsidRDefault="00FB1F8E" w:rsidP="00670285">
      <w:pPr>
        <w:ind w:left="567" w:right="-788"/>
        <w:jc w:val="both"/>
        <w:rPr>
          <w:rFonts w:ascii="Palatino Linotype" w:eastAsia="Palatino Linotype" w:hAnsi="Palatino Linotype" w:cs="Palatino Linotype"/>
          <w:i/>
        </w:rPr>
      </w:pP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D. Organismos Autónomos</w:t>
      </w:r>
      <w:r w:rsidRPr="0006537B">
        <w:rPr>
          <w:rFonts w:ascii="Palatino Linotype" w:eastAsia="Palatino Linotype" w:hAnsi="Palatino Linotype" w:cs="Palatino Linotype"/>
          <w:i/>
        </w:rPr>
        <w:t xml:space="preserve"> </w:t>
      </w:r>
    </w:p>
    <w:p w:rsidR="00FB1F8E" w:rsidRPr="0006537B" w:rsidRDefault="00FB1F8E" w:rsidP="00670285">
      <w:pPr>
        <w:ind w:left="567" w:right="-788"/>
        <w:jc w:val="both"/>
        <w:rPr>
          <w:rFonts w:ascii="Palatino Linotype" w:eastAsia="Palatino Linotype" w:hAnsi="Palatino Linotype" w:cs="Palatino Linotype"/>
          <w:i/>
        </w:rPr>
      </w:pP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XXXIV. Sistema Municipal Anticorrupción </w:t>
      </w:r>
    </w:p>
    <w:p w:rsidR="00FB1F8E" w:rsidRPr="0006537B" w:rsidRDefault="00FB1F8E" w:rsidP="00670285">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XXXV. Defensoría Municipal de Derechos humanos</w:t>
      </w:r>
    </w:p>
    <w:p w:rsidR="00816B3B" w:rsidRDefault="00816B3B" w:rsidP="00816B3B">
      <w:pPr>
        <w:spacing w:line="360" w:lineRule="auto"/>
        <w:ind w:right="-787"/>
        <w:jc w:val="both"/>
      </w:pPr>
    </w:p>
    <w:p w:rsidR="0006537B" w:rsidRPr="0006537B" w:rsidRDefault="0006537B" w:rsidP="00816B3B">
      <w:pPr>
        <w:spacing w:line="360" w:lineRule="auto"/>
        <w:ind w:right="-787"/>
        <w:jc w:val="both"/>
      </w:pPr>
    </w:p>
    <w:p w:rsidR="00433AE6" w:rsidRPr="0006537B" w:rsidRDefault="00433AE6"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El </w:t>
      </w:r>
      <w:r w:rsidR="00CC494A" w:rsidRPr="0006537B">
        <w:rPr>
          <w:rFonts w:ascii="Palatino Linotype" w:eastAsia="Palatino Linotype" w:hAnsi="Palatino Linotype" w:cs="Palatino Linotype"/>
        </w:rPr>
        <w:t>Libro Segundo de las Atribuciones de las Dependencias de la Administración Pública Municipal, del Compendio Reglamentario Municipal de San Mateo Atenco, establece en su artículo 2.72 las atribuciones de la Dirección de Administración, siendo las siguientes:</w:t>
      </w:r>
    </w:p>
    <w:p w:rsidR="00CC494A" w:rsidRPr="0006537B" w:rsidRDefault="00CC494A"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2.72</w:t>
      </w:r>
      <w:r w:rsidRPr="0006537B">
        <w:rPr>
          <w:rFonts w:ascii="Palatino Linotype" w:eastAsia="Palatino Linotype" w:hAnsi="Palatino Linotype" w:cs="Palatino Linotype"/>
          <w:i/>
        </w:rPr>
        <w:t xml:space="preserve">.- La o el titular de la </w:t>
      </w:r>
      <w:r w:rsidRPr="0006537B">
        <w:rPr>
          <w:rFonts w:ascii="Palatino Linotype" w:eastAsia="Palatino Linotype" w:hAnsi="Palatino Linotype" w:cs="Palatino Linotype"/>
          <w:b/>
          <w:i/>
        </w:rPr>
        <w:t>Dirección de Administración</w:t>
      </w:r>
      <w:r w:rsidRPr="0006537B">
        <w:rPr>
          <w:rFonts w:ascii="Palatino Linotype" w:eastAsia="Palatino Linotype" w:hAnsi="Palatino Linotype" w:cs="Palatino Linotype"/>
          <w:i/>
        </w:rPr>
        <w:t>, además de las atribuciones que le confiere la Ley Orgánica Municipal, tendrá el ejercicio de las atribuciones y obligaciones siguientes:</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XXII. Dirigir los procesos para</w:t>
      </w:r>
      <w:r w:rsidRPr="0006537B">
        <w:rPr>
          <w:rFonts w:ascii="Palatino Linotype" w:eastAsia="Palatino Linotype" w:hAnsi="Palatino Linotype" w:cs="Palatino Linotype"/>
          <w:i/>
        </w:rPr>
        <w:t xml:space="preserve"> seleccionar, </w:t>
      </w:r>
      <w:r w:rsidRPr="0006537B">
        <w:rPr>
          <w:rFonts w:ascii="Palatino Linotype" w:eastAsia="Palatino Linotype" w:hAnsi="Palatino Linotype" w:cs="Palatino Linotype"/>
          <w:b/>
          <w:i/>
        </w:rPr>
        <w:t>contratar</w:t>
      </w:r>
      <w:r w:rsidRPr="0006537B">
        <w:rPr>
          <w:rFonts w:ascii="Palatino Linotype" w:eastAsia="Palatino Linotype" w:hAnsi="Palatino Linotype" w:cs="Palatino Linotype"/>
          <w:i/>
        </w:rPr>
        <w:t xml:space="preserve"> y capacitar al personal de la Administración Pública Municipal;</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XXIII. Registrar los nombramientos</w:t>
      </w:r>
      <w:r w:rsidRPr="0006537B">
        <w:rPr>
          <w:rFonts w:ascii="Palatino Linotype" w:eastAsia="Palatino Linotype" w:hAnsi="Palatino Linotype" w:cs="Palatino Linotype"/>
          <w:i/>
        </w:rPr>
        <w:t xml:space="preserve"> de las y los funcionarios municipales, remitiendo para firma de la Presidenta Municipal y del Secretario (a) del Ayuntamiento; </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XXIV. Tramitar y registrar todos los movimientos del personal</w:t>
      </w:r>
      <w:r w:rsidRPr="0006537B">
        <w:rPr>
          <w:rFonts w:ascii="Palatino Linotype" w:eastAsia="Palatino Linotype" w:hAnsi="Palatino Linotype" w:cs="Palatino Linotype"/>
          <w:i/>
        </w:rPr>
        <w:t xml:space="preserve"> de la administración pública municipal centralizada;</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XXVI. Coordinar la revisión de</w:t>
      </w:r>
      <w:r w:rsidRPr="0006537B">
        <w:rPr>
          <w:rFonts w:ascii="Palatino Linotype" w:eastAsia="Palatino Linotype" w:hAnsi="Palatino Linotype" w:cs="Palatino Linotype"/>
          <w:i/>
        </w:rPr>
        <w:t xml:space="preserve"> los tabuladores de categorías y </w:t>
      </w:r>
      <w:r w:rsidRPr="0006537B">
        <w:rPr>
          <w:rFonts w:ascii="Palatino Linotype" w:eastAsia="Palatino Linotype" w:hAnsi="Palatino Linotype" w:cs="Palatino Linotype"/>
          <w:b/>
          <w:i/>
        </w:rPr>
        <w:t>percepciones</w:t>
      </w:r>
      <w:r w:rsidRPr="0006537B">
        <w:rPr>
          <w:rFonts w:ascii="Palatino Linotype" w:eastAsia="Palatino Linotype" w:hAnsi="Palatino Linotype" w:cs="Palatino Linotype"/>
          <w:i/>
        </w:rPr>
        <w:t xml:space="preserve"> de las y los servidores públicos municipales;</w:t>
      </w:r>
    </w:p>
    <w:p w:rsidR="009B02CE" w:rsidRPr="0006537B" w:rsidRDefault="009B02CE"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XXVIII. Establecer los medios, sistemas o instrumentos de</w:t>
      </w:r>
      <w:r w:rsidRPr="0006537B">
        <w:rPr>
          <w:rFonts w:ascii="Palatino Linotype" w:eastAsia="Palatino Linotype" w:hAnsi="Palatino Linotype" w:cs="Palatino Linotype"/>
          <w:i/>
        </w:rPr>
        <w:t xml:space="preserve"> registro y control de la asistencia y de </w:t>
      </w:r>
      <w:r w:rsidRPr="0006537B">
        <w:rPr>
          <w:rFonts w:ascii="Palatino Linotype" w:eastAsia="Palatino Linotype" w:hAnsi="Palatino Linotype" w:cs="Palatino Linotype"/>
          <w:b/>
          <w:i/>
          <w:u w:val="single"/>
        </w:rPr>
        <w:t>pago de nómina</w:t>
      </w:r>
      <w:r w:rsidRPr="0006537B">
        <w:rPr>
          <w:rFonts w:ascii="Palatino Linotype" w:eastAsia="Palatino Linotype" w:hAnsi="Palatino Linotype" w:cs="Palatino Linotype"/>
          <w:i/>
        </w:rPr>
        <w:t>, de las y los Servidores Públicos Municipales;</w:t>
      </w:r>
    </w:p>
    <w:p w:rsidR="00C705E5" w:rsidRPr="0006537B" w:rsidRDefault="00C705E5"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C705E5" w:rsidRPr="0006537B" w:rsidRDefault="00C705E5" w:rsidP="00CC494A">
      <w:pPr>
        <w:ind w:left="567" w:right="-788"/>
        <w:jc w:val="both"/>
        <w:rPr>
          <w:rFonts w:ascii="Palatino Linotype" w:eastAsia="Palatino Linotype" w:hAnsi="Palatino Linotype" w:cs="Palatino Linotype"/>
          <w:i/>
        </w:rPr>
      </w:pPr>
    </w:p>
    <w:p w:rsidR="00C705E5" w:rsidRPr="0006537B" w:rsidRDefault="00C705E5" w:rsidP="00CC494A">
      <w:pPr>
        <w:ind w:left="567" w:right="-788"/>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lastRenderedPageBreak/>
        <w:t xml:space="preserve">DE LA ORGANIZACIÓN DE LA DIRECCIÓN DE ADMINISTRACIÓN </w:t>
      </w:r>
    </w:p>
    <w:p w:rsidR="00C705E5" w:rsidRPr="0006537B" w:rsidRDefault="00C705E5" w:rsidP="00CC494A">
      <w:pPr>
        <w:ind w:left="567" w:right="-788"/>
        <w:jc w:val="both"/>
        <w:rPr>
          <w:rFonts w:ascii="Palatino Linotype" w:eastAsia="Palatino Linotype" w:hAnsi="Palatino Linotype" w:cs="Palatino Linotype"/>
          <w:i/>
        </w:rPr>
      </w:pPr>
    </w:p>
    <w:p w:rsidR="00C705E5" w:rsidRPr="0006537B" w:rsidRDefault="00C705E5"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2.73</w:t>
      </w:r>
      <w:r w:rsidRPr="0006537B">
        <w:rPr>
          <w:rFonts w:ascii="Palatino Linotype" w:eastAsia="Palatino Linotype" w:hAnsi="Palatino Linotype" w:cs="Palatino Linotype"/>
          <w:i/>
        </w:rPr>
        <w:t xml:space="preserve">.- Para el estudio, planeación y despacho de los asuntos de su competencia, la (el) </w:t>
      </w:r>
      <w:r w:rsidRPr="0006537B">
        <w:rPr>
          <w:rFonts w:ascii="Palatino Linotype" w:eastAsia="Palatino Linotype" w:hAnsi="Palatino Linotype" w:cs="Palatino Linotype"/>
          <w:b/>
          <w:i/>
        </w:rPr>
        <w:t>Titular de la Dirección de Administración contará con las unidades administrativas siguientes</w:t>
      </w:r>
      <w:r w:rsidRPr="0006537B">
        <w:rPr>
          <w:rFonts w:ascii="Palatino Linotype" w:eastAsia="Palatino Linotype" w:hAnsi="Palatino Linotype" w:cs="Palatino Linotype"/>
          <w:i/>
        </w:rPr>
        <w:t xml:space="preserve">: </w:t>
      </w:r>
    </w:p>
    <w:p w:rsidR="00C705E5" w:rsidRPr="0006537B" w:rsidRDefault="00C705E5" w:rsidP="00CC494A">
      <w:pPr>
        <w:ind w:left="567" w:right="-788"/>
        <w:jc w:val="both"/>
        <w:rPr>
          <w:rFonts w:ascii="Palatino Linotype" w:eastAsia="Palatino Linotype" w:hAnsi="Palatino Linotype" w:cs="Palatino Linotype"/>
          <w:i/>
        </w:rPr>
      </w:pPr>
    </w:p>
    <w:p w:rsidR="00C705E5" w:rsidRPr="0006537B" w:rsidRDefault="00C705E5" w:rsidP="00CC494A">
      <w:pPr>
        <w:ind w:left="567" w:right="-788"/>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t xml:space="preserve">I. Departamento de Recursos Humanos </w:t>
      </w:r>
    </w:p>
    <w:p w:rsidR="00C705E5" w:rsidRPr="0006537B" w:rsidRDefault="00C705E5"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II. Departamento de Control Patrimonial y Recursos Materiales </w:t>
      </w:r>
    </w:p>
    <w:p w:rsidR="00C705E5" w:rsidRPr="0006537B" w:rsidRDefault="00C705E5"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III. Departamento de Servicios Generales </w:t>
      </w:r>
    </w:p>
    <w:p w:rsidR="00C705E5" w:rsidRPr="0006537B" w:rsidRDefault="00C705E5" w:rsidP="00CC494A">
      <w:pPr>
        <w:ind w:left="567"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IV. Departamento de Gobierno Digital e Informática</w:t>
      </w:r>
    </w:p>
    <w:p w:rsidR="009B02CE" w:rsidRPr="0006537B" w:rsidRDefault="009B02CE" w:rsidP="00CC494A">
      <w:pPr>
        <w:ind w:left="567" w:right="-788"/>
        <w:jc w:val="both"/>
        <w:rPr>
          <w:rFonts w:ascii="Palatino Linotype" w:eastAsia="Palatino Linotype" w:hAnsi="Palatino Linotype" w:cs="Palatino Linotype"/>
          <w:i/>
        </w:rPr>
      </w:pPr>
    </w:p>
    <w:p w:rsidR="00892A5C" w:rsidRPr="0006537B" w:rsidRDefault="00892A5C" w:rsidP="00892A5C">
      <w:pPr>
        <w:spacing w:line="360" w:lineRule="auto"/>
        <w:ind w:right="-787"/>
        <w:jc w:val="both"/>
        <w:rPr>
          <w:rFonts w:ascii="Palatino Linotype" w:eastAsia="Palatino Linotype" w:hAnsi="Palatino Linotype" w:cs="Palatino Linotype"/>
        </w:rPr>
      </w:pPr>
    </w:p>
    <w:p w:rsidR="004E6228" w:rsidRPr="0006537B" w:rsidRDefault="004E6228" w:rsidP="00533477">
      <w:pPr>
        <w:numPr>
          <w:ilvl w:val="0"/>
          <w:numId w:val="2"/>
        </w:numPr>
        <w:spacing w:line="360" w:lineRule="auto"/>
        <w:ind w:left="0" w:right="-787" w:firstLine="0"/>
        <w:jc w:val="both"/>
        <w:rPr>
          <w:rFonts w:ascii="Palatino Linotype" w:eastAsia="Palatino Linotype" w:hAnsi="Palatino Linotype" w:cs="Palatino Linotype"/>
          <w:b/>
        </w:rPr>
      </w:pPr>
      <w:r w:rsidRPr="0006537B">
        <w:rPr>
          <w:rFonts w:ascii="Palatino Linotype" w:eastAsia="Palatino Linotype" w:hAnsi="Palatino Linotype" w:cs="Palatino Linotype"/>
        </w:rPr>
        <w:t xml:space="preserve">En razón de la normatividad señalada, la </w:t>
      </w:r>
      <w:r w:rsidRPr="0006537B">
        <w:rPr>
          <w:rFonts w:ascii="Palatino Linotype" w:eastAsia="Palatino Linotype" w:hAnsi="Palatino Linotype" w:cs="Palatino Linotype"/>
          <w:b/>
        </w:rPr>
        <w:t>Dirección de Administración</w:t>
      </w:r>
      <w:r w:rsidRPr="0006537B">
        <w:rPr>
          <w:rFonts w:ascii="Palatino Linotype" w:eastAsia="Palatino Linotype" w:hAnsi="Palatino Linotype" w:cs="Palatino Linotype"/>
        </w:rPr>
        <w:t xml:space="preserve"> a través de sus unidades administrativas es el área encargada de la contratación de personal, nombramientos, movimientos. Tabuladores, percepciones y pago de nómina, por lo que </w:t>
      </w:r>
      <w:r w:rsidRPr="0006537B">
        <w:rPr>
          <w:rFonts w:ascii="Palatino Linotype" w:eastAsia="Palatino Linotype" w:hAnsi="Palatino Linotype" w:cs="Palatino Linotype"/>
          <w:b/>
        </w:rPr>
        <w:t>es la competente para conocer de la información requerida.</w:t>
      </w:r>
    </w:p>
    <w:p w:rsidR="004C1A1A" w:rsidRPr="0006537B" w:rsidRDefault="004C1A1A" w:rsidP="004C1A1A">
      <w:pPr>
        <w:spacing w:line="360" w:lineRule="auto"/>
        <w:ind w:right="-787"/>
        <w:jc w:val="both"/>
        <w:rPr>
          <w:rFonts w:ascii="Palatino Linotype" w:eastAsia="Palatino Linotype" w:hAnsi="Palatino Linotype" w:cs="Palatino Linotype"/>
        </w:rPr>
      </w:pPr>
    </w:p>
    <w:p w:rsidR="004E6228" w:rsidRPr="0006537B" w:rsidRDefault="004E6228" w:rsidP="00533477">
      <w:pPr>
        <w:numPr>
          <w:ilvl w:val="0"/>
          <w:numId w:val="2"/>
        </w:numPr>
        <w:spacing w:line="360" w:lineRule="auto"/>
        <w:ind w:left="0" w:right="-787" w:firstLine="0"/>
        <w:jc w:val="both"/>
      </w:pPr>
      <w:r w:rsidRPr="0006537B">
        <w:rPr>
          <w:rFonts w:ascii="Palatino Linotype" w:eastAsia="Palatino Linotype" w:hAnsi="Palatino Linotype" w:cs="Palatino Linotype"/>
        </w:rPr>
        <w:t xml:space="preserve">De lo expuesto es de precisar que la respuesta fue emitida por la unidad administrativa competente, por lo que podemos advertir que </w:t>
      </w:r>
      <w:r w:rsidRPr="0006537B">
        <w:rPr>
          <w:rFonts w:ascii="Palatino Linotype" w:eastAsia="Palatino Linotype" w:hAnsi="Palatino Linotype" w:cs="Palatino Linotype"/>
          <w:b/>
        </w:rPr>
        <w:t xml:space="preserve">EL SUJETO OBLIGADO </w:t>
      </w:r>
      <w:r w:rsidRPr="0006537B">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4E6228" w:rsidRPr="0006537B" w:rsidRDefault="004E6228" w:rsidP="004E6228">
      <w:pPr>
        <w:ind w:left="708" w:right="62"/>
        <w:jc w:val="both"/>
        <w:rPr>
          <w:rFonts w:ascii="Palatino Linotype" w:eastAsia="Palatino Linotype" w:hAnsi="Palatino Linotype" w:cs="Palatino Linotype"/>
          <w:i/>
        </w:rPr>
      </w:pPr>
      <w:r w:rsidRPr="0006537B">
        <w:rPr>
          <w:rFonts w:ascii="Palatino Linotype" w:eastAsia="Palatino Linotype" w:hAnsi="Palatino Linotype" w:cs="Palatino Linotype"/>
          <w:b/>
          <w:i/>
        </w:rPr>
        <w:t>XXXIX.</w:t>
      </w:r>
      <w:r w:rsidRPr="0006537B">
        <w:rPr>
          <w:rFonts w:ascii="Palatino Linotype" w:eastAsia="Palatino Linotype" w:hAnsi="Palatino Linotype" w:cs="Palatino Linotype"/>
          <w:i/>
        </w:rPr>
        <w:t xml:space="preserve"> </w:t>
      </w:r>
      <w:r w:rsidRPr="0006537B">
        <w:rPr>
          <w:rFonts w:ascii="Palatino Linotype" w:eastAsia="Palatino Linotype" w:hAnsi="Palatino Linotype" w:cs="Palatino Linotype"/>
          <w:b/>
          <w:i/>
        </w:rPr>
        <w:t>Servidor público habilitado</w:t>
      </w:r>
      <w:r w:rsidRPr="0006537B">
        <w:rPr>
          <w:rFonts w:ascii="Palatino Linotype" w:eastAsia="Palatino Linotype" w:hAnsi="Palatino Linotype" w:cs="Palatino Linotype"/>
          <w:i/>
        </w:rPr>
        <w:t xml:space="preserve">: Persona encargada dentro de las diversas unidades administrativas o áreas del sujeto obligado, de apoyar, gestionar y entregar la información o datos personales que se ubiquen en la misma, a sus respectivas unidades </w:t>
      </w:r>
      <w:r w:rsidRPr="0006537B">
        <w:rPr>
          <w:rFonts w:ascii="Palatino Linotype" w:eastAsia="Palatino Linotype" w:hAnsi="Palatino Linotype" w:cs="Palatino Linotype"/>
          <w:i/>
        </w:rPr>
        <w:lastRenderedPageBreak/>
        <w:t>de transparencia; respecto de las solicitudes presentadas y aportar en primera instancia el fundamento y motivación de la clasificación de la información.</w:t>
      </w:r>
    </w:p>
    <w:p w:rsidR="004E6228" w:rsidRPr="0006537B" w:rsidRDefault="004E6228" w:rsidP="004E6228">
      <w:pPr>
        <w:spacing w:line="360" w:lineRule="auto"/>
        <w:ind w:left="708" w:right="62"/>
        <w:jc w:val="both"/>
        <w:rPr>
          <w:rFonts w:ascii="Palatino Linotype" w:eastAsia="Palatino Linotype" w:hAnsi="Palatino Linotype" w:cs="Palatino Linotype"/>
        </w:rPr>
      </w:pPr>
    </w:p>
    <w:p w:rsidR="004E6228" w:rsidRPr="0006537B" w:rsidRDefault="004E6228" w:rsidP="00533477">
      <w:pPr>
        <w:numPr>
          <w:ilvl w:val="0"/>
          <w:numId w:val="2"/>
        </w:numPr>
        <w:spacing w:line="360" w:lineRule="auto"/>
        <w:ind w:left="0" w:right="-787" w:firstLine="0"/>
        <w:jc w:val="both"/>
      </w:pPr>
      <w:r w:rsidRPr="0006537B">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4E6228" w:rsidRPr="0006537B" w:rsidRDefault="004E6228" w:rsidP="004E6228">
      <w:pPr>
        <w:ind w:left="425"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b/>
          <w:i/>
        </w:rPr>
        <w:t>Artículo 162.</w:t>
      </w:r>
      <w:r w:rsidRPr="0006537B">
        <w:rPr>
          <w:rFonts w:ascii="Palatino Linotype" w:eastAsia="Palatino Linotype" w:hAnsi="Palatino Linotype" w:cs="Palatino Linotype"/>
          <w:i/>
        </w:rPr>
        <w:t xml:space="preserve"> Las unidades de transparencia deberán garantizar que las solicitudes se turnen a </w:t>
      </w:r>
      <w:r w:rsidRPr="0006537B">
        <w:rPr>
          <w:rFonts w:ascii="Palatino Linotype" w:eastAsia="Palatino Linotype" w:hAnsi="Palatino Linotype" w:cs="Palatino Linotype"/>
          <w:b/>
          <w:i/>
        </w:rPr>
        <w:t>todas las Áreas competentes</w:t>
      </w:r>
      <w:r w:rsidRPr="0006537B">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4E6228" w:rsidRPr="0006537B" w:rsidRDefault="004E6228" w:rsidP="004E6228">
      <w:pPr>
        <w:spacing w:line="360" w:lineRule="auto"/>
        <w:ind w:right="-787"/>
        <w:jc w:val="both"/>
        <w:rPr>
          <w:rFonts w:ascii="Palatino Linotype" w:eastAsia="Palatino Linotype" w:hAnsi="Palatino Linotype" w:cs="Palatino Linotype"/>
          <w:color w:val="000000"/>
        </w:rPr>
      </w:pPr>
    </w:p>
    <w:p w:rsidR="004E6228" w:rsidRPr="0006537B" w:rsidRDefault="004E6228" w:rsidP="00533477">
      <w:pPr>
        <w:numPr>
          <w:ilvl w:val="0"/>
          <w:numId w:val="2"/>
        </w:numPr>
        <w:spacing w:line="360" w:lineRule="auto"/>
        <w:ind w:left="0" w:right="-787" w:firstLine="0"/>
        <w:jc w:val="both"/>
        <w:rPr>
          <w:color w:val="000000"/>
        </w:rPr>
      </w:pPr>
      <w:r w:rsidRPr="0006537B">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E6228" w:rsidRPr="0006537B" w:rsidRDefault="004E6228" w:rsidP="004E6228">
      <w:pPr>
        <w:ind w:left="1134" w:right="-220"/>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w:t>
      </w:r>
      <w:r w:rsidRPr="0006537B">
        <w:rPr>
          <w:rFonts w:ascii="Palatino Linotype" w:eastAsia="Palatino Linotype" w:hAnsi="Palatino Linotype" w:cs="Palatino Linotype"/>
          <w:b/>
          <w:i/>
          <w:color w:val="000000"/>
        </w:rPr>
        <w:t xml:space="preserve">Artículo 3. </w:t>
      </w:r>
      <w:r w:rsidRPr="0006537B">
        <w:rPr>
          <w:rFonts w:ascii="Palatino Linotype" w:eastAsia="Palatino Linotype" w:hAnsi="Palatino Linotype" w:cs="Palatino Linotype"/>
          <w:i/>
          <w:color w:val="000000"/>
        </w:rPr>
        <w:t>Para los efectos de la presente Ley se entenderá por:</w:t>
      </w:r>
    </w:p>
    <w:p w:rsidR="004E6228" w:rsidRPr="0006537B" w:rsidRDefault="004E6228" w:rsidP="004E6228">
      <w:pPr>
        <w:ind w:left="1134" w:right="-220"/>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w:t>
      </w:r>
    </w:p>
    <w:p w:rsidR="004E6228" w:rsidRPr="0006537B" w:rsidRDefault="004E6228" w:rsidP="004E6228">
      <w:pPr>
        <w:ind w:left="1134" w:right="-220"/>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XI. Documento:</w:t>
      </w:r>
      <w:r w:rsidRPr="0006537B">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E6228" w:rsidRPr="0006537B" w:rsidRDefault="004E6228" w:rsidP="004E6228">
      <w:pPr>
        <w:spacing w:line="360" w:lineRule="auto"/>
        <w:ind w:left="1134" w:right="-220"/>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w:t>
      </w:r>
    </w:p>
    <w:p w:rsidR="004E6228" w:rsidRPr="0006537B" w:rsidRDefault="004E6228" w:rsidP="00533477">
      <w:pPr>
        <w:numPr>
          <w:ilvl w:val="0"/>
          <w:numId w:val="2"/>
        </w:numPr>
        <w:spacing w:line="360" w:lineRule="auto"/>
        <w:ind w:left="0" w:right="-787" w:firstLine="0"/>
        <w:jc w:val="both"/>
        <w:rPr>
          <w:color w:val="000000"/>
        </w:rPr>
      </w:pPr>
      <w:r w:rsidRPr="0006537B">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E6228" w:rsidRPr="0006537B" w:rsidRDefault="004E6228" w:rsidP="004E6228">
      <w:pPr>
        <w:ind w:left="850" w:right="-220"/>
        <w:jc w:val="both"/>
        <w:rPr>
          <w:rFonts w:ascii="Palatino Linotype" w:eastAsia="Palatino Linotype" w:hAnsi="Palatino Linotype" w:cs="Palatino Linotype"/>
          <w:b/>
          <w:i/>
        </w:rPr>
      </w:pPr>
      <w:r w:rsidRPr="0006537B">
        <w:rPr>
          <w:rFonts w:ascii="Palatino Linotype" w:eastAsia="Palatino Linotype" w:hAnsi="Palatino Linotype" w:cs="Palatino Linotype"/>
          <w:b/>
        </w:rPr>
        <w:t>“</w:t>
      </w:r>
      <w:r w:rsidRPr="0006537B">
        <w:rPr>
          <w:rFonts w:ascii="Palatino Linotype" w:eastAsia="Palatino Linotype" w:hAnsi="Palatino Linotype" w:cs="Palatino Linotype"/>
          <w:b/>
          <w:i/>
        </w:rPr>
        <w:t>CRITERIO 0002-11</w:t>
      </w:r>
    </w:p>
    <w:p w:rsidR="004E6228" w:rsidRPr="0006537B" w:rsidRDefault="004E6228" w:rsidP="004E6228">
      <w:pPr>
        <w:ind w:left="850" w:right="-220"/>
        <w:jc w:val="both"/>
        <w:rPr>
          <w:rFonts w:ascii="Palatino Linotype" w:eastAsia="Palatino Linotype" w:hAnsi="Palatino Linotype" w:cs="Palatino Linotype"/>
          <w:i/>
        </w:rPr>
      </w:pPr>
      <w:r w:rsidRPr="0006537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6537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E6228" w:rsidRPr="0006537B" w:rsidRDefault="004E6228" w:rsidP="004E6228">
      <w:pPr>
        <w:ind w:left="850"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En consecuencia el acceso a la información se refiere a que se cumplan cualquiera de los siguientes tres supuestos:</w:t>
      </w:r>
    </w:p>
    <w:p w:rsidR="004E6228" w:rsidRPr="0006537B" w:rsidRDefault="004E6228" w:rsidP="004E6228">
      <w:pPr>
        <w:ind w:left="850" w:right="-220"/>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t xml:space="preserve">1) </w:t>
      </w:r>
      <w:r w:rsidRPr="0006537B">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4E6228" w:rsidRPr="0006537B" w:rsidRDefault="004E6228" w:rsidP="004E6228">
      <w:pPr>
        <w:ind w:left="850"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4E6228" w:rsidRPr="0006537B" w:rsidRDefault="004E6228" w:rsidP="004E6228">
      <w:pPr>
        <w:ind w:left="850"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4E6228" w:rsidRPr="0006537B" w:rsidRDefault="004E6228" w:rsidP="004E6228">
      <w:pPr>
        <w:tabs>
          <w:tab w:val="left" w:pos="851"/>
        </w:tabs>
        <w:spacing w:line="360" w:lineRule="auto"/>
        <w:ind w:left="850" w:right="-220"/>
        <w:rPr>
          <w:rFonts w:ascii="Palatino Linotype" w:eastAsia="Palatino Linotype" w:hAnsi="Palatino Linotype" w:cs="Palatino Linotype"/>
        </w:rPr>
      </w:pPr>
      <w:r w:rsidRPr="0006537B">
        <w:rPr>
          <w:rFonts w:ascii="Palatino Linotype" w:eastAsia="Palatino Linotype" w:hAnsi="Palatino Linotype" w:cs="Palatino Linotype"/>
        </w:rPr>
        <w:t>(Énfasis Añadido)</w:t>
      </w:r>
    </w:p>
    <w:p w:rsidR="004E6228" w:rsidRPr="0006537B" w:rsidRDefault="004E6228" w:rsidP="004E6228">
      <w:pPr>
        <w:pBdr>
          <w:top w:val="nil"/>
          <w:left w:val="nil"/>
          <w:bottom w:val="nil"/>
          <w:right w:val="nil"/>
          <w:between w:val="nil"/>
        </w:pBdr>
        <w:ind w:right="-787"/>
        <w:jc w:val="both"/>
        <w:rPr>
          <w:rFonts w:ascii="Palatino Linotype" w:eastAsia="Palatino Linotype" w:hAnsi="Palatino Linotype" w:cs="Palatino Linotype"/>
          <w:color w:val="000000"/>
        </w:rPr>
      </w:pPr>
    </w:p>
    <w:p w:rsidR="004E6228" w:rsidRPr="0006537B" w:rsidRDefault="004E6228" w:rsidP="00533477">
      <w:pPr>
        <w:numPr>
          <w:ilvl w:val="0"/>
          <w:numId w:val="2"/>
        </w:numPr>
        <w:spacing w:line="360" w:lineRule="auto"/>
        <w:ind w:left="0" w:right="-787" w:firstLine="0"/>
        <w:jc w:val="both"/>
        <w:rPr>
          <w:color w:val="000000"/>
        </w:rPr>
      </w:pPr>
      <w:r w:rsidRPr="0006537B">
        <w:rPr>
          <w:rFonts w:ascii="Palatino Linotype" w:eastAsia="Palatino Linotype" w:hAnsi="Palatino Linotype" w:cs="Palatino Linotype"/>
          <w:color w:val="000000"/>
        </w:rPr>
        <w:t>Por su parte los artículos 160 y 166, de la Ley local en la materia, que se reproduce de la siguiente forma:</w:t>
      </w:r>
    </w:p>
    <w:p w:rsidR="004E6228" w:rsidRPr="0006537B" w:rsidRDefault="004E6228" w:rsidP="004E6228">
      <w:pPr>
        <w:ind w:left="566"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b/>
          <w:i/>
        </w:rPr>
        <w:t>Artículo 160.</w:t>
      </w:r>
      <w:r w:rsidRPr="0006537B">
        <w:rPr>
          <w:rFonts w:ascii="Palatino Linotype" w:eastAsia="Palatino Linotype" w:hAnsi="Palatino Linotype" w:cs="Palatino Linotype"/>
          <w:i/>
        </w:rPr>
        <w:t xml:space="preserve"> </w:t>
      </w:r>
      <w:r w:rsidRPr="0006537B">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06537B">
        <w:rPr>
          <w:rFonts w:ascii="Palatino Linotype" w:eastAsia="Palatino Linotype" w:hAnsi="Palatino Linotype" w:cs="Palatino Linotype"/>
          <w:i/>
          <w:u w:val="single"/>
        </w:rPr>
        <w:lastRenderedPageBreak/>
        <w:t>aquellos formatos existentes, conforme a las características físicas de la información o del lugar donde se encuentre así lo permita</w:t>
      </w:r>
      <w:r w:rsidRPr="0006537B">
        <w:rPr>
          <w:rFonts w:ascii="Palatino Linotype" w:eastAsia="Palatino Linotype" w:hAnsi="Palatino Linotype" w:cs="Palatino Linotype"/>
          <w:i/>
        </w:rPr>
        <w:t>.</w:t>
      </w:r>
    </w:p>
    <w:p w:rsidR="004E6228" w:rsidRPr="0006537B" w:rsidRDefault="004E6228" w:rsidP="004E6228">
      <w:pPr>
        <w:ind w:left="566" w:right="-220"/>
        <w:jc w:val="both"/>
        <w:rPr>
          <w:rFonts w:ascii="Palatino Linotype" w:eastAsia="Palatino Linotype" w:hAnsi="Palatino Linotype" w:cs="Palatino Linotype"/>
          <w:i/>
        </w:rPr>
      </w:pPr>
    </w:p>
    <w:p w:rsidR="004E6228" w:rsidRPr="0006537B" w:rsidRDefault="004E6228" w:rsidP="004E6228">
      <w:pPr>
        <w:ind w:left="566"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En caso que la información solicitada consista en bases de datos se deberá privilegiar la entrega de la misma en formatos abiertos.</w:t>
      </w:r>
    </w:p>
    <w:p w:rsidR="004E6228" w:rsidRPr="0006537B" w:rsidRDefault="004E6228" w:rsidP="004E6228">
      <w:pPr>
        <w:ind w:left="566" w:right="-220"/>
        <w:jc w:val="both"/>
        <w:rPr>
          <w:rFonts w:ascii="Palatino Linotype" w:eastAsia="Palatino Linotype" w:hAnsi="Palatino Linotype" w:cs="Palatino Linotype"/>
          <w:i/>
          <w:u w:val="single"/>
        </w:rPr>
      </w:pPr>
      <w:r w:rsidRPr="0006537B">
        <w:rPr>
          <w:rFonts w:ascii="Palatino Linotype" w:eastAsia="Palatino Linotype" w:hAnsi="Palatino Linotype" w:cs="Palatino Linotype"/>
          <w:b/>
          <w:i/>
        </w:rPr>
        <w:t>Artículo 166.</w:t>
      </w:r>
      <w:r w:rsidRPr="0006537B">
        <w:rPr>
          <w:rFonts w:ascii="Palatino Linotype" w:eastAsia="Palatino Linotype" w:hAnsi="Palatino Linotype" w:cs="Palatino Linotype"/>
          <w:i/>
        </w:rPr>
        <w:t xml:space="preserve"> </w:t>
      </w:r>
      <w:r w:rsidRPr="0006537B">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4E6228" w:rsidRPr="0006537B" w:rsidRDefault="004E6228" w:rsidP="004E6228">
      <w:pPr>
        <w:spacing w:line="360" w:lineRule="auto"/>
        <w:ind w:left="566" w:right="-220"/>
        <w:jc w:val="both"/>
        <w:rPr>
          <w:rFonts w:ascii="Palatino Linotype" w:eastAsia="Palatino Linotype" w:hAnsi="Palatino Linotype" w:cs="Palatino Linotype"/>
        </w:rPr>
      </w:pPr>
      <w:r w:rsidRPr="0006537B">
        <w:rPr>
          <w:rFonts w:ascii="Palatino Linotype" w:eastAsia="Palatino Linotype" w:hAnsi="Palatino Linotype" w:cs="Palatino Linotype"/>
        </w:rPr>
        <w:t>(Énfasis añadido)</w:t>
      </w:r>
    </w:p>
    <w:p w:rsidR="004E6228" w:rsidRPr="0006537B" w:rsidRDefault="004E6228" w:rsidP="004E6228">
      <w:pPr>
        <w:ind w:right="-787"/>
        <w:jc w:val="both"/>
        <w:rPr>
          <w:rFonts w:ascii="Palatino Linotype" w:eastAsia="Palatino Linotype" w:hAnsi="Palatino Linotype" w:cs="Palatino Linotype"/>
        </w:rPr>
      </w:pPr>
    </w:p>
    <w:p w:rsidR="004E6228" w:rsidRPr="0006537B" w:rsidRDefault="004E6228" w:rsidP="00533477">
      <w:pPr>
        <w:numPr>
          <w:ilvl w:val="0"/>
          <w:numId w:val="2"/>
        </w:numPr>
        <w:spacing w:line="360" w:lineRule="auto"/>
        <w:ind w:left="0" w:right="-787" w:firstLine="0"/>
        <w:jc w:val="both"/>
        <w:rPr>
          <w:color w:val="000000"/>
        </w:rPr>
      </w:pPr>
      <w:r w:rsidRPr="0006537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E6228" w:rsidRPr="0006537B" w:rsidRDefault="004E6228" w:rsidP="004E6228">
      <w:pPr>
        <w:spacing w:line="360" w:lineRule="auto"/>
        <w:ind w:right="-787"/>
        <w:jc w:val="both"/>
        <w:rPr>
          <w:color w:val="000000"/>
        </w:rPr>
      </w:pPr>
    </w:p>
    <w:p w:rsidR="004E6228" w:rsidRPr="0006537B" w:rsidRDefault="004E6228"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color w:val="000000"/>
        </w:rPr>
        <w:t xml:space="preserve">Es de recordar que el particular solicitó tener acceso a </w:t>
      </w:r>
      <w:r w:rsidRPr="0006537B">
        <w:rPr>
          <w:rFonts w:ascii="Palatino Linotype" w:eastAsia="Palatino Linotype" w:hAnsi="Palatino Linotype" w:cs="Palatino Linotype"/>
          <w:i/>
          <w:color w:val="000000"/>
        </w:rPr>
        <w:t>la nómina, y recibos de honorarios firmados, de la primera y segunda quincena de enero de 2025, de los directores, coordinadores, subdirectores, directores de organismos auxiliares, organismos autónomos y jefes de departamento</w:t>
      </w:r>
      <w:r w:rsidR="00247B94" w:rsidRPr="0006537B">
        <w:rPr>
          <w:rFonts w:ascii="Palatino Linotype" w:eastAsia="Palatino Linotype" w:hAnsi="Palatino Linotype" w:cs="Palatino Linotype"/>
          <w:color w:val="000000"/>
        </w:rPr>
        <w:t>.</w:t>
      </w:r>
    </w:p>
    <w:p w:rsidR="00247B94" w:rsidRPr="0006537B" w:rsidRDefault="00247B94" w:rsidP="00247B94">
      <w:pPr>
        <w:spacing w:line="360" w:lineRule="auto"/>
        <w:ind w:right="-787"/>
        <w:jc w:val="both"/>
        <w:rPr>
          <w:rFonts w:ascii="Palatino Linotype" w:eastAsia="Palatino Linotype" w:hAnsi="Palatino Linotype" w:cs="Palatino Linotype"/>
        </w:rPr>
      </w:pPr>
    </w:p>
    <w:p w:rsidR="00133F9B"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Ahora bien, es de referir que un </w:t>
      </w:r>
      <w:r w:rsidRPr="0006537B">
        <w:rPr>
          <w:rFonts w:ascii="Palatino Linotype" w:eastAsia="Palatino Linotype" w:hAnsi="Palatino Linotype" w:cs="Palatino Linotype"/>
          <w:b/>
          <w:color w:val="000000"/>
          <w:u w:val="single"/>
        </w:rPr>
        <w:t>recibo de honorarios</w:t>
      </w:r>
      <w:r w:rsidRPr="0006537B">
        <w:rPr>
          <w:rFonts w:ascii="Palatino Linotype" w:eastAsia="Palatino Linotype" w:hAnsi="Palatino Linotype" w:cs="Palatino Linotype"/>
          <w:color w:val="000000"/>
        </w:rPr>
        <w:t xml:space="preserve"> es el documento que acredita la entrega de un pago a un trabajador por un servicio prestado, </w:t>
      </w:r>
      <w:r w:rsidR="00133F9B" w:rsidRPr="0006537B">
        <w:rPr>
          <w:rFonts w:ascii="Palatino Linotype" w:eastAsia="Palatino Linotype" w:hAnsi="Palatino Linotype" w:cs="Palatino Linotype"/>
          <w:color w:val="000000"/>
        </w:rPr>
        <w:t xml:space="preserve">primordialmente por servicios profesionales independientes, es decir, sin una relación laboral formal; por el contrario, un </w:t>
      </w:r>
      <w:r w:rsidR="00133F9B" w:rsidRPr="0006537B">
        <w:rPr>
          <w:rFonts w:ascii="Palatino Linotype" w:eastAsia="Palatino Linotype" w:hAnsi="Palatino Linotype" w:cs="Palatino Linotype"/>
          <w:b/>
          <w:color w:val="000000"/>
          <w:u w:val="single"/>
        </w:rPr>
        <w:t>recibo de nómina</w:t>
      </w:r>
      <w:r w:rsidR="00133F9B" w:rsidRPr="0006537B">
        <w:rPr>
          <w:rFonts w:ascii="Palatino Linotype" w:eastAsia="Palatino Linotype" w:hAnsi="Palatino Linotype" w:cs="Palatino Linotype"/>
          <w:color w:val="000000"/>
        </w:rPr>
        <w:t xml:space="preserve"> ampara el pago de salarios y prestaciones a empleados con una relación laboral determinada a través de un contrato o nombramiento, en consecuencia y derivado de la solicitud de información, el recurrente desea conocer los recibos de pago de los servidores públicos referidos en la solicitud, mismos que se encuentran sujetos a una relación laboral formalizada a través de Contratos, Nombramientos o Formato Único de Movimientos de </w:t>
      </w:r>
      <w:r w:rsidR="00133F9B" w:rsidRPr="0006537B">
        <w:rPr>
          <w:rFonts w:ascii="Palatino Linotype" w:eastAsia="Palatino Linotype" w:hAnsi="Palatino Linotype" w:cs="Palatino Linotype"/>
          <w:color w:val="000000"/>
        </w:rPr>
        <w:lastRenderedPageBreak/>
        <w:t>Personal, en este sentido, es de referir que es</w:t>
      </w:r>
      <w:r w:rsidR="00133F9B" w:rsidRPr="0006537B">
        <w:rPr>
          <w:rFonts w:ascii="Palatino Linotype" w:eastAsia="Palatino Linotype" w:hAnsi="Palatino Linotype" w:cs="Palatino Linotype"/>
          <w:b/>
          <w:color w:val="000000"/>
        </w:rPr>
        <w:t>te Organismo aplica la suplencia de la queja a favor del recurrente</w:t>
      </w:r>
      <w:r w:rsidR="00133F9B" w:rsidRPr="0006537B">
        <w:rPr>
          <w:rFonts w:ascii="Palatino Linotype" w:eastAsia="Palatino Linotype" w:hAnsi="Palatino Linotype" w:cs="Palatino Linotype"/>
          <w:color w:val="000000"/>
        </w:rPr>
        <w:t xml:space="preserve">, ya que al no ser expertos en la materia, la expresión documental referida puede no ser clara, por lo que este Instituto precisa que la información a la que se refiere el solicitante es relativa a los </w:t>
      </w:r>
      <w:r w:rsidR="00133F9B" w:rsidRPr="0006537B">
        <w:rPr>
          <w:rFonts w:ascii="Palatino Linotype" w:eastAsia="Palatino Linotype" w:hAnsi="Palatino Linotype" w:cs="Palatino Linotype"/>
          <w:b/>
          <w:color w:val="000000"/>
        </w:rPr>
        <w:t>recibos de nómina</w:t>
      </w:r>
      <w:r w:rsidR="00133F9B" w:rsidRPr="0006537B">
        <w:rPr>
          <w:rFonts w:ascii="Palatino Linotype" w:eastAsia="Palatino Linotype" w:hAnsi="Palatino Linotype" w:cs="Palatino Linotype"/>
          <w:color w:val="000000"/>
        </w:rPr>
        <w:t xml:space="preserve"> de los servidores públicos referidos, de conformidad con lo ya establecido en los párrafos anteriores, máxime que en el acto impugnado y las razones y motivos de inconformidad, hizo referencia a dicho documento.</w:t>
      </w:r>
    </w:p>
    <w:p w:rsidR="00247B94" w:rsidRPr="0006537B" w:rsidRDefault="00247B94" w:rsidP="00247B94">
      <w:pPr>
        <w:pBdr>
          <w:top w:val="nil"/>
          <w:left w:val="nil"/>
          <w:bottom w:val="nil"/>
          <w:right w:val="nil"/>
          <w:between w:val="nil"/>
        </w:pBdr>
        <w:spacing w:line="360" w:lineRule="auto"/>
        <w:ind w:right="-787"/>
        <w:jc w:val="both"/>
        <w:rPr>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color w:val="000000"/>
        </w:rPr>
        <w:t xml:space="preserve">Ahora bien, al tratar la solicitud de información respecto de documentales </w:t>
      </w:r>
      <w:r w:rsidR="00793A06" w:rsidRPr="0006537B">
        <w:rPr>
          <w:rFonts w:ascii="Palatino Linotype" w:eastAsia="Palatino Linotype" w:hAnsi="Palatino Linotype" w:cs="Palatino Linotype"/>
          <w:color w:val="000000"/>
        </w:rPr>
        <w:t>sobre nómina y recibos de nómina</w:t>
      </w:r>
      <w:r w:rsidRPr="0006537B">
        <w:rPr>
          <w:rFonts w:ascii="Palatino Linotype" w:eastAsia="Palatino Linotype" w:hAnsi="Palatino Linotype" w:cs="Palatino Linotype"/>
          <w:color w:val="000000"/>
        </w:rPr>
        <w:t>, es dable establecer primeramente lo siguiente</w:t>
      </w:r>
      <w:r w:rsidRPr="0006537B">
        <w:rPr>
          <w:rFonts w:ascii="Palatino Linotype" w:eastAsia="Palatino Linotype" w:hAnsi="Palatino Linotype" w:cs="Palatino Linotype"/>
        </w:rPr>
        <w:t>. Que la información solicitada se encuentra relacionada con las obligaciones de transparencia previstas en l</w:t>
      </w:r>
      <w:r w:rsidR="00793A06" w:rsidRPr="0006537B">
        <w:rPr>
          <w:rFonts w:ascii="Palatino Linotype" w:eastAsia="Palatino Linotype" w:hAnsi="Palatino Linotype" w:cs="Palatino Linotype"/>
        </w:rPr>
        <w:t>os artículos 92, fracción VIII, de</w:t>
      </w:r>
      <w:r w:rsidRPr="0006537B">
        <w:rPr>
          <w:rFonts w:ascii="Palatino Linotype" w:eastAsia="Palatino Linotype" w:hAnsi="Palatino Linotype" w:cs="Palatino Linotype"/>
        </w:rPr>
        <w:t xml:space="preserve"> la Ley de Transparencia y Acceso a la Información Pública del Estado de México y Municipios, a saber:</w:t>
      </w:r>
    </w:p>
    <w:p w:rsidR="00247B94" w:rsidRPr="0006537B" w:rsidRDefault="00247B94" w:rsidP="00247B94">
      <w:pPr>
        <w:tabs>
          <w:tab w:val="left" w:pos="7655"/>
        </w:tabs>
        <w:ind w:left="567" w:right="-799"/>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92</w:t>
      </w:r>
      <w:r w:rsidRPr="0006537B">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7B94" w:rsidRPr="0006537B" w:rsidRDefault="00247B94" w:rsidP="00247B94">
      <w:pPr>
        <w:tabs>
          <w:tab w:val="left" w:pos="7655"/>
        </w:tabs>
        <w:ind w:left="567" w:right="-799"/>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tabs>
          <w:tab w:val="left" w:pos="7655"/>
        </w:tabs>
        <w:ind w:left="567" w:right="-799"/>
        <w:jc w:val="both"/>
        <w:rPr>
          <w:rFonts w:ascii="Palatino Linotype" w:eastAsia="Palatino Linotype" w:hAnsi="Palatino Linotype" w:cs="Palatino Linotype"/>
          <w:i/>
        </w:rPr>
      </w:pPr>
      <w:r w:rsidRPr="0006537B">
        <w:rPr>
          <w:rFonts w:ascii="Palatino Linotype" w:eastAsia="Palatino Linotype" w:hAnsi="Palatino Linotype" w:cs="Palatino Linotype"/>
          <w:b/>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06537B">
        <w:rPr>
          <w:rFonts w:ascii="Palatino Linotype" w:eastAsia="Palatino Linotype" w:hAnsi="Palatino Linotype" w:cs="Palatino Linotype"/>
          <w:i/>
        </w:rPr>
        <w:t xml:space="preserve"> </w:t>
      </w:r>
    </w:p>
    <w:p w:rsidR="00247B94" w:rsidRPr="0006537B" w:rsidRDefault="00247B94" w:rsidP="00247B94">
      <w:pPr>
        <w:tabs>
          <w:tab w:val="left" w:pos="7655"/>
        </w:tabs>
        <w:ind w:left="567" w:right="-799"/>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spacing w:line="360" w:lineRule="auto"/>
        <w:ind w:right="-787"/>
        <w:jc w:val="both"/>
        <w:rPr>
          <w:rFonts w:ascii="Palatino Linotype" w:eastAsia="Palatino Linotype" w:hAnsi="Palatino Linotype" w:cs="Palatino Linotype"/>
        </w:rPr>
      </w:pPr>
    </w:p>
    <w:p w:rsidR="00247B94" w:rsidRPr="0006537B" w:rsidRDefault="00793A06"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En este sentido </w:t>
      </w:r>
      <w:r w:rsidR="00247B94" w:rsidRPr="0006537B">
        <w:rPr>
          <w:rFonts w:ascii="Palatino Linotype" w:eastAsia="Palatino Linotype" w:hAnsi="Palatino Linotype" w:cs="Palatino Linotype"/>
        </w:rPr>
        <w:t xml:space="preserve">es necesario traer a contexto el artículo 804, fracción II, de la Ley Federal de Trabajo a la letra dice que: </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w:t>
      </w:r>
      <w:r w:rsidRPr="0006537B">
        <w:rPr>
          <w:rFonts w:ascii="Palatino Linotype" w:eastAsia="Palatino Linotype" w:hAnsi="Palatino Linotype" w:cs="Palatino Linotype"/>
          <w:b/>
          <w:i/>
          <w:color w:val="000000"/>
        </w:rPr>
        <w:t>Artículo 804.-</w:t>
      </w:r>
      <w:r w:rsidRPr="0006537B">
        <w:rPr>
          <w:rFonts w:ascii="Palatino Linotype" w:eastAsia="Palatino Linotype" w:hAnsi="Palatino Linotype" w:cs="Palatino Linotype"/>
          <w:i/>
          <w:color w:val="000000"/>
        </w:rPr>
        <w:t xml:space="preserve"> El patrón tiene obligación de conservar y exhibir en juicio los documentos que a continuación se precisan:</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lastRenderedPageBreak/>
        <w:t>I.</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i/>
          <w:color w:val="000000"/>
        </w:rPr>
        <w:tab/>
        <w:t>Contratos individuales de trabajo que se celebren, cuando no exista contrato colectivo o contrato Ley aplicable;</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II.</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i/>
          <w:color w:val="000000"/>
        </w:rPr>
        <w:tab/>
        <w:t xml:space="preserve">Listas de raya o </w:t>
      </w:r>
      <w:r w:rsidRPr="0006537B">
        <w:rPr>
          <w:rFonts w:ascii="Palatino Linotype" w:eastAsia="Palatino Linotype" w:hAnsi="Palatino Linotype" w:cs="Palatino Linotype"/>
          <w:b/>
          <w:i/>
          <w:color w:val="000000"/>
        </w:rPr>
        <w:t>nómina de personal</w:t>
      </w:r>
      <w:r w:rsidRPr="0006537B">
        <w:rPr>
          <w:rFonts w:ascii="Palatino Linotype" w:eastAsia="Palatino Linotype" w:hAnsi="Palatino Linotype" w:cs="Palatino Linotype"/>
          <w:i/>
          <w:color w:val="000000"/>
        </w:rPr>
        <w:t xml:space="preserve">, cuando se lleven en el centro de trabajo; o </w:t>
      </w:r>
      <w:r w:rsidRPr="0006537B">
        <w:rPr>
          <w:rFonts w:ascii="Palatino Linotype" w:eastAsia="Palatino Linotype" w:hAnsi="Palatino Linotype" w:cs="Palatino Linotype"/>
          <w:b/>
          <w:i/>
          <w:color w:val="000000"/>
        </w:rPr>
        <w:t>recibos de pagos de salarios</w:t>
      </w:r>
      <w:r w:rsidRPr="0006537B">
        <w:rPr>
          <w:rFonts w:ascii="Palatino Linotype" w:eastAsia="Palatino Linotype" w:hAnsi="Palatino Linotype" w:cs="Palatino Linotype"/>
          <w:i/>
          <w:color w:val="000000"/>
        </w:rPr>
        <w:t>;</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III.</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i/>
          <w:color w:val="000000"/>
        </w:rPr>
        <w:tab/>
        <w:t>Controles de asistencia, cuando se lleven en el centro de trabajo;</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IV.</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i/>
          <w:color w:val="000000"/>
        </w:rPr>
        <w:tab/>
        <w:t>Comprobantes de pago de participación de utilidades, de vacaciones y de aguinaldos, así como las primas a que se refiere esta Ley, y pagos, aportaciones y cuotas de seguridad social; y</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V.</w:t>
      </w:r>
      <w:r w:rsidRPr="0006537B">
        <w:rPr>
          <w:rFonts w:ascii="Palatino Linotype" w:eastAsia="Palatino Linotype" w:hAnsi="Palatino Linotype" w:cs="Palatino Linotype"/>
          <w:i/>
          <w:color w:val="000000"/>
        </w:rPr>
        <w:t xml:space="preserve"> </w:t>
      </w:r>
      <w:r w:rsidRPr="0006537B">
        <w:rPr>
          <w:rFonts w:ascii="Palatino Linotype" w:eastAsia="Palatino Linotype" w:hAnsi="Palatino Linotype" w:cs="Palatino Linotype"/>
          <w:i/>
          <w:color w:val="000000"/>
        </w:rPr>
        <w:tab/>
        <w:t>Los demás que señalen las leyes.</w:t>
      </w:r>
    </w:p>
    <w:p w:rsidR="00247B94" w:rsidRPr="0006537B" w:rsidRDefault="00247B94" w:rsidP="00247B94">
      <w:pPr>
        <w:pBdr>
          <w:top w:val="nil"/>
          <w:left w:val="nil"/>
          <w:bottom w:val="nil"/>
          <w:right w:val="nil"/>
          <w:between w:val="nil"/>
        </w:pBdr>
        <w:tabs>
          <w:tab w:val="right" w:pos="1701"/>
        </w:tabs>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rsidR="00247B94" w:rsidRPr="0006537B" w:rsidRDefault="00247B94" w:rsidP="00247B9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De lo establecido en el precepto legal anteriormente citado, la nómina consiste en registros conformados por el conjunto de trabajadores de los cuales se les remunerará por los servicios que éstos le prestan al patrón, en el cual se asientan las percepciones brutas, deducciones y el neto a recibir. </w:t>
      </w:r>
    </w:p>
    <w:p w:rsidR="00247B94" w:rsidRPr="0006537B" w:rsidRDefault="00247B94" w:rsidP="00247B9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Concorde a ello, la Ley del Trabajo de los Servidores Públicos del Estado y Municipios, en sus artículos 45 y 50, señalan que: </w:t>
      </w:r>
    </w:p>
    <w:p w:rsidR="00247B94" w:rsidRPr="0006537B" w:rsidRDefault="00247B94" w:rsidP="00247B94">
      <w:pPr>
        <w:pBdr>
          <w:top w:val="nil"/>
          <w:left w:val="nil"/>
          <w:bottom w:val="nil"/>
          <w:right w:val="nil"/>
          <w:between w:val="nil"/>
        </w:pBdr>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w:t>
      </w:r>
      <w:r w:rsidRPr="0006537B">
        <w:rPr>
          <w:rFonts w:ascii="Palatino Linotype" w:eastAsia="Palatino Linotype" w:hAnsi="Palatino Linotype" w:cs="Palatino Linotype"/>
          <w:b/>
          <w:i/>
          <w:color w:val="000000"/>
        </w:rPr>
        <w:t>ARTÍCULO 45</w:t>
      </w:r>
      <w:r w:rsidRPr="0006537B">
        <w:rPr>
          <w:rFonts w:ascii="Palatino Linotype" w:eastAsia="Palatino Linotype" w:hAnsi="Palatino Linotype" w:cs="Palatino Linotype"/>
          <w:i/>
          <w:color w:val="000000"/>
        </w:rPr>
        <w:t>.- Los servidores públicos prestarán sus servicios mediante nombramiento, contrato o formato único de Movimientos de Personal expedidos por quien estuviere facultado legalmente para extenderlo.</w:t>
      </w:r>
    </w:p>
    <w:p w:rsidR="00247B94" w:rsidRPr="0006537B" w:rsidRDefault="00247B94" w:rsidP="00247B94">
      <w:pPr>
        <w:pBdr>
          <w:top w:val="nil"/>
          <w:left w:val="nil"/>
          <w:bottom w:val="nil"/>
          <w:right w:val="nil"/>
          <w:between w:val="nil"/>
        </w:pBdr>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ARTÍCULO 50</w:t>
      </w:r>
      <w:r w:rsidRPr="0006537B">
        <w:rPr>
          <w:rFonts w:ascii="Palatino Linotype" w:eastAsia="Palatino Linotype" w:hAnsi="Palatino Linotype" w:cs="Palatino Linotype"/>
          <w:i/>
          <w:color w:val="000000"/>
        </w:rPr>
        <w:t xml:space="preserve">.- El nombramiento, contrato o formato único de Movimientos de Personal aceptado obliga al servidor público a cumplir con los deberes inherentes al puesto </w:t>
      </w:r>
      <w:r w:rsidRPr="0006537B">
        <w:rPr>
          <w:rFonts w:ascii="Palatino Linotype" w:eastAsia="Palatino Linotype" w:hAnsi="Palatino Linotype" w:cs="Palatino Linotype"/>
          <w:i/>
          <w:color w:val="000000"/>
        </w:rPr>
        <w:lastRenderedPageBreak/>
        <w:t>especificado en el mismo y a las consecuencias que sean conforme a la ley, al uso y a la buena fe.</w:t>
      </w:r>
    </w:p>
    <w:p w:rsidR="00247B94" w:rsidRPr="0006537B" w:rsidRDefault="00247B94" w:rsidP="00247B94">
      <w:pPr>
        <w:pBdr>
          <w:top w:val="nil"/>
          <w:left w:val="nil"/>
          <w:bottom w:val="nil"/>
          <w:right w:val="nil"/>
          <w:between w:val="nil"/>
        </w:pBdr>
        <w:ind w:left="1134" w:right="-716"/>
        <w:jc w:val="both"/>
        <w:rPr>
          <w:rFonts w:ascii="Palatino Linotype" w:eastAsia="Palatino Linotype" w:hAnsi="Palatino Linotype" w:cs="Palatino Linotype"/>
          <w:i/>
          <w:color w:val="000000"/>
        </w:rPr>
      </w:pPr>
    </w:p>
    <w:p w:rsidR="00247B94" w:rsidRPr="0006537B" w:rsidRDefault="00247B94" w:rsidP="00247B94">
      <w:pPr>
        <w:pBdr>
          <w:top w:val="nil"/>
          <w:left w:val="nil"/>
          <w:bottom w:val="nil"/>
          <w:right w:val="nil"/>
          <w:between w:val="nil"/>
        </w:pBdr>
        <w:ind w:left="1134" w:right="-7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b/>
          <w:i/>
          <w:color w:val="000000"/>
        </w:rPr>
        <w:t>Iguales consecuencias se generarán para todos los servidores públicos, cuando la relación de trabajo se formalice mediante un contrato o por encontrarse en lista de raya</w:t>
      </w:r>
      <w:r w:rsidRPr="0006537B">
        <w:rPr>
          <w:rFonts w:ascii="Palatino Linotype" w:eastAsia="Palatino Linotype" w:hAnsi="Palatino Linotype" w:cs="Palatino Linotype"/>
          <w:i/>
          <w:color w:val="000000"/>
        </w:rPr>
        <w:t>.</w:t>
      </w:r>
    </w:p>
    <w:p w:rsidR="00247B94" w:rsidRPr="0006537B" w:rsidRDefault="00247B94" w:rsidP="00247B94">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rPr>
      </w:pPr>
      <w:r w:rsidRPr="0006537B">
        <w:rPr>
          <w:rFonts w:ascii="Palatino Linotype" w:eastAsia="Palatino Linotype" w:hAnsi="Palatino Linotype" w:cs="Palatino Linotype"/>
          <w:i/>
          <w:color w:val="000000"/>
        </w:rPr>
        <w:t xml:space="preserve"> </w:t>
      </w: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De lo anterior, se advierte que la relación de trabajo se formaliza mediante nombramiento o contrato.</w:t>
      </w:r>
    </w:p>
    <w:p w:rsidR="00247B94" w:rsidRPr="0006537B" w:rsidRDefault="00247B94" w:rsidP="00247B9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color w:val="000000"/>
        </w:rPr>
        <w:t xml:space="preserve">Por su parte, el artículo 3°, fracción LXVIII, del Código Financiero del Estado de México y Municipios establece que la </w:t>
      </w:r>
      <w:r w:rsidRPr="0006537B">
        <w:rPr>
          <w:rFonts w:ascii="Palatino Linotype" w:eastAsia="Palatino Linotype" w:hAnsi="Palatino Linotype" w:cs="Palatino Linotype"/>
          <w:b/>
          <w:color w:val="000000"/>
        </w:rPr>
        <w:t>remuneración consiste en los pagos hechos por concepto de sueldo, compensaciones, gratificaciones, habitación, primas, comisiones, prestaciones en especie y cualquier otra percepción o prestación que se entregue a la persona servidora pública por su trabajo.</w:t>
      </w:r>
    </w:p>
    <w:p w:rsidR="00247B94" w:rsidRPr="0006537B" w:rsidRDefault="00247B94" w:rsidP="00247B94">
      <w:pPr>
        <w:pBdr>
          <w:top w:val="nil"/>
          <w:left w:val="nil"/>
          <w:bottom w:val="nil"/>
          <w:right w:val="nil"/>
          <w:between w:val="nil"/>
        </w:pBdr>
        <w:rPr>
          <w:rFonts w:ascii="Palatino Linotype" w:eastAsia="Palatino Linotype" w:hAnsi="Palatino Linotype" w:cs="Palatino Linotype"/>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220 K.-</w:t>
      </w:r>
      <w:r w:rsidRPr="0006537B">
        <w:rPr>
          <w:rFonts w:ascii="Palatino Linotype" w:eastAsia="Palatino Linotype" w:hAnsi="Palatino Linotype" w:cs="Palatino Linotype"/>
          <w:i/>
        </w:rPr>
        <w:t xml:space="preserve"> </w:t>
      </w:r>
      <w:r w:rsidRPr="0006537B">
        <w:rPr>
          <w:rFonts w:ascii="Palatino Linotype" w:eastAsia="Palatino Linotype" w:hAnsi="Palatino Linotype" w:cs="Palatino Linotype"/>
          <w:b/>
          <w:i/>
        </w:rPr>
        <w:t>La institución o dependencia pública tiene la obligación de conservar y exhibir</w:t>
      </w:r>
      <w:r w:rsidRPr="0006537B">
        <w:rPr>
          <w:rFonts w:ascii="Palatino Linotype" w:eastAsia="Palatino Linotype" w:hAnsi="Palatino Linotype" w:cs="Palatino Linotype"/>
          <w:i/>
        </w:rPr>
        <w:t xml:space="preserve"> en el proceso los documentos que a continuación se precisan:</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I. Contratos, Nombramientos o Formato Único de Movimientos de Personal, cuando no exista Convenio de condiciones generales de trabajo aplicable;</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II. </w:t>
      </w:r>
      <w:r w:rsidRPr="0006537B">
        <w:rPr>
          <w:rFonts w:ascii="Palatino Linotype" w:eastAsia="Palatino Linotype" w:hAnsi="Palatino Linotype" w:cs="Palatino Linotype"/>
          <w:b/>
          <w:i/>
        </w:rPr>
        <w:t>Recibos de pagos</w:t>
      </w:r>
      <w:r w:rsidRPr="0006537B">
        <w:rPr>
          <w:rFonts w:ascii="Palatino Linotype" w:eastAsia="Palatino Linotype" w:hAnsi="Palatino Linotype" w:cs="Palatino Linotype"/>
          <w:i/>
        </w:rPr>
        <w:t xml:space="preserve"> de salarios o las constancias documentales del pago de salario cuando sea por depósito o mediante información electrónica;</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III. Controles de asistencia o la información magnética o electrónica de asistencia de los servidores públicos;</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lastRenderedPageBreak/>
        <w:t>V. Los demás que señalen las leyes.</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Los documentos señalados</w:t>
      </w:r>
      <w:r w:rsidRPr="0006537B">
        <w:rPr>
          <w:rFonts w:ascii="Palatino Linotype" w:eastAsia="Palatino Linotype" w:hAnsi="Palatino Linotype" w:cs="Palatino Linotype"/>
          <w:i/>
        </w:rPr>
        <w:t xml:space="preserve"> en la fracción I de este artículo, </w:t>
      </w:r>
      <w:r w:rsidRPr="0006537B">
        <w:rPr>
          <w:rFonts w:ascii="Palatino Linotype" w:eastAsia="Palatino Linotype" w:hAnsi="Palatino Linotype" w:cs="Palatino Linotype"/>
          <w:b/>
          <w:i/>
        </w:rPr>
        <w:t>deberán conservarse</w:t>
      </w:r>
      <w:r w:rsidRPr="0006537B">
        <w:rPr>
          <w:rFonts w:ascii="Palatino Linotype" w:eastAsia="Palatino Linotype" w:hAnsi="Palatino Linotype" w:cs="Palatino Linotype"/>
          <w:i/>
        </w:rPr>
        <w:t xml:space="preserve"> mientras dure la relación laboral y hasta un año después; los señalados por las fracciones II, III, IV </w:t>
      </w:r>
      <w:r w:rsidRPr="0006537B">
        <w:rPr>
          <w:rFonts w:ascii="Palatino Linotype" w:eastAsia="Palatino Linotype" w:hAnsi="Palatino Linotype" w:cs="Palatino Linotype"/>
          <w:b/>
          <w:i/>
        </w:rPr>
        <w:t>durante el último año y un año después de que se extinga la relación laboral</w:t>
      </w:r>
      <w:r w:rsidRPr="0006537B">
        <w:rPr>
          <w:rFonts w:ascii="Palatino Linotype" w:eastAsia="Palatino Linotype" w:hAnsi="Palatino Linotype" w:cs="Palatino Linotype"/>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247B94" w:rsidRPr="0006537B" w:rsidRDefault="00247B94" w:rsidP="00247B94">
      <w:pPr>
        <w:spacing w:line="360" w:lineRule="auto"/>
        <w:jc w:val="both"/>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color w:val="000000"/>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06537B">
        <w:rPr>
          <w:rFonts w:ascii="Palatino Linotype" w:eastAsia="Palatino Linotype" w:hAnsi="Palatino Linotype" w:cs="Palatino Linotype"/>
          <w:b/>
          <w:color w:val="000000"/>
        </w:rPr>
        <w:t>a través de los sistemas de digitalización o de información magnética o electrónica.</w:t>
      </w:r>
    </w:p>
    <w:p w:rsidR="00247B94" w:rsidRPr="0006537B" w:rsidRDefault="00247B94" w:rsidP="00247B94">
      <w:pPr>
        <w:spacing w:line="360" w:lineRule="auto"/>
        <w:ind w:right="-787"/>
        <w:jc w:val="both"/>
        <w:rPr>
          <w:rFonts w:ascii="Palatino Linotype" w:eastAsia="Palatino Linotype" w:hAnsi="Palatino Linotype" w:cs="Palatino Linotype"/>
          <w:b/>
          <w:color w:val="000000"/>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342</w:t>
      </w:r>
      <w:r w:rsidRPr="0006537B">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lastRenderedPageBreak/>
        <w:t>Artículo 343</w:t>
      </w:r>
      <w:r w:rsidRPr="0006537B">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El sistema de contabilidad sobre base acumulativa total, se sustentará en las normas emitidas por el Consejo Nacional de Armonización Contable.</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344</w:t>
      </w:r>
      <w:r w:rsidRPr="0006537B">
        <w:rPr>
          <w:rFonts w:ascii="Palatino Linotype" w:eastAsia="Palatino Linotype" w:hAnsi="Palatino Linotype" w:cs="Palatino Linotype"/>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Tratándose de documentos de carácter histórico, se estará a lo dispuesto por la legislación de la materia.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345</w:t>
      </w:r>
      <w:r w:rsidRPr="0006537B">
        <w:rPr>
          <w:rFonts w:ascii="Palatino Linotype" w:eastAsia="Palatino Linotype" w:hAnsi="Palatino Linotype" w:cs="Palatino Linotype"/>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w:t>
      </w:r>
      <w:r w:rsidRPr="0006537B">
        <w:rPr>
          <w:rFonts w:ascii="Palatino Linotype" w:eastAsia="Palatino Linotype" w:hAnsi="Palatino Linotype" w:cs="Palatino Linotype"/>
          <w:i/>
        </w:rPr>
        <w:lastRenderedPageBreak/>
        <w:t xml:space="preserve">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rsidR="00247B94" w:rsidRPr="0006537B" w:rsidRDefault="00247B94" w:rsidP="00247B94">
      <w:pPr>
        <w:ind w:left="1134" w:right="-716"/>
        <w:jc w:val="both"/>
        <w:rPr>
          <w:rFonts w:ascii="Palatino Linotype" w:eastAsia="Palatino Linotype" w:hAnsi="Palatino Linotype" w:cs="Palatino Linotype"/>
          <w:i/>
        </w:rPr>
      </w:pPr>
    </w:p>
    <w:p w:rsidR="00247B94" w:rsidRPr="0006537B" w:rsidRDefault="00247B94" w:rsidP="00247B94">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El plazo señalado en este artículo empezará a contar a partir de la publicación en el Periódico Oficial, del decreto correspondiente.”</w:t>
      </w:r>
    </w:p>
    <w:p w:rsidR="00247B94" w:rsidRPr="0006537B" w:rsidRDefault="00247B94" w:rsidP="00247B94">
      <w:pPr>
        <w:tabs>
          <w:tab w:val="left" w:pos="3374"/>
        </w:tabs>
        <w:spacing w:line="360" w:lineRule="auto"/>
        <w:ind w:right="-787"/>
        <w:rPr>
          <w:rFonts w:ascii="Palatino Linotype" w:eastAsia="Palatino Linotype" w:hAnsi="Palatino Linotype" w:cs="Palatino Linotype"/>
          <w:i/>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w:t>
      </w:r>
      <w:r w:rsidRPr="0006537B">
        <w:rPr>
          <w:rFonts w:ascii="Palatino Linotype" w:eastAsia="Palatino Linotype" w:hAnsi="Palatino Linotype" w:cs="Palatino Linotype"/>
        </w:rPr>
        <w:lastRenderedPageBreak/>
        <w:t xml:space="preserve">Fiscales del Instituto para el Desarrollo Técnico de las Haciendas Públicas (INDETEC) señalan las siguientes definiciones de las palabras registro contable y registro presupuestario: </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b/>
          <w:i/>
        </w:rPr>
        <w:t>REGISTRO CONTABLE</w:t>
      </w:r>
      <w:r w:rsidRPr="0006537B">
        <w:rPr>
          <w:rFonts w:ascii="Palatino Linotype" w:eastAsia="Palatino Linotype" w:hAnsi="Palatino Linotype" w:cs="Palatino Linotype"/>
          <w:i/>
        </w:rPr>
        <w:t xml:space="preserve"> </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Asiento que se realiza en los libros de contabilidad de las actividades relacionadas con el ingreso y egresos de un ente económico.”</w:t>
      </w:r>
    </w:p>
    <w:p w:rsidR="00247B94" w:rsidRPr="0006537B" w:rsidRDefault="00247B94" w:rsidP="00247B94">
      <w:pPr>
        <w:tabs>
          <w:tab w:val="left" w:pos="3374"/>
        </w:tabs>
        <w:ind w:left="567" w:right="-788"/>
        <w:rPr>
          <w:rFonts w:ascii="Palatino Linotype" w:eastAsia="Palatino Linotype" w:hAnsi="Palatino Linotype" w:cs="Palatino Linotype"/>
          <w:i/>
        </w:rPr>
      </w:pP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b/>
          <w:i/>
        </w:rPr>
        <w:t>REGISTRO PRESUPUESTARIO</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En aras de dar cumplimiento a lo dispuesto por la Ley General de Contabilidad Gubernamental, la Secretaría de Finanzas del Gobierno del Estado de México emitió el </w:t>
      </w:r>
      <w:r w:rsidR="00362391" w:rsidRPr="0006537B">
        <w:rPr>
          <w:rFonts w:ascii="Palatino Linotype" w:eastAsia="Palatino Linotype" w:hAnsi="Palatino Linotype" w:cs="Palatino Linotype"/>
        </w:rPr>
        <w:t>“Manual Único de Contabilidad Gubernamental para los entes públicos del Gobierno y Municipios del Estado de México 2025”</w:t>
      </w:r>
      <w:r w:rsidRPr="0006537B">
        <w:rPr>
          <w:rFonts w:ascii="Palatino Linotype" w:eastAsia="Palatino Linotype" w:hAnsi="Palatino Linotype" w:cs="Palatino Linotype"/>
        </w:rPr>
        <w:t xml:space="preserve">, publicado en el Periódico Oficial del Gobierno del Estado de México “Gaceta del Gobierno” el </w:t>
      </w:r>
      <w:r w:rsidR="00362391" w:rsidRPr="0006537B">
        <w:rPr>
          <w:rFonts w:ascii="Palatino Linotype" w:eastAsia="Palatino Linotype" w:hAnsi="Palatino Linotype" w:cs="Palatino Linotype"/>
        </w:rPr>
        <w:t>10 de enero de 2025</w:t>
      </w:r>
      <w:r w:rsidRPr="0006537B">
        <w:rPr>
          <w:rFonts w:ascii="Palatino Linotype" w:eastAsia="Palatino Linotype" w:hAnsi="Palatino Linotype" w:cs="Palatino Linotype"/>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En esa virtud, el referi</w:t>
      </w:r>
      <w:r w:rsidR="00AB6544" w:rsidRPr="0006537B">
        <w:rPr>
          <w:rFonts w:ascii="Palatino Linotype" w:eastAsia="Palatino Linotype" w:hAnsi="Palatino Linotype" w:cs="Palatino Linotype"/>
        </w:rPr>
        <w:t>do Manual Único de Contabilidad, consultable en el siguiente link</w:t>
      </w:r>
      <w:hyperlink r:id="rId9" w:history="1">
        <w:r w:rsidR="00AB6544" w:rsidRPr="0006537B">
          <w:rPr>
            <w:rStyle w:val="Hipervnculo"/>
            <w:rFonts w:ascii="Palatino Linotype" w:eastAsia="Palatino Linotype" w:hAnsi="Palatino Linotype" w:cs="Palatino Linotype"/>
          </w:rPr>
          <w:t>https://legislacion.edomex.gob.mx/sites/legislacion.edomex.gob.mx/files/files/pdf/gct/2025/ene102.pdf</w:t>
        </w:r>
      </w:hyperlink>
      <w:r w:rsidR="00AB6544" w:rsidRPr="0006537B">
        <w:rPr>
          <w:rFonts w:ascii="Palatino Linotype" w:eastAsia="Palatino Linotype" w:hAnsi="Palatino Linotype" w:cs="Palatino Linotype"/>
        </w:rPr>
        <w:t xml:space="preserve"> </w:t>
      </w:r>
      <w:r w:rsidRPr="0006537B">
        <w:rPr>
          <w:rFonts w:ascii="Palatino Linotype" w:eastAsia="Palatino Linotype" w:hAnsi="Palatino Linotype" w:cs="Palatino Linotype"/>
        </w:rPr>
        <w:t xml:space="preserve">señala en el </w:t>
      </w:r>
      <w:r w:rsidR="00AB6544" w:rsidRPr="0006537B">
        <w:rPr>
          <w:rFonts w:ascii="Palatino Linotype" w:eastAsia="Palatino Linotype" w:hAnsi="Palatino Linotype" w:cs="Palatino Linotype"/>
        </w:rPr>
        <w:t>Capítulo IV. Guías Contabilizadoras para el Registro Contable y Presupuestal de Operaciones Específicas, fracción IV.3. Municipios y sus Organismos Auxiliares</w:t>
      </w:r>
      <w:r w:rsidRPr="0006537B">
        <w:rPr>
          <w:rFonts w:ascii="Palatino Linotype" w:eastAsia="Palatino Linotype" w:hAnsi="Palatino Linotype" w:cs="Palatino Linotype"/>
        </w:rPr>
        <w:t xml:space="preserve">, en la cual se hace referencia directa al manejo de la nómina, como se aprecia de la siguiente imagen: </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AB6544" w:rsidP="00065407">
      <w:pPr>
        <w:tabs>
          <w:tab w:val="left" w:pos="3374"/>
        </w:tabs>
        <w:spacing w:line="360" w:lineRule="auto"/>
        <w:ind w:right="-787"/>
        <w:jc w:val="center"/>
        <w:rPr>
          <w:rFonts w:ascii="Palatino Linotype" w:eastAsia="Palatino Linotype" w:hAnsi="Palatino Linotype" w:cs="Palatino Linotype"/>
        </w:rPr>
      </w:pPr>
      <w:r w:rsidRPr="0006537B">
        <w:rPr>
          <w:rFonts w:ascii="Palatino Linotype" w:eastAsia="Palatino Linotype" w:hAnsi="Palatino Linotype" w:cs="Palatino Linotype"/>
          <w:noProof/>
          <w:lang w:val="es-MX" w:eastAsia="es-MX"/>
        </w:rPr>
        <w:drawing>
          <wp:inline distT="0" distB="0" distL="0" distR="0" wp14:anchorId="6447C076" wp14:editId="729378C7">
            <wp:extent cx="5068007" cy="2400635"/>
            <wp:effectExtent l="152400" t="152400" r="36131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8007" cy="2400635"/>
                    </a:xfrm>
                    <a:prstGeom prst="rect">
                      <a:avLst/>
                    </a:prstGeom>
                    <a:ln>
                      <a:noFill/>
                    </a:ln>
                    <a:effectLst>
                      <a:outerShdw blurRad="292100" dist="139700" dir="2700000" algn="tl" rotWithShape="0">
                        <a:srgbClr val="333333">
                          <a:alpha val="65000"/>
                        </a:srgbClr>
                      </a:outerShdw>
                    </a:effectLst>
                  </pic:spPr>
                </pic:pic>
              </a:graphicData>
            </a:graphic>
          </wp:inline>
        </w:drawing>
      </w: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Por otra parte, es preciso referir la fuente normativa en relación a las documentales requeridas por el particular, a saber del apartado de las Obligaciones de Transparencia Común y Específicas plasmadas en el artículo 92, fracción, VIII de la Ley local de la materia, que a la letra establecen lo siguiente:</w:t>
      </w:r>
    </w:p>
    <w:p w:rsidR="00247B94" w:rsidRPr="0006537B" w:rsidRDefault="00247B94" w:rsidP="00247B94">
      <w:pPr>
        <w:tabs>
          <w:tab w:val="left" w:pos="3374"/>
        </w:tabs>
        <w:ind w:left="426"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Artículo 92.</w:t>
      </w:r>
      <w:r w:rsidRPr="0006537B">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7B94" w:rsidRPr="0006537B" w:rsidRDefault="00247B94" w:rsidP="00247B94">
      <w:pPr>
        <w:tabs>
          <w:tab w:val="left" w:pos="3374"/>
        </w:tabs>
        <w:ind w:left="426"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tabs>
          <w:tab w:val="left" w:pos="3374"/>
        </w:tabs>
        <w:ind w:left="426" w:right="-788"/>
        <w:jc w:val="both"/>
        <w:rPr>
          <w:rFonts w:ascii="Palatino Linotype" w:eastAsia="Palatino Linotype" w:hAnsi="Palatino Linotype" w:cs="Palatino Linotype"/>
          <w:i/>
        </w:rPr>
      </w:pPr>
      <w:r w:rsidRPr="0006537B">
        <w:rPr>
          <w:rFonts w:ascii="Palatino Linotype" w:eastAsia="Palatino Linotype" w:hAnsi="Palatino Linotype" w:cs="Palatino Linotype"/>
          <w:b/>
          <w:i/>
        </w:rPr>
        <w:t>VIII. La remuneración bruta y neta de todos los servidores públicos</w:t>
      </w:r>
      <w:r w:rsidRPr="0006537B">
        <w:rPr>
          <w:rFonts w:ascii="Palatino Linotype" w:eastAsia="Palatino Linotype" w:hAnsi="Palatino Linotype" w:cs="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rsidR="00247B94" w:rsidRPr="0006537B" w:rsidRDefault="00247B94" w:rsidP="00247B94">
      <w:pPr>
        <w:tabs>
          <w:tab w:val="left" w:pos="3374"/>
        </w:tabs>
        <w:ind w:left="426" w:right="-788"/>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De lo expresado, este Instituto estima que dadas las características del requerimiento realizado por el particular, el documento que contiene los datos precisados en la solicitud de acceso a la información, en relación a la nómina, podría ser la </w:t>
      </w:r>
      <w:r w:rsidRPr="0006537B">
        <w:rPr>
          <w:rFonts w:ascii="Palatino Linotype" w:eastAsia="Palatino Linotype" w:hAnsi="Palatino Linotype" w:cs="Palatino Linotype"/>
          <w:b/>
          <w:u w:val="single"/>
        </w:rPr>
        <w:t>conciliación de nómina</w:t>
      </w:r>
      <w:r w:rsidRPr="0006537B">
        <w:rPr>
          <w:rFonts w:ascii="Palatino Linotype" w:eastAsia="Palatino Linotype" w:hAnsi="Palatino Linotype" w:cs="Palatino Linotype"/>
        </w:rPr>
        <w:t>, por lo que resulta importante resaltar este punto, precisando que, los municipios del Estado de México, son Sujetos de Fiscalización de conformidad con el numeral 4, fracción II, de Ley de Fiscalización Superior del Estado de México.</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b/>
          <w:i/>
        </w:rPr>
        <w:t xml:space="preserve">Artículo 8. </w:t>
      </w:r>
      <w:r w:rsidRPr="0006537B">
        <w:rPr>
          <w:rFonts w:ascii="Palatino Linotype" w:eastAsia="Palatino Linotype" w:hAnsi="Palatino Linotype" w:cs="Palatino Linotype"/>
          <w:i/>
        </w:rPr>
        <w:t>El Órgano Superior tendrá las siguientes atribuciones:</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b/>
          <w:i/>
        </w:rPr>
        <w:lastRenderedPageBreak/>
        <w:t xml:space="preserve">XI. </w:t>
      </w:r>
      <w:r w:rsidRPr="0006537B">
        <w:rPr>
          <w:rFonts w:ascii="Palatino Linotype" w:eastAsia="Palatino Linotype" w:hAnsi="Palatino Linotype" w:cs="Palatino Linotype"/>
          <w:i/>
        </w:rPr>
        <w:t>Establecer los lineamientos, criterios, procedimientos, métodos y sistemas para las acciones de control y evaluación, necesarios para la fiscalización de las cuentas públicas y los informes trimestrales;</w:t>
      </w:r>
    </w:p>
    <w:p w:rsidR="00247B94" w:rsidRPr="0006537B" w:rsidRDefault="00247B94" w:rsidP="00247B94">
      <w:pPr>
        <w:tabs>
          <w:tab w:val="left" w:pos="3374"/>
        </w:tabs>
        <w:ind w:left="567" w:right="-788"/>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hyperlink r:id="rId11">
        <w:r w:rsidRPr="0006537B">
          <w:rPr>
            <w:rFonts w:ascii="Palatino Linotype" w:eastAsia="Palatino Linotype" w:hAnsi="Palatino Linotype" w:cs="Palatino Linotype"/>
            <w:color w:val="0563C1"/>
            <w:u w:val="single"/>
          </w:rPr>
          <w:t>https://www.osfem.gob.mx/entidades/documentos_apoyo.html</w:t>
        </w:r>
      </w:hyperlink>
      <w:r w:rsidRPr="0006537B">
        <w:rPr>
          <w:rFonts w:ascii="Palatino Linotype" w:eastAsia="Palatino Linotype" w:hAnsi="Palatino Linotype" w:cs="Palatino Linotype"/>
          <w:u w:val="single"/>
        </w:rPr>
        <w:t xml:space="preserve"> </w:t>
      </w:r>
      <w:r w:rsidRPr="0006537B">
        <w:rPr>
          <w:rFonts w:ascii="Palatino Linotype" w:eastAsia="Palatino Linotype" w:hAnsi="Palatino Linotype" w:cs="Palatino Linotype"/>
        </w:rPr>
        <w:t>.</w:t>
      </w:r>
    </w:p>
    <w:p w:rsidR="00247B94" w:rsidRPr="0006537B" w:rsidRDefault="00247B94" w:rsidP="00247B94">
      <w:pPr>
        <w:tabs>
          <w:tab w:val="left" w:pos="3374"/>
        </w:tabs>
        <w:spacing w:line="360" w:lineRule="auto"/>
        <w:ind w:right="-787"/>
        <w:rPr>
          <w:rFonts w:ascii="Palatino Linotype" w:eastAsia="Palatino Linotype" w:hAnsi="Palatino Linotype" w:cs="Palatino Linotype"/>
          <w:i/>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Así, la información </w:t>
      </w:r>
      <w:r w:rsidRPr="0006537B">
        <w:rPr>
          <w:rFonts w:ascii="Palatino Linotype" w:eastAsia="Palatino Linotype" w:hAnsi="Palatino Linotype" w:cs="Palatino Linotype"/>
          <w:b/>
        </w:rPr>
        <w:t>documental comprobatoria</w:t>
      </w:r>
      <w:r w:rsidRPr="0006537B">
        <w:rPr>
          <w:rFonts w:ascii="Palatino Linotype" w:eastAsia="Palatino Linotype" w:hAnsi="Palatino Linotype" w:cs="Palatino Linotype"/>
        </w:rPr>
        <w:t xml:space="preserve">, </w:t>
      </w:r>
      <w:r w:rsidRPr="0006537B">
        <w:rPr>
          <w:rFonts w:ascii="Palatino Linotype" w:eastAsia="Palatino Linotype" w:hAnsi="Palatino Linotype" w:cs="Palatino Linotype"/>
          <w:b/>
        </w:rPr>
        <w:t>deberá conservarse en los archivos de la entidad fiscalizada</w:t>
      </w:r>
      <w:r w:rsidRPr="0006537B">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trimestrales que </w:t>
      </w:r>
      <w:r w:rsidRPr="0006537B">
        <w:rPr>
          <w:rFonts w:ascii="Palatino Linotype" w:eastAsia="Palatino Linotype" w:hAnsi="Palatino Linotype" w:cs="Palatino Linotype"/>
          <w:b/>
        </w:rPr>
        <w:t xml:space="preserve">EL SUJETO OBLIGADO </w:t>
      </w:r>
      <w:r w:rsidRPr="0006537B">
        <w:rPr>
          <w:rFonts w:ascii="Palatino Linotype" w:eastAsia="Palatino Linotype" w:hAnsi="Palatino Linotype" w:cs="Palatino Linotype"/>
        </w:rPr>
        <w:t xml:space="preserve">tiene la obligación de transparentar; se contempla específicamente en el apartado relativo a “Informe Trimestral </w:t>
      </w:r>
      <w:r w:rsidRPr="0006537B">
        <w:rPr>
          <w:rFonts w:ascii="Palatino Linotype" w:eastAsia="Palatino Linotype" w:hAnsi="Palatino Linotype" w:cs="Palatino Linotype"/>
          <w:b/>
        </w:rPr>
        <w:t>Municipal</w:t>
      </w:r>
      <w:r w:rsidRPr="0006537B">
        <w:rPr>
          <w:rFonts w:ascii="Palatino Linotype" w:eastAsia="Palatino Linotype" w:hAnsi="Palatino Linotype" w:cs="Palatino Linotype"/>
        </w:rPr>
        <w:t xml:space="preserve"> Ejercicio Fiscal 2024”, “módulo 4” numeral 4 y 5 denominado “Conciliación de Nómina” para ambas quincenas</w:t>
      </w:r>
      <w:r w:rsidRPr="0006537B">
        <w:rPr>
          <w:rFonts w:ascii="Palatino Linotype" w:eastAsia="Palatino Linotype" w:hAnsi="Palatino Linotype" w:cs="Palatino Linotype"/>
          <w:b/>
        </w:rPr>
        <w:t xml:space="preserve">, la “Conciliación de Nómina” se debe presentar en los formatos XLSX y TXT, </w:t>
      </w:r>
      <w:r w:rsidRPr="0006537B">
        <w:rPr>
          <w:rFonts w:ascii="Palatino Linotype" w:eastAsia="Palatino Linotype" w:hAnsi="Palatino Linotype" w:cs="Palatino Linotype"/>
        </w:rPr>
        <w:t xml:space="preserve">tal y como se muestra en las imágenes siguientes: </w:t>
      </w:r>
    </w:p>
    <w:p w:rsidR="00247B94" w:rsidRPr="0006537B" w:rsidRDefault="00247B94" w:rsidP="00247B94">
      <w:pPr>
        <w:tabs>
          <w:tab w:val="left" w:pos="3374"/>
        </w:tabs>
        <w:spacing w:line="360" w:lineRule="auto"/>
        <w:ind w:right="-787"/>
        <w:jc w:val="center"/>
        <w:rPr>
          <w:rFonts w:ascii="Palatino Linotype" w:eastAsia="Palatino Linotype" w:hAnsi="Palatino Linotype" w:cs="Palatino Linotype"/>
        </w:rPr>
      </w:pPr>
      <w:r w:rsidRPr="0006537B">
        <w:rPr>
          <w:rFonts w:ascii="Palatino Linotype" w:eastAsia="Palatino Linotype" w:hAnsi="Palatino Linotype" w:cs="Palatino Linotype"/>
          <w:noProof/>
          <w:lang w:val="es-MX" w:eastAsia="es-MX"/>
        </w:rPr>
        <w:lastRenderedPageBreak/>
        <w:drawing>
          <wp:inline distT="0" distB="0" distL="0" distR="0" wp14:anchorId="7368B5AA" wp14:editId="130E23A9">
            <wp:extent cx="2870791" cy="4210050"/>
            <wp:effectExtent l="152400" t="152400" r="368300" b="36195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949668" cy="4325724"/>
                    </a:xfrm>
                    <a:prstGeom prst="rect">
                      <a:avLst/>
                    </a:prstGeom>
                    <a:ln>
                      <a:noFill/>
                    </a:ln>
                    <a:effectLst>
                      <a:outerShdw blurRad="292100" dist="139700" dir="2700000" algn="tl" rotWithShape="0">
                        <a:srgbClr val="333333">
                          <a:alpha val="65000"/>
                        </a:srgbClr>
                      </a:outerShdw>
                    </a:effectLst>
                  </pic:spPr>
                </pic:pic>
              </a:graphicData>
            </a:graphic>
          </wp:inline>
        </w:drawing>
      </w:r>
    </w:p>
    <w:p w:rsidR="00247B94" w:rsidRPr="0006537B" w:rsidRDefault="00247B94" w:rsidP="0058337F">
      <w:pPr>
        <w:tabs>
          <w:tab w:val="left" w:pos="3374"/>
        </w:tabs>
        <w:spacing w:line="360" w:lineRule="auto"/>
        <w:ind w:right="-787"/>
        <w:jc w:val="center"/>
        <w:rPr>
          <w:rFonts w:ascii="Palatino Linotype" w:eastAsia="Palatino Linotype" w:hAnsi="Palatino Linotype" w:cs="Palatino Linotype"/>
        </w:rPr>
      </w:pPr>
      <w:r w:rsidRPr="0006537B">
        <w:rPr>
          <w:rFonts w:ascii="Palatino Linotype" w:eastAsia="Palatino Linotype" w:hAnsi="Palatino Linotype" w:cs="Palatino Linotype"/>
          <w:noProof/>
          <w:lang w:val="es-MX" w:eastAsia="es-MX"/>
        </w:rPr>
        <w:drawing>
          <wp:inline distT="0" distB="0" distL="0" distR="0" wp14:anchorId="207AC943" wp14:editId="2187D207">
            <wp:extent cx="4384675" cy="2192699"/>
            <wp:effectExtent l="152400" t="152400" r="358775" b="360045"/>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421614" cy="2211171"/>
                    </a:xfrm>
                    <a:prstGeom prst="rect">
                      <a:avLst/>
                    </a:prstGeom>
                    <a:ln>
                      <a:noFill/>
                    </a:ln>
                    <a:effectLst>
                      <a:outerShdw blurRad="292100" dist="139700" dir="2700000" algn="tl" rotWithShape="0">
                        <a:srgbClr val="333333">
                          <a:alpha val="65000"/>
                        </a:srgbClr>
                      </a:outerShdw>
                    </a:effectLst>
                  </pic:spPr>
                </pic:pic>
              </a:graphicData>
            </a:graphic>
          </wp:inline>
        </w:drawing>
      </w: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 xml:space="preserve">Atento a lo anterior, resulta claro que existe fuente obligacional que constriñe al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 xml:space="preserve">, para entregar los informes trimestrales al OSFEM de conformidad con el artículo 32 de la Ley de Fiscalización Superior del Estado de México, dentro de los cuales se incluye lo referente a </w:t>
      </w:r>
      <w:r w:rsidRPr="0006537B">
        <w:rPr>
          <w:rFonts w:ascii="Palatino Linotype" w:eastAsia="Palatino Linotype" w:hAnsi="Palatino Linotype" w:cs="Palatino Linotype"/>
          <w:b/>
        </w:rPr>
        <w:t>la conciliación de la nómina</w:t>
      </w:r>
      <w:r w:rsidRPr="0006537B">
        <w:rPr>
          <w:rFonts w:ascii="Palatino Linotype" w:eastAsia="Palatino Linotype" w:hAnsi="Palatino Linotype" w:cs="Palatino Linotype"/>
        </w:rPr>
        <w:t>.</w:t>
      </w:r>
    </w:p>
    <w:p w:rsidR="00247B94" w:rsidRPr="0006537B" w:rsidRDefault="00247B94" w:rsidP="00247B94">
      <w:pPr>
        <w:tabs>
          <w:tab w:val="left" w:pos="3374"/>
        </w:tabs>
        <w:spacing w:line="360" w:lineRule="auto"/>
        <w:ind w:right="-787"/>
        <w:rPr>
          <w:rFonts w:ascii="Palatino Linotype" w:eastAsia="Palatino Linotype" w:hAnsi="Palatino Linotype" w:cs="Palatino Linotype"/>
        </w:rPr>
      </w:pPr>
    </w:p>
    <w:p w:rsidR="00247B94" w:rsidRPr="0006537B" w:rsidRDefault="00247B94"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Es importante señalar que los documentos de apoyo antes referidos, deberán ser empleados únicamente como ejemplo, pues aplican estrictamente para el ejercicio fiscal 2024, ya que para la información correspondiente al año 2025, los “Lineamientos para la integración y presentación de los Informes Trimestrales Estatales y Municipales del Ejercicio Fiscal 2025, de las Entidades Fiscalizables del Estado de México”, autorizados por el Órgano Superior de Fiscalización fueron publicados en el Periódico Oficial Gaceta del Gobierno, del Gobierno del Estado de México, el 1º de abril de 2025, fecha posterior a la temporalidad de la </w:t>
      </w:r>
      <w:r w:rsidR="0058337F" w:rsidRPr="0006537B">
        <w:rPr>
          <w:rFonts w:ascii="Palatino Linotype" w:eastAsia="Palatino Linotype" w:hAnsi="Palatino Linotype" w:cs="Palatino Linotype"/>
        </w:rPr>
        <w:t>información</w:t>
      </w:r>
      <w:r w:rsidRPr="0006537B">
        <w:rPr>
          <w:rFonts w:ascii="Palatino Linotype" w:eastAsia="Palatino Linotype" w:hAnsi="Palatino Linotype" w:cs="Palatino Linotype"/>
        </w:rPr>
        <w:t xml:space="preserve"> solicitada respecto de la administración municipal 2025-2027, misma que deberá ser entregada </w:t>
      </w:r>
      <w:r w:rsidR="0058337F" w:rsidRPr="0006537B">
        <w:rPr>
          <w:rFonts w:ascii="Palatino Linotype" w:eastAsia="Palatino Linotype" w:hAnsi="Palatino Linotype" w:cs="Palatino Linotype"/>
        </w:rPr>
        <w:t>de la primera y segunda quincena de enero 2025.</w:t>
      </w:r>
    </w:p>
    <w:p w:rsidR="0030607D" w:rsidRPr="0006537B" w:rsidRDefault="0030607D" w:rsidP="0030607D">
      <w:pPr>
        <w:spacing w:line="360" w:lineRule="auto"/>
        <w:ind w:right="-787"/>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rPr>
        <w:t>Es</w:t>
      </w:r>
      <w:r w:rsidRPr="0006537B">
        <w:rPr>
          <w:rFonts w:ascii="Palatino Linotype" w:eastAsia="Palatino Linotype" w:hAnsi="Palatino Linotype" w:cs="Palatino Linotype"/>
          <w:color w:val="000000"/>
        </w:rPr>
        <w:t xml:space="preserve"> de señalar que contrario a lo manifestado por el Sujeto Obligado en respuesta, a través de la cual refiere clasificar la información como confidencial de manera total</w:t>
      </w:r>
      <w:r w:rsidRPr="0006537B">
        <w:rPr>
          <w:rFonts w:ascii="Palatino Linotype" w:eastAsia="Palatino Linotype" w:hAnsi="Palatino Linotype" w:cs="Palatino Linotype"/>
          <w:b/>
          <w:color w:val="000000"/>
        </w:rPr>
        <w:t>, la información que se solicitó es de interés general y de alcance público</w:t>
      </w:r>
      <w:r w:rsidRPr="0006537B">
        <w:rPr>
          <w:rFonts w:ascii="Palatino Linotype" w:eastAsia="Palatino Linotype" w:hAnsi="Palatino Linotype" w:cs="Palatino Linotype"/>
          <w:color w:val="000000"/>
        </w:rPr>
        <w:t xml:space="preserve">,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w:t>
      </w:r>
      <w:r w:rsidRPr="0006537B">
        <w:rPr>
          <w:rFonts w:ascii="Palatino Linotype" w:eastAsia="Palatino Linotype" w:hAnsi="Palatino Linotype" w:cs="Palatino Linotype"/>
          <w:color w:val="000000"/>
        </w:rPr>
        <w:lastRenderedPageBreak/>
        <w:t>de las personas a quienes se entreguen recursos públicos y con ello transparentar la forma, términos, causas y finalidad en la disposición de esos recursos; precepto legal que es del tenor siguiente:</w:t>
      </w:r>
    </w:p>
    <w:p w:rsidR="0030607D" w:rsidRPr="0006537B" w:rsidRDefault="0030607D" w:rsidP="00065407">
      <w:pPr>
        <w:ind w:left="567" w:right="-716"/>
        <w:jc w:val="both"/>
        <w:rPr>
          <w:rFonts w:ascii="Palatino Linotype" w:eastAsia="Palatino Linotype" w:hAnsi="Palatino Linotype" w:cs="Palatino Linotype"/>
          <w:i/>
          <w:u w:val="single"/>
        </w:rPr>
      </w:pPr>
      <w:r w:rsidRPr="0006537B">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06537B">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06537B">
        <w:rPr>
          <w:rFonts w:ascii="Palatino Linotype" w:eastAsia="Palatino Linotype" w:hAnsi="Palatino Linotype" w:cs="Palatino Linotype"/>
          <w:b/>
          <w:i/>
          <w:u w:val="single"/>
        </w:rPr>
        <w:t>que reciba y ejerza recursos públicos</w:t>
      </w:r>
      <w:r w:rsidRPr="0006537B">
        <w:rPr>
          <w:rFonts w:ascii="Palatino Linotype" w:eastAsia="Palatino Linotype" w:hAnsi="Palatino Linotype" w:cs="Palatino Linotype"/>
          <w:i/>
        </w:rPr>
        <w:t xml:space="preserve"> o realice actos de autoridad </w:t>
      </w:r>
      <w:r w:rsidRPr="0006537B">
        <w:rPr>
          <w:rFonts w:ascii="Palatino Linotype" w:eastAsia="Palatino Linotype" w:hAnsi="Palatino Linotype" w:cs="Palatino Linotype"/>
          <w:b/>
          <w:i/>
          <w:u w:val="single"/>
        </w:rPr>
        <w:t>en el ámbito de competencia del Estado de México y sus municipios</w:t>
      </w:r>
      <w:r w:rsidRPr="0006537B">
        <w:rPr>
          <w:rFonts w:ascii="Palatino Linotype" w:eastAsia="Palatino Linotype" w:hAnsi="Palatino Linotype" w:cs="Palatino Linotype"/>
          <w:i/>
          <w:u w:val="single"/>
        </w:rPr>
        <w:t>.</w:t>
      </w:r>
    </w:p>
    <w:p w:rsidR="0030607D" w:rsidRPr="0006537B" w:rsidRDefault="0030607D" w:rsidP="00065407">
      <w:pPr>
        <w:ind w:left="567" w:right="-716"/>
        <w:jc w:val="both"/>
        <w:rPr>
          <w:rFonts w:ascii="Palatino Linotype" w:eastAsia="Palatino Linotype" w:hAnsi="Palatino Linotype" w:cs="Palatino Linotype"/>
          <w:i/>
          <w:u w:val="single"/>
        </w:rPr>
      </w:pP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30607D" w:rsidRPr="0006537B" w:rsidRDefault="0030607D" w:rsidP="00065407">
      <w:pPr>
        <w:ind w:left="567" w:right="-716"/>
        <w:jc w:val="both"/>
        <w:rPr>
          <w:rFonts w:ascii="Palatino Linotype" w:eastAsia="Palatino Linotype" w:hAnsi="Palatino Linotype" w:cs="Palatino Linotype"/>
          <w:b/>
          <w:i/>
          <w:u w:val="single"/>
        </w:rPr>
      </w:pPr>
      <w:r w:rsidRPr="0006537B">
        <w:rPr>
          <w:rFonts w:ascii="Palatino Linotype" w:eastAsia="Palatino Linotype" w:hAnsi="Palatino Linotype" w:cs="Palatino Linotype"/>
          <w:b/>
          <w:i/>
          <w:u w:val="single"/>
        </w:rPr>
        <w:t>IV. Los ayuntamientos y las dependencias, organismos, órganos y entidades de la administración municipal;</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p>
    <w:p w:rsidR="0030607D" w:rsidRPr="0006537B" w:rsidRDefault="0030607D" w:rsidP="00065407">
      <w:pPr>
        <w:ind w:left="567" w:right="-716"/>
        <w:jc w:val="both"/>
        <w:rPr>
          <w:rFonts w:ascii="Palatino Linotype" w:eastAsia="Palatino Linotype" w:hAnsi="Palatino Linotype" w:cs="Palatino Linotype"/>
          <w:b/>
          <w:i/>
          <w:u w:val="single"/>
        </w:rPr>
      </w:pPr>
      <w:r w:rsidRPr="0006537B">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0607D" w:rsidRPr="0006537B" w:rsidRDefault="0030607D" w:rsidP="00065407">
      <w:pPr>
        <w:ind w:left="567" w:right="-716"/>
        <w:jc w:val="both"/>
        <w:rPr>
          <w:rFonts w:ascii="Palatino Linotype" w:eastAsia="Palatino Linotype" w:hAnsi="Palatino Linotype" w:cs="Palatino Linotype"/>
          <w:b/>
          <w:i/>
          <w:u w:val="single"/>
        </w:rPr>
      </w:pPr>
    </w:p>
    <w:p w:rsidR="0030607D" w:rsidRPr="0006537B" w:rsidRDefault="0030607D" w:rsidP="00065407">
      <w:pPr>
        <w:ind w:left="567" w:right="-716"/>
        <w:jc w:val="both"/>
        <w:rPr>
          <w:rFonts w:ascii="Palatino Linotype" w:eastAsia="Palatino Linotype" w:hAnsi="Palatino Linotype" w:cs="Palatino Linotype"/>
          <w:b/>
          <w:i/>
        </w:rPr>
      </w:pPr>
      <w:r w:rsidRPr="0006537B">
        <w:rPr>
          <w:rFonts w:ascii="Palatino Linotype" w:eastAsia="Palatino Linotype" w:hAnsi="Palatino Linotype" w:cs="Palatino Linotype"/>
          <w:i/>
        </w:rPr>
        <w:t>Los servidores públicos deberán transparentar sus acciones así como garantizar y respetar el derecho de acceso a la información pública.”</w:t>
      </w:r>
      <w:r w:rsidRPr="0006537B">
        <w:rPr>
          <w:rFonts w:ascii="Palatino Linotype" w:eastAsia="Palatino Linotype" w:hAnsi="Palatino Linotype" w:cs="Palatino Linotype"/>
          <w:b/>
          <w:i/>
        </w:rPr>
        <w:t xml:space="preserve"> (Sic)</w:t>
      </w:r>
    </w:p>
    <w:p w:rsidR="0030607D" w:rsidRPr="0006537B" w:rsidRDefault="0030607D" w:rsidP="0030607D">
      <w:pPr>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06537B">
        <w:rPr>
          <w:rFonts w:ascii="Palatino Linotype" w:eastAsia="Palatino Linotype" w:hAnsi="Palatino Linotype" w:cs="Palatino Linotype"/>
          <w:b/>
          <w:color w:val="000000"/>
        </w:rPr>
        <w:t>01/2003</w:t>
      </w:r>
      <w:r w:rsidRPr="0006537B">
        <w:rPr>
          <w:rFonts w:ascii="Palatino Linotype" w:eastAsia="Palatino Linotype" w:hAnsi="Palatino Linotype" w:cs="Palatino Linotype"/>
          <w:color w:val="000000"/>
        </w:rPr>
        <w:t xml:space="preserve"> y </w:t>
      </w:r>
      <w:r w:rsidRPr="0006537B">
        <w:rPr>
          <w:rFonts w:ascii="Palatino Linotype" w:eastAsia="Palatino Linotype" w:hAnsi="Palatino Linotype" w:cs="Palatino Linotype"/>
          <w:b/>
          <w:color w:val="000000"/>
        </w:rPr>
        <w:t>02/2003</w:t>
      </w:r>
      <w:r w:rsidRPr="0006537B">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rsidR="0030607D" w:rsidRPr="0006537B" w:rsidRDefault="0030607D" w:rsidP="00065407">
      <w:pPr>
        <w:ind w:left="567" w:right="-716"/>
        <w:rPr>
          <w:rFonts w:ascii="Palatino Linotype" w:eastAsia="Palatino Linotype" w:hAnsi="Palatino Linotype" w:cs="Palatino Linotype"/>
          <w:b/>
          <w:i/>
        </w:rPr>
      </w:pPr>
      <w:r w:rsidRPr="0006537B">
        <w:rPr>
          <w:rFonts w:ascii="Palatino Linotype" w:eastAsia="Palatino Linotype" w:hAnsi="Palatino Linotype" w:cs="Palatino Linotype"/>
          <w:b/>
          <w:i/>
        </w:rPr>
        <w:t>“Criterio 01/2003.</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06537B">
        <w:rPr>
          <w:rFonts w:ascii="Palatino Linotype" w:eastAsia="Palatino Linotype" w:hAnsi="Palatino Linotype" w:cs="Palatino Linotype"/>
          <w:i/>
        </w:rPr>
        <w:t xml:space="preserve"> </w:t>
      </w:r>
    </w:p>
    <w:p w:rsidR="0030607D" w:rsidRPr="0006537B" w:rsidRDefault="0030607D" w:rsidP="00065407">
      <w:pPr>
        <w:ind w:left="567" w:right="-716"/>
        <w:jc w:val="both"/>
        <w:rPr>
          <w:rFonts w:ascii="Palatino Linotype" w:eastAsia="Palatino Linotype" w:hAnsi="Palatino Linotype" w:cs="Palatino Linotype"/>
          <w:i/>
          <w:u w:val="single"/>
        </w:rPr>
      </w:pPr>
      <w:r w:rsidRPr="0006537B">
        <w:rPr>
          <w:rFonts w:ascii="Palatino Linotype" w:eastAsia="Palatino Linotype" w:hAnsi="Palatino Linotype" w:cs="Palatino Linotype"/>
          <w:i/>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6537B">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6537B">
        <w:rPr>
          <w:rFonts w:ascii="Palatino Linotype" w:eastAsia="Palatino Linotype" w:hAnsi="Palatino Linotype" w:cs="Palatino Linotype"/>
          <w:i/>
          <w:u w:val="single"/>
        </w:rPr>
        <w:t>…”</w:t>
      </w:r>
    </w:p>
    <w:p w:rsidR="0030607D" w:rsidRPr="0006537B" w:rsidRDefault="0030607D" w:rsidP="00065407">
      <w:pPr>
        <w:ind w:left="567" w:right="-716"/>
        <w:jc w:val="both"/>
        <w:rPr>
          <w:rFonts w:ascii="Palatino Linotype" w:eastAsia="Palatino Linotype" w:hAnsi="Palatino Linotype" w:cs="Palatino Linotype"/>
          <w:i/>
        </w:rPr>
      </w:pPr>
    </w:p>
    <w:p w:rsidR="0030607D" w:rsidRPr="0006537B" w:rsidRDefault="0030607D" w:rsidP="00065407">
      <w:pPr>
        <w:ind w:left="567" w:right="-716"/>
        <w:rPr>
          <w:rFonts w:ascii="Palatino Linotype" w:eastAsia="Palatino Linotype" w:hAnsi="Palatino Linotype" w:cs="Palatino Linotype"/>
          <w:b/>
          <w:i/>
        </w:rPr>
      </w:pPr>
      <w:r w:rsidRPr="0006537B">
        <w:rPr>
          <w:rFonts w:ascii="Palatino Linotype" w:eastAsia="Palatino Linotype" w:hAnsi="Palatino Linotype" w:cs="Palatino Linotype"/>
          <w:b/>
          <w:i/>
        </w:rPr>
        <w:t>“Criterio 02/2003.</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06537B">
        <w:rPr>
          <w:rFonts w:ascii="Palatino Linotype" w:eastAsia="Palatino Linotype" w:hAnsi="Palatino Linotype" w:cs="Palatino Linotype"/>
          <w:i/>
        </w:rPr>
        <w:t xml:space="preserve"> </w:t>
      </w:r>
    </w:p>
    <w:p w:rsidR="0030607D" w:rsidRPr="0006537B" w:rsidRDefault="0030607D" w:rsidP="00065407">
      <w:pPr>
        <w:ind w:left="567" w:right="-716"/>
        <w:jc w:val="both"/>
        <w:rPr>
          <w:rFonts w:ascii="Palatino Linotype" w:eastAsia="Palatino Linotype" w:hAnsi="Palatino Linotype" w:cs="Palatino Linotype"/>
          <w:b/>
          <w:i/>
        </w:rPr>
      </w:pPr>
      <w:r w:rsidRPr="0006537B">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6537B">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6537B">
        <w:rPr>
          <w:rFonts w:ascii="Palatino Linotype" w:eastAsia="Palatino Linotype" w:hAnsi="Palatino Linotype" w:cs="Palatino Linotype"/>
          <w:i/>
        </w:rPr>
        <w:t xml:space="preserve"> el sistema de compensación…” </w:t>
      </w:r>
      <w:r w:rsidRPr="0006537B">
        <w:rPr>
          <w:rFonts w:ascii="Palatino Linotype" w:eastAsia="Palatino Linotype" w:hAnsi="Palatino Linotype" w:cs="Palatino Linotype"/>
          <w:b/>
          <w:i/>
        </w:rPr>
        <w:t>(Sic)</w:t>
      </w:r>
    </w:p>
    <w:p w:rsidR="0030607D" w:rsidRPr="0006537B" w:rsidRDefault="0030607D" w:rsidP="0030607D">
      <w:pPr>
        <w:spacing w:line="360" w:lineRule="auto"/>
        <w:jc w:val="both"/>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Robustece lo anterior, el artículo 92, fracción VIII, de la Ley de Transparencia y Acceso a la Información Pública del Estado de México y Municipios, señala: </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30607D" w:rsidRPr="0006537B" w:rsidRDefault="0030607D" w:rsidP="00065407">
      <w:pPr>
        <w:ind w:left="567" w:right="-716"/>
        <w:jc w:val="both"/>
        <w:rPr>
          <w:rFonts w:ascii="Palatino Linotype" w:eastAsia="Palatino Linotype" w:hAnsi="Palatino Linotype" w:cs="Palatino Linotype"/>
          <w:i/>
        </w:rPr>
      </w:pPr>
      <w:r w:rsidRPr="0006537B">
        <w:rPr>
          <w:rFonts w:ascii="Palatino Linotype" w:eastAsia="Palatino Linotype" w:hAnsi="Palatino Linotype" w:cs="Palatino Linotype"/>
          <w:i/>
        </w:rPr>
        <w:lastRenderedPageBreak/>
        <w:t>(…)</w:t>
      </w:r>
    </w:p>
    <w:p w:rsidR="0030607D" w:rsidRPr="0006537B" w:rsidRDefault="0030607D" w:rsidP="00065407">
      <w:pPr>
        <w:ind w:left="567" w:right="-716"/>
        <w:jc w:val="both"/>
        <w:rPr>
          <w:rFonts w:ascii="Palatino Linotype" w:eastAsia="Palatino Linotype" w:hAnsi="Palatino Linotype" w:cs="Palatino Linotype"/>
          <w:b/>
          <w:i/>
        </w:rPr>
      </w:pPr>
      <w:r w:rsidRPr="0006537B">
        <w:rPr>
          <w:rFonts w:ascii="Palatino Linotype" w:eastAsia="Palatino Linotype" w:hAnsi="Palatino Linotype" w:cs="Palatino Linotype"/>
          <w:i/>
        </w:rPr>
        <w:t xml:space="preserve">VIII. La remuneración bruta y neta de todos los servidores públicos de base o de confianza, </w:t>
      </w:r>
      <w:r w:rsidRPr="0006537B">
        <w:rPr>
          <w:rFonts w:ascii="Palatino Linotype" w:eastAsia="Palatino Linotype" w:hAnsi="Palatino Linotype" w:cs="Palatino Linotype"/>
          <w:b/>
          <w:i/>
        </w:rPr>
        <w:t>de todas las percepciones, incluyendo sueldos, prestaciones, gratificaciones, primas, comisiones, dietas, bonos, estímulos, ingresos y sistemas de compensación, señalando la periodicidad de dicha remuneración;”</w:t>
      </w:r>
    </w:p>
    <w:p w:rsidR="0030607D" w:rsidRPr="0006537B" w:rsidRDefault="0030607D" w:rsidP="0030607D">
      <w:pPr>
        <w:spacing w:line="360" w:lineRule="auto"/>
        <w:jc w:val="both"/>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rsidR="00247B94" w:rsidRPr="0006537B" w:rsidRDefault="00247B94" w:rsidP="004C1A1A">
      <w:pPr>
        <w:spacing w:line="360" w:lineRule="auto"/>
        <w:ind w:right="-787"/>
        <w:jc w:val="both"/>
        <w:rPr>
          <w:rFonts w:ascii="Palatino Linotype" w:eastAsia="Palatino Linotype" w:hAnsi="Palatino Linotype" w:cs="Palatino Linotype"/>
          <w:color w:val="000000"/>
        </w:rPr>
      </w:pPr>
    </w:p>
    <w:p w:rsidR="0030607D" w:rsidRPr="0006537B" w:rsidRDefault="00892A5C" w:rsidP="00533477">
      <w:pPr>
        <w:numPr>
          <w:ilvl w:val="0"/>
          <w:numId w:val="2"/>
        </w:numPr>
        <w:spacing w:line="360" w:lineRule="auto"/>
        <w:ind w:left="0" w:right="-787" w:firstLine="0"/>
        <w:jc w:val="both"/>
        <w:rPr>
          <w:rFonts w:ascii="Palatino Linotype" w:eastAsia="Palatino Linotype" w:hAnsi="Palatino Linotype" w:cs="Palatino Linotype"/>
          <w:b/>
          <w:color w:val="000000"/>
        </w:rPr>
      </w:pPr>
      <w:r w:rsidRPr="0006537B">
        <w:rPr>
          <w:rFonts w:ascii="Palatino Linotype" w:eastAsia="MS Mincho" w:hAnsi="Palatino Linotype" w:cstheme="majorBidi"/>
        </w:rPr>
        <w:t>Bajo</w:t>
      </w:r>
      <w:r w:rsidR="00444DEB" w:rsidRPr="0006537B">
        <w:rPr>
          <w:rFonts w:ascii="Palatino Linotype" w:eastAsia="Palatino Linotype" w:hAnsi="Palatino Linotype" w:cs="Palatino Linotype"/>
          <w:color w:val="000000"/>
        </w:rPr>
        <w:t xml:space="preserve"> ese contexto,</w:t>
      </w:r>
      <w:r w:rsidRPr="0006537B">
        <w:rPr>
          <w:rFonts w:ascii="Palatino Linotype" w:eastAsia="Palatino Linotype" w:hAnsi="Palatino Linotype" w:cs="Palatino Linotype"/>
          <w:color w:val="000000"/>
        </w:rPr>
        <w:t xml:space="preserve"> </w:t>
      </w:r>
      <w:r w:rsidR="002B7A1B" w:rsidRPr="0006537B">
        <w:rPr>
          <w:rFonts w:ascii="Palatino Linotype" w:eastAsia="Palatino Linotype" w:hAnsi="Palatino Linotype" w:cs="Palatino Linotype"/>
          <w:color w:val="000000"/>
        </w:rPr>
        <w:t>y toda vez que el Sujeto Obligado</w:t>
      </w:r>
      <w:r w:rsidR="003D6D16" w:rsidRPr="0006537B">
        <w:rPr>
          <w:rFonts w:ascii="Palatino Linotype" w:eastAsia="Palatino Linotype" w:hAnsi="Palatino Linotype" w:cs="Palatino Linotype"/>
          <w:color w:val="000000"/>
        </w:rPr>
        <w:t xml:space="preserve"> no</w:t>
      </w:r>
      <w:r w:rsidR="002B7A1B" w:rsidRPr="0006537B">
        <w:rPr>
          <w:rFonts w:ascii="Palatino Linotype" w:eastAsia="Palatino Linotype" w:hAnsi="Palatino Linotype" w:cs="Palatino Linotype"/>
          <w:color w:val="000000"/>
        </w:rPr>
        <w:t xml:space="preserve"> proporcionó la información solicitada, resulta procedente </w:t>
      </w:r>
      <w:r w:rsidR="003D6D16" w:rsidRPr="0006537B">
        <w:rPr>
          <w:rFonts w:ascii="Palatino Linotype" w:eastAsia="Palatino Linotype" w:hAnsi="Palatino Linotype" w:cs="Palatino Linotype"/>
          <w:b/>
          <w:color w:val="000000"/>
        </w:rPr>
        <w:t>REVOCAR</w:t>
      </w:r>
      <w:r w:rsidR="002B7A1B" w:rsidRPr="0006537B">
        <w:rPr>
          <w:rFonts w:ascii="Palatino Linotype" w:eastAsia="Palatino Linotype" w:hAnsi="Palatino Linotype" w:cs="Palatino Linotype"/>
          <w:b/>
          <w:color w:val="000000"/>
        </w:rPr>
        <w:t xml:space="preserve"> </w:t>
      </w:r>
      <w:r w:rsidR="002B7A1B" w:rsidRPr="0006537B">
        <w:rPr>
          <w:rFonts w:ascii="Palatino Linotype" w:eastAsia="Palatino Linotype" w:hAnsi="Palatino Linotype" w:cs="Palatino Linotype"/>
          <w:color w:val="000000"/>
        </w:rPr>
        <w:t xml:space="preserve">la respuesta y </w:t>
      </w:r>
      <w:r w:rsidR="002B7A1B" w:rsidRPr="0006537B">
        <w:rPr>
          <w:rFonts w:ascii="Palatino Linotype" w:eastAsia="Palatino Linotype" w:hAnsi="Palatino Linotype" w:cs="Palatino Linotype"/>
          <w:b/>
          <w:color w:val="000000"/>
        </w:rPr>
        <w:t xml:space="preserve">ORDENAR </w:t>
      </w:r>
      <w:r w:rsidR="002B7A1B" w:rsidRPr="0006537B">
        <w:rPr>
          <w:rFonts w:ascii="Palatino Linotype" w:eastAsia="Palatino Linotype" w:hAnsi="Palatino Linotype" w:cs="Palatino Linotype"/>
          <w:color w:val="000000"/>
        </w:rPr>
        <w:t>la entrega, vía Sistema de Acce</w:t>
      </w:r>
      <w:r w:rsidR="005C6920" w:rsidRPr="0006537B">
        <w:rPr>
          <w:rFonts w:ascii="Palatino Linotype" w:eastAsia="Palatino Linotype" w:hAnsi="Palatino Linotype" w:cs="Palatino Linotype"/>
          <w:color w:val="000000"/>
        </w:rPr>
        <w:t>so a la Información Mexiquense</w:t>
      </w:r>
      <w:r w:rsidR="002B7A1B" w:rsidRPr="0006537B">
        <w:rPr>
          <w:rFonts w:ascii="Palatino Linotype" w:eastAsia="Palatino Linotype" w:hAnsi="Palatino Linotype" w:cs="Palatino Linotype"/>
          <w:color w:val="000000"/>
        </w:rPr>
        <w:t xml:space="preserve">, </w:t>
      </w:r>
      <w:r w:rsidR="000779D3" w:rsidRPr="0006537B">
        <w:rPr>
          <w:rFonts w:ascii="Palatino Linotype" w:eastAsia="Palatino Linotype" w:hAnsi="Palatino Linotype" w:cs="Palatino Linotype"/>
          <w:color w:val="000000"/>
        </w:rPr>
        <w:t xml:space="preserve">en versión pública, </w:t>
      </w:r>
      <w:r w:rsidR="00905C45" w:rsidRPr="0006537B">
        <w:rPr>
          <w:rFonts w:ascii="Palatino Linotype" w:eastAsia="Palatino Linotype" w:hAnsi="Palatino Linotype" w:cs="Palatino Linotype"/>
          <w:b/>
          <w:color w:val="000000"/>
        </w:rPr>
        <w:t>la nómina y l</w:t>
      </w:r>
      <w:r w:rsidR="0030607D" w:rsidRPr="0006537B">
        <w:rPr>
          <w:rFonts w:ascii="Palatino Linotype" w:eastAsia="Palatino Linotype" w:hAnsi="Palatino Linotype" w:cs="Palatino Linotype"/>
          <w:b/>
          <w:color w:val="000000"/>
        </w:rPr>
        <w:t xml:space="preserve">os recibos de nómina de los </w:t>
      </w:r>
      <w:r w:rsidR="00905C45" w:rsidRPr="0006537B">
        <w:rPr>
          <w:rFonts w:ascii="Palatino Linotype" w:eastAsia="Palatino Linotype" w:hAnsi="Palatino Linotype" w:cs="Palatino Linotype"/>
          <w:b/>
          <w:color w:val="000000"/>
        </w:rPr>
        <w:t>servidores públicos referidos en la solicitud de información, de la primera y segunda quincena de enero de 2025.</w:t>
      </w:r>
    </w:p>
    <w:p w:rsidR="0030607D" w:rsidRPr="0006537B" w:rsidRDefault="0030607D" w:rsidP="0030607D">
      <w:pPr>
        <w:spacing w:line="360" w:lineRule="auto"/>
        <w:ind w:right="-787"/>
        <w:jc w:val="both"/>
        <w:rPr>
          <w:rFonts w:ascii="Palatino Linotype" w:eastAsia="Palatino Linotype" w:hAnsi="Palatino Linotype" w:cs="Palatino Linotype"/>
          <w:color w:val="000000"/>
        </w:rPr>
      </w:pPr>
    </w:p>
    <w:p w:rsidR="0030607D" w:rsidRPr="0006537B" w:rsidRDefault="0030607D" w:rsidP="0030607D">
      <w:pPr>
        <w:keepNext/>
        <w:keepLines/>
        <w:spacing w:after="160" w:line="360" w:lineRule="auto"/>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QUINTO. De la versión pública.</w:t>
      </w:r>
    </w:p>
    <w:p w:rsidR="0030607D" w:rsidRPr="0006537B" w:rsidRDefault="0030607D" w:rsidP="00533477">
      <w:pPr>
        <w:keepNext/>
        <w:keepLines/>
        <w:numPr>
          <w:ilvl w:val="0"/>
          <w:numId w:val="5"/>
        </w:numPr>
        <w:tabs>
          <w:tab w:val="left" w:pos="284"/>
        </w:tabs>
        <w:spacing w:after="160" w:line="360" w:lineRule="auto"/>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 xml:space="preserve">Nociones generales. </w:t>
      </w:r>
    </w:p>
    <w:p w:rsidR="0030607D" w:rsidRPr="0006537B" w:rsidRDefault="00905C45"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Debido </w:t>
      </w:r>
      <w:r w:rsidR="0030607D" w:rsidRPr="0006537B">
        <w:rPr>
          <w:rFonts w:ascii="Palatino Linotype" w:eastAsia="Palatino Linotype" w:hAnsi="Palatino Linotype" w:cs="Palatino Linotype"/>
        </w:rPr>
        <w:t xml:space="preserve">a la información solicitada por el </w:t>
      </w:r>
      <w:r w:rsidR="0030607D" w:rsidRPr="0006537B">
        <w:rPr>
          <w:rFonts w:ascii="Palatino Linotype" w:eastAsia="Palatino Linotype" w:hAnsi="Palatino Linotype" w:cs="Palatino Linotype"/>
          <w:b/>
        </w:rPr>
        <w:t>RECURRENTE</w:t>
      </w:r>
      <w:r w:rsidR="0030607D" w:rsidRPr="0006537B">
        <w:rPr>
          <w:rFonts w:ascii="Palatino Linotype" w:eastAsia="Palatino Linotype" w:hAnsi="Palatino Linotype" w:cs="Palatino Linotype"/>
        </w:rPr>
        <w:t xml:space="preserve">, obran datos personales susceptibles de protegerse, así como información susceptible de clasificarse como </w:t>
      </w:r>
      <w:r w:rsidR="0030607D" w:rsidRPr="0006537B">
        <w:rPr>
          <w:rFonts w:ascii="Palatino Linotype" w:eastAsia="Palatino Linotype" w:hAnsi="Palatino Linotype" w:cs="Palatino Linotype"/>
        </w:rPr>
        <w:lastRenderedPageBreak/>
        <w:t xml:space="preserve">confidencial,  por lo que, el </w:t>
      </w:r>
      <w:r w:rsidR="0030607D" w:rsidRPr="0006537B">
        <w:rPr>
          <w:rFonts w:ascii="Palatino Linotype" w:eastAsia="Palatino Linotype" w:hAnsi="Palatino Linotype" w:cs="Palatino Linotype"/>
          <w:b/>
        </w:rPr>
        <w:t xml:space="preserve">SUJETO OBLIGADO </w:t>
      </w:r>
      <w:r w:rsidR="0030607D" w:rsidRPr="0006537B">
        <w:rPr>
          <w:rFonts w:ascii="Palatino Linotype" w:eastAsia="Palatino Linotype" w:hAnsi="Palatino Linotype" w:cs="Palatino Linotype"/>
        </w:rPr>
        <w:t xml:space="preserve">deberá de hacer la adecuada versión pública, protegiendo los datos que no son susceptibles de ser proporcionados. </w:t>
      </w:r>
    </w:p>
    <w:p w:rsidR="0030607D" w:rsidRPr="0006537B" w:rsidRDefault="0030607D" w:rsidP="0030607D">
      <w:pPr>
        <w:tabs>
          <w:tab w:val="left" w:pos="0"/>
          <w:tab w:val="left" w:pos="284"/>
        </w:tabs>
        <w:spacing w:line="360" w:lineRule="auto"/>
        <w:ind w:right="49"/>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No pasa desapercibido para este Órgano Garante que los sujetos obligados</w:t>
      </w:r>
      <w:r w:rsidRPr="0006537B">
        <w:rPr>
          <w:rFonts w:ascii="Palatino Linotype" w:eastAsia="Palatino Linotype" w:hAnsi="Palatino Linotype" w:cs="Palatino Linotype"/>
          <w:b/>
          <w:color w:val="000000"/>
        </w:rPr>
        <w:t xml:space="preserve"> </w:t>
      </w:r>
      <w:r w:rsidRPr="0006537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0607D" w:rsidRPr="0006537B" w:rsidRDefault="0030607D" w:rsidP="0030607D">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30607D" w:rsidRPr="0006537B" w:rsidTr="0006537B">
        <w:tc>
          <w:tcPr>
            <w:tcW w:w="2689" w:type="dxa"/>
          </w:tcPr>
          <w:p w:rsidR="0030607D" w:rsidRPr="0006537B" w:rsidRDefault="0030607D" w:rsidP="002F0875">
            <w:pPr>
              <w:tabs>
                <w:tab w:val="left" w:pos="284"/>
              </w:tabs>
              <w:spacing w:line="360" w:lineRule="auto"/>
              <w:rPr>
                <w:rFonts w:ascii="Palatino Linotype" w:eastAsia="Palatino Linotype" w:hAnsi="Palatino Linotype" w:cs="Palatino Linotype"/>
                <w:b/>
              </w:rPr>
            </w:pPr>
            <w:r w:rsidRPr="0006537B">
              <w:rPr>
                <w:rFonts w:ascii="Palatino Linotype" w:eastAsia="Palatino Linotype" w:hAnsi="Palatino Linotype" w:cs="Palatino Linotype"/>
                <w:b/>
              </w:rPr>
              <w:t>a) Requisitos previos.</w:t>
            </w:r>
          </w:p>
        </w:tc>
        <w:tc>
          <w:tcPr>
            <w:tcW w:w="7087"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b/>
                <w:color w:val="000000"/>
              </w:rPr>
            </w:pPr>
            <w:r w:rsidRPr="0006537B">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30607D" w:rsidRPr="0006537B" w:rsidRDefault="0030607D" w:rsidP="002F0875">
            <w:pPr>
              <w:tabs>
                <w:tab w:val="left" w:pos="284"/>
              </w:tabs>
              <w:spacing w:line="360" w:lineRule="auto"/>
              <w:jc w:val="both"/>
              <w:rPr>
                <w:rFonts w:ascii="Palatino Linotype" w:eastAsia="Palatino Linotype" w:hAnsi="Palatino Linotype" w:cs="Palatino Linotype"/>
                <w:b/>
              </w:rPr>
            </w:pPr>
            <w:r w:rsidRPr="0006537B">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06537B">
              <w:rPr>
                <w:rFonts w:ascii="Palatino Linotype" w:eastAsia="Palatino Linotype" w:hAnsi="Palatino Linotype" w:cs="Palatino Linotype"/>
                <w:b/>
                <w:color w:val="000000"/>
                <w:u w:val="single"/>
              </w:rPr>
              <w:t xml:space="preserve">no se puede hacer un acuerdo para clasificar de manera </w:t>
            </w:r>
            <w:r w:rsidRPr="0006537B">
              <w:rPr>
                <w:rFonts w:ascii="Palatino Linotype" w:eastAsia="Palatino Linotype" w:hAnsi="Palatino Linotype" w:cs="Palatino Linotype"/>
                <w:b/>
                <w:color w:val="000000"/>
                <w:u w:val="single"/>
              </w:rPr>
              <w:lastRenderedPageBreak/>
              <w:t>general todos los documentos de un expediente o área, sin</w:t>
            </w:r>
            <w:r w:rsidRPr="0006537B">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30607D" w:rsidRPr="0006537B" w:rsidTr="0006537B">
        <w:tc>
          <w:tcPr>
            <w:tcW w:w="2689" w:type="dxa"/>
          </w:tcPr>
          <w:p w:rsidR="0030607D" w:rsidRPr="0006537B" w:rsidRDefault="0030607D" w:rsidP="002F0875">
            <w:pPr>
              <w:tabs>
                <w:tab w:val="left" w:pos="284"/>
              </w:tabs>
              <w:spacing w:line="360" w:lineRule="auto"/>
              <w:rPr>
                <w:rFonts w:ascii="Palatino Linotype" w:eastAsia="Palatino Linotype" w:hAnsi="Palatino Linotype" w:cs="Palatino Linotype"/>
                <w:b/>
              </w:rPr>
            </w:pPr>
            <w:r w:rsidRPr="0006537B">
              <w:rPr>
                <w:rFonts w:ascii="Palatino Linotype" w:eastAsia="Palatino Linotype" w:hAnsi="Palatino Linotype" w:cs="Palatino Linotype"/>
                <w:b/>
              </w:rPr>
              <w:lastRenderedPageBreak/>
              <w:t>b) Supuestos de clasificación.</w:t>
            </w:r>
          </w:p>
        </w:tc>
        <w:tc>
          <w:tcPr>
            <w:tcW w:w="7087"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0607D" w:rsidRPr="0006537B" w:rsidRDefault="0030607D" w:rsidP="002F0875">
            <w:pPr>
              <w:tabs>
                <w:tab w:val="left" w:pos="284"/>
              </w:tabs>
              <w:spacing w:line="360" w:lineRule="auto"/>
              <w:jc w:val="both"/>
              <w:rPr>
                <w:rFonts w:ascii="Palatino Linotype" w:eastAsia="Palatino Linotype" w:hAnsi="Palatino Linotype" w:cs="Palatino Linotype"/>
              </w:rPr>
            </w:pPr>
            <w:r w:rsidRPr="0006537B">
              <w:rPr>
                <w:rFonts w:ascii="Palatino Linotype" w:eastAsia="Palatino Linotype" w:hAnsi="Palatino Linotype" w:cs="Palatino Linotype"/>
                <w:color w:val="000000"/>
              </w:rPr>
              <w:t xml:space="preserve">El </w:t>
            </w:r>
            <w:r w:rsidRPr="0006537B">
              <w:rPr>
                <w:rFonts w:ascii="Palatino Linotype" w:eastAsia="Palatino Linotype" w:hAnsi="Palatino Linotype" w:cs="Palatino Linotype"/>
                <w:b/>
                <w:color w:val="000000"/>
              </w:rPr>
              <w:t>Sujeto Obligado</w:t>
            </w:r>
            <w:r w:rsidRPr="0006537B">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607D" w:rsidRPr="0006537B" w:rsidTr="0006537B">
        <w:tc>
          <w:tcPr>
            <w:tcW w:w="2689" w:type="dxa"/>
          </w:tcPr>
          <w:p w:rsidR="0030607D" w:rsidRPr="0006537B" w:rsidRDefault="0030607D" w:rsidP="002F0875">
            <w:pPr>
              <w:tabs>
                <w:tab w:val="left" w:pos="284"/>
              </w:tabs>
              <w:spacing w:line="360" w:lineRule="auto"/>
              <w:rPr>
                <w:rFonts w:ascii="Palatino Linotype" w:eastAsia="Palatino Linotype" w:hAnsi="Palatino Linotype" w:cs="Palatino Linotype"/>
                <w:b/>
              </w:rPr>
            </w:pPr>
            <w:r w:rsidRPr="0006537B">
              <w:rPr>
                <w:rFonts w:ascii="Palatino Linotype" w:eastAsia="Palatino Linotype" w:hAnsi="Palatino Linotype" w:cs="Palatino Linotype"/>
                <w:b/>
              </w:rPr>
              <w:lastRenderedPageBreak/>
              <w:t>c) Formalidades para emitir el acuerdo de clasificación.</w:t>
            </w:r>
          </w:p>
        </w:tc>
        <w:tc>
          <w:tcPr>
            <w:tcW w:w="7087"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Es necesario que </w:t>
            </w:r>
            <w:r w:rsidRPr="0006537B">
              <w:rPr>
                <w:rFonts w:ascii="Palatino Linotype" w:eastAsia="Palatino Linotype" w:hAnsi="Palatino Linotype" w:cs="Palatino Linotype"/>
                <w:b/>
                <w:color w:val="000000"/>
                <w:u w:val="single"/>
              </w:rPr>
              <w:t>el acto reúna con los requisitos elementales</w:t>
            </w:r>
            <w:r w:rsidRPr="0006537B">
              <w:rPr>
                <w:rFonts w:ascii="Palatino Linotype" w:eastAsia="Palatino Linotype" w:hAnsi="Palatino Linotype" w:cs="Palatino Linotype"/>
                <w:color w:val="000000"/>
              </w:rPr>
              <w:t>, entre ellos, que la autoridad que va a emitir el acto de autoridad sea la legalmente facultada para ello.</w:t>
            </w:r>
          </w:p>
          <w:p w:rsidR="0030607D" w:rsidRPr="0006537B" w:rsidRDefault="0030607D" w:rsidP="002F0875">
            <w:pPr>
              <w:tabs>
                <w:tab w:val="left" w:pos="284"/>
              </w:tabs>
              <w:spacing w:line="360" w:lineRule="auto"/>
              <w:jc w:val="both"/>
              <w:rPr>
                <w:rFonts w:ascii="Palatino Linotype" w:eastAsia="Palatino Linotype" w:hAnsi="Palatino Linotype" w:cs="Palatino Linotype"/>
              </w:rPr>
            </w:pPr>
            <w:r w:rsidRPr="0006537B">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607D" w:rsidRPr="0006537B" w:rsidTr="0006537B">
        <w:tc>
          <w:tcPr>
            <w:tcW w:w="2689" w:type="dxa"/>
          </w:tcPr>
          <w:p w:rsidR="0030607D" w:rsidRPr="0006537B" w:rsidRDefault="0030607D" w:rsidP="002F0875">
            <w:pPr>
              <w:tabs>
                <w:tab w:val="left" w:pos="284"/>
              </w:tabs>
              <w:spacing w:line="360" w:lineRule="auto"/>
              <w:rPr>
                <w:rFonts w:ascii="Palatino Linotype" w:eastAsia="Palatino Linotype" w:hAnsi="Palatino Linotype" w:cs="Palatino Linotype"/>
                <w:b/>
              </w:rPr>
            </w:pPr>
          </w:p>
          <w:p w:rsidR="0030607D" w:rsidRPr="0006537B" w:rsidRDefault="0030607D" w:rsidP="002F0875">
            <w:pPr>
              <w:tabs>
                <w:tab w:val="left" w:pos="284"/>
              </w:tabs>
              <w:spacing w:line="360" w:lineRule="auto"/>
              <w:jc w:val="both"/>
              <w:rPr>
                <w:rFonts w:ascii="Palatino Linotype" w:eastAsia="Palatino Linotype" w:hAnsi="Palatino Linotype" w:cs="Palatino Linotype"/>
                <w:b/>
              </w:rPr>
            </w:pPr>
            <w:r w:rsidRPr="0006537B">
              <w:rPr>
                <w:rFonts w:ascii="Palatino Linotype" w:eastAsia="Palatino Linotype" w:hAnsi="Palatino Linotype" w:cs="Palatino Linotype"/>
                <w:b/>
                <w:color w:val="000000"/>
              </w:rPr>
              <w:t xml:space="preserve">d) Requisitos de fondo del acuerdo de clasificación. </w:t>
            </w:r>
          </w:p>
        </w:tc>
        <w:tc>
          <w:tcPr>
            <w:tcW w:w="7087"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6537B">
              <w:rPr>
                <w:rFonts w:ascii="Palatino Linotype" w:eastAsia="Palatino Linotype" w:hAnsi="Palatino Linotype" w:cs="Palatino Linotype"/>
                <w:b/>
                <w:color w:val="000000"/>
              </w:rPr>
              <w:t>Sujetos Obligados</w:t>
            </w:r>
            <w:r w:rsidRPr="0006537B">
              <w:rPr>
                <w:rFonts w:ascii="Palatino Linotype" w:eastAsia="Palatino Linotype" w:hAnsi="Palatino Linotype" w:cs="Palatino Linotype"/>
                <w:color w:val="000000"/>
              </w:rPr>
              <w:t xml:space="preserve">, por lo que deberán fundar y motivar debidamente la clasificación. </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lastRenderedPageBreak/>
              <w:t xml:space="preserve">De lo anterior, se desprende que para una correcta </w:t>
            </w:r>
            <w:r w:rsidRPr="0006537B">
              <w:rPr>
                <w:rFonts w:ascii="Palatino Linotype" w:eastAsia="Palatino Linotype" w:hAnsi="Palatino Linotype" w:cs="Palatino Linotype"/>
                <w:b/>
                <w:color w:val="000000"/>
              </w:rPr>
              <w:t>clasificación total o parcial</w:t>
            </w:r>
            <w:r w:rsidRPr="0006537B">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Ahora bien, </w:t>
            </w:r>
            <w:r w:rsidRPr="0006537B">
              <w:rPr>
                <w:rFonts w:ascii="Palatino Linotype" w:eastAsia="Palatino Linotype" w:hAnsi="Palatino Linotype" w:cs="Palatino Linotype"/>
                <w:b/>
                <w:color w:val="000000"/>
                <w:u w:val="single"/>
              </w:rPr>
              <w:t>para cada caso además de fundar y motivar</w:t>
            </w:r>
            <w:r w:rsidRPr="0006537B">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06537B">
              <w:rPr>
                <w:rFonts w:ascii="Palatino Linotype" w:eastAsia="Palatino Linotype" w:hAnsi="Palatino Linotype" w:cs="Palatino Linotype"/>
                <w:color w:val="000000"/>
              </w:rPr>
              <w:lastRenderedPageBreak/>
              <w:t>comercial, fiscal, bursátil y postal, cuya titularidad corresponda a particulares, entre otros.</w:t>
            </w:r>
          </w:p>
        </w:tc>
      </w:tr>
      <w:tr w:rsidR="0030607D" w:rsidRPr="0006537B" w:rsidTr="0006537B">
        <w:tc>
          <w:tcPr>
            <w:tcW w:w="2689"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b/>
              </w:rPr>
            </w:pPr>
            <w:r w:rsidRPr="0006537B">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30607D" w:rsidRPr="0006537B" w:rsidRDefault="0030607D" w:rsidP="002F0875">
            <w:pPr>
              <w:tabs>
                <w:tab w:val="left" w:pos="284"/>
              </w:tabs>
              <w:spacing w:line="360" w:lineRule="auto"/>
              <w:ind w:right="49"/>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0607D" w:rsidRPr="0006537B" w:rsidRDefault="0030607D" w:rsidP="002F0875">
            <w:pPr>
              <w:tabs>
                <w:tab w:val="left" w:pos="284"/>
              </w:tabs>
              <w:spacing w:line="360" w:lineRule="auto"/>
              <w:rPr>
                <w:rFonts w:ascii="Palatino Linotype" w:eastAsia="Palatino Linotype" w:hAnsi="Palatino Linotype" w:cs="Palatino Linotype"/>
              </w:rPr>
            </w:pPr>
            <w:r w:rsidRPr="0006537B">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0607D" w:rsidRPr="0006537B" w:rsidRDefault="0030607D" w:rsidP="0030607D">
      <w:pPr>
        <w:tabs>
          <w:tab w:val="left" w:pos="284"/>
        </w:tabs>
        <w:spacing w:line="360" w:lineRule="auto"/>
        <w:rPr>
          <w:rFonts w:ascii="Palatino Linotype" w:eastAsia="Palatino Linotype" w:hAnsi="Palatino Linotype" w:cs="Palatino Linotype"/>
          <w:color w:val="000000"/>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Se debe de puntualizar que la nómina y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w:t>
      </w:r>
      <w:r w:rsidRPr="0006537B">
        <w:rPr>
          <w:rFonts w:ascii="Palatino Linotype" w:eastAsia="Palatino Linotype" w:hAnsi="Palatino Linotype" w:cs="Palatino Linotype"/>
        </w:rPr>
        <w:lastRenderedPageBreak/>
        <w:t>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w:t>
      </w:r>
      <w:r w:rsidR="00905C45" w:rsidRPr="0006537B">
        <w:rPr>
          <w:rFonts w:ascii="Palatino Linotype" w:eastAsia="Palatino Linotype" w:hAnsi="Palatino Linotype" w:cs="Palatino Linotype"/>
        </w:rPr>
        <w:t>ato que ponga en riesgo la vida y la</w:t>
      </w:r>
      <w:r w:rsidRPr="0006537B">
        <w:rPr>
          <w:rFonts w:ascii="Palatino Linotype" w:eastAsia="Palatino Linotype" w:hAnsi="Palatino Linotype" w:cs="Palatino Linotype"/>
        </w:rPr>
        <w:t xml:space="preserve"> seguridad de dichas personas.</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Por cuanto hace al </w:t>
      </w:r>
      <w:r w:rsidRPr="0006537B">
        <w:rPr>
          <w:rFonts w:ascii="Palatino Linotype" w:eastAsia="Palatino Linotype" w:hAnsi="Palatino Linotype" w:cs="Palatino Linotype"/>
          <w:b/>
        </w:rPr>
        <w:t>Registro Federal de Contribuyentes (RFC),</w:t>
      </w:r>
      <w:r w:rsidRPr="0006537B">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rsidR="0030607D" w:rsidRPr="0006537B" w:rsidRDefault="0030607D" w:rsidP="0030607D">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“Registro Federal de Contribuyentes (RFC) de personas físicas</w:t>
      </w:r>
      <w:r w:rsidRPr="0006537B">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30607D" w:rsidRPr="0006537B" w:rsidRDefault="0030607D" w:rsidP="0030607D">
      <w:pPr>
        <w:ind w:right="1106"/>
        <w:jc w:val="both"/>
        <w:rPr>
          <w:rFonts w:ascii="Palatino Linotype" w:eastAsia="Palatino Linotype" w:hAnsi="Palatino Linotype" w:cs="Palatino Linotype"/>
          <w:i/>
        </w:rPr>
      </w:pPr>
    </w:p>
    <w:p w:rsidR="0030607D" w:rsidRPr="0006537B" w:rsidRDefault="0030607D" w:rsidP="0030607D">
      <w:pPr>
        <w:ind w:left="567" w:right="900"/>
        <w:jc w:val="both"/>
        <w:rPr>
          <w:rFonts w:ascii="Palatino Linotype" w:eastAsia="Palatino Linotype" w:hAnsi="Palatino Linotype" w:cs="Palatino Linotype"/>
          <w:i/>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 xml:space="preserve">Así, el </w:t>
      </w:r>
      <w:r w:rsidRPr="0006537B">
        <w:rPr>
          <w:rFonts w:ascii="Palatino Linotype" w:eastAsia="Palatino Linotype" w:hAnsi="Palatino Linotype" w:cs="Palatino Linotype"/>
          <w:b/>
        </w:rPr>
        <w:t>Registro Federal de Contribuyentes, RFC</w:t>
      </w:r>
      <w:r w:rsidRPr="0006537B">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De igual manera la </w:t>
      </w:r>
      <w:r w:rsidRPr="0006537B">
        <w:rPr>
          <w:rFonts w:ascii="Palatino Linotype" w:eastAsia="Palatino Linotype" w:hAnsi="Palatino Linotype" w:cs="Palatino Linotype"/>
          <w:b/>
        </w:rPr>
        <w:t>Clave Única de Registro de Población (CURP),</w:t>
      </w:r>
      <w:r w:rsidRPr="0006537B">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30607D" w:rsidRPr="0006537B" w:rsidRDefault="0030607D" w:rsidP="0030607D">
      <w:pPr>
        <w:ind w:left="1134" w:right="-716"/>
        <w:jc w:val="both"/>
        <w:rPr>
          <w:rFonts w:ascii="Palatino Linotype" w:eastAsia="Palatino Linotype" w:hAnsi="Palatino Linotype" w:cs="Palatino Linotype"/>
          <w:i/>
        </w:rPr>
      </w:pPr>
      <w:r w:rsidRPr="0006537B">
        <w:rPr>
          <w:rFonts w:ascii="Palatino Linotype" w:eastAsia="Palatino Linotype" w:hAnsi="Palatino Linotype" w:cs="Palatino Linotype"/>
          <w:b/>
          <w:i/>
        </w:rPr>
        <w:t xml:space="preserve">“Clave Única de Registro de Población (CURP). </w:t>
      </w:r>
      <w:r w:rsidRPr="0006537B">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 xml:space="preserve">Por cuanto hace a la </w:t>
      </w:r>
      <w:r w:rsidRPr="0006537B">
        <w:rPr>
          <w:rFonts w:ascii="Palatino Linotype" w:eastAsia="Palatino Linotype" w:hAnsi="Palatino Linotype" w:cs="Palatino Linotype"/>
          <w:b/>
        </w:rPr>
        <w:t>Clave de cualquier tipo de seguridad social (ISSEMyM, u otros</w:t>
      </w:r>
      <w:r w:rsidRPr="0006537B">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Sirven de sustento a lo anterior, las tesis jurisprudenciales P. LX/2000 y 2a. XLIII/2008 emitidas por el Peno y la Segunda Sala de la Suprema Corte de Justicia de la Nación, respectivamente, que son del tenor literal siguiente:</w:t>
      </w:r>
    </w:p>
    <w:p w:rsidR="0030607D" w:rsidRPr="0006537B" w:rsidRDefault="0030607D" w:rsidP="00204CFD">
      <w:pPr>
        <w:ind w:left="567" w:right="-858"/>
        <w:jc w:val="both"/>
        <w:rPr>
          <w:rFonts w:ascii="Palatino Linotype" w:eastAsia="Palatino Linotype" w:hAnsi="Palatino Linotype" w:cs="Palatino Linotype"/>
          <w:i/>
        </w:rPr>
      </w:pPr>
      <w:r w:rsidRPr="0006537B">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06537B">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6537B">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06537B">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06537B">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06537B">
        <w:rPr>
          <w:rFonts w:ascii="Palatino Linotype" w:eastAsia="Palatino Linotype" w:hAnsi="Palatino Linotype" w:cs="Palatino Linotype"/>
          <w:i/>
        </w:rPr>
        <w:t>.”</w:t>
      </w:r>
    </w:p>
    <w:p w:rsidR="0030607D" w:rsidRPr="0006537B" w:rsidRDefault="0030607D" w:rsidP="00204CFD">
      <w:pPr>
        <w:ind w:left="567" w:right="-858"/>
        <w:jc w:val="both"/>
        <w:rPr>
          <w:rFonts w:ascii="Palatino Linotype" w:eastAsia="Palatino Linotype" w:hAnsi="Palatino Linotype" w:cs="Palatino Linotype"/>
          <w:i/>
        </w:rPr>
      </w:pPr>
    </w:p>
    <w:p w:rsidR="0030607D" w:rsidRPr="0006537B" w:rsidRDefault="0030607D" w:rsidP="00204CFD">
      <w:pPr>
        <w:ind w:left="567" w:right="-858"/>
        <w:jc w:val="both"/>
        <w:rPr>
          <w:rFonts w:ascii="Palatino Linotype" w:eastAsia="Palatino Linotype" w:hAnsi="Palatino Linotype" w:cs="Palatino Linotype"/>
          <w:i/>
        </w:rPr>
      </w:pPr>
      <w:r w:rsidRPr="0006537B">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06537B">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w:t>
      </w:r>
      <w:r w:rsidRPr="0006537B">
        <w:rPr>
          <w:rFonts w:ascii="Palatino Linotype" w:eastAsia="Palatino Linotype" w:hAnsi="Palatino Linotype" w:cs="Palatino Linotype"/>
          <w:i/>
        </w:rPr>
        <w:lastRenderedPageBreak/>
        <w:t xml:space="preserve">Mexicanos, porque es jurídicamente adecuado que en las leyes reguladoras de cada materia, </w:t>
      </w:r>
      <w:r w:rsidRPr="0006537B">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6537B">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30607D" w:rsidRPr="0006537B" w:rsidRDefault="0030607D" w:rsidP="0030607D">
      <w:pPr>
        <w:ind w:left="1134" w:right="-929"/>
        <w:jc w:val="both"/>
        <w:rPr>
          <w:rFonts w:ascii="Palatino Linotype" w:eastAsia="Palatino Linotype" w:hAnsi="Palatino Linotype" w:cs="Palatino Linotype"/>
          <w:i/>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También, el número de cuenta bancario, conforme al el Criterio orientador 10/17 emitido por el Pleno del Instituto Nacional de Transparencia, Acceso a la Información y Protección de Datos Personales se establece lo siguiente:</w:t>
      </w:r>
    </w:p>
    <w:p w:rsidR="0030607D" w:rsidRPr="0006537B" w:rsidRDefault="0030607D" w:rsidP="00204CFD">
      <w:pPr>
        <w:shd w:val="clear" w:color="auto" w:fill="FFFFFF"/>
        <w:ind w:left="567" w:right="-716"/>
        <w:jc w:val="both"/>
        <w:rPr>
          <w:rFonts w:ascii="Palatino Linotype" w:eastAsia="Palatino Linotype" w:hAnsi="Palatino Linotype" w:cs="Palatino Linotype"/>
        </w:rPr>
      </w:pPr>
      <w:r w:rsidRPr="0006537B">
        <w:rPr>
          <w:rFonts w:ascii="Palatino Linotype" w:eastAsia="Palatino Linotype" w:hAnsi="Palatino Linotype" w:cs="Palatino Linotype"/>
        </w:rPr>
        <w:t>“</w:t>
      </w:r>
      <w:r w:rsidRPr="0006537B">
        <w:rPr>
          <w:rFonts w:ascii="Palatino Linotype" w:eastAsia="Palatino Linotype" w:hAnsi="Palatino Linotype" w:cs="Palatino Linotype"/>
          <w:b/>
          <w:i/>
        </w:rPr>
        <w:t>Cuentas bancarias y/o CLABE interbancaria de personas físicas y morales privadas.</w:t>
      </w:r>
      <w:r w:rsidRPr="0006537B">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06537B">
        <w:rPr>
          <w:rFonts w:ascii="Palatino Linotype" w:eastAsia="Palatino Linotype" w:hAnsi="Palatino Linotype" w:cs="Palatino Linotype"/>
        </w:rPr>
        <w:t>.”</w:t>
      </w:r>
    </w:p>
    <w:p w:rsidR="0030607D" w:rsidRPr="0006537B" w:rsidRDefault="0030607D" w:rsidP="0030607D">
      <w:pPr>
        <w:ind w:left="1134" w:right="-929"/>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w:t>
      </w:r>
      <w:r w:rsidRPr="0006537B">
        <w:rPr>
          <w:rFonts w:ascii="Palatino Linotype" w:eastAsia="Palatino Linotype" w:hAnsi="Palatino Linotype" w:cs="Palatino Linotype"/>
        </w:rPr>
        <w:lastRenderedPageBreak/>
        <w:t>I de la Ley de Transparencia y Acceso a la Información Pública del Estado de México y Municipios.</w:t>
      </w:r>
    </w:p>
    <w:p w:rsidR="0030607D" w:rsidRPr="0006537B" w:rsidRDefault="0030607D" w:rsidP="0030607D">
      <w:pPr>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El </w:t>
      </w:r>
      <w:r w:rsidRPr="0006537B">
        <w:rPr>
          <w:rFonts w:ascii="Palatino Linotype" w:eastAsia="Palatino Linotype" w:hAnsi="Palatino Linotype" w:cs="Palatino Linotype"/>
          <w:b/>
        </w:rPr>
        <w:t>Código de barras bidimensional (QR</w:t>
      </w:r>
      <w:r w:rsidRPr="0006537B">
        <w:rPr>
          <w:rFonts w:ascii="Palatino Linotype" w:eastAsia="Palatino Linotype" w:hAnsi="Palatino Linotype" w:cs="Palatino Linotype"/>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14">
        <w:r w:rsidRPr="0006537B">
          <w:rPr>
            <w:rFonts w:ascii="Palatino Linotype" w:eastAsia="Palatino Linotype" w:hAnsi="Palatino Linotype" w:cs="Palatino Linotype"/>
            <w:color w:val="0563C1"/>
            <w:u w:val="single"/>
          </w:rPr>
          <w:t>http://omawww.sat.gob.mx/tramitesyservicios/paginas/documentos/anexo20_2022.pdf</w:t>
        </w:r>
      </w:hyperlink>
      <w:r w:rsidRPr="0006537B">
        <w:rPr>
          <w:rFonts w:ascii="Palatino Linotype" w:eastAsia="Palatino Linotype" w:hAnsi="Palatino Linotype" w:cs="Palatino Linotype"/>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30607D" w:rsidRPr="0006537B" w:rsidRDefault="0030607D" w:rsidP="0030607D">
      <w:pPr>
        <w:tabs>
          <w:tab w:val="left" w:pos="284"/>
        </w:tabs>
        <w:spacing w:line="360" w:lineRule="auto"/>
        <w:ind w:right="-1071"/>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30607D" w:rsidRPr="0006537B" w:rsidRDefault="0030607D" w:rsidP="0030607D">
      <w:pPr>
        <w:tabs>
          <w:tab w:val="left" w:pos="284"/>
        </w:tabs>
        <w:spacing w:line="360" w:lineRule="auto"/>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Por otra parte y respecto a la </w:t>
      </w:r>
      <w:r w:rsidRPr="0006537B">
        <w:rPr>
          <w:rFonts w:ascii="Palatino Linotype" w:eastAsia="Palatino Linotype" w:hAnsi="Palatino Linotype" w:cs="Palatino Linotype"/>
          <w:b/>
        </w:rPr>
        <w:t>clave de seguridad social y en su caso clave o número del servidor público –trabajador</w:t>
      </w:r>
      <w:r w:rsidRPr="0006537B">
        <w:rPr>
          <w:rFonts w:ascii="Palatino Linotype" w:eastAsia="Palatino Linotype" w:hAnsi="Palatino Linotype" w:cs="Palatino Linotype"/>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w:t>
      </w:r>
      <w:r w:rsidRPr="0006537B">
        <w:rPr>
          <w:rFonts w:ascii="Palatino Linotype" w:eastAsia="Palatino Linotype" w:hAnsi="Palatino Linotype" w:cs="Palatino Linotype"/>
        </w:rPr>
        <w:lastRenderedPageBreak/>
        <w:t>Instituto Federal de Transparencia y Acceso a la Información (INAI), cuyo texto y sentido literal es el siguiente:</w:t>
      </w:r>
    </w:p>
    <w:p w:rsidR="0030607D" w:rsidRPr="0006537B" w:rsidRDefault="0030607D" w:rsidP="00204CFD">
      <w:pPr>
        <w:shd w:val="clear" w:color="auto" w:fill="FFFFFF"/>
        <w:tabs>
          <w:tab w:val="left" w:pos="7938"/>
        </w:tabs>
        <w:ind w:left="567" w:right="-716"/>
        <w:jc w:val="both"/>
        <w:rPr>
          <w:rFonts w:ascii="Palatino Linotype" w:eastAsia="Palatino Linotype" w:hAnsi="Palatino Linotype" w:cs="Palatino Linotype"/>
          <w:i/>
          <w:color w:val="222222"/>
        </w:rPr>
      </w:pPr>
      <w:r w:rsidRPr="0006537B">
        <w:rPr>
          <w:rFonts w:ascii="Palatino Linotype" w:eastAsia="Palatino Linotype" w:hAnsi="Palatino Linotype" w:cs="Palatino Linotype"/>
          <w:b/>
          <w:i/>
          <w:color w:val="222222"/>
        </w:rPr>
        <w:t>“El número de ficha de identificación única de los trabajadores es información de carácter confidencial.</w:t>
      </w:r>
      <w:r w:rsidRPr="0006537B">
        <w:rPr>
          <w:rFonts w:ascii="Palatino Linotype" w:eastAsia="Palatino Linotype" w:hAnsi="Palatino Linotype" w:cs="Palatino Linotype"/>
          <w:i/>
          <w:color w:val="222222"/>
        </w:rPr>
        <w:t> </w:t>
      </w:r>
      <w:r w:rsidRPr="0006537B">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06537B">
        <w:rPr>
          <w:rFonts w:ascii="Palatino Linotype" w:eastAsia="Palatino Linotype" w:hAnsi="Palatino Linotype" w:cs="Palatino Linotype"/>
          <w:i/>
          <w:color w:val="222222"/>
        </w:rPr>
        <w:t>, </w:t>
      </w:r>
      <w:r w:rsidRPr="0006537B">
        <w:rPr>
          <w:rFonts w:ascii="Palatino Linotype" w:eastAsia="Palatino Linotype" w:hAnsi="Palatino Linotype" w:cs="Palatino Linotype"/>
          <w:i/>
          <w:color w:val="222222"/>
          <w:u w:val="single"/>
        </w:rPr>
        <w:t>dicha información es susceptible de clasificarse con el carácter de confidencial</w:t>
      </w:r>
      <w:r w:rsidRPr="0006537B">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w:t>
      </w:r>
    </w:p>
    <w:p w:rsidR="0030607D" w:rsidRPr="0006537B" w:rsidRDefault="0030607D" w:rsidP="0030607D">
      <w:pPr>
        <w:shd w:val="clear" w:color="auto" w:fill="FFFFFF"/>
        <w:ind w:right="541"/>
        <w:jc w:val="both"/>
        <w:rPr>
          <w:rFonts w:ascii="Palatino Linotype" w:eastAsia="Palatino Linotype" w:hAnsi="Palatino Linotype" w:cs="Palatino Linotype"/>
          <w:i/>
          <w:color w:val="222222"/>
        </w:rPr>
      </w:pPr>
    </w:p>
    <w:p w:rsidR="0030607D" w:rsidRPr="0006537B" w:rsidRDefault="0030607D" w:rsidP="0030607D">
      <w:pPr>
        <w:shd w:val="clear" w:color="auto" w:fill="FFFFFF"/>
        <w:ind w:left="1134" w:right="1106"/>
        <w:jc w:val="both"/>
        <w:rPr>
          <w:rFonts w:ascii="Palatino Linotype" w:eastAsia="Palatino Linotype" w:hAnsi="Palatino Linotype" w:cs="Palatino Linotype"/>
          <w:i/>
          <w:color w:val="222222"/>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Ahora bien, también es necesario indicar que </w:t>
      </w:r>
      <w:r w:rsidRPr="0006537B">
        <w:rPr>
          <w:rFonts w:ascii="Palatino Linotype" w:eastAsia="Palatino Linotype" w:hAnsi="Palatino Linotype" w:cs="Palatino Linotype"/>
          <w:b/>
        </w:rPr>
        <w:t>hay información</w:t>
      </w:r>
      <w:r w:rsidRPr="0006537B">
        <w:rPr>
          <w:rFonts w:ascii="Palatino Linotype" w:eastAsia="Palatino Linotype" w:hAnsi="Palatino Linotype" w:cs="Palatino Linotype"/>
        </w:rPr>
        <w:t xml:space="preserve"> dentro de los recibos de nómina </w:t>
      </w:r>
      <w:r w:rsidRPr="0006537B">
        <w:rPr>
          <w:rFonts w:ascii="Palatino Linotype" w:eastAsia="Palatino Linotype" w:hAnsi="Palatino Linotype" w:cs="Palatino Linotype"/>
          <w:b/>
        </w:rPr>
        <w:t xml:space="preserve">que </w:t>
      </w:r>
      <w:r w:rsidRPr="0006537B">
        <w:rPr>
          <w:rFonts w:ascii="Palatino Linotype" w:eastAsia="Palatino Linotype" w:hAnsi="Palatino Linotype" w:cs="Palatino Linotype"/>
          <w:b/>
          <w:u w:val="single"/>
        </w:rPr>
        <w:t>no contienen datos personales</w:t>
      </w:r>
      <w:r w:rsidRPr="0006537B">
        <w:rPr>
          <w:rFonts w:ascii="Palatino Linotype" w:eastAsia="Palatino Linotype" w:hAnsi="Palatino Linotype" w:cs="Palatino Linotype"/>
        </w:rPr>
        <w:t xml:space="preserve">, mismos que deberá tener en cuenta el </w:t>
      </w:r>
      <w:r w:rsidRPr="0006537B">
        <w:rPr>
          <w:rFonts w:ascii="Palatino Linotype" w:eastAsia="Palatino Linotype" w:hAnsi="Palatino Linotype" w:cs="Palatino Linotype"/>
          <w:b/>
        </w:rPr>
        <w:t xml:space="preserve">SUJETO OBLIGADO </w:t>
      </w:r>
      <w:r w:rsidRPr="0006537B">
        <w:rPr>
          <w:rFonts w:ascii="Palatino Linotype" w:eastAsia="Palatino Linotype" w:hAnsi="Palatino Linotype" w:cs="Palatino Linotype"/>
        </w:rPr>
        <w:t>para el entrega de los recibos de nómina que se ordenan en el presenta recurso de revisión.</w:t>
      </w:r>
    </w:p>
    <w:p w:rsidR="0030607D" w:rsidRPr="0006537B" w:rsidRDefault="0030607D" w:rsidP="0030607D">
      <w:pPr>
        <w:tabs>
          <w:tab w:val="left" w:pos="284"/>
        </w:tabs>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Por cuanto hace </w:t>
      </w:r>
      <w:r w:rsidRPr="0006537B">
        <w:rPr>
          <w:rFonts w:ascii="Palatino Linotype" w:eastAsia="Palatino Linotype" w:hAnsi="Palatino Linotype" w:cs="Palatino Linotype"/>
          <w:b/>
        </w:rPr>
        <w:t>al Folio Fiscal</w:t>
      </w:r>
      <w:r w:rsidRPr="0006537B">
        <w:rPr>
          <w:rFonts w:ascii="Palatino Linotype" w:eastAsia="Palatino Linotype" w:hAnsi="Palatino Linotype" w:cs="Palatino Linotype"/>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30607D" w:rsidRPr="0006537B" w:rsidRDefault="0030607D" w:rsidP="0030607D">
      <w:pPr>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30607D" w:rsidRDefault="0030607D" w:rsidP="0030607D">
      <w:pPr>
        <w:jc w:val="center"/>
        <w:rPr>
          <w:rFonts w:ascii="Palatino Linotype" w:eastAsia="Palatino Linotype" w:hAnsi="Palatino Linotype" w:cs="Palatino Linotype"/>
        </w:rPr>
      </w:pPr>
      <w:r w:rsidRPr="0006537B">
        <w:rPr>
          <w:rFonts w:ascii="Palatino Linotype" w:eastAsia="Palatino Linotype" w:hAnsi="Palatino Linotype" w:cs="Palatino Linotype"/>
          <w:noProof/>
          <w:lang w:val="es-MX" w:eastAsia="es-MX"/>
        </w:rPr>
        <w:lastRenderedPageBreak/>
        <w:drawing>
          <wp:inline distT="0" distB="0" distL="0" distR="0" wp14:anchorId="67775763" wp14:editId="68605824">
            <wp:extent cx="4513132" cy="815998"/>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513132" cy="815998"/>
                    </a:xfrm>
                    <a:prstGeom prst="rect">
                      <a:avLst/>
                    </a:prstGeom>
                    <a:ln/>
                  </pic:spPr>
                </pic:pic>
              </a:graphicData>
            </a:graphic>
          </wp:inline>
        </w:drawing>
      </w:r>
    </w:p>
    <w:p w:rsidR="0006537B" w:rsidRPr="0006537B" w:rsidRDefault="0006537B" w:rsidP="0030607D">
      <w:pPr>
        <w:jc w:val="center"/>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30607D" w:rsidRPr="0006537B" w:rsidRDefault="0030607D" w:rsidP="0030607D">
      <w:pPr>
        <w:spacing w:line="360" w:lineRule="auto"/>
        <w:ind w:right="-787"/>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30607D" w:rsidRPr="0006537B" w:rsidRDefault="0030607D" w:rsidP="0030607D">
      <w:pPr>
        <w:spacing w:line="360" w:lineRule="auto"/>
        <w:ind w:right="-929"/>
        <w:jc w:val="both"/>
        <w:rPr>
          <w:rFonts w:ascii="Palatino Linotype" w:eastAsia="Palatino Linotype" w:hAnsi="Palatino Linotype" w:cs="Palatino Linotype"/>
          <w:b/>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En esa línea de estudio,</w:t>
      </w:r>
      <w:r w:rsidRPr="0006537B">
        <w:rPr>
          <w:rFonts w:ascii="Palatino Linotype" w:eastAsia="Palatino Linotype" w:hAnsi="Palatino Linotype" w:cs="Palatino Linotype"/>
          <w:b/>
        </w:rPr>
        <w:t xml:space="preserve"> las cadenas originales y sellos digitales</w:t>
      </w:r>
      <w:r w:rsidRPr="0006537B">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“Elementos utilizados en la generación de Sellos Digitales:</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i/>
        </w:rPr>
        <w:tab/>
        <w:t>Cadena Original del elemento a sellar.</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i/>
        </w:rPr>
        <w:tab/>
        <w:t>Certificado de Sello Digital y su correspondiente clave privada.</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i/>
        </w:rPr>
        <w:tab/>
        <w:t>Algoritmos de criptografía de clave pública para firma electrónica avanzada.</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w:t>
      </w:r>
      <w:r w:rsidRPr="0006537B">
        <w:rPr>
          <w:rFonts w:ascii="Palatino Linotype" w:eastAsia="Palatino Linotype" w:hAnsi="Palatino Linotype" w:cs="Palatino Linotype"/>
          <w:i/>
        </w:rPr>
        <w:tab/>
        <w:t>Especificaciones de conversión de la firma electrónica avanzada a Base 64.</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t>Para la generación de sellos digitales se utiliza criptografía de clave pública aplicada a una cadena original.</w:t>
      </w:r>
    </w:p>
    <w:p w:rsidR="0030607D" w:rsidRPr="0006537B" w:rsidRDefault="0030607D" w:rsidP="0030607D">
      <w:pPr>
        <w:ind w:left="1134" w:right="-220"/>
        <w:jc w:val="both"/>
        <w:rPr>
          <w:rFonts w:ascii="Palatino Linotype" w:eastAsia="Palatino Linotype" w:hAnsi="Palatino Linotype" w:cs="Palatino Linotype"/>
          <w:b/>
          <w:i/>
        </w:rPr>
      </w:pPr>
      <w:r w:rsidRPr="0006537B">
        <w:rPr>
          <w:rFonts w:ascii="Palatino Linotype" w:eastAsia="Palatino Linotype" w:hAnsi="Palatino Linotype" w:cs="Palatino Linotype"/>
          <w:b/>
          <w:i/>
        </w:rPr>
        <w:t>Criptografía de la Clave Pública</w:t>
      </w:r>
    </w:p>
    <w:p w:rsidR="0030607D" w:rsidRPr="0006537B" w:rsidRDefault="0030607D" w:rsidP="0030607D">
      <w:pPr>
        <w:ind w:left="1134" w:right="-220"/>
        <w:jc w:val="both"/>
        <w:rPr>
          <w:rFonts w:ascii="Palatino Linotype" w:eastAsia="Palatino Linotype" w:hAnsi="Palatino Linotype" w:cs="Palatino Linotype"/>
          <w:i/>
        </w:rPr>
      </w:pPr>
      <w:r w:rsidRPr="0006537B">
        <w:rPr>
          <w:rFonts w:ascii="Palatino Linotype" w:eastAsia="Palatino Linotype" w:hAnsi="Palatino Linotype" w:cs="Palatino Linotype"/>
          <w:i/>
        </w:rPr>
        <w:lastRenderedPageBreak/>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30607D" w:rsidRPr="0006537B" w:rsidRDefault="0030607D" w:rsidP="0030607D">
      <w:pPr>
        <w:ind w:left="1134" w:right="-1071"/>
        <w:jc w:val="both"/>
        <w:rPr>
          <w:rFonts w:ascii="Palatino Linotype" w:eastAsia="Palatino Linotype" w:hAnsi="Palatino Linotype" w:cs="Palatino Linotype"/>
          <w:i/>
        </w:rPr>
      </w:pPr>
    </w:p>
    <w:p w:rsidR="0030607D" w:rsidRPr="0006537B" w:rsidRDefault="0030607D" w:rsidP="0030607D">
      <w:pPr>
        <w:ind w:right="-1071"/>
        <w:jc w:val="both"/>
        <w:rPr>
          <w:rFonts w:ascii="Palatino Linotype" w:eastAsia="Palatino Linotype" w:hAnsi="Palatino Linotype" w:cs="Palatino Linotype"/>
          <w:i/>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Es decir, por sí solos </w:t>
      </w:r>
      <w:r w:rsidRPr="0006537B">
        <w:rPr>
          <w:rFonts w:ascii="Palatino Linotype" w:eastAsia="Palatino Linotype" w:hAnsi="Palatino Linotype" w:cs="Palatino Linotype"/>
          <w:b/>
        </w:rPr>
        <w:t>las cadenas originales y los sellos originales no contienen datos personales confidenciales</w:t>
      </w:r>
      <w:r w:rsidRPr="0006537B">
        <w:rPr>
          <w:rFonts w:ascii="Palatino Linotype" w:eastAsia="Palatino Linotype" w:hAnsi="Palatino Linotype" w:cs="Palatino Linotype"/>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30607D" w:rsidRPr="0006537B" w:rsidRDefault="0030607D" w:rsidP="0030607D">
      <w:pPr>
        <w:pBdr>
          <w:top w:val="nil"/>
          <w:left w:val="nil"/>
          <w:bottom w:val="nil"/>
          <w:right w:val="nil"/>
          <w:between w:val="nil"/>
        </w:pBdr>
        <w:spacing w:line="360" w:lineRule="auto"/>
        <w:ind w:right="-1071"/>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30607D" w:rsidRPr="0006537B" w:rsidRDefault="0030607D" w:rsidP="0030607D">
      <w:pPr>
        <w:spacing w:line="360" w:lineRule="auto"/>
        <w:ind w:right="-1071"/>
        <w:jc w:val="both"/>
        <w:rPr>
          <w:rFonts w:ascii="Palatino Linotype" w:eastAsia="Palatino Linotype" w:hAnsi="Palatino Linotype" w:cs="Palatino Linotype"/>
          <w:b/>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Por otra parte, por lo que hace al </w:t>
      </w:r>
      <w:r w:rsidRPr="0006537B">
        <w:rPr>
          <w:rFonts w:ascii="Palatino Linotype" w:eastAsia="Palatino Linotype" w:hAnsi="Palatino Linotype" w:cs="Palatino Linotype"/>
          <w:b/>
        </w:rPr>
        <w:t>número de serie de los certificados de Sello Digitales del emisor y del Servicio de Administración Tributaria</w:t>
      </w:r>
      <w:r w:rsidRPr="0006537B">
        <w:rPr>
          <w:rFonts w:ascii="Palatino Linotype" w:eastAsia="Palatino Linotype" w:hAnsi="Palatino Linotype" w:cs="Palatino Linotype"/>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30607D" w:rsidRPr="0006537B" w:rsidRDefault="0030607D" w:rsidP="0030607D">
      <w:pPr>
        <w:spacing w:line="360" w:lineRule="auto"/>
        <w:ind w:right="-787"/>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lastRenderedPageBreak/>
        <w:t xml:space="preserve">Cómo se logra observar, </w:t>
      </w:r>
      <w:r w:rsidRPr="0006537B">
        <w:rPr>
          <w:rFonts w:ascii="Palatino Linotype" w:eastAsia="Palatino Linotype" w:hAnsi="Palatino Linotype" w:cs="Palatino Linotype"/>
          <w:b/>
        </w:rPr>
        <w:t>los números de serie del certificado de sello digital no contiene datos personales</w:t>
      </w:r>
      <w:r w:rsidRPr="0006537B">
        <w:rPr>
          <w:rFonts w:ascii="Palatino Linotype" w:eastAsia="Palatino Linotype" w:hAnsi="Palatino Linotype" w:cs="Palatino Linotype"/>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30607D" w:rsidRPr="0006537B" w:rsidRDefault="0030607D" w:rsidP="0030607D">
      <w:pPr>
        <w:pBdr>
          <w:top w:val="nil"/>
          <w:left w:val="nil"/>
          <w:bottom w:val="nil"/>
          <w:right w:val="nil"/>
          <w:between w:val="nil"/>
        </w:pBdr>
        <w:spacing w:line="360" w:lineRule="auto"/>
        <w:ind w:right="-1071"/>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Ahora bien, por lo que hace al </w:t>
      </w:r>
      <w:r w:rsidRPr="0006537B">
        <w:rPr>
          <w:rFonts w:ascii="Palatino Linotype" w:eastAsia="Palatino Linotype" w:hAnsi="Palatino Linotype" w:cs="Palatino Linotype"/>
          <w:b/>
        </w:rPr>
        <w:t>número de serie y folio interno</w:t>
      </w:r>
      <w:r w:rsidRPr="0006537B">
        <w:rPr>
          <w:rFonts w:ascii="Palatino Linotype" w:eastAsia="Palatino Linotype" w:hAnsi="Palatino Linotype" w:cs="Palatino Linotype"/>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30607D" w:rsidRPr="0006537B" w:rsidRDefault="0030607D" w:rsidP="0030607D">
      <w:pPr>
        <w:spacing w:line="360" w:lineRule="auto"/>
        <w:ind w:right="-1071"/>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Además, por lo que hace a la </w:t>
      </w:r>
      <w:r w:rsidRPr="0006537B">
        <w:rPr>
          <w:rFonts w:ascii="Palatino Linotype" w:eastAsia="Palatino Linotype" w:hAnsi="Palatino Linotype" w:cs="Palatino Linotype"/>
          <w:b/>
        </w:rPr>
        <w:t>fecha y hora de emisión y certificación</w:t>
      </w:r>
      <w:r w:rsidRPr="0006537B">
        <w:rPr>
          <w:rFonts w:ascii="Palatino Linotype" w:eastAsia="Palatino Linotype" w:hAnsi="Palatino Linotype" w:cs="Palatino Linotype"/>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30607D" w:rsidRPr="0006537B" w:rsidRDefault="0030607D" w:rsidP="0030607D">
      <w:pPr>
        <w:spacing w:line="360" w:lineRule="auto"/>
        <w:ind w:right="-1071"/>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143, fracción I, </w:t>
      </w:r>
      <w:r w:rsidRPr="0006537B">
        <w:rPr>
          <w:rFonts w:ascii="Palatino Linotype" w:eastAsia="Palatino Linotype" w:hAnsi="Palatino Linotype" w:cs="Palatino Linotype"/>
        </w:rPr>
        <w:lastRenderedPageBreak/>
        <w:t>de la Ley de Transparencia y Acceso a la Información Pública del Estado de México y Municipios.</w:t>
      </w:r>
    </w:p>
    <w:p w:rsidR="0030607D" w:rsidRPr="0006537B" w:rsidRDefault="0030607D" w:rsidP="0030607D">
      <w:pPr>
        <w:spacing w:line="360" w:lineRule="auto"/>
        <w:ind w:right="-1071"/>
        <w:jc w:val="both"/>
        <w:rPr>
          <w:rFonts w:ascii="Palatino Linotype" w:eastAsia="Palatino Linotype" w:hAnsi="Palatino Linotype" w:cs="Palatino Linotype"/>
        </w:rPr>
      </w:pPr>
    </w:p>
    <w:p w:rsidR="000779D3" w:rsidRPr="0006537B" w:rsidRDefault="0030607D"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204CFD" w:rsidRPr="0006537B" w:rsidRDefault="00204CFD" w:rsidP="000779D3">
      <w:pPr>
        <w:rPr>
          <w:rFonts w:ascii="Palatino Linotype" w:eastAsia="Palatino Linotype" w:hAnsi="Palatino Linotype" w:cs="Palatino Linotype"/>
        </w:rPr>
      </w:pPr>
    </w:p>
    <w:p w:rsidR="000779D3" w:rsidRPr="0006537B" w:rsidRDefault="000779D3"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 xml:space="preserve">En ese sentido, el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 xml:space="preserve"> </w:t>
      </w:r>
      <w:r w:rsidRPr="0006537B">
        <w:rPr>
          <w:rFonts w:ascii="Palatino Linotype" w:eastAsia="Palatino Linotype" w:hAnsi="Palatino Linotype" w:cs="Palatino Linotype"/>
          <w:b/>
        </w:rPr>
        <w:t>deberá de emitir el Acuerdo del Comité de Transparencia</w:t>
      </w:r>
      <w:r w:rsidRPr="0006537B">
        <w:rPr>
          <w:rFonts w:ascii="Palatino Linotype" w:eastAsia="Palatino Linotype" w:hAnsi="Palatino Linotype" w:cs="Palatino Linotype"/>
        </w:rPr>
        <w:t xml:space="preserve">, </w:t>
      </w:r>
      <w:r w:rsidRPr="0006537B">
        <w:rPr>
          <w:rFonts w:ascii="Palatino Linotype" w:hAnsi="Palatino Linotype"/>
          <w:color w:val="000000"/>
        </w:rPr>
        <w:t>mediante</w:t>
      </w:r>
      <w:r w:rsidRPr="0006537B">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779D3" w:rsidRPr="0006537B" w:rsidRDefault="000779D3" w:rsidP="000779D3">
      <w:pPr>
        <w:tabs>
          <w:tab w:val="left" w:pos="284"/>
        </w:tabs>
        <w:spacing w:line="360" w:lineRule="auto"/>
        <w:ind w:right="276"/>
        <w:jc w:val="both"/>
        <w:rPr>
          <w:rFonts w:ascii="Palatino Linotype" w:eastAsia="Palatino Linotype" w:hAnsi="Palatino Linotype" w:cs="Palatino Linotype"/>
          <w:color w:val="000000"/>
        </w:rPr>
      </w:pPr>
    </w:p>
    <w:p w:rsidR="000779D3" w:rsidRPr="0006537B" w:rsidRDefault="000779D3" w:rsidP="00533477">
      <w:pPr>
        <w:numPr>
          <w:ilvl w:val="0"/>
          <w:numId w:val="2"/>
        </w:numPr>
        <w:spacing w:line="360" w:lineRule="auto"/>
        <w:ind w:left="0" w:right="-787" w:firstLine="0"/>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rPr>
        <w:t xml:space="preserve">Derivado de lo establecido en párrafos anteriores, si el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30607D" w:rsidRPr="0006537B" w:rsidRDefault="0030607D" w:rsidP="0030607D">
      <w:pPr>
        <w:spacing w:line="360" w:lineRule="auto"/>
        <w:ind w:right="-787"/>
        <w:jc w:val="both"/>
        <w:rPr>
          <w:rFonts w:ascii="Palatino Linotype" w:eastAsia="Palatino Linotype" w:hAnsi="Palatino Linotype" w:cs="Palatino Linotype"/>
        </w:rPr>
      </w:pPr>
    </w:p>
    <w:p w:rsidR="0030607D" w:rsidRPr="0006537B" w:rsidRDefault="0030607D" w:rsidP="00533477">
      <w:pPr>
        <w:numPr>
          <w:ilvl w:val="0"/>
          <w:numId w:val="2"/>
        </w:numPr>
        <w:spacing w:line="360" w:lineRule="auto"/>
        <w:ind w:left="0" w:right="-787" w:firstLine="0"/>
        <w:jc w:val="both"/>
        <w:rPr>
          <w:color w:val="000000"/>
        </w:rPr>
      </w:pPr>
      <w:r w:rsidRPr="0006537B">
        <w:rPr>
          <w:rFonts w:ascii="Palatino Linotype" w:eastAsia="Palatino Linotype" w:hAnsi="Palatino Linotype" w:cs="Palatino Linotype"/>
        </w:rPr>
        <w:lastRenderedPageBreak/>
        <w:t xml:space="preserve">Por lo anteriormente expuesto, este Órgano Garante considera </w:t>
      </w:r>
      <w:r w:rsidR="00627EBE" w:rsidRPr="0006537B">
        <w:rPr>
          <w:rFonts w:ascii="Palatino Linotype" w:eastAsia="Palatino Linotype" w:hAnsi="Palatino Linotype" w:cs="Palatino Linotype"/>
          <w:b/>
        </w:rPr>
        <w:t>FUNDADAS</w:t>
      </w:r>
      <w:r w:rsidR="00627EBE" w:rsidRPr="0006537B">
        <w:rPr>
          <w:rFonts w:ascii="Palatino Linotype" w:eastAsia="Palatino Linotype" w:hAnsi="Palatino Linotype" w:cs="Palatino Linotype"/>
        </w:rPr>
        <w:t xml:space="preserve"> </w:t>
      </w:r>
      <w:r w:rsidRPr="0006537B">
        <w:rPr>
          <w:rFonts w:ascii="Palatino Linotype" w:eastAsia="Palatino Linotype" w:hAnsi="Palatino Linotype" w:cs="Palatino Linotype"/>
        </w:rPr>
        <w:t>las razones o motivos de inconformidad que plantea el</w:t>
      </w:r>
      <w:r w:rsidRPr="0006537B">
        <w:rPr>
          <w:rFonts w:ascii="Palatino Linotype" w:eastAsia="Palatino Linotype" w:hAnsi="Palatino Linotype" w:cs="Palatino Linotype"/>
          <w:b/>
        </w:rPr>
        <w:t xml:space="preserve"> RECURRENTE </w:t>
      </w:r>
      <w:r w:rsidRPr="0006537B">
        <w:rPr>
          <w:rFonts w:ascii="Palatino Linotype" w:eastAsia="Palatino Linotype" w:hAnsi="Palatino Linotype" w:cs="Palatino Linotype"/>
        </w:rPr>
        <w:t xml:space="preserve">en </w:t>
      </w:r>
      <w:r w:rsidR="00627EBE" w:rsidRPr="0006537B">
        <w:rPr>
          <w:rFonts w:ascii="Palatino Linotype" w:eastAsia="Palatino Linotype" w:hAnsi="Palatino Linotype" w:cs="Palatino Linotype"/>
        </w:rPr>
        <w:t>el Recurso</w:t>
      </w:r>
      <w:r w:rsidRPr="0006537B">
        <w:rPr>
          <w:rFonts w:ascii="Palatino Linotype" w:eastAsia="Palatino Linotype" w:hAnsi="Palatino Linotype" w:cs="Palatino Linotype"/>
        </w:rPr>
        <w:t xml:space="preserve"> de Revisión </w:t>
      </w:r>
      <w:r w:rsidR="00627EBE" w:rsidRPr="0006537B">
        <w:rPr>
          <w:rFonts w:ascii="Palatino Linotype" w:eastAsia="Palatino Linotype" w:hAnsi="Palatino Linotype" w:cs="Palatino Linotype"/>
          <w:b/>
          <w:color w:val="000000"/>
        </w:rPr>
        <w:t>02773</w:t>
      </w:r>
      <w:r w:rsidRPr="0006537B">
        <w:rPr>
          <w:rFonts w:ascii="Palatino Linotype" w:eastAsia="Palatino Linotype" w:hAnsi="Palatino Linotype" w:cs="Palatino Linotype"/>
          <w:b/>
          <w:color w:val="000000"/>
        </w:rPr>
        <w:t>/INFOEM/IP/RR/2025</w:t>
      </w:r>
      <w:r w:rsidRPr="0006537B">
        <w:rPr>
          <w:rFonts w:ascii="Palatino Linotype" w:eastAsia="Palatino Linotype" w:hAnsi="Palatino Linotype" w:cs="Palatino Linotype"/>
        </w:rPr>
        <w:t xml:space="preserve">, determinando </w:t>
      </w:r>
      <w:r w:rsidRPr="0006537B">
        <w:rPr>
          <w:rFonts w:ascii="Palatino Linotype" w:eastAsia="Palatino Linotype" w:hAnsi="Palatino Linotype" w:cs="Palatino Linotype"/>
          <w:b/>
          <w:smallCaps/>
        </w:rPr>
        <w:t>REVOCAR</w:t>
      </w:r>
      <w:r w:rsidRPr="0006537B">
        <w:rPr>
          <w:rFonts w:ascii="Palatino Linotype" w:eastAsia="Palatino Linotype" w:hAnsi="Palatino Linotype" w:cs="Palatino Linotype"/>
          <w:b/>
        </w:rPr>
        <w:t xml:space="preserve"> </w:t>
      </w:r>
      <w:r w:rsidR="00627EBE" w:rsidRPr="0006537B">
        <w:rPr>
          <w:rFonts w:ascii="Palatino Linotype" w:eastAsia="Palatino Linotype" w:hAnsi="Palatino Linotype" w:cs="Palatino Linotype"/>
        </w:rPr>
        <w:t>la respuesta</w:t>
      </w:r>
      <w:r w:rsidRPr="0006537B">
        <w:rPr>
          <w:rFonts w:ascii="Palatino Linotype" w:eastAsia="Palatino Linotype" w:hAnsi="Palatino Linotype" w:cs="Palatino Linotype"/>
        </w:rPr>
        <w:t xml:space="preserve"> del </w:t>
      </w:r>
      <w:r w:rsidRPr="0006537B">
        <w:rPr>
          <w:rFonts w:ascii="Palatino Linotype" w:eastAsia="Palatino Linotype" w:hAnsi="Palatino Linotype" w:cs="Palatino Linotype"/>
          <w:b/>
        </w:rPr>
        <w:t>SUJETO OBLIGADO</w:t>
      </w:r>
      <w:r w:rsidRPr="0006537B">
        <w:rPr>
          <w:rFonts w:ascii="Palatino Linotype" w:eastAsia="Palatino Linotype" w:hAnsi="Palatino Linotype" w:cs="Palatino Linotype"/>
        </w:rPr>
        <w:t>.</w:t>
      </w:r>
    </w:p>
    <w:p w:rsidR="00177B12" w:rsidRPr="0006537B" w:rsidRDefault="00177B12">
      <w:pPr>
        <w:spacing w:line="360" w:lineRule="auto"/>
        <w:jc w:val="both"/>
        <w:rPr>
          <w:color w:val="000000"/>
        </w:rPr>
      </w:pPr>
    </w:p>
    <w:p w:rsidR="00181C24" w:rsidRPr="0006537B" w:rsidRDefault="00A76E9C" w:rsidP="00533477">
      <w:pPr>
        <w:numPr>
          <w:ilvl w:val="0"/>
          <w:numId w:val="2"/>
        </w:numPr>
        <w:spacing w:line="360" w:lineRule="auto"/>
        <w:ind w:left="0" w:right="-787" w:firstLine="0"/>
        <w:jc w:val="both"/>
        <w:rPr>
          <w:rFonts w:ascii="Palatino Linotype" w:eastAsia="Palatino Linotype" w:hAnsi="Palatino Linotype" w:cs="Palatino Linotype"/>
        </w:rPr>
      </w:pPr>
      <w:r w:rsidRPr="0006537B">
        <w:rPr>
          <w:rFonts w:ascii="Palatino Linotype" w:eastAsia="Palatino Linotype" w:hAnsi="Palatino Linotype" w:cs="Palatino Linotype"/>
        </w:rPr>
        <w:t>Por lo expuesto, y c</w:t>
      </w:r>
      <w:r w:rsidR="00181C24" w:rsidRPr="0006537B">
        <w:rPr>
          <w:rFonts w:ascii="Palatino Linotype" w:eastAsia="Palatino Linotype" w:hAnsi="Palatino Linotype" w:cs="Palatino Linotype"/>
        </w:rPr>
        <w:t xml:space="preserve">on fundamento en lo prescrito en los artículos </w:t>
      </w:r>
      <w:r w:rsidR="00181C24" w:rsidRPr="0006537B">
        <w:rPr>
          <w:rFonts w:ascii="Palatino Linotype" w:eastAsia="Palatino Linotype" w:hAnsi="Palatino Linotype" w:cs="Palatino Linotype"/>
          <w:color w:val="000000"/>
        </w:rPr>
        <w:t xml:space="preserve">5°, </w:t>
      </w:r>
      <w:r w:rsidR="00181C24" w:rsidRPr="0006537B">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00181C24" w:rsidRPr="0006537B">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72148B" w:rsidRPr="0006537B" w:rsidRDefault="00A077F4" w:rsidP="00177B12">
      <w:pPr>
        <w:spacing w:line="360" w:lineRule="auto"/>
        <w:ind w:right="-858"/>
        <w:jc w:val="center"/>
        <w:rPr>
          <w:rFonts w:ascii="Palatino Linotype" w:eastAsia="Palatino Linotype" w:hAnsi="Palatino Linotype" w:cs="Palatino Linotype"/>
          <w:b/>
        </w:rPr>
      </w:pPr>
      <w:r w:rsidRPr="0006537B">
        <w:rPr>
          <w:rFonts w:ascii="Palatino Linotype" w:eastAsia="Palatino Linotype" w:hAnsi="Palatino Linotype" w:cs="Palatino Linotype"/>
          <w:b/>
        </w:rPr>
        <w:t>R E S U E L V E</w:t>
      </w:r>
    </w:p>
    <w:p w:rsidR="0072148B" w:rsidRPr="0006537B" w:rsidRDefault="0072148B">
      <w:pPr>
        <w:spacing w:line="360" w:lineRule="auto"/>
        <w:ind w:right="-787"/>
        <w:jc w:val="center"/>
        <w:rPr>
          <w:rFonts w:ascii="Palatino Linotype" w:eastAsia="Palatino Linotype" w:hAnsi="Palatino Linotype" w:cs="Palatino Linotype"/>
          <w:b/>
        </w:rPr>
      </w:pPr>
    </w:p>
    <w:p w:rsidR="002B7A1B" w:rsidRPr="0006537B" w:rsidRDefault="002B7A1B" w:rsidP="002B7A1B">
      <w:pPr>
        <w:spacing w:line="360" w:lineRule="auto"/>
        <w:ind w:right="-787"/>
        <w:jc w:val="both"/>
        <w:rPr>
          <w:rFonts w:ascii="Palatino Linotype" w:eastAsia="Palatino Linotype" w:hAnsi="Palatino Linotype" w:cs="Palatino Linotype"/>
          <w:b/>
        </w:rPr>
      </w:pPr>
      <w:r w:rsidRPr="0006537B">
        <w:rPr>
          <w:rFonts w:ascii="Palatino Linotype" w:eastAsia="Palatino Linotype" w:hAnsi="Palatino Linotype" w:cs="Palatino Linotype"/>
          <w:b/>
        </w:rPr>
        <w:t>PRIMERO</w:t>
      </w:r>
      <w:r w:rsidRPr="0006537B">
        <w:rPr>
          <w:rFonts w:ascii="Palatino Linotype" w:eastAsia="Palatino Linotype" w:hAnsi="Palatino Linotype" w:cs="Palatino Linotype"/>
        </w:rPr>
        <w:t xml:space="preserve">. Resultan </w:t>
      </w:r>
      <w:r w:rsidRPr="0006537B">
        <w:rPr>
          <w:rFonts w:ascii="Palatino Linotype" w:eastAsia="Palatino Linotype" w:hAnsi="Palatino Linotype" w:cs="Palatino Linotype"/>
          <w:b/>
        </w:rPr>
        <w:t>FUNDADAS</w:t>
      </w:r>
      <w:r w:rsidRPr="0006537B">
        <w:rPr>
          <w:rFonts w:ascii="Palatino Linotype" w:eastAsia="Palatino Linotype" w:hAnsi="Palatino Linotype" w:cs="Palatino Linotype"/>
        </w:rPr>
        <w:t xml:space="preserve"> las razones o motivos de inconformidad hechos valer en el recurso de revisión </w:t>
      </w:r>
      <w:r w:rsidR="00EC6139" w:rsidRPr="0006537B">
        <w:rPr>
          <w:rFonts w:ascii="Palatino Linotype" w:eastAsia="Palatino Linotype" w:hAnsi="Palatino Linotype" w:cs="Palatino Linotype"/>
          <w:b/>
        </w:rPr>
        <w:t>02773</w:t>
      </w:r>
      <w:r w:rsidRPr="0006537B">
        <w:rPr>
          <w:rFonts w:ascii="Palatino Linotype" w:eastAsia="Palatino Linotype" w:hAnsi="Palatino Linotype" w:cs="Palatino Linotype"/>
          <w:b/>
        </w:rPr>
        <w:t>/INFOEM/IP/RR/2025</w:t>
      </w:r>
      <w:r w:rsidRPr="0006537B">
        <w:rPr>
          <w:rFonts w:ascii="Palatino Linotype" w:eastAsia="Palatino Linotype" w:hAnsi="Palatino Linotype" w:cs="Palatino Linotype"/>
        </w:rPr>
        <w:t>,</w:t>
      </w:r>
      <w:r w:rsidRPr="0006537B">
        <w:rPr>
          <w:rFonts w:ascii="Palatino Linotype" w:eastAsia="Palatino Linotype" w:hAnsi="Palatino Linotype" w:cs="Palatino Linotype"/>
          <w:b/>
        </w:rPr>
        <w:t xml:space="preserve"> </w:t>
      </w:r>
      <w:r w:rsidRPr="0006537B">
        <w:rPr>
          <w:rFonts w:ascii="Palatino Linotype" w:eastAsia="Palatino Linotype" w:hAnsi="Palatino Linotype" w:cs="Palatino Linotype"/>
        </w:rPr>
        <w:t xml:space="preserve">en términos </w:t>
      </w:r>
      <w:r w:rsidR="00FC679B" w:rsidRPr="0006537B">
        <w:rPr>
          <w:rFonts w:ascii="Palatino Linotype" w:eastAsia="Palatino Linotype" w:hAnsi="Palatino Linotype" w:cs="Palatino Linotype"/>
        </w:rPr>
        <w:t>del</w:t>
      </w:r>
      <w:r w:rsidRPr="0006537B">
        <w:rPr>
          <w:rFonts w:ascii="Palatino Linotype" w:eastAsia="Palatino Linotype" w:hAnsi="Palatino Linotype" w:cs="Palatino Linotype"/>
        </w:rPr>
        <w:t xml:space="preserve"> </w:t>
      </w:r>
      <w:r w:rsidR="00FC679B" w:rsidRPr="0006537B">
        <w:rPr>
          <w:rFonts w:ascii="Palatino Linotype" w:eastAsia="Palatino Linotype" w:hAnsi="Palatino Linotype" w:cs="Palatino Linotype"/>
          <w:b/>
        </w:rPr>
        <w:t>Considerando</w:t>
      </w:r>
      <w:r w:rsidRPr="0006537B">
        <w:rPr>
          <w:rFonts w:ascii="Palatino Linotype" w:eastAsia="Palatino Linotype" w:hAnsi="Palatino Linotype" w:cs="Palatino Linotype"/>
          <w:b/>
        </w:rPr>
        <w:t xml:space="preserve"> CUARTO </w:t>
      </w:r>
      <w:r w:rsidRPr="0006537B">
        <w:rPr>
          <w:rFonts w:ascii="Palatino Linotype" w:eastAsia="Palatino Linotype" w:hAnsi="Palatino Linotype" w:cs="Palatino Linotype"/>
        </w:rPr>
        <w:t>de la presente resolución</w:t>
      </w:r>
      <w:r w:rsidRPr="0006537B">
        <w:rPr>
          <w:rFonts w:ascii="Palatino Linotype" w:eastAsia="Palatino Linotype" w:hAnsi="Palatino Linotype" w:cs="Palatino Linotype"/>
          <w:b/>
        </w:rPr>
        <w:t>.</w:t>
      </w:r>
    </w:p>
    <w:p w:rsidR="002B7A1B" w:rsidRPr="0006537B" w:rsidRDefault="002B7A1B" w:rsidP="002B7A1B">
      <w:pPr>
        <w:spacing w:line="360" w:lineRule="auto"/>
        <w:ind w:right="276"/>
        <w:jc w:val="both"/>
        <w:rPr>
          <w:rFonts w:ascii="Palatino Linotype" w:eastAsia="Palatino Linotype" w:hAnsi="Palatino Linotype" w:cs="Palatino Linotype"/>
          <w:b/>
        </w:rPr>
      </w:pPr>
    </w:p>
    <w:p w:rsidR="002B7A1B" w:rsidRPr="0006537B" w:rsidRDefault="002B7A1B" w:rsidP="002B7A1B">
      <w:pPr>
        <w:spacing w:line="360" w:lineRule="auto"/>
        <w:ind w:right="-787"/>
        <w:jc w:val="both"/>
        <w:rPr>
          <w:rFonts w:ascii="Palatino Linotype" w:eastAsia="Palatino Linotype" w:hAnsi="Palatino Linotype" w:cs="Palatino Linotype"/>
        </w:rPr>
      </w:pPr>
      <w:bookmarkStart w:id="7" w:name="_heading=h.1ksv4uv" w:colFirst="0" w:colLast="0"/>
      <w:bookmarkEnd w:id="7"/>
      <w:r w:rsidRPr="0006537B">
        <w:rPr>
          <w:rFonts w:ascii="Palatino Linotype" w:eastAsia="Palatino Linotype" w:hAnsi="Palatino Linotype" w:cs="Palatino Linotype"/>
          <w:b/>
        </w:rPr>
        <w:t>SEGUNDO.</w:t>
      </w:r>
      <w:r w:rsidRPr="0006537B">
        <w:rPr>
          <w:rFonts w:ascii="Palatino Linotype" w:eastAsia="Palatino Linotype" w:hAnsi="Palatino Linotype" w:cs="Palatino Linotype"/>
          <w:color w:val="2F5496"/>
        </w:rPr>
        <w:t xml:space="preserve"> </w:t>
      </w:r>
      <w:r w:rsidRPr="0006537B">
        <w:rPr>
          <w:rFonts w:ascii="Palatino Linotype" w:eastAsia="Palatino Linotype" w:hAnsi="Palatino Linotype" w:cs="Palatino Linotype"/>
          <w:color w:val="000000"/>
        </w:rPr>
        <w:t xml:space="preserve">Se </w:t>
      </w:r>
      <w:r w:rsidR="000C5245" w:rsidRPr="0006537B">
        <w:rPr>
          <w:rFonts w:ascii="Palatino Linotype" w:eastAsia="Palatino Linotype" w:hAnsi="Palatino Linotype" w:cs="Palatino Linotype"/>
          <w:b/>
          <w:color w:val="000000"/>
        </w:rPr>
        <w:t>REVOCA</w:t>
      </w:r>
      <w:r w:rsidRPr="0006537B">
        <w:rPr>
          <w:rFonts w:ascii="Palatino Linotype" w:eastAsia="Palatino Linotype" w:hAnsi="Palatino Linotype" w:cs="Palatino Linotype"/>
          <w:b/>
          <w:color w:val="000000"/>
        </w:rPr>
        <w:t xml:space="preserve"> </w:t>
      </w:r>
      <w:r w:rsidR="006E679E" w:rsidRPr="0006537B">
        <w:rPr>
          <w:rFonts w:ascii="Palatino Linotype" w:eastAsia="Palatino Linotype" w:hAnsi="Palatino Linotype" w:cs="Palatino Linotype"/>
          <w:color w:val="000000"/>
        </w:rPr>
        <w:t>la respuesta emitida</w:t>
      </w:r>
      <w:r w:rsidRPr="0006537B">
        <w:rPr>
          <w:rFonts w:ascii="Palatino Linotype" w:eastAsia="Palatino Linotype" w:hAnsi="Palatino Linotype" w:cs="Palatino Linotype"/>
          <w:color w:val="000000"/>
        </w:rPr>
        <w:t xml:space="preserve"> por el </w:t>
      </w:r>
      <w:r w:rsidRPr="0006537B">
        <w:rPr>
          <w:rFonts w:ascii="Palatino Linotype" w:eastAsia="Palatino Linotype" w:hAnsi="Palatino Linotype" w:cs="Palatino Linotype"/>
          <w:b/>
          <w:bCs/>
        </w:rPr>
        <w:t xml:space="preserve">Ayuntamiento de </w:t>
      </w:r>
      <w:r w:rsidR="00EC6139" w:rsidRPr="0006537B">
        <w:rPr>
          <w:rFonts w:ascii="Palatino Linotype" w:eastAsia="Palatino Linotype" w:hAnsi="Palatino Linotype" w:cs="Palatino Linotype"/>
          <w:b/>
          <w:bCs/>
        </w:rPr>
        <w:t>San Mateo Atenco</w:t>
      </w:r>
      <w:r w:rsidRPr="0006537B">
        <w:rPr>
          <w:rFonts w:ascii="Palatino Linotype" w:eastAsia="Palatino Linotype" w:hAnsi="Palatino Linotype" w:cs="Palatino Linotype"/>
          <w:b/>
          <w:bCs/>
        </w:rPr>
        <w:t xml:space="preserve"> </w:t>
      </w:r>
      <w:r w:rsidRPr="0006537B">
        <w:rPr>
          <w:rFonts w:ascii="Palatino Linotype" w:eastAsia="Palatino Linotype" w:hAnsi="Palatino Linotype" w:cs="Palatino Linotype"/>
          <w:color w:val="000000"/>
        </w:rPr>
        <w:t xml:space="preserve">y se </w:t>
      </w:r>
      <w:r w:rsidRPr="0006537B">
        <w:rPr>
          <w:rFonts w:ascii="Palatino Linotype" w:eastAsia="Palatino Linotype" w:hAnsi="Palatino Linotype" w:cs="Palatino Linotype"/>
          <w:b/>
          <w:color w:val="000000"/>
        </w:rPr>
        <w:t>ORDENA</w:t>
      </w:r>
      <w:r w:rsidRPr="0006537B">
        <w:rPr>
          <w:rFonts w:ascii="Palatino Linotype" w:eastAsia="Palatino Linotype" w:hAnsi="Palatino Linotype" w:cs="Palatino Linotype"/>
          <w:color w:val="000000"/>
        </w:rPr>
        <w:t xml:space="preserve"> entregar, vía Sistema de Acceso a la Información Mexiquense </w:t>
      </w:r>
      <w:r w:rsidR="006E679E" w:rsidRPr="0006537B">
        <w:rPr>
          <w:rFonts w:ascii="Palatino Linotype" w:eastAsia="Palatino Linotype" w:hAnsi="Palatino Linotype" w:cs="Palatino Linotype"/>
          <w:b/>
          <w:color w:val="000000"/>
        </w:rPr>
        <w:t>(SAIMEX)</w:t>
      </w:r>
      <w:r w:rsidRPr="0006537B">
        <w:rPr>
          <w:rFonts w:ascii="Palatino Linotype" w:eastAsia="Palatino Linotype" w:hAnsi="Palatino Linotype" w:cs="Palatino Linotype"/>
        </w:rPr>
        <w:t xml:space="preserve">, </w:t>
      </w:r>
      <w:r w:rsidR="00D2445C" w:rsidRPr="0006537B">
        <w:rPr>
          <w:rFonts w:ascii="Palatino Linotype" w:eastAsia="Palatino Linotype" w:hAnsi="Palatino Linotype" w:cs="Palatino Linotype"/>
        </w:rPr>
        <w:t xml:space="preserve">en versión pública, </w:t>
      </w:r>
      <w:r w:rsidRPr="0006537B">
        <w:rPr>
          <w:rFonts w:ascii="Palatino Linotype" w:eastAsia="Palatino Linotype" w:hAnsi="Palatino Linotype" w:cs="Palatino Linotype"/>
        </w:rPr>
        <w:t>la siguiente información</w:t>
      </w:r>
      <w:r w:rsidR="006E679E" w:rsidRPr="0006537B">
        <w:rPr>
          <w:rFonts w:ascii="Palatino Linotype" w:eastAsia="Palatino Linotype" w:hAnsi="Palatino Linotype" w:cs="Palatino Linotype"/>
        </w:rPr>
        <w:t>:</w:t>
      </w:r>
      <w:r w:rsidR="00675530" w:rsidRPr="0006537B">
        <w:rPr>
          <w:rFonts w:ascii="Palatino Linotype" w:eastAsia="Palatino Linotype" w:hAnsi="Palatino Linotype" w:cs="Palatino Linotype"/>
        </w:rPr>
        <w:tab/>
      </w:r>
    </w:p>
    <w:p w:rsidR="002B7A1B" w:rsidRPr="0006537B" w:rsidRDefault="002B7A1B" w:rsidP="002B7A1B">
      <w:pPr>
        <w:spacing w:line="360" w:lineRule="auto"/>
        <w:ind w:right="-787"/>
        <w:jc w:val="both"/>
        <w:rPr>
          <w:rFonts w:ascii="Palatino Linotype" w:eastAsia="Palatino Linotype" w:hAnsi="Palatino Linotype" w:cs="Palatino Linotype"/>
        </w:rPr>
      </w:pPr>
    </w:p>
    <w:p w:rsidR="007A4367" w:rsidRPr="0006537B" w:rsidRDefault="00EC6139" w:rsidP="00533477">
      <w:pPr>
        <w:pStyle w:val="Prrafodelista"/>
        <w:numPr>
          <w:ilvl w:val="0"/>
          <w:numId w:val="7"/>
        </w:numPr>
        <w:ind w:left="851" w:right="-433"/>
        <w:rPr>
          <w:rFonts w:ascii="Palatino Linotype" w:eastAsia="Palatino Linotype" w:hAnsi="Palatino Linotype" w:cs="Palatino Linotype"/>
          <w:b/>
        </w:rPr>
      </w:pPr>
      <w:r w:rsidRPr="0006537B">
        <w:rPr>
          <w:rFonts w:ascii="Palatino Linotype" w:eastAsia="Palatino Linotype" w:hAnsi="Palatino Linotype" w:cs="Palatino Linotype"/>
          <w:b/>
        </w:rPr>
        <w:t xml:space="preserve">La </w:t>
      </w:r>
      <w:r w:rsidR="007A4367" w:rsidRPr="0006537B">
        <w:rPr>
          <w:rFonts w:ascii="Palatino Linotype" w:eastAsia="Palatino Linotype" w:hAnsi="Palatino Linotype" w:cs="Palatino Linotype"/>
          <w:b/>
        </w:rPr>
        <w:t xml:space="preserve">conciliación de </w:t>
      </w:r>
      <w:r w:rsidRPr="0006537B">
        <w:rPr>
          <w:rFonts w:ascii="Palatino Linotype" w:eastAsia="Palatino Linotype" w:hAnsi="Palatino Linotype" w:cs="Palatino Linotype"/>
          <w:b/>
        </w:rPr>
        <w:t xml:space="preserve">nómina </w:t>
      </w:r>
      <w:r w:rsidR="007A4367" w:rsidRPr="0006537B">
        <w:rPr>
          <w:rFonts w:ascii="Palatino Linotype" w:eastAsia="Palatino Linotype" w:hAnsi="Palatino Linotype" w:cs="Palatino Linotype"/>
          <w:b/>
        </w:rPr>
        <w:t>de la primera y segunda quincena de enero de 2025.</w:t>
      </w:r>
    </w:p>
    <w:p w:rsidR="007A4367" w:rsidRPr="0006537B" w:rsidRDefault="007A4367" w:rsidP="007A4367">
      <w:pPr>
        <w:pStyle w:val="Prrafodelista"/>
        <w:ind w:left="851" w:right="-433"/>
        <w:rPr>
          <w:rFonts w:ascii="Palatino Linotype" w:eastAsia="Palatino Linotype" w:hAnsi="Palatino Linotype" w:cs="Palatino Linotype"/>
          <w:b/>
        </w:rPr>
      </w:pPr>
    </w:p>
    <w:p w:rsidR="000C5245" w:rsidRPr="0006537B" w:rsidRDefault="007A4367" w:rsidP="00533477">
      <w:pPr>
        <w:pStyle w:val="Prrafodelista"/>
        <w:numPr>
          <w:ilvl w:val="0"/>
          <w:numId w:val="7"/>
        </w:numPr>
        <w:ind w:left="851" w:right="-433"/>
        <w:rPr>
          <w:rFonts w:ascii="Palatino Linotype" w:eastAsia="Palatino Linotype" w:hAnsi="Palatino Linotype" w:cs="Palatino Linotype"/>
          <w:b/>
        </w:rPr>
      </w:pPr>
      <w:r w:rsidRPr="0006537B">
        <w:rPr>
          <w:rFonts w:ascii="Palatino Linotype" w:eastAsia="Palatino Linotype" w:hAnsi="Palatino Linotype" w:cs="Palatino Linotype"/>
          <w:b/>
        </w:rPr>
        <w:t xml:space="preserve">Los </w:t>
      </w:r>
      <w:r w:rsidR="00EC6139" w:rsidRPr="0006537B">
        <w:rPr>
          <w:rFonts w:ascii="Palatino Linotype" w:eastAsia="Palatino Linotype" w:hAnsi="Palatino Linotype" w:cs="Palatino Linotype"/>
          <w:b/>
        </w:rPr>
        <w:t>recibos de nómina de los servidores públicos referidos en la solicitud de información, de la primera y segunda quincena de enero de 2025</w:t>
      </w:r>
      <w:r w:rsidR="000C5245" w:rsidRPr="0006537B">
        <w:rPr>
          <w:rFonts w:ascii="Palatino Linotype" w:eastAsia="Palatino Linotype" w:hAnsi="Palatino Linotype" w:cs="Palatino Linotype"/>
          <w:b/>
        </w:rPr>
        <w:t>.</w:t>
      </w:r>
    </w:p>
    <w:p w:rsidR="00D2445C" w:rsidRPr="0006537B" w:rsidRDefault="00D2445C" w:rsidP="000C5245">
      <w:pPr>
        <w:spacing w:line="360" w:lineRule="auto"/>
        <w:ind w:left="851" w:right="-433"/>
        <w:jc w:val="both"/>
        <w:rPr>
          <w:rFonts w:ascii="Palatino Linotype" w:eastAsia="Palatino Linotype" w:hAnsi="Palatino Linotype" w:cs="Palatino Linotype"/>
          <w:b/>
        </w:rPr>
      </w:pPr>
    </w:p>
    <w:p w:rsidR="00D2445C" w:rsidRPr="0006537B" w:rsidRDefault="00D2445C" w:rsidP="000C5245">
      <w:pPr>
        <w:pStyle w:val="Prrafodelista"/>
        <w:tabs>
          <w:tab w:val="left" w:pos="8080"/>
        </w:tabs>
        <w:spacing w:line="360" w:lineRule="auto"/>
        <w:ind w:left="851" w:right="-433"/>
        <w:jc w:val="both"/>
        <w:rPr>
          <w:rFonts w:ascii="Palatino Linotype" w:eastAsia="Calibri" w:hAnsi="Palatino Linotype" w:cs="Arial"/>
          <w:b/>
        </w:rPr>
      </w:pPr>
      <w:r w:rsidRPr="0006537B">
        <w:rPr>
          <w:rFonts w:ascii="Palatino Linotype" w:eastAsia="Calibri" w:hAnsi="Palatino Linotype" w:cs="Arial"/>
        </w:rPr>
        <w:lastRenderedPageBreak/>
        <w:t>Para efectos de l</w:t>
      </w:r>
      <w:r w:rsidR="00EC6139" w:rsidRPr="0006537B">
        <w:rPr>
          <w:rFonts w:ascii="Palatino Linotype" w:eastAsia="Calibri" w:hAnsi="Palatino Linotype" w:cs="Arial"/>
        </w:rPr>
        <w:t>o anterior</w:t>
      </w:r>
      <w:r w:rsidRPr="0006537B">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6537B">
        <w:rPr>
          <w:rFonts w:ascii="Palatino Linotype" w:eastAsia="Calibri" w:hAnsi="Palatino Linotype" w:cs="Arial"/>
          <w:b/>
        </w:rPr>
        <w:t>RECURRENTE.</w:t>
      </w:r>
    </w:p>
    <w:p w:rsidR="00D2445C" w:rsidRPr="0006537B" w:rsidRDefault="00D2445C" w:rsidP="002B7A1B">
      <w:pPr>
        <w:spacing w:line="360" w:lineRule="auto"/>
        <w:jc w:val="both"/>
        <w:rPr>
          <w:rFonts w:ascii="Palatino Linotype" w:eastAsia="Palatino Linotype" w:hAnsi="Palatino Linotype" w:cs="Palatino Linotype"/>
          <w:b/>
        </w:rPr>
      </w:pPr>
    </w:p>
    <w:p w:rsidR="002B7A1B" w:rsidRPr="0006537B" w:rsidRDefault="006E679E" w:rsidP="002B7A1B">
      <w:pPr>
        <w:spacing w:line="360" w:lineRule="auto"/>
        <w:ind w:right="-787"/>
        <w:jc w:val="both"/>
        <w:rPr>
          <w:rFonts w:ascii="Palatino Linotype" w:eastAsia="Palatino Linotype" w:hAnsi="Palatino Linotype" w:cs="Palatino Linotype"/>
          <w:color w:val="000000"/>
        </w:rPr>
      </w:pPr>
      <w:r w:rsidRPr="0006537B">
        <w:rPr>
          <w:rFonts w:ascii="Palatino Linotype" w:eastAsia="Palatino Linotype" w:hAnsi="Palatino Linotype" w:cs="Palatino Linotype"/>
          <w:b/>
        </w:rPr>
        <w:t>TERCERO</w:t>
      </w:r>
      <w:r w:rsidR="002B7A1B" w:rsidRPr="0006537B">
        <w:rPr>
          <w:rFonts w:ascii="Palatino Linotype" w:eastAsia="Palatino Linotype" w:hAnsi="Palatino Linotype" w:cs="Palatino Linotype"/>
          <w:b/>
        </w:rPr>
        <w:t xml:space="preserve">. </w:t>
      </w:r>
      <w:r w:rsidR="002B7A1B" w:rsidRPr="0006537B">
        <w:rPr>
          <w:rFonts w:ascii="Palatino Linotype" w:eastAsia="Palatino Linotype" w:hAnsi="Palatino Linotype" w:cs="Palatino Linotype"/>
          <w:b/>
          <w:color w:val="222222"/>
        </w:rPr>
        <w:t>NOTIFÍQUESE</w:t>
      </w:r>
      <w:r w:rsidR="002B7A1B" w:rsidRPr="0006537B">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06537B">
        <w:rPr>
          <w:rFonts w:ascii="Palatino Linotype" w:eastAsia="Palatino Linotype" w:hAnsi="Palatino Linotype" w:cs="Palatino Linotype"/>
          <w:b/>
          <w:color w:val="222222"/>
        </w:rPr>
        <w:t xml:space="preserve">dé cumplimiento a lo ordenado dentro del plazo </w:t>
      </w:r>
      <w:r w:rsidR="002B7A1B" w:rsidRPr="0006537B">
        <w:rPr>
          <w:rFonts w:ascii="Palatino Linotype" w:eastAsia="Palatino Linotype" w:hAnsi="Palatino Linotype" w:cs="Palatino Linotype"/>
        </w:rPr>
        <w:t>de</w:t>
      </w:r>
      <w:r w:rsidR="002B7A1B" w:rsidRPr="0006537B">
        <w:rPr>
          <w:rFonts w:ascii="Palatino Linotype" w:eastAsia="Palatino Linotype" w:hAnsi="Palatino Linotype" w:cs="Palatino Linotype"/>
          <w:b/>
          <w:color w:val="222222"/>
        </w:rPr>
        <w:t xml:space="preserve"> diez días hábiles, </w:t>
      </w:r>
      <w:r w:rsidR="002B7A1B" w:rsidRPr="0006537B">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06537B" w:rsidRDefault="002B7A1B" w:rsidP="002B7A1B">
      <w:pPr>
        <w:spacing w:line="360" w:lineRule="auto"/>
        <w:jc w:val="both"/>
        <w:rPr>
          <w:rFonts w:ascii="Palatino Linotype" w:eastAsia="Palatino Linotype" w:hAnsi="Palatino Linotype" w:cs="Palatino Linotype"/>
        </w:rPr>
      </w:pPr>
    </w:p>
    <w:p w:rsidR="002B7A1B" w:rsidRPr="0006537B" w:rsidRDefault="006E679E" w:rsidP="002B7A1B">
      <w:pPr>
        <w:spacing w:line="360" w:lineRule="auto"/>
        <w:ind w:right="-787"/>
        <w:jc w:val="both"/>
        <w:rPr>
          <w:rFonts w:ascii="Palatino Linotype" w:eastAsia="Palatino Linotype" w:hAnsi="Palatino Linotype" w:cs="Palatino Linotype"/>
        </w:rPr>
      </w:pPr>
      <w:bookmarkStart w:id="8" w:name="_heading=h.3rdcrjn" w:colFirst="0" w:colLast="0"/>
      <w:bookmarkEnd w:id="8"/>
      <w:r w:rsidRPr="0006537B">
        <w:rPr>
          <w:rFonts w:ascii="Palatino Linotype" w:eastAsia="Palatino Linotype" w:hAnsi="Palatino Linotype" w:cs="Palatino Linotype"/>
          <w:b/>
        </w:rPr>
        <w:t>CUARTO</w:t>
      </w:r>
      <w:r w:rsidR="002B7A1B" w:rsidRPr="0006537B">
        <w:rPr>
          <w:rFonts w:ascii="Palatino Linotype" w:eastAsia="Palatino Linotype" w:hAnsi="Palatino Linotype" w:cs="Palatino Linotype"/>
          <w:b/>
        </w:rPr>
        <w:t xml:space="preserve">. </w:t>
      </w:r>
      <w:r w:rsidR="002B7A1B" w:rsidRPr="0006537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2B7A1B" w:rsidRPr="0006537B">
        <w:rPr>
          <w:rFonts w:ascii="Palatino Linotype" w:eastAsia="Palatino Linotype" w:hAnsi="Palatino Linotype" w:cs="Palatino Linotype"/>
          <w:b/>
        </w:rPr>
        <w:t>SUJETO OBLIGADO</w:t>
      </w:r>
      <w:r w:rsidR="002B7A1B" w:rsidRPr="0006537B">
        <w:rPr>
          <w:rFonts w:ascii="Palatino Linotype" w:eastAsia="Palatino Linotype" w:hAnsi="Palatino Linotype" w:cs="Palatino Linotype"/>
        </w:rPr>
        <w:t xml:space="preserve"> de manera fundada y motivada, podrá solicitar una ampliación de plazo para el cumplimiento de la presente resolución.</w:t>
      </w:r>
    </w:p>
    <w:p w:rsidR="00177B12" w:rsidRPr="0006537B" w:rsidRDefault="00177B12" w:rsidP="00177B12">
      <w:pPr>
        <w:spacing w:line="360" w:lineRule="auto"/>
        <w:ind w:right="-858"/>
        <w:jc w:val="both"/>
        <w:rPr>
          <w:rFonts w:ascii="Palatino Linotype" w:eastAsiaTheme="minorHAnsi" w:hAnsi="Palatino Linotype" w:cs="Arial"/>
          <w:lang w:eastAsia="en-US"/>
        </w:rPr>
      </w:pPr>
    </w:p>
    <w:p w:rsidR="002F4A2D" w:rsidRPr="0006537B" w:rsidRDefault="006E679E" w:rsidP="00177B12">
      <w:pPr>
        <w:spacing w:line="360" w:lineRule="auto"/>
        <w:ind w:right="-858"/>
        <w:contextualSpacing/>
        <w:jc w:val="both"/>
        <w:rPr>
          <w:rFonts w:ascii="Palatino Linotype" w:hAnsi="Palatino Linotype" w:cs="Arial"/>
          <w:lang w:eastAsia="en-US"/>
        </w:rPr>
      </w:pPr>
      <w:r w:rsidRPr="0006537B">
        <w:rPr>
          <w:rFonts w:ascii="Palatino Linotype" w:hAnsi="Palatino Linotype" w:cs="Arial"/>
          <w:b/>
          <w:bCs/>
          <w:lang w:eastAsia="en-US"/>
        </w:rPr>
        <w:t>QUINTO</w:t>
      </w:r>
      <w:r w:rsidR="00177B12" w:rsidRPr="0006537B">
        <w:rPr>
          <w:rFonts w:ascii="Palatino Linotype" w:hAnsi="Palatino Linotype" w:cs="Arial"/>
          <w:b/>
          <w:bCs/>
          <w:lang w:eastAsia="en-US"/>
        </w:rPr>
        <w:t>. NOTIFÍQUESE</w:t>
      </w:r>
      <w:r w:rsidR="00177B12" w:rsidRPr="0006537B">
        <w:rPr>
          <w:rFonts w:ascii="Palatino Linotype" w:hAnsi="Palatino Linotype" w:cs="Arial"/>
          <w:lang w:eastAsia="en-US"/>
        </w:rPr>
        <w:t xml:space="preserve"> la presente resolución a la parte </w:t>
      </w:r>
      <w:r w:rsidR="00177B12" w:rsidRPr="0006537B">
        <w:rPr>
          <w:rFonts w:ascii="Palatino Linotype" w:hAnsi="Palatino Linotype" w:cs="Arial"/>
          <w:b/>
          <w:bCs/>
          <w:lang w:eastAsia="en-US"/>
        </w:rPr>
        <w:t>Recurrente</w:t>
      </w:r>
      <w:r w:rsidR="00177B12" w:rsidRPr="0006537B">
        <w:rPr>
          <w:rFonts w:ascii="Palatino Linotype" w:eastAsia="Calibri" w:hAnsi="Palatino Linotype"/>
          <w:lang w:eastAsia="es-MX"/>
        </w:rPr>
        <w:t xml:space="preserve"> </w:t>
      </w:r>
      <w:r w:rsidR="00177B12" w:rsidRPr="0006537B">
        <w:rPr>
          <w:rFonts w:ascii="Palatino Linotype" w:hAnsi="Palatino Linotype" w:cs="Arial"/>
          <w:lang w:eastAsia="en-US"/>
        </w:rPr>
        <w:t xml:space="preserve">a través del Sistema de Acceso a la Información Mexiquense </w:t>
      </w:r>
      <w:r w:rsidR="00177B12" w:rsidRPr="0006537B">
        <w:rPr>
          <w:rFonts w:ascii="Palatino Linotype" w:hAnsi="Palatino Linotype" w:cs="Arial"/>
          <w:b/>
          <w:bCs/>
          <w:lang w:eastAsia="en-US"/>
        </w:rPr>
        <w:t>(SAIMEX)</w:t>
      </w:r>
      <w:r w:rsidR="00177B12" w:rsidRPr="0006537B">
        <w:rPr>
          <w:rFonts w:ascii="Palatino Linotype" w:hAnsi="Palatino Linotype" w:cs="Arial"/>
          <w:lang w:eastAsia="en-US"/>
        </w:rPr>
        <w:t xml:space="preserve"> y hágase de su conocimiento que, en caso de </w:t>
      </w:r>
      <w:r w:rsidR="00177B12" w:rsidRPr="0006537B">
        <w:rPr>
          <w:rFonts w:ascii="Palatino Linotype" w:hAnsi="Palatino Linotype" w:cs="Arial"/>
          <w:lang w:eastAsia="en-US"/>
        </w:rPr>
        <w:lastRenderedPageBreak/>
        <w:t>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F77CB5" w:rsidRPr="0006537B" w:rsidRDefault="00F77CB5" w:rsidP="00177B12">
      <w:pPr>
        <w:spacing w:line="360" w:lineRule="auto"/>
        <w:ind w:right="-858"/>
        <w:contextualSpacing/>
        <w:jc w:val="both"/>
        <w:rPr>
          <w:rFonts w:ascii="Palatino Linotype" w:hAnsi="Palatino Linotype" w:cs="Arial"/>
          <w:lang w:eastAsia="en-US"/>
        </w:rPr>
      </w:pPr>
    </w:p>
    <w:p w:rsidR="002F4A2D" w:rsidRPr="0006537B" w:rsidRDefault="002F4A2D" w:rsidP="002F4A2D">
      <w:pPr>
        <w:spacing w:before="240" w:after="240" w:line="360" w:lineRule="auto"/>
        <w:ind w:right="-716" w:firstLine="1"/>
        <w:jc w:val="both"/>
        <w:rPr>
          <w:rFonts w:ascii="Palatino Linotype" w:hAnsi="Palatino Linotype"/>
        </w:rPr>
      </w:pPr>
      <w:bookmarkStart w:id="9" w:name="_Hlk99014733"/>
      <w:r w:rsidRPr="0006537B">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70CEA" w:rsidRPr="0006537B">
        <w:rPr>
          <w:rFonts w:ascii="Palatino Linotype" w:hAnsi="Palatino Linotype" w:cs="Palatino Linotype"/>
        </w:rPr>
        <w:t xml:space="preserve"> EMITIENDO VOTO PARTICULAR</w:t>
      </w:r>
      <w:r w:rsidRPr="0006537B">
        <w:rPr>
          <w:rFonts w:ascii="Palatino Linotype" w:hAnsi="Palatino Linotype" w:cs="Palatino Linotype"/>
        </w:rPr>
        <w:t xml:space="preserve">; EN LA VIGÉSIMA SEXTA SESIÓN ORDINARIA, CELEBRADA EL DIECISÉIS (16) DE JULIO DE DOS MIL VEINTICINCO, ANTE EL SECRETARIO TÉCNICO DEL PLENO </w:t>
      </w:r>
      <w:r w:rsidRPr="0006537B">
        <w:rPr>
          <w:rFonts w:ascii="Palatino Linotype" w:eastAsia="Times New Roman" w:hAnsi="Palatino Linotype" w:cs="Palatino Linotype"/>
          <w:color w:val="000000" w:themeColor="text1"/>
        </w:rPr>
        <w:t>ALEXIS TAPIA RAMÍREZ.</w:t>
      </w:r>
    </w:p>
    <w:p w:rsidR="002F4A2D" w:rsidRPr="0006537B" w:rsidRDefault="002F4A2D" w:rsidP="002F4A2D">
      <w:pPr>
        <w:spacing w:before="240" w:after="240" w:line="360" w:lineRule="auto"/>
        <w:ind w:right="-716" w:firstLine="1"/>
        <w:jc w:val="both"/>
        <w:rPr>
          <w:rFonts w:ascii="Palatino Linotype" w:hAnsi="Palatino Linotype"/>
        </w:rPr>
      </w:pPr>
    </w:p>
    <w:bookmarkEnd w:id="9"/>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rsidP="002F4A2D">
      <w:pPr>
        <w:spacing w:line="360" w:lineRule="auto"/>
        <w:ind w:right="-716"/>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jc w:val="both"/>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72148B">
      <w:pPr>
        <w:spacing w:line="360" w:lineRule="auto"/>
        <w:ind w:right="-787"/>
        <w:rPr>
          <w:rFonts w:ascii="Palatino Linotype" w:eastAsia="Palatino Linotype" w:hAnsi="Palatino Linotype" w:cs="Palatino Linotype"/>
        </w:rPr>
      </w:pPr>
    </w:p>
    <w:p w:rsidR="0072148B" w:rsidRPr="0006537B" w:rsidRDefault="00A077F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06537B">
        <w:rPr>
          <w:rFonts w:ascii="Palatino Linotype" w:eastAsia="Palatino Linotype" w:hAnsi="Palatino Linotype" w:cs="Palatino Linotype"/>
        </w:rPr>
        <w:tab/>
      </w:r>
    </w:p>
    <w:sectPr w:rsidR="0072148B" w:rsidRPr="0006537B">
      <w:headerReference w:type="even" r:id="rId16"/>
      <w:headerReference w:type="default" r:id="rId17"/>
      <w:footerReference w:type="default" r:id="rId18"/>
      <w:headerReference w:type="first" r:id="rId19"/>
      <w:footerReference w:type="first" r:id="rId20"/>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01B" w:rsidRDefault="007F201B">
      <w:r>
        <w:separator/>
      </w:r>
    </w:p>
  </w:endnote>
  <w:endnote w:type="continuationSeparator" w:id="0">
    <w:p w:rsidR="007F201B" w:rsidRDefault="007F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C5" w:rsidRDefault="00504AC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0E42">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0E42">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504AC5" w:rsidRDefault="00504A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C5" w:rsidRDefault="00504AC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0E4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0E42">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504AC5" w:rsidRDefault="00504A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01B" w:rsidRDefault="007F201B">
      <w:r>
        <w:separator/>
      </w:r>
    </w:p>
  </w:footnote>
  <w:footnote w:type="continuationSeparator" w:id="0">
    <w:p w:rsidR="007F201B" w:rsidRDefault="007F2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AC5" w:rsidRDefault="007F201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28" w:type="dxa"/>
      <w:tblInd w:w="2835" w:type="dxa"/>
      <w:tblLayout w:type="fixed"/>
      <w:tblLook w:val="0400" w:firstRow="0" w:lastRow="0" w:firstColumn="0" w:lastColumn="0" w:noHBand="0" w:noVBand="1"/>
    </w:tblPr>
    <w:tblGrid>
      <w:gridCol w:w="2976"/>
      <w:gridCol w:w="4252"/>
    </w:tblGrid>
    <w:tr w:rsidR="00504AC5" w:rsidTr="0006537B">
      <w:trPr>
        <w:trHeight w:val="227"/>
      </w:trPr>
      <w:tc>
        <w:tcPr>
          <w:tcW w:w="2976" w:type="dxa"/>
        </w:tcPr>
        <w:p w:rsidR="00504AC5" w:rsidRPr="0006537B" w:rsidRDefault="00504AC5" w:rsidP="009753BB">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Recurso de Revisión:</w:t>
          </w:r>
        </w:p>
      </w:tc>
      <w:tc>
        <w:tcPr>
          <w:tcW w:w="4252" w:type="dxa"/>
        </w:tcPr>
        <w:p w:rsidR="00504AC5" w:rsidRPr="0006537B" w:rsidRDefault="00504AC5" w:rsidP="009753B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6537B">
            <w:rPr>
              <w:rFonts w:ascii="Palatino Linotype" w:eastAsia="Palatino Linotype" w:hAnsi="Palatino Linotype" w:cs="Palatino Linotype"/>
              <w:color w:val="000000"/>
              <w:szCs w:val="22"/>
            </w:rPr>
            <w:t>02773/INFOEM/IP/RR/2025</w:t>
          </w:r>
        </w:p>
      </w:tc>
    </w:tr>
    <w:tr w:rsidR="00504AC5" w:rsidTr="0006537B">
      <w:trPr>
        <w:trHeight w:val="342"/>
      </w:trPr>
      <w:tc>
        <w:tcPr>
          <w:tcW w:w="2976" w:type="dxa"/>
        </w:tcPr>
        <w:p w:rsidR="00504AC5" w:rsidRPr="0006537B" w:rsidRDefault="00504AC5" w:rsidP="009753BB">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Sujeto Obligado:</w:t>
          </w:r>
        </w:p>
      </w:tc>
      <w:tc>
        <w:tcPr>
          <w:tcW w:w="4252" w:type="dxa"/>
        </w:tcPr>
        <w:p w:rsidR="00504AC5" w:rsidRPr="0006537B" w:rsidRDefault="00504AC5" w:rsidP="009753BB">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06537B">
            <w:rPr>
              <w:rFonts w:ascii="Palatino Linotype" w:eastAsia="Palatino Linotype" w:hAnsi="Palatino Linotype" w:cs="Palatino Linotype"/>
              <w:color w:val="000000"/>
              <w:szCs w:val="22"/>
            </w:rPr>
            <w:t>Ayuntamiento de San Mateo Atenco</w:t>
          </w:r>
        </w:p>
      </w:tc>
    </w:tr>
    <w:tr w:rsidR="00504AC5" w:rsidTr="0006537B">
      <w:trPr>
        <w:trHeight w:val="342"/>
      </w:trPr>
      <w:tc>
        <w:tcPr>
          <w:tcW w:w="2976" w:type="dxa"/>
        </w:tcPr>
        <w:p w:rsidR="00504AC5" w:rsidRPr="0006537B" w:rsidRDefault="00504AC5" w:rsidP="009753BB">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Comisionada Ponente:</w:t>
          </w:r>
        </w:p>
      </w:tc>
      <w:tc>
        <w:tcPr>
          <w:tcW w:w="4252" w:type="dxa"/>
        </w:tcPr>
        <w:p w:rsidR="00504AC5" w:rsidRPr="0006537B" w:rsidRDefault="00504AC5" w:rsidP="009753B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6537B">
            <w:rPr>
              <w:rFonts w:ascii="Palatino Linotype" w:eastAsia="Palatino Linotype" w:hAnsi="Palatino Linotype" w:cs="Palatino Linotype"/>
              <w:color w:val="000000"/>
              <w:szCs w:val="22"/>
            </w:rPr>
            <w:t>María del Rosario Mejía Ayala</w:t>
          </w:r>
        </w:p>
      </w:tc>
    </w:tr>
  </w:tbl>
  <w:p w:rsidR="00504AC5" w:rsidRDefault="007F201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5.5pt;margin-top:-123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2977" w:type="dxa"/>
      <w:tblLayout w:type="fixed"/>
      <w:tblLook w:val="0400" w:firstRow="0" w:lastRow="0" w:firstColumn="0" w:lastColumn="0" w:noHBand="0" w:noVBand="1"/>
    </w:tblPr>
    <w:tblGrid>
      <w:gridCol w:w="2835"/>
      <w:gridCol w:w="4252"/>
    </w:tblGrid>
    <w:tr w:rsidR="00504AC5" w:rsidRPr="0006537B" w:rsidTr="0006537B">
      <w:trPr>
        <w:trHeight w:val="227"/>
      </w:trPr>
      <w:tc>
        <w:tcPr>
          <w:tcW w:w="2835" w:type="dxa"/>
        </w:tcPr>
        <w:p w:rsidR="00504AC5" w:rsidRPr="0006537B" w:rsidRDefault="00504AC5">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Recurso de Revisión:</w:t>
          </w:r>
        </w:p>
      </w:tc>
      <w:tc>
        <w:tcPr>
          <w:tcW w:w="4252" w:type="dxa"/>
        </w:tcPr>
        <w:p w:rsidR="00504AC5" w:rsidRPr="0006537B" w:rsidRDefault="00504AC5" w:rsidP="0006537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6537B">
            <w:rPr>
              <w:rFonts w:ascii="Palatino Linotype" w:eastAsia="Palatino Linotype" w:hAnsi="Palatino Linotype" w:cs="Palatino Linotype"/>
              <w:color w:val="000000"/>
              <w:szCs w:val="22"/>
            </w:rPr>
            <w:t>02773/INFOEM/IP/RR/2025</w:t>
          </w:r>
        </w:p>
      </w:tc>
    </w:tr>
    <w:tr w:rsidR="00504AC5" w:rsidRPr="0006537B" w:rsidTr="0006537B">
      <w:trPr>
        <w:trHeight w:val="242"/>
      </w:trPr>
      <w:tc>
        <w:tcPr>
          <w:tcW w:w="2835" w:type="dxa"/>
        </w:tcPr>
        <w:p w:rsidR="00504AC5" w:rsidRPr="0006537B" w:rsidRDefault="00504AC5">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Recurrente:</w:t>
          </w:r>
        </w:p>
      </w:tc>
      <w:tc>
        <w:tcPr>
          <w:tcW w:w="4252" w:type="dxa"/>
        </w:tcPr>
        <w:p w:rsidR="00504AC5" w:rsidRPr="0006537B" w:rsidRDefault="00120E42" w:rsidP="0006537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504AC5" w:rsidRPr="0006537B" w:rsidTr="0006537B">
      <w:trPr>
        <w:trHeight w:val="342"/>
      </w:trPr>
      <w:tc>
        <w:tcPr>
          <w:tcW w:w="2835" w:type="dxa"/>
        </w:tcPr>
        <w:p w:rsidR="00504AC5" w:rsidRPr="0006537B" w:rsidRDefault="00504AC5">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Sujeto Obligado:</w:t>
          </w:r>
        </w:p>
      </w:tc>
      <w:tc>
        <w:tcPr>
          <w:tcW w:w="4252" w:type="dxa"/>
        </w:tcPr>
        <w:p w:rsidR="00504AC5" w:rsidRPr="0006537B" w:rsidRDefault="00504AC5" w:rsidP="0006537B">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06537B">
            <w:rPr>
              <w:rFonts w:ascii="Palatino Linotype" w:eastAsia="Palatino Linotype" w:hAnsi="Palatino Linotype" w:cs="Palatino Linotype"/>
              <w:color w:val="000000"/>
              <w:szCs w:val="22"/>
            </w:rPr>
            <w:t>Ayuntamiento de San Mateo Atenco</w:t>
          </w:r>
        </w:p>
      </w:tc>
    </w:tr>
    <w:tr w:rsidR="00504AC5" w:rsidRPr="0006537B" w:rsidTr="0006537B">
      <w:trPr>
        <w:trHeight w:val="342"/>
      </w:trPr>
      <w:tc>
        <w:tcPr>
          <w:tcW w:w="2835" w:type="dxa"/>
        </w:tcPr>
        <w:p w:rsidR="00504AC5" w:rsidRPr="0006537B" w:rsidRDefault="00504AC5">
          <w:pPr>
            <w:jc w:val="right"/>
            <w:rPr>
              <w:rFonts w:ascii="Palatino Linotype" w:eastAsia="Palatino Linotype" w:hAnsi="Palatino Linotype" w:cs="Palatino Linotype"/>
              <w:b/>
              <w:szCs w:val="22"/>
            </w:rPr>
          </w:pPr>
          <w:r w:rsidRPr="0006537B">
            <w:rPr>
              <w:rFonts w:ascii="Palatino Linotype" w:eastAsia="Palatino Linotype" w:hAnsi="Palatino Linotype" w:cs="Palatino Linotype"/>
              <w:b/>
              <w:szCs w:val="22"/>
            </w:rPr>
            <w:t>Comisionada Ponente:</w:t>
          </w:r>
        </w:p>
      </w:tc>
      <w:tc>
        <w:tcPr>
          <w:tcW w:w="4252" w:type="dxa"/>
        </w:tcPr>
        <w:p w:rsidR="00504AC5" w:rsidRPr="0006537B" w:rsidRDefault="00504AC5" w:rsidP="0006537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6537B">
            <w:rPr>
              <w:rFonts w:ascii="Palatino Linotype" w:eastAsia="Palatino Linotype" w:hAnsi="Palatino Linotype" w:cs="Palatino Linotype"/>
              <w:color w:val="000000"/>
              <w:szCs w:val="22"/>
            </w:rPr>
            <w:t>María del Rosario Mejía Ayala</w:t>
          </w:r>
        </w:p>
      </w:tc>
    </w:tr>
  </w:tbl>
  <w:p w:rsidR="00504AC5" w:rsidRDefault="007F201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0.3pt;margin-top:-126.1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F28301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B95E24"/>
    <w:multiLevelType w:val="hybridMultilevel"/>
    <w:tmpl w:val="AAB22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3"/>
  </w:num>
  <w:num w:numId="4">
    <w:abstractNumId w:val="6"/>
  </w:num>
  <w:num w:numId="5">
    <w:abstractNumId w:val="4"/>
  </w:num>
  <w:num w:numId="6">
    <w:abstractNumId w:val="1"/>
  </w:num>
  <w:num w:numId="7">
    <w:abstractNumId w:val="0"/>
  </w:num>
  <w:num w:numId="8">
    <w:abstractNumId w:val="7"/>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58BC"/>
    <w:rsid w:val="00023F89"/>
    <w:rsid w:val="00024F93"/>
    <w:rsid w:val="00036F07"/>
    <w:rsid w:val="00037080"/>
    <w:rsid w:val="00037694"/>
    <w:rsid w:val="00043971"/>
    <w:rsid w:val="00062045"/>
    <w:rsid w:val="00062444"/>
    <w:rsid w:val="0006537B"/>
    <w:rsid w:val="00065407"/>
    <w:rsid w:val="00067F0A"/>
    <w:rsid w:val="00070275"/>
    <w:rsid w:val="00070E1F"/>
    <w:rsid w:val="00071483"/>
    <w:rsid w:val="000746C9"/>
    <w:rsid w:val="00077434"/>
    <w:rsid w:val="000779D3"/>
    <w:rsid w:val="00084793"/>
    <w:rsid w:val="000930BF"/>
    <w:rsid w:val="0009525E"/>
    <w:rsid w:val="000A0F74"/>
    <w:rsid w:val="000A61EB"/>
    <w:rsid w:val="000B5E74"/>
    <w:rsid w:val="000B756F"/>
    <w:rsid w:val="000C5245"/>
    <w:rsid w:val="000D3698"/>
    <w:rsid w:val="000D4D94"/>
    <w:rsid w:val="000D50F3"/>
    <w:rsid w:val="000E2661"/>
    <w:rsid w:val="000E36B6"/>
    <w:rsid w:val="000E67B2"/>
    <w:rsid w:val="000E6B02"/>
    <w:rsid w:val="000F113E"/>
    <w:rsid w:val="000F1D57"/>
    <w:rsid w:val="000F388A"/>
    <w:rsid w:val="000F6F52"/>
    <w:rsid w:val="00102F1F"/>
    <w:rsid w:val="00106553"/>
    <w:rsid w:val="0012052F"/>
    <w:rsid w:val="00120E42"/>
    <w:rsid w:val="00127517"/>
    <w:rsid w:val="00133E64"/>
    <w:rsid w:val="00133F9B"/>
    <w:rsid w:val="00135433"/>
    <w:rsid w:val="00137D7D"/>
    <w:rsid w:val="00146910"/>
    <w:rsid w:val="00146A65"/>
    <w:rsid w:val="001479A7"/>
    <w:rsid w:val="00154601"/>
    <w:rsid w:val="00161EAC"/>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6DF5"/>
    <w:rsid w:val="001A78A1"/>
    <w:rsid w:val="001B1A41"/>
    <w:rsid w:val="001B631F"/>
    <w:rsid w:val="001C0342"/>
    <w:rsid w:val="001C064F"/>
    <w:rsid w:val="001C3FA6"/>
    <w:rsid w:val="001C5729"/>
    <w:rsid w:val="001D3B8D"/>
    <w:rsid w:val="001D457E"/>
    <w:rsid w:val="001D6B14"/>
    <w:rsid w:val="001E2CB9"/>
    <w:rsid w:val="001F159B"/>
    <w:rsid w:val="00201F7E"/>
    <w:rsid w:val="00204CFD"/>
    <w:rsid w:val="00205368"/>
    <w:rsid w:val="002061C6"/>
    <w:rsid w:val="00207157"/>
    <w:rsid w:val="002109CD"/>
    <w:rsid w:val="002148D1"/>
    <w:rsid w:val="00214CB0"/>
    <w:rsid w:val="00216DCC"/>
    <w:rsid w:val="00222647"/>
    <w:rsid w:val="00223B24"/>
    <w:rsid w:val="00247B94"/>
    <w:rsid w:val="00250902"/>
    <w:rsid w:val="002510AE"/>
    <w:rsid w:val="00251E6D"/>
    <w:rsid w:val="002629BB"/>
    <w:rsid w:val="00262AEA"/>
    <w:rsid w:val="00270929"/>
    <w:rsid w:val="0027567B"/>
    <w:rsid w:val="0028403B"/>
    <w:rsid w:val="00284285"/>
    <w:rsid w:val="002859D5"/>
    <w:rsid w:val="002907AD"/>
    <w:rsid w:val="00296C6B"/>
    <w:rsid w:val="00297A5F"/>
    <w:rsid w:val="002A534D"/>
    <w:rsid w:val="002B3B48"/>
    <w:rsid w:val="002B664B"/>
    <w:rsid w:val="002B7A1B"/>
    <w:rsid w:val="002C4BEC"/>
    <w:rsid w:val="002F1E23"/>
    <w:rsid w:val="002F4A2D"/>
    <w:rsid w:val="00301118"/>
    <w:rsid w:val="0030607D"/>
    <w:rsid w:val="0031031B"/>
    <w:rsid w:val="00315C9B"/>
    <w:rsid w:val="00320425"/>
    <w:rsid w:val="0032392F"/>
    <w:rsid w:val="0033057E"/>
    <w:rsid w:val="00331DE1"/>
    <w:rsid w:val="00331E04"/>
    <w:rsid w:val="0033402D"/>
    <w:rsid w:val="003400CB"/>
    <w:rsid w:val="003410F3"/>
    <w:rsid w:val="00343DB0"/>
    <w:rsid w:val="00347601"/>
    <w:rsid w:val="00351275"/>
    <w:rsid w:val="00355634"/>
    <w:rsid w:val="0036122E"/>
    <w:rsid w:val="00361441"/>
    <w:rsid w:val="00362391"/>
    <w:rsid w:val="003644DE"/>
    <w:rsid w:val="00367B8C"/>
    <w:rsid w:val="00380D59"/>
    <w:rsid w:val="00385C23"/>
    <w:rsid w:val="00391D31"/>
    <w:rsid w:val="003948C1"/>
    <w:rsid w:val="00396E02"/>
    <w:rsid w:val="003A2338"/>
    <w:rsid w:val="003A3C35"/>
    <w:rsid w:val="003A3F37"/>
    <w:rsid w:val="003A61B2"/>
    <w:rsid w:val="003A7307"/>
    <w:rsid w:val="003B2862"/>
    <w:rsid w:val="003B4C8D"/>
    <w:rsid w:val="003B699F"/>
    <w:rsid w:val="003C44EF"/>
    <w:rsid w:val="003C51F5"/>
    <w:rsid w:val="003D0E31"/>
    <w:rsid w:val="003D2D85"/>
    <w:rsid w:val="003D691E"/>
    <w:rsid w:val="003D6A3E"/>
    <w:rsid w:val="003D6D16"/>
    <w:rsid w:val="003E0A43"/>
    <w:rsid w:val="003E1C35"/>
    <w:rsid w:val="003E2B2A"/>
    <w:rsid w:val="003E48E0"/>
    <w:rsid w:val="003E4B8C"/>
    <w:rsid w:val="003E664D"/>
    <w:rsid w:val="003E6CA4"/>
    <w:rsid w:val="003F3AC4"/>
    <w:rsid w:val="003F56B1"/>
    <w:rsid w:val="00406CBB"/>
    <w:rsid w:val="004216D4"/>
    <w:rsid w:val="00425B35"/>
    <w:rsid w:val="00433AE6"/>
    <w:rsid w:val="00434435"/>
    <w:rsid w:val="00434659"/>
    <w:rsid w:val="00434E54"/>
    <w:rsid w:val="00442770"/>
    <w:rsid w:val="00444DEB"/>
    <w:rsid w:val="00450E28"/>
    <w:rsid w:val="00451CF4"/>
    <w:rsid w:val="00453D56"/>
    <w:rsid w:val="00454070"/>
    <w:rsid w:val="00455525"/>
    <w:rsid w:val="00457703"/>
    <w:rsid w:val="004602F0"/>
    <w:rsid w:val="00463AA6"/>
    <w:rsid w:val="00463EAE"/>
    <w:rsid w:val="00465085"/>
    <w:rsid w:val="0046784D"/>
    <w:rsid w:val="00470CEA"/>
    <w:rsid w:val="00471C55"/>
    <w:rsid w:val="00481C72"/>
    <w:rsid w:val="00481FAC"/>
    <w:rsid w:val="0048201A"/>
    <w:rsid w:val="00491452"/>
    <w:rsid w:val="004927E8"/>
    <w:rsid w:val="00492829"/>
    <w:rsid w:val="0049478E"/>
    <w:rsid w:val="00497FA0"/>
    <w:rsid w:val="004A4399"/>
    <w:rsid w:val="004C1A1A"/>
    <w:rsid w:val="004C5179"/>
    <w:rsid w:val="004D0388"/>
    <w:rsid w:val="004D4FA6"/>
    <w:rsid w:val="004D7CEC"/>
    <w:rsid w:val="004E0AFD"/>
    <w:rsid w:val="004E302F"/>
    <w:rsid w:val="004E6228"/>
    <w:rsid w:val="004E627A"/>
    <w:rsid w:val="004F1783"/>
    <w:rsid w:val="00504AC5"/>
    <w:rsid w:val="00526EF7"/>
    <w:rsid w:val="00533477"/>
    <w:rsid w:val="00543175"/>
    <w:rsid w:val="005449F3"/>
    <w:rsid w:val="005473F4"/>
    <w:rsid w:val="0054767D"/>
    <w:rsid w:val="005519B5"/>
    <w:rsid w:val="00552B19"/>
    <w:rsid w:val="005565B6"/>
    <w:rsid w:val="00562370"/>
    <w:rsid w:val="00563F40"/>
    <w:rsid w:val="0056710D"/>
    <w:rsid w:val="00570C1A"/>
    <w:rsid w:val="005818AD"/>
    <w:rsid w:val="005828AB"/>
    <w:rsid w:val="0058337F"/>
    <w:rsid w:val="00596DC5"/>
    <w:rsid w:val="005A26DE"/>
    <w:rsid w:val="005A3070"/>
    <w:rsid w:val="005A367B"/>
    <w:rsid w:val="005A4ED2"/>
    <w:rsid w:val="005B0BCD"/>
    <w:rsid w:val="005B371F"/>
    <w:rsid w:val="005B56CD"/>
    <w:rsid w:val="005C4221"/>
    <w:rsid w:val="005C572F"/>
    <w:rsid w:val="005C5F52"/>
    <w:rsid w:val="005C6920"/>
    <w:rsid w:val="005D320F"/>
    <w:rsid w:val="005D7D28"/>
    <w:rsid w:val="005E58C9"/>
    <w:rsid w:val="005F7245"/>
    <w:rsid w:val="00602109"/>
    <w:rsid w:val="006023DE"/>
    <w:rsid w:val="00604A69"/>
    <w:rsid w:val="00620E99"/>
    <w:rsid w:val="00627EBE"/>
    <w:rsid w:val="00636A4F"/>
    <w:rsid w:val="00637C01"/>
    <w:rsid w:val="00646D82"/>
    <w:rsid w:val="0065634A"/>
    <w:rsid w:val="00657958"/>
    <w:rsid w:val="00657988"/>
    <w:rsid w:val="0066225D"/>
    <w:rsid w:val="006664EC"/>
    <w:rsid w:val="00667B7C"/>
    <w:rsid w:val="00667C8E"/>
    <w:rsid w:val="00670285"/>
    <w:rsid w:val="006736CE"/>
    <w:rsid w:val="00675530"/>
    <w:rsid w:val="00676494"/>
    <w:rsid w:val="006816FB"/>
    <w:rsid w:val="00691E11"/>
    <w:rsid w:val="00696CCE"/>
    <w:rsid w:val="00697A47"/>
    <w:rsid w:val="006A0B77"/>
    <w:rsid w:val="006A129D"/>
    <w:rsid w:val="006A7954"/>
    <w:rsid w:val="006B0D8F"/>
    <w:rsid w:val="006B1694"/>
    <w:rsid w:val="006B652E"/>
    <w:rsid w:val="006C1591"/>
    <w:rsid w:val="006C4541"/>
    <w:rsid w:val="006C4A35"/>
    <w:rsid w:val="006C72E8"/>
    <w:rsid w:val="006D1845"/>
    <w:rsid w:val="006D6E88"/>
    <w:rsid w:val="006E295A"/>
    <w:rsid w:val="006E390C"/>
    <w:rsid w:val="006E679E"/>
    <w:rsid w:val="006E7A01"/>
    <w:rsid w:val="006F49D1"/>
    <w:rsid w:val="00700C65"/>
    <w:rsid w:val="007075EE"/>
    <w:rsid w:val="00711A66"/>
    <w:rsid w:val="00720581"/>
    <w:rsid w:val="0072148B"/>
    <w:rsid w:val="007266C3"/>
    <w:rsid w:val="00730E91"/>
    <w:rsid w:val="00734D78"/>
    <w:rsid w:val="00737C44"/>
    <w:rsid w:val="007406BD"/>
    <w:rsid w:val="00742100"/>
    <w:rsid w:val="00746978"/>
    <w:rsid w:val="007469B8"/>
    <w:rsid w:val="00747BDB"/>
    <w:rsid w:val="00751BDC"/>
    <w:rsid w:val="00764743"/>
    <w:rsid w:val="00764DF2"/>
    <w:rsid w:val="00770DF7"/>
    <w:rsid w:val="007715D9"/>
    <w:rsid w:val="00773CFF"/>
    <w:rsid w:val="00774D62"/>
    <w:rsid w:val="00776874"/>
    <w:rsid w:val="00777FC2"/>
    <w:rsid w:val="0078439A"/>
    <w:rsid w:val="00790CE8"/>
    <w:rsid w:val="00790F20"/>
    <w:rsid w:val="00792580"/>
    <w:rsid w:val="00793A06"/>
    <w:rsid w:val="00796D30"/>
    <w:rsid w:val="0079778B"/>
    <w:rsid w:val="007A4367"/>
    <w:rsid w:val="007A5006"/>
    <w:rsid w:val="007A5102"/>
    <w:rsid w:val="007B0ABA"/>
    <w:rsid w:val="007B0C35"/>
    <w:rsid w:val="007B4AEA"/>
    <w:rsid w:val="007B6C06"/>
    <w:rsid w:val="007B7C68"/>
    <w:rsid w:val="007C2BD4"/>
    <w:rsid w:val="007D083D"/>
    <w:rsid w:val="007D3696"/>
    <w:rsid w:val="007D7476"/>
    <w:rsid w:val="007E27AA"/>
    <w:rsid w:val="007E48A5"/>
    <w:rsid w:val="007F1CC8"/>
    <w:rsid w:val="007F201B"/>
    <w:rsid w:val="007F61D8"/>
    <w:rsid w:val="007F7250"/>
    <w:rsid w:val="008016DD"/>
    <w:rsid w:val="00802549"/>
    <w:rsid w:val="008055F6"/>
    <w:rsid w:val="00805D21"/>
    <w:rsid w:val="00811CF8"/>
    <w:rsid w:val="00816B3B"/>
    <w:rsid w:val="00817B76"/>
    <w:rsid w:val="008238A5"/>
    <w:rsid w:val="0082506A"/>
    <w:rsid w:val="00825153"/>
    <w:rsid w:val="00835ACA"/>
    <w:rsid w:val="0084133A"/>
    <w:rsid w:val="00846A61"/>
    <w:rsid w:val="00847C3A"/>
    <w:rsid w:val="00855BF4"/>
    <w:rsid w:val="0085755E"/>
    <w:rsid w:val="00867168"/>
    <w:rsid w:val="00870C33"/>
    <w:rsid w:val="00891202"/>
    <w:rsid w:val="00892A5C"/>
    <w:rsid w:val="00893AEB"/>
    <w:rsid w:val="00895953"/>
    <w:rsid w:val="008A2D0D"/>
    <w:rsid w:val="008A3E7E"/>
    <w:rsid w:val="008A643F"/>
    <w:rsid w:val="008B2146"/>
    <w:rsid w:val="008B4EF7"/>
    <w:rsid w:val="008B7800"/>
    <w:rsid w:val="008C5E22"/>
    <w:rsid w:val="008C6196"/>
    <w:rsid w:val="008C6FAC"/>
    <w:rsid w:val="008C7F02"/>
    <w:rsid w:val="008D12E0"/>
    <w:rsid w:val="008D298D"/>
    <w:rsid w:val="008D4AFC"/>
    <w:rsid w:val="008D6CE8"/>
    <w:rsid w:val="008D7999"/>
    <w:rsid w:val="008D7A23"/>
    <w:rsid w:val="008E58F8"/>
    <w:rsid w:val="008E7B4E"/>
    <w:rsid w:val="008F0F39"/>
    <w:rsid w:val="008F19B5"/>
    <w:rsid w:val="008F4572"/>
    <w:rsid w:val="008F4A76"/>
    <w:rsid w:val="009047AF"/>
    <w:rsid w:val="00905C45"/>
    <w:rsid w:val="009100D1"/>
    <w:rsid w:val="009150A4"/>
    <w:rsid w:val="00923ACC"/>
    <w:rsid w:val="00923D1F"/>
    <w:rsid w:val="009314EF"/>
    <w:rsid w:val="00931ADB"/>
    <w:rsid w:val="00932B26"/>
    <w:rsid w:val="00936FC3"/>
    <w:rsid w:val="009628A8"/>
    <w:rsid w:val="0096318D"/>
    <w:rsid w:val="009643B5"/>
    <w:rsid w:val="00964BCE"/>
    <w:rsid w:val="00973601"/>
    <w:rsid w:val="009753BB"/>
    <w:rsid w:val="00975EDC"/>
    <w:rsid w:val="00983729"/>
    <w:rsid w:val="009845A2"/>
    <w:rsid w:val="009858A5"/>
    <w:rsid w:val="0099264E"/>
    <w:rsid w:val="00993617"/>
    <w:rsid w:val="0099608C"/>
    <w:rsid w:val="009965CB"/>
    <w:rsid w:val="009A0BC3"/>
    <w:rsid w:val="009A6040"/>
    <w:rsid w:val="009B02CE"/>
    <w:rsid w:val="009B18E2"/>
    <w:rsid w:val="009B2185"/>
    <w:rsid w:val="009C00EF"/>
    <w:rsid w:val="009C3266"/>
    <w:rsid w:val="009C3FE5"/>
    <w:rsid w:val="009E3A2D"/>
    <w:rsid w:val="009E7A2A"/>
    <w:rsid w:val="009F0BEC"/>
    <w:rsid w:val="009F1F9E"/>
    <w:rsid w:val="009F2579"/>
    <w:rsid w:val="009F2820"/>
    <w:rsid w:val="009F74E4"/>
    <w:rsid w:val="00A014FA"/>
    <w:rsid w:val="00A069EB"/>
    <w:rsid w:val="00A06C8F"/>
    <w:rsid w:val="00A077F4"/>
    <w:rsid w:val="00A07A67"/>
    <w:rsid w:val="00A10108"/>
    <w:rsid w:val="00A10ACB"/>
    <w:rsid w:val="00A14B95"/>
    <w:rsid w:val="00A151BF"/>
    <w:rsid w:val="00A20CDE"/>
    <w:rsid w:val="00A26CE8"/>
    <w:rsid w:val="00A27E7A"/>
    <w:rsid w:val="00A327B0"/>
    <w:rsid w:val="00A42B65"/>
    <w:rsid w:val="00A47D60"/>
    <w:rsid w:val="00A51761"/>
    <w:rsid w:val="00A51835"/>
    <w:rsid w:val="00A57814"/>
    <w:rsid w:val="00A674EF"/>
    <w:rsid w:val="00A70E02"/>
    <w:rsid w:val="00A73069"/>
    <w:rsid w:val="00A76E9C"/>
    <w:rsid w:val="00A80919"/>
    <w:rsid w:val="00A84063"/>
    <w:rsid w:val="00A90A2C"/>
    <w:rsid w:val="00AA194B"/>
    <w:rsid w:val="00AB1E49"/>
    <w:rsid w:val="00AB4BC1"/>
    <w:rsid w:val="00AB5259"/>
    <w:rsid w:val="00AB6544"/>
    <w:rsid w:val="00AB68A4"/>
    <w:rsid w:val="00AB71E5"/>
    <w:rsid w:val="00AC0B18"/>
    <w:rsid w:val="00AC0D39"/>
    <w:rsid w:val="00AC39E5"/>
    <w:rsid w:val="00AD29E4"/>
    <w:rsid w:val="00AE0F0F"/>
    <w:rsid w:val="00AF7688"/>
    <w:rsid w:val="00B00835"/>
    <w:rsid w:val="00B00D79"/>
    <w:rsid w:val="00B01DBC"/>
    <w:rsid w:val="00B029E8"/>
    <w:rsid w:val="00B04D23"/>
    <w:rsid w:val="00B0554B"/>
    <w:rsid w:val="00B06822"/>
    <w:rsid w:val="00B10009"/>
    <w:rsid w:val="00B109AA"/>
    <w:rsid w:val="00B17B2F"/>
    <w:rsid w:val="00B24FDD"/>
    <w:rsid w:val="00B2612A"/>
    <w:rsid w:val="00B27890"/>
    <w:rsid w:val="00B2791E"/>
    <w:rsid w:val="00B313B7"/>
    <w:rsid w:val="00B344DA"/>
    <w:rsid w:val="00B470BA"/>
    <w:rsid w:val="00B626FF"/>
    <w:rsid w:val="00B6308B"/>
    <w:rsid w:val="00B65F2F"/>
    <w:rsid w:val="00B6629A"/>
    <w:rsid w:val="00B70D04"/>
    <w:rsid w:val="00B8552F"/>
    <w:rsid w:val="00B87828"/>
    <w:rsid w:val="00B90077"/>
    <w:rsid w:val="00B95873"/>
    <w:rsid w:val="00BA5045"/>
    <w:rsid w:val="00BA7C15"/>
    <w:rsid w:val="00BB0B24"/>
    <w:rsid w:val="00BC0C17"/>
    <w:rsid w:val="00BC0CD7"/>
    <w:rsid w:val="00BC669B"/>
    <w:rsid w:val="00BD021C"/>
    <w:rsid w:val="00BD6557"/>
    <w:rsid w:val="00BE02BC"/>
    <w:rsid w:val="00BE4972"/>
    <w:rsid w:val="00BE5016"/>
    <w:rsid w:val="00BE61BC"/>
    <w:rsid w:val="00BF0FD6"/>
    <w:rsid w:val="00C0184D"/>
    <w:rsid w:val="00C05D52"/>
    <w:rsid w:val="00C1016B"/>
    <w:rsid w:val="00C17AAF"/>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05E5"/>
    <w:rsid w:val="00C84B99"/>
    <w:rsid w:val="00C93740"/>
    <w:rsid w:val="00CC494A"/>
    <w:rsid w:val="00CC4FCD"/>
    <w:rsid w:val="00CC75D5"/>
    <w:rsid w:val="00CD26C9"/>
    <w:rsid w:val="00CD3D3E"/>
    <w:rsid w:val="00CD7976"/>
    <w:rsid w:val="00CE2DDA"/>
    <w:rsid w:val="00CE719F"/>
    <w:rsid w:val="00CF0E68"/>
    <w:rsid w:val="00CF270D"/>
    <w:rsid w:val="00D03862"/>
    <w:rsid w:val="00D0590D"/>
    <w:rsid w:val="00D11C04"/>
    <w:rsid w:val="00D23EE7"/>
    <w:rsid w:val="00D2445C"/>
    <w:rsid w:val="00D30A12"/>
    <w:rsid w:val="00D31CF4"/>
    <w:rsid w:val="00D42289"/>
    <w:rsid w:val="00D46174"/>
    <w:rsid w:val="00D47A7F"/>
    <w:rsid w:val="00D50CF8"/>
    <w:rsid w:val="00D51BED"/>
    <w:rsid w:val="00D533FA"/>
    <w:rsid w:val="00D57868"/>
    <w:rsid w:val="00D61638"/>
    <w:rsid w:val="00D61F2E"/>
    <w:rsid w:val="00D650A9"/>
    <w:rsid w:val="00D677EA"/>
    <w:rsid w:val="00D72719"/>
    <w:rsid w:val="00D85006"/>
    <w:rsid w:val="00DA2545"/>
    <w:rsid w:val="00DA42B1"/>
    <w:rsid w:val="00DB09D6"/>
    <w:rsid w:val="00DC2361"/>
    <w:rsid w:val="00DC7996"/>
    <w:rsid w:val="00DD463E"/>
    <w:rsid w:val="00DF0D6F"/>
    <w:rsid w:val="00DF3E1F"/>
    <w:rsid w:val="00E031A9"/>
    <w:rsid w:val="00E06511"/>
    <w:rsid w:val="00E10CC5"/>
    <w:rsid w:val="00E165F4"/>
    <w:rsid w:val="00E216B6"/>
    <w:rsid w:val="00E2183F"/>
    <w:rsid w:val="00E222E3"/>
    <w:rsid w:val="00E24CA2"/>
    <w:rsid w:val="00E30A06"/>
    <w:rsid w:val="00E44A9E"/>
    <w:rsid w:val="00E5636D"/>
    <w:rsid w:val="00E62CF4"/>
    <w:rsid w:val="00E7220B"/>
    <w:rsid w:val="00E775D3"/>
    <w:rsid w:val="00E77884"/>
    <w:rsid w:val="00E778CE"/>
    <w:rsid w:val="00E832FF"/>
    <w:rsid w:val="00E871B6"/>
    <w:rsid w:val="00E87D3E"/>
    <w:rsid w:val="00E91B7B"/>
    <w:rsid w:val="00E933B9"/>
    <w:rsid w:val="00EA5953"/>
    <w:rsid w:val="00EC5C49"/>
    <w:rsid w:val="00EC6139"/>
    <w:rsid w:val="00ED4A10"/>
    <w:rsid w:val="00ED51BB"/>
    <w:rsid w:val="00EE1146"/>
    <w:rsid w:val="00EE75AA"/>
    <w:rsid w:val="00EF110B"/>
    <w:rsid w:val="00EF157F"/>
    <w:rsid w:val="00EF3409"/>
    <w:rsid w:val="00EF430C"/>
    <w:rsid w:val="00F01203"/>
    <w:rsid w:val="00F052AF"/>
    <w:rsid w:val="00F11E00"/>
    <w:rsid w:val="00F124E2"/>
    <w:rsid w:val="00F26E84"/>
    <w:rsid w:val="00F27EE0"/>
    <w:rsid w:val="00F35035"/>
    <w:rsid w:val="00F37DE2"/>
    <w:rsid w:val="00F43CFE"/>
    <w:rsid w:val="00F560FB"/>
    <w:rsid w:val="00F63D02"/>
    <w:rsid w:val="00F66203"/>
    <w:rsid w:val="00F67A04"/>
    <w:rsid w:val="00F75447"/>
    <w:rsid w:val="00F77CB5"/>
    <w:rsid w:val="00F85306"/>
    <w:rsid w:val="00F91042"/>
    <w:rsid w:val="00F92AD0"/>
    <w:rsid w:val="00F94EC6"/>
    <w:rsid w:val="00FA533D"/>
    <w:rsid w:val="00FB1F8E"/>
    <w:rsid w:val="00FB4887"/>
    <w:rsid w:val="00FB50A1"/>
    <w:rsid w:val="00FB778E"/>
    <w:rsid w:val="00FC0B1F"/>
    <w:rsid w:val="00FC0C33"/>
    <w:rsid w:val="00FC17E4"/>
    <w:rsid w:val="00FC2A51"/>
    <w:rsid w:val="00FC679B"/>
    <w:rsid w:val="00FC70E7"/>
    <w:rsid w:val="00FD141C"/>
    <w:rsid w:val="00FD5BA7"/>
    <w:rsid w:val="00FE3BF2"/>
    <w:rsid w:val="00FE3CEA"/>
    <w:rsid w:val="00FE7701"/>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entidades/documentos_apoyo.htm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5/ene102.pdf" TargetMode="External"/><Relationship Id="rId14" Type="http://schemas.openxmlformats.org/officeDocument/2006/relationships/hyperlink" Target="http://omawww.sat.gob.mx/tramitesyservicios/paginas/documentos/anexo20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11903</Words>
  <Characters>65470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13</cp:revision>
  <cp:lastPrinted>2025-07-17T17:32:00Z</cp:lastPrinted>
  <dcterms:created xsi:type="dcterms:W3CDTF">2025-07-14T17:49:00Z</dcterms:created>
  <dcterms:modified xsi:type="dcterms:W3CDTF">2025-08-07T22:57:00Z</dcterms:modified>
</cp:coreProperties>
</file>