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F170" w14:textId="77777777" w:rsidR="00247E13" w:rsidRDefault="00247E13">
      <w:pPr>
        <w:widowControl w:val="0"/>
        <w:pBdr>
          <w:top w:val="nil"/>
          <w:left w:val="nil"/>
          <w:bottom w:val="nil"/>
          <w:right w:val="nil"/>
          <w:between w:val="nil"/>
        </w:pBdr>
        <w:spacing w:line="276" w:lineRule="auto"/>
      </w:pPr>
    </w:p>
    <w:p w14:paraId="74371F90" w14:textId="77777777" w:rsidR="00247E13" w:rsidRDefault="00247E13">
      <w:pPr>
        <w:widowControl w:val="0"/>
        <w:pBdr>
          <w:top w:val="nil"/>
          <w:left w:val="nil"/>
          <w:bottom w:val="nil"/>
          <w:right w:val="nil"/>
          <w:between w:val="nil"/>
        </w:pBdr>
        <w:spacing w:line="276" w:lineRule="auto"/>
      </w:pPr>
    </w:p>
    <w:p w14:paraId="01C2DB44" w14:textId="77777777" w:rsidR="00247E13" w:rsidRDefault="00247E13">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B626E3C" w14:textId="77777777" w:rsidR="00247E13" w:rsidRPr="0010598D" w:rsidRDefault="00055BD7">
      <w:pPr>
        <w:keepNext/>
        <w:keepLines/>
        <w:pBdr>
          <w:top w:val="nil"/>
          <w:left w:val="nil"/>
          <w:bottom w:val="nil"/>
          <w:right w:val="nil"/>
          <w:between w:val="nil"/>
        </w:pBdr>
        <w:spacing w:line="360" w:lineRule="auto"/>
        <w:jc w:val="center"/>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color w:val="000000"/>
          <w:sz w:val="22"/>
          <w:szCs w:val="22"/>
        </w:rPr>
        <w:t xml:space="preserve">RESOLUCIÓN DEL RECURSO DE REVISIÓN </w:t>
      </w:r>
      <w:r w:rsidRPr="0010598D">
        <w:rPr>
          <w:rFonts w:ascii="Palatino Linotype" w:eastAsia="Palatino Linotype" w:hAnsi="Palatino Linotype" w:cs="Palatino Linotype"/>
          <w:bCs/>
          <w:sz w:val="22"/>
          <w:szCs w:val="22"/>
        </w:rPr>
        <w:t>06791/INFOEM/IP/RR/2025</w:t>
      </w:r>
    </w:p>
    <w:p w14:paraId="7A2BC5EB" w14:textId="77777777" w:rsidR="00247E13" w:rsidRPr="0010598D" w:rsidRDefault="00247E13">
      <w:pPr>
        <w:rPr>
          <w:rFonts w:ascii="Palatino Linotype" w:eastAsia="Palatino Linotype" w:hAnsi="Palatino Linotype" w:cs="Palatino Linotype"/>
          <w:bCs/>
        </w:rPr>
      </w:pPr>
    </w:p>
    <w:bookmarkStart w:id="0" w:name="_heading=h.k57d0wiblxdi" w:colFirst="0" w:colLast="0" w:displacedByCustomXml="next"/>
    <w:bookmarkEnd w:id="0" w:displacedByCustomXml="next"/>
    <w:sdt>
      <w:sdtPr>
        <w:rPr>
          <w:lang w:val="es-ES"/>
        </w:rPr>
        <w:id w:val="825098966"/>
        <w:docPartObj>
          <w:docPartGallery w:val="Table of Contents"/>
          <w:docPartUnique/>
        </w:docPartObj>
      </w:sdtPr>
      <w:sdtEndPr>
        <w:rPr>
          <w:b/>
          <w:bCs/>
        </w:rPr>
      </w:sdtEndPr>
      <w:sdtContent>
        <w:p w14:paraId="7C54BC35" w14:textId="77777777" w:rsidR="00AE42E1" w:rsidRDefault="00AE42E1">
          <w:pPr>
            <w:pStyle w:val="TtuloTDC"/>
          </w:pPr>
        </w:p>
        <w:p w14:paraId="59C53690" w14:textId="6746B013" w:rsidR="00AE42E1" w:rsidRDefault="00AE42E1">
          <w:pPr>
            <w:pStyle w:val="TDC1"/>
            <w:rPr>
              <w:rFonts w:asciiTheme="minorHAnsi" w:eastAsiaTheme="minorEastAsia" w:hAnsiTheme="minorHAnsi" w:cstheme="minorBidi"/>
              <w:noProof/>
              <w:sz w:val="22"/>
              <w:szCs w:val="22"/>
            </w:rPr>
          </w:pPr>
          <w:r>
            <w:rPr>
              <w:b/>
              <w:bCs/>
              <w:lang w:val="es-ES"/>
            </w:rPr>
            <w:fldChar w:fldCharType="begin"/>
          </w:r>
          <w:r>
            <w:rPr>
              <w:b/>
              <w:bCs/>
              <w:lang w:val="es-ES"/>
            </w:rPr>
            <w:instrText xml:space="preserve"> TOC \o "1-3" \h \z \u </w:instrText>
          </w:r>
          <w:r>
            <w:rPr>
              <w:b/>
              <w:bCs/>
              <w:lang w:val="es-ES"/>
            </w:rPr>
            <w:fldChar w:fldCharType="separate"/>
          </w:r>
          <w:hyperlink w:anchor="_Toc205474894" w:history="1">
            <w:r w:rsidRPr="00AE51B5">
              <w:rPr>
                <w:rStyle w:val="Hipervnculo"/>
                <w:noProof/>
              </w:rPr>
              <w:t>A N T E C E D E N T E S</w:t>
            </w:r>
            <w:r>
              <w:rPr>
                <w:noProof/>
                <w:webHidden/>
              </w:rPr>
              <w:tab/>
            </w:r>
            <w:r>
              <w:rPr>
                <w:noProof/>
                <w:webHidden/>
              </w:rPr>
              <w:fldChar w:fldCharType="begin"/>
            </w:r>
            <w:r>
              <w:rPr>
                <w:noProof/>
                <w:webHidden/>
              </w:rPr>
              <w:instrText xml:space="preserve"> PAGEREF _Toc205474894 \h </w:instrText>
            </w:r>
            <w:r>
              <w:rPr>
                <w:noProof/>
                <w:webHidden/>
              </w:rPr>
            </w:r>
            <w:r>
              <w:rPr>
                <w:noProof/>
                <w:webHidden/>
              </w:rPr>
              <w:fldChar w:fldCharType="separate"/>
            </w:r>
            <w:r w:rsidR="00A515CA">
              <w:rPr>
                <w:noProof/>
                <w:webHidden/>
              </w:rPr>
              <w:t>2</w:t>
            </w:r>
            <w:r>
              <w:rPr>
                <w:noProof/>
                <w:webHidden/>
              </w:rPr>
              <w:fldChar w:fldCharType="end"/>
            </w:r>
          </w:hyperlink>
        </w:p>
        <w:p w14:paraId="7DCB0F25" w14:textId="21195864"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895" w:history="1">
            <w:r w:rsidRPr="00AE51B5">
              <w:rPr>
                <w:rStyle w:val="Hipervnculo"/>
                <w:noProof/>
              </w:rPr>
              <w:t>I. Presentación de la solicitud de información</w:t>
            </w:r>
            <w:r>
              <w:rPr>
                <w:noProof/>
                <w:webHidden/>
              </w:rPr>
              <w:tab/>
            </w:r>
            <w:r>
              <w:rPr>
                <w:noProof/>
                <w:webHidden/>
              </w:rPr>
              <w:fldChar w:fldCharType="begin"/>
            </w:r>
            <w:r>
              <w:rPr>
                <w:noProof/>
                <w:webHidden/>
              </w:rPr>
              <w:instrText xml:space="preserve"> PAGEREF _Toc205474895 \h </w:instrText>
            </w:r>
            <w:r>
              <w:rPr>
                <w:noProof/>
                <w:webHidden/>
              </w:rPr>
            </w:r>
            <w:r>
              <w:rPr>
                <w:noProof/>
                <w:webHidden/>
              </w:rPr>
              <w:fldChar w:fldCharType="separate"/>
            </w:r>
            <w:r w:rsidR="00A515CA">
              <w:rPr>
                <w:noProof/>
                <w:webHidden/>
              </w:rPr>
              <w:t>2</w:t>
            </w:r>
            <w:r>
              <w:rPr>
                <w:noProof/>
                <w:webHidden/>
              </w:rPr>
              <w:fldChar w:fldCharType="end"/>
            </w:r>
          </w:hyperlink>
        </w:p>
        <w:p w14:paraId="721100AA" w14:textId="6CD5A734"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896" w:history="1">
            <w:r w:rsidRPr="00AE51B5">
              <w:rPr>
                <w:rStyle w:val="Hipervnculo"/>
                <w:noProof/>
              </w:rPr>
              <w:t>II. Respuesta del Sujeto Obligado</w:t>
            </w:r>
            <w:r>
              <w:rPr>
                <w:noProof/>
                <w:webHidden/>
              </w:rPr>
              <w:tab/>
            </w:r>
            <w:r>
              <w:rPr>
                <w:noProof/>
                <w:webHidden/>
              </w:rPr>
              <w:fldChar w:fldCharType="begin"/>
            </w:r>
            <w:r>
              <w:rPr>
                <w:noProof/>
                <w:webHidden/>
              </w:rPr>
              <w:instrText xml:space="preserve"> PAGEREF _Toc205474896 \h </w:instrText>
            </w:r>
            <w:r>
              <w:rPr>
                <w:noProof/>
                <w:webHidden/>
              </w:rPr>
            </w:r>
            <w:r>
              <w:rPr>
                <w:noProof/>
                <w:webHidden/>
              </w:rPr>
              <w:fldChar w:fldCharType="separate"/>
            </w:r>
            <w:r w:rsidR="00A515CA">
              <w:rPr>
                <w:noProof/>
                <w:webHidden/>
              </w:rPr>
              <w:t>3</w:t>
            </w:r>
            <w:r>
              <w:rPr>
                <w:noProof/>
                <w:webHidden/>
              </w:rPr>
              <w:fldChar w:fldCharType="end"/>
            </w:r>
          </w:hyperlink>
        </w:p>
        <w:p w14:paraId="11536E46" w14:textId="4BC0A29B"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897" w:history="1">
            <w:r w:rsidRPr="00AE51B5">
              <w:rPr>
                <w:rStyle w:val="Hipervnculo"/>
                <w:noProof/>
              </w:rPr>
              <w:t>III. Interposición del Recurso de Revisión</w:t>
            </w:r>
            <w:r>
              <w:rPr>
                <w:noProof/>
                <w:webHidden/>
              </w:rPr>
              <w:tab/>
            </w:r>
            <w:r>
              <w:rPr>
                <w:noProof/>
                <w:webHidden/>
              </w:rPr>
              <w:fldChar w:fldCharType="begin"/>
            </w:r>
            <w:r>
              <w:rPr>
                <w:noProof/>
                <w:webHidden/>
              </w:rPr>
              <w:instrText xml:space="preserve"> PAGEREF _Toc205474897 \h </w:instrText>
            </w:r>
            <w:r>
              <w:rPr>
                <w:noProof/>
                <w:webHidden/>
              </w:rPr>
            </w:r>
            <w:r>
              <w:rPr>
                <w:noProof/>
                <w:webHidden/>
              </w:rPr>
              <w:fldChar w:fldCharType="separate"/>
            </w:r>
            <w:r w:rsidR="00A515CA">
              <w:rPr>
                <w:noProof/>
                <w:webHidden/>
              </w:rPr>
              <w:t>3</w:t>
            </w:r>
            <w:r>
              <w:rPr>
                <w:noProof/>
                <w:webHidden/>
              </w:rPr>
              <w:fldChar w:fldCharType="end"/>
            </w:r>
          </w:hyperlink>
        </w:p>
        <w:p w14:paraId="48BA384A" w14:textId="655A72CE"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898" w:history="1">
            <w:r w:rsidRPr="00AE51B5">
              <w:rPr>
                <w:rStyle w:val="Hipervnculo"/>
                <w:noProof/>
              </w:rPr>
              <w:t>IV. Trámite del Recurso de Revisión ante el Instituto</w:t>
            </w:r>
            <w:r>
              <w:rPr>
                <w:noProof/>
                <w:webHidden/>
              </w:rPr>
              <w:tab/>
            </w:r>
            <w:r>
              <w:rPr>
                <w:noProof/>
                <w:webHidden/>
              </w:rPr>
              <w:fldChar w:fldCharType="begin"/>
            </w:r>
            <w:r>
              <w:rPr>
                <w:noProof/>
                <w:webHidden/>
              </w:rPr>
              <w:instrText xml:space="preserve"> PAGEREF _Toc205474898 \h </w:instrText>
            </w:r>
            <w:r>
              <w:rPr>
                <w:noProof/>
                <w:webHidden/>
              </w:rPr>
            </w:r>
            <w:r>
              <w:rPr>
                <w:noProof/>
                <w:webHidden/>
              </w:rPr>
              <w:fldChar w:fldCharType="separate"/>
            </w:r>
            <w:r w:rsidR="00A515CA">
              <w:rPr>
                <w:noProof/>
                <w:webHidden/>
              </w:rPr>
              <w:t>4</w:t>
            </w:r>
            <w:r>
              <w:rPr>
                <w:noProof/>
                <w:webHidden/>
              </w:rPr>
              <w:fldChar w:fldCharType="end"/>
            </w:r>
          </w:hyperlink>
        </w:p>
        <w:p w14:paraId="2B0E45F3" w14:textId="64853EF8" w:rsidR="00AE42E1" w:rsidRDefault="00AE42E1">
          <w:pPr>
            <w:pStyle w:val="TDC1"/>
            <w:rPr>
              <w:rFonts w:asciiTheme="minorHAnsi" w:eastAsiaTheme="minorEastAsia" w:hAnsiTheme="minorHAnsi" w:cstheme="minorBidi"/>
              <w:noProof/>
              <w:sz w:val="22"/>
              <w:szCs w:val="22"/>
            </w:rPr>
          </w:pPr>
          <w:hyperlink w:anchor="_Toc205474899" w:history="1">
            <w:r w:rsidRPr="00AE51B5">
              <w:rPr>
                <w:rStyle w:val="Hipervnculo"/>
                <w:noProof/>
              </w:rPr>
              <w:t>C O N S I D E R A N D O S</w:t>
            </w:r>
            <w:r>
              <w:rPr>
                <w:noProof/>
                <w:webHidden/>
              </w:rPr>
              <w:tab/>
            </w:r>
            <w:r>
              <w:rPr>
                <w:noProof/>
                <w:webHidden/>
              </w:rPr>
              <w:fldChar w:fldCharType="begin"/>
            </w:r>
            <w:r>
              <w:rPr>
                <w:noProof/>
                <w:webHidden/>
              </w:rPr>
              <w:instrText xml:space="preserve"> PAGEREF _Toc205474899 \h </w:instrText>
            </w:r>
            <w:r>
              <w:rPr>
                <w:noProof/>
                <w:webHidden/>
              </w:rPr>
            </w:r>
            <w:r>
              <w:rPr>
                <w:noProof/>
                <w:webHidden/>
              </w:rPr>
              <w:fldChar w:fldCharType="separate"/>
            </w:r>
            <w:r w:rsidR="00A515CA">
              <w:rPr>
                <w:noProof/>
                <w:webHidden/>
              </w:rPr>
              <w:t>6</w:t>
            </w:r>
            <w:r>
              <w:rPr>
                <w:noProof/>
                <w:webHidden/>
              </w:rPr>
              <w:fldChar w:fldCharType="end"/>
            </w:r>
          </w:hyperlink>
        </w:p>
        <w:p w14:paraId="5D9E57AA" w14:textId="77427B35"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0" w:history="1">
            <w:r w:rsidRPr="00AE51B5">
              <w:rPr>
                <w:rStyle w:val="Hipervnculo"/>
                <w:noProof/>
              </w:rPr>
              <w:t>PRIMERO. Competencia</w:t>
            </w:r>
            <w:r>
              <w:rPr>
                <w:noProof/>
                <w:webHidden/>
              </w:rPr>
              <w:tab/>
            </w:r>
            <w:r>
              <w:rPr>
                <w:noProof/>
                <w:webHidden/>
              </w:rPr>
              <w:fldChar w:fldCharType="begin"/>
            </w:r>
            <w:r>
              <w:rPr>
                <w:noProof/>
                <w:webHidden/>
              </w:rPr>
              <w:instrText xml:space="preserve"> PAGEREF _Toc205474900 \h </w:instrText>
            </w:r>
            <w:r>
              <w:rPr>
                <w:noProof/>
                <w:webHidden/>
              </w:rPr>
            </w:r>
            <w:r>
              <w:rPr>
                <w:noProof/>
                <w:webHidden/>
              </w:rPr>
              <w:fldChar w:fldCharType="separate"/>
            </w:r>
            <w:r w:rsidR="00A515CA">
              <w:rPr>
                <w:noProof/>
                <w:webHidden/>
              </w:rPr>
              <w:t>6</w:t>
            </w:r>
            <w:r>
              <w:rPr>
                <w:noProof/>
                <w:webHidden/>
              </w:rPr>
              <w:fldChar w:fldCharType="end"/>
            </w:r>
          </w:hyperlink>
        </w:p>
        <w:p w14:paraId="1E95ED2D" w14:textId="09426889"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1" w:history="1">
            <w:r w:rsidRPr="00AE51B5">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_Toc205474901 \h </w:instrText>
            </w:r>
            <w:r>
              <w:rPr>
                <w:noProof/>
                <w:webHidden/>
              </w:rPr>
            </w:r>
            <w:r>
              <w:rPr>
                <w:noProof/>
                <w:webHidden/>
              </w:rPr>
              <w:fldChar w:fldCharType="separate"/>
            </w:r>
            <w:r w:rsidR="00A515CA">
              <w:rPr>
                <w:noProof/>
                <w:webHidden/>
              </w:rPr>
              <w:t>7</w:t>
            </w:r>
            <w:r>
              <w:rPr>
                <w:noProof/>
                <w:webHidden/>
              </w:rPr>
              <w:fldChar w:fldCharType="end"/>
            </w:r>
          </w:hyperlink>
        </w:p>
        <w:p w14:paraId="78B897B5" w14:textId="4854FF61"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2" w:history="1">
            <w:r w:rsidRPr="00AE51B5">
              <w:rPr>
                <w:rStyle w:val="Hipervnculo"/>
                <w:noProof/>
              </w:rPr>
              <w:t>TERCERO. Determinación de la Controversia</w:t>
            </w:r>
            <w:r>
              <w:rPr>
                <w:noProof/>
                <w:webHidden/>
              </w:rPr>
              <w:tab/>
            </w:r>
            <w:r>
              <w:rPr>
                <w:noProof/>
                <w:webHidden/>
              </w:rPr>
              <w:fldChar w:fldCharType="begin"/>
            </w:r>
            <w:r>
              <w:rPr>
                <w:noProof/>
                <w:webHidden/>
              </w:rPr>
              <w:instrText xml:space="preserve"> PAGEREF _Toc205474902 \h </w:instrText>
            </w:r>
            <w:r>
              <w:rPr>
                <w:noProof/>
                <w:webHidden/>
              </w:rPr>
            </w:r>
            <w:r>
              <w:rPr>
                <w:noProof/>
                <w:webHidden/>
              </w:rPr>
              <w:fldChar w:fldCharType="separate"/>
            </w:r>
            <w:r w:rsidR="00A515CA">
              <w:rPr>
                <w:noProof/>
                <w:webHidden/>
              </w:rPr>
              <w:t>9</w:t>
            </w:r>
            <w:r>
              <w:rPr>
                <w:noProof/>
                <w:webHidden/>
              </w:rPr>
              <w:fldChar w:fldCharType="end"/>
            </w:r>
          </w:hyperlink>
        </w:p>
        <w:p w14:paraId="5CA0FC14" w14:textId="4FAE6AB5"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3" w:history="1">
            <w:r w:rsidRPr="00AE51B5">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_Toc205474903 \h </w:instrText>
            </w:r>
            <w:r>
              <w:rPr>
                <w:noProof/>
                <w:webHidden/>
              </w:rPr>
            </w:r>
            <w:r>
              <w:rPr>
                <w:noProof/>
                <w:webHidden/>
              </w:rPr>
              <w:fldChar w:fldCharType="separate"/>
            </w:r>
            <w:r w:rsidR="00A515CA">
              <w:rPr>
                <w:noProof/>
                <w:webHidden/>
              </w:rPr>
              <w:t>9</w:t>
            </w:r>
            <w:r>
              <w:rPr>
                <w:noProof/>
                <w:webHidden/>
              </w:rPr>
              <w:fldChar w:fldCharType="end"/>
            </w:r>
          </w:hyperlink>
        </w:p>
        <w:p w14:paraId="26F378E3" w14:textId="50795769"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4" w:history="1">
            <w:r w:rsidRPr="00AE51B5">
              <w:rPr>
                <w:rStyle w:val="Hipervnculo"/>
                <w:noProof/>
              </w:rPr>
              <w:t>QUINTO. Estudio de Fondo</w:t>
            </w:r>
            <w:r>
              <w:rPr>
                <w:noProof/>
                <w:webHidden/>
              </w:rPr>
              <w:tab/>
            </w:r>
            <w:r>
              <w:rPr>
                <w:noProof/>
                <w:webHidden/>
              </w:rPr>
              <w:fldChar w:fldCharType="begin"/>
            </w:r>
            <w:r>
              <w:rPr>
                <w:noProof/>
                <w:webHidden/>
              </w:rPr>
              <w:instrText xml:space="preserve"> PAGEREF _Toc205474904 \h </w:instrText>
            </w:r>
            <w:r>
              <w:rPr>
                <w:noProof/>
                <w:webHidden/>
              </w:rPr>
            </w:r>
            <w:r>
              <w:rPr>
                <w:noProof/>
                <w:webHidden/>
              </w:rPr>
              <w:fldChar w:fldCharType="separate"/>
            </w:r>
            <w:r w:rsidR="00A515CA">
              <w:rPr>
                <w:noProof/>
                <w:webHidden/>
              </w:rPr>
              <w:t>11</w:t>
            </w:r>
            <w:r>
              <w:rPr>
                <w:noProof/>
                <w:webHidden/>
              </w:rPr>
              <w:fldChar w:fldCharType="end"/>
            </w:r>
          </w:hyperlink>
        </w:p>
        <w:p w14:paraId="65716C56" w14:textId="5F868CFA"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5" w:history="1">
            <w:r w:rsidRPr="00AE51B5">
              <w:rPr>
                <w:rStyle w:val="Hipervnculo"/>
                <w:noProof/>
              </w:rPr>
              <w:t>SEXTO. Decisión</w:t>
            </w:r>
            <w:r>
              <w:rPr>
                <w:noProof/>
                <w:webHidden/>
              </w:rPr>
              <w:tab/>
            </w:r>
            <w:r>
              <w:rPr>
                <w:noProof/>
                <w:webHidden/>
              </w:rPr>
              <w:fldChar w:fldCharType="begin"/>
            </w:r>
            <w:r>
              <w:rPr>
                <w:noProof/>
                <w:webHidden/>
              </w:rPr>
              <w:instrText xml:space="preserve"> PAGEREF _Toc205474905 \h </w:instrText>
            </w:r>
            <w:r>
              <w:rPr>
                <w:noProof/>
                <w:webHidden/>
              </w:rPr>
            </w:r>
            <w:r>
              <w:rPr>
                <w:noProof/>
                <w:webHidden/>
              </w:rPr>
              <w:fldChar w:fldCharType="separate"/>
            </w:r>
            <w:r w:rsidR="00A515CA">
              <w:rPr>
                <w:noProof/>
                <w:webHidden/>
              </w:rPr>
              <w:t>20</w:t>
            </w:r>
            <w:r>
              <w:rPr>
                <w:noProof/>
                <w:webHidden/>
              </w:rPr>
              <w:fldChar w:fldCharType="end"/>
            </w:r>
          </w:hyperlink>
        </w:p>
        <w:p w14:paraId="4B561135" w14:textId="40CB445B" w:rsidR="00AE42E1" w:rsidRDefault="00AE42E1">
          <w:pPr>
            <w:pStyle w:val="TDC2"/>
            <w:tabs>
              <w:tab w:val="right" w:leader="dot" w:pos="9034"/>
            </w:tabs>
            <w:rPr>
              <w:rFonts w:asciiTheme="minorHAnsi" w:eastAsiaTheme="minorEastAsia" w:hAnsiTheme="minorHAnsi" w:cstheme="minorBidi"/>
              <w:noProof/>
              <w:sz w:val="22"/>
              <w:szCs w:val="22"/>
            </w:rPr>
          </w:pPr>
          <w:hyperlink w:anchor="_Toc205474906" w:history="1">
            <w:r w:rsidRPr="00AE51B5">
              <w:rPr>
                <w:rStyle w:val="Hipervnculo"/>
                <w:noProof/>
              </w:rPr>
              <w:t>SÉPTIMO. Vista a la Secretaría Técnica del Pleno</w:t>
            </w:r>
            <w:r>
              <w:rPr>
                <w:noProof/>
                <w:webHidden/>
              </w:rPr>
              <w:tab/>
            </w:r>
            <w:r>
              <w:rPr>
                <w:noProof/>
                <w:webHidden/>
              </w:rPr>
              <w:fldChar w:fldCharType="begin"/>
            </w:r>
            <w:r>
              <w:rPr>
                <w:noProof/>
                <w:webHidden/>
              </w:rPr>
              <w:instrText xml:space="preserve"> PAGEREF _Toc205474906 \h </w:instrText>
            </w:r>
            <w:r>
              <w:rPr>
                <w:noProof/>
                <w:webHidden/>
              </w:rPr>
            </w:r>
            <w:r>
              <w:rPr>
                <w:noProof/>
                <w:webHidden/>
              </w:rPr>
              <w:fldChar w:fldCharType="separate"/>
            </w:r>
            <w:r w:rsidR="00A515CA">
              <w:rPr>
                <w:noProof/>
                <w:webHidden/>
              </w:rPr>
              <w:t>20</w:t>
            </w:r>
            <w:r>
              <w:rPr>
                <w:noProof/>
                <w:webHidden/>
              </w:rPr>
              <w:fldChar w:fldCharType="end"/>
            </w:r>
          </w:hyperlink>
        </w:p>
        <w:p w14:paraId="3FDF02A8" w14:textId="0FD1AFEB" w:rsidR="00AE42E1" w:rsidRDefault="00AE42E1">
          <w:pPr>
            <w:pStyle w:val="TDC1"/>
            <w:rPr>
              <w:rFonts w:asciiTheme="minorHAnsi" w:eastAsiaTheme="minorEastAsia" w:hAnsiTheme="minorHAnsi" w:cstheme="minorBidi"/>
              <w:noProof/>
              <w:sz w:val="22"/>
              <w:szCs w:val="22"/>
            </w:rPr>
          </w:pPr>
          <w:hyperlink w:anchor="_Toc205474907" w:history="1">
            <w:r w:rsidRPr="00AE51B5">
              <w:rPr>
                <w:rStyle w:val="Hipervnculo"/>
                <w:noProof/>
              </w:rPr>
              <w:t>R E S U E L V E</w:t>
            </w:r>
            <w:r>
              <w:rPr>
                <w:noProof/>
                <w:webHidden/>
              </w:rPr>
              <w:tab/>
            </w:r>
            <w:r>
              <w:rPr>
                <w:noProof/>
                <w:webHidden/>
              </w:rPr>
              <w:fldChar w:fldCharType="begin"/>
            </w:r>
            <w:r>
              <w:rPr>
                <w:noProof/>
                <w:webHidden/>
              </w:rPr>
              <w:instrText xml:space="preserve"> PAGEREF _Toc205474907 \h </w:instrText>
            </w:r>
            <w:r>
              <w:rPr>
                <w:noProof/>
                <w:webHidden/>
              </w:rPr>
            </w:r>
            <w:r>
              <w:rPr>
                <w:noProof/>
                <w:webHidden/>
              </w:rPr>
              <w:fldChar w:fldCharType="separate"/>
            </w:r>
            <w:r w:rsidR="00A515CA">
              <w:rPr>
                <w:noProof/>
                <w:webHidden/>
              </w:rPr>
              <w:t>22</w:t>
            </w:r>
            <w:r>
              <w:rPr>
                <w:noProof/>
                <w:webHidden/>
              </w:rPr>
              <w:fldChar w:fldCharType="end"/>
            </w:r>
          </w:hyperlink>
        </w:p>
        <w:p w14:paraId="6975D027" w14:textId="77777777" w:rsidR="00AE42E1" w:rsidRDefault="00AE42E1">
          <w:r>
            <w:rPr>
              <w:b/>
              <w:bCs/>
              <w:lang w:val="es-ES"/>
            </w:rPr>
            <w:fldChar w:fldCharType="end"/>
          </w:r>
        </w:p>
      </w:sdtContent>
    </w:sdt>
    <w:p w14:paraId="67BF624D" w14:textId="77777777" w:rsidR="00247E13" w:rsidRDefault="00055BD7">
      <w:pPr>
        <w:spacing w:line="360" w:lineRule="auto"/>
        <w:jc w:val="both"/>
        <w:rPr>
          <w:rFonts w:ascii="Palatino Linotype" w:eastAsia="Palatino Linotype" w:hAnsi="Palatino Linotype" w:cs="Palatino Linotype"/>
          <w:color w:val="000000"/>
          <w:sz w:val="22"/>
          <w:szCs w:val="22"/>
        </w:rPr>
      </w:pPr>
      <w:r>
        <w:br w:type="column"/>
      </w:r>
      <w:r>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seis de agosto de dos mil veinticinco. </w:t>
      </w:r>
    </w:p>
    <w:p w14:paraId="342B00A9"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70C52151" w14:textId="77777777" w:rsidR="00247E13" w:rsidRDefault="00055BD7">
      <w:pPr>
        <w:spacing w:line="360" w:lineRule="auto"/>
        <w:jc w:val="both"/>
        <w:rPr>
          <w:rFonts w:ascii="Palatino Linotype" w:eastAsia="Palatino Linotype" w:hAnsi="Palatino Linotype" w:cs="Palatino Linotype"/>
          <w:color w:val="000000"/>
          <w:sz w:val="22"/>
          <w:szCs w:val="22"/>
        </w:rPr>
      </w:pPr>
      <w:bookmarkStart w:id="1" w:name="_heading=h.j9mpepir1ejw" w:colFirst="0" w:colLast="0"/>
      <w:bookmarkEnd w:id="1"/>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10598D">
        <w:rPr>
          <w:rFonts w:ascii="Palatino Linotype" w:eastAsia="Palatino Linotype" w:hAnsi="Palatino Linotype" w:cs="Palatino Linotype"/>
          <w:b/>
          <w:bCs/>
          <w:color w:val="000000"/>
          <w:sz w:val="22"/>
          <w:szCs w:val="22"/>
        </w:rPr>
        <w:t>06791/INFOEM/IP/RR/2025</w:t>
      </w:r>
      <w:r>
        <w:rPr>
          <w:rFonts w:ascii="Palatino Linotype" w:eastAsia="Palatino Linotype" w:hAnsi="Palatino Linotype" w:cs="Palatino Linotype"/>
          <w:color w:val="000000"/>
          <w:sz w:val="22"/>
          <w:szCs w:val="22"/>
        </w:rPr>
        <w:t xml:space="preserve">, interpuesto por la persona </w:t>
      </w:r>
      <w:r>
        <w:rPr>
          <w:rFonts w:ascii="Palatino Linotype" w:eastAsia="Palatino Linotype" w:hAnsi="Palatino Linotype" w:cs="Palatino Linotype"/>
          <w:color w:val="0D0D0D"/>
          <w:sz w:val="22"/>
          <w:szCs w:val="22"/>
        </w:rPr>
        <w:t>Recurrente o Particular</w:t>
      </w:r>
      <w:r>
        <w:rPr>
          <w:rFonts w:ascii="Palatino Linotype" w:eastAsia="Palatino Linotype" w:hAnsi="Palatino Linotype" w:cs="Palatino Linotype"/>
          <w:color w:val="000000"/>
          <w:sz w:val="22"/>
          <w:szCs w:val="22"/>
        </w:rPr>
        <w:t xml:space="preserve">, en contra de la falta de respuesta del Sujeto Obligado, </w:t>
      </w:r>
      <w:r w:rsidRPr="0010598D">
        <w:rPr>
          <w:rFonts w:ascii="Palatino Linotype" w:eastAsia="Palatino Linotype" w:hAnsi="Palatino Linotype" w:cs="Palatino Linotype"/>
          <w:b/>
          <w:bCs/>
          <w:sz w:val="22"/>
          <w:szCs w:val="22"/>
        </w:rPr>
        <w:t>Ayuntamiento de Toluca</w:t>
      </w:r>
      <w:r>
        <w:rPr>
          <w:rFonts w:ascii="Palatino Linotype" w:eastAsia="Palatino Linotype" w:hAnsi="Palatino Linotype" w:cs="Palatino Linotype"/>
          <w:color w:val="000000"/>
          <w:sz w:val="22"/>
          <w:szCs w:val="22"/>
        </w:rPr>
        <w:t>, a la solicitud de acceso a la información pública 02888/TOLUCA/IP/2025, se emite la presente Resolución, con base en los Antecedentes y Considerandos que a continuación se exponen:</w:t>
      </w:r>
    </w:p>
    <w:p w14:paraId="559C1D08" w14:textId="77777777" w:rsidR="00247E13" w:rsidRDefault="00247E13">
      <w:pPr>
        <w:pStyle w:val="Subttulo"/>
        <w:rPr>
          <w:rFonts w:ascii="Palatino Linotype" w:eastAsia="Palatino Linotype" w:hAnsi="Palatino Linotype" w:cs="Palatino Linotype"/>
        </w:rPr>
      </w:pPr>
    </w:p>
    <w:p w14:paraId="61129871" w14:textId="77777777" w:rsidR="00247E13" w:rsidRDefault="00055BD7">
      <w:pPr>
        <w:pStyle w:val="Ttulo1"/>
      </w:pPr>
      <w:bookmarkStart w:id="2" w:name="_heading=h.7z2x8af9f7kw" w:colFirst="0" w:colLast="0"/>
      <w:bookmarkStart w:id="3" w:name="_Toc205474894"/>
      <w:bookmarkEnd w:id="2"/>
      <w:r>
        <w:t>A N T E C E D E N T E S</w:t>
      </w:r>
      <w:bookmarkEnd w:id="3"/>
    </w:p>
    <w:p w14:paraId="216F0D68" w14:textId="77777777" w:rsidR="00247E13" w:rsidRDefault="00247E13">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3C6206E7" w14:textId="77777777" w:rsidR="00247E13" w:rsidRDefault="00055BD7">
      <w:pPr>
        <w:pStyle w:val="Ttulo2"/>
      </w:pPr>
      <w:bookmarkStart w:id="4" w:name="_heading=h.ddpun92ij3ly" w:colFirst="0" w:colLast="0"/>
      <w:bookmarkStart w:id="5" w:name="_Toc205474895"/>
      <w:bookmarkEnd w:id="4"/>
      <w:r>
        <w:t>I. Presentación de la solicitud de información</w:t>
      </w:r>
      <w:bookmarkEnd w:id="5"/>
    </w:p>
    <w:p w14:paraId="17AFA7A2" w14:textId="77777777" w:rsidR="00247E13" w:rsidRDefault="00247E13">
      <w:pPr>
        <w:tabs>
          <w:tab w:val="left" w:pos="567"/>
        </w:tabs>
        <w:spacing w:line="360" w:lineRule="auto"/>
        <w:jc w:val="both"/>
        <w:rPr>
          <w:rFonts w:ascii="Palatino Linotype" w:eastAsia="Palatino Linotype" w:hAnsi="Palatino Linotype" w:cs="Palatino Linotype"/>
          <w:sz w:val="22"/>
          <w:szCs w:val="22"/>
        </w:rPr>
      </w:pPr>
    </w:p>
    <w:p w14:paraId="48BEB1EA"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diecinueve de mayo de dos mil veinticinco</w:t>
      </w:r>
      <w:r>
        <w:rPr>
          <w:rFonts w:ascii="Palatino Linotype" w:eastAsia="Palatino Linotype" w:hAnsi="Palatino Linotype" w:cs="Palatino Linotype"/>
          <w:sz w:val="22"/>
          <w:szCs w:val="22"/>
        </w:rPr>
        <w:t>, la persona Recurrente presentó una solicitud de acceso a la información pública, a través del Sistema de Acceso a la Información Mexiquense (SAIMEX), ante el Ayuntamiento de Toluca, en los siguientes términos:</w:t>
      </w:r>
    </w:p>
    <w:p w14:paraId="56BC4376" w14:textId="77777777" w:rsidR="00247E13" w:rsidRDefault="00247E13">
      <w:pPr>
        <w:spacing w:line="360" w:lineRule="auto"/>
        <w:jc w:val="both"/>
        <w:rPr>
          <w:rFonts w:ascii="Palatino Linotype" w:eastAsia="Palatino Linotype" w:hAnsi="Palatino Linotype" w:cs="Palatino Linotype"/>
          <w:sz w:val="22"/>
          <w:szCs w:val="22"/>
        </w:rPr>
      </w:pPr>
    </w:p>
    <w:p w14:paraId="0F74DD76" w14:textId="77777777" w:rsidR="00247E13" w:rsidRDefault="00055BD7">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160B84F" w14:textId="77777777" w:rsidR="00247E13" w:rsidRDefault="00055BD7">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os oficios firmados por el titular de protección civil del 1 de enero al 19 de mayo de 2025” (Sic.)</w:t>
      </w:r>
    </w:p>
    <w:p w14:paraId="468B6A44" w14:textId="77777777" w:rsidR="00247E13" w:rsidRDefault="00247E13">
      <w:pPr>
        <w:tabs>
          <w:tab w:val="left" w:pos="4667"/>
        </w:tabs>
        <w:spacing w:line="360" w:lineRule="auto"/>
        <w:ind w:right="567"/>
        <w:jc w:val="both"/>
        <w:rPr>
          <w:rFonts w:ascii="Palatino Linotype" w:eastAsia="Palatino Linotype" w:hAnsi="Palatino Linotype" w:cs="Palatino Linotype"/>
          <w:i/>
        </w:rPr>
      </w:pPr>
    </w:p>
    <w:p w14:paraId="6D789C0D" w14:textId="77777777" w:rsidR="00247E13" w:rsidRDefault="00055BD7">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47078766" w14:textId="77777777" w:rsidR="00247E13" w:rsidRDefault="00055BD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 través del SAIMEX” </w:t>
      </w:r>
    </w:p>
    <w:p w14:paraId="06E22475" w14:textId="77777777" w:rsidR="00247E13" w:rsidRDefault="00247E13">
      <w:pPr>
        <w:spacing w:line="360" w:lineRule="auto"/>
        <w:ind w:right="567"/>
        <w:jc w:val="both"/>
        <w:rPr>
          <w:rFonts w:ascii="Palatino Linotype" w:eastAsia="Palatino Linotype" w:hAnsi="Palatino Linotype" w:cs="Palatino Linotype"/>
          <w:i/>
        </w:rPr>
      </w:pPr>
    </w:p>
    <w:p w14:paraId="2C9D4C29" w14:textId="77777777" w:rsidR="00247E13" w:rsidRDefault="00247E13">
      <w:pPr>
        <w:spacing w:line="360" w:lineRule="auto"/>
        <w:ind w:right="567"/>
        <w:jc w:val="both"/>
        <w:rPr>
          <w:rFonts w:ascii="Palatino Linotype" w:eastAsia="Palatino Linotype" w:hAnsi="Palatino Linotype" w:cs="Palatino Linotype"/>
          <w:i/>
        </w:rPr>
      </w:pPr>
    </w:p>
    <w:p w14:paraId="297F8874" w14:textId="77777777" w:rsidR="00247E13" w:rsidRDefault="00055BD7">
      <w:pPr>
        <w:pStyle w:val="Ttulo2"/>
      </w:pPr>
      <w:bookmarkStart w:id="6" w:name="_heading=h.nvta0is5wfu8" w:colFirst="0" w:colLast="0"/>
      <w:bookmarkStart w:id="7" w:name="_Toc205474896"/>
      <w:bookmarkEnd w:id="6"/>
      <w:r>
        <w:lastRenderedPageBreak/>
        <w:t>II. Respuesta del Sujeto Obligado</w:t>
      </w:r>
      <w:bookmarkEnd w:id="7"/>
    </w:p>
    <w:p w14:paraId="1CA28F87"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2368E92A"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136, párrafo primero de la Ley de Transparencia y Acceso a</w:t>
      </w:r>
    </w:p>
    <w:p w14:paraId="0AC5AFCD"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sz w:val="22"/>
          <w:szCs w:val="22"/>
        </w:rPr>
        <w:t xml:space="preserve"> Ayuntamiento de Toluca</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5CF60025"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64707FE1" w14:textId="77777777" w:rsidR="00247E13" w:rsidRDefault="00055BD7">
      <w:pPr>
        <w:pStyle w:val="Ttulo2"/>
      </w:pPr>
      <w:bookmarkStart w:id="8" w:name="_heading=h.3vrqahbdr8pe" w:colFirst="0" w:colLast="0"/>
      <w:bookmarkStart w:id="9" w:name="_Toc205474897"/>
      <w:bookmarkEnd w:id="8"/>
      <w:r>
        <w:t>III. Interposición del Recurso de Revisión</w:t>
      </w:r>
      <w:bookmarkEnd w:id="9"/>
    </w:p>
    <w:p w14:paraId="4AE6BEEB" w14:textId="77777777" w:rsidR="00247E13" w:rsidRDefault="00247E13">
      <w:pPr>
        <w:spacing w:line="360" w:lineRule="auto"/>
        <w:jc w:val="both"/>
        <w:rPr>
          <w:rFonts w:ascii="Palatino Linotype" w:eastAsia="Palatino Linotype" w:hAnsi="Palatino Linotype" w:cs="Palatino Linotype"/>
          <w:b/>
          <w:color w:val="000000"/>
          <w:sz w:val="22"/>
          <w:szCs w:val="22"/>
        </w:rPr>
      </w:pPr>
    </w:p>
    <w:p w14:paraId="1137119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diez de junio de dos mil veinticinco,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14:paraId="08AAADFE"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16E19E7A" w14:textId="77777777" w:rsidR="00247E13" w:rsidRDefault="00055BD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14:paraId="68896072" w14:textId="77777777" w:rsidR="00247E13" w:rsidRDefault="00055BD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unidad de opacidad no contestando la </w:t>
      </w:r>
      <w:proofErr w:type="gramStart"/>
      <w:r>
        <w:rPr>
          <w:rFonts w:ascii="Palatino Linotype" w:eastAsia="Palatino Linotype" w:hAnsi="Palatino Linotype" w:cs="Palatino Linotype"/>
          <w:i/>
          <w:color w:val="000000"/>
        </w:rPr>
        <w:t>respuesta</w:t>
      </w:r>
      <w:proofErr w:type="gramEnd"/>
      <w:r>
        <w:rPr>
          <w:rFonts w:ascii="Palatino Linotype" w:eastAsia="Palatino Linotype" w:hAnsi="Palatino Linotype" w:cs="Palatino Linotype"/>
          <w:i/>
          <w:color w:val="000000"/>
        </w:rPr>
        <w:t xml:space="preserve"> pero con ayuda de </w:t>
      </w:r>
      <w:proofErr w:type="spellStart"/>
      <w:r>
        <w:rPr>
          <w:rFonts w:ascii="Palatino Linotype" w:eastAsia="Palatino Linotype" w:hAnsi="Palatino Linotype" w:cs="Palatino Linotype"/>
          <w:i/>
          <w:color w:val="000000"/>
        </w:rPr>
        <w:t>infoem</w:t>
      </w:r>
      <w:proofErr w:type="spellEnd"/>
      <w:r>
        <w:rPr>
          <w:rFonts w:ascii="Palatino Linotype" w:eastAsia="Palatino Linotype" w:hAnsi="Palatino Linotype" w:cs="Palatino Linotype"/>
          <w:i/>
          <w:color w:val="000000"/>
        </w:rPr>
        <w:t xml:space="preserve"> se </w:t>
      </w:r>
      <w:proofErr w:type="spellStart"/>
      <w:r>
        <w:rPr>
          <w:rFonts w:ascii="Palatino Linotype" w:eastAsia="Palatino Linotype" w:hAnsi="Palatino Linotype" w:cs="Palatino Linotype"/>
          <w:i/>
          <w:color w:val="000000"/>
        </w:rPr>
        <w:t>cambio</w:t>
      </w:r>
      <w:proofErr w:type="spellEnd"/>
      <w:r>
        <w:rPr>
          <w:rFonts w:ascii="Palatino Linotype" w:eastAsia="Palatino Linotype" w:hAnsi="Palatino Linotype" w:cs="Palatino Linotype"/>
          <w:i/>
          <w:color w:val="000000"/>
        </w:rPr>
        <w:t xml:space="preserve"> el día de la nada a 16 día para no </w:t>
      </w:r>
      <w:proofErr w:type="spellStart"/>
      <w:proofErr w:type="gramStart"/>
      <w:r>
        <w:rPr>
          <w:rFonts w:ascii="Palatino Linotype" w:eastAsia="Palatino Linotype" w:hAnsi="Palatino Linotype" w:cs="Palatino Linotype"/>
          <w:i/>
          <w:color w:val="000000"/>
        </w:rPr>
        <w:t>recurri</w:t>
      </w:r>
      <w:proofErr w:type="spellEnd"/>
      <w:proofErr w:type="gramEnd"/>
      <w:r>
        <w:rPr>
          <w:rFonts w:ascii="Palatino Linotype" w:eastAsia="Palatino Linotype" w:hAnsi="Palatino Linotype" w:cs="Palatino Linotype"/>
          <w:i/>
          <w:color w:val="000000"/>
        </w:rPr>
        <w:t xml:space="preserve"> pero nunca contestaron el </w:t>
      </w:r>
      <w:proofErr w:type="spellStart"/>
      <w:r>
        <w:rPr>
          <w:rFonts w:ascii="Palatino Linotype" w:eastAsia="Palatino Linotype" w:hAnsi="Palatino Linotype" w:cs="Palatino Linotype"/>
          <w:i/>
          <w:color w:val="000000"/>
        </w:rPr>
        <w:t>saimex</w:t>
      </w:r>
      <w:proofErr w:type="spellEnd"/>
      <w:r>
        <w:rPr>
          <w:rFonts w:ascii="Palatino Linotype" w:eastAsia="Palatino Linotype" w:hAnsi="Palatino Linotype" w:cs="Palatino Linotype"/>
          <w:i/>
          <w:color w:val="000000"/>
        </w:rPr>
        <w:t>.”</w:t>
      </w:r>
    </w:p>
    <w:p w14:paraId="7945E31B" w14:textId="77777777" w:rsidR="00247E13" w:rsidRDefault="00247E13">
      <w:pPr>
        <w:spacing w:line="360" w:lineRule="auto"/>
        <w:ind w:left="567" w:right="567"/>
        <w:jc w:val="both"/>
        <w:rPr>
          <w:rFonts w:ascii="Palatino Linotype" w:eastAsia="Palatino Linotype" w:hAnsi="Palatino Linotype" w:cs="Palatino Linotype"/>
          <w:i/>
          <w:color w:val="000000"/>
        </w:rPr>
      </w:pPr>
    </w:p>
    <w:p w14:paraId="09268004" w14:textId="77777777" w:rsidR="00247E13" w:rsidRDefault="00055BD7">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2509E103" w14:textId="77777777" w:rsidR="00247E13" w:rsidRDefault="00055BD7">
      <w:pPr>
        <w:spacing w:line="360" w:lineRule="auto"/>
        <w:ind w:left="567" w:right="567"/>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unidad de opacidad no contestando la </w:t>
      </w:r>
      <w:proofErr w:type="gramStart"/>
      <w:r>
        <w:rPr>
          <w:rFonts w:ascii="Palatino Linotype" w:eastAsia="Palatino Linotype" w:hAnsi="Palatino Linotype" w:cs="Palatino Linotype"/>
          <w:i/>
          <w:color w:val="000000"/>
        </w:rPr>
        <w:t>respuesta</w:t>
      </w:r>
      <w:proofErr w:type="gramEnd"/>
      <w:r>
        <w:rPr>
          <w:rFonts w:ascii="Palatino Linotype" w:eastAsia="Palatino Linotype" w:hAnsi="Palatino Linotype" w:cs="Palatino Linotype"/>
          <w:i/>
          <w:color w:val="000000"/>
        </w:rPr>
        <w:t xml:space="preserve"> pero con ayuda de </w:t>
      </w:r>
      <w:proofErr w:type="spellStart"/>
      <w:r>
        <w:rPr>
          <w:rFonts w:ascii="Palatino Linotype" w:eastAsia="Palatino Linotype" w:hAnsi="Palatino Linotype" w:cs="Palatino Linotype"/>
          <w:i/>
          <w:color w:val="000000"/>
        </w:rPr>
        <w:t>infoem</w:t>
      </w:r>
      <w:proofErr w:type="spellEnd"/>
      <w:r>
        <w:rPr>
          <w:rFonts w:ascii="Palatino Linotype" w:eastAsia="Palatino Linotype" w:hAnsi="Palatino Linotype" w:cs="Palatino Linotype"/>
          <w:i/>
          <w:color w:val="000000"/>
        </w:rPr>
        <w:t xml:space="preserve"> se </w:t>
      </w:r>
      <w:proofErr w:type="spellStart"/>
      <w:r>
        <w:rPr>
          <w:rFonts w:ascii="Palatino Linotype" w:eastAsia="Palatino Linotype" w:hAnsi="Palatino Linotype" w:cs="Palatino Linotype"/>
          <w:i/>
          <w:color w:val="000000"/>
        </w:rPr>
        <w:t>cambio</w:t>
      </w:r>
      <w:proofErr w:type="spellEnd"/>
      <w:r>
        <w:rPr>
          <w:rFonts w:ascii="Palatino Linotype" w:eastAsia="Palatino Linotype" w:hAnsi="Palatino Linotype" w:cs="Palatino Linotype"/>
          <w:i/>
          <w:color w:val="000000"/>
        </w:rPr>
        <w:t xml:space="preserve"> el día de la nada a 16 día para no </w:t>
      </w:r>
      <w:proofErr w:type="spellStart"/>
      <w:proofErr w:type="gramStart"/>
      <w:r>
        <w:rPr>
          <w:rFonts w:ascii="Palatino Linotype" w:eastAsia="Palatino Linotype" w:hAnsi="Palatino Linotype" w:cs="Palatino Linotype"/>
          <w:i/>
          <w:color w:val="000000"/>
        </w:rPr>
        <w:t>recurri</w:t>
      </w:r>
      <w:proofErr w:type="spellEnd"/>
      <w:proofErr w:type="gramEnd"/>
      <w:r>
        <w:rPr>
          <w:rFonts w:ascii="Palatino Linotype" w:eastAsia="Palatino Linotype" w:hAnsi="Palatino Linotype" w:cs="Palatino Linotype"/>
          <w:i/>
          <w:color w:val="000000"/>
        </w:rPr>
        <w:t xml:space="preserve"> pero nunca contestaron el </w:t>
      </w:r>
      <w:proofErr w:type="spellStart"/>
      <w:r>
        <w:rPr>
          <w:rFonts w:ascii="Palatino Linotype" w:eastAsia="Palatino Linotype" w:hAnsi="Palatino Linotype" w:cs="Palatino Linotype"/>
          <w:i/>
          <w:color w:val="000000"/>
        </w:rPr>
        <w:t>saimex</w:t>
      </w:r>
      <w:proofErr w:type="spellEnd"/>
      <w:r>
        <w:rPr>
          <w:rFonts w:ascii="Palatino Linotype" w:eastAsia="Palatino Linotype" w:hAnsi="Palatino Linotype" w:cs="Palatino Linotype"/>
          <w:i/>
          <w:color w:val="000000"/>
        </w:rPr>
        <w:t xml:space="preserve">.” </w:t>
      </w:r>
    </w:p>
    <w:p w14:paraId="0709F57A" w14:textId="77777777" w:rsidR="00247E13" w:rsidRDefault="00247E13">
      <w:pPr>
        <w:pStyle w:val="Ttulo2"/>
      </w:pPr>
      <w:bookmarkStart w:id="10" w:name="_heading=h.adx0z16p6079" w:colFirst="0" w:colLast="0"/>
      <w:bookmarkEnd w:id="10"/>
    </w:p>
    <w:p w14:paraId="241B0471" w14:textId="77777777" w:rsidR="00247E13" w:rsidRDefault="00055BD7">
      <w:pPr>
        <w:pStyle w:val="Ttulo2"/>
      </w:pPr>
      <w:bookmarkStart w:id="11" w:name="_Toc205474898"/>
      <w:r>
        <w:t>IV. Trámite del Recurso de Revisión ante el Instituto</w:t>
      </w:r>
      <w:bookmarkEnd w:id="11"/>
    </w:p>
    <w:p w14:paraId="3B862297" w14:textId="77777777" w:rsidR="00247E13" w:rsidRDefault="00247E13">
      <w:pPr>
        <w:spacing w:line="360" w:lineRule="auto"/>
        <w:jc w:val="both"/>
        <w:rPr>
          <w:rFonts w:ascii="Palatino Linotype" w:eastAsia="Palatino Linotype" w:hAnsi="Palatino Linotype" w:cs="Palatino Linotype"/>
          <w:b/>
          <w:color w:val="000000"/>
          <w:sz w:val="22"/>
          <w:szCs w:val="22"/>
        </w:rPr>
      </w:pPr>
    </w:p>
    <w:p w14:paraId="23E9D5E5"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diez de junio de dos mil veinticinco, el Sistema de Acceso a la Información Mexiquense (SAIMEX), asignó el número de expediente </w:t>
      </w:r>
      <w:r>
        <w:rPr>
          <w:rFonts w:ascii="Palatino Linotype" w:eastAsia="Palatino Linotype" w:hAnsi="Palatino Linotype" w:cs="Palatino Linotype"/>
          <w:b/>
          <w:color w:val="000000"/>
          <w:sz w:val="22"/>
          <w:szCs w:val="22"/>
        </w:rPr>
        <w:t>06791/INFOEM/IP/RR/2025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5CBF8044" w14:textId="77777777" w:rsidR="00247E13" w:rsidRDefault="00247E13">
      <w:pPr>
        <w:spacing w:line="360" w:lineRule="auto"/>
        <w:jc w:val="both"/>
        <w:rPr>
          <w:rFonts w:ascii="Palatino Linotype" w:eastAsia="Palatino Linotype" w:hAnsi="Palatino Linotype" w:cs="Palatino Linotype"/>
          <w:b/>
          <w:color w:val="000000"/>
          <w:sz w:val="22"/>
          <w:szCs w:val="22"/>
        </w:rPr>
      </w:pPr>
    </w:p>
    <w:p w14:paraId="39A894E2"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trece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3647653"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101C07ED"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Informe Justificado. </w:t>
      </w:r>
      <w:r>
        <w:rPr>
          <w:rFonts w:ascii="Palatino Linotype" w:eastAsia="Palatino Linotype" w:hAnsi="Palatino Linotype" w:cs="Palatino Linotype"/>
          <w:sz w:val="22"/>
          <w:szCs w:val="22"/>
        </w:rPr>
        <w:t>El veinticuatro de junio de dos mil veinticinco, se recibió, a través del Sistema de Acceso a la Información Mexiquense (SAIMEX), el Informe Justificado del Sujeto Obligado, a través de la digitalización del siguiente documento:</w:t>
      </w:r>
    </w:p>
    <w:p w14:paraId="1E68C44D" w14:textId="77777777" w:rsidR="00247E13" w:rsidRDefault="00247E13">
      <w:pPr>
        <w:spacing w:line="360" w:lineRule="auto"/>
        <w:jc w:val="both"/>
        <w:rPr>
          <w:rFonts w:ascii="Palatino Linotype" w:eastAsia="Palatino Linotype" w:hAnsi="Palatino Linotype" w:cs="Palatino Linotype"/>
          <w:sz w:val="22"/>
          <w:szCs w:val="22"/>
        </w:rPr>
      </w:pPr>
    </w:p>
    <w:p w14:paraId="343F701A"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Oficio número 201007000/UT/02178/2025, de fecha dieciséis de junio de dos mil veinticinco, suscrito por el Titular de la Unidad de Transparencia y dirigido al </w:t>
      </w:r>
      <w:proofErr w:type="gramStart"/>
      <w:r>
        <w:rPr>
          <w:rFonts w:ascii="Palatino Linotype" w:eastAsia="Palatino Linotype" w:hAnsi="Palatino Linotype" w:cs="Palatino Linotype"/>
          <w:sz w:val="22"/>
          <w:szCs w:val="22"/>
        </w:rPr>
        <w:t>Jefe</w:t>
      </w:r>
      <w:proofErr w:type="gramEnd"/>
      <w:r>
        <w:rPr>
          <w:rFonts w:ascii="Palatino Linotype" w:eastAsia="Palatino Linotype" w:hAnsi="Palatino Linotype" w:cs="Palatino Linotype"/>
          <w:sz w:val="22"/>
          <w:szCs w:val="22"/>
        </w:rPr>
        <w:t xml:space="preserve"> de Acceso a la Información Pública en los siguientes términos:</w:t>
      </w:r>
    </w:p>
    <w:p w14:paraId="00BC5CC8" w14:textId="77777777" w:rsidR="00247E13" w:rsidRDefault="00247E13">
      <w:pPr>
        <w:spacing w:line="360" w:lineRule="auto"/>
        <w:jc w:val="both"/>
        <w:rPr>
          <w:rFonts w:ascii="Palatino Linotype" w:eastAsia="Palatino Linotype" w:hAnsi="Palatino Linotype" w:cs="Palatino Linotype"/>
        </w:rPr>
      </w:pPr>
    </w:p>
    <w:p w14:paraId="55401522" w14:textId="77777777" w:rsidR="00247E13" w:rsidRDefault="00055BD7">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 </w:t>
      </w:r>
    </w:p>
    <w:p w14:paraId="1677A733" w14:textId="77777777" w:rsidR="00247E13" w:rsidRDefault="00055BD7">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Después de expresar las razones y motivos de inconformidad, y por no haber sido atendida satisfactoriamente su solicitud. Por lo anterior y de conformidad con lo dispuesto en el artículo 185 fracción II de la Ley de Transparencia y Acceso a la Información del Estado de México y Municipios, solicito a usted gire sus apreciables instrucciones a quien corresponda, a efecto de apoyar a esta unidad de transparencia, mediante un INFORME JUSTIFICADO fundado y motivado de las razones y motivos de inconformidad hechos valer por el hoy recurrente. Mucho agradeceré que dicha información sea remitida a esta área a más tardar el 20 de junio de 2025, para estar en posibilidades de dar cumplimiento </w:t>
      </w:r>
      <w:proofErr w:type="spellStart"/>
      <w:r>
        <w:rPr>
          <w:rFonts w:ascii="Palatino Linotype" w:eastAsia="Palatino Linotype" w:hAnsi="Palatino Linotype" w:cs="Palatino Linotype"/>
          <w:i/>
          <w:color w:val="000000"/>
        </w:rPr>
        <w:t>to</w:t>
      </w:r>
      <w:proofErr w:type="spellEnd"/>
      <w:r>
        <w:rPr>
          <w:rFonts w:ascii="Palatino Linotype" w:eastAsia="Palatino Linotype" w:hAnsi="Palatino Linotype" w:cs="Palatino Linotype"/>
          <w:i/>
          <w:color w:val="000000"/>
        </w:rPr>
        <w:t xml:space="preserve"> a lo estipulado. …”</w:t>
      </w:r>
    </w:p>
    <w:p w14:paraId="07561969" w14:textId="77777777" w:rsidR="00247E13" w:rsidRDefault="00247E13">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14:paraId="0D19885F" w14:textId="77777777" w:rsidR="00247E13" w:rsidRDefault="00055BD7">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proofErr w:type="spellStart"/>
      <w:r>
        <w:rPr>
          <w:rFonts w:ascii="Palatino Linotype" w:eastAsia="Palatino Linotype" w:hAnsi="Palatino Linotype" w:cs="Palatino Linotype"/>
          <w:color w:val="000000"/>
          <w:sz w:val="22"/>
          <w:szCs w:val="22"/>
        </w:rPr>
        <w:t>ii</w:t>
      </w:r>
      <w:proofErr w:type="spellEnd"/>
      <w:r>
        <w:rPr>
          <w:rFonts w:ascii="Palatino Linotype" w:eastAsia="Palatino Linotype" w:hAnsi="Palatino Linotype" w:cs="Palatino Linotype"/>
          <w:color w:val="000000"/>
          <w:sz w:val="22"/>
          <w:szCs w:val="22"/>
        </w:rPr>
        <w:t xml:space="preserve">) Oficio número 201007000/UT/02178-A/2025, de fecha dieciséis de junio de dos mil veinticinco, suscrito por el Titular de la Unidad de Transparencia, y dirigido al </w:t>
      </w:r>
      <w:proofErr w:type="gramStart"/>
      <w:r>
        <w:rPr>
          <w:rFonts w:ascii="Palatino Linotype" w:eastAsia="Palatino Linotype" w:hAnsi="Palatino Linotype" w:cs="Palatino Linotype"/>
          <w:color w:val="000000"/>
          <w:sz w:val="22"/>
          <w:szCs w:val="22"/>
        </w:rPr>
        <w:t>Secretario</w:t>
      </w:r>
      <w:proofErr w:type="gramEnd"/>
      <w:r>
        <w:rPr>
          <w:rFonts w:ascii="Palatino Linotype" w:eastAsia="Palatino Linotype" w:hAnsi="Palatino Linotype" w:cs="Palatino Linotype"/>
          <w:color w:val="000000"/>
          <w:sz w:val="22"/>
          <w:szCs w:val="22"/>
        </w:rPr>
        <w:t xml:space="preserve"> del Ayuntamiento en los siguientes términos:</w:t>
      </w:r>
    </w:p>
    <w:p w14:paraId="279152F8" w14:textId="77777777" w:rsidR="00247E13" w:rsidRDefault="00247E13">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14:paraId="0D28BF40" w14:textId="77777777" w:rsidR="00247E13" w:rsidRDefault="00055BD7">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14:paraId="6F3DB4D7" w14:textId="77777777" w:rsidR="00247E13" w:rsidRDefault="00055BD7">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Después de expresar las razones y motivos de inconformidad, y por no haber sido atendida satisfactoriamente su solicitud. Por lo anterior y de conformidad con lo dispuesto en el artículo 185 fracción II de la Ley de Transparencia y Acceso a la Información del Estado de México y Municipios, solicito a usted gire sus apreciables instrucciones a quien corresponda, a efecto de apoyar a esta unidad de transparencia, mediante un INFORME JUSTIFICADO fundado y motivado de las razones y motivos de inconformidad hechos valer por el hoy recurrente. Mucho agradeceré que dicha información sea remitida a esta área a más tardar el 20 de junio de 2025, para estar en posibilidades de dar cumplimiento </w:t>
      </w:r>
      <w:proofErr w:type="spellStart"/>
      <w:r>
        <w:rPr>
          <w:rFonts w:ascii="Palatino Linotype" w:eastAsia="Palatino Linotype" w:hAnsi="Palatino Linotype" w:cs="Palatino Linotype"/>
          <w:i/>
          <w:color w:val="000000"/>
        </w:rPr>
        <w:t>to</w:t>
      </w:r>
      <w:proofErr w:type="spellEnd"/>
      <w:r>
        <w:rPr>
          <w:rFonts w:ascii="Palatino Linotype" w:eastAsia="Palatino Linotype" w:hAnsi="Palatino Linotype" w:cs="Palatino Linotype"/>
          <w:i/>
          <w:color w:val="000000"/>
        </w:rPr>
        <w:t xml:space="preserve"> a lo estipulado. …”</w:t>
      </w:r>
    </w:p>
    <w:p w14:paraId="2D4F9DF5" w14:textId="77777777" w:rsidR="00247E13" w:rsidRDefault="00247E13">
      <w:pPr>
        <w:spacing w:line="360" w:lineRule="auto"/>
        <w:jc w:val="both"/>
        <w:rPr>
          <w:rFonts w:ascii="Palatino Linotype" w:eastAsia="Palatino Linotype" w:hAnsi="Palatino Linotype" w:cs="Palatino Linotype"/>
          <w:b/>
          <w:sz w:val="22"/>
          <w:szCs w:val="22"/>
        </w:rPr>
      </w:pPr>
    </w:p>
    <w:p w14:paraId="626B9199"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quince de julio de dos mil veinticinco, se dictó acuerdo mediante el cual se puso a la vista del Particular el Informe Justificado, entregado por el Sujeto </w:t>
      </w:r>
      <w:r>
        <w:rPr>
          <w:rFonts w:ascii="Palatino Linotype" w:eastAsia="Palatino Linotype" w:hAnsi="Palatino Linotype" w:cs="Palatino Linotype"/>
          <w:sz w:val="22"/>
          <w:szCs w:val="22"/>
        </w:rPr>
        <w:lastRenderedPageBreak/>
        <w:t>Obligado, así como el documento adjunto, el cual fue notificado a las partes, a través del Sistema de Acceso a la Información Mexiquense (SAIMEX).</w:t>
      </w:r>
    </w:p>
    <w:p w14:paraId="53BD935E" w14:textId="77777777" w:rsidR="00247E13" w:rsidRDefault="00247E13">
      <w:pPr>
        <w:spacing w:line="360" w:lineRule="auto"/>
        <w:jc w:val="both"/>
        <w:rPr>
          <w:rFonts w:ascii="Palatino Linotype" w:eastAsia="Palatino Linotype" w:hAnsi="Palatino Linotype" w:cs="Palatino Linotype"/>
          <w:b/>
          <w:sz w:val="18"/>
          <w:szCs w:val="18"/>
        </w:rPr>
      </w:pPr>
    </w:p>
    <w:p w14:paraId="2ACB4F7F" w14:textId="77777777" w:rsidR="00247E13" w:rsidRDefault="00055BD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 Cierre de instrucción. </w:t>
      </w:r>
      <w:r>
        <w:rPr>
          <w:rFonts w:ascii="Palatino Linotype" w:eastAsia="Palatino Linotype" w:hAnsi="Palatino Linotype" w:cs="Palatino Linotype"/>
          <w:sz w:val="22"/>
          <w:szCs w:val="22"/>
        </w:rPr>
        <w:t xml:space="preserve">El cuatro de agosto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54B58683" w14:textId="77777777" w:rsidR="00247E13" w:rsidRDefault="00247E13">
      <w:pPr>
        <w:spacing w:line="360" w:lineRule="auto"/>
        <w:jc w:val="both"/>
        <w:rPr>
          <w:rFonts w:ascii="Palatino Linotype" w:eastAsia="Palatino Linotype" w:hAnsi="Palatino Linotype" w:cs="Palatino Linotype"/>
          <w:b/>
          <w:sz w:val="18"/>
          <w:szCs w:val="18"/>
        </w:rPr>
      </w:pPr>
    </w:p>
    <w:p w14:paraId="52F64574" w14:textId="77777777" w:rsidR="00247E13" w:rsidRDefault="00055BD7">
      <w:pPr>
        <w:spacing w:line="360" w:lineRule="auto"/>
        <w:jc w:val="both"/>
        <w:rPr>
          <w:rFonts w:ascii="Palatino Linotype" w:eastAsia="Palatino Linotype" w:hAnsi="Palatino Linotype" w:cs="Palatino Linotype"/>
          <w:color w:val="000000"/>
          <w:sz w:val="22"/>
          <w:szCs w:val="22"/>
        </w:rPr>
      </w:pPr>
      <w:proofErr w:type="gramStart"/>
      <w:r>
        <w:rPr>
          <w:rFonts w:ascii="Palatino Linotype" w:eastAsia="Palatino Linotype" w:hAnsi="Palatino Linotype" w:cs="Palatino Linotype"/>
          <w:color w:val="000000"/>
          <w:sz w:val="22"/>
          <w:szCs w:val="22"/>
        </w:rPr>
        <w:t>En razón de</w:t>
      </w:r>
      <w:proofErr w:type="gramEnd"/>
      <w:r>
        <w:rPr>
          <w:rFonts w:ascii="Palatino Linotype" w:eastAsia="Palatino Linotype" w:hAnsi="Palatino Linotype" w:cs="Palatino Linotype"/>
          <w:color w:val="000000"/>
          <w:sz w:val="22"/>
          <w:szCs w:val="22"/>
        </w:rPr>
        <w:t xml:space="preserve"> que fue debidamente sustanciado el expediente electrónico y no existe diligencia pendiente de desahogo, se emite la Resolución que conforme a Derecho proceda, de acuerdo con los siguientes: </w:t>
      </w:r>
    </w:p>
    <w:p w14:paraId="4CD34244"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5FA1FD59" w14:textId="77777777" w:rsidR="00247E13" w:rsidRDefault="00055BD7">
      <w:pPr>
        <w:pStyle w:val="Ttulo1"/>
      </w:pPr>
      <w:bookmarkStart w:id="12" w:name="_heading=h.7w077eakkt0" w:colFirst="0" w:colLast="0"/>
      <w:bookmarkStart w:id="13" w:name="_Toc205474899"/>
      <w:bookmarkEnd w:id="12"/>
      <w:r>
        <w:t>C O N S I D E R A N D O S</w:t>
      </w:r>
      <w:bookmarkEnd w:id="13"/>
    </w:p>
    <w:p w14:paraId="64812695" w14:textId="77777777" w:rsidR="00247E13" w:rsidRDefault="00247E13">
      <w:pPr>
        <w:spacing w:line="360" w:lineRule="auto"/>
        <w:jc w:val="both"/>
        <w:rPr>
          <w:rFonts w:ascii="Palatino Linotype" w:eastAsia="Palatino Linotype" w:hAnsi="Palatino Linotype" w:cs="Palatino Linotype"/>
          <w:b/>
          <w:sz w:val="22"/>
          <w:szCs w:val="22"/>
        </w:rPr>
      </w:pPr>
    </w:p>
    <w:p w14:paraId="49B20782" w14:textId="77777777" w:rsidR="00247E13" w:rsidRDefault="00055BD7">
      <w:pPr>
        <w:pStyle w:val="Ttulo2"/>
      </w:pPr>
      <w:bookmarkStart w:id="14" w:name="_heading=h.p5kvy5h5bd7" w:colFirst="0" w:colLast="0"/>
      <w:bookmarkStart w:id="15" w:name="_Toc205474900"/>
      <w:bookmarkEnd w:id="14"/>
      <w:r>
        <w:t>PRIMERO. Competencia</w:t>
      </w:r>
      <w:bookmarkEnd w:id="15"/>
    </w:p>
    <w:p w14:paraId="4DD6D6D9" w14:textId="77777777" w:rsidR="00247E13" w:rsidRDefault="00247E13">
      <w:pPr>
        <w:spacing w:line="360" w:lineRule="auto"/>
        <w:jc w:val="both"/>
        <w:rPr>
          <w:rFonts w:ascii="Palatino Linotype" w:eastAsia="Palatino Linotype" w:hAnsi="Palatino Linotype" w:cs="Palatino Linotype"/>
          <w:b/>
          <w:sz w:val="22"/>
          <w:szCs w:val="22"/>
        </w:rPr>
      </w:pPr>
    </w:p>
    <w:p w14:paraId="45FD2DC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Pr>
          <w:rFonts w:ascii="Palatino Linotype" w:eastAsia="Palatino Linotype" w:hAnsi="Palatino Linotype" w:cs="Palatino Linotype"/>
          <w:sz w:val="22"/>
          <w:szCs w:val="22"/>
        </w:rPr>
        <w:lastRenderedPageBreak/>
        <w:t>Transparencia, Acceso a la Información Pública y Protección de Datos Personales del Estado de México y Municipios.</w:t>
      </w:r>
    </w:p>
    <w:p w14:paraId="1CD126AC"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1EC55AFF" w14:textId="77777777" w:rsidR="00247E13" w:rsidRDefault="00055BD7">
      <w:pPr>
        <w:pStyle w:val="Ttulo2"/>
      </w:pPr>
      <w:bookmarkStart w:id="16" w:name="_heading=h.gzo2yinvay2h" w:colFirst="0" w:colLast="0"/>
      <w:bookmarkStart w:id="17" w:name="_Toc205474901"/>
      <w:bookmarkEnd w:id="16"/>
      <w:r>
        <w:t>SEGUNDO. Causales de improcedencia y Sobreseimiento</w:t>
      </w:r>
      <w:bookmarkEnd w:id="17"/>
    </w:p>
    <w:p w14:paraId="14409931" w14:textId="77777777" w:rsidR="00247E13" w:rsidRDefault="00247E13">
      <w:pPr>
        <w:spacing w:line="360" w:lineRule="auto"/>
        <w:jc w:val="both"/>
        <w:rPr>
          <w:rFonts w:ascii="Palatino Linotype" w:eastAsia="Palatino Linotype" w:hAnsi="Palatino Linotype" w:cs="Palatino Linotype"/>
          <w:sz w:val="22"/>
          <w:szCs w:val="22"/>
        </w:rPr>
      </w:pPr>
    </w:p>
    <w:p w14:paraId="0D41BB4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2DB966E9" w14:textId="77777777" w:rsidR="00247E13" w:rsidRDefault="00247E13">
      <w:pPr>
        <w:spacing w:line="360" w:lineRule="auto"/>
        <w:jc w:val="both"/>
        <w:rPr>
          <w:rFonts w:ascii="Palatino Linotype" w:eastAsia="Palatino Linotype" w:hAnsi="Palatino Linotype" w:cs="Palatino Linotype"/>
          <w:sz w:val="22"/>
          <w:szCs w:val="22"/>
        </w:rPr>
      </w:pPr>
    </w:p>
    <w:p w14:paraId="3CADB842" w14:textId="77777777" w:rsidR="00247E13" w:rsidRDefault="00055BD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6F829DFB" w14:textId="77777777" w:rsidR="00247E13" w:rsidRDefault="00247E13">
      <w:pPr>
        <w:spacing w:line="360" w:lineRule="auto"/>
        <w:jc w:val="both"/>
        <w:rPr>
          <w:rFonts w:ascii="Palatino Linotype" w:eastAsia="Palatino Linotype" w:hAnsi="Palatino Linotype" w:cs="Palatino Linotype"/>
          <w:sz w:val="22"/>
          <w:szCs w:val="22"/>
        </w:rPr>
      </w:pPr>
    </w:p>
    <w:p w14:paraId="00F3968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E19122" w14:textId="77777777" w:rsidR="00247E13" w:rsidRDefault="00247E13">
      <w:pPr>
        <w:spacing w:line="360" w:lineRule="auto"/>
        <w:jc w:val="both"/>
        <w:rPr>
          <w:rFonts w:ascii="Palatino Linotype" w:eastAsia="Palatino Linotype" w:hAnsi="Palatino Linotype" w:cs="Palatino Linotype"/>
          <w:sz w:val="22"/>
          <w:szCs w:val="22"/>
        </w:rPr>
      </w:pPr>
    </w:p>
    <w:p w14:paraId="378976A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F99DDF1" w14:textId="77777777" w:rsidR="00247E13" w:rsidRDefault="00247E13">
      <w:pPr>
        <w:spacing w:line="360" w:lineRule="auto"/>
        <w:jc w:val="both"/>
        <w:rPr>
          <w:rFonts w:ascii="Palatino Linotype" w:eastAsia="Palatino Linotype" w:hAnsi="Palatino Linotype" w:cs="Palatino Linotype"/>
          <w:sz w:val="22"/>
          <w:szCs w:val="22"/>
        </w:rPr>
      </w:pPr>
    </w:p>
    <w:p w14:paraId="3CE42CAF"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en cualquier momento</w:t>
      </w:r>
      <w:r>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8931004" w14:textId="77777777" w:rsidR="00247E13" w:rsidRDefault="00247E13">
      <w:pPr>
        <w:spacing w:line="360" w:lineRule="auto"/>
        <w:jc w:val="both"/>
        <w:rPr>
          <w:rFonts w:ascii="Palatino Linotype" w:eastAsia="Palatino Linotype" w:hAnsi="Palatino Linotype" w:cs="Palatino Linotype"/>
          <w:sz w:val="22"/>
          <w:szCs w:val="22"/>
        </w:rPr>
      </w:pPr>
    </w:p>
    <w:p w14:paraId="5CDA2625"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37F6383A" w14:textId="77777777" w:rsidR="00247E13" w:rsidRDefault="00247E13">
      <w:pPr>
        <w:spacing w:line="360" w:lineRule="auto"/>
        <w:jc w:val="both"/>
        <w:rPr>
          <w:rFonts w:ascii="Palatino Linotype" w:eastAsia="Palatino Linotype" w:hAnsi="Palatino Linotype" w:cs="Palatino Linotype"/>
          <w:sz w:val="22"/>
          <w:szCs w:val="22"/>
        </w:rPr>
      </w:pPr>
    </w:p>
    <w:p w14:paraId="7BD7DA4A" w14:textId="77777777" w:rsidR="00247E13" w:rsidRDefault="00055BD7">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Causales de sobreseimiento</w:t>
      </w:r>
    </w:p>
    <w:p w14:paraId="22DE4531" w14:textId="77777777" w:rsidR="00247E13" w:rsidRDefault="00247E13">
      <w:pPr>
        <w:spacing w:line="360" w:lineRule="auto"/>
        <w:jc w:val="both"/>
        <w:rPr>
          <w:rFonts w:ascii="Palatino Linotype" w:eastAsia="Palatino Linotype" w:hAnsi="Palatino Linotype" w:cs="Palatino Linotype"/>
          <w:color w:val="0D0D0D"/>
          <w:sz w:val="22"/>
          <w:szCs w:val="22"/>
        </w:rPr>
      </w:pPr>
    </w:p>
    <w:p w14:paraId="44112977" w14:textId="77777777" w:rsidR="00247E13" w:rsidRDefault="00055BD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61708AB4" w14:textId="77777777" w:rsidR="00247E13" w:rsidRDefault="00247E13">
      <w:pPr>
        <w:spacing w:line="360" w:lineRule="auto"/>
        <w:jc w:val="both"/>
        <w:rPr>
          <w:rFonts w:ascii="Palatino Linotype" w:eastAsia="Palatino Linotype" w:hAnsi="Palatino Linotype" w:cs="Palatino Linotype"/>
          <w:color w:val="0D0D0D"/>
          <w:sz w:val="22"/>
          <w:szCs w:val="22"/>
        </w:rPr>
      </w:pPr>
    </w:p>
    <w:p w14:paraId="3585F86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F9664AC" w14:textId="77777777" w:rsidR="00247E13" w:rsidRDefault="00247E13">
      <w:pPr>
        <w:spacing w:line="360" w:lineRule="auto"/>
        <w:jc w:val="both"/>
        <w:rPr>
          <w:rFonts w:ascii="Palatino Linotype" w:eastAsia="Palatino Linotype" w:hAnsi="Palatino Linotype" w:cs="Palatino Linotype"/>
          <w:sz w:val="22"/>
          <w:szCs w:val="22"/>
        </w:rPr>
      </w:pPr>
    </w:p>
    <w:p w14:paraId="77A1069A" w14:textId="77777777" w:rsidR="00247E13" w:rsidRDefault="00055BD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lastRenderedPageBreak/>
        <w:t xml:space="preserve">Por tales motivos, se considera procedente entrar al fondo del presente asunto. </w:t>
      </w:r>
    </w:p>
    <w:p w14:paraId="77874657" w14:textId="77777777" w:rsidR="00247E13" w:rsidRDefault="00247E13">
      <w:pPr>
        <w:spacing w:line="360" w:lineRule="auto"/>
        <w:jc w:val="both"/>
        <w:rPr>
          <w:rFonts w:ascii="Palatino Linotype" w:eastAsia="Palatino Linotype" w:hAnsi="Palatino Linotype" w:cs="Palatino Linotype"/>
          <w:color w:val="0D0D0D"/>
          <w:sz w:val="22"/>
          <w:szCs w:val="22"/>
        </w:rPr>
      </w:pPr>
    </w:p>
    <w:p w14:paraId="1BA27650" w14:textId="77777777" w:rsidR="00247E13" w:rsidRDefault="00055BD7">
      <w:pPr>
        <w:pStyle w:val="Ttulo2"/>
      </w:pPr>
      <w:bookmarkStart w:id="18" w:name="_heading=h.4cdo10v3bosu" w:colFirst="0" w:colLast="0"/>
      <w:bookmarkStart w:id="19" w:name="_Toc205474902"/>
      <w:bookmarkEnd w:id="18"/>
      <w:r>
        <w:t>TERCERO. Determinación de la Controversia</w:t>
      </w:r>
      <w:bookmarkEnd w:id="19"/>
    </w:p>
    <w:p w14:paraId="42A19488"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4BCC0B75" w14:textId="77777777" w:rsidR="00247E13" w:rsidRDefault="00055BD7">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el objeto de ilustrar la controversia planteada, resulta conveniente precisar, que una vez realizado el estudio de las constancias que integran el expediente en que se actúa, se desprende que el Particular requirió los oficios firmados por el Titular de Protección Civil, del primero de enero al diecinueve de marzo de dos mil veinticinco.</w:t>
      </w:r>
    </w:p>
    <w:p w14:paraId="6DE0707A" w14:textId="77777777" w:rsidR="00247E13" w:rsidRDefault="00247E13">
      <w:pPr>
        <w:tabs>
          <w:tab w:val="left" w:pos="4962"/>
        </w:tabs>
        <w:spacing w:line="360" w:lineRule="auto"/>
        <w:jc w:val="both"/>
        <w:rPr>
          <w:rFonts w:ascii="Palatino Linotype" w:eastAsia="Palatino Linotype" w:hAnsi="Palatino Linotype" w:cs="Palatino Linotype"/>
          <w:color w:val="000000"/>
          <w:sz w:val="22"/>
          <w:szCs w:val="22"/>
        </w:rPr>
      </w:pPr>
    </w:p>
    <w:p w14:paraId="5647E484" w14:textId="77777777" w:rsidR="00247E13" w:rsidRDefault="00055BD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 xml:space="preserve">Así las cosas, una vez admitido y notificado el Recurso de Revisión a las partes, el Sujeto Obligado precisó las acciones realizadas para el desarrollo, difusión y promoción del sector productivo del Municipio, así mismo, cabe precisar que la persona Recurrente fue omisa en realizar manifestaciones o alegatos. </w:t>
      </w:r>
    </w:p>
    <w:p w14:paraId="1F1680E2" w14:textId="77777777" w:rsidR="00247E13" w:rsidRDefault="00247E1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3D5B2B47" w14:textId="77777777" w:rsidR="00247E13" w:rsidRDefault="00055BD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6D982014" w14:textId="77777777" w:rsidR="00247E13" w:rsidRDefault="00247E13">
      <w:pPr>
        <w:tabs>
          <w:tab w:val="left" w:pos="4962"/>
        </w:tabs>
        <w:spacing w:line="360" w:lineRule="auto"/>
        <w:jc w:val="both"/>
        <w:rPr>
          <w:rFonts w:ascii="Palatino Linotype" w:eastAsia="Palatino Linotype" w:hAnsi="Palatino Linotype" w:cs="Palatino Linotype"/>
          <w:sz w:val="22"/>
          <w:szCs w:val="22"/>
        </w:rPr>
      </w:pPr>
    </w:p>
    <w:p w14:paraId="00137E94" w14:textId="77777777" w:rsidR="00247E13" w:rsidRDefault="00055BD7">
      <w:pPr>
        <w:pStyle w:val="Ttulo2"/>
        <w:jc w:val="both"/>
      </w:pPr>
      <w:bookmarkStart w:id="20" w:name="_heading=h.9orhc9b2dha" w:colFirst="0" w:colLast="0"/>
      <w:bookmarkStart w:id="21" w:name="_Toc205474903"/>
      <w:bookmarkEnd w:id="20"/>
      <w:r>
        <w:t>CUARTO. Marco normativo aplicable en materia de transparencia y acceso a la información pública</w:t>
      </w:r>
      <w:bookmarkEnd w:id="21"/>
    </w:p>
    <w:p w14:paraId="06EBA90B" w14:textId="77777777" w:rsidR="00247E13" w:rsidRDefault="00247E13">
      <w:pPr>
        <w:spacing w:line="360" w:lineRule="auto"/>
        <w:jc w:val="both"/>
        <w:rPr>
          <w:rFonts w:ascii="Palatino Linotype" w:eastAsia="Palatino Linotype" w:hAnsi="Palatino Linotype" w:cs="Palatino Linotype"/>
          <w:sz w:val="22"/>
          <w:szCs w:val="22"/>
        </w:rPr>
      </w:pPr>
    </w:p>
    <w:p w14:paraId="19C0C418"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El artículo 6°, Apartado A), fracción I, de la Constitución Política de los Estados Unidos Mexicanos, establece que toda la información en posesión de cualquier </w:t>
      </w:r>
      <w:proofErr w:type="gramStart"/>
      <w:r>
        <w:rPr>
          <w:rFonts w:ascii="Palatino Linotype" w:eastAsia="Palatino Linotype" w:hAnsi="Palatino Linotype" w:cs="Palatino Linotype"/>
          <w:color w:val="000000"/>
          <w:sz w:val="22"/>
          <w:szCs w:val="22"/>
        </w:rPr>
        <w:t>autoridad,</w:t>
      </w:r>
      <w:proofErr w:type="gramEnd"/>
      <w:r>
        <w:rPr>
          <w:rFonts w:ascii="Palatino Linotype" w:eastAsia="Palatino Linotype" w:hAnsi="Palatino Linotype" w:cs="Palatino Linotype"/>
          <w:color w:val="000000"/>
          <w:sz w:val="22"/>
          <w:szCs w:val="22"/>
        </w:rPr>
        <w:t xml:space="preserve"> es pública y sólo podrá ser reservada temporalmente por razones de interés público.</w:t>
      </w:r>
    </w:p>
    <w:p w14:paraId="132F9D97"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24BD551C"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76DDBF"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0125B019"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su parte, la Ley de Transparencia y Acceso a la Información Pública del Estado de México y Municipios (Reglamentaria del artículo 5° de la Constitución Local), establece lo siguiente:</w:t>
      </w:r>
    </w:p>
    <w:p w14:paraId="1DE15C0B"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6994C4DF"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12, que, quienes generen, recopilen, administren, manejen, procesen, archiven o conserven información pública serán responsables de la misma.</w:t>
      </w:r>
    </w:p>
    <w:p w14:paraId="0B51912B"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533ADADD" w14:textId="77777777" w:rsidR="00247E13" w:rsidRDefault="00055BD7">
      <w:pPr>
        <w:widowControl w:val="0"/>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EB2BA0" w14:textId="77777777" w:rsidR="00247E13" w:rsidRDefault="00247E13">
      <w:pPr>
        <w:widowControl w:val="0"/>
        <w:spacing w:line="360" w:lineRule="auto"/>
        <w:jc w:val="both"/>
        <w:rPr>
          <w:rFonts w:ascii="Palatino Linotype" w:eastAsia="Palatino Linotype" w:hAnsi="Palatino Linotype" w:cs="Palatino Linotype"/>
          <w:color w:val="000000"/>
          <w:sz w:val="22"/>
          <w:szCs w:val="22"/>
        </w:rPr>
      </w:pPr>
    </w:p>
    <w:p w14:paraId="3FF55CB6"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F285D0" w14:textId="77777777" w:rsidR="00247E13" w:rsidRDefault="00247E13">
      <w:pPr>
        <w:spacing w:line="360" w:lineRule="auto"/>
        <w:jc w:val="both"/>
        <w:rPr>
          <w:rFonts w:ascii="Palatino Linotype" w:eastAsia="Palatino Linotype" w:hAnsi="Palatino Linotype" w:cs="Palatino Linotype"/>
          <w:sz w:val="22"/>
          <w:szCs w:val="22"/>
        </w:rPr>
      </w:pPr>
    </w:p>
    <w:p w14:paraId="6D045247" w14:textId="77777777" w:rsidR="00247E13" w:rsidRDefault="00055BD7">
      <w:pPr>
        <w:pStyle w:val="Ttulo2"/>
      </w:pPr>
      <w:bookmarkStart w:id="22" w:name="_heading=h.5cw1e8mey86o" w:colFirst="0" w:colLast="0"/>
      <w:bookmarkStart w:id="23" w:name="_Toc205474904"/>
      <w:bookmarkEnd w:id="22"/>
      <w:r>
        <w:lastRenderedPageBreak/>
        <w:t>QUINTO. Estudio de Fondo</w:t>
      </w:r>
      <w:bookmarkEnd w:id="23"/>
    </w:p>
    <w:p w14:paraId="59D56634" w14:textId="77777777" w:rsidR="00247E13" w:rsidRDefault="00247E13">
      <w:pPr>
        <w:spacing w:line="360" w:lineRule="auto"/>
        <w:jc w:val="both"/>
        <w:rPr>
          <w:rFonts w:ascii="Palatino Linotype" w:eastAsia="Palatino Linotype" w:hAnsi="Palatino Linotype" w:cs="Palatino Linotype"/>
          <w:sz w:val="22"/>
          <w:szCs w:val="22"/>
        </w:rPr>
      </w:pPr>
    </w:p>
    <w:p w14:paraId="6ABEAED5"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Ayuntamiento de Toluca a la solicitud de información.</w:t>
      </w:r>
    </w:p>
    <w:p w14:paraId="30460855" w14:textId="77777777" w:rsidR="00247E13" w:rsidRDefault="00247E13">
      <w:pPr>
        <w:spacing w:line="360" w:lineRule="auto"/>
        <w:jc w:val="both"/>
        <w:rPr>
          <w:rFonts w:ascii="Palatino Linotype" w:eastAsia="Palatino Linotype" w:hAnsi="Palatino Linotype" w:cs="Palatino Linotype"/>
          <w:sz w:val="22"/>
          <w:szCs w:val="22"/>
        </w:rPr>
      </w:pPr>
    </w:p>
    <w:p w14:paraId="09BA6E63"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02986B5" w14:textId="77777777" w:rsidR="00247E13" w:rsidRDefault="00247E13">
      <w:pPr>
        <w:spacing w:line="360" w:lineRule="auto"/>
        <w:jc w:val="both"/>
        <w:rPr>
          <w:rFonts w:ascii="Palatino Linotype" w:eastAsia="Palatino Linotype" w:hAnsi="Palatino Linotype" w:cs="Palatino Linotype"/>
          <w:sz w:val="22"/>
          <w:szCs w:val="22"/>
        </w:rPr>
      </w:pPr>
    </w:p>
    <w:p w14:paraId="6421B72D" w14:textId="77777777" w:rsidR="00247E13" w:rsidRDefault="00055BD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7C7D28FD" w14:textId="77777777" w:rsidR="00247E13" w:rsidRDefault="00247E13">
      <w:pPr>
        <w:spacing w:line="360" w:lineRule="auto"/>
        <w:ind w:left="720"/>
        <w:jc w:val="both"/>
        <w:rPr>
          <w:rFonts w:ascii="Palatino Linotype" w:eastAsia="Palatino Linotype" w:hAnsi="Palatino Linotype" w:cs="Palatino Linotype"/>
          <w:sz w:val="22"/>
          <w:szCs w:val="22"/>
        </w:rPr>
      </w:pPr>
    </w:p>
    <w:p w14:paraId="689A6479" w14:textId="77777777" w:rsidR="00247E13" w:rsidRDefault="00055BD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14:paraId="060D6BD3" w14:textId="77777777" w:rsidR="00247E13" w:rsidRDefault="00247E13">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4BEE266A" w14:textId="77777777" w:rsidR="00247E13" w:rsidRDefault="00055BD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0A448328" w14:textId="77777777" w:rsidR="00247E13" w:rsidRDefault="00247E13">
      <w:pPr>
        <w:spacing w:line="360" w:lineRule="auto"/>
        <w:jc w:val="both"/>
        <w:rPr>
          <w:rFonts w:ascii="Palatino Linotype" w:eastAsia="Palatino Linotype" w:hAnsi="Palatino Linotype" w:cs="Palatino Linotype"/>
          <w:sz w:val="22"/>
          <w:szCs w:val="22"/>
        </w:rPr>
      </w:pPr>
    </w:p>
    <w:p w14:paraId="0168566C"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deprende que los objetivos de la Ley de la </w:t>
      </w:r>
      <w:proofErr w:type="gramStart"/>
      <w:r>
        <w:rPr>
          <w:rFonts w:ascii="Palatino Linotype" w:eastAsia="Palatino Linotype" w:hAnsi="Palatino Linotype" w:cs="Palatino Linotype"/>
          <w:sz w:val="22"/>
          <w:szCs w:val="22"/>
        </w:rPr>
        <w:t>materia,</w:t>
      </w:r>
      <w:proofErr w:type="gramEnd"/>
      <w:r>
        <w:rPr>
          <w:rFonts w:ascii="Palatino Linotype" w:eastAsia="Palatino Linotype" w:hAnsi="Palatino Linotype" w:cs="Palatino Linotype"/>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Pr>
          <w:rFonts w:ascii="Palatino Linotype" w:eastAsia="Palatino Linotype" w:hAnsi="Palatino Linotype" w:cs="Palatino Linotype"/>
          <w:sz w:val="22"/>
          <w:szCs w:val="22"/>
        </w:rPr>
        <w:lastRenderedPageBreak/>
        <w:t>mecanismos que garanticen la publicidad de información oportuna, verificable, comprensible, actualizada y completa.</w:t>
      </w:r>
    </w:p>
    <w:p w14:paraId="1AC82C40" w14:textId="77777777" w:rsidR="00247E13" w:rsidRDefault="00247E13">
      <w:pPr>
        <w:spacing w:line="360" w:lineRule="auto"/>
        <w:jc w:val="both"/>
        <w:rPr>
          <w:rFonts w:ascii="Palatino Linotype" w:eastAsia="Palatino Linotype" w:hAnsi="Palatino Linotype" w:cs="Palatino Linotype"/>
          <w:sz w:val="22"/>
          <w:szCs w:val="22"/>
        </w:rPr>
      </w:pPr>
    </w:p>
    <w:p w14:paraId="0C5663E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942586F" w14:textId="77777777" w:rsidR="00247E13" w:rsidRDefault="00247E13">
      <w:pPr>
        <w:spacing w:line="360" w:lineRule="auto"/>
        <w:jc w:val="both"/>
        <w:rPr>
          <w:rFonts w:ascii="Palatino Linotype" w:eastAsia="Palatino Linotype" w:hAnsi="Palatino Linotype" w:cs="Palatino Linotype"/>
          <w:sz w:val="22"/>
          <w:szCs w:val="22"/>
        </w:rPr>
      </w:pPr>
    </w:p>
    <w:p w14:paraId="31478A8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09A4A4A" w14:textId="77777777" w:rsidR="00247E13" w:rsidRDefault="00247E13">
      <w:pPr>
        <w:spacing w:line="360" w:lineRule="auto"/>
        <w:jc w:val="both"/>
        <w:rPr>
          <w:rFonts w:ascii="Palatino Linotype" w:eastAsia="Palatino Linotype" w:hAnsi="Palatino Linotype" w:cs="Palatino Linotype"/>
          <w:sz w:val="22"/>
          <w:szCs w:val="22"/>
        </w:rPr>
      </w:pPr>
    </w:p>
    <w:p w14:paraId="5A20CC47"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749A000" w14:textId="77777777" w:rsidR="00247E13" w:rsidRDefault="00247E13">
      <w:pPr>
        <w:spacing w:line="360" w:lineRule="auto"/>
        <w:ind w:left="720"/>
        <w:jc w:val="both"/>
        <w:rPr>
          <w:rFonts w:ascii="Palatino Linotype" w:eastAsia="Palatino Linotype" w:hAnsi="Palatino Linotype" w:cs="Palatino Linotype"/>
          <w:sz w:val="22"/>
          <w:szCs w:val="22"/>
        </w:rPr>
      </w:pPr>
    </w:p>
    <w:p w14:paraId="1E8C0288"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C49EFC6" w14:textId="77777777" w:rsidR="00247E13" w:rsidRDefault="00247E13">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3B806D00"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8E26C65" w14:textId="77777777" w:rsidR="00247E13" w:rsidRDefault="00247E13">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31653EE7"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Unidades de Transparencia garantizarán que las solicitudes se turnen a todas las áreas competentes que cuenten con la información o deban tenerla </w:t>
      </w:r>
      <w:proofErr w:type="gramStart"/>
      <w:r>
        <w:rPr>
          <w:rFonts w:ascii="Palatino Linotype" w:eastAsia="Palatino Linotype" w:hAnsi="Palatino Linotype" w:cs="Palatino Linotype"/>
          <w:sz w:val="22"/>
          <w:szCs w:val="22"/>
        </w:rPr>
        <w:t>de acuerdo a</w:t>
      </w:r>
      <w:proofErr w:type="gramEnd"/>
      <w:r>
        <w:rPr>
          <w:rFonts w:ascii="Palatino Linotype" w:eastAsia="Palatino Linotype" w:hAnsi="Palatino Linotype" w:cs="Palatino Linotype"/>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42AE017" w14:textId="77777777" w:rsidR="00247E13" w:rsidRDefault="00247E13">
      <w:pPr>
        <w:rPr>
          <w:rFonts w:ascii="Palatino Linotype" w:eastAsia="Palatino Linotype" w:hAnsi="Palatino Linotype" w:cs="Palatino Linotype"/>
        </w:rPr>
      </w:pPr>
    </w:p>
    <w:p w14:paraId="4BE3805C"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1C0377D" w14:textId="77777777" w:rsidR="00247E13" w:rsidRDefault="00247E1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61DB017" w14:textId="77777777" w:rsidR="00247E13" w:rsidRDefault="00055BD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BF961F5" w14:textId="77777777" w:rsidR="00247E13" w:rsidRDefault="00247E13">
      <w:pPr>
        <w:spacing w:line="360" w:lineRule="auto"/>
        <w:jc w:val="both"/>
        <w:rPr>
          <w:rFonts w:ascii="Palatino Linotype" w:eastAsia="Palatino Linotype" w:hAnsi="Palatino Linotype" w:cs="Palatino Linotype"/>
          <w:sz w:val="22"/>
          <w:szCs w:val="22"/>
        </w:rPr>
      </w:pPr>
    </w:p>
    <w:p w14:paraId="592FDABB"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Una vez establecido lo anterior, es de indicar que el agravio del Particular consistió en que, a la fecha de interposición del Recurso de Revisión, el Ayuntamiento de Toluca, no había registrado respuesta al requerimiento de acceso a la información, el cual </w:t>
      </w:r>
      <w:proofErr w:type="gramStart"/>
      <w:r>
        <w:rPr>
          <w:rFonts w:ascii="Palatino Linotype" w:eastAsia="Palatino Linotype" w:hAnsi="Palatino Linotype" w:cs="Palatino Linotype"/>
          <w:sz w:val="22"/>
          <w:szCs w:val="22"/>
        </w:rPr>
        <w:t>se  tuvo</w:t>
      </w:r>
      <w:proofErr w:type="gramEnd"/>
      <w:r>
        <w:rPr>
          <w:rFonts w:ascii="Palatino Linotype" w:eastAsia="Palatino Linotype" w:hAnsi="Palatino Linotype" w:cs="Palatino Linotype"/>
          <w:sz w:val="22"/>
          <w:szCs w:val="22"/>
        </w:rPr>
        <w:t xml:space="preserve"> por presentado el diecinueve de mayo de dos mil veinticinco.</w:t>
      </w:r>
    </w:p>
    <w:p w14:paraId="1BE712F9" w14:textId="77777777" w:rsidR="00247E13" w:rsidRDefault="00247E13">
      <w:pPr>
        <w:spacing w:line="360" w:lineRule="auto"/>
        <w:jc w:val="both"/>
        <w:rPr>
          <w:rFonts w:ascii="Palatino Linotype" w:eastAsia="Palatino Linotype" w:hAnsi="Palatino Linotype" w:cs="Palatino Linotype"/>
          <w:sz w:val="22"/>
          <w:szCs w:val="22"/>
        </w:rPr>
      </w:pPr>
    </w:p>
    <w:p w14:paraId="0ACFA889" w14:textId="77777777" w:rsidR="00247E13" w:rsidRDefault="00055BD7">
      <w:pPr>
        <w:spacing w:line="360" w:lineRule="auto"/>
        <w:jc w:val="both"/>
        <w:rPr>
          <w:rFonts w:ascii="Palatino Linotype" w:eastAsia="Palatino Linotype" w:hAnsi="Palatino Linotype" w:cs="Palatino Linotype"/>
          <w:sz w:val="22"/>
          <w:szCs w:val="22"/>
        </w:rPr>
      </w:pPr>
      <w:bookmarkStart w:id="24" w:name="_heading=h.9yxba8xesz60" w:colFirst="0" w:colLast="0"/>
      <w:bookmarkEnd w:id="24"/>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veinte y feneció el nueve de junio, ambos de dos mil veinticinco; lo anterior, sin contar los días, veinticuatro, veinticinco y treinta y uno de mayo, al igual que el uno, siete y ocho de junio todos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5B814D96" w14:textId="77777777" w:rsidR="00247E13" w:rsidRDefault="00247E13">
      <w:pPr>
        <w:spacing w:line="360" w:lineRule="auto"/>
        <w:jc w:val="both"/>
        <w:rPr>
          <w:rFonts w:ascii="Palatino Linotype" w:eastAsia="Palatino Linotype" w:hAnsi="Palatino Linotype" w:cs="Palatino Linotype"/>
          <w:sz w:val="22"/>
          <w:szCs w:val="22"/>
        </w:rPr>
      </w:pPr>
    </w:p>
    <w:p w14:paraId="0A8A47B7"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75EDF13F" w14:textId="77777777" w:rsidR="00247E13" w:rsidRDefault="00247E13">
      <w:pPr>
        <w:spacing w:line="360" w:lineRule="auto"/>
        <w:rPr>
          <w:rFonts w:ascii="Palatino Linotype" w:eastAsia="Palatino Linotype" w:hAnsi="Palatino Linotype" w:cs="Palatino Linotype"/>
          <w:sz w:val="22"/>
          <w:szCs w:val="22"/>
        </w:rPr>
      </w:pPr>
    </w:p>
    <w:p w14:paraId="444CFFD0" w14:textId="77777777" w:rsidR="00247E13" w:rsidRDefault="00055BD7">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5939A51E" wp14:editId="13805787">
            <wp:extent cx="2919098" cy="169106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919098" cy="1691063"/>
                    </a:xfrm>
                    <a:prstGeom prst="rect">
                      <a:avLst/>
                    </a:prstGeom>
                    <a:ln/>
                  </pic:spPr>
                </pic:pic>
              </a:graphicData>
            </a:graphic>
          </wp:inline>
        </w:drawing>
      </w:r>
    </w:p>
    <w:p w14:paraId="58FEA734" w14:textId="77777777" w:rsidR="00247E13" w:rsidRDefault="00247E13">
      <w:pPr>
        <w:spacing w:line="360" w:lineRule="auto"/>
        <w:rPr>
          <w:rFonts w:ascii="Palatino Linotype" w:eastAsia="Palatino Linotype" w:hAnsi="Palatino Linotype" w:cs="Palatino Linotype"/>
          <w:sz w:val="22"/>
          <w:szCs w:val="22"/>
        </w:rPr>
      </w:pPr>
    </w:p>
    <w:p w14:paraId="3C614B29" w14:textId="77777777" w:rsidR="00247E13" w:rsidRDefault="00055BD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que, tal como lo precisó la persona Recurrente, el Ayuntamiento de Toluca, no emitió respuesta para dar contestación a la solicitud de acceso a la información pública, dentro de los plazos establecidos en el artículo 163, de la Ley de Transparencia y Acceso a la Información Pública del Estado de México y Municipios, pues tenía hasta el nueve de junio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w:t>
      </w:r>
    </w:p>
    <w:p w14:paraId="7B8D327E" w14:textId="77777777" w:rsidR="00247E13" w:rsidRDefault="00247E13">
      <w:pPr>
        <w:tabs>
          <w:tab w:val="left" w:pos="4962"/>
        </w:tabs>
        <w:spacing w:line="360" w:lineRule="auto"/>
        <w:jc w:val="both"/>
        <w:rPr>
          <w:rFonts w:ascii="Palatino Linotype" w:eastAsia="Palatino Linotype" w:hAnsi="Palatino Linotype" w:cs="Palatino Linotype"/>
          <w:sz w:val="22"/>
          <w:szCs w:val="22"/>
        </w:rPr>
      </w:pPr>
    </w:p>
    <w:p w14:paraId="72D6FA5D" w14:textId="77777777" w:rsidR="00247E13" w:rsidRDefault="00055BD7">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No obstante, durante la substanciación del Medio de Impugnación, el Ente Recurrido emitió contestación, por lo que se procede a su análisis, para lo cual es necesario contextualizar la solicitud de información.</w:t>
      </w:r>
    </w:p>
    <w:p w14:paraId="3C4FC5E2" w14:textId="77777777" w:rsidR="00247E13" w:rsidRDefault="00247E13">
      <w:pPr>
        <w:tabs>
          <w:tab w:val="left" w:pos="4962"/>
        </w:tabs>
        <w:spacing w:line="360" w:lineRule="auto"/>
        <w:jc w:val="both"/>
        <w:rPr>
          <w:rFonts w:ascii="Palatino Linotype" w:eastAsia="Palatino Linotype" w:hAnsi="Palatino Linotype" w:cs="Palatino Linotype"/>
        </w:rPr>
      </w:pPr>
    </w:p>
    <w:p w14:paraId="5B6751EE" w14:textId="77777777" w:rsidR="00247E13" w:rsidRDefault="00055BD7">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Pr>
          <w:rFonts w:ascii="Palatino Linotype" w:eastAsia="Palatino Linotype" w:hAnsi="Palatino Linotype" w:cs="Palatino Linotype"/>
          <w:b/>
          <w:color w:val="000000"/>
          <w:sz w:val="22"/>
          <w:szCs w:val="22"/>
        </w:rPr>
        <w:t>toda la información generada, obtenida, adquirida, transformada o en posesión de los sujetos obligados es pública y accesible a cualquier persona.</w:t>
      </w:r>
    </w:p>
    <w:p w14:paraId="25BF07B5" w14:textId="77777777" w:rsidR="00247E13" w:rsidRDefault="00247E13">
      <w:pPr>
        <w:tabs>
          <w:tab w:val="left" w:pos="4962"/>
        </w:tabs>
        <w:spacing w:line="360" w:lineRule="auto"/>
        <w:jc w:val="both"/>
        <w:rPr>
          <w:rFonts w:ascii="Palatino Linotype" w:eastAsia="Palatino Linotype" w:hAnsi="Palatino Linotype" w:cs="Palatino Linotype"/>
          <w:color w:val="000000"/>
          <w:sz w:val="22"/>
          <w:szCs w:val="22"/>
        </w:rPr>
      </w:pPr>
    </w:p>
    <w:p w14:paraId="2C9761FA"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469688A4"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1804C6BC" w14:textId="77777777" w:rsidR="00247E13" w:rsidRDefault="00055BD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w:t>
      </w:r>
      <w:r>
        <w:rPr>
          <w:rFonts w:ascii="Palatino Linotype" w:eastAsia="Palatino Linotype" w:hAnsi="Palatino Linotype" w:cs="Palatino Linotype"/>
          <w:color w:val="0D0D0D"/>
          <w:sz w:val="22"/>
          <w:szCs w:val="22"/>
        </w:rPr>
        <w:lastRenderedPageBreak/>
        <w:t>dejar constancia o registro material de las actividades efectuadas con motivo del ejercicio de sus atribuciones de cualquier acto que derive del ejercicio de sus facultades, competencias o funciones.</w:t>
      </w:r>
    </w:p>
    <w:p w14:paraId="0A48D4E5" w14:textId="77777777" w:rsidR="00247E13" w:rsidRDefault="00247E13">
      <w:pPr>
        <w:spacing w:line="360" w:lineRule="auto"/>
        <w:jc w:val="both"/>
        <w:rPr>
          <w:rFonts w:ascii="Palatino Linotype" w:eastAsia="Palatino Linotype" w:hAnsi="Palatino Linotype" w:cs="Palatino Linotype"/>
          <w:color w:val="0D0D0D"/>
          <w:sz w:val="22"/>
          <w:szCs w:val="22"/>
        </w:rPr>
      </w:pPr>
    </w:p>
    <w:p w14:paraId="271C0A51" w14:textId="77777777" w:rsidR="00247E13" w:rsidRDefault="00055BD7">
      <w:pPr>
        <w:widowControl w:val="0"/>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9C496F2" w14:textId="77777777" w:rsidR="00247E13" w:rsidRDefault="00247E13">
      <w:pPr>
        <w:widowControl w:val="0"/>
        <w:spacing w:line="360" w:lineRule="auto"/>
        <w:jc w:val="both"/>
        <w:rPr>
          <w:rFonts w:ascii="Palatino Linotype" w:eastAsia="Palatino Linotype" w:hAnsi="Palatino Linotype" w:cs="Palatino Linotype"/>
          <w:color w:val="0D0D0D"/>
          <w:sz w:val="22"/>
          <w:szCs w:val="22"/>
        </w:rPr>
      </w:pPr>
    </w:p>
    <w:p w14:paraId="05DFB3BC" w14:textId="77777777" w:rsidR="00247E13" w:rsidRDefault="00055BD7">
      <w:pPr>
        <w:widowControl w:val="0"/>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En ese orden de ideas, cabe precisar que dentro del </w:t>
      </w:r>
      <w:proofErr w:type="spellStart"/>
      <w:r>
        <w:rPr>
          <w:rFonts w:ascii="Palatino Linotype" w:eastAsia="Palatino Linotype" w:hAnsi="Palatino Linotype" w:cs="Palatino Linotype"/>
          <w:color w:val="0D0D0D"/>
          <w:sz w:val="22"/>
          <w:szCs w:val="22"/>
        </w:rPr>
        <w:t>articulo</w:t>
      </w:r>
      <w:proofErr w:type="spellEnd"/>
      <w:r>
        <w:rPr>
          <w:rFonts w:ascii="Palatino Linotype" w:eastAsia="Palatino Linotype" w:hAnsi="Palatino Linotype" w:cs="Palatino Linotype"/>
          <w:color w:val="0D0D0D"/>
          <w:sz w:val="22"/>
          <w:szCs w:val="22"/>
        </w:rPr>
        <w:t xml:space="preserve"> 105 de del Bando Municipal de Toluca dos mil veinticinco menciona que por servicio público se entiende a toda prestación concreta que tiende a satisfacer las necesidades públicas municipales. La prestación de los servicios públicos corresponde al Municipio, quien podrá cumplir con dichas obligaciones de manera directa o con la concurrencia de los particulares, de otro municipio, del Estado, Federación y concesionarios.  Por lo que el Municipio, a través de las dependencias y organismos municipales que determine, tendrá a su cargo la planeación, prestación, implementación, administración, organización, evaluación, modificación, mejoramiento y ejecución de los servicios públicos que le confieren las disposiciones federales y estatales. </w:t>
      </w:r>
    </w:p>
    <w:p w14:paraId="71FEE379" w14:textId="77777777" w:rsidR="00247E13" w:rsidRDefault="00247E13">
      <w:pPr>
        <w:widowControl w:val="0"/>
        <w:spacing w:line="360" w:lineRule="auto"/>
        <w:jc w:val="both"/>
        <w:rPr>
          <w:rFonts w:ascii="Palatino Linotype" w:eastAsia="Palatino Linotype" w:hAnsi="Palatino Linotype" w:cs="Palatino Linotype"/>
          <w:color w:val="0D0D0D"/>
          <w:sz w:val="22"/>
          <w:szCs w:val="22"/>
        </w:rPr>
      </w:pPr>
    </w:p>
    <w:p w14:paraId="5A69914A" w14:textId="77777777" w:rsidR="00247E13" w:rsidRDefault="00055BD7">
      <w:pPr>
        <w:widowControl w:val="0"/>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Como lo son los servicios públicos que presta el municipio: </w:t>
      </w:r>
    </w:p>
    <w:p w14:paraId="1EF7B94C" w14:textId="77777777" w:rsidR="00247E13" w:rsidRDefault="00247E13">
      <w:pPr>
        <w:widowControl w:val="0"/>
        <w:spacing w:line="360" w:lineRule="auto"/>
        <w:jc w:val="both"/>
        <w:rPr>
          <w:rFonts w:ascii="Palatino Linotype" w:eastAsia="Palatino Linotype" w:hAnsi="Palatino Linotype" w:cs="Palatino Linotype"/>
          <w:color w:val="0D0D0D"/>
          <w:sz w:val="22"/>
          <w:szCs w:val="22"/>
        </w:rPr>
      </w:pPr>
    </w:p>
    <w:p w14:paraId="208C644A"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Agua potable, drenaje, alcantarillado y tratamiento de aguas residuales; </w:t>
      </w:r>
    </w:p>
    <w:p w14:paraId="44F02FE4"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Alumbrado público; </w:t>
      </w:r>
    </w:p>
    <w:p w14:paraId="4D6A22D5"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Limpia y tratamiento integral de residuos sólidos;</w:t>
      </w:r>
    </w:p>
    <w:p w14:paraId="7BC71985"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Mercados; </w:t>
      </w:r>
    </w:p>
    <w:p w14:paraId="202B02D9"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lastRenderedPageBreak/>
        <w:t xml:space="preserve">Panteones municipales; </w:t>
      </w:r>
    </w:p>
    <w:p w14:paraId="2D18F84E"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Rastro; </w:t>
      </w:r>
    </w:p>
    <w:p w14:paraId="31FA8807"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Parques y jardines; </w:t>
      </w:r>
    </w:p>
    <w:p w14:paraId="73413727"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Seguridad pública y vial; </w:t>
      </w:r>
    </w:p>
    <w:p w14:paraId="27EDBF5E"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 xml:space="preserve">Protección civil y bomberos; </w:t>
      </w:r>
    </w:p>
    <w:p w14:paraId="66D337B6"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Estacionamientos; </w:t>
      </w:r>
    </w:p>
    <w:p w14:paraId="500D34A8"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Control y Bienestar Animal; </w:t>
      </w:r>
    </w:p>
    <w:p w14:paraId="25A9EE52" w14:textId="77777777" w:rsidR="00247E13" w:rsidRDefault="00055BD7">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Los demás que le confiera la ley.</w:t>
      </w:r>
    </w:p>
    <w:p w14:paraId="032878BD" w14:textId="77777777" w:rsidR="00247E13" w:rsidRDefault="00247E13">
      <w:pPr>
        <w:widowControl w:val="0"/>
        <w:spacing w:line="360" w:lineRule="auto"/>
        <w:jc w:val="both"/>
        <w:rPr>
          <w:rFonts w:ascii="Palatino Linotype" w:eastAsia="Palatino Linotype" w:hAnsi="Palatino Linotype" w:cs="Palatino Linotype"/>
          <w:color w:val="0D0D0D"/>
          <w:sz w:val="22"/>
          <w:szCs w:val="22"/>
        </w:rPr>
      </w:pPr>
    </w:p>
    <w:p w14:paraId="42AC9FEF" w14:textId="77777777" w:rsidR="00247E13" w:rsidRDefault="00055BD7">
      <w:pPr>
        <w:widowControl w:val="0"/>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Conforme a lo anterior, el Manual de Organización de la Presidencia Municipal vigente del Ayuntamiento de Toluca, en su artículo 3.8 fracción XVII, VIII y II, que a su </w:t>
      </w:r>
      <w:proofErr w:type="gramStart"/>
      <w:r>
        <w:rPr>
          <w:rFonts w:ascii="Palatino Linotype" w:eastAsia="Palatino Linotype" w:hAnsi="Palatino Linotype" w:cs="Palatino Linotype"/>
          <w:color w:val="0D0D0D"/>
          <w:sz w:val="22"/>
          <w:szCs w:val="22"/>
        </w:rPr>
        <w:t>vez  menciona</w:t>
      </w:r>
      <w:proofErr w:type="gramEnd"/>
      <w:r>
        <w:rPr>
          <w:rFonts w:ascii="Palatino Linotype" w:eastAsia="Palatino Linotype" w:hAnsi="Palatino Linotype" w:cs="Palatino Linotype"/>
          <w:color w:val="0D0D0D"/>
          <w:sz w:val="22"/>
          <w:szCs w:val="22"/>
        </w:rPr>
        <w:t xml:space="preserve"> que corresponde a las o </w:t>
      </w:r>
      <w:r>
        <w:rPr>
          <w:rFonts w:ascii="Palatino Linotype" w:eastAsia="Palatino Linotype" w:hAnsi="Palatino Linotype" w:cs="Palatino Linotype"/>
          <w:b/>
          <w:color w:val="0D0D0D"/>
          <w:sz w:val="22"/>
          <w:szCs w:val="22"/>
        </w:rPr>
        <w:t>los titulares de las dependencias</w:t>
      </w:r>
      <w:r>
        <w:rPr>
          <w:rFonts w:ascii="Palatino Linotype" w:eastAsia="Palatino Linotype" w:hAnsi="Palatino Linotype" w:cs="Palatino Linotype"/>
          <w:color w:val="0D0D0D"/>
          <w:sz w:val="22"/>
          <w:szCs w:val="22"/>
        </w:rPr>
        <w:t>, el ejercicio de las siguientes atribuciones genéricas, solo por mencionar las más importantes:</w:t>
      </w:r>
    </w:p>
    <w:p w14:paraId="73807348" w14:textId="77777777" w:rsidR="00247E13" w:rsidRDefault="00247E13">
      <w:pPr>
        <w:widowControl w:val="0"/>
        <w:spacing w:line="360" w:lineRule="auto"/>
        <w:jc w:val="both"/>
        <w:rPr>
          <w:rFonts w:ascii="Palatino Linotype" w:eastAsia="Palatino Linotype" w:hAnsi="Palatino Linotype" w:cs="Palatino Linotype"/>
          <w:color w:val="0D0D0D"/>
          <w:sz w:val="22"/>
          <w:szCs w:val="22"/>
        </w:rPr>
      </w:pPr>
    </w:p>
    <w:p w14:paraId="21D391BC" w14:textId="77777777" w:rsidR="00247E13" w:rsidRDefault="00055BD7">
      <w:pPr>
        <w:widowControl w:val="0"/>
        <w:numPr>
          <w:ilvl w:val="0"/>
          <w:numId w:val="7"/>
        </w:numPr>
        <w:pBdr>
          <w:top w:val="nil"/>
          <w:left w:val="nil"/>
          <w:bottom w:val="nil"/>
          <w:right w:val="nil"/>
          <w:between w:val="nil"/>
        </w:pBdr>
        <w:spacing w:line="360" w:lineRule="auto"/>
        <w:ind w:left="993"/>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Formular y entregar oportunamente los dictámenes, opiniones e informes que les sean solicitados por el presidente municipal, por los miembros del cuerpo edilicio y/o cualquier otra autoridad administrativa o jurisdiccional;</w:t>
      </w:r>
    </w:p>
    <w:p w14:paraId="4C8AA772" w14:textId="77777777" w:rsidR="00247E13" w:rsidRDefault="00247E13">
      <w:pPr>
        <w:widowControl w:val="0"/>
        <w:pBdr>
          <w:top w:val="nil"/>
          <w:left w:val="nil"/>
          <w:bottom w:val="nil"/>
          <w:right w:val="nil"/>
          <w:between w:val="nil"/>
        </w:pBdr>
        <w:spacing w:line="360" w:lineRule="auto"/>
        <w:ind w:left="993"/>
        <w:jc w:val="both"/>
        <w:rPr>
          <w:rFonts w:ascii="Palatino Linotype" w:eastAsia="Palatino Linotype" w:hAnsi="Palatino Linotype" w:cs="Palatino Linotype"/>
          <w:color w:val="0D0D0D"/>
          <w:sz w:val="22"/>
          <w:szCs w:val="22"/>
        </w:rPr>
      </w:pPr>
    </w:p>
    <w:p w14:paraId="7E46AB8F" w14:textId="77777777" w:rsidR="00247E13" w:rsidRDefault="00055BD7">
      <w:pPr>
        <w:widowControl w:val="0"/>
        <w:numPr>
          <w:ilvl w:val="0"/>
          <w:numId w:val="6"/>
        </w:numPr>
        <w:pBdr>
          <w:top w:val="nil"/>
          <w:left w:val="nil"/>
          <w:bottom w:val="nil"/>
          <w:right w:val="nil"/>
          <w:between w:val="nil"/>
        </w:pBdr>
        <w:spacing w:line="360" w:lineRule="auto"/>
        <w:ind w:left="993"/>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Acordar con sus directores de área, coordinadores, jefes de departamento y demás servidores públicos adscritos al área de la cual son titulares, los asuntos que sean de su competencia; concederán audiencias al público sobre asuntos de los cuales los particulares sean parte y se encuentren tramitando en el área a su cargo;</w:t>
      </w:r>
    </w:p>
    <w:p w14:paraId="78308368" w14:textId="77777777" w:rsidR="00247E13" w:rsidRDefault="00247E13">
      <w:pPr>
        <w:pBdr>
          <w:top w:val="nil"/>
          <w:left w:val="nil"/>
          <w:bottom w:val="nil"/>
          <w:right w:val="nil"/>
          <w:between w:val="nil"/>
        </w:pBdr>
        <w:ind w:left="993"/>
        <w:rPr>
          <w:rFonts w:ascii="Palatino Linotype" w:eastAsia="Palatino Linotype" w:hAnsi="Palatino Linotype" w:cs="Palatino Linotype"/>
          <w:color w:val="0D0D0D"/>
          <w:sz w:val="22"/>
          <w:szCs w:val="22"/>
        </w:rPr>
      </w:pPr>
    </w:p>
    <w:p w14:paraId="782E33B9" w14:textId="77777777" w:rsidR="00247E13" w:rsidRDefault="00055BD7">
      <w:pPr>
        <w:widowControl w:val="0"/>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Suscribir los documentos que expidan, relacionados con el ejercicio de sus atribuciones;</w:t>
      </w:r>
    </w:p>
    <w:p w14:paraId="1F8345A8" w14:textId="77777777" w:rsidR="00247E13" w:rsidRDefault="00247E13">
      <w:pPr>
        <w:tabs>
          <w:tab w:val="left" w:pos="4962"/>
        </w:tabs>
        <w:spacing w:line="360" w:lineRule="auto"/>
        <w:jc w:val="both"/>
        <w:rPr>
          <w:rFonts w:ascii="Palatino Linotype" w:eastAsia="Palatino Linotype" w:hAnsi="Palatino Linotype" w:cs="Palatino Linotype"/>
          <w:sz w:val="22"/>
          <w:szCs w:val="22"/>
        </w:rPr>
      </w:pPr>
    </w:p>
    <w:p w14:paraId="0A1404D8" w14:textId="77777777" w:rsidR="00247E13" w:rsidRDefault="00055BD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Ahora </w:t>
      </w:r>
      <w:proofErr w:type="gramStart"/>
      <w:r>
        <w:rPr>
          <w:rFonts w:ascii="Palatino Linotype" w:eastAsia="Palatino Linotype" w:hAnsi="Palatino Linotype" w:cs="Palatino Linotype"/>
          <w:sz w:val="22"/>
          <w:szCs w:val="22"/>
        </w:rPr>
        <w:t>bien</w:t>
      </w:r>
      <w:proofErr w:type="gramEnd"/>
      <w:r>
        <w:rPr>
          <w:rFonts w:ascii="Palatino Linotype" w:eastAsia="Palatino Linotype" w:hAnsi="Palatino Linotype" w:cs="Palatino Linotype"/>
          <w:sz w:val="22"/>
          <w:szCs w:val="22"/>
        </w:rPr>
        <w:t xml:space="preserve"> dentro del Manual de Organización de la Dirección General de Seguridad y Protección del Municipio de Toluca vigente, será atribución de la Coordinación de Protección Civil y Bomberos recopilar y mantener constantemente actualizada en una base de datos, la información de la misma coordinación.</w:t>
      </w:r>
    </w:p>
    <w:p w14:paraId="3D0A7888" w14:textId="77777777" w:rsidR="00247E13" w:rsidRDefault="00247E13">
      <w:pPr>
        <w:tabs>
          <w:tab w:val="left" w:pos="4962"/>
        </w:tabs>
        <w:spacing w:line="360" w:lineRule="auto"/>
        <w:jc w:val="both"/>
        <w:rPr>
          <w:rFonts w:ascii="Palatino Linotype" w:eastAsia="Palatino Linotype" w:hAnsi="Palatino Linotype" w:cs="Palatino Linotype"/>
          <w:sz w:val="22"/>
          <w:szCs w:val="22"/>
        </w:rPr>
      </w:pPr>
    </w:p>
    <w:p w14:paraId="55BEDDBC"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Establecido lo anterior, de las constancias que obran en el expediente se advierte que el Sujeto Obligado turno el requerimiento de información a la Secretaría del Ayuntamiento,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164D5775"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020D50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de lo expuesto en párrafos que anteceden, se logra colegir que el Sujeto Obligado no cumplió con el procedimiento de búsqueda establecido en el artículo 162 de la Ley de Transparencia y Acceso a la Información Pública del Estado de México y Municipios, pues turno la solicitud de información a la Secretaría del Ayuntamiento, la cual no tiene atribuciones para conocer de la información peticionada, por lo que, por obvias razones, no se puede tener por atendido el requerimiento de información.</w:t>
      </w:r>
    </w:p>
    <w:p w14:paraId="76997037" w14:textId="77777777" w:rsidR="00247E13" w:rsidRDefault="00247E13">
      <w:pPr>
        <w:spacing w:line="360" w:lineRule="auto"/>
        <w:jc w:val="both"/>
        <w:rPr>
          <w:rFonts w:ascii="Palatino Linotype" w:eastAsia="Palatino Linotype" w:hAnsi="Palatino Linotype" w:cs="Palatino Linotype"/>
          <w:sz w:val="22"/>
          <w:szCs w:val="22"/>
        </w:rPr>
      </w:pPr>
    </w:p>
    <w:p w14:paraId="7772E5CA"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este Instituto considera que, para atender el requerimiento de información, el Sujeto Obligado deberá realizar una búsqueda exhaustiva y razonable en los archivos de su competencia a efecto de que proporcione los oficios firmados por el Coordinador de Protección Civil y Bomberos del primero de enero al diecinueve de mayo de dos mil </w:t>
      </w:r>
      <w:r>
        <w:rPr>
          <w:rFonts w:ascii="Palatino Linotype" w:eastAsia="Palatino Linotype" w:hAnsi="Palatino Linotype" w:cs="Palatino Linotype"/>
          <w:color w:val="000000"/>
          <w:sz w:val="22"/>
          <w:szCs w:val="22"/>
        </w:rPr>
        <w:lastRenderedPageBreak/>
        <w:t>veinticinco, con el fin de dar cumplimiento a los artículos 12 y 160 de la Ley de Transparencia y Acceso a la Información Pública del Estado de México y Municipios.</w:t>
      </w:r>
    </w:p>
    <w:p w14:paraId="0DE6614F"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A2FCEF7"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723CD91"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3922CD6"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entregar los oficios firmados por el titular de la Coordinación de Protección Civil y Bomberos.</w:t>
      </w:r>
    </w:p>
    <w:p w14:paraId="09CEDCA5" w14:textId="77777777" w:rsidR="00247E13" w:rsidRDefault="00247E13">
      <w:pPr>
        <w:spacing w:line="360" w:lineRule="auto"/>
        <w:jc w:val="both"/>
        <w:rPr>
          <w:rFonts w:ascii="Palatino Linotype" w:eastAsia="Palatino Linotype" w:hAnsi="Palatino Linotype" w:cs="Palatino Linotype"/>
          <w:sz w:val="22"/>
          <w:szCs w:val="22"/>
        </w:rPr>
      </w:pPr>
    </w:p>
    <w:p w14:paraId="5FF363AE"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para el caso de que haya cancelado alguno de los oficios, deberá hacerlo del conocimiento de la parte Recurrente de manera clara y precisa, en términos del artículo 19, párrafo segundo, de la Ley de Transparencia y Acceso a la Información Pública del Estado de México y Municipios.</w:t>
      </w:r>
    </w:p>
    <w:p w14:paraId="1743FDD4" w14:textId="77777777" w:rsidR="00247E13" w:rsidRDefault="00247E13">
      <w:pPr>
        <w:widowControl w:val="0"/>
        <w:tabs>
          <w:tab w:val="center" w:pos="4522"/>
        </w:tabs>
        <w:spacing w:line="360" w:lineRule="auto"/>
        <w:jc w:val="both"/>
        <w:rPr>
          <w:rFonts w:ascii="Palatino Linotype" w:eastAsia="Palatino Linotype" w:hAnsi="Palatino Linotype" w:cs="Palatino Linotype"/>
          <w:sz w:val="22"/>
          <w:szCs w:val="22"/>
        </w:rPr>
      </w:pPr>
    </w:p>
    <w:p w14:paraId="266D6BE9" w14:textId="77777777" w:rsidR="00247E13" w:rsidRDefault="00055BD7">
      <w:pPr>
        <w:spacing w:line="360" w:lineRule="auto"/>
        <w:jc w:val="both"/>
        <w:rPr>
          <w:rFonts w:ascii="Palatino Linotype" w:eastAsia="Palatino Linotype" w:hAnsi="Palatino Linotype" w:cs="Palatino Linotype"/>
          <w:sz w:val="22"/>
          <w:szCs w:val="22"/>
        </w:rPr>
      </w:pPr>
      <w:bookmarkStart w:id="25" w:name="_heading=h.kwz8cdpb9gis" w:colFirst="0" w:colLast="0"/>
      <w:bookmarkEnd w:id="25"/>
      <w:r>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Pr>
          <w:rFonts w:ascii="Palatino Linotype" w:eastAsia="Palatino Linotype" w:hAnsi="Palatino Linotype" w:cs="Palatino Linotype"/>
          <w:sz w:val="22"/>
          <w:szCs w:val="22"/>
        </w:rPr>
        <w:lastRenderedPageBreak/>
        <w:t xml:space="preserve">clasificadas, indicando su contenido de manera genérica y fundando y motivando su clasificación. </w:t>
      </w:r>
    </w:p>
    <w:p w14:paraId="4ED17E78" w14:textId="77777777" w:rsidR="00247E13" w:rsidRDefault="00247E13">
      <w:pPr>
        <w:spacing w:line="360" w:lineRule="auto"/>
        <w:jc w:val="both"/>
        <w:rPr>
          <w:rFonts w:ascii="Palatino Linotype" w:eastAsia="Palatino Linotype" w:hAnsi="Palatino Linotype" w:cs="Palatino Linotype"/>
          <w:sz w:val="22"/>
          <w:szCs w:val="22"/>
        </w:rPr>
      </w:pPr>
    </w:p>
    <w:p w14:paraId="55ED9D9B"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7C41F40" w14:textId="77777777" w:rsidR="00247E13" w:rsidRDefault="00247E13">
      <w:pPr>
        <w:spacing w:line="360" w:lineRule="auto"/>
        <w:jc w:val="both"/>
        <w:rPr>
          <w:rFonts w:ascii="Palatino Linotype" w:eastAsia="Palatino Linotype" w:hAnsi="Palatino Linotype" w:cs="Palatino Linotype"/>
          <w:sz w:val="22"/>
          <w:szCs w:val="22"/>
        </w:rPr>
      </w:pPr>
    </w:p>
    <w:p w14:paraId="59EF88DB" w14:textId="77777777" w:rsidR="00247E13" w:rsidRDefault="00247E13">
      <w:pPr>
        <w:spacing w:line="360" w:lineRule="auto"/>
        <w:jc w:val="both"/>
        <w:rPr>
          <w:rFonts w:ascii="Palatino Linotype" w:eastAsia="Palatino Linotype" w:hAnsi="Palatino Linotype" w:cs="Palatino Linotype"/>
          <w:sz w:val="22"/>
          <w:szCs w:val="22"/>
        </w:rPr>
      </w:pPr>
    </w:p>
    <w:p w14:paraId="556212A6" w14:textId="77777777" w:rsidR="00247E13" w:rsidRDefault="00055BD7">
      <w:pPr>
        <w:pStyle w:val="Ttulo2"/>
      </w:pPr>
      <w:bookmarkStart w:id="26" w:name="_heading=h.e2zn9j7ul9tl" w:colFirst="0" w:colLast="0"/>
      <w:bookmarkStart w:id="27" w:name="_Toc205474905"/>
      <w:bookmarkEnd w:id="26"/>
      <w:r>
        <w:t>SEXTO. Decisión</w:t>
      </w:r>
      <w:bookmarkEnd w:id="27"/>
    </w:p>
    <w:p w14:paraId="2E724305" w14:textId="77777777" w:rsidR="00247E13" w:rsidRDefault="00247E13">
      <w:pPr>
        <w:spacing w:line="360" w:lineRule="auto"/>
        <w:jc w:val="both"/>
        <w:rPr>
          <w:rFonts w:ascii="Palatino Linotype" w:eastAsia="Palatino Linotype" w:hAnsi="Palatino Linotype" w:cs="Palatino Linotype"/>
          <w:sz w:val="22"/>
          <w:szCs w:val="22"/>
        </w:rPr>
      </w:pPr>
    </w:p>
    <w:p w14:paraId="7081F30D" w14:textId="77777777" w:rsidR="00247E13" w:rsidRDefault="00055BD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color w:val="0D0D0D"/>
          <w:sz w:val="22"/>
          <w:szCs w:val="22"/>
        </w:rPr>
        <w:t xml:space="preserve">Ayuntamiento de Toluca, a efecto de que, </w:t>
      </w:r>
      <w:r>
        <w:rPr>
          <w:rFonts w:ascii="Palatino Linotype" w:eastAsia="Palatino Linotype" w:hAnsi="Palatino Linotype" w:cs="Palatino Linotype"/>
          <w:color w:val="000000"/>
          <w:sz w:val="22"/>
          <w:szCs w:val="22"/>
        </w:rPr>
        <w:t>previa búsqueda exhaustiva y razonable, en los archivos de las unidades administrativas competentes, entregue, en su caso en versión pública, la información solicitada.</w:t>
      </w:r>
    </w:p>
    <w:p w14:paraId="44562A91" w14:textId="77777777" w:rsidR="00247E13" w:rsidRDefault="00247E13">
      <w:pPr>
        <w:spacing w:line="360" w:lineRule="auto"/>
        <w:jc w:val="both"/>
        <w:rPr>
          <w:rFonts w:ascii="Palatino Linotype" w:eastAsia="Palatino Linotype" w:hAnsi="Palatino Linotype" w:cs="Palatino Linotype"/>
          <w:sz w:val="22"/>
          <w:szCs w:val="22"/>
        </w:rPr>
      </w:pPr>
    </w:p>
    <w:p w14:paraId="38ABC56F" w14:textId="77777777" w:rsidR="00247E13" w:rsidRDefault="00055BD7">
      <w:pPr>
        <w:pStyle w:val="Ttulo2"/>
      </w:pPr>
      <w:bookmarkStart w:id="28" w:name="_heading=h.26d9fxt31u1o" w:colFirst="0" w:colLast="0"/>
      <w:bookmarkStart w:id="29" w:name="_Toc205474906"/>
      <w:bookmarkEnd w:id="28"/>
      <w:r>
        <w:t>SÉPTIMO. Vista a la Secretaría Técnica del Pleno</w:t>
      </w:r>
      <w:bookmarkEnd w:id="29"/>
    </w:p>
    <w:p w14:paraId="30C1F51D" w14:textId="77777777" w:rsidR="00247E13" w:rsidRDefault="00247E13">
      <w:pPr>
        <w:spacing w:line="360" w:lineRule="auto"/>
        <w:jc w:val="both"/>
        <w:rPr>
          <w:rFonts w:ascii="Palatino Linotype" w:eastAsia="Palatino Linotype" w:hAnsi="Palatino Linotype" w:cs="Palatino Linotype"/>
          <w:sz w:val="22"/>
          <w:szCs w:val="22"/>
        </w:rPr>
      </w:pPr>
    </w:p>
    <w:p w14:paraId="1BE51F72"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en estudio, como ha quedado señalado que el Ayuntamiento de Toluca omitió dar respuesta en el plazo señalado en el artículo 163 de la Ley de Transparencia y Acceso a la Información Pública del Estado de México y Municipios. </w:t>
      </w:r>
    </w:p>
    <w:p w14:paraId="3FF41DF3" w14:textId="77777777" w:rsidR="00247E13" w:rsidRDefault="00247E13">
      <w:pPr>
        <w:spacing w:line="360" w:lineRule="auto"/>
        <w:ind w:right="-93"/>
        <w:jc w:val="both"/>
        <w:rPr>
          <w:rFonts w:ascii="Palatino Linotype" w:eastAsia="Palatino Linotype" w:hAnsi="Palatino Linotype" w:cs="Palatino Linotype"/>
          <w:sz w:val="22"/>
          <w:szCs w:val="22"/>
        </w:rPr>
      </w:pPr>
    </w:p>
    <w:p w14:paraId="132DBC56"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5C9EE68A" w14:textId="77777777" w:rsidR="00247E13" w:rsidRDefault="00247E13">
      <w:pPr>
        <w:spacing w:line="360" w:lineRule="auto"/>
        <w:ind w:right="-93"/>
        <w:jc w:val="both"/>
        <w:rPr>
          <w:rFonts w:ascii="Palatino Linotype" w:eastAsia="Palatino Linotype" w:hAnsi="Palatino Linotype" w:cs="Palatino Linotype"/>
          <w:sz w:val="22"/>
          <w:szCs w:val="22"/>
        </w:rPr>
      </w:pPr>
    </w:p>
    <w:p w14:paraId="56FF17EB"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13457FC5" w14:textId="77777777" w:rsidR="00247E13" w:rsidRDefault="00247E13">
      <w:pPr>
        <w:spacing w:line="360" w:lineRule="auto"/>
        <w:ind w:right="-93"/>
        <w:jc w:val="both"/>
        <w:rPr>
          <w:rFonts w:ascii="Palatino Linotype" w:eastAsia="Palatino Linotype" w:hAnsi="Palatino Linotype" w:cs="Palatino Linotype"/>
          <w:sz w:val="22"/>
          <w:szCs w:val="22"/>
        </w:rPr>
      </w:pPr>
    </w:p>
    <w:p w14:paraId="6C436388"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04E56BC" w14:textId="77777777" w:rsidR="00247E13" w:rsidRDefault="00247E13">
      <w:pPr>
        <w:spacing w:line="360" w:lineRule="auto"/>
        <w:ind w:right="-93"/>
        <w:jc w:val="both"/>
        <w:rPr>
          <w:rFonts w:ascii="Palatino Linotype" w:eastAsia="Palatino Linotype" w:hAnsi="Palatino Linotype" w:cs="Palatino Linotype"/>
          <w:sz w:val="22"/>
          <w:szCs w:val="22"/>
        </w:rPr>
      </w:pPr>
    </w:p>
    <w:p w14:paraId="08624DBB"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3E4CB3E9" w14:textId="77777777" w:rsidR="00247E13" w:rsidRDefault="00247E13">
      <w:pPr>
        <w:spacing w:line="360" w:lineRule="auto"/>
        <w:ind w:right="-93"/>
        <w:jc w:val="both"/>
        <w:rPr>
          <w:rFonts w:ascii="Palatino Linotype" w:eastAsia="Palatino Linotype" w:hAnsi="Palatino Linotype" w:cs="Palatino Linotype"/>
          <w:sz w:val="22"/>
          <w:szCs w:val="22"/>
        </w:rPr>
      </w:pPr>
    </w:p>
    <w:p w14:paraId="1F9EB53B" w14:textId="77777777" w:rsidR="00247E13" w:rsidRDefault="00055BD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69B6C21" w14:textId="77777777" w:rsidR="00247E13" w:rsidRDefault="00247E13">
      <w:pPr>
        <w:spacing w:line="360" w:lineRule="auto"/>
        <w:jc w:val="both"/>
        <w:rPr>
          <w:rFonts w:ascii="Palatino Linotype" w:eastAsia="Palatino Linotype" w:hAnsi="Palatino Linotype" w:cs="Palatino Linotype"/>
          <w:sz w:val="22"/>
          <w:szCs w:val="22"/>
        </w:rPr>
      </w:pPr>
    </w:p>
    <w:p w14:paraId="339003B5" w14:textId="77777777" w:rsidR="00247E13" w:rsidRDefault="00055BD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14:paraId="36EB08CD" w14:textId="77777777" w:rsidR="00247E13" w:rsidRDefault="00247E13">
      <w:pPr>
        <w:spacing w:line="360" w:lineRule="auto"/>
        <w:jc w:val="both"/>
        <w:rPr>
          <w:rFonts w:ascii="Palatino Linotype" w:eastAsia="Palatino Linotype" w:hAnsi="Palatino Linotype" w:cs="Palatino Linotype"/>
          <w:b/>
          <w:sz w:val="22"/>
          <w:szCs w:val="22"/>
        </w:rPr>
      </w:pPr>
    </w:p>
    <w:p w14:paraId="71BD7656"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Se le hace del conocimiento al Particular, que, en el presente caso, se le da la razón, pues el Sujeto Obligado no emitió contestación alguna, y si bien, durante la sustanciación emitió respuesta, no entregó los documentos que dan cuenta de lo referido durante la sustanciación del medio de impugnación, por lo que, deberá hacer entrega de la información.</w:t>
      </w:r>
    </w:p>
    <w:p w14:paraId="0C71C798" w14:textId="77777777" w:rsidR="00247E13" w:rsidRDefault="00247E13">
      <w:pPr>
        <w:spacing w:line="360" w:lineRule="auto"/>
        <w:jc w:val="both"/>
        <w:rPr>
          <w:rFonts w:ascii="Palatino Linotype" w:eastAsia="Palatino Linotype" w:hAnsi="Palatino Linotype" w:cs="Palatino Linotype"/>
          <w:sz w:val="22"/>
          <w:szCs w:val="22"/>
        </w:rPr>
      </w:pPr>
    </w:p>
    <w:p w14:paraId="0402B98F"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Pr>
          <w:rFonts w:ascii="Palatino Linotype" w:eastAsia="Palatino Linotype" w:hAnsi="Palatino Linotype" w:cs="Palatino Linotype"/>
          <w:color w:val="000000"/>
          <w:sz w:val="22"/>
          <w:szCs w:val="22"/>
        </w:rPr>
        <w:t xml:space="preserve">Finalmente, la labor de este </w:t>
      </w:r>
      <w:proofErr w:type="gramStart"/>
      <w:r>
        <w:rPr>
          <w:rFonts w:ascii="Palatino Linotype" w:eastAsia="Palatino Linotype" w:hAnsi="Palatino Linotype" w:cs="Palatino Linotype"/>
          <w:color w:val="000000"/>
          <w:sz w:val="22"/>
          <w:szCs w:val="22"/>
        </w:rPr>
        <w:t>Instituto,</w:t>
      </w:r>
      <w:proofErr w:type="gramEnd"/>
      <w:r>
        <w:rPr>
          <w:rFonts w:ascii="Palatino Linotype" w:eastAsia="Palatino Linotype" w:hAnsi="Palatino Linotype" w:cs="Palatino Linotype"/>
          <w:color w:val="000000"/>
          <w:sz w:val="22"/>
          <w:szCs w:val="22"/>
        </w:rPr>
        <w:t xml:space="preserve"> es apoyar a la población a acceder a la información pública y garantizar la protección de los datos personales.</w:t>
      </w:r>
    </w:p>
    <w:p w14:paraId="77956449"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39352D5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4819674E" w14:textId="77777777" w:rsidR="00247E13" w:rsidRDefault="00247E13">
      <w:pPr>
        <w:spacing w:line="360" w:lineRule="auto"/>
        <w:jc w:val="both"/>
        <w:rPr>
          <w:rFonts w:ascii="Palatino Linotype" w:eastAsia="Palatino Linotype" w:hAnsi="Palatino Linotype" w:cs="Palatino Linotype"/>
          <w:sz w:val="22"/>
          <w:szCs w:val="22"/>
        </w:rPr>
      </w:pPr>
    </w:p>
    <w:p w14:paraId="119CE91D" w14:textId="77777777" w:rsidR="00247E13" w:rsidRDefault="00055BD7">
      <w:pPr>
        <w:pStyle w:val="Ttulo1"/>
      </w:pPr>
      <w:bookmarkStart w:id="30" w:name="_heading=h.a10yxlprw6u" w:colFirst="0" w:colLast="0"/>
      <w:bookmarkStart w:id="31" w:name="_Toc205474907"/>
      <w:bookmarkEnd w:id="30"/>
      <w:r>
        <w:t>R E S U E L V E</w:t>
      </w:r>
      <w:bookmarkEnd w:id="31"/>
    </w:p>
    <w:p w14:paraId="4BA7C5D7" w14:textId="77777777" w:rsidR="00247E13" w:rsidRDefault="00247E13">
      <w:pPr>
        <w:spacing w:line="360" w:lineRule="auto"/>
        <w:jc w:val="both"/>
        <w:rPr>
          <w:rFonts w:ascii="Palatino Linotype" w:eastAsia="Palatino Linotype" w:hAnsi="Palatino Linotype" w:cs="Palatino Linotype"/>
          <w:b/>
          <w:sz w:val="22"/>
          <w:szCs w:val="22"/>
        </w:rPr>
      </w:pPr>
    </w:p>
    <w:p w14:paraId="7E5DADCE"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Particular en el Recurso de Revisión 06791/INFOEM/IP/RR/2025,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términos de los considerandos QUINTO y SEXTO de la presente Resolución.</w:t>
      </w:r>
    </w:p>
    <w:p w14:paraId="6AE1BCD5" w14:textId="77777777" w:rsidR="00247E13" w:rsidRDefault="00247E13">
      <w:pPr>
        <w:spacing w:line="360" w:lineRule="auto"/>
        <w:jc w:val="both"/>
        <w:rPr>
          <w:rFonts w:ascii="Palatino Linotype" w:eastAsia="Palatino Linotype" w:hAnsi="Palatino Linotype" w:cs="Palatino Linotype"/>
          <w:sz w:val="22"/>
          <w:szCs w:val="22"/>
        </w:rPr>
      </w:pPr>
    </w:p>
    <w:p w14:paraId="7116211A"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 xml:space="preserve">al Sujeto Obligado, </w:t>
      </w:r>
      <w:r>
        <w:rPr>
          <w:rFonts w:ascii="Palatino Linotype" w:eastAsia="Palatino Linotype" w:hAnsi="Palatino Linotype" w:cs="Palatino Linotype"/>
          <w:color w:val="0D0D0D"/>
          <w:sz w:val="22"/>
          <w:szCs w:val="22"/>
        </w:rPr>
        <w:t xml:space="preserve">a efecto de que, </w:t>
      </w:r>
      <w:r>
        <w:rPr>
          <w:rFonts w:ascii="Palatino Linotype" w:eastAsia="Palatino Linotype" w:hAnsi="Palatino Linotype" w:cs="Palatino Linotype"/>
          <w:color w:val="000000"/>
          <w:sz w:val="22"/>
          <w:szCs w:val="22"/>
        </w:rPr>
        <w:t xml:space="preserve">previa búsqueda exhaustiva y razonable, en los archivos de las unidades administrativas competentes, entregue </w:t>
      </w:r>
      <w:r>
        <w:rPr>
          <w:rFonts w:ascii="Palatino Linotype" w:eastAsia="Palatino Linotype" w:hAnsi="Palatino Linotype" w:cs="Palatino Linotype"/>
          <w:sz w:val="22"/>
          <w:szCs w:val="22"/>
        </w:rPr>
        <w:t>a través del Sistema de Acceso a la Información Mexiquense (SAIMEX),</w:t>
      </w:r>
      <w:r>
        <w:rPr>
          <w:rFonts w:ascii="Palatino Linotype" w:eastAsia="Palatino Linotype" w:hAnsi="Palatino Linotype" w:cs="Palatino Linotype"/>
          <w:color w:val="000000"/>
          <w:sz w:val="22"/>
          <w:szCs w:val="22"/>
        </w:rPr>
        <w:t xml:space="preserve"> en su caso, en versión pública</w:t>
      </w:r>
      <w:r>
        <w:rPr>
          <w:rFonts w:ascii="Palatino Linotype" w:eastAsia="Palatino Linotype" w:hAnsi="Palatino Linotype" w:cs="Palatino Linotype"/>
          <w:sz w:val="22"/>
          <w:szCs w:val="22"/>
        </w:rPr>
        <w:t>, lo siguiente:</w:t>
      </w:r>
    </w:p>
    <w:p w14:paraId="7900C7AC" w14:textId="77777777" w:rsidR="00247E13" w:rsidRDefault="00247E13">
      <w:pPr>
        <w:spacing w:line="360" w:lineRule="auto"/>
        <w:jc w:val="both"/>
        <w:rPr>
          <w:rFonts w:ascii="Palatino Linotype" w:eastAsia="Palatino Linotype" w:hAnsi="Palatino Linotype" w:cs="Palatino Linotype"/>
          <w:sz w:val="22"/>
          <w:szCs w:val="22"/>
        </w:rPr>
      </w:pPr>
    </w:p>
    <w:p w14:paraId="2DF8FA9C" w14:textId="77777777" w:rsidR="00247E13" w:rsidRDefault="00055BD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Los oficios firmados por el Coordinador Protección Civil y Bomberos del primero de enero al diecinueve de mayo de dos mil veinticinco.</w:t>
      </w:r>
    </w:p>
    <w:p w14:paraId="43B30684" w14:textId="77777777" w:rsidR="00247E13" w:rsidRDefault="00247E13">
      <w:pPr>
        <w:spacing w:line="360" w:lineRule="auto"/>
        <w:ind w:right="-28"/>
        <w:jc w:val="both"/>
        <w:rPr>
          <w:rFonts w:ascii="Palatino Linotype" w:eastAsia="Palatino Linotype" w:hAnsi="Palatino Linotype" w:cs="Palatino Linotype"/>
          <w:color w:val="000000"/>
          <w:sz w:val="22"/>
          <w:szCs w:val="22"/>
        </w:rPr>
      </w:pPr>
    </w:p>
    <w:p w14:paraId="460DD99C"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de ser necesario, deberá proporcionar el Acuerdo de Clasificación donde el Comité de Transparencia, confirme la eliminación los datos o información clasificada, en la versión pública, de conformidad con los artículos 49, fracciones II y VIII y 132, fracción II de la Ley de Transparencia y Acceso a la Información Pública del Estado de México y Municipios.</w:t>
      </w:r>
    </w:p>
    <w:p w14:paraId="1C61FF7B" w14:textId="77777777" w:rsidR="00247E13" w:rsidRDefault="00247E13">
      <w:pPr>
        <w:spacing w:line="360" w:lineRule="auto"/>
        <w:jc w:val="both"/>
        <w:rPr>
          <w:rFonts w:ascii="Palatino Linotype" w:eastAsia="Palatino Linotype" w:hAnsi="Palatino Linotype" w:cs="Palatino Linotype"/>
          <w:color w:val="000000"/>
          <w:sz w:val="22"/>
          <w:szCs w:val="22"/>
        </w:rPr>
      </w:pPr>
    </w:p>
    <w:p w14:paraId="7692C1EF" w14:textId="77777777" w:rsidR="00247E13" w:rsidRDefault="00055BD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Para el caso, de que haya cancelado alguno de los oficios, deberá hacerlo del conocimiento de la parte Recurrente, de manera clara y precisa.</w:t>
      </w:r>
    </w:p>
    <w:p w14:paraId="7726ED20" w14:textId="77777777" w:rsidR="00247E13" w:rsidRDefault="00247E13">
      <w:pPr>
        <w:spacing w:line="360" w:lineRule="auto"/>
        <w:jc w:val="both"/>
        <w:rPr>
          <w:rFonts w:ascii="Palatino Linotype" w:eastAsia="Palatino Linotype" w:hAnsi="Palatino Linotype" w:cs="Palatino Linotype"/>
          <w:sz w:val="22"/>
          <w:szCs w:val="22"/>
        </w:rPr>
      </w:pPr>
    </w:p>
    <w:p w14:paraId="2B63D5D8"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00F84A1" w14:textId="77777777" w:rsidR="00247E13" w:rsidRDefault="00247E13">
      <w:pPr>
        <w:spacing w:line="360" w:lineRule="auto"/>
        <w:jc w:val="both"/>
        <w:rPr>
          <w:rFonts w:ascii="Palatino Linotype" w:eastAsia="Palatino Linotype" w:hAnsi="Palatino Linotype" w:cs="Palatino Linotype"/>
          <w:sz w:val="22"/>
          <w:szCs w:val="22"/>
        </w:rPr>
      </w:pPr>
    </w:p>
    <w:p w14:paraId="5E5FE110"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F4A1515" w14:textId="77777777" w:rsidR="00247E13" w:rsidRDefault="00247E13">
      <w:pPr>
        <w:spacing w:line="360" w:lineRule="auto"/>
        <w:jc w:val="both"/>
        <w:rPr>
          <w:rFonts w:ascii="Palatino Linotype" w:eastAsia="Palatino Linotype" w:hAnsi="Palatino Linotype" w:cs="Palatino Linotype"/>
          <w:sz w:val="22"/>
          <w:szCs w:val="22"/>
        </w:rPr>
      </w:pPr>
    </w:p>
    <w:p w14:paraId="78177A2D"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QUINTO. NOTIFÍQUESE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POR SAIMEX, </w:t>
      </w:r>
      <w:r>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B70F5A" w14:textId="77777777" w:rsidR="00247E13" w:rsidRDefault="00247E13">
      <w:pPr>
        <w:spacing w:line="360" w:lineRule="auto"/>
        <w:jc w:val="both"/>
        <w:rPr>
          <w:rFonts w:ascii="Palatino Linotype" w:eastAsia="Palatino Linotype" w:hAnsi="Palatino Linotype" w:cs="Palatino Linotype"/>
          <w:sz w:val="22"/>
          <w:szCs w:val="22"/>
        </w:rPr>
      </w:pPr>
    </w:p>
    <w:p w14:paraId="04D4C50B"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SEXTO.</w:t>
      </w:r>
      <w:r>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 </w:t>
      </w:r>
    </w:p>
    <w:p w14:paraId="7197E633" w14:textId="77777777" w:rsidR="00247E13" w:rsidRDefault="00247E13">
      <w:pPr>
        <w:spacing w:line="360" w:lineRule="auto"/>
        <w:jc w:val="both"/>
        <w:rPr>
          <w:rFonts w:ascii="Palatino Linotype" w:eastAsia="Palatino Linotype" w:hAnsi="Palatino Linotype" w:cs="Palatino Linotype"/>
          <w:b/>
          <w:sz w:val="22"/>
          <w:szCs w:val="22"/>
        </w:rPr>
      </w:pPr>
    </w:p>
    <w:p w14:paraId="6B671D00" w14:textId="77777777" w:rsidR="00247E13" w:rsidRDefault="00055B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 </w:t>
      </w:r>
    </w:p>
    <w:p w14:paraId="6DD0672F" w14:textId="77777777" w:rsidR="00247E13" w:rsidRDefault="00247E13">
      <w:pPr>
        <w:spacing w:line="360" w:lineRule="auto"/>
        <w:jc w:val="both"/>
        <w:rPr>
          <w:rFonts w:ascii="Palatino Linotype" w:eastAsia="Palatino Linotype" w:hAnsi="Palatino Linotype" w:cs="Palatino Linotype"/>
          <w:sz w:val="22"/>
          <w:szCs w:val="22"/>
        </w:rPr>
      </w:pPr>
    </w:p>
    <w:p w14:paraId="6F135C59" w14:textId="77777777" w:rsidR="00247E13" w:rsidRDefault="00247E13">
      <w:pPr>
        <w:spacing w:line="360" w:lineRule="auto"/>
        <w:jc w:val="both"/>
        <w:rPr>
          <w:rFonts w:ascii="Palatino Linotype" w:eastAsia="Palatino Linotype" w:hAnsi="Palatino Linotype" w:cs="Palatino Linotype"/>
          <w:sz w:val="22"/>
          <w:szCs w:val="22"/>
        </w:rPr>
      </w:pPr>
    </w:p>
    <w:p w14:paraId="54CAC049" w14:textId="77777777" w:rsidR="00247E13" w:rsidRDefault="00247E13">
      <w:pPr>
        <w:spacing w:line="360" w:lineRule="auto"/>
        <w:jc w:val="both"/>
        <w:rPr>
          <w:rFonts w:ascii="Palatino Linotype" w:eastAsia="Palatino Linotype" w:hAnsi="Palatino Linotype" w:cs="Palatino Linotype"/>
          <w:sz w:val="22"/>
          <w:szCs w:val="22"/>
        </w:rPr>
      </w:pPr>
    </w:p>
    <w:p w14:paraId="013F9766" w14:textId="77777777" w:rsidR="00247E13" w:rsidRDefault="00247E13">
      <w:pPr>
        <w:spacing w:line="360" w:lineRule="auto"/>
        <w:jc w:val="both"/>
        <w:rPr>
          <w:rFonts w:ascii="Palatino Linotype" w:eastAsia="Palatino Linotype" w:hAnsi="Palatino Linotype" w:cs="Palatino Linotype"/>
          <w:sz w:val="22"/>
          <w:szCs w:val="22"/>
        </w:rPr>
      </w:pPr>
    </w:p>
    <w:p w14:paraId="7F9FE696" w14:textId="77777777" w:rsidR="00247E13" w:rsidRDefault="00247E13">
      <w:pPr>
        <w:spacing w:line="360" w:lineRule="auto"/>
        <w:jc w:val="both"/>
        <w:rPr>
          <w:rFonts w:ascii="Palatino Linotype" w:eastAsia="Palatino Linotype" w:hAnsi="Palatino Linotype" w:cs="Palatino Linotype"/>
          <w:sz w:val="22"/>
          <w:szCs w:val="22"/>
        </w:rPr>
      </w:pPr>
    </w:p>
    <w:p w14:paraId="345E1416" w14:textId="77777777" w:rsidR="00247E13" w:rsidRDefault="00247E13">
      <w:pPr>
        <w:spacing w:line="360" w:lineRule="auto"/>
        <w:jc w:val="both"/>
        <w:rPr>
          <w:rFonts w:ascii="Palatino Linotype" w:eastAsia="Palatino Linotype" w:hAnsi="Palatino Linotype" w:cs="Palatino Linotype"/>
          <w:sz w:val="22"/>
          <w:szCs w:val="22"/>
        </w:rPr>
      </w:pPr>
    </w:p>
    <w:p w14:paraId="18355E4C" w14:textId="77777777" w:rsidR="00247E13" w:rsidRDefault="00247E13">
      <w:pPr>
        <w:spacing w:line="360" w:lineRule="auto"/>
        <w:jc w:val="both"/>
        <w:rPr>
          <w:rFonts w:ascii="Palatino Linotype" w:eastAsia="Palatino Linotype" w:hAnsi="Palatino Linotype" w:cs="Palatino Linotype"/>
          <w:sz w:val="22"/>
          <w:szCs w:val="22"/>
        </w:rPr>
      </w:pPr>
    </w:p>
    <w:p w14:paraId="526F35F7" w14:textId="77777777" w:rsidR="00247E13" w:rsidRDefault="00247E13">
      <w:pPr>
        <w:spacing w:line="360" w:lineRule="auto"/>
        <w:jc w:val="both"/>
        <w:rPr>
          <w:rFonts w:ascii="Palatino Linotype" w:eastAsia="Palatino Linotype" w:hAnsi="Palatino Linotype" w:cs="Palatino Linotype"/>
          <w:sz w:val="22"/>
          <w:szCs w:val="22"/>
        </w:rPr>
      </w:pPr>
    </w:p>
    <w:p w14:paraId="0F7632F4" w14:textId="77777777" w:rsidR="00247E13" w:rsidRDefault="00247E13">
      <w:pPr>
        <w:spacing w:line="360" w:lineRule="auto"/>
        <w:jc w:val="both"/>
        <w:rPr>
          <w:rFonts w:ascii="Palatino Linotype" w:eastAsia="Palatino Linotype" w:hAnsi="Palatino Linotype" w:cs="Palatino Linotype"/>
          <w:sz w:val="22"/>
          <w:szCs w:val="22"/>
        </w:rPr>
      </w:pPr>
    </w:p>
    <w:p w14:paraId="448D7589" w14:textId="77777777" w:rsidR="00247E13" w:rsidRDefault="00247E13">
      <w:pPr>
        <w:spacing w:line="360" w:lineRule="auto"/>
        <w:jc w:val="both"/>
        <w:rPr>
          <w:rFonts w:ascii="Palatino Linotype" w:eastAsia="Palatino Linotype" w:hAnsi="Palatino Linotype" w:cs="Palatino Linotype"/>
          <w:sz w:val="22"/>
          <w:szCs w:val="22"/>
        </w:rPr>
      </w:pPr>
    </w:p>
    <w:p w14:paraId="01E2D9C5" w14:textId="77777777" w:rsidR="00247E13" w:rsidRDefault="00247E13">
      <w:pPr>
        <w:spacing w:line="360" w:lineRule="auto"/>
        <w:jc w:val="both"/>
        <w:rPr>
          <w:rFonts w:ascii="Palatino Linotype" w:eastAsia="Palatino Linotype" w:hAnsi="Palatino Linotype" w:cs="Palatino Linotype"/>
          <w:sz w:val="22"/>
          <w:szCs w:val="22"/>
        </w:rPr>
      </w:pPr>
    </w:p>
    <w:p w14:paraId="76C91B9A" w14:textId="77777777" w:rsidR="00247E13" w:rsidRDefault="00247E13">
      <w:pPr>
        <w:spacing w:line="360" w:lineRule="auto"/>
        <w:jc w:val="both"/>
        <w:rPr>
          <w:rFonts w:ascii="Palatino Linotype" w:eastAsia="Palatino Linotype" w:hAnsi="Palatino Linotype" w:cs="Palatino Linotype"/>
          <w:sz w:val="22"/>
          <w:szCs w:val="22"/>
        </w:rPr>
      </w:pPr>
    </w:p>
    <w:p w14:paraId="1C34D644" w14:textId="77777777" w:rsidR="00247E13" w:rsidRDefault="00247E13">
      <w:pPr>
        <w:spacing w:line="360" w:lineRule="auto"/>
        <w:jc w:val="both"/>
        <w:rPr>
          <w:rFonts w:ascii="Palatino Linotype" w:eastAsia="Palatino Linotype" w:hAnsi="Palatino Linotype" w:cs="Palatino Linotype"/>
          <w:b/>
          <w:sz w:val="22"/>
          <w:szCs w:val="22"/>
        </w:rPr>
      </w:pPr>
    </w:p>
    <w:p w14:paraId="320CA7BA" w14:textId="77777777" w:rsidR="00247E13" w:rsidRDefault="00247E13">
      <w:pPr>
        <w:spacing w:line="360" w:lineRule="auto"/>
        <w:jc w:val="both"/>
        <w:rPr>
          <w:rFonts w:ascii="Palatino Linotype" w:eastAsia="Palatino Linotype" w:hAnsi="Palatino Linotype" w:cs="Palatino Linotype"/>
          <w:sz w:val="22"/>
          <w:szCs w:val="22"/>
        </w:rPr>
      </w:pPr>
    </w:p>
    <w:p w14:paraId="2A8B46D0" w14:textId="77777777" w:rsidR="00247E13" w:rsidRDefault="00247E13">
      <w:pPr>
        <w:spacing w:line="360" w:lineRule="auto"/>
        <w:jc w:val="both"/>
        <w:rPr>
          <w:rFonts w:ascii="Palatino Linotype" w:eastAsia="Palatino Linotype" w:hAnsi="Palatino Linotype" w:cs="Palatino Linotype"/>
          <w:sz w:val="22"/>
          <w:szCs w:val="22"/>
        </w:rPr>
      </w:pPr>
    </w:p>
    <w:p w14:paraId="3C2874E7" w14:textId="77777777" w:rsidR="00247E13" w:rsidRDefault="00247E13">
      <w:pPr>
        <w:spacing w:line="360" w:lineRule="auto"/>
        <w:jc w:val="both"/>
        <w:rPr>
          <w:rFonts w:ascii="Palatino Linotype" w:eastAsia="Palatino Linotype" w:hAnsi="Palatino Linotype" w:cs="Palatino Linotype"/>
          <w:sz w:val="22"/>
          <w:szCs w:val="22"/>
        </w:rPr>
      </w:pPr>
    </w:p>
    <w:p w14:paraId="77198580" w14:textId="77777777" w:rsidR="00247E13" w:rsidRDefault="00247E13">
      <w:pPr>
        <w:spacing w:line="360" w:lineRule="auto"/>
        <w:ind w:right="-93"/>
        <w:jc w:val="both"/>
        <w:rPr>
          <w:rFonts w:ascii="Palatino Linotype" w:eastAsia="Palatino Linotype" w:hAnsi="Palatino Linotype" w:cs="Palatino Linotype"/>
          <w:sz w:val="22"/>
          <w:szCs w:val="22"/>
        </w:rPr>
      </w:pPr>
    </w:p>
    <w:p w14:paraId="2923798F" w14:textId="77777777" w:rsidR="00247E13" w:rsidRDefault="00247E13">
      <w:pPr>
        <w:spacing w:line="360" w:lineRule="auto"/>
        <w:jc w:val="both"/>
        <w:rPr>
          <w:rFonts w:ascii="Palatino Linotype" w:eastAsia="Palatino Linotype" w:hAnsi="Palatino Linotype" w:cs="Palatino Linotype"/>
          <w:sz w:val="22"/>
          <w:szCs w:val="22"/>
        </w:rPr>
      </w:pPr>
    </w:p>
    <w:p w14:paraId="50FB38BE" w14:textId="77777777" w:rsidR="00247E13" w:rsidRDefault="00247E13">
      <w:pPr>
        <w:spacing w:line="360" w:lineRule="auto"/>
        <w:jc w:val="both"/>
        <w:rPr>
          <w:rFonts w:ascii="Palatino Linotype" w:eastAsia="Palatino Linotype" w:hAnsi="Palatino Linotype" w:cs="Palatino Linotype"/>
          <w:sz w:val="22"/>
          <w:szCs w:val="22"/>
        </w:rPr>
      </w:pPr>
    </w:p>
    <w:p w14:paraId="50BCAA0A" w14:textId="77777777" w:rsidR="00247E13" w:rsidRDefault="00247E13">
      <w:pPr>
        <w:spacing w:line="360" w:lineRule="auto"/>
        <w:rPr>
          <w:rFonts w:ascii="Palatino Linotype" w:eastAsia="Palatino Linotype" w:hAnsi="Palatino Linotype" w:cs="Palatino Linotype"/>
        </w:rPr>
      </w:pPr>
    </w:p>
    <w:p w14:paraId="70D41360" w14:textId="77777777" w:rsidR="00247E13" w:rsidRDefault="00247E13">
      <w:pPr>
        <w:spacing w:line="360" w:lineRule="auto"/>
        <w:rPr>
          <w:rFonts w:ascii="Palatino Linotype" w:eastAsia="Palatino Linotype" w:hAnsi="Palatino Linotype" w:cs="Palatino Linotype"/>
        </w:rPr>
      </w:pPr>
    </w:p>
    <w:p w14:paraId="12F85099" w14:textId="77777777" w:rsidR="00247E13" w:rsidRDefault="00247E13">
      <w:pPr>
        <w:spacing w:line="360" w:lineRule="auto"/>
        <w:rPr>
          <w:rFonts w:ascii="Palatino Linotype" w:eastAsia="Palatino Linotype" w:hAnsi="Palatino Linotype" w:cs="Palatino Linotype"/>
        </w:rPr>
      </w:pPr>
    </w:p>
    <w:p w14:paraId="5B38C7D6" w14:textId="77777777" w:rsidR="00247E13" w:rsidRDefault="00247E13">
      <w:pPr>
        <w:spacing w:line="360" w:lineRule="auto"/>
        <w:rPr>
          <w:rFonts w:ascii="Palatino Linotype" w:eastAsia="Palatino Linotype" w:hAnsi="Palatino Linotype" w:cs="Palatino Linotype"/>
        </w:rPr>
      </w:pPr>
    </w:p>
    <w:p w14:paraId="2C5736CF" w14:textId="77777777" w:rsidR="00247E13" w:rsidRDefault="00247E13">
      <w:pPr>
        <w:spacing w:line="360" w:lineRule="auto"/>
        <w:rPr>
          <w:rFonts w:ascii="Palatino Linotype" w:eastAsia="Palatino Linotype" w:hAnsi="Palatino Linotype" w:cs="Palatino Linotype"/>
        </w:rPr>
      </w:pPr>
    </w:p>
    <w:p w14:paraId="28DE636A" w14:textId="77777777" w:rsidR="00247E13" w:rsidRDefault="00247E13">
      <w:pPr>
        <w:spacing w:line="360" w:lineRule="auto"/>
        <w:rPr>
          <w:rFonts w:ascii="Palatino Linotype" w:eastAsia="Palatino Linotype" w:hAnsi="Palatino Linotype" w:cs="Palatino Linotype"/>
        </w:rPr>
      </w:pPr>
    </w:p>
    <w:p w14:paraId="7698A688" w14:textId="77777777" w:rsidR="00247E13" w:rsidRDefault="00247E13">
      <w:pPr>
        <w:spacing w:line="360" w:lineRule="auto"/>
        <w:jc w:val="both"/>
        <w:rPr>
          <w:rFonts w:ascii="Palatino Linotype" w:eastAsia="Palatino Linotype" w:hAnsi="Palatino Linotype" w:cs="Palatino Linotype"/>
          <w:color w:val="000000"/>
          <w:sz w:val="22"/>
          <w:szCs w:val="22"/>
        </w:rPr>
      </w:pPr>
    </w:p>
    <w:sectPr w:rsidR="00247E13">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56BA" w14:textId="77777777" w:rsidR="00BD6C12" w:rsidRDefault="00BD6C12">
      <w:r>
        <w:separator/>
      </w:r>
    </w:p>
  </w:endnote>
  <w:endnote w:type="continuationSeparator" w:id="0">
    <w:p w14:paraId="0900CC54" w14:textId="77777777" w:rsidR="00BD6C12" w:rsidRDefault="00B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212" w14:textId="77777777" w:rsidR="00247E13" w:rsidRDefault="00247E13">
    <w:pPr>
      <w:pBdr>
        <w:top w:val="nil"/>
        <w:left w:val="nil"/>
        <w:bottom w:val="nil"/>
        <w:right w:val="nil"/>
        <w:between w:val="nil"/>
      </w:pBdr>
      <w:tabs>
        <w:tab w:val="center" w:pos="4419"/>
        <w:tab w:val="right" w:pos="8838"/>
      </w:tabs>
      <w:jc w:val="right"/>
      <w:rPr>
        <w:color w:val="000000"/>
        <w:sz w:val="26"/>
        <w:szCs w:val="26"/>
      </w:rPr>
    </w:pPr>
  </w:p>
  <w:p w14:paraId="211CBD9D" w14:textId="77777777" w:rsidR="00247E13" w:rsidRDefault="00055BD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664A">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664A">
      <w:rPr>
        <w:b/>
        <w:noProof/>
        <w:color w:val="000000"/>
        <w:sz w:val="24"/>
        <w:szCs w:val="24"/>
      </w:rPr>
      <w:t>25</w:t>
    </w:r>
    <w:r>
      <w:rPr>
        <w:b/>
        <w:color w:val="000000"/>
        <w:sz w:val="24"/>
        <w:szCs w:val="24"/>
      </w:rPr>
      <w:fldChar w:fldCharType="end"/>
    </w:r>
  </w:p>
  <w:p w14:paraId="66A2F80A" w14:textId="77777777" w:rsidR="00247E13" w:rsidRDefault="00247E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1787" w14:textId="77777777" w:rsidR="00247E13" w:rsidRDefault="00247E13">
    <w:pPr>
      <w:pBdr>
        <w:top w:val="nil"/>
        <w:left w:val="nil"/>
        <w:bottom w:val="nil"/>
        <w:right w:val="nil"/>
        <w:between w:val="nil"/>
      </w:pBdr>
      <w:tabs>
        <w:tab w:val="center" w:pos="4419"/>
        <w:tab w:val="right" w:pos="8838"/>
      </w:tabs>
      <w:jc w:val="right"/>
      <w:rPr>
        <w:color w:val="000000"/>
      </w:rPr>
    </w:pPr>
  </w:p>
  <w:p w14:paraId="3E866E62" w14:textId="77777777" w:rsidR="00247E13" w:rsidRDefault="00055BD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664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664A">
      <w:rPr>
        <w:b/>
        <w:noProof/>
        <w:color w:val="000000"/>
        <w:sz w:val="24"/>
        <w:szCs w:val="24"/>
      </w:rPr>
      <w:t>25</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6EDB" w14:textId="77777777" w:rsidR="00BD6C12" w:rsidRDefault="00BD6C12">
      <w:r>
        <w:separator/>
      </w:r>
    </w:p>
  </w:footnote>
  <w:footnote w:type="continuationSeparator" w:id="0">
    <w:p w14:paraId="73041523" w14:textId="77777777" w:rsidR="00BD6C12" w:rsidRDefault="00B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2C77" w14:textId="77777777" w:rsidR="00247E13" w:rsidRDefault="000000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r>
      <w:rPr>
        <w:rFonts w:ascii="Garamond" w:eastAsia="Garamond" w:hAnsi="Garamond" w:cs="Garamond"/>
        <w:color w:val="000000"/>
        <w:sz w:val="16"/>
        <w:szCs w:val="16"/>
      </w:rPr>
      <w:pict w14:anchorId="2385B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63.65pt;margin-top:-121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tbl>
    <w:tblPr>
      <w:tblStyle w:val="a2"/>
      <w:tblW w:w="8222" w:type="dxa"/>
      <w:tblInd w:w="1985" w:type="dxa"/>
      <w:tblLayout w:type="fixed"/>
      <w:tblLook w:val="0400" w:firstRow="0" w:lastRow="0" w:firstColumn="0" w:lastColumn="0" w:noHBand="0" w:noVBand="1"/>
    </w:tblPr>
    <w:tblGrid>
      <w:gridCol w:w="8222"/>
    </w:tblGrid>
    <w:tr w:rsidR="00247E13" w14:paraId="4D876E0E" w14:textId="77777777">
      <w:trPr>
        <w:trHeight w:val="1412"/>
      </w:trPr>
      <w:tc>
        <w:tcPr>
          <w:tcW w:w="8222" w:type="dxa"/>
        </w:tcPr>
        <w:p w14:paraId="1FA4C512" w14:textId="77777777" w:rsidR="00247E13" w:rsidRDefault="00247E1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3"/>
            <w:tblW w:w="6700" w:type="dxa"/>
            <w:tblInd w:w="1302"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247E13" w14:paraId="46DE2D18" w14:textId="77777777">
            <w:trPr>
              <w:trHeight w:val="144"/>
            </w:trPr>
            <w:tc>
              <w:tcPr>
                <w:tcW w:w="2552" w:type="dxa"/>
              </w:tcPr>
              <w:p w14:paraId="0F29167D"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8" w:type="dxa"/>
              </w:tcPr>
              <w:p w14:paraId="36506FCF"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06791/INFOEM/IP/RR/2025</w:t>
                </w:r>
              </w:p>
            </w:tc>
          </w:tr>
          <w:tr w:rsidR="00247E13" w14:paraId="2C2D586A" w14:textId="77777777">
            <w:trPr>
              <w:trHeight w:val="144"/>
            </w:trPr>
            <w:tc>
              <w:tcPr>
                <w:tcW w:w="2552" w:type="dxa"/>
              </w:tcPr>
              <w:p w14:paraId="5474C3D7"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8" w:type="dxa"/>
              </w:tcPr>
              <w:p w14:paraId="1E89EBF2" w14:textId="77777777" w:rsidR="00247E13" w:rsidRDefault="00055BD7">
                <w:pPr>
                  <w:tabs>
                    <w:tab w:val="left" w:pos="1735"/>
                    <w:tab w:val="right" w:pos="8838"/>
                  </w:tabs>
                  <w:spacing w:line="276" w:lineRule="auto"/>
                  <w:ind w:left="-28" w:right="79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247E13" w14:paraId="5C068107" w14:textId="77777777">
            <w:trPr>
              <w:trHeight w:val="138"/>
            </w:trPr>
            <w:tc>
              <w:tcPr>
                <w:tcW w:w="2552" w:type="dxa"/>
              </w:tcPr>
              <w:p w14:paraId="62A5A882"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8" w:type="dxa"/>
              </w:tcPr>
              <w:p w14:paraId="083E6071"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0090C94E" w14:textId="77777777" w:rsidR="00247E13" w:rsidRDefault="00247E13">
          <w:pPr>
            <w:tabs>
              <w:tab w:val="right" w:pos="8838"/>
            </w:tabs>
            <w:ind w:left="-28"/>
            <w:jc w:val="both"/>
            <w:rPr>
              <w:rFonts w:ascii="Arial" w:eastAsia="Arial" w:hAnsi="Arial" w:cs="Arial"/>
              <w:b/>
              <w:sz w:val="22"/>
              <w:szCs w:val="22"/>
            </w:rPr>
          </w:pPr>
        </w:p>
      </w:tc>
    </w:tr>
  </w:tbl>
  <w:p w14:paraId="5F95FC2E" w14:textId="77777777" w:rsidR="00247E13" w:rsidRDefault="00247E13">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3BC6" w14:textId="77777777" w:rsidR="00247E13" w:rsidRDefault="00000000">
    <w:r>
      <w:rPr>
        <w:rFonts w:ascii="Palatino Linotype" w:eastAsia="Palatino Linotype" w:hAnsi="Palatino Linotype" w:cs="Palatino Linotype"/>
        <w:b/>
        <w:sz w:val="22"/>
        <w:szCs w:val="22"/>
      </w:rPr>
      <w:pict w14:anchorId="5BC8C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4"/>
      <w:tblpPr w:leftFromText="141" w:rightFromText="141" w:vertAnchor="page" w:horzAnchor="margin" w:tblpY="556"/>
      <w:tblW w:w="104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828"/>
      <w:gridCol w:w="2405"/>
      <w:gridCol w:w="4257"/>
    </w:tblGrid>
    <w:tr w:rsidR="00247E13" w14:paraId="614CD2A8" w14:textId="77777777">
      <w:trPr>
        <w:trHeight w:val="466"/>
      </w:trPr>
      <w:tc>
        <w:tcPr>
          <w:tcW w:w="3828" w:type="dxa"/>
          <w:vAlign w:val="bottom"/>
        </w:tcPr>
        <w:p w14:paraId="49C0DCB7" w14:textId="77777777" w:rsidR="00247E13" w:rsidRDefault="00247E13">
          <w:pPr>
            <w:tabs>
              <w:tab w:val="right" w:pos="8838"/>
            </w:tabs>
            <w:ind w:right="-105"/>
            <w:rPr>
              <w:rFonts w:ascii="Palatino Linotype" w:eastAsia="Palatino Linotype" w:hAnsi="Palatino Linotype" w:cs="Palatino Linotype"/>
              <w:b/>
              <w:sz w:val="22"/>
              <w:szCs w:val="22"/>
            </w:rPr>
          </w:pPr>
        </w:p>
      </w:tc>
      <w:tc>
        <w:tcPr>
          <w:tcW w:w="2405" w:type="dxa"/>
          <w:vAlign w:val="bottom"/>
        </w:tcPr>
        <w:p w14:paraId="06E044C2" w14:textId="77777777" w:rsidR="00247E13" w:rsidRDefault="00055BD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bottom"/>
        </w:tcPr>
        <w:p w14:paraId="64BA7CA6" w14:textId="77777777" w:rsidR="00247E13" w:rsidRDefault="00055BD7">
          <w:pPr>
            <w:tabs>
              <w:tab w:val="left" w:pos="3435"/>
              <w:tab w:val="right" w:pos="8838"/>
            </w:tabs>
            <w:spacing w:line="276" w:lineRule="auto"/>
            <w:ind w:left="-28"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06791/INFOEM/IP/RR/2025</w:t>
          </w:r>
        </w:p>
      </w:tc>
    </w:tr>
    <w:tr w:rsidR="00247E13" w14:paraId="15C77488" w14:textId="77777777">
      <w:trPr>
        <w:trHeight w:val="119"/>
      </w:trPr>
      <w:tc>
        <w:tcPr>
          <w:tcW w:w="3828" w:type="dxa"/>
        </w:tcPr>
        <w:p w14:paraId="5B3A5584" w14:textId="77777777" w:rsidR="00247E13" w:rsidRDefault="00247E13">
          <w:pPr>
            <w:tabs>
              <w:tab w:val="right" w:pos="8838"/>
            </w:tabs>
            <w:ind w:right="-105"/>
            <w:rPr>
              <w:rFonts w:ascii="Palatino Linotype" w:eastAsia="Palatino Linotype" w:hAnsi="Palatino Linotype" w:cs="Palatino Linotype"/>
              <w:b/>
              <w:sz w:val="22"/>
              <w:szCs w:val="22"/>
            </w:rPr>
          </w:pPr>
        </w:p>
      </w:tc>
      <w:tc>
        <w:tcPr>
          <w:tcW w:w="2405" w:type="dxa"/>
        </w:tcPr>
        <w:p w14:paraId="67EF84AA" w14:textId="77777777" w:rsidR="00247E13" w:rsidRDefault="00055BD7">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257" w:type="dxa"/>
        </w:tcPr>
        <w:p w14:paraId="6AC1542F" w14:textId="77777777" w:rsidR="00247E13" w:rsidRDefault="00247E13">
          <w:pPr>
            <w:tabs>
              <w:tab w:val="right" w:pos="8838"/>
            </w:tabs>
            <w:spacing w:line="276" w:lineRule="auto"/>
            <w:ind w:right="-246"/>
            <w:jc w:val="both"/>
            <w:rPr>
              <w:rFonts w:ascii="Palatino Linotype" w:eastAsia="Palatino Linotype" w:hAnsi="Palatino Linotype" w:cs="Palatino Linotype"/>
              <w:sz w:val="22"/>
              <w:szCs w:val="22"/>
            </w:rPr>
          </w:pPr>
        </w:p>
      </w:tc>
    </w:tr>
    <w:tr w:rsidR="00247E13" w14:paraId="28F981EF" w14:textId="77777777">
      <w:trPr>
        <w:trHeight w:val="234"/>
      </w:trPr>
      <w:tc>
        <w:tcPr>
          <w:tcW w:w="3828" w:type="dxa"/>
        </w:tcPr>
        <w:p w14:paraId="1FCE36A3" w14:textId="77777777" w:rsidR="00247E13" w:rsidRDefault="00247E13">
          <w:pPr>
            <w:tabs>
              <w:tab w:val="right" w:pos="8838"/>
            </w:tabs>
            <w:ind w:right="-105"/>
            <w:rPr>
              <w:rFonts w:ascii="Palatino Linotype" w:eastAsia="Palatino Linotype" w:hAnsi="Palatino Linotype" w:cs="Palatino Linotype"/>
              <w:b/>
              <w:sz w:val="22"/>
              <w:szCs w:val="22"/>
            </w:rPr>
          </w:pPr>
        </w:p>
      </w:tc>
      <w:tc>
        <w:tcPr>
          <w:tcW w:w="2405" w:type="dxa"/>
        </w:tcPr>
        <w:p w14:paraId="4512CBA7" w14:textId="77777777" w:rsidR="00247E13" w:rsidRDefault="00055BD7">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tcPr>
        <w:p w14:paraId="7D1BA799" w14:textId="77777777" w:rsidR="00247E13" w:rsidRDefault="00055BD7">
          <w:pPr>
            <w:tabs>
              <w:tab w:val="right" w:pos="8838"/>
            </w:tabs>
            <w:spacing w:line="276" w:lineRule="auto"/>
            <w:ind w:right="131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247E13" w14:paraId="772AF2A7" w14:textId="77777777">
      <w:trPr>
        <w:trHeight w:val="234"/>
      </w:trPr>
      <w:tc>
        <w:tcPr>
          <w:tcW w:w="3828" w:type="dxa"/>
        </w:tcPr>
        <w:p w14:paraId="06FA704A" w14:textId="77777777" w:rsidR="00247E13" w:rsidRDefault="00247E13">
          <w:pPr>
            <w:tabs>
              <w:tab w:val="right" w:pos="8838"/>
            </w:tabs>
            <w:ind w:right="-105"/>
            <w:rPr>
              <w:rFonts w:ascii="Palatino Linotype" w:eastAsia="Palatino Linotype" w:hAnsi="Palatino Linotype" w:cs="Palatino Linotype"/>
              <w:b/>
              <w:sz w:val="22"/>
              <w:szCs w:val="22"/>
            </w:rPr>
          </w:pPr>
        </w:p>
      </w:tc>
      <w:tc>
        <w:tcPr>
          <w:tcW w:w="2405" w:type="dxa"/>
        </w:tcPr>
        <w:p w14:paraId="50B27EC7" w14:textId="77777777" w:rsidR="00247E13" w:rsidRDefault="00055BD7">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14:paraId="6AB68576" w14:textId="77777777" w:rsidR="00247E13" w:rsidRDefault="00055BD7">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5ABFB5C" w14:textId="77777777" w:rsidR="00247E13" w:rsidRDefault="00247E1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DCC"/>
    <w:multiLevelType w:val="multilevel"/>
    <w:tmpl w:val="B024DC6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AD7549"/>
    <w:multiLevelType w:val="multilevel"/>
    <w:tmpl w:val="86A6F4DE"/>
    <w:lvl w:ilvl="0">
      <w:start w:val="17"/>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DBE0556"/>
    <w:multiLevelType w:val="multilevel"/>
    <w:tmpl w:val="D43E0ACA"/>
    <w:lvl w:ilvl="0">
      <w:start w:val="2"/>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EC22F98"/>
    <w:multiLevelType w:val="multilevel"/>
    <w:tmpl w:val="0D140B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494241"/>
    <w:multiLevelType w:val="multilevel"/>
    <w:tmpl w:val="0D2C8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2C08DD"/>
    <w:multiLevelType w:val="multilevel"/>
    <w:tmpl w:val="598481CE"/>
    <w:lvl w:ilvl="0">
      <w:start w:val="8"/>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3211A0"/>
    <w:multiLevelType w:val="multilevel"/>
    <w:tmpl w:val="D8827D2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0367546">
    <w:abstractNumId w:val="6"/>
  </w:num>
  <w:num w:numId="2" w16cid:durableId="161160610">
    <w:abstractNumId w:val="4"/>
  </w:num>
  <w:num w:numId="3" w16cid:durableId="1937709161">
    <w:abstractNumId w:val="0"/>
  </w:num>
  <w:num w:numId="4" w16cid:durableId="89863479">
    <w:abstractNumId w:val="3"/>
  </w:num>
  <w:num w:numId="5" w16cid:durableId="546602208">
    <w:abstractNumId w:val="1"/>
  </w:num>
  <w:num w:numId="6" w16cid:durableId="1274945337">
    <w:abstractNumId w:val="5"/>
  </w:num>
  <w:num w:numId="7" w16cid:durableId="48424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13"/>
    <w:rsid w:val="00055BD7"/>
    <w:rsid w:val="0010598D"/>
    <w:rsid w:val="0015758C"/>
    <w:rsid w:val="00247E13"/>
    <w:rsid w:val="00973CD8"/>
    <w:rsid w:val="00A515CA"/>
    <w:rsid w:val="00AE42E1"/>
    <w:rsid w:val="00BD6C12"/>
    <w:rsid w:val="00C96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923B"/>
  <w15:docId w15:val="{FF322D3C-81EC-4221-86D9-9B7019F2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E55B4D"/>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MR5zx6uJB0pvnx/v21BYVLTug==">CgMxLjAyDmguazU3ZDB3aWJseGRpMg5oLmo5bXBlcGlyMWVqdzIOaC43ejJ4OGFmOWY3a3cyDmguZGRwdW45MmlqM2x5Mg5oLm52dGEwaXM1d2Z1ODIOaC4zdnJxYWhiZHI4cGUyDmguYWR4MHoxNnA2MDc5Mg1oLjd3MDc3ZWFra3QwMg1oLnA1a3Z5NWg1YmQ3Mg5oLmd6bzJ5aW52YXkyaDIOaC40Y2RvMTB2M2Jvc3UyDWguOW9yaGM5YjJkaGEyDmguNWN3MWU4bWV5ODZvMg5oLjl5eGJhOHhlc3o2MDIOaC5rd3o4Y2RwYjlnaXMyDmguZTJ6bjlqN3VsOXRsMg5oLjI2ZDlmeHQzMXUxbzINaC5hMTB5eGxwcnc2dTgAciExeWJlczdpQllIQkpfazVFWTEtMW5TWnlCcHYwYmUyb2Y=</go:docsCustomData>
</go:gDocsCustomXmlDataStorage>
</file>

<file path=customXml/itemProps1.xml><?xml version="1.0" encoding="utf-8"?>
<ds:datastoreItem xmlns:ds="http://schemas.openxmlformats.org/officeDocument/2006/customXml" ds:itemID="{BD47CC2A-D087-4452-A304-968F1B7E78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5780</Words>
  <Characters>31790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4</cp:revision>
  <cp:lastPrinted>2025-08-08T06:18:00Z</cp:lastPrinted>
  <dcterms:created xsi:type="dcterms:W3CDTF">2025-08-08T06:18:00Z</dcterms:created>
  <dcterms:modified xsi:type="dcterms:W3CDTF">2025-08-08T06:18:00Z</dcterms:modified>
</cp:coreProperties>
</file>