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1t3h5sf"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seis de agosto de dos mil veinticinco.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bookmarkStart w:colFirst="0" w:colLast="0" w:name="_heading=h.17dp8vu" w:id="1"/>
      <w:bookmarkEnd w:id="1"/>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05229/INFOEM/IP/RR/2025</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2"/>
          <w:szCs w:val="22"/>
          <w:rtl w:val="0"/>
        </w:rPr>
        <w:t xml:space="preserve">XXXXXXXXXX XXX XXXXXX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Sistema Municipal Para el Desarrollo Integral de la Familia de Tepotzotlán,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veinticinco de marzo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00019/DIFTEPOTZO/IP/2025,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709" w:right="902" w:firstLine="0"/>
        <w:jc w:val="both"/>
        <w:rPr>
          <w:rFonts w:ascii="Palatino Linotype" w:cs="Palatino Linotype" w:eastAsia="Palatino Linotype" w:hAnsi="Palatino Linotype"/>
          <w:b w:val="1"/>
          <w:i w:val="1"/>
          <w:sz w:val="22"/>
          <w:szCs w:val="22"/>
        </w:rPr>
      </w:pPr>
      <w:bookmarkStart w:colFirst="0" w:colLast="0" w:name="_heading=h.gjdgxs" w:id="2"/>
      <w:bookmarkEnd w:id="2"/>
      <w:r w:rsidDel="00000000" w:rsidR="00000000" w:rsidRPr="00000000">
        <w:rPr>
          <w:rFonts w:ascii="Palatino Linotype" w:cs="Palatino Linotype" w:eastAsia="Palatino Linotype" w:hAnsi="Palatino Linotype"/>
          <w:i w:val="1"/>
          <w:sz w:val="22"/>
          <w:szCs w:val="22"/>
          <w:rtl w:val="0"/>
        </w:rPr>
        <w:t xml:space="preserve">“Relación de empresas que realizaron donativos al DIF, especificando empresa y donativo, sea en especie o económicamente </w:t>
      </w:r>
      <w:r w:rsidDel="00000000" w:rsidR="00000000" w:rsidRPr="00000000">
        <w:rPr>
          <w:rFonts w:ascii="Palatino Linotype" w:cs="Palatino Linotype" w:eastAsia="Palatino Linotype" w:hAnsi="Palatino Linotype"/>
          <w:b w:val="1"/>
          <w:i w:val="1"/>
          <w:sz w:val="22"/>
          <w:szCs w:val="22"/>
          <w:u w:val="single"/>
          <w:rtl w:val="0"/>
        </w:rPr>
        <w:t xml:space="preserve">durante el año 2024</w:t>
      </w:r>
      <w:r w:rsidDel="00000000" w:rsidR="00000000" w:rsidRPr="00000000">
        <w:rPr>
          <w:rFonts w:ascii="Palatino Linotype" w:cs="Palatino Linotype" w:eastAsia="Palatino Linotype" w:hAnsi="Palatino Linotype"/>
          <w:i w:val="1"/>
          <w:sz w:val="22"/>
          <w:szCs w:val="22"/>
          <w:rtl w:val="0"/>
        </w:rPr>
        <w:t xml:space="preserve">.” (sic)</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veintidós de abril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8">
      <w:pPr>
        <w:spacing w:after="240" w:before="240" w:lineRule="auto"/>
        <w:ind w:left="851" w:right="902" w:firstLine="0"/>
        <w:jc w:val="righ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“…Folio de la solicitud: 00019/DIFTEPOTZO/IP/2025</w:t>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su solicitud 00019/DIFTEPOTZO/IP/2025. Nos permitimos hacer de su conocimiento que con fundamento en el artículo 53, Fracciones: II, V y VI de la Ley de Transparencia y Acceso a la Información Pública del Estado de México y Municipios, se adjunta un archivo en PDF</w:t>
      </w:r>
    </w:p>
    <w:p w:rsidR="00000000" w:rsidDel="00000000" w:rsidP="00000000" w:rsidRDefault="00000000" w:rsidRPr="00000000" w14:paraId="0000000A">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B">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LUZ FABIOLA GUERRERO PÉREZ...” (sic)</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el archivo “</w:t>
      </w:r>
      <w:r w:rsidDel="00000000" w:rsidR="00000000" w:rsidRPr="00000000">
        <w:rPr>
          <w:rFonts w:ascii="Palatino Linotype" w:cs="Palatino Linotype" w:eastAsia="Palatino Linotype" w:hAnsi="Palatino Linotype"/>
          <w:b w:val="1"/>
          <w:i w:val="1"/>
          <w:rtl w:val="0"/>
        </w:rPr>
        <w:t xml:space="preserve">Oficio Respuesta Tesoreria.pdf</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que consiste en el oficio número SMDIF/TESO/061/2025 de fecha nueve de abril de dos mil veinticinco, signado por el Tesorero del Sistema Municipal DIF de Tepotzotlán, mediante el cual informa sobre las aportaciones de empresas comprometidas con el apoyo a la población, mediante donaciones en especie o donativos en efectivo: </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Entrega una relación que contiene el nombre de la empresa (donante), así como el donativo, especificando los que fueron en especie y en efectivo. </w:t>
      </w:r>
    </w:p>
    <w:p w:rsidR="00000000" w:rsidDel="00000000" w:rsidP="00000000" w:rsidRDefault="00000000" w:rsidRPr="00000000" w14:paraId="0000000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ocho de mayo de dos mil veinticinco,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0F">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0">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es incompleta, ya que en redes sociales del DIF y la personal de la presidenta del DIF se han subido </w:t>
      </w:r>
      <w:r w:rsidDel="00000000" w:rsidR="00000000" w:rsidRPr="00000000">
        <w:rPr>
          <w:rFonts w:ascii="Palatino Linotype" w:cs="Palatino Linotype" w:eastAsia="Palatino Linotype" w:hAnsi="Palatino Linotype"/>
          <w:b w:val="1"/>
          <w:i w:val="1"/>
          <w:sz w:val="22"/>
          <w:szCs w:val="22"/>
          <w:u w:val="single"/>
          <w:rtl w:val="0"/>
        </w:rPr>
        <w:t xml:space="preserve">desde el mes de enero</w:t>
      </w:r>
      <w:r w:rsidDel="00000000" w:rsidR="00000000" w:rsidRPr="00000000">
        <w:rPr>
          <w:rFonts w:ascii="Palatino Linotype" w:cs="Palatino Linotype" w:eastAsia="Palatino Linotype" w:hAnsi="Palatino Linotype"/>
          <w:i w:val="1"/>
          <w:sz w:val="22"/>
          <w:szCs w:val="22"/>
          <w:rtl w:val="0"/>
        </w:rPr>
        <w:t xml:space="preserve"> diversas entregas de productos como despensas, quesos, jamón, productos de limpieza entre otros argumentando que son “Donaciones de Empresas” misas que no se están mencionando en esta respuesta que además está en la opacidad, pues </w:t>
      </w:r>
      <w:r w:rsidDel="00000000" w:rsidR="00000000" w:rsidRPr="00000000">
        <w:rPr>
          <w:rFonts w:ascii="Palatino Linotype" w:cs="Palatino Linotype" w:eastAsia="Palatino Linotype" w:hAnsi="Palatino Linotype"/>
          <w:b w:val="1"/>
          <w:i w:val="1"/>
          <w:sz w:val="22"/>
          <w:szCs w:val="22"/>
          <w:u w:val="single"/>
          <w:rtl w:val="0"/>
        </w:rPr>
        <w:t xml:space="preserve">no señalan ni las cantidades,</w:t>
      </w:r>
      <w:r w:rsidDel="00000000" w:rsidR="00000000" w:rsidRPr="00000000">
        <w:rPr>
          <w:rFonts w:ascii="Palatino Linotype" w:cs="Palatino Linotype" w:eastAsia="Palatino Linotype" w:hAnsi="Palatino Linotype"/>
          <w:i w:val="1"/>
          <w:sz w:val="22"/>
          <w:szCs w:val="22"/>
          <w:rtl w:val="0"/>
        </w:rPr>
        <w:t xml:space="preserve"> pareciera que quieren ocultar todo y no transparentar los recursos y productos donados.” (sic)</w:t>
      </w:r>
    </w:p>
    <w:p w:rsidR="00000000" w:rsidDel="00000000" w:rsidP="00000000" w:rsidRDefault="00000000" w:rsidRPr="00000000" w14:paraId="00000011">
      <w:pPr>
        <w:spacing w:line="360" w:lineRule="auto"/>
        <w:jc w:val="both"/>
        <w:rPr>
          <w:rFonts w:ascii="Palatino Linotype" w:cs="Palatino Linotype" w:eastAsia="Palatino Linotype" w:hAnsi="Palatino Linotype"/>
        </w:rPr>
      </w:pPr>
      <w:bookmarkStart w:colFirst="0" w:colLast="0" w:name="_heading=h.30j0zll" w:id="3"/>
      <w:bookmarkEnd w:id="3"/>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2">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es incompleta, ya que en redes sociales del DIF y la personal de la presidenta del DIF </w:t>
      </w:r>
      <w:r w:rsidDel="00000000" w:rsidR="00000000" w:rsidRPr="00000000">
        <w:rPr>
          <w:rFonts w:ascii="Palatino Linotype" w:cs="Palatino Linotype" w:eastAsia="Palatino Linotype" w:hAnsi="Palatino Linotype"/>
          <w:b w:val="1"/>
          <w:i w:val="1"/>
          <w:sz w:val="22"/>
          <w:szCs w:val="22"/>
          <w:u w:val="single"/>
          <w:rtl w:val="0"/>
        </w:rPr>
        <w:t xml:space="preserve">se han subido desde el mes de enero</w:t>
      </w:r>
      <w:r w:rsidDel="00000000" w:rsidR="00000000" w:rsidRPr="00000000">
        <w:rPr>
          <w:rFonts w:ascii="Palatino Linotype" w:cs="Palatino Linotype" w:eastAsia="Palatino Linotype" w:hAnsi="Palatino Linotype"/>
          <w:i w:val="1"/>
          <w:sz w:val="22"/>
          <w:szCs w:val="22"/>
          <w:rtl w:val="0"/>
        </w:rPr>
        <w:t xml:space="preserve"> diversas entregas de productos como despensas, quesos, jamón, productos de limpieza entre otros argumentando que son “Donaciones de Empresas” misas que no se están mencionando en esta respuesta que además está en la opacidad, pues </w:t>
      </w:r>
      <w:r w:rsidDel="00000000" w:rsidR="00000000" w:rsidRPr="00000000">
        <w:rPr>
          <w:rFonts w:ascii="Palatino Linotype" w:cs="Palatino Linotype" w:eastAsia="Palatino Linotype" w:hAnsi="Palatino Linotype"/>
          <w:b w:val="1"/>
          <w:i w:val="1"/>
          <w:sz w:val="22"/>
          <w:szCs w:val="22"/>
          <w:rtl w:val="0"/>
        </w:rPr>
        <w:t xml:space="preserve">no señalan ni las cantidades,</w:t>
      </w:r>
      <w:r w:rsidDel="00000000" w:rsidR="00000000" w:rsidRPr="00000000">
        <w:rPr>
          <w:rFonts w:ascii="Palatino Linotype" w:cs="Palatino Linotype" w:eastAsia="Palatino Linotype" w:hAnsi="Palatino Linotype"/>
          <w:i w:val="1"/>
          <w:sz w:val="22"/>
          <w:szCs w:val="22"/>
          <w:rtl w:val="0"/>
        </w:rPr>
        <w:t xml:space="preserve"> pareciera que quieren ocultar todo y no transparentar los recursos y productos donados..” (sic)</w:t>
      </w:r>
    </w:p>
    <w:p w:rsidR="00000000" w:rsidDel="00000000" w:rsidP="00000000" w:rsidRDefault="00000000" w:rsidRPr="00000000" w14:paraId="0000001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adjuntó archivos. </w:t>
      </w:r>
    </w:p>
    <w:p w:rsidR="00000000" w:rsidDel="00000000" w:rsidP="00000000" w:rsidRDefault="00000000" w:rsidRPr="00000000" w14:paraId="00000014">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trece de mayo de dos mil veinticinco,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bookmarkStart w:colFirst="0" w:colLast="0" w:name="_heading=h.2s8eyo1" w:id="4"/>
      <w:bookmarkEnd w:id="4"/>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73911" cy="2095608"/>
            <wp:effectExtent b="0" l="0" r="0" t="0"/>
            <wp:docPr id="193323595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073911" cy="209560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catorce de julio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quince de julio de dos mil veinticinco</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1F">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20">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1">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2">
      <w:pPr>
        <w:numPr>
          <w:ilvl w:val="0"/>
          <w:numId w:val="1"/>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afectación generada en la situación jurídica de la persona involucrada en el proceso: Violación a sus derechos humanos.</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7">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8">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B">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veintidós de abril de dos mil veinticinco,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ocho de mayo de dos mil veinticinco</w:t>
      </w:r>
      <w:r w:rsidDel="00000000" w:rsidR="00000000" w:rsidRPr="00000000">
        <w:rPr>
          <w:rFonts w:ascii="Palatino Linotype" w:cs="Palatino Linotype" w:eastAsia="Palatino Linotype" w:hAnsi="Palatino Linotype"/>
          <w:rtl w:val="0"/>
        </w:rPr>
        <w:t xml:space="preserve">, esto es, al décimo día hábil en que tuvo conocimiento de la respuesta impugnada.</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bookmarkStart w:colFirst="0" w:colLast="0" w:name="_heading=h.3znysh7" w:id="6"/>
      <w:bookmarkEnd w:id="6"/>
      <w:r w:rsidDel="00000000" w:rsidR="00000000" w:rsidRPr="00000000">
        <w:rPr>
          <w:rFonts w:ascii="Palatino Linotype" w:cs="Palatino Linotype" w:eastAsia="Palatino Linotype" w:hAnsi="Palatino Linotype"/>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suma importancia mencionar que, si bien, la parte proporcionó </w:t>
      </w:r>
      <w:r w:rsidDel="00000000" w:rsidR="00000000" w:rsidRPr="00000000">
        <w:rPr>
          <w:rFonts w:ascii="Palatino Linotype" w:cs="Palatino Linotype" w:eastAsia="Palatino Linotype" w:hAnsi="Palatino Linotype"/>
          <w:b w:val="1"/>
          <w:sz w:val="22"/>
          <w:szCs w:val="22"/>
          <w:rtl w:val="0"/>
        </w:rPr>
        <w:t xml:space="preserve">un seudónimo </w:t>
      </w:r>
      <w:r w:rsidDel="00000000" w:rsidR="00000000" w:rsidRPr="00000000">
        <w:rPr>
          <w:rFonts w:ascii="Palatino Linotype" w:cs="Palatino Linotype" w:eastAsia="Palatino Linotype" w:hAnsi="Palatino Linotype"/>
          <w:sz w:val="22"/>
          <w:szCs w:val="22"/>
          <w:rtl w:val="0"/>
        </w:rPr>
        <w:t xml:space="preserve">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ind w:left="567" w:right="8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 del ordenamiento legal citado, que a la letra dice: </w:t>
      </w:r>
    </w:p>
    <w:p w:rsidR="00000000" w:rsidDel="00000000" w:rsidP="00000000" w:rsidRDefault="00000000" w:rsidRPr="00000000" w14:paraId="00000035">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6">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7">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La entrega de información incompleta;”</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C">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D">
      <w:pPr>
        <w:tabs>
          <w:tab w:val="left" w:leader="none" w:pos="851"/>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0">
      <w:pPr>
        <w:spacing w:line="360" w:lineRule="auto"/>
        <w:ind w:right="616"/>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tabs>
          <w:tab w:val="left" w:leader="none" w:pos="6804"/>
        </w:tabs>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2">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3">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5">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47">
      <w:pPr>
        <w:spacing w:line="276" w:lineRule="auto"/>
        <w:ind w:right="8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49">
      <w:pPr>
        <w:spacing w:line="276" w:lineRule="auto"/>
        <w:ind w:right="616"/>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1">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2">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53">
      <w:pPr>
        <w:spacing w:line="360" w:lineRule="auto"/>
        <w:ind w:right="8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5">
      <w:pPr>
        <w:spacing w:line="360" w:lineRule="auto"/>
        <w:ind w:right="89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57">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8">
      <w:pPr>
        <w:spacing w:line="276" w:lineRule="auto"/>
        <w:ind w:left="567"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9">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A">
      <w:pPr>
        <w:spacing w:line="276" w:lineRule="auto"/>
        <w:ind w:left="567"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5B">
      <w:pPr>
        <w:spacing w:line="360" w:lineRule="auto"/>
        <w:ind w:lef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60" w:lineRule="auto"/>
        <w:ind w:right="49"/>
        <w:jc w:val="both"/>
        <w:rPr>
          <w:color w:val="000000"/>
        </w:rPr>
      </w:pPr>
      <w:r w:rsidDel="00000000" w:rsidR="00000000" w:rsidRPr="00000000">
        <w:rPr>
          <w:rFonts w:ascii="Palatino Linotype" w:cs="Palatino Linotype" w:eastAsia="Palatino Linotype" w:hAnsi="Palatino Linotype"/>
          <w:color w:val="000000"/>
          <w:sz w:val="22"/>
          <w:szCs w:val="22"/>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40" w:before="240" w:line="360" w:lineRule="auto"/>
        <w:ind w:right="49"/>
        <w:jc w:val="both"/>
        <w:rPr>
          <w:color w:val="000000"/>
        </w:rPr>
      </w:pPr>
      <w:r w:rsidDel="00000000" w:rsidR="00000000" w:rsidRPr="00000000">
        <w:rPr>
          <w:rFonts w:ascii="Palatino Linotype" w:cs="Palatino Linotype" w:eastAsia="Palatino Linotype" w:hAnsi="Palatino Linotype"/>
          <w:color w:val="000000"/>
          <w:rtl w:val="0"/>
        </w:rPr>
        <w:t xml:space="preserve">Por otro lado, resulta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before="240" w:line="360" w:lineRule="auto"/>
        <w:ind w:right="51"/>
        <w:jc w:val="both"/>
        <w:rPr>
          <w:color w:val="000000"/>
        </w:rPr>
      </w:pPr>
      <w:r w:rsidDel="00000000" w:rsidR="00000000" w:rsidRPr="00000000">
        <w:rPr>
          <w:rFonts w:ascii="Palatino Linotype" w:cs="Palatino Linotype" w:eastAsia="Palatino Linotype" w:hAnsi="Palatino Linotype"/>
          <w:color w:val="000000"/>
          <w:rtl w:val="0"/>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80" w:before="28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esta línea de pensamiento, derivado del análisis de las constancias que obran en el expediente electrónico en el que se actúa, se advirtió que la Unidad de Transparencia, turnó la solicitud de información a la Tesorería como la dependencia responsable para conocer de la información que es del interés de la persona solicitante.</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before="240" w:line="360" w:lineRule="auto"/>
        <w:ind w:right="49"/>
        <w:jc w:val="both"/>
        <w:rPr>
          <w:color w:val="000000"/>
        </w:rPr>
      </w:pPr>
      <w:r w:rsidDel="00000000" w:rsidR="00000000" w:rsidRPr="00000000">
        <w:rPr>
          <w:rFonts w:ascii="Palatino Linotype" w:cs="Palatino Linotype" w:eastAsia="Palatino Linotype" w:hAnsi="Palatino Linotype"/>
          <w:color w:val="000000"/>
          <w:rtl w:val="0"/>
        </w:rPr>
        <w:t xml:space="preserve">Como sustento a lo anterior, es oportuno mencionar que de conformidad con el artículo 15 de la Ley que Crea los Organismos Públicos Descentralizados de Asistencia Social de carácter municipal, denominados “Sistemas Municipales para el Desarrollo Integral de la Familia”, el Tesorero es responsable de del manejo del presupuesto del Sistema Municipal, y de la administración de los recursos que conforman el patrimonio del organismo, lo cual hará en coordinación con el Director General, asimismo, se le confieren las siguientes atribuciones en su parte conducente:</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240" w:line="360" w:lineRule="auto"/>
        <w:ind w:left="284" w:right="49" w:firstLine="0"/>
        <w:jc w:val="both"/>
        <w:rPr>
          <w:color w:val="000000"/>
        </w:rPr>
      </w:pPr>
      <w:r w:rsidDel="00000000" w:rsidR="00000000" w:rsidRPr="00000000">
        <w:rPr>
          <w:rFonts w:ascii="Palatino Linotype" w:cs="Palatino Linotype" w:eastAsia="Palatino Linotype" w:hAnsi="Palatino Linotype"/>
          <w:b w:val="1"/>
          <w:color w:val="000000"/>
          <w:rtl w:val="0"/>
        </w:rPr>
        <w:t xml:space="preserve">I.</w:t>
      </w:r>
      <w:r w:rsidDel="00000000" w:rsidR="00000000" w:rsidRPr="00000000">
        <w:rPr>
          <w:rFonts w:ascii="Palatino Linotype" w:cs="Palatino Linotype" w:eastAsia="Palatino Linotype" w:hAnsi="Palatino Linotype"/>
          <w:color w:val="000000"/>
          <w:rtl w:val="0"/>
        </w:rPr>
        <w:t xml:space="preserve"> Administrar los recursos que conforman el patrimonio del organismo de conformidad con lo establecido en las disposiciones legales aplicables; </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before="240" w:line="360" w:lineRule="auto"/>
        <w:ind w:left="284" w:right="49" w:firstLine="0"/>
        <w:jc w:val="both"/>
        <w:rPr>
          <w:color w:val="000000"/>
        </w:rPr>
      </w:pPr>
      <w:r w:rsidDel="00000000" w:rsidR="00000000" w:rsidRPr="00000000">
        <w:rPr>
          <w:rFonts w:ascii="Palatino Linotype" w:cs="Palatino Linotype" w:eastAsia="Palatino Linotype" w:hAnsi="Palatino Linotype"/>
          <w:b w:val="1"/>
          <w:color w:val="000000"/>
          <w:rtl w:val="0"/>
        </w:rPr>
        <w:t xml:space="preserve">II.</w:t>
      </w:r>
      <w:r w:rsidDel="00000000" w:rsidR="00000000" w:rsidRPr="00000000">
        <w:rPr>
          <w:rFonts w:ascii="Palatino Linotype" w:cs="Palatino Linotype" w:eastAsia="Palatino Linotype" w:hAnsi="Palatino Linotype"/>
          <w:color w:val="000000"/>
          <w:rtl w:val="0"/>
        </w:rPr>
        <w:t xml:space="preserve"> Llevar los libros y registros contables, financieros y administrativos de los ingresos, egresos e inventarios;</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40" w:before="240" w:line="360" w:lineRule="auto"/>
        <w:ind w:left="284" w:right="49" w:firstLine="0"/>
        <w:jc w:val="both"/>
        <w:rPr>
          <w:color w:val="000000"/>
        </w:rPr>
      </w:pPr>
      <w:r w:rsidDel="00000000" w:rsidR="00000000" w:rsidRPr="00000000">
        <w:rPr>
          <w:rFonts w:ascii="Palatino Linotype" w:cs="Palatino Linotype" w:eastAsia="Palatino Linotype" w:hAnsi="Palatino Linotype"/>
          <w:b w:val="1"/>
          <w:color w:val="000000"/>
          <w:rtl w:val="0"/>
        </w:rPr>
        <w:t xml:space="preserve">III.</w:t>
      </w:r>
      <w:r w:rsidDel="00000000" w:rsidR="00000000" w:rsidRPr="00000000">
        <w:rPr>
          <w:rFonts w:ascii="Palatino Linotype" w:cs="Palatino Linotype" w:eastAsia="Palatino Linotype" w:hAnsi="Palatino Linotype"/>
          <w:color w:val="000000"/>
          <w:rtl w:val="0"/>
        </w:rPr>
        <w:t xml:space="preserve"> Proporcionar oportunamente a la Junta de Gobierno todos los datos e informes que sean necesarios para la formulación del Presupuesto de Egresos del organismo, vigilando que se ajuste a las disposiciones legales aplicables;</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40" w:before="240" w:line="360" w:lineRule="auto"/>
        <w:ind w:left="284" w:right="49" w:firstLine="0"/>
        <w:jc w:val="both"/>
        <w:rPr>
          <w:color w:val="000000"/>
        </w:rPr>
      </w:pPr>
      <w:r w:rsidDel="00000000" w:rsidR="00000000" w:rsidRPr="00000000">
        <w:rPr>
          <w:rFonts w:ascii="Palatino Linotype" w:cs="Palatino Linotype" w:eastAsia="Palatino Linotype" w:hAnsi="Palatino Linotype"/>
          <w:b w:val="1"/>
          <w:color w:val="000000"/>
          <w:rtl w:val="0"/>
        </w:rPr>
        <w:t xml:space="preserve">IV</w:t>
      </w:r>
      <w:r w:rsidDel="00000000" w:rsidR="00000000" w:rsidRPr="00000000">
        <w:rPr>
          <w:rFonts w:ascii="Palatino Linotype" w:cs="Palatino Linotype" w:eastAsia="Palatino Linotype" w:hAnsi="Palatino Linotype"/>
          <w:color w:val="000000"/>
          <w:rtl w:val="0"/>
        </w:rPr>
        <w:t xml:space="preserve">. Presentar anualmente a la Junta de Gobierno un informe de la situación contable financiera de la Tesorería del Organismo;</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40" w:before="240" w:line="360" w:lineRule="auto"/>
        <w:ind w:right="49"/>
        <w:jc w:val="both"/>
        <w:rPr>
          <w:color w:val="000000"/>
        </w:rPr>
      </w:pPr>
      <w:r w:rsidDel="00000000" w:rsidR="00000000" w:rsidRPr="00000000">
        <w:rPr>
          <w:rFonts w:ascii="Palatino Linotype" w:cs="Palatino Linotype" w:eastAsia="Palatino Linotype" w:hAnsi="Palatino Linotype"/>
          <w:color w:val="000000"/>
          <w:rtl w:val="0"/>
        </w:rPr>
        <w:t xml:space="preserve">Atento a lo anterior, se colige que la Tesorería del Organismo cuenta con atribuciones para conocer de la información solicitada por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por lo tanto, la Unidad de Transparencia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rtl w:val="0"/>
        </w:rPr>
        <w:t xml:space="preserve">Ahora bien, del análisis de la solicitud de información, motivo del recurso de revisión que ahora se resuelve, se advierte que la parte solicitó una relación de empresas que realizaron donativos al DIF, especificando que requería de las donaciones del año dos mil veinticuatro, los siguientes datos</w:t>
      </w:r>
      <w:r w:rsidDel="00000000" w:rsidR="00000000" w:rsidRPr="00000000">
        <w:rPr>
          <w:rFonts w:ascii="Palatino Linotype" w:cs="Palatino Linotype" w:eastAsia="Palatino Linotype" w:hAnsi="Palatino Linotype"/>
          <w:color w:val="000000"/>
          <w:sz w:val="22"/>
          <w:szCs w:val="22"/>
          <w:rtl w:val="0"/>
        </w:rPr>
        <w:t xml:space="preserve">: </w:t>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spacing w:before="240" w:line="360" w:lineRule="auto"/>
        <w:ind w:left="720" w:right="51"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2"/>
          <w:szCs w:val="22"/>
          <w:rtl w:val="0"/>
        </w:rPr>
        <w:t xml:space="preserve">Empresa</w:t>
      </w:r>
      <w:r w:rsidDel="00000000" w:rsidR="00000000" w:rsidRPr="00000000">
        <w:rPr>
          <w:rtl w:val="0"/>
        </w:rPr>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spacing w:after="240" w:line="360" w:lineRule="auto"/>
        <w:ind w:left="720" w:right="51"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sz w:val="22"/>
          <w:szCs w:val="22"/>
          <w:rtl w:val="0"/>
        </w:rPr>
        <w:t xml:space="preserve">Donativo, sea en especie o económicamente. </w:t>
      </w:r>
      <w:r w:rsidDel="00000000" w:rsidR="00000000" w:rsidRPr="00000000">
        <w:rPr>
          <w:rtl w:val="0"/>
        </w:rPr>
      </w:r>
    </w:p>
    <w:p w:rsidR="00000000" w:rsidDel="00000000" w:rsidP="00000000" w:rsidRDefault="00000000" w:rsidRPr="00000000" w14:paraId="0000006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del Tesorero del Sistema Municipal DIF de Tepotzotlán, informó sobre las aportaciones de empresas comprometidas con el apoyo a la población, mediante donaciones en especie o donativos en efectivo, entregando una relación que contiene el nombre de la empresa (donatario), así como el donativo, especificando los que fueron en especie y en efectivo, como se advierte a continuación: </w:t>
      </w:r>
    </w:p>
    <w:p w:rsidR="00000000" w:rsidDel="00000000" w:rsidP="00000000" w:rsidRDefault="00000000" w:rsidRPr="00000000" w14:paraId="0000006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35879" cy="933498"/>
            <wp:effectExtent b="0" l="0" r="0" t="0"/>
            <wp:docPr id="193323596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435879" cy="933498"/>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Conocida la respuesta por la persona solicitante, al no estar conforme con los términos de la misma, interpuso el recurso de revisión que nos ocupa, mediante el cual, como motivo de inconformidad refirió que no se le entregó completa la información solicitada, pues considera que: </w:t>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pacing w:before="240" w:line="360" w:lineRule="auto"/>
        <w:ind w:left="720" w:right="5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Hace falta información que se ha hecho pública desde el mes de enero. </w:t>
      </w:r>
    </w:p>
    <w:p w:rsidR="00000000" w:rsidDel="00000000" w:rsidP="00000000" w:rsidRDefault="00000000" w:rsidRPr="00000000" w14:paraId="0000006F">
      <w:pPr>
        <w:numPr>
          <w:ilvl w:val="0"/>
          <w:numId w:val="2"/>
        </w:numPr>
        <w:pBdr>
          <w:top w:space="0" w:sz="0" w:val="nil"/>
          <w:left w:space="0" w:sz="0" w:val="nil"/>
          <w:bottom w:space="0" w:sz="0" w:val="nil"/>
          <w:right w:space="0" w:sz="0" w:val="nil"/>
          <w:between w:space="0" w:sz="0" w:val="nil"/>
        </w:pBdr>
        <w:spacing w:after="240" w:line="360" w:lineRule="auto"/>
        <w:ind w:left="720" w:right="5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Respecto a lo entregado en respuesta no señalan las cantidades. </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Acotado lo anterior, por cuanto hace al punto de la solicitud combatido, relativo a </w:t>
      </w:r>
      <w:r w:rsidDel="00000000" w:rsidR="00000000" w:rsidRPr="00000000">
        <w:rPr>
          <w:rFonts w:ascii="Palatino Linotype" w:cs="Palatino Linotype" w:eastAsia="Palatino Linotype" w:hAnsi="Palatino Linotype"/>
          <w:b w:val="1"/>
          <w:color w:val="000000"/>
          <w:u w:val="single"/>
          <w:rtl w:val="0"/>
        </w:rPr>
        <w:t xml:space="preserve">las cantidades de los donativos</w:t>
      </w:r>
      <w:r w:rsidDel="00000000" w:rsidR="00000000" w:rsidRPr="00000000">
        <w:rPr>
          <w:rFonts w:ascii="Palatino Linotype" w:cs="Palatino Linotype" w:eastAsia="Palatino Linotype" w:hAnsi="Palatino Linotype"/>
          <w:color w:val="000000"/>
          <w:rtl w:val="0"/>
        </w:rPr>
        <w:t xml:space="preserve">, se advierte que dicho dato no fue solicitado en el requerimiento inicial, como se desprende del antecedente marcado con el numeral uno de la presente resolución, por lo que constituye en su totalidad nuevos requerimientos de información, configurándose así lo que se conoce como </w:t>
      </w:r>
      <w:r w:rsidDel="00000000" w:rsidR="00000000" w:rsidRPr="00000000">
        <w:rPr>
          <w:rFonts w:ascii="Palatino Linotype" w:cs="Palatino Linotype" w:eastAsia="Palatino Linotype" w:hAnsi="Palatino Linotype"/>
          <w:i w:val="1"/>
          <w:color w:val="000000"/>
          <w:rtl w:val="0"/>
        </w:rPr>
        <w:t xml:space="preserve">plus petitio</w:t>
      </w:r>
      <w:r w:rsidDel="00000000" w:rsidR="00000000" w:rsidRPr="00000000">
        <w:rPr>
          <w:rFonts w:ascii="Palatino Linotype" w:cs="Palatino Linotype" w:eastAsia="Palatino Linotype" w:hAnsi="Palatino Linotype"/>
          <w:b w:val="1"/>
          <w:i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pues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formuló nuevos cuestionamientos, en los que solicitó información que no formó parte de su solicitud inicial y por lo tanto son inatendibles a través del recurso de revisión. </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este tenor, es posible determinar que para el caso que nos ocupa, los argumentos formulados como motivos o razones de inconformidad respecto a las cantidades de los donativos, son una ampliación a la solicitud inicial y corresponden a nuevos requerimientos de información, que no se encuentran relacionados con lo solicitado en un primer momento.</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este orden de ideas, una vez formulada su solicitud inicial,</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Robustece lo anterior lo plasmado en el criterio orientador número 01/17 emitido por el entones Instituto Nacional de Transparencia, Acceso a la Información y Protección de Datos Personales, INAI, que lleva por rubro y texto lo que a continuación se transcribe:</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Es improcedente ampliar las solicitudes de acceso a información, a través de la interposición del recurso de revisión. </w:t>
      </w:r>
      <w:r w:rsidDel="00000000" w:rsidR="00000000" w:rsidRPr="00000000">
        <w:rPr>
          <w:rFonts w:ascii="Palatino Linotype" w:cs="Palatino Linotype" w:eastAsia="Palatino Linotype" w:hAnsi="Palatino Linotype"/>
          <w:i w:val="1"/>
          <w:color w:val="000000"/>
          <w:sz w:val="22"/>
          <w:szCs w:val="22"/>
          <w:rtl w:val="0"/>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80" w:before="28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Una vez establecidas las posturas de las partes, se procede al análisis del requerimiento de información combatido, así como la información proporcionada por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color w:val="000000"/>
          <w:rtl w:val="0"/>
        </w:rPr>
        <w:t xml:space="preserve">Recurrente, </w:t>
      </w:r>
      <w:r w:rsidDel="00000000" w:rsidR="00000000" w:rsidRPr="00000000">
        <w:rPr>
          <w:rFonts w:ascii="Palatino Linotype" w:cs="Palatino Linotype" w:eastAsia="Palatino Linotype" w:hAnsi="Palatino Linotype"/>
          <w:color w:val="000000"/>
          <w:rtl w:val="0"/>
        </w:rPr>
        <w:t xml:space="preserve">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r w:rsidDel="00000000" w:rsidR="00000000" w:rsidRPr="00000000">
        <w:rPr>
          <w:rtl w:val="0"/>
        </w:rPr>
      </w:r>
    </w:p>
    <w:p w:rsidR="00000000" w:rsidDel="00000000" w:rsidP="00000000" w:rsidRDefault="00000000" w:rsidRPr="00000000" w14:paraId="00000077">
      <w:pPr>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tal sentido, es de señalar que del análisis de las constancias del expediente electrónico en el que se actúa se advirtió que el servidor público habilitado no negó la competencia para conocer la información que es del interés de la persona solicitante, tan es así que hizo entrega del soporte documental con los datos específicos requeridos por el particular; sin embargo el particular considera que la información resulta incompleta por que a su dicho</w:t>
      </w:r>
      <w:r w:rsidDel="00000000" w:rsidR="00000000" w:rsidRPr="00000000">
        <w:rPr>
          <w:rFonts w:ascii="Palatino Linotype" w:cs="Palatino Linotype" w:eastAsia="Palatino Linotype" w:hAnsi="Palatino Linotype"/>
          <w:b w:val="1"/>
          <w:i w:val="1"/>
          <w:color w:val="000000"/>
          <w:rtl w:val="0"/>
        </w:rPr>
        <w:t xml:space="preserve"> en redes sociales del DIF y la personal de la presidenta del DIF se han subido desde el mes de enero diversas entregas de productos como despensas, quesos, jamón, productos de limpieza entre otros argumentando que son “Donaciones de Empresas” misas que no se están mencionando en esta respuesta. </w:t>
      </w:r>
      <w:r w:rsidDel="00000000" w:rsidR="00000000" w:rsidRPr="00000000">
        <w:rPr>
          <w:rtl w:val="0"/>
        </w:rPr>
      </w:r>
    </w:p>
    <w:p w:rsidR="00000000" w:rsidDel="00000000" w:rsidP="00000000" w:rsidRDefault="00000000" w:rsidRPr="00000000" w14:paraId="0000007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conviene señalar que, de la revisión general a las publicaciones en redes sociales institucionales del Sujeto Obligado, correspondientes a la temporalidad indicada por el particular, esto es del año 2024, no se localizó alguna que hiciera referencia a donaciones de los productos referidos por el particular, por parte de algunas empresas. Por el contrario, en el año 2024, se advierte que la entrega de dichas despensas formaba parte de un programa social denominado “El espíritu que Cuida tu Salud” sin que se advierte que los productos hayan sido donados, tal como se advierte a continuación: </w:t>
      </w:r>
    </w:p>
    <w:p w:rsidR="00000000" w:rsidDel="00000000" w:rsidP="00000000" w:rsidRDefault="00000000" w:rsidRPr="00000000" w14:paraId="0000007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143689" cy="4334480"/>
            <wp:effectExtent b="0" l="0" r="0" t="0"/>
            <wp:docPr id="193323596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143689" cy="4334480"/>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2857899" cy="4324954"/>
            <wp:effectExtent b="0" l="0" r="0" t="0"/>
            <wp:docPr id="193323596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857899" cy="4324954"/>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Incluso en una de esas publicaciones se precisa que los apoyos otorgados provienen de recursos públicos, tal como se advierte a continuación: </w:t>
      </w:r>
    </w:p>
    <w:p w:rsidR="00000000" w:rsidDel="00000000" w:rsidP="00000000" w:rsidRDefault="00000000" w:rsidRPr="00000000" w14:paraId="0000007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524742" cy="4410691"/>
            <wp:effectExtent b="0" l="0" r="0" t="0"/>
            <wp:docPr id="193323596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524742" cy="4410691"/>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 de las publicaciones se advierte la donación de latas de sardina, las cuales sí fueron reportadas por el Sujeto Obligado en respuesta: </w:t>
      </w:r>
    </w:p>
    <w:p w:rsidR="00000000" w:rsidDel="00000000" w:rsidP="00000000" w:rsidRDefault="00000000" w:rsidRPr="00000000" w14:paraId="0000007E">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610479" cy="4525006"/>
            <wp:effectExtent b="0" l="0" r="0" t="0"/>
            <wp:docPr id="1933235966"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610479" cy="4525006"/>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se omite señalar que, respecto a las publicaciones hechas en redes sociales institucionales, del mes de enero a marzo de dos mil veinticinco, en efecto se advierte la referencia a diversos productos que han sido donados al Sujeto Obligado, por diversas empresas: </w:t>
      </w:r>
    </w:p>
    <w:p w:rsidR="00000000" w:rsidDel="00000000" w:rsidP="00000000" w:rsidRDefault="00000000" w:rsidRPr="00000000" w14:paraId="0000008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791215" cy="4248743"/>
            <wp:effectExtent b="0" l="0" r="0" t="0"/>
            <wp:docPr id="193323596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791215" cy="424874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591162" cy="4115374"/>
            <wp:effectExtent b="0" l="0" r="0" t="0"/>
            <wp:docPr id="193323596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591162" cy="4115374"/>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762636" cy="4610743"/>
            <wp:effectExtent b="0" l="0" r="0" t="0"/>
            <wp:docPr id="193323596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762636" cy="4610743"/>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124636" cy="4563112"/>
            <wp:effectExtent b="0" l="0" r="0" t="0"/>
            <wp:docPr id="1933235971"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3124636" cy="4563112"/>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238952" cy="4563112"/>
            <wp:effectExtent b="0" l="0" r="0" t="0"/>
            <wp:docPr id="1933235970"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238952" cy="4563112"/>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dichas donaciones no corresponden a la temporalidad indicada por el particular en su solicitud de información, ya que estás corresponden al ejercicio fiscal 2025, cuando en la solicitud precisó requerir información de las donaciones realizadas en el año 2024.</w:t>
      </w:r>
    </w:p>
    <w:p w:rsidR="00000000" w:rsidDel="00000000" w:rsidP="00000000" w:rsidRDefault="00000000" w:rsidRPr="00000000" w14:paraId="00000087">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360" w:before="240" w:line="360" w:lineRule="auto"/>
        <w:ind w:right="18"/>
        <w:jc w:val="both"/>
        <w:rPr>
          <w:color w:val="000000"/>
        </w:rPr>
      </w:pPr>
      <w:r w:rsidDel="00000000" w:rsidR="00000000" w:rsidRPr="00000000">
        <w:rPr>
          <w:rFonts w:ascii="Palatino Linotype" w:cs="Palatino Linotype" w:eastAsia="Palatino Linotype" w:hAnsi="Palatino Linotype"/>
          <w:color w:val="000000"/>
          <w:rtl w:val="0"/>
        </w:rPr>
        <w:t xml:space="preserve">De tal manera que la respuesta emitida por el servidor público habilitado de la Tesorería</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colma el requerimiento que formuló la persona solicitante; siendo que de conformidad con lo establecido en el artículo 12, segundo párrafo de la Ley de Transparencia y Acceso a la Información Pública del Estado de México y Municipios, los Sujetos Obligados solo proporcionaran la información pública que se les requiera y que obre en sus archivos y en el estado en que ésta se encuentre, en sentido contrario, no están obligados a proporcionar lo que no tengan en sus archivos.</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360" w:before="240" w:line="360" w:lineRule="auto"/>
        <w:ind w:right="18"/>
        <w:jc w:val="both"/>
        <w:rPr>
          <w:color w:val="000000"/>
        </w:rPr>
      </w:pPr>
      <w:r w:rsidDel="00000000" w:rsidR="00000000" w:rsidRPr="00000000">
        <w:rPr>
          <w:rFonts w:ascii="Palatino Linotype" w:cs="Palatino Linotype" w:eastAsia="Palatino Linotype" w:hAnsi="Palatino Linotype"/>
          <w:color w:val="000000"/>
          <w:rtl w:val="0"/>
        </w:rPr>
        <w:t xml:space="preserve">Y, menos aún, los Sujetos Obligados se encuentran obligados a generar documentos a fin de atender las solicitudes de acceso a la información que les sean formuladas, tal y como se desprende del mismo texto del artículo 12 de la Ley de la Materia en consulta.</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Aunado a lo anterior, respecto al pronunciamiento emitido por la persona servidora pública habilitada competente a fin de dar respuesta a la solicitud planteada, este Pleno considera necesario dejar claro que no está facultado para manifestarse sobre la veracidad de la información proporcionada, conforme lo prevé el artículo 36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360" w:before="240" w:line="360" w:lineRule="auto"/>
        <w:ind w:right="18"/>
        <w:jc w:val="both"/>
        <w:rPr>
          <w:color w:val="000000"/>
        </w:rPr>
      </w:pPr>
      <w:r w:rsidDel="00000000" w:rsidR="00000000" w:rsidRPr="00000000">
        <w:rPr>
          <w:rFonts w:ascii="Palatino Linotype" w:cs="Palatino Linotype" w:eastAsia="Palatino Linotype" w:hAnsi="Palatino Linotype"/>
          <w:color w:val="000000"/>
          <w:rtl w:val="0"/>
        </w:rPr>
        <w:t xml:space="preserve">Derivado de lo expuesto, se concluye que los motivos de inconformidad de la parte </w:t>
      </w:r>
      <w:r w:rsidDel="00000000" w:rsidR="00000000" w:rsidRPr="00000000">
        <w:rPr>
          <w:rFonts w:ascii="Palatino Linotype" w:cs="Palatino Linotype" w:eastAsia="Palatino Linotype" w:hAnsi="Palatino Linotype"/>
          <w:b w:val="1"/>
          <w:color w:val="000000"/>
          <w:rtl w:val="0"/>
        </w:rPr>
        <w:t xml:space="preserve">Recurrente </w:t>
      </w:r>
      <w:r w:rsidDel="00000000" w:rsidR="00000000" w:rsidRPr="00000000">
        <w:rPr>
          <w:rFonts w:ascii="Palatino Linotype" w:cs="Palatino Linotype" w:eastAsia="Palatino Linotype" w:hAnsi="Palatino Linotype"/>
          <w:color w:val="000000"/>
          <w:rtl w:val="0"/>
        </w:rPr>
        <w:t xml:space="preserve">devienen infundados, siendo procedente </w:t>
      </w:r>
      <w:r w:rsidDel="00000000" w:rsidR="00000000" w:rsidRPr="00000000">
        <w:rPr>
          <w:rFonts w:ascii="Palatino Linotype" w:cs="Palatino Linotype" w:eastAsia="Palatino Linotype" w:hAnsi="Palatino Linotype"/>
          <w:i w:val="1"/>
          <w:color w:val="000000"/>
          <w:rtl w:val="0"/>
        </w:rPr>
        <w:t xml:space="preserve">Confirmar </w:t>
      </w:r>
      <w:r w:rsidDel="00000000" w:rsidR="00000000" w:rsidRPr="00000000">
        <w:rPr>
          <w:rFonts w:ascii="Palatino Linotype" w:cs="Palatino Linotype" w:eastAsia="Palatino Linotype" w:hAnsi="Palatino Linotype"/>
          <w:color w:val="000000"/>
          <w:rtl w:val="0"/>
        </w:rPr>
        <w:t xml:space="preserve">la respuesta proporcionada por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en términos del artículo 186, fracción II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40" w:before="240" w:line="360" w:lineRule="auto"/>
        <w:jc w:val="center"/>
        <w:rPr>
          <w:color w:val="000000"/>
        </w:rPr>
      </w:pPr>
      <w:r w:rsidDel="00000000" w:rsidR="00000000" w:rsidRPr="00000000">
        <w:rPr>
          <w:rFonts w:ascii="Palatino Linotype" w:cs="Palatino Linotype" w:eastAsia="Palatino Linotype" w:hAnsi="Palatino Linotype"/>
          <w:b w:val="1"/>
          <w:color w:val="000000"/>
          <w:rtl w:val="0"/>
        </w:rPr>
        <w:t xml:space="preserve">III. R E S U E L V E</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b w:val="1"/>
          <w:color w:val="000000"/>
          <w:rtl w:val="0"/>
        </w:rPr>
        <w:t xml:space="preserve">Primero. </w:t>
      </w:r>
      <w:r w:rsidDel="00000000" w:rsidR="00000000" w:rsidRPr="00000000">
        <w:rPr>
          <w:rFonts w:ascii="Palatino Linotype" w:cs="Palatino Linotype" w:eastAsia="Palatino Linotype" w:hAnsi="Palatino Linotype"/>
          <w:color w:val="000000"/>
          <w:rtl w:val="0"/>
        </w:rPr>
        <w:t xml:space="preserve">Son </w:t>
      </w:r>
      <w:r w:rsidDel="00000000" w:rsidR="00000000" w:rsidRPr="00000000">
        <w:rPr>
          <w:rFonts w:ascii="Palatino Linotype" w:cs="Palatino Linotype" w:eastAsia="Palatino Linotype" w:hAnsi="Palatino Linotype"/>
          <w:b w:val="1"/>
          <w:color w:val="000000"/>
          <w:rtl w:val="0"/>
        </w:rPr>
        <w:t xml:space="preserve">infundadas</w:t>
      </w:r>
      <w:r w:rsidDel="00000000" w:rsidR="00000000" w:rsidRPr="00000000">
        <w:rPr>
          <w:rFonts w:ascii="Palatino Linotype" w:cs="Palatino Linotype" w:eastAsia="Palatino Linotype" w:hAnsi="Palatino Linotype"/>
          <w:color w:val="000000"/>
          <w:rtl w:val="0"/>
        </w:rPr>
        <w:t xml:space="preserve"> las razones o motivos de inconformidad hechos valer por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en el recurso de revisión </w:t>
      </w:r>
      <w:r w:rsidDel="00000000" w:rsidR="00000000" w:rsidRPr="00000000">
        <w:rPr>
          <w:rFonts w:ascii="Palatino Linotype" w:cs="Palatino Linotype" w:eastAsia="Palatino Linotype" w:hAnsi="Palatino Linotype"/>
          <w:b w:val="1"/>
          <w:color w:val="000000"/>
          <w:rtl w:val="0"/>
        </w:rPr>
        <w:t xml:space="preserve">05229/INFOEM/IP/RR/2025</w:t>
      </w:r>
      <w:r w:rsidDel="00000000" w:rsidR="00000000" w:rsidRPr="00000000">
        <w:rPr>
          <w:rFonts w:ascii="Palatino Linotype" w:cs="Palatino Linotype" w:eastAsia="Palatino Linotype" w:hAnsi="Palatino Linotype"/>
          <w:color w:val="000000"/>
          <w:rtl w:val="0"/>
        </w:rPr>
        <w:t xml:space="preserve">, por lo que, en términos de los argumentos de derecho señalados en el considerando </w:t>
      </w:r>
      <w:r w:rsidDel="00000000" w:rsidR="00000000" w:rsidRPr="00000000">
        <w:rPr>
          <w:rFonts w:ascii="Palatino Linotype" w:cs="Palatino Linotype" w:eastAsia="Palatino Linotype" w:hAnsi="Palatino Linotype"/>
          <w:b w:val="1"/>
          <w:color w:val="000000"/>
          <w:rtl w:val="0"/>
        </w:rPr>
        <w:t xml:space="preserve">Cuarto</w:t>
      </w:r>
      <w:r w:rsidDel="00000000" w:rsidR="00000000" w:rsidRPr="00000000">
        <w:rPr>
          <w:rFonts w:ascii="Palatino Linotype" w:cs="Palatino Linotype" w:eastAsia="Palatino Linotype" w:hAnsi="Palatino Linotype"/>
          <w:color w:val="000000"/>
          <w:rtl w:val="0"/>
        </w:rPr>
        <w:t xml:space="preserve">, se</w:t>
      </w:r>
      <w:r w:rsidDel="00000000" w:rsidR="00000000" w:rsidRPr="00000000">
        <w:rPr>
          <w:rFonts w:ascii="Palatino Linotype" w:cs="Palatino Linotype" w:eastAsia="Palatino Linotype" w:hAnsi="Palatino Linotype"/>
          <w:b w:val="1"/>
          <w:color w:val="000000"/>
          <w:rtl w:val="0"/>
        </w:rPr>
        <w:t xml:space="preserve"> Confirma </w:t>
      </w:r>
      <w:r w:rsidDel="00000000" w:rsidR="00000000" w:rsidRPr="00000000">
        <w:rPr>
          <w:rFonts w:ascii="Palatino Linotype" w:cs="Palatino Linotype" w:eastAsia="Palatino Linotype" w:hAnsi="Palatino Linotype"/>
          <w:color w:val="000000"/>
          <w:rtl w:val="0"/>
        </w:rPr>
        <w:t xml:space="preserve">la respuesta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b w:val="1"/>
          <w:color w:val="000000"/>
          <w:rtl w:val="0"/>
        </w:rPr>
        <w:t xml:space="preserve">Segundo. Notifíquese, </w:t>
      </w:r>
      <w:r w:rsidDel="00000000" w:rsidR="00000000" w:rsidRPr="00000000">
        <w:rPr>
          <w:rFonts w:ascii="Palatino Linotype" w:cs="Palatino Linotype" w:eastAsia="Palatino Linotype" w:hAnsi="Palatino Linotype"/>
          <w:color w:val="000000"/>
          <w:rtl w:val="0"/>
        </w:rPr>
        <w:t xml:space="preserve">vía </w:t>
      </w:r>
      <w:r w:rsidDel="00000000" w:rsidR="00000000" w:rsidRPr="00000000">
        <w:rPr>
          <w:rFonts w:ascii="Palatino Linotype" w:cs="Palatino Linotype" w:eastAsia="Palatino Linotype" w:hAnsi="Palatino Linotype"/>
          <w:b w:val="1"/>
          <w:color w:val="000000"/>
          <w:rtl w:val="0"/>
        </w:rPr>
        <w:t xml:space="preserve">SAIMEX, </w:t>
      </w:r>
      <w:r w:rsidDel="00000000" w:rsidR="00000000" w:rsidRPr="00000000">
        <w:rPr>
          <w:rFonts w:ascii="Palatino Linotype" w:cs="Palatino Linotype" w:eastAsia="Palatino Linotype" w:hAnsi="Palatino Linotype"/>
          <w:color w:val="000000"/>
          <w:rtl w:val="0"/>
        </w:rPr>
        <w:t xml:space="preserve">al Titular de la Unidad de Transparencia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para su conocimiento, la presente resolución.</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b w:val="1"/>
          <w:color w:val="000000"/>
          <w:rtl w:val="0"/>
        </w:rPr>
        <w:t xml:space="preserve">Tercero.  Notifíquese, </w:t>
      </w:r>
      <w:r w:rsidDel="00000000" w:rsidR="00000000" w:rsidRPr="00000000">
        <w:rPr>
          <w:rFonts w:ascii="Palatino Linotype" w:cs="Palatino Linotype" w:eastAsia="Palatino Linotype" w:hAnsi="Palatino Linotype"/>
          <w:color w:val="000000"/>
          <w:rtl w:val="0"/>
        </w:rPr>
        <w:t xml:space="preserve">vía </w:t>
      </w:r>
      <w:r w:rsidDel="00000000" w:rsidR="00000000" w:rsidRPr="00000000">
        <w:rPr>
          <w:rFonts w:ascii="Palatino Linotype" w:cs="Palatino Linotype" w:eastAsia="Palatino Linotype" w:hAnsi="Palatino Linotype"/>
          <w:b w:val="1"/>
          <w:color w:val="000000"/>
          <w:rtl w:val="0"/>
        </w:rPr>
        <w:t xml:space="preserve">SAIMEX, </w:t>
      </w:r>
      <w:r w:rsidDel="00000000" w:rsidR="00000000" w:rsidRPr="00000000">
        <w:rPr>
          <w:rFonts w:ascii="Palatino Linotype" w:cs="Palatino Linotype" w:eastAsia="Palatino Linotype" w:hAnsi="Palatino Linotype"/>
          <w:color w:val="000000"/>
          <w:rtl w:val="0"/>
        </w:rPr>
        <w:t xml:space="preserve">a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40" w:before="240" w:line="360" w:lineRule="auto"/>
        <w:ind w:right="51"/>
        <w:jc w:val="both"/>
        <w:rPr>
          <w:color w:val="000000"/>
        </w:rPr>
      </w:pPr>
      <w:r w:rsidDel="00000000" w:rsidR="00000000" w:rsidRPr="00000000">
        <w:rPr>
          <w:rFonts w:ascii="Palatino Linotype" w:cs="Palatino Linotype" w:eastAsia="Palatino Linotype" w:hAnsi="Palatino Linotype"/>
          <w:color w:val="000000"/>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SEIS DE AGOSTO DE DOS MIL VEINTICINCO, ANTE EL SECRETARIO TÉCNICO DEL PLENO ALEXIS TAPIA RAMÍREZ.</w:t>
      </w:r>
      <w:r w:rsidDel="00000000" w:rsidR="00000000" w:rsidRPr="00000000">
        <w:rPr>
          <w:rtl w:val="0"/>
        </w:rPr>
      </w:r>
    </w:p>
    <w:p w:rsidR="00000000" w:rsidDel="00000000" w:rsidP="00000000" w:rsidRDefault="00000000" w:rsidRPr="00000000" w14:paraId="00000093">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5">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6">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7">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F">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spacing w:after="240" w:before="24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9" w:type="default"/>
      <w:headerReference r:id="rId20" w:type="first"/>
      <w:footerReference r:id="rId21" w:type="default"/>
      <w:footerReference r:id="rId22"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A1">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-1080130</wp:posOffset>
          </wp:positionH>
          <wp:positionV relativeFrom="paragraph">
            <wp:posOffset>-506725</wp:posOffset>
          </wp:positionV>
          <wp:extent cx="7809865" cy="10165715"/>
          <wp:effectExtent b="0" l="0" r="0" t="0"/>
          <wp:wrapNone/>
          <wp:docPr id="193323596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6095.0" w:type="dxa"/>
      <w:jc w:val="left"/>
      <w:tblInd w:w="3119.0" w:type="dxa"/>
      <w:tblLayout w:type="fixed"/>
      <w:tblLook w:val="0400"/>
    </w:tblPr>
    <w:tblGrid>
      <w:gridCol w:w="2410"/>
      <w:gridCol w:w="3685"/>
      <w:tblGridChange w:id="0">
        <w:tblGrid>
          <w:gridCol w:w="2410"/>
          <w:gridCol w:w="3685"/>
        </w:tblGrid>
      </w:tblGridChange>
    </w:tblGrid>
    <w:tr>
      <w:trPr>
        <w:cantSplit w:val="0"/>
        <w:tblHeader w:val="0"/>
      </w:trPr>
      <w:tc>
        <w:tcPr>
          <w:shd w:fill="auto" w:val="clear"/>
        </w:tcPr>
        <w:p w:rsidR="00000000" w:rsidDel="00000000" w:rsidP="00000000" w:rsidRDefault="00000000" w:rsidRPr="00000000" w14:paraId="000000A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A5">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05229/INFOEM/IP/RR/2025</w:t>
          </w:r>
        </w:p>
      </w:tc>
    </w:tr>
    <w:tr>
      <w:trPr>
        <w:cantSplit w:val="0"/>
        <w:trHeight w:val="228" w:hRule="atLeast"/>
        <w:tblHeader w:val="0"/>
      </w:trPr>
      <w:tc>
        <w:tcPr>
          <w:shd w:fill="auto" w:val="clear"/>
          <w:vAlign w:val="center"/>
        </w:tcPr>
        <w:p w:rsidR="00000000" w:rsidDel="00000000" w:rsidP="00000000" w:rsidRDefault="00000000" w:rsidRPr="00000000" w14:paraId="000000A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A7">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Tepotzotlán</w:t>
          </w:r>
        </w:p>
      </w:tc>
    </w:tr>
    <w:tr>
      <w:trPr>
        <w:cantSplit w:val="0"/>
        <w:tblHeader w:val="0"/>
      </w:trPr>
      <w:tc>
        <w:tcPr>
          <w:shd w:fill="auto" w:val="clear"/>
          <w:vAlign w:val="center"/>
        </w:tcPr>
        <w:p w:rsidR="00000000" w:rsidDel="00000000" w:rsidP="00000000" w:rsidRDefault="00000000" w:rsidRPr="00000000" w14:paraId="000000A8">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A9">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AA">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-1080129</wp:posOffset>
          </wp:positionH>
          <wp:positionV relativeFrom="paragraph">
            <wp:posOffset>-309957</wp:posOffset>
          </wp:positionV>
          <wp:extent cx="7809865" cy="10165715"/>
          <wp:effectExtent b="0" l="0" r="0" t="0"/>
          <wp:wrapNone/>
          <wp:docPr id="1933235962"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095.0" w:type="dxa"/>
      <w:jc w:val="left"/>
      <w:tblInd w:w="2972.0" w:type="dxa"/>
      <w:tblLayout w:type="fixed"/>
      <w:tblLook w:val="0400"/>
    </w:tblPr>
    <w:tblGrid>
      <w:gridCol w:w="2552"/>
      <w:gridCol w:w="3543"/>
      <w:tblGridChange w:id="0">
        <w:tblGrid>
          <w:gridCol w:w="2552"/>
          <w:gridCol w:w="3543"/>
        </w:tblGrid>
      </w:tblGridChange>
    </w:tblGrid>
    <w:tr>
      <w:trPr>
        <w:cantSplit w:val="0"/>
        <w:tblHeader w:val="0"/>
      </w:trPr>
      <w:tc>
        <w:tcPr>
          <w:shd w:fill="auto" w:val="clear"/>
          <w:vAlign w:val="center"/>
        </w:tcPr>
        <w:p w:rsidR="00000000" w:rsidDel="00000000" w:rsidP="00000000" w:rsidRDefault="00000000" w:rsidRPr="00000000" w14:paraId="000000A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AD">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05229/INFOEM/IP/RR/2025</w:t>
          </w:r>
        </w:p>
      </w:tc>
    </w:tr>
    <w:tr>
      <w:trPr>
        <w:cantSplit w:val="0"/>
        <w:trHeight w:val="130" w:hRule="atLeast"/>
        <w:tblHeader w:val="0"/>
      </w:trPr>
      <w:tc>
        <w:tcPr>
          <w:shd w:fill="auto" w:val="clear"/>
          <w:vAlign w:val="center"/>
        </w:tcPr>
        <w:p w:rsidR="00000000" w:rsidDel="00000000" w:rsidP="00000000" w:rsidRDefault="00000000" w:rsidRPr="00000000" w14:paraId="000000A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AF">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XXXXXXXXXX XXX XXXXXX </w:t>
          </w:r>
        </w:p>
      </w:tc>
    </w:tr>
    <w:tr>
      <w:trPr>
        <w:cantSplit w:val="0"/>
        <w:trHeight w:val="228" w:hRule="atLeast"/>
        <w:tblHeader w:val="0"/>
      </w:trPr>
      <w:tc>
        <w:tcPr>
          <w:shd w:fill="auto" w:val="clear"/>
          <w:vAlign w:val="center"/>
        </w:tcPr>
        <w:p w:rsidR="00000000" w:rsidDel="00000000" w:rsidP="00000000" w:rsidRDefault="00000000" w:rsidRPr="00000000" w14:paraId="000000B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B1">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Tepotzotlán</w:t>
          </w:r>
        </w:p>
      </w:tc>
    </w:tr>
    <w:tr>
      <w:trPr>
        <w:cantSplit w:val="0"/>
        <w:tblHeader w:val="0"/>
      </w:trPr>
      <w:tc>
        <w:tcPr>
          <w:shd w:fill="auto" w:val="clear"/>
          <w:vAlign w:val="center"/>
        </w:tcPr>
        <w:p w:rsidR="00000000" w:rsidDel="00000000" w:rsidP="00000000" w:rsidRDefault="00000000" w:rsidRPr="00000000" w14:paraId="000000B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B3">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4237"/>
      <w:numFmt w:val="bullet"/>
      <w:lvlText w:val="-"/>
      <w:lvlJc w:val="left"/>
      <w:pPr>
        <w:ind w:left="720" w:hanging="360"/>
      </w:pPr>
      <w:rPr>
        <w:rFonts w:ascii="Palatino Linotype" w:cs="Palatino Linotype" w:eastAsia="Palatino Linotype" w:hAnsi="Palatino Linotype"/>
        <w:b w:val="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uiPriority w:val="9"/>
    <w:semiHidden w:val="1"/>
    <w:rsid w:val="003B73CD"/>
    <w:rPr>
      <w:b w:val="1"/>
      <w:bCs w:val="1"/>
      <w:sz w:val="28"/>
      <w:szCs w:val="28"/>
      <w:lang w:eastAsia="en-US" w:val="en-US"/>
    </w:rPr>
  </w:style>
  <w:style w:type="character" w:styleId="Ttulo5Car" w:customStyle="1">
    <w:name w:val="Título 5 Car"/>
    <w:basedOn w:val="Fuentedeprrafopredeter"/>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table" w:styleId="5" w:customStyle="1">
    <w:name w:val="5"/>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left w:w="115.0" w:type="dxa"/>
        <w:right w:w="115.0" w:type="dxa"/>
      </w:tblCellMar>
    </w:tblPr>
  </w:style>
  <w:style w:type="table" w:styleId="1" w:customStyle="1">
    <w:name w:val="1"/>
    <w:basedOn w:val="TableNormal10"/>
    <w:tblPr>
      <w:tblStyleRowBandSize w:val="1"/>
      <w:tblStyleColBandSize w:val="1"/>
      <w:tblCellMar>
        <w:left w:w="115.0" w:type="dxa"/>
        <w:right w:w="115.0" w:type="dxa"/>
      </w:tblCellMar>
    </w:tblPr>
  </w:style>
  <w:style w:type="table" w:styleId="9" w:customStyle="1">
    <w:name w:val="9"/>
    <w:basedOn w:val="TableNormal20"/>
    <w:tblPr>
      <w:tblStyleRowBandSize w:val="1"/>
      <w:tblStyleColBandSize w:val="1"/>
      <w:tblCellMar>
        <w:left w:w="115.0" w:type="dxa"/>
        <w:right w:w="115.0" w:type="dxa"/>
      </w:tblCellMar>
    </w:tblPr>
  </w:style>
  <w:style w:type="table" w:styleId="8" w:customStyle="1">
    <w:name w:val="8"/>
    <w:basedOn w:val="TableNormal20"/>
    <w:tblPr>
      <w:tblStyleRowBandSize w:val="1"/>
      <w:tblStyleColBandSize w:val="1"/>
      <w:tblCellMar>
        <w:left w:w="115.0" w:type="dxa"/>
        <w:right w:w="115.0" w:type="dxa"/>
      </w:tblCellMar>
    </w:tblPr>
  </w:style>
  <w:style w:type="table" w:styleId="7" w:customStyle="1">
    <w:name w:val="7"/>
    <w:basedOn w:val="TableNormal30"/>
    <w:tblPr>
      <w:tblStyleRowBandSize w:val="1"/>
      <w:tblStyleColBandSize w:val="1"/>
      <w:tblCellMar>
        <w:left w:w="115.0" w:type="dxa"/>
        <w:right w:w="115.0" w:type="dxa"/>
      </w:tblCellMar>
    </w:tblPr>
  </w:style>
  <w:style w:type="table" w:styleId="6" w:customStyle="1">
    <w:name w:val="6"/>
    <w:basedOn w:val="TableNormal30"/>
    <w:tblPr>
      <w:tblStyleRowBandSize w:val="1"/>
      <w:tblStyleColBandSize w:val="1"/>
      <w:tblCellMar>
        <w:left w:w="115.0" w:type="dxa"/>
        <w:right w:w="115.0" w:type="dxa"/>
      </w:tblCellMar>
    </w:tblPr>
  </w:style>
  <w:style w:type="table" w:styleId="17" w:customStyle="1">
    <w:name w:val="17"/>
    <w:basedOn w:val="TableNormal40"/>
    <w:tblPr>
      <w:tblStyleRowBandSize w:val="1"/>
      <w:tblStyleColBandSize w:val="1"/>
      <w:tblCellMar>
        <w:left w:w="115.0" w:type="dxa"/>
        <w:right w:w="115.0" w:type="dxa"/>
      </w:tblCellMar>
    </w:tblPr>
  </w:style>
  <w:style w:type="table" w:styleId="16" w:customStyle="1">
    <w:name w:val="16"/>
    <w:basedOn w:val="TableNormal40"/>
    <w:tblPr>
      <w:tblStyleRowBandSize w:val="1"/>
      <w:tblStyleColBandSize w:val="1"/>
      <w:tblCellMar>
        <w:left w:w="115.0" w:type="dxa"/>
        <w:right w:w="115.0" w:type="dxa"/>
      </w:tblCellMar>
    </w:tblPr>
  </w:style>
  <w:style w:type="table" w:styleId="15" w:customStyle="1">
    <w:name w:val="15"/>
    <w:basedOn w:val="TableNormal5"/>
    <w:tblPr>
      <w:tblStyleRowBandSize w:val="1"/>
      <w:tblStyleColBandSize w:val="1"/>
      <w:tblCellMar>
        <w:left w:w="115.0" w:type="dxa"/>
        <w:right w:w="115.0" w:type="dxa"/>
      </w:tblCellMar>
    </w:tblPr>
  </w:style>
  <w:style w:type="table" w:styleId="14" w:customStyle="1">
    <w:name w:val="14"/>
    <w:basedOn w:val="TableNormal5"/>
    <w:tblPr>
      <w:tblStyleRowBandSize w:val="1"/>
      <w:tblStyleColBandSize w:val="1"/>
      <w:tblCellMar>
        <w:left w:w="115.0" w:type="dxa"/>
        <w:right w:w="115.0" w:type="dxa"/>
      </w:tblCellMar>
    </w:tblPr>
  </w:style>
  <w:style w:type="table" w:styleId="13" w:customStyle="1">
    <w:name w:val="13"/>
    <w:basedOn w:val="TableNormal6"/>
    <w:tblPr>
      <w:tblStyleRowBandSize w:val="1"/>
      <w:tblStyleColBandSize w:val="1"/>
      <w:tblCellMar>
        <w:left w:w="115.0" w:type="dxa"/>
        <w:right w:w="115.0" w:type="dxa"/>
      </w:tblCellMar>
    </w:tblPr>
  </w:style>
  <w:style w:type="table" w:styleId="12" w:customStyle="1">
    <w:name w:val="12"/>
    <w:basedOn w:val="TableNormal6"/>
    <w:tblPr>
      <w:tblStyleRowBandSize w:val="1"/>
      <w:tblStyleColBandSize w:val="1"/>
      <w:tblCellMar>
        <w:left w:w="115.0" w:type="dxa"/>
        <w:right w:w="115.0" w:type="dxa"/>
      </w:tblCellMar>
    </w:tblPr>
  </w:style>
  <w:style w:type="table" w:styleId="11" w:customStyle="1">
    <w:name w:val="11"/>
    <w:basedOn w:val="TableNormal7"/>
    <w:tblPr>
      <w:tblStyleRowBandSize w:val="1"/>
      <w:tblStyleColBandSize w:val="1"/>
      <w:tblCellMar>
        <w:left w:w="115.0" w:type="dxa"/>
        <w:right w:w="115.0" w:type="dxa"/>
      </w:tblCellMar>
    </w:tblPr>
  </w:style>
  <w:style w:type="table" w:styleId="10" w:customStyle="1">
    <w:name w:val="10"/>
    <w:basedOn w:val="TableNormal7"/>
    <w:tblPr>
      <w:tblStyleRowBandSize w:val="1"/>
      <w:tblStyleColBandSize w:val="1"/>
      <w:tblCellMar>
        <w:left w:w="115.0" w:type="dxa"/>
        <w:right w:w="115.0" w:type="dxa"/>
      </w:tblCellMar>
    </w:tblPr>
  </w:style>
  <w:style w:type="table" w:styleId="a" w:customStyle="1">
    <w:basedOn w:val="TableNormal4"/>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4"/>
    <w:tblPr>
      <w:tblStyleRowBandSize w:val="1"/>
      <w:tblStyleColBandSize w:val="1"/>
      <w:tblCellMar>
        <w:left w:w="115.0" w:type="dxa"/>
        <w:right w:w="115.0" w:type="dxa"/>
      </w:tblCellMar>
    </w:tblPr>
  </w:style>
  <w:style w:type="table" w:styleId="a2" w:customStyle="1">
    <w:basedOn w:val="TableNormal4"/>
    <w:tblPr>
      <w:tblStyleRowBandSize w:val="1"/>
      <w:tblStyleColBandSize w:val="1"/>
      <w:tblCellMar>
        <w:left w:w="115.0" w:type="dxa"/>
        <w:right w:w="115.0" w:type="dxa"/>
      </w:tblCellMar>
    </w:tblPr>
  </w:style>
  <w:style w:type="table" w:styleId="a3" w:customStyle="1">
    <w:basedOn w:val="TableNormal3"/>
    <w:tblPr>
      <w:tblStyleRowBandSize w:val="1"/>
      <w:tblStyleColBandSize w:val="1"/>
      <w:tblCellMar>
        <w:left w:w="115.0" w:type="dxa"/>
        <w:right w:w="115.0" w:type="dxa"/>
      </w:tblCellMar>
    </w:tblPr>
  </w:style>
  <w:style w:type="table" w:styleId="a4" w:customStyle="1">
    <w:basedOn w:val="TableNormal3"/>
    <w:tblPr>
      <w:tblStyleRowBandSize w:val="1"/>
      <w:tblStyleColBandSize w:val="1"/>
      <w:tblCellMar>
        <w:left w:w="115.0" w:type="dxa"/>
        <w:right w:w="115.0" w:type="dxa"/>
      </w:tblCellMar>
    </w:tblPr>
  </w:style>
  <w:style w:type="table" w:styleId="a5" w:customStyle="1">
    <w:basedOn w:val="TableNormal2"/>
    <w:tblPr>
      <w:tblStyleRowBandSize w:val="1"/>
      <w:tblStyleColBandSize w:val="1"/>
      <w:tblCellMar>
        <w:left w:w="115.0" w:type="dxa"/>
        <w:right w:w="115.0" w:type="dxa"/>
      </w:tblCellMar>
    </w:tblPr>
  </w:style>
  <w:style w:type="table" w:styleId="a6" w:customStyle="1">
    <w:basedOn w:val="TableNormal2"/>
    <w:tblPr>
      <w:tblStyleRowBandSize w:val="1"/>
      <w:tblStyleColBandSize w:val="1"/>
      <w:tblCellMar>
        <w:left w:w="115.0" w:type="dxa"/>
        <w:right w:w="115.0" w:type="dxa"/>
      </w:tblCellMar>
    </w:tblPr>
  </w:style>
  <w:style w:type="table" w:styleId="a7" w:customStyle="1">
    <w:basedOn w:val="TableNormal1"/>
    <w:tblPr>
      <w:tblStyleRowBandSize w:val="1"/>
      <w:tblStyleColBandSize w:val="1"/>
      <w:tblCellMar>
        <w:left w:w="115.0" w:type="dxa"/>
        <w:right w:w="115.0" w:type="dxa"/>
      </w:tblCellMar>
    </w:tblPr>
  </w:style>
  <w:style w:type="table" w:styleId="a8" w:customStyle="1">
    <w:basedOn w:val="TableNormal1"/>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5.png"/><Relationship Id="rId22" Type="http://schemas.openxmlformats.org/officeDocument/2006/relationships/footer" Target="footer2.xml"/><Relationship Id="rId10" Type="http://schemas.openxmlformats.org/officeDocument/2006/relationships/image" Target="media/image1.png"/><Relationship Id="rId21" Type="http://schemas.openxmlformats.org/officeDocument/2006/relationships/footer" Target="footer1.xml"/><Relationship Id="rId13" Type="http://schemas.openxmlformats.org/officeDocument/2006/relationships/image" Target="media/image1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image" Target="media/image12.png"/><Relationship Id="rId16" Type="http://schemas.openxmlformats.org/officeDocument/2006/relationships/image" Target="media/image10.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image" Target="media/image9.png"/><Relationship Id="rId7" Type="http://schemas.openxmlformats.org/officeDocument/2006/relationships/customXml" Target="../customXML/item1.xml"/><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dOSTpoDKBfB7SKGtf8nLautsSA==">CgMxLjAyCWguMXQzaDVzZjIJaC4xN2RwOHZ1MghoLmdqZGd4czIJaC4zMGowemxsMgloLjJzOGV5bzEyCGgudHlqY3d0MgloLjN6bnlzaDc4AHIhMU9pN3dtU0ZOV3UtWUNBODh6eWZodTFZRDQxcTU0MUpY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2025-09-03T02:28:00Z</dcterms:created>
  <dc:creator>iMac</dc:creator>
</cp:coreProperties>
</file>