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color w:val="auto"/>
          <w:sz w:val="20"/>
          <w:szCs w:val="20"/>
          <w:lang w:val="es-ES" w:eastAsia="es-ES"/>
        </w:rPr>
        <w:id w:val="641852550"/>
        <w:docPartObj>
          <w:docPartGallery w:val="Table of Contents"/>
          <w:docPartUnique/>
        </w:docPartObj>
      </w:sdtPr>
      <w:sdtEndPr>
        <w:rPr>
          <w:b/>
          <w:bCs/>
        </w:rPr>
      </w:sdtEndPr>
      <w:sdtContent>
        <w:p w14:paraId="69C45F50" w14:textId="2E388CF9" w:rsidR="0006315D" w:rsidRPr="0006315D" w:rsidRDefault="0006315D" w:rsidP="0006315D">
          <w:pPr>
            <w:pStyle w:val="TtuloTDC"/>
            <w:jc w:val="center"/>
            <w:rPr>
              <w:rFonts w:ascii="Palatino Linotype" w:hAnsi="Palatino Linotype"/>
              <w:color w:val="auto"/>
              <w:sz w:val="18"/>
              <w:szCs w:val="18"/>
            </w:rPr>
          </w:pPr>
          <w:r w:rsidRPr="0006315D">
            <w:rPr>
              <w:rFonts w:ascii="Palatino Linotype" w:hAnsi="Palatino Linotype"/>
              <w:color w:val="auto"/>
              <w:sz w:val="24"/>
              <w:szCs w:val="24"/>
              <w:lang w:val="es-ES"/>
            </w:rPr>
            <w:t>Resolución de Recurso de Revisión 03951/INFOEM/IP/RR/2025</w:t>
          </w:r>
        </w:p>
        <w:p w14:paraId="4194EC7E" w14:textId="4A5EA7C7" w:rsidR="0006315D" w:rsidRPr="0006315D" w:rsidRDefault="0006315D">
          <w:pPr>
            <w:pStyle w:val="TDC1"/>
            <w:tabs>
              <w:tab w:val="right" w:leader="dot" w:pos="9034"/>
            </w:tabs>
            <w:rPr>
              <w:rFonts w:ascii="Palatino Linotype" w:eastAsiaTheme="minorEastAsia" w:hAnsi="Palatino Linotype" w:cstheme="minorBidi"/>
              <w:noProof/>
              <w:kern w:val="2"/>
              <w:sz w:val="22"/>
              <w:szCs w:val="22"/>
              <w:lang w:eastAsia="es-MX"/>
              <w14:ligatures w14:val="standardContextual"/>
            </w:rPr>
          </w:pPr>
          <w:r w:rsidRPr="0006315D">
            <w:rPr>
              <w:rFonts w:ascii="Palatino Linotype" w:hAnsi="Palatino Linotype"/>
              <w:sz w:val="22"/>
              <w:szCs w:val="22"/>
            </w:rPr>
            <w:fldChar w:fldCharType="begin"/>
          </w:r>
          <w:r w:rsidRPr="0006315D">
            <w:rPr>
              <w:rFonts w:ascii="Palatino Linotype" w:hAnsi="Palatino Linotype"/>
              <w:sz w:val="22"/>
              <w:szCs w:val="22"/>
            </w:rPr>
            <w:instrText xml:space="preserve"> TOC \o "1-3" \h \z \u </w:instrText>
          </w:r>
          <w:r w:rsidRPr="0006315D">
            <w:rPr>
              <w:rFonts w:ascii="Palatino Linotype" w:hAnsi="Palatino Linotype"/>
              <w:sz w:val="22"/>
              <w:szCs w:val="22"/>
            </w:rPr>
            <w:fldChar w:fldCharType="separate"/>
          </w:r>
          <w:hyperlink w:anchor="_Toc212129006" w:history="1">
            <w:r w:rsidRPr="0006315D">
              <w:rPr>
                <w:rStyle w:val="Hipervnculo"/>
                <w:rFonts w:ascii="Palatino Linotype" w:eastAsiaTheme="majorEastAsia" w:hAnsi="Palatino Linotype"/>
                <w:noProof/>
                <w:sz w:val="22"/>
                <w:szCs w:val="22"/>
              </w:rPr>
              <w:t>A N T E C E D E N T E S</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_Toc212129006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2</w:t>
            </w:r>
            <w:r w:rsidRPr="0006315D">
              <w:rPr>
                <w:rFonts w:ascii="Palatino Linotype" w:hAnsi="Palatino Linotype"/>
                <w:noProof/>
                <w:webHidden/>
                <w:sz w:val="22"/>
                <w:szCs w:val="22"/>
              </w:rPr>
              <w:fldChar w:fldCharType="end"/>
            </w:r>
          </w:hyperlink>
        </w:p>
        <w:p w14:paraId="0941742B" w14:textId="2F7F9076"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07" w:history="1">
            <w:r w:rsidRPr="0006315D">
              <w:rPr>
                <w:rStyle w:val="Hipervnculo"/>
                <w:rFonts w:ascii="Palatino Linotype" w:eastAsiaTheme="majorEastAsia" w:hAnsi="Palatino Linotype"/>
                <w:noProof/>
                <w:sz w:val="22"/>
                <w:szCs w:val="22"/>
              </w:rPr>
              <w:t>I. Presentación de la solicitud de información.</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_Toc212129007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2</w:t>
            </w:r>
            <w:r w:rsidRPr="0006315D">
              <w:rPr>
                <w:rFonts w:ascii="Palatino Linotype" w:hAnsi="Palatino Linotype"/>
                <w:noProof/>
                <w:webHidden/>
                <w:sz w:val="22"/>
                <w:szCs w:val="22"/>
              </w:rPr>
              <w:fldChar w:fldCharType="end"/>
            </w:r>
          </w:hyperlink>
        </w:p>
        <w:p w14:paraId="2F1259A8" w14:textId="65604F81"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08" w:history="1">
            <w:r w:rsidRPr="0006315D">
              <w:rPr>
                <w:rStyle w:val="Hipervnculo"/>
                <w:rFonts w:ascii="Palatino Linotype" w:eastAsiaTheme="majorEastAsia" w:hAnsi="Palatino Linotype"/>
                <w:noProof/>
                <w:sz w:val="22"/>
                <w:szCs w:val="22"/>
              </w:rPr>
              <w:t>II. Respuesta del Sujeto Obligado.</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_Toc212129008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3</w:t>
            </w:r>
            <w:r w:rsidRPr="0006315D">
              <w:rPr>
                <w:rFonts w:ascii="Palatino Linotype" w:hAnsi="Palatino Linotype"/>
                <w:noProof/>
                <w:webHidden/>
                <w:sz w:val="22"/>
                <w:szCs w:val="22"/>
              </w:rPr>
              <w:fldChar w:fldCharType="end"/>
            </w:r>
          </w:hyperlink>
        </w:p>
        <w:p w14:paraId="6E06592C" w14:textId="60D4259B"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09" w:history="1">
            <w:r w:rsidRPr="0006315D">
              <w:rPr>
                <w:rStyle w:val="Hipervnculo"/>
                <w:rFonts w:ascii="Palatino Linotype" w:eastAsiaTheme="majorEastAsia" w:hAnsi="Palatino Linotype"/>
                <w:noProof/>
                <w:sz w:val="22"/>
                <w:szCs w:val="22"/>
              </w:rPr>
              <w:t>III. Interposición del Recurso de Revisión.</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_Toc212129009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3</w:t>
            </w:r>
            <w:r w:rsidRPr="0006315D">
              <w:rPr>
                <w:rFonts w:ascii="Palatino Linotype" w:hAnsi="Palatino Linotype"/>
                <w:noProof/>
                <w:webHidden/>
                <w:sz w:val="22"/>
                <w:szCs w:val="22"/>
              </w:rPr>
              <w:fldChar w:fldCharType="end"/>
            </w:r>
          </w:hyperlink>
        </w:p>
        <w:p w14:paraId="0497D058" w14:textId="12BA37F9"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10" w:history="1">
            <w:r w:rsidRPr="0006315D">
              <w:rPr>
                <w:rStyle w:val="Hipervnculo"/>
                <w:rFonts w:ascii="Palatino Linotype" w:eastAsiaTheme="majorEastAsia" w:hAnsi="Palatino Linotype"/>
                <w:noProof/>
                <w:sz w:val="22"/>
                <w:szCs w:val="22"/>
              </w:rPr>
              <w:t xml:space="preserve">IV. </w:t>
            </w:r>
            <w:r w:rsidRPr="0006315D">
              <w:rPr>
                <w:rStyle w:val="Hipervnculo"/>
                <w:rFonts w:ascii="Palatino Linotype" w:eastAsia="Batang" w:hAnsi="Palatino Linotype"/>
                <w:noProof/>
                <w:sz w:val="22"/>
                <w:szCs w:val="22"/>
              </w:rPr>
              <w:t xml:space="preserve">Trámite del </w:t>
            </w:r>
            <w:r w:rsidRPr="0006315D">
              <w:rPr>
                <w:rStyle w:val="Hipervnculo"/>
                <w:rFonts w:ascii="Palatino Linotype" w:eastAsiaTheme="majorEastAsia" w:hAnsi="Palatino Linotype"/>
                <w:noProof/>
                <w:sz w:val="22"/>
                <w:szCs w:val="22"/>
              </w:rPr>
              <w:t xml:space="preserve">Recurso de Revisión </w:t>
            </w:r>
            <w:r w:rsidRPr="0006315D">
              <w:rPr>
                <w:rStyle w:val="Hipervnculo"/>
                <w:rFonts w:ascii="Palatino Linotype" w:eastAsia="Batang" w:hAnsi="Palatino Linotype"/>
                <w:noProof/>
                <w:sz w:val="22"/>
                <w:szCs w:val="22"/>
              </w:rPr>
              <w:t>ante el Instituto.</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_Toc212129010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3</w:t>
            </w:r>
            <w:r w:rsidRPr="0006315D">
              <w:rPr>
                <w:rFonts w:ascii="Palatino Linotype" w:hAnsi="Palatino Linotype"/>
                <w:noProof/>
                <w:webHidden/>
                <w:sz w:val="22"/>
                <w:szCs w:val="22"/>
              </w:rPr>
              <w:fldChar w:fldCharType="end"/>
            </w:r>
          </w:hyperlink>
        </w:p>
        <w:p w14:paraId="4F206E0D" w14:textId="1FFA0FDF" w:rsidR="0006315D" w:rsidRPr="0006315D" w:rsidRDefault="0006315D">
          <w:pPr>
            <w:pStyle w:val="TDC1"/>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11" w:history="1">
            <w:r w:rsidRPr="0006315D">
              <w:rPr>
                <w:rStyle w:val="Hipervnculo"/>
                <w:rFonts w:ascii="Palatino Linotype" w:eastAsiaTheme="majorEastAsia" w:hAnsi="Palatino Linotype"/>
                <w:noProof/>
                <w:sz w:val="22"/>
                <w:szCs w:val="22"/>
              </w:rPr>
              <w:t>C O N S I D E R A N D O S</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_Toc212129011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6</w:t>
            </w:r>
            <w:r w:rsidRPr="0006315D">
              <w:rPr>
                <w:rFonts w:ascii="Palatino Linotype" w:hAnsi="Palatino Linotype"/>
                <w:noProof/>
                <w:webHidden/>
                <w:sz w:val="22"/>
                <w:szCs w:val="22"/>
              </w:rPr>
              <w:fldChar w:fldCharType="end"/>
            </w:r>
          </w:hyperlink>
        </w:p>
        <w:p w14:paraId="2A2AB766" w14:textId="3D6112B6"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12" w:history="1">
            <w:r w:rsidRPr="0006315D">
              <w:rPr>
                <w:rStyle w:val="Hipervnculo"/>
                <w:rFonts w:ascii="Palatino Linotype" w:eastAsia="Calibri" w:hAnsi="Palatino Linotype"/>
                <w:noProof/>
                <w:sz w:val="22"/>
                <w:szCs w:val="22"/>
                <w:lang w:eastAsia="es-MX"/>
              </w:rPr>
              <w:t xml:space="preserve">PRIMERO. </w:t>
            </w:r>
            <w:r w:rsidRPr="0006315D">
              <w:rPr>
                <w:rStyle w:val="Hipervnculo"/>
                <w:rFonts w:ascii="Palatino Linotype" w:eastAsiaTheme="majorEastAsia" w:hAnsi="Palatino Linotype"/>
                <w:noProof/>
                <w:sz w:val="22"/>
                <w:szCs w:val="22"/>
              </w:rPr>
              <w:t>Competencia.</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_Toc212129012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6</w:t>
            </w:r>
            <w:r w:rsidRPr="0006315D">
              <w:rPr>
                <w:rFonts w:ascii="Palatino Linotype" w:hAnsi="Palatino Linotype"/>
                <w:noProof/>
                <w:webHidden/>
                <w:sz w:val="22"/>
                <w:szCs w:val="22"/>
              </w:rPr>
              <w:fldChar w:fldCharType="end"/>
            </w:r>
          </w:hyperlink>
        </w:p>
        <w:p w14:paraId="43CA9341" w14:textId="3619969A"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13" w:history="1">
            <w:r w:rsidRPr="0006315D">
              <w:rPr>
                <w:rStyle w:val="Hipervnculo"/>
                <w:rFonts w:ascii="Palatino Linotype" w:eastAsia="Calibri" w:hAnsi="Palatino Linotype"/>
                <w:noProof/>
                <w:sz w:val="22"/>
                <w:szCs w:val="22"/>
                <w:lang w:eastAsia="es-MX"/>
              </w:rPr>
              <w:t>SEGUNDO. Causales de improcedencia y sobreseimiento.</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_Toc212129013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7</w:t>
            </w:r>
            <w:r w:rsidRPr="0006315D">
              <w:rPr>
                <w:rFonts w:ascii="Palatino Linotype" w:hAnsi="Palatino Linotype"/>
                <w:noProof/>
                <w:webHidden/>
                <w:sz w:val="22"/>
                <w:szCs w:val="22"/>
              </w:rPr>
              <w:fldChar w:fldCharType="end"/>
            </w:r>
          </w:hyperlink>
        </w:p>
        <w:p w14:paraId="4D7FFE3A" w14:textId="10C85766"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14" w:history="1">
            <w:r w:rsidRPr="0006315D">
              <w:rPr>
                <w:rStyle w:val="Hipervnculo"/>
                <w:rFonts w:ascii="Palatino Linotype" w:eastAsia="Calibri" w:hAnsi="Palatino Linotype"/>
                <w:noProof/>
                <w:sz w:val="22"/>
                <w:szCs w:val="22"/>
                <w:lang w:eastAsia="es-ES_tradnl"/>
              </w:rPr>
              <w:t>TERCERO. Determinación de la Controversia.</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_Toc212129014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8</w:t>
            </w:r>
            <w:r w:rsidRPr="0006315D">
              <w:rPr>
                <w:rFonts w:ascii="Palatino Linotype" w:hAnsi="Palatino Linotype"/>
                <w:noProof/>
                <w:webHidden/>
                <w:sz w:val="22"/>
                <w:szCs w:val="22"/>
              </w:rPr>
              <w:fldChar w:fldCharType="end"/>
            </w:r>
          </w:hyperlink>
        </w:p>
        <w:p w14:paraId="4248DA33" w14:textId="1A0A3047"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15" w:history="1">
            <w:r w:rsidRPr="0006315D">
              <w:rPr>
                <w:rStyle w:val="Hipervnculo"/>
                <w:rFonts w:ascii="Palatino Linotype" w:eastAsiaTheme="majorEastAsia" w:hAnsi="Palatino Linotype"/>
                <w:noProof/>
                <w:sz w:val="22"/>
                <w:szCs w:val="22"/>
              </w:rPr>
              <w:t>CUARTO. Marco normativo aplicable en materia de transparencia y acceso a la información pública.</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_Toc212129015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9</w:t>
            </w:r>
            <w:r w:rsidRPr="0006315D">
              <w:rPr>
                <w:rFonts w:ascii="Palatino Linotype" w:hAnsi="Palatino Linotype"/>
                <w:noProof/>
                <w:webHidden/>
                <w:sz w:val="22"/>
                <w:szCs w:val="22"/>
              </w:rPr>
              <w:fldChar w:fldCharType="end"/>
            </w:r>
          </w:hyperlink>
        </w:p>
        <w:p w14:paraId="7FE7BC47" w14:textId="359CFDAE"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16" w:history="1">
            <w:r w:rsidRPr="0006315D">
              <w:rPr>
                <w:rStyle w:val="Hipervnculo"/>
                <w:rFonts w:ascii="Palatino Linotype" w:eastAsiaTheme="majorEastAsia" w:hAnsi="Palatino Linotype"/>
                <w:noProof/>
                <w:sz w:val="22"/>
                <w:szCs w:val="22"/>
              </w:rPr>
              <w:t>QUINTO. Estudio de Fondo.</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_Toc212129016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11</w:t>
            </w:r>
            <w:r w:rsidRPr="0006315D">
              <w:rPr>
                <w:rFonts w:ascii="Palatino Linotype" w:hAnsi="Palatino Linotype"/>
                <w:noProof/>
                <w:webHidden/>
                <w:sz w:val="22"/>
                <w:szCs w:val="22"/>
              </w:rPr>
              <w:fldChar w:fldCharType="end"/>
            </w:r>
          </w:hyperlink>
        </w:p>
        <w:p w14:paraId="782EE341" w14:textId="01EAFCB5"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17" w:history="1">
            <w:r w:rsidRPr="0006315D">
              <w:rPr>
                <w:rStyle w:val="Hipervnculo"/>
                <w:rFonts w:ascii="Palatino Linotype" w:eastAsiaTheme="majorEastAsia" w:hAnsi="Palatino Linotype"/>
                <w:noProof/>
                <w:sz w:val="22"/>
                <w:szCs w:val="22"/>
              </w:rPr>
              <w:t>SEXTO. Decisión.</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_Toc212129017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47</w:t>
            </w:r>
            <w:r w:rsidRPr="0006315D">
              <w:rPr>
                <w:rFonts w:ascii="Palatino Linotype" w:hAnsi="Palatino Linotype"/>
                <w:noProof/>
                <w:webHidden/>
                <w:sz w:val="22"/>
                <w:szCs w:val="22"/>
              </w:rPr>
              <w:fldChar w:fldCharType="end"/>
            </w:r>
          </w:hyperlink>
        </w:p>
        <w:p w14:paraId="39D1315F" w14:textId="64EC5AC7"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18" w:history="1">
            <w:r w:rsidRPr="0006315D">
              <w:rPr>
                <w:rStyle w:val="Hipervnculo"/>
                <w:rFonts w:ascii="Palatino Linotype" w:eastAsia="Yu Gothic Light" w:hAnsi="Palatino Linotype"/>
                <w:noProof/>
                <w:sz w:val="22"/>
                <w:szCs w:val="22"/>
              </w:rPr>
              <w:t>SÉPTIMO. Vista a la Secretaría</w:t>
            </w:r>
            <w:r w:rsidRPr="0006315D">
              <w:rPr>
                <w:rStyle w:val="Hipervnculo"/>
                <w:rFonts w:ascii="Palatino Linotype" w:eastAsia="Yu Gothic Light" w:hAnsi="Palatino Linotype"/>
                <w:noProof/>
                <w:sz w:val="22"/>
                <w:szCs w:val="22"/>
                <w:lang w:val="x-none"/>
              </w:rPr>
              <w:t xml:space="preserve"> Técnica del </w:t>
            </w:r>
            <w:r w:rsidRPr="0006315D">
              <w:rPr>
                <w:rStyle w:val="Hipervnculo"/>
                <w:rFonts w:ascii="Palatino Linotype" w:eastAsia="Yu Gothic Light" w:hAnsi="Palatino Linotype"/>
                <w:noProof/>
                <w:sz w:val="22"/>
                <w:szCs w:val="22"/>
              </w:rPr>
              <w:t>Pleno.</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_Toc212129018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47</w:t>
            </w:r>
            <w:r w:rsidRPr="0006315D">
              <w:rPr>
                <w:rFonts w:ascii="Palatino Linotype" w:hAnsi="Palatino Linotype"/>
                <w:noProof/>
                <w:webHidden/>
                <w:sz w:val="22"/>
                <w:szCs w:val="22"/>
              </w:rPr>
              <w:fldChar w:fldCharType="end"/>
            </w:r>
          </w:hyperlink>
        </w:p>
        <w:p w14:paraId="295FCDA0" w14:textId="323BA339" w:rsidR="0006315D" w:rsidRPr="0006315D" w:rsidRDefault="0006315D">
          <w:pPr>
            <w:pStyle w:val="TDC1"/>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19" w:history="1">
            <w:r w:rsidRPr="0006315D">
              <w:rPr>
                <w:rStyle w:val="Hipervnculo"/>
                <w:rFonts w:ascii="Palatino Linotype" w:eastAsia="Calibri" w:hAnsi="Palatino Linotype"/>
                <w:noProof/>
                <w:sz w:val="22"/>
                <w:szCs w:val="22"/>
                <w:lang w:eastAsia="en-US"/>
              </w:rPr>
              <w:t>R E S U E L V E</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_Toc212129019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49</w:t>
            </w:r>
            <w:r w:rsidRPr="0006315D">
              <w:rPr>
                <w:rFonts w:ascii="Palatino Linotype" w:hAnsi="Palatino Linotype"/>
                <w:noProof/>
                <w:webHidden/>
                <w:sz w:val="22"/>
                <w:szCs w:val="22"/>
              </w:rPr>
              <w:fldChar w:fldCharType="end"/>
            </w:r>
          </w:hyperlink>
        </w:p>
        <w:p w14:paraId="5B602ADF" w14:textId="3031A657"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20" w:history="1">
            <w:r w:rsidRPr="0006315D">
              <w:rPr>
                <w:rStyle w:val="Hipervnculo"/>
                <w:rFonts w:ascii="Palatino Linotype" w:eastAsiaTheme="majorEastAsia" w:hAnsi="Palatino Linotype"/>
                <w:noProof/>
                <w:sz w:val="22"/>
                <w:szCs w:val="22"/>
              </w:rPr>
              <w:t>PRIMERO.</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_Toc212129020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49</w:t>
            </w:r>
            <w:r w:rsidRPr="0006315D">
              <w:rPr>
                <w:rFonts w:ascii="Palatino Linotype" w:hAnsi="Palatino Linotype"/>
                <w:noProof/>
                <w:webHidden/>
                <w:sz w:val="22"/>
                <w:szCs w:val="22"/>
              </w:rPr>
              <w:fldChar w:fldCharType="end"/>
            </w:r>
          </w:hyperlink>
        </w:p>
        <w:p w14:paraId="13598C40" w14:textId="2122F239"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21" w:history="1">
            <w:r w:rsidRPr="0006315D">
              <w:rPr>
                <w:rStyle w:val="Hipervnculo"/>
                <w:rFonts w:ascii="Palatino Linotype" w:eastAsiaTheme="majorEastAsia" w:hAnsi="Palatino Linotype"/>
                <w:noProof/>
                <w:sz w:val="22"/>
                <w:szCs w:val="22"/>
              </w:rPr>
              <w:t>SEGUNDO.</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_Toc212129021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49</w:t>
            </w:r>
            <w:r w:rsidRPr="0006315D">
              <w:rPr>
                <w:rFonts w:ascii="Palatino Linotype" w:hAnsi="Palatino Linotype"/>
                <w:noProof/>
                <w:webHidden/>
                <w:sz w:val="22"/>
                <w:szCs w:val="22"/>
              </w:rPr>
              <w:fldChar w:fldCharType="end"/>
            </w:r>
          </w:hyperlink>
        </w:p>
        <w:p w14:paraId="6D66218E" w14:textId="78362373"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22" w:history="1">
            <w:r w:rsidRPr="0006315D">
              <w:rPr>
                <w:rStyle w:val="Hipervnculo"/>
                <w:rFonts w:ascii="Palatino Linotype" w:eastAsiaTheme="majorEastAsia" w:hAnsi="Palatino Linotype"/>
                <w:noProof/>
                <w:sz w:val="22"/>
                <w:szCs w:val="22"/>
              </w:rPr>
              <w:t>TERCERO.</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_Toc212129022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50</w:t>
            </w:r>
            <w:r w:rsidRPr="0006315D">
              <w:rPr>
                <w:rFonts w:ascii="Palatino Linotype" w:hAnsi="Palatino Linotype"/>
                <w:noProof/>
                <w:webHidden/>
                <w:sz w:val="22"/>
                <w:szCs w:val="22"/>
              </w:rPr>
              <w:fldChar w:fldCharType="end"/>
            </w:r>
          </w:hyperlink>
        </w:p>
        <w:p w14:paraId="0222282B" w14:textId="68C9DE9E" w:rsidR="0006315D" w:rsidRPr="0006315D" w:rsidRDefault="0006315D">
          <w:pPr>
            <w:pStyle w:val="TDC2"/>
            <w:tabs>
              <w:tab w:val="right" w:leader="dot" w:pos="9034"/>
            </w:tabs>
            <w:rPr>
              <w:rFonts w:ascii="Palatino Linotype" w:eastAsiaTheme="minorEastAsia" w:hAnsi="Palatino Linotype" w:cstheme="minorBidi"/>
              <w:noProof/>
              <w:kern w:val="2"/>
              <w:sz w:val="22"/>
              <w:szCs w:val="22"/>
              <w:lang w:eastAsia="es-MX"/>
              <w14:ligatures w14:val="standardContextual"/>
            </w:rPr>
          </w:pPr>
          <w:hyperlink w:anchor="_Toc212129023" w:history="1">
            <w:r w:rsidRPr="0006315D">
              <w:rPr>
                <w:rStyle w:val="Hipervnculo"/>
                <w:rFonts w:ascii="Palatino Linotype" w:eastAsiaTheme="majorEastAsia" w:hAnsi="Palatino Linotype"/>
                <w:noProof/>
                <w:sz w:val="22"/>
                <w:szCs w:val="22"/>
              </w:rPr>
              <w:t>CUARTO.</w:t>
            </w:r>
            <w:r w:rsidRPr="0006315D">
              <w:rPr>
                <w:rFonts w:ascii="Palatino Linotype" w:hAnsi="Palatino Linotype"/>
                <w:noProof/>
                <w:webHidden/>
                <w:sz w:val="22"/>
                <w:szCs w:val="22"/>
              </w:rPr>
              <w:tab/>
            </w:r>
            <w:r w:rsidRPr="0006315D">
              <w:rPr>
                <w:rFonts w:ascii="Palatino Linotype" w:hAnsi="Palatino Linotype"/>
                <w:noProof/>
                <w:webHidden/>
                <w:sz w:val="22"/>
                <w:szCs w:val="22"/>
              </w:rPr>
              <w:fldChar w:fldCharType="begin"/>
            </w:r>
            <w:r w:rsidRPr="0006315D">
              <w:rPr>
                <w:rFonts w:ascii="Palatino Linotype" w:hAnsi="Palatino Linotype"/>
                <w:noProof/>
                <w:webHidden/>
                <w:sz w:val="22"/>
                <w:szCs w:val="22"/>
              </w:rPr>
              <w:instrText xml:space="preserve"> PAGEREF _Toc212129023 \h </w:instrText>
            </w:r>
            <w:r w:rsidRPr="0006315D">
              <w:rPr>
                <w:rFonts w:ascii="Palatino Linotype" w:hAnsi="Palatino Linotype"/>
                <w:noProof/>
                <w:webHidden/>
                <w:sz w:val="22"/>
                <w:szCs w:val="22"/>
              </w:rPr>
            </w:r>
            <w:r w:rsidRPr="0006315D">
              <w:rPr>
                <w:rFonts w:ascii="Palatino Linotype" w:hAnsi="Palatino Linotype"/>
                <w:noProof/>
                <w:webHidden/>
                <w:sz w:val="22"/>
                <w:szCs w:val="22"/>
              </w:rPr>
              <w:fldChar w:fldCharType="separate"/>
            </w:r>
            <w:r w:rsidR="000B797A">
              <w:rPr>
                <w:rFonts w:ascii="Palatino Linotype" w:hAnsi="Palatino Linotype"/>
                <w:noProof/>
                <w:webHidden/>
                <w:sz w:val="22"/>
                <w:szCs w:val="22"/>
              </w:rPr>
              <w:t>51</w:t>
            </w:r>
            <w:r w:rsidRPr="0006315D">
              <w:rPr>
                <w:rFonts w:ascii="Palatino Linotype" w:hAnsi="Palatino Linotype"/>
                <w:noProof/>
                <w:webHidden/>
                <w:sz w:val="22"/>
                <w:szCs w:val="22"/>
              </w:rPr>
              <w:fldChar w:fldCharType="end"/>
            </w:r>
          </w:hyperlink>
        </w:p>
        <w:p w14:paraId="2D89782D" w14:textId="736BBC87" w:rsidR="0006315D" w:rsidRDefault="0006315D">
          <w:r w:rsidRPr="0006315D">
            <w:rPr>
              <w:rFonts w:ascii="Palatino Linotype" w:hAnsi="Palatino Linotype"/>
              <w:b/>
              <w:bCs/>
              <w:sz w:val="22"/>
              <w:szCs w:val="22"/>
              <w:lang w:val="es-ES"/>
            </w:rPr>
            <w:fldChar w:fldCharType="end"/>
          </w:r>
        </w:p>
      </w:sdtContent>
    </w:sdt>
    <w:p w14:paraId="7116F4E3" w14:textId="344017D8" w:rsidR="00426ADE" w:rsidRPr="005A4A25" w:rsidRDefault="008B3A20" w:rsidP="008B3A20">
      <w:pPr>
        <w:spacing w:line="360" w:lineRule="auto"/>
        <w:ind w:right="-28"/>
        <w:contextualSpacing/>
        <w:jc w:val="both"/>
        <w:rPr>
          <w:rFonts w:ascii="Palatino Linotype" w:hAnsi="Palatino Linotype"/>
          <w:noProof/>
          <w:sz w:val="22"/>
          <w:szCs w:val="22"/>
        </w:rPr>
      </w:pPr>
      <w:r>
        <w:rPr>
          <w:rFonts w:ascii="Palatino Linotype" w:hAnsi="Palatino Linotype" w:cs="Tahoma"/>
          <w:bCs/>
          <w:sz w:val="22"/>
          <w:szCs w:val="22"/>
        </w:rPr>
        <w:br w:type="column"/>
      </w:r>
      <w:r w:rsidR="00426ADE" w:rsidRPr="005A4A25">
        <w:rPr>
          <w:rFonts w:ascii="Palatino Linotype" w:hAnsi="Palatino Linotype" w:cs="Tahoma"/>
          <w:bCs/>
          <w:sz w:val="22"/>
          <w:szCs w:val="22"/>
        </w:rPr>
        <w:lastRenderedPageBreak/>
        <w:t xml:space="preserve">Resolución del Pleno del Instituto de Transparencia, Acceso a la Información Pública y Protección de Datos Personales del Estado de México y Municipios, con domicilio en Metepec, Estado de México, de fecha </w:t>
      </w:r>
      <w:r w:rsidR="005A4A25" w:rsidRPr="005A4A25">
        <w:rPr>
          <w:rFonts w:ascii="Palatino Linotype" w:hAnsi="Palatino Linotype" w:cs="Tahoma"/>
          <w:bCs/>
          <w:sz w:val="22"/>
          <w:szCs w:val="22"/>
        </w:rPr>
        <w:t>veintidós de octubre de dos mil veinticinco</w:t>
      </w:r>
      <w:r w:rsidR="00426ADE" w:rsidRPr="005A4A25">
        <w:rPr>
          <w:rFonts w:ascii="Palatino Linotype" w:hAnsi="Palatino Linotype" w:cs="Tahoma"/>
          <w:bCs/>
          <w:sz w:val="22"/>
          <w:szCs w:val="22"/>
        </w:rPr>
        <w:t>.</w:t>
      </w:r>
    </w:p>
    <w:p w14:paraId="18BD963D" w14:textId="77777777" w:rsidR="00426ADE" w:rsidRPr="005A4A25" w:rsidRDefault="00426ADE" w:rsidP="008B3A20">
      <w:pPr>
        <w:spacing w:line="360" w:lineRule="auto"/>
        <w:ind w:right="-28"/>
        <w:contextualSpacing/>
        <w:jc w:val="both"/>
        <w:rPr>
          <w:rFonts w:ascii="Palatino Linotype" w:hAnsi="Palatino Linotype"/>
          <w:noProof/>
          <w:sz w:val="22"/>
          <w:szCs w:val="22"/>
        </w:rPr>
      </w:pPr>
    </w:p>
    <w:p w14:paraId="3C3959AF" w14:textId="73894AF2" w:rsidR="00426ADE" w:rsidRPr="005A4A25" w:rsidRDefault="00426ADE" w:rsidP="008B3A20">
      <w:pPr>
        <w:spacing w:line="360" w:lineRule="auto"/>
        <w:ind w:right="-28"/>
        <w:contextualSpacing/>
        <w:jc w:val="both"/>
        <w:rPr>
          <w:rFonts w:ascii="Palatino Linotype" w:hAnsi="Palatino Linotype" w:cs="Tahoma"/>
          <w:bCs/>
          <w:sz w:val="22"/>
          <w:szCs w:val="22"/>
        </w:rPr>
      </w:pPr>
      <w:r w:rsidRPr="005A4A25">
        <w:rPr>
          <w:rFonts w:ascii="Palatino Linotype" w:hAnsi="Palatino Linotype" w:cs="Tahoma"/>
          <w:b/>
          <w:bCs/>
          <w:sz w:val="22"/>
          <w:szCs w:val="22"/>
        </w:rPr>
        <w:t xml:space="preserve">VISTO </w:t>
      </w:r>
      <w:r w:rsidRPr="005A4A25">
        <w:rPr>
          <w:rFonts w:ascii="Palatino Linotype" w:hAnsi="Palatino Linotype" w:cs="Tahoma"/>
          <w:bCs/>
          <w:sz w:val="22"/>
          <w:szCs w:val="22"/>
        </w:rPr>
        <w:t xml:space="preserve">el expediente conformado con motivo del Recurso de Revisión </w:t>
      </w:r>
      <w:r w:rsidR="005A4A25" w:rsidRPr="00A92B91">
        <w:rPr>
          <w:rFonts w:ascii="Palatino Linotype" w:hAnsi="Palatino Linotype" w:cs="Tahoma"/>
          <w:b/>
          <w:bCs/>
          <w:color w:val="0D0D0D" w:themeColor="text1" w:themeTint="F2"/>
          <w:sz w:val="22"/>
          <w:szCs w:val="22"/>
        </w:rPr>
        <w:t>03951/INFOEM/IP/RR/2025</w:t>
      </w:r>
      <w:r w:rsidRPr="005A4A25">
        <w:rPr>
          <w:rFonts w:ascii="Palatino Linotype" w:hAnsi="Palatino Linotype" w:cs="Tahoma"/>
          <w:sz w:val="22"/>
          <w:szCs w:val="22"/>
        </w:rPr>
        <w:t xml:space="preserve">, interpuesto por </w:t>
      </w:r>
      <w:r w:rsidR="00173875" w:rsidRPr="00173875">
        <w:rPr>
          <w:rFonts w:ascii="Palatino Linotype" w:hAnsi="Palatino Linotype" w:cs="Tahoma"/>
          <w:b/>
          <w:bCs/>
          <w:sz w:val="22"/>
          <w:szCs w:val="22"/>
          <w:highlight w:val="black"/>
        </w:rPr>
        <w:t>XXXXXXXXXXXXX</w:t>
      </w:r>
      <w:r w:rsidRPr="005A4A25">
        <w:rPr>
          <w:rFonts w:ascii="Palatino Linotype" w:hAnsi="Palatino Linotype" w:cs="Tahoma"/>
          <w:sz w:val="22"/>
          <w:szCs w:val="22"/>
        </w:rPr>
        <w:t>, en lo sucesivo el Recurrente o Particular, en contra de la</w:t>
      </w:r>
      <w:r w:rsidR="00952540">
        <w:rPr>
          <w:rFonts w:ascii="Palatino Linotype" w:hAnsi="Palatino Linotype" w:cs="Tahoma"/>
          <w:sz w:val="22"/>
          <w:szCs w:val="22"/>
        </w:rPr>
        <w:t xml:space="preserve"> falta de</w:t>
      </w:r>
      <w:r w:rsidRPr="005A4A25">
        <w:rPr>
          <w:rFonts w:ascii="Palatino Linotype" w:hAnsi="Palatino Linotype" w:cs="Tahoma"/>
          <w:sz w:val="22"/>
          <w:szCs w:val="22"/>
        </w:rPr>
        <w:t xml:space="preserve"> respuesta del Sujeto Obligado, </w:t>
      </w:r>
      <w:r w:rsidR="002820B8" w:rsidRPr="00A92B91">
        <w:rPr>
          <w:rFonts w:ascii="Palatino Linotype" w:hAnsi="Palatino Linotype" w:cs="Tahoma"/>
          <w:b/>
          <w:bCs/>
          <w:sz w:val="22"/>
          <w:szCs w:val="22"/>
        </w:rPr>
        <w:t>Ayuntamiento de Valle de</w:t>
      </w:r>
      <w:r w:rsidR="002820B8" w:rsidRPr="005A4A25">
        <w:rPr>
          <w:rFonts w:ascii="Palatino Linotype" w:hAnsi="Palatino Linotype" w:cs="Tahoma"/>
          <w:sz w:val="22"/>
          <w:szCs w:val="22"/>
        </w:rPr>
        <w:t xml:space="preserve"> </w:t>
      </w:r>
      <w:r w:rsidR="002820B8" w:rsidRPr="00A92B91">
        <w:rPr>
          <w:rFonts w:ascii="Palatino Linotype" w:hAnsi="Palatino Linotype" w:cs="Tahoma"/>
          <w:b/>
          <w:bCs/>
          <w:sz w:val="22"/>
          <w:szCs w:val="22"/>
        </w:rPr>
        <w:t>Chalco Solidaridad</w:t>
      </w:r>
      <w:r w:rsidRPr="005A4A25">
        <w:rPr>
          <w:rFonts w:ascii="Palatino Linotype" w:hAnsi="Palatino Linotype" w:cs="Tahoma"/>
          <w:sz w:val="22"/>
          <w:szCs w:val="22"/>
        </w:rPr>
        <w:t>, a la solicitud de acceso a la información pública</w:t>
      </w:r>
      <w:r w:rsidRPr="005A4A25">
        <w:rPr>
          <w:rFonts w:ascii="Palatino Linotype" w:hAnsi="Palatino Linotype" w:cs="Tahoma"/>
          <w:bCs/>
          <w:sz w:val="22"/>
          <w:szCs w:val="22"/>
        </w:rPr>
        <w:t xml:space="preserve"> con número de folio </w:t>
      </w:r>
      <w:r w:rsidR="005A4A25" w:rsidRPr="005A4A25">
        <w:rPr>
          <w:rFonts w:ascii="Palatino Linotype" w:hAnsi="Palatino Linotype"/>
          <w:color w:val="000000" w:themeColor="text1"/>
          <w:sz w:val="22"/>
          <w:szCs w:val="22"/>
        </w:rPr>
        <w:t>00091/VACHASO/IP/2025</w:t>
      </w:r>
      <w:r w:rsidRPr="005A4A25">
        <w:rPr>
          <w:rFonts w:ascii="Palatino Linotype" w:hAnsi="Palatino Linotype" w:cs="Tahoma"/>
          <w:bCs/>
          <w:sz w:val="22"/>
          <w:szCs w:val="22"/>
        </w:rPr>
        <w:t>, se emite la presente Resolución, con base en los Antecedentes y Considerandos que se exponen a continuación:</w:t>
      </w:r>
    </w:p>
    <w:p w14:paraId="7F3258E6" w14:textId="77777777" w:rsidR="00426ADE" w:rsidRPr="005A4A25" w:rsidRDefault="00426ADE" w:rsidP="008B3A20">
      <w:pPr>
        <w:spacing w:line="360" w:lineRule="auto"/>
        <w:ind w:right="-28"/>
        <w:contextualSpacing/>
        <w:jc w:val="both"/>
        <w:rPr>
          <w:rFonts w:ascii="Palatino Linotype" w:hAnsi="Palatino Linotype" w:cs="Tahoma"/>
          <w:b/>
          <w:bCs/>
          <w:color w:val="0D0D0D" w:themeColor="text1" w:themeTint="F2"/>
          <w:sz w:val="22"/>
          <w:szCs w:val="22"/>
        </w:rPr>
      </w:pPr>
    </w:p>
    <w:p w14:paraId="498976F3" w14:textId="77777777" w:rsidR="00426ADE" w:rsidRPr="005A4A25" w:rsidRDefault="00426ADE" w:rsidP="0006315D">
      <w:pPr>
        <w:pStyle w:val="Ttulo1"/>
      </w:pPr>
      <w:bookmarkStart w:id="0" w:name="_Toc212129006"/>
      <w:r w:rsidRPr="005A4A25">
        <w:t>A N T E C E D E N T E S</w:t>
      </w:r>
      <w:bookmarkEnd w:id="0"/>
    </w:p>
    <w:p w14:paraId="39A52ACF" w14:textId="77777777" w:rsidR="00426ADE" w:rsidRPr="005A4A25" w:rsidRDefault="00426ADE" w:rsidP="008B3A20">
      <w:pPr>
        <w:tabs>
          <w:tab w:val="center" w:pos="4522"/>
          <w:tab w:val="left" w:pos="7245"/>
          <w:tab w:val="right" w:pos="9044"/>
        </w:tabs>
        <w:spacing w:line="360" w:lineRule="auto"/>
        <w:ind w:right="-28"/>
        <w:contextualSpacing/>
        <w:rPr>
          <w:rFonts w:ascii="Palatino Linotype" w:hAnsi="Palatino Linotype" w:cs="Tahoma"/>
          <w:b/>
          <w:sz w:val="22"/>
          <w:szCs w:val="22"/>
        </w:rPr>
      </w:pPr>
    </w:p>
    <w:p w14:paraId="10681B92" w14:textId="13E0DC7E" w:rsidR="00426ADE" w:rsidRPr="005A4A25" w:rsidRDefault="00426ADE" w:rsidP="0006315D">
      <w:pPr>
        <w:pStyle w:val="Ttulo2"/>
      </w:pPr>
      <w:bookmarkStart w:id="1" w:name="_Toc212129007"/>
      <w:r w:rsidRPr="005A4A25">
        <w:t>I. Presentación de la solicitud de información</w:t>
      </w:r>
      <w:bookmarkEnd w:id="1"/>
    </w:p>
    <w:p w14:paraId="04F677C0" w14:textId="77777777" w:rsidR="00426ADE" w:rsidRPr="005A4A25" w:rsidRDefault="00426ADE" w:rsidP="008B3A20">
      <w:pPr>
        <w:pStyle w:val="Prrafodelista"/>
        <w:tabs>
          <w:tab w:val="left" w:pos="1050"/>
        </w:tabs>
        <w:spacing w:line="360" w:lineRule="auto"/>
        <w:ind w:left="0" w:right="-28"/>
        <w:jc w:val="both"/>
        <w:rPr>
          <w:rFonts w:ascii="Palatino Linotype" w:hAnsi="Palatino Linotype" w:cs="Tahoma"/>
          <w:szCs w:val="22"/>
        </w:rPr>
      </w:pPr>
    </w:p>
    <w:p w14:paraId="7E5CADB4" w14:textId="09355B02" w:rsidR="00426ADE" w:rsidRPr="005A4A25" w:rsidRDefault="00426ADE" w:rsidP="008B3A20">
      <w:pPr>
        <w:autoSpaceDE w:val="0"/>
        <w:autoSpaceDN w:val="0"/>
        <w:adjustRightInd w:val="0"/>
        <w:spacing w:line="360" w:lineRule="auto"/>
        <w:contextualSpacing/>
        <w:jc w:val="both"/>
        <w:rPr>
          <w:rFonts w:ascii="Palatino Linotype" w:hAnsi="Palatino Linotype" w:cs="Tahoma"/>
          <w:b/>
          <w:bCs/>
          <w:sz w:val="22"/>
          <w:szCs w:val="22"/>
        </w:rPr>
      </w:pPr>
      <w:r w:rsidRPr="005A4A25">
        <w:rPr>
          <w:rFonts w:ascii="Palatino Linotype" w:hAnsi="Palatino Linotype" w:cs="Tahoma"/>
          <w:sz w:val="22"/>
          <w:szCs w:val="22"/>
        </w:rPr>
        <w:t xml:space="preserve">Con fecha </w:t>
      </w:r>
      <w:r w:rsidR="005A4A25" w:rsidRPr="005A4A25">
        <w:rPr>
          <w:rFonts w:ascii="Palatino Linotype" w:hAnsi="Palatino Linotype" w:cs="Tahoma"/>
          <w:sz w:val="22"/>
          <w:szCs w:val="22"/>
        </w:rPr>
        <w:t>siete de marzo</w:t>
      </w:r>
      <w:r w:rsidRPr="005A4A25">
        <w:rPr>
          <w:rFonts w:ascii="Palatino Linotype" w:hAnsi="Palatino Linotype" w:cs="Tahoma"/>
          <w:sz w:val="22"/>
          <w:szCs w:val="22"/>
        </w:rPr>
        <w:t xml:space="preserve"> de dos mil </w:t>
      </w:r>
      <w:r w:rsidR="005A4A25" w:rsidRPr="005A4A25">
        <w:rPr>
          <w:rFonts w:ascii="Palatino Linotype" w:hAnsi="Palatino Linotype" w:cs="Tahoma"/>
          <w:sz w:val="22"/>
          <w:szCs w:val="22"/>
        </w:rPr>
        <w:t>veinticinco</w:t>
      </w:r>
      <w:r w:rsidRPr="005A4A25">
        <w:rPr>
          <w:rFonts w:ascii="Palatino Linotype" w:hAnsi="Palatino Linotype" w:cs="Tahoma"/>
          <w:sz w:val="22"/>
          <w:szCs w:val="22"/>
        </w:rPr>
        <w:t xml:space="preserve">, el Particular presentó una solicitud de acceso a la información pública, a través del Sistema de Acceso a la Información Mexiquense (SAIMEX), ante el </w:t>
      </w:r>
      <w:r w:rsidR="002820B8" w:rsidRPr="005A4A25">
        <w:rPr>
          <w:rFonts w:ascii="Palatino Linotype" w:hAnsi="Palatino Linotype" w:cs="Tahoma"/>
          <w:sz w:val="22"/>
          <w:szCs w:val="22"/>
        </w:rPr>
        <w:t>Ayuntamiento de Valle de Chalco Solidaridad</w:t>
      </w:r>
      <w:r w:rsidR="002820B8" w:rsidRPr="005A4A25">
        <w:rPr>
          <w:rFonts w:ascii="Palatino Linotype" w:hAnsi="Palatino Linotype" w:cs="Tahoma"/>
          <w:b/>
          <w:bCs/>
          <w:sz w:val="22"/>
          <w:szCs w:val="22"/>
        </w:rPr>
        <w:t xml:space="preserve">, </w:t>
      </w:r>
      <w:r w:rsidRPr="005A4A25">
        <w:rPr>
          <w:rFonts w:ascii="Palatino Linotype" w:hAnsi="Palatino Linotype" w:cs="Tahoma"/>
          <w:sz w:val="22"/>
          <w:szCs w:val="22"/>
        </w:rPr>
        <w:t>mediante la cual requirió lo siguiente:</w:t>
      </w:r>
    </w:p>
    <w:p w14:paraId="4480D1FE" w14:textId="77777777" w:rsidR="00426ADE" w:rsidRPr="005A4A25" w:rsidRDefault="00426ADE" w:rsidP="008B3A20">
      <w:pPr>
        <w:tabs>
          <w:tab w:val="left" w:pos="4667"/>
        </w:tabs>
        <w:spacing w:line="360" w:lineRule="auto"/>
        <w:ind w:left="567" w:right="567"/>
        <w:contextualSpacing/>
        <w:jc w:val="both"/>
        <w:rPr>
          <w:rFonts w:ascii="Palatino Linotype" w:hAnsi="Palatino Linotype" w:cs="Tahoma"/>
          <w:b/>
          <w:bCs/>
          <w:i/>
        </w:rPr>
      </w:pPr>
    </w:p>
    <w:p w14:paraId="1D04E401" w14:textId="77777777" w:rsidR="00426ADE" w:rsidRPr="005A4A25" w:rsidRDefault="00426ADE" w:rsidP="008B3A20">
      <w:pPr>
        <w:tabs>
          <w:tab w:val="left" w:pos="4667"/>
        </w:tabs>
        <w:spacing w:line="360" w:lineRule="auto"/>
        <w:ind w:left="567" w:right="567"/>
        <w:contextualSpacing/>
        <w:jc w:val="both"/>
        <w:rPr>
          <w:rFonts w:ascii="Palatino Linotype" w:hAnsi="Palatino Linotype" w:cs="Tahoma"/>
          <w:b/>
          <w:bCs/>
          <w:i/>
        </w:rPr>
      </w:pPr>
      <w:r w:rsidRPr="005A4A25">
        <w:rPr>
          <w:rFonts w:ascii="Palatino Linotype" w:hAnsi="Palatino Linotype" w:cs="Tahoma"/>
          <w:b/>
          <w:bCs/>
          <w:i/>
        </w:rPr>
        <w:t>“DESCRIPCIÓN CLARA Y PRECISA DE LA INFORMACIÓN SOLICITADA:</w:t>
      </w:r>
    </w:p>
    <w:p w14:paraId="277E92AF" w14:textId="44198045" w:rsidR="002820B8" w:rsidRPr="005A4A25" w:rsidRDefault="005A4A25" w:rsidP="008B3A20">
      <w:pPr>
        <w:spacing w:line="360" w:lineRule="auto"/>
        <w:ind w:left="567" w:right="567"/>
        <w:contextualSpacing/>
        <w:jc w:val="both"/>
        <w:rPr>
          <w:rFonts w:ascii="Palatino Linotype" w:hAnsi="Palatino Linotype"/>
          <w:i/>
          <w:iCs/>
          <w:lang w:eastAsia="es-MX"/>
        </w:rPr>
      </w:pPr>
      <w:r w:rsidRPr="005A4A25">
        <w:rPr>
          <w:rFonts w:ascii="Palatino Linotype" w:hAnsi="Palatino Linotype"/>
          <w:i/>
          <w:iCs/>
          <w:color w:val="000000"/>
        </w:rPr>
        <w:t>Solicito Licencias de funcionamiento emitas de los años 2020, 2021, 2022, 2023, 2024 y lo que va del año hasta el 7 de marzo 2025</w:t>
      </w:r>
      <w:r w:rsidR="00426ADE" w:rsidRPr="005A4A25">
        <w:rPr>
          <w:rFonts w:ascii="Palatino Linotype" w:hAnsi="Palatino Linotype" w:cs="Tahoma"/>
          <w:bCs/>
          <w:i/>
          <w:iCs/>
        </w:rPr>
        <w:t>” (Sic)</w:t>
      </w:r>
    </w:p>
    <w:p w14:paraId="18AD1669" w14:textId="4341684D" w:rsidR="009D6E46" w:rsidRPr="005A4A25" w:rsidRDefault="009D6E46" w:rsidP="008B3A20">
      <w:pPr>
        <w:spacing w:line="360" w:lineRule="auto"/>
        <w:ind w:left="567" w:right="567"/>
        <w:contextualSpacing/>
        <w:jc w:val="both"/>
        <w:rPr>
          <w:rFonts w:ascii="Palatino Linotype" w:hAnsi="Palatino Linotype"/>
          <w:i/>
          <w:iCs/>
          <w:lang w:eastAsia="es-MX"/>
        </w:rPr>
      </w:pPr>
    </w:p>
    <w:p w14:paraId="0F80FA0C" w14:textId="77777777" w:rsidR="00426ADE" w:rsidRPr="005A4A25" w:rsidRDefault="00426ADE" w:rsidP="008B3A20">
      <w:pPr>
        <w:tabs>
          <w:tab w:val="left" w:pos="4667"/>
        </w:tabs>
        <w:spacing w:line="360" w:lineRule="auto"/>
        <w:ind w:left="567"/>
        <w:contextualSpacing/>
        <w:jc w:val="both"/>
        <w:rPr>
          <w:rFonts w:ascii="Palatino Linotype" w:hAnsi="Palatino Linotype" w:cs="Tahoma"/>
          <w:b/>
          <w:bCs/>
          <w:i/>
        </w:rPr>
      </w:pPr>
      <w:r w:rsidRPr="005A4A25">
        <w:rPr>
          <w:rFonts w:ascii="Palatino Linotype" w:hAnsi="Palatino Linotype" w:cs="Tahoma"/>
          <w:b/>
          <w:bCs/>
          <w:i/>
        </w:rPr>
        <w:t xml:space="preserve">“Modalidad de Entrega: </w:t>
      </w:r>
    </w:p>
    <w:p w14:paraId="62054BD7" w14:textId="77777777" w:rsidR="00426ADE" w:rsidRPr="005A4A25" w:rsidRDefault="00426ADE" w:rsidP="008B3A20">
      <w:pPr>
        <w:tabs>
          <w:tab w:val="left" w:pos="567"/>
        </w:tabs>
        <w:spacing w:line="360" w:lineRule="auto"/>
        <w:ind w:left="567" w:right="-28"/>
        <w:contextualSpacing/>
        <w:jc w:val="both"/>
        <w:rPr>
          <w:rFonts w:ascii="Palatino Linotype" w:hAnsi="Palatino Linotype" w:cs="Tahoma"/>
          <w:bCs/>
          <w:i/>
        </w:rPr>
      </w:pPr>
      <w:r w:rsidRPr="005A4A25" w:rsidDel="006544EC">
        <w:rPr>
          <w:rFonts w:ascii="Palatino Linotype" w:hAnsi="Palatino Linotype" w:cs="Tahoma"/>
          <w:b/>
          <w:bCs/>
          <w:i/>
        </w:rPr>
        <w:t xml:space="preserve"> </w:t>
      </w:r>
      <w:r w:rsidRPr="005A4A25">
        <w:rPr>
          <w:rFonts w:ascii="Palatino Linotype" w:hAnsi="Palatino Linotype" w:cs="Tahoma"/>
          <w:bCs/>
          <w:i/>
        </w:rPr>
        <w:t>A través de SAIMEX.”</w:t>
      </w:r>
    </w:p>
    <w:p w14:paraId="003B5AC4" w14:textId="77777777" w:rsidR="00426ADE" w:rsidRPr="005A4A25" w:rsidRDefault="00426ADE" w:rsidP="008B3A20">
      <w:pPr>
        <w:tabs>
          <w:tab w:val="left" w:pos="567"/>
        </w:tabs>
        <w:spacing w:line="360" w:lineRule="auto"/>
        <w:ind w:left="567" w:right="-28"/>
        <w:contextualSpacing/>
        <w:jc w:val="both"/>
        <w:rPr>
          <w:rFonts w:ascii="Palatino Linotype" w:hAnsi="Palatino Linotype" w:cs="Tahoma"/>
          <w:i/>
        </w:rPr>
      </w:pPr>
    </w:p>
    <w:p w14:paraId="0015B4A6" w14:textId="6B36168F" w:rsidR="00426ADE" w:rsidRPr="005A4A25" w:rsidRDefault="00426ADE" w:rsidP="0006315D">
      <w:pPr>
        <w:pStyle w:val="Ttulo2"/>
        <w:rPr>
          <w:i/>
          <w:iCs/>
          <w:szCs w:val="22"/>
        </w:rPr>
      </w:pPr>
      <w:bookmarkStart w:id="2" w:name="_Toc212129008"/>
      <w:bookmarkStart w:id="3" w:name="_Hlk16082333"/>
      <w:r w:rsidRPr="005A4A25">
        <w:rPr>
          <w:szCs w:val="22"/>
        </w:rPr>
        <w:lastRenderedPageBreak/>
        <w:t>II.</w:t>
      </w:r>
      <w:r w:rsidRPr="005A4A25">
        <w:t xml:space="preserve"> Respuesta del Sujeto Obligado</w:t>
      </w:r>
      <w:bookmarkEnd w:id="2"/>
    </w:p>
    <w:p w14:paraId="5BBFF48F" w14:textId="77777777" w:rsidR="00426ADE" w:rsidRPr="005A4A25" w:rsidRDefault="00426ADE" w:rsidP="008B3A20">
      <w:pPr>
        <w:tabs>
          <w:tab w:val="left" w:pos="4667"/>
        </w:tabs>
        <w:spacing w:line="360" w:lineRule="auto"/>
        <w:ind w:right="567"/>
        <w:contextualSpacing/>
        <w:jc w:val="both"/>
        <w:rPr>
          <w:rFonts w:ascii="Palatino Linotype" w:hAnsi="Palatino Linotype" w:cs="Tahoma"/>
          <w:b/>
          <w:bCs/>
          <w:sz w:val="22"/>
          <w:szCs w:val="24"/>
        </w:rPr>
      </w:pPr>
    </w:p>
    <w:bookmarkEnd w:id="3"/>
    <w:p w14:paraId="096058EF" w14:textId="77777777" w:rsidR="005A4A25" w:rsidRPr="005A4A25" w:rsidRDefault="005A4A25" w:rsidP="008B3A20">
      <w:pPr>
        <w:autoSpaceDE w:val="0"/>
        <w:autoSpaceDN w:val="0"/>
        <w:adjustRightInd w:val="0"/>
        <w:spacing w:line="360" w:lineRule="auto"/>
        <w:contextualSpacing/>
        <w:jc w:val="both"/>
        <w:rPr>
          <w:rFonts w:ascii="Palatino Linotype" w:eastAsia="Calibri" w:hAnsi="Palatino Linotype" w:cs="Tahoma"/>
          <w:color w:val="000000"/>
          <w:sz w:val="22"/>
          <w:szCs w:val="22"/>
          <w:lang w:eastAsia="en-US"/>
        </w:rPr>
      </w:pPr>
      <w:r w:rsidRPr="005A4A25">
        <w:rPr>
          <w:rFonts w:ascii="Palatino Linotype" w:eastAsia="Calibri" w:hAnsi="Palatino Linotype" w:cs="Tahoma"/>
          <w:color w:val="000000"/>
          <w:sz w:val="22"/>
          <w:szCs w:val="22"/>
          <w:lang w:eastAsia="en-US"/>
        </w:rPr>
        <w:t>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Pr="005A4A25">
        <w:rPr>
          <w:rFonts w:ascii="Palatino Linotype" w:eastAsia="Calibri" w:hAnsi="Palatino Linotype"/>
          <w:bCs/>
          <w:color w:val="000000"/>
          <w:sz w:val="22"/>
          <w:szCs w:val="22"/>
          <w:lang w:eastAsia="en-US"/>
        </w:rPr>
        <w:t xml:space="preserve"> </w:t>
      </w:r>
      <w:r w:rsidRPr="005A4A25">
        <w:rPr>
          <w:rFonts w:ascii="Palatino Linotype" w:eastAsia="Calibri" w:hAnsi="Palatino Linotype"/>
          <w:color w:val="000000"/>
          <w:sz w:val="22"/>
          <w:szCs w:val="22"/>
          <w:lang w:eastAsia="en-US"/>
        </w:rPr>
        <w:t>Ayuntamiento de Valle de Chalco Solidaridad</w:t>
      </w:r>
      <w:r w:rsidRPr="005A4A25">
        <w:rPr>
          <w:rFonts w:ascii="Palatino Linotype" w:eastAsia="Calibri" w:hAnsi="Palatino Linotype" w:cs="Tahoma"/>
          <w:color w:val="000000"/>
          <w:sz w:val="22"/>
          <w:szCs w:val="22"/>
          <w:lang w:eastAsia="en-US"/>
        </w:rPr>
        <w:t>,</w:t>
      </w:r>
      <w:r w:rsidRPr="005A4A25">
        <w:rPr>
          <w:rFonts w:ascii="Palatino Linotype" w:eastAsia="Calibri" w:hAnsi="Palatino Linotype" w:cs="Tahoma"/>
          <w:bCs/>
          <w:color w:val="000000"/>
          <w:sz w:val="22"/>
          <w:szCs w:val="22"/>
          <w:lang w:eastAsia="en-US"/>
        </w:rPr>
        <w:t xml:space="preserve"> omitió dar respuesta a la solicitud de información, por lo que </w:t>
      </w:r>
      <w:r w:rsidRPr="005A4A25">
        <w:rPr>
          <w:rFonts w:ascii="Palatino Linotype" w:eastAsia="Calibri" w:hAnsi="Palatino Linotype" w:cs="Tahoma"/>
          <w:b/>
          <w:color w:val="000000"/>
          <w:sz w:val="22"/>
          <w:szCs w:val="22"/>
          <w:lang w:eastAsia="en-US"/>
        </w:rPr>
        <w:t>se configura la negativa ficta</w:t>
      </w:r>
      <w:r w:rsidRPr="005A4A25">
        <w:rPr>
          <w:rFonts w:ascii="Palatino Linotype" w:eastAsia="Calibri" w:hAnsi="Palatino Linotype" w:cs="Tahoma"/>
          <w:color w:val="000000"/>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7A1D6A25" w14:textId="77777777" w:rsidR="00426ADE" w:rsidRPr="005A4A25" w:rsidRDefault="00426ADE" w:rsidP="008B3A20">
      <w:pPr>
        <w:autoSpaceDE w:val="0"/>
        <w:autoSpaceDN w:val="0"/>
        <w:adjustRightInd w:val="0"/>
        <w:spacing w:line="360" w:lineRule="auto"/>
        <w:ind w:right="-28"/>
        <w:contextualSpacing/>
        <w:jc w:val="both"/>
        <w:rPr>
          <w:rFonts w:ascii="Palatino Linotype" w:hAnsi="Palatino Linotype" w:cs="Tahoma"/>
          <w:b/>
          <w:sz w:val="22"/>
          <w:szCs w:val="22"/>
        </w:rPr>
      </w:pPr>
    </w:p>
    <w:p w14:paraId="557E143D" w14:textId="2C343DDD" w:rsidR="00426ADE" w:rsidRPr="005A4A25" w:rsidRDefault="00426ADE" w:rsidP="0006315D">
      <w:pPr>
        <w:pStyle w:val="Ttulo2"/>
      </w:pPr>
      <w:bookmarkStart w:id="4" w:name="_Toc212129009"/>
      <w:r w:rsidRPr="005A4A25">
        <w:t>III. Interposición del Recurso de Revisión</w:t>
      </w:r>
      <w:bookmarkEnd w:id="4"/>
    </w:p>
    <w:p w14:paraId="60DB394E" w14:textId="77777777" w:rsidR="00426ADE" w:rsidRPr="005A4A25" w:rsidRDefault="00426ADE" w:rsidP="008B3A20">
      <w:pPr>
        <w:autoSpaceDE w:val="0"/>
        <w:autoSpaceDN w:val="0"/>
        <w:adjustRightInd w:val="0"/>
        <w:spacing w:line="360" w:lineRule="auto"/>
        <w:ind w:right="-28"/>
        <w:contextualSpacing/>
        <w:jc w:val="both"/>
        <w:rPr>
          <w:rFonts w:ascii="Palatino Linotype" w:hAnsi="Palatino Linotype" w:cs="Tahoma"/>
          <w:sz w:val="22"/>
          <w:szCs w:val="22"/>
        </w:rPr>
      </w:pPr>
    </w:p>
    <w:p w14:paraId="55325AAC" w14:textId="1A0E30D6" w:rsidR="00426ADE" w:rsidRPr="005A4A25" w:rsidRDefault="00426ADE" w:rsidP="008B3A20">
      <w:pPr>
        <w:spacing w:line="360" w:lineRule="auto"/>
        <w:contextualSpacing/>
        <w:jc w:val="both"/>
        <w:rPr>
          <w:rFonts w:ascii="Palatino Linotype" w:hAnsi="Palatino Linotype" w:cs="Tahoma"/>
          <w:bCs/>
          <w:sz w:val="22"/>
          <w:szCs w:val="22"/>
        </w:rPr>
      </w:pPr>
      <w:r w:rsidRPr="005A4A25">
        <w:rPr>
          <w:rFonts w:ascii="Palatino Linotype" w:hAnsi="Palatino Linotype" w:cs="Tahoma"/>
          <w:bCs/>
          <w:sz w:val="22"/>
          <w:szCs w:val="22"/>
        </w:rPr>
        <w:t xml:space="preserve">Con fecha </w:t>
      </w:r>
      <w:r w:rsidR="005A4A25" w:rsidRPr="005A4A25">
        <w:rPr>
          <w:rFonts w:ascii="Palatino Linotype" w:hAnsi="Palatino Linotype" w:cs="Tahoma"/>
          <w:bCs/>
          <w:sz w:val="22"/>
          <w:szCs w:val="22"/>
        </w:rPr>
        <w:t>tres de abril de dos mil veinticinco,</w:t>
      </w:r>
      <w:r w:rsidRPr="005A4A25">
        <w:rPr>
          <w:rFonts w:ascii="Palatino Linotype" w:hAnsi="Palatino Linotype" w:cs="Tahoma"/>
          <w:bCs/>
          <w:sz w:val="22"/>
          <w:szCs w:val="22"/>
        </w:rPr>
        <w:t xml:space="preserve"> se recibió en este Instituto, a través del Sistema de Acceso a la Información Mexiquense (SAIMEX), el Recurso de Revisión interpuesto por la parte Recurrente, en contra de la respuesta del Sujeto Obligado</w:t>
      </w:r>
      <w:r w:rsidR="00F43ABC" w:rsidRPr="005A4A25">
        <w:rPr>
          <w:rFonts w:ascii="Palatino Linotype" w:hAnsi="Palatino Linotype" w:cs="Tahoma"/>
          <w:bCs/>
          <w:sz w:val="22"/>
          <w:szCs w:val="22"/>
        </w:rPr>
        <w:t>,</w:t>
      </w:r>
      <w:r w:rsidRPr="005A4A25">
        <w:rPr>
          <w:rFonts w:ascii="Palatino Linotype" w:hAnsi="Palatino Linotype" w:cs="Tahoma"/>
          <w:bCs/>
          <w:sz w:val="22"/>
          <w:szCs w:val="22"/>
        </w:rPr>
        <w:t xml:space="preserve"> en los siguientes términos:</w:t>
      </w:r>
    </w:p>
    <w:p w14:paraId="07CD6390" w14:textId="77777777" w:rsidR="00426ADE" w:rsidRPr="005A4A25" w:rsidRDefault="00426ADE" w:rsidP="008B3A20">
      <w:pPr>
        <w:autoSpaceDE w:val="0"/>
        <w:autoSpaceDN w:val="0"/>
        <w:adjustRightInd w:val="0"/>
        <w:spacing w:line="360" w:lineRule="auto"/>
        <w:ind w:right="-28"/>
        <w:contextualSpacing/>
        <w:jc w:val="both"/>
        <w:rPr>
          <w:rFonts w:ascii="Palatino Linotype" w:hAnsi="Palatino Linotype" w:cs="Tahoma"/>
          <w:sz w:val="22"/>
          <w:szCs w:val="22"/>
        </w:rPr>
      </w:pPr>
    </w:p>
    <w:p w14:paraId="6D712E14" w14:textId="77777777" w:rsidR="00426ADE" w:rsidRPr="005A4A25" w:rsidRDefault="00426ADE" w:rsidP="008B3A20">
      <w:pPr>
        <w:tabs>
          <w:tab w:val="left" w:pos="4667"/>
        </w:tabs>
        <w:spacing w:line="360" w:lineRule="auto"/>
        <w:ind w:left="567" w:right="567"/>
        <w:contextualSpacing/>
        <w:jc w:val="both"/>
        <w:rPr>
          <w:rFonts w:ascii="Palatino Linotype" w:hAnsi="Palatino Linotype" w:cs="Tahoma"/>
          <w:b/>
          <w:bCs/>
          <w:i/>
        </w:rPr>
      </w:pPr>
      <w:r w:rsidRPr="005A4A25">
        <w:rPr>
          <w:rFonts w:ascii="Palatino Linotype" w:hAnsi="Palatino Linotype" w:cs="Tahoma"/>
          <w:b/>
          <w:bCs/>
          <w:i/>
        </w:rPr>
        <w:t>“ACTO IMPUGNADO</w:t>
      </w:r>
    </w:p>
    <w:p w14:paraId="2A0199E5" w14:textId="5C4D77AF" w:rsidR="00426ADE" w:rsidRPr="005A4A25" w:rsidRDefault="005A4A25" w:rsidP="008B3A20">
      <w:pPr>
        <w:spacing w:line="360" w:lineRule="auto"/>
        <w:ind w:left="567" w:right="567"/>
        <w:contextualSpacing/>
        <w:jc w:val="both"/>
        <w:rPr>
          <w:rFonts w:ascii="Palatino Linotype" w:hAnsi="Palatino Linotype"/>
          <w:i/>
          <w:lang w:eastAsia="es-MX"/>
        </w:rPr>
      </w:pPr>
      <w:r w:rsidRPr="005A4A25">
        <w:rPr>
          <w:rFonts w:ascii="Palatino Linotype" w:hAnsi="Palatino Linotype"/>
          <w:i/>
          <w:lang w:eastAsia="es-MX"/>
        </w:rPr>
        <w:t>Negativa de respuesta</w:t>
      </w:r>
      <w:r w:rsidR="00426ADE" w:rsidRPr="005A4A25">
        <w:rPr>
          <w:rFonts w:ascii="Palatino Linotype" w:hAnsi="Palatino Linotype" w:cs="Tahoma"/>
          <w:bCs/>
          <w:i/>
        </w:rPr>
        <w:t>” (Sic.)</w:t>
      </w:r>
    </w:p>
    <w:p w14:paraId="1A79BDEF" w14:textId="77777777" w:rsidR="00426ADE" w:rsidRPr="005A4A25" w:rsidRDefault="00426ADE" w:rsidP="008B3A20">
      <w:pPr>
        <w:tabs>
          <w:tab w:val="left" w:pos="4667"/>
        </w:tabs>
        <w:spacing w:line="360" w:lineRule="auto"/>
        <w:ind w:left="567" w:right="567"/>
        <w:contextualSpacing/>
        <w:jc w:val="both"/>
        <w:rPr>
          <w:rFonts w:ascii="Palatino Linotype" w:hAnsi="Palatino Linotype" w:cs="Tahoma"/>
          <w:bCs/>
          <w:i/>
        </w:rPr>
      </w:pPr>
    </w:p>
    <w:p w14:paraId="4B784833" w14:textId="77777777" w:rsidR="00426ADE" w:rsidRPr="005A4A25" w:rsidRDefault="00426ADE" w:rsidP="008B3A20">
      <w:pPr>
        <w:tabs>
          <w:tab w:val="left" w:pos="4667"/>
        </w:tabs>
        <w:spacing w:line="360" w:lineRule="auto"/>
        <w:ind w:left="567" w:right="567"/>
        <w:contextualSpacing/>
        <w:jc w:val="both"/>
        <w:rPr>
          <w:rFonts w:ascii="Palatino Linotype" w:hAnsi="Palatino Linotype" w:cs="Tahoma"/>
          <w:b/>
          <w:bCs/>
          <w:i/>
        </w:rPr>
      </w:pPr>
      <w:r w:rsidRPr="005A4A25">
        <w:rPr>
          <w:rFonts w:ascii="Palatino Linotype" w:hAnsi="Palatino Linotype" w:cs="Tahoma"/>
          <w:b/>
          <w:bCs/>
          <w:i/>
        </w:rPr>
        <w:t>“RAZONES O MOTIVOS DE LA INCONFORMIDAD</w:t>
      </w:r>
    </w:p>
    <w:p w14:paraId="6076A637" w14:textId="49B743CB" w:rsidR="00426ADE" w:rsidRPr="005A4A25" w:rsidRDefault="005A4A25" w:rsidP="008B3A20">
      <w:pPr>
        <w:tabs>
          <w:tab w:val="left" w:pos="4667"/>
        </w:tabs>
        <w:spacing w:line="360" w:lineRule="auto"/>
        <w:ind w:left="567" w:right="567"/>
        <w:contextualSpacing/>
        <w:jc w:val="both"/>
        <w:rPr>
          <w:rFonts w:ascii="Palatino Linotype" w:hAnsi="Palatino Linotype" w:cs="Tahoma"/>
          <w:i/>
          <w:iCs/>
        </w:rPr>
      </w:pPr>
      <w:r w:rsidRPr="005A4A25">
        <w:rPr>
          <w:rFonts w:ascii="Palatino Linotype" w:hAnsi="Palatino Linotype"/>
          <w:i/>
          <w:iCs/>
          <w:color w:val="000000"/>
        </w:rPr>
        <w:t>Negativa de respuesta</w:t>
      </w:r>
      <w:r w:rsidR="00426ADE" w:rsidRPr="005A4A25">
        <w:rPr>
          <w:rFonts w:ascii="Palatino Linotype" w:hAnsi="Palatino Linotype" w:cs="Tahoma"/>
          <w:i/>
          <w:iCs/>
        </w:rPr>
        <w:t>” (Sic.)</w:t>
      </w:r>
    </w:p>
    <w:p w14:paraId="42D37614" w14:textId="77777777" w:rsidR="00426ADE" w:rsidRPr="005A4A25" w:rsidRDefault="00426ADE" w:rsidP="008B3A20">
      <w:pPr>
        <w:autoSpaceDE w:val="0"/>
        <w:autoSpaceDN w:val="0"/>
        <w:adjustRightInd w:val="0"/>
        <w:spacing w:line="360" w:lineRule="auto"/>
        <w:ind w:right="-28"/>
        <w:contextualSpacing/>
        <w:jc w:val="both"/>
        <w:rPr>
          <w:rFonts w:ascii="Palatino Linotype" w:hAnsi="Palatino Linotype" w:cs="Tahoma"/>
          <w:sz w:val="22"/>
          <w:szCs w:val="22"/>
        </w:rPr>
      </w:pPr>
    </w:p>
    <w:p w14:paraId="4565BEE6" w14:textId="77777777" w:rsidR="00426ADE" w:rsidRPr="005A4A25" w:rsidRDefault="00426ADE" w:rsidP="0006315D">
      <w:pPr>
        <w:pStyle w:val="Ttulo2"/>
        <w:rPr>
          <w:rFonts w:eastAsia="Batang"/>
        </w:rPr>
      </w:pPr>
      <w:bookmarkStart w:id="5" w:name="_Toc212129010"/>
      <w:r w:rsidRPr="005A4A25">
        <w:t xml:space="preserve">IV. </w:t>
      </w:r>
      <w:r w:rsidRPr="005A4A25">
        <w:rPr>
          <w:rFonts w:eastAsia="Batang"/>
        </w:rPr>
        <w:t xml:space="preserve">Trámite del </w:t>
      </w:r>
      <w:r w:rsidRPr="005A4A25">
        <w:t xml:space="preserve">Recurso de Revisión </w:t>
      </w:r>
      <w:r w:rsidRPr="005A4A25">
        <w:rPr>
          <w:rFonts w:eastAsia="Batang"/>
        </w:rPr>
        <w:t>ante el Instituto.</w:t>
      </w:r>
      <w:bookmarkEnd w:id="5"/>
    </w:p>
    <w:p w14:paraId="6B594B07" w14:textId="77777777" w:rsidR="00426ADE" w:rsidRPr="005A4A25" w:rsidRDefault="00426ADE" w:rsidP="008B3A20">
      <w:pPr>
        <w:spacing w:line="360" w:lineRule="auto"/>
        <w:ind w:right="-28"/>
        <w:contextualSpacing/>
        <w:jc w:val="both"/>
        <w:rPr>
          <w:rFonts w:ascii="Palatino Linotype" w:eastAsia="Batang" w:hAnsi="Palatino Linotype" w:cs="Tahoma"/>
          <w:b/>
          <w:bCs/>
          <w:sz w:val="22"/>
          <w:szCs w:val="22"/>
        </w:rPr>
      </w:pPr>
    </w:p>
    <w:p w14:paraId="5BA044B3" w14:textId="314FA5F2" w:rsidR="00426ADE" w:rsidRPr="005A4A25" w:rsidRDefault="00426ADE" w:rsidP="008B3A20">
      <w:pPr>
        <w:spacing w:line="360" w:lineRule="auto"/>
        <w:ind w:right="-28"/>
        <w:contextualSpacing/>
        <w:jc w:val="both"/>
        <w:rPr>
          <w:rFonts w:ascii="Palatino Linotype" w:eastAsia="Calibri" w:hAnsi="Palatino Linotype" w:cs="Tahoma"/>
          <w:bCs/>
          <w:sz w:val="22"/>
          <w:szCs w:val="22"/>
          <w:lang w:eastAsia="en-US"/>
        </w:rPr>
      </w:pPr>
      <w:r w:rsidRPr="005A4A25">
        <w:rPr>
          <w:rFonts w:ascii="Palatino Linotype" w:eastAsia="Batang" w:hAnsi="Palatino Linotype" w:cs="Tahoma"/>
          <w:b/>
          <w:bCs/>
          <w:sz w:val="22"/>
          <w:szCs w:val="22"/>
        </w:rPr>
        <w:t xml:space="preserve">a) Turno del </w:t>
      </w:r>
      <w:r w:rsidRPr="005A4A25">
        <w:rPr>
          <w:rFonts w:ascii="Palatino Linotype" w:hAnsi="Palatino Linotype" w:cs="Tahoma"/>
          <w:b/>
          <w:sz w:val="22"/>
          <w:szCs w:val="22"/>
        </w:rPr>
        <w:t>Recurso de Revisión</w:t>
      </w:r>
      <w:r w:rsidRPr="005A4A25">
        <w:rPr>
          <w:rFonts w:ascii="Palatino Linotype" w:eastAsia="Batang" w:hAnsi="Palatino Linotype" w:cs="Tahoma"/>
          <w:b/>
          <w:bCs/>
          <w:sz w:val="22"/>
          <w:szCs w:val="22"/>
        </w:rPr>
        <w:t xml:space="preserve">. </w:t>
      </w:r>
      <w:r w:rsidRPr="005A4A25">
        <w:rPr>
          <w:rFonts w:ascii="Palatino Linotype" w:eastAsia="Batang" w:hAnsi="Palatino Linotype" w:cs="Tahoma"/>
          <w:bCs/>
          <w:sz w:val="22"/>
          <w:szCs w:val="22"/>
        </w:rPr>
        <w:t xml:space="preserve">El </w:t>
      </w:r>
      <w:r w:rsidR="005A4A25" w:rsidRPr="005A4A25">
        <w:rPr>
          <w:rFonts w:ascii="Palatino Linotype" w:eastAsia="Batang" w:hAnsi="Palatino Linotype" w:cs="Tahoma"/>
          <w:bCs/>
          <w:sz w:val="22"/>
          <w:szCs w:val="22"/>
        </w:rPr>
        <w:t>tres de abril de dos mil veinticinco</w:t>
      </w:r>
      <w:r w:rsidRPr="005A4A25">
        <w:rPr>
          <w:rFonts w:ascii="Palatino Linotype" w:eastAsia="Batang" w:hAnsi="Palatino Linotype" w:cs="Tahoma"/>
          <w:bCs/>
          <w:sz w:val="22"/>
          <w:szCs w:val="22"/>
        </w:rPr>
        <w:t xml:space="preserve">, </w:t>
      </w:r>
      <w:r w:rsidRPr="005A4A25">
        <w:rPr>
          <w:rFonts w:ascii="Palatino Linotype" w:eastAsia="Calibri" w:hAnsi="Palatino Linotype" w:cs="Tahoma"/>
          <w:bCs/>
          <w:sz w:val="22"/>
          <w:szCs w:val="22"/>
          <w:lang w:eastAsia="en-US"/>
        </w:rPr>
        <w:t xml:space="preserve">el Sistema de Acceso a la Información Mexiquense (SAIMEX), asignó el número de expediente </w:t>
      </w:r>
      <w:r w:rsidR="005A4A25" w:rsidRPr="005A4A25">
        <w:rPr>
          <w:rFonts w:ascii="Palatino Linotype" w:eastAsia="Calibri" w:hAnsi="Palatino Linotype" w:cs="Tahoma"/>
          <w:b/>
          <w:bCs/>
          <w:sz w:val="22"/>
          <w:szCs w:val="22"/>
          <w:lang w:eastAsia="en-US"/>
        </w:rPr>
        <w:lastRenderedPageBreak/>
        <w:t>03951/INFOEM/IP/RR/2025</w:t>
      </w:r>
      <w:r w:rsidRPr="005A4A25">
        <w:rPr>
          <w:rFonts w:ascii="Palatino Linotype" w:eastAsia="Calibri" w:hAnsi="Palatino Linotype" w:cs="Tahoma"/>
          <w:b/>
          <w:bCs/>
          <w:sz w:val="22"/>
          <w:szCs w:val="22"/>
          <w:lang w:eastAsia="en-US"/>
        </w:rPr>
        <w:t xml:space="preserve">, </w:t>
      </w:r>
      <w:r w:rsidRPr="005A4A25">
        <w:rPr>
          <w:rFonts w:ascii="Palatino Linotype" w:eastAsia="Calibri" w:hAnsi="Palatino Linotype" w:cs="Tahoma"/>
          <w:bCs/>
          <w:sz w:val="22"/>
          <w:szCs w:val="22"/>
          <w:lang w:eastAsia="en-US"/>
        </w:rPr>
        <w:t xml:space="preserve">al Recurso de Revisión y lo turnó al Comisionado Ponente </w:t>
      </w:r>
      <w:r w:rsidRPr="005A4A25">
        <w:rPr>
          <w:rFonts w:ascii="Palatino Linotype" w:eastAsia="Calibri" w:hAnsi="Palatino Linotype" w:cs="Tahoma"/>
          <w:b/>
          <w:bCs/>
          <w:sz w:val="22"/>
          <w:szCs w:val="22"/>
          <w:lang w:eastAsia="en-US"/>
        </w:rPr>
        <w:t>Luis Gustavo Parra Noriega</w:t>
      </w:r>
      <w:r w:rsidRPr="005A4A25">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2E787C4B" w14:textId="77777777" w:rsidR="00426ADE" w:rsidRPr="005A4A25" w:rsidRDefault="00426ADE" w:rsidP="008B3A20">
      <w:pPr>
        <w:spacing w:line="360" w:lineRule="auto"/>
        <w:ind w:right="-28"/>
        <w:contextualSpacing/>
        <w:jc w:val="both"/>
        <w:rPr>
          <w:rFonts w:ascii="Palatino Linotype" w:eastAsia="Batang" w:hAnsi="Palatino Linotype" w:cs="Tahoma"/>
          <w:b/>
          <w:bCs/>
          <w:sz w:val="22"/>
          <w:szCs w:val="22"/>
        </w:rPr>
      </w:pPr>
    </w:p>
    <w:p w14:paraId="5F4506FC" w14:textId="29B6C66C" w:rsidR="00426ADE" w:rsidRPr="005A4A25" w:rsidRDefault="00426ADE" w:rsidP="008B3A20">
      <w:pPr>
        <w:spacing w:line="360" w:lineRule="auto"/>
        <w:contextualSpacing/>
        <w:jc w:val="both"/>
        <w:rPr>
          <w:rFonts w:ascii="Palatino Linotype" w:hAnsi="Palatino Linotype" w:cs="Tahoma"/>
          <w:bCs/>
          <w:sz w:val="22"/>
          <w:szCs w:val="22"/>
        </w:rPr>
      </w:pPr>
      <w:r w:rsidRPr="005A4A25">
        <w:rPr>
          <w:rFonts w:ascii="Palatino Linotype" w:eastAsia="Batang" w:hAnsi="Palatino Linotype" w:cs="Tahoma"/>
          <w:b/>
          <w:bCs/>
          <w:sz w:val="22"/>
          <w:szCs w:val="22"/>
        </w:rPr>
        <w:t xml:space="preserve">b) Admisión del </w:t>
      </w:r>
      <w:r w:rsidRPr="005A4A25">
        <w:rPr>
          <w:rFonts w:ascii="Palatino Linotype" w:hAnsi="Palatino Linotype" w:cs="Tahoma"/>
          <w:b/>
          <w:sz w:val="22"/>
          <w:szCs w:val="22"/>
        </w:rPr>
        <w:t>Recurso de Revisión</w:t>
      </w:r>
      <w:r w:rsidRPr="005A4A25">
        <w:rPr>
          <w:rFonts w:ascii="Palatino Linotype" w:eastAsia="Batang" w:hAnsi="Palatino Linotype" w:cs="Tahoma"/>
          <w:b/>
          <w:bCs/>
          <w:sz w:val="22"/>
          <w:szCs w:val="22"/>
        </w:rPr>
        <w:t xml:space="preserve">. </w:t>
      </w:r>
      <w:r w:rsidRPr="005A4A25">
        <w:rPr>
          <w:rFonts w:ascii="Palatino Linotype" w:eastAsia="Batang" w:hAnsi="Palatino Linotype" w:cs="Tahoma"/>
          <w:bCs/>
          <w:sz w:val="22"/>
          <w:szCs w:val="22"/>
        </w:rPr>
        <w:t xml:space="preserve">El </w:t>
      </w:r>
      <w:r w:rsidR="005A4A25" w:rsidRPr="005A4A25">
        <w:rPr>
          <w:rFonts w:ascii="Palatino Linotype" w:eastAsia="Batang" w:hAnsi="Palatino Linotype" w:cs="Tahoma"/>
          <w:bCs/>
          <w:sz w:val="22"/>
          <w:szCs w:val="22"/>
        </w:rPr>
        <w:t>ocho de abril de dos mil veinticinco</w:t>
      </w:r>
      <w:r w:rsidRPr="005A4A25">
        <w:rPr>
          <w:rFonts w:ascii="Palatino Linotype" w:eastAsia="Batang" w:hAnsi="Palatino Linotype" w:cs="Tahoma"/>
          <w:bCs/>
          <w:sz w:val="22"/>
          <w:szCs w:val="22"/>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2820B8" w:rsidRPr="005A4A25">
        <w:rPr>
          <w:rFonts w:ascii="Palatino Linotype" w:eastAsia="Batang" w:hAnsi="Palatino Linotype" w:cs="Tahoma"/>
          <w:bCs/>
          <w:sz w:val="22"/>
          <w:szCs w:val="22"/>
        </w:rPr>
        <w:t>el mismo día</w:t>
      </w:r>
      <w:r w:rsidRPr="005A4A25">
        <w:rPr>
          <w:rFonts w:ascii="Palatino Linotype" w:eastAsia="Batang" w:hAnsi="Palatino Linotype" w:cs="Tahoma"/>
          <w:bCs/>
          <w:sz w:val="22"/>
          <w:szCs w:val="22"/>
        </w:rPr>
        <w:t>, a través del Sistema de Acceso a la Información Mexiquense (SAIMEX), en el que se les ot</w:t>
      </w:r>
      <w:r w:rsidR="0079203A" w:rsidRPr="005A4A25">
        <w:rPr>
          <w:rFonts w:ascii="Palatino Linotype" w:eastAsia="Batang" w:hAnsi="Palatino Linotype" w:cs="Tahoma"/>
          <w:bCs/>
          <w:sz w:val="22"/>
          <w:szCs w:val="22"/>
        </w:rPr>
        <w:t>o</w:t>
      </w:r>
      <w:r w:rsidRPr="005A4A25">
        <w:rPr>
          <w:rFonts w:ascii="Palatino Linotype" w:eastAsia="Batang" w:hAnsi="Palatino Linotype" w:cs="Tahoma"/>
          <w:bCs/>
          <w:sz w:val="22"/>
          <w:szCs w:val="22"/>
        </w:rPr>
        <w:t>rgó un plazo de siete días hábiles posteriores a la misma, para que manifestaran lo que a su derecho conviniera y formularan alegatos.</w:t>
      </w:r>
    </w:p>
    <w:p w14:paraId="7629E529" w14:textId="77777777" w:rsidR="00426ADE" w:rsidRPr="005A4A25" w:rsidRDefault="00426ADE" w:rsidP="008B3A20">
      <w:pPr>
        <w:spacing w:line="360" w:lineRule="auto"/>
        <w:ind w:right="-28"/>
        <w:contextualSpacing/>
        <w:jc w:val="both"/>
        <w:rPr>
          <w:rFonts w:ascii="Palatino Linotype" w:hAnsi="Palatino Linotype" w:cs="Tahoma"/>
          <w:b/>
          <w:sz w:val="22"/>
          <w:szCs w:val="22"/>
        </w:rPr>
      </w:pPr>
    </w:p>
    <w:p w14:paraId="40493A26" w14:textId="25F9F20E" w:rsidR="00426ADE" w:rsidRDefault="00426ADE" w:rsidP="008B3A20">
      <w:pPr>
        <w:spacing w:line="360" w:lineRule="auto"/>
        <w:ind w:right="-28"/>
        <w:contextualSpacing/>
        <w:jc w:val="both"/>
        <w:rPr>
          <w:rFonts w:ascii="Palatino Linotype" w:eastAsia="Batang" w:hAnsi="Palatino Linotype" w:cs="Tahoma"/>
          <w:bCs/>
          <w:sz w:val="22"/>
          <w:szCs w:val="22"/>
        </w:rPr>
      </w:pPr>
      <w:r w:rsidRPr="005A4A25">
        <w:rPr>
          <w:rFonts w:ascii="Palatino Linotype" w:hAnsi="Palatino Linotype" w:cs="Tahoma"/>
          <w:b/>
          <w:sz w:val="22"/>
          <w:szCs w:val="22"/>
        </w:rPr>
        <w:t>c) Informe Justificado</w:t>
      </w:r>
      <w:r w:rsidR="005A4A25">
        <w:rPr>
          <w:rFonts w:ascii="Palatino Linotype" w:hAnsi="Palatino Linotype" w:cs="Tahoma"/>
          <w:b/>
          <w:sz w:val="22"/>
          <w:szCs w:val="22"/>
        </w:rPr>
        <w:t xml:space="preserve">. </w:t>
      </w:r>
      <w:r w:rsidR="005A4A25">
        <w:rPr>
          <w:rFonts w:ascii="Palatino Linotype" w:hAnsi="Palatino Linotype" w:cs="Tahoma"/>
          <w:bCs/>
          <w:sz w:val="22"/>
          <w:szCs w:val="22"/>
        </w:rPr>
        <w:t xml:space="preserve">El diez de abril de dos mil veinticinco, se recibió en este Instituto </w:t>
      </w:r>
      <w:r w:rsidR="005A4A25" w:rsidRPr="005A4A25">
        <w:rPr>
          <w:rFonts w:ascii="Palatino Linotype" w:eastAsia="Batang" w:hAnsi="Palatino Linotype" w:cs="Tahoma"/>
          <w:bCs/>
          <w:sz w:val="22"/>
          <w:szCs w:val="22"/>
        </w:rPr>
        <w:t>a través del Sistema de Acceso a la Información Mexiquense (SAIMEX),</w:t>
      </w:r>
      <w:r w:rsidR="005A4A25">
        <w:rPr>
          <w:rFonts w:ascii="Palatino Linotype" w:eastAsia="Batang" w:hAnsi="Palatino Linotype" w:cs="Tahoma"/>
          <w:bCs/>
          <w:sz w:val="22"/>
          <w:szCs w:val="22"/>
        </w:rPr>
        <w:t xml:space="preserve"> el Informe Justificado del Sujeto Obligado, por medio de la digitalización de los oficios con número VCHS/DDE/75/2025, VCHS/DIC/OFI/0144/2025 y uno sin número, emitidos por el Director de Industria y Comercio </w:t>
      </w:r>
      <w:r w:rsidR="005925EB">
        <w:rPr>
          <w:rFonts w:ascii="Palatino Linotype" w:eastAsia="Batang" w:hAnsi="Palatino Linotype" w:cs="Tahoma"/>
          <w:bCs/>
          <w:sz w:val="22"/>
          <w:szCs w:val="22"/>
        </w:rPr>
        <w:t>y del Director de Desarrollo Económico, dirigidos al Titular de la Unidad de Transparencia, por medio de los cuales señalan que proporcionan las Licencias de Funcionamiento, emitidas del primero de enero de dos mil veinte al siete de marzo de dos mil veinticinco, en versión pública.</w:t>
      </w:r>
    </w:p>
    <w:p w14:paraId="429E1B03" w14:textId="77777777" w:rsidR="005925EB" w:rsidRDefault="005925EB" w:rsidP="008B3A20">
      <w:pPr>
        <w:spacing w:line="360" w:lineRule="auto"/>
        <w:ind w:right="-28"/>
        <w:contextualSpacing/>
        <w:jc w:val="both"/>
        <w:rPr>
          <w:rFonts w:ascii="Palatino Linotype" w:eastAsia="Batang" w:hAnsi="Palatino Linotype" w:cs="Tahoma"/>
          <w:bCs/>
          <w:sz w:val="22"/>
          <w:szCs w:val="22"/>
        </w:rPr>
      </w:pPr>
    </w:p>
    <w:p w14:paraId="13B8BE26" w14:textId="5B8ABE55" w:rsidR="005925EB" w:rsidRDefault="005925EB" w:rsidP="008B3A20">
      <w:pPr>
        <w:spacing w:line="360" w:lineRule="auto"/>
        <w:ind w:right="-28"/>
        <w:contextualSpacing/>
        <w:jc w:val="both"/>
        <w:rPr>
          <w:rFonts w:ascii="Palatino Linotype" w:eastAsia="Batang" w:hAnsi="Palatino Linotype" w:cs="Tahoma"/>
          <w:bCs/>
          <w:sz w:val="22"/>
          <w:szCs w:val="22"/>
        </w:rPr>
      </w:pPr>
      <w:r>
        <w:rPr>
          <w:rFonts w:ascii="Palatino Linotype" w:eastAsia="Batang" w:hAnsi="Palatino Linotype" w:cs="Tahoma"/>
          <w:bCs/>
          <w:sz w:val="22"/>
          <w:szCs w:val="22"/>
        </w:rPr>
        <w:t>El Sujeto Obligado adjuntó la digitalización de los siguientes documentos:</w:t>
      </w:r>
    </w:p>
    <w:p w14:paraId="53EC627A" w14:textId="77777777" w:rsidR="005925EB" w:rsidRDefault="005925EB" w:rsidP="008B3A20">
      <w:pPr>
        <w:spacing w:line="360" w:lineRule="auto"/>
        <w:ind w:right="-28"/>
        <w:contextualSpacing/>
        <w:jc w:val="both"/>
        <w:rPr>
          <w:rFonts w:ascii="Palatino Linotype" w:eastAsia="Batang" w:hAnsi="Palatino Linotype" w:cs="Tahoma"/>
          <w:bCs/>
          <w:sz w:val="22"/>
          <w:szCs w:val="22"/>
        </w:rPr>
      </w:pPr>
    </w:p>
    <w:p w14:paraId="19F1531F" w14:textId="4B47E3A3" w:rsidR="005925EB" w:rsidRDefault="005925EB" w:rsidP="008B3A20">
      <w:pPr>
        <w:spacing w:line="360" w:lineRule="auto"/>
        <w:ind w:right="-28"/>
        <w:contextualSpacing/>
        <w:jc w:val="both"/>
        <w:rPr>
          <w:rFonts w:ascii="Palatino Linotype" w:eastAsia="Batang" w:hAnsi="Palatino Linotype" w:cs="Tahoma"/>
          <w:bCs/>
          <w:sz w:val="22"/>
          <w:szCs w:val="22"/>
        </w:rPr>
      </w:pPr>
      <w:r>
        <w:rPr>
          <w:rFonts w:ascii="Palatino Linotype" w:eastAsia="Batang" w:hAnsi="Palatino Linotype" w:cs="Tahoma"/>
          <w:bCs/>
          <w:sz w:val="22"/>
          <w:szCs w:val="22"/>
        </w:rPr>
        <w:t>i) Versión pública de las licencias de funcionamiento emitidas por la Dirección de Industria y Comercio (antes Dirección de Comercio y Normatividad), del primero de enero de dos mil veinte al siete de marzo de dos mil veinticinco.</w:t>
      </w:r>
    </w:p>
    <w:p w14:paraId="0BA4AB54" w14:textId="77777777" w:rsidR="005925EB" w:rsidRDefault="005925EB" w:rsidP="008B3A20">
      <w:pPr>
        <w:spacing w:line="360" w:lineRule="auto"/>
        <w:ind w:right="-28"/>
        <w:contextualSpacing/>
        <w:jc w:val="both"/>
        <w:rPr>
          <w:rFonts w:ascii="Palatino Linotype" w:eastAsia="Batang" w:hAnsi="Palatino Linotype" w:cs="Tahoma"/>
          <w:bCs/>
          <w:sz w:val="22"/>
          <w:szCs w:val="22"/>
        </w:rPr>
      </w:pPr>
    </w:p>
    <w:p w14:paraId="027F0A65" w14:textId="66449009" w:rsidR="005925EB" w:rsidRDefault="005925EB" w:rsidP="008B3A20">
      <w:pPr>
        <w:spacing w:line="360" w:lineRule="auto"/>
        <w:ind w:right="-28"/>
        <w:contextualSpacing/>
        <w:jc w:val="both"/>
        <w:rPr>
          <w:rFonts w:ascii="Palatino Linotype" w:eastAsia="Batang" w:hAnsi="Palatino Linotype" w:cs="Tahoma"/>
          <w:bCs/>
          <w:sz w:val="22"/>
          <w:szCs w:val="22"/>
        </w:rPr>
      </w:pPr>
      <w:proofErr w:type="spellStart"/>
      <w:r>
        <w:rPr>
          <w:rFonts w:ascii="Palatino Linotype" w:eastAsia="Batang" w:hAnsi="Palatino Linotype" w:cs="Tahoma"/>
          <w:bCs/>
          <w:sz w:val="22"/>
          <w:szCs w:val="22"/>
        </w:rPr>
        <w:lastRenderedPageBreak/>
        <w:t>ii</w:t>
      </w:r>
      <w:proofErr w:type="spellEnd"/>
      <w:r>
        <w:rPr>
          <w:rFonts w:ascii="Palatino Linotype" w:eastAsia="Batang" w:hAnsi="Palatino Linotype" w:cs="Tahoma"/>
          <w:bCs/>
          <w:sz w:val="22"/>
          <w:szCs w:val="22"/>
        </w:rPr>
        <w:t>) Versión pública de las licencias de funcionamiento emitidas por el Departamento de Mercados de la Dirección de Industria y Comercio (antes Dirección de Comercio y Normatividad), del primero de enero de dos mil veinte al siete de marzo de dos mil veinticinco.</w:t>
      </w:r>
    </w:p>
    <w:p w14:paraId="2A7AB6FD" w14:textId="77777777" w:rsidR="005A4A25" w:rsidRDefault="005A4A25" w:rsidP="008B3A20">
      <w:pPr>
        <w:spacing w:line="360" w:lineRule="auto"/>
        <w:ind w:right="-28"/>
        <w:contextualSpacing/>
        <w:jc w:val="both"/>
        <w:rPr>
          <w:rFonts w:ascii="Palatino Linotype" w:eastAsia="Batang" w:hAnsi="Palatino Linotype" w:cs="Tahoma"/>
          <w:bCs/>
          <w:sz w:val="22"/>
          <w:szCs w:val="22"/>
        </w:rPr>
      </w:pPr>
    </w:p>
    <w:p w14:paraId="5D784854" w14:textId="77777777" w:rsidR="005925EB" w:rsidRDefault="005925EB" w:rsidP="008B3A20">
      <w:pPr>
        <w:spacing w:line="360" w:lineRule="auto"/>
        <w:ind w:right="-28"/>
        <w:contextualSpacing/>
        <w:jc w:val="both"/>
        <w:rPr>
          <w:rFonts w:ascii="Palatino Linotype" w:eastAsia="Batang" w:hAnsi="Palatino Linotype" w:cs="Tahoma"/>
          <w:bCs/>
          <w:sz w:val="22"/>
          <w:szCs w:val="22"/>
        </w:rPr>
      </w:pPr>
      <w:proofErr w:type="spellStart"/>
      <w:r>
        <w:rPr>
          <w:rFonts w:ascii="Palatino Linotype" w:hAnsi="Palatino Linotype" w:cs="Tahoma"/>
          <w:bCs/>
          <w:sz w:val="22"/>
          <w:szCs w:val="22"/>
        </w:rPr>
        <w:t>iii</w:t>
      </w:r>
      <w:proofErr w:type="spellEnd"/>
      <w:r>
        <w:rPr>
          <w:rFonts w:ascii="Palatino Linotype" w:hAnsi="Palatino Linotype" w:cs="Tahoma"/>
          <w:bCs/>
          <w:sz w:val="22"/>
          <w:szCs w:val="22"/>
        </w:rPr>
        <w:t xml:space="preserve">) Versión pública de las licencias de funcionamiento emitidas por la Dirección de Desarrollo Económico, </w:t>
      </w:r>
      <w:r>
        <w:rPr>
          <w:rFonts w:ascii="Palatino Linotype" w:eastAsia="Batang" w:hAnsi="Palatino Linotype" w:cs="Tahoma"/>
          <w:bCs/>
          <w:sz w:val="22"/>
          <w:szCs w:val="22"/>
        </w:rPr>
        <w:t>del primero de enero de dos mil veinte al siete de marzo de dos mil veinticinco.</w:t>
      </w:r>
    </w:p>
    <w:p w14:paraId="422C5575" w14:textId="6A7B9548" w:rsidR="005A4A25" w:rsidRDefault="005A4A25" w:rsidP="008B3A20">
      <w:pPr>
        <w:spacing w:line="360" w:lineRule="auto"/>
        <w:ind w:right="-28"/>
        <w:contextualSpacing/>
        <w:jc w:val="both"/>
        <w:rPr>
          <w:rFonts w:ascii="Palatino Linotype" w:hAnsi="Palatino Linotype" w:cs="Tahoma"/>
          <w:bCs/>
          <w:sz w:val="22"/>
          <w:szCs w:val="22"/>
        </w:rPr>
      </w:pPr>
    </w:p>
    <w:p w14:paraId="0C1D03DF" w14:textId="61EA2112" w:rsidR="00AF2976" w:rsidRDefault="00AF2976" w:rsidP="008B3A20">
      <w:pPr>
        <w:spacing w:line="360" w:lineRule="auto"/>
        <w:ind w:right="-28"/>
        <w:contextualSpacing/>
        <w:jc w:val="both"/>
        <w:rPr>
          <w:rFonts w:ascii="Palatino Linotype" w:hAnsi="Palatino Linotype" w:cs="Tahoma"/>
          <w:bCs/>
          <w:sz w:val="22"/>
          <w:szCs w:val="22"/>
        </w:rPr>
      </w:pPr>
      <w:proofErr w:type="spellStart"/>
      <w:r>
        <w:rPr>
          <w:rFonts w:ascii="Palatino Linotype" w:hAnsi="Palatino Linotype" w:cs="Tahoma"/>
          <w:bCs/>
          <w:sz w:val="22"/>
          <w:szCs w:val="22"/>
        </w:rPr>
        <w:t>iv</w:t>
      </w:r>
      <w:proofErr w:type="spellEnd"/>
      <w:r>
        <w:rPr>
          <w:rFonts w:ascii="Palatino Linotype" w:hAnsi="Palatino Linotype" w:cs="Tahoma"/>
          <w:bCs/>
          <w:sz w:val="22"/>
          <w:szCs w:val="22"/>
        </w:rPr>
        <w:t xml:space="preserve">) Acta de la Novena Sesión Extraordinaria del Comité de Transparencia, del veinticuatro de marzo de dos mil veinticinco, que contiene el Acuerdo número </w:t>
      </w:r>
      <w:r w:rsidRPr="00AF2976">
        <w:rPr>
          <w:rFonts w:ascii="Palatino Linotype" w:hAnsi="Palatino Linotype" w:cs="Tahoma"/>
          <w:bCs/>
          <w:sz w:val="22"/>
          <w:szCs w:val="22"/>
        </w:rPr>
        <w:t>CTM/VACHASO/A/00068/2025</w:t>
      </w:r>
      <w:r>
        <w:rPr>
          <w:rFonts w:ascii="Palatino Linotype" w:hAnsi="Palatino Linotype" w:cs="Tahoma"/>
          <w:bCs/>
          <w:sz w:val="22"/>
          <w:szCs w:val="22"/>
        </w:rPr>
        <w:t xml:space="preserve">, por medio del cual se valida la versión pública referida en el inciso </w:t>
      </w:r>
      <w:proofErr w:type="spellStart"/>
      <w:r>
        <w:rPr>
          <w:rFonts w:ascii="Palatino Linotype" w:hAnsi="Palatino Linotype" w:cs="Tahoma"/>
          <w:bCs/>
          <w:sz w:val="22"/>
          <w:szCs w:val="22"/>
        </w:rPr>
        <w:t>iii</w:t>
      </w:r>
      <w:proofErr w:type="spellEnd"/>
      <w:r>
        <w:rPr>
          <w:rFonts w:ascii="Palatino Linotype" w:hAnsi="Palatino Linotype" w:cs="Tahoma"/>
          <w:bCs/>
          <w:sz w:val="22"/>
          <w:szCs w:val="22"/>
        </w:rPr>
        <w:t>, del presente Antecedente.</w:t>
      </w:r>
    </w:p>
    <w:p w14:paraId="708917D3" w14:textId="77777777" w:rsidR="00AF2976" w:rsidRDefault="00AF2976" w:rsidP="008B3A20">
      <w:pPr>
        <w:spacing w:line="360" w:lineRule="auto"/>
        <w:ind w:right="-28"/>
        <w:contextualSpacing/>
        <w:jc w:val="both"/>
        <w:rPr>
          <w:rFonts w:ascii="Palatino Linotype" w:hAnsi="Palatino Linotype" w:cs="Tahoma"/>
          <w:bCs/>
          <w:sz w:val="22"/>
          <w:szCs w:val="22"/>
        </w:rPr>
      </w:pPr>
    </w:p>
    <w:p w14:paraId="6DFE3912" w14:textId="574A97DC" w:rsidR="00AF2976" w:rsidRDefault="00AF2976" w:rsidP="008B3A20">
      <w:pPr>
        <w:spacing w:line="360" w:lineRule="auto"/>
        <w:ind w:right="-28"/>
        <w:contextualSpacing/>
        <w:jc w:val="both"/>
        <w:rPr>
          <w:rFonts w:ascii="Palatino Linotype" w:hAnsi="Palatino Linotype" w:cs="Tahoma"/>
          <w:bCs/>
          <w:sz w:val="22"/>
          <w:szCs w:val="22"/>
        </w:rPr>
      </w:pPr>
      <w:r>
        <w:rPr>
          <w:rFonts w:ascii="Palatino Linotype" w:hAnsi="Palatino Linotype" w:cs="Tahoma"/>
          <w:bCs/>
          <w:sz w:val="22"/>
          <w:szCs w:val="22"/>
        </w:rPr>
        <w:t xml:space="preserve">v) Acta de la </w:t>
      </w:r>
      <w:r w:rsidR="00952540">
        <w:rPr>
          <w:rFonts w:ascii="Palatino Linotype" w:hAnsi="Palatino Linotype" w:cs="Tahoma"/>
          <w:bCs/>
          <w:sz w:val="22"/>
          <w:szCs w:val="22"/>
        </w:rPr>
        <w:t>Octava</w:t>
      </w:r>
      <w:r>
        <w:rPr>
          <w:rFonts w:ascii="Palatino Linotype" w:hAnsi="Palatino Linotype" w:cs="Tahoma"/>
          <w:bCs/>
          <w:sz w:val="22"/>
          <w:szCs w:val="22"/>
        </w:rPr>
        <w:t xml:space="preserve"> Sesión Extraordinaria del Comité de Transparencia, del </w:t>
      </w:r>
      <w:r w:rsidR="00952540">
        <w:rPr>
          <w:rFonts w:ascii="Palatino Linotype" w:hAnsi="Palatino Linotype" w:cs="Tahoma"/>
          <w:bCs/>
          <w:sz w:val="22"/>
          <w:szCs w:val="22"/>
        </w:rPr>
        <w:t>quince</w:t>
      </w:r>
      <w:r>
        <w:rPr>
          <w:rFonts w:ascii="Palatino Linotype" w:hAnsi="Palatino Linotype" w:cs="Tahoma"/>
          <w:bCs/>
          <w:sz w:val="22"/>
          <w:szCs w:val="22"/>
        </w:rPr>
        <w:t xml:space="preserve"> de marzo de dos mil veinticinco, que contiene el Acuerdo número </w:t>
      </w:r>
      <w:r w:rsidRPr="00AF2976">
        <w:rPr>
          <w:rFonts w:ascii="Palatino Linotype" w:hAnsi="Palatino Linotype" w:cs="Tahoma"/>
          <w:bCs/>
          <w:sz w:val="22"/>
          <w:szCs w:val="22"/>
        </w:rPr>
        <w:t>CTM/VACHASO/A/0006</w:t>
      </w:r>
      <w:r>
        <w:rPr>
          <w:rFonts w:ascii="Palatino Linotype" w:hAnsi="Palatino Linotype" w:cs="Tahoma"/>
          <w:bCs/>
          <w:sz w:val="22"/>
          <w:szCs w:val="22"/>
        </w:rPr>
        <w:t>3</w:t>
      </w:r>
      <w:r w:rsidRPr="00AF2976">
        <w:rPr>
          <w:rFonts w:ascii="Palatino Linotype" w:hAnsi="Palatino Linotype" w:cs="Tahoma"/>
          <w:bCs/>
          <w:sz w:val="22"/>
          <w:szCs w:val="22"/>
        </w:rPr>
        <w:t>/2025</w:t>
      </w:r>
      <w:r>
        <w:rPr>
          <w:rFonts w:ascii="Palatino Linotype" w:hAnsi="Palatino Linotype" w:cs="Tahoma"/>
          <w:bCs/>
          <w:sz w:val="22"/>
          <w:szCs w:val="22"/>
        </w:rPr>
        <w:t xml:space="preserve">, por medio del cual se válida la versión pública referida en </w:t>
      </w:r>
      <w:r w:rsidR="00952540">
        <w:rPr>
          <w:rFonts w:ascii="Palatino Linotype" w:hAnsi="Palatino Linotype" w:cs="Tahoma"/>
          <w:bCs/>
          <w:sz w:val="22"/>
          <w:szCs w:val="22"/>
        </w:rPr>
        <w:t xml:space="preserve">los incisos i y </w:t>
      </w:r>
      <w:proofErr w:type="spellStart"/>
      <w:r w:rsidR="00952540">
        <w:rPr>
          <w:rFonts w:ascii="Palatino Linotype" w:hAnsi="Palatino Linotype" w:cs="Tahoma"/>
          <w:bCs/>
          <w:sz w:val="22"/>
          <w:szCs w:val="22"/>
        </w:rPr>
        <w:t>ii</w:t>
      </w:r>
      <w:proofErr w:type="spellEnd"/>
      <w:r>
        <w:rPr>
          <w:rFonts w:ascii="Palatino Linotype" w:hAnsi="Palatino Linotype" w:cs="Tahoma"/>
          <w:bCs/>
          <w:sz w:val="22"/>
          <w:szCs w:val="22"/>
        </w:rPr>
        <w:t>, del presente Antecedente.</w:t>
      </w:r>
    </w:p>
    <w:p w14:paraId="7E3D13A5" w14:textId="77777777" w:rsidR="00952540" w:rsidRDefault="00952540" w:rsidP="008B3A20">
      <w:pPr>
        <w:spacing w:line="360" w:lineRule="auto"/>
        <w:ind w:right="-28"/>
        <w:contextualSpacing/>
        <w:jc w:val="both"/>
        <w:rPr>
          <w:rFonts w:ascii="Palatino Linotype" w:hAnsi="Palatino Linotype" w:cs="Tahoma"/>
          <w:bCs/>
          <w:sz w:val="22"/>
          <w:szCs w:val="22"/>
        </w:rPr>
      </w:pPr>
    </w:p>
    <w:p w14:paraId="4BFA9C11" w14:textId="3F819783" w:rsidR="00952540" w:rsidRPr="00952540" w:rsidRDefault="00952540" w:rsidP="008B3A20">
      <w:pPr>
        <w:spacing w:line="360" w:lineRule="auto"/>
        <w:contextualSpacing/>
        <w:jc w:val="both"/>
        <w:rPr>
          <w:rFonts w:ascii="Palatino Linotype" w:eastAsia="Palatino Linotype" w:hAnsi="Palatino Linotype" w:cs="Palatino Linotype"/>
          <w:sz w:val="22"/>
          <w:szCs w:val="22"/>
          <w:lang w:eastAsia="es-MX"/>
        </w:rPr>
      </w:pPr>
      <w:r>
        <w:rPr>
          <w:rFonts w:ascii="Palatino Linotype" w:hAnsi="Palatino Linotype" w:cs="Tahoma"/>
          <w:b/>
          <w:sz w:val="22"/>
          <w:szCs w:val="22"/>
        </w:rPr>
        <w:t xml:space="preserve">d) </w:t>
      </w:r>
      <w:r w:rsidRPr="00952540">
        <w:rPr>
          <w:rFonts w:ascii="Palatino Linotype" w:eastAsia="Palatino Linotype" w:hAnsi="Palatino Linotype" w:cs="Palatino Linotype"/>
          <w:b/>
          <w:sz w:val="22"/>
          <w:szCs w:val="22"/>
          <w:lang w:eastAsia="es-MX"/>
        </w:rPr>
        <w:t>Vista del Informe Justificado.</w:t>
      </w:r>
      <w:r w:rsidRPr="00952540">
        <w:rPr>
          <w:rFonts w:ascii="Palatino Linotype" w:eastAsia="Palatino Linotype" w:hAnsi="Palatino Linotype" w:cs="Palatino Linotype"/>
          <w:sz w:val="22"/>
          <w:szCs w:val="22"/>
          <w:lang w:eastAsia="es-MX"/>
        </w:rPr>
        <w:t xml:space="preserve"> El </w:t>
      </w:r>
      <w:r>
        <w:rPr>
          <w:rFonts w:ascii="Palatino Linotype" w:eastAsia="Palatino Linotype" w:hAnsi="Palatino Linotype" w:cs="Palatino Linotype"/>
          <w:sz w:val="22"/>
          <w:szCs w:val="22"/>
          <w:lang w:eastAsia="es-MX"/>
        </w:rPr>
        <w:t xml:space="preserve">quince </w:t>
      </w:r>
      <w:r w:rsidRPr="00952540">
        <w:rPr>
          <w:rFonts w:ascii="Palatino Linotype" w:eastAsia="Palatino Linotype" w:hAnsi="Palatino Linotype" w:cs="Palatino Linotype"/>
          <w:sz w:val="22"/>
          <w:szCs w:val="22"/>
          <w:lang w:eastAsia="es-MX"/>
        </w:rPr>
        <w:t xml:space="preserve">de octubre de dos mil veinticinco, se </w:t>
      </w:r>
      <w:r>
        <w:rPr>
          <w:rFonts w:ascii="Palatino Linotype" w:eastAsia="Palatino Linotype" w:hAnsi="Palatino Linotype" w:cs="Palatino Linotype"/>
          <w:sz w:val="22"/>
          <w:szCs w:val="22"/>
          <w:lang w:eastAsia="es-MX"/>
        </w:rPr>
        <w:t>dictó el acuerdo</w:t>
      </w:r>
      <w:r w:rsidRPr="00952540">
        <w:rPr>
          <w:rFonts w:ascii="Palatino Linotype" w:eastAsia="Palatino Linotype" w:hAnsi="Palatino Linotype" w:cs="Palatino Linotype"/>
          <w:sz w:val="22"/>
          <w:szCs w:val="22"/>
          <w:lang w:eastAsia="es-MX"/>
        </w:rPr>
        <w:t xml:space="preserve"> mediante </w:t>
      </w:r>
      <w:r>
        <w:rPr>
          <w:rFonts w:ascii="Palatino Linotype" w:eastAsia="Palatino Linotype" w:hAnsi="Palatino Linotype" w:cs="Palatino Linotype"/>
          <w:sz w:val="22"/>
          <w:szCs w:val="22"/>
          <w:lang w:eastAsia="es-MX"/>
        </w:rPr>
        <w:t>el cual se puso a la</w:t>
      </w:r>
      <w:r w:rsidRPr="00952540">
        <w:rPr>
          <w:rFonts w:ascii="Palatino Linotype" w:eastAsia="Palatino Linotype" w:hAnsi="Palatino Linotype" w:cs="Palatino Linotype"/>
          <w:sz w:val="22"/>
          <w:szCs w:val="22"/>
          <w:lang w:eastAsia="es-MX"/>
        </w:rPr>
        <w:t xml:space="preserve"> vista del Particular el Informe Justificado, entregado por el Sujeto Obligado, así como los documentos adjuntos, el cual fue notificado a las partes, a través del Sistema de Acceso a la Información Mexiquense (SAIMEX)</w:t>
      </w:r>
      <w:r w:rsidRPr="00952540">
        <w:rPr>
          <w:rFonts w:ascii="Palatino Linotype" w:eastAsia="Palatino Linotype" w:hAnsi="Palatino Linotype" w:cs="Palatino Linotype"/>
          <w:b/>
          <w:sz w:val="22"/>
          <w:szCs w:val="22"/>
          <w:lang w:eastAsia="es-MX"/>
        </w:rPr>
        <w:t xml:space="preserve">. </w:t>
      </w:r>
    </w:p>
    <w:p w14:paraId="784A3C82" w14:textId="77777777" w:rsidR="00952540" w:rsidRPr="005A4A25" w:rsidRDefault="00952540" w:rsidP="008B3A20">
      <w:pPr>
        <w:spacing w:line="360" w:lineRule="auto"/>
        <w:ind w:right="-28"/>
        <w:contextualSpacing/>
        <w:jc w:val="both"/>
        <w:rPr>
          <w:rFonts w:ascii="Palatino Linotype" w:hAnsi="Palatino Linotype" w:cs="Tahoma"/>
          <w:b/>
          <w:sz w:val="22"/>
          <w:szCs w:val="22"/>
        </w:rPr>
      </w:pPr>
    </w:p>
    <w:p w14:paraId="4E310827" w14:textId="17878E76" w:rsidR="00952540" w:rsidRDefault="00426ADE" w:rsidP="008B3A20">
      <w:pPr>
        <w:spacing w:line="360" w:lineRule="auto"/>
        <w:contextualSpacing/>
        <w:jc w:val="both"/>
        <w:rPr>
          <w:rFonts w:ascii="Palatino Linotype" w:hAnsi="Palatino Linotype" w:cs="Tahoma"/>
          <w:b/>
          <w:sz w:val="22"/>
          <w:szCs w:val="22"/>
        </w:rPr>
      </w:pPr>
      <w:r w:rsidRPr="005A4A25">
        <w:rPr>
          <w:rFonts w:ascii="Palatino Linotype" w:hAnsi="Palatino Linotype" w:cs="Tahoma"/>
          <w:b/>
          <w:sz w:val="22"/>
          <w:szCs w:val="22"/>
        </w:rPr>
        <w:t xml:space="preserve">e) </w:t>
      </w:r>
      <w:r w:rsidR="00952540" w:rsidRPr="00952540">
        <w:rPr>
          <w:rFonts w:ascii="Palatino Linotype" w:hAnsi="Palatino Linotype" w:cs="Tahoma"/>
          <w:b/>
          <w:sz w:val="22"/>
          <w:szCs w:val="22"/>
        </w:rPr>
        <w:t xml:space="preserve">Ampliación de plazo para resolver. </w:t>
      </w:r>
      <w:r w:rsidR="00952540" w:rsidRPr="00952540">
        <w:rPr>
          <w:rFonts w:ascii="Palatino Linotype" w:hAnsi="Palatino Linotype" w:cs="Tahoma"/>
          <w:bCs/>
          <w:sz w:val="22"/>
          <w:szCs w:val="22"/>
        </w:rPr>
        <w:t xml:space="preserve">El </w:t>
      </w:r>
      <w:r w:rsidR="00952540">
        <w:rPr>
          <w:rFonts w:ascii="Palatino Linotype" w:hAnsi="Palatino Linotype" w:cs="Tahoma"/>
          <w:bCs/>
          <w:sz w:val="22"/>
          <w:szCs w:val="22"/>
        </w:rPr>
        <w:t>quince de octubre de dos mil veinticinco</w:t>
      </w:r>
      <w:r w:rsidR="00952540" w:rsidRPr="00952540">
        <w:rPr>
          <w:rFonts w:ascii="Palatino Linotype" w:hAnsi="Palatino Linotype" w:cs="Tahoma"/>
          <w:bCs/>
          <w:sz w:val="22"/>
          <w:szCs w:val="22"/>
        </w:rPr>
        <w:t xml:space="preserve">,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w:t>
      </w:r>
      <w:r w:rsidR="00952540" w:rsidRPr="00952540">
        <w:rPr>
          <w:rFonts w:ascii="Palatino Linotype" w:hAnsi="Palatino Linotype" w:cs="Tahoma"/>
          <w:bCs/>
          <w:sz w:val="22"/>
          <w:szCs w:val="22"/>
        </w:rPr>
        <w:lastRenderedPageBreak/>
        <w:t>nos ocupa; acto que fue notificado a las partes el trece de dicho mes y año, mediante el Sistema de Acceso a la Información Mexiquense (SAIMEX).</w:t>
      </w:r>
    </w:p>
    <w:p w14:paraId="49151498" w14:textId="77777777" w:rsidR="00952540" w:rsidRDefault="00952540" w:rsidP="008B3A20">
      <w:pPr>
        <w:spacing w:line="360" w:lineRule="auto"/>
        <w:contextualSpacing/>
        <w:jc w:val="both"/>
        <w:rPr>
          <w:rFonts w:ascii="Palatino Linotype" w:hAnsi="Palatino Linotype" w:cs="Tahoma"/>
          <w:b/>
          <w:sz w:val="22"/>
          <w:szCs w:val="22"/>
        </w:rPr>
      </w:pPr>
    </w:p>
    <w:p w14:paraId="23B67BE2" w14:textId="5A74E4B7" w:rsidR="00426ADE" w:rsidRPr="005A4A25" w:rsidRDefault="00952540" w:rsidP="008B3A20">
      <w:pPr>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 xml:space="preserve">f) </w:t>
      </w:r>
      <w:r w:rsidR="00426ADE" w:rsidRPr="005A4A25">
        <w:rPr>
          <w:rFonts w:ascii="Palatino Linotype" w:hAnsi="Palatino Linotype" w:cs="Tahoma"/>
          <w:b/>
          <w:sz w:val="22"/>
          <w:szCs w:val="22"/>
        </w:rPr>
        <w:t xml:space="preserve">Cierre de instrucción. </w:t>
      </w:r>
      <w:r w:rsidR="00426ADE" w:rsidRPr="005A4A25">
        <w:rPr>
          <w:rFonts w:ascii="Palatino Linotype" w:hAnsi="Palatino Linotype" w:cs="Tahoma"/>
          <w:sz w:val="22"/>
          <w:szCs w:val="22"/>
        </w:rPr>
        <w:t xml:space="preserve">El </w:t>
      </w:r>
      <w:r>
        <w:rPr>
          <w:rFonts w:ascii="Palatino Linotype" w:hAnsi="Palatino Linotype" w:cs="Tahoma"/>
          <w:sz w:val="22"/>
          <w:szCs w:val="22"/>
        </w:rPr>
        <w:t>veintiuno de octubre de dos mil veinticinco</w:t>
      </w:r>
      <w:r w:rsidR="00426ADE" w:rsidRPr="005A4A25">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Sistema de Acceso a la Información Mexiquense (SAIMEX).</w:t>
      </w:r>
    </w:p>
    <w:p w14:paraId="2ABB444A" w14:textId="77777777" w:rsidR="00426ADE" w:rsidRPr="005A4A25" w:rsidRDefault="00426ADE" w:rsidP="008B3A20">
      <w:pPr>
        <w:spacing w:line="360" w:lineRule="auto"/>
        <w:ind w:right="-28"/>
        <w:contextualSpacing/>
        <w:jc w:val="both"/>
        <w:rPr>
          <w:rFonts w:ascii="Palatino Linotype" w:hAnsi="Palatino Linotype" w:cs="Tahoma"/>
          <w:sz w:val="22"/>
          <w:szCs w:val="22"/>
        </w:rPr>
      </w:pPr>
    </w:p>
    <w:p w14:paraId="6D378909" w14:textId="77777777" w:rsidR="00426ADE" w:rsidRPr="005A4A25" w:rsidRDefault="00426ADE" w:rsidP="008B3A20">
      <w:pPr>
        <w:spacing w:line="360" w:lineRule="auto"/>
        <w:ind w:right="-28"/>
        <w:contextualSpacing/>
        <w:jc w:val="both"/>
        <w:rPr>
          <w:rFonts w:ascii="Palatino Linotype" w:hAnsi="Palatino Linotype" w:cs="Tahoma"/>
          <w:color w:val="000000"/>
          <w:sz w:val="22"/>
          <w:szCs w:val="22"/>
        </w:rPr>
      </w:pPr>
      <w:proofErr w:type="gramStart"/>
      <w:r w:rsidRPr="005A4A25">
        <w:rPr>
          <w:rFonts w:ascii="Palatino Linotype" w:hAnsi="Palatino Linotype" w:cs="Tahoma"/>
          <w:color w:val="000000"/>
          <w:sz w:val="22"/>
          <w:szCs w:val="22"/>
        </w:rPr>
        <w:t>En razón de</w:t>
      </w:r>
      <w:proofErr w:type="gramEnd"/>
      <w:r w:rsidRPr="005A4A25">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w:t>
      </w:r>
      <w:proofErr w:type="gramStart"/>
      <w:r w:rsidRPr="005A4A25">
        <w:rPr>
          <w:rFonts w:ascii="Palatino Linotype" w:hAnsi="Palatino Linotype" w:cs="Tahoma"/>
          <w:color w:val="000000"/>
          <w:sz w:val="22"/>
          <w:szCs w:val="22"/>
        </w:rPr>
        <w:t>de acuerdo a</w:t>
      </w:r>
      <w:proofErr w:type="gramEnd"/>
      <w:r w:rsidRPr="005A4A25">
        <w:rPr>
          <w:rFonts w:ascii="Palatino Linotype" w:hAnsi="Palatino Linotype" w:cs="Tahoma"/>
          <w:color w:val="000000"/>
          <w:sz w:val="22"/>
          <w:szCs w:val="22"/>
        </w:rPr>
        <w:t xml:space="preserve"> los siguientes:</w:t>
      </w:r>
    </w:p>
    <w:p w14:paraId="0690FEAB" w14:textId="77777777" w:rsidR="00426ADE" w:rsidRPr="005A4A25" w:rsidRDefault="00426ADE" w:rsidP="008B3A20">
      <w:pPr>
        <w:spacing w:line="360" w:lineRule="auto"/>
        <w:ind w:right="-28"/>
        <w:contextualSpacing/>
        <w:jc w:val="both"/>
        <w:rPr>
          <w:rFonts w:ascii="Palatino Linotype" w:hAnsi="Palatino Linotype" w:cs="Tahoma"/>
          <w:color w:val="000000"/>
          <w:sz w:val="22"/>
          <w:szCs w:val="22"/>
        </w:rPr>
      </w:pPr>
    </w:p>
    <w:p w14:paraId="0386A0A5" w14:textId="77777777" w:rsidR="00426ADE" w:rsidRPr="005A4A25" w:rsidRDefault="00426ADE" w:rsidP="0006315D">
      <w:pPr>
        <w:pStyle w:val="Ttulo1"/>
      </w:pPr>
      <w:bookmarkStart w:id="6" w:name="_Toc212129011"/>
      <w:r w:rsidRPr="005A4A25">
        <w:t>C O N S I D E R A N D O S</w:t>
      </w:r>
      <w:bookmarkEnd w:id="6"/>
    </w:p>
    <w:p w14:paraId="5ECD8818" w14:textId="77777777" w:rsidR="00426ADE" w:rsidRPr="005A4A25" w:rsidRDefault="00426ADE" w:rsidP="008B3A20">
      <w:pPr>
        <w:spacing w:line="360" w:lineRule="auto"/>
        <w:ind w:right="-28"/>
        <w:contextualSpacing/>
        <w:jc w:val="center"/>
        <w:rPr>
          <w:rFonts w:ascii="Palatino Linotype" w:hAnsi="Palatino Linotype" w:cs="Tahoma"/>
          <w:b/>
          <w:sz w:val="22"/>
          <w:szCs w:val="22"/>
        </w:rPr>
      </w:pPr>
    </w:p>
    <w:p w14:paraId="0DEAFCBA" w14:textId="0487A00D" w:rsidR="00426ADE" w:rsidRPr="005A4A25" w:rsidRDefault="00426ADE" w:rsidP="0006315D">
      <w:pPr>
        <w:pStyle w:val="Ttulo2"/>
      </w:pPr>
      <w:bookmarkStart w:id="7" w:name="_Toc212129012"/>
      <w:r w:rsidRPr="005A4A25">
        <w:rPr>
          <w:rFonts w:eastAsia="Calibri"/>
          <w:color w:val="000000"/>
          <w:lang w:eastAsia="es-MX"/>
        </w:rPr>
        <w:t xml:space="preserve">PRIMERO. </w:t>
      </w:r>
      <w:proofErr w:type="spellStart"/>
      <w:r w:rsidR="00B36568">
        <w:t>Competenci</w:t>
      </w:r>
      <w:proofErr w:type="spellEnd"/>
      <w:r w:rsidRPr="005A4A25">
        <w:t>.</w:t>
      </w:r>
      <w:bookmarkEnd w:id="7"/>
    </w:p>
    <w:p w14:paraId="0AEE36A7" w14:textId="77777777" w:rsidR="00426ADE" w:rsidRPr="005A4A25" w:rsidRDefault="00426ADE" w:rsidP="008B3A20">
      <w:pPr>
        <w:autoSpaceDE w:val="0"/>
        <w:autoSpaceDN w:val="0"/>
        <w:adjustRightInd w:val="0"/>
        <w:spacing w:line="360" w:lineRule="auto"/>
        <w:ind w:right="-28"/>
        <w:contextualSpacing/>
        <w:jc w:val="both"/>
        <w:rPr>
          <w:rFonts w:ascii="Palatino Linotype" w:hAnsi="Palatino Linotype" w:cs="Tahoma"/>
          <w:b/>
          <w:sz w:val="22"/>
          <w:szCs w:val="22"/>
        </w:rPr>
      </w:pPr>
    </w:p>
    <w:p w14:paraId="4E4F14DB" w14:textId="44A00AC5" w:rsidR="00426ADE" w:rsidRDefault="00426ADE" w:rsidP="008B3A20">
      <w:pPr>
        <w:spacing w:line="360" w:lineRule="auto"/>
        <w:ind w:right="-28"/>
        <w:contextualSpacing/>
        <w:jc w:val="both"/>
        <w:rPr>
          <w:rFonts w:ascii="Palatino Linotype" w:hAnsi="Palatino Linotype" w:cs="Tahoma"/>
          <w:color w:val="000000"/>
          <w:sz w:val="22"/>
          <w:szCs w:val="22"/>
        </w:rPr>
      </w:pPr>
      <w:r w:rsidRPr="005A4A25">
        <w:rPr>
          <w:rFonts w:ascii="Palatino Linotype" w:hAnsi="Palatino Linotype" w:cs="Tahoma"/>
          <w:color w:val="000000"/>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00952540">
        <w:rPr>
          <w:rFonts w:ascii="Palatino Linotype" w:hAnsi="Palatino Linotype" w:cs="Tahoma"/>
          <w:color w:val="000000"/>
          <w:sz w:val="22"/>
          <w:szCs w:val="22"/>
        </w:rPr>
        <w:t>trigésimo noveno, cuadragésimo y cuadragésimo primero</w:t>
      </w:r>
      <w:r w:rsidRPr="005A4A25">
        <w:rPr>
          <w:rFonts w:ascii="Palatino Linotype" w:hAnsi="Palatino Linotype" w:cs="Tahoma"/>
          <w:color w:val="000000"/>
          <w:sz w:val="22"/>
          <w:szCs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5A4A25">
        <w:rPr>
          <w:color w:val="000000"/>
        </w:rPr>
        <w:t xml:space="preserve"> 7°, </w:t>
      </w:r>
      <w:r w:rsidRPr="005A4A25">
        <w:rPr>
          <w:rFonts w:ascii="Palatino Linotype" w:hAnsi="Palatino Linotype" w:cs="Tahoma"/>
          <w:color w:val="000000"/>
          <w:sz w:val="22"/>
          <w:szCs w:val="22"/>
        </w:rPr>
        <w:t xml:space="preserve">9°, fracciones I y XXIII y 11 del Reglamento Interior del Instituto de </w:t>
      </w:r>
      <w:r w:rsidRPr="005A4A25">
        <w:rPr>
          <w:rFonts w:ascii="Palatino Linotype" w:hAnsi="Palatino Linotype" w:cs="Tahoma"/>
          <w:color w:val="000000"/>
          <w:sz w:val="22"/>
          <w:szCs w:val="22"/>
        </w:rPr>
        <w:lastRenderedPageBreak/>
        <w:t>Transparencia, Acceso a la Información Pública y Protección de Datos Personales del Estado de México y Municipios.</w:t>
      </w:r>
    </w:p>
    <w:p w14:paraId="415193B7" w14:textId="77777777" w:rsidR="00952540" w:rsidRPr="005A4A25" w:rsidRDefault="00952540" w:rsidP="008B3A20">
      <w:pPr>
        <w:spacing w:line="360" w:lineRule="auto"/>
        <w:ind w:right="-28"/>
        <w:contextualSpacing/>
        <w:jc w:val="both"/>
        <w:rPr>
          <w:rFonts w:ascii="Palatino Linotype" w:hAnsi="Palatino Linotype" w:cs="Tahoma"/>
          <w:color w:val="000000"/>
          <w:sz w:val="22"/>
          <w:szCs w:val="22"/>
        </w:rPr>
      </w:pPr>
    </w:p>
    <w:p w14:paraId="4ADFE6B5" w14:textId="3E1D5A04" w:rsidR="00426ADE" w:rsidRPr="005A4A25" w:rsidRDefault="00426ADE" w:rsidP="0006315D">
      <w:pPr>
        <w:pStyle w:val="Ttulo2"/>
        <w:rPr>
          <w:rFonts w:eastAsia="Calibri"/>
          <w:lang w:eastAsia="es-MX"/>
        </w:rPr>
      </w:pPr>
      <w:bookmarkStart w:id="8" w:name="_Toc212129013"/>
      <w:r w:rsidRPr="005A4A25">
        <w:rPr>
          <w:rFonts w:eastAsia="Calibri"/>
          <w:lang w:eastAsia="es-MX"/>
        </w:rPr>
        <w:t>SEGUNDO. Causales de improcedencia y sobreseimiento</w:t>
      </w:r>
      <w:bookmarkEnd w:id="8"/>
    </w:p>
    <w:p w14:paraId="0AA27CBB" w14:textId="77777777" w:rsidR="00426ADE" w:rsidRPr="005A4A25" w:rsidRDefault="00426ADE" w:rsidP="008B3A20">
      <w:pPr>
        <w:autoSpaceDE w:val="0"/>
        <w:autoSpaceDN w:val="0"/>
        <w:adjustRightInd w:val="0"/>
        <w:spacing w:line="360" w:lineRule="auto"/>
        <w:contextualSpacing/>
        <w:jc w:val="both"/>
        <w:rPr>
          <w:rFonts w:ascii="Palatino Linotype" w:hAnsi="Palatino Linotype" w:cs="Tahoma"/>
          <w:sz w:val="22"/>
          <w:szCs w:val="22"/>
        </w:rPr>
      </w:pPr>
    </w:p>
    <w:p w14:paraId="1697D6A5" w14:textId="77777777" w:rsidR="00426ADE" w:rsidRPr="005A4A25" w:rsidRDefault="00426ADE" w:rsidP="008B3A20">
      <w:pPr>
        <w:autoSpaceDE w:val="0"/>
        <w:autoSpaceDN w:val="0"/>
        <w:adjustRightInd w:val="0"/>
        <w:spacing w:line="360" w:lineRule="auto"/>
        <w:contextualSpacing/>
        <w:jc w:val="both"/>
        <w:rPr>
          <w:rFonts w:ascii="Palatino Linotype" w:hAnsi="Palatino Linotype" w:cs="Tahoma"/>
          <w:sz w:val="22"/>
          <w:szCs w:val="22"/>
        </w:rPr>
      </w:pPr>
      <w:r w:rsidRPr="005A4A25">
        <w:rPr>
          <w:rFonts w:ascii="Palatino Linotype" w:hAnsi="Palatino Linotype" w:cs="Tahoma"/>
          <w:sz w:val="22"/>
          <w:szCs w:val="22"/>
        </w:rPr>
        <w:t xml:space="preserve">De las constancias que forma parte del Recurso de Revisión que se analiza, se advierte que previo al estudio del fondo de la </w:t>
      </w:r>
      <w:r w:rsidRPr="005A4A25">
        <w:rPr>
          <w:rFonts w:ascii="Palatino Linotype" w:hAnsi="Palatino Linotype" w:cs="Tahoma"/>
          <w:i/>
          <w:sz w:val="22"/>
          <w:szCs w:val="22"/>
        </w:rPr>
        <w:t>litis</w:t>
      </w:r>
      <w:r w:rsidRPr="005A4A25">
        <w:rPr>
          <w:rFonts w:ascii="Palatino Linotype" w:hAnsi="Palatino Linotype" w:cs="Tahoma"/>
          <w:sz w:val="22"/>
          <w:szCs w:val="22"/>
        </w:rPr>
        <w:t>, es necesario estudiar las causales de improcedencia, para determinar lo que en Derecho proceda.</w:t>
      </w:r>
    </w:p>
    <w:p w14:paraId="5A124112" w14:textId="77777777" w:rsidR="00426ADE" w:rsidRPr="005A4A25" w:rsidRDefault="00426ADE" w:rsidP="008B3A20">
      <w:pPr>
        <w:autoSpaceDE w:val="0"/>
        <w:autoSpaceDN w:val="0"/>
        <w:adjustRightInd w:val="0"/>
        <w:spacing w:line="360" w:lineRule="auto"/>
        <w:contextualSpacing/>
        <w:jc w:val="both"/>
        <w:rPr>
          <w:rFonts w:ascii="Palatino Linotype" w:hAnsi="Palatino Linotype" w:cs="Tahoma"/>
          <w:sz w:val="22"/>
          <w:szCs w:val="22"/>
        </w:rPr>
      </w:pPr>
    </w:p>
    <w:p w14:paraId="0957342C" w14:textId="61B028E2" w:rsidR="00426ADE" w:rsidRPr="005A4A25" w:rsidRDefault="00B36568" w:rsidP="008B3A20">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Pr>
          <w:rFonts w:ascii="Palatino Linotype" w:eastAsia="Calibri" w:hAnsi="Palatino Linotype" w:cs="Tahoma"/>
          <w:b/>
          <w:color w:val="000000"/>
          <w:sz w:val="22"/>
          <w:szCs w:val="22"/>
          <w:lang w:eastAsia="es-MX"/>
        </w:rPr>
        <w:t>Causales de improcedencia</w:t>
      </w:r>
    </w:p>
    <w:p w14:paraId="71792D49" w14:textId="77777777" w:rsidR="00426ADE" w:rsidRPr="005A4A25" w:rsidRDefault="00426ADE" w:rsidP="008B3A20">
      <w:pPr>
        <w:autoSpaceDE w:val="0"/>
        <w:autoSpaceDN w:val="0"/>
        <w:adjustRightInd w:val="0"/>
        <w:spacing w:line="360" w:lineRule="auto"/>
        <w:ind w:right="-28"/>
        <w:contextualSpacing/>
        <w:jc w:val="both"/>
        <w:rPr>
          <w:rFonts w:ascii="Palatino Linotype" w:eastAsia="Calibri" w:hAnsi="Palatino Linotype" w:cs="Tahoma"/>
          <w:b/>
          <w:color w:val="000000"/>
          <w:sz w:val="22"/>
          <w:szCs w:val="22"/>
          <w:lang w:eastAsia="es-MX"/>
        </w:rPr>
      </w:pPr>
    </w:p>
    <w:p w14:paraId="50CB374A" w14:textId="77777777" w:rsidR="00426ADE" w:rsidRPr="005A4A25" w:rsidRDefault="00426ADE" w:rsidP="008B3A20">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eastAsia="es-MX"/>
        </w:rPr>
      </w:pPr>
      <w:r w:rsidRPr="005A4A25">
        <w:rPr>
          <w:rFonts w:ascii="Palatino Linotype" w:eastAsia="Calibri" w:hAnsi="Palatino Linotype" w:cs="Tahoma"/>
          <w:color w:val="000000"/>
          <w:sz w:val="22"/>
          <w:szCs w:val="22"/>
          <w:lang w:eastAsia="es-MX"/>
        </w:rPr>
        <w:t>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F14EFC5" w14:textId="77777777" w:rsidR="00426ADE" w:rsidRPr="005A4A25" w:rsidRDefault="00426ADE" w:rsidP="008B3A20">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eastAsia="es-MX"/>
        </w:rPr>
      </w:pPr>
    </w:p>
    <w:p w14:paraId="6E2A8C39" w14:textId="67181491" w:rsidR="00426ADE" w:rsidRPr="005A4A25" w:rsidRDefault="00426ADE" w:rsidP="008B3A20">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5A4A25">
        <w:rPr>
          <w:rFonts w:ascii="Palatino Linotype" w:hAnsi="Palatino Linotype" w:cs="Tahoma"/>
          <w:sz w:val="22"/>
          <w:szCs w:val="24"/>
        </w:rPr>
        <w:t>En el presente caso, </w:t>
      </w:r>
      <w:r w:rsidRPr="005A4A25">
        <w:rPr>
          <w:rFonts w:ascii="Palatino Linotype" w:hAnsi="Palatino Linotype" w:cs="Tahoma"/>
          <w:b/>
          <w:bCs/>
          <w:sz w:val="22"/>
          <w:szCs w:val="24"/>
        </w:rPr>
        <w:t>no se actualiza ninguna de las causales de improcedencia</w:t>
      </w:r>
      <w:r w:rsidRPr="005A4A25">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w:t>
      </w:r>
      <w:r w:rsidRPr="005A4A25">
        <w:rPr>
          <w:rFonts w:ascii="Palatino Linotype" w:hAnsi="Palatino Linotype" w:cs="Tahoma"/>
          <w:sz w:val="22"/>
          <w:szCs w:val="24"/>
        </w:rPr>
        <w:lastRenderedPageBreak/>
        <w:t xml:space="preserve">requerimiento informativo; </w:t>
      </w:r>
      <w:r w:rsidRPr="005A4A25">
        <w:rPr>
          <w:rFonts w:ascii="Palatino Linotype" w:hAnsi="Palatino Linotype" w:cs="Tahoma"/>
          <w:sz w:val="22"/>
          <w:szCs w:val="22"/>
        </w:rPr>
        <w:t xml:space="preserve">además de que </w:t>
      </w:r>
      <w:r w:rsidRPr="005A4A25">
        <w:rPr>
          <w:rFonts w:ascii="Palatino Linotype" w:eastAsia="Calibri" w:hAnsi="Palatino Linotype" w:cs="Tahoma"/>
          <w:color w:val="000000"/>
          <w:sz w:val="22"/>
          <w:szCs w:val="22"/>
          <w:lang w:eastAsia="es-MX"/>
        </w:rPr>
        <w:t>el medio de impugnación fue presentado en tiempo.</w:t>
      </w:r>
    </w:p>
    <w:p w14:paraId="090167B8" w14:textId="77777777" w:rsidR="002820B8" w:rsidRPr="005A4A25" w:rsidRDefault="002820B8" w:rsidP="008B3A20">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71524929" w14:textId="7FD29357" w:rsidR="00426ADE" w:rsidRPr="005A4A25" w:rsidRDefault="00426ADE" w:rsidP="008B3A20">
      <w:pPr>
        <w:widowControl w:val="0"/>
        <w:spacing w:line="360" w:lineRule="auto"/>
        <w:contextualSpacing/>
        <w:jc w:val="both"/>
        <w:rPr>
          <w:rFonts w:ascii="Palatino Linotype" w:hAnsi="Palatino Linotype"/>
          <w:color w:val="222222"/>
        </w:rPr>
      </w:pPr>
      <w:r w:rsidRPr="005A4A25">
        <w:rPr>
          <w:rFonts w:ascii="Palatino Linotype" w:hAnsi="Palatino Linotype" w:cs="Tahoma"/>
          <w:sz w:val="22"/>
          <w:szCs w:val="22"/>
        </w:rPr>
        <w:t xml:space="preserve">Asimismo, se actualiza la causal de procedencia del Recurso de Revisión señalada en el artículo 179, fracción </w:t>
      </w:r>
      <w:r w:rsidR="0079203A" w:rsidRPr="005A4A25">
        <w:rPr>
          <w:rFonts w:ascii="Palatino Linotype" w:hAnsi="Palatino Linotype" w:cs="Tahoma"/>
          <w:sz w:val="22"/>
          <w:szCs w:val="22"/>
        </w:rPr>
        <w:t>V</w:t>
      </w:r>
      <w:r w:rsidR="002820B8" w:rsidRPr="005A4A25">
        <w:rPr>
          <w:rFonts w:ascii="Palatino Linotype" w:hAnsi="Palatino Linotype" w:cs="Tahoma"/>
          <w:sz w:val="22"/>
          <w:szCs w:val="22"/>
        </w:rPr>
        <w:t>I</w:t>
      </w:r>
      <w:r w:rsidR="00952540">
        <w:rPr>
          <w:rFonts w:ascii="Palatino Linotype" w:hAnsi="Palatino Linotype" w:cs="Tahoma"/>
          <w:sz w:val="22"/>
          <w:szCs w:val="22"/>
        </w:rPr>
        <w:t>I</w:t>
      </w:r>
      <w:r w:rsidRPr="005A4A25">
        <w:rPr>
          <w:rFonts w:ascii="Palatino Linotype" w:hAnsi="Palatino Linotype" w:cs="Tahoma"/>
          <w:sz w:val="22"/>
          <w:szCs w:val="22"/>
        </w:rPr>
        <w:t xml:space="preserve">, de la Ley en cita, </w:t>
      </w:r>
      <w:r w:rsidRPr="005A4A25">
        <w:rPr>
          <w:rFonts w:ascii="Palatino Linotype" w:eastAsia="Calibri" w:hAnsi="Palatino Linotype" w:cs="Tahoma"/>
          <w:color w:val="000000"/>
          <w:sz w:val="22"/>
          <w:szCs w:val="22"/>
          <w:lang w:eastAsia="es-MX"/>
        </w:rPr>
        <w:t xml:space="preserve">pues la Recurrente se inconformó con </w:t>
      </w:r>
      <w:r w:rsidRPr="005A4A25">
        <w:rPr>
          <w:rFonts w:ascii="Palatino Linotype" w:hAnsi="Palatino Linotype" w:cs="Tahoma"/>
          <w:sz w:val="22"/>
          <w:szCs w:val="22"/>
        </w:rPr>
        <w:t xml:space="preserve">la </w:t>
      </w:r>
      <w:r w:rsidR="00952540">
        <w:rPr>
          <w:rFonts w:ascii="Palatino Linotype" w:hAnsi="Palatino Linotype" w:cs="Tahoma"/>
          <w:sz w:val="22"/>
          <w:szCs w:val="22"/>
        </w:rPr>
        <w:t>falta de respuesta por parte del Sujeto Obligado.</w:t>
      </w:r>
    </w:p>
    <w:p w14:paraId="7CCDA932" w14:textId="77777777" w:rsidR="00426ADE" w:rsidRPr="005A4A25" w:rsidRDefault="00426ADE" w:rsidP="008B3A20">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eastAsia="es-MX"/>
        </w:rPr>
      </w:pPr>
    </w:p>
    <w:p w14:paraId="78E0D461" w14:textId="606D8842" w:rsidR="00426ADE" w:rsidRPr="005A4A25" w:rsidRDefault="00B36568" w:rsidP="008B3A20">
      <w:pPr>
        <w:spacing w:line="360" w:lineRule="auto"/>
        <w:ind w:right="-28"/>
        <w:contextualSpacing/>
        <w:jc w:val="both"/>
        <w:rPr>
          <w:rFonts w:ascii="Palatino Linotype" w:eastAsia="Calibri" w:hAnsi="Palatino Linotype" w:cs="Tahoma"/>
          <w:sz w:val="22"/>
          <w:szCs w:val="22"/>
          <w:lang w:eastAsia="es-ES_tradnl"/>
        </w:rPr>
      </w:pPr>
      <w:r>
        <w:rPr>
          <w:rFonts w:ascii="Palatino Linotype" w:eastAsia="Calibri" w:hAnsi="Palatino Linotype" w:cs="Tahoma"/>
          <w:b/>
          <w:sz w:val="22"/>
          <w:szCs w:val="22"/>
          <w:lang w:eastAsia="es-ES_tradnl"/>
        </w:rPr>
        <w:t>Causales de sobreseimiento</w:t>
      </w:r>
    </w:p>
    <w:p w14:paraId="644078C2" w14:textId="77777777" w:rsidR="00426ADE" w:rsidRPr="005A4A25" w:rsidRDefault="00426ADE" w:rsidP="008B3A20">
      <w:pPr>
        <w:spacing w:line="360" w:lineRule="auto"/>
        <w:ind w:right="-28"/>
        <w:contextualSpacing/>
        <w:jc w:val="both"/>
        <w:rPr>
          <w:rFonts w:ascii="Palatino Linotype" w:eastAsia="Calibri" w:hAnsi="Palatino Linotype" w:cs="Tahoma"/>
          <w:sz w:val="22"/>
          <w:szCs w:val="22"/>
          <w:lang w:eastAsia="es-ES_tradnl"/>
        </w:rPr>
      </w:pPr>
    </w:p>
    <w:p w14:paraId="18659D7F" w14:textId="77777777" w:rsidR="00426ADE" w:rsidRPr="005A4A25" w:rsidRDefault="00426ADE" w:rsidP="008B3A20">
      <w:pPr>
        <w:spacing w:line="360" w:lineRule="auto"/>
        <w:contextualSpacing/>
        <w:jc w:val="both"/>
        <w:rPr>
          <w:rFonts w:ascii="Palatino Linotype" w:hAnsi="Palatino Linotype" w:cs="Tahoma"/>
          <w:sz w:val="22"/>
          <w:szCs w:val="24"/>
        </w:rPr>
      </w:pPr>
      <w:r w:rsidRPr="005A4A25">
        <w:rPr>
          <w:rFonts w:ascii="Palatino Linotype" w:hAnsi="Palatino Linotype" w:cs="Tahoma"/>
          <w:sz w:val="22"/>
          <w:szCs w:val="24"/>
        </w:rPr>
        <w:t>Por ser de previo y especial pronunciamiento, este Instituto analiza si se actualiza alguna causal de sobreseimiento.</w:t>
      </w:r>
    </w:p>
    <w:p w14:paraId="0D57BDA6" w14:textId="77777777" w:rsidR="00426ADE" w:rsidRPr="005A4A25" w:rsidRDefault="00426ADE" w:rsidP="008B3A20">
      <w:pPr>
        <w:spacing w:line="360" w:lineRule="auto"/>
        <w:contextualSpacing/>
        <w:jc w:val="both"/>
        <w:rPr>
          <w:rFonts w:ascii="Palatino Linotype" w:hAnsi="Palatino Linotype" w:cs="Tahoma"/>
          <w:sz w:val="22"/>
          <w:szCs w:val="24"/>
        </w:rPr>
      </w:pPr>
    </w:p>
    <w:p w14:paraId="7A1338BB" w14:textId="77777777" w:rsidR="00426ADE" w:rsidRPr="005A4A25" w:rsidRDefault="00426ADE" w:rsidP="008B3A20">
      <w:pPr>
        <w:spacing w:line="360" w:lineRule="auto"/>
        <w:contextualSpacing/>
        <w:jc w:val="both"/>
        <w:rPr>
          <w:rFonts w:ascii="Palatino Linotype" w:hAnsi="Palatino Linotype" w:cs="Tahoma"/>
          <w:sz w:val="22"/>
          <w:szCs w:val="24"/>
        </w:rPr>
      </w:pPr>
      <w:r w:rsidRPr="005A4A25">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E745D50" w14:textId="77777777" w:rsidR="00426ADE" w:rsidRPr="005A4A25" w:rsidRDefault="00426ADE" w:rsidP="008B3A20">
      <w:pPr>
        <w:spacing w:line="360" w:lineRule="auto"/>
        <w:contextualSpacing/>
        <w:jc w:val="both"/>
        <w:rPr>
          <w:rFonts w:ascii="Palatino Linotype" w:hAnsi="Palatino Linotype" w:cs="Tahoma"/>
          <w:sz w:val="22"/>
          <w:szCs w:val="24"/>
        </w:rPr>
      </w:pPr>
    </w:p>
    <w:p w14:paraId="612C97CF" w14:textId="77777777" w:rsidR="00426ADE" w:rsidRPr="005A4A25" w:rsidRDefault="00426ADE" w:rsidP="008B3A20">
      <w:pPr>
        <w:spacing w:line="360" w:lineRule="auto"/>
        <w:contextualSpacing/>
        <w:jc w:val="both"/>
        <w:rPr>
          <w:rFonts w:ascii="Palatino Linotype" w:hAnsi="Palatino Linotype" w:cs="Tahoma"/>
          <w:sz w:val="22"/>
          <w:szCs w:val="24"/>
        </w:rPr>
      </w:pPr>
      <w:r w:rsidRPr="005A4A25">
        <w:rPr>
          <w:rFonts w:ascii="Palatino Linotype" w:hAnsi="Palatino Linotype" w:cs="Tahoma"/>
          <w:bCs/>
          <w:sz w:val="22"/>
          <w:szCs w:val="24"/>
        </w:rPr>
        <w:t xml:space="preserve">Por tales motivos, </w:t>
      </w:r>
      <w:r w:rsidRPr="005A4A25">
        <w:rPr>
          <w:rFonts w:ascii="Palatino Linotype" w:hAnsi="Palatino Linotype" w:cs="Tahoma"/>
          <w:sz w:val="22"/>
          <w:szCs w:val="24"/>
        </w:rPr>
        <w:t>se considera procedente entrar al fondo del presente asunto.</w:t>
      </w:r>
    </w:p>
    <w:p w14:paraId="06C8C090" w14:textId="77777777" w:rsidR="00426ADE" w:rsidRPr="005A4A25" w:rsidRDefault="00426ADE" w:rsidP="008B3A20">
      <w:pPr>
        <w:tabs>
          <w:tab w:val="left" w:pos="4962"/>
        </w:tabs>
        <w:spacing w:line="360" w:lineRule="auto"/>
        <w:ind w:right="-28"/>
        <w:contextualSpacing/>
        <w:jc w:val="both"/>
        <w:rPr>
          <w:rFonts w:ascii="Palatino Linotype" w:eastAsia="Calibri" w:hAnsi="Palatino Linotype" w:cs="Tahoma"/>
          <w:b/>
          <w:iCs/>
          <w:sz w:val="22"/>
          <w:szCs w:val="22"/>
          <w:lang w:eastAsia="es-ES_tradnl"/>
        </w:rPr>
      </w:pPr>
    </w:p>
    <w:p w14:paraId="5E8FF80D" w14:textId="37B89605" w:rsidR="00426ADE" w:rsidRPr="005A4A25" w:rsidRDefault="00426ADE" w:rsidP="0006315D">
      <w:pPr>
        <w:pStyle w:val="Ttulo2"/>
        <w:rPr>
          <w:rFonts w:eastAsia="Calibri"/>
          <w:lang w:eastAsia="es-ES_tradnl"/>
        </w:rPr>
      </w:pPr>
      <w:bookmarkStart w:id="9" w:name="_Toc212129014"/>
      <w:r w:rsidRPr="005A4A25">
        <w:rPr>
          <w:rFonts w:eastAsia="Calibri"/>
          <w:lang w:eastAsia="es-ES_tradnl"/>
        </w:rPr>
        <w:t>TERCERO. Determinación de la Controversia</w:t>
      </w:r>
      <w:bookmarkEnd w:id="9"/>
    </w:p>
    <w:p w14:paraId="542BFD36" w14:textId="77777777" w:rsidR="00426ADE" w:rsidRPr="005A4A25" w:rsidRDefault="00426ADE" w:rsidP="008B3A20">
      <w:pPr>
        <w:tabs>
          <w:tab w:val="left" w:pos="4962"/>
        </w:tabs>
        <w:spacing w:line="360" w:lineRule="auto"/>
        <w:ind w:right="-28"/>
        <w:contextualSpacing/>
        <w:jc w:val="both"/>
        <w:rPr>
          <w:rFonts w:ascii="Palatino Linotype" w:eastAsia="Calibri" w:hAnsi="Palatino Linotype" w:cs="Tahoma"/>
          <w:sz w:val="22"/>
          <w:szCs w:val="22"/>
          <w:lang w:eastAsia="es-ES_tradnl"/>
        </w:rPr>
      </w:pPr>
    </w:p>
    <w:p w14:paraId="012A22DD" w14:textId="4B96E731" w:rsidR="00AE2A5B" w:rsidRDefault="00426ADE" w:rsidP="008B3A20">
      <w:pPr>
        <w:tabs>
          <w:tab w:val="left" w:pos="4962"/>
        </w:tabs>
        <w:spacing w:line="360" w:lineRule="auto"/>
        <w:ind w:right="-28"/>
        <w:contextualSpacing/>
        <w:jc w:val="both"/>
        <w:rPr>
          <w:rFonts w:ascii="Palatino Linotype" w:eastAsia="Calibri" w:hAnsi="Palatino Linotype" w:cs="Tahoma"/>
          <w:iCs/>
          <w:sz w:val="22"/>
          <w:szCs w:val="22"/>
          <w:lang w:eastAsia="es-ES_tradnl"/>
        </w:rPr>
      </w:pPr>
      <w:r w:rsidRPr="005A4A25">
        <w:rPr>
          <w:rFonts w:ascii="Palatino Linotype" w:eastAsia="Calibri" w:hAnsi="Palatino Linotype" w:cs="Tahoma"/>
          <w:sz w:val="22"/>
          <w:szCs w:val="22"/>
          <w:lang w:eastAsia="es-ES_tradnl"/>
        </w:rPr>
        <w:t xml:space="preserve">Una vez realizado el estudio de las constancias que integran el expediente en que se actúa, se desprende que </w:t>
      </w:r>
      <w:r w:rsidRPr="005A4A25">
        <w:rPr>
          <w:rFonts w:ascii="Palatino Linotype" w:eastAsia="Calibri" w:hAnsi="Palatino Linotype" w:cs="Tahoma"/>
          <w:bCs/>
          <w:sz w:val="22"/>
          <w:szCs w:val="22"/>
          <w:lang w:eastAsia="en-US"/>
        </w:rPr>
        <w:t xml:space="preserve">el Particular </w:t>
      </w:r>
      <w:r w:rsidRPr="005A4A25">
        <w:rPr>
          <w:rFonts w:ascii="Palatino Linotype" w:eastAsia="Calibri" w:hAnsi="Palatino Linotype" w:cs="Tahoma"/>
          <w:iCs/>
          <w:sz w:val="22"/>
          <w:szCs w:val="22"/>
          <w:lang w:eastAsia="es-ES_tradnl"/>
        </w:rPr>
        <w:t>solicitó</w:t>
      </w:r>
      <w:r w:rsidR="002820B8" w:rsidRPr="005A4A25">
        <w:rPr>
          <w:rFonts w:ascii="Palatino Linotype" w:eastAsia="Calibri" w:hAnsi="Palatino Linotype" w:cs="Tahoma"/>
          <w:iCs/>
          <w:sz w:val="22"/>
          <w:szCs w:val="22"/>
          <w:lang w:eastAsia="es-ES_tradnl"/>
        </w:rPr>
        <w:t xml:space="preserve"> </w:t>
      </w:r>
      <w:r w:rsidR="00AE2A5B">
        <w:rPr>
          <w:rFonts w:ascii="Palatino Linotype" w:eastAsia="Calibri" w:hAnsi="Palatino Linotype" w:cs="Tahoma"/>
          <w:iCs/>
          <w:sz w:val="22"/>
          <w:szCs w:val="22"/>
          <w:lang w:eastAsia="es-ES_tradnl"/>
        </w:rPr>
        <w:t xml:space="preserve">las licencias de funcionamiento emitidas por el </w:t>
      </w:r>
      <w:r w:rsidR="00AE2A5B">
        <w:rPr>
          <w:rFonts w:ascii="Palatino Linotype" w:eastAsia="Calibri" w:hAnsi="Palatino Linotype" w:cs="Tahoma"/>
          <w:iCs/>
          <w:sz w:val="22"/>
          <w:szCs w:val="22"/>
          <w:lang w:eastAsia="es-ES_tradnl"/>
        </w:rPr>
        <w:lastRenderedPageBreak/>
        <w:t>Ayuntamiento de Valle de Chalco Solidaridad, del primero de enero de dos mil veinte al siete de marzo de dos mil veinticinco.</w:t>
      </w:r>
    </w:p>
    <w:p w14:paraId="478FB621" w14:textId="77777777" w:rsidR="00AE2A5B" w:rsidRDefault="00AE2A5B" w:rsidP="008B3A20">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5FD4A0A9" w14:textId="5A7324A3" w:rsidR="00426ADE" w:rsidRDefault="00AE2A5B" w:rsidP="008B3A20">
      <w:pPr>
        <w:pStyle w:val="Prrafodelista"/>
        <w:tabs>
          <w:tab w:val="left" w:pos="4962"/>
        </w:tabs>
        <w:spacing w:line="360" w:lineRule="auto"/>
        <w:ind w:left="0" w:right="-28"/>
        <w:jc w:val="both"/>
        <w:rPr>
          <w:rFonts w:ascii="Palatino Linotype" w:hAnsi="Palatino Linotype" w:cs="Tahoma"/>
          <w:szCs w:val="22"/>
          <w:lang w:val="es-ES"/>
        </w:rPr>
      </w:pPr>
      <w:r>
        <w:rPr>
          <w:rFonts w:ascii="Palatino Linotype" w:hAnsi="Palatino Linotype" w:cs="Tahoma"/>
          <w:bCs/>
          <w:iCs/>
          <w:szCs w:val="22"/>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Cs w:val="22"/>
          <w:shd w:val="clear" w:color="auto" w:fill="FFFFFF"/>
        </w:rPr>
        <w:t xml:space="preserve">. </w:t>
      </w:r>
      <w:r>
        <w:rPr>
          <w:rFonts w:ascii="Palatino Linotype" w:hAnsi="Palatino Linotype" w:cs="Tahoma"/>
          <w:szCs w:val="22"/>
          <w:lang w:val="es-ES"/>
        </w:rPr>
        <w:t>Así las cosas, una vez admitido y notificado el Recurso de Revisión a las partes, la Dirección de Desarrollo Económico y la Dirección de Industria y Comercio proporcionaron la versión pública de las licencias de funcionamiento emitidas durante el periodo solicitado, junto con el Acuerdo emitido por el Comité de Transparencia, donde valida la versión pública.</w:t>
      </w:r>
    </w:p>
    <w:p w14:paraId="790BAAFE" w14:textId="77777777" w:rsidR="00AE2A5B" w:rsidRPr="005A4A25" w:rsidRDefault="00AE2A5B" w:rsidP="008B3A20">
      <w:pPr>
        <w:pStyle w:val="Prrafodelista"/>
        <w:tabs>
          <w:tab w:val="left" w:pos="4962"/>
        </w:tabs>
        <w:spacing w:line="360" w:lineRule="auto"/>
        <w:ind w:left="0" w:right="-28"/>
        <w:jc w:val="both"/>
        <w:rPr>
          <w:rFonts w:ascii="Palatino Linotype" w:eastAsia="Calibri" w:hAnsi="Palatino Linotype" w:cs="Tahoma"/>
          <w:iCs/>
          <w:szCs w:val="22"/>
          <w:lang w:eastAsia="es-ES_tradnl"/>
        </w:rPr>
      </w:pPr>
    </w:p>
    <w:p w14:paraId="3A4C4D20" w14:textId="0557F205" w:rsidR="00426ADE" w:rsidRPr="005A4A25" w:rsidRDefault="00426ADE" w:rsidP="008B3A20">
      <w:pPr>
        <w:spacing w:line="360" w:lineRule="auto"/>
        <w:contextualSpacing/>
        <w:jc w:val="both"/>
        <w:rPr>
          <w:rFonts w:ascii="Palatino Linotype" w:hAnsi="Palatino Linotype" w:cs="Tahoma"/>
          <w:bCs/>
          <w:sz w:val="22"/>
          <w:szCs w:val="22"/>
        </w:rPr>
      </w:pPr>
      <w:r w:rsidRPr="005A4A25">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Sujeto Obligado, el escrito </w:t>
      </w:r>
      <w:proofErr w:type="spellStart"/>
      <w:r w:rsidRPr="005A4A25">
        <w:rPr>
          <w:rFonts w:ascii="Palatino Linotype" w:hAnsi="Palatino Linotype" w:cs="Tahoma"/>
          <w:iCs/>
          <w:sz w:val="22"/>
          <w:szCs w:val="22"/>
        </w:rPr>
        <w:t>recursal</w:t>
      </w:r>
      <w:proofErr w:type="spellEnd"/>
      <w:r w:rsidRPr="005A4A25">
        <w:rPr>
          <w:rFonts w:ascii="Palatino Linotype" w:hAnsi="Palatino Linotype" w:cs="Tahoma"/>
          <w:iCs/>
          <w:sz w:val="22"/>
          <w:szCs w:val="22"/>
        </w:rPr>
        <w:t xml:space="preserve"> y el informe justificado; </w:t>
      </w:r>
      <w:r w:rsidRPr="005A4A25">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E505A90" w14:textId="77777777" w:rsidR="00390E2C" w:rsidRPr="005A4A25" w:rsidRDefault="00390E2C" w:rsidP="008B3A20">
      <w:pPr>
        <w:spacing w:line="360" w:lineRule="auto"/>
        <w:contextualSpacing/>
        <w:jc w:val="both"/>
        <w:rPr>
          <w:rFonts w:ascii="Palatino Linotype" w:hAnsi="Palatino Linotype" w:cs="Tahoma"/>
          <w:bCs/>
          <w:sz w:val="22"/>
          <w:szCs w:val="22"/>
        </w:rPr>
      </w:pPr>
    </w:p>
    <w:p w14:paraId="1BF81637" w14:textId="264026CF" w:rsidR="00426ADE" w:rsidRPr="005A4A25" w:rsidRDefault="00426ADE" w:rsidP="0006315D">
      <w:pPr>
        <w:pStyle w:val="Ttulo2"/>
      </w:pPr>
      <w:bookmarkStart w:id="10" w:name="_Toc212129015"/>
      <w:r w:rsidRPr="005A4A25">
        <w:t>CUARTO. Marco normativo aplicable en materia de transparencia y acceso a la información pública</w:t>
      </w:r>
      <w:bookmarkEnd w:id="10"/>
    </w:p>
    <w:p w14:paraId="5629C418" w14:textId="77777777" w:rsidR="00390E2C" w:rsidRPr="005A4A25" w:rsidRDefault="00390E2C" w:rsidP="008B3A20">
      <w:pPr>
        <w:spacing w:line="360" w:lineRule="auto"/>
        <w:ind w:right="-28"/>
        <w:contextualSpacing/>
        <w:jc w:val="both"/>
        <w:rPr>
          <w:rFonts w:ascii="Palatino Linotype" w:hAnsi="Palatino Linotype" w:cs="Tahoma"/>
          <w:b/>
          <w:sz w:val="22"/>
          <w:szCs w:val="22"/>
        </w:rPr>
      </w:pPr>
    </w:p>
    <w:p w14:paraId="17790B2F" w14:textId="77777777" w:rsidR="00426ADE" w:rsidRPr="005A4A25" w:rsidRDefault="00426ADE" w:rsidP="008B3A20">
      <w:pPr>
        <w:spacing w:line="360" w:lineRule="auto"/>
        <w:ind w:right="-28"/>
        <w:contextualSpacing/>
        <w:jc w:val="both"/>
        <w:rPr>
          <w:rFonts w:ascii="Palatino Linotype" w:hAnsi="Palatino Linotype" w:cs="Tahoma"/>
          <w:bCs/>
          <w:iCs/>
          <w:sz w:val="22"/>
          <w:szCs w:val="22"/>
        </w:rPr>
      </w:pPr>
      <w:r w:rsidRPr="005A4A25">
        <w:rPr>
          <w:rFonts w:ascii="Palatino Linotype" w:hAnsi="Palatino Linotype" w:cs="Tahoma"/>
          <w:bCs/>
          <w:iCs/>
          <w:sz w:val="22"/>
          <w:szCs w:val="22"/>
        </w:rPr>
        <w:t xml:space="preserve">El artículo 6°, Apartado A), fracción I de la Constitución Política de los Estados Unidos Mexicanos, establece que toda la información en posesión de cualquier </w:t>
      </w:r>
      <w:proofErr w:type="gramStart"/>
      <w:r w:rsidRPr="005A4A25">
        <w:rPr>
          <w:rFonts w:ascii="Palatino Linotype" w:hAnsi="Palatino Linotype" w:cs="Tahoma"/>
          <w:bCs/>
          <w:iCs/>
          <w:sz w:val="22"/>
          <w:szCs w:val="22"/>
        </w:rPr>
        <w:t>autoridad,</w:t>
      </w:r>
      <w:proofErr w:type="gramEnd"/>
      <w:r w:rsidRPr="005A4A25">
        <w:rPr>
          <w:rFonts w:ascii="Palatino Linotype" w:hAnsi="Palatino Linotype" w:cs="Tahoma"/>
          <w:bCs/>
          <w:iCs/>
          <w:sz w:val="22"/>
          <w:szCs w:val="22"/>
        </w:rPr>
        <w:t xml:space="preserve"> es pública y sólo podrá ser reservada temporalmente por razones de interés público.</w:t>
      </w:r>
    </w:p>
    <w:p w14:paraId="19AEBD54" w14:textId="77777777" w:rsidR="00426ADE" w:rsidRPr="005A4A25" w:rsidRDefault="00426ADE" w:rsidP="008B3A20">
      <w:pPr>
        <w:spacing w:line="360" w:lineRule="auto"/>
        <w:ind w:right="-28"/>
        <w:contextualSpacing/>
        <w:jc w:val="both"/>
        <w:rPr>
          <w:rFonts w:ascii="Palatino Linotype" w:hAnsi="Palatino Linotype" w:cs="Tahoma"/>
          <w:bCs/>
          <w:iCs/>
          <w:sz w:val="22"/>
          <w:szCs w:val="22"/>
        </w:rPr>
      </w:pPr>
    </w:p>
    <w:p w14:paraId="5FA1FC48" w14:textId="77777777" w:rsidR="00426ADE" w:rsidRPr="005A4A25" w:rsidRDefault="00426ADE" w:rsidP="008B3A20">
      <w:pPr>
        <w:spacing w:line="360" w:lineRule="auto"/>
        <w:ind w:right="-28"/>
        <w:contextualSpacing/>
        <w:jc w:val="both"/>
        <w:rPr>
          <w:rFonts w:ascii="Palatino Linotype" w:hAnsi="Palatino Linotype" w:cs="Tahoma"/>
          <w:bCs/>
          <w:iCs/>
          <w:sz w:val="22"/>
          <w:szCs w:val="22"/>
        </w:rPr>
      </w:pPr>
      <w:r w:rsidRPr="005A4A25">
        <w:rPr>
          <w:rFonts w:ascii="Palatino Linotype" w:hAnsi="Palatino Linotype" w:cs="Tahoma"/>
          <w:bCs/>
          <w:iCs/>
          <w:sz w:val="22"/>
          <w:szCs w:val="22"/>
        </w:rPr>
        <w:lastRenderedPageBreak/>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64583BE8" w14:textId="77777777" w:rsidR="00426ADE" w:rsidRPr="005A4A25" w:rsidRDefault="00426ADE" w:rsidP="008B3A20">
      <w:pPr>
        <w:spacing w:line="360" w:lineRule="auto"/>
        <w:ind w:right="-28"/>
        <w:contextualSpacing/>
        <w:jc w:val="both"/>
        <w:rPr>
          <w:rFonts w:ascii="Palatino Linotype" w:hAnsi="Palatino Linotype" w:cs="Tahoma"/>
          <w:bCs/>
          <w:iCs/>
          <w:sz w:val="22"/>
          <w:szCs w:val="22"/>
        </w:rPr>
      </w:pPr>
    </w:p>
    <w:p w14:paraId="27FF26BF" w14:textId="77777777" w:rsidR="00426ADE" w:rsidRPr="005A4A25" w:rsidRDefault="00426ADE" w:rsidP="008B3A20">
      <w:pPr>
        <w:spacing w:line="360" w:lineRule="auto"/>
        <w:ind w:right="-28"/>
        <w:contextualSpacing/>
        <w:jc w:val="both"/>
        <w:rPr>
          <w:rFonts w:ascii="Palatino Linotype" w:hAnsi="Palatino Linotype" w:cs="Tahoma"/>
          <w:bCs/>
          <w:iCs/>
          <w:sz w:val="22"/>
          <w:szCs w:val="22"/>
        </w:rPr>
      </w:pPr>
      <w:r w:rsidRPr="005A4A25">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27E43B5" w14:textId="77777777" w:rsidR="00426ADE" w:rsidRPr="005A4A25" w:rsidRDefault="00426ADE" w:rsidP="008B3A20">
      <w:pPr>
        <w:spacing w:line="360" w:lineRule="auto"/>
        <w:ind w:right="-28"/>
        <w:contextualSpacing/>
        <w:jc w:val="both"/>
        <w:rPr>
          <w:rFonts w:ascii="Palatino Linotype" w:hAnsi="Palatino Linotype" w:cs="Tahoma"/>
          <w:bCs/>
          <w:iCs/>
          <w:sz w:val="22"/>
          <w:szCs w:val="22"/>
        </w:rPr>
      </w:pPr>
    </w:p>
    <w:p w14:paraId="40F833D2" w14:textId="77777777" w:rsidR="00426ADE" w:rsidRPr="005A4A25" w:rsidRDefault="00426ADE" w:rsidP="008B3A20">
      <w:pPr>
        <w:spacing w:line="360" w:lineRule="auto"/>
        <w:ind w:right="-28"/>
        <w:contextualSpacing/>
        <w:jc w:val="both"/>
        <w:rPr>
          <w:rFonts w:ascii="Palatino Linotype" w:hAnsi="Palatino Linotype" w:cs="Tahoma"/>
          <w:bCs/>
          <w:iCs/>
          <w:sz w:val="22"/>
          <w:szCs w:val="22"/>
        </w:rPr>
      </w:pPr>
      <w:r w:rsidRPr="005A4A25">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14:paraId="0CE8DA8F" w14:textId="77777777" w:rsidR="00426ADE" w:rsidRPr="005A4A25" w:rsidRDefault="00426ADE" w:rsidP="008B3A20">
      <w:pPr>
        <w:spacing w:line="360" w:lineRule="auto"/>
        <w:ind w:right="-28"/>
        <w:contextualSpacing/>
        <w:jc w:val="both"/>
        <w:rPr>
          <w:rFonts w:ascii="Palatino Linotype" w:hAnsi="Palatino Linotype" w:cs="Tahoma"/>
          <w:bCs/>
          <w:iCs/>
          <w:sz w:val="22"/>
          <w:szCs w:val="22"/>
        </w:rPr>
      </w:pPr>
    </w:p>
    <w:p w14:paraId="5C154D34" w14:textId="77777777" w:rsidR="00426ADE" w:rsidRPr="005A4A25" w:rsidRDefault="00426ADE" w:rsidP="008B3A20">
      <w:pPr>
        <w:spacing w:line="360" w:lineRule="auto"/>
        <w:ind w:right="-28"/>
        <w:contextualSpacing/>
        <w:jc w:val="both"/>
        <w:rPr>
          <w:rFonts w:ascii="Palatino Linotype" w:hAnsi="Palatino Linotype" w:cs="Tahoma"/>
          <w:bCs/>
          <w:iCs/>
          <w:sz w:val="22"/>
          <w:szCs w:val="22"/>
        </w:rPr>
      </w:pPr>
      <w:r w:rsidRPr="005A4A25">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383FB901" w14:textId="77777777" w:rsidR="00426ADE" w:rsidRPr="005A4A25" w:rsidRDefault="00426ADE" w:rsidP="008B3A20">
      <w:pPr>
        <w:spacing w:line="360" w:lineRule="auto"/>
        <w:ind w:right="-28"/>
        <w:contextualSpacing/>
        <w:jc w:val="both"/>
        <w:rPr>
          <w:rFonts w:ascii="Palatino Linotype" w:hAnsi="Palatino Linotype" w:cs="Tahoma"/>
          <w:bCs/>
          <w:iCs/>
          <w:sz w:val="22"/>
          <w:szCs w:val="22"/>
        </w:rPr>
      </w:pPr>
    </w:p>
    <w:p w14:paraId="7FA93187" w14:textId="77777777" w:rsidR="00426ADE" w:rsidRPr="005A4A25" w:rsidRDefault="00426ADE" w:rsidP="008B3A20">
      <w:pPr>
        <w:spacing w:line="360" w:lineRule="auto"/>
        <w:ind w:right="-28"/>
        <w:contextualSpacing/>
        <w:jc w:val="both"/>
        <w:rPr>
          <w:rFonts w:ascii="Palatino Linotype" w:hAnsi="Palatino Linotype" w:cs="Tahoma"/>
          <w:bCs/>
          <w:iCs/>
          <w:sz w:val="22"/>
          <w:szCs w:val="22"/>
        </w:rPr>
      </w:pPr>
      <w:r w:rsidRPr="005A4A25">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18DE03E7" w14:textId="77777777" w:rsidR="00426ADE" w:rsidRPr="005A4A25" w:rsidRDefault="00426ADE" w:rsidP="008B3A20">
      <w:pPr>
        <w:spacing w:line="360" w:lineRule="auto"/>
        <w:ind w:right="-28"/>
        <w:contextualSpacing/>
        <w:jc w:val="both"/>
        <w:rPr>
          <w:rFonts w:ascii="Palatino Linotype" w:hAnsi="Palatino Linotype" w:cs="Tahoma"/>
          <w:bCs/>
          <w:iCs/>
          <w:sz w:val="22"/>
          <w:szCs w:val="22"/>
        </w:rPr>
      </w:pPr>
    </w:p>
    <w:p w14:paraId="18487223" w14:textId="77777777" w:rsidR="00426ADE" w:rsidRPr="005A4A25" w:rsidRDefault="00426ADE" w:rsidP="008B3A20">
      <w:pPr>
        <w:spacing w:line="360" w:lineRule="auto"/>
        <w:ind w:right="-28"/>
        <w:contextualSpacing/>
        <w:jc w:val="both"/>
        <w:rPr>
          <w:rFonts w:ascii="Palatino Linotype" w:hAnsi="Palatino Linotype" w:cs="Tahoma"/>
          <w:bCs/>
          <w:iCs/>
          <w:sz w:val="22"/>
          <w:szCs w:val="22"/>
        </w:rPr>
      </w:pPr>
      <w:r w:rsidRPr="005A4A25">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525E7EE" w14:textId="0064AA2D" w:rsidR="00426ADE" w:rsidRPr="005A4A25" w:rsidRDefault="00426ADE" w:rsidP="008B3A20">
      <w:pPr>
        <w:spacing w:line="360" w:lineRule="auto"/>
        <w:ind w:right="-28"/>
        <w:contextualSpacing/>
        <w:jc w:val="both"/>
        <w:rPr>
          <w:rFonts w:ascii="Palatino Linotype" w:hAnsi="Palatino Linotype" w:cs="Tahoma"/>
          <w:b/>
          <w:sz w:val="22"/>
          <w:szCs w:val="22"/>
        </w:rPr>
      </w:pPr>
    </w:p>
    <w:p w14:paraId="489F8D92" w14:textId="77777777" w:rsidR="00FF683A" w:rsidRPr="005A4A25" w:rsidRDefault="00FF683A" w:rsidP="008B3A20">
      <w:pPr>
        <w:spacing w:line="360" w:lineRule="auto"/>
        <w:contextualSpacing/>
        <w:jc w:val="both"/>
        <w:rPr>
          <w:rFonts w:ascii="Palatino Linotype" w:hAnsi="Palatino Linotype" w:cs="Tahoma"/>
          <w:sz w:val="22"/>
          <w:szCs w:val="22"/>
        </w:rPr>
      </w:pPr>
      <w:r w:rsidRPr="005A4A25">
        <w:rPr>
          <w:rFonts w:ascii="Palatino Linotype" w:hAnsi="Palatino Linotype" w:cs="Tahoma"/>
          <w:sz w:val="22"/>
          <w:szCs w:val="22"/>
        </w:rPr>
        <w:t xml:space="preserve">El artículo 92, enlista la información que corresponde a las Obligaciones de Transparencia Comunes de las que destaca la contenida en la fracción XXXII, concerniente a las concesiones, </w:t>
      </w:r>
      <w:r w:rsidRPr="005A4A25">
        <w:rPr>
          <w:rFonts w:ascii="Palatino Linotype" w:hAnsi="Palatino Linotype" w:cs="Tahoma"/>
          <w:sz w:val="22"/>
          <w:szCs w:val="22"/>
        </w:rPr>
        <w:lastRenderedPageBreak/>
        <w:t>contratos, convenios, permisos, licencias o autorizaciones, en donde se especifique, los titulares, objeto, nombre o razón social, vigencia, tipo, términos, condiciones, monto y modificaciones.</w:t>
      </w:r>
    </w:p>
    <w:p w14:paraId="30E126F0" w14:textId="77777777" w:rsidR="00FF683A" w:rsidRPr="005A4A25" w:rsidRDefault="00FF683A" w:rsidP="008B3A20">
      <w:pPr>
        <w:spacing w:line="360" w:lineRule="auto"/>
        <w:ind w:right="-28"/>
        <w:contextualSpacing/>
        <w:jc w:val="both"/>
        <w:rPr>
          <w:rFonts w:ascii="Palatino Linotype" w:hAnsi="Palatino Linotype" w:cs="Tahoma"/>
          <w:b/>
          <w:sz w:val="22"/>
          <w:szCs w:val="22"/>
        </w:rPr>
      </w:pPr>
    </w:p>
    <w:p w14:paraId="2A3F8A20" w14:textId="77D44AA2" w:rsidR="00426ADE" w:rsidRPr="005A4A25" w:rsidRDefault="00426ADE" w:rsidP="0006315D">
      <w:pPr>
        <w:pStyle w:val="Ttulo2"/>
      </w:pPr>
      <w:bookmarkStart w:id="11" w:name="_Toc212129016"/>
      <w:r w:rsidRPr="005A4A25">
        <w:t>QUINTO. Estudio de Fondo</w:t>
      </w:r>
      <w:bookmarkEnd w:id="11"/>
    </w:p>
    <w:p w14:paraId="62A2C058" w14:textId="77777777" w:rsidR="00426ADE" w:rsidRDefault="00426ADE" w:rsidP="008B3A20">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711BA5B2" w14:textId="14E7E980" w:rsidR="00AE2A5B" w:rsidRPr="00AE2A5B" w:rsidRDefault="00AE2A5B" w:rsidP="008B3A20">
      <w:p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Pr="00AE2A5B">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Valle de Chalco Solidaridad</w:t>
      </w:r>
      <w:r w:rsidRPr="00AE2A5B">
        <w:rPr>
          <w:rFonts w:ascii="Palatino Linotype" w:hAnsi="Palatino Linotype" w:cs="Tahoma"/>
          <w:iCs/>
          <w:sz w:val="22"/>
          <w:szCs w:val="22"/>
        </w:rPr>
        <w:t xml:space="preserve"> a la solicitud de información.</w:t>
      </w:r>
    </w:p>
    <w:p w14:paraId="4CB09CF7" w14:textId="77777777" w:rsidR="00AE2A5B" w:rsidRPr="00AE2A5B" w:rsidRDefault="00AE2A5B" w:rsidP="008B3A20">
      <w:pPr>
        <w:spacing w:line="360" w:lineRule="auto"/>
        <w:contextualSpacing/>
        <w:jc w:val="both"/>
        <w:rPr>
          <w:rFonts w:ascii="Palatino Linotype" w:hAnsi="Palatino Linotype" w:cs="Tahoma"/>
          <w:iCs/>
          <w:sz w:val="22"/>
          <w:szCs w:val="22"/>
        </w:rPr>
      </w:pPr>
    </w:p>
    <w:p w14:paraId="2E82A0F3" w14:textId="684E6025" w:rsidR="00AE2A5B" w:rsidRPr="00AE2A5B" w:rsidRDefault="00AE2A5B" w:rsidP="008B3A20">
      <w:p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64654F5C" w14:textId="77777777" w:rsidR="00AE2A5B" w:rsidRPr="00AE2A5B" w:rsidRDefault="00AE2A5B" w:rsidP="008B3A20">
      <w:pPr>
        <w:spacing w:line="360" w:lineRule="auto"/>
        <w:contextualSpacing/>
        <w:jc w:val="both"/>
        <w:rPr>
          <w:rFonts w:ascii="Palatino Linotype" w:hAnsi="Palatino Linotype" w:cs="Tahoma"/>
          <w:iCs/>
          <w:sz w:val="22"/>
          <w:szCs w:val="22"/>
        </w:rPr>
      </w:pPr>
    </w:p>
    <w:p w14:paraId="1DA26865" w14:textId="77777777" w:rsidR="00AE2A5B" w:rsidRPr="00AE2A5B" w:rsidRDefault="00AE2A5B" w:rsidP="008B3A20">
      <w:pPr>
        <w:numPr>
          <w:ilvl w:val="0"/>
          <w:numId w:val="14"/>
        </w:num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7A8BBAB6" w14:textId="77777777" w:rsidR="00AE2A5B" w:rsidRPr="00AE2A5B" w:rsidRDefault="00AE2A5B" w:rsidP="008B3A20">
      <w:pPr>
        <w:spacing w:line="360" w:lineRule="auto"/>
        <w:ind w:left="720"/>
        <w:contextualSpacing/>
        <w:jc w:val="both"/>
        <w:rPr>
          <w:rFonts w:ascii="Palatino Linotype" w:hAnsi="Palatino Linotype" w:cs="Tahoma"/>
          <w:iCs/>
          <w:sz w:val="22"/>
          <w:szCs w:val="22"/>
        </w:rPr>
      </w:pPr>
    </w:p>
    <w:p w14:paraId="5D86D805" w14:textId="77777777" w:rsidR="00AE2A5B" w:rsidRPr="00AE2A5B" w:rsidRDefault="00AE2A5B" w:rsidP="008B3A20">
      <w:pPr>
        <w:numPr>
          <w:ilvl w:val="0"/>
          <w:numId w:val="14"/>
        </w:num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Transparentar la gestión pública, mediante la difusión de la información generada por los Sujetos Obligados, y</w:t>
      </w:r>
    </w:p>
    <w:p w14:paraId="191A140E" w14:textId="77777777" w:rsidR="00AE2A5B" w:rsidRPr="00AE2A5B" w:rsidRDefault="00AE2A5B" w:rsidP="008B3A20">
      <w:pPr>
        <w:spacing w:line="360" w:lineRule="auto"/>
        <w:ind w:left="720"/>
        <w:contextualSpacing/>
        <w:rPr>
          <w:rFonts w:ascii="Palatino Linotype" w:hAnsi="Palatino Linotype" w:cs="Tahoma"/>
          <w:iCs/>
          <w:kern w:val="2"/>
          <w:sz w:val="22"/>
          <w:szCs w:val="22"/>
          <w14:ligatures w14:val="standardContextual"/>
        </w:rPr>
      </w:pPr>
    </w:p>
    <w:p w14:paraId="18802791" w14:textId="77777777" w:rsidR="00AE2A5B" w:rsidRPr="00AE2A5B" w:rsidRDefault="00AE2A5B" w:rsidP="008B3A20">
      <w:pPr>
        <w:numPr>
          <w:ilvl w:val="0"/>
          <w:numId w:val="14"/>
        </w:num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077AAE49" w14:textId="77777777" w:rsidR="00AE2A5B" w:rsidRPr="00AE2A5B" w:rsidRDefault="00AE2A5B" w:rsidP="008B3A20">
      <w:pPr>
        <w:spacing w:line="360" w:lineRule="auto"/>
        <w:contextualSpacing/>
        <w:jc w:val="both"/>
        <w:rPr>
          <w:rFonts w:ascii="Palatino Linotype" w:hAnsi="Palatino Linotype" w:cs="Tahoma"/>
          <w:iCs/>
          <w:sz w:val="22"/>
          <w:szCs w:val="22"/>
        </w:rPr>
      </w:pPr>
    </w:p>
    <w:p w14:paraId="087CDA60" w14:textId="77777777" w:rsidR="00AE2A5B" w:rsidRPr="00AE2A5B" w:rsidRDefault="00AE2A5B" w:rsidP="008B3A20">
      <w:p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lastRenderedPageBreak/>
        <w:t xml:space="preserve">Conforme a lo anterior, se deprende que los objetivos de la Ley de la </w:t>
      </w:r>
      <w:proofErr w:type="gramStart"/>
      <w:r w:rsidRPr="00AE2A5B">
        <w:rPr>
          <w:rFonts w:ascii="Palatino Linotype" w:hAnsi="Palatino Linotype" w:cs="Tahoma"/>
          <w:iCs/>
          <w:sz w:val="22"/>
          <w:szCs w:val="22"/>
        </w:rPr>
        <w:t>materia,</w:t>
      </w:r>
      <w:proofErr w:type="gramEnd"/>
      <w:r w:rsidRPr="00AE2A5B">
        <w:rPr>
          <w:rFonts w:ascii="Palatino Linotype" w:hAnsi="Palatino Linotype" w:cs="Tahoma"/>
          <w:iCs/>
          <w:sz w:val="22"/>
          <w:szCs w:val="22"/>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38D23CAA" w14:textId="77777777" w:rsidR="00AE2A5B" w:rsidRPr="00AE2A5B" w:rsidRDefault="00AE2A5B" w:rsidP="008B3A20">
      <w:pPr>
        <w:spacing w:line="360" w:lineRule="auto"/>
        <w:contextualSpacing/>
        <w:jc w:val="both"/>
        <w:rPr>
          <w:rFonts w:ascii="Palatino Linotype" w:hAnsi="Palatino Linotype" w:cs="Tahoma"/>
          <w:iCs/>
          <w:sz w:val="22"/>
          <w:szCs w:val="22"/>
        </w:rPr>
      </w:pPr>
    </w:p>
    <w:p w14:paraId="746E0A8A" w14:textId="77777777" w:rsidR="00AE2A5B" w:rsidRPr="00AE2A5B" w:rsidRDefault="00AE2A5B" w:rsidP="008B3A20">
      <w:p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3C974698" w14:textId="77777777" w:rsidR="00AE2A5B" w:rsidRPr="00AE2A5B" w:rsidRDefault="00AE2A5B" w:rsidP="008B3A20">
      <w:pPr>
        <w:spacing w:line="360" w:lineRule="auto"/>
        <w:contextualSpacing/>
        <w:jc w:val="both"/>
        <w:rPr>
          <w:rFonts w:ascii="Palatino Linotype" w:hAnsi="Palatino Linotype" w:cs="Tahoma"/>
          <w:iCs/>
          <w:sz w:val="22"/>
          <w:szCs w:val="22"/>
        </w:rPr>
      </w:pPr>
    </w:p>
    <w:p w14:paraId="127C15CE" w14:textId="77777777" w:rsidR="00AE2A5B" w:rsidRPr="00AE2A5B" w:rsidRDefault="00AE2A5B" w:rsidP="008B3A20">
      <w:p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D5D387B" w14:textId="77777777" w:rsidR="00AE2A5B" w:rsidRPr="00AE2A5B" w:rsidRDefault="00AE2A5B" w:rsidP="008B3A20">
      <w:pPr>
        <w:spacing w:line="360" w:lineRule="auto"/>
        <w:contextualSpacing/>
        <w:jc w:val="both"/>
        <w:rPr>
          <w:rFonts w:ascii="Palatino Linotype" w:hAnsi="Palatino Linotype" w:cs="Tahoma"/>
          <w:iCs/>
          <w:sz w:val="22"/>
          <w:szCs w:val="22"/>
        </w:rPr>
      </w:pPr>
    </w:p>
    <w:p w14:paraId="3C4CACD0" w14:textId="77777777" w:rsidR="00AE2A5B" w:rsidRPr="00AE2A5B" w:rsidRDefault="00AE2A5B" w:rsidP="008B3A20">
      <w:pPr>
        <w:numPr>
          <w:ilvl w:val="0"/>
          <w:numId w:val="15"/>
        </w:num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648E7124" w14:textId="77777777" w:rsidR="00AE2A5B" w:rsidRPr="00AE2A5B" w:rsidRDefault="00AE2A5B" w:rsidP="008B3A20">
      <w:pPr>
        <w:spacing w:line="360" w:lineRule="auto"/>
        <w:ind w:left="720"/>
        <w:contextualSpacing/>
        <w:jc w:val="both"/>
        <w:rPr>
          <w:rFonts w:ascii="Palatino Linotype" w:hAnsi="Palatino Linotype" w:cs="Tahoma"/>
          <w:iCs/>
          <w:sz w:val="22"/>
          <w:szCs w:val="22"/>
        </w:rPr>
      </w:pPr>
    </w:p>
    <w:p w14:paraId="47975A27" w14:textId="77777777" w:rsidR="00AE2A5B" w:rsidRPr="00AE2A5B" w:rsidRDefault="00AE2A5B" w:rsidP="008B3A20">
      <w:pPr>
        <w:numPr>
          <w:ilvl w:val="0"/>
          <w:numId w:val="15"/>
        </w:num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 xml:space="preserve">Los Sujetos Obligados podrán requerirle a los Solicitantes, que complementen, corrijan o amplíen su solicitud de información, cuando resulten los datos proporcionados insuficientes, incorrectos, incompletos o erróneos; solicitar dicha aclaración, </w:t>
      </w:r>
      <w:r w:rsidRPr="00AE2A5B">
        <w:rPr>
          <w:rFonts w:ascii="Palatino Linotype" w:hAnsi="Palatino Linotype" w:cs="Tahoma"/>
          <w:iCs/>
          <w:sz w:val="22"/>
          <w:szCs w:val="22"/>
        </w:rPr>
        <w:lastRenderedPageBreak/>
        <w:t>interrumpirá el plazo para dar respuesta y comenzará a computarse el día siguiente al desahogo de esta;</w:t>
      </w:r>
    </w:p>
    <w:p w14:paraId="146A6F79" w14:textId="77777777" w:rsidR="00AE2A5B" w:rsidRPr="00AE2A5B" w:rsidRDefault="00AE2A5B" w:rsidP="008B3A20">
      <w:pPr>
        <w:spacing w:line="360" w:lineRule="auto"/>
        <w:ind w:left="720"/>
        <w:contextualSpacing/>
        <w:rPr>
          <w:rFonts w:ascii="Palatino Linotype" w:hAnsi="Palatino Linotype" w:cs="Tahoma"/>
          <w:iCs/>
          <w:kern w:val="2"/>
          <w:sz w:val="22"/>
          <w:szCs w:val="22"/>
          <w14:ligatures w14:val="standardContextual"/>
        </w:rPr>
      </w:pPr>
    </w:p>
    <w:p w14:paraId="52433E9C" w14:textId="21CB5CA9" w:rsidR="00AE2A5B" w:rsidRPr="00AE2A5B" w:rsidRDefault="00AE2A5B" w:rsidP="008B3A20">
      <w:pPr>
        <w:numPr>
          <w:ilvl w:val="0"/>
          <w:numId w:val="15"/>
        </w:num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78C5D5B6" w14:textId="77777777" w:rsidR="00AE2A5B" w:rsidRPr="00AE2A5B" w:rsidRDefault="00AE2A5B" w:rsidP="008B3A20">
      <w:pPr>
        <w:spacing w:line="360" w:lineRule="auto"/>
        <w:ind w:left="720"/>
        <w:contextualSpacing/>
        <w:rPr>
          <w:rFonts w:ascii="Palatino Linotype" w:hAnsi="Palatino Linotype" w:cs="Tahoma"/>
          <w:iCs/>
          <w:kern w:val="2"/>
          <w:sz w:val="22"/>
          <w:szCs w:val="22"/>
          <w14:ligatures w14:val="standardContextual"/>
        </w:rPr>
      </w:pPr>
    </w:p>
    <w:p w14:paraId="58A4AEA9" w14:textId="77777777" w:rsidR="00AE2A5B" w:rsidRPr="00AE2A5B" w:rsidRDefault="00AE2A5B" w:rsidP="008B3A20">
      <w:pPr>
        <w:numPr>
          <w:ilvl w:val="0"/>
          <w:numId w:val="15"/>
        </w:num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 xml:space="preserve">Las Unidades de Transparencia garantizarán que las solicitudes se turnen a todas las áreas competentes que cuenten con la información o deban tenerla </w:t>
      </w:r>
      <w:proofErr w:type="gramStart"/>
      <w:r w:rsidRPr="00AE2A5B">
        <w:rPr>
          <w:rFonts w:ascii="Palatino Linotype" w:hAnsi="Palatino Linotype" w:cs="Tahoma"/>
          <w:iCs/>
          <w:sz w:val="22"/>
          <w:szCs w:val="22"/>
        </w:rPr>
        <w:t>de acuerdo a</w:t>
      </w:r>
      <w:proofErr w:type="gramEnd"/>
      <w:r w:rsidRPr="00AE2A5B">
        <w:rPr>
          <w:rFonts w:ascii="Palatino Linotype" w:hAnsi="Palatino Linotype" w:cs="Tahoma"/>
          <w:iCs/>
          <w:sz w:val="22"/>
          <w:szCs w:val="22"/>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0CD79DD" w14:textId="77777777" w:rsidR="00AE2A5B" w:rsidRPr="00AE2A5B" w:rsidRDefault="00AE2A5B" w:rsidP="008B3A20">
      <w:pPr>
        <w:spacing w:line="360" w:lineRule="auto"/>
        <w:contextualSpacing/>
        <w:rPr>
          <w:rFonts w:ascii="Palatino Linotype" w:hAnsi="Palatino Linotype" w:cs="Tahoma"/>
          <w:iCs/>
          <w:szCs w:val="22"/>
        </w:rPr>
      </w:pPr>
    </w:p>
    <w:p w14:paraId="25C8DF6A" w14:textId="77777777" w:rsidR="00AE2A5B" w:rsidRPr="00AE2A5B" w:rsidRDefault="00AE2A5B" w:rsidP="008B3A20">
      <w:pPr>
        <w:numPr>
          <w:ilvl w:val="0"/>
          <w:numId w:val="15"/>
        </w:num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262FADF7" w14:textId="77777777" w:rsidR="00AE2A5B" w:rsidRPr="00AE2A5B" w:rsidRDefault="00AE2A5B" w:rsidP="008B3A20">
      <w:pPr>
        <w:spacing w:line="360" w:lineRule="auto"/>
        <w:ind w:left="720"/>
        <w:contextualSpacing/>
        <w:rPr>
          <w:rFonts w:ascii="Palatino Linotype" w:hAnsi="Palatino Linotype" w:cs="Tahoma"/>
          <w:iCs/>
          <w:kern w:val="2"/>
          <w:sz w:val="22"/>
          <w:szCs w:val="22"/>
          <w14:ligatures w14:val="standardContextual"/>
        </w:rPr>
      </w:pPr>
    </w:p>
    <w:p w14:paraId="0E31A903" w14:textId="77777777" w:rsidR="00AE2A5B" w:rsidRPr="00AE2A5B" w:rsidRDefault="00AE2A5B" w:rsidP="008B3A20">
      <w:pPr>
        <w:numPr>
          <w:ilvl w:val="0"/>
          <w:numId w:val="15"/>
        </w:num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7CBD14C" w14:textId="63F11546" w:rsidR="00AE2A5B" w:rsidRPr="00AE2A5B" w:rsidRDefault="00AE2A5B" w:rsidP="008B3A20">
      <w:p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lastRenderedPageBreak/>
        <w:t xml:space="preserve">Una vez establecido lo anterior, es de indicar que el agravio del Particular consistió en que, a la fecha de interposición del Recurso de Revisión, el </w:t>
      </w:r>
      <w:r w:rsidRPr="00AE2A5B">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Valle de Chalco Solidaridad</w:t>
      </w:r>
      <w:r w:rsidRPr="00AE2A5B">
        <w:rPr>
          <w:rFonts w:ascii="Palatino Linotype" w:hAnsi="Palatino Linotype" w:cs="Tahoma"/>
          <w:iCs/>
          <w:sz w:val="22"/>
          <w:szCs w:val="22"/>
        </w:rPr>
        <w:t xml:space="preserve">, no había registrado respuesta al requerimiento de acceso a la información, el cual se presentó, el </w:t>
      </w:r>
      <w:r>
        <w:rPr>
          <w:rFonts w:ascii="Palatino Linotype" w:hAnsi="Palatino Linotype" w:cs="Tahoma"/>
          <w:iCs/>
          <w:sz w:val="22"/>
          <w:szCs w:val="22"/>
        </w:rPr>
        <w:t>siete de marzo</w:t>
      </w:r>
      <w:r w:rsidRPr="00AE2A5B">
        <w:rPr>
          <w:rFonts w:ascii="Palatino Linotype" w:hAnsi="Palatino Linotype" w:cs="Tahoma"/>
          <w:iCs/>
          <w:sz w:val="22"/>
          <w:szCs w:val="22"/>
        </w:rPr>
        <w:t xml:space="preserve"> de dos mil veinticinco. </w:t>
      </w:r>
    </w:p>
    <w:p w14:paraId="2ECAD686" w14:textId="77777777" w:rsidR="00AE2A5B" w:rsidRDefault="00AE2A5B" w:rsidP="008B3A20">
      <w:pPr>
        <w:spacing w:line="360" w:lineRule="auto"/>
        <w:contextualSpacing/>
        <w:jc w:val="both"/>
        <w:rPr>
          <w:rFonts w:ascii="Palatino Linotype" w:hAnsi="Palatino Linotype" w:cs="Tahoma"/>
          <w:iCs/>
          <w:color w:val="FF0000"/>
          <w:sz w:val="22"/>
          <w:szCs w:val="22"/>
        </w:rPr>
      </w:pPr>
    </w:p>
    <w:p w14:paraId="52E6D41B" w14:textId="764EAED5" w:rsidR="00AE2A5B" w:rsidRPr="00AE2A5B" w:rsidRDefault="00AE2A5B" w:rsidP="008B3A20">
      <w:p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 xml:space="preserve">En ese orden de ideas, el plazo con el que contaba el Sujeto Obligado para emitir contestación al requerimiento informativo comenzó a correr el </w:t>
      </w:r>
      <w:r>
        <w:rPr>
          <w:rFonts w:ascii="Palatino Linotype" w:hAnsi="Palatino Linotype" w:cs="Tahoma"/>
          <w:iCs/>
          <w:sz w:val="22"/>
          <w:szCs w:val="22"/>
        </w:rPr>
        <w:t>diez</w:t>
      </w:r>
      <w:r w:rsidRPr="00AE2A5B">
        <w:rPr>
          <w:rFonts w:ascii="Palatino Linotype" w:hAnsi="Palatino Linotype" w:cs="Tahoma"/>
          <w:iCs/>
          <w:sz w:val="22"/>
          <w:szCs w:val="22"/>
        </w:rPr>
        <w:t xml:space="preserve"> y feneció el </w:t>
      </w:r>
      <w:r>
        <w:rPr>
          <w:rFonts w:ascii="Palatino Linotype" w:hAnsi="Palatino Linotype" w:cs="Tahoma"/>
          <w:iCs/>
          <w:sz w:val="22"/>
          <w:szCs w:val="22"/>
        </w:rPr>
        <w:t>treinta y uno de marzo</w:t>
      </w:r>
      <w:r w:rsidRPr="00AE2A5B">
        <w:rPr>
          <w:rFonts w:ascii="Palatino Linotype" w:hAnsi="Palatino Linotype" w:cs="Tahoma"/>
          <w:iCs/>
          <w:sz w:val="22"/>
          <w:szCs w:val="22"/>
        </w:rPr>
        <w:t xml:space="preserve"> de dos mil veinticinco; lo anterior, sin contar los días, </w:t>
      </w:r>
      <w:r>
        <w:rPr>
          <w:rFonts w:ascii="Palatino Linotype" w:hAnsi="Palatino Linotype" w:cs="Tahoma"/>
          <w:iCs/>
          <w:sz w:val="22"/>
          <w:szCs w:val="22"/>
        </w:rPr>
        <w:t>ocho, nueve, quince, dieciséis, veintidós y veintitrés de dicho mes y año</w:t>
      </w:r>
      <w:r w:rsidRPr="00AE2A5B">
        <w:rPr>
          <w:rFonts w:ascii="Palatino Linotype" w:hAnsi="Palatino Linotype" w:cs="Tahoma"/>
          <w:iCs/>
          <w:sz w:val="22"/>
          <w:szCs w:val="22"/>
        </w:rPr>
        <w:t xml:space="preserve">, al ser inhábiles, de conformidad con el artículo, 3°, fracción X, de la Ley de Transparencia y Acceso a la Información Pública del Estado de México y Municipios y </w:t>
      </w:r>
      <w:bookmarkStart w:id="12" w:name="_Hlk65786947"/>
      <w:r w:rsidRPr="00AE2A5B">
        <w:rPr>
          <w:rFonts w:ascii="Palatino Linotype" w:hAnsi="Palatino Linotype" w:cs="Tahoma"/>
          <w:iCs/>
          <w:sz w:val="22"/>
          <w:szCs w:val="22"/>
        </w:rPr>
        <w:t xml:space="preserve">el </w:t>
      </w:r>
      <w:r w:rsidRPr="00AE2A5B">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 dos mil veinticinco.</w:t>
      </w:r>
    </w:p>
    <w:bookmarkEnd w:id="12"/>
    <w:p w14:paraId="7C63E440" w14:textId="77777777" w:rsidR="00AE2A5B" w:rsidRPr="00AE2A5B" w:rsidRDefault="00AE2A5B" w:rsidP="008B3A20">
      <w:pPr>
        <w:spacing w:line="360" w:lineRule="auto"/>
        <w:contextualSpacing/>
        <w:jc w:val="both"/>
        <w:rPr>
          <w:rFonts w:ascii="Palatino Linotype" w:hAnsi="Palatino Linotype" w:cs="Tahoma"/>
          <w:iCs/>
          <w:color w:val="FF0000"/>
          <w:sz w:val="22"/>
          <w:szCs w:val="22"/>
        </w:rPr>
      </w:pPr>
    </w:p>
    <w:p w14:paraId="1F38604A" w14:textId="77777777" w:rsidR="00AE2A5B" w:rsidRPr="00AE2A5B" w:rsidRDefault="00AE2A5B" w:rsidP="008B3A20">
      <w:pPr>
        <w:spacing w:line="360" w:lineRule="auto"/>
        <w:contextualSpacing/>
        <w:jc w:val="both"/>
        <w:rPr>
          <w:rFonts w:ascii="Palatino Linotype" w:hAnsi="Palatino Linotype" w:cs="Tahoma"/>
          <w:iCs/>
          <w:sz w:val="22"/>
          <w:szCs w:val="22"/>
          <w:lang w:val="es-ES"/>
        </w:rPr>
      </w:pPr>
      <w:r w:rsidRPr="00AE2A5B">
        <w:rPr>
          <w:rFonts w:ascii="Palatino Linotype" w:hAnsi="Palatino Linotype" w:cs="Tahoma"/>
          <w:iCs/>
          <w:sz w:val="22"/>
          <w:szCs w:val="22"/>
        </w:rPr>
        <w:t xml:space="preserve">Así, este Instituto verificó que, en efecto, no se registró respuesta a la solicitud de información de la persona Recurrente, en el </w:t>
      </w:r>
      <w:r w:rsidRPr="00AE2A5B">
        <w:rPr>
          <w:rFonts w:ascii="Palatino Linotype" w:hAnsi="Palatino Linotype" w:cs="Tahoma"/>
          <w:iCs/>
          <w:sz w:val="22"/>
          <w:szCs w:val="22"/>
          <w:lang w:val="es-ES"/>
        </w:rPr>
        <w:t>Sistema de Acceso a la Información Mexiquense (SAIMEX), tal como se observa a continuación:</w:t>
      </w:r>
    </w:p>
    <w:p w14:paraId="50D2C63B" w14:textId="77777777" w:rsidR="00AE2A5B" w:rsidRPr="00AE2A5B" w:rsidRDefault="00AE2A5B" w:rsidP="008B3A20">
      <w:pPr>
        <w:spacing w:line="360" w:lineRule="auto"/>
        <w:contextualSpacing/>
        <w:jc w:val="both"/>
        <w:rPr>
          <w:rFonts w:ascii="Palatino Linotype" w:hAnsi="Palatino Linotype" w:cs="Tahoma"/>
          <w:iCs/>
          <w:sz w:val="22"/>
          <w:szCs w:val="22"/>
          <w:lang w:val="es-ES"/>
        </w:rPr>
      </w:pPr>
    </w:p>
    <w:p w14:paraId="410BACFC" w14:textId="450C1AFC" w:rsidR="00AE2A5B" w:rsidRPr="00AE2A5B" w:rsidRDefault="00AE2A5B" w:rsidP="008B3A20">
      <w:pPr>
        <w:spacing w:line="360" w:lineRule="auto"/>
        <w:contextualSpacing/>
        <w:jc w:val="center"/>
        <w:rPr>
          <w:rFonts w:ascii="Palatino Linotype" w:hAnsi="Palatino Linotype" w:cs="Tahoma"/>
          <w:iCs/>
          <w:color w:val="FF0000"/>
          <w:sz w:val="22"/>
          <w:szCs w:val="22"/>
        </w:rPr>
      </w:pPr>
      <w:r w:rsidRPr="00AE2A5B">
        <w:rPr>
          <w:rFonts w:ascii="Palatino Linotype" w:hAnsi="Palatino Linotype" w:cs="Tahoma"/>
          <w:iCs/>
          <w:noProof/>
          <w:color w:val="FF0000"/>
          <w:sz w:val="22"/>
          <w:szCs w:val="22"/>
          <w:lang w:eastAsia="es-MX"/>
        </w:rPr>
        <w:drawing>
          <wp:inline distT="0" distB="0" distL="0" distR="0" wp14:anchorId="7C741CCB" wp14:editId="0D81A37E">
            <wp:extent cx="2734057" cy="2419688"/>
            <wp:effectExtent l="0" t="0" r="9525" b="0"/>
            <wp:docPr id="20051959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95922" name=""/>
                    <pic:cNvPicPr/>
                  </pic:nvPicPr>
                  <pic:blipFill>
                    <a:blip r:embed="rId8"/>
                    <a:stretch>
                      <a:fillRect/>
                    </a:stretch>
                  </pic:blipFill>
                  <pic:spPr>
                    <a:xfrm>
                      <a:off x="0" y="0"/>
                      <a:ext cx="2734057" cy="2419688"/>
                    </a:xfrm>
                    <a:prstGeom prst="rect">
                      <a:avLst/>
                    </a:prstGeom>
                  </pic:spPr>
                </pic:pic>
              </a:graphicData>
            </a:graphic>
          </wp:inline>
        </w:drawing>
      </w:r>
    </w:p>
    <w:p w14:paraId="77F81A6F" w14:textId="77777777" w:rsidR="00AE2A5B" w:rsidRPr="00AE2A5B" w:rsidRDefault="00AE2A5B" w:rsidP="008B3A20">
      <w:pPr>
        <w:spacing w:line="360" w:lineRule="auto"/>
        <w:contextualSpacing/>
        <w:jc w:val="both"/>
        <w:rPr>
          <w:rFonts w:ascii="Palatino Linotype" w:hAnsi="Palatino Linotype" w:cs="Tahoma"/>
          <w:iCs/>
          <w:color w:val="FF0000"/>
          <w:sz w:val="22"/>
          <w:szCs w:val="22"/>
        </w:rPr>
      </w:pPr>
    </w:p>
    <w:p w14:paraId="1A155D14" w14:textId="58ACD199" w:rsidR="00AE2A5B" w:rsidRPr="00AE2A5B" w:rsidRDefault="00AE2A5B" w:rsidP="008B3A20">
      <w:pPr>
        <w:spacing w:line="360" w:lineRule="auto"/>
        <w:contextualSpacing/>
        <w:jc w:val="both"/>
        <w:rPr>
          <w:rFonts w:ascii="Palatino Linotype" w:hAnsi="Palatino Linotype" w:cs="Tahoma"/>
          <w:iCs/>
          <w:sz w:val="22"/>
          <w:szCs w:val="22"/>
        </w:rPr>
      </w:pPr>
      <w:r w:rsidRPr="00AE2A5B">
        <w:rPr>
          <w:rFonts w:ascii="Palatino Linotype" w:hAnsi="Palatino Linotype" w:cs="Tahoma"/>
          <w:iCs/>
          <w:sz w:val="22"/>
          <w:szCs w:val="22"/>
        </w:rPr>
        <w:t>Conforme a lo anterior, se colige que, tal como lo precisó la persona Recurrente, el</w:t>
      </w:r>
      <w:r w:rsidRPr="00AE2A5B">
        <w:rPr>
          <w:rFonts w:ascii="Palatino Linotype" w:hAnsi="Palatino Linotype"/>
          <w:bCs/>
          <w:sz w:val="22"/>
          <w:szCs w:val="14"/>
        </w:rPr>
        <w:t xml:space="preserve"> Ayuntamiento de </w:t>
      </w:r>
      <w:r>
        <w:rPr>
          <w:rFonts w:ascii="Palatino Linotype" w:hAnsi="Palatino Linotype"/>
          <w:bCs/>
          <w:sz w:val="22"/>
          <w:szCs w:val="14"/>
        </w:rPr>
        <w:t>Valle de Chalco Solidaridad</w:t>
      </w:r>
      <w:r w:rsidRPr="00AE2A5B">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Municipios, pues tenía hasta el </w:t>
      </w:r>
      <w:r w:rsidR="00B141FE">
        <w:rPr>
          <w:rFonts w:ascii="Palatino Linotype" w:hAnsi="Palatino Linotype" w:cs="Tahoma"/>
          <w:iCs/>
          <w:sz w:val="22"/>
          <w:szCs w:val="22"/>
        </w:rPr>
        <w:t>treinta y uno de marzo</w:t>
      </w:r>
      <w:r w:rsidRPr="00AE2A5B">
        <w:rPr>
          <w:rFonts w:ascii="Palatino Linotype" w:hAnsi="Palatino Linotype" w:cs="Tahoma"/>
          <w:iCs/>
          <w:sz w:val="22"/>
          <w:szCs w:val="22"/>
        </w:rPr>
        <w:t xml:space="preserve"> de dos mil veinticinco, para realizar dicha situación, por lo que es evidente que el agravio es </w:t>
      </w:r>
      <w:r w:rsidRPr="00AE2A5B">
        <w:rPr>
          <w:rFonts w:ascii="Palatino Linotype" w:hAnsi="Palatino Linotype" w:cs="Tahoma"/>
          <w:b/>
          <w:bCs/>
          <w:iCs/>
          <w:sz w:val="22"/>
          <w:szCs w:val="22"/>
        </w:rPr>
        <w:t>FUNDADO</w:t>
      </w:r>
      <w:r w:rsidR="00B141FE">
        <w:rPr>
          <w:rFonts w:ascii="Palatino Linotype" w:hAnsi="Palatino Linotype" w:cs="Tahoma"/>
          <w:iCs/>
          <w:sz w:val="22"/>
          <w:szCs w:val="22"/>
        </w:rPr>
        <w:t>; no obstante, durante la sustanciación del Medio de Impugnación, el Sujeto Obligado dio respuesta a la solicitud, por lo que se procede a su análisis, para lo cual es necesario en principio contextualizar la solicitud de información.</w:t>
      </w:r>
    </w:p>
    <w:p w14:paraId="0A1266AF" w14:textId="77777777" w:rsidR="00AE2A5B" w:rsidRDefault="00AE2A5B" w:rsidP="008B3A20">
      <w:pPr>
        <w:tabs>
          <w:tab w:val="left" w:pos="4962"/>
        </w:tabs>
        <w:spacing w:line="360" w:lineRule="auto"/>
        <w:ind w:right="-28"/>
        <w:contextualSpacing/>
        <w:jc w:val="both"/>
        <w:rPr>
          <w:rFonts w:ascii="Palatino Linotype" w:eastAsia="Calibri" w:hAnsi="Palatino Linotype" w:cs="Tahoma"/>
          <w:iCs/>
          <w:sz w:val="22"/>
          <w:szCs w:val="22"/>
          <w:lang w:eastAsia="es-ES_tradnl"/>
        </w:rPr>
      </w:pPr>
    </w:p>
    <w:p w14:paraId="06023975" w14:textId="77777777" w:rsidR="00B141FE" w:rsidRPr="00B141FE" w:rsidRDefault="00B141FE" w:rsidP="008B3A20">
      <w:pPr>
        <w:spacing w:line="360" w:lineRule="auto"/>
        <w:contextualSpacing/>
        <w:jc w:val="both"/>
        <w:rPr>
          <w:rFonts w:ascii="Palatino Linotype" w:hAnsi="Palatino Linotype" w:cs="Tahoma"/>
          <w:iCs/>
          <w:sz w:val="22"/>
          <w:szCs w:val="22"/>
          <w:lang w:val="es-ES"/>
        </w:rPr>
      </w:pPr>
      <w:r w:rsidRPr="00B141FE">
        <w:rPr>
          <w:rFonts w:ascii="Palatino Linotype" w:hAnsi="Palatino Linotype" w:cs="Tahoma"/>
          <w:iCs/>
          <w:sz w:val="22"/>
          <w:szCs w:val="22"/>
          <w:lang w:val="es-ES"/>
        </w:rPr>
        <w:t xml:space="preserve">Respecto al tema, Eduardo López Sosa, Natalia López Sosa. (2014). “Derecho Administrativo Mexicano”. (p. 262), establece que la autorización, la licencia, o el permiso es el acto administrativo por medio de los cuales se otorga a un particular, por un órgano administrativo, la facultad o el derecho para realizar una actividad o para hacer alguna cosa. </w:t>
      </w:r>
    </w:p>
    <w:p w14:paraId="1E62FCD2" w14:textId="77777777" w:rsidR="00B141FE" w:rsidRPr="00B141FE" w:rsidRDefault="00B141FE" w:rsidP="008B3A20">
      <w:pPr>
        <w:spacing w:line="360" w:lineRule="auto"/>
        <w:contextualSpacing/>
        <w:jc w:val="both"/>
        <w:rPr>
          <w:rFonts w:ascii="Palatino Linotype" w:eastAsia="Calibri" w:hAnsi="Palatino Linotype"/>
          <w:color w:val="000000"/>
          <w:sz w:val="22"/>
          <w:szCs w:val="22"/>
          <w:lang w:val="es-ES" w:eastAsia="en-US"/>
        </w:rPr>
      </w:pPr>
    </w:p>
    <w:p w14:paraId="5689CA6C" w14:textId="77777777" w:rsidR="00B141FE" w:rsidRPr="00B141FE" w:rsidRDefault="00B141FE" w:rsidP="008B3A20">
      <w:pPr>
        <w:spacing w:line="360" w:lineRule="auto"/>
        <w:contextualSpacing/>
        <w:jc w:val="both"/>
        <w:rPr>
          <w:rFonts w:ascii="Palatino Linotype" w:eastAsia="Calibri" w:hAnsi="Palatino Linotype" w:cs="Tahoma"/>
          <w:bCs/>
          <w:sz w:val="22"/>
          <w:szCs w:val="22"/>
          <w:lang w:eastAsia="en-US"/>
        </w:rPr>
      </w:pPr>
      <w:r w:rsidRPr="00B141FE">
        <w:rPr>
          <w:rFonts w:ascii="Palatino Linotype" w:hAnsi="Palatino Linotype" w:cs="Tahoma"/>
          <w:sz w:val="22"/>
          <w:szCs w:val="22"/>
          <w:lang w:val="es-ES"/>
        </w:rPr>
        <w:t xml:space="preserve">Sobre dichos documentos, </w:t>
      </w:r>
      <w:r w:rsidRPr="00B141FE">
        <w:rPr>
          <w:rFonts w:ascii="Palatino Linotype" w:eastAsia="Calibri" w:hAnsi="Palatino Linotype" w:cs="Tahoma"/>
          <w:bCs/>
          <w:sz w:val="22"/>
          <w:szCs w:val="22"/>
          <w:lang w:eastAsia="en-US"/>
        </w:rPr>
        <w:t xml:space="preserve">el artículo 31, fracciones, XXIV </w:t>
      </w:r>
      <w:proofErr w:type="spellStart"/>
      <w:r w:rsidRPr="00B141FE">
        <w:rPr>
          <w:rFonts w:ascii="Palatino Linotype" w:eastAsia="Calibri" w:hAnsi="Palatino Linotype" w:cs="Tahoma"/>
          <w:bCs/>
          <w:sz w:val="22"/>
          <w:szCs w:val="22"/>
          <w:lang w:eastAsia="en-US"/>
        </w:rPr>
        <w:t>Quáter</w:t>
      </w:r>
      <w:proofErr w:type="spellEnd"/>
      <w:r w:rsidRPr="00B141FE">
        <w:rPr>
          <w:rFonts w:ascii="Palatino Linotype" w:eastAsia="Calibri" w:hAnsi="Palatino Linotype" w:cs="Tahoma"/>
          <w:bCs/>
          <w:sz w:val="22"/>
          <w:szCs w:val="22"/>
          <w:lang w:eastAsia="en-US"/>
        </w:rPr>
        <w:t xml:space="preserve"> y XLIV, de la Ley Orgánica Municipal el Estado de México, establece que los Ayuntamientos, entre los que se encuentra el de Papalotla, son los encargados de otorgar licencias para el funcionamiento de unidades económicas; así como, de crear el Registro Municipal de Unidades Económicas, donde se especifique la licencia de funcionamiento y las características que se determinen convenientes.</w:t>
      </w:r>
    </w:p>
    <w:p w14:paraId="7F276BAB" w14:textId="77777777" w:rsidR="00B141FE" w:rsidRPr="00B141FE" w:rsidRDefault="00B141FE" w:rsidP="008B3A20">
      <w:pPr>
        <w:spacing w:line="360" w:lineRule="auto"/>
        <w:contextualSpacing/>
        <w:jc w:val="both"/>
        <w:rPr>
          <w:rFonts w:ascii="Palatino Linotype" w:eastAsia="Calibri" w:hAnsi="Palatino Linotype" w:cs="Tahoma"/>
          <w:bCs/>
          <w:sz w:val="22"/>
          <w:szCs w:val="22"/>
          <w:lang w:eastAsia="en-US"/>
        </w:rPr>
      </w:pPr>
    </w:p>
    <w:p w14:paraId="265A888B" w14:textId="77777777" w:rsidR="00B141FE" w:rsidRPr="00B141FE" w:rsidRDefault="00B141FE" w:rsidP="008B3A20">
      <w:pPr>
        <w:spacing w:line="360" w:lineRule="auto"/>
        <w:contextualSpacing/>
        <w:jc w:val="both"/>
        <w:rPr>
          <w:rFonts w:ascii="Palatino Linotype" w:eastAsia="Calibri" w:hAnsi="Palatino Linotype" w:cs="Tahoma"/>
          <w:bCs/>
          <w:sz w:val="22"/>
          <w:szCs w:val="22"/>
          <w:lang w:eastAsia="en-US"/>
        </w:rPr>
      </w:pPr>
      <w:r w:rsidRPr="00B141FE">
        <w:rPr>
          <w:rFonts w:ascii="Palatino Linotype" w:eastAsia="Calibri" w:hAnsi="Palatino Linotype" w:cs="Tahoma"/>
          <w:bCs/>
          <w:sz w:val="22"/>
          <w:szCs w:val="22"/>
          <w:lang w:eastAsia="en-US"/>
        </w:rPr>
        <w:t xml:space="preserve">Para lograr lo anterior, los Ayuntamientos contarán con un </w:t>
      </w:r>
      <w:proofErr w:type="gramStart"/>
      <w:r w:rsidRPr="00B141FE">
        <w:rPr>
          <w:rFonts w:ascii="Palatino Linotype" w:eastAsia="Calibri" w:hAnsi="Palatino Linotype" w:cs="Tahoma"/>
          <w:bCs/>
          <w:sz w:val="22"/>
          <w:szCs w:val="22"/>
          <w:lang w:eastAsia="en-US"/>
        </w:rPr>
        <w:t>Director</w:t>
      </w:r>
      <w:proofErr w:type="gramEnd"/>
      <w:r w:rsidRPr="00B141FE">
        <w:rPr>
          <w:rFonts w:ascii="Palatino Linotype" w:eastAsia="Calibri" w:hAnsi="Palatino Linotype" w:cs="Tahoma"/>
          <w:bCs/>
          <w:sz w:val="22"/>
          <w:szCs w:val="22"/>
          <w:lang w:eastAsia="en-US"/>
        </w:rPr>
        <w:t xml:space="preserve"> de Desarrollo Económico o equivalente que impulsa la simplificación de trámites y reducción de plazos para el otorgamiento de permisos, </w:t>
      </w:r>
      <w:r w:rsidRPr="00B141FE">
        <w:rPr>
          <w:rFonts w:ascii="Palatino Linotype" w:eastAsia="Calibri" w:hAnsi="Palatino Linotype" w:cs="Tahoma"/>
          <w:b/>
          <w:bCs/>
          <w:sz w:val="22"/>
          <w:szCs w:val="22"/>
          <w:lang w:eastAsia="en-US"/>
        </w:rPr>
        <w:t>licencias</w:t>
      </w:r>
      <w:r w:rsidRPr="00B141FE">
        <w:rPr>
          <w:rFonts w:ascii="Palatino Linotype" w:eastAsia="Calibri" w:hAnsi="Palatino Linotype" w:cs="Tahoma"/>
          <w:bCs/>
          <w:sz w:val="22"/>
          <w:szCs w:val="22"/>
          <w:lang w:eastAsia="en-US"/>
        </w:rPr>
        <w:t xml:space="preserve"> y autorizaciones del orden municipal, así como de operar y actualizar el Registro Municipal de Unidades Económicas de los permisos o licencias de </w:t>
      </w:r>
      <w:r w:rsidRPr="00B141FE">
        <w:rPr>
          <w:rFonts w:ascii="Palatino Linotype" w:eastAsia="Calibri" w:hAnsi="Palatino Linotype" w:cs="Tahoma"/>
          <w:bCs/>
          <w:sz w:val="22"/>
          <w:szCs w:val="22"/>
          <w:lang w:eastAsia="en-US"/>
        </w:rPr>
        <w:lastRenderedPageBreak/>
        <w:t xml:space="preserve">funcionamiento otorgadas, de conformidad con el artículo 96 </w:t>
      </w:r>
      <w:proofErr w:type="spellStart"/>
      <w:r w:rsidRPr="00B141FE">
        <w:rPr>
          <w:rFonts w:ascii="Palatino Linotype" w:eastAsia="Calibri" w:hAnsi="Palatino Linotype" w:cs="Tahoma"/>
          <w:bCs/>
          <w:sz w:val="22"/>
          <w:szCs w:val="22"/>
          <w:lang w:eastAsia="en-US"/>
        </w:rPr>
        <w:t>Quáter</w:t>
      </w:r>
      <w:proofErr w:type="spellEnd"/>
      <w:r w:rsidRPr="00B141FE">
        <w:rPr>
          <w:rFonts w:ascii="Palatino Linotype" w:eastAsia="Calibri" w:hAnsi="Palatino Linotype" w:cs="Tahoma"/>
          <w:bCs/>
          <w:sz w:val="22"/>
          <w:szCs w:val="22"/>
          <w:lang w:eastAsia="en-US"/>
        </w:rPr>
        <w:t xml:space="preserve"> de la Ley señalada en el párrafo anterior.</w:t>
      </w:r>
    </w:p>
    <w:p w14:paraId="7A34F510" w14:textId="77777777" w:rsidR="00B141FE" w:rsidRPr="00B141FE" w:rsidRDefault="00B141FE" w:rsidP="008B3A20">
      <w:pPr>
        <w:spacing w:line="360" w:lineRule="auto"/>
        <w:contextualSpacing/>
        <w:jc w:val="both"/>
        <w:rPr>
          <w:rFonts w:ascii="Palatino Linotype" w:eastAsia="Calibri" w:hAnsi="Palatino Linotype" w:cs="Tahoma"/>
          <w:bCs/>
          <w:sz w:val="22"/>
          <w:szCs w:val="22"/>
          <w:lang w:eastAsia="en-US"/>
        </w:rPr>
      </w:pPr>
    </w:p>
    <w:p w14:paraId="5CAA6C55" w14:textId="77777777" w:rsidR="00B141FE" w:rsidRPr="00B141FE" w:rsidRDefault="00B141FE" w:rsidP="008B3A20">
      <w:pPr>
        <w:spacing w:line="360" w:lineRule="auto"/>
        <w:contextualSpacing/>
        <w:jc w:val="both"/>
        <w:rPr>
          <w:rFonts w:ascii="Palatino Linotype" w:eastAsia="Calibri" w:hAnsi="Palatino Linotype" w:cs="Tahoma"/>
          <w:bCs/>
          <w:sz w:val="22"/>
          <w:szCs w:val="22"/>
          <w:lang w:eastAsia="en-US"/>
        </w:rPr>
      </w:pPr>
      <w:r w:rsidRPr="00B141FE">
        <w:rPr>
          <w:rFonts w:ascii="Palatino Linotype" w:eastAsia="Calibri" w:hAnsi="Palatino Linotype" w:cs="Tahoma"/>
          <w:bCs/>
          <w:sz w:val="22"/>
          <w:szCs w:val="22"/>
          <w:lang w:eastAsia="en-US"/>
        </w:rPr>
        <w:t xml:space="preserve">En ese sentido, en el artículo 2°, fracciones XV y XXXVIII, 5°, fracción X, 7°, fracción V, 15, 16 y 33 de la Ley de Competitividad y Ordenamiento Comercial del Estado de México, la </w:t>
      </w:r>
      <w:r w:rsidRPr="00B141FE">
        <w:rPr>
          <w:rFonts w:ascii="Palatino Linotype" w:eastAsia="Calibri" w:hAnsi="Palatino Linotype" w:cs="Tahoma"/>
          <w:b/>
          <w:bCs/>
          <w:sz w:val="22"/>
          <w:szCs w:val="22"/>
          <w:lang w:eastAsia="en-US"/>
        </w:rPr>
        <w:t xml:space="preserve">licencia de funcionamiento, </w:t>
      </w:r>
      <w:r w:rsidRPr="00B141FE">
        <w:rPr>
          <w:rFonts w:ascii="Palatino Linotype" w:eastAsia="Calibri" w:hAnsi="Palatino Linotype" w:cs="Tahoma"/>
          <w:bCs/>
          <w:sz w:val="22"/>
          <w:szCs w:val="22"/>
          <w:lang w:eastAsia="en-US"/>
        </w:rPr>
        <w:t xml:space="preserve">es el acto administrativo emitido por </w:t>
      </w:r>
      <w:r w:rsidRPr="00B141FE">
        <w:rPr>
          <w:rFonts w:ascii="Palatino Linotype" w:eastAsia="Calibri" w:hAnsi="Palatino Linotype" w:cs="Tahoma"/>
          <w:b/>
          <w:bCs/>
          <w:sz w:val="22"/>
          <w:szCs w:val="22"/>
          <w:lang w:eastAsia="en-US"/>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B141FE">
        <w:rPr>
          <w:rFonts w:ascii="Palatino Linotype" w:eastAsia="Calibri" w:hAnsi="Palatino Linotype" w:cs="Tahoma"/>
          <w:bCs/>
          <w:sz w:val="22"/>
          <w:szCs w:val="22"/>
          <w:lang w:eastAsia="en-US"/>
        </w:rPr>
        <w:t xml:space="preserve"> </w:t>
      </w:r>
    </w:p>
    <w:p w14:paraId="110AED19" w14:textId="77777777" w:rsidR="00B141FE" w:rsidRPr="00B141FE" w:rsidRDefault="00B141FE" w:rsidP="008B3A20">
      <w:pPr>
        <w:spacing w:line="360" w:lineRule="auto"/>
        <w:contextualSpacing/>
        <w:jc w:val="both"/>
        <w:rPr>
          <w:rFonts w:ascii="Palatino Linotype" w:eastAsia="Calibri" w:hAnsi="Palatino Linotype" w:cs="Tahoma"/>
          <w:bCs/>
          <w:sz w:val="22"/>
          <w:szCs w:val="22"/>
          <w:lang w:eastAsia="en-US"/>
        </w:rPr>
      </w:pPr>
    </w:p>
    <w:p w14:paraId="6B3680FE" w14:textId="77777777" w:rsidR="00B141FE" w:rsidRPr="00B141FE" w:rsidRDefault="00B141FE" w:rsidP="008B3A20">
      <w:pPr>
        <w:spacing w:line="360" w:lineRule="auto"/>
        <w:contextualSpacing/>
        <w:jc w:val="both"/>
        <w:rPr>
          <w:rFonts w:ascii="Palatino Linotype" w:eastAsia="Calibri" w:hAnsi="Palatino Linotype" w:cs="Tahoma"/>
          <w:bCs/>
          <w:sz w:val="22"/>
          <w:szCs w:val="22"/>
          <w:lang w:eastAsia="en-US"/>
        </w:rPr>
      </w:pPr>
      <w:r w:rsidRPr="00B141FE">
        <w:rPr>
          <w:rFonts w:ascii="Palatino Linotype" w:eastAsia="Calibri" w:hAnsi="Palatino Linotype" w:cs="Tahoma"/>
          <w:bCs/>
          <w:sz w:val="22"/>
          <w:szCs w:val="22"/>
          <w:lang w:eastAsia="en-US"/>
        </w:rPr>
        <w:t>Por su parte, el artículo 2°, fracciones XXXIII, XXXIV y XXXV, de dicho ordenamiento jurídico, establece tres tipos de unidades económicas, a saber, las siguientes:</w:t>
      </w:r>
    </w:p>
    <w:p w14:paraId="24FF70DC" w14:textId="77777777" w:rsidR="00B141FE" w:rsidRPr="00B141FE" w:rsidRDefault="00B141FE" w:rsidP="008B3A20">
      <w:pPr>
        <w:spacing w:line="360" w:lineRule="auto"/>
        <w:contextualSpacing/>
        <w:jc w:val="both"/>
        <w:rPr>
          <w:rFonts w:ascii="Palatino Linotype" w:eastAsia="Calibri" w:hAnsi="Palatino Linotype" w:cs="Tahoma"/>
          <w:bCs/>
          <w:sz w:val="22"/>
          <w:szCs w:val="22"/>
          <w:lang w:eastAsia="en-US"/>
        </w:rPr>
      </w:pPr>
    </w:p>
    <w:p w14:paraId="769960A4" w14:textId="77777777" w:rsidR="00B141FE" w:rsidRPr="00B141FE" w:rsidRDefault="00B141FE" w:rsidP="008B3A20">
      <w:pPr>
        <w:numPr>
          <w:ilvl w:val="0"/>
          <w:numId w:val="16"/>
        </w:numPr>
        <w:spacing w:line="360" w:lineRule="auto"/>
        <w:contextualSpacing/>
        <w:jc w:val="both"/>
        <w:rPr>
          <w:rFonts w:ascii="Palatino Linotype" w:eastAsia="Calibri" w:hAnsi="Palatino Linotype" w:cs="Tahoma"/>
          <w:b/>
          <w:bCs/>
          <w:sz w:val="22"/>
          <w:szCs w:val="22"/>
          <w:lang w:eastAsia="en-US"/>
        </w:rPr>
      </w:pPr>
      <w:r w:rsidRPr="00B141FE">
        <w:rPr>
          <w:rFonts w:ascii="Palatino Linotype" w:eastAsia="Calibri" w:hAnsi="Palatino Linotype" w:cs="Tahoma"/>
          <w:b/>
          <w:bCs/>
          <w:sz w:val="22"/>
          <w:szCs w:val="22"/>
          <w:lang w:eastAsia="en-US"/>
        </w:rPr>
        <w:t xml:space="preserve">Bajo impacto: </w:t>
      </w:r>
      <w:r w:rsidRPr="00B141FE">
        <w:rPr>
          <w:rFonts w:ascii="Palatino Linotype" w:eastAsia="Calibri" w:hAnsi="Palatino Linotype" w:cs="Tahoma"/>
          <w:bCs/>
          <w:sz w:val="22"/>
          <w:szCs w:val="22"/>
          <w:lang w:eastAsia="en-US"/>
        </w:rPr>
        <w:t>A las autorizadas para la venta de bebidas alcohólicas en envase cerrado y no sean de consumo inmediato, así como, las que no estén en supuestos subsecuentes.</w:t>
      </w:r>
    </w:p>
    <w:p w14:paraId="751D60AC" w14:textId="77777777" w:rsidR="00B141FE" w:rsidRPr="00B141FE" w:rsidRDefault="00B141FE" w:rsidP="008B3A20">
      <w:pPr>
        <w:spacing w:line="360" w:lineRule="auto"/>
        <w:ind w:left="720"/>
        <w:contextualSpacing/>
        <w:jc w:val="both"/>
        <w:rPr>
          <w:rFonts w:ascii="Palatino Linotype" w:eastAsia="Calibri" w:hAnsi="Palatino Linotype" w:cs="Tahoma"/>
          <w:b/>
          <w:bCs/>
          <w:sz w:val="22"/>
          <w:szCs w:val="22"/>
          <w:lang w:eastAsia="en-US"/>
        </w:rPr>
      </w:pPr>
    </w:p>
    <w:p w14:paraId="0312924F" w14:textId="77777777" w:rsidR="00B141FE" w:rsidRPr="00B141FE" w:rsidRDefault="00B141FE" w:rsidP="008B3A20">
      <w:pPr>
        <w:numPr>
          <w:ilvl w:val="0"/>
          <w:numId w:val="16"/>
        </w:numPr>
        <w:spacing w:line="360" w:lineRule="auto"/>
        <w:contextualSpacing/>
        <w:jc w:val="both"/>
        <w:rPr>
          <w:rFonts w:ascii="Palatino Linotype" w:eastAsia="Calibri" w:hAnsi="Palatino Linotype" w:cs="Tahoma"/>
          <w:b/>
          <w:bCs/>
          <w:sz w:val="22"/>
          <w:szCs w:val="22"/>
          <w:lang w:eastAsia="en-US"/>
        </w:rPr>
      </w:pPr>
      <w:r w:rsidRPr="00B141FE">
        <w:rPr>
          <w:rFonts w:ascii="Palatino Linotype" w:eastAsia="Calibri" w:hAnsi="Palatino Linotype" w:cs="Tahoma"/>
          <w:b/>
          <w:bCs/>
          <w:sz w:val="22"/>
          <w:szCs w:val="22"/>
          <w:lang w:eastAsia="en-US"/>
        </w:rPr>
        <w:t xml:space="preserve">Mediano impacto: </w:t>
      </w:r>
      <w:r w:rsidRPr="00B141FE">
        <w:rPr>
          <w:rFonts w:ascii="Palatino Linotype" w:eastAsia="Calibri" w:hAnsi="Palatino Linotype" w:cs="Tahoma"/>
          <w:bCs/>
          <w:sz w:val="22"/>
          <w:szCs w:val="22"/>
          <w:lang w:eastAsia="en-US"/>
        </w:rPr>
        <w:t>A las que se les permite la venta de bebidas alcohólicas para consumo inmediato, siendo otra su actividad principal.</w:t>
      </w:r>
    </w:p>
    <w:p w14:paraId="7A83A2DC" w14:textId="77777777" w:rsidR="00B141FE" w:rsidRPr="00B141FE" w:rsidRDefault="00B141FE" w:rsidP="008B3A20">
      <w:pPr>
        <w:spacing w:line="360" w:lineRule="auto"/>
        <w:ind w:left="720"/>
        <w:contextualSpacing/>
        <w:jc w:val="both"/>
        <w:rPr>
          <w:rFonts w:ascii="Palatino Linotype" w:eastAsia="Calibri" w:hAnsi="Palatino Linotype" w:cs="Tahoma"/>
          <w:b/>
          <w:bCs/>
          <w:sz w:val="22"/>
          <w:szCs w:val="22"/>
          <w:lang w:eastAsia="en-US"/>
        </w:rPr>
      </w:pPr>
    </w:p>
    <w:p w14:paraId="270BBAAD" w14:textId="77777777" w:rsidR="00B141FE" w:rsidRPr="00B141FE" w:rsidRDefault="00B141FE" w:rsidP="008B3A20">
      <w:pPr>
        <w:numPr>
          <w:ilvl w:val="0"/>
          <w:numId w:val="16"/>
        </w:numPr>
        <w:spacing w:line="360" w:lineRule="auto"/>
        <w:contextualSpacing/>
        <w:jc w:val="both"/>
        <w:rPr>
          <w:rFonts w:ascii="Palatino Linotype" w:eastAsia="Calibri" w:hAnsi="Palatino Linotype" w:cs="Tahoma"/>
          <w:b/>
          <w:bCs/>
          <w:sz w:val="22"/>
          <w:szCs w:val="22"/>
          <w:lang w:eastAsia="en-US"/>
        </w:rPr>
      </w:pPr>
      <w:r w:rsidRPr="00B141FE">
        <w:rPr>
          <w:rFonts w:ascii="Palatino Linotype" w:eastAsia="Calibri" w:hAnsi="Palatino Linotype" w:cs="Tahoma"/>
          <w:b/>
          <w:bCs/>
          <w:sz w:val="22"/>
          <w:szCs w:val="22"/>
          <w:lang w:eastAsia="en-US"/>
        </w:rPr>
        <w:t xml:space="preserve">Alto Impacto: </w:t>
      </w:r>
      <w:r w:rsidRPr="00B141FE">
        <w:rPr>
          <w:rFonts w:ascii="Palatino Linotype" w:eastAsia="Calibri" w:hAnsi="Palatino Linotype" w:cs="Tahoma"/>
          <w:bCs/>
          <w:sz w:val="22"/>
          <w:szCs w:val="22"/>
          <w:lang w:eastAsia="en-US"/>
        </w:rPr>
        <w:t>Aquellas que tienen como actividad principal, la venta de bebidas alcohólicas para consumo inmediato y las que requieran dictamen único de factibilidad.</w:t>
      </w:r>
    </w:p>
    <w:p w14:paraId="080546DC" w14:textId="77777777" w:rsidR="00B141FE" w:rsidRPr="00B141FE" w:rsidRDefault="00B141FE" w:rsidP="008B3A20">
      <w:pPr>
        <w:spacing w:line="360" w:lineRule="auto"/>
        <w:contextualSpacing/>
        <w:jc w:val="both"/>
        <w:rPr>
          <w:rFonts w:ascii="Palatino Linotype" w:eastAsia="Calibri" w:hAnsi="Palatino Linotype" w:cs="Tahoma"/>
          <w:bCs/>
          <w:sz w:val="22"/>
          <w:szCs w:val="22"/>
          <w:lang w:eastAsia="en-US"/>
        </w:rPr>
      </w:pPr>
    </w:p>
    <w:p w14:paraId="4D7C0863" w14:textId="77777777" w:rsidR="00B141FE" w:rsidRPr="00B141FE" w:rsidRDefault="00B141FE" w:rsidP="008B3A20">
      <w:pPr>
        <w:widowControl w:val="0"/>
        <w:spacing w:line="360" w:lineRule="auto"/>
        <w:contextualSpacing/>
        <w:jc w:val="both"/>
        <w:rPr>
          <w:rFonts w:ascii="Palatino Linotype" w:eastAsia="Calibri" w:hAnsi="Palatino Linotype" w:cs="Tahoma"/>
          <w:bCs/>
          <w:sz w:val="22"/>
          <w:szCs w:val="22"/>
          <w:lang w:eastAsia="en-US"/>
        </w:rPr>
      </w:pPr>
      <w:r w:rsidRPr="00B141FE">
        <w:rPr>
          <w:rFonts w:ascii="Palatino Linotype" w:eastAsia="Calibri" w:hAnsi="Palatino Linotype" w:cs="Tahoma"/>
          <w:bCs/>
          <w:sz w:val="22"/>
          <w:szCs w:val="22"/>
          <w:lang w:eastAsia="en-US"/>
        </w:rPr>
        <w:t xml:space="preserve">En ese contexto, la operación de la </w:t>
      </w:r>
      <w:r w:rsidRPr="00B141FE">
        <w:rPr>
          <w:rFonts w:ascii="Palatino Linotype" w:eastAsia="Calibri" w:hAnsi="Palatino Linotype" w:cs="Tahoma"/>
          <w:b/>
          <w:bCs/>
          <w:sz w:val="22"/>
          <w:szCs w:val="22"/>
          <w:lang w:eastAsia="en-US"/>
        </w:rPr>
        <w:t xml:space="preserve">Ventanilla Única </w:t>
      </w:r>
      <w:r w:rsidRPr="00B141FE">
        <w:rPr>
          <w:rFonts w:ascii="Palatino Linotype" w:eastAsia="Calibri" w:hAnsi="Palatino Linotype" w:cs="Tahoma"/>
          <w:bCs/>
          <w:sz w:val="22"/>
          <w:szCs w:val="22"/>
          <w:lang w:eastAsia="en-US"/>
        </w:rPr>
        <w:t xml:space="preserve">y la expedición de las </w:t>
      </w:r>
      <w:r w:rsidRPr="00B141FE">
        <w:rPr>
          <w:rFonts w:ascii="Palatino Linotype" w:eastAsia="Calibri" w:hAnsi="Palatino Linotype" w:cs="Tahoma"/>
          <w:b/>
          <w:bCs/>
          <w:sz w:val="22"/>
          <w:szCs w:val="22"/>
          <w:lang w:eastAsia="en-US"/>
        </w:rPr>
        <w:t>licencias de funcionamiento</w:t>
      </w:r>
      <w:r w:rsidRPr="00B141FE">
        <w:rPr>
          <w:rFonts w:ascii="Palatino Linotype" w:eastAsia="Calibri" w:hAnsi="Palatino Linotype" w:cs="Tahoma"/>
          <w:bCs/>
          <w:sz w:val="22"/>
          <w:szCs w:val="22"/>
          <w:lang w:eastAsia="en-US"/>
        </w:rPr>
        <w:t xml:space="preserve">, le corresponde a los Ayuntamientos, al coordinar la gestión de trámites para </w:t>
      </w:r>
      <w:r w:rsidRPr="00B141FE">
        <w:rPr>
          <w:rFonts w:ascii="Palatino Linotype" w:eastAsia="Calibri" w:hAnsi="Palatino Linotype" w:cs="Tahoma"/>
          <w:bCs/>
          <w:sz w:val="22"/>
          <w:szCs w:val="22"/>
          <w:lang w:eastAsia="en-US"/>
        </w:rPr>
        <w:lastRenderedPageBreak/>
        <w:t>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32D1D6F9" w14:textId="357059EC" w:rsidR="00FF683A" w:rsidRPr="005A4A25" w:rsidRDefault="00FF683A" w:rsidP="008B3A20">
      <w:pPr>
        <w:spacing w:line="360" w:lineRule="auto"/>
        <w:ind w:right="-28"/>
        <w:contextualSpacing/>
        <w:jc w:val="both"/>
        <w:rPr>
          <w:rFonts w:ascii="Palatino Linotype" w:hAnsi="Palatino Linotype" w:cs="Tahoma"/>
          <w:bCs/>
          <w:iCs/>
          <w:sz w:val="22"/>
          <w:szCs w:val="22"/>
        </w:rPr>
      </w:pPr>
    </w:p>
    <w:p w14:paraId="323692DE" w14:textId="3AE34B8F" w:rsidR="003A70DE" w:rsidRPr="005A4A25" w:rsidRDefault="003A70DE" w:rsidP="008B3A20">
      <w:pPr>
        <w:spacing w:line="360" w:lineRule="auto"/>
        <w:ind w:right="-28"/>
        <w:contextualSpacing/>
        <w:jc w:val="both"/>
        <w:rPr>
          <w:rFonts w:ascii="Palatino Linotype" w:hAnsi="Palatino Linotype" w:cs="Tahoma"/>
          <w:bCs/>
          <w:iCs/>
          <w:sz w:val="22"/>
          <w:szCs w:val="22"/>
        </w:rPr>
      </w:pPr>
      <w:r w:rsidRPr="005A4A25">
        <w:rPr>
          <w:rFonts w:ascii="Palatino Linotype" w:hAnsi="Palatino Linotype" w:cs="Tahoma"/>
          <w:bCs/>
          <w:iCs/>
          <w:sz w:val="22"/>
          <w:szCs w:val="22"/>
        </w:rPr>
        <w:t xml:space="preserve">En ese contexto, el Bando Municipal de Valle de Chalco Solidaridad, dos mil </w:t>
      </w:r>
      <w:r w:rsidR="00AE2A5B">
        <w:rPr>
          <w:rFonts w:ascii="Palatino Linotype" w:hAnsi="Palatino Linotype" w:cs="Tahoma"/>
          <w:bCs/>
          <w:iCs/>
          <w:sz w:val="22"/>
          <w:szCs w:val="22"/>
        </w:rPr>
        <w:t>veinticinco</w:t>
      </w:r>
      <w:r w:rsidRPr="005A4A25">
        <w:rPr>
          <w:rFonts w:ascii="Palatino Linotype" w:hAnsi="Palatino Linotype" w:cs="Tahoma"/>
          <w:bCs/>
          <w:iCs/>
          <w:sz w:val="22"/>
          <w:szCs w:val="22"/>
        </w:rPr>
        <w:t>, precisa lo siguiente:</w:t>
      </w:r>
    </w:p>
    <w:p w14:paraId="68649580" w14:textId="75C85000" w:rsidR="003A70DE" w:rsidRPr="005A4A25" w:rsidRDefault="003A70DE" w:rsidP="008B3A20">
      <w:pPr>
        <w:spacing w:line="360" w:lineRule="auto"/>
        <w:ind w:right="-28"/>
        <w:contextualSpacing/>
        <w:jc w:val="both"/>
        <w:rPr>
          <w:rFonts w:ascii="Palatino Linotype" w:hAnsi="Palatino Linotype" w:cs="Tahoma"/>
          <w:bCs/>
          <w:iCs/>
          <w:sz w:val="22"/>
          <w:szCs w:val="22"/>
        </w:rPr>
      </w:pPr>
    </w:p>
    <w:p w14:paraId="317E0A65" w14:textId="1B788FBD" w:rsidR="003E01BF" w:rsidRPr="003E01BF" w:rsidRDefault="003E01BF" w:rsidP="008B3A20">
      <w:pPr>
        <w:pStyle w:val="Prrafodelista"/>
        <w:numPr>
          <w:ilvl w:val="0"/>
          <w:numId w:val="8"/>
        </w:numPr>
        <w:spacing w:line="360" w:lineRule="auto"/>
        <w:ind w:right="-28"/>
        <w:jc w:val="both"/>
        <w:rPr>
          <w:rFonts w:ascii="Palatino Linotype" w:hAnsi="Palatino Linotype" w:cs="Tahoma"/>
          <w:b/>
          <w:iCs/>
          <w:szCs w:val="22"/>
        </w:rPr>
      </w:pPr>
      <w:r w:rsidRPr="003E01BF">
        <w:rPr>
          <w:rFonts w:ascii="Palatino Linotype" w:hAnsi="Palatino Linotype" w:cs="Tahoma"/>
          <w:b/>
          <w:iCs/>
          <w:szCs w:val="22"/>
        </w:rPr>
        <w:t>Artículo 107:</w:t>
      </w:r>
      <w:r>
        <w:rPr>
          <w:rFonts w:ascii="Palatino Linotype" w:hAnsi="Palatino Linotype" w:cs="Tahoma"/>
          <w:b/>
          <w:iCs/>
          <w:szCs w:val="22"/>
        </w:rPr>
        <w:t xml:space="preserve"> </w:t>
      </w:r>
      <w:r>
        <w:rPr>
          <w:rFonts w:ascii="Palatino Linotype" w:hAnsi="Palatino Linotype" w:cs="Tahoma"/>
          <w:bCs/>
          <w:iCs/>
          <w:szCs w:val="22"/>
        </w:rPr>
        <w:t xml:space="preserve">La Dirección de Desarrollo Económico será el conducto para la </w:t>
      </w:r>
      <w:r w:rsidRPr="003E01BF">
        <w:rPr>
          <w:rFonts w:ascii="Palatino Linotype" w:hAnsi="Palatino Linotype" w:cs="Tahoma"/>
          <w:bCs/>
          <w:iCs/>
          <w:szCs w:val="22"/>
        </w:rPr>
        <w:t xml:space="preserve">emisión de Licencias </w:t>
      </w:r>
      <w:r>
        <w:rPr>
          <w:rFonts w:ascii="Palatino Linotype" w:hAnsi="Palatino Linotype" w:cs="Tahoma"/>
          <w:bCs/>
          <w:iCs/>
          <w:szCs w:val="22"/>
        </w:rPr>
        <w:t xml:space="preserve">de Funcionamiento y </w:t>
      </w:r>
      <w:r w:rsidRPr="003E01BF">
        <w:rPr>
          <w:rFonts w:ascii="Palatino Linotype" w:hAnsi="Palatino Linotype" w:cs="Tahoma"/>
          <w:bCs/>
          <w:iCs/>
          <w:szCs w:val="22"/>
        </w:rPr>
        <w:t>de Apertura en Unidades Económicas de Alto y Mediano Impacto</w:t>
      </w:r>
      <w:r>
        <w:rPr>
          <w:rFonts w:ascii="Palatino Linotype" w:hAnsi="Palatino Linotype" w:cs="Tahoma"/>
          <w:bCs/>
          <w:iCs/>
          <w:szCs w:val="22"/>
        </w:rPr>
        <w:t>.</w:t>
      </w:r>
    </w:p>
    <w:p w14:paraId="7AEDAAC4" w14:textId="77777777" w:rsidR="003E01BF" w:rsidRPr="003E01BF" w:rsidRDefault="003E01BF" w:rsidP="008B3A20">
      <w:pPr>
        <w:pStyle w:val="Prrafodelista"/>
        <w:spacing w:line="360" w:lineRule="auto"/>
        <w:ind w:right="-28"/>
        <w:jc w:val="both"/>
        <w:rPr>
          <w:rFonts w:ascii="Palatino Linotype" w:hAnsi="Palatino Linotype" w:cs="Tahoma"/>
          <w:bCs/>
          <w:iCs/>
          <w:szCs w:val="22"/>
        </w:rPr>
      </w:pPr>
    </w:p>
    <w:p w14:paraId="20B1FD8C" w14:textId="0F5E58B6" w:rsidR="003A70DE" w:rsidRPr="005A4A25" w:rsidRDefault="003A70DE" w:rsidP="008B3A20">
      <w:pPr>
        <w:pStyle w:val="Prrafodelista"/>
        <w:numPr>
          <w:ilvl w:val="0"/>
          <w:numId w:val="8"/>
        </w:numPr>
        <w:spacing w:line="360" w:lineRule="auto"/>
        <w:ind w:right="-28"/>
        <w:jc w:val="both"/>
        <w:rPr>
          <w:rFonts w:ascii="Palatino Linotype" w:hAnsi="Palatino Linotype" w:cs="Tahoma"/>
          <w:bCs/>
          <w:iCs/>
          <w:szCs w:val="22"/>
        </w:rPr>
      </w:pPr>
      <w:r w:rsidRPr="005A4A25">
        <w:rPr>
          <w:rFonts w:ascii="Palatino Linotype" w:hAnsi="Palatino Linotype" w:cs="Tahoma"/>
          <w:b/>
          <w:bCs/>
          <w:iCs/>
          <w:szCs w:val="22"/>
        </w:rPr>
        <w:t xml:space="preserve">Artículo 115: </w:t>
      </w:r>
      <w:r w:rsidRPr="005A4A25">
        <w:rPr>
          <w:rFonts w:ascii="Palatino Linotype" w:hAnsi="Palatino Linotype" w:cs="Tahoma"/>
          <w:bCs/>
          <w:iCs/>
          <w:szCs w:val="22"/>
        </w:rPr>
        <w:t>La Dirección de Industria y Comercio</w:t>
      </w:r>
      <w:r w:rsidR="0034585A" w:rsidRPr="005A4A25">
        <w:rPr>
          <w:rFonts w:ascii="Palatino Linotype" w:hAnsi="Palatino Linotype" w:cs="Tahoma"/>
          <w:bCs/>
          <w:iCs/>
          <w:szCs w:val="22"/>
        </w:rPr>
        <w:t>, es la encargada de regular el cumplimiento de la normatividad en lo que refiere a la expedición, renovación y revocación de licencia de funcionamiento, en comercio establecido y en mercados públicos o privados, así como permisos o autorizaciones para vía pública, tianguis; además vigila, aplica y opera el funcionamiento de tianguis, concentraciones comerciales itinerantes, comercio fijo, semifijo y el uso de vía pública con carácter de comercio formal.</w:t>
      </w:r>
    </w:p>
    <w:p w14:paraId="03C6E75B" w14:textId="77777777" w:rsidR="0034585A" w:rsidRPr="005A4A25" w:rsidRDefault="0034585A" w:rsidP="008B3A20">
      <w:pPr>
        <w:pStyle w:val="Prrafodelista"/>
        <w:spacing w:line="360" w:lineRule="auto"/>
        <w:ind w:right="-28"/>
        <w:jc w:val="both"/>
        <w:rPr>
          <w:rFonts w:ascii="Palatino Linotype" w:hAnsi="Palatino Linotype" w:cs="Tahoma"/>
          <w:bCs/>
          <w:iCs/>
          <w:szCs w:val="22"/>
        </w:rPr>
      </w:pPr>
    </w:p>
    <w:p w14:paraId="2649DF8F" w14:textId="2EDFF4CB" w:rsidR="0034585A" w:rsidRPr="005A4A25" w:rsidRDefault="0034585A" w:rsidP="008B3A20">
      <w:pPr>
        <w:pStyle w:val="Prrafodelista"/>
        <w:numPr>
          <w:ilvl w:val="0"/>
          <w:numId w:val="8"/>
        </w:numPr>
        <w:spacing w:line="360" w:lineRule="auto"/>
        <w:ind w:right="-28"/>
        <w:jc w:val="both"/>
        <w:rPr>
          <w:rFonts w:ascii="Palatino Linotype" w:hAnsi="Palatino Linotype" w:cs="Tahoma"/>
          <w:bCs/>
          <w:iCs/>
          <w:szCs w:val="22"/>
        </w:rPr>
      </w:pPr>
      <w:r w:rsidRPr="005A4A25">
        <w:rPr>
          <w:rFonts w:ascii="Palatino Linotype" w:hAnsi="Palatino Linotype" w:cs="Tahoma"/>
          <w:b/>
          <w:bCs/>
          <w:iCs/>
          <w:szCs w:val="22"/>
        </w:rPr>
        <w:t>Artículo 121:</w:t>
      </w:r>
      <w:r w:rsidRPr="005A4A25">
        <w:rPr>
          <w:rFonts w:ascii="Palatino Linotype" w:hAnsi="Palatino Linotype" w:cs="Tahoma"/>
          <w:bCs/>
          <w:iCs/>
          <w:szCs w:val="22"/>
        </w:rPr>
        <w:t xml:space="preserve"> La Dirección de Industria y Comercio regulará el comercio en la vía pública, la cual no será objeto de concesión a particulares para ejercer la actividad comercial; por lo que, una persona particular o moral únicamente podrá realizar actividades comerciales en vía pública, cuando obtenga la Cédula de Empadronamiento, el pago de los derechos por ocupación de la vía pública; dicho documento no constituye autorización permanente para realizar el comercio en vía pública.</w:t>
      </w:r>
    </w:p>
    <w:p w14:paraId="2D8DB8B2" w14:textId="60BEE217" w:rsidR="00426ADE" w:rsidRPr="005A4A25" w:rsidRDefault="00426ADE" w:rsidP="008B3A20">
      <w:pPr>
        <w:spacing w:line="360" w:lineRule="auto"/>
        <w:ind w:right="-28"/>
        <w:contextualSpacing/>
        <w:jc w:val="both"/>
        <w:rPr>
          <w:rFonts w:ascii="Palatino Linotype" w:hAnsi="Palatino Linotype" w:cs="Tahoma"/>
          <w:bCs/>
          <w:iCs/>
          <w:sz w:val="22"/>
          <w:szCs w:val="22"/>
        </w:rPr>
      </w:pPr>
    </w:p>
    <w:p w14:paraId="15F47E19" w14:textId="0426235A" w:rsidR="0034585A" w:rsidRDefault="0034585A" w:rsidP="008B3A20">
      <w:pPr>
        <w:spacing w:line="360" w:lineRule="auto"/>
        <w:ind w:right="-28"/>
        <w:contextualSpacing/>
        <w:jc w:val="both"/>
        <w:rPr>
          <w:rFonts w:ascii="Palatino Linotype" w:hAnsi="Palatino Linotype" w:cs="Tahoma"/>
          <w:bCs/>
          <w:iCs/>
          <w:sz w:val="22"/>
          <w:szCs w:val="22"/>
        </w:rPr>
      </w:pPr>
      <w:r w:rsidRPr="005A4A25">
        <w:rPr>
          <w:rFonts w:ascii="Palatino Linotype" w:hAnsi="Palatino Linotype" w:cs="Tahoma"/>
          <w:bCs/>
          <w:iCs/>
          <w:sz w:val="22"/>
          <w:szCs w:val="22"/>
        </w:rPr>
        <w:t>En ese contexto, este Instituto localizó la</w:t>
      </w:r>
      <w:r w:rsidR="00283BAB">
        <w:rPr>
          <w:rFonts w:ascii="Palatino Linotype" w:hAnsi="Palatino Linotype" w:cs="Tahoma"/>
          <w:bCs/>
          <w:iCs/>
          <w:sz w:val="22"/>
          <w:szCs w:val="22"/>
        </w:rPr>
        <w:t>s</w:t>
      </w:r>
      <w:r w:rsidRPr="005A4A25">
        <w:rPr>
          <w:rFonts w:ascii="Palatino Linotype" w:hAnsi="Palatino Linotype" w:cs="Tahoma"/>
          <w:bCs/>
          <w:iCs/>
          <w:sz w:val="22"/>
          <w:szCs w:val="22"/>
        </w:rPr>
        <w:t xml:space="preserve"> Cédula</w:t>
      </w:r>
      <w:r w:rsidR="00283BAB">
        <w:rPr>
          <w:rFonts w:ascii="Palatino Linotype" w:hAnsi="Palatino Linotype" w:cs="Tahoma"/>
          <w:bCs/>
          <w:iCs/>
          <w:sz w:val="22"/>
          <w:szCs w:val="22"/>
        </w:rPr>
        <w:t>s</w:t>
      </w:r>
      <w:r w:rsidRPr="005A4A25">
        <w:rPr>
          <w:rFonts w:ascii="Palatino Linotype" w:hAnsi="Palatino Linotype" w:cs="Tahoma"/>
          <w:bCs/>
          <w:iCs/>
          <w:sz w:val="22"/>
          <w:szCs w:val="22"/>
        </w:rPr>
        <w:t xml:space="preserve"> de</w:t>
      </w:r>
      <w:r w:rsidR="00283BAB">
        <w:rPr>
          <w:rFonts w:ascii="Palatino Linotype" w:hAnsi="Palatino Linotype" w:cs="Tahoma"/>
          <w:bCs/>
          <w:iCs/>
          <w:sz w:val="22"/>
          <w:szCs w:val="22"/>
        </w:rPr>
        <w:t>l</w:t>
      </w:r>
      <w:r w:rsidRPr="005A4A25">
        <w:rPr>
          <w:rFonts w:ascii="Palatino Linotype" w:hAnsi="Palatino Linotype" w:cs="Tahoma"/>
          <w:bCs/>
          <w:iCs/>
          <w:sz w:val="22"/>
          <w:szCs w:val="22"/>
        </w:rPr>
        <w:t xml:space="preserve"> Registro del Trámite y Servicio de Valle de Chalco Solidaridad, denominad</w:t>
      </w:r>
      <w:r w:rsidR="00283BAB">
        <w:rPr>
          <w:rFonts w:ascii="Palatino Linotype" w:hAnsi="Palatino Linotype" w:cs="Tahoma"/>
          <w:bCs/>
          <w:iCs/>
          <w:sz w:val="22"/>
          <w:szCs w:val="22"/>
        </w:rPr>
        <w:t>as “Licencia de Funcionamiento”</w:t>
      </w:r>
      <w:r w:rsidRPr="005A4A25">
        <w:rPr>
          <w:rFonts w:ascii="Palatino Linotype" w:hAnsi="Palatino Linotype" w:cs="Tahoma"/>
          <w:bCs/>
          <w:iCs/>
          <w:sz w:val="22"/>
          <w:szCs w:val="22"/>
        </w:rPr>
        <w:t xml:space="preserve"> </w:t>
      </w:r>
      <w:r w:rsidR="00283BAB">
        <w:rPr>
          <w:rFonts w:ascii="Palatino Linotype" w:hAnsi="Palatino Linotype" w:cs="Tahoma"/>
          <w:bCs/>
          <w:iCs/>
          <w:sz w:val="22"/>
          <w:szCs w:val="22"/>
        </w:rPr>
        <w:t xml:space="preserve">y </w:t>
      </w:r>
      <w:r w:rsidRPr="005A4A25">
        <w:rPr>
          <w:rFonts w:ascii="Palatino Linotype" w:hAnsi="Palatino Linotype" w:cs="Tahoma"/>
          <w:bCs/>
          <w:iCs/>
          <w:sz w:val="22"/>
          <w:szCs w:val="22"/>
        </w:rPr>
        <w:t>“</w:t>
      </w:r>
      <w:r w:rsidR="00283BAB" w:rsidRPr="00283BAB">
        <w:rPr>
          <w:rFonts w:ascii="Palatino Linotype" w:hAnsi="Palatino Linotype" w:cs="Tahoma"/>
          <w:bCs/>
          <w:iCs/>
          <w:sz w:val="22"/>
          <w:szCs w:val="22"/>
        </w:rPr>
        <w:t>Expedición y refrendo de la licencia de funcionamiento para mercados</w:t>
      </w:r>
      <w:r w:rsidRPr="005A4A25">
        <w:rPr>
          <w:rFonts w:ascii="Palatino Linotype" w:hAnsi="Palatino Linotype" w:cs="Tahoma"/>
          <w:bCs/>
          <w:iCs/>
          <w:sz w:val="22"/>
          <w:szCs w:val="22"/>
        </w:rPr>
        <w:t xml:space="preserve">”, </w:t>
      </w:r>
      <w:r w:rsidR="00283BAB">
        <w:rPr>
          <w:rFonts w:ascii="Palatino Linotype" w:hAnsi="Palatino Linotype" w:cs="Tahoma"/>
          <w:bCs/>
          <w:iCs/>
          <w:sz w:val="22"/>
          <w:szCs w:val="22"/>
        </w:rPr>
        <w:t>los cuales tienen como fin emitir un documento que faculta a una persona física o moral, para ejercer actividades comerciales, tal como se muestra a continuación:</w:t>
      </w:r>
    </w:p>
    <w:p w14:paraId="5A99B605" w14:textId="77777777" w:rsidR="00283BAB" w:rsidRDefault="00283BAB" w:rsidP="008B3A20">
      <w:pPr>
        <w:spacing w:line="360" w:lineRule="auto"/>
        <w:ind w:right="-28"/>
        <w:contextualSpacing/>
        <w:jc w:val="both"/>
        <w:rPr>
          <w:rFonts w:ascii="Palatino Linotype" w:hAnsi="Palatino Linotype" w:cs="Tahoma"/>
          <w:bCs/>
          <w:iCs/>
          <w:sz w:val="22"/>
          <w:szCs w:val="22"/>
        </w:rPr>
      </w:pPr>
    </w:p>
    <w:p w14:paraId="5FE54B25" w14:textId="44672C4D" w:rsidR="00283BAB" w:rsidRDefault="00283BAB" w:rsidP="008B3A20">
      <w:pPr>
        <w:spacing w:line="360" w:lineRule="auto"/>
        <w:ind w:right="-28"/>
        <w:contextualSpacing/>
        <w:jc w:val="center"/>
        <w:rPr>
          <w:rFonts w:ascii="Palatino Linotype" w:hAnsi="Palatino Linotype" w:cs="Tahoma"/>
          <w:bCs/>
          <w:iCs/>
          <w:sz w:val="22"/>
          <w:szCs w:val="22"/>
        </w:rPr>
      </w:pPr>
      <w:r w:rsidRPr="00283BAB">
        <w:rPr>
          <w:rFonts w:ascii="Palatino Linotype" w:hAnsi="Palatino Linotype" w:cs="Tahoma"/>
          <w:bCs/>
          <w:iCs/>
          <w:noProof/>
          <w:sz w:val="22"/>
          <w:szCs w:val="22"/>
          <w:lang w:eastAsia="es-MX"/>
        </w:rPr>
        <w:drawing>
          <wp:inline distT="0" distB="0" distL="0" distR="0" wp14:anchorId="451B4CDB" wp14:editId="43604C6B">
            <wp:extent cx="4915586" cy="1886213"/>
            <wp:effectExtent l="0" t="0" r="0" b="0"/>
            <wp:docPr id="13793188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18827" name=""/>
                    <pic:cNvPicPr/>
                  </pic:nvPicPr>
                  <pic:blipFill>
                    <a:blip r:embed="rId9"/>
                    <a:stretch>
                      <a:fillRect/>
                    </a:stretch>
                  </pic:blipFill>
                  <pic:spPr>
                    <a:xfrm>
                      <a:off x="0" y="0"/>
                      <a:ext cx="4915586" cy="1886213"/>
                    </a:xfrm>
                    <a:prstGeom prst="rect">
                      <a:avLst/>
                    </a:prstGeom>
                  </pic:spPr>
                </pic:pic>
              </a:graphicData>
            </a:graphic>
          </wp:inline>
        </w:drawing>
      </w:r>
    </w:p>
    <w:p w14:paraId="4AC7AE79" w14:textId="77777777" w:rsidR="00283BAB" w:rsidRPr="005A4A25" w:rsidRDefault="00283BAB" w:rsidP="008B3A20">
      <w:pPr>
        <w:spacing w:line="360" w:lineRule="auto"/>
        <w:ind w:right="-28"/>
        <w:contextualSpacing/>
        <w:jc w:val="center"/>
        <w:rPr>
          <w:rFonts w:ascii="Palatino Linotype" w:hAnsi="Palatino Linotype" w:cs="Tahoma"/>
          <w:bCs/>
          <w:iCs/>
          <w:sz w:val="22"/>
          <w:szCs w:val="22"/>
        </w:rPr>
      </w:pPr>
    </w:p>
    <w:p w14:paraId="521B3B26" w14:textId="1D3CB766" w:rsidR="009D6E46" w:rsidRPr="005A4A25" w:rsidRDefault="00283BAB" w:rsidP="008B3A20">
      <w:pPr>
        <w:spacing w:line="360" w:lineRule="auto"/>
        <w:ind w:right="-28"/>
        <w:contextualSpacing/>
        <w:jc w:val="center"/>
        <w:rPr>
          <w:rFonts w:ascii="Palatino Linotype" w:hAnsi="Palatino Linotype" w:cs="Tahoma"/>
          <w:bCs/>
          <w:iCs/>
          <w:sz w:val="22"/>
          <w:szCs w:val="22"/>
        </w:rPr>
      </w:pPr>
      <w:r w:rsidRPr="00283BAB">
        <w:rPr>
          <w:rFonts w:ascii="Palatino Linotype" w:hAnsi="Palatino Linotype" w:cs="Tahoma"/>
          <w:bCs/>
          <w:iCs/>
          <w:noProof/>
          <w:sz w:val="22"/>
          <w:szCs w:val="22"/>
          <w:lang w:eastAsia="es-MX"/>
        </w:rPr>
        <w:drawing>
          <wp:inline distT="0" distB="0" distL="0" distR="0" wp14:anchorId="3D54883D" wp14:editId="6EFB713C">
            <wp:extent cx="4906060" cy="1905266"/>
            <wp:effectExtent l="0" t="0" r="8890" b="0"/>
            <wp:docPr id="10189321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32157" name=""/>
                    <pic:cNvPicPr/>
                  </pic:nvPicPr>
                  <pic:blipFill>
                    <a:blip r:embed="rId10"/>
                    <a:stretch>
                      <a:fillRect/>
                    </a:stretch>
                  </pic:blipFill>
                  <pic:spPr>
                    <a:xfrm>
                      <a:off x="0" y="0"/>
                      <a:ext cx="4906060" cy="1905266"/>
                    </a:xfrm>
                    <a:prstGeom prst="rect">
                      <a:avLst/>
                    </a:prstGeom>
                  </pic:spPr>
                </pic:pic>
              </a:graphicData>
            </a:graphic>
          </wp:inline>
        </w:drawing>
      </w:r>
    </w:p>
    <w:p w14:paraId="2537A741" w14:textId="54E19076" w:rsidR="0034585A" w:rsidRPr="005A4A25" w:rsidRDefault="0034585A" w:rsidP="008B3A20">
      <w:pPr>
        <w:spacing w:line="360" w:lineRule="auto"/>
        <w:ind w:right="-28"/>
        <w:contextualSpacing/>
        <w:jc w:val="both"/>
        <w:rPr>
          <w:rFonts w:ascii="Palatino Linotype" w:hAnsi="Palatino Linotype" w:cs="Tahoma"/>
          <w:bCs/>
          <w:iCs/>
          <w:sz w:val="22"/>
          <w:szCs w:val="22"/>
        </w:rPr>
      </w:pPr>
    </w:p>
    <w:p w14:paraId="4219BAA9" w14:textId="0602D84B" w:rsidR="009D6E46" w:rsidRPr="005A4A25" w:rsidRDefault="00A7767E" w:rsidP="008B3A20">
      <w:pPr>
        <w:tabs>
          <w:tab w:val="left" w:pos="4962"/>
        </w:tabs>
        <w:spacing w:line="360" w:lineRule="auto"/>
        <w:ind w:right="-28"/>
        <w:contextualSpacing/>
        <w:jc w:val="both"/>
        <w:rPr>
          <w:rFonts w:ascii="Palatino Linotype" w:eastAsia="Calibri" w:hAnsi="Palatino Linotype" w:cs="Tahoma"/>
          <w:iCs/>
          <w:sz w:val="22"/>
          <w:szCs w:val="22"/>
          <w:lang w:eastAsia="es-ES_tradnl"/>
        </w:rPr>
      </w:pPr>
      <w:r>
        <w:rPr>
          <w:rFonts w:ascii="Palatino Linotype" w:hAnsi="Palatino Linotype" w:cs="Tahoma"/>
          <w:bCs/>
          <w:iCs/>
          <w:sz w:val="22"/>
          <w:szCs w:val="22"/>
        </w:rPr>
        <w:t>Conforme a lo anterior</w:t>
      </w:r>
      <w:r w:rsidR="009D6E46" w:rsidRPr="005A4A25">
        <w:rPr>
          <w:rFonts w:ascii="Palatino Linotype" w:hAnsi="Palatino Linotype" w:cs="Tahoma"/>
          <w:bCs/>
          <w:iCs/>
          <w:sz w:val="22"/>
          <w:szCs w:val="22"/>
        </w:rPr>
        <w:t xml:space="preserve">, se considera que la pretensión del ahora Recurrente es obtener </w:t>
      </w:r>
      <w:r>
        <w:rPr>
          <w:rFonts w:ascii="Palatino Linotype" w:hAnsi="Palatino Linotype" w:cs="Tahoma"/>
          <w:bCs/>
          <w:iCs/>
          <w:sz w:val="22"/>
          <w:szCs w:val="22"/>
        </w:rPr>
        <w:t>las Licencias de Funcionamiento emitidas tanto por la Dirección de Desarrollo Económico, como la Dirección de Industria y Comercio, del primero de enero de dos mil veinte al siete de marzo de dos mil veinticinco.</w:t>
      </w:r>
    </w:p>
    <w:p w14:paraId="445CE614" w14:textId="52B6DD6D" w:rsidR="00426ADE" w:rsidRPr="005A4A25" w:rsidRDefault="00426ADE" w:rsidP="008B3A20">
      <w:pPr>
        <w:spacing w:line="360" w:lineRule="auto"/>
        <w:contextualSpacing/>
        <w:jc w:val="both"/>
        <w:rPr>
          <w:rFonts w:ascii="Palatino Linotype" w:hAnsi="Palatino Linotype" w:cs="Tahoma"/>
          <w:bCs/>
          <w:iCs/>
          <w:sz w:val="22"/>
          <w:szCs w:val="22"/>
        </w:rPr>
      </w:pPr>
      <w:r w:rsidRPr="005A4A25">
        <w:rPr>
          <w:rFonts w:ascii="Palatino Linotype" w:hAnsi="Palatino Linotype" w:cs="Tahoma"/>
          <w:bCs/>
          <w:iCs/>
          <w:sz w:val="22"/>
          <w:szCs w:val="22"/>
        </w:rPr>
        <w:lastRenderedPageBreak/>
        <w:t>Ahora bien, de las constancias que obran en el expediente</w:t>
      </w:r>
      <w:r w:rsidR="009D6E46" w:rsidRPr="005A4A25">
        <w:rPr>
          <w:rFonts w:ascii="Palatino Linotype" w:hAnsi="Palatino Linotype" w:cs="Tahoma"/>
          <w:bCs/>
          <w:iCs/>
          <w:sz w:val="22"/>
          <w:szCs w:val="22"/>
        </w:rPr>
        <w:t xml:space="preserve"> y el apartado de requerimientos</w:t>
      </w:r>
      <w:r w:rsidRPr="005A4A25">
        <w:rPr>
          <w:rFonts w:ascii="Palatino Linotype" w:hAnsi="Palatino Linotype" w:cs="Tahoma"/>
          <w:bCs/>
          <w:iCs/>
          <w:sz w:val="22"/>
          <w:szCs w:val="22"/>
        </w:rPr>
        <w:t xml:space="preserve">, se logra vislumbrar que el Sujeto Obligado, turno la solicitud de información a </w:t>
      </w:r>
      <w:r w:rsidR="004723FC" w:rsidRPr="005A4A25">
        <w:rPr>
          <w:rFonts w:ascii="Palatino Linotype" w:hAnsi="Palatino Linotype" w:cs="Tahoma"/>
          <w:bCs/>
          <w:iCs/>
          <w:sz w:val="22"/>
          <w:szCs w:val="22"/>
        </w:rPr>
        <w:t xml:space="preserve">la </w:t>
      </w:r>
      <w:r w:rsidR="00A7767E">
        <w:rPr>
          <w:rFonts w:ascii="Palatino Linotype" w:hAnsi="Palatino Linotype" w:cs="Tahoma"/>
          <w:bCs/>
          <w:iCs/>
          <w:sz w:val="22"/>
          <w:szCs w:val="22"/>
        </w:rPr>
        <w:t xml:space="preserve">Dirección de Desarrollo Económico y la </w:t>
      </w:r>
      <w:r w:rsidR="009D6E46" w:rsidRPr="005A4A25">
        <w:rPr>
          <w:rFonts w:ascii="Palatino Linotype" w:hAnsi="Palatino Linotype" w:cs="Tahoma"/>
          <w:bCs/>
          <w:iCs/>
          <w:sz w:val="22"/>
          <w:szCs w:val="22"/>
        </w:rPr>
        <w:t>Dirección de Industria y Comercio</w:t>
      </w:r>
      <w:r w:rsidRPr="005A4A25">
        <w:rPr>
          <w:rFonts w:ascii="Palatino Linotype" w:hAnsi="Palatino Linotype" w:cs="Tahoma"/>
          <w:bCs/>
          <w:iCs/>
          <w:sz w:val="22"/>
          <w:szCs w:val="22"/>
        </w:rPr>
        <w:t xml:space="preserve">, por lo que, es necesario hacer referencia al </w:t>
      </w:r>
      <w:r w:rsidRPr="005A4A25">
        <w:rPr>
          <w:rFonts w:ascii="Palatino Linotype" w:hAnsi="Palatino Linotype" w:cs="Tahoma"/>
          <w:b/>
          <w:iCs/>
          <w:sz w:val="22"/>
          <w:szCs w:val="22"/>
        </w:rPr>
        <w:t>procedimiento de búsqueda que deben de seguir los Sujetos Obligados para localizar la información</w:t>
      </w:r>
      <w:r w:rsidRPr="005A4A25">
        <w:rPr>
          <w:rFonts w:ascii="Palatino Linotype" w:hAnsi="Palatino Linotype" w:cs="Tahoma"/>
          <w:bCs/>
          <w:iCs/>
          <w:sz w:val="22"/>
          <w:szCs w:val="22"/>
        </w:rPr>
        <w:t xml:space="preserve">, el cual se encuentra previsto en </w:t>
      </w:r>
      <w:r w:rsidR="00A7767E">
        <w:rPr>
          <w:rFonts w:ascii="Palatino Linotype" w:hAnsi="Palatino Linotype" w:cs="Tahoma"/>
          <w:bCs/>
          <w:iCs/>
          <w:sz w:val="22"/>
          <w:szCs w:val="22"/>
        </w:rPr>
        <w:t>el artículo</w:t>
      </w:r>
      <w:r w:rsidRPr="005A4A25">
        <w:rPr>
          <w:rFonts w:ascii="Palatino Linotype" w:hAnsi="Palatino Linotype" w:cs="Tahoma"/>
          <w:bCs/>
          <w:iCs/>
          <w:sz w:val="22"/>
          <w:szCs w:val="22"/>
        </w:rPr>
        <w:t xml:space="preserve"> 162 de la Ley de Transparencia y Acceso a la Información Pública del Estado de México y Municipios</w:t>
      </w:r>
      <w:r w:rsidR="00A7767E">
        <w:rPr>
          <w:rFonts w:ascii="Palatino Linotype" w:hAnsi="Palatino Linotype" w:cs="Tahoma"/>
          <w:bCs/>
          <w:iCs/>
          <w:sz w:val="22"/>
          <w:szCs w:val="22"/>
        </w:rPr>
        <w:t>, el cual establece que las</w:t>
      </w:r>
      <w:r w:rsidRPr="005A4A25">
        <w:rPr>
          <w:rFonts w:ascii="Palatino Linotype" w:hAnsi="Palatino Linotype" w:cs="Tahoma"/>
          <w:bCs/>
          <w:iCs/>
          <w:sz w:val="22"/>
          <w:szCs w:val="22"/>
        </w:rPr>
        <w:t xml:space="preserve">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w:t>
      </w:r>
      <w:r w:rsidR="00A7767E">
        <w:rPr>
          <w:rFonts w:ascii="Palatino Linotype" w:hAnsi="Palatino Linotype" w:cs="Tahoma"/>
          <w:bCs/>
          <w:iCs/>
          <w:sz w:val="22"/>
          <w:szCs w:val="22"/>
        </w:rPr>
        <w:t>.</w:t>
      </w:r>
    </w:p>
    <w:p w14:paraId="3AF367DB" w14:textId="77777777" w:rsidR="00426ADE" w:rsidRPr="005A4A25" w:rsidRDefault="00426ADE" w:rsidP="008B3A20">
      <w:pPr>
        <w:spacing w:line="360" w:lineRule="auto"/>
        <w:contextualSpacing/>
        <w:jc w:val="both"/>
        <w:rPr>
          <w:rFonts w:ascii="Palatino Linotype" w:hAnsi="Palatino Linotype" w:cs="Tahoma"/>
          <w:b/>
          <w:bCs/>
          <w:iCs/>
          <w:sz w:val="22"/>
          <w:szCs w:val="22"/>
        </w:rPr>
      </w:pPr>
    </w:p>
    <w:p w14:paraId="25AD0040" w14:textId="76E26197" w:rsidR="00426ADE" w:rsidRDefault="00426ADE" w:rsidP="008B3A20">
      <w:pPr>
        <w:spacing w:line="360" w:lineRule="auto"/>
        <w:contextualSpacing/>
        <w:jc w:val="both"/>
        <w:rPr>
          <w:rFonts w:ascii="Palatino Linotype" w:eastAsia="Calibri" w:hAnsi="Palatino Linotype"/>
          <w:sz w:val="22"/>
          <w:szCs w:val="22"/>
        </w:rPr>
      </w:pPr>
      <w:r w:rsidRPr="005A4A25">
        <w:rPr>
          <w:rFonts w:ascii="Palatino Linotype" w:hAnsi="Palatino Linotype" w:cs="Tahoma"/>
          <w:bCs/>
          <w:iCs/>
          <w:sz w:val="22"/>
          <w:szCs w:val="22"/>
        </w:rPr>
        <w:t xml:space="preserve">Así, </w:t>
      </w:r>
      <w:r w:rsidR="009D6E46" w:rsidRPr="005A4A25">
        <w:rPr>
          <w:rFonts w:ascii="Palatino Linotype" w:hAnsi="Palatino Linotype" w:cs="Tahoma"/>
          <w:bCs/>
          <w:iCs/>
          <w:sz w:val="22"/>
          <w:szCs w:val="22"/>
        </w:rPr>
        <w:t xml:space="preserve">se desprende que el Sujeto Obligado cumplió con el procedimiento de búsqueda, toda vez que gestionó la solicitud de información </w:t>
      </w:r>
      <w:r w:rsidR="00A7767E">
        <w:rPr>
          <w:rFonts w:ascii="Palatino Linotype" w:hAnsi="Palatino Linotype" w:cs="Tahoma"/>
          <w:bCs/>
          <w:iCs/>
          <w:sz w:val="22"/>
          <w:szCs w:val="22"/>
        </w:rPr>
        <w:t>a las dos Direcciones</w:t>
      </w:r>
      <w:r w:rsidR="009D6E46" w:rsidRPr="005A4A25">
        <w:rPr>
          <w:rFonts w:ascii="Palatino Linotype" w:hAnsi="Palatino Linotype" w:cs="Tahoma"/>
          <w:bCs/>
          <w:iCs/>
          <w:sz w:val="22"/>
          <w:szCs w:val="22"/>
        </w:rPr>
        <w:t xml:space="preserve"> encargada</w:t>
      </w:r>
      <w:r w:rsidR="00A7767E">
        <w:rPr>
          <w:rFonts w:ascii="Palatino Linotype" w:hAnsi="Palatino Linotype" w:cs="Tahoma"/>
          <w:bCs/>
          <w:iCs/>
          <w:sz w:val="22"/>
          <w:szCs w:val="22"/>
        </w:rPr>
        <w:t>s</w:t>
      </w:r>
      <w:r w:rsidR="009D6E46" w:rsidRPr="005A4A25">
        <w:rPr>
          <w:rFonts w:ascii="Palatino Linotype" w:hAnsi="Palatino Linotype" w:cs="Tahoma"/>
          <w:bCs/>
          <w:iCs/>
          <w:sz w:val="22"/>
          <w:szCs w:val="22"/>
        </w:rPr>
        <w:t xml:space="preserve"> de emiti</w:t>
      </w:r>
      <w:r w:rsidR="00656A99" w:rsidRPr="005A4A25">
        <w:rPr>
          <w:rFonts w:ascii="Palatino Linotype" w:hAnsi="Palatino Linotype" w:cs="Tahoma"/>
          <w:bCs/>
          <w:iCs/>
          <w:sz w:val="22"/>
          <w:szCs w:val="22"/>
        </w:rPr>
        <w:t xml:space="preserve">r </w:t>
      </w:r>
      <w:r w:rsidR="00A7767E">
        <w:rPr>
          <w:rFonts w:ascii="Palatino Linotype" w:hAnsi="Palatino Linotype" w:cs="Tahoma"/>
          <w:bCs/>
          <w:iCs/>
          <w:sz w:val="22"/>
          <w:szCs w:val="22"/>
        </w:rPr>
        <w:t>la</w:t>
      </w:r>
      <w:r w:rsidR="00656A99" w:rsidRPr="005A4A25">
        <w:rPr>
          <w:rFonts w:ascii="Palatino Linotype" w:hAnsi="Palatino Linotype" w:cs="Tahoma"/>
          <w:bCs/>
          <w:iCs/>
          <w:sz w:val="22"/>
          <w:szCs w:val="22"/>
        </w:rPr>
        <w:t xml:space="preserve"> autorización para poder realizar actividad comercial, económica o industrial dentro del Municipio</w:t>
      </w:r>
      <w:r w:rsidR="00A7767E">
        <w:rPr>
          <w:rFonts w:ascii="Palatino Linotype" w:hAnsi="Palatino Linotype" w:cs="Tahoma"/>
          <w:bCs/>
          <w:iCs/>
          <w:sz w:val="22"/>
          <w:szCs w:val="22"/>
        </w:rPr>
        <w:t xml:space="preserve">. </w:t>
      </w:r>
      <w:r w:rsidR="00656A99" w:rsidRPr="005A4A25">
        <w:rPr>
          <w:rFonts w:ascii="Palatino Linotype" w:eastAsia="Calibri" w:hAnsi="Palatino Linotype"/>
          <w:sz w:val="22"/>
          <w:szCs w:val="22"/>
        </w:rPr>
        <w:t>Ahora bien, dicha</w:t>
      </w:r>
      <w:r w:rsidR="00A7767E">
        <w:rPr>
          <w:rFonts w:ascii="Palatino Linotype" w:eastAsia="Calibri" w:hAnsi="Palatino Linotype"/>
          <w:sz w:val="22"/>
          <w:szCs w:val="22"/>
        </w:rPr>
        <w:t>s áreas proporcionaron la siguiente información:</w:t>
      </w:r>
    </w:p>
    <w:p w14:paraId="16115BED" w14:textId="77777777" w:rsidR="00A7767E" w:rsidRDefault="00A7767E" w:rsidP="008B3A20">
      <w:pPr>
        <w:spacing w:line="360" w:lineRule="auto"/>
        <w:contextualSpacing/>
        <w:jc w:val="both"/>
        <w:rPr>
          <w:rFonts w:ascii="Palatino Linotype" w:eastAsia="Calibri" w:hAnsi="Palatino Linotype"/>
          <w:sz w:val="22"/>
          <w:szCs w:val="22"/>
        </w:rPr>
      </w:pPr>
    </w:p>
    <w:tbl>
      <w:tblPr>
        <w:tblStyle w:val="Tablaconcuadrcula"/>
        <w:tblW w:w="0" w:type="auto"/>
        <w:tblLook w:val="04A0" w:firstRow="1" w:lastRow="0" w:firstColumn="1" w:lastColumn="0" w:noHBand="0" w:noVBand="1"/>
      </w:tblPr>
      <w:tblGrid>
        <w:gridCol w:w="3114"/>
        <w:gridCol w:w="992"/>
        <w:gridCol w:w="992"/>
        <w:gridCol w:w="993"/>
        <w:gridCol w:w="992"/>
        <w:gridCol w:w="992"/>
        <w:gridCol w:w="959"/>
      </w:tblGrid>
      <w:tr w:rsidR="00A32EEA" w14:paraId="7F271421" w14:textId="7112C63C" w:rsidTr="00A32EEA">
        <w:tc>
          <w:tcPr>
            <w:tcW w:w="3114" w:type="dxa"/>
          </w:tcPr>
          <w:p w14:paraId="14E983C5" w14:textId="220B3603" w:rsidR="00A32EEA" w:rsidRPr="00A32EEA" w:rsidRDefault="00A32EEA" w:rsidP="008B3A20">
            <w:pPr>
              <w:spacing w:line="360" w:lineRule="auto"/>
              <w:contextualSpacing/>
              <w:jc w:val="center"/>
              <w:rPr>
                <w:rFonts w:ascii="Palatino Linotype" w:eastAsia="Calibri" w:hAnsi="Palatino Linotype"/>
                <w:b/>
                <w:bCs/>
                <w:sz w:val="18"/>
                <w:szCs w:val="18"/>
              </w:rPr>
            </w:pPr>
            <w:r w:rsidRPr="00A32EEA">
              <w:rPr>
                <w:rFonts w:ascii="Palatino Linotype" w:eastAsia="Calibri" w:hAnsi="Palatino Linotype"/>
                <w:b/>
                <w:bCs/>
                <w:sz w:val="18"/>
                <w:szCs w:val="18"/>
              </w:rPr>
              <w:t>Documento</w:t>
            </w:r>
          </w:p>
        </w:tc>
        <w:tc>
          <w:tcPr>
            <w:tcW w:w="992" w:type="dxa"/>
          </w:tcPr>
          <w:p w14:paraId="5D70DE80" w14:textId="7D6880BA" w:rsidR="00A32EEA" w:rsidRPr="00A32EEA" w:rsidRDefault="00A32EEA" w:rsidP="008B3A20">
            <w:pPr>
              <w:spacing w:line="360" w:lineRule="auto"/>
              <w:contextualSpacing/>
              <w:jc w:val="center"/>
              <w:rPr>
                <w:rFonts w:ascii="Palatino Linotype" w:eastAsia="Calibri" w:hAnsi="Palatino Linotype"/>
                <w:b/>
                <w:bCs/>
                <w:sz w:val="18"/>
                <w:szCs w:val="18"/>
              </w:rPr>
            </w:pPr>
            <w:r w:rsidRPr="00A32EEA">
              <w:rPr>
                <w:rFonts w:ascii="Palatino Linotype" w:eastAsia="Calibri" w:hAnsi="Palatino Linotype"/>
                <w:b/>
                <w:bCs/>
                <w:sz w:val="18"/>
                <w:szCs w:val="18"/>
              </w:rPr>
              <w:t>2020</w:t>
            </w:r>
          </w:p>
        </w:tc>
        <w:tc>
          <w:tcPr>
            <w:tcW w:w="992" w:type="dxa"/>
          </w:tcPr>
          <w:p w14:paraId="4E14CEB5" w14:textId="10D87858" w:rsidR="00A32EEA" w:rsidRPr="00A32EEA" w:rsidRDefault="00A32EEA" w:rsidP="008B3A20">
            <w:pPr>
              <w:spacing w:line="360" w:lineRule="auto"/>
              <w:contextualSpacing/>
              <w:jc w:val="center"/>
              <w:rPr>
                <w:rFonts w:ascii="Palatino Linotype" w:eastAsia="Calibri" w:hAnsi="Palatino Linotype"/>
                <w:b/>
                <w:bCs/>
                <w:sz w:val="18"/>
                <w:szCs w:val="18"/>
              </w:rPr>
            </w:pPr>
            <w:r w:rsidRPr="00A32EEA">
              <w:rPr>
                <w:rFonts w:ascii="Palatino Linotype" w:eastAsia="Calibri" w:hAnsi="Palatino Linotype"/>
                <w:b/>
                <w:bCs/>
                <w:sz w:val="18"/>
                <w:szCs w:val="18"/>
              </w:rPr>
              <w:t>2021</w:t>
            </w:r>
          </w:p>
        </w:tc>
        <w:tc>
          <w:tcPr>
            <w:tcW w:w="993" w:type="dxa"/>
          </w:tcPr>
          <w:p w14:paraId="0F4AD969" w14:textId="0605F191" w:rsidR="00A32EEA" w:rsidRPr="00A32EEA" w:rsidRDefault="00A32EEA" w:rsidP="008B3A20">
            <w:pPr>
              <w:spacing w:line="360" w:lineRule="auto"/>
              <w:contextualSpacing/>
              <w:jc w:val="center"/>
              <w:rPr>
                <w:rFonts w:ascii="Palatino Linotype" w:eastAsia="Calibri" w:hAnsi="Palatino Linotype"/>
                <w:b/>
                <w:bCs/>
                <w:sz w:val="18"/>
                <w:szCs w:val="18"/>
              </w:rPr>
            </w:pPr>
            <w:r w:rsidRPr="00A32EEA">
              <w:rPr>
                <w:rFonts w:ascii="Palatino Linotype" w:eastAsia="Calibri" w:hAnsi="Palatino Linotype"/>
                <w:b/>
                <w:bCs/>
                <w:sz w:val="18"/>
                <w:szCs w:val="18"/>
              </w:rPr>
              <w:t>2022</w:t>
            </w:r>
          </w:p>
        </w:tc>
        <w:tc>
          <w:tcPr>
            <w:tcW w:w="992" w:type="dxa"/>
          </w:tcPr>
          <w:p w14:paraId="45835AF3" w14:textId="25D25011" w:rsidR="00A32EEA" w:rsidRPr="00A32EEA" w:rsidRDefault="00A32EEA" w:rsidP="008B3A20">
            <w:pPr>
              <w:spacing w:line="360" w:lineRule="auto"/>
              <w:contextualSpacing/>
              <w:jc w:val="center"/>
              <w:rPr>
                <w:rFonts w:ascii="Palatino Linotype" w:eastAsia="Calibri" w:hAnsi="Palatino Linotype"/>
                <w:b/>
                <w:bCs/>
                <w:sz w:val="18"/>
                <w:szCs w:val="18"/>
              </w:rPr>
            </w:pPr>
            <w:r w:rsidRPr="00A32EEA">
              <w:rPr>
                <w:rFonts w:ascii="Palatino Linotype" w:eastAsia="Calibri" w:hAnsi="Palatino Linotype"/>
                <w:b/>
                <w:bCs/>
                <w:sz w:val="18"/>
                <w:szCs w:val="18"/>
              </w:rPr>
              <w:t>2023</w:t>
            </w:r>
          </w:p>
        </w:tc>
        <w:tc>
          <w:tcPr>
            <w:tcW w:w="992" w:type="dxa"/>
          </w:tcPr>
          <w:p w14:paraId="5B44F2E5" w14:textId="270702B6" w:rsidR="00A32EEA" w:rsidRPr="00A32EEA" w:rsidRDefault="00A32EEA" w:rsidP="008B3A20">
            <w:pPr>
              <w:spacing w:line="360" w:lineRule="auto"/>
              <w:contextualSpacing/>
              <w:jc w:val="center"/>
              <w:rPr>
                <w:rFonts w:ascii="Palatino Linotype" w:eastAsia="Calibri" w:hAnsi="Palatino Linotype"/>
                <w:b/>
                <w:bCs/>
                <w:sz w:val="18"/>
                <w:szCs w:val="18"/>
              </w:rPr>
            </w:pPr>
            <w:r w:rsidRPr="00A32EEA">
              <w:rPr>
                <w:rFonts w:ascii="Palatino Linotype" w:eastAsia="Calibri" w:hAnsi="Palatino Linotype"/>
                <w:b/>
                <w:bCs/>
                <w:sz w:val="18"/>
                <w:szCs w:val="18"/>
              </w:rPr>
              <w:t>2024</w:t>
            </w:r>
          </w:p>
        </w:tc>
        <w:tc>
          <w:tcPr>
            <w:tcW w:w="959" w:type="dxa"/>
          </w:tcPr>
          <w:p w14:paraId="784BCE53" w14:textId="53A4223B" w:rsidR="00A32EEA" w:rsidRPr="00A32EEA" w:rsidRDefault="00A32EEA" w:rsidP="008B3A20">
            <w:pPr>
              <w:spacing w:line="360" w:lineRule="auto"/>
              <w:contextualSpacing/>
              <w:jc w:val="center"/>
              <w:rPr>
                <w:rFonts w:ascii="Palatino Linotype" w:eastAsia="Calibri" w:hAnsi="Palatino Linotype"/>
                <w:b/>
                <w:bCs/>
                <w:sz w:val="18"/>
                <w:szCs w:val="18"/>
              </w:rPr>
            </w:pPr>
            <w:r w:rsidRPr="00A32EEA">
              <w:rPr>
                <w:rFonts w:ascii="Palatino Linotype" w:eastAsia="Calibri" w:hAnsi="Palatino Linotype"/>
                <w:b/>
                <w:bCs/>
                <w:sz w:val="18"/>
                <w:szCs w:val="18"/>
              </w:rPr>
              <w:t>2025</w:t>
            </w:r>
          </w:p>
        </w:tc>
      </w:tr>
      <w:tr w:rsidR="00A32EEA" w14:paraId="2FB2C9CD" w14:textId="0F3740F7" w:rsidTr="00A32EEA">
        <w:tc>
          <w:tcPr>
            <w:tcW w:w="3114" w:type="dxa"/>
          </w:tcPr>
          <w:p w14:paraId="193C2722" w14:textId="700EEC7B" w:rsidR="00A32EEA" w:rsidRPr="00A32EEA" w:rsidRDefault="00A32EEA" w:rsidP="008B3A20">
            <w:pPr>
              <w:spacing w:line="360" w:lineRule="auto"/>
              <w:contextualSpacing/>
              <w:jc w:val="both"/>
              <w:rPr>
                <w:rFonts w:ascii="Palatino Linotype" w:eastAsia="Calibri" w:hAnsi="Palatino Linotype"/>
                <w:sz w:val="18"/>
                <w:szCs w:val="18"/>
              </w:rPr>
            </w:pPr>
            <w:r w:rsidRPr="00A32EEA">
              <w:rPr>
                <w:rFonts w:ascii="Palatino Linotype" w:eastAsia="Calibri" w:hAnsi="Palatino Linotype"/>
                <w:sz w:val="18"/>
                <w:szCs w:val="18"/>
              </w:rPr>
              <w:t>Licencia de Funcionamiento de la Dirección de Desarrollo Económico</w:t>
            </w:r>
          </w:p>
        </w:tc>
        <w:tc>
          <w:tcPr>
            <w:tcW w:w="992" w:type="dxa"/>
          </w:tcPr>
          <w:p w14:paraId="33B6019E" w14:textId="7F7CFCEC"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193</w:t>
            </w:r>
          </w:p>
        </w:tc>
        <w:tc>
          <w:tcPr>
            <w:tcW w:w="992" w:type="dxa"/>
          </w:tcPr>
          <w:p w14:paraId="6868E210" w14:textId="6D08B334" w:rsidR="00A32EEA" w:rsidRPr="00A32EEA" w:rsidRDefault="001E5496"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632</w:t>
            </w:r>
          </w:p>
        </w:tc>
        <w:tc>
          <w:tcPr>
            <w:tcW w:w="993" w:type="dxa"/>
          </w:tcPr>
          <w:p w14:paraId="1AB56D96" w14:textId="6C85690C"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731</w:t>
            </w:r>
          </w:p>
        </w:tc>
        <w:tc>
          <w:tcPr>
            <w:tcW w:w="992" w:type="dxa"/>
          </w:tcPr>
          <w:p w14:paraId="3D39CAF1" w14:textId="60A8ABF3"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785</w:t>
            </w:r>
          </w:p>
        </w:tc>
        <w:tc>
          <w:tcPr>
            <w:tcW w:w="992" w:type="dxa"/>
          </w:tcPr>
          <w:p w14:paraId="6D2B42E9" w14:textId="7E9E40AD"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790</w:t>
            </w:r>
          </w:p>
        </w:tc>
        <w:tc>
          <w:tcPr>
            <w:tcW w:w="959" w:type="dxa"/>
          </w:tcPr>
          <w:p w14:paraId="55C3EC1E" w14:textId="08FDD012"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195</w:t>
            </w:r>
          </w:p>
        </w:tc>
      </w:tr>
      <w:tr w:rsidR="00A32EEA" w14:paraId="500C4003" w14:textId="58461111" w:rsidTr="00A32EEA">
        <w:tc>
          <w:tcPr>
            <w:tcW w:w="3114" w:type="dxa"/>
          </w:tcPr>
          <w:p w14:paraId="78F47956" w14:textId="0EDE2387" w:rsidR="00A32EEA" w:rsidRPr="00A32EEA" w:rsidRDefault="00A32EEA" w:rsidP="008B3A20">
            <w:pPr>
              <w:spacing w:line="360" w:lineRule="auto"/>
              <w:contextualSpacing/>
              <w:jc w:val="both"/>
              <w:rPr>
                <w:rFonts w:ascii="Palatino Linotype" w:eastAsia="Calibri" w:hAnsi="Palatino Linotype"/>
                <w:sz w:val="18"/>
                <w:szCs w:val="18"/>
              </w:rPr>
            </w:pPr>
            <w:r w:rsidRPr="00A32EEA">
              <w:rPr>
                <w:rFonts w:ascii="Palatino Linotype" w:eastAsia="Calibri" w:hAnsi="Palatino Linotype"/>
                <w:sz w:val="18"/>
                <w:szCs w:val="18"/>
              </w:rPr>
              <w:t xml:space="preserve">Licencia de Funcionamiento de la Dirección de </w:t>
            </w:r>
            <w:r w:rsidRPr="00A32EEA">
              <w:rPr>
                <w:rFonts w:ascii="Palatino Linotype" w:hAnsi="Palatino Linotype" w:cs="Tahoma"/>
                <w:bCs/>
                <w:iCs/>
                <w:sz w:val="18"/>
                <w:szCs w:val="18"/>
                <w:lang w:val="es-MX"/>
              </w:rPr>
              <w:t>Industria y Comercio</w:t>
            </w:r>
            <w:r w:rsidRPr="00A32EEA">
              <w:rPr>
                <w:rFonts w:ascii="Palatino Linotype" w:eastAsia="Calibri" w:hAnsi="Palatino Linotype"/>
                <w:sz w:val="18"/>
                <w:szCs w:val="18"/>
              </w:rPr>
              <w:t xml:space="preserve"> </w:t>
            </w:r>
          </w:p>
        </w:tc>
        <w:tc>
          <w:tcPr>
            <w:tcW w:w="992" w:type="dxa"/>
          </w:tcPr>
          <w:p w14:paraId="55DFDD77" w14:textId="106420AA"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684</w:t>
            </w:r>
          </w:p>
        </w:tc>
        <w:tc>
          <w:tcPr>
            <w:tcW w:w="992" w:type="dxa"/>
          </w:tcPr>
          <w:p w14:paraId="083FF693" w14:textId="0C5EDFB3"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520</w:t>
            </w:r>
          </w:p>
        </w:tc>
        <w:tc>
          <w:tcPr>
            <w:tcW w:w="993" w:type="dxa"/>
          </w:tcPr>
          <w:p w14:paraId="18E31ECD" w14:textId="1FEBFF0C"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363</w:t>
            </w:r>
          </w:p>
        </w:tc>
        <w:tc>
          <w:tcPr>
            <w:tcW w:w="992" w:type="dxa"/>
          </w:tcPr>
          <w:p w14:paraId="5C215731" w14:textId="4EC495D1"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53</w:t>
            </w:r>
          </w:p>
        </w:tc>
        <w:tc>
          <w:tcPr>
            <w:tcW w:w="992" w:type="dxa"/>
          </w:tcPr>
          <w:p w14:paraId="061ADFE6" w14:textId="0E9CED73"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342</w:t>
            </w:r>
          </w:p>
        </w:tc>
        <w:tc>
          <w:tcPr>
            <w:tcW w:w="959" w:type="dxa"/>
          </w:tcPr>
          <w:p w14:paraId="13098EAC" w14:textId="344B06E3"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90</w:t>
            </w:r>
          </w:p>
        </w:tc>
      </w:tr>
      <w:tr w:rsidR="00A32EEA" w14:paraId="493BD5AD" w14:textId="70B319A0" w:rsidTr="00A32EEA">
        <w:tc>
          <w:tcPr>
            <w:tcW w:w="3114" w:type="dxa"/>
          </w:tcPr>
          <w:p w14:paraId="01009B8B" w14:textId="4711E36E" w:rsidR="00A32EEA" w:rsidRPr="00A32EEA" w:rsidRDefault="00A32EEA" w:rsidP="008B3A20">
            <w:pPr>
              <w:spacing w:line="360" w:lineRule="auto"/>
              <w:contextualSpacing/>
              <w:jc w:val="both"/>
              <w:rPr>
                <w:rFonts w:ascii="Palatino Linotype" w:eastAsia="Calibri" w:hAnsi="Palatino Linotype"/>
                <w:sz w:val="18"/>
                <w:szCs w:val="18"/>
              </w:rPr>
            </w:pPr>
            <w:r w:rsidRPr="00A32EEA">
              <w:rPr>
                <w:rFonts w:ascii="Palatino Linotype" w:eastAsia="Calibri" w:hAnsi="Palatino Linotype"/>
                <w:sz w:val="18"/>
                <w:szCs w:val="18"/>
              </w:rPr>
              <w:t xml:space="preserve">Licencia de Funcionamiento para mercado de la Dirección de </w:t>
            </w:r>
            <w:r w:rsidRPr="00A32EEA">
              <w:rPr>
                <w:rFonts w:ascii="Palatino Linotype" w:hAnsi="Palatino Linotype" w:cs="Tahoma"/>
                <w:bCs/>
                <w:iCs/>
                <w:sz w:val="18"/>
                <w:szCs w:val="18"/>
                <w:lang w:val="es-MX"/>
              </w:rPr>
              <w:t>Industria y Comercio</w:t>
            </w:r>
          </w:p>
        </w:tc>
        <w:tc>
          <w:tcPr>
            <w:tcW w:w="992" w:type="dxa"/>
          </w:tcPr>
          <w:p w14:paraId="0F5BDEEB" w14:textId="1AD50FB5"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256</w:t>
            </w:r>
          </w:p>
        </w:tc>
        <w:tc>
          <w:tcPr>
            <w:tcW w:w="992" w:type="dxa"/>
          </w:tcPr>
          <w:p w14:paraId="5283926C" w14:textId="49C85764"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302</w:t>
            </w:r>
          </w:p>
        </w:tc>
        <w:tc>
          <w:tcPr>
            <w:tcW w:w="993" w:type="dxa"/>
          </w:tcPr>
          <w:p w14:paraId="1C950F4B" w14:textId="270F2CEB"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86</w:t>
            </w:r>
          </w:p>
        </w:tc>
        <w:tc>
          <w:tcPr>
            <w:tcW w:w="992" w:type="dxa"/>
          </w:tcPr>
          <w:p w14:paraId="1D786825" w14:textId="47BBC911"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263</w:t>
            </w:r>
          </w:p>
        </w:tc>
        <w:tc>
          <w:tcPr>
            <w:tcW w:w="992" w:type="dxa"/>
          </w:tcPr>
          <w:p w14:paraId="2F401A40" w14:textId="412C780F"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345</w:t>
            </w:r>
          </w:p>
        </w:tc>
        <w:tc>
          <w:tcPr>
            <w:tcW w:w="959" w:type="dxa"/>
          </w:tcPr>
          <w:p w14:paraId="21EAF15C" w14:textId="3D53F4A1" w:rsidR="00A32EEA" w:rsidRPr="00A32EEA" w:rsidRDefault="00A32EEA" w:rsidP="008B3A20">
            <w:pPr>
              <w:spacing w:line="360" w:lineRule="auto"/>
              <w:contextualSpacing/>
              <w:jc w:val="center"/>
              <w:rPr>
                <w:rFonts w:ascii="Palatino Linotype" w:eastAsia="Calibri" w:hAnsi="Palatino Linotype"/>
                <w:sz w:val="18"/>
                <w:szCs w:val="18"/>
              </w:rPr>
            </w:pPr>
            <w:r>
              <w:rPr>
                <w:rFonts w:ascii="Palatino Linotype" w:eastAsia="Calibri" w:hAnsi="Palatino Linotype"/>
                <w:sz w:val="18"/>
                <w:szCs w:val="18"/>
              </w:rPr>
              <w:t>0</w:t>
            </w:r>
          </w:p>
        </w:tc>
      </w:tr>
    </w:tbl>
    <w:p w14:paraId="3085BA33" w14:textId="77777777" w:rsidR="00A7767E" w:rsidRPr="005A4A25" w:rsidRDefault="00A7767E" w:rsidP="008B3A20">
      <w:pPr>
        <w:spacing w:line="360" w:lineRule="auto"/>
        <w:contextualSpacing/>
        <w:jc w:val="both"/>
        <w:rPr>
          <w:rFonts w:ascii="Palatino Linotype" w:eastAsia="Calibri" w:hAnsi="Palatino Linotype"/>
          <w:sz w:val="22"/>
          <w:szCs w:val="22"/>
        </w:rPr>
      </w:pPr>
    </w:p>
    <w:p w14:paraId="3D0A7BE0" w14:textId="4453F7D4" w:rsidR="00656A99" w:rsidRPr="005A4A25" w:rsidRDefault="00656A99" w:rsidP="008B3A20">
      <w:pPr>
        <w:spacing w:line="360" w:lineRule="auto"/>
        <w:ind w:right="-28"/>
        <w:contextualSpacing/>
        <w:jc w:val="both"/>
        <w:rPr>
          <w:rFonts w:ascii="Palatino Linotype" w:eastAsia="Calibri" w:hAnsi="Palatino Linotype"/>
          <w:sz w:val="22"/>
          <w:szCs w:val="22"/>
        </w:rPr>
      </w:pPr>
    </w:p>
    <w:p w14:paraId="4B4B3F44" w14:textId="01CFC85B" w:rsidR="00656A99" w:rsidRPr="005A4A25" w:rsidRDefault="00656A99" w:rsidP="008B3A20">
      <w:pPr>
        <w:spacing w:line="360" w:lineRule="auto"/>
        <w:ind w:right="-28"/>
        <w:contextualSpacing/>
        <w:jc w:val="both"/>
        <w:rPr>
          <w:rFonts w:ascii="Palatino Linotype" w:eastAsia="Calibri" w:hAnsi="Palatino Linotype"/>
          <w:sz w:val="22"/>
          <w:szCs w:val="22"/>
        </w:rPr>
      </w:pPr>
    </w:p>
    <w:p w14:paraId="766BDDF1" w14:textId="77777777" w:rsidR="00B22BC2" w:rsidRPr="005A4A25" w:rsidRDefault="00B22BC2" w:rsidP="008B3A20">
      <w:pPr>
        <w:spacing w:line="360" w:lineRule="auto"/>
        <w:contextualSpacing/>
        <w:rPr>
          <w:rFonts w:ascii="Palatino Linotype" w:eastAsia="Calibri" w:hAnsi="Palatino Linotype" w:cs="Tahoma"/>
          <w:color w:val="000000"/>
          <w:lang w:eastAsia="es-MX"/>
        </w:rPr>
      </w:pPr>
    </w:p>
    <w:p w14:paraId="36830446" w14:textId="2541F7A2" w:rsidR="00B22BC2" w:rsidRDefault="001E5496" w:rsidP="008B3A20">
      <w:pPr>
        <w:spacing w:line="360" w:lineRule="auto"/>
        <w:contextualSpacing/>
        <w:jc w:val="both"/>
        <w:rPr>
          <w:rFonts w:ascii="Palatino Linotype" w:eastAsia="Calibri" w:hAnsi="Palatino Linotype" w:cs="Tahoma"/>
          <w:bCs/>
          <w:sz w:val="22"/>
          <w:szCs w:val="22"/>
        </w:rPr>
      </w:pPr>
      <w:r>
        <w:rPr>
          <w:rFonts w:ascii="Palatino Linotype" w:eastAsia="Calibri" w:hAnsi="Palatino Linotype" w:cs="Tahoma"/>
          <w:bCs/>
          <w:sz w:val="22"/>
          <w:szCs w:val="22"/>
        </w:rPr>
        <w:lastRenderedPageBreak/>
        <w:t xml:space="preserve">Ahora bien, de la revisión de las Licencias proporcionadas, se logra vislumbrar </w:t>
      </w:r>
      <w:r w:rsidR="00F04686">
        <w:rPr>
          <w:rFonts w:ascii="Palatino Linotype" w:eastAsia="Calibri" w:hAnsi="Palatino Linotype" w:cs="Tahoma"/>
          <w:bCs/>
          <w:sz w:val="22"/>
          <w:szCs w:val="22"/>
        </w:rPr>
        <w:t>que,</w:t>
      </w:r>
      <w:r>
        <w:rPr>
          <w:rFonts w:ascii="Palatino Linotype" w:eastAsia="Calibri" w:hAnsi="Palatino Linotype" w:cs="Tahoma"/>
          <w:bCs/>
          <w:sz w:val="22"/>
          <w:szCs w:val="22"/>
        </w:rPr>
        <w:t xml:space="preserve"> si bien corresponden a los documentos solicitados, este Instituto no tiene certeza de que sean las únicas emitidas pues, de la revisión de </w:t>
      </w:r>
      <w:proofErr w:type="gramStart"/>
      <w:r>
        <w:rPr>
          <w:rFonts w:ascii="Palatino Linotype" w:eastAsia="Calibri" w:hAnsi="Palatino Linotype" w:cs="Tahoma"/>
          <w:bCs/>
          <w:sz w:val="22"/>
          <w:szCs w:val="22"/>
        </w:rPr>
        <w:t>las mismas</w:t>
      </w:r>
      <w:proofErr w:type="gramEnd"/>
      <w:r>
        <w:rPr>
          <w:rFonts w:ascii="Palatino Linotype" w:eastAsia="Calibri" w:hAnsi="Palatino Linotype" w:cs="Tahoma"/>
          <w:bCs/>
          <w:sz w:val="22"/>
          <w:szCs w:val="22"/>
        </w:rPr>
        <w:t xml:space="preserve"> se logra vislumbrar que no se encuentran consecutivas las autorizaciones, por lo que, se desconoce </w:t>
      </w:r>
      <w:r w:rsidR="00F04686">
        <w:rPr>
          <w:rFonts w:ascii="Palatino Linotype" w:eastAsia="Calibri" w:hAnsi="Palatino Linotype" w:cs="Tahoma"/>
          <w:bCs/>
          <w:sz w:val="22"/>
          <w:szCs w:val="22"/>
        </w:rPr>
        <w:t>si las faltantes se emitieron o por alguna circunstancia quedaron canceladas</w:t>
      </w:r>
      <w:r w:rsidR="00962C5F">
        <w:rPr>
          <w:rFonts w:ascii="Palatino Linotype" w:eastAsia="Calibri" w:hAnsi="Palatino Linotype" w:cs="Tahoma"/>
          <w:bCs/>
          <w:sz w:val="22"/>
          <w:szCs w:val="22"/>
        </w:rPr>
        <w:t>.</w:t>
      </w:r>
      <w:r w:rsidR="00F04686">
        <w:rPr>
          <w:rFonts w:ascii="Palatino Linotype" w:eastAsia="Calibri" w:hAnsi="Palatino Linotype" w:cs="Tahoma"/>
          <w:bCs/>
          <w:sz w:val="22"/>
          <w:szCs w:val="22"/>
        </w:rPr>
        <w:t xml:space="preserve"> </w:t>
      </w:r>
    </w:p>
    <w:p w14:paraId="684553CD" w14:textId="77777777" w:rsidR="001E5496" w:rsidRPr="005A4A25" w:rsidRDefault="001E5496" w:rsidP="008B3A20">
      <w:pPr>
        <w:spacing w:line="360" w:lineRule="auto"/>
        <w:contextualSpacing/>
        <w:jc w:val="both"/>
        <w:rPr>
          <w:rFonts w:ascii="Palatino Linotype" w:eastAsia="Calibri" w:hAnsi="Palatino Linotype" w:cs="Tahoma"/>
          <w:color w:val="000000"/>
          <w:sz w:val="22"/>
          <w:szCs w:val="22"/>
          <w:lang w:eastAsia="es-MX"/>
        </w:rPr>
      </w:pPr>
    </w:p>
    <w:p w14:paraId="7B9E8B83" w14:textId="2B4DAD40" w:rsidR="00426ADE" w:rsidRPr="005A4A25" w:rsidRDefault="00F04686" w:rsidP="008B3A20">
      <w:pPr>
        <w:spacing w:line="360" w:lineRule="auto"/>
        <w:contextualSpacing/>
        <w:jc w:val="both"/>
        <w:rPr>
          <w:rFonts w:ascii="Palatino Linotype" w:eastAsia="Calibri" w:hAnsi="Palatino Linotype" w:cs="Tahoma"/>
          <w:color w:val="000000"/>
          <w:sz w:val="22"/>
          <w:szCs w:val="22"/>
          <w:lang w:eastAsia="es-MX"/>
        </w:rPr>
      </w:pPr>
      <w:r>
        <w:rPr>
          <w:rFonts w:ascii="Palatino Linotype" w:eastAsia="Calibri" w:hAnsi="Palatino Linotype" w:cs="Tahoma"/>
          <w:color w:val="000000"/>
          <w:sz w:val="22"/>
          <w:szCs w:val="22"/>
          <w:lang w:eastAsia="es-MX"/>
        </w:rPr>
        <w:t xml:space="preserve">Conforme a lo anterior, este Instituto considera </w:t>
      </w:r>
      <w:r w:rsidR="00962C5F">
        <w:rPr>
          <w:rFonts w:ascii="Palatino Linotype" w:eastAsia="Calibri" w:hAnsi="Palatino Linotype" w:cs="Tahoma"/>
          <w:color w:val="000000"/>
          <w:sz w:val="22"/>
          <w:szCs w:val="22"/>
          <w:lang w:eastAsia="es-MX"/>
        </w:rPr>
        <w:t xml:space="preserve">que el Sujeto Obligado deberá realizar una búsqueda exhaustiva o razonable en los archivos de las unidades administrativas competentes, a efecto de que proporcione las licencias de funcionamiento faltantes; </w:t>
      </w:r>
      <w:r w:rsidR="009D12BC" w:rsidRPr="005A4A25">
        <w:rPr>
          <w:rFonts w:ascii="Palatino Linotype" w:eastAsia="Calibri" w:hAnsi="Palatino Linotype" w:cs="Tahoma"/>
          <w:color w:val="000000"/>
          <w:sz w:val="22"/>
          <w:szCs w:val="22"/>
          <w:lang w:eastAsia="es-MX"/>
        </w:rPr>
        <w:t>d</w:t>
      </w:r>
      <w:r w:rsidR="00426ADE" w:rsidRPr="005A4A25">
        <w:rPr>
          <w:rFonts w:ascii="Palatino Linotype" w:hAnsi="Palatino Linotype" w:cs="Tahoma"/>
          <w:iCs/>
          <w:sz w:val="22"/>
          <w:szCs w:val="22"/>
        </w:rPr>
        <w:t>icha</w:t>
      </w:r>
      <w:r w:rsidR="00426ADE" w:rsidRPr="005A4A25">
        <w:rPr>
          <w:rFonts w:ascii="Palatino Linotype" w:hAnsi="Palatino Linotype" w:cs="Tahoma"/>
          <w:sz w:val="22"/>
          <w:szCs w:val="24"/>
        </w:rPr>
        <w:t xml:space="preserve"> determinación 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C5B1AF4" w14:textId="77777777" w:rsidR="00426ADE" w:rsidRPr="005A4A25" w:rsidRDefault="00426ADE" w:rsidP="008B3A20">
      <w:pPr>
        <w:spacing w:line="360" w:lineRule="auto"/>
        <w:ind w:right="-28"/>
        <w:contextualSpacing/>
        <w:jc w:val="both"/>
        <w:rPr>
          <w:rFonts w:ascii="Palatino Linotype" w:hAnsi="Palatino Linotype" w:cs="Tahoma"/>
          <w:bCs/>
          <w:iCs/>
          <w:sz w:val="22"/>
          <w:szCs w:val="22"/>
        </w:rPr>
      </w:pPr>
    </w:p>
    <w:p w14:paraId="1E25A795" w14:textId="77777777" w:rsidR="00426ADE" w:rsidRPr="005A4A25" w:rsidRDefault="00426ADE" w:rsidP="008B3A20">
      <w:pPr>
        <w:spacing w:line="360" w:lineRule="auto"/>
        <w:contextualSpacing/>
        <w:jc w:val="both"/>
        <w:rPr>
          <w:rFonts w:ascii="Palatino Linotype" w:hAnsi="Palatino Linotype" w:cs="Tahoma"/>
          <w:sz w:val="22"/>
          <w:szCs w:val="22"/>
        </w:rPr>
      </w:pPr>
      <w:r w:rsidRPr="005A4A25">
        <w:rPr>
          <w:rFonts w:ascii="Palatino Linotype" w:hAnsi="Palatino Linotype" w:cs="Tahoma"/>
          <w:sz w:val="22"/>
          <w:szCs w:val="22"/>
        </w:rPr>
        <w:t xml:space="preserve">De esta manera, </w:t>
      </w:r>
      <w:r w:rsidRPr="005A4A25">
        <w:rPr>
          <w:rFonts w:ascii="Palatino Linotype" w:hAnsi="Palatino Linotype" w:cs="Tahoma"/>
          <w:sz w:val="22"/>
          <w:szCs w:val="24"/>
        </w:rPr>
        <w:t xml:space="preserve">el derecho de acceso a la información pública se satisface en aquellos casos en que se entregue el soporte documental en el que conste la información solicitada, sin necesidad de elaborar documentos </w:t>
      </w:r>
      <w:r w:rsidRPr="005A4A25">
        <w:rPr>
          <w:rFonts w:ascii="Palatino Linotype" w:hAnsi="Palatino Linotype" w:cs="Tahoma"/>
          <w:i/>
          <w:sz w:val="22"/>
          <w:szCs w:val="22"/>
        </w:rPr>
        <w:t>ad hoc</w:t>
      </w:r>
      <w:r w:rsidRPr="005A4A25">
        <w:rPr>
          <w:rFonts w:ascii="Palatino Linotype" w:hAnsi="Palatino Linotype" w:cs="Tahoma"/>
          <w:sz w:val="22"/>
          <w:szCs w:val="22"/>
        </w:rPr>
        <w:t>,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59AC7A9" w14:textId="77777777" w:rsidR="00426ADE" w:rsidRPr="005A4A25" w:rsidRDefault="00426ADE" w:rsidP="008B3A20">
      <w:pPr>
        <w:spacing w:line="360" w:lineRule="auto"/>
        <w:ind w:right="-28"/>
        <w:contextualSpacing/>
        <w:jc w:val="both"/>
        <w:rPr>
          <w:rFonts w:ascii="Palatino Linotype" w:hAnsi="Palatino Linotype" w:cs="Tahoma"/>
          <w:iCs/>
          <w:sz w:val="22"/>
          <w:szCs w:val="22"/>
        </w:rPr>
      </w:pPr>
    </w:p>
    <w:p w14:paraId="270B5A47" w14:textId="0EF52D6E" w:rsidR="009D12BC" w:rsidRDefault="00426ADE" w:rsidP="008B3A20">
      <w:pPr>
        <w:spacing w:line="360" w:lineRule="auto"/>
        <w:contextualSpacing/>
        <w:jc w:val="both"/>
        <w:rPr>
          <w:rFonts w:ascii="Palatino Linotype" w:hAnsi="Palatino Linotype" w:cs="Tahoma"/>
          <w:sz w:val="22"/>
          <w:szCs w:val="24"/>
        </w:rPr>
      </w:pPr>
      <w:r w:rsidRPr="005A4A25">
        <w:rPr>
          <w:rFonts w:ascii="Palatino Linotype" w:hAnsi="Palatino Linotype" w:cs="Tahoma"/>
          <w:sz w:val="22"/>
          <w:szCs w:val="24"/>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w:t>
      </w:r>
      <w:r w:rsidR="00962C5F">
        <w:rPr>
          <w:rFonts w:ascii="Palatino Linotype" w:hAnsi="Palatino Linotype" w:cs="Tahoma"/>
          <w:sz w:val="22"/>
          <w:szCs w:val="24"/>
        </w:rPr>
        <w:t xml:space="preserve"> deberá entregar la información faltante.</w:t>
      </w:r>
      <w:r w:rsidR="009D12BC" w:rsidRPr="005A4A25">
        <w:rPr>
          <w:rFonts w:ascii="Palatino Linotype" w:hAnsi="Palatino Linotype" w:cs="Tahoma"/>
          <w:sz w:val="22"/>
          <w:szCs w:val="24"/>
        </w:rPr>
        <w:t xml:space="preserve"> </w:t>
      </w:r>
      <w:r w:rsidR="00962C5F">
        <w:rPr>
          <w:rFonts w:ascii="Palatino Linotype" w:hAnsi="Palatino Linotype" w:cs="Tahoma"/>
          <w:sz w:val="22"/>
          <w:szCs w:val="24"/>
        </w:rPr>
        <w:t xml:space="preserve">Ahora bien, para el caso de que alguna de las autorizaciones faltantes no haya sido emitida, deberá </w:t>
      </w:r>
      <w:r w:rsidR="00962C5F">
        <w:rPr>
          <w:rFonts w:ascii="Palatino Linotype" w:hAnsi="Palatino Linotype" w:cs="Tahoma"/>
          <w:sz w:val="22"/>
          <w:szCs w:val="24"/>
        </w:rPr>
        <w:lastRenderedPageBreak/>
        <w:t>hacerlo del conocimiento de la persona Recurrente, de manera clara y precisa, en términos del artículo 19, párrafo segundo, de la Ley de Transparencia y Acceso a la Información Pública del Estado de México y Municipios.</w:t>
      </w:r>
    </w:p>
    <w:p w14:paraId="55B42612" w14:textId="07585E62" w:rsidR="00962C5F" w:rsidRDefault="00962C5F" w:rsidP="008B3A20">
      <w:pPr>
        <w:spacing w:line="360" w:lineRule="auto"/>
        <w:contextualSpacing/>
        <w:jc w:val="both"/>
        <w:rPr>
          <w:rFonts w:ascii="Palatino Linotype" w:hAnsi="Palatino Linotype" w:cs="Tahoma"/>
          <w:sz w:val="22"/>
          <w:szCs w:val="24"/>
        </w:rPr>
      </w:pPr>
    </w:p>
    <w:p w14:paraId="665906C2" w14:textId="1ECBB0F4" w:rsidR="00962C5F" w:rsidRDefault="007972A2" w:rsidP="008B3A20">
      <w:pPr>
        <w:spacing w:line="360" w:lineRule="auto"/>
        <w:contextualSpacing/>
        <w:jc w:val="both"/>
        <w:rPr>
          <w:rFonts w:ascii="Palatino Linotype" w:hAnsi="Palatino Linotype" w:cs="Tahoma"/>
          <w:sz w:val="22"/>
          <w:szCs w:val="24"/>
        </w:rPr>
      </w:pPr>
      <w:r>
        <w:rPr>
          <w:rFonts w:ascii="Palatino Linotype" w:hAnsi="Palatino Linotype" w:cs="Tahoma"/>
          <w:sz w:val="22"/>
          <w:szCs w:val="24"/>
        </w:rPr>
        <w:t>Ahora bien, de las licencias de funcionamiento, se logra vislumbrar que se entregaron en versión pública, en donde se testaron los siguientes datos:</w:t>
      </w:r>
    </w:p>
    <w:p w14:paraId="2B1A3281" w14:textId="77777777" w:rsidR="007972A2" w:rsidRDefault="007972A2" w:rsidP="008B3A20">
      <w:pPr>
        <w:spacing w:line="360" w:lineRule="auto"/>
        <w:contextualSpacing/>
        <w:jc w:val="both"/>
        <w:rPr>
          <w:rFonts w:ascii="Palatino Linotype" w:hAnsi="Palatino Linotype" w:cs="Tahoma"/>
          <w:sz w:val="22"/>
          <w:szCs w:val="24"/>
        </w:rPr>
      </w:pPr>
    </w:p>
    <w:p w14:paraId="28E01C89" w14:textId="61CE805C" w:rsidR="009D12BC" w:rsidRDefault="009D12BC" w:rsidP="008B3A20">
      <w:pPr>
        <w:pStyle w:val="Prrafodelista"/>
        <w:numPr>
          <w:ilvl w:val="0"/>
          <w:numId w:val="9"/>
        </w:numPr>
        <w:spacing w:line="360" w:lineRule="auto"/>
        <w:jc w:val="both"/>
        <w:rPr>
          <w:rFonts w:ascii="Palatino Linotype" w:hAnsi="Palatino Linotype" w:cs="Tahoma"/>
        </w:rPr>
      </w:pPr>
      <w:r w:rsidRPr="005A4A25">
        <w:rPr>
          <w:rFonts w:ascii="Palatino Linotype" w:hAnsi="Palatino Linotype" w:cs="Tahoma"/>
        </w:rPr>
        <w:t xml:space="preserve">Nombre </w:t>
      </w:r>
      <w:r w:rsidR="007972A2">
        <w:rPr>
          <w:rFonts w:ascii="Palatino Linotype" w:hAnsi="Palatino Linotype" w:cs="Tahoma"/>
        </w:rPr>
        <w:t>o razón social titular de las licencias;</w:t>
      </w:r>
    </w:p>
    <w:p w14:paraId="29789D6A" w14:textId="6BF2CD97" w:rsidR="007972A2" w:rsidRDefault="007972A2" w:rsidP="008B3A20">
      <w:pPr>
        <w:pStyle w:val="Prrafodelista"/>
        <w:numPr>
          <w:ilvl w:val="0"/>
          <w:numId w:val="9"/>
        </w:numPr>
        <w:spacing w:line="360" w:lineRule="auto"/>
        <w:jc w:val="both"/>
        <w:rPr>
          <w:rFonts w:ascii="Palatino Linotype" w:hAnsi="Palatino Linotype" w:cs="Tahoma"/>
        </w:rPr>
      </w:pPr>
      <w:r>
        <w:rPr>
          <w:rFonts w:ascii="Palatino Linotype" w:hAnsi="Palatino Linotype" w:cs="Tahoma"/>
        </w:rPr>
        <w:t>Nombre del establecimiento;</w:t>
      </w:r>
    </w:p>
    <w:p w14:paraId="3C9A9F73" w14:textId="04ADAF54" w:rsidR="007972A2" w:rsidRDefault="007972A2" w:rsidP="008B3A20">
      <w:pPr>
        <w:pStyle w:val="Prrafodelista"/>
        <w:numPr>
          <w:ilvl w:val="0"/>
          <w:numId w:val="9"/>
        </w:numPr>
        <w:spacing w:line="360" w:lineRule="auto"/>
        <w:jc w:val="both"/>
        <w:rPr>
          <w:rFonts w:ascii="Palatino Linotype" w:hAnsi="Palatino Linotype" w:cs="Tahoma"/>
        </w:rPr>
      </w:pPr>
      <w:r>
        <w:rPr>
          <w:rFonts w:ascii="Palatino Linotype" w:hAnsi="Palatino Linotype" w:cs="Tahoma"/>
        </w:rPr>
        <w:t>Registro Federal de Contribuyentes;</w:t>
      </w:r>
    </w:p>
    <w:p w14:paraId="2AB5DA5D" w14:textId="3943EFFE" w:rsidR="007972A2" w:rsidRDefault="007972A2" w:rsidP="008B3A20">
      <w:pPr>
        <w:pStyle w:val="Prrafodelista"/>
        <w:numPr>
          <w:ilvl w:val="0"/>
          <w:numId w:val="9"/>
        </w:numPr>
        <w:spacing w:line="360" w:lineRule="auto"/>
        <w:jc w:val="both"/>
        <w:rPr>
          <w:rFonts w:ascii="Palatino Linotype" w:hAnsi="Palatino Linotype" w:cs="Tahoma"/>
        </w:rPr>
      </w:pPr>
      <w:r>
        <w:rPr>
          <w:rFonts w:ascii="Palatino Linotype" w:hAnsi="Palatino Linotype" w:cs="Tahoma"/>
        </w:rPr>
        <w:t>Nombre del representante legal;</w:t>
      </w:r>
    </w:p>
    <w:p w14:paraId="7A55105C" w14:textId="19C982C4" w:rsidR="007972A2" w:rsidRDefault="007972A2" w:rsidP="008B3A20">
      <w:pPr>
        <w:pStyle w:val="Prrafodelista"/>
        <w:numPr>
          <w:ilvl w:val="0"/>
          <w:numId w:val="9"/>
        </w:numPr>
        <w:spacing w:line="360" w:lineRule="auto"/>
        <w:jc w:val="both"/>
        <w:rPr>
          <w:rFonts w:ascii="Palatino Linotype" w:hAnsi="Palatino Linotype" w:cs="Tahoma"/>
        </w:rPr>
      </w:pPr>
      <w:r>
        <w:rPr>
          <w:rFonts w:ascii="Palatino Linotype" w:hAnsi="Palatino Linotype" w:cs="Tahoma"/>
        </w:rPr>
        <w:t>Área o giro preponderante;</w:t>
      </w:r>
    </w:p>
    <w:p w14:paraId="332DEDE0" w14:textId="6E8F493B" w:rsidR="007972A2" w:rsidRDefault="007972A2" w:rsidP="008B3A20">
      <w:pPr>
        <w:pStyle w:val="Prrafodelista"/>
        <w:numPr>
          <w:ilvl w:val="0"/>
          <w:numId w:val="9"/>
        </w:numPr>
        <w:spacing w:line="360" w:lineRule="auto"/>
        <w:jc w:val="both"/>
        <w:rPr>
          <w:rFonts w:ascii="Palatino Linotype" w:hAnsi="Palatino Linotype" w:cs="Tahoma"/>
        </w:rPr>
      </w:pPr>
      <w:r>
        <w:rPr>
          <w:rFonts w:ascii="Palatino Linotype" w:hAnsi="Palatino Linotype" w:cs="Tahoma"/>
        </w:rPr>
        <w:t>Domicilio del establecimiento;</w:t>
      </w:r>
    </w:p>
    <w:p w14:paraId="39A5C862" w14:textId="51FAD81F" w:rsidR="007972A2" w:rsidRPr="005A4A25" w:rsidRDefault="007972A2" w:rsidP="008B3A20">
      <w:pPr>
        <w:pStyle w:val="Prrafodelista"/>
        <w:numPr>
          <w:ilvl w:val="0"/>
          <w:numId w:val="9"/>
        </w:numPr>
        <w:spacing w:line="360" w:lineRule="auto"/>
        <w:jc w:val="both"/>
        <w:rPr>
          <w:rFonts w:ascii="Palatino Linotype" w:hAnsi="Palatino Linotype" w:cs="Tahoma"/>
        </w:rPr>
      </w:pPr>
      <w:r>
        <w:rPr>
          <w:rFonts w:ascii="Palatino Linotype" w:hAnsi="Palatino Linotype" w:cs="Tahoma"/>
        </w:rPr>
        <w:t>Teléfono;</w:t>
      </w:r>
    </w:p>
    <w:p w14:paraId="49326BAE" w14:textId="59705488" w:rsidR="009D12BC" w:rsidRPr="005A4A25" w:rsidRDefault="009D12BC" w:rsidP="008B3A20">
      <w:pPr>
        <w:pStyle w:val="Prrafodelista"/>
        <w:numPr>
          <w:ilvl w:val="0"/>
          <w:numId w:val="9"/>
        </w:numPr>
        <w:spacing w:line="360" w:lineRule="auto"/>
        <w:jc w:val="both"/>
        <w:rPr>
          <w:rFonts w:ascii="Palatino Linotype" w:hAnsi="Palatino Linotype" w:cs="Tahoma"/>
        </w:rPr>
      </w:pPr>
      <w:r w:rsidRPr="005A4A25">
        <w:rPr>
          <w:rFonts w:ascii="Palatino Linotype" w:hAnsi="Palatino Linotype" w:cs="Tahoma"/>
        </w:rPr>
        <w:t>Domicilio particular, y</w:t>
      </w:r>
    </w:p>
    <w:p w14:paraId="4567CC0F" w14:textId="4DDD93B9" w:rsidR="009D12BC" w:rsidRPr="005A4A25" w:rsidRDefault="00813DCE" w:rsidP="008B3A20">
      <w:pPr>
        <w:pStyle w:val="Prrafodelista"/>
        <w:numPr>
          <w:ilvl w:val="0"/>
          <w:numId w:val="9"/>
        </w:numPr>
        <w:spacing w:line="360" w:lineRule="auto"/>
        <w:jc w:val="both"/>
        <w:rPr>
          <w:rFonts w:ascii="Palatino Linotype" w:hAnsi="Palatino Linotype" w:cs="Tahoma"/>
        </w:rPr>
      </w:pPr>
      <w:r w:rsidRPr="005A4A25">
        <w:rPr>
          <w:rFonts w:ascii="Palatino Linotype" w:hAnsi="Palatino Linotype" w:cs="Tahoma"/>
        </w:rPr>
        <w:t>Fotografía.</w:t>
      </w:r>
    </w:p>
    <w:p w14:paraId="75D88DCD" w14:textId="016B3087" w:rsidR="00813DCE" w:rsidRPr="005A4A25" w:rsidRDefault="00813DCE" w:rsidP="008B3A20">
      <w:pPr>
        <w:spacing w:line="360" w:lineRule="auto"/>
        <w:contextualSpacing/>
        <w:jc w:val="both"/>
        <w:rPr>
          <w:rFonts w:ascii="Palatino Linotype" w:hAnsi="Palatino Linotype" w:cs="Tahoma"/>
        </w:rPr>
      </w:pPr>
    </w:p>
    <w:p w14:paraId="7E7E7E25" w14:textId="633C5FFF"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r w:rsidRPr="005A4A25">
        <w:rPr>
          <w:rFonts w:ascii="Palatino Linotype" w:eastAsiaTheme="minorHAnsi" w:hAnsi="Palatino Linotype" w:cstheme="minorBidi"/>
          <w:bCs/>
          <w:color w:val="000000" w:themeColor="text1"/>
          <w:sz w:val="22"/>
          <w:szCs w:val="22"/>
          <w:lang w:eastAsia="en-US"/>
        </w:rPr>
        <w:t xml:space="preserve">Así, se procede analizar si dichos datos son confidenciales o públicos; en principio, cabe mencionar que el artículo 143, fracción I, de la </w:t>
      </w:r>
      <w:r w:rsidR="007972A2" w:rsidRPr="005A4A25">
        <w:rPr>
          <w:rFonts w:ascii="Palatino Linotype" w:eastAsiaTheme="minorHAnsi" w:hAnsi="Palatino Linotype" w:cstheme="minorBidi"/>
          <w:bCs/>
          <w:color w:val="000000" w:themeColor="text1"/>
          <w:sz w:val="22"/>
          <w:szCs w:val="22"/>
          <w:lang w:eastAsia="en-US"/>
        </w:rPr>
        <w:t>Ley de Transparencia y Acceso a la Información Pública del Estado de México y Municipios</w:t>
      </w:r>
      <w:r w:rsidRPr="005A4A25">
        <w:rPr>
          <w:rFonts w:ascii="Palatino Linotype" w:eastAsiaTheme="minorHAnsi" w:hAnsi="Palatino Linotype" w:cstheme="minorBidi"/>
          <w:bCs/>
          <w:color w:val="000000" w:themeColor="text1"/>
          <w:sz w:val="22"/>
          <w:szCs w:val="22"/>
          <w:lang w:eastAsia="en-US"/>
        </w:rPr>
        <w:t>, establece que la información privada y los datos personales, concernientes a una persona física o jurídica colectiva identificada o identificable son confidenciales.</w:t>
      </w:r>
    </w:p>
    <w:p w14:paraId="55BA5EFB" w14:textId="77777777"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p>
    <w:p w14:paraId="69DAA1AA" w14:textId="5E9CB265"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r w:rsidRPr="005A4A25">
        <w:rPr>
          <w:rFonts w:ascii="Palatino Linotype" w:eastAsiaTheme="minorHAnsi" w:hAnsi="Palatino Linotype" w:cstheme="minorBidi"/>
          <w:bCs/>
          <w:color w:val="000000" w:themeColor="text1"/>
          <w:sz w:val="22"/>
          <w:szCs w:val="22"/>
          <w:lang w:eastAsia="en-US"/>
        </w:rPr>
        <w:t>Asimismo, el artículo 145 de la</w:t>
      </w:r>
      <w:r w:rsidR="007972A2">
        <w:rPr>
          <w:rFonts w:ascii="Palatino Linotype" w:eastAsiaTheme="minorHAnsi" w:hAnsi="Palatino Linotype" w:cstheme="minorBidi"/>
          <w:bCs/>
          <w:color w:val="000000" w:themeColor="text1"/>
          <w:sz w:val="22"/>
          <w:szCs w:val="22"/>
          <w:lang w:eastAsia="en-US"/>
        </w:rPr>
        <w:t xml:space="preserve"> Ley señalada</w:t>
      </w:r>
      <w:r w:rsidRPr="005A4A25">
        <w:rPr>
          <w:rFonts w:ascii="Palatino Linotype" w:eastAsiaTheme="minorHAnsi" w:hAnsi="Palatino Linotype" w:cstheme="minorBidi"/>
          <w:bCs/>
          <w:color w:val="000000" w:themeColor="text1"/>
          <w:sz w:val="22"/>
          <w:szCs w:val="22"/>
          <w:lang w:eastAsia="en-US"/>
        </w:rPr>
        <w:t xml:space="preserve">,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5A4A25">
        <w:rPr>
          <w:rFonts w:ascii="Palatino Linotype" w:eastAsiaTheme="minorHAnsi" w:hAnsi="Palatino Linotype" w:cstheme="minorBidi"/>
          <w:bCs/>
          <w:color w:val="000000" w:themeColor="text1"/>
          <w:sz w:val="22"/>
          <w:szCs w:val="22"/>
          <w:lang w:eastAsia="en-US"/>
        </w:rPr>
        <w:t>ii</w:t>
      </w:r>
      <w:proofErr w:type="spellEnd"/>
      <w:r w:rsidRPr="005A4A25">
        <w:rPr>
          <w:rFonts w:ascii="Palatino Linotype" w:eastAsiaTheme="minorHAnsi" w:hAnsi="Palatino Linotype" w:cstheme="minorBidi"/>
          <w:bCs/>
          <w:color w:val="000000" w:themeColor="text1"/>
          <w:sz w:val="22"/>
          <w:szCs w:val="22"/>
          <w:lang w:eastAsia="en-US"/>
        </w:rPr>
        <w:t xml:space="preserve">) por ley tenga el carácter de pública, </w:t>
      </w:r>
      <w:proofErr w:type="spellStart"/>
      <w:r w:rsidRPr="005A4A25">
        <w:rPr>
          <w:rFonts w:ascii="Palatino Linotype" w:eastAsiaTheme="minorHAnsi" w:hAnsi="Palatino Linotype" w:cstheme="minorBidi"/>
          <w:bCs/>
          <w:color w:val="000000" w:themeColor="text1"/>
          <w:sz w:val="22"/>
          <w:szCs w:val="22"/>
          <w:lang w:eastAsia="en-US"/>
        </w:rPr>
        <w:t>iii</w:t>
      </w:r>
      <w:proofErr w:type="spellEnd"/>
      <w:r w:rsidRPr="005A4A25">
        <w:rPr>
          <w:rFonts w:ascii="Palatino Linotype" w:eastAsiaTheme="minorHAnsi" w:hAnsi="Palatino Linotype" w:cstheme="minorBidi"/>
          <w:bCs/>
          <w:color w:val="000000" w:themeColor="text1"/>
          <w:sz w:val="22"/>
          <w:szCs w:val="22"/>
          <w:lang w:eastAsia="en-US"/>
        </w:rPr>
        <w:t xml:space="preserve">) exista </w:t>
      </w:r>
      <w:r w:rsidRPr="005A4A25">
        <w:rPr>
          <w:rFonts w:ascii="Palatino Linotype" w:eastAsiaTheme="minorHAnsi" w:hAnsi="Palatino Linotype" w:cstheme="minorBidi"/>
          <w:bCs/>
          <w:color w:val="000000" w:themeColor="text1"/>
          <w:sz w:val="22"/>
          <w:szCs w:val="22"/>
          <w:lang w:eastAsia="en-US"/>
        </w:rPr>
        <w:lastRenderedPageBreak/>
        <w:t xml:space="preserve">una orden judicial, </w:t>
      </w:r>
      <w:proofErr w:type="spellStart"/>
      <w:r w:rsidRPr="005A4A25">
        <w:rPr>
          <w:rFonts w:ascii="Palatino Linotype" w:eastAsiaTheme="minorHAnsi" w:hAnsi="Palatino Linotype" w:cstheme="minorBidi"/>
          <w:bCs/>
          <w:color w:val="000000" w:themeColor="text1"/>
          <w:sz w:val="22"/>
          <w:szCs w:val="22"/>
          <w:lang w:eastAsia="en-US"/>
        </w:rPr>
        <w:t>iv</w:t>
      </w:r>
      <w:proofErr w:type="spellEnd"/>
      <w:r w:rsidRPr="005A4A25">
        <w:rPr>
          <w:rFonts w:ascii="Palatino Linotype" w:eastAsiaTheme="minorHAnsi" w:hAnsi="Palatino Linotype" w:cstheme="minorBidi"/>
          <w:bCs/>
          <w:color w:val="000000" w:themeColor="text1"/>
          <w:sz w:val="22"/>
          <w:szCs w:val="22"/>
          <w:lang w:eastAsia="en-US"/>
        </w:rPr>
        <w:t>) por razones de seguridad nacional y salubridad general o v) para proteger los derechos de terceros o cuando se transmita entre sujetos obligados en términos de los tratados y los acuerdos interinstitucionales.</w:t>
      </w:r>
    </w:p>
    <w:p w14:paraId="0378F8D6" w14:textId="77777777"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p>
    <w:p w14:paraId="52EEE9CE" w14:textId="77777777"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r w:rsidRPr="005A4A25">
        <w:rPr>
          <w:rFonts w:ascii="Palatino Linotype" w:eastAsiaTheme="minorHAnsi" w:hAnsi="Palatino Linotype" w:cstheme="minorBidi"/>
          <w:bCs/>
          <w:color w:val="000000" w:themeColor="text1"/>
          <w:sz w:val="22"/>
          <w:szCs w:val="22"/>
          <w:lang w:eastAsia="en-US"/>
        </w:rPr>
        <w:t>En términos de lo expuesto, la documentación y aquellos datos que se consideren confidenciales, serán una limitante del derecho de acceso a la información, siempre y cuando:</w:t>
      </w:r>
    </w:p>
    <w:p w14:paraId="328C694A" w14:textId="77777777"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p>
    <w:p w14:paraId="4FB01379" w14:textId="77777777" w:rsidR="00813DCE" w:rsidRPr="005A4A25" w:rsidRDefault="00813DCE" w:rsidP="008B3A20">
      <w:pPr>
        <w:numPr>
          <w:ilvl w:val="0"/>
          <w:numId w:val="10"/>
        </w:numPr>
        <w:spacing w:line="360" w:lineRule="auto"/>
        <w:contextualSpacing/>
        <w:jc w:val="both"/>
        <w:rPr>
          <w:rFonts w:ascii="Palatino Linotype" w:eastAsiaTheme="minorHAnsi" w:hAnsi="Palatino Linotype" w:cstheme="minorBidi"/>
          <w:bCs/>
          <w:color w:val="000000" w:themeColor="text1"/>
          <w:sz w:val="22"/>
          <w:szCs w:val="22"/>
          <w:lang w:eastAsia="en-US"/>
        </w:rPr>
      </w:pPr>
      <w:r w:rsidRPr="005A4A25">
        <w:rPr>
          <w:rFonts w:ascii="Palatino Linotype" w:eastAsiaTheme="minorHAnsi" w:hAnsi="Palatino Linotype" w:cstheme="minorBidi"/>
          <w:bCs/>
          <w:color w:val="000000" w:themeColor="text1"/>
          <w:sz w:val="22"/>
          <w:szCs w:val="22"/>
          <w:lang w:eastAsia="en-US"/>
        </w:rPr>
        <w:t xml:space="preserve">Se trate de datos personales o información privada; esto es, información concerniente a una persona física o jurídico colectiva y que esta sea identificada o identificable. </w:t>
      </w:r>
    </w:p>
    <w:p w14:paraId="30E7EFC3" w14:textId="77777777"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p>
    <w:p w14:paraId="4CE5C768" w14:textId="77777777" w:rsidR="00813DCE" w:rsidRPr="005A4A25" w:rsidRDefault="00813DCE" w:rsidP="008B3A20">
      <w:pPr>
        <w:numPr>
          <w:ilvl w:val="0"/>
          <w:numId w:val="10"/>
        </w:numPr>
        <w:spacing w:line="360" w:lineRule="auto"/>
        <w:contextualSpacing/>
        <w:jc w:val="both"/>
        <w:rPr>
          <w:rFonts w:ascii="Palatino Linotype" w:eastAsiaTheme="minorHAnsi" w:hAnsi="Palatino Linotype" w:cstheme="minorBidi"/>
          <w:bCs/>
          <w:color w:val="000000" w:themeColor="text1"/>
          <w:sz w:val="22"/>
          <w:szCs w:val="22"/>
          <w:lang w:eastAsia="en-US"/>
        </w:rPr>
      </w:pPr>
      <w:r w:rsidRPr="005A4A25">
        <w:rPr>
          <w:rFonts w:ascii="Palatino Linotype" w:eastAsiaTheme="minorHAnsi" w:hAnsi="Palatino Linotype" w:cstheme="minorBidi"/>
          <w:bCs/>
          <w:color w:val="000000" w:themeColor="text1"/>
          <w:sz w:val="22"/>
          <w:szCs w:val="22"/>
          <w:lang w:eastAsia="en-US"/>
        </w:rPr>
        <w:t xml:space="preserve">Para la difusión de los datos, se requiera el consentimiento del titular. </w:t>
      </w:r>
    </w:p>
    <w:p w14:paraId="261FCA22" w14:textId="77777777"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p>
    <w:p w14:paraId="2C9A3CAA" w14:textId="77777777"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r w:rsidRPr="005A4A25">
        <w:rPr>
          <w:rFonts w:ascii="Palatino Linotype" w:eastAsiaTheme="minorHAnsi" w:hAnsi="Palatino Linotype" w:cstheme="minorBidi"/>
          <w:bCs/>
          <w:color w:val="000000" w:themeColor="text1"/>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34161615" w14:textId="77777777"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p>
    <w:p w14:paraId="4E59F2AD" w14:textId="77777777"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r w:rsidRPr="005A4A25">
        <w:rPr>
          <w:rFonts w:ascii="Palatino Linotype" w:eastAsiaTheme="minorHAnsi" w:hAnsi="Palatino Linotype" w:cstheme="minorBidi"/>
          <w:bCs/>
          <w:color w:val="000000" w:themeColor="text1"/>
          <w:sz w:val="22"/>
          <w:szCs w:val="22"/>
          <w:lang w:eastAsia="en-US"/>
        </w:rPr>
        <w:t>Además, en el artículo 5° de dicho ordenamiento jurídico, establece que es la Ley aplicable para todo tratamiento de datos personales.</w:t>
      </w:r>
    </w:p>
    <w:p w14:paraId="6BBFC8E3" w14:textId="77777777"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p>
    <w:p w14:paraId="378A97D7" w14:textId="77777777"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r w:rsidRPr="005A4A25">
        <w:rPr>
          <w:rFonts w:ascii="Palatino Linotype" w:eastAsiaTheme="minorHAnsi" w:hAnsi="Palatino Linotype" w:cstheme="minorBidi"/>
          <w:bCs/>
          <w:color w:val="000000" w:themeColor="text1"/>
          <w:sz w:val="22"/>
          <w:szCs w:val="22"/>
          <w:lang w:eastAsia="en-US"/>
        </w:rPr>
        <w:t xml:space="preserve">En ese orden de ideas, los artículos 6°, 7°, 8° y 14 de la Ley de Protección de Datos Personales en Posesión de Sujetos Obligados del Estado de México y Municipios disponen que los responsables del tratamiento de datos personales, deben observar los principios de licitud, </w:t>
      </w:r>
      <w:r w:rsidRPr="005A4A25">
        <w:rPr>
          <w:rFonts w:ascii="Palatino Linotype" w:eastAsiaTheme="minorHAnsi" w:hAnsi="Palatino Linotype" w:cstheme="minorBidi"/>
          <w:bCs/>
          <w:color w:val="000000" w:themeColor="text1"/>
          <w:sz w:val="22"/>
          <w:szCs w:val="22"/>
          <w:lang w:eastAsia="en-US"/>
        </w:rPr>
        <w:lastRenderedPageBreak/>
        <w:t>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5AEFD1D2" w14:textId="77777777"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p>
    <w:p w14:paraId="39A51850" w14:textId="77777777" w:rsidR="00813DCE" w:rsidRPr="005A4A25" w:rsidRDefault="00813DCE" w:rsidP="008B3A20">
      <w:pPr>
        <w:spacing w:line="360" w:lineRule="auto"/>
        <w:contextualSpacing/>
        <w:jc w:val="both"/>
        <w:rPr>
          <w:rFonts w:ascii="Palatino Linotype" w:eastAsiaTheme="minorHAnsi" w:hAnsi="Palatino Linotype" w:cstheme="minorBidi"/>
          <w:bCs/>
          <w:color w:val="000000" w:themeColor="text1"/>
          <w:sz w:val="22"/>
          <w:szCs w:val="22"/>
          <w:lang w:eastAsia="en-US"/>
        </w:rPr>
      </w:pPr>
      <w:r w:rsidRPr="005A4A25">
        <w:rPr>
          <w:rFonts w:ascii="Palatino Linotype" w:eastAsiaTheme="minorHAnsi" w:hAnsi="Palatino Linotype" w:cstheme="minorBidi"/>
          <w:bCs/>
          <w:color w:val="000000" w:themeColor="text1"/>
          <w:sz w:val="22"/>
          <w:szCs w:val="22"/>
          <w:lang w:eastAsia="en-US"/>
        </w:rPr>
        <w:t>Bajo ese contexto, se analizarán si los datos mencionados, deben ser considerados confidenciales, en términos del artículo 143, fracción I, de la Ley de Transparencia y Acceso a la Información Pública del Estado de México y Municipios, o públicos.</w:t>
      </w:r>
    </w:p>
    <w:p w14:paraId="08314D84" w14:textId="2FDE0AC4" w:rsidR="00813DCE" w:rsidRPr="005A4A25" w:rsidRDefault="00813DCE" w:rsidP="008B3A20">
      <w:pPr>
        <w:spacing w:line="360" w:lineRule="auto"/>
        <w:contextualSpacing/>
        <w:jc w:val="both"/>
        <w:rPr>
          <w:rFonts w:ascii="Palatino Linotype" w:hAnsi="Palatino Linotype" w:cs="Tahoma"/>
        </w:rPr>
      </w:pPr>
    </w:p>
    <w:p w14:paraId="6FBDC9C7" w14:textId="77777777" w:rsidR="0059139D" w:rsidRPr="0059139D" w:rsidRDefault="0059139D" w:rsidP="008B3A20">
      <w:pPr>
        <w:numPr>
          <w:ilvl w:val="0"/>
          <w:numId w:val="17"/>
        </w:numPr>
        <w:spacing w:line="360" w:lineRule="auto"/>
        <w:ind w:right="-93"/>
        <w:contextualSpacing/>
        <w:jc w:val="both"/>
        <w:rPr>
          <w:rFonts w:ascii="Palatino Linotype" w:eastAsia="Calibri" w:hAnsi="Palatino Linotype" w:cs="Tahoma"/>
          <w:bCs/>
          <w:sz w:val="22"/>
          <w:szCs w:val="22"/>
          <w:lang w:eastAsia="en-US"/>
        </w:rPr>
      </w:pPr>
      <w:r w:rsidRPr="0059139D">
        <w:rPr>
          <w:rFonts w:ascii="Palatino Linotype" w:eastAsia="Calibri" w:hAnsi="Palatino Linotype" w:cs="Tahoma"/>
          <w:b/>
          <w:bCs/>
          <w:sz w:val="22"/>
          <w:szCs w:val="22"/>
          <w:lang w:eastAsia="en-US"/>
        </w:rPr>
        <w:t>Nombre del titular de la Licencia de funcionamiento (persona física)</w:t>
      </w:r>
    </w:p>
    <w:p w14:paraId="5EF2D279" w14:textId="77777777" w:rsidR="0059139D" w:rsidRPr="0059139D" w:rsidRDefault="0059139D" w:rsidP="008B3A20">
      <w:pPr>
        <w:spacing w:line="360" w:lineRule="auto"/>
        <w:jc w:val="both"/>
        <w:rPr>
          <w:rFonts w:ascii="Palatino Linotype" w:eastAsia="Calibri" w:hAnsi="Palatino Linotype" w:cs="Tahoma"/>
          <w:bCs/>
          <w:sz w:val="22"/>
          <w:szCs w:val="22"/>
          <w:lang w:val="es-ES" w:eastAsia="en-US"/>
        </w:rPr>
      </w:pPr>
    </w:p>
    <w:p w14:paraId="24815D7A" w14:textId="77777777" w:rsidR="0059139D" w:rsidRPr="0059139D" w:rsidRDefault="0059139D" w:rsidP="008B3A20">
      <w:pPr>
        <w:spacing w:line="360" w:lineRule="auto"/>
        <w:ind w:right="-93"/>
        <w:jc w:val="both"/>
        <w:rPr>
          <w:rFonts w:ascii="Palatino Linotype" w:eastAsia="Calibri" w:hAnsi="Palatino Linotype" w:cs="Tahoma"/>
          <w:b/>
          <w:bCs/>
          <w:sz w:val="22"/>
          <w:szCs w:val="22"/>
          <w:lang w:val="es-ES_tradnl" w:eastAsia="en-US"/>
        </w:rPr>
      </w:pPr>
      <w:r w:rsidRPr="0059139D">
        <w:rPr>
          <w:rFonts w:ascii="Palatino Linotype" w:eastAsia="Calibri" w:hAnsi="Palatino Linotype" w:cs="Tahoma"/>
          <w:bCs/>
          <w:sz w:val="22"/>
          <w:szCs w:val="22"/>
          <w:lang w:eastAsia="en-US"/>
        </w:rPr>
        <w:t xml:space="preserve">Al respecto, se considera que el nombre de una persona se integra </w:t>
      </w:r>
      <w:r w:rsidRPr="0059139D">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59139D">
        <w:rPr>
          <w:rFonts w:ascii="Palatino Linotype" w:eastAsia="Calibri" w:hAnsi="Palatino Linotype" w:cs="Tahoma"/>
          <w:bCs/>
          <w:i/>
          <w:sz w:val="22"/>
          <w:szCs w:val="22"/>
          <w:lang w:val="es-ES_tradnl" w:eastAsia="en-US"/>
        </w:rPr>
        <w:t>per se</w:t>
      </w:r>
      <w:r w:rsidRPr="0059139D">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59139D">
        <w:rPr>
          <w:rFonts w:ascii="Palatino Linotype" w:eastAsia="Calibri" w:hAnsi="Palatino Linotype" w:cs="Tahoma"/>
          <w:b/>
          <w:bCs/>
          <w:sz w:val="22"/>
          <w:szCs w:val="22"/>
          <w:lang w:val="es-ES_tradnl" w:eastAsia="en-US"/>
        </w:rPr>
        <w:t>se considera un dato personal.</w:t>
      </w:r>
    </w:p>
    <w:p w14:paraId="11EBCBEB" w14:textId="77777777" w:rsidR="0059139D" w:rsidRPr="0059139D" w:rsidRDefault="0059139D" w:rsidP="008B3A20">
      <w:pPr>
        <w:spacing w:line="360" w:lineRule="auto"/>
        <w:ind w:right="-93"/>
        <w:jc w:val="both"/>
        <w:rPr>
          <w:rFonts w:ascii="Palatino Linotype" w:eastAsia="Calibri" w:hAnsi="Palatino Linotype" w:cs="Tahoma"/>
          <w:b/>
          <w:bCs/>
          <w:sz w:val="22"/>
          <w:szCs w:val="22"/>
          <w:lang w:val="es-ES_tradnl" w:eastAsia="en-US"/>
        </w:rPr>
      </w:pPr>
    </w:p>
    <w:p w14:paraId="1DFAAB7F" w14:textId="77777777" w:rsidR="0059139D" w:rsidRPr="0059139D" w:rsidRDefault="0059139D" w:rsidP="008B3A20">
      <w:pPr>
        <w:spacing w:line="360" w:lineRule="auto"/>
        <w:jc w:val="both"/>
        <w:rPr>
          <w:rFonts w:ascii="Palatino Linotype" w:eastAsia="Calibri" w:hAnsi="Palatino Linotype" w:cs="Tahoma"/>
          <w:bCs/>
          <w:sz w:val="22"/>
          <w:szCs w:val="22"/>
          <w:lang w:val="es-ES_tradnl" w:eastAsia="en-US"/>
        </w:rPr>
      </w:pPr>
      <w:r w:rsidRPr="0059139D">
        <w:rPr>
          <w:rFonts w:ascii="Palatino Linotype" w:eastAsia="Calibri" w:hAnsi="Palatino Linotype" w:cs="Tahoma"/>
          <w:bCs/>
          <w:sz w:val="22"/>
          <w:szCs w:val="22"/>
          <w:lang w:val="es-ES_tradnl" w:eastAsia="en-US"/>
        </w:rPr>
        <w:t>Sobre el tema, se tiene presente que este Instituto emitió el Criterio Relevante 01/18, de la Segunda Época de este Instituto, que establece que el nombre del titular de una licencia (persona física), como en el caso que nos ocupa, es información confidencial, cuando no involucra aprovechamiento de recursos públicos.</w:t>
      </w:r>
    </w:p>
    <w:p w14:paraId="3491F8A9" w14:textId="77777777" w:rsidR="0059139D" w:rsidRPr="0059139D" w:rsidRDefault="0059139D" w:rsidP="008B3A20">
      <w:pPr>
        <w:spacing w:line="360" w:lineRule="auto"/>
        <w:jc w:val="both"/>
        <w:rPr>
          <w:rFonts w:ascii="Palatino Linotype" w:eastAsia="Calibri" w:hAnsi="Palatino Linotype" w:cs="Tahoma"/>
          <w:bCs/>
          <w:szCs w:val="22"/>
          <w:lang w:val="es-ES_tradnl" w:eastAsia="en-US"/>
        </w:rPr>
      </w:pPr>
    </w:p>
    <w:p w14:paraId="5EFD36D9" w14:textId="77777777" w:rsidR="0059139D" w:rsidRPr="0059139D" w:rsidRDefault="0059139D" w:rsidP="008B3A20">
      <w:pPr>
        <w:spacing w:line="360" w:lineRule="auto"/>
        <w:ind w:left="567" w:right="567"/>
        <w:jc w:val="both"/>
        <w:rPr>
          <w:rFonts w:ascii="Palatino Linotype" w:eastAsia="Calibri" w:hAnsi="Palatino Linotype" w:cs="Tahoma"/>
          <w:bCs/>
          <w:i/>
          <w:szCs w:val="22"/>
          <w:lang w:eastAsia="es-MX"/>
        </w:rPr>
      </w:pPr>
      <w:r w:rsidRPr="0059139D">
        <w:rPr>
          <w:rFonts w:ascii="Palatino Linotype" w:eastAsia="Calibri" w:hAnsi="Palatino Linotype" w:cs="Tahoma"/>
          <w:b/>
          <w:bCs/>
          <w:i/>
          <w:szCs w:val="22"/>
          <w:lang w:eastAsia="es-MX"/>
        </w:rPr>
        <w:t>“Nombre del titular de una licencia que no involucre el aprovechamiento de bienes, servicios y/o recursos públicos, constituye un dato personal susceptible de clasificar como confidencial.</w:t>
      </w:r>
      <w:r w:rsidRPr="0059139D">
        <w:rPr>
          <w:rFonts w:ascii="Palatino Linotype" w:eastAsia="Calibri" w:hAnsi="Palatino Linotype" w:cs="Tahoma"/>
          <w:bCs/>
          <w:i/>
          <w:szCs w:val="22"/>
          <w:lang w:eastAsia="es-MX"/>
        </w:rPr>
        <w:t xml:space="preserve"> El artículo 1, párrafo segundo de la Constitución Política de los Estados Unidos Mexicanos determina que las normas relativas a los derechos humanos se interpretarán de </w:t>
      </w:r>
      <w:r w:rsidRPr="0059139D">
        <w:rPr>
          <w:rFonts w:ascii="Palatino Linotype" w:eastAsia="Calibri" w:hAnsi="Palatino Linotype" w:cs="Tahoma"/>
          <w:bCs/>
          <w:i/>
          <w:szCs w:val="22"/>
          <w:lang w:eastAsia="es-MX"/>
        </w:rPr>
        <w:lastRenderedPageBreak/>
        <w:t>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332DF94D"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05C1C9FB"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766E4ED6"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00D371D7" w14:textId="17BD9054" w:rsidR="0059139D" w:rsidRPr="0059139D" w:rsidRDefault="0059139D" w:rsidP="008B3A20">
      <w:pPr>
        <w:spacing w:line="360" w:lineRule="auto"/>
        <w:ind w:right="-93"/>
        <w:jc w:val="both"/>
        <w:rPr>
          <w:rFonts w:ascii="Palatino Linotype" w:eastAsia="Calibri" w:hAnsi="Palatino Linotype" w:cs="Tahoma"/>
          <w:bCs/>
          <w:sz w:val="22"/>
          <w:szCs w:val="22"/>
          <w:lang w:val="es-ES_tradnl" w:eastAsia="en-US"/>
        </w:rPr>
      </w:pPr>
      <w:r w:rsidRPr="0059139D">
        <w:rPr>
          <w:rFonts w:ascii="Palatino Linotype" w:eastAsia="Calibri" w:hAnsi="Palatino Linotype" w:cs="Tahoma"/>
          <w:bCs/>
          <w:sz w:val="22"/>
          <w:szCs w:val="22"/>
          <w:lang w:val="es-ES_tradnl" w:eastAsia="en-US"/>
        </w:rPr>
        <w:lastRenderedPageBreak/>
        <w:t xml:space="preserve">No obstante, se considera que el nombre localizado en una licencia de funcionamiento, guarda cierto interés público, dado que cualquier actividad comercial, industrial o económica, es regulada por el Municipio de </w:t>
      </w:r>
      <w:r>
        <w:rPr>
          <w:rFonts w:ascii="Palatino Linotype" w:eastAsia="Calibri" w:hAnsi="Palatino Linotype" w:cs="Tahoma"/>
          <w:bCs/>
          <w:sz w:val="22"/>
          <w:szCs w:val="22"/>
          <w:lang w:val="es-ES_tradnl" w:eastAsia="en-US"/>
        </w:rPr>
        <w:t>Valle de Chalco Solidaridad</w:t>
      </w:r>
      <w:r w:rsidRPr="0059139D">
        <w:rPr>
          <w:rFonts w:ascii="Palatino Linotype" w:eastAsia="Calibri" w:hAnsi="Palatino Linotype" w:cs="Tahoma"/>
          <w:bCs/>
          <w:sz w:val="22"/>
          <w:szCs w:val="22"/>
          <w:lang w:val="es-ES_tradnl" w:eastAsia="en-US"/>
        </w:rPr>
        <w:t xml:space="preserve"> dentro de su circunscripción territorial, pues ayuda a transparentar la gestión pública.</w:t>
      </w:r>
    </w:p>
    <w:p w14:paraId="4AC2EF97"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336E4D52" w14:textId="43680D98"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Al respecto, cabe puntualizar que las licencias, tal como se estableció en párrafos anteriores, se refiere a los documentos que contienen la autorización por parte del Ayuntamiento de </w:t>
      </w:r>
      <w:r>
        <w:rPr>
          <w:rFonts w:ascii="Palatino Linotype" w:eastAsia="Calibri" w:hAnsi="Palatino Linotype" w:cs="Tahoma"/>
          <w:bCs/>
          <w:sz w:val="22"/>
          <w:szCs w:val="22"/>
          <w:lang w:eastAsia="en-US"/>
        </w:rPr>
        <w:t>Valle de Chalco Solidaridad</w:t>
      </w:r>
      <w:r w:rsidRPr="0059139D">
        <w:rPr>
          <w:rFonts w:ascii="Palatino Linotype" w:eastAsia="Calibri" w:hAnsi="Palatino Linotype" w:cs="Tahoma"/>
          <w:bCs/>
          <w:sz w:val="22"/>
          <w:szCs w:val="22"/>
          <w:lang w:eastAsia="en-US"/>
        </w:rPr>
        <w:t>, a través de la Dirección de Desarrollo Económico</w:t>
      </w:r>
      <w:r>
        <w:rPr>
          <w:rFonts w:ascii="Palatino Linotype" w:eastAsia="Calibri" w:hAnsi="Palatino Linotype" w:cs="Tahoma"/>
          <w:bCs/>
          <w:sz w:val="22"/>
          <w:szCs w:val="22"/>
          <w:lang w:eastAsia="en-US"/>
        </w:rPr>
        <w:t xml:space="preserve"> y la Dirección de Industria y Comercio</w:t>
      </w:r>
      <w:r w:rsidRPr="0059139D">
        <w:rPr>
          <w:rFonts w:ascii="Palatino Linotype" w:eastAsia="Calibri" w:hAnsi="Palatino Linotype" w:cs="Tahoma"/>
          <w:bCs/>
          <w:sz w:val="22"/>
          <w:szCs w:val="22"/>
          <w:lang w:eastAsia="en-US"/>
        </w:rPr>
        <w:t>, para que un particular o persona jurídica colectiva pueda realizar una actividad económica, comercial o industrial, regulada por las Leyes respectivas.</w:t>
      </w:r>
    </w:p>
    <w:p w14:paraId="29992373"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72F1B264"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En ese sentido, de acuerdo con el artículo 92, fracción XXXII de la Ley en cita, el legislador contempló como información de interés público y que debe estar disponible para consulta, aquellas licencias otorgadas, especificando </w:t>
      </w:r>
      <w:r w:rsidRPr="0059139D">
        <w:rPr>
          <w:rFonts w:ascii="Palatino Linotype" w:eastAsia="Calibri" w:hAnsi="Palatino Linotype" w:cs="Tahoma"/>
          <w:b/>
          <w:bCs/>
          <w:sz w:val="22"/>
          <w:szCs w:val="22"/>
          <w:lang w:eastAsia="en-US"/>
        </w:rPr>
        <w:t>el nombre de su titular</w:t>
      </w:r>
      <w:r w:rsidRPr="0059139D">
        <w:rPr>
          <w:rFonts w:ascii="Palatino Linotype" w:eastAsia="Calibri" w:hAnsi="Palatino Linotype" w:cs="Tahoma"/>
          <w:bCs/>
          <w:sz w:val="22"/>
          <w:szCs w:val="22"/>
          <w:lang w:eastAsia="en-US"/>
        </w:rPr>
        <w:t xml:space="preserve"> y las características principales. Lo anterior, en concordancia a lo establecido en la Ley General de Transparencia y Acceso a la Información Pública. </w:t>
      </w:r>
    </w:p>
    <w:p w14:paraId="3D558856"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155C1533"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Ello, con la finalidad de asegurar su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w:t>
      </w:r>
      <w:r w:rsidRPr="0059139D">
        <w:rPr>
          <w:rFonts w:ascii="Palatino Linotype" w:hAnsi="Palatino Linotype" w:cs="Tahoma"/>
          <w:sz w:val="22"/>
          <w:szCs w:val="22"/>
        </w:rPr>
        <w:t xml:space="preserve"> </w:t>
      </w:r>
      <w:r w:rsidRPr="0059139D">
        <w:rPr>
          <w:rFonts w:ascii="Palatino Linotype" w:eastAsia="Calibri" w:hAnsi="Palatino Linotype" w:cs="Tahoma"/>
          <w:bCs/>
          <w:sz w:val="22"/>
          <w:szCs w:val="22"/>
          <w:lang w:eastAsia="en-US"/>
        </w:rPr>
        <w:t>Además, se incluyó el deber para los sujetos obligados de proporcionar, en la medida de lo posible, esta información con valor agregado, a efecto de facilitar su uso, comprensión y permitir evaluar su calidad, confiabilidad, oportunidad y veracidad.</w:t>
      </w:r>
    </w:p>
    <w:p w14:paraId="08A603B9"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63E97A8A"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Toma sustento, dicha situación, en el Dictamen de las Comisiones Unidas de Anticorrupción y Participación Ciudadana, de Gobernación y de Estudios Legislativos, segunda; relativo a la </w:t>
      </w:r>
      <w:r w:rsidRPr="0059139D">
        <w:rPr>
          <w:rFonts w:ascii="Palatino Linotype" w:eastAsia="Calibri" w:hAnsi="Palatino Linotype" w:cs="Tahoma"/>
          <w:bCs/>
          <w:sz w:val="22"/>
          <w:szCs w:val="22"/>
          <w:lang w:eastAsia="en-US"/>
        </w:rPr>
        <w:lastRenderedPageBreak/>
        <w:t>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14:paraId="0F0EF207"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4B67AD9D" w14:textId="609B92D8"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Igualmente, se destacó que aún determinando causales de reserva en las leyes especiales diversas a la Ley General o las Estatales de Transparencia, todos los sujetos obligados deben de dar cumplimiento con todos los principios y procedimientos establecidos en la </w:t>
      </w:r>
      <w:r>
        <w:rPr>
          <w:rFonts w:ascii="Palatino Linotype" w:eastAsia="Calibri" w:hAnsi="Palatino Linotype" w:cs="Tahoma"/>
          <w:bCs/>
          <w:sz w:val="22"/>
          <w:szCs w:val="22"/>
          <w:lang w:eastAsia="en-US"/>
        </w:rPr>
        <w:t>normatividad aplicable</w:t>
      </w:r>
      <w:r w:rsidRPr="0059139D">
        <w:rPr>
          <w:rFonts w:ascii="Palatino Linotype" w:eastAsia="Calibri" w:hAnsi="Palatino Linotype" w:cs="Tahoma"/>
          <w:bCs/>
          <w:sz w:val="22"/>
          <w:szCs w:val="22"/>
          <w:lang w:eastAsia="en-US"/>
        </w:rPr>
        <w:t xml:space="preserve">, así como con los recursos y criterios de </w:t>
      </w:r>
      <w:proofErr w:type="gramStart"/>
      <w:r w:rsidRPr="0059139D">
        <w:rPr>
          <w:rFonts w:ascii="Palatino Linotype" w:eastAsia="Calibri" w:hAnsi="Palatino Linotype" w:cs="Tahoma"/>
          <w:bCs/>
          <w:sz w:val="22"/>
          <w:szCs w:val="22"/>
          <w:lang w:eastAsia="en-US"/>
        </w:rPr>
        <w:t>la misma</w:t>
      </w:r>
      <w:proofErr w:type="gramEnd"/>
      <w:r w:rsidRPr="0059139D">
        <w:rPr>
          <w:rFonts w:ascii="Palatino Linotype" w:eastAsia="Calibri" w:hAnsi="Palatino Linotype" w:cs="Tahoma"/>
          <w:bCs/>
          <w:sz w:val="22"/>
          <w:szCs w:val="22"/>
          <w:lang w:eastAsia="en-US"/>
        </w:rPr>
        <w:t>.</w:t>
      </w:r>
    </w:p>
    <w:p w14:paraId="637C4D47"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32AD968D"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 persona física de una licencia de funcionamiento, por lo que no es dable, como se asienta en el Criterio Relevante, considerar que el nombre de los titulares estas, deba ser considerado confidencial, aún y cuando el mismo no involucre aprovechamiento de bienes o recursos públicos.</w:t>
      </w:r>
    </w:p>
    <w:p w14:paraId="48757F6E"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5EA6817D"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34C29325"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2793BA26"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lastRenderedPageBreak/>
        <w:t xml:space="preserve">Ante tales circunstancias, se desprende que, en el caso concreto, sobreviene una </w:t>
      </w:r>
      <w:r w:rsidRPr="0059139D">
        <w:rPr>
          <w:rFonts w:ascii="Palatino Linotype" w:eastAsia="Calibri" w:hAnsi="Palatino Linotype" w:cs="Tahoma"/>
          <w:b/>
          <w:bCs/>
          <w:sz w:val="22"/>
          <w:szCs w:val="22"/>
          <w:lang w:eastAsia="en-US"/>
        </w:rPr>
        <w:t>colisión de derechos fundamentales,</w:t>
      </w:r>
      <w:r w:rsidRPr="0059139D">
        <w:rPr>
          <w:rFonts w:ascii="Palatino Linotype" w:eastAsia="Calibri" w:hAnsi="Palatino Linotype" w:cs="Tahoma"/>
          <w:bCs/>
          <w:sz w:val="22"/>
          <w:szCs w:val="22"/>
          <w:lang w:eastAsia="en-US"/>
        </w:rPr>
        <w:t xml:space="preserve"> esto es, por una parte, se tiene el derecho de acceso a la información del Particular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6959171F"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19D8FFDE" w14:textId="0231008B"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34DCA7F0"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1023762F"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Por cuanto hace a la colisión entre el derecho a la información y el derecho a la intimidad o a la vida privada, el Poder Judicial de la Federación ha sostenido la </w:t>
      </w:r>
      <w:r w:rsidRPr="0059139D">
        <w:rPr>
          <w:rFonts w:ascii="Palatino Linotype" w:eastAsia="Calibri" w:hAnsi="Palatino Linotype" w:cs="Tahoma"/>
          <w:b/>
          <w:bCs/>
          <w:sz w:val="22"/>
          <w:szCs w:val="22"/>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59139D">
        <w:rPr>
          <w:rFonts w:ascii="Palatino Linotype" w:eastAsia="Calibri" w:hAnsi="Palatino Linotype" w:cs="Tahoma"/>
          <w:bCs/>
          <w:sz w:val="22"/>
          <w:szCs w:val="22"/>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3B79B44E" w14:textId="77777777" w:rsidR="0059139D" w:rsidRPr="0059139D" w:rsidRDefault="0059139D" w:rsidP="008B3A20">
      <w:pPr>
        <w:spacing w:line="360" w:lineRule="auto"/>
        <w:jc w:val="both"/>
        <w:rPr>
          <w:rFonts w:ascii="Palatino Linotype" w:eastAsia="Calibri" w:hAnsi="Palatino Linotype" w:cs="Tahoma"/>
          <w:bCs/>
          <w:sz w:val="22"/>
          <w:szCs w:val="22"/>
          <w:lang w:eastAsia="en-US"/>
        </w:rPr>
      </w:pPr>
    </w:p>
    <w:p w14:paraId="4706D5E6" w14:textId="77777777" w:rsidR="0059139D" w:rsidRPr="0059139D" w:rsidRDefault="0059139D" w:rsidP="008B3A20">
      <w:pPr>
        <w:spacing w:line="360" w:lineRule="auto"/>
        <w:jc w:val="both"/>
        <w:rPr>
          <w:rFonts w:ascii="Palatino Linotype" w:hAnsi="Palatino Linotype" w:cs="Tahoma"/>
          <w:bCs/>
          <w:iCs/>
          <w:sz w:val="22"/>
          <w:szCs w:val="22"/>
        </w:rPr>
      </w:pPr>
      <w:r w:rsidRPr="0059139D">
        <w:rPr>
          <w:rFonts w:ascii="Palatino Linotype" w:eastAsia="Calibri" w:hAnsi="Palatino Linotype" w:cs="Tahoma"/>
          <w:bCs/>
          <w:sz w:val="22"/>
          <w:szCs w:val="22"/>
          <w:lang w:eastAsia="en-US"/>
        </w:rPr>
        <w:t xml:space="preserve">En ese mismo sentido y atendiendo a la naturaleza del derecho a la protección de datos personales, por analogía, este debe ceder cuando exista un interés público mayor </w:t>
      </w:r>
      <w:proofErr w:type="gramStart"/>
      <w:r w:rsidRPr="0059139D">
        <w:rPr>
          <w:rFonts w:ascii="Palatino Linotype" w:eastAsia="Calibri" w:hAnsi="Palatino Linotype" w:cs="Tahoma"/>
          <w:bCs/>
          <w:sz w:val="22"/>
          <w:szCs w:val="22"/>
          <w:lang w:eastAsia="en-US"/>
        </w:rPr>
        <w:t>de acuerdo a</w:t>
      </w:r>
      <w:proofErr w:type="gramEnd"/>
      <w:r w:rsidRPr="0059139D">
        <w:rPr>
          <w:rFonts w:ascii="Palatino Linotype" w:eastAsia="Calibri" w:hAnsi="Palatino Linotype" w:cs="Tahoma"/>
          <w:bCs/>
          <w:sz w:val="22"/>
          <w:szCs w:val="22"/>
          <w:lang w:eastAsia="en-US"/>
        </w:rPr>
        <w:t xml:space="preserve"> las circunstancias del caso.</w:t>
      </w:r>
      <w:r w:rsidRPr="0059139D">
        <w:rPr>
          <w:rFonts w:ascii="Palatino Linotype" w:hAnsi="Palatino Linotype" w:cs="Tahoma"/>
          <w:bCs/>
          <w:iCs/>
          <w:sz w:val="22"/>
          <w:szCs w:val="22"/>
        </w:rPr>
        <w:t xml:space="preserve"> Precisado lo anterior, resulta necesario realizar una ponderación de los dos intereses jurídicos tutelados que convergen en la controversia que se dirime; para </w:t>
      </w:r>
      <w:r w:rsidRPr="0059139D">
        <w:rPr>
          <w:rFonts w:ascii="Palatino Linotype" w:hAnsi="Palatino Linotype" w:cs="Tahoma"/>
          <w:bCs/>
          <w:iCs/>
          <w:sz w:val="22"/>
          <w:szCs w:val="22"/>
        </w:rPr>
        <w:lastRenderedPageBreak/>
        <w:t xml:space="preserve">lo cual, el artículo </w:t>
      </w:r>
      <w:r w:rsidRPr="0059139D">
        <w:rPr>
          <w:rFonts w:ascii="Palatino Linotype" w:eastAsia="Calibri" w:hAnsi="Palatino Linotype" w:cs="Tahoma"/>
          <w:bCs/>
          <w:sz w:val="22"/>
          <w:szCs w:val="22"/>
          <w:lang w:eastAsia="en-US"/>
        </w:rPr>
        <w:t>184 de la Ley de Transparencia y Acceso a la Información Pública del Estado de México y Municipios</w:t>
      </w:r>
      <w:r w:rsidRPr="0059139D">
        <w:rPr>
          <w:rFonts w:ascii="Palatino Linotype" w:hAnsi="Palatino Linotype" w:cs="Tahoma"/>
          <w:bCs/>
          <w:iCs/>
          <w:sz w:val="22"/>
          <w:szCs w:val="22"/>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6C48AFEB" w14:textId="77777777" w:rsidR="0059139D" w:rsidRPr="0059139D" w:rsidRDefault="0059139D" w:rsidP="008B3A20">
      <w:pPr>
        <w:spacing w:line="360" w:lineRule="auto"/>
        <w:ind w:right="49"/>
        <w:jc w:val="both"/>
        <w:rPr>
          <w:rFonts w:ascii="Palatino Linotype" w:hAnsi="Palatino Linotype" w:cs="Tahoma"/>
          <w:bCs/>
          <w:iCs/>
          <w:sz w:val="22"/>
          <w:szCs w:val="22"/>
        </w:rPr>
      </w:pPr>
    </w:p>
    <w:p w14:paraId="3B91C2A2" w14:textId="77777777" w:rsidR="0059139D" w:rsidRPr="0059139D" w:rsidRDefault="0059139D" w:rsidP="008B3A20">
      <w:pPr>
        <w:numPr>
          <w:ilvl w:val="0"/>
          <w:numId w:val="18"/>
        </w:numPr>
        <w:spacing w:line="360" w:lineRule="auto"/>
        <w:ind w:left="426" w:right="49" w:hanging="426"/>
        <w:contextualSpacing/>
        <w:jc w:val="both"/>
        <w:rPr>
          <w:rFonts w:ascii="Palatino Linotype" w:hAnsi="Palatino Linotype" w:cs="Tahoma"/>
          <w:bCs/>
          <w:iCs/>
          <w:sz w:val="22"/>
          <w:szCs w:val="22"/>
        </w:rPr>
      </w:pPr>
      <w:r w:rsidRPr="0059139D">
        <w:rPr>
          <w:rFonts w:ascii="Palatino Linotype" w:hAnsi="Palatino Linotype" w:cs="Tahoma"/>
          <w:b/>
          <w:bCs/>
          <w:iCs/>
          <w:sz w:val="22"/>
          <w:szCs w:val="22"/>
        </w:rPr>
        <w:t>Idoneidad:</w:t>
      </w:r>
      <w:r w:rsidRPr="0059139D">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14:paraId="61E488DB" w14:textId="77777777" w:rsidR="0059139D" w:rsidRPr="0059139D" w:rsidRDefault="0059139D" w:rsidP="008B3A20">
      <w:pPr>
        <w:spacing w:line="360" w:lineRule="auto"/>
        <w:ind w:left="426" w:right="49"/>
        <w:contextualSpacing/>
        <w:jc w:val="both"/>
        <w:rPr>
          <w:rFonts w:ascii="Palatino Linotype" w:hAnsi="Palatino Linotype" w:cs="Tahoma"/>
          <w:bCs/>
          <w:iCs/>
          <w:sz w:val="22"/>
          <w:szCs w:val="22"/>
        </w:rPr>
      </w:pPr>
    </w:p>
    <w:p w14:paraId="176328C1" w14:textId="77777777" w:rsidR="0059139D" w:rsidRPr="0059139D" w:rsidRDefault="0059139D" w:rsidP="008B3A20">
      <w:pPr>
        <w:numPr>
          <w:ilvl w:val="0"/>
          <w:numId w:val="18"/>
        </w:numPr>
        <w:spacing w:line="360" w:lineRule="auto"/>
        <w:ind w:left="426" w:right="49" w:hanging="426"/>
        <w:contextualSpacing/>
        <w:jc w:val="both"/>
        <w:rPr>
          <w:rFonts w:ascii="Palatino Linotype" w:hAnsi="Palatino Linotype" w:cs="Tahoma"/>
          <w:bCs/>
          <w:iCs/>
          <w:sz w:val="22"/>
          <w:szCs w:val="22"/>
        </w:rPr>
      </w:pPr>
      <w:r w:rsidRPr="0059139D">
        <w:rPr>
          <w:rFonts w:ascii="Palatino Linotype" w:hAnsi="Palatino Linotype" w:cs="Tahoma"/>
          <w:b/>
          <w:bCs/>
          <w:iCs/>
          <w:sz w:val="22"/>
          <w:szCs w:val="22"/>
        </w:rPr>
        <w:t>Necesidad:</w:t>
      </w:r>
      <w:r w:rsidRPr="0059139D">
        <w:rPr>
          <w:rFonts w:ascii="Palatino Linotype" w:hAnsi="Palatino Linotype" w:cs="Tahoma"/>
          <w:bCs/>
          <w:iCs/>
          <w:sz w:val="22"/>
          <w:szCs w:val="22"/>
        </w:rPr>
        <w:t xml:space="preserve"> La falta de un medio alternativo menos lesivo a la apertura de la información, para satisfacer el interés público, y</w:t>
      </w:r>
    </w:p>
    <w:p w14:paraId="521F3CDE" w14:textId="77777777" w:rsidR="0059139D" w:rsidRPr="0059139D" w:rsidRDefault="0059139D" w:rsidP="008B3A20">
      <w:pPr>
        <w:spacing w:line="360" w:lineRule="auto"/>
        <w:ind w:left="426" w:right="49"/>
        <w:contextualSpacing/>
        <w:jc w:val="both"/>
        <w:rPr>
          <w:rFonts w:ascii="Palatino Linotype" w:hAnsi="Palatino Linotype" w:cs="Tahoma"/>
          <w:bCs/>
          <w:iCs/>
          <w:sz w:val="22"/>
          <w:szCs w:val="22"/>
        </w:rPr>
      </w:pPr>
    </w:p>
    <w:p w14:paraId="136EF8CD" w14:textId="77777777" w:rsidR="0059139D" w:rsidRPr="0059139D" w:rsidRDefault="0059139D" w:rsidP="008B3A20">
      <w:pPr>
        <w:widowControl w:val="0"/>
        <w:numPr>
          <w:ilvl w:val="0"/>
          <w:numId w:val="18"/>
        </w:numPr>
        <w:spacing w:line="360" w:lineRule="auto"/>
        <w:ind w:left="425" w:right="51" w:hanging="425"/>
        <w:contextualSpacing/>
        <w:jc w:val="both"/>
        <w:rPr>
          <w:rFonts w:ascii="Palatino Linotype" w:hAnsi="Palatino Linotype" w:cs="Tahoma"/>
          <w:bCs/>
          <w:iCs/>
          <w:sz w:val="22"/>
          <w:szCs w:val="22"/>
        </w:rPr>
      </w:pPr>
      <w:r w:rsidRPr="0059139D">
        <w:rPr>
          <w:rFonts w:ascii="Palatino Linotype" w:hAnsi="Palatino Linotype" w:cs="Tahoma"/>
          <w:b/>
          <w:bCs/>
          <w:iCs/>
          <w:sz w:val="22"/>
          <w:szCs w:val="22"/>
        </w:rPr>
        <w:t>Proporcionalidad:</w:t>
      </w:r>
      <w:r w:rsidRPr="0059139D">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14:paraId="234B9662"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25D4F323" w14:textId="77777777" w:rsidR="0059139D" w:rsidRPr="0059139D" w:rsidRDefault="0059139D" w:rsidP="008B3A20">
      <w:pPr>
        <w:spacing w:line="360" w:lineRule="auto"/>
        <w:ind w:right="-1"/>
        <w:jc w:val="both"/>
        <w:rPr>
          <w:rFonts w:ascii="Palatino Linotype" w:eastAsia="Calibri" w:hAnsi="Palatino Linotype" w:cs="Tahoma"/>
          <w:sz w:val="22"/>
          <w:szCs w:val="22"/>
        </w:rPr>
      </w:pPr>
      <w:r w:rsidRPr="0059139D">
        <w:rPr>
          <w:rFonts w:ascii="Palatino Linotype" w:eastAsia="Calibri" w:hAnsi="Palatino Linotype" w:cs="Tahoma"/>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14:paraId="75804EC4" w14:textId="77777777" w:rsidR="0059139D" w:rsidRPr="0059139D" w:rsidRDefault="0059139D" w:rsidP="008B3A20">
      <w:pPr>
        <w:spacing w:line="360" w:lineRule="auto"/>
        <w:ind w:right="-1"/>
        <w:jc w:val="both"/>
        <w:rPr>
          <w:rFonts w:ascii="Palatino Linotype" w:eastAsia="Calibri" w:hAnsi="Palatino Linotype" w:cs="Tahoma"/>
          <w:sz w:val="22"/>
          <w:szCs w:val="22"/>
        </w:rPr>
      </w:pPr>
    </w:p>
    <w:p w14:paraId="565AB93A" w14:textId="249A51C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
          <w:bCs/>
          <w:iCs/>
          <w:sz w:val="22"/>
          <w:szCs w:val="22"/>
        </w:rPr>
        <w:t>a) Idoneidad</w:t>
      </w:r>
      <w:r w:rsidRPr="0059139D">
        <w:rPr>
          <w:rFonts w:ascii="Palatino Linotype" w:eastAsia="Calibri" w:hAnsi="Palatino Linotype" w:cs="Tahoma"/>
          <w:bCs/>
          <w:sz w:val="22"/>
          <w:szCs w:val="22"/>
          <w:lang w:eastAsia="en-US"/>
        </w:rPr>
        <w:t xml:space="preserve">. Existe un fin constitucionalmente válido para dar a conocer el nombre de aquellas personas físicas a quienes les fue otorgada una licencia para realizar una actividad económica, comercial o industrial en el Municipios del </w:t>
      </w:r>
      <w:r>
        <w:rPr>
          <w:rFonts w:ascii="Palatino Linotype" w:eastAsia="Calibri" w:hAnsi="Palatino Linotype" w:cs="Tahoma"/>
          <w:bCs/>
          <w:sz w:val="22"/>
          <w:szCs w:val="22"/>
          <w:lang w:eastAsia="en-US"/>
        </w:rPr>
        <w:t>Valle de Chalco Solidaridad</w:t>
      </w:r>
      <w:r w:rsidRPr="0059139D">
        <w:rPr>
          <w:rFonts w:ascii="Palatino Linotype" w:eastAsia="Calibri" w:hAnsi="Palatino Linotype" w:cs="Tahoma"/>
          <w:bCs/>
          <w:sz w:val="22"/>
          <w:szCs w:val="22"/>
          <w:lang w:eastAsia="en-US"/>
        </w:rPr>
        <w:t>; dicho fin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a la normatividad aplicable.</w:t>
      </w:r>
    </w:p>
    <w:p w14:paraId="7180C201"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739F9BB1" w14:textId="5632686C"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lastRenderedPageBreak/>
        <w:t xml:space="preserve">Al respecto, es de señalar que la </w:t>
      </w:r>
      <w:r w:rsidRPr="0059139D">
        <w:rPr>
          <w:rFonts w:ascii="Palatino Linotype" w:eastAsia="Calibri" w:hAnsi="Palatino Linotype" w:cs="Tahoma"/>
          <w:b/>
          <w:bCs/>
          <w:sz w:val="22"/>
          <w:szCs w:val="22"/>
          <w:lang w:eastAsia="en-US"/>
        </w:rPr>
        <w:t xml:space="preserve">transparencia </w:t>
      </w:r>
      <w:r w:rsidRPr="0059139D">
        <w:rPr>
          <w:rFonts w:ascii="Palatino Linotype" w:eastAsia="Calibri" w:hAnsi="Palatino Linotype" w:cs="Tahoma"/>
          <w:bCs/>
          <w:sz w:val="22"/>
          <w:szCs w:val="22"/>
          <w:lang w:eastAsia="en-US"/>
        </w:rPr>
        <w:t xml:space="preserve">está orientada a maximizar el uso social de la información de los organismos gubernamentales, misma que sirve para exigir cuentas a las autoridades; mientras que la </w:t>
      </w:r>
      <w:r w:rsidRPr="0059139D">
        <w:rPr>
          <w:rFonts w:ascii="Palatino Linotype" w:eastAsia="Calibri" w:hAnsi="Palatino Linotype" w:cs="Tahoma"/>
          <w:b/>
          <w:bCs/>
          <w:sz w:val="22"/>
          <w:szCs w:val="22"/>
          <w:lang w:eastAsia="en-US"/>
        </w:rPr>
        <w:t>rendición de cuentas</w:t>
      </w:r>
      <w:r w:rsidRPr="0059139D">
        <w:rPr>
          <w:rFonts w:ascii="Palatino Linotype" w:eastAsia="Calibri" w:hAnsi="Palatino Linotype" w:cs="Tahoma"/>
          <w:bCs/>
          <w:sz w:val="22"/>
          <w:szCs w:val="22"/>
          <w:lang w:eastAsia="en-U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4D24D4E7"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190888A6" w14:textId="77777777" w:rsidR="0059139D" w:rsidRPr="0059139D" w:rsidRDefault="0059139D" w:rsidP="008B3A20">
      <w:pPr>
        <w:spacing w:line="360" w:lineRule="auto"/>
        <w:ind w:right="-93"/>
        <w:jc w:val="both"/>
        <w:rPr>
          <w:rFonts w:ascii="Palatino Linotype" w:eastAsia="Calibri" w:hAnsi="Palatino Linotype" w:cs="Tahoma"/>
          <w:b/>
          <w:bCs/>
          <w:sz w:val="22"/>
          <w:szCs w:val="22"/>
          <w:lang w:eastAsia="en-US"/>
        </w:rPr>
      </w:pPr>
      <w:r w:rsidRPr="0059139D">
        <w:rPr>
          <w:rFonts w:ascii="Palatino Linotype" w:eastAsia="Calibri" w:hAnsi="Palatino Linotype" w:cs="Tahoma"/>
          <w:bCs/>
          <w:sz w:val="22"/>
          <w:szCs w:val="22"/>
          <w:lang w:eastAsia="en-US"/>
        </w:rPr>
        <w:t xml:space="preserve">En ese orden de ideas, la transparencia, al permitir y ayudar a la rendición de cuentas, funciona de doble manera, </w:t>
      </w:r>
      <w:r w:rsidRPr="0059139D">
        <w:rPr>
          <w:rFonts w:ascii="Palatino Linotype" w:eastAsia="Calibri" w:hAnsi="Palatino Linotype" w:cs="Tahoma"/>
          <w:bCs/>
          <w:sz w:val="22"/>
          <w:szCs w:val="22"/>
          <w:u w:val="single"/>
          <w:lang w:eastAsia="en-US"/>
        </w:rPr>
        <w:t>capacitadora</w:t>
      </w:r>
      <w:r w:rsidRPr="0059139D">
        <w:rPr>
          <w:rFonts w:ascii="Palatino Linotype" w:eastAsia="Calibri" w:hAnsi="Palatino Linotype" w:cs="Tahoma"/>
          <w:bCs/>
          <w:sz w:val="22"/>
          <w:szCs w:val="22"/>
          <w:lang w:eastAsia="en-US"/>
        </w:rPr>
        <w:t xml:space="preserve">, al permitir a la sociedad premiar o castigar el desempeño de los entes públicos, y cómo </w:t>
      </w:r>
      <w:r w:rsidRPr="0059139D">
        <w:rPr>
          <w:rFonts w:ascii="Palatino Linotype" w:eastAsia="Calibri" w:hAnsi="Palatino Linotype" w:cs="Tahoma"/>
          <w:bCs/>
          <w:sz w:val="22"/>
          <w:szCs w:val="22"/>
          <w:u w:val="single"/>
          <w:lang w:eastAsia="en-US"/>
        </w:rPr>
        <w:t>inhibidora</w:t>
      </w:r>
      <w:r w:rsidRPr="0059139D">
        <w:rPr>
          <w:rFonts w:ascii="Palatino Linotype" w:eastAsia="Calibri" w:hAnsi="Palatino Linotype" w:cs="Tahoma"/>
          <w:bCs/>
          <w:sz w:val="22"/>
          <w:szCs w:val="22"/>
          <w:lang w:eastAsia="en-US"/>
        </w:rPr>
        <w:t xml:space="preserve"> de conductas y acciones que atenten contra </w:t>
      </w:r>
      <w:r w:rsidRPr="0059139D">
        <w:rPr>
          <w:rFonts w:ascii="Palatino Linotype" w:eastAsia="Calibri" w:hAnsi="Palatino Linotype" w:cs="Tahoma"/>
          <w:b/>
          <w:bCs/>
          <w:sz w:val="22"/>
          <w:szCs w:val="22"/>
          <w:lang w:eastAsia="en-US"/>
        </w:rPr>
        <w:t xml:space="preserve">el interés público. </w:t>
      </w:r>
    </w:p>
    <w:p w14:paraId="776EFCE7"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77E91763" w14:textId="12B287A4" w:rsidR="0059139D" w:rsidRPr="0059139D" w:rsidRDefault="0059139D" w:rsidP="008B3A20">
      <w:pPr>
        <w:spacing w:line="360" w:lineRule="auto"/>
        <w:ind w:right="-93"/>
        <w:jc w:val="both"/>
        <w:rPr>
          <w:rFonts w:ascii="Palatino Linotype" w:eastAsia="Calibri" w:hAnsi="Palatino Linotype" w:cs="Tahoma"/>
          <w:b/>
          <w:bCs/>
          <w:sz w:val="22"/>
          <w:szCs w:val="22"/>
          <w:lang w:eastAsia="en-US"/>
        </w:rPr>
      </w:pPr>
      <w:r w:rsidRPr="0059139D">
        <w:rPr>
          <w:rFonts w:ascii="Palatino Linotype" w:eastAsia="Calibri" w:hAnsi="Palatino Linotype" w:cs="Tahoma"/>
          <w:bCs/>
          <w:sz w:val="22"/>
          <w:szCs w:val="22"/>
          <w:lang w:eastAsia="en-US"/>
        </w:rPr>
        <w:t xml:space="preserve">Ahora bien, tal como se estableció en párrafos anteriores, cualquier actividad comercial, industrial o económica, únicamente podrá ser llevada a cabo, bajo el amparo de una licencia de funcionamiento expedida, en el presente caso, por el Ayuntamiento de </w:t>
      </w:r>
      <w:r>
        <w:rPr>
          <w:rFonts w:ascii="Palatino Linotype" w:eastAsia="Calibri" w:hAnsi="Palatino Linotype" w:cs="Tahoma"/>
          <w:bCs/>
          <w:sz w:val="22"/>
          <w:szCs w:val="22"/>
          <w:lang w:eastAsia="en-US"/>
        </w:rPr>
        <w:t>Valle de Chalco Solidaridad</w:t>
      </w:r>
      <w:r w:rsidRPr="0059139D">
        <w:rPr>
          <w:rFonts w:ascii="Palatino Linotype" w:eastAsia="Calibri" w:hAnsi="Palatino Linotype" w:cs="Tahoma"/>
          <w:bCs/>
          <w:sz w:val="22"/>
          <w:szCs w:val="22"/>
          <w:lang w:eastAsia="en-US"/>
        </w:rPr>
        <w:t xml:space="preserve">, siempre y cuando cumplan con los requisitos establecidos en la Ley de Competitividad y Ordenamiento Comercial del Estado de México, su Reglamento, entre otras normatividades; en tal virtud, los nombres de las personas que tienen una autorización para poder realizar diversas unidades económicas, </w:t>
      </w:r>
      <w:r w:rsidRPr="0059139D">
        <w:rPr>
          <w:rFonts w:ascii="Palatino Linotype" w:eastAsia="Calibri" w:hAnsi="Palatino Linotype" w:cs="Tahoma"/>
          <w:b/>
          <w:bCs/>
          <w:sz w:val="22"/>
          <w:szCs w:val="22"/>
          <w:lang w:eastAsia="en-US"/>
        </w:rPr>
        <w:t>se traduce en información que permite transparentar el otorgamiento por parte del Estado de dichos documentos a diversos particulares.</w:t>
      </w:r>
    </w:p>
    <w:p w14:paraId="44331957"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775FF97E" w14:textId="77777777" w:rsidR="0059139D" w:rsidRPr="0059139D" w:rsidRDefault="0059139D" w:rsidP="008B3A20">
      <w:pPr>
        <w:widowControl w:val="0"/>
        <w:spacing w:line="360" w:lineRule="auto"/>
        <w:ind w:right="-91"/>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En ese orden de ideas, la Suprema Corte de Justicia de la Nación, ha definido el acceso a la información como un derecho en sí mismo y como un medio o instrumento para el ejercicio de otros derechos,</w:t>
      </w:r>
      <w:r w:rsidRPr="0059139D">
        <w:rPr>
          <w:rFonts w:ascii="Palatino Linotype" w:eastAsia="Calibri" w:hAnsi="Palatino Linotype" w:cs="Tahoma"/>
          <w:b/>
          <w:bCs/>
          <w:sz w:val="22"/>
          <w:szCs w:val="22"/>
          <w:lang w:eastAsia="en-US"/>
        </w:rPr>
        <w:t xml:space="preserve"> para que los gobernados ejerzan un control respecto del funcionamiento </w:t>
      </w:r>
      <w:r w:rsidRPr="0059139D">
        <w:rPr>
          <w:rFonts w:ascii="Palatino Linotype" w:eastAsia="Calibri" w:hAnsi="Palatino Linotype" w:cs="Tahoma"/>
          <w:b/>
          <w:bCs/>
          <w:sz w:val="22"/>
          <w:szCs w:val="22"/>
          <w:lang w:eastAsia="en-US"/>
        </w:rPr>
        <w:lastRenderedPageBreak/>
        <w:t>institucional de los poderes públicos, por lo que se constituye como una exigencia social de todo Estado de Derecho, y como un derecho colectivo o garantía social</w:t>
      </w:r>
      <w:r w:rsidRPr="0059139D">
        <w:rPr>
          <w:rFonts w:ascii="Palatino Linotype" w:eastAsia="Calibri" w:hAnsi="Palatino Linotype" w:cs="Tahoma"/>
          <w:bCs/>
          <w:sz w:val="22"/>
          <w:szCs w:val="22"/>
          <w:lang w:eastAsia="en-US"/>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14:paraId="37F33D47"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098292DB"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A mayor precisión, la transparencia de la información requerida permitiría a la sociedad, en general, conocer los nombres de las personas que acreditaron los elementos necesarios para poder realizar una actividad económica dentro del territorio del Municipio; esto es, de los requisitos establecidos en las leyes respectivas.</w:t>
      </w:r>
    </w:p>
    <w:p w14:paraId="714888AA"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06AFC8F0" w14:textId="77777777" w:rsidR="0059139D" w:rsidRPr="0059139D" w:rsidRDefault="0059139D" w:rsidP="008B3A20">
      <w:pPr>
        <w:spacing w:line="360" w:lineRule="auto"/>
        <w:ind w:right="-93"/>
        <w:jc w:val="both"/>
        <w:rPr>
          <w:rFonts w:ascii="Palatino Linotype" w:eastAsia="Calibri" w:hAnsi="Palatino Linotype" w:cs="Tahoma"/>
          <w:b/>
          <w:bCs/>
          <w:sz w:val="22"/>
          <w:szCs w:val="22"/>
          <w:u w:val="single"/>
          <w:lang w:eastAsia="en-US"/>
        </w:rPr>
      </w:pPr>
      <w:r w:rsidRPr="0059139D">
        <w:rPr>
          <w:rFonts w:ascii="Palatino Linotype" w:eastAsia="Calibri" w:hAnsi="Palatino Linotype" w:cs="Tahoma"/>
          <w:bCs/>
          <w:sz w:val="22"/>
          <w:szCs w:val="22"/>
          <w:lang w:eastAsia="en-US"/>
        </w:rPr>
        <w:t xml:space="preserve">En ese orden de ideas, resulta necesario precisar, que en el artículo 21, fracción III de la Ley de Competitividad y Ordenamiento Comercial del Estado de México, </w:t>
      </w:r>
      <w:r w:rsidRPr="0059139D">
        <w:rPr>
          <w:rFonts w:ascii="Palatino Linotype" w:eastAsia="Calibri" w:hAnsi="Palatino Linotype" w:cs="Tahoma"/>
          <w:b/>
          <w:bCs/>
          <w:sz w:val="22"/>
          <w:szCs w:val="22"/>
          <w:u w:val="single"/>
          <w:lang w:eastAsia="en-US"/>
        </w:rPr>
        <w:t xml:space="preserve">prevé que es obligación de los propietarios de establecimientos, tener en un lugar visible dentro de la unidad económica, el original o copia certificada de la licencia de funcionamiento. </w:t>
      </w:r>
    </w:p>
    <w:p w14:paraId="20BC5750"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746E4D69" w14:textId="77777777" w:rsidR="0059139D" w:rsidRPr="0059139D" w:rsidRDefault="0059139D" w:rsidP="008B3A20">
      <w:pPr>
        <w:spacing w:line="360" w:lineRule="auto"/>
        <w:ind w:right="-93"/>
        <w:jc w:val="both"/>
        <w:rPr>
          <w:rFonts w:ascii="Palatino Linotype" w:eastAsia="Calibri" w:hAnsi="Palatino Linotype" w:cs="Tahoma"/>
          <w:bCs/>
          <w:sz w:val="22"/>
          <w:szCs w:val="22"/>
          <w:u w:val="single"/>
          <w:lang w:eastAsia="en-US"/>
        </w:rPr>
      </w:pPr>
      <w:r w:rsidRPr="0059139D">
        <w:rPr>
          <w:rFonts w:ascii="Palatino Linotype" w:eastAsia="Calibri" w:hAnsi="Palatino Linotype" w:cs="Tahoma"/>
          <w:bCs/>
          <w:sz w:val="22"/>
          <w:szCs w:val="22"/>
          <w:lang w:eastAsia="en-US"/>
        </w:rPr>
        <w:t xml:space="preserve">Por ende, otorgar el nombre de la persona autorizada, a través de una licencia de funcionamiento, </w:t>
      </w:r>
      <w:r w:rsidRPr="0059139D">
        <w:rPr>
          <w:rFonts w:ascii="Palatino Linotype" w:eastAsia="Calibri" w:hAnsi="Palatino Linotype" w:cs="Tahoma"/>
          <w:bCs/>
          <w:sz w:val="22"/>
          <w:szCs w:val="22"/>
          <w:u w:val="single"/>
          <w:lang w:eastAsia="en-US"/>
        </w:rPr>
        <w:t>permite corroborar que la exhibida en el establecimiento comercial, fue emitida efectivamente por la autoridad competente, en el presente caso, por el Municipio de Toluca.</w:t>
      </w:r>
    </w:p>
    <w:p w14:paraId="469C9B92" w14:textId="77777777" w:rsidR="0059139D" w:rsidRPr="0059139D" w:rsidRDefault="0059139D" w:rsidP="008B3A20">
      <w:pPr>
        <w:spacing w:line="360" w:lineRule="auto"/>
        <w:ind w:right="-93"/>
        <w:jc w:val="both"/>
        <w:rPr>
          <w:rFonts w:ascii="Palatino Linotype" w:eastAsia="Calibri" w:hAnsi="Palatino Linotype" w:cs="Tahoma"/>
          <w:bCs/>
          <w:sz w:val="22"/>
          <w:szCs w:val="22"/>
          <w:u w:val="single"/>
          <w:lang w:eastAsia="en-US"/>
        </w:rPr>
      </w:pPr>
    </w:p>
    <w:p w14:paraId="01091592"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Bajo esa premisa, se entiende que la materia sobre la cual versa la presente </w:t>
      </w:r>
      <w:proofErr w:type="gramStart"/>
      <w:r w:rsidRPr="0059139D">
        <w:rPr>
          <w:rFonts w:ascii="Palatino Linotype" w:eastAsia="Calibri" w:hAnsi="Palatino Linotype" w:cs="Tahoma"/>
          <w:bCs/>
          <w:sz w:val="22"/>
          <w:szCs w:val="22"/>
          <w:lang w:eastAsia="en-US"/>
        </w:rPr>
        <w:t>solicitud,</w:t>
      </w:r>
      <w:proofErr w:type="gramEnd"/>
      <w:r w:rsidRPr="0059139D">
        <w:rPr>
          <w:rFonts w:ascii="Palatino Linotype" w:eastAsia="Calibri" w:hAnsi="Palatino Linotype" w:cs="Tahoma"/>
          <w:bCs/>
          <w:sz w:val="22"/>
          <w:szCs w:val="22"/>
          <w:lang w:eastAsia="en-US"/>
        </w:rPr>
        <w:t xml:space="preserve"> reviste un interés colectivo para la sociedad, dado que el Estado a nivel municipal, es el encargado de regular los establecimientos comerciales o industriales dentro de extensión territorial.</w:t>
      </w:r>
    </w:p>
    <w:p w14:paraId="548D3A3C"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48FFF27A" w14:textId="3FB76143" w:rsidR="0059139D" w:rsidRPr="0059139D" w:rsidRDefault="0059139D" w:rsidP="008B3A20">
      <w:pPr>
        <w:spacing w:line="360" w:lineRule="auto"/>
        <w:ind w:right="-93"/>
        <w:jc w:val="both"/>
        <w:rPr>
          <w:rFonts w:ascii="Palatino Linotype" w:eastAsia="Calibri" w:hAnsi="Palatino Linotype" w:cs="Tahoma"/>
          <w:b/>
          <w:bCs/>
          <w:sz w:val="22"/>
          <w:szCs w:val="22"/>
          <w:lang w:eastAsia="en-US"/>
        </w:rPr>
      </w:pPr>
      <w:r w:rsidRPr="0059139D">
        <w:rPr>
          <w:rFonts w:ascii="Palatino Linotype" w:eastAsia="Calibri" w:hAnsi="Palatino Linotype" w:cs="Tahoma"/>
          <w:bCs/>
          <w:sz w:val="22"/>
          <w:szCs w:val="22"/>
          <w:lang w:eastAsia="en-US"/>
        </w:rPr>
        <w:t xml:space="preserve">Así, mediante la difusión de los nombres de aquellas personas que cuentan con la licencia de funcionamiento, permitiría una debida rendición de cuentas, pues es indispensable que se </w:t>
      </w:r>
      <w:r w:rsidRPr="0059139D">
        <w:rPr>
          <w:rFonts w:ascii="Palatino Linotype" w:eastAsia="Calibri" w:hAnsi="Palatino Linotype" w:cs="Tahoma"/>
          <w:bCs/>
          <w:sz w:val="22"/>
          <w:szCs w:val="22"/>
          <w:lang w:eastAsia="en-US"/>
        </w:rPr>
        <w:lastRenderedPageBreak/>
        <w:t xml:space="preserve">conozcan aquellos que están autorizados por parte del Municipio de </w:t>
      </w:r>
      <w:r>
        <w:rPr>
          <w:rFonts w:ascii="Palatino Linotype" w:eastAsia="Calibri" w:hAnsi="Palatino Linotype" w:cs="Tahoma"/>
          <w:bCs/>
          <w:sz w:val="22"/>
          <w:szCs w:val="22"/>
          <w:lang w:eastAsia="en-US"/>
        </w:rPr>
        <w:t>Valle de Chalco Solidaridad</w:t>
      </w:r>
      <w:r w:rsidRPr="0059139D">
        <w:rPr>
          <w:rFonts w:ascii="Palatino Linotype" w:eastAsia="Calibri" w:hAnsi="Palatino Linotype" w:cs="Tahoma"/>
          <w:bCs/>
          <w:sz w:val="22"/>
          <w:szCs w:val="22"/>
          <w:lang w:eastAsia="en-US"/>
        </w:rPr>
        <w:t xml:space="preserve"> para realizar actividades económicas, mismas que se encuentran reguladas, por lo que, con ello se garantizaría que la sociedad tenga certeza de que </w:t>
      </w:r>
      <w:r w:rsidRPr="0059139D">
        <w:rPr>
          <w:rFonts w:ascii="Palatino Linotype" w:eastAsia="Calibri" w:hAnsi="Palatino Linotype" w:cs="Tahoma"/>
          <w:b/>
          <w:bCs/>
          <w:sz w:val="22"/>
          <w:szCs w:val="22"/>
          <w:lang w:eastAsia="en-US"/>
        </w:rPr>
        <w:t>las autorizaciones colocadas en los establecimientos, fueron efectivamente emitidas por el sujeto obligado, y no funcionan fuera del marco de la normatividad aplicable.</w:t>
      </w:r>
    </w:p>
    <w:p w14:paraId="1E062018"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6C09F02A"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Es bajo ese contexto, que se considera que el derecho de acceso a la información debe prevalecer frente a la protección del nombre de los titules de licencias de funcionamiento, pues resulta de interés público, el que la sociedad pueda identificar a quiénes están autorizados para ejercer la actividad comercial; lo cual permite corroborar que la localizada en el establecimiento fue efectivamente emitida por el Sujeto Obligado.</w:t>
      </w:r>
    </w:p>
    <w:p w14:paraId="544F64FB"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04E1D66A"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Igualmente, permitiría el escrutinio de la actividad de la autoridad encargada de emitir dichas licencias, en tanto que la sociedad podría advertir si se autorizaron a quienes cumplen con los requisitos establecidos la normatividad aplicable e incluso si dicha licencia se encuentra vigente.</w:t>
      </w:r>
    </w:p>
    <w:p w14:paraId="66EB6331" w14:textId="77777777" w:rsidR="0059139D" w:rsidRPr="0059139D" w:rsidRDefault="0059139D" w:rsidP="008B3A20">
      <w:pPr>
        <w:spacing w:line="360" w:lineRule="auto"/>
        <w:ind w:right="-93"/>
        <w:jc w:val="both"/>
        <w:rPr>
          <w:rFonts w:ascii="Palatino Linotype" w:eastAsia="Calibri" w:hAnsi="Palatino Linotype" w:cs="Tahoma"/>
          <w:b/>
          <w:sz w:val="22"/>
          <w:szCs w:val="22"/>
        </w:rPr>
      </w:pPr>
    </w:p>
    <w:p w14:paraId="6F4941F7" w14:textId="77777777" w:rsidR="0059139D" w:rsidRPr="0059139D" w:rsidRDefault="0059139D" w:rsidP="008B3A20">
      <w:pPr>
        <w:spacing w:line="360" w:lineRule="auto"/>
        <w:ind w:right="-93"/>
        <w:jc w:val="both"/>
        <w:rPr>
          <w:rFonts w:ascii="Palatino Linotype" w:eastAsia="Calibri" w:hAnsi="Palatino Linotype" w:cs="Tahoma"/>
          <w:b/>
          <w:bCs/>
          <w:sz w:val="22"/>
          <w:szCs w:val="22"/>
          <w:lang w:eastAsia="en-US"/>
        </w:rPr>
      </w:pPr>
      <w:r w:rsidRPr="0059139D">
        <w:rPr>
          <w:rFonts w:ascii="Palatino Linotype" w:eastAsia="Calibri" w:hAnsi="Palatino Linotype" w:cs="Tahoma"/>
          <w:b/>
          <w:sz w:val="22"/>
          <w:szCs w:val="22"/>
        </w:rPr>
        <w:t>b) Necesidad.</w:t>
      </w:r>
      <w:r w:rsidRPr="0059139D">
        <w:rPr>
          <w:rFonts w:ascii="Palatino Linotype" w:eastAsia="Calibri" w:hAnsi="Palatino Linotype" w:cs="Tahoma"/>
          <w:bCs/>
          <w:sz w:val="22"/>
          <w:szCs w:val="22"/>
          <w:lang w:eastAsia="en-US"/>
        </w:rPr>
        <w:t xml:space="preserve"> El sacrifico de la protección del nombre de aquellas personas que se les otorgó una licencia de funcionamiento, como medio para lograr el fin constitucionalmente válido señalado previamente, se justifica </w:t>
      </w:r>
      <w:proofErr w:type="gramStart"/>
      <w:r w:rsidRPr="0059139D">
        <w:rPr>
          <w:rFonts w:ascii="Palatino Linotype" w:eastAsia="Calibri" w:hAnsi="Palatino Linotype" w:cs="Tahoma"/>
          <w:bCs/>
          <w:sz w:val="22"/>
          <w:szCs w:val="22"/>
          <w:lang w:eastAsia="en-US"/>
        </w:rPr>
        <w:t>en razón de</w:t>
      </w:r>
      <w:proofErr w:type="gramEnd"/>
      <w:r w:rsidRPr="0059139D">
        <w:rPr>
          <w:rFonts w:ascii="Palatino Linotype" w:eastAsia="Calibri" w:hAnsi="Palatino Linotype" w:cs="Tahoma"/>
          <w:bCs/>
          <w:sz w:val="22"/>
          <w:szCs w:val="22"/>
          <w:lang w:eastAsia="en-US"/>
        </w:rPr>
        <w:t xml:space="preserve"> que se satisface el interés mayor de los ciudadanos de conocer si los establecimientos comerciales cuentan con la autorización correspondiente. Además, corrobora si la localizada en el inmueble para llevar a cabo la actividad, fue emitida por el Sujeto Obligado, </w:t>
      </w:r>
      <w:r w:rsidRPr="0059139D">
        <w:rPr>
          <w:rFonts w:ascii="Palatino Linotype" w:eastAsia="Calibri" w:hAnsi="Palatino Linotype" w:cs="Tahoma"/>
          <w:b/>
          <w:bCs/>
          <w:sz w:val="22"/>
          <w:szCs w:val="22"/>
          <w:lang w:eastAsia="en-US"/>
        </w:rPr>
        <w:t>como regulador de las actividades económicas del Municipio, además de que permite identificar a las personas que acceden al servicio quién es el responsable del local.</w:t>
      </w:r>
    </w:p>
    <w:p w14:paraId="68748189"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589A58AF"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lastRenderedPageBreak/>
        <w:t xml:space="preserve">Sobre el particular, 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w:t>
      </w:r>
      <w:proofErr w:type="spellStart"/>
      <w:r w:rsidRPr="0059139D">
        <w:rPr>
          <w:rFonts w:ascii="Palatino Linotype" w:eastAsia="Calibri" w:hAnsi="Palatino Linotype" w:cs="Tahoma"/>
          <w:bCs/>
          <w:sz w:val="22"/>
          <w:szCs w:val="22"/>
          <w:lang w:eastAsia="en-US"/>
        </w:rPr>
        <w:t>ii</w:t>
      </w:r>
      <w:proofErr w:type="spellEnd"/>
      <w:r w:rsidRPr="0059139D">
        <w:rPr>
          <w:rFonts w:ascii="Palatino Linotype" w:eastAsia="Calibri" w:hAnsi="Palatino Linotype" w:cs="Tahoma"/>
          <w:bCs/>
          <w:sz w:val="22"/>
          <w:szCs w:val="22"/>
          <w:lang w:eastAsia="en-US"/>
        </w:rPr>
        <w:t xml:space="preserve">) promover, fomentar y la cultura de la transparencia, el acceso a la información y a la rendición de cuentas y, </w:t>
      </w:r>
      <w:proofErr w:type="spellStart"/>
      <w:r w:rsidRPr="0059139D">
        <w:rPr>
          <w:rFonts w:ascii="Palatino Linotype" w:eastAsia="Calibri" w:hAnsi="Palatino Linotype" w:cs="Tahoma"/>
          <w:bCs/>
          <w:sz w:val="22"/>
          <w:szCs w:val="22"/>
          <w:lang w:eastAsia="en-US"/>
        </w:rPr>
        <w:t>iii</w:t>
      </w:r>
      <w:proofErr w:type="spellEnd"/>
      <w:r w:rsidRPr="0059139D">
        <w:rPr>
          <w:rFonts w:ascii="Palatino Linotype" w:eastAsia="Calibri" w:hAnsi="Palatino Linotype" w:cs="Tahoma"/>
          <w:bCs/>
          <w:sz w:val="22"/>
          <w:szCs w:val="22"/>
          <w:lang w:eastAsia="en-US"/>
        </w:rPr>
        <w:t>) propiciar la participación ciudadana en la toma de las decisiones públicas, a fin de contribuir a la consolidación de la democracia.</w:t>
      </w:r>
    </w:p>
    <w:p w14:paraId="34490B57"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7144D34E" w14:textId="03B60699"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de </w:t>
      </w:r>
      <w:r>
        <w:rPr>
          <w:rFonts w:ascii="Palatino Linotype" w:eastAsia="Calibri" w:hAnsi="Palatino Linotype" w:cs="Tahoma"/>
          <w:bCs/>
          <w:sz w:val="22"/>
          <w:szCs w:val="22"/>
          <w:lang w:eastAsia="en-US"/>
        </w:rPr>
        <w:t>Valle de Chalco Solidaridad</w:t>
      </w:r>
      <w:r w:rsidRPr="0059139D">
        <w:rPr>
          <w:rFonts w:ascii="Palatino Linotype" w:eastAsia="Calibri" w:hAnsi="Palatino Linotype" w:cs="Tahoma"/>
          <w:bCs/>
          <w:sz w:val="22"/>
          <w:szCs w:val="22"/>
          <w:lang w:eastAsia="en-US"/>
        </w:rPr>
        <w:t>, a través de la Dirección de Desarrollo Económico</w:t>
      </w:r>
      <w:r>
        <w:rPr>
          <w:rFonts w:ascii="Palatino Linotype" w:eastAsia="Calibri" w:hAnsi="Palatino Linotype" w:cs="Tahoma"/>
          <w:bCs/>
          <w:sz w:val="22"/>
          <w:szCs w:val="22"/>
          <w:lang w:eastAsia="en-US"/>
        </w:rPr>
        <w:t xml:space="preserve"> y de Industria y Comercio</w:t>
      </w:r>
      <w:r w:rsidRPr="0059139D">
        <w:rPr>
          <w:rFonts w:ascii="Palatino Linotype" w:eastAsia="Calibri" w:hAnsi="Palatino Linotype" w:cs="Tahoma"/>
          <w:bCs/>
          <w:sz w:val="22"/>
          <w:szCs w:val="22"/>
          <w:lang w:eastAsia="en-US"/>
        </w:rPr>
        <w:t>,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786B5B35"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4996F478"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En otras palabras, se considera que sólo con la difusión del nombre del titular de las licencias de funcionamiento, se podrían aportar los elementos necesarios a la ciudadanía para conocer que cualquier establecimiento comercial cuenta con la autorización emitida por el Ayuntamiento.</w:t>
      </w:r>
    </w:p>
    <w:p w14:paraId="3F2D6EF1"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4D05FB1A"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Es decir, si se negara el derecho de acceso a la información al nombre localizado en dicho documento, se impediría que los ciudadanos pudieran corroborar que las autorizaciones, que por Ley deben de estar visibles en los establecimientos, efectivamente fueron emitidas por el Sujeto Obligado, pues al proteger dicho dato no se tendría certeza de que el titular corresponda con el emitido por el Municipio en comento, además de que impediría conocer o identificar a </w:t>
      </w:r>
      <w:r w:rsidRPr="0059139D">
        <w:rPr>
          <w:rFonts w:ascii="Palatino Linotype" w:eastAsia="Calibri" w:hAnsi="Palatino Linotype" w:cs="Tahoma"/>
          <w:bCs/>
          <w:sz w:val="22"/>
          <w:szCs w:val="22"/>
          <w:lang w:eastAsia="en-US"/>
        </w:rPr>
        <w:lastRenderedPageBreak/>
        <w:t>la persona responsable del mismo, para atender asuntos relacionados con este,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797EEF55"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15B07662"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hAnsi="Palatino Linotype" w:cs="Tahoma"/>
          <w:b/>
          <w:sz w:val="22"/>
          <w:szCs w:val="22"/>
        </w:rPr>
        <w:t>c) Proporcionalidad en sentido estricto</w:t>
      </w:r>
      <w:r w:rsidRPr="0059139D">
        <w:rPr>
          <w:rFonts w:ascii="Palatino Linotype" w:hAnsi="Palatino Linotype" w:cs="Tahoma"/>
          <w:sz w:val="22"/>
          <w:szCs w:val="22"/>
        </w:rPr>
        <w:t xml:space="preserve">. </w:t>
      </w:r>
      <w:r w:rsidRPr="0059139D">
        <w:rPr>
          <w:rFonts w:ascii="Palatino Linotype" w:eastAsia="Calibri" w:hAnsi="Palatino Linotype" w:cs="Tahoma"/>
          <w:bCs/>
          <w:sz w:val="22"/>
          <w:szCs w:val="22"/>
          <w:lang w:eastAsia="en-US"/>
        </w:rPr>
        <w:t xml:space="preserve">El sacrificio de la protección al nombre de aquellas personas que se les otorgó una licencia para realizar actividades económicas, como medio para lograr el fin constitucionalmente válido señalado previamente, se justifica </w:t>
      </w:r>
      <w:proofErr w:type="gramStart"/>
      <w:r w:rsidRPr="0059139D">
        <w:rPr>
          <w:rFonts w:ascii="Palatino Linotype" w:eastAsia="Calibri" w:hAnsi="Palatino Linotype" w:cs="Tahoma"/>
          <w:bCs/>
          <w:sz w:val="22"/>
          <w:szCs w:val="22"/>
          <w:lang w:eastAsia="en-US"/>
        </w:rPr>
        <w:t>en razón de</w:t>
      </w:r>
      <w:proofErr w:type="gramEnd"/>
      <w:r w:rsidRPr="0059139D">
        <w:rPr>
          <w:rFonts w:ascii="Palatino Linotype" w:eastAsia="Calibri" w:hAnsi="Palatino Linotype" w:cs="Tahoma"/>
          <w:bCs/>
          <w:sz w:val="22"/>
          <w:szCs w:val="22"/>
          <w:lang w:eastAsia="en-US"/>
        </w:rPr>
        <w:t xml:space="preserve"> que se satisface el interés mayor de los ciudadanos de conocer si los comerciantes cuentan con la autorización correspondiente para llevar a cabo dichas actividades, las cuales son reguladas, específicamente por los Municipios del Estado de México.</w:t>
      </w:r>
    </w:p>
    <w:p w14:paraId="2DBA53A9"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60284DDD"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053FFE77"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0311D348" w14:textId="3174367B" w:rsidR="0059139D" w:rsidRPr="0059139D" w:rsidRDefault="0059139D" w:rsidP="008B3A20">
      <w:pPr>
        <w:widowControl w:val="0"/>
        <w:spacing w:line="360" w:lineRule="auto"/>
        <w:ind w:right="-91"/>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Conforme a lo anterior, el </w:t>
      </w:r>
      <w:r w:rsidRPr="0059139D">
        <w:rPr>
          <w:rFonts w:ascii="Palatino Linotype" w:hAnsi="Palatino Linotype" w:cs="Tahoma"/>
          <w:sz w:val="22"/>
          <w:szCs w:val="22"/>
          <w:lang w:val="es-ES_tradnl"/>
        </w:rPr>
        <w:t xml:space="preserve">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de </w:t>
      </w:r>
      <w:r>
        <w:rPr>
          <w:rFonts w:ascii="Palatino Linotype" w:hAnsi="Palatino Linotype" w:cs="Tahoma"/>
          <w:sz w:val="22"/>
          <w:szCs w:val="22"/>
          <w:lang w:val="es-ES_tradnl"/>
        </w:rPr>
        <w:t>Valle de Chalco Solidaridad</w:t>
      </w:r>
      <w:r w:rsidRPr="0059139D">
        <w:rPr>
          <w:rFonts w:ascii="Palatino Linotype" w:hAnsi="Palatino Linotype" w:cs="Tahoma"/>
          <w:sz w:val="22"/>
          <w:szCs w:val="22"/>
          <w:lang w:val="es-ES_tradnl"/>
        </w:rPr>
        <w:t xml:space="preserve"> y permite a los usuarios del local comercial identificar al responsable del mismo.</w:t>
      </w:r>
    </w:p>
    <w:p w14:paraId="5DE31F89"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6D3DB551" w14:textId="0F1BDA35"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En ese sentido, la difusión del nombre de los titulares de las licencias de funcionamiento revisten un claro interés público, puesto que existe una necesidad colectiva de conocer y </w:t>
      </w:r>
      <w:r w:rsidRPr="0059139D">
        <w:rPr>
          <w:rFonts w:ascii="Palatino Linotype" w:eastAsia="Calibri" w:hAnsi="Palatino Linotype" w:cs="Tahoma"/>
          <w:bCs/>
          <w:sz w:val="22"/>
          <w:szCs w:val="22"/>
          <w:lang w:eastAsia="en-US"/>
        </w:rPr>
        <w:lastRenderedPageBreak/>
        <w:t>evaluar la emisión de dichas autorizaciones; en razón de que se trata de información generada con motivo del ejercicio de las funciones del Ente Recurrido, a través de la</w:t>
      </w:r>
      <w:r>
        <w:rPr>
          <w:rFonts w:ascii="Palatino Linotype" w:eastAsia="Calibri" w:hAnsi="Palatino Linotype" w:cs="Tahoma"/>
          <w:bCs/>
          <w:sz w:val="22"/>
          <w:szCs w:val="22"/>
          <w:lang w:eastAsia="en-US"/>
        </w:rPr>
        <w:t>s dos multicitadas Direcciones</w:t>
      </w:r>
      <w:r w:rsidRPr="0059139D">
        <w:rPr>
          <w:rFonts w:ascii="Palatino Linotype" w:eastAsia="Calibri" w:hAnsi="Palatino Linotype" w:cs="Tahoma"/>
          <w:bCs/>
          <w:sz w:val="22"/>
          <w:szCs w:val="22"/>
          <w:lang w:eastAsia="en-US"/>
        </w:rPr>
        <w:t>, como regulador de cualquier actividad económica, comercial o industrial dentro de su territorio; lo anterior, conforme a la Ley Orgánica Municipal el Estado de México, la Ley de Competitividad y Ordenamiento Comercial del Estado de México</w:t>
      </w:r>
      <w:r>
        <w:rPr>
          <w:rFonts w:ascii="Palatino Linotype" w:eastAsia="Calibri" w:hAnsi="Palatino Linotype" w:cs="Tahoma"/>
          <w:bCs/>
          <w:sz w:val="22"/>
          <w:szCs w:val="22"/>
          <w:lang w:eastAsia="en-US"/>
        </w:rPr>
        <w:t>,</w:t>
      </w:r>
      <w:r w:rsidRPr="0059139D">
        <w:rPr>
          <w:rFonts w:ascii="Palatino Linotype" w:eastAsia="Calibri" w:hAnsi="Palatino Linotype" w:cs="Tahoma"/>
          <w:bCs/>
          <w:sz w:val="22"/>
          <w:szCs w:val="22"/>
          <w:lang w:eastAsia="en-US"/>
        </w:rPr>
        <w:t xml:space="preserve"> su Reglamento y el Bando Municipal de </w:t>
      </w:r>
      <w:r>
        <w:rPr>
          <w:rFonts w:ascii="Palatino Linotype" w:eastAsia="Calibri" w:hAnsi="Palatino Linotype" w:cs="Tahoma"/>
          <w:bCs/>
          <w:sz w:val="22"/>
          <w:szCs w:val="22"/>
          <w:lang w:eastAsia="en-US"/>
        </w:rPr>
        <w:t>Valle de Chalco Solidaridad</w:t>
      </w:r>
      <w:r w:rsidRPr="0059139D">
        <w:rPr>
          <w:rFonts w:ascii="Palatino Linotype" w:eastAsia="Calibri" w:hAnsi="Palatino Linotype" w:cs="Tahoma"/>
          <w:bCs/>
          <w:sz w:val="22"/>
          <w:szCs w:val="22"/>
          <w:lang w:eastAsia="en-US"/>
        </w:rPr>
        <w:t>.</w:t>
      </w:r>
    </w:p>
    <w:p w14:paraId="7361E081"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0CEEAD47"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 xml:space="preserve">Por todo lo expuesto, </w:t>
      </w:r>
      <w:r w:rsidRPr="0059139D">
        <w:rPr>
          <w:rFonts w:ascii="Palatino Linotype" w:eastAsia="Calibri" w:hAnsi="Palatino Linotype" w:cs="Tahoma"/>
          <w:b/>
          <w:bCs/>
          <w:sz w:val="22"/>
          <w:szCs w:val="22"/>
          <w:lang w:eastAsia="en-US"/>
        </w:rPr>
        <w:t xml:space="preserve">dar a conocer el nombre de los titulares de licencias, prevalece sobre la protección de los datos personales confidenciales de dichas personas, </w:t>
      </w:r>
      <w:proofErr w:type="gramStart"/>
      <w:r w:rsidRPr="0059139D">
        <w:rPr>
          <w:rFonts w:ascii="Palatino Linotype" w:eastAsia="Calibri" w:hAnsi="Palatino Linotype" w:cs="Tahoma"/>
          <w:b/>
          <w:bCs/>
          <w:sz w:val="22"/>
          <w:szCs w:val="22"/>
          <w:lang w:eastAsia="en-US"/>
        </w:rPr>
        <w:t>en razón del</w:t>
      </w:r>
      <w:proofErr w:type="gramEnd"/>
      <w:r w:rsidRPr="0059139D">
        <w:rPr>
          <w:rFonts w:ascii="Palatino Linotype" w:eastAsia="Calibri" w:hAnsi="Palatino Linotype" w:cs="Tahoma"/>
          <w:b/>
          <w:bCs/>
          <w:sz w:val="22"/>
          <w:szCs w:val="22"/>
          <w:lang w:eastAsia="en-US"/>
        </w:rPr>
        <w:t xml:space="preserve"> interés público que reviste;</w:t>
      </w:r>
      <w:r w:rsidRPr="0059139D">
        <w:rPr>
          <w:rFonts w:ascii="Palatino Linotype" w:eastAsia="Calibri" w:hAnsi="Palatino Linotype" w:cs="Tahoma"/>
          <w:bCs/>
          <w:sz w:val="22"/>
          <w:szCs w:val="22"/>
          <w:lang w:eastAsia="en-US"/>
        </w:rPr>
        <w:t xml:space="preserve"> por lo que, no resulta aplicable, en el presente caso, el artículo 143, fracción I, de la Ley de Transparencia y Acceso a la Información Pública del Estado de México y Municipios. Lo cual guarda relevancia, pues el Sujeto Obligado dejo visible el dato.</w:t>
      </w:r>
    </w:p>
    <w:p w14:paraId="3B7A2C5F" w14:textId="77777777" w:rsidR="0059139D" w:rsidRPr="0059139D" w:rsidRDefault="0059139D" w:rsidP="008B3A20">
      <w:pPr>
        <w:spacing w:line="360" w:lineRule="auto"/>
        <w:jc w:val="both"/>
        <w:rPr>
          <w:rFonts w:ascii="Palatino Linotype" w:hAnsi="Palatino Linotype" w:cs="Tahoma"/>
          <w:sz w:val="22"/>
          <w:szCs w:val="22"/>
          <w:lang w:val="es-ES"/>
        </w:rPr>
      </w:pPr>
    </w:p>
    <w:p w14:paraId="59051F76" w14:textId="77777777" w:rsidR="0059139D" w:rsidRPr="0059139D" w:rsidRDefault="0059139D" w:rsidP="008B3A20">
      <w:pPr>
        <w:numPr>
          <w:ilvl w:val="0"/>
          <w:numId w:val="17"/>
        </w:numPr>
        <w:spacing w:line="360" w:lineRule="auto"/>
        <w:ind w:right="-93"/>
        <w:contextualSpacing/>
        <w:jc w:val="both"/>
        <w:rPr>
          <w:rFonts w:ascii="Palatino Linotype" w:eastAsia="Calibri" w:hAnsi="Palatino Linotype" w:cs="Tahoma"/>
          <w:b/>
          <w:sz w:val="22"/>
          <w:szCs w:val="22"/>
          <w:lang w:val="es-ES" w:eastAsia="en-US"/>
        </w:rPr>
      </w:pPr>
      <w:r w:rsidRPr="0059139D">
        <w:rPr>
          <w:rFonts w:ascii="Palatino Linotype" w:eastAsia="Calibri" w:hAnsi="Palatino Linotype" w:cs="Tahoma"/>
          <w:b/>
          <w:bCs/>
          <w:sz w:val="22"/>
          <w:szCs w:val="22"/>
          <w:lang w:eastAsia="en-US"/>
        </w:rPr>
        <w:t>Nombre de representante legal</w:t>
      </w:r>
    </w:p>
    <w:p w14:paraId="3494E1BC" w14:textId="77777777" w:rsidR="0059139D" w:rsidRPr="0059139D" w:rsidRDefault="0059139D" w:rsidP="008B3A20">
      <w:pPr>
        <w:spacing w:line="360" w:lineRule="auto"/>
        <w:ind w:right="-93"/>
        <w:jc w:val="both"/>
        <w:rPr>
          <w:rFonts w:ascii="Palatino Linotype" w:eastAsia="Calibri" w:hAnsi="Palatino Linotype" w:cs="Tahoma"/>
          <w:bCs/>
          <w:sz w:val="22"/>
          <w:szCs w:val="22"/>
          <w:lang w:val="es-ES" w:eastAsia="en-US"/>
        </w:rPr>
      </w:pPr>
    </w:p>
    <w:p w14:paraId="4EA4CA67" w14:textId="77777777" w:rsidR="0059139D" w:rsidRPr="0059139D" w:rsidRDefault="0059139D" w:rsidP="008B3A20">
      <w:pPr>
        <w:spacing w:line="360" w:lineRule="auto"/>
        <w:contextualSpacing/>
        <w:jc w:val="both"/>
        <w:rPr>
          <w:rFonts w:ascii="Palatino Linotype" w:hAnsi="Palatino Linotype" w:cs="Tahoma"/>
          <w:sz w:val="22"/>
          <w:szCs w:val="22"/>
          <w:lang w:val="es-ES"/>
        </w:rPr>
      </w:pPr>
      <w:r w:rsidRPr="0059139D">
        <w:rPr>
          <w:rFonts w:ascii="Palatino Linotype" w:hAnsi="Palatino Linotype" w:cs="Tahoma"/>
          <w:sz w:val="22"/>
          <w:szCs w:val="22"/>
          <w:lang w:val="es-ES"/>
        </w:rPr>
        <w:t>Al respecto, resulta necesario señalar que las personas morales son representadas mediante personas físicas, debidamente acreditadas para realizar determinados actos a nombre de la jurídico-colectiva, por lo que, el nombre de dichos individuos no puede ser objeto de clasificación, en virtud de que la representación persigue la finalidad de dar certeza jurídica a los actos que realiza, en el presente caso, aceptar y recibir una Licencia de Funcionamiento, a nombre de la persona moral.</w:t>
      </w:r>
    </w:p>
    <w:p w14:paraId="22F5BAD8" w14:textId="77777777" w:rsidR="0059139D" w:rsidRPr="0059139D" w:rsidRDefault="0059139D" w:rsidP="008B3A20">
      <w:pPr>
        <w:spacing w:line="360" w:lineRule="auto"/>
        <w:contextualSpacing/>
        <w:jc w:val="both"/>
        <w:rPr>
          <w:rFonts w:ascii="Palatino Linotype" w:hAnsi="Palatino Linotype" w:cs="Tahoma"/>
          <w:sz w:val="22"/>
          <w:szCs w:val="22"/>
          <w:lang w:val="es-ES"/>
        </w:rPr>
      </w:pPr>
    </w:p>
    <w:p w14:paraId="480DB9C0" w14:textId="77777777" w:rsidR="0059139D" w:rsidRPr="0059139D" w:rsidRDefault="0059139D" w:rsidP="008B3A20">
      <w:pPr>
        <w:spacing w:line="360" w:lineRule="auto"/>
        <w:contextualSpacing/>
        <w:jc w:val="both"/>
        <w:rPr>
          <w:rFonts w:ascii="Palatino Linotype" w:hAnsi="Palatino Linotype" w:cs="Tahoma"/>
          <w:sz w:val="22"/>
          <w:szCs w:val="22"/>
          <w:lang w:val="es-ES"/>
        </w:rPr>
      </w:pPr>
      <w:r w:rsidRPr="0059139D">
        <w:rPr>
          <w:rFonts w:ascii="Palatino Linotype" w:hAnsi="Palatino Linotype" w:cs="Tahoma"/>
          <w:sz w:val="22"/>
          <w:szCs w:val="22"/>
          <w:lang w:val="es-ES"/>
        </w:rPr>
        <w:t>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519BC6F4" w14:textId="77777777" w:rsidR="0059139D" w:rsidRPr="0059139D" w:rsidRDefault="0059139D" w:rsidP="008B3A20">
      <w:pPr>
        <w:spacing w:line="360" w:lineRule="auto"/>
        <w:contextualSpacing/>
        <w:jc w:val="both"/>
        <w:rPr>
          <w:rFonts w:ascii="Palatino Linotype" w:hAnsi="Palatino Linotype" w:cs="Tahoma"/>
          <w:sz w:val="22"/>
          <w:szCs w:val="22"/>
          <w:lang w:val="es-ES"/>
        </w:rPr>
      </w:pPr>
    </w:p>
    <w:p w14:paraId="602C4E10" w14:textId="77777777" w:rsidR="0059139D" w:rsidRPr="0059139D" w:rsidRDefault="0059139D" w:rsidP="008B3A20">
      <w:pPr>
        <w:spacing w:line="360" w:lineRule="auto"/>
        <w:contextualSpacing/>
        <w:jc w:val="both"/>
        <w:rPr>
          <w:rFonts w:ascii="Palatino Linotype" w:hAnsi="Palatino Linotype" w:cs="Tahoma"/>
          <w:sz w:val="22"/>
          <w:szCs w:val="22"/>
          <w:lang w:val="es-ES"/>
        </w:rPr>
      </w:pPr>
      <w:r w:rsidRPr="0059139D">
        <w:rPr>
          <w:rFonts w:ascii="Palatino Linotype" w:hAnsi="Palatino Linotype" w:cs="Tahoma"/>
          <w:sz w:val="22"/>
          <w:szCs w:val="22"/>
          <w:lang w:val="es-ES"/>
        </w:rPr>
        <w:t>En esa tesitura, la representación de las personas morales se realizará por medio de representantes o apoderados, y en el caso específico de las sociedades mercantiles, dicha representación se otorgará mediante instrumento público.</w:t>
      </w:r>
    </w:p>
    <w:p w14:paraId="1EBBAA56" w14:textId="77777777" w:rsidR="0059139D" w:rsidRPr="0059139D" w:rsidRDefault="0059139D" w:rsidP="008B3A20">
      <w:pPr>
        <w:spacing w:line="360" w:lineRule="auto"/>
        <w:contextualSpacing/>
        <w:jc w:val="both"/>
        <w:rPr>
          <w:rFonts w:ascii="Palatino Linotype" w:hAnsi="Palatino Linotype" w:cs="Tahoma"/>
          <w:sz w:val="22"/>
          <w:szCs w:val="22"/>
          <w:lang w:val="es-ES"/>
        </w:rPr>
      </w:pPr>
    </w:p>
    <w:p w14:paraId="208255A6" w14:textId="77777777" w:rsidR="0059139D" w:rsidRPr="0059139D" w:rsidRDefault="0059139D" w:rsidP="008B3A20">
      <w:pPr>
        <w:spacing w:line="360" w:lineRule="auto"/>
        <w:contextualSpacing/>
        <w:jc w:val="both"/>
        <w:rPr>
          <w:rFonts w:ascii="Palatino Linotype" w:hAnsi="Palatino Linotype" w:cs="Tahoma"/>
          <w:sz w:val="22"/>
          <w:szCs w:val="22"/>
          <w:lang w:val="es-ES"/>
        </w:rPr>
      </w:pPr>
      <w:r w:rsidRPr="0059139D">
        <w:rPr>
          <w:rFonts w:ascii="Palatino Linotype" w:hAnsi="Palatino Linotype" w:cs="Tahoma"/>
          <w:sz w:val="22"/>
          <w:szCs w:val="22"/>
          <w:lang w:val="es-ES"/>
        </w:rPr>
        <w:t xml:space="preserve">Ello, toda vez que la representación legal debe ser conocida para surtir efectos ante terceros; es decir, la publicidad de </w:t>
      </w:r>
      <w:proofErr w:type="gramStart"/>
      <w:r w:rsidRPr="0059139D">
        <w:rPr>
          <w:rFonts w:ascii="Palatino Linotype" w:hAnsi="Palatino Linotype" w:cs="Tahoma"/>
          <w:sz w:val="22"/>
          <w:szCs w:val="22"/>
          <w:lang w:val="es-ES"/>
        </w:rPr>
        <w:t>la misma</w:t>
      </w:r>
      <w:proofErr w:type="gramEnd"/>
      <w:r w:rsidRPr="0059139D">
        <w:rPr>
          <w:rFonts w:ascii="Palatino Linotype" w:hAnsi="Palatino Linotype" w:cs="Tahoma"/>
          <w:sz w:val="22"/>
          <w:szCs w:val="22"/>
          <w:lang w:val="es-ES"/>
        </w:rPr>
        <w:t xml:space="preserve"> tiene por objeto dar certeza a quienes se relacionan con la persona </w:t>
      </w:r>
      <w:proofErr w:type="gramStart"/>
      <w:r w:rsidRPr="0059139D">
        <w:rPr>
          <w:rFonts w:ascii="Palatino Linotype" w:hAnsi="Palatino Linotype" w:cs="Tahoma"/>
          <w:sz w:val="22"/>
          <w:szCs w:val="22"/>
          <w:lang w:val="es-ES"/>
        </w:rPr>
        <w:t>jurídico colectiva</w:t>
      </w:r>
      <w:proofErr w:type="gramEnd"/>
      <w:r w:rsidRPr="0059139D">
        <w:rPr>
          <w:rFonts w:ascii="Palatino Linotype" w:hAnsi="Palatino Linotype" w:cs="Tahoma"/>
          <w:sz w:val="22"/>
          <w:szCs w:val="22"/>
          <w:lang w:val="es-ES"/>
        </w:rPr>
        <w:t xml:space="preserve"> representada, que las actuaciones de su representante están previamente autorizadas y que surtirán efectos legales a que constriñe cada acto.</w:t>
      </w:r>
    </w:p>
    <w:p w14:paraId="431C81D1" w14:textId="77777777" w:rsidR="0059139D" w:rsidRPr="0059139D" w:rsidRDefault="0059139D" w:rsidP="008B3A20">
      <w:pPr>
        <w:spacing w:line="360" w:lineRule="auto"/>
        <w:contextualSpacing/>
        <w:jc w:val="both"/>
        <w:rPr>
          <w:rFonts w:ascii="Palatino Linotype" w:hAnsi="Palatino Linotype" w:cs="Tahoma"/>
          <w:sz w:val="22"/>
          <w:szCs w:val="22"/>
          <w:lang w:val="es-ES"/>
        </w:rPr>
      </w:pPr>
    </w:p>
    <w:p w14:paraId="37AD17D4" w14:textId="77777777" w:rsidR="0059139D" w:rsidRPr="0059139D" w:rsidRDefault="0059139D" w:rsidP="008B3A20">
      <w:pPr>
        <w:spacing w:line="360" w:lineRule="auto"/>
        <w:contextualSpacing/>
        <w:jc w:val="both"/>
        <w:rPr>
          <w:rFonts w:ascii="Palatino Linotype" w:hAnsi="Palatino Linotype" w:cs="Tahoma"/>
          <w:sz w:val="22"/>
          <w:szCs w:val="22"/>
          <w:lang w:val="es-ES"/>
        </w:rPr>
      </w:pPr>
      <w:r w:rsidRPr="0059139D">
        <w:rPr>
          <w:rFonts w:ascii="Palatino Linotype" w:hAnsi="Palatino Linotype" w:cs="Tahoma"/>
          <w:sz w:val="22"/>
          <w:szCs w:val="22"/>
          <w:lang w:val="es-ES"/>
        </w:rPr>
        <w:t xml:space="preserve">En ese orden de ideas, se estima que si bien, el nombre es uno de los atributos de la personalidad y la manifestación principal del derecho subjetivo a la identidad, en virtud de que hace una persona física identificada o identificable; lo cierto es que el nombre del apoderado legal de una empresa, </w:t>
      </w:r>
      <w:r w:rsidRPr="0059139D">
        <w:rPr>
          <w:rFonts w:ascii="Palatino Linotype" w:hAnsi="Palatino Linotype" w:cs="Tahoma"/>
          <w:b/>
          <w:sz w:val="22"/>
          <w:szCs w:val="22"/>
          <w:lang w:val="es-ES"/>
        </w:rPr>
        <w:t xml:space="preserve">es público, </w:t>
      </w:r>
      <w:r w:rsidRPr="0059139D">
        <w:rPr>
          <w:rFonts w:ascii="Palatino Linotype" w:hAnsi="Palatino Linotype" w:cs="Tahoma"/>
          <w:sz w:val="22"/>
          <w:szCs w:val="22"/>
          <w:lang w:val="es-ES"/>
        </w:rPr>
        <w:t xml:space="preserve">toda vez que por conducto de este, una persona jurídico-colectiva realiza cualquier acto jurídico; es decir, la publicidad de dicho dato da certeza a quienes se relacionan con la persona representada, partiendo del supuesto de que las actuaciones de su representante están previamente autorizadas y que surtirán los efectos legales a que se constriñe en cada acto. </w:t>
      </w:r>
    </w:p>
    <w:p w14:paraId="0677DEE2" w14:textId="77777777" w:rsidR="0059139D" w:rsidRPr="0059139D" w:rsidRDefault="0059139D" w:rsidP="008B3A20">
      <w:pPr>
        <w:spacing w:line="360" w:lineRule="auto"/>
        <w:contextualSpacing/>
        <w:jc w:val="both"/>
        <w:rPr>
          <w:rFonts w:ascii="Palatino Linotype" w:hAnsi="Palatino Linotype" w:cs="Tahoma"/>
          <w:sz w:val="22"/>
          <w:szCs w:val="22"/>
          <w:lang w:val="es-ES"/>
        </w:rPr>
      </w:pPr>
    </w:p>
    <w:p w14:paraId="3FAE46CA" w14:textId="77777777" w:rsidR="0059139D" w:rsidRPr="0059139D" w:rsidRDefault="0059139D" w:rsidP="008B3A20">
      <w:pPr>
        <w:spacing w:line="360" w:lineRule="auto"/>
        <w:contextualSpacing/>
        <w:jc w:val="both"/>
        <w:rPr>
          <w:rFonts w:ascii="Palatino Linotype" w:hAnsi="Palatino Linotype" w:cs="Tahoma"/>
          <w:color w:val="000000"/>
          <w:sz w:val="22"/>
          <w:szCs w:val="22"/>
          <w:lang w:val="es-ES"/>
        </w:rPr>
      </w:pPr>
      <w:r w:rsidRPr="0059139D">
        <w:rPr>
          <w:rFonts w:ascii="Palatino Linotype" w:hAnsi="Palatino Linotype" w:cs="Tahoma"/>
          <w:color w:val="000000"/>
          <w:sz w:val="22"/>
          <w:szCs w:val="22"/>
          <w:lang w:val="es-ES"/>
        </w:rPr>
        <w:t xml:space="preserve">Lo anterior, se robustece con el </w:t>
      </w:r>
      <w:r w:rsidRPr="0059139D">
        <w:rPr>
          <w:rFonts w:ascii="Palatino Linotype" w:eastAsia="Calibri" w:hAnsi="Palatino Linotype" w:cs="Tahoma"/>
          <w:bCs/>
          <w:iCs/>
          <w:color w:val="000000"/>
          <w:sz w:val="22"/>
          <w:szCs w:val="22"/>
          <w:lang w:val="es-ES" w:eastAsia="en-US"/>
        </w:rPr>
        <w:t xml:space="preserve">Criterio Orientador, de la Segunda Época, con clave de control </w:t>
      </w:r>
      <w:r w:rsidRPr="0059139D">
        <w:rPr>
          <w:rFonts w:ascii="Palatino Linotype" w:eastAsia="Calibri" w:hAnsi="Palatino Linotype" w:cs="Tahoma"/>
          <w:bCs/>
          <w:iCs/>
          <w:color w:val="000000"/>
          <w:sz w:val="22"/>
          <w:szCs w:val="22"/>
          <w:lang w:eastAsia="en-US"/>
        </w:rPr>
        <w:t xml:space="preserve">SO/001/2019, </w:t>
      </w:r>
      <w:r w:rsidRPr="0059139D">
        <w:rPr>
          <w:rFonts w:ascii="Palatino Linotype" w:eastAsia="Calibri" w:hAnsi="Palatino Linotype" w:cs="Tahoma"/>
          <w:bCs/>
          <w:iCs/>
          <w:color w:val="000000"/>
          <w:sz w:val="22"/>
          <w:szCs w:val="22"/>
          <w:lang w:val="es-ES" w:eastAsia="en-US"/>
        </w:rPr>
        <w:t>emitido por el entonces Instituto Nacional de Transparencia, Acceso a la Información y Protección de Datos Personales</w:t>
      </w:r>
      <w:r w:rsidRPr="0059139D">
        <w:rPr>
          <w:rFonts w:ascii="Palatino Linotype" w:hAnsi="Palatino Linotype" w:cs="Tahoma"/>
          <w:color w:val="000000"/>
          <w:sz w:val="22"/>
          <w:szCs w:val="22"/>
          <w:lang w:val="es-ES"/>
        </w:rPr>
        <w:t>, que establece lo siguiente:</w:t>
      </w:r>
    </w:p>
    <w:p w14:paraId="1BDE8030" w14:textId="77777777" w:rsidR="0059139D" w:rsidRPr="0059139D" w:rsidRDefault="0059139D" w:rsidP="008B3A20">
      <w:pPr>
        <w:spacing w:line="360" w:lineRule="auto"/>
        <w:contextualSpacing/>
        <w:jc w:val="both"/>
        <w:rPr>
          <w:rFonts w:ascii="Palatino Linotype" w:hAnsi="Palatino Linotype" w:cs="Tahoma"/>
          <w:color w:val="000000"/>
          <w:sz w:val="22"/>
          <w:szCs w:val="22"/>
          <w:lang w:val="es-ES"/>
        </w:rPr>
      </w:pPr>
    </w:p>
    <w:p w14:paraId="41E86BE2" w14:textId="77777777" w:rsidR="0059139D" w:rsidRPr="0059139D" w:rsidRDefault="0059139D" w:rsidP="008B3A20">
      <w:pPr>
        <w:spacing w:line="360" w:lineRule="auto"/>
        <w:ind w:left="567" w:right="567"/>
        <w:contextualSpacing/>
        <w:jc w:val="both"/>
        <w:rPr>
          <w:rFonts w:ascii="Palatino Linotype" w:hAnsi="Palatino Linotype" w:cs="Tahoma"/>
          <w:i/>
          <w:color w:val="000000"/>
          <w:lang w:val="es-ES"/>
        </w:rPr>
      </w:pPr>
      <w:r w:rsidRPr="0059139D">
        <w:rPr>
          <w:rFonts w:ascii="Palatino Linotype" w:hAnsi="Palatino Linotype" w:cs="Tahoma"/>
          <w:b/>
          <w:i/>
          <w:color w:val="000000"/>
        </w:rPr>
        <w:t>“Datos de identificación del representante o apoderado legal.</w:t>
      </w:r>
      <w:r w:rsidRPr="0059139D">
        <w:rPr>
          <w:rFonts w:ascii="Palatino Linotype" w:hAnsi="Palatino Linotype" w:cs="Tahoma"/>
          <w:i/>
          <w:color w:val="000000"/>
        </w:rPr>
        <w:t xml:space="preserve"> </w:t>
      </w:r>
      <w:r w:rsidRPr="0059139D">
        <w:rPr>
          <w:rFonts w:ascii="Palatino Linotype" w:hAnsi="Palatino Linotype" w:cs="Tahoma"/>
          <w:b/>
          <w:i/>
          <w:color w:val="000000"/>
        </w:rPr>
        <w:t xml:space="preserve">Naturaleza jurídica. </w:t>
      </w:r>
      <w:r w:rsidRPr="0059139D">
        <w:rPr>
          <w:rFonts w:ascii="Palatino Linotype" w:hAnsi="Palatino Linotype" w:cs="Tahoma"/>
          <w:i/>
          <w:color w:val="000000"/>
        </w:rPr>
        <w:t xml:space="preserve">El nombre, la firma y la rúbrica de una persona física, que actúe como representante o apoderado legal de un tercero que haya celebrado un acto jurídico, con algún sujeto obligado, es información pública, </w:t>
      </w:r>
      <w:proofErr w:type="gramStart"/>
      <w:r w:rsidRPr="0059139D">
        <w:rPr>
          <w:rFonts w:ascii="Palatino Linotype" w:hAnsi="Palatino Linotype" w:cs="Tahoma"/>
          <w:i/>
          <w:color w:val="000000"/>
        </w:rPr>
        <w:lastRenderedPageBreak/>
        <w:t>en razón de</w:t>
      </w:r>
      <w:proofErr w:type="gramEnd"/>
      <w:r w:rsidRPr="0059139D">
        <w:rPr>
          <w:rFonts w:ascii="Palatino Linotype" w:hAnsi="Palatino Linotype" w:cs="Tahoma"/>
          <w:i/>
          <w:color w:val="000000"/>
        </w:rPr>
        <w:t xml:space="preserve"> que tales datos fueron proporcionados con el objeto de expresar el consentimiento obligacional del tercero y otorgar validez a dicho instrumento jurídico.”</w:t>
      </w:r>
    </w:p>
    <w:p w14:paraId="13F7026F" w14:textId="77777777" w:rsidR="0059139D" w:rsidRPr="0059139D" w:rsidRDefault="0059139D" w:rsidP="008B3A20">
      <w:pPr>
        <w:spacing w:line="360" w:lineRule="auto"/>
        <w:contextualSpacing/>
        <w:jc w:val="both"/>
        <w:rPr>
          <w:rFonts w:ascii="Palatino Linotype" w:hAnsi="Palatino Linotype" w:cs="Tahoma"/>
          <w:sz w:val="22"/>
          <w:szCs w:val="22"/>
          <w:lang w:val="es-ES"/>
        </w:rPr>
      </w:pPr>
      <w:r w:rsidRPr="0059139D">
        <w:rPr>
          <w:rFonts w:ascii="Palatino Linotype" w:hAnsi="Palatino Linotype" w:cs="Tahoma"/>
          <w:sz w:val="22"/>
          <w:szCs w:val="22"/>
          <w:lang w:val="es-ES"/>
        </w:rPr>
        <w:t>Ante tales situaciones, el nombre del representante legal, de una persona jurídica colectiva a la cual se le emitió una Licencia de Funcionamiento, no es susceptible de ser clasificado como confidencial, en términos del artículo 143, fracción I, de la Ley Federal de Transparencia y Acceso a la Información Pública.</w:t>
      </w:r>
    </w:p>
    <w:p w14:paraId="06252708" w14:textId="77777777" w:rsidR="0059139D" w:rsidRPr="0059139D" w:rsidRDefault="0059139D" w:rsidP="008B3A20">
      <w:pPr>
        <w:spacing w:line="360" w:lineRule="auto"/>
        <w:contextualSpacing/>
        <w:jc w:val="both"/>
        <w:rPr>
          <w:rFonts w:ascii="Palatino Linotype" w:hAnsi="Palatino Linotype" w:cs="Tahoma"/>
          <w:sz w:val="22"/>
          <w:szCs w:val="22"/>
          <w:lang w:val="es-ES"/>
        </w:rPr>
      </w:pPr>
    </w:p>
    <w:p w14:paraId="5A57150D" w14:textId="77777777" w:rsidR="0059139D" w:rsidRPr="0059139D" w:rsidRDefault="0059139D" w:rsidP="008B3A20">
      <w:pPr>
        <w:numPr>
          <w:ilvl w:val="0"/>
          <w:numId w:val="17"/>
        </w:numPr>
        <w:spacing w:line="360" w:lineRule="auto"/>
        <w:ind w:right="-93"/>
        <w:contextualSpacing/>
        <w:jc w:val="both"/>
        <w:rPr>
          <w:rFonts w:ascii="Palatino Linotype" w:eastAsia="Calibri" w:hAnsi="Palatino Linotype" w:cs="Tahoma"/>
          <w:b/>
          <w:bCs/>
          <w:sz w:val="22"/>
          <w:szCs w:val="22"/>
          <w:lang w:eastAsia="en-US"/>
        </w:rPr>
      </w:pPr>
      <w:r w:rsidRPr="0059139D">
        <w:rPr>
          <w:rFonts w:ascii="Palatino Linotype" w:eastAsia="Calibri" w:hAnsi="Palatino Linotype" w:cs="Tahoma"/>
          <w:b/>
          <w:bCs/>
          <w:sz w:val="22"/>
          <w:szCs w:val="22"/>
          <w:lang w:eastAsia="en-US"/>
        </w:rPr>
        <w:t>Persona Jurídico-Colectiva.</w:t>
      </w:r>
    </w:p>
    <w:p w14:paraId="59CF87EF" w14:textId="77777777" w:rsidR="0059139D" w:rsidRPr="0059139D" w:rsidRDefault="0059139D" w:rsidP="008B3A20">
      <w:pPr>
        <w:spacing w:line="360" w:lineRule="auto"/>
        <w:ind w:right="-93"/>
        <w:jc w:val="both"/>
        <w:rPr>
          <w:rFonts w:ascii="Palatino Linotype" w:eastAsia="Calibri" w:hAnsi="Palatino Linotype" w:cs="Tahoma"/>
          <w:b/>
          <w:bCs/>
          <w:sz w:val="22"/>
          <w:szCs w:val="22"/>
          <w:lang w:eastAsia="en-US"/>
        </w:rPr>
      </w:pPr>
    </w:p>
    <w:p w14:paraId="099ED177" w14:textId="77777777" w:rsidR="0059139D" w:rsidRPr="0059139D" w:rsidRDefault="0059139D" w:rsidP="008B3A20">
      <w:pPr>
        <w:spacing w:line="360" w:lineRule="auto"/>
        <w:jc w:val="both"/>
        <w:rPr>
          <w:rFonts w:ascii="Palatino Linotype" w:eastAsia="Calibri" w:hAnsi="Palatino Linotype" w:cs="Tahoma"/>
          <w:bCs/>
          <w:sz w:val="22"/>
          <w:szCs w:val="22"/>
          <w:lang w:eastAsia="en-US"/>
        </w:rPr>
      </w:pPr>
      <w:r w:rsidRPr="0059139D">
        <w:rPr>
          <w:rFonts w:ascii="Palatino Linotype" w:eastAsia="Calibri" w:hAnsi="Palatino Linotype" w:cs="Tahoma"/>
          <w:bCs/>
          <w:sz w:val="22"/>
          <w:szCs w:val="22"/>
          <w:lang w:eastAsia="en-US"/>
        </w:rPr>
        <w:t>Al respecto, se considera que la denominación o razón social de una persona moral, es pública, pues dichos datos se encuentran inscritos en el Registro Público del Comercio; lo anterior, toma sustento en el Criterio de interpretación, con clave de control SO/008/2019, de la Segunda Época, emitido por el Pleno del Instituto Nacional de Transparencia, Acceso a la Información y Protección de Datos Personales, el cual establece lo siguiente:</w:t>
      </w:r>
    </w:p>
    <w:p w14:paraId="2CD67C74" w14:textId="77777777" w:rsidR="0059139D" w:rsidRPr="0059139D" w:rsidRDefault="0059139D" w:rsidP="008B3A20">
      <w:pPr>
        <w:spacing w:line="360" w:lineRule="auto"/>
        <w:jc w:val="both"/>
        <w:rPr>
          <w:rFonts w:ascii="Palatino Linotype" w:eastAsia="Calibri" w:hAnsi="Palatino Linotype" w:cs="Tahoma"/>
          <w:bCs/>
          <w:sz w:val="22"/>
          <w:szCs w:val="22"/>
          <w:lang w:eastAsia="en-US"/>
        </w:rPr>
      </w:pPr>
    </w:p>
    <w:p w14:paraId="3B7126C9" w14:textId="77777777" w:rsidR="0059139D" w:rsidRPr="0059139D" w:rsidRDefault="0059139D" w:rsidP="008B3A20">
      <w:pPr>
        <w:spacing w:line="360" w:lineRule="auto"/>
        <w:ind w:left="567" w:right="567"/>
        <w:jc w:val="both"/>
        <w:rPr>
          <w:rFonts w:ascii="Palatino Linotype" w:eastAsia="Calibri" w:hAnsi="Palatino Linotype" w:cs="Tahoma"/>
          <w:bCs/>
          <w:i/>
          <w:lang w:eastAsia="en-US"/>
        </w:rPr>
      </w:pPr>
      <w:r w:rsidRPr="0059139D">
        <w:rPr>
          <w:rFonts w:ascii="Palatino Linotype" w:eastAsia="Calibri" w:hAnsi="Palatino Linotype" w:cs="Tahoma"/>
          <w:b/>
          <w:bCs/>
          <w:i/>
          <w:lang w:eastAsia="en-US"/>
        </w:rPr>
        <w:t xml:space="preserve">“Razón social y RFC de personas morales. </w:t>
      </w:r>
      <w:r w:rsidRPr="0059139D">
        <w:rPr>
          <w:rFonts w:ascii="Palatino Linotype" w:eastAsia="Calibri" w:hAnsi="Palatino Linotype" w:cs="Tahoma"/>
          <w:bCs/>
          <w:i/>
          <w:lang w:eastAsia="en-US"/>
        </w:rPr>
        <w:t>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7EE9D325" w14:textId="77777777" w:rsidR="0059139D" w:rsidRPr="0059139D" w:rsidRDefault="0059139D" w:rsidP="008B3A20">
      <w:pPr>
        <w:spacing w:line="360" w:lineRule="auto"/>
        <w:jc w:val="both"/>
        <w:rPr>
          <w:rFonts w:ascii="Palatino Linotype" w:eastAsia="Calibri" w:hAnsi="Palatino Linotype" w:cs="Tahoma"/>
          <w:b/>
          <w:bCs/>
          <w:sz w:val="22"/>
          <w:szCs w:val="22"/>
          <w:lang w:eastAsia="en-US"/>
        </w:rPr>
      </w:pPr>
    </w:p>
    <w:p w14:paraId="6B562262" w14:textId="77777777" w:rsidR="0059139D" w:rsidRPr="0059139D" w:rsidRDefault="0059139D" w:rsidP="008B3A20">
      <w:pPr>
        <w:spacing w:line="360" w:lineRule="auto"/>
        <w:jc w:val="both"/>
        <w:rPr>
          <w:rFonts w:ascii="Palatino Linotype" w:eastAsia="Calibri" w:hAnsi="Palatino Linotype" w:cs="Tahoma"/>
          <w:bCs/>
          <w:sz w:val="22"/>
          <w:szCs w:val="22"/>
          <w:lang w:val="es-ES_tradnl" w:eastAsia="en-US"/>
        </w:rPr>
      </w:pPr>
      <w:r w:rsidRPr="0059139D">
        <w:rPr>
          <w:rFonts w:ascii="Palatino Linotype" w:eastAsia="Calibri" w:hAnsi="Palatino Linotype" w:cs="Tahoma"/>
          <w:bCs/>
          <w:sz w:val="22"/>
          <w:szCs w:val="22"/>
          <w:lang w:eastAsia="en-US"/>
        </w:rPr>
        <w:t xml:space="preserve">Lo anterior, se robustece con el hecho de que el Ente Recurrido tiene como obligación común de transparencia, poner a disposición del público las concesiones, contratos, convenios, permisos, licencias o autorizaciones, el cual debe incluir la razón social del titular, de conformidad con los </w:t>
      </w:r>
      <w:r w:rsidRPr="0059139D">
        <w:rPr>
          <w:rFonts w:ascii="Palatino Linotype" w:eastAsia="Calibri" w:hAnsi="Palatino Linotype" w:cs="Tahoma"/>
          <w:bCs/>
          <w:sz w:val="22"/>
          <w:szCs w:val="22"/>
          <w:lang w:val="es-ES_tradnl" w:eastAsia="en-US"/>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w:t>
      </w:r>
      <w:r w:rsidRPr="0059139D">
        <w:rPr>
          <w:rFonts w:ascii="Palatino Linotype" w:eastAsia="Calibri" w:hAnsi="Palatino Linotype" w:cs="Tahoma"/>
          <w:bCs/>
          <w:sz w:val="22"/>
          <w:szCs w:val="22"/>
          <w:lang w:val="es-ES_tradnl" w:eastAsia="en-US"/>
        </w:rPr>
        <w:lastRenderedPageBreak/>
        <w:t>Pública, que den de difundir los sujetos obligados en los portales de Internet y en la Plataforma Nacional de Transparencia –Lineamientos técnicos generales-, tal como se observa a continuación:</w:t>
      </w:r>
    </w:p>
    <w:p w14:paraId="6271F1D3" w14:textId="77777777" w:rsidR="0059139D" w:rsidRPr="0059139D" w:rsidRDefault="0059139D" w:rsidP="008B3A20">
      <w:pPr>
        <w:spacing w:line="360" w:lineRule="auto"/>
        <w:jc w:val="both"/>
        <w:rPr>
          <w:rFonts w:ascii="Palatino Linotype" w:eastAsia="Calibri" w:hAnsi="Palatino Linotype" w:cs="Tahoma"/>
          <w:bCs/>
          <w:sz w:val="22"/>
          <w:szCs w:val="22"/>
          <w:lang w:val="es-ES_tradnl" w:eastAsia="en-US"/>
        </w:rPr>
      </w:pPr>
    </w:p>
    <w:p w14:paraId="48571EF8" w14:textId="77777777" w:rsidR="0059139D" w:rsidRPr="0059139D" w:rsidRDefault="0059139D" w:rsidP="008B3A20">
      <w:pPr>
        <w:spacing w:line="360" w:lineRule="auto"/>
        <w:jc w:val="both"/>
        <w:rPr>
          <w:rFonts w:ascii="Palatino Linotype" w:eastAsia="Calibri" w:hAnsi="Palatino Linotype" w:cs="Tahoma"/>
          <w:bCs/>
          <w:sz w:val="22"/>
          <w:szCs w:val="22"/>
          <w:lang w:val="es-ES_tradnl" w:eastAsia="en-US"/>
        </w:rPr>
      </w:pPr>
      <w:r w:rsidRPr="0059139D">
        <w:rPr>
          <w:rFonts w:ascii="Calibri" w:hAnsi="Calibri"/>
          <w:noProof/>
          <w:sz w:val="22"/>
          <w:szCs w:val="22"/>
          <w:lang w:eastAsia="es-MX"/>
        </w:rPr>
        <mc:AlternateContent>
          <mc:Choice Requires="wps">
            <w:drawing>
              <wp:anchor distT="0" distB="0" distL="114300" distR="114300" simplePos="0" relativeHeight="251659264" behindDoc="0" locked="0" layoutInCell="1" allowOverlap="1" wp14:anchorId="216C5093" wp14:editId="535BCBDA">
                <wp:simplePos x="0" y="0"/>
                <wp:positionH relativeFrom="column">
                  <wp:posOffset>3849370</wp:posOffset>
                </wp:positionH>
                <wp:positionV relativeFrom="paragraph">
                  <wp:posOffset>774700</wp:posOffset>
                </wp:positionV>
                <wp:extent cx="933450" cy="457200"/>
                <wp:effectExtent l="19050" t="19050" r="38100" b="38100"/>
                <wp:wrapNone/>
                <wp:docPr id="10" name="Rectángulo 2"/>
                <wp:cNvGraphicFramePr/>
                <a:graphic xmlns:a="http://schemas.openxmlformats.org/drawingml/2006/main">
                  <a:graphicData uri="http://schemas.microsoft.com/office/word/2010/wordprocessingShape">
                    <wps:wsp>
                      <wps:cNvSpPr/>
                      <wps:spPr>
                        <a:xfrm>
                          <a:off x="0" y="0"/>
                          <a:ext cx="933450" cy="457200"/>
                        </a:xfrm>
                        <a:prstGeom prst="rect">
                          <a:avLst/>
                        </a:prstGeom>
                        <a:noFill/>
                        <a:ln w="5715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0E50F8" id="Rectángulo 2" o:spid="_x0000_s1026" style="position:absolute;margin-left:303.1pt;margin-top:61pt;width:73.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" filled="f" strokecolor="windowText" strokeweight="4.5pt"/>
            </w:pict>
          </mc:Fallback>
        </mc:AlternateContent>
      </w:r>
      <w:r w:rsidRPr="0059139D">
        <w:rPr>
          <w:noProof/>
          <w:lang w:eastAsia="es-MX"/>
        </w:rPr>
        <w:drawing>
          <wp:inline distT="0" distB="0" distL="0" distR="0" wp14:anchorId="03A849BC" wp14:editId="6A21551C">
            <wp:extent cx="5747385" cy="1377315"/>
            <wp:effectExtent l="0" t="0" r="571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7385" cy="1377315"/>
                    </a:xfrm>
                    <a:prstGeom prst="rect">
                      <a:avLst/>
                    </a:prstGeom>
                    <a:noFill/>
                    <a:ln>
                      <a:noFill/>
                    </a:ln>
                  </pic:spPr>
                </pic:pic>
              </a:graphicData>
            </a:graphic>
          </wp:inline>
        </w:drawing>
      </w:r>
    </w:p>
    <w:p w14:paraId="514BD879" w14:textId="77777777" w:rsidR="0059139D" w:rsidRPr="0059139D" w:rsidRDefault="0059139D" w:rsidP="008B3A20">
      <w:pPr>
        <w:spacing w:line="360" w:lineRule="auto"/>
        <w:jc w:val="both"/>
        <w:rPr>
          <w:rFonts w:ascii="Palatino Linotype" w:eastAsia="Calibri" w:hAnsi="Palatino Linotype" w:cs="Tahoma"/>
          <w:bCs/>
          <w:sz w:val="22"/>
          <w:szCs w:val="22"/>
          <w:lang w:val="es-ES_tradnl" w:eastAsia="en-US"/>
        </w:rPr>
      </w:pPr>
    </w:p>
    <w:p w14:paraId="65BC85A1" w14:textId="77777777" w:rsidR="0059139D" w:rsidRPr="0059139D" w:rsidRDefault="0059139D" w:rsidP="008B3A20">
      <w:pPr>
        <w:spacing w:line="360" w:lineRule="auto"/>
        <w:jc w:val="both"/>
        <w:rPr>
          <w:rFonts w:ascii="Palatino Linotype" w:eastAsia="Calibri" w:hAnsi="Palatino Linotype" w:cs="Tahoma"/>
          <w:bCs/>
          <w:sz w:val="22"/>
          <w:szCs w:val="22"/>
          <w:lang w:val="es-ES_tradnl" w:eastAsia="en-US"/>
        </w:rPr>
      </w:pPr>
      <w:r w:rsidRPr="0059139D">
        <w:rPr>
          <w:rFonts w:ascii="Palatino Linotype" w:eastAsia="Calibri" w:hAnsi="Palatino Linotype" w:cs="Tahoma"/>
          <w:bCs/>
          <w:sz w:val="22"/>
          <w:szCs w:val="22"/>
          <w:lang w:val="es-ES_tradnl" w:eastAsia="en-US"/>
        </w:rPr>
        <w:t xml:space="preserve">Por lo tanto, </w:t>
      </w:r>
      <w:r w:rsidRPr="0059139D">
        <w:rPr>
          <w:rFonts w:ascii="Palatino Linotype" w:eastAsia="Calibri" w:hAnsi="Palatino Linotype" w:cs="Tahoma"/>
          <w:b/>
          <w:bCs/>
          <w:sz w:val="22"/>
          <w:szCs w:val="22"/>
          <w:lang w:val="es-ES_tradnl" w:eastAsia="en-US"/>
        </w:rPr>
        <w:t>no procede la clasificación del nombre de las personas morales localizadas en las licencias de funcionamiento</w:t>
      </w:r>
      <w:r w:rsidRPr="0059139D">
        <w:rPr>
          <w:rFonts w:ascii="Palatino Linotype" w:eastAsia="Calibri" w:hAnsi="Palatino Linotype" w:cs="Tahoma"/>
          <w:bCs/>
          <w:sz w:val="22"/>
          <w:szCs w:val="22"/>
          <w:lang w:val="es-ES_tradnl" w:eastAsia="en-US"/>
        </w:rPr>
        <w:t>, en términos del artículo 143, fracción I de la Ley de Transparencia y Acceso a la Información Pública del Estado de México y Municipios; situación que se robustece, con el hecho de que permite corroborar que la exhibida en el establecimiento comercial, fue emitida efectivamente por la autoridad competente y que su titular corresponde al establecimiento en cuestión.</w:t>
      </w:r>
    </w:p>
    <w:p w14:paraId="0C5F4C01" w14:textId="77777777" w:rsidR="0059139D" w:rsidRPr="0059139D" w:rsidRDefault="0059139D" w:rsidP="008B3A20">
      <w:pPr>
        <w:spacing w:line="360" w:lineRule="auto"/>
        <w:jc w:val="both"/>
        <w:rPr>
          <w:rFonts w:ascii="Palatino Linotype" w:eastAsia="Calibri" w:hAnsi="Palatino Linotype" w:cs="Tahoma"/>
          <w:bCs/>
          <w:sz w:val="22"/>
          <w:szCs w:val="22"/>
          <w:lang w:eastAsia="en-US"/>
        </w:rPr>
      </w:pPr>
    </w:p>
    <w:p w14:paraId="2930110C" w14:textId="4500D2C3" w:rsidR="0059139D" w:rsidRDefault="0059139D" w:rsidP="008B3A20">
      <w:pPr>
        <w:numPr>
          <w:ilvl w:val="0"/>
          <w:numId w:val="17"/>
        </w:numPr>
        <w:spacing w:line="360" w:lineRule="auto"/>
        <w:ind w:right="-93"/>
        <w:contextualSpacing/>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Nombre del establecimiento</w:t>
      </w:r>
    </w:p>
    <w:p w14:paraId="2BF3119B" w14:textId="77777777" w:rsidR="0059139D" w:rsidRDefault="0059139D" w:rsidP="008B3A20">
      <w:pPr>
        <w:spacing w:line="360" w:lineRule="auto"/>
        <w:ind w:right="-93"/>
        <w:contextualSpacing/>
        <w:jc w:val="both"/>
        <w:rPr>
          <w:rFonts w:ascii="Palatino Linotype" w:eastAsia="Calibri" w:hAnsi="Palatino Linotype" w:cs="Tahoma"/>
          <w:b/>
          <w:bCs/>
          <w:sz w:val="22"/>
          <w:szCs w:val="22"/>
          <w:lang w:eastAsia="en-US"/>
        </w:rPr>
      </w:pPr>
    </w:p>
    <w:p w14:paraId="05E5876F" w14:textId="43D71FD2" w:rsidR="0059139D" w:rsidRDefault="0059139D" w:rsidP="008B3A20">
      <w:pPr>
        <w:spacing w:line="360" w:lineRule="auto"/>
        <w:ind w:right="-93"/>
        <w:contextualSpacing/>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Este dato corresponde a la denominación que identifica a un negocio ante la ciudadanía, para diferenciarlo de sus competidores; por lo que, se utiliza para fines meramente comerciales y que comúnmente corresponde a una designación especial que representa a la actividad económica.</w:t>
      </w:r>
    </w:p>
    <w:p w14:paraId="4452EDF9" w14:textId="77777777" w:rsidR="0059139D" w:rsidRDefault="0059139D" w:rsidP="008B3A20">
      <w:pPr>
        <w:spacing w:line="360" w:lineRule="auto"/>
        <w:ind w:right="-93"/>
        <w:contextualSpacing/>
        <w:jc w:val="both"/>
        <w:rPr>
          <w:rFonts w:ascii="Palatino Linotype" w:eastAsia="Calibri" w:hAnsi="Palatino Linotype" w:cs="Tahoma"/>
          <w:sz w:val="22"/>
          <w:szCs w:val="22"/>
          <w:lang w:eastAsia="en-US"/>
        </w:rPr>
      </w:pPr>
    </w:p>
    <w:p w14:paraId="1E0A5EA6" w14:textId="39D2858A" w:rsidR="0059139D" w:rsidRPr="0059139D" w:rsidRDefault="0059139D" w:rsidP="008B3A20">
      <w:pPr>
        <w:spacing w:line="360" w:lineRule="auto"/>
        <w:ind w:right="-93"/>
        <w:contextualSpacing/>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De tal suerte, que la función principal del dato en análisis es ser</w:t>
      </w:r>
      <w:r w:rsidR="0004110B">
        <w:rPr>
          <w:rFonts w:ascii="Palatino Linotype" w:eastAsia="Calibri" w:hAnsi="Palatino Linotype" w:cs="Tahoma"/>
          <w:sz w:val="22"/>
          <w:szCs w:val="22"/>
          <w:lang w:eastAsia="en-US"/>
        </w:rPr>
        <w:t xml:space="preserve"> un distintivo por el cual el público reconoce al establecimiento, por lo que generalmente su establecimiento varía entre el tipo de negocio y datos descriptivos, creativos o tradicionales que permite a la gente identificar </w:t>
      </w:r>
      <w:r w:rsidR="0004110B">
        <w:rPr>
          <w:rFonts w:ascii="Palatino Linotype" w:eastAsia="Calibri" w:hAnsi="Palatino Linotype" w:cs="Tahoma"/>
          <w:sz w:val="22"/>
          <w:szCs w:val="22"/>
          <w:lang w:eastAsia="en-US"/>
        </w:rPr>
        <w:lastRenderedPageBreak/>
        <w:t>dicho nombre, con un negocio en específico; por lo que, este de ninguna manera se trata de información confidencial, pues no se trata de datos personales, por lo que, no se actualiza la causal de clasificación establecida en el artículo 143, fracción I, de la Ley de Transparencia y Acceso a la Información Pública del Estado de México y Municipios; además, que el dato corre la misma suerte que el nombre del titular de la licencia, es decir, guarda la naturaleza de público.</w:t>
      </w:r>
    </w:p>
    <w:p w14:paraId="3DEF6AE9" w14:textId="77777777" w:rsidR="0059139D" w:rsidRDefault="0059139D" w:rsidP="008B3A20">
      <w:pPr>
        <w:spacing w:line="360" w:lineRule="auto"/>
        <w:ind w:right="-93"/>
        <w:contextualSpacing/>
        <w:jc w:val="both"/>
        <w:rPr>
          <w:rFonts w:ascii="Palatino Linotype" w:eastAsia="Calibri" w:hAnsi="Palatino Linotype" w:cs="Tahoma"/>
          <w:b/>
          <w:bCs/>
          <w:sz w:val="22"/>
          <w:szCs w:val="22"/>
          <w:lang w:eastAsia="en-US"/>
        </w:rPr>
      </w:pPr>
    </w:p>
    <w:p w14:paraId="3EF38606" w14:textId="35917B33" w:rsidR="0059139D" w:rsidRPr="0059139D" w:rsidRDefault="0059139D" w:rsidP="008B3A20">
      <w:pPr>
        <w:numPr>
          <w:ilvl w:val="0"/>
          <w:numId w:val="17"/>
        </w:numPr>
        <w:spacing w:line="360" w:lineRule="auto"/>
        <w:ind w:right="-93"/>
        <w:contextualSpacing/>
        <w:jc w:val="both"/>
        <w:rPr>
          <w:rFonts w:ascii="Palatino Linotype" w:eastAsia="Calibri" w:hAnsi="Palatino Linotype" w:cs="Tahoma"/>
          <w:b/>
          <w:bCs/>
          <w:sz w:val="22"/>
          <w:szCs w:val="22"/>
          <w:lang w:eastAsia="en-US"/>
        </w:rPr>
      </w:pPr>
      <w:r w:rsidRPr="0059139D">
        <w:rPr>
          <w:rFonts w:ascii="Palatino Linotype" w:eastAsia="Calibri" w:hAnsi="Palatino Linotype" w:cs="Tahoma"/>
          <w:b/>
          <w:bCs/>
          <w:sz w:val="22"/>
          <w:szCs w:val="22"/>
          <w:lang w:eastAsia="en-US"/>
        </w:rPr>
        <w:t>Registro Federal de Contribuyentes (RFC)</w:t>
      </w:r>
    </w:p>
    <w:p w14:paraId="1F696ED8"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2ACE2611" w14:textId="77777777" w:rsidR="0059139D" w:rsidRPr="0059139D" w:rsidRDefault="0059139D" w:rsidP="008B3A20">
      <w:pPr>
        <w:spacing w:line="360" w:lineRule="auto"/>
        <w:ind w:right="-93"/>
        <w:jc w:val="both"/>
        <w:rPr>
          <w:rFonts w:ascii="Palatino Linotype" w:eastAsia="Calibri" w:hAnsi="Palatino Linotype" w:cs="Tahoma"/>
          <w:b/>
          <w:bCs/>
          <w:sz w:val="22"/>
          <w:szCs w:val="22"/>
          <w:lang w:eastAsia="en-US"/>
        </w:rPr>
      </w:pPr>
      <w:r w:rsidRPr="0059139D">
        <w:rPr>
          <w:rFonts w:ascii="Palatino Linotype" w:eastAsia="Calibri" w:hAnsi="Palatino Linotype" w:cs="Tahoma"/>
          <w:b/>
          <w:bCs/>
          <w:sz w:val="22"/>
          <w:szCs w:val="22"/>
          <w:lang w:eastAsia="en-US"/>
        </w:rPr>
        <w:t>Persona física.</w:t>
      </w:r>
    </w:p>
    <w:p w14:paraId="41972C99" w14:textId="77777777" w:rsidR="0059139D" w:rsidRPr="0059139D" w:rsidRDefault="0059139D" w:rsidP="008B3A20">
      <w:pPr>
        <w:spacing w:line="360" w:lineRule="auto"/>
        <w:ind w:right="-93"/>
        <w:jc w:val="both"/>
        <w:rPr>
          <w:rFonts w:ascii="Palatino Linotype" w:eastAsia="Calibri" w:hAnsi="Palatino Linotype" w:cs="Tahoma"/>
          <w:bCs/>
          <w:sz w:val="22"/>
          <w:szCs w:val="22"/>
          <w:lang w:eastAsia="en-US"/>
        </w:rPr>
      </w:pPr>
    </w:p>
    <w:p w14:paraId="5F96BBED" w14:textId="77777777" w:rsidR="0059139D" w:rsidRPr="0059139D" w:rsidRDefault="0059139D" w:rsidP="008B3A20">
      <w:pPr>
        <w:spacing w:line="360" w:lineRule="auto"/>
        <w:contextualSpacing/>
        <w:jc w:val="both"/>
        <w:rPr>
          <w:rFonts w:ascii="Palatino Linotype" w:hAnsi="Palatino Linotype" w:cs="Tahoma"/>
          <w:sz w:val="22"/>
          <w:szCs w:val="22"/>
          <w:lang w:eastAsia="es-MX"/>
        </w:rPr>
      </w:pPr>
      <w:r w:rsidRPr="0059139D">
        <w:rPr>
          <w:rFonts w:ascii="Palatino Linotype" w:hAnsi="Palatino Linotype" w:cs="Tahoma"/>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4B464D7" w14:textId="77777777" w:rsidR="0059139D" w:rsidRPr="0059139D" w:rsidRDefault="0059139D" w:rsidP="008B3A20">
      <w:pPr>
        <w:spacing w:line="360" w:lineRule="auto"/>
        <w:contextualSpacing/>
        <w:jc w:val="both"/>
        <w:rPr>
          <w:rFonts w:ascii="Palatino Linotype" w:hAnsi="Palatino Linotype" w:cs="Tahoma"/>
          <w:sz w:val="22"/>
          <w:szCs w:val="22"/>
          <w:lang w:eastAsia="es-MX"/>
        </w:rPr>
      </w:pPr>
    </w:p>
    <w:p w14:paraId="078D5B9C" w14:textId="77777777" w:rsidR="0059139D" w:rsidRPr="0059139D" w:rsidRDefault="0059139D" w:rsidP="008B3A20">
      <w:pPr>
        <w:widowControl w:val="0"/>
        <w:spacing w:line="360" w:lineRule="auto"/>
        <w:contextualSpacing/>
        <w:jc w:val="both"/>
        <w:rPr>
          <w:rFonts w:ascii="Palatino Linotype" w:hAnsi="Palatino Linotype" w:cs="Tahoma"/>
          <w:sz w:val="22"/>
          <w:szCs w:val="22"/>
          <w:lang w:eastAsia="es-MX"/>
        </w:rPr>
      </w:pPr>
      <w:proofErr w:type="gramStart"/>
      <w:r w:rsidRPr="0059139D">
        <w:rPr>
          <w:rFonts w:ascii="Palatino Linotype" w:hAnsi="Palatino Linotype" w:cs="Tahoma"/>
          <w:sz w:val="22"/>
          <w:szCs w:val="22"/>
          <w:lang w:eastAsia="es-MX"/>
        </w:rPr>
        <w:t>De acuerdo a</w:t>
      </w:r>
      <w:proofErr w:type="gramEnd"/>
      <w:r w:rsidRPr="0059139D">
        <w:rPr>
          <w:rFonts w:ascii="Palatino Linotype" w:hAnsi="Palatino Linotype" w:cs="Tahoma"/>
          <w:sz w:val="22"/>
          <w:szCs w:val="22"/>
          <w:lang w:eastAsia="es-MX"/>
        </w:rPr>
        <w:t xml:space="preserve"> lo establecido en el artículo en comento, esta clave se compone de trece caracteres alfanuméricos, con datos obtenidos de los apellidos, nombre(s), fecha de nacimiento del titular, más una </w:t>
      </w:r>
      <w:proofErr w:type="spellStart"/>
      <w:r w:rsidRPr="0059139D">
        <w:rPr>
          <w:rFonts w:ascii="Palatino Linotype" w:hAnsi="Palatino Linotype" w:cs="Tahoma"/>
          <w:sz w:val="22"/>
          <w:szCs w:val="22"/>
          <w:lang w:eastAsia="es-MX"/>
        </w:rPr>
        <w:t>homoclave</w:t>
      </w:r>
      <w:proofErr w:type="spellEnd"/>
      <w:r w:rsidRPr="0059139D">
        <w:rPr>
          <w:rFonts w:ascii="Palatino Linotype" w:hAnsi="Palatino Linotype" w:cs="Tahoma"/>
          <w:sz w:val="22"/>
          <w:szCs w:val="22"/>
          <w:lang w:eastAsia="es-MX"/>
        </w:rPr>
        <w:t xml:space="preserve"> que establece el sistema automático del Servicio de Administración Tributaria.</w:t>
      </w:r>
    </w:p>
    <w:p w14:paraId="5500186F" w14:textId="77777777" w:rsidR="0059139D" w:rsidRPr="0059139D" w:rsidRDefault="0059139D" w:rsidP="008B3A20">
      <w:pPr>
        <w:spacing w:line="360" w:lineRule="auto"/>
        <w:contextualSpacing/>
        <w:jc w:val="both"/>
        <w:rPr>
          <w:rFonts w:ascii="Palatino Linotype" w:hAnsi="Palatino Linotype" w:cs="Tahoma"/>
          <w:sz w:val="22"/>
          <w:szCs w:val="22"/>
          <w:lang w:eastAsia="es-MX"/>
        </w:rPr>
      </w:pPr>
    </w:p>
    <w:p w14:paraId="7FB62CF7" w14:textId="77777777" w:rsidR="0059139D" w:rsidRPr="0059139D" w:rsidRDefault="0059139D" w:rsidP="008B3A20">
      <w:pPr>
        <w:spacing w:line="360" w:lineRule="auto"/>
        <w:contextualSpacing/>
        <w:jc w:val="both"/>
        <w:rPr>
          <w:rFonts w:ascii="Palatino Linotype" w:hAnsi="Palatino Linotype" w:cs="Tahoma"/>
          <w:sz w:val="22"/>
          <w:szCs w:val="22"/>
          <w:lang w:eastAsia="es-MX"/>
        </w:rPr>
      </w:pPr>
      <w:r w:rsidRPr="0059139D">
        <w:rPr>
          <w:rFonts w:ascii="Palatino Linotype" w:hAnsi="Palatino Linotype" w:cs="Tahoma"/>
          <w:sz w:val="22"/>
          <w:szCs w:val="22"/>
          <w:lang w:eastAsia="es-MX"/>
        </w:rPr>
        <w:t xml:space="preserve">Ahora bien, la clave del Registro Federal de </w:t>
      </w:r>
      <w:proofErr w:type="gramStart"/>
      <w:r w:rsidRPr="0059139D">
        <w:rPr>
          <w:rFonts w:ascii="Palatino Linotype" w:hAnsi="Palatino Linotype" w:cs="Tahoma"/>
          <w:sz w:val="22"/>
          <w:szCs w:val="22"/>
          <w:lang w:eastAsia="es-MX"/>
        </w:rPr>
        <w:t>Contribuyentes,</w:t>
      </w:r>
      <w:proofErr w:type="gramEnd"/>
      <w:r w:rsidRPr="0059139D">
        <w:rPr>
          <w:rFonts w:ascii="Palatino Linotype" w:hAnsi="Palatino Linotype" w:cs="Tahoma"/>
          <w:sz w:val="22"/>
          <w:szCs w:val="22"/>
          <w:lang w:eastAsia="es-MX"/>
        </w:rPr>
        <w:t xml:space="preserve"> es el medio de control que tiene la Secretaría de Hacienda y Crédito Público, a través del Servicio de Administración Tributaria, para exigir y vigilar el cumplimiento de las obligaciones fiscales de los </w:t>
      </w:r>
      <w:r w:rsidRPr="0059139D">
        <w:rPr>
          <w:rFonts w:ascii="Palatino Linotype" w:hAnsi="Palatino Linotype" w:cs="Tahoma"/>
          <w:sz w:val="22"/>
          <w:szCs w:val="22"/>
          <w:lang w:eastAsia="es-MX"/>
        </w:rPr>
        <w:lastRenderedPageBreak/>
        <w:t>contribuyentes; mientras que los particulares tramitan dicho dato, con el único propósito de realizar mediante esa clave de identificación, operaciones o actividades de naturaleza fiscal.</w:t>
      </w:r>
    </w:p>
    <w:p w14:paraId="0AE80D59" w14:textId="77777777" w:rsidR="0059139D" w:rsidRPr="0059139D" w:rsidRDefault="0059139D" w:rsidP="008B3A20">
      <w:pPr>
        <w:spacing w:line="360" w:lineRule="auto"/>
        <w:contextualSpacing/>
        <w:jc w:val="both"/>
        <w:rPr>
          <w:rFonts w:ascii="Palatino Linotype" w:hAnsi="Palatino Linotype" w:cs="Tahoma"/>
          <w:sz w:val="22"/>
          <w:szCs w:val="22"/>
          <w:lang w:eastAsia="es-MX"/>
        </w:rPr>
      </w:pPr>
    </w:p>
    <w:p w14:paraId="0354CE80" w14:textId="77777777" w:rsidR="0059139D" w:rsidRPr="0059139D" w:rsidRDefault="0059139D" w:rsidP="008B3A20">
      <w:pPr>
        <w:spacing w:line="360" w:lineRule="auto"/>
        <w:contextualSpacing/>
        <w:jc w:val="both"/>
        <w:rPr>
          <w:rFonts w:ascii="Palatino Linotype" w:hAnsi="Palatino Linotype" w:cs="Tahoma"/>
          <w:sz w:val="22"/>
          <w:szCs w:val="22"/>
          <w:lang w:eastAsia="es-MX"/>
        </w:rPr>
      </w:pPr>
      <w:r w:rsidRPr="0059139D">
        <w:rPr>
          <w:rFonts w:ascii="Palatino Linotype" w:hAnsi="Palatino Linotype" w:cs="Tahoma"/>
          <w:sz w:val="22"/>
          <w:szCs w:val="22"/>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6782BCB2" w14:textId="77777777" w:rsidR="0059139D" w:rsidRPr="0059139D" w:rsidRDefault="0059139D" w:rsidP="008B3A20">
      <w:pPr>
        <w:spacing w:line="360" w:lineRule="auto"/>
        <w:contextualSpacing/>
        <w:jc w:val="both"/>
        <w:rPr>
          <w:rFonts w:ascii="Palatino Linotype" w:hAnsi="Palatino Linotype" w:cs="Tahoma"/>
          <w:sz w:val="22"/>
          <w:szCs w:val="22"/>
          <w:lang w:eastAsia="es-MX"/>
        </w:rPr>
      </w:pPr>
    </w:p>
    <w:p w14:paraId="1D8DDB59" w14:textId="77777777" w:rsidR="0059139D" w:rsidRPr="0059139D" w:rsidRDefault="0059139D" w:rsidP="008B3A20">
      <w:pPr>
        <w:widowControl w:val="0"/>
        <w:spacing w:line="360" w:lineRule="auto"/>
        <w:jc w:val="both"/>
        <w:rPr>
          <w:rFonts w:ascii="Palatino Linotype" w:eastAsia="Calibri" w:hAnsi="Palatino Linotype" w:cs="Tahoma"/>
          <w:bCs/>
          <w:sz w:val="22"/>
          <w:szCs w:val="22"/>
          <w:lang w:eastAsia="es-MX"/>
        </w:rPr>
      </w:pPr>
      <w:r w:rsidRPr="0059139D">
        <w:rPr>
          <w:rFonts w:ascii="Palatino Linotype" w:eastAsia="Calibri" w:hAnsi="Palatino Linotype" w:cs="Tahoma"/>
          <w:bCs/>
          <w:sz w:val="22"/>
          <w:szCs w:val="22"/>
          <w:lang w:eastAsia="es-MX"/>
        </w:rPr>
        <w:t>Lo anterior, resulta congruente con el Criterio Orientador, con clave de control SO/019/2017 emitido por el entonces Instituto Nacional de Transparencia, Acceso a la Información y Protección de Datos Personales, en el cual se señala lo siguiente:</w:t>
      </w:r>
    </w:p>
    <w:p w14:paraId="6624B847" w14:textId="77777777" w:rsidR="0059139D" w:rsidRPr="0059139D" w:rsidRDefault="0059139D" w:rsidP="008B3A20">
      <w:pPr>
        <w:spacing w:line="360" w:lineRule="auto"/>
        <w:contextualSpacing/>
        <w:jc w:val="both"/>
        <w:rPr>
          <w:rFonts w:ascii="Palatino Linotype" w:hAnsi="Palatino Linotype" w:cs="Tahoma"/>
          <w:lang w:eastAsia="es-MX"/>
        </w:rPr>
      </w:pPr>
    </w:p>
    <w:p w14:paraId="29BE588E" w14:textId="77777777" w:rsidR="0059139D" w:rsidRPr="0059139D" w:rsidRDefault="0059139D" w:rsidP="008B3A20">
      <w:pPr>
        <w:spacing w:line="360" w:lineRule="auto"/>
        <w:ind w:left="567" w:right="567"/>
        <w:contextualSpacing/>
        <w:jc w:val="both"/>
        <w:rPr>
          <w:rFonts w:ascii="Palatino Linotype" w:hAnsi="Palatino Linotype" w:cs="Tahoma"/>
          <w:i/>
        </w:rPr>
      </w:pPr>
      <w:r w:rsidRPr="0059139D">
        <w:rPr>
          <w:rFonts w:ascii="Palatino Linotype" w:hAnsi="Palatino Linotype" w:cs="Tahoma"/>
          <w:b/>
          <w:i/>
        </w:rPr>
        <w:t>“Registro Federal de Contribuyentes (RFC) de personas físicas.</w:t>
      </w:r>
      <w:r w:rsidRPr="0059139D">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14:paraId="0658147C" w14:textId="77777777" w:rsidR="0059139D" w:rsidRPr="0059139D" w:rsidRDefault="0059139D" w:rsidP="008B3A20">
      <w:pPr>
        <w:spacing w:line="360" w:lineRule="auto"/>
        <w:ind w:left="567"/>
        <w:contextualSpacing/>
        <w:jc w:val="both"/>
        <w:rPr>
          <w:rFonts w:ascii="Palatino Linotype" w:hAnsi="Palatino Linotype" w:cs="Tahoma"/>
          <w:sz w:val="22"/>
          <w:szCs w:val="22"/>
        </w:rPr>
      </w:pPr>
    </w:p>
    <w:p w14:paraId="7C1684CD" w14:textId="77777777" w:rsidR="0059139D" w:rsidRPr="0059139D" w:rsidRDefault="0059139D" w:rsidP="008B3A20">
      <w:pPr>
        <w:widowControl w:val="0"/>
        <w:spacing w:line="360" w:lineRule="auto"/>
        <w:contextualSpacing/>
        <w:jc w:val="both"/>
        <w:rPr>
          <w:rFonts w:ascii="Palatino Linotype" w:eastAsia="Calibri" w:hAnsi="Palatino Linotype" w:cs="Tahoma"/>
          <w:bCs/>
          <w:sz w:val="22"/>
          <w:szCs w:val="22"/>
          <w:lang w:eastAsia="en-US"/>
        </w:rPr>
      </w:pPr>
      <w:r w:rsidRPr="0059139D">
        <w:rPr>
          <w:rFonts w:ascii="Palatino Linotype" w:hAnsi="Palatino Linotype" w:cs="Tahoma"/>
          <w:sz w:val="22"/>
          <w:szCs w:val="22"/>
          <w:lang w:eastAsia="es-MX"/>
        </w:rPr>
        <w:t xml:space="preserve">De tal suerte, el Registro Federal de Contribuyentes de los titulares de licencias de funcionamiento no guarda relación con la transparencia de los recursos públicos, por lo que constituye un dato personal confidencial </w:t>
      </w:r>
      <w:r w:rsidRPr="0059139D">
        <w:rPr>
          <w:rFonts w:ascii="Palatino Linotype" w:hAnsi="Palatino Linotype" w:cs="Tahoma"/>
          <w:sz w:val="22"/>
          <w:szCs w:val="22"/>
        </w:rPr>
        <w:t>al actualizar el supuesto normativo del artículo 143, fracción I, de la Ley de Transparencia y Acceso a la Información Pública del Estado de México y Municipios</w:t>
      </w:r>
      <w:r w:rsidRPr="0059139D">
        <w:rPr>
          <w:rFonts w:ascii="Palatino Linotype" w:hAnsi="Palatino Linotype" w:cs="Tahoma"/>
          <w:sz w:val="22"/>
          <w:szCs w:val="22"/>
          <w:lang w:eastAsia="es-MX"/>
        </w:rPr>
        <w:t>.</w:t>
      </w:r>
    </w:p>
    <w:p w14:paraId="06F1AFAD" w14:textId="77777777" w:rsidR="0059139D" w:rsidRPr="0059139D" w:rsidRDefault="0059139D" w:rsidP="008B3A20">
      <w:pPr>
        <w:spacing w:line="360" w:lineRule="auto"/>
        <w:ind w:right="-93"/>
        <w:jc w:val="both"/>
        <w:rPr>
          <w:rFonts w:ascii="Palatino Linotype" w:eastAsia="Calibri" w:hAnsi="Palatino Linotype" w:cs="Tahoma"/>
          <w:bCs/>
          <w:sz w:val="22"/>
          <w:szCs w:val="22"/>
          <w:lang w:val="es-ES" w:eastAsia="en-US"/>
        </w:rPr>
      </w:pPr>
    </w:p>
    <w:p w14:paraId="00ED356D" w14:textId="77777777" w:rsidR="0059139D" w:rsidRPr="0059139D" w:rsidRDefault="0059139D" w:rsidP="008B3A20">
      <w:pPr>
        <w:spacing w:line="360" w:lineRule="auto"/>
        <w:ind w:right="-93"/>
        <w:jc w:val="both"/>
        <w:rPr>
          <w:rFonts w:ascii="Palatino Linotype" w:eastAsia="Calibri" w:hAnsi="Palatino Linotype" w:cs="Tahoma"/>
          <w:b/>
          <w:sz w:val="22"/>
          <w:szCs w:val="22"/>
          <w:lang w:val="es-ES" w:eastAsia="en-US"/>
        </w:rPr>
      </w:pPr>
      <w:r w:rsidRPr="0059139D">
        <w:rPr>
          <w:rFonts w:ascii="Palatino Linotype" w:eastAsia="Calibri" w:hAnsi="Palatino Linotype" w:cs="Tahoma"/>
          <w:b/>
          <w:sz w:val="22"/>
          <w:szCs w:val="22"/>
          <w:lang w:val="es-ES" w:eastAsia="en-US"/>
        </w:rPr>
        <w:t>Persona Moral</w:t>
      </w:r>
    </w:p>
    <w:p w14:paraId="27274534" w14:textId="77777777" w:rsidR="0059139D" w:rsidRDefault="0059139D" w:rsidP="008B3A20">
      <w:pPr>
        <w:spacing w:line="360" w:lineRule="auto"/>
        <w:ind w:right="-93"/>
        <w:jc w:val="both"/>
        <w:rPr>
          <w:rFonts w:ascii="Palatino Linotype" w:eastAsia="Calibri" w:hAnsi="Palatino Linotype" w:cs="Tahoma"/>
          <w:bCs/>
          <w:sz w:val="22"/>
          <w:szCs w:val="22"/>
          <w:lang w:val="es-ES" w:eastAsia="en-US"/>
        </w:rPr>
      </w:pPr>
    </w:p>
    <w:p w14:paraId="43D06082" w14:textId="77777777" w:rsidR="008B3A20" w:rsidRDefault="008B3A20" w:rsidP="008B3A20">
      <w:pPr>
        <w:spacing w:line="360" w:lineRule="auto"/>
        <w:ind w:right="-93"/>
        <w:jc w:val="both"/>
        <w:rPr>
          <w:rFonts w:ascii="Palatino Linotype" w:eastAsia="Calibri" w:hAnsi="Palatino Linotype" w:cs="Tahoma"/>
          <w:bCs/>
          <w:sz w:val="22"/>
          <w:szCs w:val="22"/>
          <w:lang w:val="es-ES" w:eastAsia="en-US"/>
        </w:rPr>
      </w:pPr>
    </w:p>
    <w:p w14:paraId="776084EC" w14:textId="77777777" w:rsidR="008B3A20" w:rsidRPr="0059139D" w:rsidRDefault="008B3A20" w:rsidP="008B3A20">
      <w:pPr>
        <w:spacing w:line="360" w:lineRule="auto"/>
        <w:ind w:right="-93"/>
        <w:jc w:val="both"/>
        <w:rPr>
          <w:rFonts w:ascii="Palatino Linotype" w:eastAsia="Calibri" w:hAnsi="Palatino Linotype" w:cs="Tahoma"/>
          <w:bCs/>
          <w:sz w:val="22"/>
          <w:szCs w:val="22"/>
          <w:lang w:val="es-ES" w:eastAsia="en-US"/>
        </w:rPr>
      </w:pPr>
    </w:p>
    <w:p w14:paraId="2896B4FC" w14:textId="77777777" w:rsidR="0059139D" w:rsidRPr="0059139D" w:rsidRDefault="0059139D" w:rsidP="008B3A20">
      <w:pPr>
        <w:spacing w:line="360" w:lineRule="auto"/>
        <w:ind w:right="-93"/>
        <w:jc w:val="both"/>
        <w:rPr>
          <w:rFonts w:ascii="Palatino Linotype" w:eastAsia="Calibri" w:hAnsi="Palatino Linotype" w:cs="Tahoma"/>
          <w:bCs/>
          <w:sz w:val="22"/>
          <w:szCs w:val="22"/>
          <w:lang w:val="es-ES_tradnl" w:eastAsia="en-US"/>
        </w:rPr>
      </w:pPr>
      <w:r w:rsidRPr="0059139D">
        <w:rPr>
          <w:rFonts w:ascii="Palatino Linotype" w:eastAsia="Calibri" w:hAnsi="Palatino Linotype" w:cs="Tahoma"/>
          <w:bCs/>
          <w:sz w:val="22"/>
          <w:szCs w:val="22"/>
          <w:lang w:val="es-ES" w:eastAsia="en-US"/>
        </w:rPr>
        <w:t>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w:t>
      </w:r>
      <w:r w:rsidRPr="0059139D">
        <w:rPr>
          <w:rFonts w:ascii="Palatino Linotype" w:eastAsia="Calibri" w:hAnsi="Palatino Linotype" w:cs="Tahoma"/>
          <w:bCs/>
          <w:sz w:val="22"/>
          <w:szCs w:val="22"/>
          <w:lang w:val="es-ES_tradnl" w:eastAsia="en-US"/>
        </w:rPr>
        <w:t xml:space="preserve">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w:t>
      </w:r>
    </w:p>
    <w:p w14:paraId="38A9E567" w14:textId="77777777" w:rsidR="0059139D" w:rsidRPr="0059139D" w:rsidRDefault="0059139D" w:rsidP="008B3A20">
      <w:pPr>
        <w:spacing w:line="360" w:lineRule="auto"/>
        <w:ind w:right="-93"/>
        <w:jc w:val="both"/>
        <w:rPr>
          <w:rFonts w:ascii="Palatino Linotype" w:eastAsia="Calibri" w:hAnsi="Palatino Linotype" w:cs="Tahoma"/>
          <w:bCs/>
          <w:sz w:val="22"/>
          <w:szCs w:val="22"/>
          <w:lang w:val="es-ES_tradnl" w:eastAsia="en-US"/>
        </w:rPr>
      </w:pPr>
    </w:p>
    <w:p w14:paraId="68D264F0" w14:textId="77777777" w:rsidR="0059139D" w:rsidRPr="0059139D" w:rsidRDefault="0059139D" w:rsidP="008B3A20">
      <w:pPr>
        <w:spacing w:line="360" w:lineRule="auto"/>
        <w:ind w:right="-93"/>
        <w:jc w:val="both"/>
        <w:rPr>
          <w:rFonts w:ascii="Palatino Linotype" w:eastAsia="Calibri" w:hAnsi="Palatino Linotype" w:cs="Tahoma"/>
          <w:b/>
          <w:bCs/>
          <w:sz w:val="22"/>
          <w:szCs w:val="22"/>
          <w:lang w:val="es-ES_tradnl" w:eastAsia="en-US"/>
        </w:rPr>
      </w:pPr>
      <w:r w:rsidRPr="0059139D">
        <w:rPr>
          <w:rFonts w:ascii="Palatino Linotype" w:eastAsia="Calibri" w:hAnsi="Palatino Linotype" w:cs="Tahoma"/>
          <w:bCs/>
          <w:sz w:val="22"/>
          <w:szCs w:val="22"/>
          <w:lang w:val="es-ES_tradnl" w:eastAsia="en-US"/>
        </w:rPr>
        <w:t xml:space="preserve">Derivado del trámite se obtiene, entre otros, la </w:t>
      </w:r>
      <w:r w:rsidRPr="0059139D">
        <w:rPr>
          <w:rFonts w:ascii="Palatino Linotype" w:eastAsia="Calibri" w:hAnsi="Palatino Linotype" w:cs="Tahoma"/>
          <w:b/>
          <w:bCs/>
          <w:sz w:val="22"/>
          <w:szCs w:val="22"/>
          <w:lang w:val="es-ES_tradnl" w:eastAsia="en-US"/>
        </w:rPr>
        <w:t>cédula de identificación fiscal o constancia de registro.</w:t>
      </w:r>
    </w:p>
    <w:p w14:paraId="6A773C7A" w14:textId="77777777" w:rsidR="0059139D" w:rsidRPr="0059139D" w:rsidRDefault="0059139D" w:rsidP="008B3A20">
      <w:pPr>
        <w:spacing w:line="360" w:lineRule="auto"/>
        <w:ind w:right="-93"/>
        <w:jc w:val="both"/>
        <w:rPr>
          <w:rFonts w:ascii="Palatino Linotype" w:eastAsia="Calibri" w:hAnsi="Palatino Linotype" w:cs="Tahoma"/>
          <w:bCs/>
          <w:sz w:val="22"/>
          <w:szCs w:val="22"/>
          <w:lang w:val="es-ES" w:eastAsia="en-US"/>
        </w:rPr>
      </w:pPr>
    </w:p>
    <w:p w14:paraId="7B5806BC" w14:textId="77777777" w:rsidR="0059139D" w:rsidRPr="0059139D" w:rsidRDefault="0059139D" w:rsidP="008B3A20">
      <w:pPr>
        <w:widowControl w:val="0"/>
        <w:spacing w:line="360" w:lineRule="auto"/>
        <w:ind w:right="-91"/>
        <w:jc w:val="both"/>
        <w:rPr>
          <w:rFonts w:ascii="Palatino Linotype" w:eastAsia="Calibri" w:hAnsi="Palatino Linotype" w:cs="Tahoma"/>
          <w:bCs/>
          <w:sz w:val="22"/>
          <w:szCs w:val="22"/>
          <w:lang w:val="es-ES" w:eastAsia="en-US"/>
        </w:rPr>
      </w:pPr>
      <w:r w:rsidRPr="0059139D">
        <w:rPr>
          <w:rFonts w:ascii="Palatino Linotype" w:eastAsia="Calibri" w:hAnsi="Palatino Linotype" w:cs="Tahoma"/>
          <w:bCs/>
          <w:sz w:val="22"/>
          <w:szCs w:val="22"/>
          <w:lang w:val="es-ES" w:eastAsia="en-US"/>
        </w:rPr>
        <w:t>Por ende, la información correspondiente al Registro Federal de Contribuyentes de una persona moral da cuenta del cumplimiento o no en sus obligaciones fiscales; por tanto, no se actualiza su clasificación como confidencial.</w:t>
      </w:r>
    </w:p>
    <w:p w14:paraId="7B074225" w14:textId="77777777" w:rsidR="0059139D" w:rsidRPr="0059139D" w:rsidRDefault="0059139D" w:rsidP="008B3A20">
      <w:pPr>
        <w:spacing w:line="360" w:lineRule="auto"/>
        <w:jc w:val="both"/>
        <w:rPr>
          <w:rFonts w:ascii="Palatino Linotype" w:eastAsia="Calibri" w:hAnsi="Palatino Linotype" w:cs="Tahoma"/>
          <w:b/>
          <w:bCs/>
          <w:sz w:val="22"/>
          <w:szCs w:val="22"/>
          <w:lang w:val="es-ES_tradnl" w:eastAsia="en-US"/>
        </w:rPr>
      </w:pPr>
    </w:p>
    <w:p w14:paraId="60817C5A" w14:textId="77777777" w:rsidR="0059139D" w:rsidRPr="0059139D" w:rsidRDefault="0059139D" w:rsidP="008B3A20">
      <w:pPr>
        <w:spacing w:line="360" w:lineRule="auto"/>
        <w:ind w:right="-93"/>
        <w:jc w:val="both"/>
        <w:rPr>
          <w:rFonts w:ascii="Palatino Linotype" w:eastAsia="Calibri" w:hAnsi="Palatino Linotype" w:cs="Tahoma"/>
          <w:bCs/>
          <w:sz w:val="22"/>
          <w:szCs w:val="22"/>
          <w:lang w:val="es-ES" w:eastAsia="en-US"/>
        </w:rPr>
      </w:pPr>
      <w:r w:rsidRPr="0059139D">
        <w:rPr>
          <w:rFonts w:ascii="Palatino Linotype" w:eastAsia="Calibri" w:hAnsi="Palatino Linotype" w:cs="Tahoma"/>
          <w:bCs/>
          <w:sz w:val="22"/>
          <w:szCs w:val="22"/>
          <w:lang w:val="es-ES" w:eastAsia="en-US"/>
        </w:rPr>
        <w:t xml:space="preserve">Además, resulta aplicable el </w:t>
      </w:r>
      <w:r w:rsidRPr="0059139D">
        <w:rPr>
          <w:rFonts w:ascii="Palatino Linotype" w:eastAsia="Calibri" w:hAnsi="Palatino Linotype" w:cs="Tahoma"/>
          <w:bCs/>
          <w:sz w:val="22"/>
          <w:szCs w:val="22"/>
          <w:lang w:eastAsia="en-US"/>
        </w:rPr>
        <w:t>Criterio de interpretación, con clave de control SO/008/2019, de la Segunda Época</w:t>
      </w:r>
      <w:r w:rsidRPr="0059139D">
        <w:rPr>
          <w:rFonts w:ascii="Palatino Linotype" w:eastAsia="Calibri" w:hAnsi="Palatino Linotype" w:cs="Tahoma"/>
          <w:bCs/>
          <w:sz w:val="22"/>
          <w:szCs w:val="22"/>
          <w:lang w:val="es-ES" w:eastAsia="en-US"/>
        </w:rPr>
        <w:t>, emitido por el Instituto Nacional de Transparencia, Acceso a la Información y Protección de Datos Personales, que precisa que el Registro Federal de Contribuyentes de personas morales, es público, al no referir a hechos o actos de carácter económico, contable, jurídico o administrativo que sean útiles o representen una ventaja a sus competidores.</w:t>
      </w:r>
    </w:p>
    <w:p w14:paraId="628C6CB9" w14:textId="77777777" w:rsidR="0059139D" w:rsidRPr="0059139D" w:rsidRDefault="0059139D" w:rsidP="008B3A20">
      <w:pPr>
        <w:spacing w:line="360" w:lineRule="auto"/>
        <w:ind w:right="-93"/>
        <w:jc w:val="both"/>
        <w:rPr>
          <w:rFonts w:ascii="Palatino Linotype" w:eastAsia="Calibri" w:hAnsi="Palatino Linotype" w:cs="Tahoma"/>
          <w:bCs/>
          <w:sz w:val="22"/>
          <w:szCs w:val="22"/>
          <w:lang w:val="es-ES" w:eastAsia="en-US"/>
        </w:rPr>
      </w:pPr>
    </w:p>
    <w:p w14:paraId="4033E1DA" w14:textId="77777777" w:rsidR="0059139D" w:rsidRPr="0059139D" w:rsidRDefault="0059139D" w:rsidP="008B3A20">
      <w:pPr>
        <w:spacing w:line="360" w:lineRule="auto"/>
        <w:ind w:right="-93"/>
        <w:jc w:val="both"/>
        <w:rPr>
          <w:rFonts w:ascii="Palatino Linotype" w:eastAsia="Calibri" w:hAnsi="Palatino Linotype" w:cs="Tahoma"/>
          <w:bCs/>
          <w:sz w:val="22"/>
          <w:szCs w:val="22"/>
          <w:lang w:val="es-ES_tradnl" w:eastAsia="en-US"/>
        </w:rPr>
      </w:pPr>
      <w:r w:rsidRPr="0059139D">
        <w:rPr>
          <w:rFonts w:ascii="Palatino Linotype" w:eastAsia="Calibri" w:hAnsi="Palatino Linotype" w:cs="Tahoma"/>
          <w:bCs/>
          <w:sz w:val="22"/>
          <w:szCs w:val="22"/>
          <w:lang w:val="es-ES" w:eastAsia="en-US"/>
        </w:rPr>
        <w:t>De tales circunstancias, el Registro Federal de Contribuyentes de personas</w:t>
      </w:r>
      <w:r w:rsidRPr="0059139D">
        <w:rPr>
          <w:rFonts w:ascii="Palatino Linotype" w:eastAsia="Calibri" w:hAnsi="Palatino Linotype" w:cs="Tahoma"/>
          <w:bCs/>
          <w:sz w:val="22"/>
          <w:szCs w:val="22"/>
          <w:lang w:val="es-ES_tradnl" w:eastAsia="en-US"/>
        </w:rPr>
        <w:t xml:space="preserve"> morales, no actualizan la causal de clasificación, prevista en el artículo 143, fracción I de la Ley de </w:t>
      </w:r>
      <w:r w:rsidRPr="0059139D">
        <w:rPr>
          <w:rFonts w:ascii="Palatino Linotype" w:eastAsia="Calibri" w:hAnsi="Palatino Linotype" w:cs="Tahoma"/>
          <w:bCs/>
          <w:sz w:val="22"/>
          <w:szCs w:val="22"/>
          <w:lang w:val="es-ES_tradnl" w:eastAsia="en-US"/>
        </w:rPr>
        <w:lastRenderedPageBreak/>
        <w:t>Transparencia y Acceso a la Información Pública del Estado de México y Municipios, al ser de naturaleza pública.</w:t>
      </w:r>
    </w:p>
    <w:p w14:paraId="744FBF9E" w14:textId="67F04706" w:rsidR="00813DCE" w:rsidRPr="0059139D" w:rsidRDefault="00813DCE" w:rsidP="008B3A20">
      <w:pPr>
        <w:spacing w:line="360" w:lineRule="auto"/>
        <w:contextualSpacing/>
        <w:jc w:val="both"/>
        <w:rPr>
          <w:rFonts w:ascii="Palatino Linotype" w:hAnsi="Palatino Linotype" w:cs="Tahoma"/>
          <w:lang w:val="es-ES_tradnl"/>
        </w:rPr>
      </w:pPr>
    </w:p>
    <w:p w14:paraId="613F925E" w14:textId="77777777" w:rsidR="0004110B" w:rsidRPr="0004110B" w:rsidRDefault="0004110B" w:rsidP="008B3A20">
      <w:pPr>
        <w:numPr>
          <w:ilvl w:val="0"/>
          <w:numId w:val="17"/>
        </w:numPr>
        <w:spacing w:line="360" w:lineRule="auto"/>
        <w:jc w:val="both"/>
        <w:rPr>
          <w:rFonts w:ascii="Palatino Linotype" w:hAnsi="Palatino Linotype" w:cs="Tahoma"/>
          <w:bCs/>
          <w:sz w:val="22"/>
          <w:szCs w:val="22"/>
        </w:rPr>
      </w:pPr>
      <w:r w:rsidRPr="0004110B">
        <w:rPr>
          <w:rFonts w:ascii="Palatino Linotype" w:hAnsi="Palatino Linotype" w:cs="Tahoma"/>
          <w:b/>
          <w:bCs/>
          <w:sz w:val="22"/>
          <w:szCs w:val="22"/>
        </w:rPr>
        <w:t>Firma del titular o representante legal.</w:t>
      </w:r>
    </w:p>
    <w:p w14:paraId="5EDF0A52" w14:textId="77777777" w:rsidR="0004110B" w:rsidRPr="0004110B" w:rsidRDefault="0004110B" w:rsidP="008B3A20">
      <w:pPr>
        <w:spacing w:line="360" w:lineRule="auto"/>
        <w:jc w:val="both"/>
        <w:rPr>
          <w:rFonts w:ascii="Palatino Linotype" w:hAnsi="Palatino Linotype" w:cs="Tahoma"/>
          <w:sz w:val="22"/>
          <w:szCs w:val="22"/>
        </w:rPr>
      </w:pPr>
    </w:p>
    <w:p w14:paraId="2D9BD464" w14:textId="77777777" w:rsidR="0004110B" w:rsidRPr="0004110B" w:rsidRDefault="0004110B" w:rsidP="008B3A20">
      <w:pPr>
        <w:spacing w:line="360" w:lineRule="auto"/>
        <w:jc w:val="both"/>
        <w:rPr>
          <w:rFonts w:ascii="Palatino Linotype" w:hAnsi="Palatino Linotype" w:cs="Tahoma"/>
          <w:bCs/>
          <w:sz w:val="22"/>
          <w:szCs w:val="22"/>
        </w:rPr>
      </w:pPr>
      <w:r w:rsidRPr="0004110B">
        <w:rPr>
          <w:rFonts w:ascii="Palatino Linotype" w:hAnsi="Palatino Linotype" w:cs="Tahoma"/>
          <w:sz w:val="22"/>
          <w:szCs w:val="22"/>
        </w:rPr>
        <w:t xml:space="preserve">Al respecto, es de señalar que la </w:t>
      </w:r>
      <w:r w:rsidRPr="0004110B">
        <w:rPr>
          <w:rFonts w:ascii="Palatino Linotype" w:hAnsi="Palatino Linotype" w:cs="Tahoma"/>
          <w:bCs/>
          <w:sz w:val="22"/>
          <w:szCs w:val="22"/>
        </w:rPr>
        <w:t xml:space="preserve">firma es considerada un dato personal, al tratarse de información gráfica a través de la cual su titular exterioriza su voluntad en actos públicos y privados; en el presente caso, dicho dato, es del representante legal o titular de la licencia o permiso de funcionamiento. </w:t>
      </w:r>
    </w:p>
    <w:p w14:paraId="4E2FC9AF" w14:textId="77777777" w:rsidR="0004110B" w:rsidRPr="0004110B" w:rsidRDefault="0004110B" w:rsidP="008B3A20">
      <w:pPr>
        <w:spacing w:line="360" w:lineRule="auto"/>
        <w:jc w:val="both"/>
        <w:rPr>
          <w:rFonts w:ascii="Palatino Linotype" w:hAnsi="Palatino Linotype" w:cs="Tahoma"/>
          <w:bCs/>
          <w:sz w:val="22"/>
          <w:szCs w:val="22"/>
        </w:rPr>
      </w:pPr>
    </w:p>
    <w:p w14:paraId="1A5911BF" w14:textId="77777777" w:rsidR="0004110B" w:rsidRPr="0004110B" w:rsidRDefault="0004110B" w:rsidP="008B3A20">
      <w:pPr>
        <w:spacing w:line="360" w:lineRule="auto"/>
        <w:jc w:val="both"/>
        <w:rPr>
          <w:rFonts w:ascii="Palatino Linotype" w:hAnsi="Palatino Linotype" w:cs="Tahoma"/>
          <w:sz w:val="22"/>
          <w:szCs w:val="22"/>
        </w:rPr>
      </w:pPr>
      <w:r w:rsidRPr="0004110B">
        <w:rPr>
          <w:rFonts w:ascii="Palatino Linotype" w:hAnsi="Palatino Linotype" w:cs="Tahoma"/>
          <w:bCs/>
          <w:sz w:val="22"/>
          <w:szCs w:val="22"/>
        </w:rPr>
        <w:t xml:space="preserve">Además, en el presente caso, dicho dato es plasmado en las autorizaciones señaladas, dado que con este se acredita que fue entregado por el Municipio al titular o representante legal de la empresa que realzará una actividad económica, comercial o industrial; por lo que, </w:t>
      </w:r>
      <w:r w:rsidRPr="0004110B">
        <w:rPr>
          <w:rFonts w:ascii="Palatino Linotype" w:hAnsi="Palatino Linotype" w:cs="Tahoma"/>
          <w:sz w:val="22"/>
          <w:szCs w:val="22"/>
        </w:rPr>
        <w:t>guarda cierto interés público dar a conocer la firma, dado que cualquier actividad, es regulada por el Municipio de Toluca dentro de su circunscripción territorial, pues ayuda a transparentar la gestión pública.</w:t>
      </w:r>
    </w:p>
    <w:p w14:paraId="660A97B0" w14:textId="77777777" w:rsidR="0004110B" w:rsidRPr="0004110B" w:rsidRDefault="0004110B" w:rsidP="008B3A20">
      <w:pPr>
        <w:spacing w:line="360" w:lineRule="auto"/>
        <w:jc w:val="both"/>
        <w:rPr>
          <w:rFonts w:ascii="Palatino Linotype" w:hAnsi="Palatino Linotype" w:cs="Tahoma"/>
          <w:sz w:val="22"/>
          <w:szCs w:val="22"/>
        </w:rPr>
      </w:pPr>
    </w:p>
    <w:p w14:paraId="3F6A29D5" w14:textId="77777777" w:rsidR="0004110B" w:rsidRPr="0004110B" w:rsidRDefault="0004110B" w:rsidP="008B3A20">
      <w:pPr>
        <w:spacing w:line="360" w:lineRule="auto"/>
        <w:jc w:val="both"/>
        <w:rPr>
          <w:rFonts w:ascii="Palatino Linotype" w:hAnsi="Palatino Linotype" w:cs="Tahoma"/>
          <w:sz w:val="22"/>
          <w:szCs w:val="22"/>
        </w:rPr>
      </w:pPr>
      <w:r w:rsidRPr="0004110B">
        <w:rPr>
          <w:rFonts w:ascii="Palatino Linotype" w:hAnsi="Palatino Linotype" w:cs="Tahoma"/>
          <w:sz w:val="22"/>
          <w:szCs w:val="22"/>
        </w:rPr>
        <w:t xml:space="preserve">Además, otorgar la firma de la persona autorizada, a través de una licencia, permiso o autorización, permite corroborar que la exhibida en el establecimiento comercial, fue emitida efectivamente por la autoridad competente, en el presente caso, por el Ente Recurrido y </w:t>
      </w:r>
      <w:r w:rsidRPr="0004110B">
        <w:rPr>
          <w:rFonts w:ascii="Palatino Linotype" w:hAnsi="Palatino Linotype" w:cs="Tahoma"/>
          <w:b/>
          <w:sz w:val="22"/>
          <w:szCs w:val="22"/>
        </w:rPr>
        <w:t>aceptada por el titular, al rubricarla.</w:t>
      </w:r>
    </w:p>
    <w:p w14:paraId="66D3A39F" w14:textId="77777777" w:rsidR="0004110B" w:rsidRPr="0004110B" w:rsidRDefault="0004110B" w:rsidP="008B3A20">
      <w:pPr>
        <w:spacing w:line="360" w:lineRule="auto"/>
        <w:jc w:val="both"/>
        <w:rPr>
          <w:rFonts w:ascii="Palatino Linotype" w:hAnsi="Palatino Linotype" w:cs="Tahoma"/>
          <w:sz w:val="22"/>
          <w:szCs w:val="22"/>
        </w:rPr>
      </w:pPr>
    </w:p>
    <w:p w14:paraId="60390365" w14:textId="77777777" w:rsidR="0004110B" w:rsidRPr="0004110B" w:rsidRDefault="0004110B" w:rsidP="008B3A20">
      <w:pPr>
        <w:spacing w:line="360" w:lineRule="auto"/>
        <w:jc w:val="both"/>
        <w:rPr>
          <w:rFonts w:ascii="Palatino Linotype" w:hAnsi="Palatino Linotype" w:cs="Tahoma"/>
          <w:b/>
          <w:bCs/>
          <w:sz w:val="22"/>
          <w:szCs w:val="22"/>
        </w:rPr>
      </w:pPr>
      <w:r w:rsidRPr="0004110B">
        <w:rPr>
          <w:rFonts w:ascii="Palatino Linotype" w:hAnsi="Palatino Linotype" w:cs="Tahoma"/>
          <w:bCs/>
          <w:sz w:val="22"/>
          <w:szCs w:val="22"/>
        </w:rPr>
        <w:t xml:space="preserve">Así, mediante la difusión de las firmas de aquellas personas que cuentan con la licencia o permiso, permitiría una debida rendición de cuentas, pues es indispensable que se conozcan aquellos que están autorizados por parte del Municipio de Toluca para realizar actividades económicas, mismas que se encuentran reguladas, por lo que, con ello se garantizaría que la sociedad tenga certeza de que </w:t>
      </w:r>
      <w:r w:rsidRPr="0004110B">
        <w:rPr>
          <w:rFonts w:ascii="Palatino Linotype" w:hAnsi="Palatino Linotype" w:cs="Tahoma"/>
          <w:b/>
          <w:bCs/>
          <w:sz w:val="22"/>
          <w:szCs w:val="22"/>
        </w:rPr>
        <w:t xml:space="preserve">las autorizaciones colocadas en los establecimientos, puestos, </w:t>
      </w:r>
      <w:r w:rsidRPr="0004110B">
        <w:rPr>
          <w:rFonts w:ascii="Palatino Linotype" w:hAnsi="Palatino Linotype" w:cs="Tahoma"/>
          <w:b/>
          <w:bCs/>
          <w:sz w:val="22"/>
          <w:szCs w:val="22"/>
        </w:rPr>
        <w:lastRenderedPageBreak/>
        <w:t>tianguis o mercados, fueron efectivamente emitidos por el Sujeto Obligado y aceptadas, por el Titular de estas, y no funcionan fuera del marco de la normatividad aplicable.</w:t>
      </w:r>
    </w:p>
    <w:p w14:paraId="06442478" w14:textId="77777777" w:rsidR="0004110B" w:rsidRPr="0004110B" w:rsidRDefault="0004110B" w:rsidP="008B3A20">
      <w:pPr>
        <w:spacing w:line="360" w:lineRule="auto"/>
        <w:jc w:val="both"/>
        <w:rPr>
          <w:rFonts w:ascii="Palatino Linotype" w:hAnsi="Palatino Linotype" w:cs="Tahoma"/>
          <w:b/>
          <w:bCs/>
          <w:sz w:val="22"/>
          <w:szCs w:val="22"/>
        </w:rPr>
      </w:pPr>
    </w:p>
    <w:p w14:paraId="7F37BCD9" w14:textId="77777777" w:rsidR="0004110B" w:rsidRDefault="0004110B" w:rsidP="008B3A20">
      <w:pPr>
        <w:spacing w:line="360" w:lineRule="auto"/>
        <w:jc w:val="both"/>
        <w:rPr>
          <w:rFonts w:ascii="Palatino Linotype" w:hAnsi="Palatino Linotype" w:cs="Tahoma"/>
          <w:bCs/>
          <w:sz w:val="22"/>
          <w:szCs w:val="22"/>
        </w:rPr>
      </w:pPr>
      <w:r w:rsidRPr="0004110B">
        <w:rPr>
          <w:rFonts w:ascii="Palatino Linotype" w:hAnsi="Palatino Linotype" w:cs="Tahoma"/>
          <w:bCs/>
          <w:sz w:val="22"/>
          <w:szCs w:val="22"/>
        </w:rPr>
        <w:t>Conforme a lo expuesto, se considera que la firma de los representantes legales o titulares, localizadas en las licencias o permisos otorgados por la Dirección de Desarrollo Económico, no actualizan la causal de clasificación, establecida en el artículo 143, fracción I de la Ley de Transparencia y Acceso a la Información Pública del Estado de México y Municipios.</w:t>
      </w:r>
    </w:p>
    <w:p w14:paraId="12011A7E" w14:textId="77777777" w:rsidR="0004110B" w:rsidRDefault="0004110B" w:rsidP="008B3A20">
      <w:pPr>
        <w:spacing w:line="360" w:lineRule="auto"/>
        <w:jc w:val="both"/>
        <w:rPr>
          <w:rFonts w:ascii="Palatino Linotype" w:hAnsi="Palatino Linotype" w:cs="Tahoma"/>
          <w:bCs/>
          <w:sz w:val="22"/>
          <w:szCs w:val="22"/>
        </w:rPr>
      </w:pPr>
    </w:p>
    <w:p w14:paraId="50712AB9" w14:textId="77777777" w:rsidR="0004110B" w:rsidRPr="0004110B" w:rsidRDefault="0004110B" w:rsidP="008B3A20">
      <w:pPr>
        <w:numPr>
          <w:ilvl w:val="0"/>
          <w:numId w:val="17"/>
        </w:numPr>
        <w:spacing w:line="360" w:lineRule="auto"/>
        <w:jc w:val="both"/>
        <w:rPr>
          <w:rFonts w:ascii="Palatino Linotype" w:hAnsi="Palatino Linotype" w:cs="Tahoma"/>
          <w:bCs/>
          <w:sz w:val="22"/>
          <w:szCs w:val="22"/>
        </w:rPr>
      </w:pPr>
      <w:r w:rsidRPr="0004110B">
        <w:rPr>
          <w:rFonts w:ascii="Palatino Linotype" w:hAnsi="Palatino Linotype" w:cs="Tahoma"/>
          <w:b/>
          <w:bCs/>
          <w:sz w:val="22"/>
          <w:szCs w:val="22"/>
        </w:rPr>
        <w:t>Ubicación de la unidad económica.</w:t>
      </w:r>
    </w:p>
    <w:p w14:paraId="2080C8D6" w14:textId="77777777" w:rsidR="0004110B" w:rsidRPr="0004110B" w:rsidRDefault="0004110B" w:rsidP="008B3A20">
      <w:pPr>
        <w:spacing w:line="360" w:lineRule="auto"/>
        <w:jc w:val="both"/>
        <w:rPr>
          <w:rFonts w:ascii="Palatino Linotype" w:hAnsi="Palatino Linotype" w:cs="Tahoma"/>
          <w:b/>
          <w:bCs/>
          <w:sz w:val="22"/>
          <w:szCs w:val="22"/>
        </w:rPr>
      </w:pPr>
    </w:p>
    <w:p w14:paraId="07A5741D" w14:textId="77777777" w:rsidR="0004110B" w:rsidRPr="0004110B" w:rsidRDefault="0004110B" w:rsidP="008B3A20">
      <w:pPr>
        <w:spacing w:line="360" w:lineRule="auto"/>
        <w:jc w:val="both"/>
        <w:rPr>
          <w:rFonts w:ascii="Palatino Linotype" w:hAnsi="Palatino Linotype" w:cs="Tahoma"/>
          <w:bCs/>
          <w:sz w:val="22"/>
          <w:szCs w:val="22"/>
        </w:rPr>
      </w:pPr>
      <w:r w:rsidRPr="0004110B">
        <w:rPr>
          <w:rFonts w:ascii="Palatino Linotype" w:hAnsi="Palatino Linotype" w:cs="Tahoma"/>
          <w:bCs/>
          <w:sz w:val="22"/>
          <w:szCs w:val="22"/>
        </w:rPr>
        <w:t>Sobre dicho dato, resulta necesario precisar que este no corresponde al domicilio particular del titular de dichas autorizaciones, sino que corresponde a aquel donde se localiza la unidad económica, es decir, en el lugar en donde se realizará la actividad comercial, industrial o de servicios.</w:t>
      </w:r>
    </w:p>
    <w:p w14:paraId="7164431D" w14:textId="77777777" w:rsidR="0004110B" w:rsidRPr="0004110B" w:rsidRDefault="0004110B" w:rsidP="008B3A20">
      <w:pPr>
        <w:spacing w:line="360" w:lineRule="auto"/>
        <w:jc w:val="both"/>
        <w:rPr>
          <w:rFonts w:ascii="Palatino Linotype" w:hAnsi="Palatino Linotype" w:cs="Tahoma"/>
          <w:bCs/>
          <w:sz w:val="22"/>
          <w:szCs w:val="22"/>
        </w:rPr>
      </w:pPr>
    </w:p>
    <w:p w14:paraId="2E6FB3C9" w14:textId="77777777" w:rsidR="0004110B" w:rsidRPr="0004110B" w:rsidRDefault="0004110B" w:rsidP="008B3A20">
      <w:pPr>
        <w:widowControl w:val="0"/>
        <w:spacing w:line="360" w:lineRule="auto"/>
        <w:ind w:right="-91"/>
        <w:jc w:val="both"/>
        <w:rPr>
          <w:rFonts w:ascii="Palatino Linotype" w:eastAsia="Calibri" w:hAnsi="Palatino Linotype" w:cs="Tahoma"/>
          <w:bCs/>
          <w:sz w:val="22"/>
          <w:szCs w:val="22"/>
          <w:lang w:eastAsia="en-US"/>
        </w:rPr>
      </w:pPr>
      <w:r w:rsidRPr="0004110B">
        <w:rPr>
          <w:rFonts w:ascii="Palatino Linotype" w:hAnsi="Palatino Linotype" w:cs="Tahoma"/>
          <w:bCs/>
          <w:sz w:val="22"/>
          <w:szCs w:val="22"/>
        </w:rPr>
        <w:t xml:space="preserve">Por lo cual, el dato en comento </w:t>
      </w:r>
      <w:r w:rsidRPr="0004110B">
        <w:rPr>
          <w:rFonts w:ascii="Palatino Linotype" w:eastAsia="Calibri" w:hAnsi="Palatino Linotype" w:cs="Tahoma"/>
          <w:bCs/>
          <w:sz w:val="22"/>
          <w:szCs w:val="22"/>
          <w:lang w:eastAsia="en-US"/>
        </w:rPr>
        <w:t>únicamente identifica la ubicación donde se realiza una actividad económica regulada por el Municipio, respecto del cual se expidió una licencia o permiso.</w:t>
      </w:r>
    </w:p>
    <w:p w14:paraId="0E50F06D" w14:textId="77777777" w:rsidR="0004110B" w:rsidRPr="0004110B" w:rsidRDefault="0004110B" w:rsidP="008B3A20">
      <w:pPr>
        <w:spacing w:line="360" w:lineRule="auto"/>
        <w:jc w:val="both"/>
        <w:rPr>
          <w:rFonts w:ascii="Palatino Linotype" w:hAnsi="Palatino Linotype" w:cs="Tahoma"/>
          <w:bCs/>
          <w:sz w:val="22"/>
          <w:szCs w:val="22"/>
        </w:rPr>
      </w:pPr>
    </w:p>
    <w:p w14:paraId="5224473C" w14:textId="77777777" w:rsidR="0004110B" w:rsidRPr="0004110B" w:rsidRDefault="0004110B" w:rsidP="008B3A20">
      <w:pPr>
        <w:spacing w:line="360" w:lineRule="auto"/>
        <w:jc w:val="both"/>
        <w:rPr>
          <w:rFonts w:ascii="Palatino Linotype" w:hAnsi="Palatino Linotype" w:cs="Tahoma"/>
          <w:bCs/>
          <w:sz w:val="22"/>
          <w:szCs w:val="22"/>
        </w:rPr>
      </w:pPr>
      <w:r w:rsidRPr="0004110B">
        <w:rPr>
          <w:rFonts w:ascii="Palatino Linotype" w:hAnsi="Palatino Linotype" w:cs="Tahoma"/>
          <w:bCs/>
          <w:sz w:val="22"/>
          <w:szCs w:val="22"/>
        </w:rPr>
        <w:t>De tales circunstancias, dicho dato guarda la naturaleza de pública, pues permite identificar, que la ubicación de la unidad económica (puesto o establecimiento) corresponde con la licencia o permiso (esto es, que no se puso a la vista una licencia que no corresponda), y que está debidamente registrada ante la autoridad Municipal; por lo que se trata de un dato de acceso a público, pues como se precisó dichos documentos deben de estar a la vista del público en general. Así no resulta procedente, la clasificación, en términos del artículo 143, fracción I de la Ley de Transparencia y Acceso a la Información Pública del Estado de México y Municipios.</w:t>
      </w:r>
    </w:p>
    <w:p w14:paraId="59940D73" w14:textId="77777777" w:rsidR="008B3A20" w:rsidRPr="005A4A25" w:rsidRDefault="008B3A20" w:rsidP="008B3A20">
      <w:pPr>
        <w:spacing w:line="360" w:lineRule="auto"/>
        <w:contextualSpacing/>
        <w:jc w:val="both"/>
        <w:rPr>
          <w:rFonts w:ascii="Palatino Linotype" w:hAnsi="Palatino Linotype" w:cs="Tahoma"/>
        </w:rPr>
      </w:pPr>
    </w:p>
    <w:p w14:paraId="3C8F6823" w14:textId="314DAA4C" w:rsidR="00573F7A" w:rsidRPr="005A4A25" w:rsidRDefault="00573F7A" w:rsidP="008B3A20">
      <w:pPr>
        <w:numPr>
          <w:ilvl w:val="0"/>
          <w:numId w:val="13"/>
        </w:numPr>
        <w:spacing w:line="360" w:lineRule="auto"/>
        <w:ind w:right="-93"/>
        <w:contextualSpacing/>
        <w:jc w:val="both"/>
        <w:rPr>
          <w:rFonts w:ascii="Palatino Linotype" w:eastAsia="Calibri" w:hAnsi="Palatino Linotype" w:cs="Tahoma"/>
          <w:b/>
          <w:bCs/>
          <w:sz w:val="22"/>
          <w:szCs w:val="22"/>
          <w:lang w:eastAsia="en-US"/>
        </w:rPr>
      </w:pPr>
      <w:r w:rsidRPr="005A4A25">
        <w:rPr>
          <w:rFonts w:ascii="Palatino Linotype" w:eastAsia="Calibri" w:hAnsi="Palatino Linotype" w:cs="Tahoma"/>
          <w:b/>
          <w:bCs/>
          <w:sz w:val="22"/>
          <w:szCs w:val="22"/>
          <w:lang w:eastAsia="en-US"/>
        </w:rPr>
        <w:t>Domicilio</w:t>
      </w:r>
      <w:r w:rsidR="0004110B">
        <w:rPr>
          <w:rFonts w:ascii="Palatino Linotype" w:eastAsia="Calibri" w:hAnsi="Palatino Linotype" w:cs="Tahoma"/>
          <w:b/>
          <w:bCs/>
          <w:sz w:val="22"/>
          <w:szCs w:val="22"/>
          <w:lang w:eastAsia="en-US"/>
        </w:rPr>
        <w:t xml:space="preserve"> particular de los titulares de licencia</w:t>
      </w:r>
      <w:r w:rsidRPr="005A4A25">
        <w:rPr>
          <w:rFonts w:ascii="Palatino Linotype" w:eastAsia="Calibri" w:hAnsi="Palatino Linotype" w:cs="Tahoma"/>
          <w:b/>
          <w:bCs/>
          <w:sz w:val="22"/>
          <w:szCs w:val="22"/>
          <w:lang w:eastAsia="en-US"/>
        </w:rPr>
        <w:t>.</w:t>
      </w:r>
    </w:p>
    <w:p w14:paraId="649ADB9B" w14:textId="77777777" w:rsidR="00573F7A" w:rsidRPr="005A4A25" w:rsidRDefault="00573F7A" w:rsidP="008B3A20">
      <w:pPr>
        <w:spacing w:line="360" w:lineRule="auto"/>
        <w:ind w:right="-93"/>
        <w:contextualSpacing/>
        <w:jc w:val="both"/>
        <w:rPr>
          <w:rFonts w:ascii="Palatino Linotype" w:eastAsia="Calibri" w:hAnsi="Palatino Linotype" w:cs="Tahoma"/>
          <w:bCs/>
          <w:sz w:val="22"/>
          <w:szCs w:val="22"/>
          <w:lang w:eastAsia="en-US"/>
        </w:rPr>
      </w:pPr>
    </w:p>
    <w:p w14:paraId="23E7C1CC" w14:textId="6B9B1231" w:rsidR="00573F7A" w:rsidRPr="005A4A25" w:rsidRDefault="00573F7A" w:rsidP="008B3A20">
      <w:pPr>
        <w:spacing w:line="360" w:lineRule="auto"/>
        <w:ind w:right="-93"/>
        <w:contextualSpacing/>
        <w:jc w:val="both"/>
        <w:rPr>
          <w:rFonts w:ascii="Palatino Linotype" w:hAnsi="Palatino Linotype" w:cs="Tahoma"/>
          <w:sz w:val="22"/>
          <w:szCs w:val="22"/>
        </w:rPr>
      </w:pPr>
      <w:r w:rsidRPr="005A4A25">
        <w:rPr>
          <w:rFonts w:ascii="Palatino Linotype" w:hAnsi="Palatino Linotype" w:cs="Tahoma"/>
          <w:sz w:val="22"/>
          <w:szCs w:val="22"/>
        </w:rPr>
        <w:t xml:space="preserve">De acuerdo con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14:paraId="0D026596" w14:textId="77777777" w:rsidR="00573F7A" w:rsidRPr="005A4A25" w:rsidRDefault="00573F7A" w:rsidP="008B3A20">
      <w:pPr>
        <w:spacing w:line="360" w:lineRule="auto"/>
        <w:ind w:right="-93"/>
        <w:contextualSpacing/>
        <w:jc w:val="both"/>
        <w:rPr>
          <w:rFonts w:ascii="Palatino Linotype" w:hAnsi="Palatino Linotype" w:cs="Tahoma"/>
          <w:sz w:val="22"/>
          <w:szCs w:val="22"/>
        </w:rPr>
      </w:pPr>
    </w:p>
    <w:p w14:paraId="2FFFE0FE" w14:textId="77777777" w:rsidR="00573F7A" w:rsidRPr="005A4A25" w:rsidRDefault="00573F7A" w:rsidP="008B3A20">
      <w:pPr>
        <w:spacing w:line="360" w:lineRule="auto"/>
        <w:ind w:right="-93"/>
        <w:contextualSpacing/>
        <w:jc w:val="both"/>
        <w:rPr>
          <w:rFonts w:ascii="Palatino Linotype" w:hAnsi="Palatino Linotype" w:cs="Tahoma"/>
          <w:b/>
          <w:sz w:val="22"/>
          <w:szCs w:val="22"/>
        </w:rPr>
      </w:pPr>
      <w:r w:rsidRPr="005A4A25">
        <w:rPr>
          <w:rFonts w:ascii="Palatino Linotype" w:hAnsi="Palatino Linotype" w:cs="Tahoma"/>
          <w:sz w:val="22"/>
          <w:szCs w:val="22"/>
        </w:rPr>
        <w:t>De la misma manera, lo establece el artículo 29 del Código Civil Federal, al precisar que el domicilio de personas físicas</w:t>
      </w:r>
      <w:r w:rsidRPr="005A4A25">
        <w:rPr>
          <w:rFonts w:ascii="Palatino Linotype" w:hAnsi="Palatino Linotype" w:cs="Tahoma"/>
          <w:b/>
          <w:sz w:val="22"/>
          <w:szCs w:val="22"/>
        </w:rPr>
        <w:t>, es el lugar donde residen habitualmente, el lugar del centro principal de sus negocios, donde residan o el lugar donde se encuentren.</w:t>
      </w:r>
    </w:p>
    <w:p w14:paraId="06673E47" w14:textId="77777777" w:rsidR="00573F7A" w:rsidRPr="005A4A25" w:rsidRDefault="00573F7A" w:rsidP="008B3A20">
      <w:pPr>
        <w:spacing w:line="360" w:lineRule="auto"/>
        <w:contextualSpacing/>
        <w:jc w:val="both"/>
        <w:rPr>
          <w:rFonts w:ascii="Palatino Linotype" w:eastAsia="Calibri" w:hAnsi="Palatino Linotype" w:cs="Tahoma"/>
          <w:b/>
          <w:bCs/>
          <w:szCs w:val="22"/>
          <w:lang w:eastAsia="en-US"/>
        </w:rPr>
      </w:pPr>
    </w:p>
    <w:p w14:paraId="41CCE0A4" w14:textId="77D5DFDF" w:rsidR="00573F7A" w:rsidRPr="005A4A25" w:rsidRDefault="00573F7A" w:rsidP="008B3A20">
      <w:pPr>
        <w:spacing w:line="360" w:lineRule="auto"/>
        <w:ind w:right="-93"/>
        <w:contextualSpacing/>
        <w:jc w:val="both"/>
        <w:rPr>
          <w:rFonts w:ascii="Palatino Linotype" w:hAnsi="Palatino Linotype" w:cs="Tahoma"/>
          <w:sz w:val="22"/>
          <w:szCs w:val="22"/>
        </w:rPr>
      </w:pPr>
      <w:r w:rsidRPr="005A4A25">
        <w:rPr>
          <w:rFonts w:ascii="Palatino Linotype" w:hAnsi="Palatino Linotype" w:cs="Tahoma"/>
          <w:sz w:val="22"/>
          <w:szCs w:val="22"/>
        </w:rPr>
        <w:t>En ese contexto, la dirección o domicilio es el lugar en donde reside habitualmente una persona física</w:t>
      </w:r>
      <w:r w:rsidR="0004110B">
        <w:rPr>
          <w:rFonts w:ascii="Palatino Linotype" w:hAnsi="Palatino Linotype" w:cs="Tahoma"/>
          <w:sz w:val="22"/>
          <w:szCs w:val="22"/>
        </w:rPr>
        <w:t xml:space="preserve"> o moral</w:t>
      </w:r>
      <w:r w:rsidRPr="005A4A25">
        <w:rPr>
          <w:rFonts w:ascii="Palatino Linotype" w:hAnsi="Palatino Linotype" w:cs="Tahoma"/>
          <w:sz w:val="22"/>
          <w:szCs w:val="22"/>
        </w:rPr>
        <w:t xml:space="preserve">, por lo que, permite hacerlo identificable y ubicable, propiciando que pueda ser molestado en su casa o negocio, de este modo, los datos que permiten a cualquier individuo con esfuerzos mínimos identificar el lugar de residencia o de trabajo constituye un dato personal y, por ende, confidencial, ya que incide directamente en la privacidad de personas </w:t>
      </w:r>
      <w:r w:rsidR="0004110B">
        <w:rPr>
          <w:rFonts w:ascii="Palatino Linotype" w:hAnsi="Palatino Linotype" w:cs="Tahoma"/>
          <w:sz w:val="22"/>
          <w:szCs w:val="22"/>
        </w:rPr>
        <w:t>titulares de una licencia</w:t>
      </w:r>
      <w:r w:rsidRPr="005A4A25">
        <w:rPr>
          <w:rFonts w:ascii="Palatino Linotype" w:hAnsi="Palatino Linotype" w:cs="Tahoma"/>
          <w:sz w:val="22"/>
          <w:szCs w:val="22"/>
        </w:rPr>
        <w:t xml:space="preserve"> y su difusión podría afectar la esfera privada de las mismas. Por lo tanto, se actualiza la clasificación, de conformidad con la fracción I, del artículo 143 de la Ley de Transparencia y Acceso a la Información Pública del Estado de México y Municipios.</w:t>
      </w:r>
    </w:p>
    <w:p w14:paraId="07E1A805" w14:textId="10E5D622" w:rsidR="00573F7A" w:rsidRPr="005A4A25" w:rsidRDefault="00573F7A" w:rsidP="008B3A20">
      <w:pPr>
        <w:spacing w:line="360" w:lineRule="auto"/>
        <w:contextualSpacing/>
        <w:jc w:val="both"/>
        <w:rPr>
          <w:rFonts w:ascii="Palatino Linotype" w:hAnsi="Palatino Linotype" w:cs="Tahoma"/>
        </w:rPr>
      </w:pPr>
    </w:p>
    <w:p w14:paraId="28A01146" w14:textId="53C06F4D" w:rsidR="00DE7454" w:rsidRDefault="00DE7454" w:rsidP="008B3A20">
      <w:pPr>
        <w:numPr>
          <w:ilvl w:val="0"/>
          <w:numId w:val="13"/>
        </w:numPr>
        <w:spacing w:line="360" w:lineRule="auto"/>
        <w:ind w:right="-93"/>
        <w:contextualSpacing/>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Área o giro económico</w:t>
      </w:r>
    </w:p>
    <w:p w14:paraId="364E408A" w14:textId="77777777" w:rsidR="00DE7454" w:rsidRDefault="00DE7454" w:rsidP="008B3A20">
      <w:pPr>
        <w:spacing w:line="360" w:lineRule="auto"/>
        <w:ind w:right="-93"/>
        <w:contextualSpacing/>
        <w:jc w:val="both"/>
        <w:rPr>
          <w:rFonts w:ascii="Palatino Linotype" w:eastAsia="Calibri" w:hAnsi="Palatino Linotype" w:cs="Tahoma"/>
          <w:b/>
          <w:bCs/>
          <w:sz w:val="22"/>
          <w:szCs w:val="22"/>
          <w:lang w:eastAsia="en-US"/>
        </w:rPr>
      </w:pPr>
    </w:p>
    <w:p w14:paraId="159C755A" w14:textId="0552ABB5" w:rsidR="00DE7454" w:rsidRPr="00DE7454" w:rsidRDefault="00DE7454" w:rsidP="008B3A20">
      <w:pPr>
        <w:spacing w:line="360" w:lineRule="auto"/>
        <w:ind w:right="-93"/>
        <w:contextualSpacing/>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Este dato corresponde a la actividad principal que realiza un establecimiento, el cual se relaciona con el sector en el que opera el negocio y es fundamental para cumplir con los requisitos legales, fiscales, así como, para definir su estrategia comercial y posibles clientes; además, que el dato en cuestión debe estar registrado en el </w:t>
      </w:r>
      <w:r w:rsidRPr="0059139D">
        <w:rPr>
          <w:rFonts w:ascii="Palatino Linotype" w:eastAsia="Calibri" w:hAnsi="Palatino Linotype" w:cs="Tahoma"/>
          <w:bCs/>
          <w:sz w:val="22"/>
          <w:szCs w:val="22"/>
          <w:lang w:eastAsia="en-US"/>
        </w:rPr>
        <w:t xml:space="preserve">Catálogo Mexiquense de </w:t>
      </w:r>
      <w:r w:rsidRPr="0059139D">
        <w:rPr>
          <w:rFonts w:ascii="Palatino Linotype" w:eastAsia="Calibri" w:hAnsi="Palatino Linotype" w:cs="Tahoma"/>
          <w:bCs/>
          <w:sz w:val="22"/>
          <w:szCs w:val="22"/>
          <w:lang w:eastAsia="en-US"/>
        </w:rPr>
        <w:lastRenderedPageBreak/>
        <w:t>Actividades Industriales, Comerciales y de Servicios</w:t>
      </w:r>
      <w:r>
        <w:rPr>
          <w:rFonts w:ascii="Palatino Linotype" w:eastAsia="Calibri" w:hAnsi="Palatino Linotype" w:cs="Tahoma"/>
          <w:bCs/>
          <w:sz w:val="22"/>
          <w:szCs w:val="22"/>
          <w:lang w:eastAsia="en-US"/>
        </w:rPr>
        <w:t>, por lo que, no corresponde a información de las personas, sino que pertenecen al establecimiento económico y su publicidad permite verificar que el negocio realice la actividad autorizada, por lo que, en el presente caso, no actualiza la causal de clasificación establecida en el artículo 143, fracción I, de la Ley de Transparencia y Acceso a la Información Pública del Estado de México y Municipios.</w:t>
      </w:r>
    </w:p>
    <w:p w14:paraId="1E3A1C47" w14:textId="77777777" w:rsidR="00DE7454" w:rsidRDefault="00DE7454" w:rsidP="008B3A20">
      <w:pPr>
        <w:spacing w:line="360" w:lineRule="auto"/>
        <w:ind w:right="-93"/>
        <w:contextualSpacing/>
        <w:jc w:val="both"/>
        <w:rPr>
          <w:rFonts w:ascii="Palatino Linotype" w:eastAsia="Calibri" w:hAnsi="Palatino Linotype" w:cs="Tahoma"/>
          <w:b/>
          <w:bCs/>
          <w:sz w:val="22"/>
          <w:szCs w:val="22"/>
          <w:lang w:eastAsia="en-US"/>
        </w:rPr>
      </w:pPr>
    </w:p>
    <w:p w14:paraId="3E535967" w14:textId="697E2D63" w:rsidR="00DE7454" w:rsidRDefault="00DE7454" w:rsidP="008B3A20">
      <w:pPr>
        <w:numPr>
          <w:ilvl w:val="0"/>
          <w:numId w:val="13"/>
        </w:numPr>
        <w:spacing w:line="360" w:lineRule="auto"/>
        <w:ind w:right="-93"/>
        <w:contextualSpacing/>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Teléfono de establecimiento</w:t>
      </w:r>
    </w:p>
    <w:p w14:paraId="23848186" w14:textId="77777777" w:rsidR="00DE7454" w:rsidRDefault="00DE7454" w:rsidP="008B3A20">
      <w:pPr>
        <w:spacing w:line="360" w:lineRule="auto"/>
        <w:ind w:right="-93"/>
        <w:contextualSpacing/>
        <w:jc w:val="both"/>
        <w:rPr>
          <w:rFonts w:ascii="Palatino Linotype" w:eastAsia="Calibri" w:hAnsi="Palatino Linotype" w:cs="Tahoma"/>
          <w:b/>
          <w:bCs/>
          <w:sz w:val="22"/>
          <w:szCs w:val="22"/>
          <w:lang w:eastAsia="en-US"/>
        </w:rPr>
      </w:pPr>
    </w:p>
    <w:p w14:paraId="4DE2884D" w14:textId="37FFC039" w:rsidR="00DE7454" w:rsidRPr="00DE7454" w:rsidRDefault="00DE7454" w:rsidP="008B3A20">
      <w:pPr>
        <w:spacing w:line="360" w:lineRule="auto"/>
        <w:ind w:right="-93"/>
        <w:contextualSpacing/>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El dato en cuestión corresponde aquel número de contacto que pueden utilizar los clientes o personas interesadas para comunicarse con un establecimiento económico, para realizar consultas, solicitar ventas o informes sobre las actividades que se realizan en el mismo; el cual no corresponde a un número particular, al contrario este es utilizado como medio de comunicación en el establecimiento de manera específica, por lo que, se considera que al no dar a conocer información de la vida privada o íntima de las personas titulares se trata de información que no actualiza la </w:t>
      </w:r>
      <w:r w:rsidRPr="005A4A25">
        <w:rPr>
          <w:rFonts w:ascii="Palatino Linotype" w:hAnsi="Palatino Linotype" w:cs="Tahoma"/>
          <w:sz w:val="22"/>
          <w:szCs w:val="22"/>
        </w:rPr>
        <w:t>fracción I, del artículo 143 de la Ley de Transparencia y Acceso a la Información Pública del Estado de México y Municipios</w:t>
      </w:r>
      <w:r>
        <w:rPr>
          <w:rFonts w:ascii="Palatino Linotype" w:hAnsi="Palatino Linotype" w:cs="Tahoma"/>
          <w:sz w:val="22"/>
          <w:szCs w:val="22"/>
        </w:rPr>
        <w:t>.</w:t>
      </w:r>
    </w:p>
    <w:p w14:paraId="7D490965" w14:textId="77777777" w:rsidR="00DE7454" w:rsidRDefault="00DE7454" w:rsidP="008B3A20">
      <w:pPr>
        <w:spacing w:line="360" w:lineRule="auto"/>
        <w:ind w:left="720" w:right="-93"/>
        <w:contextualSpacing/>
        <w:jc w:val="both"/>
        <w:rPr>
          <w:rFonts w:ascii="Palatino Linotype" w:eastAsia="Calibri" w:hAnsi="Palatino Linotype" w:cs="Tahoma"/>
          <w:b/>
          <w:bCs/>
          <w:sz w:val="22"/>
          <w:szCs w:val="22"/>
          <w:lang w:eastAsia="en-US"/>
        </w:rPr>
      </w:pPr>
    </w:p>
    <w:p w14:paraId="39E6F6A1" w14:textId="02AF717A" w:rsidR="00573F7A" w:rsidRPr="005A4A25" w:rsidRDefault="00573F7A" w:rsidP="008B3A20">
      <w:pPr>
        <w:numPr>
          <w:ilvl w:val="0"/>
          <w:numId w:val="13"/>
        </w:numPr>
        <w:spacing w:line="360" w:lineRule="auto"/>
        <w:ind w:right="-93"/>
        <w:contextualSpacing/>
        <w:jc w:val="both"/>
        <w:rPr>
          <w:rFonts w:ascii="Palatino Linotype" w:eastAsia="Calibri" w:hAnsi="Palatino Linotype" w:cs="Tahoma"/>
          <w:b/>
          <w:bCs/>
          <w:sz w:val="22"/>
          <w:szCs w:val="22"/>
          <w:lang w:eastAsia="en-US"/>
        </w:rPr>
      </w:pPr>
      <w:r w:rsidRPr="005A4A25">
        <w:rPr>
          <w:rFonts w:ascii="Palatino Linotype" w:eastAsia="Calibri" w:hAnsi="Palatino Linotype" w:cs="Tahoma"/>
          <w:b/>
          <w:bCs/>
          <w:sz w:val="22"/>
          <w:szCs w:val="22"/>
          <w:lang w:eastAsia="en-US"/>
        </w:rPr>
        <w:t>Fotografía</w:t>
      </w:r>
    </w:p>
    <w:p w14:paraId="6C90582D" w14:textId="77777777" w:rsidR="00573F7A" w:rsidRPr="005A4A25" w:rsidRDefault="00573F7A" w:rsidP="008B3A20">
      <w:pPr>
        <w:spacing w:line="360" w:lineRule="auto"/>
        <w:ind w:right="-93"/>
        <w:contextualSpacing/>
        <w:jc w:val="both"/>
        <w:rPr>
          <w:rFonts w:ascii="Palatino Linotype" w:eastAsia="Calibri" w:hAnsi="Palatino Linotype" w:cs="Tahoma"/>
          <w:bCs/>
          <w:sz w:val="22"/>
          <w:szCs w:val="22"/>
          <w:lang w:eastAsia="en-US"/>
        </w:rPr>
      </w:pPr>
    </w:p>
    <w:p w14:paraId="7893A071" w14:textId="77777777" w:rsidR="00573F7A" w:rsidRPr="005A4A25" w:rsidRDefault="00573F7A" w:rsidP="008B3A20">
      <w:pPr>
        <w:spacing w:line="360" w:lineRule="auto"/>
        <w:ind w:right="-93"/>
        <w:contextualSpacing/>
        <w:jc w:val="both"/>
        <w:rPr>
          <w:rFonts w:ascii="Palatino Linotype" w:eastAsia="Calibri" w:hAnsi="Palatino Linotype" w:cs="Tahoma"/>
          <w:bCs/>
          <w:sz w:val="22"/>
          <w:szCs w:val="22"/>
          <w:lang w:eastAsia="en-US"/>
        </w:rPr>
      </w:pPr>
      <w:r w:rsidRPr="005A4A25">
        <w:rPr>
          <w:rFonts w:ascii="Palatino Linotype" w:eastAsia="Calibri" w:hAnsi="Palatino Linotype" w:cs="Tahoma"/>
          <w:bCs/>
          <w:sz w:val="22"/>
          <w:szCs w:val="22"/>
          <w:lang w:eastAsia="en-US"/>
        </w:rPr>
        <w:t xml:space="preserve">Por lo que hace a las fotografías, es preciso señalar que estas </w:t>
      </w:r>
      <w:r w:rsidRPr="005A4A25">
        <w:rPr>
          <w:rFonts w:ascii="Palatino Linotype" w:eastAsia="Calibri" w:hAnsi="Palatino Linotype" w:cs="Tahoma"/>
          <w:b/>
          <w:bCs/>
          <w:sz w:val="22"/>
          <w:szCs w:val="22"/>
          <w:lang w:eastAsia="en-US"/>
        </w:rPr>
        <w:t>dan cuenta de las características físicas de los particulares.</w:t>
      </w:r>
      <w:r w:rsidRPr="005A4A25">
        <w:rPr>
          <w:rFonts w:ascii="Palatino Linotype" w:eastAsia="Calibri" w:hAnsi="Palatino Linotype" w:cs="Tahoma"/>
          <w:bCs/>
          <w:sz w:val="22"/>
          <w:szCs w:val="22"/>
          <w:lang w:eastAsia="en-US"/>
        </w:rPr>
        <w:t xml:space="preserve">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27F170B" w14:textId="77777777" w:rsidR="00573F7A" w:rsidRDefault="00573F7A" w:rsidP="008B3A20">
      <w:pPr>
        <w:spacing w:line="360" w:lineRule="auto"/>
        <w:ind w:right="-93"/>
        <w:contextualSpacing/>
        <w:jc w:val="both"/>
        <w:rPr>
          <w:rFonts w:ascii="Palatino Linotype" w:eastAsia="Calibri" w:hAnsi="Palatino Linotype" w:cs="Tahoma"/>
          <w:bCs/>
          <w:sz w:val="22"/>
          <w:szCs w:val="22"/>
          <w:lang w:eastAsia="en-US"/>
        </w:rPr>
      </w:pPr>
    </w:p>
    <w:p w14:paraId="2202D38E" w14:textId="77777777" w:rsidR="008B3A20" w:rsidRDefault="008B3A20" w:rsidP="008B3A20">
      <w:pPr>
        <w:spacing w:line="360" w:lineRule="auto"/>
        <w:ind w:right="-93"/>
        <w:contextualSpacing/>
        <w:jc w:val="both"/>
        <w:rPr>
          <w:rFonts w:ascii="Palatino Linotype" w:eastAsia="Calibri" w:hAnsi="Palatino Linotype" w:cs="Tahoma"/>
          <w:bCs/>
          <w:sz w:val="22"/>
          <w:szCs w:val="22"/>
          <w:lang w:eastAsia="en-US"/>
        </w:rPr>
      </w:pPr>
    </w:p>
    <w:p w14:paraId="3A711CEC" w14:textId="77777777" w:rsidR="008B3A20" w:rsidRPr="005A4A25" w:rsidRDefault="008B3A20" w:rsidP="008B3A20">
      <w:pPr>
        <w:spacing w:line="360" w:lineRule="auto"/>
        <w:ind w:right="-93"/>
        <w:contextualSpacing/>
        <w:jc w:val="both"/>
        <w:rPr>
          <w:rFonts w:ascii="Palatino Linotype" w:eastAsia="Calibri" w:hAnsi="Palatino Linotype" w:cs="Tahoma"/>
          <w:bCs/>
          <w:sz w:val="22"/>
          <w:szCs w:val="22"/>
          <w:lang w:eastAsia="en-US"/>
        </w:rPr>
      </w:pPr>
    </w:p>
    <w:p w14:paraId="70A3F4E8" w14:textId="77777777" w:rsidR="00573F7A" w:rsidRPr="005A4A25" w:rsidRDefault="00573F7A" w:rsidP="008B3A20">
      <w:pPr>
        <w:spacing w:line="360" w:lineRule="auto"/>
        <w:ind w:right="-93"/>
        <w:contextualSpacing/>
        <w:jc w:val="both"/>
        <w:rPr>
          <w:rFonts w:ascii="Palatino Linotype" w:eastAsia="Calibri" w:hAnsi="Palatino Linotype" w:cs="Tahoma"/>
          <w:bCs/>
          <w:sz w:val="22"/>
          <w:szCs w:val="22"/>
          <w:lang w:eastAsia="en-US"/>
        </w:rPr>
      </w:pPr>
      <w:r w:rsidRPr="005A4A25">
        <w:rPr>
          <w:rFonts w:ascii="Palatino Linotype" w:eastAsia="Calibri" w:hAnsi="Palatino Linotype" w:cs="Tahoma"/>
          <w:bCs/>
          <w:sz w:val="22"/>
          <w:szCs w:val="22"/>
          <w:lang w:eastAsia="en-US"/>
        </w:rPr>
        <w:t>De esa forma, el derecho a la imagen como la representación gráfica de la persona y el derecho a la propia imagen como facultad para permitir o impedir su obtención, reproducción, difusión y distribución por parte de un tercero.</w:t>
      </w:r>
    </w:p>
    <w:p w14:paraId="5CF76868" w14:textId="77777777" w:rsidR="00573F7A" w:rsidRPr="005A4A25" w:rsidRDefault="00573F7A" w:rsidP="008B3A20">
      <w:pPr>
        <w:spacing w:line="360" w:lineRule="auto"/>
        <w:ind w:right="-93"/>
        <w:contextualSpacing/>
        <w:jc w:val="both"/>
        <w:rPr>
          <w:rFonts w:ascii="Palatino Linotype" w:eastAsia="Calibri" w:hAnsi="Palatino Linotype" w:cs="Tahoma"/>
          <w:bCs/>
          <w:sz w:val="22"/>
          <w:szCs w:val="22"/>
          <w:lang w:eastAsia="en-US"/>
        </w:rPr>
      </w:pPr>
    </w:p>
    <w:p w14:paraId="1A6D4F00" w14:textId="77777777" w:rsidR="00573F7A" w:rsidRPr="005A4A25" w:rsidRDefault="00573F7A" w:rsidP="008B3A20">
      <w:pPr>
        <w:spacing w:line="360" w:lineRule="auto"/>
        <w:ind w:right="-93"/>
        <w:contextualSpacing/>
        <w:jc w:val="both"/>
        <w:rPr>
          <w:rFonts w:ascii="Palatino Linotype" w:eastAsia="Calibri" w:hAnsi="Palatino Linotype" w:cs="Tahoma"/>
          <w:bCs/>
          <w:sz w:val="22"/>
          <w:szCs w:val="22"/>
          <w:lang w:eastAsia="en-US"/>
        </w:rPr>
      </w:pPr>
      <w:r w:rsidRPr="005A4A25">
        <w:rPr>
          <w:rFonts w:ascii="Palatino Linotype" w:eastAsia="Calibri" w:hAnsi="Palatino Linotype" w:cs="Tahoma"/>
          <w:bCs/>
          <w:sz w:val="22"/>
          <w:szCs w:val="22"/>
          <w:lang w:eastAsia="en-US"/>
        </w:rPr>
        <w:t>Al respecto, el Pleno de la Suprema Corte de Justicia de la Nación se ha pronunciado en el mismo sentido en la siguiente tesis:</w:t>
      </w:r>
    </w:p>
    <w:p w14:paraId="6E7C7815" w14:textId="77777777" w:rsidR="00573F7A" w:rsidRPr="005A4A25" w:rsidRDefault="00573F7A" w:rsidP="008B3A20">
      <w:pPr>
        <w:spacing w:line="360" w:lineRule="auto"/>
        <w:ind w:right="-93"/>
        <w:contextualSpacing/>
        <w:jc w:val="both"/>
        <w:rPr>
          <w:rFonts w:ascii="Palatino Linotype" w:eastAsia="Calibri" w:hAnsi="Palatino Linotype" w:cs="Tahoma"/>
          <w:bCs/>
          <w:sz w:val="22"/>
          <w:szCs w:val="22"/>
          <w:lang w:eastAsia="en-US"/>
        </w:rPr>
      </w:pPr>
    </w:p>
    <w:p w14:paraId="3817A99A" w14:textId="77777777" w:rsidR="00573F7A" w:rsidRPr="005A4A25" w:rsidRDefault="00573F7A" w:rsidP="008B3A20">
      <w:pPr>
        <w:spacing w:line="360" w:lineRule="auto"/>
        <w:ind w:left="567" w:right="567"/>
        <w:contextualSpacing/>
        <w:jc w:val="both"/>
        <w:rPr>
          <w:rFonts w:ascii="Palatino Linotype" w:eastAsia="Calibri" w:hAnsi="Palatino Linotype" w:cs="Tahoma"/>
          <w:bCs/>
          <w:i/>
          <w:lang w:eastAsia="en-US"/>
        </w:rPr>
      </w:pPr>
      <w:r w:rsidRPr="005A4A25">
        <w:rPr>
          <w:rFonts w:ascii="Palatino Linotype" w:eastAsia="Calibri" w:hAnsi="Palatino Linotype" w:cs="Tahoma"/>
          <w:b/>
          <w:bCs/>
          <w:i/>
          <w:lang w:eastAsia="en-US"/>
        </w:rPr>
        <w:t xml:space="preserve">“DERECHOS A LA INTIMIDAD, PROPIA IMAGEN, IDENTIDAD PERSONAL Y SEXUAL. CONSTITUYEN DERECHOS DE DEFENSA Y GARANTÍA ESENCIAL PARA LA CONDICIÓN HUMANA. </w:t>
      </w:r>
      <w:r w:rsidRPr="005A4A25">
        <w:rPr>
          <w:rFonts w:ascii="Palatino Linotype" w:eastAsia="Calibri" w:hAnsi="Palatino Linotype" w:cs="Tahoma"/>
          <w:bCs/>
          <w:i/>
          <w:lang w:eastAsia="en-U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sidRPr="005A4A25">
        <w:rPr>
          <w:rFonts w:ascii="Palatino Linotype" w:eastAsia="Calibri" w:hAnsi="Palatino Linotype" w:cs="Tahoma"/>
          <w:b/>
          <w:bCs/>
          <w:i/>
          <w:lang w:eastAsia="en-US"/>
        </w:rPr>
        <w:t xml:space="preserve">Por consiguiente, al constituir derechos inherentes a la persona, fuera de la injerencia de los demás, se configuran como derechos </w:t>
      </w:r>
      <w:r w:rsidRPr="005A4A25">
        <w:rPr>
          <w:rFonts w:ascii="Palatino Linotype" w:eastAsia="Calibri" w:hAnsi="Palatino Linotype" w:cs="Tahoma"/>
          <w:b/>
          <w:bCs/>
          <w:i/>
          <w:lang w:eastAsia="en-US"/>
        </w:rPr>
        <w:lastRenderedPageBreak/>
        <w:t xml:space="preserve">de defensa y garantía esencial para la condición humana, ya que pueden reclamarse tanto en defensa de la intimidad violada o amenazada, como exigir del Estado que prevenga la existencia de eventuales intromisiones que los lesionen </w:t>
      </w:r>
      <w:r w:rsidRPr="005A4A25">
        <w:rPr>
          <w:rFonts w:ascii="Palatino Linotype" w:eastAsia="Calibri" w:hAnsi="Palatino Linotype" w:cs="Tahoma"/>
          <w:bCs/>
          <w:i/>
          <w:lang w:eastAsia="en-US"/>
        </w:rPr>
        <w:t xml:space="preserve">por lo que, si bien no son absolutos, </w:t>
      </w:r>
      <w:r w:rsidRPr="005A4A25">
        <w:rPr>
          <w:rFonts w:ascii="Palatino Linotype" w:eastAsia="Calibri" w:hAnsi="Palatino Linotype" w:cs="Tahoma"/>
          <w:b/>
          <w:bCs/>
          <w:i/>
          <w:lang w:eastAsia="en-US"/>
        </w:rPr>
        <w:t>sólo por ley podrá justificarse su intromisión, siempre que medie un interés superior</w:t>
      </w:r>
      <w:r w:rsidRPr="005A4A25">
        <w:rPr>
          <w:rFonts w:ascii="Palatino Linotype" w:eastAsia="Calibri" w:hAnsi="Palatino Linotype" w:cs="Tahoma"/>
          <w:bCs/>
          <w:i/>
          <w:lang w:eastAsia="en-US"/>
        </w:rPr>
        <w:t>.”</w:t>
      </w:r>
    </w:p>
    <w:p w14:paraId="7ED2490A" w14:textId="77777777" w:rsidR="00573F7A" w:rsidRPr="005A4A25" w:rsidRDefault="00573F7A" w:rsidP="008B3A20">
      <w:pPr>
        <w:spacing w:line="360" w:lineRule="auto"/>
        <w:ind w:right="-93"/>
        <w:contextualSpacing/>
        <w:jc w:val="both"/>
        <w:rPr>
          <w:rFonts w:ascii="Palatino Linotype" w:eastAsia="Calibri" w:hAnsi="Palatino Linotype" w:cs="Tahoma"/>
          <w:bCs/>
          <w:sz w:val="22"/>
          <w:szCs w:val="22"/>
          <w:lang w:eastAsia="en-US"/>
        </w:rPr>
      </w:pPr>
    </w:p>
    <w:p w14:paraId="64490B80" w14:textId="77777777" w:rsidR="00573F7A" w:rsidRPr="005A4A25" w:rsidRDefault="00573F7A" w:rsidP="008B3A20">
      <w:pPr>
        <w:spacing w:line="360" w:lineRule="auto"/>
        <w:ind w:right="-93"/>
        <w:contextualSpacing/>
        <w:jc w:val="both"/>
        <w:rPr>
          <w:rFonts w:ascii="Palatino Linotype" w:eastAsia="Calibri" w:hAnsi="Palatino Linotype" w:cs="Tahoma"/>
          <w:bCs/>
          <w:sz w:val="22"/>
          <w:szCs w:val="22"/>
          <w:lang w:eastAsia="en-US"/>
        </w:rPr>
      </w:pPr>
      <w:r w:rsidRPr="005A4A25">
        <w:rPr>
          <w:rFonts w:ascii="Palatino Linotype" w:eastAsia="Calibri" w:hAnsi="Palatino Linotype" w:cs="Tahoma"/>
          <w:bCs/>
          <w:sz w:val="22"/>
          <w:szCs w:val="22"/>
          <w:lang w:eastAsia="en-US"/>
        </w:rPr>
        <w:t xml:space="preserve">Así, se advierte que el Máximo Tribunal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14:paraId="614B2BE7" w14:textId="77777777" w:rsidR="00573F7A" w:rsidRPr="005A4A25" w:rsidRDefault="00573F7A" w:rsidP="008B3A20">
      <w:pPr>
        <w:spacing w:line="360" w:lineRule="auto"/>
        <w:ind w:right="-93"/>
        <w:contextualSpacing/>
        <w:jc w:val="both"/>
        <w:rPr>
          <w:rFonts w:ascii="Palatino Linotype" w:eastAsia="Calibri" w:hAnsi="Palatino Linotype" w:cs="Tahoma"/>
          <w:bCs/>
          <w:sz w:val="22"/>
          <w:szCs w:val="22"/>
          <w:lang w:eastAsia="en-US"/>
        </w:rPr>
      </w:pPr>
    </w:p>
    <w:p w14:paraId="1BE0272B" w14:textId="77777777" w:rsidR="00573F7A" w:rsidRPr="005A4A25" w:rsidRDefault="00573F7A" w:rsidP="008B3A20">
      <w:pPr>
        <w:spacing w:line="360" w:lineRule="auto"/>
        <w:ind w:right="-93"/>
        <w:contextualSpacing/>
        <w:jc w:val="both"/>
        <w:rPr>
          <w:rFonts w:ascii="Palatino Linotype" w:eastAsia="Calibri" w:hAnsi="Palatino Linotype" w:cs="Tahoma"/>
          <w:bCs/>
          <w:sz w:val="22"/>
          <w:szCs w:val="22"/>
          <w:lang w:eastAsia="en-US"/>
        </w:rPr>
      </w:pPr>
      <w:r w:rsidRPr="005A4A25">
        <w:rPr>
          <w:rFonts w:ascii="Palatino Linotype" w:eastAsia="Calibri" w:hAnsi="Palatino Linotype" w:cs="Tahoma"/>
          <w:bCs/>
          <w:sz w:val="22"/>
          <w:szCs w:val="22"/>
          <w:lang w:eastAsia="en-US"/>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14:paraId="014B65D5" w14:textId="77777777" w:rsidR="00573F7A" w:rsidRPr="005A4A25" w:rsidRDefault="00573F7A" w:rsidP="008B3A20">
      <w:pPr>
        <w:spacing w:line="360" w:lineRule="auto"/>
        <w:ind w:right="-93"/>
        <w:contextualSpacing/>
        <w:jc w:val="both"/>
        <w:rPr>
          <w:rFonts w:ascii="Palatino Linotype" w:eastAsia="Calibri" w:hAnsi="Palatino Linotype" w:cs="Tahoma"/>
          <w:bCs/>
          <w:sz w:val="22"/>
          <w:szCs w:val="22"/>
          <w:lang w:eastAsia="en-US"/>
        </w:rPr>
      </w:pPr>
    </w:p>
    <w:p w14:paraId="448E3B40" w14:textId="46CED1F9" w:rsidR="00573F7A" w:rsidRPr="005A4A25" w:rsidRDefault="00573F7A" w:rsidP="008B3A20">
      <w:pPr>
        <w:spacing w:line="360" w:lineRule="auto"/>
        <w:ind w:right="-93"/>
        <w:contextualSpacing/>
        <w:jc w:val="both"/>
        <w:rPr>
          <w:rFonts w:ascii="Palatino Linotype" w:eastAsia="Calibri" w:hAnsi="Palatino Linotype" w:cs="Tahoma"/>
          <w:bCs/>
          <w:sz w:val="22"/>
          <w:szCs w:val="22"/>
          <w:lang w:eastAsia="en-US"/>
        </w:rPr>
      </w:pPr>
      <w:r w:rsidRPr="005A4A25">
        <w:rPr>
          <w:rFonts w:ascii="Palatino Linotype" w:eastAsia="Calibri" w:hAnsi="Palatino Linotype" w:cs="Tahoma"/>
          <w:bCs/>
          <w:sz w:val="22"/>
          <w:szCs w:val="22"/>
          <w:lang w:eastAsia="en-US"/>
        </w:rPr>
        <w:t>Por lo tanto, es procedente la clasificación como confidencial de la fotografía localizada en la Cédula de Identificación de Empadronamiento, conforme a lo previsto en el artículo 143, fracción I, de la Ley de Transparencia y Acceso a la Información Pública del Estado de México y Municipios.</w:t>
      </w:r>
    </w:p>
    <w:p w14:paraId="5C548F39" w14:textId="77777777" w:rsidR="00573F7A" w:rsidRPr="005A4A25" w:rsidRDefault="00573F7A" w:rsidP="008B3A20">
      <w:pPr>
        <w:spacing w:line="360" w:lineRule="auto"/>
        <w:contextualSpacing/>
        <w:jc w:val="both"/>
        <w:rPr>
          <w:rFonts w:ascii="Palatino Linotype" w:hAnsi="Palatino Linotype" w:cs="Tahoma"/>
        </w:rPr>
      </w:pPr>
    </w:p>
    <w:p w14:paraId="1B611083" w14:textId="0AF91168" w:rsidR="009D12BC" w:rsidRPr="005A4A25" w:rsidRDefault="00573F7A" w:rsidP="008B3A20">
      <w:pPr>
        <w:spacing w:line="360" w:lineRule="auto"/>
        <w:contextualSpacing/>
        <w:jc w:val="both"/>
        <w:rPr>
          <w:rFonts w:ascii="Palatino Linotype" w:hAnsi="Palatino Linotype" w:cs="Tahoma"/>
          <w:sz w:val="22"/>
          <w:szCs w:val="24"/>
        </w:rPr>
      </w:pPr>
      <w:r w:rsidRPr="005A4A25">
        <w:rPr>
          <w:rFonts w:ascii="Palatino Linotype" w:hAnsi="Palatino Linotype" w:cs="Tahoma"/>
          <w:sz w:val="22"/>
          <w:szCs w:val="24"/>
        </w:rPr>
        <w:t xml:space="preserve">Conforme a lo anterior, se logra vislumbrar que el Sujeto Obligado proporcionó </w:t>
      </w:r>
      <w:r w:rsidR="00DE7454">
        <w:rPr>
          <w:rFonts w:ascii="Palatino Linotype" w:hAnsi="Palatino Linotype" w:cs="Tahoma"/>
          <w:sz w:val="22"/>
          <w:szCs w:val="24"/>
        </w:rPr>
        <w:t>parte de</w:t>
      </w:r>
      <w:r w:rsidRPr="005A4A25">
        <w:rPr>
          <w:rFonts w:ascii="Palatino Linotype" w:hAnsi="Palatino Linotype" w:cs="Tahoma"/>
          <w:sz w:val="22"/>
          <w:szCs w:val="24"/>
        </w:rPr>
        <w:t xml:space="preserve"> </w:t>
      </w:r>
      <w:r w:rsidR="00DE7454">
        <w:rPr>
          <w:rFonts w:ascii="Palatino Linotype" w:hAnsi="Palatino Linotype" w:cs="Tahoma"/>
          <w:sz w:val="22"/>
          <w:szCs w:val="24"/>
        </w:rPr>
        <w:t xml:space="preserve">los </w:t>
      </w:r>
      <w:r w:rsidRPr="005A4A25">
        <w:rPr>
          <w:rFonts w:ascii="Palatino Linotype" w:hAnsi="Palatino Linotype" w:cs="Tahoma"/>
          <w:sz w:val="22"/>
          <w:szCs w:val="24"/>
        </w:rPr>
        <w:t>documento</w:t>
      </w:r>
      <w:r w:rsidR="00DE7454">
        <w:rPr>
          <w:rFonts w:ascii="Palatino Linotype" w:hAnsi="Palatino Linotype" w:cs="Tahoma"/>
          <w:sz w:val="22"/>
          <w:szCs w:val="24"/>
        </w:rPr>
        <w:t>s</w:t>
      </w:r>
      <w:r w:rsidRPr="005A4A25">
        <w:rPr>
          <w:rFonts w:ascii="Palatino Linotype" w:hAnsi="Palatino Linotype" w:cs="Tahoma"/>
          <w:sz w:val="22"/>
          <w:szCs w:val="24"/>
        </w:rPr>
        <w:t xml:space="preserve"> que daba</w:t>
      </w:r>
      <w:r w:rsidR="00DE7454">
        <w:rPr>
          <w:rFonts w:ascii="Palatino Linotype" w:hAnsi="Palatino Linotype" w:cs="Tahoma"/>
          <w:sz w:val="22"/>
          <w:szCs w:val="24"/>
        </w:rPr>
        <w:t>n</w:t>
      </w:r>
      <w:r w:rsidRPr="005A4A25">
        <w:rPr>
          <w:rFonts w:ascii="Palatino Linotype" w:hAnsi="Palatino Linotype" w:cs="Tahoma"/>
          <w:sz w:val="22"/>
          <w:szCs w:val="24"/>
        </w:rPr>
        <w:t xml:space="preserve"> cuenta de lo solicitado, sin </w:t>
      </w:r>
      <w:r w:rsidR="00DE7454" w:rsidRPr="005A4A25">
        <w:rPr>
          <w:rFonts w:ascii="Palatino Linotype" w:hAnsi="Palatino Linotype" w:cs="Tahoma"/>
          <w:sz w:val="22"/>
          <w:szCs w:val="24"/>
        </w:rPr>
        <w:t>embargo,</w:t>
      </w:r>
      <w:r w:rsidRPr="005A4A25">
        <w:rPr>
          <w:rFonts w:ascii="Palatino Linotype" w:hAnsi="Palatino Linotype" w:cs="Tahoma"/>
          <w:sz w:val="22"/>
          <w:szCs w:val="24"/>
        </w:rPr>
        <w:t xml:space="preserve"> clasificó datos de naturaleza pública, concerniente al nombre del titular </w:t>
      </w:r>
      <w:r w:rsidR="005D10E6">
        <w:rPr>
          <w:rFonts w:ascii="Palatino Linotype" w:hAnsi="Palatino Linotype" w:cs="Tahoma"/>
          <w:sz w:val="22"/>
          <w:szCs w:val="24"/>
        </w:rPr>
        <w:t xml:space="preserve">de las licencias (persona física y moral), nombre de </w:t>
      </w:r>
      <w:r w:rsidR="005D10E6">
        <w:rPr>
          <w:rFonts w:ascii="Palatino Linotype" w:hAnsi="Palatino Linotype" w:cs="Tahoma"/>
          <w:sz w:val="22"/>
          <w:szCs w:val="24"/>
        </w:rPr>
        <w:lastRenderedPageBreak/>
        <w:t>representante legal, firma del titular o representante legal, nombre, ubicación, teléfono y área o giro autorizado del establecimiento</w:t>
      </w:r>
      <w:r w:rsidRPr="005A4A25">
        <w:rPr>
          <w:rFonts w:ascii="Palatino Linotype" w:hAnsi="Palatino Linotype" w:cs="Tahoma"/>
          <w:sz w:val="22"/>
          <w:szCs w:val="24"/>
        </w:rPr>
        <w:t>; por lo que, deberá proporcionarlo</w:t>
      </w:r>
      <w:r w:rsidR="005D10E6">
        <w:rPr>
          <w:rFonts w:ascii="Palatino Linotype" w:hAnsi="Palatino Linotype" w:cs="Tahoma"/>
          <w:sz w:val="22"/>
          <w:szCs w:val="24"/>
        </w:rPr>
        <w:t>s</w:t>
      </w:r>
      <w:r w:rsidRPr="005A4A25">
        <w:rPr>
          <w:rFonts w:ascii="Palatino Linotype" w:hAnsi="Palatino Linotype" w:cs="Tahoma"/>
          <w:sz w:val="22"/>
          <w:szCs w:val="24"/>
        </w:rPr>
        <w:t xml:space="preserve"> en </w:t>
      </w:r>
      <w:r w:rsidR="005D10E6">
        <w:rPr>
          <w:rFonts w:ascii="Palatino Linotype" w:hAnsi="Palatino Linotype" w:cs="Tahoma"/>
          <w:sz w:val="22"/>
          <w:szCs w:val="24"/>
        </w:rPr>
        <w:t xml:space="preserve">su caso, en </w:t>
      </w:r>
      <w:r w:rsidRPr="005A4A25">
        <w:rPr>
          <w:rFonts w:ascii="Palatino Linotype" w:hAnsi="Palatino Linotype" w:cs="Tahoma"/>
          <w:sz w:val="22"/>
          <w:szCs w:val="24"/>
        </w:rPr>
        <w:t>versión pública, en donde únicamente podrá testar, en términos del artículo referido en el párrafo anterior, el domicilio particular</w:t>
      </w:r>
      <w:r w:rsidR="005D10E6">
        <w:rPr>
          <w:rFonts w:ascii="Palatino Linotype" w:hAnsi="Palatino Linotype" w:cs="Tahoma"/>
          <w:sz w:val="22"/>
          <w:szCs w:val="24"/>
        </w:rPr>
        <w:t>, el Registro Federal de Contribuyentes de personas físicas y</w:t>
      </w:r>
      <w:r w:rsidRPr="005A4A25">
        <w:rPr>
          <w:rFonts w:ascii="Palatino Linotype" w:hAnsi="Palatino Linotype" w:cs="Tahoma"/>
          <w:sz w:val="22"/>
          <w:szCs w:val="24"/>
        </w:rPr>
        <w:t xml:space="preserve"> la fotografía.</w:t>
      </w:r>
    </w:p>
    <w:p w14:paraId="18153E7C" w14:textId="77777777" w:rsidR="00426ADE" w:rsidRPr="005A4A25" w:rsidRDefault="00426ADE" w:rsidP="008B3A20">
      <w:pPr>
        <w:spacing w:line="360" w:lineRule="auto"/>
        <w:contextualSpacing/>
        <w:jc w:val="both"/>
        <w:rPr>
          <w:rFonts w:ascii="Palatino Linotype" w:hAnsi="Palatino Linotype" w:cs="Tahoma"/>
          <w:bCs/>
          <w:sz w:val="22"/>
          <w:szCs w:val="22"/>
        </w:rPr>
      </w:pPr>
    </w:p>
    <w:p w14:paraId="020AD8CB" w14:textId="77777777" w:rsidR="00426ADE" w:rsidRPr="005A4A25" w:rsidRDefault="00426ADE" w:rsidP="008B3A20">
      <w:pPr>
        <w:spacing w:line="360" w:lineRule="auto"/>
        <w:contextualSpacing/>
        <w:jc w:val="both"/>
        <w:rPr>
          <w:rFonts w:ascii="Palatino Linotype" w:hAnsi="Palatino Linotype" w:cs="Tahoma"/>
          <w:bCs/>
          <w:sz w:val="22"/>
          <w:szCs w:val="22"/>
        </w:rPr>
      </w:pPr>
      <w:r w:rsidRPr="005A4A25">
        <w:rPr>
          <w:rFonts w:ascii="Palatino Linotype" w:hAnsi="Palatino Linotype" w:cs="Tahoma"/>
          <w:bCs/>
          <w:sz w:val="22"/>
          <w:szCs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752B8AA2" w14:textId="77777777" w:rsidR="00426ADE" w:rsidRPr="005A4A25" w:rsidRDefault="00426ADE" w:rsidP="008B3A20">
      <w:pPr>
        <w:spacing w:line="360" w:lineRule="auto"/>
        <w:ind w:right="-28"/>
        <w:contextualSpacing/>
        <w:jc w:val="both"/>
        <w:rPr>
          <w:rFonts w:ascii="Palatino Linotype" w:hAnsi="Palatino Linotype" w:cs="Tahoma"/>
          <w:b/>
          <w:sz w:val="22"/>
          <w:szCs w:val="22"/>
        </w:rPr>
      </w:pPr>
    </w:p>
    <w:p w14:paraId="57876DD1" w14:textId="6A8904AF" w:rsidR="00426ADE" w:rsidRPr="005A4A25" w:rsidRDefault="00426ADE" w:rsidP="0006315D">
      <w:pPr>
        <w:pStyle w:val="Ttulo2"/>
      </w:pPr>
      <w:bookmarkStart w:id="13" w:name="_Toc212129017"/>
      <w:r w:rsidRPr="005A4A25">
        <w:t>SEXTO. Decisión</w:t>
      </w:r>
      <w:bookmarkEnd w:id="13"/>
    </w:p>
    <w:p w14:paraId="6CCC3B73" w14:textId="77777777" w:rsidR="00FA7980" w:rsidRPr="005A4A25" w:rsidRDefault="00FA7980" w:rsidP="008B3A20">
      <w:pPr>
        <w:spacing w:line="360" w:lineRule="auto"/>
        <w:ind w:right="-28"/>
        <w:contextualSpacing/>
        <w:jc w:val="both"/>
        <w:rPr>
          <w:rFonts w:ascii="Palatino Linotype" w:hAnsi="Palatino Linotype" w:cs="Tahoma"/>
          <w:b/>
          <w:sz w:val="22"/>
          <w:szCs w:val="22"/>
        </w:rPr>
      </w:pPr>
    </w:p>
    <w:p w14:paraId="38752084" w14:textId="2B15A2E3" w:rsidR="00426ADE" w:rsidRDefault="00426ADE" w:rsidP="008B3A20">
      <w:pPr>
        <w:spacing w:line="360" w:lineRule="auto"/>
        <w:ind w:right="-28"/>
        <w:contextualSpacing/>
        <w:jc w:val="both"/>
        <w:rPr>
          <w:rFonts w:ascii="Palatino Linotype" w:hAnsi="Palatino Linotype" w:cs="Tahoma"/>
          <w:color w:val="0D0D0D" w:themeColor="text1" w:themeTint="F2"/>
          <w:sz w:val="22"/>
          <w:szCs w:val="22"/>
        </w:rPr>
      </w:pPr>
      <w:r w:rsidRPr="005A4A25">
        <w:rPr>
          <w:rFonts w:ascii="Palatino Linotype" w:hAnsi="Palatino Linotype" w:cs="Arial"/>
          <w:sz w:val="22"/>
          <w:szCs w:val="22"/>
        </w:rPr>
        <w:t>C</w:t>
      </w:r>
      <w:r w:rsidRPr="005A4A25">
        <w:rPr>
          <w:rFonts w:ascii="Palatino Linotype" w:hAnsi="Palatino Linotype" w:cs="Tahoma"/>
          <w:sz w:val="22"/>
          <w:szCs w:val="22"/>
        </w:rPr>
        <w:t xml:space="preserve">on fundamento en el artículo 186, fracción III, de la Ley de Transparencia y Acceso a la Información Pública del Estado de México y Municipios, este Instituto considera procedente </w:t>
      </w:r>
      <w:r w:rsidR="00FA7980" w:rsidRPr="005A4A25">
        <w:rPr>
          <w:rFonts w:ascii="Palatino Linotype" w:hAnsi="Palatino Linotype" w:cs="Tahoma"/>
          <w:b/>
          <w:sz w:val="22"/>
          <w:szCs w:val="22"/>
        </w:rPr>
        <w:t>MODIFI</w:t>
      </w:r>
      <w:r w:rsidRPr="005A4A25">
        <w:rPr>
          <w:rFonts w:ascii="Palatino Linotype" w:hAnsi="Palatino Linotype" w:cs="Tahoma"/>
          <w:b/>
          <w:sz w:val="22"/>
          <w:szCs w:val="22"/>
        </w:rPr>
        <w:t>CAR</w:t>
      </w:r>
      <w:r w:rsidRPr="005A4A25">
        <w:rPr>
          <w:rFonts w:ascii="Palatino Linotype" w:hAnsi="Palatino Linotype" w:cs="Tahoma"/>
          <w:sz w:val="22"/>
          <w:szCs w:val="22"/>
        </w:rPr>
        <w:t xml:space="preserve"> la respuesta otorgada a la solicitud de información </w:t>
      </w:r>
      <w:r w:rsidR="005A4A25" w:rsidRPr="005A4A25">
        <w:rPr>
          <w:rFonts w:ascii="Palatino Linotype" w:hAnsi="Palatino Linotype"/>
          <w:color w:val="000000" w:themeColor="text1"/>
          <w:sz w:val="22"/>
          <w:szCs w:val="22"/>
        </w:rPr>
        <w:t>00091/VACHASO/IP/2025</w:t>
      </w:r>
      <w:r w:rsidRPr="005A4A25">
        <w:rPr>
          <w:rFonts w:ascii="Palatino Linotype" w:hAnsi="Palatino Linotype" w:cs="Tahoma"/>
          <w:bCs/>
          <w:sz w:val="22"/>
          <w:szCs w:val="22"/>
        </w:rPr>
        <w:t xml:space="preserve">, a efecto de que </w:t>
      </w:r>
      <w:r w:rsidR="00573F7A" w:rsidRPr="005A4A25">
        <w:rPr>
          <w:rFonts w:ascii="Palatino Linotype" w:hAnsi="Palatino Linotype" w:cs="Tahoma"/>
          <w:bCs/>
          <w:sz w:val="22"/>
          <w:szCs w:val="22"/>
        </w:rPr>
        <w:t>entregue</w:t>
      </w:r>
      <w:bookmarkStart w:id="14" w:name="_Hlk130405429"/>
      <w:r w:rsidR="005D10E6">
        <w:rPr>
          <w:rFonts w:ascii="Palatino Linotype" w:hAnsi="Palatino Linotype" w:cs="Tahoma"/>
          <w:color w:val="0D0D0D" w:themeColor="text1" w:themeTint="F2"/>
          <w:sz w:val="22"/>
          <w:szCs w:val="22"/>
        </w:rPr>
        <w:t xml:space="preserve"> las licencias de funcionamiento faltantes y las entregadas en Informe Justificado.</w:t>
      </w:r>
    </w:p>
    <w:p w14:paraId="1ADA37D0" w14:textId="77777777" w:rsidR="005D10E6" w:rsidRDefault="005D10E6" w:rsidP="008B3A20">
      <w:pPr>
        <w:spacing w:line="360" w:lineRule="auto"/>
        <w:ind w:right="-28"/>
        <w:contextualSpacing/>
        <w:jc w:val="both"/>
        <w:rPr>
          <w:rFonts w:ascii="Palatino Linotype" w:hAnsi="Palatino Linotype" w:cs="Tahoma"/>
          <w:color w:val="0D0D0D" w:themeColor="text1" w:themeTint="F2"/>
          <w:sz w:val="22"/>
          <w:szCs w:val="22"/>
        </w:rPr>
      </w:pPr>
    </w:p>
    <w:p w14:paraId="33E8382D" w14:textId="25859607" w:rsidR="005D10E6" w:rsidRPr="005D10E6" w:rsidRDefault="005D10E6" w:rsidP="0006315D">
      <w:pPr>
        <w:pStyle w:val="Ttulo2"/>
        <w:rPr>
          <w:rFonts w:eastAsia="Yu Gothic Light"/>
        </w:rPr>
      </w:pPr>
      <w:bookmarkStart w:id="15" w:name="_Toc210734111"/>
      <w:bookmarkStart w:id="16" w:name="_Toc212129018"/>
      <w:r w:rsidRPr="005D10E6">
        <w:rPr>
          <w:rFonts w:eastAsia="Yu Gothic Light"/>
        </w:rPr>
        <w:t>SÉPTIMO. Vista a la Secretaría</w:t>
      </w:r>
      <w:r w:rsidRPr="005D10E6">
        <w:rPr>
          <w:rFonts w:eastAsia="Yu Gothic Light"/>
          <w:lang w:val="x-none"/>
        </w:rPr>
        <w:t xml:space="preserve"> Técnica del </w:t>
      </w:r>
      <w:r w:rsidRPr="005D10E6">
        <w:rPr>
          <w:rFonts w:eastAsia="Yu Gothic Light"/>
        </w:rPr>
        <w:t>Pleno</w:t>
      </w:r>
      <w:bookmarkEnd w:id="15"/>
      <w:bookmarkEnd w:id="16"/>
    </w:p>
    <w:p w14:paraId="6EBFDD87" w14:textId="77777777" w:rsidR="005D10E6" w:rsidRPr="005D10E6" w:rsidRDefault="005D10E6" w:rsidP="008B3A20">
      <w:pPr>
        <w:spacing w:line="360" w:lineRule="auto"/>
        <w:jc w:val="both"/>
        <w:rPr>
          <w:rFonts w:ascii="Palatino Linotype" w:hAnsi="Palatino Linotype" w:cs="Tahoma"/>
          <w:bCs/>
          <w:sz w:val="22"/>
          <w:szCs w:val="22"/>
        </w:rPr>
      </w:pPr>
    </w:p>
    <w:p w14:paraId="6BC4B626" w14:textId="77777777" w:rsidR="008B3A20" w:rsidRDefault="005D10E6" w:rsidP="008B3A20">
      <w:pPr>
        <w:spacing w:line="360" w:lineRule="auto"/>
        <w:ind w:right="-93"/>
        <w:jc w:val="both"/>
        <w:rPr>
          <w:rFonts w:ascii="Palatino Linotype" w:hAnsi="Palatino Linotype" w:cs="Tahoma"/>
          <w:sz w:val="22"/>
          <w:szCs w:val="22"/>
        </w:rPr>
      </w:pPr>
      <w:r w:rsidRPr="005D10E6">
        <w:rPr>
          <w:rFonts w:ascii="Palatino Linotype" w:hAnsi="Palatino Linotype" w:cs="Tahoma"/>
          <w:sz w:val="22"/>
          <w:szCs w:val="22"/>
        </w:rPr>
        <w:t xml:space="preserve">En el caso en estudio, como ha quedado señalado que el </w:t>
      </w:r>
      <w:r w:rsidRPr="005D10E6">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 xml:space="preserve">Valle de Chalco Solidaridad </w:t>
      </w:r>
      <w:r w:rsidRPr="005D10E6">
        <w:rPr>
          <w:rFonts w:ascii="Palatino Linotype" w:hAnsi="Palatino Linotype" w:cs="Tahoma"/>
          <w:sz w:val="22"/>
          <w:szCs w:val="22"/>
        </w:rPr>
        <w:t xml:space="preserve">omitió dar respuesta en el plazo señalado en el artículo 163 de la Ley de Transparencia y Acceso a la Información Pública del Estado de México y Municipios. </w:t>
      </w:r>
    </w:p>
    <w:p w14:paraId="594B4C17" w14:textId="77777777" w:rsidR="008B3A20" w:rsidRDefault="008B3A20" w:rsidP="008B3A20">
      <w:pPr>
        <w:spacing w:line="360" w:lineRule="auto"/>
        <w:ind w:right="-93"/>
        <w:jc w:val="both"/>
        <w:rPr>
          <w:rFonts w:ascii="Palatino Linotype" w:hAnsi="Palatino Linotype" w:cs="Tahoma"/>
          <w:sz w:val="22"/>
          <w:szCs w:val="22"/>
        </w:rPr>
      </w:pPr>
    </w:p>
    <w:p w14:paraId="51A27350" w14:textId="748CD16E" w:rsidR="005D10E6" w:rsidRPr="005D10E6" w:rsidRDefault="005D10E6" w:rsidP="008B3A20">
      <w:pPr>
        <w:spacing w:line="360" w:lineRule="auto"/>
        <w:ind w:right="-93"/>
        <w:jc w:val="both"/>
        <w:rPr>
          <w:rFonts w:ascii="Palatino Linotype" w:hAnsi="Palatino Linotype" w:cs="Tahoma"/>
          <w:b/>
          <w:sz w:val="22"/>
          <w:szCs w:val="22"/>
        </w:rPr>
      </w:pPr>
      <w:r w:rsidRPr="005D10E6">
        <w:rPr>
          <w:rFonts w:ascii="Palatino Linotype" w:hAnsi="Palatino Linotype" w:cs="Tahoma"/>
          <w:sz w:val="22"/>
          <w:szCs w:val="22"/>
        </w:rPr>
        <w:lastRenderedPageBreak/>
        <w:t>Al respecto, el artículo 36, fracción X, del ordenamiento jurídico en cita, establece que es atribución de este Instituto hacer del conocimiento del Órgano Interno de Control o equivalente de cada Sujeto Obligado las infracciones a esta Ley.</w:t>
      </w:r>
      <w:r w:rsidRPr="005D10E6">
        <w:rPr>
          <w:rFonts w:ascii="Palatino Linotype" w:eastAsia="Calibri" w:hAnsi="Palatino Linotype" w:cs="Tahoma"/>
          <w:bCs/>
          <w:sz w:val="22"/>
          <w:szCs w:val="22"/>
          <w:lang w:eastAsia="en-US"/>
        </w:rPr>
        <w:t xml:space="preserve"> </w:t>
      </w:r>
    </w:p>
    <w:p w14:paraId="602E93DC" w14:textId="77777777" w:rsidR="005D10E6" w:rsidRPr="005D10E6" w:rsidRDefault="005D10E6" w:rsidP="008B3A20">
      <w:pPr>
        <w:spacing w:line="360" w:lineRule="auto"/>
        <w:ind w:right="-93"/>
        <w:jc w:val="both"/>
        <w:rPr>
          <w:rFonts w:ascii="Palatino Linotype" w:eastAsia="Calibri" w:hAnsi="Palatino Linotype" w:cs="Tahoma"/>
          <w:bCs/>
          <w:sz w:val="22"/>
          <w:szCs w:val="22"/>
          <w:lang w:eastAsia="en-US"/>
        </w:rPr>
      </w:pPr>
    </w:p>
    <w:p w14:paraId="75EB49EB" w14:textId="77777777" w:rsidR="005D10E6" w:rsidRPr="005D10E6" w:rsidRDefault="005D10E6" w:rsidP="008B3A20">
      <w:pPr>
        <w:spacing w:line="360" w:lineRule="auto"/>
        <w:ind w:right="-93"/>
        <w:jc w:val="both"/>
        <w:rPr>
          <w:rFonts w:ascii="Palatino Linotype" w:eastAsia="Calibri" w:hAnsi="Palatino Linotype" w:cs="Tahoma"/>
          <w:bCs/>
          <w:sz w:val="22"/>
          <w:szCs w:val="22"/>
          <w:lang w:eastAsia="en-US"/>
        </w:rPr>
      </w:pPr>
      <w:r w:rsidRPr="005D10E6">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5E7FA4E5" w14:textId="77777777" w:rsidR="005D10E6" w:rsidRPr="005D10E6" w:rsidRDefault="005D10E6" w:rsidP="008B3A20">
      <w:pPr>
        <w:spacing w:line="360" w:lineRule="auto"/>
        <w:ind w:right="-93"/>
        <w:jc w:val="both"/>
        <w:rPr>
          <w:rFonts w:ascii="Palatino Linotype" w:eastAsia="Calibri" w:hAnsi="Palatino Linotype" w:cs="Tahoma"/>
          <w:bCs/>
          <w:sz w:val="22"/>
          <w:szCs w:val="22"/>
          <w:lang w:eastAsia="en-US"/>
        </w:rPr>
      </w:pPr>
    </w:p>
    <w:p w14:paraId="61E5CE04" w14:textId="77777777" w:rsidR="005D10E6" w:rsidRPr="005D10E6" w:rsidRDefault="005D10E6" w:rsidP="008B3A20">
      <w:pPr>
        <w:spacing w:line="360" w:lineRule="auto"/>
        <w:ind w:right="-93"/>
        <w:jc w:val="both"/>
        <w:rPr>
          <w:rFonts w:ascii="Palatino Linotype" w:eastAsia="Calibri" w:hAnsi="Palatino Linotype" w:cs="Tahoma"/>
          <w:bCs/>
          <w:sz w:val="22"/>
          <w:szCs w:val="22"/>
          <w:lang w:eastAsia="en-US"/>
        </w:rPr>
      </w:pPr>
      <w:r w:rsidRPr="005D10E6">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481D4DB6" w14:textId="77777777" w:rsidR="005D10E6" w:rsidRPr="005D10E6" w:rsidRDefault="005D10E6" w:rsidP="008B3A20">
      <w:pPr>
        <w:spacing w:line="360" w:lineRule="auto"/>
        <w:ind w:right="-93"/>
        <w:jc w:val="both"/>
        <w:rPr>
          <w:rFonts w:ascii="Palatino Linotype" w:eastAsia="Calibri" w:hAnsi="Palatino Linotype" w:cs="Tahoma"/>
          <w:bCs/>
          <w:sz w:val="22"/>
          <w:szCs w:val="22"/>
          <w:lang w:eastAsia="en-US"/>
        </w:rPr>
      </w:pPr>
    </w:p>
    <w:p w14:paraId="273B2C4A" w14:textId="77777777" w:rsidR="005D10E6" w:rsidRPr="005D10E6" w:rsidRDefault="005D10E6" w:rsidP="008B3A20">
      <w:pPr>
        <w:spacing w:line="360" w:lineRule="auto"/>
        <w:ind w:right="-93"/>
        <w:jc w:val="both"/>
        <w:rPr>
          <w:rFonts w:ascii="Palatino Linotype" w:eastAsia="Calibri" w:hAnsi="Palatino Linotype" w:cs="Tahoma"/>
          <w:bCs/>
          <w:sz w:val="22"/>
          <w:szCs w:val="22"/>
          <w:lang w:eastAsia="en-US"/>
        </w:rPr>
      </w:pPr>
      <w:r w:rsidRPr="005D10E6">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241EDF50" w14:textId="77777777" w:rsidR="005D10E6" w:rsidRPr="005D10E6" w:rsidRDefault="005D10E6" w:rsidP="008B3A20">
      <w:pPr>
        <w:spacing w:line="360" w:lineRule="auto"/>
        <w:ind w:right="-93"/>
        <w:jc w:val="both"/>
        <w:rPr>
          <w:rFonts w:ascii="Palatino Linotype" w:eastAsia="Calibri" w:hAnsi="Palatino Linotype" w:cs="Tahoma"/>
          <w:bCs/>
          <w:sz w:val="22"/>
          <w:szCs w:val="22"/>
          <w:lang w:eastAsia="en-US"/>
        </w:rPr>
      </w:pPr>
    </w:p>
    <w:p w14:paraId="4F69BE07" w14:textId="77777777" w:rsidR="005D10E6" w:rsidRPr="005D10E6" w:rsidRDefault="005D10E6" w:rsidP="008B3A20">
      <w:pPr>
        <w:spacing w:line="360" w:lineRule="auto"/>
        <w:ind w:right="-93"/>
        <w:jc w:val="both"/>
        <w:rPr>
          <w:rFonts w:ascii="Palatino Linotype" w:eastAsia="Calibri" w:hAnsi="Palatino Linotype" w:cs="Tahoma"/>
          <w:bCs/>
          <w:sz w:val="22"/>
          <w:szCs w:val="22"/>
          <w:lang w:eastAsia="en-US"/>
        </w:rPr>
      </w:pPr>
      <w:r w:rsidRPr="005D10E6">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5D10E6">
        <w:rPr>
          <w:rFonts w:ascii="Palatino Linotype" w:eastAsia="Calibri" w:hAnsi="Palatino Linotype" w:cs="Tahoma"/>
          <w:bCs/>
          <w:sz w:val="22"/>
          <w:szCs w:val="22"/>
          <w:lang w:val="es-ES_tradnl" w:eastAsia="en-US"/>
        </w:rPr>
        <w:t>a la Secretaría Técnica de este Instituto</w:t>
      </w:r>
      <w:r w:rsidRPr="005D10E6">
        <w:rPr>
          <w:rFonts w:ascii="Palatino Linotype" w:eastAsia="Calibri" w:hAnsi="Palatino Linotype" w:cs="Tahoma"/>
          <w:bCs/>
          <w:sz w:val="22"/>
          <w:szCs w:val="22"/>
          <w:lang w:eastAsia="en-US"/>
        </w:rPr>
        <w:t>, para que realice lo conducente.</w:t>
      </w:r>
    </w:p>
    <w:bookmarkEnd w:id="14"/>
    <w:p w14:paraId="006D3BB1" w14:textId="77777777" w:rsidR="00426ADE" w:rsidRDefault="00426ADE" w:rsidP="008B3A20">
      <w:pPr>
        <w:spacing w:line="360" w:lineRule="auto"/>
        <w:ind w:right="-93"/>
        <w:contextualSpacing/>
        <w:jc w:val="both"/>
        <w:rPr>
          <w:rFonts w:ascii="Palatino Linotype" w:hAnsi="Palatino Linotype" w:cs="Tahoma"/>
          <w:bCs/>
          <w:sz w:val="22"/>
          <w:szCs w:val="22"/>
        </w:rPr>
      </w:pPr>
    </w:p>
    <w:p w14:paraId="083E18A9" w14:textId="77777777" w:rsidR="008B3A20" w:rsidRDefault="008B3A20" w:rsidP="008B3A20">
      <w:pPr>
        <w:spacing w:line="360" w:lineRule="auto"/>
        <w:ind w:right="-93"/>
        <w:contextualSpacing/>
        <w:jc w:val="both"/>
        <w:rPr>
          <w:rFonts w:ascii="Palatino Linotype" w:hAnsi="Palatino Linotype" w:cs="Tahoma"/>
          <w:bCs/>
          <w:sz w:val="22"/>
          <w:szCs w:val="22"/>
        </w:rPr>
      </w:pPr>
    </w:p>
    <w:p w14:paraId="554A0375" w14:textId="77777777" w:rsidR="008B3A20" w:rsidRPr="005A4A25" w:rsidRDefault="008B3A20" w:rsidP="008B3A20">
      <w:pPr>
        <w:spacing w:line="360" w:lineRule="auto"/>
        <w:ind w:right="-93"/>
        <w:contextualSpacing/>
        <w:jc w:val="both"/>
        <w:rPr>
          <w:rFonts w:ascii="Palatino Linotype" w:hAnsi="Palatino Linotype" w:cs="Tahoma"/>
          <w:bCs/>
          <w:sz w:val="22"/>
          <w:szCs w:val="22"/>
        </w:rPr>
      </w:pPr>
    </w:p>
    <w:p w14:paraId="799794EB" w14:textId="2DDACF8B" w:rsidR="00426ADE" w:rsidRDefault="00426ADE" w:rsidP="008B3A20">
      <w:pPr>
        <w:autoSpaceDE w:val="0"/>
        <w:autoSpaceDN w:val="0"/>
        <w:adjustRightInd w:val="0"/>
        <w:spacing w:line="360" w:lineRule="auto"/>
        <w:contextualSpacing/>
        <w:jc w:val="both"/>
        <w:rPr>
          <w:rFonts w:ascii="Palatino Linotype" w:eastAsia="Calibri" w:hAnsi="Palatino Linotype" w:cs="Tahoma"/>
          <w:b/>
          <w:bCs/>
          <w:iCs/>
          <w:sz w:val="22"/>
          <w:szCs w:val="22"/>
          <w:lang w:eastAsia="en-US"/>
        </w:rPr>
      </w:pPr>
      <w:r w:rsidRPr="005A4A25">
        <w:rPr>
          <w:rFonts w:ascii="Palatino Linotype" w:eastAsia="Calibri" w:hAnsi="Palatino Linotype" w:cs="Tahoma"/>
          <w:b/>
          <w:bCs/>
          <w:iCs/>
          <w:sz w:val="22"/>
          <w:szCs w:val="22"/>
          <w:lang w:eastAsia="en-US"/>
        </w:rPr>
        <w:t>Términos de la Resolución para conocimiento del Particular</w:t>
      </w:r>
    </w:p>
    <w:p w14:paraId="53A64CBD" w14:textId="77777777" w:rsidR="008B3A20" w:rsidRPr="005A4A25" w:rsidRDefault="008B3A20" w:rsidP="008B3A20">
      <w:pPr>
        <w:autoSpaceDE w:val="0"/>
        <w:autoSpaceDN w:val="0"/>
        <w:adjustRightInd w:val="0"/>
        <w:spacing w:line="360" w:lineRule="auto"/>
        <w:contextualSpacing/>
        <w:jc w:val="both"/>
        <w:rPr>
          <w:rFonts w:ascii="Palatino Linotype" w:eastAsia="Calibri" w:hAnsi="Palatino Linotype" w:cs="Tahoma"/>
          <w:b/>
          <w:bCs/>
          <w:iCs/>
          <w:sz w:val="22"/>
          <w:szCs w:val="22"/>
          <w:lang w:eastAsia="en-US"/>
        </w:rPr>
      </w:pPr>
    </w:p>
    <w:p w14:paraId="37FEECAF" w14:textId="39A8FF40" w:rsidR="005D10E6" w:rsidRDefault="00426ADE" w:rsidP="008B3A20">
      <w:pPr>
        <w:autoSpaceDE w:val="0"/>
        <w:autoSpaceDN w:val="0"/>
        <w:adjustRightInd w:val="0"/>
        <w:spacing w:line="360" w:lineRule="auto"/>
        <w:contextualSpacing/>
        <w:jc w:val="both"/>
        <w:rPr>
          <w:rFonts w:ascii="Palatino Linotype" w:eastAsia="Calibri" w:hAnsi="Palatino Linotype" w:cs="Tahoma"/>
          <w:bCs/>
          <w:sz w:val="22"/>
          <w:szCs w:val="22"/>
          <w:lang w:eastAsia="en-US"/>
        </w:rPr>
      </w:pPr>
      <w:r w:rsidRPr="005A4A25">
        <w:rPr>
          <w:rFonts w:ascii="Palatino Linotype" w:eastAsia="Calibri" w:hAnsi="Palatino Linotype" w:cs="Tahoma"/>
          <w:bCs/>
          <w:sz w:val="22"/>
          <w:szCs w:val="22"/>
          <w:lang w:eastAsia="en-US"/>
        </w:rPr>
        <w:t xml:space="preserve">Se le hace del conocimiento al ahora Recurrente, que, en el presente caso, se le da </w:t>
      </w:r>
      <w:r w:rsidR="00573F7A" w:rsidRPr="005A4A25">
        <w:rPr>
          <w:rFonts w:ascii="Palatino Linotype" w:eastAsia="Calibri" w:hAnsi="Palatino Linotype" w:cs="Tahoma"/>
          <w:bCs/>
          <w:sz w:val="22"/>
          <w:szCs w:val="22"/>
          <w:lang w:eastAsia="en-US"/>
        </w:rPr>
        <w:t xml:space="preserve">la razón, </w:t>
      </w:r>
      <w:r w:rsidR="005D10E6">
        <w:rPr>
          <w:rFonts w:ascii="Palatino Linotype" w:eastAsia="Calibri" w:hAnsi="Palatino Linotype" w:cs="Tahoma"/>
          <w:bCs/>
          <w:sz w:val="22"/>
          <w:szCs w:val="22"/>
          <w:lang w:eastAsia="en-US"/>
        </w:rPr>
        <w:t xml:space="preserve">pues en un principio el Sujeto Obligado omitió dar respuesta y si bien, en Informe Justificado entregó parte de la información solicitada, lo cierto es que la proporcionó de manera incompleta y testando datos de naturaleza pública, por lo que, deberá entregar lo faltante y lo entregado en informe de manera correcta. </w:t>
      </w:r>
    </w:p>
    <w:p w14:paraId="020B83A3" w14:textId="77777777" w:rsidR="005D10E6" w:rsidRDefault="005D10E6" w:rsidP="008B3A20">
      <w:pPr>
        <w:autoSpaceDE w:val="0"/>
        <w:autoSpaceDN w:val="0"/>
        <w:adjustRightInd w:val="0"/>
        <w:spacing w:line="360" w:lineRule="auto"/>
        <w:contextualSpacing/>
        <w:jc w:val="both"/>
        <w:rPr>
          <w:rFonts w:ascii="Palatino Linotype" w:eastAsia="Calibri" w:hAnsi="Palatino Linotype" w:cs="Tahoma"/>
          <w:bCs/>
          <w:sz w:val="22"/>
          <w:szCs w:val="22"/>
          <w:lang w:eastAsia="en-US"/>
        </w:rPr>
      </w:pPr>
    </w:p>
    <w:p w14:paraId="76905694" w14:textId="49CABEEE" w:rsidR="00426ADE" w:rsidRPr="005A4A25" w:rsidRDefault="00426ADE" w:rsidP="008B3A20">
      <w:pPr>
        <w:autoSpaceDE w:val="0"/>
        <w:autoSpaceDN w:val="0"/>
        <w:adjustRightInd w:val="0"/>
        <w:spacing w:line="360" w:lineRule="auto"/>
        <w:contextualSpacing/>
        <w:jc w:val="both"/>
        <w:rPr>
          <w:rFonts w:ascii="Palatino Linotype" w:eastAsia="Calibri" w:hAnsi="Palatino Linotype" w:cs="Tahoma"/>
          <w:bCs/>
          <w:sz w:val="22"/>
          <w:szCs w:val="22"/>
          <w:lang w:eastAsia="en-US"/>
        </w:rPr>
      </w:pPr>
      <w:r w:rsidRPr="005A4A25">
        <w:rPr>
          <w:rFonts w:ascii="Palatino Linotype" w:eastAsia="Calibri" w:hAnsi="Palatino Linotype" w:cs="Tahoma"/>
          <w:bCs/>
          <w:iCs/>
          <w:sz w:val="22"/>
          <w:szCs w:val="22"/>
          <w:lang w:eastAsia="en-US"/>
        </w:rPr>
        <w:t>Finalmente, se le informa que la labor del Instituto de Transparencia, Acceso a la Información Pública y Protección de Datos Personales del Estado de México y Municipios, por una parte, es apoyar a la población a acceder a la información pública y, por otra parte, garantizar la protección de los datos personales.</w:t>
      </w:r>
    </w:p>
    <w:p w14:paraId="0C4550C2" w14:textId="77777777" w:rsidR="00426ADE" w:rsidRPr="005A4A25" w:rsidRDefault="00426ADE" w:rsidP="008B3A20">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p>
    <w:p w14:paraId="5A37CBC3" w14:textId="77777777" w:rsidR="00426ADE" w:rsidRPr="005A4A25" w:rsidRDefault="00426ADE" w:rsidP="008B3A20">
      <w:pPr>
        <w:autoSpaceDE w:val="0"/>
        <w:autoSpaceDN w:val="0"/>
        <w:adjustRightInd w:val="0"/>
        <w:spacing w:line="360" w:lineRule="auto"/>
        <w:contextualSpacing/>
        <w:jc w:val="both"/>
        <w:rPr>
          <w:rFonts w:ascii="Palatino Linotype" w:eastAsia="Calibri" w:hAnsi="Palatino Linotype" w:cs="Tahoma"/>
          <w:bCs/>
          <w:iCs/>
          <w:sz w:val="22"/>
          <w:szCs w:val="22"/>
          <w:lang w:eastAsia="en-US"/>
        </w:rPr>
      </w:pPr>
      <w:r w:rsidRPr="005A4A25">
        <w:rPr>
          <w:rFonts w:ascii="Palatino Linotype" w:eastAsia="Calibri" w:hAnsi="Palatino Linotype" w:cs="Tahoma"/>
          <w:bCs/>
          <w:iCs/>
          <w:sz w:val="22"/>
          <w:szCs w:val="22"/>
          <w:lang w:eastAsia="en-US"/>
        </w:rPr>
        <w:t>Por lo expuesto y fundado, este Pleno:</w:t>
      </w:r>
    </w:p>
    <w:p w14:paraId="2990D4E7" w14:textId="77777777" w:rsidR="00426ADE" w:rsidRPr="005A4A25" w:rsidRDefault="00426ADE" w:rsidP="008B3A20">
      <w:pPr>
        <w:spacing w:line="360" w:lineRule="auto"/>
        <w:ind w:right="-28"/>
        <w:contextualSpacing/>
        <w:jc w:val="both"/>
        <w:rPr>
          <w:rFonts w:ascii="Palatino Linotype" w:eastAsia="Calibri" w:hAnsi="Palatino Linotype" w:cs="Tahoma"/>
          <w:bCs/>
          <w:sz w:val="22"/>
          <w:szCs w:val="22"/>
          <w:lang w:eastAsia="en-US"/>
        </w:rPr>
      </w:pPr>
    </w:p>
    <w:p w14:paraId="34446C53" w14:textId="77777777" w:rsidR="00426ADE" w:rsidRPr="005A4A25" w:rsidRDefault="00426ADE" w:rsidP="0006315D">
      <w:pPr>
        <w:pStyle w:val="Ttulo1"/>
        <w:rPr>
          <w:rFonts w:eastAsia="Calibri"/>
          <w:lang w:eastAsia="en-US"/>
        </w:rPr>
      </w:pPr>
      <w:bookmarkStart w:id="17" w:name="_Toc212129019"/>
      <w:r w:rsidRPr="005A4A25">
        <w:rPr>
          <w:rFonts w:eastAsia="Calibri"/>
          <w:lang w:eastAsia="en-US"/>
        </w:rPr>
        <w:t>R E S U E L V E</w:t>
      </w:r>
      <w:bookmarkEnd w:id="17"/>
    </w:p>
    <w:p w14:paraId="45A698F1" w14:textId="77777777" w:rsidR="005D10E6" w:rsidRPr="0006315D" w:rsidRDefault="005D10E6" w:rsidP="008B3A20">
      <w:pPr>
        <w:spacing w:line="360" w:lineRule="auto"/>
        <w:jc w:val="both"/>
        <w:rPr>
          <w:rFonts w:ascii="Palatino Linotype" w:hAnsi="Palatino Linotype" w:cs="Tahoma"/>
          <w:b/>
          <w:bCs/>
          <w:iCs/>
          <w:sz w:val="24"/>
          <w:szCs w:val="24"/>
        </w:rPr>
      </w:pPr>
    </w:p>
    <w:p w14:paraId="10B2F90C" w14:textId="4F867C26" w:rsidR="005D10E6" w:rsidRDefault="005D10E6" w:rsidP="008B3A20">
      <w:pPr>
        <w:spacing w:line="360" w:lineRule="auto"/>
        <w:jc w:val="both"/>
        <w:rPr>
          <w:rFonts w:ascii="Palatino Linotype" w:hAnsi="Palatino Linotype" w:cs="Tahoma"/>
          <w:bCs/>
          <w:iCs/>
          <w:sz w:val="22"/>
          <w:szCs w:val="22"/>
        </w:rPr>
      </w:pPr>
      <w:bookmarkStart w:id="18" w:name="_Toc212129020"/>
      <w:r w:rsidRPr="0006315D">
        <w:rPr>
          <w:rStyle w:val="Ttulo2Car"/>
          <w:sz w:val="22"/>
          <w:szCs w:val="28"/>
        </w:rPr>
        <w:t>PRIMERO</w:t>
      </w:r>
      <w:r w:rsidRPr="0006315D">
        <w:rPr>
          <w:rStyle w:val="Ttulo2Car"/>
        </w:rPr>
        <w:t>.</w:t>
      </w:r>
      <w:bookmarkEnd w:id="18"/>
      <w:r>
        <w:rPr>
          <w:rFonts w:ascii="Palatino Linotype" w:hAnsi="Palatino Linotype" w:cs="Tahoma"/>
          <w:b/>
          <w:bCs/>
          <w:iCs/>
          <w:sz w:val="22"/>
          <w:szCs w:val="22"/>
        </w:rPr>
        <w:t xml:space="preserve"> </w:t>
      </w:r>
      <w:r>
        <w:rPr>
          <w:rFonts w:ascii="Palatino Linotype" w:hAnsi="Palatino Linotype" w:cs="Tahoma"/>
          <w:bCs/>
          <w:iCs/>
          <w:sz w:val="22"/>
          <w:szCs w:val="22"/>
        </w:rPr>
        <w:t xml:space="preserve">Resultan </w:t>
      </w:r>
      <w:r>
        <w:rPr>
          <w:rFonts w:ascii="Palatino Linotype" w:hAnsi="Palatino Linotype" w:cs="Tahoma"/>
          <w:b/>
          <w:bCs/>
          <w:iCs/>
          <w:sz w:val="22"/>
          <w:szCs w:val="22"/>
        </w:rPr>
        <w:t>FUNDADAS</w:t>
      </w:r>
      <w:r>
        <w:rPr>
          <w:rFonts w:ascii="Palatino Linotype" w:hAnsi="Palatino Linotype" w:cs="Tahoma"/>
          <w:bCs/>
          <w:iCs/>
          <w:sz w:val="22"/>
          <w:szCs w:val="22"/>
        </w:rPr>
        <w:t xml:space="preserve"> las razones o motivos de inconformidad hechos valer por el Particular en el Recurso de Revisión </w:t>
      </w:r>
      <w:r>
        <w:rPr>
          <w:rFonts w:ascii="Palatino Linotype" w:eastAsia="Calibri" w:hAnsi="Palatino Linotype" w:cs="Tahoma"/>
          <w:sz w:val="22"/>
          <w:szCs w:val="22"/>
        </w:rPr>
        <w:t>03951/INFOEM/IP/RR/2025</w:t>
      </w:r>
      <w:r>
        <w:rPr>
          <w:rFonts w:ascii="Palatino Linotype" w:hAnsi="Palatino Linotype" w:cs="Tahoma"/>
          <w:bCs/>
          <w:iCs/>
          <w:sz w:val="22"/>
          <w:szCs w:val="22"/>
        </w:rPr>
        <w:t>,</w:t>
      </w:r>
      <w:r>
        <w:rPr>
          <w:rFonts w:ascii="Palatino Linotype" w:hAnsi="Palatino Linotype" w:cs="Tahoma"/>
          <w:b/>
          <w:bCs/>
          <w:iCs/>
          <w:sz w:val="22"/>
          <w:szCs w:val="22"/>
        </w:rPr>
        <w:t xml:space="preserve"> </w:t>
      </w:r>
      <w:r>
        <w:rPr>
          <w:rFonts w:ascii="Palatino Linotype" w:hAnsi="Palatino Linotype" w:cs="Tahoma"/>
          <w:bCs/>
          <w:iCs/>
          <w:sz w:val="22"/>
          <w:szCs w:val="22"/>
        </w:rPr>
        <w:t>en términos de los considerandos QUINTO y SEXTO de la presente Resolución.</w:t>
      </w:r>
    </w:p>
    <w:p w14:paraId="3FFC6DCA" w14:textId="77777777" w:rsidR="00426ADE" w:rsidRPr="005A4A25" w:rsidRDefault="00426ADE" w:rsidP="008B3A20">
      <w:pPr>
        <w:spacing w:line="360" w:lineRule="auto"/>
        <w:ind w:right="-28"/>
        <w:contextualSpacing/>
        <w:jc w:val="center"/>
        <w:rPr>
          <w:rFonts w:ascii="Palatino Linotype" w:hAnsi="Palatino Linotype" w:cs="Tahoma"/>
          <w:b/>
          <w:bCs/>
          <w:sz w:val="22"/>
          <w:szCs w:val="22"/>
        </w:rPr>
      </w:pPr>
    </w:p>
    <w:p w14:paraId="0DDB1812" w14:textId="1130CB74" w:rsidR="00426ADE" w:rsidRPr="005A4A25" w:rsidRDefault="00426ADE" w:rsidP="008B3A20">
      <w:pPr>
        <w:autoSpaceDE w:val="0"/>
        <w:autoSpaceDN w:val="0"/>
        <w:adjustRightInd w:val="0"/>
        <w:spacing w:line="360" w:lineRule="auto"/>
        <w:ind w:right="-28"/>
        <w:contextualSpacing/>
        <w:jc w:val="both"/>
        <w:rPr>
          <w:rFonts w:ascii="Palatino Linotype" w:hAnsi="Palatino Linotype" w:cs="Tahoma"/>
          <w:sz w:val="22"/>
          <w:szCs w:val="22"/>
        </w:rPr>
      </w:pPr>
      <w:bookmarkStart w:id="19" w:name="_Toc212129021"/>
      <w:r w:rsidRPr="0006315D">
        <w:rPr>
          <w:rStyle w:val="Ttulo2Car"/>
          <w:sz w:val="22"/>
          <w:szCs w:val="28"/>
        </w:rPr>
        <w:t>SEGUNDO.</w:t>
      </w:r>
      <w:bookmarkEnd w:id="19"/>
      <w:r w:rsidRPr="0006315D">
        <w:rPr>
          <w:rFonts w:ascii="Palatino Linotype" w:hAnsi="Palatino Linotype" w:cs="Tahoma"/>
          <w:b/>
          <w:bCs/>
          <w:sz w:val="24"/>
          <w:szCs w:val="24"/>
        </w:rPr>
        <w:t xml:space="preserve"> </w:t>
      </w:r>
      <w:r w:rsidRPr="005A4A25">
        <w:rPr>
          <w:rFonts w:ascii="Palatino Linotype" w:hAnsi="Palatino Linotype" w:cs="Tahoma"/>
          <w:sz w:val="22"/>
          <w:szCs w:val="22"/>
        </w:rPr>
        <w:t xml:space="preserve">Se </w:t>
      </w:r>
      <w:r w:rsidRPr="005A4A25">
        <w:rPr>
          <w:rFonts w:ascii="Palatino Linotype" w:hAnsi="Palatino Linotype" w:cs="Tahoma"/>
          <w:b/>
          <w:sz w:val="22"/>
          <w:szCs w:val="22"/>
        </w:rPr>
        <w:t xml:space="preserve">ORDENA </w:t>
      </w:r>
      <w:r w:rsidRPr="005A4A25">
        <w:rPr>
          <w:rFonts w:ascii="Palatino Linotype" w:hAnsi="Palatino Linotype" w:cs="Tahoma"/>
          <w:sz w:val="22"/>
          <w:szCs w:val="22"/>
        </w:rPr>
        <w:t xml:space="preserve">al </w:t>
      </w:r>
      <w:r w:rsidRPr="005A4A25">
        <w:rPr>
          <w:rFonts w:ascii="Palatino Linotype" w:hAnsi="Palatino Linotype" w:cs="Tahoma"/>
          <w:color w:val="0D0D0D" w:themeColor="text1" w:themeTint="F2"/>
          <w:sz w:val="22"/>
          <w:szCs w:val="22"/>
        </w:rPr>
        <w:t>Sujeto Obligado</w:t>
      </w:r>
      <w:r w:rsidRPr="005A4A25">
        <w:rPr>
          <w:rFonts w:ascii="Palatino Linotype" w:hAnsi="Palatino Linotype" w:cs="Tahoma"/>
          <w:sz w:val="22"/>
          <w:szCs w:val="22"/>
        </w:rPr>
        <w:t>, a efecto de que</w:t>
      </w:r>
      <w:r w:rsidR="005D10E6">
        <w:rPr>
          <w:rFonts w:ascii="Palatino Linotype" w:hAnsi="Palatino Linotype" w:cs="Tahoma"/>
          <w:sz w:val="22"/>
          <w:szCs w:val="22"/>
        </w:rPr>
        <w:t xml:space="preserve"> previa búsqueda exhaustiva y razonable en los archivos de las unidades administrativas competentes</w:t>
      </w:r>
      <w:r w:rsidRPr="005A4A25">
        <w:rPr>
          <w:rFonts w:ascii="Palatino Linotype" w:hAnsi="Palatino Linotype" w:cs="Tahoma"/>
          <w:sz w:val="22"/>
          <w:szCs w:val="22"/>
        </w:rPr>
        <w:t xml:space="preserve">, entregue </w:t>
      </w:r>
      <w:r w:rsidRPr="005A4A25">
        <w:rPr>
          <w:rFonts w:ascii="Palatino Linotype" w:hAnsi="Palatino Linotype" w:cs="Tahoma"/>
          <w:bCs/>
          <w:iCs/>
          <w:sz w:val="22"/>
          <w:szCs w:val="22"/>
        </w:rPr>
        <w:t xml:space="preserve">a través del Sistema de Acceso a la Información Mexiquense (SAIMEX), </w:t>
      </w:r>
      <w:r w:rsidRPr="005A4A25">
        <w:rPr>
          <w:rFonts w:ascii="Palatino Linotype" w:hAnsi="Palatino Linotype" w:cs="Tahoma"/>
          <w:sz w:val="22"/>
          <w:szCs w:val="22"/>
        </w:rPr>
        <w:t xml:space="preserve">en </w:t>
      </w:r>
      <w:r w:rsidR="005D10E6">
        <w:rPr>
          <w:rFonts w:ascii="Palatino Linotype" w:hAnsi="Palatino Linotype" w:cs="Tahoma"/>
          <w:sz w:val="22"/>
          <w:szCs w:val="22"/>
        </w:rPr>
        <w:t xml:space="preserve">su caso, en </w:t>
      </w:r>
      <w:r w:rsidRPr="005A4A25">
        <w:rPr>
          <w:rFonts w:ascii="Palatino Linotype" w:hAnsi="Palatino Linotype" w:cs="Tahoma"/>
          <w:sz w:val="22"/>
          <w:szCs w:val="22"/>
        </w:rPr>
        <w:t>versión pública</w:t>
      </w:r>
      <w:r w:rsidR="005D10E6">
        <w:rPr>
          <w:rFonts w:ascii="Palatino Linotype" w:hAnsi="Palatino Linotype" w:cs="Tahoma"/>
          <w:sz w:val="22"/>
          <w:szCs w:val="22"/>
        </w:rPr>
        <w:t>, en atención a lo analizado en el Considerando QUINTO</w:t>
      </w:r>
      <w:r w:rsidRPr="005A4A25">
        <w:rPr>
          <w:rFonts w:ascii="Palatino Linotype" w:hAnsi="Palatino Linotype" w:cs="Tahoma"/>
          <w:bCs/>
          <w:iCs/>
          <w:sz w:val="22"/>
          <w:szCs w:val="22"/>
        </w:rPr>
        <w:t>, lo siguiente:</w:t>
      </w:r>
    </w:p>
    <w:p w14:paraId="293728E2" w14:textId="77777777" w:rsidR="00426ADE" w:rsidRDefault="00426ADE" w:rsidP="008B3A20">
      <w:pPr>
        <w:autoSpaceDE w:val="0"/>
        <w:autoSpaceDN w:val="0"/>
        <w:adjustRightInd w:val="0"/>
        <w:spacing w:line="360" w:lineRule="auto"/>
        <w:ind w:right="-28"/>
        <w:contextualSpacing/>
        <w:jc w:val="both"/>
        <w:rPr>
          <w:rFonts w:ascii="Palatino Linotype" w:hAnsi="Palatino Linotype" w:cs="Tahoma"/>
          <w:bCs/>
          <w:iCs/>
          <w:sz w:val="22"/>
          <w:szCs w:val="22"/>
        </w:rPr>
      </w:pPr>
    </w:p>
    <w:p w14:paraId="71FD5B18" w14:textId="77777777" w:rsidR="008B3A20" w:rsidRPr="005A4A25" w:rsidRDefault="008B3A20" w:rsidP="008B3A20">
      <w:pPr>
        <w:autoSpaceDE w:val="0"/>
        <w:autoSpaceDN w:val="0"/>
        <w:adjustRightInd w:val="0"/>
        <w:spacing w:line="360" w:lineRule="auto"/>
        <w:ind w:right="-28"/>
        <w:contextualSpacing/>
        <w:jc w:val="both"/>
        <w:rPr>
          <w:rFonts w:ascii="Palatino Linotype" w:hAnsi="Palatino Linotype" w:cs="Tahoma"/>
          <w:bCs/>
          <w:iCs/>
          <w:sz w:val="22"/>
          <w:szCs w:val="22"/>
        </w:rPr>
      </w:pPr>
    </w:p>
    <w:p w14:paraId="52220C29" w14:textId="74485C4B" w:rsidR="00426ADE" w:rsidRPr="005A4A25" w:rsidRDefault="005D10E6" w:rsidP="008B3A20">
      <w:pPr>
        <w:pStyle w:val="Prrafodelista"/>
        <w:numPr>
          <w:ilvl w:val="0"/>
          <w:numId w:val="7"/>
        </w:numPr>
        <w:spacing w:line="360" w:lineRule="auto"/>
        <w:ind w:right="-28"/>
        <w:jc w:val="both"/>
        <w:rPr>
          <w:rFonts w:ascii="Palatino Linotype" w:hAnsi="Palatino Linotype" w:cs="Tahoma"/>
          <w:szCs w:val="22"/>
        </w:rPr>
      </w:pPr>
      <w:r>
        <w:rPr>
          <w:rFonts w:ascii="Palatino Linotype" w:hAnsi="Palatino Linotype" w:cs="Tahoma"/>
          <w:color w:val="0D0D0D" w:themeColor="text1" w:themeTint="F2"/>
          <w:szCs w:val="22"/>
        </w:rPr>
        <w:t>Las Licencias de funcionamiento emitidas por la Dirección de Desarrollo Económico y por la Dirección de Industria y Comercio, del primero de enero de dos mil veinte al siete de marzo de dos mil veinticinco (incluidas las proporcionadas en Informe Justificado).</w:t>
      </w:r>
    </w:p>
    <w:p w14:paraId="4ACCC6FE" w14:textId="77777777" w:rsidR="00E05B4C" w:rsidRPr="005A4A25" w:rsidRDefault="00E05B4C" w:rsidP="008B3A20">
      <w:pPr>
        <w:pStyle w:val="Prrafodelista"/>
        <w:spacing w:line="360" w:lineRule="auto"/>
        <w:ind w:right="-28"/>
        <w:jc w:val="both"/>
        <w:rPr>
          <w:rFonts w:ascii="Palatino Linotype" w:hAnsi="Palatino Linotype" w:cs="Tahoma"/>
          <w:szCs w:val="22"/>
        </w:rPr>
      </w:pPr>
    </w:p>
    <w:p w14:paraId="7F395F13" w14:textId="7140E8AF" w:rsidR="00426ADE" w:rsidRPr="005A4A25" w:rsidRDefault="00426ADE" w:rsidP="008B3A20">
      <w:pPr>
        <w:spacing w:line="360" w:lineRule="auto"/>
        <w:contextualSpacing/>
        <w:jc w:val="both"/>
        <w:rPr>
          <w:rFonts w:ascii="Palatino Linotype" w:eastAsia="Calibri" w:hAnsi="Palatino Linotype" w:cs="Tahoma"/>
          <w:iCs/>
          <w:color w:val="000000"/>
          <w:sz w:val="22"/>
          <w:szCs w:val="22"/>
          <w:lang w:eastAsia="es-ES_tradnl"/>
        </w:rPr>
      </w:pPr>
      <w:r w:rsidRPr="005A4A25">
        <w:rPr>
          <w:rFonts w:ascii="Palatino Linotype" w:eastAsia="Calibri" w:hAnsi="Palatino Linotype" w:cs="Tahoma"/>
          <w:iCs/>
          <w:color w:val="000000"/>
          <w:sz w:val="22"/>
          <w:szCs w:val="22"/>
          <w:lang w:eastAsia="es-ES_tradnl"/>
        </w:rPr>
        <w:t>Además</w:t>
      </w:r>
      <w:r w:rsidR="00744BC4" w:rsidRPr="005A4A25">
        <w:rPr>
          <w:rFonts w:ascii="Palatino Linotype" w:eastAsia="Calibri" w:hAnsi="Palatino Linotype" w:cs="Tahoma"/>
          <w:iCs/>
          <w:color w:val="000000"/>
          <w:sz w:val="22"/>
          <w:szCs w:val="22"/>
          <w:lang w:eastAsia="es-ES_tradnl"/>
        </w:rPr>
        <w:t xml:space="preserve">, </w:t>
      </w:r>
      <w:r w:rsidRPr="005A4A25">
        <w:rPr>
          <w:rFonts w:ascii="Palatino Linotype" w:eastAsia="Calibri" w:hAnsi="Palatino Linotype" w:cs="Tahoma"/>
          <w:iCs/>
          <w:color w:val="000000"/>
          <w:sz w:val="22"/>
          <w:szCs w:val="22"/>
          <w:lang w:eastAsia="es-ES_tradnl"/>
        </w:rPr>
        <w:t>deberá proporcionar el Acuerdo de Clasificación donde el Comité de Transparencia, confirme la eliminación de los datos</w:t>
      </w:r>
      <w:r w:rsidR="005D10E6">
        <w:rPr>
          <w:rFonts w:ascii="Palatino Linotype" w:eastAsia="Calibri" w:hAnsi="Palatino Linotype" w:cs="Tahoma"/>
          <w:iCs/>
          <w:color w:val="000000"/>
          <w:sz w:val="22"/>
          <w:szCs w:val="22"/>
          <w:lang w:eastAsia="es-ES_tradnl"/>
        </w:rPr>
        <w:t xml:space="preserve">, en atención a lo analizado en el </w:t>
      </w:r>
      <w:r w:rsidR="00744BC4" w:rsidRPr="005A4A25">
        <w:rPr>
          <w:rFonts w:ascii="Palatino Linotype" w:eastAsia="Calibri" w:hAnsi="Palatino Linotype" w:cs="Tahoma"/>
          <w:iCs/>
          <w:color w:val="000000"/>
          <w:sz w:val="22"/>
          <w:szCs w:val="22"/>
          <w:lang w:eastAsia="es-ES_tradnl"/>
        </w:rPr>
        <w:t>Considerando QUINTO</w:t>
      </w:r>
      <w:r w:rsidRPr="005A4A25">
        <w:rPr>
          <w:rFonts w:ascii="Palatino Linotype" w:eastAsia="Calibri" w:hAnsi="Palatino Linotype" w:cs="Tahoma"/>
          <w:iCs/>
          <w:color w:val="000000"/>
          <w:sz w:val="22"/>
          <w:szCs w:val="22"/>
          <w:lang w:eastAsia="es-ES_tradnl"/>
        </w:rPr>
        <w:t>, en la versión pública, de conformidad con los artículos 49, fracciones II y VIII y 132, fracción II</w:t>
      </w:r>
      <w:r w:rsidR="00744BC4" w:rsidRPr="005A4A25">
        <w:rPr>
          <w:rFonts w:ascii="Palatino Linotype" w:eastAsia="Calibri" w:hAnsi="Palatino Linotype" w:cs="Tahoma"/>
          <w:iCs/>
          <w:color w:val="000000"/>
          <w:sz w:val="22"/>
          <w:szCs w:val="22"/>
          <w:lang w:eastAsia="es-ES_tradnl"/>
        </w:rPr>
        <w:t>, 143, fracción I, y 149</w:t>
      </w:r>
      <w:r w:rsidRPr="005A4A25">
        <w:rPr>
          <w:rFonts w:ascii="Palatino Linotype" w:eastAsia="Calibri" w:hAnsi="Palatino Linotype" w:cs="Tahoma"/>
          <w:iCs/>
          <w:color w:val="000000"/>
          <w:sz w:val="22"/>
          <w:szCs w:val="22"/>
          <w:lang w:eastAsia="es-ES_tradnl"/>
        </w:rPr>
        <w:t xml:space="preserve"> de la Ley de Transparencia y Acceso a la Información Pública del Estado de México y Municipios.</w:t>
      </w:r>
    </w:p>
    <w:p w14:paraId="57016877" w14:textId="77777777" w:rsidR="00426ADE" w:rsidRDefault="00426ADE" w:rsidP="008B3A20">
      <w:pPr>
        <w:spacing w:line="360" w:lineRule="auto"/>
        <w:ind w:right="-28"/>
        <w:contextualSpacing/>
        <w:jc w:val="both"/>
        <w:rPr>
          <w:rFonts w:ascii="Palatino Linotype" w:eastAsia="Calibri" w:hAnsi="Palatino Linotype" w:cs="Tahoma"/>
          <w:b/>
          <w:bCs/>
          <w:color w:val="000000" w:themeColor="text1"/>
          <w:sz w:val="22"/>
          <w:szCs w:val="22"/>
          <w:lang w:eastAsia="en-US"/>
        </w:rPr>
      </w:pPr>
    </w:p>
    <w:p w14:paraId="0BAF2AFB" w14:textId="5AB2A2EE" w:rsidR="005D10E6" w:rsidRDefault="005D10E6" w:rsidP="008B3A20">
      <w:pPr>
        <w:spacing w:line="360" w:lineRule="auto"/>
        <w:ind w:right="-28"/>
        <w:contextualSpacing/>
        <w:jc w:val="both"/>
        <w:rPr>
          <w:rFonts w:ascii="Palatino Linotype" w:eastAsia="Calibri" w:hAnsi="Palatino Linotype" w:cs="Tahoma"/>
          <w:b/>
          <w:bCs/>
          <w:color w:val="000000" w:themeColor="text1"/>
          <w:sz w:val="22"/>
          <w:szCs w:val="22"/>
          <w:lang w:eastAsia="en-US"/>
        </w:rPr>
      </w:pPr>
      <w:r>
        <w:rPr>
          <w:rFonts w:ascii="Palatino Linotype" w:hAnsi="Palatino Linotype" w:cs="Tahoma"/>
          <w:sz w:val="22"/>
          <w:szCs w:val="24"/>
        </w:rPr>
        <w:t xml:space="preserve">Para el caso de que, </w:t>
      </w:r>
      <w:proofErr w:type="gramStart"/>
      <w:r>
        <w:rPr>
          <w:rFonts w:ascii="Palatino Linotype" w:hAnsi="Palatino Linotype" w:cs="Tahoma"/>
          <w:sz w:val="22"/>
          <w:szCs w:val="24"/>
        </w:rPr>
        <w:t>alguna de las licencias faltantes no hayan</w:t>
      </w:r>
      <w:proofErr w:type="gramEnd"/>
      <w:r>
        <w:rPr>
          <w:rFonts w:ascii="Palatino Linotype" w:hAnsi="Palatino Linotype" w:cs="Tahoma"/>
          <w:sz w:val="22"/>
          <w:szCs w:val="24"/>
        </w:rPr>
        <w:t xml:space="preserve"> sido emitidas, deberá hacerlo del conocimiento de la persona Recurrente, de manera clara y precisa.</w:t>
      </w:r>
    </w:p>
    <w:p w14:paraId="4A837BCC" w14:textId="77777777" w:rsidR="005D10E6" w:rsidRPr="005A4A25" w:rsidRDefault="005D10E6" w:rsidP="008B3A20">
      <w:pPr>
        <w:spacing w:line="360" w:lineRule="auto"/>
        <w:ind w:right="-28"/>
        <w:contextualSpacing/>
        <w:jc w:val="both"/>
        <w:rPr>
          <w:rFonts w:ascii="Palatino Linotype" w:eastAsia="Calibri" w:hAnsi="Palatino Linotype" w:cs="Tahoma"/>
          <w:b/>
          <w:bCs/>
          <w:color w:val="000000" w:themeColor="text1"/>
          <w:sz w:val="22"/>
          <w:szCs w:val="22"/>
          <w:lang w:eastAsia="en-US"/>
        </w:rPr>
      </w:pPr>
    </w:p>
    <w:p w14:paraId="6C119424" w14:textId="158CF22D" w:rsidR="00426ADE" w:rsidRPr="005A4A25" w:rsidRDefault="00426ADE" w:rsidP="008B3A20">
      <w:pPr>
        <w:spacing w:line="360" w:lineRule="auto"/>
        <w:ind w:right="-28"/>
        <w:contextualSpacing/>
        <w:jc w:val="both"/>
        <w:rPr>
          <w:rFonts w:ascii="Palatino Linotype" w:hAnsi="Palatino Linotype" w:cs="Tahoma"/>
          <w:b/>
          <w:iCs/>
          <w:sz w:val="22"/>
          <w:szCs w:val="22"/>
        </w:rPr>
      </w:pPr>
      <w:bookmarkStart w:id="20" w:name="_Toc212129022"/>
      <w:r w:rsidRPr="0006315D">
        <w:rPr>
          <w:rStyle w:val="Ttulo2Car"/>
          <w:sz w:val="22"/>
          <w:szCs w:val="28"/>
        </w:rPr>
        <w:t>TERCERO.</w:t>
      </w:r>
      <w:bookmarkEnd w:id="20"/>
      <w:r w:rsidRPr="0006315D">
        <w:rPr>
          <w:rStyle w:val="Ttulo2Car"/>
          <w:sz w:val="22"/>
          <w:szCs w:val="28"/>
        </w:rPr>
        <w:t xml:space="preserve"> </w:t>
      </w:r>
      <w:r w:rsidRPr="0006315D">
        <w:rPr>
          <w:rFonts w:ascii="Palatino Linotype" w:hAnsi="Palatino Linotype"/>
          <w:b/>
          <w:bCs/>
          <w:sz w:val="22"/>
          <w:szCs w:val="22"/>
        </w:rPr>
        <w:t xml:space="preserve">NOTIFÍQUESE </w:t>
      </w:r>
      <w:r w:rsidR="0006315D" w:rsidRPr="0006315D">
        <w:rPr>
          <w:rFonts w:ascii="Palatino Linotype" w:hAnsi="Palatino Linotype"/>
          <w:b/>
          <w:bCs/>
          <w:sz w:val="22"/>
          <w:szCs w:val="22"/>
        </w:rPr>
        <w:t xml:space="preserve">A TRAVÉS </w:t>
      </w:r>
      <w:r w:rsidR="0006315D">
        <w:rPr>
          <w:rFonts w:ascii="Palatino Linotype" w:hAnsi="Palatino Linotype"/>
          <w:b/>
          <w:bCs/>
          <w:sz w:val="22"/>
          <w:szCs w:val="22"/>
        </w:rPr>
        <w:t>DE</w:t>
      </w:r>
      <w:r w:rsidR="0006315D" w:rsidRPr="0006315D">
        <w:rPr>
          <w:rFonts w:ascii="Palatino Linotype" w:hAnsi="Palatino Linotype"/>
          <w:b/>
          <w:bCs/>
          <w:sz w:val="22"/>
          <w:szCs w:val="22"/>
        </w:rPr>
        <w:t xml:space="preserve"> SAIMEX</w:t>
      </w:r>
      <w:r w:rsidR="0006315D" w:rsidRPr="0006315D">
        <w:rPr>
          <w:rFonts w:ascii="Palatino Linotype" w:hAnsi="Palatino Linotype" w:cs="Tahoma"/>
          <w:b/>
          <w:bCs/>
          <w:iCs/>
          <w:sz w:val="28"/>
          <w:szCs w:val="28"/>
        </w:rPr>
        <w:t xml:space="preserve"> </w:t>
      </w:r>
      <w:r w:rsidRPr="005A4A25">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796D0D08" w14:textId="77777777" w:rsidR="00426ADE" w:rsidRDefault="00426ADE" w:rsidP="008B3A20">
      <w:pPr>
        <w:spacing w:line="360" w:lineRule="auto"/>
        <w:ind w:right="-28"/>
        <w:contextualSpacing/>
        <w:jc w:val="both"/>
        <w:rPr>
          <w:rFonts w:ascii="Palatino Linotype" w:eastAsia="Calibri" w:hAnsi="Palatino Linotype" w:cs="Tahoma"/>
          <w:color w:val="000000"/>
          <w:sz w:val="22"/>
          <w:szCs w:val="22"/>
          <w:lang w:eastAsia="es-MX"/>
        </w:rPr>
      </w:pPr>
    </w:p>
    <w:p w14:paraId="3074E1E8" w14:textId="77777777" w:rsidR="0006315D" w:rsidRPr="005A4A25" w:rsidRDefault="0006315D" w:rsidP="008B3A20">
      <w:pPr>
        <w:spacing w:line="360" w:lineRule="auto"/>
        <w:ind w:right="-28"/>
        <w:contextualSpacing/>
        <w:jc w:val="both"/>
        <w:rPr>
          <w:rFonts w:ascii="Palatino Linotype" w:eastAsia="Calibri" w:hAnsi="Palatino Linotype" w:cs="Tahoma"/>
          <w:color w:val="000000"/>
          <w:sz w:val="22"/>
          <w:szCs w:val="22"/>
          <w:lang w:eastAsia="es-MX"/>
        </w:rPr>
      </w:pPr>
    </w:p>
    <w:p w14:paraId="6799D1BB" w14:textId="77777777" w:rsidR="00426ADE" w:rsidRPr="005A4A25" w:rsidRDefault="00426ADE" w:rsidP="008B3A20">
      <w:pPr>
        <w:spacing w:line="360" w:lineRule="auto"/>
        <w:contextualSpacing/>
        <w:jc w:val="both"/>
        <w:rPr>
          <w:rFonts w:ascii="Palatino Linotype" w:eastAsia="Calibri" w:hAnsi="Palatino Linotype" w:cs="Tahoma"/>
          <w:iCs/>
          <w:color w:val="000000"/>
          <w:sz w:val="22"/>
          <w:szCs w:val="22"/>
          <w:lang w:eastAsia="en-US"/>
        </w:rPr>
      </w:pPr>
      <w:r w:rsidRPr="005A4A25">
        <w:rPr>
          <w:rFonts w:ascii="Palatino Linotype" w:eastAsia="Calibri" w:hAnsi="Palatino Linotype" w:cs="Tahoma"/>
          <w:iCs/>
          <w:color w:val="000000"/>
          <w:sz w:val="22"/>
          <w:szCs w:val="22"/>
          <w:lang w:eastAsia="en-US"/>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30FED72" w14:textId="77777777" w:rsidR="00426ADE" w:rsidRPr="005A4A25" w:rsidRDefault="00426ADE" w:rsidP="008B3A20">
      <w:pPr>
        <w:spacing w:line="360" w:lineRule="auto"/>
        <w:contextualSpacing/>
        <w:jc w:val="both"/>
        <w:rPr>
          <w:rFonts w:ascii="Palatino Linotype" w:eastAsia="Calibri" w:hAnsi="Palatino Linotype" w:cs="Tahoma"/>
          <w:b/>
          <w:bCs/>
          <w:iCs/>
          <w:color w:val="000000"/>
          <w:sz w:val="22"/>
          <w:szCs w:val="22"/>
          <w:lang w:eastAsia="en-US"/>
        </w:rPr>
      </w:pPr>
    </w:p>
    <w:p w14:paraId="6514E137" w14:textId="12319445" w:rsidR="00426ADE" w:rsidRDefault="00426ADE" w:rsidP="008B3A20">
      <w:pPr>
        <w:spacing w:line="360" w:lineRule="auto"/>
        <w:contextualSpacing/>
        <w:jc w:val="both"/>
        <w:rPr>
          <w:rFonts w:ascii="Palatino Linotype" w:eastAsia="Calibri" w:hAnsi="Palatino Linotype" w:cs="Tahoma"/>
          <w:iCs/>
          <w:color w:val="000000"/>
          <w:sz w:val="22"/>
          <w:szCs w:val="22"/>
          <w:lang w:eastAsia="en-US"/>
        </w:rPr>
      </w:pPr>
      <w:bookmarkStart w:id="21" w:name="_Toc212129023"/>
      <w:r w:rsidRPr="0006315D">
        <w:rPr>
          <w:rStyle w:val="Ttulo2Car"/>
          <w:sz w:val="22"/>
          <w:szCs w:val="28"/>
        </w:rPr>
        <w:t>CUARTO.</w:t>
      </w:r>
      <w:bookmarkEnd w:id="21"/>
      <w:r w:rsidRPr="0006315D">
        <w:rPr>
          <w:rStyle w:val="Ttulo2Car"/>
          <w:sz w:val="22"/>
          <w:szCs w:val="28"/>
        </w:rPr>
        <w:t xml:space="preserve"> </w:t>
      </w:r>
      <w:r w:rsidR="0006315D" w:rsidRPr="0006315D">
        <w:rPr>
          <w:rFonts w:ascii="Palatino Linotype" w:hAnsi="Palatino Linotype"/>
          <w:b/>
          <w:bCs/>
          <w:sz w:val="22"/>
          <w:szCs w:val="22"/>
        </w:rPr>
        <w:t xml:space="preserve">NOTIFÍQUESE A TRAVÉS </w:t>
      </w:r>
      <w:r w:rsidR="0006315D" w:rsidRPr="0006315D">
        <w:rPr>
          <w:rFonts w:ascii="Palatino Linotype" w:eastAsiaTheme="majorEastAsia" w:hAnsi="Palatino Linotype"/>
          <w:b/>
          <w:bCs/>
          <w:sz w:val="22"/>
          <w:szCs w:val="22"/>
        </w:rPr>
        <w:t>DE</w:t>
      </w:r>
      <w:r w:rsidR="0006315D" w:rsidRPr="0006315D">
        <w:rPr>
          <w:rFonts w:ascii="Palatino Linotype" w:hAnsi="Palatino Linotype"/>
          <w:b/>
          <w:bCs/>
          <w:sz w:val="22"/>
          <w:szCs w:val="22"/>
        </w:rPr>
        <w:t xml:space="preserve"> SAIMEX</w:t>
      </w:r>
      <w:r w:rsidRPr="0006315D">
        <w:rPr>
          <w:rFonts w:ascii="Palatino Linotype" w:eastAsia="Calibri" w:hAnsi="Palatino Linotype"/>
          <w:b/>
          <w:bCs/>
          <w:sz w:val="22"/>
          <w:szCs w:val="22"/>
        </w:rPr>
        <w:t xml:space="preserve"> </w:t>
      </w:r>
      <w:r w:rsidRPr="005A4A25">
        <w:rPr>
          <w:rFonts w:ascii="Palatino Linotype" w:eastAsia="Calibri" w:hAnsi="Palatino Linotype" w:cs="Tahoma"/>
          <w:iCs/>
          <w:color w:val="000000"/>
          <w:sz w:val="22"/>
          <w:szCs w:val="22"/>
          <w:lang w:eastAsia="en-US"/>
        </w:rPr>
        <w:t>al Recurrente la presente Resolución</w:t>
      </w:r>
      <w:r w:rsidR="0006315D">
        <w:rPr>
          <w:rFonts w:ascii="Palatino Linotype" w:eastAsia="Calibri" w:hAnsi="Palatino Linotype" w:cs="Tahoma"/>
          <w:iCs/>
          <w:color w:val="000000"/>
          <w:sz w:val="22"/>
          <w:szCs w:val="22"/>
          <w:lang w:eastAsia="en-US"/>
        </w:rPr>
        <w:t>,</w:t>
      </w:r>
      <w:r w:rsidRPr="005A4A25">
        <w:rPr>
          <w:rFonts w:ascii="Palatino Linotype" w:eastAsia="Calibri" w:hAnsi="Palatino Linotype" w:cs="Tahoma"/>
          <w:iCs/>
          <w:color w:val="000000"/>
          <w:sz w:val="22"/>
          <w:szCs w:val="22"/>
          <w:lang w:eastAsia="en-US"/>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A12A41E" w14:textId="77777777" w:rsidR="004F515C" w:rsidRPr="005A4A25" w:rsidRDefault="004F515C" w:rsidP="008B3A20">
      <w:pPr>
        <w:spacing w:line="360" w:lineRule="auto"/>
        <w:contextualSpacing/>
        <w:jc w:val="both"/>
        <w:rPr>
          <w:rFonts w:ascii="Palatino Linotype" w:eastAsia="Calibri" w:hAnsi="Palatino Linotype" w:cs="Tahoma"/>
          <w:iCs/>
          <w:color w:val="000000"/>
          <w:sz w:val="22"/>
          <w:szCs w:val="22"/>
          <w:lang w:eastAsia="en-US"/>
        </w:rPr>
      </w:pPr>
    </w:p>
    <w:p w14:paraId="782EF4D4" w14:textId="58BBE324" w:rsidR="004F515C" w:rsidRPr="00FC0A7F" w:rsidRDefault="004F515C" w:rsidP="004F515C">
      <w:pPr>
        <w:spacing w:line="360" w:lineRule="auto"/>
        <w:jc w:val="both"/>
        <w:rPr>
          <w:rFonts w:ascii="Palatino Linotype" w:eastAsia="Calibri" w:hAnsi="Palatino Linotype" w:cs="Tahoma"/>
          <w:bCs/>
          <w:sz w:val="22"/>
          <w:szCs w:val="22"/>
          <w:lang w:eastAsia="en-US"/>
        </w:rPr>
      </w:pPr>
      <w:r>
        <w:rPr>
          <w:rFonts w:ascii="Palatino Linotype" w:eastAsiaTheme="minorHAnsi" w:hAnsi="Palatino Linotype" w:cstheme="minorBidi"/>
          <w:b/>
          <w:bCs/>
          <w:sz w:val="22"/>
          <w:szCs w:val="22"/>
          <w:lang w:eastAsia="en-US"/>
        </w:rPr>
        <w:t>QUINTO</w:t>
      </w:r>
      <w:r w:rsidRPr="00FC0A7F">
        <w:rPr>
          <w:rFonts w:ascii="Palatino Linotype" w:eastAsiaTheme="minorHAnsi" w:hAnsi="Palatino Linotype" w:cstheme="minorBidi"/>
          <w:b/>
          <w:bCs/>
          <w:sz w:val="22"/>
          <w:szCs w:val="22"/>
          <w:lang w:eastAsia="en-US"/>
        </w:rPr>
        <w:t>.</w:t>
      </w:r>
      <w:r w:rsidRPr="00FC0A7F">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3C73525E" w14:textId="77777777" w:rsidR="004F515C" w:rsidRPr="00FC0A7F" w:rsidRDefault="004F515C" w:rsidP="004F515C">
      <w:pPr>
        <w:spacing w:line="360" w:lineRule="auto"/>
        <w:jc w:val="both"/>
        <w:rPr>
          <w:rFonts w:ascii="Palatino Linotype" w:hAnsi="Palatino Linotype" w:cs="Tahoma"/>
          <w:b/>
          <w:bCs/>
          <w:iCs/>
          <w:sz w:val="22"/>
          <w:szCs w:val="22"/>
        </w:rPr>
      </w:pPr>
    </w:p>
    <w:p w14:paraId="6D10DAA9" w14:textId="77777777" w:rsidR="00426ADE" w:rsidRPr="005A4A25" w:rsidRDefault="00426ADE" w:rsidP="008B3A20">
      <w:pPr>
        <w:spacing w:line="360" w:lineRule="auto"/>
        <w:contextualSpacing/>
        <w:jc w:val="both"/>
        <w:rPr>
          <w:rFonts w:ascii="Palatino Linotype" w:hAnsi="Palatino Linotype" w:cs="Tahoma"/>
          <w:sz w:val="22"/>
          <w:szCs w:val="22"/>
        </w:rPr>
      </w:pPr>
    </w:p>
    <w:p w14:paraId="3AA183E0" w14:textId="7226930D" w:rsidR="00426ADE" w:rsidRPr="005A4A25" w:rsidRDefault="00426ADE" w:rsidP="008B3A20">
      <w:pPr>
        <w:spacing w:line="360" w:lineRule="auto"/>
        <w:contextualSpacing/>
        <w:jc w:val="both"/>
        <w:rPr>
          <w:rFonts w:ascii="Palatino Linotype" w:eastAsia="Calibri" w:hAnsi="Palatino Linotype" w:cs="Tahoma"/>
          <w:sz w:val="22"/>
          <w:szCs w:val="22"/>
          <w:lang w:eastAsia="es-ES_tradnl"/>
        </w:rPr>
      </w:pPr>
      <w:r w:rsidRPr="005A4A25">
        <w:rPr>
          <w:rFonts w:ascii="Palatino Linotype" w:eastAsia="Calibri" w:hAnsi="Palatino Linotype" w:cs="Tahoma"/>
          <w:sz w:val="22"/>
          <w:szCs w:val="22"/>
          <w:lang w:eastAsia="es-ES_tradnl"/>
        </w:rPr>
        <w:t xml:space="preserve">ASÍ LO RESUELVE, </w:t>
      </w:r>
      <w:r w:rsidRPr="005A4A25">
        <w:rPr>
          <w:rFonts w:ascii="Palatino Linotype" w:eastAsia="Calibri" w:hAnsi="Palatino Linotype" w:cs="Tahoma"/>
          <w:b/>
          <w:bCs/>
          <w:sz w:val="22"/>
          <w:szCs w:val="22"/>
          <w:lang w:eastAsia="es-ES_tradnl"/>
        </w:rPr>
        <w:t>POR UNANIMIDAD</w:t>
      </w:r>
      <w:r w:rsidRPr="005A4A25">
        <w:rPr>
          <w:rFonts w:ascii="Palatino Linotype" w:eastAsia="Calibri" w:hAnsi="Palatino Linotype" w:cs="Tahoma"/>
          <w:sz w:val="22"/>
          <w:szCs w:val="22"/>
          <w:lang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05B4C" w:rsidRPr="005A4A25">
        <w:rPr>
          <w:rFonts w:ascii="Palatino Linotype" w:eastAsia="Calibri" w:hAnsi="Palatino Linotype" w:cs="Tahoma"/>
          <w:sz w:val="22"/>
          <w:szCs w:val="22"/>
          <w:lang w:eastAsia="es-ES_tradnl"/>
        </w:rPr>
        <w:t>VIG</w:t>
      </w:r>
      <w:r w:rsidRPr="005A4A25">
        <w:rPr>
          <w:rFonts w:ascii="Palatino Linotype" w:eastAsia="Calibri" w:hAnsi="Palatino Linotype" w:cs="Tahoma"/>
          <w:sz w:val="22"/>
          <w:szCs w:val="22"/>
          <w:lang w:eastAsia="es-ES_tradnl"/>
        </w:rPr>
        <w:t>É</w:t>
      </w:r>
      <w:r w:rsidR="00A92B91">
        <w:rPr>
          <w:rFonts w:ascii="Palatino Linotype" w:eastAsia="Calibri" w:hAnsi="Palatino Linotype" w:cs="Tahoma"/>
          <w:sz w:val="22"/>
          <w:szCs w:val="22"/>
          <w:lang w:eastAsia="es-ES_tradnl"/>
        </w:rPr>
        <w:t>S</w:t>
      </w:r>
      <w:r w:rsidRPr="005A4A25">
        <w:rPr>
          <w:rFonts w:ascii="Palatino Linotype" w:eastAsia="Calibri" w:hAnsi="Palatino Linotype" w:cs="Tahoma"/>
          <w:sz w:val="22"/>
          <w:szCs w:val="22"/>
          <w:lang w:eastAsia="es-ES_tradnl"/>
        </w:rPr>
        <w:t>IM</w:t>
      </w:r>
      <w:r w:rsidR="00E05B4C" w:rsidRPr="005A4A25">
        <w:rPr>
          <w:rFonts w:ascii="Palatino Linotype" w:eastAsia="Calibri" w:hAnsi="Palatino Linotype" w:cs="Tahoma"/>
          <w:sz w:val="22"/>
          <w:szCs w:val="22"/>
          <w:lang w:eastAsia="es-ES_tradnl"/>
        </w:rPr>
        <w:t>A</w:t>
      </w:r>
      <w:r w:rsidRPr="005A4A25">
        <w:rPr>
          <w:rFonts w:ascii="Palatino Linotype" w:eastAsia="Calibri" w:hAnsi="Palatino Linotype" w:cs="Tahoma"/>
          <w:sz w:val="22"/>
          <w:szCs w:val="22"/>
          <w:lang w:eastAsia="es-ES_tradnl"/>
        </w:rPr>
        <w:t xml:space="preserve"> </w:t>
      </w:r>
      <w:r w:rsidR="008B3A20">
        <w:rPr>
          <w:rFonts w:ascii="Palatino Linotype" w:eastAsia="Calibri" w:hAnsi="Palatino Linotype" w:cs="Tahoma"/>
          <w:sz w:val="22"/>
          <w:szCs w:val="22"/>
          <w:lang w:eastAsia="es-ES_tradnl"/>
        </w:rPr>
        <w:t>OCTAVA</w:t>
      </w:r>
      <w:r w:rsidR="00E05B4C" w:rsidRPr="005A4A25">
        <w:rPr>
          <w:rFonts w:ascii="Palatino Linotype" w:eastAsia="Calibri" w:hAnsi="Palatino Linotype" w:cs="Tahoma"/>
          <w:sz w:val="22"/>
          <w:szCs w:val="22"/>
          <w:lang w:eastAsia="es-ES_tradnl"/>
        </w:rPr>
        <w:t xml:space="preserve"> </w:t>
      </w:r>
      <w:r w:rsidRPr="005A4A25">
        <w:rPr>
          <w:rFonts w:ascii="Palatino Linotype" w:eastAsia="Calibri" w:hAnsi="Palatino Linotype" w:cs="Tahoma"/>
          <w:sz w:val="22"/>
          <w:szCs w:val="22"/>
          <w:lang w:eastAsia="es-ES_tradnl"/>
        </w:rPr>
        <w:t xml:space="preserve">SESIÓN ORDINARIA, CELEBRADA EL </w:t>
      </w:r>
      <w:r w:rsidR="008B3A20">
        <w:rPr>
          <w:rFonts w:ascii="Palatino Linotype" w:eastAsia="Calibri" w:hAnsi="Palatino Linotype" w:cs="Tahoma"/>
          <w:sz w:val="22"/>
          <w:szCs w:val="22"/>
          <w:lang w:eastAsia="es-ES_tradnl"/>
        </w:rPr>
        <w:t>VEINTIDÓS DE OCTUBRE</w:t>
      </w:r>
      <w:r w:rsidR="00E05B4C" w:rsidRPr="005A4A25">
        <w:rPr>
          <w:rFonts w:ascii="Palatino Linotype" w:eastAsia="Calibri" w:hAnsi="Palatino Linotype" w:cs="Tahoma"/>
          <w:sz w:val="22"/>
          <w:szCs w:val="22"/>
          <w:lang w:eastAsia="es-ES_tradnl"/>
        </w:rPr>
        <w:t xml:space="preserve"> </w:t>
      </w:r>
      <w:r w:rsidRPr="005A4A25">
        <w:rPr>
          <w:rFonts w:ascii="Palatino Linotype" w:eastAsia="Calibri" w:hAnsi="Palatino Linotype" w:cs="Tahoma"/>
          <w:sz w:val="22"/>
          <w:szCs w:val="22"/>
          <w:lang w:eastAsia="es-ES_tradnl"/>
        </w:rPr>
        <w:t xml:space="preserve">DE DOS MIL </w:t>
      </w:r>
      <w:r w:rsidR="008B3A20">
        <w:rPr>
          <w:rFonts w:ascii="Palatino Linotype" w:eastAsia="Calibri" w:hAnsi="Palatino Linotype" w:cs="Tahoma"/>
          <w:sz w:val="22"/>
          <w:szCs w:val="22"/>
          <w:lang w:eastAsia="es-ES_tradnl"/>
        </w:rPr>
        <w:t>VEINTICINCO</w:t>
      </w:r>
      <w:r w:rsidRPr="005A4A25">
        <w:rPr>
          <w:rFonts w:ascii="Palatino Linotype" w:eastAsia="Calibri" w:hAnsi="Palatino Linotype" w:cs="Tahoma"/>
          <w:sz w:val="22"/>
          <w:szCs w:val="22"/>
          <w:lang w:eastAsia="es-ES_tradnl"/>
        </w:rPr>
        <w:t>, ANTE EL SECRETARIO TÉCNICO DEL PLENO, ALEXIS TAPIA RAMÍREZ.</w:t>
      </w:r>
    </w:p>
    <w:p w14:paraId="614CF33A" w14:textId="77777777" w:rsidR="00426ADE" w:rsidRPr="005A4A25" w:rsidRDefault="00426ADE" w:rsidP="008B3A20">
      <w:pPr>
        <w:spacing w:line="360" w:lineRule="auto"/>
        <w:contextualSpacing/>
        <w:jc w:val="both"/>
        <w:rPr>
          <w:rFonts w:ascii="Palatino Linotype" w:hAnsi="Palatino Linotype" w:cs="Tahoma"/>
          <w:sz w:val="22"/>
          <w:szCs w:val="22"/>
        </w:rPr>
      </w:pPr>
      <w:r w:rsidRPr="005A4A25">
        <w:rPr>
          <w:rFonts w:ascii="Palatino Linotype" w:hAnsi="Palatino Linotype" w:cs="Tahoma"/>
          <w:sz w:val="22"/>
          <w:szCs w:val="22"/>
        </w:rPr>
        <w:br w:type="page"/>
      </w:r>
    </w:p>
    <w:p w14:paraId="601BE384" w14:textId="77777777" w:rsidR="00426ADE" w:rsidRPr="005A4A25" w:rsidRDefault="00426ADE" w:rsidP="008B3A20">
      <w:pPr>
        <w:spacing w:line="360" w:lineRule="auto"/>
        <w:contextualSpacing/>
      </w:pPr>
    </w:p>
    <w:p w14:paraId="25E44485" w14:textId="77777777" w:rsidR="00CE7148" w:rsidRPr="005A4A25" w:rsidRDefault="00CE7148" w:rsidP="008B3A20">
      <w:pPr>
        <w:spacing w:line="360" w:lineRule="auto"/>
        <w:contextualSpacing/>
      </w:pPr>
    </w:p>
    <w:sectPr w:rsidR="00CE7148" w:rsidRPr="005A4A25" w:rsidSect="00813DCE">
      <w:headerReference w:type="even" r:id="rId12"/>
      <w:headerReference w:type="default" r:id="rId13"/>
      <w:footerReference w:type="default" r:id="rId14"/>
      <w:headerReference w:type="first" r:id="rId15"/>
      <w:footerReference w:type="first" r:id="rId16"/>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A7114" w14:textId="77777777" w:rsidR="001F2FBA" w:rsidRDefault="001F2FBA" w:rsidP="00426ADE">
      <w:r>
        <w:separator/>
      </w:r>
    </w:p>
  </w:endnote>
  <w:endnote w:type="continuationSeparator" w:id="0">
    <w:p w14:paraId="74399C0C" w14:textId="77777777" w:rsidR="001F2FBA" w:rsidRDefault="001F2FBA" w:rsidP="0042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Content>
      <w:sdt>
        <w:sdtPr>
          <w:id w:val="-1769616900"/>
          <w:docPartObj>
            <w:docPartGallery w:val="Page Numbers (Top of Page)"/>
            <w:docPartUnique/>
          </w:docPartObj>
        </w:sdtPr>
        <w:sdtContent>
          <w:p w14:paraId="079AFADB" w14:textId="77777777" w:rsidR="00813DCE" w:rsidRPr="00C13895" w:rsidRDefault="00813DCE">
            <w:pPr>
              <w:pStyle w:val="Piedepgina"/>
              <w:jc w:val="right"/>
              <w:rPr>
                <w:sz w:val="26"/>
                <w:szCs w:val="26"/>
              </w:rPr>
            </w:pPr>
          </w:p>
          <w:p w14:paraId="5F965EFA" w14:textId="77777777" w:rsidR="00813DCE" w:rsidRDefault="00813DC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515C">
              <w:rPr>
                <w:b/>
                <w:bCs/>
                <w:noProof/>
              </w:rPr>
              <w:t>48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515C">
              <w:rPr>
                <w:b/>
                <w:bCs/>
                <w:noProof/>
              </w:rPr>
              <w:t>52</w:t>
            </w:r>
            <w:r>
              <w:rPr>
                <w:b/>
                <w:bCs/>
                <w:sz w:val="24"/>
                <w:szCs w:val="24"/>
              </w:rPr>
              <w:fldChar w:fldCharType="end"/>
            </w:r>
          </w:p>
        </w:sdtContent>
      </w:sdt>
    </w:sdtContent>
  </w:sdt>
  <w:p w14:paraId="26C6783C" w14:textId="77777777" w:rsidR="00813DCE" w:rsidRDefault="00813DC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Content>
      <w:sdt>
        <w:sdtPr>
          <w:id w:val="315386424"/>
          <w:docPartObj>
            <w:docPartGallery w:val="Page Numbers (Top of Page)"/>
            <w:docPartUnique/>
          </w:docPartObj>
        </w:sdtPr>
        <w:sdtContent>
          <w:p w14:paraId="58BFD46C" w14:textId="77777777" w:rsidR="00813DCE" w:rsidRDefault="00813DCE">
            <w:pPr>
              <w:pStyle w:val="Piedepgina"/>
              <w:jc w:val="right"/>
            </w:pPr>
          </w:p>
          <w:p w14:paraId="52451D72" w14:textId="77777777" w:rsidR="00813DCE" w:rsidRDefault="00813DCE">
            <w:pPr>
              <w:pStyle w:val="Piedepgina"/>
              <w:jc w:val="right"/>
            </w:pPr>
          </w:p>
          <w:p w14:paraId="40877748" w14:textId="77777777" w:rsidR="00813DCE" w:rsidRDefault="00813DCE">
            <w:pPr>
              <w:pStyle w:val="Piedepgina"/>
              <w:jc w:val="right"/>
            </w:pPr>
          </w:p>
          <w:p w14:paraId="27F7C8F8" w14:textId="77777777" w:rsidR="00813DCE" w:rsidRDefault="00813DC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F515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F515C">
              <w:rPr>
                <w:b/>
                <w:bCs/>
                <w:noProof/>
              </w:rPr>
              <w:t>52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26F1C" w14:textId="77777777" w:rsidR="001F2FBA" w:rsidRDefault="001F2FBA" w:rsidP="00426ADE">
      <w:r>
        <w:separator/>
      </w:r>
    </w:p>
  </w:footnote>
  <w:footnote w:type="continuationSeparator" w:id="0">
    <w:p w14:paraId="34B2306D" w14:textId="77777777" w:rsidR="001F2FBA" w:rsidRDefault="001F2FBA" w:rsidP="00426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C8E0" w14:textId="77777777" w:rsidR="00813DCE" w:rsidRDefault="00000000">
    <w:pPr>
      <w:pStyle w:val="Encabezado"/>
    </w:pPr>
    <w:r>
      <w:rPr>
        <w:noProof/>
        <w:lang w:eastAsia="es-MX"/>
      </w:rPr>
      <w:pict w14:anchorId="6AD4E5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F6A8" w14:textId="77777777" w:rsidR="00813DCE" w:rsidRPr="009E6858" w:rsidRDefault="00000000" w:rsidP="00813DCE">
    <w:pPr>
      <w:tabs>
        <w:tab w:val="left" w:pos="3416"/>
      </w:tabs>
      <w:rPr>
        <w:sz w:val="22"/>
        <w:szCs w:val="22"/>
      </w:rPr>
    </w:pPr>
    <w:r>
      <w:rPr>
        <w:noProof/>
        <w:sz w:val="14"/>
        <w:lang w:eastAsia="es-MX"/>
      </w:rPr>
      <w:pict w14:anchorId="3F346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100.7pt;margin-top:-126.25pt;width:663.5pt;height:12in;z-index:-25165875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13DCE" w:rsidRPr="005C106F" w14:paraId="36072B74" w14:textId="77777777" w:rsidTr="00813DCE">
      <w:trPr>
        <w:trHeight w:val="70"/>
      </w:trPr>
      <w:tc>
        <w:tcPr>
          <w:tcW w:w="2552" w:type="dxa"/>
        </w:tcPr>
        <w:p w14:paraId="76F13E0E" w14:textId="77777777" w:rsidR="00813DCE" w:rsidRPr="005C106F" w:rsidRDefault="00813DCE" w:rsidP="00813DCE">
          <w:pPr>
            <w:tabs>
              <w:tab w:val="right" w:pos="4273"/>
            </w:tabs>
            <w:rPr>
              <w:rFonts w:ascii="Garamond" w:eastAsia="Calibri" w:hAnsi="Garamond"/>
              <w:sz w:val="16"/>
              <w:szCs w:val="16"/>
            </w:rPr>
          </w:pPr>
        </w:p>
      </w:tc>
      <w:tc>
        <w:tcPr>
          <w:tcW w:w="7193" w:type="dxa"/>
        </w:tcPr>
        <w:tbl>
          <w:tblPr>
            <w:tblStyle w:val="Tablaconcuadrcula"/>
            <w:tblW w:w="6367" w:type="dxa"/>
            <w:tblInd w:w="1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958"/>
          </w:tblGrid>
          <w:tr w:rsidR="00813DCE" w14:paraId="2B1522ED" w14:textId="77777777" w:rsidTr="00813DCE">
            <w:trPr>
              <w:trHeight w:val="128"/>
            </w:trPr>
            <w:tc>
              <w:tcPr>
                <w:tcW w:w="2409" w:type="dxa"/>
                <w:vAlign w:val="bottom"/>
              </w:tcPr>
              <w:p w14:paraId="1FE693AD" w14:textId="77777777" w:rsidR="00813DCE" w:rsidRPr="008B41A2" w:rsidRDefault="00813DCE" w:rsidP="00813DCE">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3958" w:type="dxa"/>
              </w:tcPr>
              <w:p w14:paraId="6BBC1F99" w14:textId="65955C0A" w:rsidR="00813DCE" w:rsidRPr="00651A13" w:rsidRDefault="005A4A25" w:rsidP="00813DCE">
                <w:pPr>
                  <w:tabs>
                    <w:tab w:val="right" w:pos="8838"/>
                  </w:tabs>
                  <w:ind w:left="-28" w:right="683"/>
                  <w:rPr>
                    <w:rFonts w:ascii="Palatino Linotype" w:eastAsia="Calibri" w:hAnsi="Palatino Linotype" w:cs="Tahoma"/>
                    <w:sz w:val="22"/>
                    <w:szCs w:val="22"/>
                  </w:rPr>
                </w:pPr>
                <w:r>
                  <w:rPr>
                    <w:rFonts w:ascii="Palatino Linotype" w:eastAsia="Calibri" w:hAnsi="Palatino Linotype" w:cs="Tahoma"/>
                    <w:sz w:val="22"/>
                    <w:szCs w:val="22"/>
                    <w:lang w:val="es-MX"/>
                  </w:rPr>
                  <w:t>03951/INFOEM/IP/RR/2025</w:t>
                </w:r>
              </w:p>
            </w:tc>
          </w:tr>
          <w:tr w:rsidR="00813DCE" w14:paraId="57C615CB" w14:textId="77777777" w:rsidTr="00813DCE">
            <w:trPr>
              <w:trHeight w:val="251"/>
            </w:trPr>
            <w:tc>
              <w:tcPr>
                <w:tcW w:w="2409" w:type="dxa"/>
              </w:tcPr>
              <w:p w14:paraId="64E998C4" w14:textId="77777777" w:rsidR="00813DCE" w:rsidRPr="008B41A2" w:rsidRDefault="00813DCE" w:rsidP="00813DCE">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958" w:type="dxa"/>
              </w:tcPr>
              <w:p w14:paraId="709679A8" w14:textId="4A421D16" w:rsidR="00813DCE" w:rsidRPr="008B41A2" w:rsidRDefault="00813DCE" w:rsidP="00813DCE">
                <w:pPr>
                  <w:tabs>
                    <w:tab w:val="right" w:pos="8838"/>
                  </w:tabs>
                  <w:ind w:right="1008"/>
                  <w:jc w:val="both"/>
                  <w:rPr>
                    <w:rFonts w:ascii="Palatino Linotype" w:eastAsia="Calibri" w:hAnsi="Palatino Linotype" w:cs="Tahoma"/>
                    <w:sz w:val="22"/>
                    <w:szCs w:val="22"/>
                    <w:lang w:val="es-MX"/>
                  </w:rPr>
                </w:pPr>
                <w:r>
                  <w:rPr>
                    <w:rFonts w:ascii="Palatino Linotype" w:eastAsia="Calibri" w:hAnsi="Palatino Linotype" w:cs="Tahoma"/>
                    <w:sz w:val="22"/>
                    <w:szCs w:val="22"/>
                    <w:lang w:val="es-MX"/>
                  </w:rPr>
                  <w:t>Ayuntamiento de Valle de Chalco Solidaridad</w:t>
                </w:r>
              </w:p>
            </w:tc>
          </w:tr>
          <w:tr w:rsidR="00813DCE" w14:paraId="2A092F01" w14:textId="77777777" w:rsidTr="00813DCE">
            <w:trPr>
              <w:trHeight w:val="251"/>
            </w:trPr>
            <w:tc>
              <w:tcPr>
                <w:tcW w:w="2409" w:type="dxa"/>
              </w:tcPr>
              <w:p w14:paraId="653EFF03" w14:textId="77777777" w:rsidR="00813DCE" w:rsidRPr="008B41A2" w:rsidRDefault="00813DCE" w:rsidP="00813DCE">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958" w:type="dxa"/>
              </w:tcPr>
              <w:p w14:paraId="3CC9F001" w14:textId="77777777" w:rsidR="00813DCE" w:rsidRPr="008B41A2" w:rsidRDefault="00813DCE" w:rsidP="00813DCE">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3D5D0EA2" w14:textId="77777777" w:rsidR="00813DCE" w:rsidRPr="005C106F" w:rsidRDefault="00813DCE" w:rsidP="00813DCE">
          <w:pPr>
            <w:tabs>
              <w:tab w:val="right" w:pos="8838"/>
            </w:tabs>
            <w:ind w:left="-28"/>
            <w:rPr>
              <w:rFonts w:ascii="Arial" w:eastAsia="Calibri" w:hAnsi="Arial" w:cs="Arial"/>
              <w:b/>
            </w:rPr>
          </w:pPr>
        </w:p>
      </w:tc>
    </w:tr>
  </w:tbl>
  <w:p w14:paraId="4C1AC95F" w14:textId="77777777" w:rsidR="00813DCE" w:rsidRDefault="00813DCE" w:rsidP="00813DCE">
    <w:pPr>
      <w:pStyle w:val="Encabezado"/>
      <w:rPr>
        <w:sz w:val="14"/>
      </w:rPr>
    </w:pPr>
  </w:p>
  <w:p w14:paraId="3AAC1F3F" w14:textId="77777777" w:rsidR="00813DCE" w:rsidRPr="00443C6B" w:rsidRDefault="00813DCE" w:rsidP="00813DCE">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06"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9"/>
      <w:gridCol w:w="3697"/>
    </w:tblGrid>
    <w:tr w:rsidR="00813DCE" w:rsidRPr="00264223" w14:paraId="2EEAD86C" w14:textId="77777777" w:rsidTr="002820B8">
      <w:trPr>
        <w:trHeight w:val="302"/>
      </w:trPr>
      <w:tc>
        <w:tcPr>
          <w:tcW w:w="2409" w:type="dxa"/>
        </w:tcPr>
        <w:p w14:paraId="2E202C45" w14:textId="77777777" w:rsidR="00813DCE" w:rsidRPr="00D3618F" w:rsidRDefault="00813DCE" w:rsidP="00813DCE">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697" w:type="dxa"/>
        </w:tcPr>
        <w:p w14:paraId="234F2929" w14:textId="4045D062" w:rsidR="00813DCE" w:rsidRPr="00651A13" w:rsidRDefault="005A4A25" w:rsidP="00813DCE">
          <w:pPr>
            <w:tabs>
              <w:tab w:val="right" w:pos="8838"/>
            </w:tabs>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03951/INFOEM/IP/RR/2025</w:t>
          </w:r>
        </w:p>
      </w:tc>
    </w:tr>
    <w:tr w:rsidR="00813DCE" w:rsidRPr="00264223" w14:paraId="549F3FA8" w14:textId="77777777" w:rsidTr="002820B8">
      <w:trPr>
        <w:trHeight w:val="110"/>
      </w:trPr>
      <w:tc>
        <w:tcPr>
          <w:tcW w:w="2409" w:type="dxa"/>
        </w:tcPr>
        <w:p w14:paraId="027D6880" w14:textId="77777777" w:rsidR="00813DCE" w:rsidRPr="00D3618F" w:rsidRDefault="00813DCE" w:rsidP="00813DCE">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697" w:type="dxa"/>
        </w:tcPr>
        <w:p w14:paraId="201EB1FF" w14:textId="599E0778" w:rsidR="00813DCE" w:rsidRPr="00EE2A06" w:rsidRDefault="00173875" w:rsidP="00813DCE">
          <w:pPr>
            <w:tabs>
              <w:tab w:val="right" w:pos="8838"/>
            </w:tabs>
            <w:jc w:val="both"/>
            <w:rPr>
              <w:rFonts w:ascii="Palatino Linotype" w:eastAsia="Calibri" w:hAnsi="Palatino Linotype" w:cs="Tahoma"/>
              <w:sz w:val="22"/>
              <w:szCs w:val="22"/>
              <w:lang w:val="es-MX" w:eastAsia="en-US"/>
            </w:rPr>
          </w:pPr>
          <w:r w:rsidRPr="00173875">
            <w:rPr>
              <w:rFonts w:ascii="Palatino Linotype" w:eastAsia="Calibri" w:hAnsi="Palatino Linotype" w:cs="Tahoma"/>
              <w:sz w:val="22"/>
              <w:szCs w:val="22"/>
              <w:highlight w:val="black"/>
              <w:lang w:val="es-MX" w:eastAsia="en-US"/>
            </w:rPr>
            <w:t>XXXXXXXXXXXX</w:t>
          </w:r>
        </w:p>
      </w:tc>
    </w:tr>
    <w:tr w:rsidR="00813DCE" w:rsidRPr="00264223" w14:paraId="5FABAADD" w14:textId="77777777" w:rsidTr="002820B8">
      <w:trPr>
        <w:trHeight w:val="248"/>
      </w:trPr>
      <w:tc>
        <w:tcPr>
          <w:tcW w:w="2409" w:type="dxa"/>
        </w:tcPr>
        <w:p w14:paraId="7C59ED77" w14:textId="77777777" w:rsidR="00813DCE" w:rsidRPr="00D3618F" w:rsidRDefault="00813DCE" w:rsidP="00813DCE">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697" w:type="dxa"/>
        </w:tcPr>
        <w:p w14:paraId="20F7DB7A" w14:textId="17949F23" w:rsidR="00813DCE" w:rsidRPr="00651A13" w:rsidRDefault="00813DCE" w:rsidP="00813DCE">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sz w:val="22"/>
              <w:szCs w:val="22"/>
              <w:lang w:val="es-MX" w:eastAsia="en-US"/>
            </w:rPr>
            <w:t>Ayuntamiento de Valle de Chalco Solidaridad</w:t>
          </w:r>
        </w:p>
      </w:tc>
    </w:tr>
    <w:tr w:rsidR="00813DCE" w:rsidRPr="00264223" w14:paraId="32B0685F" w14:textId="77777777" w:rsidTr="002820B8">
      <w:trPr>
        <w:trHeight w:val="248"/>
      </w:trPr>
      <w:tc>
        <w:tcPr>
          <w:tcW w:w="2409" w:type="dxa"/>
        </w:tcPr>
        <w:p w14:paraId="57C6CE6E" w14:textId="77777777" w:rsidR="00813DCE" w:rsidRPr="00D3618F" w:rsidRDefault="00813DCE" w:rsidP="00813DCE">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697" w:type="dxa"/>
        </w:tcPr>
        <w:p w14:paraId="00EA2C41" w14:textId="77777777" w:rsidR="00813DCE" w:rsidRPr="00D3618F" w:rsidRDefault="00813DCE" w:rsidP="00813DCE">
          <w:pPr>
            <w:tabs>
              <w:tab w:val="right" w:pos="8838"/>
            </w:tabs>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4A0C52D" w14:textId="77777777" w:rsidR="00813DCE" w:rsidRDefault="00000000" w:rsidP="00813DCE">
    <w:pPr>
      <w:ind w:right="-312"/>
    </w:pPr>
    <w:r>
      <w:rPr>
        <w:noProof/>
        <w:lang w:eastAsia="es-MX"/>
      </w:rPr>
      <w:pict w14:anchorId="1068D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772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3F5F5E"/>
    <w:multiLevelType w:val="hybridMultilevel"/>
    <w:tmpl w:val="A75E5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F27D86"/>
    <w:multiLevelType w:val="hybridMultilevel"/>
    <w:tmpl w:val="C69CF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992497"/>
    <w:multiLevelType w:val="hybridMultilevel"/>
    <w:tmpl w:val="FB56D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65367CE"/>
    <w:multiLevelType w:val="hybridMultilevel"/>
    <w:tmpl w:val="1C507A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2F2D0CBB"/>
    <w:multiLevelType w:val="hybridMultilevel"/>
    <w:tmpl w:val="1C7E7F2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44121877"/>
    <w:multiLevelType w:val="hybridMultilevel"/>
    <w:tmpl w:val="7EF4C7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F2011E"/>
    <w:multiLevelType w:val="hybridMultilevel"/>
    <w:tmpl w:val="34CCE02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7DC7DA7"/>
    <w:multiLevelType w:val="hybridMultilevel"/>
    <w:tmpl w:val="83EA2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79189785">
    <w:abstractNumId w:val="1"/>
  </w:num>
  <w:num w:numId="2" w16cid:durableId="1188830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301662">
    <w:abstractNumId w:val="2"/>
  </w:num>
  <w:num w:numId="4" w16cid:durableId="1364208075">
    <w:abstractNumId w:val="3"/>
  </w:num>
  <w:num w:numId="5" w16cid:durableId="1268082009">
    <w:abstractNumId w:val="12"/>
  </w:num>
  <w:num w:numId="6" w16cid:durableId="441536306">
    <w:abstractNumId w:val="11"/>
  </w:num>
  <w:num w:numId="7" w16cid:durableId="1266890580">
    <w:abstractNumId w:val="14"/>
  </w:num>
  <w:num w:numId="8" w16cid:durableId="2012834858">
    <w:abstractNumId w:val="9"/>
  </w:num>
  <w:num w:numId="9" w16cid:durableId="230890254">
    <w:abstractNumId w:val="5"/>
  </w:num>
  <w:num w:numId="10" w16cid:durableId="341519433">
    <w:abstractNumId w:val="7"/>
  </w:num>
  <w:num w:numId="11" w16cid:durableId="2021200540">
    <w:abstractNumId w:val="8"/>
  </w:num>
  <w:num w:numId="12" w16cid:durableId="256645302">
    <w:abstractNumId w:val="0"/>
  </w:num>
  <w:num w:numId="13" w16cid:durableId="172186276">
    <w:abstractNumId w:val="10"/>
  </w:num>
  <w:num w:numId="14" w16cid:durableId="1364940957">
    <w:abstractNumId w:val="6"/>
  </w:num>
  <w:num w:numId="15" w16cid:durableId="687802999">
    <w:abstractNumId w:val="13"/>
  </w:num>
  <w:num w:numId="16" w16cid:durableId="719328043">
    <w:abstractNumId w:val="4"/>
  </w:num>
  <w:num w:numId="17" w16cid:durableId="1434940999">
    <w:abstractNumId w:val="0"/>
  </w:num>
  <w:num w:numId="18" w16cid:durableId="614026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ADE"/>
    <w:rsid w:val="000075AE"/>
    <w:rsid w:val="0004110B"/>
    <w:rsid w:val="0006315D"/>
    <w:rsid w:val="00065601"/>
    <w:rsid w:val="000B797A"/>
    <w:rsid w:val="00173875"/>
    <w:rsid w:val="001E2AAC"/>
    <w:rsid w:val="001E5496"/>
    <w:rsid w:val="001F2FBA"/>
    <w:rsid w:val="002142B1"/>
    <w:rsid w:val="00264675"/>
    <w:rsid w:val="002820B8"/>
    <w:rsid w:val="00283BAB"/>
    <w:rsid w:val="00290528"/>
    <w:rsid w:val="002B6427"/>
    <w:rsid w:val="0034585A"/>
    <w:rsid w:val="00352B3B"/>
    <w:rsid w:val="00390E2C"/>
    <w:rsid w:val="003A70DE"/>
    <w:rsid w:val="003E01BF"/>
    <w:rsid w:val="00426ADE"/>
    <w:rsid w:val="004723FC"/>
    <w:rsid w:val="004F515C"/>
    <w:rsid w:val="00501A70"/>
    <w:rsid w:val="00573F7A"/>
    <w:rsid w:val="0059139D"/>
    <w:rsid w:val="005925EB"/>
    <w:rsid w:val="005A4A25"/>
    <w:rsid w:val="005D10E6"/>
    <w:rsid w:val="005F550C"/>
    <w:rsid w:val="00656A99"/>
    <w:rsid w:val="00694DFF"/>
    <w:rsid w:val="00720601"/>
    <w:rsid w:val="00744BC4"/>
    <w:rsid w:val="0079203A"/>
    <w:rsid w:val="007949C9"/>
    <w:rsid w:val="007972A2"/>
    <w:rsid w:val="00813DCE"/>
    <w:rsid w:val="00855E95"/>
    <w:rsid w:val="008B3A20"/>
    <w:rsid w:val="00952540"/>
    <w:rsid w:val="00962C5F"/>
    <w:rsid w:val="009B744E"/>
    <w:rsid w:val="009D12BC"/>
    <w:rsid w:val="009D6E46"/>
    <w:rsid w:val="00A32EEA"/>
    <w:rsid w:val="00A62281"/>
    <w:rsid w:val="00A7767E"/>
    <w:rsid w:val="00A92B91"/>
    <w:rsid w:val="00AE2A5B"/>
    <w:rsid w:val="00AF2976"/>
    <w:rsid w:val="00B141FE"/>
    <w:rsid w:val="00B22BC2"/>
    <w:rsid w:val="00B36568"/>
    <w:rsid w:val="00BD470A"/>
    <w:rsid w:val="00C51BF8"/>
    <w:rsid w:val="00CE7148"/>
    <w:rsid w:val="00D034BC"/>
    <w:rsid w:val="00D06B2A"/>
    <w:rsid w:val="00DC5D7A"/>
    <w:rsid w:val="00DE7454"/>
    <w:rsid w:val="00E05B4C"/>
    <w:rsid w:val="00E5422B"/>
    <w:rsid w:val="00F04686"/>
    <w:rsid w:val="00F43ABC"/>
    <w:rsid w:val="00F64CAC"/>
    <w:rsid w:val="00FA7980"/>
    <w:rsid w:val="00FB6BB7"/>
    <w:rsid w:val="00FF68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B6B34"/>
  <w15:chartTrackingRefBased/>
  <w15:docId w15:val="{FF07F9E0-739C-4F82-AFC3-53DAA2D05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ADE"/>
    <w:pPr>
      <w:spacing w:after="0" w:line="240" w:lineRule="auto"/>
    </w:pPr>
    <w:rPr>
      <w:rFonts w:ascii="Times New Roman" w:eastAsia="Times New Roman" w:hAnsi="Times New Roman" w:cs="Times New Roman"/>
      <w:kern w:val="0"/>
      <w:sz w:val="20"/>
      <w:szCs w:val="20"/>
      <w:lang w:eastAsia="es-ES"/>
      <w14:ligatures w14:val="none"/>
    </w:rPr>
  </w:style>
  <w:style w:type="paragraph" w:styleId="Ttulo1">
    <w:name w:val="heading 1"/>
    <w:basedOn w:val="Normal"/>
    <w:next w:val="Normal"/>
    <w:link w:val="Ttulo1Car"/>
    <w:uiPriority w:val="9"/>
    <w:qFormat/>
    <w:rsid w:val="0006315D"/>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06315D"/>
    <w:pPr>
      <w:keepNext/>
      <w:keepLines/>
      <w:spacing w:line="360" w:lineRule="auto"/>
      <w:jc w:val="both"/>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6ADE"/>
    <w:pPr>
      <w:tabs>
        <w:tab w:val="center" w:pos="4419"/>
        <w:tab w:val="right" w:pos="8838"/>
      </w:tabs>
    </w:pPr>
  </w:style>
  <w:style w:type="character" w:customStyle="1" w:styleId="EncabezadoCar">
    <w:name w:val="Encabezado Car"/>
    <w:basedOn w:val="Fuentedeprrafopredeter"/>
    <w:link w:val="Encabezado"/>
    <w:uiPriority w:val="99"/>
    <w:rsid w:val="00426ADE"/>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426ADE"/>
    <w:pPr>
      <w:tabs>
        <w:tab w:val="center" w:pos="4419"/>
        <w:tab w:val="right" w:pos="8838"/>
      </w:tabs>
    </w:pPr>
  </w:style>
  <w:style w:type="character" w:customStyle="1" w:styleId="PiedepginaCar">
    <w:name w:val="Pie de página Car"/>
    <w:basedOn w:val="Fuentedeprrafopredeter"/>
    <w:link w:val="Piedepgina"/>
    <w:uiPriority w:val="99"/>
    <w:rsid w:val="00426ADE"/>
    <w:rPr>
      <w:rFonts w:ascii="Times New Roman" w:eastAsia="Times New Roman" w:hAnsi="Times New Roman" w:cs="Times New Roman"/>
      <w:kern w:val="0"/>
      <w:sz w:val="20"/>
      <w:szCs w:val="20"/>
      <w:lang w:eastAsia="es-ES"/>
      <w14:ligatures w14:val="non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6ADE"/>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426ADE"/>
    <w:rPr>
      <w:rFonts w:ascii="Century Gothic" w:eastAsia="Times New Roman" w:hAnsi="Century Gothic" w:cs="Times New Roman"/>
      <w:kern w:val="0"/>
      <w:szCs w:val="24"/>
      <w:lang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qFormat/>
    <w:rsid w:val="00426ADE"/>
    <w:rPr>
      <w:color w:val="0563C1" w:themeColor="hyperlink"/>
      <w:u w:val="single"/>
    </w:rPr>
  </w:style>
  <w:style w:type="table" w:styleId="Tablaconcuadrcula">
    <w:name w:val="Table Grid"/>
    <w:basedOn w:val="Tablanormal"/>
    <w:uiPriority w:val="59"/>
    <w:rsid w:val="00426ADE"/>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06315D"/>
    <w:rPr>
      <w:rFonts w:ascii="Palatino Linotype" w:eastAsiaTheme="majorEastAsia" w:hAnsi="Palatino Linotype" w:cstheme="majorBidi"/>
      <w:b/>
      <w:color w:val="000000" w:themeColor="text1"/>
      <w:kern w:val="0"/>
      <w:szCs w:val="32"/>
      <w:lang w:eastAsia="es-ES"/>
      <w14:ligatures w14:val="none"/>
    </w:rPr>
  </w:style>
  <w:style w:type="character" w:customStyle="1" w:styleId="Ttulo2Car">
    <w:name w:val="Título 2 Car"/>
    <w:basedOn w:val="Fuentedeprrafopredeter"/>
    <w:link w:val="Ttulo2"/>
    <w:uiPriority w:val="9"/>
    <w:rsid w:val="0006315D"/>
    <w:rPr>
      <w:rFonts w:ascii="Palatino Linotype" w:eastAsiaTheme="majorEastAsia" w:hAnsi="Palatino Linotype" w:cstheme="majorBidi"/>
      <w:b/>
      <w:color w:val="000000" w:themeColor="text1"/>
      <w:kern w:val="0"/>
      <w:szCs w:val="26"/>
      <w:lang w:eastAsia="es-ES"/>
      <w14:ligatures w14:val="none"/>
    </w:rPr>
  </w:style>
  <w:style w:type="paragraph" w:styleId="TtuloTDC">
    <w:name w:val="TOC Heading"/>
    <w:basedOn w:val="Ttulo1"/>
    <w:next w:val="Normal"/>
    <w:uiPriority w:val="39"/>
    <w:unhideWhenUsed/>
    <w:qFormat/>
    <w:rsid w:val="0006315D"/>
    <w:pPr>
      <w:spacing w:before="240" w:line="259" w:lineRule="auto"/>
      <w:jc w:val="left"/>
      <w:outlineLvl w:val="9"/>
    </w:pPr>
    <w:rPr>
      <w:rFonts w:asciiTheme="majorHAnsi" w:hAnsiTheme="majorHAnsi"/>
      <w:b w:val="0"/>
      <w:color w:val="2F5496" w:themeColor="accent1" w:themeShade="BF"/>
      <w:sz w:val="32"/>
      <w:lang w:eastAsia="es-MX"/>
    </w:rPr>
  </w:style>
  <w:style w:type="paragraph" w:styleId="TDC1">
    <w:name w:val="toc 1"/>
    <w:basedOn w:val="Normal"/>
    <w:next w:val="Normal"/>
    <w:autoRedefine/>
    <w:uiPriority w:val="39"/>
    <w:unhideWhenUsed/>
    <w:rsid w:val="0006315D"/>
    <w:pPr>
      <w:spacing w:after="100"/>
    </w:pPr>
  </w:style>
  <w:style w:type="paragraph" w:styleId="TDC2">
    <w:name w:val="toc 2"/>
    <w:basedOn w:val="Normal"/>
    <w:next w:val="Normal"/>
    <w:autoRedefine/>
    <w:uiPriority w:val="39"/>
    <w:unhideWhenUsed/>
    <w:rsid w:val="0006315D"/>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959">
      <w:bodyDiv w:val="1"/>
      <w:marLeft w:val="0"/>
      <w:marRight w:val="0"/>
      <w:marTop w:val="0"/>
      <w:marBottom w:val="0"/>
      <w:divBdr>
        <w:top w:val="none" w:sz="0" w:space="0" w:color="auto"/>
        <w:left w:val="none" w:sz="0" w:space="0" w:color="auto"/>
        <w:bottom w:val="none" w:sz="0" w:space="0" w:color="auto"/>
        <w:right w:val="none" w:sz="0" w:space="0" w:color="auto"/>
      </w:divBdr>
    </w:div>
    <w:div w:id="257564456">
      <w:bodyDiv w:val="1"/>
      <w:marLeft w:val="0"/>
      <w:marRight w:val="0"/>
      <w:marTop w:val="0"/>
      <w:marBottom w:val="0"/>
      <w:divBdr>
        <w:top w:val="none" w:sz="0" w:space="0" w:color="auto"/>
        <w:left w:val="none" w:sz="0" w:space="0" w:color="auto"/>
        <w:bottom w:val="none" w:sz="0" w:space="0" w:color="auto"/>
        <w:right w:val="none" w:sz="0" w:space="0" w:color="auto"/>
      </w:divBdr>
    </w:div>
    <w:div w:id="298075263">
      <w:bodyDiv w:val="1"/>
      <w:marLeft w:val="0"/>
      <w:marRight w:val="0"/>
      <w:marTop w:val="0"/>
      <w:marBottom w:val="0"/>
      <w:divBdr>
        <w:top w:val="none" w:sz="0" w:space="0" w:color="auto"/>
        <w:left w:val="none" w:sz="0" w:space="0" w:color="auto"/>
        <w:bottom w:val="none" w:sz="0" w:space="0" w:color="auto"/>
        <w:right w:val="none" w:sz="0" w:space="0" w:color="auto"/>
      </w:divBdr>
    </w:div>
    <w:div w:id="368721562">
      <w:bodyDiv w:val="1"/>
      <w:marLeft w:val="0"/>
      <w:marRight w:val="0"/>
      <w:marTop w:val="0"/>
      <w:marBottom w:val="0"/>
      <w:divBdr>
        <w:top w:val="none" w:sz="0" w:space="0" w:color="auto"/>
        <w:left w:val="none" w:sz="0" w:space="0" w:color="auto"/>
        <w:bottom w:val="none" w:sz="0" w:space="0" w:color="auto"/>
        <w:right w:val="none" w:sz="0" w:space="0" w:color="auto"/>
      </w:divBdr>
    </w:div>
    <w:div w:id="558058230">
      <w:bodyDiv w:val="1"/>
      <w:marLeft w:val="0"/>
      <w:marRight w:val="0"/>
      <w:marTop w:val="0"/>
      <w:marBottom w:val="0"/>
      <w:divBdr>
        <w:top w:val="none" w:sz="0" w:space="0" w:color="auto"/>
        <w:left w:val="none" w:sz="0" w:space="0" w:color="auto"/>
        <w:bottom w:val="none" w:sz="0" w:space="0" w:color="auto"/>
        <w:right w:val="none" w:sz="0" w:space="0" w:color="auto"/>
      </w:divBdr>
    </w:div>
    <w:div w:id="623148191">
      <w:bodyDiv w:val="1"/>
      <w:marLeft w:val="0"/>
      <w:marRight w:val="0"/>
      <w:marTop w:val="0"/>
      <w:marBottom w:val="0"/>
      <w:divBdr>
        <w:top w:val="none" w:sz="0" w:space="0" w:color="auto"/>
        <w:left w:val="none" w:sz="0" w:space="0" w:color="auto"/>
        <w:bottom w:val="none" w:sz="0" w:space="0" w:color="auto"/>
        <w:right w:val="none" w:sz="0" w:space="0" w:color="auto"/>
      </w:divBdr>
    </w:div>
    <w:div w:id="643313450">
      <w:bodyDiv w:val="1"/>
      <w:marLeft w:val="0"/>
      <w:marRight w:val="0"/>
      <w:marTop w:val="0"/>
      <w:marBottom w:val="0"/>
      <w:divBdr>
        <w:top w:val="none" w:sz="0" w:space="0" w:color="auto"/>
        <w:left w:val="none" w:sz="0" w:space="0" w:color="auto"/>
        <w:bottom w:val="none" w:sz="0" w:space="0" w:color="auto"/>
        <w:right w:val="none" w:sz="0" w:space="0" w:color="auto"/>
      </w:divBdr>
    </w:div>
    <w:div w:id="667831333">
      <w:bodyDiv w:val="1"/>
      <w:marLeft w:val="0"/>
      <w:marRight w:val="0"/>
      <w:marTop w:val="0"/>
      <w:marBottom w:val="0"/>
      <w:divBdr>
        <w:top w:val="none" w:sz="0" w:space="0" w:color="auto"/>
        <w:left w:val="none" w:sz="0" w:space="0" w:color="auto"/>
        <w:bottom w:val="none" w:sz="0" w:space="0" w:color="auto"/>
        <w:right w:val="none" w:sz="0" w:space="0" w:color="auto"/>
      </w:divBdr>
    </w:div>
    <w:div w:id="914053368">
      <w:bodyDiv w:val="1"/>
      <w:marLeft w:val="0"/>
      <w:marRight w:val="0"/>
      <w:marTop w:val="0"/>
      <w:marBottom w:val="0"/>
      <w:divBdr>
        <w:top w:val="none" w:sz="0" w:space="0" w:color="auto"/>
        <w:left w:val="none" w:sz="0" w:space="0" w:color="auto"/>
        <w:bottom w:val="none" w:sz="0" w:space="0" w:color="auto"/>
        <w:right w:val="none" w:sz="0" w:space="0" w:color="auto"/>
      </w:divBdr>
    </w:div>
    <w:div w:id="999389146">
      <w:bodyDiv w:val="1"/>
      <w:marLeft w:val="0"/>
      <w:marRight w:val="0"/>
      <w:marTop w:val="0"/>
      <w:marBottom w:val="0"/>
      <w:divBdr>
        <w:top w:val="none" w:sz="0" w:space="0" w:color="auto"/>
        <w:left w:val="none" w:sz="0" w:space="0" w:color="auto"/>
        <w:bottom w:val="none" w:sz="0" w:space="0" w:color="auto"/>
        <w:right w:val="none" w:sz="0" w:space="0" w:color="auto"/>
      </w:divBdr>
    </w:div>
    <w:div w:id="1049692363">
      <w:bodyDiv w:val="1"/>
      <w:marLeft w:val="0"/>
      <w:marRight w:val="0"/>
      <w:marTop w:val="0"/>
      <w:marBottom w:val="0"/>
      <w:divBdr>
        <w:top w:val="none" w:sz="0" w:space="0" w:color="auto"/>
        <w:left w:val="none" w:sz="0" w:space="0" w:color="auto"/>
        <w:bottom w:val="none" w:sz="0" w:space="0" w:color="auto"/>
        <w:right w:val="none" w:sz="0" w:space="0" w:color="auto"/>
      </w:divBdr>
    </w:div>
    <w:div w:id="1144204255">
      <w:bodyDiv w:val="1"/>
      <w:marLeft w:val="0"/>
      <w:marRight w:val="0"/>
      <w:marTop w:val="0"/>
      <w:marBottom w:val="0"/>
      <w:divBdr>
        <w:top w:val="none" w:sz="0" w:space="0" w:color="auto"/>
        <w:left w:val="none" w:sz="0" w:space="0" w:color="auto"/>
        <w:bottom w:val="none" w:sz="0" w:space="0" w:color="auto"/>
        <w:right w:val="none" w:sz="0" w:space="0" w:color="auto"/>
      </w:divBdr>
    </w:div>
    <w:div w:id="1163547159">
      <w:bodyDiv w:val="1"/>
      <w:marLeft w:val="0"/>
      <w:marRight w:val="0"/>
      <w:marTop w:val="0"/>
      <w:marBottom w:val="0"/>
      <w:divBdr>
        <w:top w:val="none" w:sz="0" w:space="0" w:color="auto"/>
        <w:left w:val="none" w:sz="0" w:space="0" w:color="auto"/>
        <w:bottom w:val="none" w:sz="0" w:space="0" w:color="auto"/>
        <w:right w:val="none" w:sz="0" w:space="0" w:color="auto"/>
      </w:divBdr>
    </w:div>
    <w:div w:id="1271358995">
      <w:bodyDiv w:val="1"/>
      <w:marLeft w:val="0"/>
      <w:marRight w:val="0"/>
      <w:marTop w:val="0"/>
      <w:marBottom w:val="0"/>
      <w:divBdr>
        <w:top w:val="none" w:sz="0" w:space="0" w:color="auto"/>
        <w:left w:val="none" w:sz="0" w:space="0" w:color="auto"/>
        <w:bottom w:val="none" w:sz="0" w:space="0" w:color="auto"/>
        <w:right w:val="none" w:sz="0" w:space="0" w:color="auto"/>
      </w:divBdr>
    </w:div>
    <w:div w:id="1332291325">
      <w:bodyDiv w:val="1"/>
      <w:marLeft w:val="0"/>
      <w:marRight w:val="0"/>
      <w:marTop w:val="0"/>
      <w:marBottom w:val="0"/>
      <w:divBdr>
        <w:top w:val="none" w:sz="0" w:space="0" w:color="auto"/>
        <w:left w:val="none" w:sz="0" w:space="0" w:color="auto"/>
        <w:bottom w:val="none" w:sz="0" w:space="0" w:color="auto"/>
        <w:right w:val="none" w:sz="0" w:space="0" w:color="auto"/>
      </w:divBdr>
    </w:div>
    <w:div w:id="1390491268">
      <w:bodyDiv w:val="1"/>
      <w:marLeft w:val="0"/>
      <w:marRight w:val="0"/>
      <w:marTop w:val="0"/>
      <w:marBottom w:val="0"/>
      <w:divBdr>
        <w:top w:val="none" w:sz="0" w:space="0" w:color="auto"/>
        <w:left w:val="none" w:sz="0" w:space="0" w:color="auto"/>
        <w:bottom w:val="none" w:sz="0" w:space="0" w:color="auto"/>
        <w:right w:val="none" w:sz="0" w:space="0" w:color="auto"/>
      </w:divBdr>
    </w:div>
    <w:div w:id="1519463181">
      <w:bodyDiv w:val="1"/>
      <w:marLeft w:val="0"/>
      <w:marRight w:val="0"/>
      <w:marTop w:val="0"/>
      <w:marBottom w:val="0"/>
      <w:divBdr>
        <w:top w:val="none" w:sz="0" w:space="0" w:color="auto"/>
        <w:left w:val="none" w:sz="0" w:space="0" w:color="auto"/>
        <w:bottom w:val="none" w:sz="0" w:space="0" w:color="auto"/>
        <w:right w:val="none" w:sz="0" w:space="0" w:color="auto"/>
      </w:divBdr>
    </w:div>
    <w:div w:id="1540584362">
      <w:bodyDiv w:val="1"/>
      <w:marLeft w:val="0"/>
      <w:marRight w:val="0"/>
      <w:marTop w:val="0"/>
      <w:marBottom w:val="0"/>
      <w:divBdr>
        <w:top w:val="none" w:sz="0" w:space="0" w:color="auto"/>
        <w:left w:val="none" w:sz="0" w:space="0" w:color="auto"/>
        <w:bottom w:val="none" w:sz="0" w:space="0" w:color="auto"/>
        <w:right w:val="none" w:sz="0" w:space="0" w:color="auto"/>
      </w:divBdr>
    </w:div>
    <w:div w:id="1623145558">
      <w:bodyDiv w:val="1"/>
      <w:marLeft w:val="0"/>
      <w:marRight w:val="0"/>
      <w:marTop w:val="0"/>
      <w:marBottom w:val="0"/>
      <w:divBdr>
        <w:top w:val="none" w:sz="0" w:space="0" w:color="auto"/>
        <w:left w:val="none" w:sz="0" w:space="0" w:color="auto"/>
        <w:bottom w:val="none" w:sz="0" w:space="0" w:color="auto"/>
        <w:right w:val="none" w:sz="0" w:space="0" w:color="auto"/>
      </w:divBdr>
    </w:div>
    <w:div w:id="1648196705">
      <w:bodyDiv w:val="1"/>
      <w:marLeft w:val="0"/>
      <w:marRight w:val="0"/>
      <w:marTop w:val="0"/>
      <w:marBottom w:val="0"/>
      <w:divBdr>
        <w:top w:val="none" w:sz="0" w:space="0" w:color="auto"/>
        <w:left w:val="none" w:sz="0" w:space="0" w:color="auto"/>
        <w:bottom w:val="none" w:sz="0" w:space="0" w:color="auto"/>
        <w:right w:val="none" w:sz="0" w:space="0" w:color="auto"/>
      </w:divBdr>
    </w:div>
    <w:div w:id="1696223828">
      <w:bodyDiv w:val="1"/>
      <w:marLeft w:val="0"/>
      <w:marRight w:val="0"/>
      <w:marTop w:val="0"/>
      <w:marBottom w:val="0"/>
      <w:divBdr>
        <w:top w:val="none" w:sz="0" w:space="0" w:color="auto"/>
        <w:left w:val="none" w:sz="0" w:space="0" w:color="auto"/>
        <w:bottom w:val="none" w:sz="0" w:space="0" w:color="auto"/>
        <w:right w:val="none" w:sz="0" w:space="0" w:color="auto"/>
      </w:divBdr>
    </w:div>
    <w:div w:id="1721435911">
      <w:bodyDiv w:val="1"/>
      <w:marLeft w:val="0"/>
      <w:marRight w:val="0"/>
      <w:marTop w:val="0"/>
      <w:marBottom w:val="0"/>
      <w:divBdr>
        <w:top w:val="none" w:sz="0" w:space="0" w:color="auto"/>
        <w:left w:val="none" w:sz="0" w:space="0" w:color="auto"/>
        <w:bottom w:val="none" w:sz="0" w:space="0" w:color="auto"/>
        <w:right w:val="none" w:sz="0" w:space="0" w:color="auto"/>
      </w:divBdr>
    </w:div>
    <w:div w:id="1741318810">
      <w:bodyDiv w:val="1"/>
      <w:marLeft w:val="0"/>
      <w:marRight w:val="0"/>
      <w:marTop w:val="0"/>
      <w:marBottom w:val="0"/>
      <w:divBdr>
        <w:top w:val="none" w:sz="0" w:space="0" w:color="auto"/>
        <w:left w:val="none" w:sz="0" w:space="0" w:color="auto"/>
        <w:bottom w:val="none" w:sz="0" w:space="0" w:color="auto"/>
        <w:right w:val="none" w:sz="0" w:space="0" w:color="auto"/>
      </w:divBdr>
    </w:div>
    <w:div w:id="1883638755">
      <w:bodyDiv w:val="1"/>
      <w:marLeft w:val="0"/>
      <w:marRight w:val="0"/>
      <w:marTop w:val="0"/>
      <w:marBottom w:val="0"/>
      <w:divBdr>
        <w:top w:val="none" w:sz="0" w:space="0" w:color="auto"/>
        <w:left w:val="none" w:sz="0" w:space="0" w:color="auto"/>
        <w:bottom w:val="none" w:sz="0" w:space="0" w:color="auto"/>
        <w:right w:val="none" w:sz="0" w:space="0" w:color="auto"/>
      </w:divBdr>
    </w:div>
    <w:div w:id="1910459135">
      <w:bodyDiv w:val="1"/>
      <w:marLeft w:val="0"/>
      <w:marRight w:val="0"/>
      <w:marTop w:val="0"/>
      <w:marBottom w:val="0"/>
      <w:divBdr>
        <w:top w:val="none" w:sz="0" w:space="0" w:color="auto"/>
        <w:left w:val="none" w:sz="0" w:space="0" w:color="auto"/>
        <w:bottom w:val="none" w:sz="0" w:space="0" w:color="auto"/>
        <w:right w:val="none" w:sz="0" w:space="0" w:color="auto"/>
      </w:divBdr>
    </w:div>
    <w:div w:id="2009821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36CDD-B945-4D16-824F-3D423D30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13873</Words>
  <Characters>73668</Characters>
  <Application>Microsoft Office Word</Application>
  <DocSecurity>0</DocSecurity>
  <Lines>1389</Lines>
  <Paragraphs>348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Roxana Lechuga</cp:lastModifiedBy>
  <cp:revision>4</cp:revision>
  <cp:lastPrinted>2025-10-24T16:14:00Z</cp:lastPrinted>
  <dcterms:created xsi:type="dcterms:W3CDTF">2025-10-24T16:13:00Z</dcterms:created>
  <dcterms:modified xsi:type="dcterms:W3CDTF">2025-12-14T20:14:00Z</dcterms:modified>
</cp:coreProperties>
</file>