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3213"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bookmarkStart w:id="0" w:name="_heading=h.1t3h5sf" w:colFirst="0" w:colLast="0"/>
      <w:bookmarkEnd w:id="0"/>
      <w:r w:rsidRPr="00AC211D">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doce de noviembre de dos mil veinticinco.</w:t>
      </w:r>
    </w:p>
    <w:p w14:paraId="53CECFC7" w14:textId="362AECF4" w:rsidR="00A82B34" w:rsidRPr="00AC211D" w:rsidRDefault="000E1924">
      <w:pPr>
        <w:spacing w:before="240" w:after="240" w:line="360" w:lineRule="auto"/>
        <w:jc w:val="both"/>
        <w:rPr>
          <w:rFonts w:ascii="Palatino Linotype" w:eastAsia="Palatino Linotype" w:hAnsi="Palatino Linotype" w:cs="Palatino Linotype"/>
          <w:sz w:val="22"/>
          <w:szCs w:val="22"/>
        </w:rPr>
      </w:pPr>
      <w:bookmarkStart w:id="1" w:name="_heading=h.30j0zll" w:colFirst="0" w:colLast="0"/>
      <w:bookmarkEnd w:id="1"/>
      <w:r w:rsidRPr="00AC211D">
        <w:rPr>
          <w:rFonts w:ascii="Palatino Linotype" w:eastAsia="Palatino Linotype" w:hAnsi="Palatino Linotype" w:cs="Palatino Linotype"/>
          <w:b/>
          <w:sz w:val="22"/>
          <w:szCs w:val="22"/>
        </w:rPr>
        <w:t xml:space="preserve">Vistos </w:t>
      </w:r>
      <w:r w:rsidRPr="00AC211D">
        <w:rPr>
          <w:rFonts w:ascii="Palatino Linotype" w:eastAsia="Palatino Linotype" w:hAnsi="Palatino Linotype" w:cs="Palatino Linotype"/>
          <w:sz w:val="22"/>
          <w:szCs w:val="22"/>
        </w:rPr>
        <w:t xml:space="preserve">los expedientes relativos a los recursos de revisión </w:t>
      </w:r>
      <w:r w:rsidRPr="00AC211D">
        <w:rPr>
          <w:rFonts w:ascii="Palatino Linotype" w:eastAsia="Palatino Linotype" w:hAnsi="Palatino Linotype" w:cs="Palatino Linotype"/>
          <w:b/>
          <w:sz w:val="22"/>
          <w:szCs w:val="22"/>
        </w:rPr>
        <w:t xml:space="preserve">12054/INFOEM/IP/RR/2025, 12055/INFOEM/IP/RR/2025, 12056/INFOEM/IP/RR/2025, 12057/INFOEM/IP/RR/2025, 12058/INFOEM/IP/RR/2025 </w:t>
      </w:r>
      <w:r w:rsidRPr="00AC211D">
        <w:rPr>
          <w:rFonts w:ascii="Palatino Linotype" w:eastAsia="Palatino Linotype" w:hAnsi="Palatino Linotype" w:cs="Palatino Linotype"/>
          <w:sz w:val="22"/>
          <w:szCs w:val="22"/>
        </w:rPr>
        <w:t>y</w:t>
      </w:r>
      <w:r w:rsidRPr="00AC211D">
        <w:rPr>
          <w:rFonts w:ascii="Palatino Linotype" w:eastAsia="Palatino Linotype" w:hAnsi="Palatino Linotype" w:cs="Palatino Linotype"/>
          <w:b/>
          <w:sz w:val="22"/>
          <w:szCs w:val="22"/>
        </w:rPr>
        <w:t xml:space="preserve"> 12059/INFOEM/IP/RR/2025, acumulados</w:t>
      </w:r>
      <w:r w:rsidRPr="00AC211D">
        <w:rPr>
          <w:rFonts w:ascii="Palatino Linotype" w:eastAsia="Palatino Linotype" w:hAnsi="Palatino Linotype" w:cs="Palatino Linotype"/>
          <w:sz w:val="22"/>
          <w:szCs w:val="22"/>
        </w:rPr>
        <w:t xml:space="preserve">, interpuestos por </w:t>
      </w:r>
      <w:r w:rsidR="00C274E4" w:rsidRPr="00C274E4">
        <w:rPr>
          <w:rFonts w:ascii="Palatino Linotype" w:eastAsia="Palatino Linotype" w:hAnsi="Palatino Linotype" w:cs="Palatino Linotype"/>
          <w:b/>
          <w:sz w:val="22"/>
          <w:szCs w:val="22"/>
        </w:rPr>
        <w:t>XXXXXX XXXXXXX XXXXXXXX</w:t>
      </w:r>
      <w:r w:rsidRPr="00C274E4">
        <w:rPr>
          <w:rFonts w:ascii="Palatino Linotype" w:eastAsia="Palatino Linotype" w:hAnsi="Palatino Linotype" w:cs="Palatino Linotype"/>
          <w:b/>
          <w:sz w:val="22"/>
          <w:szCs w:val="22"/>
        </w:rPr>
        <w:t>,</w:t>
      </w:r>
      <w:bookmarkStart w:id="2" w:name="_GoBack"/>
      <w:bookmarkEnd w:id="2"/>
      <w:r w:rsidRPr="00AC211D">
        <w:rPr>
          <w:rFonts w:ascii="Palatino Linotype" w:eastAsia="Palatino Linotype" w:hAnsi="Palatino Linotype" w:cs="Palatino Linotype"/>
          <w:sz w:val="22"/>
          <w:szCs w:val="22"/>
        </w:rPr>
        <w:t xml:space="preserve"> en lo sucesivo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en contra de la falta de respuesta sus solicitudes de información con números de folio </w:t>
      </w:r>
      <w:r w:rsidRPr="00AC211D">
        <w:rPr>
          <w:rFonts w:ascii="Palatino Linotype" w:eastAsia="Palatino Linotype" w:hAnsi="Palatino Linotype" w:cs="Palatino Linotype"/>
          <w:b/>
          <w:sz w:val="22"/>
          <w:szCs w:val="22"/>
        </w:rPr>
        <w:t xml:space="preserve">00560/TEPOTZOT/IP/2025, 00561/TEPOTZOT/IP/2025, 00562/TEPOTZOT/IP/2025, 00563/TEPOTZOT/IP/2025, 00564/TEPOTZOT/IP/2025 </w:t>
      </w:r>
      <w:r w:rsidRPr="00AC211D">
        <w:rPr>
          <w:rFonts w:ascii="Palatino Linotype" w:eastAsia="Palatino Linotype" w:hAnsi="Palatino Linotype" w:cs="Palatino Linotype"/>
          <w:sz w:val="22"/>
          <w:szCs w:val="22"/>
        </w:rPr>
        <w:t xml:space="preserve">y </w:t>
      </w:r>
      <w:r w:rsidRPr="00AC211D">
        <w:rPr>
          <w:rFonts w:ascii="Palatino Linotype" w:eastAsia="Palatino Linotype" w:hAnsi="Palatino Linotype" w:cs="Palatino Linotype"/>
          <w:b/>
          <w:sz w:val="22"/>
          <w:szCs w:val="22"/>
        </w:rPr>
        <w:t xml:space="preserve">00565/TEPOTZOT/IP/2025, </w:t>
      </w:r>
      <w:r w:rsidRPr="00AC211D">
        <w:rPr>
          <w:rFonts w:ascii="Palatino Linotype" w:eastAsia="Palatino Linotype" w:hAnsi="Palatino Linotype" w:cs="Palatino Linotype"/>
          <w:sz w:val="22"/>
          <w:szCs w:val="22"/>
        </w:rPr>
        <w:t xml:space="preserve">por parte del </w:t>
      </w:r>
      <w:r w:rsidRPr="00AC211D">
        <w:rPr>
          <w:rFonts w:ascii="Palatino Linotype" w:eastAsia="Palatino Linotype" w:hAnsi="Palatino Linotype" w:cs="Palatino Linotype"/>
          <w:b/>
          <w:sz w:val="22"/>
          <w:szCs w:val="22"/>
        </w:rPr>
        <w:t>Ayuntamiento de Tepotzotlán</w:t>
      </w:r>
      <w:r w:rsidRPr="00AC211D">
        <w:rPr>
          <w:rFonts w:ascii="Palatino Linotype" w:eastAsia="Palatino Linotype" w:hAnsi="Palatino Linotype" w:cs="Palatino Linotype"/>
          <w:sz w:val="22"/>
          <w:szCs w:val="22"/>
        </w:rPr>
        <w:t xml:space="preserve">, en lo sucesivo el </w:t>
      </w:r>
      <w:r w:rsidRPr="00AC211D">
        <w:rPr>
          <w:rFonts w:ascii="Palatino Linotype" w:eastAsia="Palatino Linotype" w:hAnsi="Palatino Linotype" w:cs="Palatino Linotype"/>
          <w:b/>
          <w:sz w:val="22"/>
          <w:szCs w:val="22"/>
        </w:rPr>
        <w:t xml:space="preserve">Sujeto Obligado; </w:t>
      </w:r>
      <w:r w:rsidRPr="00AC211D">
        <w:rPr>
          <w:rFonts w:ascii="Palatino Linotype" w:eastAsia="Palatino Linotype" w:hAnsi="Palatino Linotype" w:cs="Palatino Linotype"/>
          <w:sz w:val="22"/>
          <w:szCs w:val="22"/>
        </w:rPr>
        <w:t xml:space="preserve">se procede a dictar la presente resolución, con base en lo siguiente. </w:t>
      </w:r>
    </w:p>
    <w:p w14:paraId="4005ED12" w14:textId="77777777" w:rsidR="00A82B34" w:rsidRPr="00AC211D" w:rsidRDefault="000E1924">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I. A N T E C E D E N T E S:</w:t>
      </w:r>
    </w:p>
    <w:p w14:paraId="3E6494F8"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AC211D">
        <w:rPr>
          <w:rFonts w:ascii="Palatino Linotype" w:eastAsia="Palatino Linotype" w:hAnsi="Palatino Linotype" w:cs="Palatino Linotype"/>
          <w:b/>
          <w:sz w:val="22"/>
          <w:szCs w:val="22"/>
        </w:rPr>
        <w:t>1. Solicitudes de acceso a la información.</w:t>
      </w:r>
      <w:r w:rsidRPr="00AC211D">
        <w:rPr>
          <w:rFonts w:ascii="Palatino Linotype" w:eastAsia="Palatino Linotype" w:hAnsi="Palatino Linotype" w:cs="Palatino Linotype"/>
          <w:sz w:val="22"/>
          <w:szCs w:val="22"/>
        </w:rPr>
        <w:t xml:space="preserve"> El </w:t>
      </w:r>
      <w:r w:rsidRPr="00AC211D">
        <w:rPr>
          <w:rFonts w:ascii="Palatino Linotype" w:eastAsia="Palatino Linotype" w:hAnsi="Palatino Linotype" w:cs="Palatino Linotype"/>
          <w:b/>
          <w:sz w:val="22"/>
          <w:szCs w:val="22"/>
        </w:rPr>
        <w:t xml:space="preserve">veintiuno de septiembre de dos mil veinticinco, </w:t>
      </w:r>
      <w:r w:rsidRPr="00AC211D">
        <w:rPr>
          <w:rFonts w:ascii="Palatino Linotype" w:eastAsia="Palatino Linotype" w:hAnsi="Palatino Linotype" w:cs="Palatino Linotype"/>
          <w:sz w:val="22"/>
          <w:szCs w:val="22"/>
        </w:rPr>
        <w:t xml:space="preserve">la parte </w:t>
      </w:r>
      <w:r w:rsidRPr="00AC211D">
        <w:rPr>
          <w:rFonts w:ascii="Palatino Linotype" w:eastAsia="Palatino Linotype" w:hAnsi="Palatino Linotype" w:cs="Palatino Linotype"/>
          <w:b/>
          <w:sz w:val="22"/>
          <w:szCs w:val="22"/>
        </w:rPr>
        <w:t xml:space="preserve">Recurrente </w:t>
      </w:r>
      <w:r w:rsidRPr="00AC211D">
        <w:rPr>
          <w:rFonts w:ascii="Palatino Linotype" w:eastAsia="Palatino Linotype" w:hAnsi="Palatino Linotype" w:cs="Palatino Linotype"/>
          <w:sz w:val="22"/>
          <w:szCs w:val="22"/>
        </w:rPr>
        <w:t xml:space="preserve">presentó, través del Sistema de Acceso a la Información Mexiquense, en lo subsecuente el </w:t>
      </w:r>
      <w:r w:rsidRPr="00AC211D">
        <w:rPr>
          <w:rFonts w:ascii="Palatino Linotype" w:eastAsia="Palatino Linotype" w:hAnsi="Palatino Linotype" w:cs="Palatino Linotype"/>
          <w:b/>
          <w:sz w:val="22"/>
          <w:szCs w:val="22"/>
        </w:rPr>
        <w:t xml:space="preserve">SAIMEX, </w:t>
      </w:r>
      <w:r w:rsidRPr="00AC211D">
        <w:rPr>
          <w:rFonts w:ascii="Palatino Linotype" w:eastAsia="Palatino Linotype" w:hAnsi="Palatino Linotype" w:cs="Palatino Linotype"/>
          <w:sz w:val="22"/>
          <w:szCs w:val="22"/>
        </w:rPr>
        <w:t xml:space="preserve">ante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las solicitudes de acceso a la información pública, sin embargo, al corresponder con un día inhábil, se tuvieron por presentadas el </w:t>
      </w:r>
      <w:r w:rsidRPr="00AC211D">
        <w:rPr>
          <w:rFonts w:ascii="Palatino Linotype" w:eastAsia="Palatino Linotype" w:hAnsi="Palatino Linotype" w:cs="Palatino Linotype"/>
          <w:b/>
          <w:sz w:val="22"/>
          <w:szCs w:val="22"/>
        </w:rPr>
        <w:t xml:space="preserve">veintidós de septiembre de dos mil veinticinco, </w:t>
      </w:r>
      <w:r w:rsidRPr="00AC211D">
        <w:rPr>
          <w:rFonts w:ascii="Palatino Linotype" w:eastAsia="Palatino Linotype" w:hAnsi="Palatino Linotype" w:cs="Palatino Linotype"/>
          <w:sz w:val="22"/>
          <w:szCs w:val="22"/>
        </w:rPr>
        <w:t>mediante las cuales requirió la información siguiente:</w:t>
      </w:r>
    </w:p>
    <w:tbl>
      <w:tblPr>
        <w:tblStyle w:val="a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1C764D" w:rsidRPr="00AC211D" w14:paraId="3802A217" w14:textId="77777777">
        <w:trPr>
          <w:jc w:val="center"/>
        </w:trPr>
        <w:tc>
          <w:tcPr>
            <w:tcW w:w="2972" w:type="dxa"/>
            <w:shd w:val="clear" w:color="auto" w:fill="A6A6A6"/>
          </w:tcPr>
          <w:p w14:paraId="33B3C83C" w14:textId="77777777" w:rsidR="00A82B34" w:rsidRPr="00AC211D" w:rsidRDefault="000E1924">
            <w:pPr>
              <w:jc w:val="center"/>
              <w:rPr>
                <w:rFonts w:ascii="Palatino Linotype" w:eastAsia="Palatino Linotype" w:hAnsi="Palatino Linotype" w:cs="Palatino Linotype"/>
                <w:b/>
                <w:sz w:val="20"/>
                <w:szCs w:val="20"/>
              </w:rPr>
            </w:pPr>
            <w:r w:rsidRPr="00AC211D">
              <w:rPr>
                <w:rFonts w:ascii="Palatino Linotype" w:eastAsia="Palatino Linotype" w:hAnsi="Palatino Linotype" w:cs="Palatino Linotype"/>
                <w:b/>
                <w:sz w:val="20"/>
                <w:szCs w:val="20"/>
              </w:rPr>
              <w:t>Número de solicitud</w:t>
            </w:r>
          </w:p>
        </w:tc>
        <w:tc>
          <w:tcPr>
            <w:tcW w:w="5856" w:type="dxa"/>
            <w:shd w:val="clear" w:color="auto" w:fill="A6A6A6"/>
          </w:tcPr>
          <w:p w14:paraId="13156CFB" w14:textId="77777777" w:rsidR="00A82B34" w:rsidRPr="00AC211D" w:rsidRDefault="000E1924">
            <w:pPr>
              <w:jc w:val="center"/>
              <w:rPr>
                <w:rFonts w:ascii="Palatino Linotype" w:eastAsia="Palatino Linotype" w:hAnsi="Palatino Linotype" w:cs="Palatino Linotype"/>
                <w:b/>
                <w:sz w:val="20"/>
                <w:szCs w:val="20"/>
              </w:rPr>
            </w:pPr>
            <w:r w:rsidRPr="00AC211D">
              <w:rPr>
                <w:rFonts w:ascii="Palatino Linotype" w:eastAsia="Palatino Linotype" w:hAnsi="Palatino Linotype" w:cs="Palatino Linotype"/>
                <w:b/>
                <w:sz w:val="20"/>
                <w:szCs w:val="20"/>
              </w:rPr>
              <w:t>Información solicitada</w:t>
            </w:r>
          </w:p>
        </w:tc>
      </w:tr>
      <w:tr w:rsidR="001C764D" w:rsidRPr="00AC211D" w14:paraId="0A51BF35" w14:textId="77777777">
        <w:trPr>
          <w:jc w:val="center"/>
        </w:trPr>
        <w:tc>
          <w:tcPr>
            <w:tcW w:w="2972" w:type="dxa"/>
            <w:vAlign w:val="center"/>
          </w:tcPr>
          <w:p w14:paraId="58111C14"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00560/TEPOTZOT/IP/2025</w:t>
            </w:r>
          </w:p>
          <w:p w14:paraId="236F0F4C" w14:textId="77777777" w:rsidR="00A82B34" w:rsidRPr="00AC211D" w:rsidRDefault="000E1924">
            <w:pPr>
              <w:spacing w:before="120" w:after="120"/>
              <w:jc w:val="center"/>
              <w:rPr>
                <w:rFonts w:ascii="Palatino Linotype" w:eastAsia="Palatino Linotype" w:hAnsi="Palatino Linotype" w:cs="Palatino Linotype"/>
                <w:b/>
                <w:i/>
                <w:sz w:val="20"/>
                <w:szCs w:val="20"/>
                <w:lang w:val="en-US"/>
              </w:rPr>
            </w:pPr>
            <w:r w:rsidRPr="00AC211D">
              <w:rPr>
                <w:rFonts w:ascii="Palatino Linotype" w:eastAsia="Palatino Linotype" w:hAnsi="Palatino Linotype" w:cs="Palatino Linotype"/>
                <w:b/>
                <w:sz w:val="20"/>
                <w:szCs w:val="20"/>
                <w:lang w:val="en-US"/>
              </w:rPr>
              <w:t>12054/INFOEM/IP/RR/2025</w:t>
            </w:r>
          </w:p>
        </w:tc>
        <w:tc>
          <w:tcPr>
            <w:tcW w:w="5856" w:type="dxa"/>
            <w:vAlign w:val="center"/>
          </w:tcPr>
          <w:p w14:paraId="76AA9CE4" w14:textId="77777777" w:rsidR="00A82B34" w:rsidRPr="00AC211D" w:rsidRDefault="000E1924">
            <w:pPr>
              <w:spacing w:before="120" w:after="120"/>
              <w:jc w:val="center"/>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2020.” (sic)</w:t>
            </w:r>
          </w:p>
        </w:tc>
      </w:tr>
      <w:tr w:rsidR="001C764D" w:rsidRPr="00AC211D" w14:paraId="6729DD2A" w14:textId="77777777">
        <w:trPr>
          <w:jc w:val="center"/>
        </w:trPr>
        <w:tc>
          <w:tcPr>
            <w:tcW w:w="2972" w:type="dxa"/>
            <w:vAlign w:val="center"/>
          </w:tcPr>
          <w:p w14:paraId="7D2108C6"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lastRenderedPageBreak/>
              <w:t>00561/TEPOTZOT/IP/2025</w:t>
            </w:r>
          </w:p>
          <w:p w14:paraId="775AA0CB" w14:textId="77777777" w:rsidR="00A82B34" w:rsidRPr="00AC211D" w:rsidRDefault="000E1924">
            <w:pPr>
              <w:spacing w:before="120" w:after="120"/>
              <w:jc w:val="center"/>
              <w:rPr>
                <w:rFonts w:ascii="Palatino Linotype" w:eastAsia="Palatino Linotype" w:hAnsi="Palatino Linotype" w:cs="Palatino Linotype"/>
                <w:b/>
                <w:i/>
                <w:sz w:val="20"/>
                <w:szCs w:val="20"/>
                <w:lang w:val="en-US"/>
              </w:rPr>
            </w:pPr>
            <w:r w:rsidRPr="00AC211D">
              <w:rPr>
                <w:rFonts w:ascii="Palatino Linotype" w:eastAsia="Palatino Linotype" w:hAnsi="Palatino Linotype" w:cs="Palatino Linotype"/>
                <w:b/>
                <w:sz w:val="20"/>
                <w:szCs w:val="20"/>
                <w:lang w:val="en-US"/>
              </w:rPr>
              <w:t>12055/INFOEM/IP/RR/2025</w:t>
            </w:r>
          </w:p>
        </w:tc>
        <w:tc>
          <w:tcPr>
            <w:tcW w:w="5856" w:type="dxa"/>
            <w:vAlign w:val="center"/>
          </w:tcPr>
          <w:p w14:paraId="6AD7782A" w14:textId="77777777" w:rsidR="00A82B34" w:rsidRPr="00AC211D" w:rsidRDefault="000E1924">
            <w:pPr>
              <w:spacing w:before="120" w:after="120"/>
              <w:jc w:val="center"/>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2021.” (sic)</w:t>
            </w:r>
          </w:p>
        </w:tc>
      </w:tr>
      <w:tr w:rsidR="001C764D" w:rsidRPr="00AC211D" w14:paraId="4451213E" w14:textId="77777777">
        <w:trPr>
          <w:jc w:val="center"/>
        </w:trPr>
        <w:tc>
          <w:tcPr>
            <w:tcW w:w="2972" w:type="dxa"/>
            <w:vAlign w:val="center"/>
          </w:tcPr>
          <w:p w14:paraId="4C16827A"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00562/TEPOTZOT/IP/2025</w:t>
            </w:r>
          </w:p>
          <w:p w14:paraId="16986395"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12056/INFOEM/IP/RR/2025</w:t>
            </w:r>
          </w:p>
        </w:tc>
        <w:tc>
          <w:tcPr>
            <w:tcW w:w="5856" w:type="dxa"/>
            <w:vAlign w:val="center"/>
          </w:tcPr>
          <w:p w14:paraId="6F30F5C3" w14:textId="77777777" w:rsidR="00A82B34" w:rsidRPr="00AC211D" w:rsidRDefault="000E1924">
            <w:pPr>
              <w:spacing w:before="120" w:after="120"/>
              <w:jc w:val="center"/>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2022.” (sic)</w:t>
            </w:r>
          </w:p>
        </w:tc>
      </w:tr>
      <w:tr w:rsidR="001C764D" w:rsidRPr="00AC211D" w14:paraId="51EE6748" w14:textId="77777777">
        <w:trPr>
          <w:jc w:val="center"/>
        </w:trPr>
        <w:tc>
          <w:tcPr>
            <w:tcW w:w="2972" w:type="dxa"/>
            <w:vAlign w:val="center"/>
          </w:tcPr>
          <w:p w14:paraId="77751479"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00563/TEPOTZOT/IP/2025</w:t>
            </w:r>
          </w:p>
          <w:p w14:paraId="619F54B3"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12058/INFOEM/IP/RR/2025</w:t>
            </w:r>
          </w:p>
        </w:tc>
        <w:tc>
          <w:tcPr>
            <w:tcW w:w="5856" w:type="dxa"/>
            <w:vAlign w:val="center"/>
          </w:tcPr>
          <w:p w14:paraId="388142DA" w14:textId="77777777" w:rsidR="00A82B34" w:rsidRPr="00AC211D" w:rsidRDefault="000E1924">
            <w:pPr>
              <w:tabs>
                <w:tab w:val="left" w:pos="615"/>
              </w:tabs>
              <w:spacing w:before="120" w:after="120"/>
              <w:jc w:val="center"/>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2023.” (sic)</w:t>
            </w:r>
          </w:p>
        </w:tc>
      </w:tr>
      <w:tr w:rsidR="001C764D" w:rsidRPr="00AC211D" w14:paraId="019BF414" w14:textId="77777777">
        <w:trPr>
          <w:jc w:val="center"/>
        </w:trPr>
        <w:tc>
          <w:tcPr>
            <w:tcW w:w="2972" w:type="dxa"/>
            <w:vAlign w:val="center"/>
          </w:tcPr>
          <w:p w14:paraId="41FD16F0"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00564/TEPOTZOT/IP/2025</w:t>
            </w:r>
          </w:p>
          <w:p w14:paraId="2565D09A"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12057/INFOEM/IP/RR/2025</w:t>
            </w:r>
          </w:p>
        </w:tc>
        <w:tc>
          <w:tcPr>
            <w:tcW w:w="5856" w:type="dxa"/>
            <w:vAlign w:val="center"/>
          </w:tcPr>
          <w:p w14:paraId="4E006E80" w14:textId="77777777" w:rsidR="00A82B34" w:rsidRPr="00AC211D" w:rsidRDefault="000E1924">
            <w:pPr>
              <w:spacing w:before="120" w:after="120"/>
              <w:jc w:val="center"/>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2024.” (sic)</w:t>
            </w:r>
          </w:p>
        </w:tc>
      </w:tr>
      <w:tr w:rsidR="001C764D" w:rsidRPr="00AC211D" w14:paraId="48087F63" w14:textId="77777777">
        <w:trPr>
          <w:jc w:val="center"/>
        </w:trPr>
        <w:tc>
          <w:tcPr>
            <w:tcW w:w="2972" w:type="dxa"/>
            <w:vAlign w:val="center"/>
          </w:tcPr>
          <w:p w14:paraId="56EF52FE"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00565/TEPOTZOT/IP/2025</w:t>
            </w:r>
          </w:p>
          <w:p w14:paraId="364FCF2A"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12059/INFOEM/IP/RR/2025</w:t>
            </w:r>
          </w:p>
        </w:tc>
        <w:tc>
          <w:tcPr>
            <w:tcW w:w="5856" w:type="dxa"/>
            <w:vAlign w:val="center"/>
          </w:tcPr>
          <w:p w14:paraId="2ECB4AFC" w14:textId="77777777" w:rsidR="00A82B34" w:rsidRPr="00AC211D" w:rsidRDefault="000E1924">
            <w:pPr>
              <w:spacing w:before="120" w:after="120"/>
              <w:jc w:val="center"/>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2025 ya.” (sic)</w:t>
            </w:r>
          </w:p>
        </w:tc>
      </w:tr>
    </w:tbl>
    <w:p w14:paraId="090BCAA4"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Modalidad elegida para la entrega de la información: </w:t>
      </w:r>
      <w:r w:rsidRPr="00AC211D">
        <w:rPr>
          <w:rFonts w:ascii="Palatino Linotype" w:eastAsia="Palatino Linotype" w:hAnsi="Palatino Linotype" w:cs="Palatino Linotype"/>
          <w:sz w:val="22"/>
          <w:szCs w:val="22"/>
        </w:rPr>
        <w:t xml:space="preserve">a través del </w:t>
      </w:r>
      <w:r w:rsidRPr="00AC211D">
        <w:rPr>
          <w:rFonts w:ascii="Palatino Linotype" w:eastAsia="Palatino Linotype" w:hAnsi="Palatino Linotype" w:cs="Palatino Linotype"/>
          <w:b/>
          <w:sz w:val="22"/>
          <w:szCs w:val="22"/>
        </w:rPr>
        <w:t xml:space="preserve">SAIMEX </w:t>
      </w:r>
      <w:r w:rsidRPr="00AC211D">
        <w:rPr>
          <w:rFonts w:ascii="Palatino Linotype" w:eastAsia="Palatino Linotype" w:hAnsi="Palatino Linotype" w:cs="Palatino Linotype"/>
          <w:sz w:val="22"/>
          <w:szCs w:val="22"/>
        </w:rPr>
        <w:t>en todos los casos.</w:t>
      </w:r>
    </w:p>
    <w:p w14:paraId="2469A89B" w14:textId="77777777" w:rsidR="00A82B34" w:rsidRPr="00AC211D" w:rsidRDefault="000E1924">
      <w:pPr>
        <w:spacing w:before="240" w:after="240" w:line="360" w:lineRule="auto"/>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 xml:space="preserve">2. Respuesta. </w:t>
      </w:r>
      <w:r w:rsidRPr="00AC211D">
        <w:rPr>
          <w:rFonts w:ascii="Palatino Linotype" w:eastAsia="Palatino Linotype" w:hAnsi="Palatino Linotype" w:cs="Palatino Linotype"/>
          <w:sz w:val="22"/>
          <w:szCs w:val="22"/>
        </w:rPr>
        <w:t xml:space="preserve">De las constancias que obran en SAIMEX, se observa que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no emitió respuesta a las solicitudes de información formuladas por la parte </w:t>
      </w:r>
      <w:r w:rsidRPr="00AC211D">
        <w:rPr>
          <w:rFonts w:ascii="Palatino Linotype" w:eastAsia="Palatino Linotype" w:hAnsi="Palatino Linotype" w:cs="Palatino Linotype"/>
          <w:b/>
          <w:sz w:val="22"/>
          <w:szCs w:val="22"/>
        </w:rPr>
        <w:t>Recurrente.</w:t>
      </w:r>
    </w:p>
    <w:p w14:paraId="0476108A"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3. Interposición de los recursos de revisión. </w:t>
      </w:r>
      <w:r w:rsidRPr="00AC211D">
        <w:rPr>
          <w:rFonts w:ascii="Palatino Linotype" w:eastAsia="Palatino Linotype" w:hAnsi="Palatino Linotype" w:cs="Palatino Linotype"/>
          <w:sz w:val="22"/>
          <w:szCs w:val="22"/>
        </w:rPr>
        <w:t xml:space="preserve">Inconforme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con la falta de respuesta del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el </w:t>
      </w:r>
      <w:r w:rsidRPr="00AC211D">
        <w:rPr>
          <w:rFonts w:ascii="Palatino Linotype" w:eastAsia="Palatino Linotype" w:hAnsi="Palatino Linotype" w:cs="Palatino Linotype"/>
          <w:b/>
          <w:sz w:val="22"/>
          <w:szCs w:val="22"/>
        </w:rPr>
        <w:t>dieciocho de octubre de dos mil veinticinco</w:t>
      </w:r>
      <w:r w:rsidRPr="00AC211D">
        <w:rPr>
          <w:rFonts w:ascii="Palatino Linotype" w:eastAsia="Palatino Linotype" w:hAnsi="Palatino Linotype" w:cs="Palatino Linotype"/>
          <w:sz w:val="22"/>
          <w:szCs w:val="22"/>
        </w:rPr>
        <w:t>, interpuso recursos de revisión a través de SAIMEX expresando lo siguiente:</w:t>
      </w:r>
    </w:p>
    <w:tbl>
      <w:tblPr>
        <w:tblStyle w:val="aff0"/>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3140"/>
        <w:gridCol w:w="3021"/>
      </w:tblGrid>
      <w:tr w:rsidR="001C764D" w:rsidRPr="00AC211D" w14:paraId="6E722D87" w14:textId="77777777">
        <w:tc>
          <w:tcPr>
            <w:tcW w:w="2809" w:type="dxa"/>
            <w:shd w:val="clear" w:color="auto" w:fill="D9D9D9"/>
            <w:vAlign w:val="center"/>
          </w:tcPr>
          <w:p w14:paraId="40652386" w14:textId="77777777" w:rsidR="00A82B34" w:rsidRPr="00AC211D" w:rsidRDefault="000E1924">
            <w:pPr>
              <w:jc w:val="center"/>
              <w:rPr>
                <w:rFonts w:ascii="Palatino Linotype" w:eastAsia="Palatino Linotype" w:hAnsi="Palatino Linotype" w:cs="Palatino Linotype"/>
                <w:b/>
                <w:sz w:val="20"/>
                <w:szCs w:val="20"/>
              </w:rPr>
            </w:pPr>
            <w:r w:rsidRPr="00AC211D">
              <w:rPr>
                <w:rFonts w:ascii="Palatino Linotype" w:eastAsia="Palatino Linotype" w:hAnsi="Palatino Linotype" w:cs="Palatino Linotype"/>
                <w:b/>
                <w:sz w:val="20"/>
                <w:szCs w:val="20"/>
              </w:rPr>
              <w:t>Recurso de revisión</w:t>
            </w:r>
          </w:p>
        </w:tc>
        <w:tc>
          <w:tcPr>
            <w:tcW w:w="3140" w:type="dxa"/>
            <w:shd w:val="clear" w:color="auto" w:fill="D9D9D9"/>
            <w:vAlign w:val="center"/>
          </w:tcPr>
          <w:p w14:paraId="031097A9" w14:textId="77777777" w:rsidR="00A82B34" w:rsidRPr="00AC211D" w:rsidRDefault="000E1924">
            <w:pPr>
              <w:jc w:val="center"/>
              <w:rPr>
                <w:rFonts w:ascii="Palatino Linotype" w:eastAsia="Palatino Linotype" w:hAnsi="Palatino Linotype" w:cs="Palatino Linotype"/>
                <w:b/>
                <w:sz w:val="20"/>
                <w:szCs w:val="20"/>
              </w:rPr>
            </w:pPr>
            <w:r w:rsidRPr="00AC211D">
              <w:rPr>
                <w:rFonts w:ascii="Palatino Linotype" w:eastAsia="Palatino Linotype" w:hAnsi="Palatino Linotype" w:cs="Palatino Linotype"/>
                <w:b/>
                <w:sz w:val="20"/>
                <w:szCs w:val="20"/>
              </w:rPr>
              <w:t>Acto impugnado.</w:t>
            </w:r>
          </w:p>
        </w:tc>
        <w:tc>
          <w:tcPr>
            <w:tcW w:w="3021" w:type="dxa"/>
            <w:shd w:val="clear" w:color="auto" w:fill="D9D9D9"/>
            <w:vAlign w:val="center"/>
          </w:tcPr>
          <w:p w14:paraId="2E96E8EA" w14:textId="77777777" w:rsidR="00A82B34" w:rsidRPr="00AC211D" w:rsidRDefault="000E1924">
            <w:pPr>
              <w:jc w:val="center"/>
              <w:rPr>
                <w:rFonts w:ascii="Palatino Linotype" w:eastAsia="Palatino Linotype" w:hAnsi="Palatino Linotype" w:cs="Palatino Linotype"/>
                <w:b/>
                <w:sz w:val="20"/>
                <w:szCs w:val="20"/>
              </w:rPr>
            </w:pPr>
            <w:r w:rsidRPr="00AC211D">
              <w:rPr>
                <w:rFonts w:ascii="Palatino Linotype" w:eastAsia="Palatino Linotype" w:hAnsi="Palatino Linotype" w:cs="Palatino Linotype"/>
                <w:b/>
                <w:sz w:val="20"/>
                <w:szCs w:val="20"/>
              </w:rPr>
              <w:t>Motivos de inconformidad.</w:t>
            </w:r>
          </w:p>
        </w:tc>
      </w:tr>
      <w:tr w:rsidR="001C764D" w:rsidRPr="00AC211D" w14:paraId="080E7BF9" w14:textId="77777777">
        <w:tc>
          <w:tcPr>
            <w:tcW w:w="2809" w:type="dxa"/>
            <w:vAlign w:val="center"/>
          </w:tcPr>
          <w:p w14:paraId="2D4980B1"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00560/TEPOTZOT/IP/2025</w:t>
            </w:r>
          </w:p>
          <w:p w14:paraId="77DAC876" w14:textId="77777777" w:rsidR="00A82B34" w:rsidRPr="00AC211D" w:rsidRDefault="000E1924">
            <w:pPr>
              <w:jc w:val="center"/>
              <w:rPr>
                <w:rFonts w:ascii="Palatino Linotype" w:eastAsia="Palatino Linotype" w:hAnsi="Palatino Linotype" w:cs="Palatino Linotype"/>
                <w:sz w:val="20"/>
                <w:szCs w:val="20"/>
                <w:lang w:val="en-US"/>
              </w:rPr>
            </w:pPr>
            <w:r w:rsidRPr="00AC211D">
              <w:rPr>
                <w:rFonts w:ascii="Palatino Linotype" w:eastAsia="Palatino Linotype" w:hAnsi="Palatino Linotype" w:cs="Palatino Linotype"/>
                <w:b/>
                <w:sz w:val="20"/>
                <w:szCs w:val="20"/>
                <w:lang w:val="en-US"/>
              </w:rPr>
              <w:t>12054/INFOEM/IP/RR/2025</w:t>
            </w:r>
          </w:p>
        </w:tc>
        <w:tc>
          <w:tcPr>
            <w:tcW w:w="3140" w:type="dxa"/>
            <w:vAlign w:val="center"/>
          </w:tcPr>
          <w:p w14:paraId="1F493F9F"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2020 ya que el Ayuntamiento está obligado a guardar documentos de mínimo 5 años anteriores” (sic)</w:t>
            </w:r>
          </w:p>
        </w:tc>
        <w:tc>
          <w:tcPr>
            <w:tcW w:w="3021" w:type="dxa"/>
            <w:vMerge w:val="restart"/>
          </w:tcPr>
          <w:p w14:paraId="581A67D7"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 xml:space="preserve">“En términos del articulo 8 constitucional tengo derecho a realizar mi petición así mismo de conformidad al articulo 4, 11, 15, 92, 111, 112, 150, 151, 152, 160, 162, 176, 177, 178, 179, 180, de la Ley de Transparencia y Acceso a la </w:t>
            </w:r>
            <w:r w:rsidRPr="00AC211D">
              <w:rPr>
                <w:rFonts w:ascii="Palatino Linotype" w:eastAsia="Palatino Linotype" w:hAnsi="Palatino Linotype" w:cs="Palatino Linotype"/>
                <w:i/>
                <w:sz w:val="20"/>
                <w:szCs w:val="20"/>
              </w:rPr>
              <w:lastRenderedPageBreak/>
              <w:t>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(sic)</w:t>
            </w:r>
          </w:p>
        </w:tc>
      </w:tr>
      <w:tr w:rsidR="001C764D" w:rsidRPr="00AC211D" w14:paraId="27D1F369" w14:textId="77777777">
        <w:tc>
          <w:tcPr>
            <w:tcW w:w="2809" w:type="dxa"/>
            <w:vAlign w:val="center"/>
          </w:tcPr>
          <w:p w14:paraId="2EB6C345"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lastRenderedPageBreak/>
              <w:t>00561/TEPOTZOT/IP/2025</w:t>
            </w:r>
          </w:p>
          <w:p w14:paraId="346DF04E" w14:textId="77777777" w:rsidR="00A82B34" w:rsidRPr="00AC211D" w:rsidRDefault="000E1924">
            <w:pPr>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12055/INFOEM/IP/RR/2025</w:t>
            </w:r>
          </w:p>
        </w:tc>
        <w:tc>
          <w:tcPr>
            <w:tcW w:w="3140" w:type="dxa"/>
            <w:vAlign w:val="center"/>
          </w:tcPr>
          <w:p w14:paraId="78A8A9B0"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2021 ya que el Ayuntamiento está obligado a guardar documentos de mínimo 5 años anteriores” (sic)</w:t>
            </w:r>
          </w:p>
        </w:tc>
        <w:tc>
          <w:tcPr>
            <w:tcW w:w="3021" w:type="dxa"/>
            <w:vMerge/>
          </w:tcPr>
          <w:p w14:paraId="7982BE78" w14:textId="77777777" w:rsidR="00A82B34" w:rsidRPr="00AC211D" w:rsidRDefault="00A82B34">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p>
        </w:tc>
      </w:tr>
      <w:tr w:rsidR="001C764D" w:rsidRPr="00AC211D" w14:paraId="32B01833" w14:textId="77777777">
        <w:tc>
          <w:tcPr>
            <w:tcW w:w="2809" w:type="dxa"/>
            <w:vAlign w:val="center"/>
          </w:tcPr>
          <w:p w14:paraId="3C73D9B0"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lastRenderedPageBreak/>
              <w:t>00562/TEPOTZOT/IP/2025</w:t>
            </w:r>
          </w:p>
          <w:p w14:paraId="437306E9" w14:textId="77777777" w:rsidR="00A82B34" w:rsidRPr="00AC211D" w:rsidRDefault="000E1924">
            <w:pPr>
              <w:jc w:val="center"/>
              <w:rPr>
                <w:rFonts w:ascii="Palatino Linotype" w:eastAsia="Palatino Linotype" w:hAnsi="Palatino Linotype" w:cs="Palatino Linotype"/>
                <w:sz w:val="20"/>
                <w:szCs w:val="20"/>
                <w:lang w:val="en-US"/>
              </w:rPr>
            </w:pPr>
            <w:r w:rsidRPr="00AC211D">
              <w:rPr>
                <w:rFonts w:ascii="Palatino Linotype" w:eastAsia="Palatino Linotype" w:hAnsi="Palatino Linotype" w:cs="Palatino Linotype"/>
                <w:b/>
                <w:sz w:val="20"/>
                <w:szCs w:val="20"/>
                <w:lang w:val="en-US"/>
              </w:rPr>
              <w:t>12056/INFOEM/IP/RR/2025</w:t>
            </w:r>
          </w:p>
        </w:tc>
        <w:tc>
          <w:tcPr>
            <w:tcW w:w="3140" w:type="dxa"/>
            <w:vAlign w:val="center"/>
          </w:tcPr>
          <w:p w14:paraId="2EDCE78C"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2022 ya que el Ayuntamiento está obligado a guardar documentos de mínimo 5 años anteriores” (sic)</w:t>
            </w:r>
          </w:p>
        </w:tc>
        <w:tc>
          <w:tcPr>
            <w:tcW w:w="3021" w:type="dxa"/>
            <w:vMerge/>
          </w:tcPr>
          <w:p w14:paraId="6BABA399" w14:textId="77777777" w:rsidR="00A82B34" w:rsidRPr="00AC211D" w:rsidRDefault="00A82B34">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p>
        </w:tc>
      </w:tr>
      <w:tr w:rsidR="001C764D" w:rsidRPr="00AC211D" w14:paraId="32948E2D" w14:textId="77777777">
        <w:tc>
          <w:tcPr>
            <w:tcW w:w="2809" w:type="dxa"/>
            <w:vAlign w:val="center"/>
          </w:tcPr>
          <w:p w14:paraId="289D1A7F"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00563/TEPOTZOT/IP/2025</w:t>
            </w:r>
          </w:p>
          <w:p w14:paraId="2E0E35EE" w14:textId="77777777" w:rsidR="00A82B34" w:rsidRPr="00AC211D" w:rsidRDefault="000E1924">
            <w:pPr>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12058/INFOEM/IP/RR/2025</w:t>
            </w:r>
          </w:p>
        </w:tc>
        <w:tc>
          <w:tcPr>
            <w:tcW w:w="3140" w:type="dxa"/>
            <w:vAlign w:val="center"/>
          </w:tcPr>
          <w:p w14:paraId="7237C359"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2023 ya que el Ayuntamiento está obligado a guardar documentos de mínimo 5 años anteriores” (sic)</w:t>
            </w:r>
          </w:p>
        </w:tc>
        <w:tc>
          <w:tcPr>
            <w:tcW w:w="3021" w:type="dxa"/>
            <w:vMerge/>
          </w:tcPr>
          <w:p w14:paraId="604E3001" w14:textId="77777777" w:rsidR="00A82B34" w:rsidRPr="00AC211D" w:rsidRDefault="00A82B34">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p>
        </w:tc>
      </w:tr>
      <w:tr w:rsidR="001C764D" w:rsidRPr="00AC211D" w14:paraId="4A4E8FB9" w14:textId="77777777">
        <w:tc>
          <w:tcPr>
            <w:tcW w:w="2809" w:type="dxa"/>
            <w:vAlign w:val="center"/>
          </w:tcPr>
          <w:p w14:paraId="081F18D6"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00564/TEPOTZOT/IP/2025</w:t>
            </w:r>
          </w:p>
          <w:p w14:paraId="2C087DF8" w14:textId="77777777" w:rsidR="00A82B34" w:rsidRPr="00AC211D" w:rsidRDefault="000E1924">
            <w:pPr>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12057/INFOEM/IP/RR/2025</w:t>
            </w:r>
          </w:p>
        </w:tc>
        <w:tc>
          <w:tcPr>
            <w:tcW w:w="3140" w:type="dxa"/>
            <w:vAlign w:val="center"/>
          </w:tcPr>
          <w:p w14:paraId="5CD55DB9"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2024 ya que el Ayuntamiento está obligado a guardar documentos de mínimo 5 años anteriores” (sic)</w:t>
            </w:r>
          </w:p>
        </w:tc>
        <w:tc>
          <w:tcPr>
            <w:tcW w:w="3021" w:type="dxa"/>
            <w:vMerge/>
          </w:tcPr>
          <w:p w14:paraId="007958C1" w14:textId="77777777" w:rsidR="00A82B34" w:rsidRPr="00AC211D" w:rsidRDefault="00A82B34">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p>
        </w:tc>
      </w:tr>
      <w:tr w:rsidR="001C764D" w:rsidRPr="00AC211D" w14:paraId="05BDADA6" w14:textId="77777777">
        <w:tc>
          <w:tcPr>
            <w:tcW w:w="2809" w:type="dxa"/>
            <w:vAlign w:val="center"/>
          </w:tcPr>
          <w:p w14:paraId="42EC7B1C" w14:textId="77777777" w:rsidR="00A82B34" w:rsidRPr="00AC211D" w:rsidRDefault="000E1924">
            <w:pPr>
              <w:spacing w:before="120" w:after="120"/>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00565/TEPOTZOT/IP/2025</w:t>
            </w:r>
          </w:p>
          <w:p w14:paraId="053BAA61" w14:textId="77777777" w:rsidR="00A82B34" w:rsidRPr="00AC211D" w:rsidRDefault="000E1924">
            <w:pPr>
              <w:jc w:val="center"/>
              <w:rPr>
                <w:rFonts w:ascii="Palatino Linotype" w:eastAsia="Palatino Linotype" w:hAnsi="Palatino Linotype" w:cs="Palatino Linotype"/>
                <w:b/>
                <w:sz w:val="20"/>
                <w:szCs w:val="20"/>
                <w:lang w:val="en-US"/>
              </w:rPr>
            </w:pPr>
            <w:r w:rsidRPr="00AC211D">
              <w:rPr>
                <w:rFonts w:ascii="Palatino Linotype" w:eastAsia="Palatino Linotype" w:hAnsi="Palatino Linotype" w:cs="Palatino Linotype"/>
                <w:b/>
                <w:sz w:val="20"/>
                <w:szCs w:val="20"/>
                <w:lang w:val="en-US"/>
              </w:rPr>
              <w:t>12059/INFOEM/IP/RR/2025</w:t>
            </w:r>
          </w:p>
        </w:tc>
        <w:tc>
          <w:tcPr>
            <w:tcW w:w="3140" w:type="dxa"/>
            <w:vAlign w:val="center"/>
          </w:tcPr>
          <w:p w14:paraId="5D041078" w14:textId="77777777" w:rsidR="00A82B34" w:rsidRPr="00AC211D" w:rsidRDefault="000E1924">
            <w:pPr>
              <w:jc w:val="both"/>
              <w:rPr>
                <w:rFonts w:ascii="Palatino Linotype" w:eastAsia="Palatino Linotype" w:hAnsi="Palatino Linotype" w:cs="Palatino Linotype"/>
                <w:i/>
                <w:sz w:val="20"/>
                <w:szCs w:val="20"/>
              </w:rPr>
            </w:pPr>
            <w:r w:rsidRPr="00AC211D">
              <w:rPr>
                <w:rFonts w:ascii="Palatino Linotype" w:eastAsia="Palatino Linotype" w:hAnsi="Palatino Linotype" w:cs="Palatino Linotype"/>
                <w:i/>
                <w:sz w:val="20"/>
                <w:szCs w:val="20"/>
              </w:rPr>
              <w:t>“Solicito todos los documentos en los cuales haya temas relacionados a CAPUFE con el ayuntamiento en el transcurso del año 2025 a la fecha” (sic)</w:t>
            </w:r>
          </w:p>
        </w:tc>
        <w:tc>
          <w:tcPr>
            <w:tcW w:w="3021" w:type="dxa"/>
            <w:vMerge/>
          </w:tcPr>
          <w:p w14:paraId="7FF8C580" w14:textId="77777777" w:rsidR="00A82B34" w:rsidRPr="00AC211D" w:rsidRDefault="00A82B34">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p>
        </w:tc>
      </w:tr>
    </w:tbl>
    <w:p w14:paraId="58BB6D61"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4. Turno.</w:t>
      </w:r>
      <w:r w:rsidRPr="00AC211D">
        <w:rPr>
          <w:rFonts w:ascii="Palatino Linotype" w:eastAsia="Palatino Linotype" w:hAnsi="Palatino Linotype" w:cs="Palatino Linotype"/>
          <w:sz w:val="22"/>
          <w:szCs w:val="22"/>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AC211D">
        <w:rPr>
          <w:rFonts w:ascii="Palatino Linotype" w:eastAsia="Palatino Linotype" w:hAnsi="Palatino Linotype" w:cs="Palatino Linotype"/>
          <w:b/>
          <w:sz w:val="22"/>
          <w:szCs w:val="22"/>
        </w:rPr>
        <w:t xml:space="preserve"> Guadalupe Ramírez Peña, José Martínez Vilchis, Luis Gustavo Para Noriega, Sharon Cristina Morales Martínez </w:t>
      </w:r>
      <w:r w:rsidRPr="00AC211D">
        <w:rPr>
          <w:rFonts w:ascii="Palatino Linotype" w:eastAsia="Palatino Linotype" w:hAnsi="Palatino Linotype" w:cs="Palatino Linotype"/>
          <w:sz w:val="22"/>
          <w:szCs w:val="22"/>
        </w:rPr>
        <w:t xml:space="preserve">y </w:t>
      </w:r>
      <w:r w:rsidRPr="00AC211D">
        <w:rPr>
          <w:rFonts w:ascii="Palatino Linotype" w:eastAsia="Palatino Linotype" w:hAnsi="Palatino Linotype" w:cs="Palatino Linotype"/>
          <w:b/>
          <w:sz w:val="22"/>
          <w:szCs w:val="22"/>
        </w:rPr>
        <w:t>María del Rosario Mejía Ayala</w:t>
      </w:r>
      <w:r w:rsidRPr="00AC211D">
        <w:rPr>
          <w:rFonts w:ascii="Palatino Linotype" w:eastAsia="Palatino Linotype" w:hAnsi="Palatino Linotype" w:cs="Palatino Linotype"/>
          <w:sz w:val="22"/>
          <w:szCs w:val="22"/>
        </w:rPr>
        <w:t>,</w:t>
      </w:r>
      <w:r w:rsidRPr="00AC211D">
        <w:rPr>
          <w:rFonts w:ascii="Palatino Linotype" w:eastAsia="Palatino Linotype" w:hAnsi="Palatino Linotype" w:cs="Palatino Linotype"/>
          <w:b/>
          <w:sz w:val="22"/>
          <w:szCs w:val="22"/>
        </w:rPr>
        <w:t xml:space="preserve"> </w:t>
      </w:r>
      <w:r w:rsidRPr="00AC211D">
        <w:rPr>
          <w:rFonts w:ascii="Palatino Linotype" w:eastAsia="Palatino Linotype" w:hAnsi="Palatino Linotype" w:cs="Palatino Linotype"/>
          <w:sz w:val="22"/>
          <w:szCs w:val="22"/>
        </w:rPr>
        <w:t xml:space="preserve">a efecto de que analizaran sobre su admisión o su desechamiento. </w:t>
      </w:r>
    </w:p>
    <w:p w14:paraId="2960054C"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5. Admisión de los Recursos de Revisión. </w:t>
      </w:r>
      <w:r w:rsidRPr="00AC211D">
        <w:rPr>
          <w:rFonts w:ascii="Palatino Linotype" w:eastAsia="Palatino Linotype" w:hAnsi="Palatino Linotype" w:cs="Palatino Linotype"/>
          <w:sz w:val="22"/>
          <w:szCs w:val="22"/>
        </w:rPr>
        <w:t xml:space="preserve">El </w:t>
      </w:r>
      <w:r w:rsidRPr="00AC211D">
        <w:rPr>
          <w:rFonts w:ascii="Palatino Linotype" w:eastAsia="Palatino Linotype" w:hAnsi="Palatino Linotype" w:cs="Palatino Linotype"/>
          <w:b/>
          <w:sz w:val="22"/>
          <w:szCs w:val="22"/>
        </w:rPr>
        <w:t>veintiuno, veintidós y veintitrés de octubre</w:t>
      </w:r>
      <w:r w:rsidRPr="00AC211D">
        <w:rPr>
          <w:rFonts w:ascii="Palatino Linotype" w:eastAsia="Palatino Linotype" w:hAnsi="Palatino Linotype" w:cs="Palatino Linotype"/>
          <w:sz w:val="22"/>
          <w:szCs w:val="22"/>
        </w:rPr>
        <w:t xml:space="preserve"> d</w:t>
      </w:r>
      <w:r w:rsidRPr="00AC211D">
        <w:rPr>
          <w:rFonts w:ascii="Palatino Linotype" w:eastAsia="Palatino Linotype" w:hAnsi="Palatino Linotype" w:cs="Palatino Linotype"/>
          <w:b/>
          <w:sz w:val="22"/>
          <w:szCs w:val="22"/>
        </w:rPr>
        <w:t>e dos mil veinticinco</w:t>
      </w:r>
      <w:r w:rsidRPr="00AC211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admitieron a trámite los recursos de revisión al rubro indicado.</w:t>
      </w:r>
    </w:p>
    <w:p w14:paraId="63B7ED07" w14:textId="77777777" w:rsidR="00A82B34" w:rsidRPr="00AC211D" w:rsidRDefault="000E1924">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 xml:space="preserve">6. Acumulación de los recursos de revisión. </w:t>
      </w:r>
      <w:r w:rsidRPr="00AC211D">
        <w:rPr>
          <w:rFonts w:ascii="Palatino Linotype" w:eastAsia="Palatino Linotype" w:hAnsi="Palatino Linotype" w:cs="Palatino Linotype"/>
          <w:sz w:val="22"/>
          <w:szCs w:val="22"/>
        </w:rPr>
        <w:t xml:space="preserve">El </w:t>
      </w:r>
      <w:r w:rsidRPr="00AC211D">
        <w:rPr>
          <w:rFonts w:ascii="Palatino Linotype" w:eastAsia="Palatino Linotype" w:hAnsi="Palatino Linotype" w:cs="Palatino Linotype"/>
          <w:b/>
          <w:sz w:val="22"/>
          <w:szCs w:val="22"/>
        </w:rPr>
        <w:t xml:space="preserve">veintinueve de octubre de dos mil veinticinco, </w:t>
      </w:r>
      <w:r w:rsidRPr="00AC211D">
        <w:rPr>
          <w:rFonts w:ascii="Palatino Linotype" w:eastAsia="Palatino Linotype" w:hAnsi="Palatino Linotype" w:cs="Palatino Linotype"/>
          <w:sz w:val="22"/>
          <w:szCs w:val="22"/>
        </w:rPr>
        <w:t xml:space="preserve">el Pleno de este Instituto, acordó la acumulación de los expedientes citados, a efecto de que la Comisionada </w:t>
      </w:r>
      <w:r w:rsidRPr="00AC211D">
        <w:rPr>
          <w:rFonts w:ascii="Palatino Linotype" w:eastAsia="Palatino Linotype" w:hAnsi="Palatino Linotype" w:cs="Palatino Linotype"/>
          <w:b/>
          <w:sz w:val="22"/>
          <w:szCs w:val="22"/>
        </w:rPr>
        <w:t xml:space="preserve">Guadalupe Ramírez Peña </w:t>
      </w:r>
      <w:r w:rsidRPr="00AC211D">
        <w:rPr>
          <w:rFonts w:ascii="Palatino Linotype" w:eastAsia="Palatino Linotype" w:hAnsi="Palatino Linotype" w:cs="Palatino Linotype"/>
          <w:sz w:val="22"/>
          <w:szCs w:val="22"/>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220D1D21"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i/>
          <w:sz w:val="22"/>
          <w:szCs w:val="22"/>
        </w:rPr>
        <w:t>Código de Procedimientos Administrativos del Estado de México</w:t>
      </w:r>
    </w:p>
    <w:p w14:paraId="6C2350EE"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i/>
          <w:sz w:val="22"/>
          <w:szCs w:val="22"/>
        </w:rPr>
        <w:t>“Artículo 18.-</w:t>
      </w:r>
      <w:r w:rsidRPr="00AC211D">
        <w:rPr>
          <w:rFonts w:ascii="Palatino Linotype" w:eastAsia="Palatino Linotype" w:hAnsi="Palatino Linotype" w:cs="Palatino Linotype"/>
          <w:i/>
          <w:sz w:val="22"/>
          <w:szCs w:val="22"/>
        </w:rPr>
        <w:t xml:space="preserve"> </w:t>
      </w:r>
      <w:r w:rsidRPr="00AC211D">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AC211D">
        <w:rPr>
          <w:rFonts w:ascii="Palatino Linotype" w:eastAsia="Palatino Linotype" w:hAnsi="Palatino Linotype" w:cs="Palatino Linotype"/>
          <w:i/>
          <w:sz w:val="22"/>
          <w:szCs w:val="22"/>
        </w:rPr>
        <w:t xml:space="preserve"> o a petición de parte, </w:t>
      </w:r>
      <w:r w:rsidRPr="00AC211D">
        <w:rPr>
          <w:rFonts w:ascii="Palatino Linotype" w:eastAsia="Palatino Linotype" w:hAnsi="Palatino Linotype" w:cs="Palatino Linotype"/>
          <w:b/>
          <w:i/>
          <w:sz w:val="22"/>
          <w:szCs w:val="22"/>
        </w:rPr>
        <w:t>cuando las partes</w:t>
      </w:r>
      <w:r w:rsidRPr="00AC211D">
        <w:rPr>
          <w:rFonts w:ascii="Palatino Linotype" w:eastAsia="Palatino Linotype" w:hAnsi="Palatino Linotype" w:cs="Palatino Linotype"/>
          <w:i/>
          <w:sz w:val="22"/>
          <w:szCs w:val="22"/>
        </w:rPr>
        <w:t xml:space="preserve"> o los actos administrativos sean iguales, se trate de actos conexos o </w:t>
      </w:r>
      <w:r w:rsidRPr="00AC211D">
        <w:rPr>
          <w:rFonts w:ascii="Palatino Linotype" w:eastAsia="Palatino Linotype" w:hAnsi="Palatino Linotype" w:cs="Palatino Linotype"/>
          <w:b/>
          <w:i/>
          <w:sz w:val="22"/>
          <w:szCs w:val="22"/>
        </w:rPr>
        <w:t>resulte conveniente el trámite unificado de los asuntos, para evitar la emisión de resoluciones contradictorias</w:t>
      </w:r>
      <w:r w:rsidRPr="00AC211D">
        <w:rPr>
          <w:rFonts w:ascii="Palatino Linotype" w:eastAsia="Palatino Linotype" w:hAnsi="Palatino Linotype" w:cs="Palatino Linotype"/>
          <w:i/>
          <w:sz w:val="22"/>
          <w:szCs w:val="22"/>
        </w:rPr>
        <w:t>. La misma regla se aplicará, en lo conducente, para la separación de los expedientes.”</w:t>
      </w:r>
    </w:p>
    <w:p w14:paraId="21E4A16A"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i/>
          <w:sz w:val="22"/>
          <w:szCs w:val="22"/>
        </w:rPr>
        <w:t>Ley de Transparencia y Acceso a la Información Pública del Estado de México y Municipios</w:t>
      </w:r>
    </w:p>
    <w:p w14:paraId="5B112929"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i/>
          <w:sz w:val="22"/>
          <w:szCs w:val="22"/>
        </w:rPr>
        <w:t>“Artículo 195.-</w:t>
      </w:r>
      <w:r w:rsidRPr="00AC211D">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3C64F8F0"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7. Manifestaciones. </w:t>
      </w:r>
      <w:r w:rsidRPr="00AC211D">
        <w:rPr>
          <w:rFonts w:ascii="Palatino Linotype" w:eastAsia="Palatino Linotype" w:hAnsi="Palatino Linotype" w:cs="Palatino Linotype"/>
          <w:sz w:val="22"/>
          <w:szCs w:val="22"/>
        </w:rPr>
        <w:t>De las constancias que obran en los expedientes electrónicos del SAIMEX se desprende que</w:t>
      </w:r>
      <w:r w:rsidRPr="00AC211D">
        <w:rPr>
          <w:rFonts w:ascii="Palatino Linotype" w:eastAsia="Palatino Linotype" w:hAnsi="Palatino Linotype" w:cs="Palatino Linotype"/>
          <w:b/>
          <w:sz w:val="22"/>
          <w:szCs w:val="22"/>
        </w:rPr>
        <w:t xml:space="preserve"> </w:t>
      </w:r>
      <w:r w:rsidRPr="00AC211D">
        <w:rPr>
          <w:rFonts w:ascii="Palatino Linotype" w:eastAsia="Palatino Linotype" w:hAnsi="Palatino Linotype" w:cs="Palatino Linotype"/>
          <w:sz w:val="22"/>
          <w:szCs w:val="22"/>
        </w:rPr>
        <w:t xml:space="preserve">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no rindió su informe justificado, del mismo modo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omitió realizar manifestaciones, como se observa a continuación:</w:t>
      </w:r>
    </w:p>
    <w:p w14:paraId="08AEF060"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noProof/>
        </w:rPr>
        <w:drawing>
          <wp:inline distT="0" distB="0" distL="0" distR="0" wp14:anchorId="578F1F8E" wp14:editId="28BA75BC">
            <wp:extent cx="5612130" cy="1665605"/>
            <wp:effectExtent l="0" t="0" r="0" b="0"/>
            <wp:docPr id="15523854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1665605"/>
                    </a:xfrm>
                    <a:prstGeom prst="rect">
                      <a:avLst/>
                    </a:prstGeom>
                    <a:ln/>
                  </pic:spPr>
                </pic:pic>
              </a:graphicData>
            </a:graphic>
          </wp:inline>
        </w:drawing>
      </w:r>
      <w:r w:rsidRPr="00AC211D">
        <w:rPr>
          <w:noProof/>
        </w:rPr>
        <w:drawing>
          <wp:inline distT="0" distB="0" distL="0" distR="0" wp14:anchorId="14437D66" wp14:editId="7C2E6C32">
            <wp:extent cx="5612130" cy="1689100"/>
            <wp:effectExtent l="0" t="0" r="0" b="0"/>
            <wp:docPr id="15523854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1689100"/>
                    </a:xfrm>
                    <a:prstGeom prst="rect">
                      <a:avLst/>
                    </a:prstGeom>
                    <a:ln/>
                  </pic:spPr>
                </pic:pic>
              </a:graphicData>
            </a:graphic>
          </wp:inline>
        </w:drawing>
      </w:r>
      <w:r w:rsidRPr="00AC211D">
        <w:rPr>
          <w:noProof/>
        </w:rPr>
        <w:drawing>
          <wp:inline distT="0" distB="0" distL="0" distR="0" wp14:anchorId="1BF9B892" wp14:editId="562A7CFF">
            <wp:extent cx="5612130" cy="1688465"/>
            <wp:effectExtent l="0" t="0" r="0" b="0"/>
            <wp:docPr id="15523854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1688465"/>
                    </a:xfrm>
                    <a:prstGeom prst="rect">
                      <a:avLst/>
                    </a:prstGeom>
                    <a:ln/>
                  </pic:spPr>
                </pic:pic>
              </a:graphicData>
            </a:graphic>
          </wp:inline>
        </w:drawing>
      </w:r>
    </w:p>
    <w:p w14:paraId="3A48368B"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noProof/>
        </w:rPr>
        <w:drawing>
          <wp:inline distT="0" distB="0" distL="0" distR="0" wp14:anchorId="370A392D" wp14:editId="1E403476">
            <wp:extent cx="5612130" cy="1659890"/>
            <wp:effectExtent l="0" t="0" r="0" b="0"/>
            <wp:docPr id="15523854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1659890"/>
                    </a:xfrm>
                    <a:prstGeom prst="rect">
                      <a:avLst/>
                    </a:prstGeom>
                    <a:ln/>
                  </pic:spPr>
                </pic:pic>
              </a:graphicData>
            </a:graphic>
          </wp:inline>
        </w:drawing>
      </w:r>
      <w:r w:rsidRPr="00AC211D">
        <w:rPr>
          <w:noProof/>
        </w:rPr>
        <w:drawing>
          <wp:inline distT="0" distB="0" distL="0" distR="0" wp14:anchorId="202966CA" wp14:editId="6F5917A4">
            <wp:extent cx="5612130" cy="1681480"/>
            <wp:effectExtent l="0" t="0" r="0" b="0"/>
            <wp:docPr id="1552385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2130" cy="1681480"/>
                    </a:xfrm>
                    <a:prstGeom prst="rect">
                      <a:avLst/>
                    </a:prstGeom>
                    <a:ln/>
                  </pic:spPr>
                </pic:pic>
              </a:graphicData>
            </a:graphic>
          </wp:inline>
        </w:drawing>
      </w:r>
      <w:r w:rsidRPr="00AC211D">
        <w:rPr>
          <w:noProof/>
        </w:rPr>
        <w:drawing>
          <wp:inline distT="0" distB="0" distL="0" distR="0" wp14:anchorId="47ECDAA0" wp14:editId="648C0344">
            <wp:extent cx="5612130" cy="1698625"/>
            <wp:effectExtent l="0" t="0" r="0" b="0"/>
            <wp:docPr id="15523854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1698625"/>
                    </a:xfrm>
                    <a:prstGeom prst="rect">
                      <a:avLst/>
                    </a:prstGeom>
                    <a:ln/>
                  </pic:spPr>
                </pic:pic>
              </a:graphicData>
            </a:graphic>
          </wp:inline>
        </w:drawing>
      </w:r>
    </w:p>
    <w:p w14:paraId="7F6137A7"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8. Cierre de Instrucción. </w:t>
      </w:r>
      <w:r w:rsidRPr="00AC211D">
        <w:rPr>
          <w:rFonts w:ascii="Palatino Linotype" w:eastAsia="Palatino Linotype" w:hAnsi="Palatino Linotype" w:cs="Palatino Linotype"/>
          <w:sz w:val="22"/>
          <w:szCs w:val="22"/>
        </w:rPr>
        <w:t xml:space="preserve">En fecha </w:t>
      </w:r>
      <w:r w:rsidRPr="00AC211D">
        <w:rPr>
          <w:rFonts w:ascii="Palatino Linotype" w:eastAsia="Palatino Linotype" w:hAnsi="Palatino Linotype" w:cs="Palatino Linotype"/>
          <w:b/>
          <w:sz w:val="22"/>
          <w:szCs w:val="22"/>
        </w:rPr>
        <w:t>cuatro de noviembre de dos mil veinticinco</w:t>
      </w:r>
      <w:r w:rsidRPr="00AC211D">
        <w:rPr>
          <w:rFonts w:ascii="Palatino Linotype" w:eastAsia="Palatino Linotype" w:hAnsi="Palatino Linotype" w:cs="Palatino Linotype"/>
          <w:sz w:val="22"/>
          <w:szCs w:val="22"/>
        </w:rPr>
        <w:t>, con fundamento en lo establecido en el artículo 185, fracción VI de la Ley de Transparencia y Acceso a la Información Pública del Estado de México y Municipios, al no existir trámite pendiente por realizar y haber sido sustanciado el medio de impugnación, se acordó el cierre de instrucción y se procedió a formular la resolución que en derecho corresponda.</w:t>
      </w:r>
    </w:p>
    <w:p w14:paraId="4FA0F49B"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 razón de que fueron debidamente sustanciados los expedientes electrónicos y no existe diligencia pendiente de desahogo, se emite la Resolución que conforme a Derecho proceda, de acuerdo con los siguientes: </w:t>
      </w:r>
    </w:p>
    <w:p w14:paraId="6CD4D0B9" w14:textId="77777777" w:rsidR="00A82B34" w:rsidRPr="00AC211D" w:rsidRDefault="000E1924">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II. C O N S I D E R A N D O S:</w:t>
      </w:r>
    </w:p>
    <w:p w14:paraId="3B58310F" w14:textId="4C13D1E5"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Primero. Competencia.</w:t>
      </w:r>
      <w:r w:rsidRPr="00AC211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w:t>
      </w:r>
      <w:r w:rsidR="001C764D" w:rsidRPr="00AC211D">
        <w:rPr>
          <w:rFonts w:ascii="Palatino Linotype" w:eastAsia="Palatino Linotype" w:hAnsi="Palatino Linotype" w:cs="Palatino Linotype"/>
          <w:sz w:val="22"/>
          <w:szCs w:val="22"/>
        </w:rPr>
        <w:t xml:space="preserve">; </w:t>
      </w:r>
      <w:r w:rsidR="001C764D" w:rsidRPr="00AC211D">
        <w:rPr>
          <w:rFonts w:ascii="Palatino Linotype" w:hAnsi="Palatino Linotype"/>
          <w:sz w:val="22"/>
          <w:szCs w:val="22"/>
        </w:rPr>
        <w:t xml:space="preserve">Transitorio Cuarto, párrafo segundo del Decreto número 198 de la “LXII” Legislatura del Estado de México; </w:t>
      </w:r>
      <w:r w:rsidRPr="00AC211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15EDCFF"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Segundo. Oportunidad y Procedibilidad. </w:t>
      </w:r>
      <w:r w:rsidRPr="00AC211D">
        <w:rPr>
          <w:rFonts w:ascii="Palatino Linotype" w:eastAsia="Palatino Linotype" w:hAnsi="Palatino Linotype" w:cs="Palatino Linotype"/>
          <w:sz w:val="22"/>
          <w:szCs w:val="22"/>
        </w:rPr>
        <w:t>Es de precisar que la</w:t>
      </w:r>
      <w:r w:rsidRPr="00AC211D">
        <w:rPr>
          <w:rFonts w:ascii="Palatino Linotype" w:eastAsia="Palatino Linotype" w:hAnsi="Palatino Linotype" w:cs="Palatino Linotype"/>
          <w:b/>
          <w:sz w:val="22"/>
          <w:szCs w:val="22"/>
        </w:rPr>
        <w:t xml:space="preserve"> </w:t>
      </w:r>
      <w:r w:rsidRPr="00AC211D">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6F510697"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r w:rsidRPr="00AC211D">
        <w:rPr>
          <w:rFonts w:ascii="Palatino Linotype" w:eastAsia="Palatino Linotype" w:hAnsi="Palatino Linotype" w:cs="Palatino Linotype"/>
          <w:b/>
          <w:i/>
          <w:sz w:val="22"/>
          <w:szCs w:val="22"/>
        </w:rPr>
        <w:t xml:space="preserve">Artículo 163. </w:t>
      </w:r>
      <w:r w:rsidRPr="00AC211D">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1276B489"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p>
    <w:p w14:paraId="6EF8B1FA"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Artículo 166.</w:t>
      </w:r>
      <w:r w:rsidRPr="00AC211D">
        <w:rPr>
          <w:rFonts w:ascii="Palatino Linotype" w:eastAsia="Palatino Linotype" w:hAnsi="Palatino Linotype" w:cs="Palatino Linotype"/>
          <w:i/>
          <w:sz w:val="22"/>
          <w:szCs w:val="22"/>
        </w:rPr>
        <w:t xml:space="preserve"> …</w:t>
      </w:r>
    </w:p>
    <w:p w14:paraId="55D0A53A"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405F8101"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 xml:space="preserve">…” </w:t>
      </w:r>
    </w:p>
    <w:p w14:paraId="2AE4E286"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w:t>
      </w:r>
    </w:p>
    <w:p w14:paraId="29D2FC62"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Derivado de lo anterior, se constituye lo que en la doctrina se conoce como </w:t>
      </w:r>
      <w:r w:rsidRPr="00AC211D">
        <w:rPr>
          <w:rFonts w:ascii="Palatino Linotype" w:eastAsia="Palatino Linotype" w:hAnsi="Palatino Linotype" w:cs="Palatino Linotype"/>
          <w:b/>
          <w:sz w:val="22"/>
          <w:szCs w:val="22"/>
        </w:rPr>
        <w:t>NEGATIVA FICTA</w:t>
      </w:r>
      <w:r w:rsidRPr="00AC211D">
        <w:rPr>
          <w:rFonts w:ascii="Palatino Linotype" w:eastAsia="Palatino Linotype" w:hAnsi="Palatino Linotype" w:cs="Palatino Linotype"/>
          <w:sz w:val="22"/>
          <w:szCs w:val="22"/>
        </w:rPr>
        <w:t>, figura jurídica cuya esencia consiste en atribuir un efecto negativo al silencio de la autoridad administrativa frente a las instancias y solicitudes que hagan los particulares.</w:t>
      </w:r>
    </w:p>
    <w:p w14:paraId="1E28FCF1" w14:textId="77777777" w:rsidR="00A82B34" w:rsidRPr="00AC211D" w:rsidRDefault="000E1924">
      <w:pPr>
        <w:spacing w:before="240" w:after="240" w:line="360" w:lineRule="auto"/>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sz w:val="22"/>
          <w:szCs w:val="22"/>
        </w:rPr>
        <w:t>Por su parte, el artículo 178 del citado ordenamiento, establece:</w:t>
      </w:r>
    </w:p>
    <w:p w14:paraId="257C6C04" w14:textId="77777777" w:rsidR="00A82B34" w:rsidRPr="00AC211D" w:rsidRDefault="000E1924">
      <w:pPr>
        <w:spacing w:before="120" w:after="120"/>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r w:rsidRPr="00AC211D">
        <w:rPr>
          <w:rFonts w:ascii="Palatino Linotype" w:eastAsia="Palatino Linotype" w:hAnsi="Palatino Linotype" w:cs="Palatino Linotype"/>
          <w:b/>
          <w:i/>
          <w:sz w:val="22"/>
          <w:szCs w:val="22"/>
        </w:rPr>
        <w:t xml:space="preserve">Artículo 178. </w:t>
      </w:r>
      <w:r w:rsidRPr="00AC211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488D5A" w14:textId="77777777" w:rsidR="00A82B34" w:rsidRPr="00AC211D" w:rsidRDefault="000E1924">
      <w:pPr>
        <w:spacing w:before="120" w:after="120"/>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7637C81" w14:textId="77777777" w:rsidR="00A82B34" w:rsidRPr="00AC211D" w:rsidRDefault="000E1924">
      <w:pPr>
        <w:spacing w:before="240" w:after="240" w:line="360" w:lineRule="auto"/>
        <w:jc w:val="both"/>
        <w:rPr>
          <w:rFonts w:ascii="Palatino Linotype" w:eastAsia="Palatino Linotype" w:hAnsi="Palatino Linotype" w:cs="Palatino Linotype"/>
          <w:b/>
          <w:sz w:val="22"/>
          <w:szCs w:val="22"/>
          <w:u w:val="single"/>
        </w:rPr>
      </w:pPr>
      <w:r w:rsidRPr="00AC211D">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AC211D">
        <w:rPr>
          <w:rFonts w:ascii="Palatino Linotype" w:eastAsia="Palatino Linotype" w:hAnsi="Palatino Linotype" w:cs="Palatino Linotype"/>
          <w:b/>
          <w:sz w:val="22"/>
          <w:szCs w:val="22"/>
        </w:rPr>
        <w:t xml:space="preserve">Sujeto Obligado </w:t>
      </w:r>
      <w:r w:rsidRPr="00AC211D">
        <w:rPr>
          <w:rFonts w:ascii="Palatino Linotype" w:eastAsia="Palatino Linotype" w:hAnsi="Palatino Linotype" w:cs="Palatino Linotype"/>
          <w:sz w:val="22"/>
          <w:szCs w:val="22"/>
        </w:rPr>
        <w:t xml:space="preserve">da respuesta a la solicitud de información; sin embargo, tratándose de negativa ficta no existe resolución que se haga del conocimiento del particular a partir de la cual pueda computarse dicho plazo, por lo que se concluye que </w:t>
      </w:r>
      <w:r w:rsidRPr="00AC211D">
        <w:rPr>
          <w:rFonts w:ascii="Palatino Linotype" w:eastAsia="Palatino Linotype" w:hAnsi="Palatino Linotype" w:cs="Palatino Linotype"/>
          <w:b/>
          <w:sz w:val="22"/>
          <w:szCs w:val="22"/>
          <w:u w:val="single"/>
        </w:rPr>
        <w:t>la interposición del recurso de revisión puede ser en cualquier momento.</w:t>
      </w:r>
    </w:p>
    <w:p w14:paraId="4EAC2D4A"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AC211D">
        <w:rPr>
          <w:rFonts w:ascii="Palatino Linotype" w:eastAsia="Palatino Linotype" w:hAnsi="Palatino Linotype" w:cs="Palatino Linotype"/>
          <w:b/>
          <w:sz w:val="22"/>
          <w:szCs w:val="22"/>
        </w:rPr>
        <w:t xml:space="preserve">Sujeto Obligado </w:t>
      </w:r>
      <w:r w:rsidRPr="00AC211D">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E525436"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77757DC5" w14:textId="77777777" w:rsidR="00A82B34" w:rsidRPr="00AC211D" w:rsidRDefault="000E1924">
      <w:pPr>
        <w:spacing w:before="240" w:after="240" w:line="360" w:lineRule="auto"/>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166ECD1"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“CRITERIO 0001-15. NEGATIVA FICTA. PLAZO PARA INTERPONER EL RECURSO DE REVISIÓN TRATÁNDOSE DE</w:t>
      </w:r>
      <w:r w:rsidRPr="00AC211D">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149810AE"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8C49557"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Finalmente, 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14:paraId="18A1F1F1" w14:textId="77777777" w:rsidR="00A82B34" w:rsidRPr="00AC211D" w:rsidRDefault="000E1924">
      <w:pPr>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r w:rsidRPr="00AC211D">
        <w:rPr>
          <w:rFonts w:ascii="Palatino Linotype" w:eastAsia="Palatino Linotype" w:hAnsi="Palatino Linotype" w:cs="Palatino Linotype"/>
          <w:b/>
          <w:i/>
          <w:sz w:val="22"/>
          <w:szCs w:val="22"/>
        </w:rPr>
        <w:t xml:space="preserve">Artículo 179. </w:t>
      </w:r>
      <w:r w:rsidRPr="00AC211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7CB5B08" w14:textId="77777777" w:rsidR="00A82B34" w:rsidRPr="00AC211D" w:rsidRDefault="000E1924">
      <w:pPr>
        <w:ind w:left="1134"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p>
    <w:p w14:paraId="6F700963" w14:textId="77777777" w:rsidR="00A82B34" w:rsidRPr="00AC211D" w:rsidRDefault="000E1924">
      <w:pPr>
        <w:ind w:left="1134"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VII. </w:t>
      </w:r>
      <w:r w:rsidRPr="00AC211D">
        <w:rPr>
          <w:rFonts w:ascii="Palatino Linotype" w:eastAsia="Palatino Linotype" w:hAnsi="Palatino Linotype" w:cs="Palatino Linotype"/>
          <w:i/>
          <w:sz w:val="22"/>
          <w:szCs w:val="22"/>
        </w:rPr>
        <w:t>La falta de respuesta a una solicitud de acceso a la información;”</w:t>
      </w:r>
    </w:p>
    <w:p w14:paraId="3824FFBF"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AC211D">
        <w:rPr>
          <w:rFonts w:ascii="Palatino Linotype" w:eastAsia="Palatino Linotype" w:hAnsi="Palatino Linotype" w:cs="Palatino Linotype"/>
          <w:b/>
          <w:sz w:val="22"/>
          <w:szCs w:val="22"/>
        </w:rPr>
        <w:t xml:space="preserve">Recurrente </w:t>
      </w:r>
      <w:r w:rsidRPr="00AC211D">
        <w:rPr>
          <w:rFonts w:ascii="Palatino Linotype" w:eastAsia="Palatino Linotype" w:hAnsi="Palatino Linotype" w:cs="Palatino Linotype"/>
          <w:sz w:val="22"/>
          <w:szCs w:val="22"/>
        </w:rPr>
        <w:t xml:space="preserve">estime negado el acceso a la información por la falta de respuesta por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en este asunto se actualiza la hipótesis jurídica citada, en atención a que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combate falta de trámite por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y expresa motivos de inconformidad en contra de dicha circunstancia.</w:t>
      </w:r>
    </w:p>
    <w:p w14:paraId="7E7401B3" w14:textId="77777777" w:rsidR="00A82B34" w:rsidRPr="00AC211D" w:rsidRDefault="000E1924">
      <w:pPr>
        <w:tabs>
          <w:tab w:val="left" w:pos="8647"/>
        </w:tabs>
        <w:spacing w:before="240" w:after="240" w:line="360" w:lineRule="auto"/>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 xml:space="preserve">Tercero. Materia de la revisión. </w:t>
      </w:r>
      <w:r w:rsidRPr="00AC211D">
        <w:rPr>
          <w:rFonts w:ascii="Palatino Linotype" w:eastAsia="Palatino Linotype" w:hAnsi="Palatino Linotype" w:cs="Palatino Linotype"/>
          <w:sz w:val="22"/>
          <w:szCs w:val="22"/>
        </w:rPr>
        <w:t xml:space="preserve">Este Organismo Garante procede del análisis de los agravios hechos valer por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43721C86"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Cuarto. Estudio de los Recursos de Revisión. </w:t>
      </w:r>
      <w:r w:rsidRPr="00AC211D">
        <w:rPr>
          <w:rFonts w:ascii="Palatino Linotype" w:eastAsia="Palatino Linotype" w:hAnsi="Palatino Linotype" w:cs="Palatino Linotype"/>
          <w:sz w:val="22"/>
          <w:szCs w:val="22"/>
        </w:rPr>
        <w:t xml:space="preserve">Una vez determinada la vía sobre la que versará el presente asunto, y previa revisión de los expedientes de los  recursos de revisión materia de la presente resolución, se advierte que el </w:t>
      </w:r>
      <w:r w:rsidRPr="00AC211D">
        <w:rPr>
          <w:rFonts w:ascii="Palatino Linotype" w:eastAsia="Palatino Linotype" w:hAnsi="Palatino Linotype" w:cs="Palatino Linotype"/>
          <w:b/>
          <w:sz w:val="22"/>
          <w:szCs w:val="22"/>
        </w:rPr>
        <w:t xml:space="preserve">Sujeto Obligado </w:t>
      </w:r>
      <w:r w:rsidRPr="00AC211D">
        <w:rPr>
          <w:rFonts w:ascii="Palatino Linotype" w:eastAsia="Palatino Linotype" w:hAnsi="Palatino Linotype" w:cs="Palatino Linotype"/>
          <w:sz w:val="22"/>
          <w:szCs w:val="22"/>
        </w:rPr>
        <w:t xml:space="preserve">no dio respuesta a las solicitudes de información planteadas por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lo que se traduce como la configuración de la </w:t>
      </w:r>
      <w:r w:rsidRPr="00AC211D">
        <w:rPr>
          <w:rFonts w:ascii="Palatino Linotype" w:eastAsia="Palatino Linotype" w:hAnsi="Palatino Linotype" w:cs="Palatino Linotype"/>
          <w:b/>
          <w:sz w:val="22"/>
          <w:szCs w:val="22"/>
        </w:rPr>
        <w:t>negativa ficta</w:t>
      </w:r>
      <w:r w:rsidRPr="00AC211D">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no emitió respuesta a las solicitudes de información, dentro del plazo legal previsto para ello.</w:t>
      </w:r>
    </w:p>
    <w:p w14:paraId="0BBD1B1F"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las solicitudes formuladas por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w:t>
      </w:r>
      <w:r w:rsidRPr="00AC211D">
        <w:rPr>
          <w:rFonts w:ascii="Palatino Linotype" w:eastAsia="Palatino Linotype" w:hAnsi="Palatino Linotype" w:cs="Palatino Linotype"/>
          <w:b/>
          <w:sz w:val="22"/>
          <w:szCs w:val="22"/>
        </w:rPr>
        <w:t xml:space="preserve"> </w:t>
      </w:r>
      <w:r w:rsidRPr="00AC211D">
        <w:rPr>
          <w:rFonts w:ascii="Palatino Linotype" w:eastAsia="Palatino Linotype" w:hAnsi="Palatino Linotype" w:cs="Palatino Linotype"/>
          <w:sz w:val="22"/>
          <w:szCs w:val="22"/>
        </w:rPr>
        <w:t xml:space="preserve">se advierte que requirió al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le proporcionara, lo siguiente:</w:t>
      </w:r>
    </w:p>
    <w:p w14:paraId="70C630F3" w14:textId="77777777" w:rsidR="00A82B34" w:rsidRPr="00AC211D" w:rsidRDefault="000E1924">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Todos los documentos en los cuales haya temas relacionados a CAPUFE con el ayuntamiento, del uno de enero de dos mil veinte al veintidós de septiembre de dos mil veinticinco.</w:t>
      </w:r>
    </w:p>
    <w:p w14:paraId="7E50DF6C"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Precisado lo anterior, se procede al análisis de los presentes recursos, así como al contenido íntegro de las actuaciones que obran en los expedientes electrónicos,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F9829E4" w14:textId="77777777" w:rsidR="00A82B34" w:rsidRPr="00AC211D" w:rsidRDefault="000E1924">
      <w:pPr>
        <w:tabs>
          <w:tab w:val="left" w:pos="709"/>
        </w:tabs>
        <w:spacing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B8C132E" w14:textId="77777777" w:rsidR="00A82B34" w:rsidRPr="00AC211D" w:rsidRDefault="000E1924">
      <w:pPr>
        <w:tabs>
          <w:tab w:val="left" w:pos="709"/>
        </w:tabs>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C211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7C88F39" w14:textId="77777777" w:rsidR="00A82B34" w:rsidRPr="00AC211D" w:rsidRDefault="000E1924">
      <w:pPr>
        <w:tabs>
          <w:tab w:val="left" w:pos="709"/>
        </w:tabs>
        <w:spacing w:line="276" w:lineRule="auto"/>
        <w:ind w:left="851" w:right="851"/>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42B4A70" w14:textId="77777777" w:rsidR="00A82B34" w:rsidRPr="00AC211D" w:rsidRDefault="000E1924">
      <w:pPr>
        <w:tabs>
          <w:tab w:val="left" w:pos="709"/>
        </w:tabs>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C211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BD35E2B" w14:textId="77777777" w:rsidR="00A82B34" w:rsidRPr="00AC211D" w:rsidRDefault="000E1924">
      <w:pPr>
        <w:tabs>
          <w:tab w:val="left" w:pos="709"/>
        </w:tabs>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p>
    <w:p w14:paraId="46D042EE"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“Artículo 6o.</w:t>
      </w:r>
    </w:p>
    <w:p w14:paraId="3EA47DDA"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p>
    <w:p w14:paraId="477CE26C"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A. Para el ejercicio del derecho de acceso a la información, la Federación y </w:t>
      </w:r>
      <w:r w:rsidRPr="00AC211D">
        <w:rPr>
          <w:rFonts w:ascii="Palatino Linotype" w:eastAsia="Palatino Linotype" w:hAnsi="Palatino Linotype" w:cs="Palatino Linotype"/>
          <w:b/>
          <w:i/>
          <w:sz w:val="22"/>
          <w:szCs w:val="22"/>
          <w:u w:val="single"/>
        </w:rPr>
        <w:t>las entidades federativas</w:t>
      </w:r>
      <w:r w:rsidRPr="00AC211D">
        <w:rPr>
          <w:rFonts w:ascii="Palatino Linotype" w:eastAsia="Palatino Linotype" w:hAnsi="Palatino Linotype" w:cs="Palatino Linotype"/>
          <w:b/>
          <w:i/>
          <w:sz w:val="22"/>
          <w:szCs w:val="22"/>
        </w:rPr>
        <w:t>,</w:t>
      </w:r>
      <w:r w:rsidRPr="00AC211D">
        <w:rPr>
          <w:rFonts w:ascii="Palatino Linotype" w:eastAsia="Palatino Linotype" w:hAnsi="Palatino Linotype" w:cs="Palatino Linotype"/>
          <w:i/>
          <w:sz w:val="22"/>
          <w:szCs w:val="22"/>
        </w:rPr>
        <w:t xml:space="preserve"> en el ámbito de sus respectivas competencias, se regirán por los siguientes principios y bases:</w:t>
      </w:r>
    </w:p>
    <w:p w14:paraId="1D0714FD"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 </w:t>
      </w:r>
      <w:r w:rsidRPr="00AC211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C211D">
        <w:rPr>
          <w:rFonts w:ascii="Palatino Linotype" w:eastAsia="Palatino Linotype" w:hAnsi="Palatino Linotype" w:cs="Palatino Linotype"/>
          <w:i/>
          <w:sz w:val="22"/>
          <w:szCs w:val="22"/>
        </w:rPr>
        <w:t xml:space="preserve"> Ejecutivo, Legislativo </w:t>
      </w:r>
      <w:r w:rsidRPr="00AC211D">
        <w:rPr>
          <w:rFonts w:ascii="Palatino Linotype" w:eastAsia="Palatino Linotype" w:hAnsi="Palatino Linotype" w:cs="Palatino Linotype"/>
          <w:b/>
          <w:i/>
          <w:sz w:val="22"/>
          <w:szCs w:val="22"/>
          <w:u w:val="single"/>
        </w:rPr>
        <w:t>y Judicial</w:t>
      </w:r>
      <w:r w:rsidRPr="00AC211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C211D">
        <w:rPr>
          <w:rFonts w:ascii="Palatino Linotype" w:eastAsia="Palatino Linotype" w:hAnsi="Palatino Linotype" w:cs="Palatino Linotype"/>
          <w:b/>
          <w:i/>
          <w:sz w:val="22"/>
          <w:szCs w:val="22"/>
        </w:rPr>
        <w:t>es pública y sólo podrá ser reservada temporalmente por razones de interés público y seguridad nacional,</w:t>
      </w:r>
      <w:r w:rsidRPr="00AC211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BCF9E3" w14:textId="77777777" w:rsidR="00A82B34" w:rsidRPr="00AC211D" w:rsidRDefault="000E1924">
      <w:pPr>
        <w:spacing w:line="276" w:lineRule="auto"/>
        <w:ind w:left="851" w:right="851"/>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3CB5A58"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III. </w:t>
      </w:r>
      <w:r w:rsidRPr="00AC211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C211D">
        <w:rPr>
          <w:rFonts w:ascii="Palatino Linotype" w:eastAsia="Palatino Linotype" w:hAnsi="Palatino Linotype" w:cs="Palatino Linotype"/>
          <w:i/>
          <w:sz w:val="22"/>
          <w:szCs w:val="22"/>
        </w:rPr>
        <w:t xml:space="preserve"> a sus datos personales o a la rectificación de éstos.</w:t>
      </w:r>
    </w:p>
    <w:p w14:paraId="5B55DCDA"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IV. </w:t>
      </w:r>
      <w:r w:rsidRPr="00AC211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8066CD8"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 </w:t>
      </w:r>
      <w:r w:rsidRPr="00AC211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8A3F2E"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VI. </w:t>
      </w:r>
      <w:r w:rsidRPr="00AC211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7A6C810" w14:textId="77777777" w:rsidR="00A82B34" w:rsidRPr="00AC211D" w:rsidRDefault="000E1924">
      <w:pPr>
        <w:spacing w:line="276" w:lineRule="auto"/>
        <w:ind w:left="851" w:right="851"/>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VII. </w:t>
      </w:r>
      <w:r w:rsidRPr="00AC211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w:t>
      </w:r>
    </w:p>
    <w:p w14:paraId="6455ED7E" w14:textId="77777777" w:rsidR="00A82B34" w:rsidRPr="00AC211D" w:rsidRDefault="000E1924">
      <w:pPr>
        <w:tabs>
          <w:tab w:val="left" w:pos="709"/>
        </w:tabs>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F84F940"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B5AFD78" w14:textId="77777777" w:rsidR="00A82B34" w:rsidRPr="00AC211D" w:rsidRDefault="000E1924">
      <w:pP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r w:rsidRPr="00AC211D">
        <w:rPr>
          <w:rFonts w:ascii="Palatino Linotype" w:eastAsia="Palatino Linotype" w:hAnsi="Palatino Linotype" w:cs="Palatino Linotype"/>
          <w:b/>
          <w:i/>
          <w:sz w:val="22"/>
          <w:szCs w:val="22"/>
        </w:rPr>
        <w:t>Artículo 23. Son sujetos obligados a transparentar y permitir el acceso a su información y proteger los datos personales que obren en su poder</w:t>
      </w:r>
      <w:r w:rsidRPr="00AC211D">
        <w:rPr>
          <w:rFonts w:ascii="Palatino Linotype" w:eastAsia="Palatino Linotype" w:hAnsi="Palatino Linotype" w:cs="Palatino Linotype"/>
          <w:i/>
          <w:sz w:val="22"/>
          <w:szCs w:val="22"/>
        </w:rPr>
        <w:t>:</w:t>
      </w:r>
    </w:p>
    <w:p w14:paraId="2CBAA9AE"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I.</w:t>
      </w:r>
      <w:r w:rsidRPr="00AC211D">
        <w:rPr>
          <w:rFonts w:ascii="Palatino Linotype" w:eastAsia="Palatino Linotype" w:hAnsi="Palatino Linotype" w:cs="Palatino Linotype"/>
          <w:i/>
          <w:sz w:val="22"/>
          <w:szCs w:val="22"/>
        </w:rPr>
        <w:t xml:space="preserve"> El Poder Ejecutivo del Estado de México, las dependencias, organismos auxiliares,</w:t>
      </w:r>
      <w:r w:rsidRPr="00AC211D">
        <w:rPr>
          <w:rFonts w:ascii="Palatino Linotype" w:eastAsia="Palatino Linotype" w:hAnsi="Palatino Linotype" w:cs="Palatino Linotype"/>
          <w:b/>
          <w:i/>
          <w:sz w:val="22"/>
          <w:szCs w:val="22"/>
        </w:rPr>
        <w:t xml:space="preserve"> </w:t>
      </w:r>
      <w:r w:rsidRPr="00AC211D">
        <w:rPr>
          <w:rFonts w:ascii="Palatino Linotype" w:eastAsia="Palatino Linotype" w:hAnsi="Palatino Linotype" w:cs="Palatino Linotype"/>
          <w:i/>
          <w:sz w:val="22"/>
          <w:szCs w:val="22"/>
        </w:rPr>
        <w:t>órganos, entidades, fideicomisos y fondos públicos, así como la Procuraduría General de Justicia;</w:t>
      </w:r>
    </w:p>
    <w:p w14:paraId="100C3DD3"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II.</w:t>
      </w:r>
      <w:r w:rsidRPr="00AC211D">
        <w:rPr>
          <w:rFonts w:ascii="Palatino Linotype" w:eastAsia="Palatino Linotype" w:hAnsi="Palatino Linotype" w:cs="Palatino Linotype"/>
          <w:i/>
          <w:sz w:val="22"/>
          <w:szCs w:val="22"/>
        </w:rPr>
        <w:t xml:space="preserve"> El Poder Legislativo del Estado, los organismos, órganos y entidades de la Legislatura y sus dependencias;</w:t>
      </w:r>
    </w:p>
    <w:p w14:paraId="40AC7150"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III.</w:t>
      </w:r>
      <w:r w:rsidRPr="00AC211D">
        <w:rPr>
          <w:rFonts w:ascii="Palatino Linotype" w:eastAsia="Palatino Linotype" w:hAnsi="Palatino Linotype" w:cs="Palatino Linotype"/>
          <w:i/>
          <w:sz w:val="22"/>
          <w:szCs w:val="22"/>
        </w:rPr>
        <w:t xml:space="preserve"> El Poder Judicial, sus organismos, órganos y entidades, así como el Consejo de la Judicatura del Estado;</w:t>
      </w:r>
    </w:p>
    <w:p w14:paraId="3283E39A"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IV.</w:t>
      </w:r>
      <w:r w:rsidRPr="00AC211D">
        <w:rPr>
          <w:rFonts w:ascii="Palatino Linotype" w:eastAsia="Palatino Linotype" w:hAnsi="Palatino Linotype" w:cs="Palatino Linotype"/>
          <w:i/>
          <w:sz w:val="22"/>
          <w:szCs w:val="22"/>
        </w:rPr>
        <w:t xml:space="preserve"> Los ayuntamientos y las dependencias, organismos, órganos y entidades de la administración municipal;</w:t>
      </w:r>
    </w:p>
    <w:p w14:paraId="08BF671C"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w:t>
      </w:r>
      <w:r w:rsidRPr="00AC211D">
        <w:rPr>
          <w:rFonts w:ascii="Palatino Linotype" w:eastAsia="Palatino Linotype" w:hAnsi="Palatino Linotype" w:cs="Palatino Linotype"/>
          <w:i/>
          <w:sz w:val="22"/>
          <w:szCs w:val="22"/>
        </w:rPr>
        <w:t xml:space="preserve"> Los órganos autónomos;</w:t>
      </w:r>
    </w:p>
    <w:p w14:paraId="31E360AF"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VI.</w:t>
      </w:r>
      <w:r w:rsidRPr="00AC211D">
        <w:rPr>
          <w:rFonts w:ascii="Palatino Linotype" w:eastAsia="Palatino Linotype" w:hAnsi="Palatino Linotype" w:cs="Palatino Linotype"/>
          <w:i/>
          <w:sz w:val="22"/>
          <w:szCs w:val="22"/>
        </w:rPr>
        <w:t xml:space="preserve"> Los tribunales administrativos y autoridades jurisdiccionales en materia laboral;</w:t>
      </w:r>
    </w:p>
    <w:p w14:paraId="7B00E64C"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VII.</w:t>
      </w:r>
      <w:r w:rsidRPr="00AC211D">
        <w:rPr>
          <w:rFonts w:ascii="Palatino Linotype" w:eastAsia="Palatino Linotype" w:hAnsi="Palatino Linotype" w:cs="Palatino Linotype"/>
          <w:i/>
          <w:sz w:val="22"/>
          <w:szCs w:val="22"/>
        </w:rPr>
        <w:t xml:space="preserve"> Los partidos políticos y agrupaciones políticas, en los términos de las disposiciones aplicables;</w:t>
      </w:r>
    </w:p>
    <w:p w14:paraId="6C8FF1CF"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VIII.</w:t>
      </w:r>
      <w:r w:rsidRPr="00AC211D">
        <w:rPr>
          <w:rFonts w:ascii="Palatino Linotype" w:eastAsia="Palatino Linotype" w:hAnsi="Palatino Linotype" w:cs="Palatino Linotype"/>
          <w:i/>
          <w:sz w:val="22"/>
          <w:szCs w:val="22"/>
        </w:rPr>
        <w:t xml:space="preserve"> Los fideicomisos y fondos públicos que cuenten con financiamiento público, parcial o total, o con participación de entidades de gobierno;</w:t>
      </w:r>
    </w:p>
    <w:p w14:paraId="693C8A4F"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IX.</w:t>
      </w:r>
      <w:r w:rsidRPr="00AC211D">
        <w:rPr>
          <w:rFonts w:ascii="Palatino Linotype" w:eastAsia="Palatino Linotype" w:hAnsi="Palatino Linotype" w:cs="Palatino Linotype"/>
          <w:i/>
          <w:sz w:val="22"/>
          <w:szCs w:val="22"/>
        </w:rPr>
        <w:t xml:space="preserve"> Los sindicatos que reciban y/o ejerzan recursos públicos en el ámbito estatal y municipal;</w:t>
      </w:r>
    </w:p>
    <w:p w14:paraId="5292D922"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X.</w:t>
      </w:r>
      <w:r w:rsidRPr="00AC211D">
        <w:rPr>
          <w:rFonts w:ascii="Palatino Linotype" w:eastAsia="Palatino Linotype" w:hAnsi="Palatino Linotype" w:cs="Palatino Linotype"/>
          <w:i/>
          <w:sz w:val="22"/>
          <w:szCs w:val="22"/>
        </w:rPr>
        <w:t xml:space="preserve"> Cualquier persona física o jurídico colectiva que reciba y ejerza recursos públicos en el ámbito estatal o municipal; y</w:t>
      </w:r>
    </w:p>
    <w:p w14:paraId="66A0BE6C"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XI.</w:t>
      </w:r>
      <w:r w:rsidRPr="00AC211D">
        <w:rPr>
          <w:rFonts w:ascii="Palatino Linotype" w:eastAsia="Palatino Linotype" w:hAnsi="Palatino Linotype" w:cs="Palatino Linotype"/>
          <w:i/>
          <w:sz w:val="22"/>
          <w:szCs w:val="22"/>
        </w:rPr>
        <w:t xml:space="preserve"> Cualquier otra autoridad, entidad, órgano u organismo de los poderes estatal o municipal, que reciba recursos públicos.</w:t>
      </w:r>
    </w:p>
    <w:p w14:paraId="3FB6239B"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980BA23" w14:textId="77777777" w:rsidR="00A82B34" w:rsidRPr="00AC211D" w:rsidRDefault="000E1924">
      <w:pPr>
        <w:pBdr>
          <w:top w:val="nil"/>
          <w:left w:val="nil"/>
          <w:bottom w:val="nil"/>
          <w:right w:val="nil"/>
          <w:between w:val="nil"/>
        </w:pBdr>
        <w:spacing w:before="120" w:after="120"/>
        <w:ind w:left="851" w:right="864"/>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r w:rsidRPr="00AC211D">
        <w:rPr>
          <w:rFonts w:ascii="Palatino Linotype" w:eastAsia="Palatino Linotype" w:hAnsi="Palatino Linotype" w:cs="Palatino Linotype"/>
          <w:i/>
          <w:sz w:val="22"/>
          <w:szCs w:val="22"/>
        </w:rPr>
        <w:t>.”</w:t>
      </w:r>
    </w:p>
    <w:p w14:paraId="6A71BFD5"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8D93688"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00DC551" w14:textId="77777777" w:rsidR="00A82B34" w:rsidRPr="00AC211D" w:rsidRDefault="000E1924">
      <w:pPr>
        <w:widowControl w:val="0"/>
        <w:tabs>
          <w:tab w:val="left" w:pos="1276"/>
        </w:tabs>
        <w:spacing w:before="24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B5779F6" w14:textId="77777777" w:rsidR="00A82B34" w:rsidRPr="00AC211D" w:rsidRDefault="000E1924">
      <w:pPr>
        <w:widowControl w:val="0"/>
        <w:tabs>
          <w:tab w:val="left" w:pos="1276"/>
        </w:tabs>
        <w:spacing w:before="24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5EE9B6D"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DCD5BE5" w14:textId="77777777" w:rsidR="00A82B34" w:rsidRPr="00AC211D" w:rsidRDefault="000E1924">
      <w:pPr>
        <w:widowControl w:val="0"/>
        <w:tabs>
          <w:tab w:val="left" w:pos="1276"/>
        </w:tabs>
        <w:spacing w:before="24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A4B3BFB"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w:t>
      </w:r>
      <w:r w:rsidRPr="00AC211D">
        <w:rPr>
          <w:rFonts w:ascii="Palatino Linotype" w:eastAsia="Palatino Linotype" w:hAnsi="Palatino Linotype" w:cs="Palatino Linotype"/>
          <w:b/>
          <w:sz w:val="22"/>
          <w:szCs w:val="22"/>
        </w:rPr>
        <w:t>quince días hábiles</w:t>
      </w:r>
      <w:r w:rsidRPr="00AC211D">
        <w:rPr>
          <w:rFonts w:ascii="Palatino Linotype" w:eastAsia="Palatino Linotype" w:hAnsi="Palatino Linotype" w:cs="Palatino Linotype"/>
          <w:sz w:val="22"/>
          <w:szCs w:val="22"/>
        </w:rPr>
        <w:t xml:space="preserve">,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7348D336"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Sirve de sustento a lo anterior, el precepto legal en cita:</w:t>
      </w:r>
    </w:p>
    <w:p w14:paraId="4BDBC650" w14:textId="77777777" w:rsidR="00A82B34" w:rsidRPr="00AC211D" w:rsidRDefault="000E1924">
      <w:pP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r w:rsidRPr="00AC211D">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AC211D">
        <w:rPr>
          <w:rFonts w:ascii="Palatino Linotype" w:eastAsia="Palatino Linotype" w:hAnsi="Palatino Linotype" w:cs="Palatino Linotype"/>
          <w:i/>
          <w:sz w:val="22"/>
          <w:szCs w:val="22"/>
        </w:rPr>
        <w:t xml:space="preserve">, contados a partir del día siguiente a la presentación de aquélla. </w:t>
      </w:r>
    </w:p>
    <w:p w14:paraId="4953C31A" w14:textId="77777777" w:rsidR="00A82B34" w:rsidRPr="00AC211D" w:rsidRDefault="000E1924">
      <w:pP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D70A6B2"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 mérito de lo expuesto, es claro que en este caso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incumplió la normativa en la materia, puesto que no dio trámite ni respuesta a las solicitudes de acceso a la información, limitando el derecho de acceso a la información, accionado por la persona solicitante.</w:t>
      </w:r>
    </w:p>
    <w:p w14:paraId="55B7C3DE"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5E20740"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AC211D">
        <w:rPr>
          <w:rFonts w:ascii="Palatino Linotype" w:eastAsia="Palatino Linotype" w:hAnsi="Palatino Linotype" w:cs="Palatino Linotype"/>
          <w:b/>
          <w:sz w:val="22"/>
          <w:szCs w:val="22"/>
        </w:rPr>
        <w:t>el Sujeto Obligado</w:t>
      </w:r>
      <w:r w:rsidRPr="00AC211D">
        <w:rPr>
          <w:rFonts w:ascii="Palatino Linotype" w:eastAsia="Palatino Linotype" w:hAnsi="Palatino Linotype" w:cs="Palatino Linotype"/>
          <w:sz w:val="22"/>
          <w:szCs w:val="22"/>
        </w:rPr>
        <w:t>; por lo que, en caso de no atender de manera positiva</w:t>
      </w:r>
      <w:r w:rsidRPr="00AC211D">
        <w:rPr>
          <w:rFonts w:ascii="Palatino Linotype" w:eastAsia="Palatino Linotype" w:hAnsi="Palatino Linotype" w:cs="Palatino Linotype"/>
          <w:sz w:val="22"/>
          <w:szCs w:val="22"/>
          <w:vertAlign w:val="superscript"/>
        </w:rPr>
        <w:footnoteReference w:id="1"/>
      </w:r>
      <w:r w:rsidRPr="00AC211D">
        <w:rPr>
          <w:rFonts w:ascii="Palatino Linotype" w:eastAsia="Palatino Linotype" w:hAnsi="Palatino Linotype" w:cs="Palatino Linotype"/>
          <w:sz w:val="22"/>
          <w:szCs w:val="22"/>
        </w:rPr>
        <w:t>, el requerimiento de información deberá manifestarse al respecto.</w:t>
      </w:r>
    </w:p>
    <w:p w14:paraId="4B3CCF6E" w14:textId="77777777" w:rsidR="00A82B34" w:rsidRPr="00AC211D" w:rsidRDefault="000E1924">
      <w:pPr>
        <w:spacing w:before="280" w:after="280" w:line="360" w:lineRule="auto"/>
        <w:jc w:val="both"/>
        <w:rPr>
          <w:rFonts w:ascii="Palatino Linotype" w:eastAsia="Palatino Linotype" w:hAnsi="Palatino Linotype" w:cs="Palatino Linotype"/>
          <w:b/>
        </w:rPr>
      </w:pPr>
      <w:r w:rsidRPr="00AC211D">
        <w:rPr>
          <w:rFonts w:ascii="Palatino Linotype" w:eastAsia="Palatino Linotype" w:hAnsi="Palatino Linotype" w:cs="Palatino Linotype"/>
          <w:b/>
        </w:rPr>
        <w:t>De la clasificación de la información.</w:t>
      </w:r>
    </w:p>
    <w:p w14:paraId="76EE9D1A" w14:textId="77777777" w:rsidR="00A82B34" w:rsidRPr="00AC211D" w:rsidRDefault="000E1924">
      <w:pPr>
        <w:spacing w:before="240" w:after="240" w:line="360" w:lineRule="auto"/>
        <w:ind w:right="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Ahora bien, en atención al sentido en que se resuelven los presentes medios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B0DEF19" w14:textId="77777777" w:rsidR="00A82B34" w:rsidRPr="00AC211D" w:rsidRDefault="000E1924">
      <w:pPr>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“Artículo 91. </w:t>
      </w:r>
      <w:r w:rsidRPr="00AC211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09A6747"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E78D66C"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5CC6DFF3"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“Artículo 140. </w:t>
      </w:r>
      <w:r w:rsidRPr="00AC211D">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548A4AA3"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 </w:t>
      </w:r>
      <w:r w:rsidRPr="00AC211D">
        <w:rPr>
          <w:rFonts w:ascii="Palatino Linotype" w:eastAsia="Palatino Linotype" w:hAnsi="Palatino Linotype" w:cs="Palatino Linotype"/>
          <w:i/>
          <w:sz w:val="22"/>
          <w:szCs w:val="22"/>
        </w:rPr>
        <w:t>Comprometa la seguridad pública y cuente con un propósito genuino y un efecto demostrable;</w:t>
      </w:r>
    </w:p>
    <w:p w14:paraId="585E357E"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II. </w:t>
      </w:r>
      <w:r w:rsidRPr="00AC211D">
        <w:rPr>
          <w:rFonts w:ascii="Palatino Linotype" w:eastAsia="Palatino Linotype" w:hAnsi="Palatino Linotype" w:cs="Palatino Linotype"/>
          <w:i/>
          <w:sz w:val="22"/>
          <w:szCs w:val="22"/>
        </w:rPr>
        <w:t>Pueda menoscabar la conducción de las negociaciones y relaciones internacionales;</w:t>
      </w:r>
    </w:p>
    <w:p w14:paraId="3136FA4A"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III. </w:t>
      </w:r>
      <w:r w:rsidRPr="00AC211D">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52CC8B8"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IV. </w:t>
      </w:r>
      <w:r w:rsidRPr="00AC211D">
        <w:rPr>
          <w:rFonts w:ascii="Palatino Linotype" w:eastAsia="Palatino Linotype" w:hAnsi="Palatino Linotype" w:cs="Palatino Linotype"/>
          <w:i/>
          <w:sz w:val="22"/>
          <w:szCs w:val="22"/>
        </w:rPr>
        <w:t>Ponga en riesgo la vida, la seguridad o la salud de una persona física;</w:t>
      </w:r>
    </w:p>
    <w:p w14:paraId="421CFA88"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 </w:t>
      </w:r>
      <w:r w:rsidRPr="00AC211D">
        <w:rPr>
          <w:rFonts w:ascii="Palatino Linotype" w:eastAsia="Palatino Linotype" w:hAnsi="Palatino Linotype" w:cs="Palatino Linotype"/>
          <w:i/>
          <w:sz w:val="22"/>
          <w:szCs w:val="22"/>
        </w:rPr>
        <w:t>Aquella cuya divulgación obstruya o pueda causar un serio perjuicio a:</w:t>
      </w:r>
    </w:p>
    <w:p w14:paraId="6CC41C61"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1. </w:t>
      </w:r>
      <w:r w:rsidRPr="00AC211D">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3A81A16F"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2. </w:t>
      </w:r>
      <w:r w:rsidRPr="00AC211D">
        <w:rPr>
          <w:rFonts w:ascii="Palatino Linotype" w:eastAsia="Palatino Linotype" w:hAnsi="Palatino Linotype" w:cs="Palatino Linotype"/>
          <w:i/>
          <w:sz w:val="22"/>
          <w:szCs w:val="22"/>
        </w:rPr>
        <w:t>La recaudación de las contribuciones.</w:t>
      </w:r>
    </w:p>
    <w:p w14:paraId="1A1B0441"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VI. </w:t>
      </w:r>
      <w:r w:rsidRPr="00AC211D">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97EFECB"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VII. </w:t>
      </w:r>
      <w:r w:rsidRPr="00AC211D">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380168AB"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VIII</w:t>
      </w:r>
      <w:r w:rsidRPr="00AC211D">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AC211D">
        <w:rPr>
          <w:rFonts w:ascii="Palatino Linotype" w:eastAsia="Palatino Linotype" w:hAnsi="Palatino Linotype" w:cs="Palatino Linotype"/>
          <w:b/>
          <w:i/>
          <w:sz w:val="22"/>
          <w:szCs w:val="22"/>
        </w:rPr>
        <w:t>;</w:t>
      </w:r>
    </w:p>
    <w:p w14:paraId="2919476E"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IX. </w:t>
      </w:r>
      <w:r w:rsidRPr="00AC211D">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49D62299"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X. </w:t>
      </w:r>
      <w:r w:rsidRPr="00AC211D">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6FA270B"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5B89435"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XI. </w:t>
      </w:r>
      <w:r w:rsidRPr="00AC211D">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51A8C79"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p>
    <w:p w14:paraId="668BC1EA"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Artículo 143. </w:t>
      </w:r>
      <w:r w:rsidRPr="00AC211D">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1A9B248C"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 </w:t>
      </w:r>
      <w:r w:rsidRPr="00AC211D">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4CD5CFF9"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II. </w:t>
      </w:r>
      <w:r w:rsidRPr="00AC211D">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1985760"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III. </w:t>
      </w:r>
      <w:r w:rsidRPr="00AC211D">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0C5CE880" w14:textId="77777777" w:rsidR="00A82B34" w:rsidRPr="00AC211D" w:rsidRDefault="000E1924">
      <w:pPr>
        <w:spacing w:before="120" w:after="120"/>
        <w:ind w:left="851" w:right="900"/>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3503C2E" w14:textId="77777777" w:rsidR="00A82B34" w:rsidRPr="00AC211D" w:rsidRDefault="000E1924">
      <w:pPr>
        <w:spacing w:before="120" w:after="120"/>
        <w:ind w:left="8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821AE12"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F1F9798" w14:textId="77777777" w:rsidR="00A82B34" w:rsidRPr="00AC211D" w:rsidRDefault="000E1924">
      <w:pPr>
        <w:numPr>
          <w:ilvl w:val="0"/>
          <w:numId w:val="1"/>
        </w:numPr>
        <w:tabs>
          <w:tab w:val="left" w:pos="851"/>
        </w:tabs>
        <w:spacing w:before="280" w:line="360" w:lineRule="auto"/>
        <w:ind w:left="567" w:firstLine="0"/>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Se reciba una solicitud de acceso a la información;</w:t>
      </w:r>
    </w:p>
    <w:p w14:paraId="5A077EC1" w14:textId="77777777" w:rsidR="00A82B34" w:rsidRPr="00AC211D" w:rsidRDefault="000E1924">
      <w:pPr>
        <w:numPr>
          <w:ilvl w:val="0"/>
          <w:numId w:val="1"/>
        </w:numPr>
        <w:tabs>
          <w:tab w:val="left" w:pos="851"/>
        </w:tabs>
        <w:spacing w:line="360" w:lineRule="auto"/>
        <w:ind w:left="567" w:firstLine="0"/>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Se determine mediante resolución de autoridad competente; y/o</w:t>
      </w:r>
    </w:p>
    <w:p w14:paraId="6C969877" w14:textId="77777777" w:rsidR="00A82B34" w:rsidRPr="00AC211D" w:rsidRDefault="000E1924">
      <w:pPr>
        <w:numPr>
          <w:ilvl w:val="0"/>
          <w:numId w:val="1"/>
        </w:numPr>
        <w:tabs>
          <w:tab w:val="left" w:pos="851"/>
        </w:tabs>
        <w:spacing w:after="280" w:line="360" w:lineRule="auto"/>
        <w:ind w:left="567" w:firstLine="0"/>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Se generen versiones públicas para dar cumplimiento a las obligaciones de transparencia previstas en la Ley.</w:t>
      </w:r>
    </w:p>
    <w:p w14:paraId="6863EBB7" w14:textId="77777777" w:rsidR="00A82B34" w:rsidRPr="00AC211D" w:rsidRDefault="000E1924">
      <w:pPr>
        <w:spacing w:before="280" w:after="280" w:line="360" w:lineRule="auto"/>
        <w:ind w:right="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49, fracciones II y VIII, 53, fracción X y 59, fracción V de la Ley de Transparencia y Acceso a la Información Pública del Estado de México y Municipios, a saber:</w:t>
      </w:r>
    </w:p>
    <w:p w14:paraId="5C56A744"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i/>
          <w:sz w:val="22"/>
          <w:szCs w:val="22"/>
        </w:rPr>
        <w:t>“</w:t>
      </w:r>
      <w:r w:rsidRPr="00AC211D">
        <w:rPr>
          <w:rFonts w:ascii="Palatino Linotype" w:eastAsia="Palatino Linotype" w:hAnsi="Palatino Linotype" w:cs="Palatino Linotype"/>
          <w:b/>
          <w:i/>
          <w:sz w:val="22"/>
          <w:szCs w:val="22"/>
        </w:rPr>
        <w:t>Artículo 49.</w:t>
      </w:r>
      <w:r w:rsidRPr="00AC211D">
        <w:rPr>
          <w:rFonts w:ascii="Palatino Linotype" w:eastAsia="Palatino Linotype" w:hAnsi="Palatino Linotype" w:cs="Palatino Linotype"/>
          <w:i/>
          <w:sz w:val="22"/>
          <w:szCs w:val="22"/>
        </w:rPr>
        <w:t xml:space="preserve"> Los Comités de Transparencia tendrán las siguientes atribuciones:</w:t>
      </w:r>
    </w:p>
    <w:p w14:paraId="035BC91A"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w:t>
      </w:r>
    </w:p>
    <w:p w14:paraId="733EA569"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II.</w:t>
      </w:r>
      <w:r w:rsidRPr="00AC211D">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55CAB79"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w:t>
      </w:r>
    </w:p>
    <w:p w14:paraId="0F2B2464"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VIII.</w:t>
      </w:r>
      <w:r w:rsidRPr="00AC211D">
        <w:rPr>
          <w:rFonts w:ascii="Palatino Linotype" w:eastAsia="Palatino Linotype" w:hAnsi="Palatino Linotype" w:cs="Palatino Linotype"/>
          <w:i/>
          <w:sz w:val="22"/>
          <w:szCs w:val="22"/>
        </w:rPr>
        <w:t xml:space="preserve"> Aprobar, modificar o revocar la clasificación de la información;</w:t>
      </w:r>
    </w:p>
    <w:p w14:paraId="051FC53B"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w:t>
      </w:r>
    </w:p>
    <w:p w14:paraId="2EDE250D"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Artículo 5</w:t>
      </w:r>
      <w:r w:rsidRPr="00AC211D">
        <w:rPr>
          <w:rFonts w:ascii="Palatino Linotype" w:eastAsia="Palatino Linotype" w:hAnsi="Palatino Linotype" w:cs="Palatino Linotype"/>
          <w:i/>
          <w:sz w:val="22"/>
          <w:szCs w:val="22"/>
        </w:rPr>
        <w:t>3. Las Unidades de Transparencia tendrán las siguientes funciones:</w:t>
      </w:r>
    </w:p>
    <w:p w14:paraId="1B403B8B"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w:t>
      </w:r>
    </w:p>
    <w:p w14:paraId="0A38F27B"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X</w:t>
      </w:r>
      <w:r w:rsidRPr="00AC211D">
        <w:rPr>
          <w:rFonts w:ascii="Palatino Linotype" w:eastAsia="Palatino Linotype" w:hAnsi="Palatino Linotype" w:cs="Palatino Linotype"/>
          <w:i/>
          <w:sz w:val="22"/>
          <w:szCs w:val="22"/>
        </w:rPr>
        <w:t>. Presentar ante el Comité, el proyecto de clasificación de información</w:t>
      </w:r>
    </w:p>
    <w:p w14:paraId="45BB07E3"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w:t>
      </w:r>
    </w:p>
    <w:p w14:paraId="332A79F0"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Artículo 59.</w:t>
      </w:r>
      <w:r w:rsidRPr="00AC211D">
        <w:rPr>
          <w:rFonts w:ascii="Palatino Linotype" w:eastAsia="Palatino Linotype" w:hAnsi="Palatino Linotype" w:cs="Palatino Linotype"/>
          <w:i/>
          <w:sz w:val="22"/>
          <w:szCs w:val="22"/>
        </w:rPr>
        <w:t xml:space="preserve"> Los servidores públicos habilitados tendrán las funciones siguientes:</w:t>
      </w:r>
    </w:p>
    <w:p w14:paraId="7F94CA4B"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C211D">
        <w:rPr>
          <w:rFonts w:ascii="Palatino Linotype" w:eastAsia="Palatino Linotype" w:hAnsi="Palatino Linotype" w:cs="Palatino Linotype"/>
          <w:b/>
          <w:i/>
          <w:sz w:val="22"/>
          <w:szCs w:val="22"/>
        </w:rPr>
        <w:t>…</w:t>
      </w:r>
    </w:p>
    <w:p w14:paraId="0A21A4D9" w14:textId="77777777" w:rsidR="00A82B34" w:rsidRPr="00AC211D" w:rsidRDefault="000E19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V.</w:t>
      </w:r>
      <w:r w:rsidRPr="00AC211D">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47BDC736"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Bajo tales consideraciones, este Organismo Garante no omite señalar que, si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advierte que la información solicitada contiene </w:t>
      </w:r>
      <w:r w:rsidRPr="00AC211D">
        <w:rPr>
          <w:rFonts w:ascii="Palatino Linotype" w:eastAsia="Palatino Linotype" w:hAnsi="Palatino Linotype" w:cs="Palatino Linotype"/>
          <w:b/>
          <w:sz w:val="22"/>
          <w:szCs w:val="22"/>
        </w:rPr>
        <w:t>datos personales</w:t>
      </w:r>
      <w:r w:rsidRPr="00AC211D">
        <w:rPr>
          <w:rFonts w:ascii="Palatino Linotype" w:eastAsia="Palatino Linotype" w:hAnsi="Palatino Linotype" w:cs="Palatino Linotype"/>
          <w:sz w:val="22"/>
          <w:szCs w:val="22"/>
        </w:rPr>
        <w:t xml:space="preserve"> que sean susceptibles de ser </w:t>
      </w:r>
      <w:r w:rsidRPr="00AC211D">
        <w:rPr>
          <w:rFonts w:ascii="Palatino Linotype" w:eastAsia="Palatino Linotype" w:hAnsi="Palatino Linotype" w:cs="Palatino Linotype"/>
          <w:b/>
          <w:sz w:val="22"/>
          <w:szCs w:val="22"/>
        </w:rPr>
        <w:t xml:space="preserve">clasificados como confidenciales, </w:t>
      </w:r>
      <w:r w:rsidRPr="00AC211D">
        <w:rPr>
          <w:rFonts w:ascii="Palatino Linotype" w:eastAsia="Palatino Linotype" w:hAnsi="Palatino Linotype" w:cs="Palatino Linotype"/>
          <w:sz w:val="22"/>
          <w:szCs w:val="22"/>
        </w:rPr>
        <w:t>o, si por otro lado</w:t>
      </w:r>
      <w:r w:rsidRPr="00AC211D">
        <w:rPr>
          <w:rFonts w:ascii="Palatino Linotype" w:eastAsia="Palatino Linotype" w:hAnsi="Palatino Linotype" w:cs="Palatino Linotype"/>
          <w:b/>
          <w:sz w:val="22"/>
          <w:szCs w:val="22"/>
        </w:rPr>
        <w:t>, por su propia y especial naturaleza,</w:t>
      </w:r>
      <w:r w:rsidRPr="00AC211D">
        <w:rPr>
          <w:rFonts w:ascii="Palatino Linotype" w:eastAsia="Palatino Linotype" w:hAnsi="Palatino Linotype" w:cs="Palatino Linotype"/>
          <w:sz w:val="22"/>
          <w:szCs w:val="22"/>
        </w:rPr>
        <w:t xml:space="preserve"> encuadra en alguno de los </w:t>
      </w:r>
      <w:r w:rsidRPr="00AC211D">
        <w:rPr>
          <w:rFonts w:ascii="Palatino Linotype" w:eastAsia="Palatino Linotype" w:hAnsi="Palatino Linotype" w:cs="Palatino Linotype"/>
          <w:b/>
          <w:sz w:val="22"/>
          <w:szCs w:val="22"/>
        </w:rPr>
        <w:t>supuestos de reserva o de confidencialidad en su totalidad</w:t>
      </w:r>
      <w:r w:rsidRPr="00AC211D">
        <w:rPr>
          <w:rFonts w:ascii="Palatino Linotype" w:eastAsia="Palatino Linotype" w:hAnsi="Palatino Linotype" w:cs="Palatino Linotype"/>
          <w:sz w:val="22"/>
          <w:szCs w:val="22"/>
        </w:rPr>
        <w:t>, deberá emitir, un</w:t>
      </w:r>
      <w:r w:rsidRPr="00AC211D">
        <w:rPr>
          <w:rFonts w:ascii="Palatino Linotype" w:eastAsia="Palatino Linotype" w:hAnsi="Palatino Linotype" w:cs="Palatino Linotype"/>
          <w:b/>
          <w:sz w:val="22"/>
          <w:szCs w:val="22"/>
        </w:rPr>
        <w:t xml:space="preserve"> Acuerdo de Clasificación </w:t>
      </w:r>
      <w:r w:rsidRPr="00AC211D">
        <w:rPr>
          <w:rFonts w:ascii="Palatino Linotype" w:eastAsia="Palatino Linotype" w:hAnsi="Palatino Linotype" w:cs="Palatino Linotype"/>
          <w:sz w:val="22"/>
          <w:szCs w:val="22"/>
        </w:rPr>
        <w:t>debidamente fundado y motivado que</w:t>
      </w:r>
      <w:r w:rsidRPr="00AC211D">
        <w:rPr>
          <w:rFonts w:ascii="Palatino Linotype" w:eastAsia="Palatino Linotype" w:hAnsi="Palatino Linotype" w:cs="Palatino Linotype"/>
          <w:b/>
          <w:sz w:val="22"/>
          <w:szCs w:val="22"/>
        </w:rPr>
        <w:t xml:space="preserve"> sustente la clasificación parcial, a través de la versión pública que emita,</w:t>
      </w:r>
      <w:r w:rsidRPr="00AC211D">
        <w:rPr>
          <w:rFonts w:ascii="Palatino Linotype" w:eastAsia="Palatino Linotype" w:hAnsi="Palatino Linotype" w:cs="Palatino Linotype"/>
          <w:sz w:val="22"/>
          <w:szCs w:val="22"/>
        </w:rPr>
        <w:t xml:space="preserve"> o bien, la restricción total del derecho de acceso a la información.  </w:t>
      </w:r>
    </w:p>
    <w:p w14:paraId="56904D2A" w14:textId="77777777" w:rsidR="00A82B34" w:rsidRPr="00AC211D" w:rsidRDefault="00A82B34">
      <w:pPr>
        <w:spacing w:before="280" w:after="280" w:line="360" w:lineRule="auto"/>
        <w:jc w:val="both"/>
        <w:rPr>
          <w:rFonts w:ascii="Palatino Linotype" w:eastAsia="Palatino Linotype" w:hAnsi="Palatino Linotype" w:cs="Palatino Linotype"/>
          <w:sz w:val="22"/>
          <w:szCs w:val="22"/>
        </w:rPr>
      </w:pPr>
    </w:p>
    <w:p w14:paraId="78ED2955" w14:textId="77777777" w:rsidR="00A82B34" w:rsidRPr="00AC211D" w:rsidRDefault="000E1924">
      <w:pPr>
        <w:numPr>
          <w:ilvl w:val="0"/>
          <w:numId w:val="5"/>
        </w:num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De la clasificación parcial de la información.</w:t>
      </w:r>
    </w:p>
    <w:p w14:paraId="3D57A35B"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6622AF1A" w14:textId="77777777" w:rsidR="00A82B34" w:rsidRPr="00AC211D" w:rsidRDefault="000E1924">
      <w:pPr>
        <w:numPr>
          <w:ilvl w:val="0"/>
          <w:numId w:val="4"/>
        </w:numPr>
        <w:pBdr>
          <w:top w:val="nil"/>
          <w:left w:val="nil"/>
          <w:bottom w:val="nil"/>
          <w:right w:val="nil"/>
          <w:between w:val="nil"/>
        </w:pBdr>
        <w:spacing w:before="280" w:after="280" w:line="360" w:lineRule="auto"/>
        <w:ind w:right="51"/>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 xml:space="preserve"> De la clasificación de información como reservada.</w:t>
      </w:r>
    </w:p>
    <w:p w14:paraId="5BA45881" w14:textId="77777777" w:rsidR="00A82B34" w:rsidRPr="00AC211D" w:rsidRDefault="000E1924">
      <w:pPr>
        <w:spacing w:before="280" w:after="280" w:line="360" w:lineRule="auto"/>
        <w:ind w:right="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AE42175"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2CE4621E" w14:textId="77777777" w:rsidR="00A82B34" w:rsidRPr="00AC211D" w:rsidRDefault="000E1924">
      <w:pPr>
        <w:numPr>
          <w:ilvl w:val="0"/>
          <w:numId w:val="2"/>
        </w:numPr>
        <w:tabs>
          <w:tab w:val="left" w:pos="709"/>
        </w:tabs>
        <w:spacing w:before="280" w:line="360" w:lineRule="auto"/>
        <w:ind w:left="426" w:firstLine="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La divulgación de la información representa un </w:t>
      </w:r>
      <w:r w:rsidRPr="00AC211D">
        <w:rPr>
          <w:rFonts w:ascii="Palatino Linotype" w:eastAsia="Palatino Linotype" w:hAnsi="Palatino Linotype" w:cs="Palatino Linotype"/>
          <w:b/>
          <w:sz w:val="22"/>
          <w:szCs w:val="22"/>
        </w:rPr>
        <w:t>riesgo real, demostrable e identificable del perjuicio significativo al interés público o a la seguridad pública</w:t>
      </w:r>
      <w:r w:rsidRPr="00AC211D">
        <w:rPr>
          <w:rFonts w:ascii="Palatino Linotype" w:eastAsia="Palatino Linotype" w:hAnsi="Palatino Linotype" w:cs="Palatino Linotype"/>
          <w:sz w:val="22"/>
          <w:szCs w:val="22"/>
        </w:rPr>
        <w:t>;</w:t>
      </w:r>
    </w:p>
    <w:p w14:paraId="5094DFDB" w14:textId="77777777" w:rsidR="00A82B34" w:rsidRPr="00AC211D" w:rsidRDefault="000E1924">
      <w:pPr>
        <w:numPr>
          <w:ilvl w:val="0"/>
          <w:numId w:val="2"/>
        </w:numPr>
        <w:tabs>
          <w:tab w:val="left" w:pos="709"/>
        </w:tabs>
        <w:spacing w:line="360" w:lineRule="auto"/>
        <w:ind w:left="426" w:firstLine="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El riesgo de perjuicio que supondría la divulgación supera el interés público general de que se difunda; y,</w:t>
      </w:r>
    </w:p>
    <w:p w14:paraId="7A5CAEEB" w14:textId="77777777" w:rsidR="00A82B34" w:rsidRPr="00AC211D" w:rsidRDefault="000E1924">
      <w:pPr>
        <w:numPr>
          <w:ilvl w:val="0"/>
          <w:numId w:val="2"/>
        </w:numPr>
        <w:tabs>
          <w:tab w:val="left" w:pos="709"/>
        </w:tabs>
        <w:spacing w:after="280" w:line="360" w:lineRule="auto"/>
        <w:ind w:left="426" w:firstLine="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50AF6FD2"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Es pertinente aclarar que, la información que se clasifica bajo la premisa de reservada, </w:t>
      </w:r>
      <w:r w:rsidRPr="00AC211D">
        <w:rPr>
          <w:rFonts w:ascii="Palatino Linotype" w:eastAsia="Palatino Linotype" w:hAnsi="Palatino Linotype" w:cs="Palatino Linotype"/>
          <w:b/>
          <w:sz w:val="22"/>
          <w:szCs w:val="22"/>
        </w:rPr>
        <w:t>no pierde el carácter de pública</w:t>
      </w:r>
      <w:r w:rsidRPr="00AC211D">
        <w:rPr>
          <w:rFonts w:ascii="Palatino Linotype" w:eastAsia="Palatino Linotype" w:hAnsi="Palatino Linotype" w:cs="Palatino Linotype"/>
          <w:sz w:val="22"/>
          <w:szCs w:val="22"/>
        </w:rPr>
        <w:t xml:space="preserve">, sino que </w:t>
      </w:r>
      <w:r w:rsidRPr="00AC211D">
        <w:rPr>
          <w:rFonts w:ascii="Palatino Linotype" w:eastAsia="Palatino Linotype" w:hAnsi="Palatino Linotype" w:cs="Palatino Linotype"/>
          <w:b/>
          <w:sz w:val="22"/>
          <w:szCs w:val="22"/>
        </w:rPr>
        <w:t>se reserva temporalmente</w:t>
      </w:r>
      <w:r w:rsidRPr="00AC211D">
        <w:rPr>
          <w:rFonts w:ascii="Palatino Linotype" w:eastAsia="Palatino Linotype" w:hAnsi="Palatino Linotype" w:cs="Palatino Linotype"/>
          <w:sz w:val="22"/>
          <w:szCs w:val="22"/>
        </w:rPr>
        <w:t xml:space="preserve"> </w:t>
      </w:r>
      <w:r w:rsidRPr="00AC211D">
        <w:rPr>
          <w:rFonts w:ascii="Palatino Linotype" w:eastAsia="Palatino Linotype" w:hAnsi="Palatino Linotype" w:cs="Palatino Linotype"/>
          <w:b/>
          <w:sz w:val="22"/>
          <w:szCs w:val="22"/>
        </w:rPr>
        <w:t>del conocimiento público</w:t>
      </w:r>
      <w:r w:rsidRPr="00AC211D">
        <w:rPr>
          <w:rFonts w:ascii="Palatino Linotype" w:eastAsia="Palatino Linotype" w:hAnsi="Palatino Linotype" w:cs="Palatino Linotype"/>
          <w:sz w:val="22"/>
          <w:szCs w:val="22"/>
        </w:rPr>
        <w:t xml:space="preserve">, es decir, que, </w:t>
      </w:r>
      <w:r w:rsidRPr="00AC211D">
        <w:rPr>
          <w:rFonts w:ascii="Palatino Linotype" w:eastAsia="Palatino Linotype" w:hAnsi="Palatino Linotype" w:cs="Palatino Linotype"/>
          <w:b/>
          <w:sz w:val="22"/>
          <w:szCs w:val="22"/>
        </w:rPr>
        <w:t>por un tiempo determinado</w:t>
      </w:r>
      <w:r w:rsidRPr="00AC211D">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7561AE44"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F6764E2" w14:textId="77777777" w:rsidR="00A82B34" w:rsidRPr="00AC211D" w:rsidRDefault="000E1924">
      <w:pPr>
        <w:numPr>
          <w:ilvl w:val="0"/>
          <w:numId w:val="3"/>
        </w:numPr>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De la clasificación de la información como totalmente confidencial.</w:t>
      </w:r>
    </w:p>
    <w:p w14:paraId="7C960771" w14:textId="77777777" w:rsidR="00A82B34" w:rsidRPr="00AC211D" w:rsidRDefault="000E1924">
      <w:pPr>
        <w:tabs>
          <w:tab w:val="left" w:pos="709"/>
        </w:tabs>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2A875FC" w14:textId="77777777" w:rsidR="00A82B34" w:rsidRPr="00AC211D" w:rsidRDefault="000E1924">
      <w:pPr>
        <w:spacing w:before="280" w:after="280" w:line="360" w:lineRule="auto"/>
        <w:ind w:right="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AC211D">
        <w:rPr>
          <w:rFonts w:ascii="Palatino Linotype" w:eastAsia="Palatino Linotype" w:hAnsi="Palatino Linotype" w:cs="Palatino Linotype"/>
          <w:sz w:val="22"/>
          <w:szCs w:val="22"/>
          <w:vertAlign w:val="superscript"/>
        </w:rPr>
        <w:footnoteReference w:id="2"/>
      </w:r>
      <w:r w:rsidRPr="00AC211D">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3C308CF" w14:textId="77777777" w:rsidR="00A82B34" w:rsidRPr="00AC211D" w:rsidRDefault="000E1924">
      <w:pPr>
        <w:spacing w:before="280" w:after="280" w:line="360" w:lineRule="auto"/>
        <w:ind w:right="51"/>
        <w:jc w:val="both"/>
        <w:rPr>
          <w:rFonts w:ascii="Palatino Linotype" w:eastAsia="Palatino Linotype" w:hAnsi="Palatino Linotype" w:cs="Palatino Linotype"/>
        </w:rPr>
      </w:pPr>
      <w:r w:rsidRPr="00AC211D">
        <w:rPr>
          <w:rFonts w:ascii="Palatino Linotype" w:eastAsia="Palatino Linotype" w:hAnsi="Palatino Linotype" w:cs="Palatino Linotype"/>
          <w:b/>
        </w:rPr>
        <w:t>De la declaratoria de inexistencia de la información</w:t>
      </w:r>
      <w:r w:rsidRPr="00AC211D">
        <w:rPr>
          <w:rFonts w:ascii="Palatino Linotype" w:eastAsia="Palatino Linotype" w:hAnsi="Palatino Linotype" w:cs="Palatino Linotype"/>
        </w:rPr>
        <w:t>.</w:t>
      </w:r>
    </w:p>
    <w:p w14:paraId="5C35B2E2"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Por otro lado, estima prudente señalar al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131C5F19"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278F123"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34C7A841"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A8E859A" w14:textId="77777777" w:rsidR="00A82B34" w:rsidRPr="00AC211D" w:rsidRDefault="000E1924">
      <w:pPr>
        <w:ind w:left="851" w:right="902"/>
        <w:jc w:val="both"/>
        <w:rPr>
          <w:rFonts w:ascii="Palatino Linotype" w:eastAsia="Palatino Linotype" w:hAnsi="Palatino Linotype" w:cs="Palatino Linotype"/>
          <w:i/>
          <w:sz w:val="22"/>
          <w:szCs w:val="22"/>
        </w:rPr>
      </w:pPr>
      <w:r w:rsidRPr="00AC211D">
        <w:rPr>
          <w:rFonts w:ascii="Palatino Linotype" w:eastAsia="Palatino Linotype" w:hAnsi="Palatino Linotype" w:cs="Palatino Linotype"/>
          <w:b/>
          <w:i/>
          <w:sz w:val="22"/>
          <w:szCs w:val="22"/>
        </w:rPr>
        <w:t xml:space="preserve">“INEXISTENCIA DE LA INFORMACIÓN. SUPUESTOS PARA EMITIR LA RESOLUCIÓN DE LA. </w:t>
      </w:r>
      <w:r w:rsidRPr="00AC211D">
        <w:rPr>
          <w:rFonts w:ascii="Palatino Linotype" w:eastAsia="Palatino Linotype" w:hAnsi="Palatino Linotype" w:cs="Palatino Linotype"/>
          <w:i/>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8A8436D" w14:textId="77777777" w:rsidR="00A82B34" w:rsidRPr="00AC211D" w:rsidRDefault="000E1924">
      <w:pPr>
        <w:spacing w:before="280" w:after="28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En mérito de todo lo expuesto, ante lo </w:t>
      </w:r>
      <w:r w:rsidRPr="00AC211D">
        <w:rPr>
          <w:rFonts w:ascii="Palatino Linotype" w:eastAsia="Palatino Linotype" w:hAnsi="Palatino Linotype" w:cs="Palatino Linotype"/>
          <w:b/>
          <w:sz w:val="22"/>
          <w:szCs w:val="22"/>
        </w:rPr>
        <w:t>fundado</w:t>
      </w:r>
      <w:r w:rsidRPr="00AC211D">
        <w:rPr>
          <w:rFonts w:ascii="Palatino Linotype" w:eastAsia="Palatino Linotype" w:hAnsi="Palatino Linotype" w:cs="Palatino Linotype"/>
          <w:sz w:val="22"/>
          <w:szCs w:val="22"/>
        </w:rPr>
        <w:t xml:space="preserve"> de las razones o motivos de inconformidad hechos valer por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este Instituto estima que lo dable es </w:t>
      </w:r>
      <w:r w:rsidRPr="00AC211D">
        <w:rPr>
          <w:rFonts w:ascii="Palatino Linotype" w:eastAsia="Palatino Linotype" w:hAnsi="Palatino Linotype" w:cs="Palatino Linotype"/>
          <w:b/>
          <w:sz w:val="22"/>
          <w:szCs w:val="22"/>
        </w:rPr>
        <w:t>Ordenar</w:t>
      </w:r>
      <w:r w:rsidRPr="00AC211D">
        <w:rPr>
          <w:rFonts w:ascii="Palatino Linotype" w:eastAsia="Palatino Linotype" w:hAnsi="Palatino Linotype" w:cs="Palatino Linotype"/>
          <w:sz w:val="22"/>
          <w:szCs w:val="22"/>
        </w:rPr>
        <w:t xml:space="preserve"> al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dé respuesta a las solicitudes de acceso a la información, atendiendo lo señalado en el presente Considerando.</w:t>
      </w:r>
    </w:p>
    <w:p w14:paraId="6A2FAEAC" w14:textId="77777777" w:rsidR="00A82B34" w:rsidRPr="00AC211D" w:rsidRDefault="000E1924">
      <w:pPr>
        <w:spacing w:before="240" w:after="240" w:line="360" w:lineRule="auto"/>
        <w:ind w:right="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Finalmente, es de señalar que, como ya se mencionó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omitió proporcionar respuesta a las solicitudes de acceso a la información pública, en el término contemplado en el ya citado artículo 163 de la Ley de la materia, razón por la que se </w:t>
      </w:r>
      <w:r w:rsidRPr="00AC211D">
        <w:rPr>
          <w:rFonts w:ascii="Palatino Linotype" w:eastAsia="Palatino Linotype" w:hAnsi="Palatino Linotype" w:cs="Palatino Linotype"/>
          <w:b/>
          <w:sz w:val="22"/>
          <w:szCs w:val="22"/>
        </w:rPr>
        <w:t>ordena</w:t>
      </w:r>
      <w:r w:rsidRPr="00AC211D">
        <w:rPr>
          <w:rFonts w:ascii="Palatino Linotype" w:eastAsia="Palatino Linotype" w:hAnsi="Palatino Linotype" w:cs="Palatino Linotype"/>
          <w:sz w:val="22"/>
          <w:szCs w:val="22"/>
        </w:rPr>
        <w:t xml:space="preserve"> dar vista a la Secretaría Técnica del Pleno de este Instituto para hacer del conocimiento del Órgano Interno de Control competente</w:t>
      </w:r>
      <w:r w:rsidRPr="00AC211D">
        <w:t xml:space="preserve"> </w:t>
      </w:r>
      <w:r w:rsidRPr="00AC211D">
        <w:rPr>
          <w:rFonts w:ascii="Palatino Linotype" w:eastAsia="Palatino Linotype" w:hAnsi="Palatino Linotype" w:cs="Palatino Linotype"/>
          <w:sz w:val="22"/>
          <w:szCs w:val="22"/>
        </w:rPr>
        <w:t>la presente resolución, a fin de que de conformidad con el artículo 190 de la Ley de Transparencia y Acceso a la Información Pública del Estado de México y Municipios se determine lo conducente.</w:t>
      </w:r>
    </w:p>
    <w:p w14:paraId="424CE2E9" w14:textId="5C270925" w:rsidR="00A82B34" w:rsidRPr="00AC211D" w:rsidRDefault="000E1924">
      <w:pPr>
        <w:spacing w:before="240" w:after="240" w:line="360" w:lineRule="auto"/>
        <w:ind w:right="51"/>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sz w:val="22"/>
          <w:szCs w:val="22"/>
        </w:rPr>
        <w:t xml:space="preserve">Así, con fundamento en lo prescrito en los artículos 5 párrafos </w:t>
      </w:r>
      <w:r w:rsidR="001C764D" w:rsidRPr="00AC211D">
        <w:rPr>
          <w:rFonts w:ascii="Palatino Linotype" w:eastAsia="Palatino Linotype" w:hAnsi="Palatino Linotype" w:cs="Palatino Linotype"/>
          <w:sz w:val="22"/>
          <w:szCs w:val="22"/>
        </w:rPr>
        <w:t xml:space="preserve">cuadragésimo cuarto, cuadragésimo quinto  y cuadragésimo sexto de la Constitución Política del Estado Libre y Soberano de México; </w:t>
      </w:r>
      <w:r w:rsidR="001C764D" w:rsidRPr="00AC211D">
        <w:rPr>
          <w:rFonts w:ascii="Palatino Linotype" w:hAnsi="Palatino Linotype"/>
          <w:sz w:val="22"/>
          <w:szCs w:val="22"/>
        </w:rPr>
        <w:t>Transitorio Cuarto, párrafo segundo del Decreto número 198 de la “LXII” Legislatura del Estado de México</w:t>
      </w:r>
      <w:r w:rsidRPr="00AC211D">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038698AD" w14:textId="77777777" w:rsidR="00A82B34" w:rsidRPr="00AC211D" w:rsidRDefault="000E1924">
      <w:pPr>
        <w:pBdr>
          <w:top w:val="nil"/>
          <w:left w:val="nil"/>
          <w:bottom w:val="nil"/>
          <w:right w:val="nil"/>
          <w:between w:val="nil"/>
        </w:pBdr>
        <w:spacing w:before="280" w:after="280" w:line="360" w:lineRule="auto"/>
        <w:jc w:val="center"/>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III. R E S U E L V E:</w:t>
      </w:r>
    </w:p>
    <w:p w14:paraId="5D9BE549" w14:textId="77777777" w:rsidR="00A82B34" w:rsidRPr="00AC211D" w:rsidRDefault="000E1924">
      <w:pPr>
        <w:spacing w:before="240" w:after="240" w:line="360" w:lineRule="auto"/>
        <w:ind w:right="49"/>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Primero. </w:t>
      </w:r>
      <w:r w:rsidRPr="00AC211D">
        <w:rPr>
          <w:rFonts w:ascii="Palatino Linotype" w:eastAsia="Palatino Linotype" w:hAnsi="Palatino Linotype" w:cs="Palatino Linotype"/>
          <w:sz w:val="22"/>
          <w:szCs w:val="22"/>
        </w:rPr>
        <w:t xml:space="preserve">Resultan </w:t>
      </w:r>
      <w:r w:rsidRPr="00AC211D">
        <w:rPr>
          <w:rFonts w:ascii="Palatino Linotype" w:eastAsia="Palatino Linotype" w:hAnsi="Palatino Linotype" w:cs="Palatino Linotype"/>
          <w:b/>
          <w:sz w:val="22"/>
          <w:szCs w:val="22"/>
        </w:rPr>
        <w:t>fundados</w:t>
      </w:r>
      <w:r w:rsidRPr="00AC211D">
        <w:rPr>
          <w:rFonts w:ascii="Palatino Linotype" w:eastAsia="Palatino Linotype" w:hAnsi="Palatino Linotype" w:cs="Palatino Linotype"/>
          <w:sz w:val="22"/>
          <w:szCs w:val="22"/>
        </w:rPr>
        <w:t xml:space="preserve"> los motivos de inconformidad de la parte </w:t>
      </w:r>
      <w:r w:rsidRPr="00AC211D">
        <w:rPr>
          <w:rFonts w:ascii="Palatino Linotype" w:eastAsia="Palatino Linotype" w:hAnsi="Palatino Linotype" w:cs="Palatino Linotype"/>
          <w:b/>
          <w:sz w:val="22"/>
          <w:szCs w:val="22"/>
        </w:rPr>
        <w:t>Recurrente</w:t>
      </w:r>
      <w:r w:rsidRPr="00AC211D">
        <w:rPr>
          <w:rFonts w:ascii="Palatino Linotype" w:eastAsia="Palatino Linotype" w:hAnsi="Palatino Linotype" w:cs="Palatino Linotype"/>
          <w:sz w:val="22"/>
          <w:szCs w:val="22"/>
        </w:rPr>
        <w:t xml:space="preserve">, en términos del Considerando </w:t>
      </w:r>
      <w:r w:rsidRPr="00AC211D">
        <w:rPr>
          <w:rFonts w:ascii="Palatino Linotype" w:eastAsia="Palatino Linotype" w:hAnsi="Palatino Linotype" w:cs="Palatino Linotype"/>
          <w:b/>
          <w:sz w:val="22"/>
          <w:szCs w:val="22"/>
        </w:rPr>
        <w:t>Cuarto</w:t>
      </w:r>
      <w:r w:rsidRPr="00AC211D">
        <w:rPr>
          <w:rFonts w:ascii="Palatino Linotype" w:eastAsia="Palatino Linotype" w:hAnsi="Palatino Linotype" w:cs="Palatino Linotype"/>
          <w:sz w:val="22"/>
          <w:szCs w:val="22"/>
        </w:rPr>
        <w:t xml:space="preserve"> de la presente resolución.</w:t>
      </w:r>
    </w:p>
    <w:p w14:paraId="40B80373"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Segundo.</w:t>
      </w:r>
      <w:r w:rsidRPr="00AC211D">
        <w:rPr>
          <w:rFonts w:ascii="Palatino Linotype" w:eastAsia="Palatino Linotype" w:hAnsi="Palatino Linotype" w:cs="Palatino Linotype"/>
          <w:sz w:val="22"/>
          <w:szCs w:val="22"/>
        </w:rPr>
        <w:t xml:space="preserve"> Se</w:t>
      </w:r>
      <w:r w:rsidRPr="00AC211D">
        <w:rPr>
          <w:rFonts w:ascii="Palatino Linotype" w:eastAsia="Palatino Linotype" w:hAnsi="Palatino Linotype" w:cs="Palatino Linotype"/>
          <w:b/>
          <w:sz w:val="22"/>
          <w:szCs w:val="22"/>
        </w:rPr>
        <w:t xml:space="preserve"> Ordena </w:t>
      </w:r>
      <w:r w:rsidRPr="00AC211D">
        <w:rPr>
          <w:rFonts w:ascii="Palatino Linotype" w:eastAsia="Palatino Linotype" w:hAnsi="Palatino Linotype" w:cs="Palatino Linotype"/>
          <w:sz w:val="22"/>
          <w:szCs w:val="22"/>
        </w:rPr>
        <w:t xml:space="preserve">al </w:t>
      </w:r>
      <w:r w:rsidRPr="00AC211D">
        <w:rPr>
          <w:rFonts w:ascii="Palatino Linotype" w:eastAsia="Palatino Linotype" w:hAnsi="Palatino Linotype" w:cs="Palatino Linotype"/>
          <w:b/>
          <w:sz w:val="22"/>
          <w:szCs w:val="22"/>
        </w:rPr>
        <w:t xml:space="preserve">Sujeto Obligado </w:t>
      </w:r>
      <w:r w:rsidRPr="00AC211D">
        <w:rPr>
          <w:rFonts w:ascii="Palatino Linotype" w:eastAsia="Palatino Linotype" w:hAnsi="Palatino Linotype" w:cs="Palatino Linotype"/>
          <w:sz w:val="22"/>
          <w:szCs w:val="22"/>
        </w:rPr>
        <w:t xml:space="preserve">atienda las solicitudes de acceso a la información pública </w:t>
      </w:r>
      <w:r w:rsidRPr="00AC211D">
        <w:rPr>
          <w:rFonts w:ascii="Palatino Linotype" w:eastAsia="Palatino Linotype" w:hAnsi="Palatino Linotype" w:cs="Palatino Linotype"/>
          <w:b/>
          <w:sz w:val="22"/>
          <w:szCs w:val="22"/>
        </w:rPr>
        <w:t xml:space="preserve">00560/TEPOTZOT/IP/2025, 00561/TEPOTZOT/IP/2025, 00562/TEPOTZOT/IP/2025, 00563/TEPOTZOT/IP/2025, 00564/TEPOTZOT/IP/2025 </w:t>
      </w:r>
      <w:r w:rsidRPr="00AC211D">
        <w:rPr>
          <w:rFonts w:ascii="Palatino Linotype" w:eastAsia="Palatino Linotype" w:hAnsi="Palatino Linotype" w:cs="Palatino Linotype"/>
          <w:sz w:val="22"/>
          <w:szCs w:val="22"/>
        </w:rPr>
        <w:t xml:space="preserve">y </w:t>
      </w:r>
      <w:r w:rsidRPr="00AC211D">
        <w:rPr>
          <w:rFonts w:ascii="Palatino Linotype" w:eastAsia="Palatino Linotype" w:hAnsi="Palatino Linotype" w:cs="Palatino Linotype"/>
          <w:b/>
          <w:sz w:val="22"/>
          <w:szCs w:val="22"/>
        </w:rPr>
        <w:t xml:space="preserve">00565/TEPOTZOT/IP/2025, </w:t>
      </w:r>
      <w:r w:rsidRPr="00AC211D">
        <w:rPr>
          <w:rFonts w:ascii="Palatino Linotype" w:eastAsia="Palatino Linotype" w:hAnsi="Palatino Linotype" w:cs="Palatino Linotype"/>
          <w:sz w:val="22"/>
          <w:szCs w:val="22"/>
        </w:rPr>
        <w:t xml:space="preserve">que dieron origen a los recursos de revisión </w:t>
      </w:r>
      <w:r w:rsidRPr="00AC211D">
        <w:rPr>
          <w:rFonts w:ascii="Palatino Linotype" w:eastAsia="Palatino Linotype" w:hAnsi="Palatino Linotype" w:cs="Palatino Linotype"/>
          <w:b/>
          <w:sz w:val="22"/>
          <w:szCs w:val="22"/>
        </w:rPr>
        <w:t xml:space="preserve">12054/INFOEM/IP/RR/2025, 12055/INFOEM/IP/RR/2025, 12056/INFOEM/IP/RR/2025, 12057/INFOEM/IP/RR/2025, 12058/INFOEM/IP/RR/2025 </w:t>
      </w:r>
      <w:r w:rsidRPr="00AC211D">
        <w:rPr>
          <w:rFonts w:ascii="Palatino Linotype" w:eastAsia="Palatino Linotype" w:hAnsi="Palatino Linotype" w:cs="Palatino Linotype"/>
          <w:sz w:val="22"/>
          <w:szCs w:val="22"/>
        </w:rPr>
        <w:t>y</w:t>
      </w:r>
      <w:r w:rsidRPr="00AC211D">
        <w:rPr>
          <w:rFonts w:ascii="Palatino Linotype" w:eastAsia="Palatino Linotype" w:hAnsi="Palatino Linotype" w:cs="Palatino Linotype"/>
          <w:b/>
          <w:sz w:val="22"/>
          <w:szCs w:val="22"/>
        </w:rPr>
        <w:t xml:space="preserve"> 12059/INFOEM/IP/RR/2025, </w:t>
      </w:r>
      <w:r w:rsidRPr="00AC211D">
        <w:rPr>
          <w:rFonts w:ascii="Palatino Linotype" w:eastAsia="Palatino Linotype" w:hAnsi="Palatino Linotype" w:cs="Palatino Linotype"/>
          <w:sz w:val="22"/>
          <w:szCs w:val="22"/>
        </w:rPr>
        <w:t>en términos del Considerando</w:t>
      </w:r>
      <w:r w:rsidRPr="00AC211D">
        <w:rPr>
          <w:rFonts w:ascii="Palatino Linotype" w:eastAsia="Palatino Linotype" w:hAnsi="Palatino Linotype" w:cs="Palatino Linotype"/>
          <w:b/>
          <w:sz w:val="22"/>
          <w:szCs w:val="22"/>
        </w:rPr>
        <w:t xml:space="preserve"> Cuarto</w:t>
      </w:r>
      <w:r w:rsidRPr="00AC211D">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E693C20"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Tercero. Notifíquese, </w:t>
      </w:r>
      <w:r w:rsidRPr="00AC211D">
        <w:rPr>
          <w:rFonts w:ascii="Palatino Linotype" w:eastAsia="Palatino Linotype" w:hAnsi="Palatino Linotype" w:cs="Palatino Linotype"/>
          <w:sz w:val="22"/>
          <w:szCs w:val="22"/>
        </w:rPr>
        <w:t xml:space="preserve">vía </w:t>
      </w:r>
      <w:r w:rsidRPr="00AC211D">
        <w:rPr>
          <w:rFonts w:ascii="Palatino Linotype" w:eastAsia="Palatino Linotype" w:hAnsi="Palatino Linotype" w:cs="Palatino Linotype"/>
          <w:b/>
          <w:sz w:val="22"/>
          <w:szCs w:val="22"/>
        </w:rPr>
        <w:t>SAIMEX</w:t>
      </w:r>
      <w:r w:rsidRPr="00AC211D">
        <w:rPr>
          <w:rFonts w:ascii="Palatino Linotype" w:eastAsia="Palatino Linotype" w:hAnsi="Palatino Linotype" w:cs="Palatino Linotype"/>
          <w:sz w:val="22"/>
          <w:szCs w:val="22"/>
        </w:rPr>
        <w:t xml:space="preserve">, a la persona Titular de la Unidad de Transparencia del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34804C" w14:textId="77777777" w:rsidR="00A82B34" w:rsidRPr="00AC211D" w:rsidRDefault="000E1924">
      <w:pPr>
        <w:spacing w:before="240" w:after="240" w:line="360" w:lineRule="auto"/>
        <w:jc w:val="both"/>
        <w:rPr>
          <w:rFonts w:ascii="Palatino Linotype" w:eastAsia="Palatino Linotype" w:hAnsi="Palatino Linotype" w:cs="Palatino Linotype"/>
          <w:sz w:val="22"/>
          <w:szCs w:val="22"/>
        </w:rPr>
      </w:pPr>
      <w:r w:rsidRPr="00AC211D">
        <w:rPr>
          <w:rFonts w:ascii="Palatino Linotype" w:eastAsia="Palatino Linotype" w:hAnsi="Palatino Linotype" w:cs="Palatino Linotype"/>
          <w:b/>
          <w:sz w:val="22"/>
          <w:szCs w:val="22"/>
        </w:rPr>
        <w:t xml:space="preserve">Cuarto. Notifíquese, </w:t>
      </w:r>
      <w:r w:rsidRPr="00AC211D">
        <w:rPr>
          <w:rFonts w:ascii="Palatino Linotype" w:eastAsia="Palatino Linotype" w:hAnsi="Palatino Linotype" w:cs="Palatino Linotype"/>
          <w:sz w:val="22"/>
          <w:szCs w:val="22"/>
        </w:rPr>
        <w:t xml:space="preserve">vía </w:t>
      </w:r>
      <w:r w:rsidRPr="00AC211D">
        <w:rPr>
          <w:rFonts w:ascii="Palatino Linotype" w:eastAsia="Palatino Linotype" w:hAnsi="Palatino Linotype" w:cs="Palatino Linotype"/>
          <w:b/>
          <w:sz w:val="22"/>
          <w:szCs w:val="22"/>
        </w:rPr>
        <w:t>SAIMEX,</w:t>
      </w:r>
      <w:r w:rsidRPr="00AC211D">
        <w:rPr>
          <w:rFonts w:ascii="Palatino Linotype" w:eastAsia="Palatino Linotype" w:hAnsi="Palatino Linotype" w:cs="Palatino Linotype"/>
          <w:sz w:val="22"/>
          <w:szCs w:val="22"/>
        </w:rPr>
        <w:t xml:space="preserve"> a la parte </w:t>
      </w:r>
      <w:r w:rsidRPr="00AC211D">
        <w:rPr>
          <w:rFonts w:ascii="Palatino Linotype" w:eastAsia="Palatino Linotype" w:hAnsi="Palatino Linotype" w:cs="Palatino Linotype"/>
          <w:b/>
          <w:sz w:val="22"/>
          <w:szCs w:val="22"/>
        </w:rPr>
        <w:t xml:space="preserve">Recurrente </w:t>
      </w:r>
      <w:r w:rsidRPr="00AC211D">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72ADA5F" w14:textId="77777777" w:rsidR="00A82B34" w:rsidRPr="00AC211D" w:rsidRDefault="000E1924">
      <w:pPr>
        <w:spacing w:before="240" w:after="240" w:line="360" w:lineRule="auto"/>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 xml:space="preserve">Quinto. Notifíquese, </w:t>
      </w:r>
      <w:r w:rsidRPr="00AC211D">
        <w:rPr>
          <w:rFonts w:ascii="Palatino Linotype" w:eastAsia="Palatino Linotype" w:hAnsi="Palatino Linotype" w:cs="Palatino Linotype"/>
          <w:sz w:val="22"/>
          <w:szCs w:val="22"/>
        </w:rPr>
        <w:t xml:space="preserve">a la parte </w:t>
      </w:r>
      <w:r w:rsidRPr="00AC211D">
        <w:rPr>
          <w:rFonts w:ascii="Palatino Linotype" w:eastAsia="Palatino Linotype" w:hAnsi="Palatino Linotype" w:cs="Palatino Linotype"/>
          <w:b/>
          <w:sz w:val="22"/>
          <w:szCs w:val="22"/>
        </w:rPr>
        <w:t xml:space="preserve">Recurrente </w:t>
      </w:r>
      <w:r w:rsidRPr="00AC211D">
        <w:rPr>
          <w:rFonts w:ascii="Palatino Linotype" w:eastAsia="Palatino Linotype" w:hAnsi="Palatino Linotype" w:cs="Palatino Linotype"/>
          <w:sz w:val="22"/>
          <w:szCs w:val="22"/>
        </w:rPr>
        <w:t xml:space="preserve">que la respuesta que dé el </w:t>
      </w:r>
      <w:r w:rsidRPr="00AC211D">
        <w:rPr>
          <w:rFonts w:ascii="Palatino Linotype" w:eastAsia="Palatino Linotype" w:hAnsi="Palatino Linotype" w:cs="Palatino Linotype"/>
          <w:b/>
          <w:sz w:val="22"/>
          <w:szCs w:val="22"/>
        </w:rPr>
        <w:t>Sujeto Obligado</w:t>
      </w:r>
      <w:r w:rsidRPr="00AC211D">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2084489" w14:textId="67753437" w:rsidR="00A82B34" w:rsidRPr="00AC211D" w:rsidRDefault="000E1924">
      <w:pPr>
        <w:spacing w:before="240" w:after="240" w:line="360" w:lineRule="auto"/>
        <w:jc w:val="both"/>
        <w:rPr>
          <w:rFonts w:ascii="Palatino Linotype" w:eastAsia="Palatino Linotype" w:hAnsi="Palatino Linotype" w:cs="Palatino Linotype"/>
          <w:b/>
          <w:sz w:val="22"/>
          <w:szCs w:val="22"/>
        </w:rPr>
      </w:pPr>
      <w:r w:rsidRPr="00AC211D">
        <w:rPr>
          <w:rFonts w:ascii="Palatino Linotype" w:eastAsia="Palatino Linotype" w:hAnsi="Palatino Linotype" w:cs="Palatino Linotype"/>
          <w:b/>
          <w:sz w:val="22"/>
          <w:szCs w:val="22"/>
        </w:rPr>
        <w:t xml:space="preserve">Sexto. Gírese, </w:t>
      </w:r>
      <w:r w:rsidRPr="00AC211D">
        <w:rPr>
          <w:rFonts w:ascii="Palatino Linotype" w:eastAsia="Palatino Linotype" w:hAnsi="Palatino Linotype" w:cs="Palatino Linotype"/>
          <w:sz w:val="22"/>
          <w:szCs w:val="22"/>
        </w:rPr>
        <w:t>vista</w:t>
      </w:r>
      <w:r w:rsidR="001C764D" w:rsidRPr="00AC211D">
        <w:rPr>
          <w:rFonts w:ascii="Palatino Linotype" w:eastAsia="Palatino Linotype" w:hAnsi="Palatino Linotype" w:cs="Palatino Linotype"/>
          <w:sz w:val="22"/>
          <w:szCs w:val="22"/>
        </w:rPr>
        <w:t xml:space="preserve"> a</w:t>
      </w:r>
      <w:r w:rsidRPr="00AC211D">
        <w:rPr>
          <w:rFonts w:ascii="Palatino Linotype" w:eastAsia="Palatino Linotype" w:hAnsi="Palatino Linotype" w:cs="Palatino Linotype"/>
          <w:sz w:val="22"/>
          <w:szCs w:val="22"/>
        </w:rPr>
        <w:t xml:space="preserve"> la </w:t>
      </w:r>
      <w:r w:rsidRPr="00AC211D">
        <w:rPr>
          <w:rFonts w:ascii="Palatino Linotype" w:eastAsia="Palatino Linotype" w:hAnsi="Palatino Linotype" w:cs="Palatino Linotype"/>
          <w:b/>
          <w:sz w:val="22"/>
          <w:szCs w:val="22"/>
        </w:rPr>
        <w:t>Secretaría Técnica del Pleno</w:t>
      </w:r>
      <w:r w:rsidRPr="00AC211D">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AC211D">
        <w:rPr>
          <w:rFonts w:ascii="Palatino Linotype" w:eastAsia="Palatino Linotype" w:hAnsi="Palatino Linotype" w:cs="Palatino Linotype"/>
          <w:b/>
          <w:sz w:val="22"/>
          <w:szCs w:val="22"/>
        </w:rPr>
        <w:t xml:space="preserve">Cuarto </w:t>
      </w:r>
      <w:r w:rsidRPr="00AC211D">
        <w:rPr>
          <w:rFonts w:ascii="Palatino Linotype" w:eastAsia="Palatino Linotype" w:hAnsi="Palatino Linotype" w:cs="Palatino Linotype"/>
          <w:sz w:val="22"/>
          <w:szCs w:val="22"/>
        </w:rPr>
        <w:t>de la presente resolución.</w:t>
      </w:r>
      <w:r w:rsidRPr="00AC211D">
        <w:rPr>
          <w:rFonts w:ascii="Palatino Linotype" w:eastAsia="Palatino Linotype" w:hAnsi="Palatino Linotype" w:cs="Palatino Linotype"/>
          <w:b/>
          <w:sz w:val="22"/>
          <w:szCs w:val="22"/>
        </w:rPr>
        <w:t xml:space="preserve"> </w:t>
      </w:r>
    </w:p>
    <w:p w14:paraId="1239DCF7" w14:textId="77777777" w:rsidR="00A82B34" w:rsidRPr="001C764D" w:rsidRDefault="000E1924">
      <w:pPr>
        <w:spacing w:line="360" w:lineRule="auto"/>
        <w:ind w:right="49"/>
        <w:jc w:val="both"/>
        <w:rPr>
          <w:rFonts w:ascii="Palatino Linotype" w:eastAsia="Palatino Linotype" w:hAnsi="Palatino Linotype" w:cs="Palatino Linotype"/>
          <w:sz w:val="22"/>
          <w:szCs w:val="22"/>
        </w:rPr>
      </w:pPr>
      <w:bookmarkStart w:id="4" w:name="_heading=h.1fob9te" w:colFirst="0" w:colLast="0"/>
      <w:bookmarkEnd w:id="4"/>
      <w:r w:rsidRPr="00AC211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50DEB51E" w14:textId="77777777" w:rsidR="00A82B34" w:rsidRPr="001C764D" w:rsidRDefault="00A82B34">
      <w:pPr>
        <w:spacing w:line="360" w:lineRule="auto"/>
        <w:ind w:right="49"/>
        <w:jc w:val="both"/>
        <w:rPr>
          <w:rFonts w:ascii="Palatino Linotype" w:eastAsia="Palatino Linotype" w:hAnsi="Palatino Linotype" w:cs="Palatino Linotype"/>
          <w:sz w:val="22"/>
          <w:szCs w:val="22"/>
        </w:rPr>
        <w:sectPr w:rsidR="00A82B34" w:rsidRPr="001C764D">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pPr>
    </w:p>
    <w:p w14:paraId="0AD71206" w14:textId="77777777" w:rsidR="00A82B34" w:rsidRPr="001C764D" w:rsidRDefault="00A82B34">
      <w:pPr>
        <w:tabs>
          <w:tab w:val="left" w:pos="709"/>
        </w:tabs>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p>
    <w:p w14:paraId="77DB26A6" w14:textId="77777777" w:rsidR="00A82B34" w:rsidRPr="001C764D" w:rsidRDefault="00A82B34">
      <w:pPr>
        <w:rPr>
          <w:rFonts w:ascii="Palatino Linotype" w:eastAsia="Palatino Linotype" w:hAnsi="Palatino Linotype" w:cs="Palatino Linotype"/>
          <w:sz w:val="22"/>
          <w:szCs w:val="22"/>
        </w:rPr>
      </w:pPr>
    </w:p>
    <w:p w14:paraId="2D66B088" w14:textId="77777777" w:rsidR="00A82B34" w:rsidRPr="001C764D" w:rsidRDefault="00A82B34">
      <w:pPr>
        <w:rPr>
          <w:rFonts w:ascii="Palatino Linotype" w:eastAsia="Palatino Linotype" w:hAnsi="Palatino Linotype" w:cs="Palatino Linotype"/>
          <w:sz w:val="22"/>
          <w:szCs w:val="22"/>
        </w:rPr>
      </w:pPr>
    </w:p>
    <w:sectPr w:rsidR="00A82B34" w:rsidRPr="001C764D">
      <w:headerReference w:type="first" r:id="rId1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62607" w14:textId="77777777" w:rsidR="00406DF6" w:rsidRDefault="00406DF6">
      <w:r>
        <w:separator/>
      </w:r>
    </w:p>
  </w:endnote>
  <w:endnote w:type="continuationSeparator" w:id="0">
    <w:p w14:paraId="388FFE0C" w14:textId="77777777" w:rsidR="00406DF6" w:rsidRDefault="0040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6BA4263A-8F99-4726-AC86-B3EB980C2A77}"/>
    <w:embedBold r:id="rId2" w:fontKey="{8FEE7183-4FE6-4E9E-9BBA-4BBA42AEED46}"/>
    <w:embedItalic r:id="rId3" w:fontKey="{8186D271-D1A8-4D0F-BD0F-BA8511B51A74}"/>
    <w:embedBoldItalic r:id="rId4" w:fontKey="{E39CCBE3-522A-4D19-813C-2434FF97B362}"/>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EDFD618-6871-4681-9D3E-539A45B75B2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B66E6A8-A2A4-4A5B-B6F1-0B9770ABE5DF}"/>
    <w:embedBold r:id="rId7" w:fontKey="{E244B50D-9ABB-4981-8419-6635C468BF86}"/>
  </w:font>
  <w:font w:name="Segoe UI">
    <w:panose1 w:val="020B0502040204020203"/>
    <w:charset w:val="00"/>
    <w:family w:val="swiss"/>
    <w:pitch w:val="variable"/>
    <w:sig w:usb0="E4002EFF" w:usb1="C000E47F" w:usb2="00000009" w:usb3="00000000" w:csb0="000001FF" w:csb1="00000000"/>
    <w:embedRegular r:id="rId8" w:fontKey="{DEEA66EA-8B46-454B-83B7-2928F4E2E43A}"/>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9" w:fontKey="{7E1C7020-66EA-49F8-AF11-7A7AB98FF39D}"/>
    <w:embedItalic r:id="rId10" w:fontKey="{E86BAA45-FBE8-410E-9505-09329E0EC8C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A232F760-0128-48FF-BC87-C9F8FA01FE3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80AC3" w14:textId="3F64A478" w:rsidR="00A82B34" w:rsidRDefault="000E192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274E4">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274E4">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2131C04C" w14:textId="77777777" w:rsidR="00A82B34" w:rsidRDefault="00A82B34">
    <w:pPr>
      <w:pBdr>
        <w:top w:val="nil"/>
        <w:left w:val="nil"/>
        <w:bottom w:val="nil"/>
        <w:right w:val="nil"/>
        <w:between w:val="nil"/>
      </w:pBdr>
      <w:tabs>
        <w:tab w:val="center" w:pos="4252"/>
        <w:tab w:val="right" w:pos="8504"/>
      </w:tabs>
      <w:rPr>
        <w:color w:val="000000"/>
      </w:rPr>
    </w:pPr>
  </w:p>
  <w:p w14:paraId="0CAAD4D7" w14:textId="77777777" w:rsidR="00A82B34" w:rsidRDefault="00A82B3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C478" w14:textId="6A0AA944" w:rsidR="00A82B34" w:rsidRDefault="000E192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274E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274E4">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127C1294" w14:textId="77777777" w:rsidR="00A82B34" w:rsidRDefault="00A82B3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904EA" w14:textId="77777777" w:rsidR="00406DF6" w:rsidRDefault="00406DF6">
      <w:r>
        <w:separator/>
      </w:r>
    </w:p>
  </w:footnote>
  <w:footnote w:type="continuationSeparator" w:id="0">
    <w:p w14:paraId="7C4C7754" w14:textId="77777777" w:rsidR="00406DF6" w:rsidRDefault="00406DF6">
      <w:r>
        <w:continuationSeparator/>
      </w:r>
    </w:p>
  </w:footnote>
  <w:footnote w:id="1">
    <w:p w14:paraId="4FD7F11D" w14:textId="77777777" w:rsidR="00A82B34" w:rsidRDefault="000E19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2">
    <w:p w14:paraId="2A49BE1A" w14:textId="77777777" w:rsidR="00A82B34" w:rsidRDefault="000E19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16E71" w14:textId="77777777" w:rsidR="00A82B34" w:rsidRDefault="000E1924">
    <w:pPr>
      <w:widowControl w:val="0"/>
      <w:pBdr>
        <w:top w:val="nil"/>
        <w:left w:val="nil"/>
        <w:bottom w:val="nil"/>
        <w:right w:val="nil"/>
        <w:between w:val="nil"/>
      </w:pBdr>
      <w:spacing w:line="276" w:lineRule="auto"/>
      <w:rPr>
        <w:rFonts w:ascii="Calibri" w:eastAsia="Calibri" w:hAnsi="Calibri" w:cs="Calibri"/>
        <w:color w:val="000000"/>
      </w:rPr>
    </w:pPr>
    <w:r>
      <w:rPr>
        <w:noProof/>
      </w:rPr>
      <w:drawing>
        <wp:anchor distT="0" distB="0" distL="0" distR="0" simplePos="0" relativeHeight="251658240" behindDoc="1" locked="0" layoutInCell="1" hidden="0" allowOverlap="1" wp14:anchorId="4428B6EE" wp14:editId="68FE9D21">
          <wp:simplePos x="0" y="0"/>
          <wp:positionH relativeFrom="column">
            <wp:posOffset>-990588</wp:posOffset>
          </wp:positionH>
          <wp:positionV relativeFrom="paragraph">
            <wp:posOffset>-412740</wp:posOffset>
          </wp:positionV>
          <wp:extent cx="7635163" cy="9944100"/>
          <wp:effectExtent l="0" t="0" r="0" b="0"/>
          <wp:wrapNone/>
          <wp:docPr id="15523854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1"/>
      <w:tblW w:w="5812" w:type="dxa"/>
      <w:tblInd w:w="3119" w:type="dxa"/>
      <w:tblLayout w:type="fixed"/>
      <w:tblLook w:val="0400" w:firstRow="0" w:lastRow="0" w:firstColumn="0" w:lastColumn="0" w:noHBand="0" w:noVBand="1"/>
    </w:tblPr>
    <w:tblGrid>
      <w:gridCol w:w="2694"/>
      <w:gridCol w:w="3118"/>
    </w:tblGrid>
    <w:tr w:rsidR="00A82B34" w14:paraId="1E516CEC" w14:textId="77777777">
      <w:tc>
        <w:tcPr>
          <w:tcW w:w="2694" w:type="dxa"/>
          <w:vAlign w:val="center"/>
        </w:tcPr>
        <w:p w14:paraId="14C69CF3" w14:textId="77777777" w:rsidR="00A82B34" w:rsidRDefault="000E19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227FDD16" w14:textId="77777777" w:rsidR="00A82B34" w:rsidRDefault="000E19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12054/INFOEM/IP/RR/2025 y acumulados</w:t>
          </w:r>
        </w:p>
      </w:tc>
    </w:tr>
    <w:tr w:rsidR="00A82B34" w14:paraId="4DCFD097" w14:textId="77777777">
      <w:trPr>
        <w:trHeight w:val="228"/>
      </w:trPr>
      <w:tc>
        <w:tcPr>
          <w:tcW w:w="2694" w:type="dxa"/>
          <w:vAlign w:val="center"/>
        </w:tcPr>
        <w:p w14:paraId="34CC6659" w14:textId="77777777" w:rsidR="00A82B34" w:rsidRDefault="000E19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207F46E7" w14:textId="77777777" w:rsidR="00A82B34" w:rsidRDefault="000E19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Tepotzotlán</w:t>
          </w:r>
        </w:p>
      </w:tc>
    </w:tr>
    <w:tr w:rsidR="00A82B34" w14:paraId="59EA572C" w14:textId="77777777">
      <w:tc>
        <w:tcPr>
          <w:tcW w:w="2694" w:type="dxa"/>
          <w:vAlign w:val="center"/>
        </w:tcPr>
        <w:p w14:paraId="388209AF" w14:textId="77777777" w:rsidR="00A82B34" w:rsidRDefault="000E19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6FBA520B" w14:textId="77777777" w:rsidR="00A82B34" w:rsidRDefault="000E192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1F1179" w14:textId="77777777" w:rsidR="00A82B34" w:rsidRDefault="000E192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C426D" w14:textId="77777777" w:rsidR="00A82B34" w:rsidRDefault="000E192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f2"/>
      <w:tblW w:w="5953" w:type="dxa"/>
      <w:tblInd w:w="3119" w:type="dxa"/>
      <w:tblLayout w:type="fixed"/>
      <w:tblLook w:val="0400" w:firstRow="0" w:lastRow="0" w:firstColumn="0" w:lastColumn="0" w:noHBand="0" w:noVBand="1"/>
    </w:tblPr>
    <w:tblGrid>
      <w:gridCol w:w="2551"/>
      <w:gridCol w:w="3402"/>
    </w:tblGrid>
    <w:tr w:rsidR="00A82B34" w14:paraId="58716541" w14:textId="77777777">
      <w:tc>
        <w:tcPr>
          <w:tcW w:w="2551" w:type="dxa"/>
          <w:vAlign w:val="center"/>
        </w:tcPr>
        <w:p w14:paraId="79BD38F2" w14:textId="77777777" w:rsidR="00A82B34" w:rsidRDefault="000E1924">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Recurso de Revisión:</w:t>
          </w:r>
        </w:p>
      </w:tc>
      <w:tc>
        <w:tcPr>
          <w:tcW w:w="3402" w:type="dxa"/>
          <w:vAlign w:val="center"/>
        </w:tcPr>
        <w:p w14:paraId="6B3E8496" w14:textId="77777777" w:rsidR="00A82B34" w:rsidRDefault="000E1924">
          <w:pPr>
            <w:ind w:left="36"/>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12054/INFOEM/IP/RR/2025 y acumulados</w:t>
          </w:r>
        </w:p>
      </w:tc>
    </w:tr>
    <w:tr w:rsidR="00A82B34" w14:paraId="124C656C" w14:textId="77777777">
      <w:tc>
        <w:tcPr>
          <w:tcW w:w="2551" w:type="dxa"/>
          <w:vAlign w:val="center"/>
        </w:tcPr>
        <w:p w14:paraId="114644B6" w14:textId="77777777" w:rsidR="00A82B34" w:rsidRDefault="000E1924">
          <w:pPr>
            <w:ind w:left="35" w:hanging="35"/>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Recurrente:</w:t>
          </w:r>
        </w:p>
      </w:tc>
      <w:tc>
        <w:tcPr>
          <w:tcW w:w="3402" w:type="dxa"/>
          <w:vAlign w:val="center"/>
        </w:tcPr>
        <w:p w14:paraId="4FC6A247" w14:textId="38FD681A" w:rsidR="00A82B34" w:rsidRDefault="00C274E4" w:rsidP="00C274E4">
          <w:pPr>
            <w:ind w:left="36"/>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XXXXXX XXXXXXX XXXXXXXX </w:t>
          </w:r>
          <w:r w:rsidR="000E1924">
            <w:rPr>
              <w:noProof/>
            </w:rPr>
            <w:drawing>
              <wp:anchor distT="0" distB="0" distL="0" distR="0" simplePos="0" relativeHeight="251659264" behindDoc="1" locked="0" layoutInCell="1" hidden="0" allowOverlap="1" wp14:anchorId="0ADEDE92" wp14:editId="230D49E1">
                <wp:simplePos x="0" y="0"/>
                <wp:positionH relativeFrom="column">
                  <wp:posOffset>-4685659</wp:posOffset>
                </wp:positionH>
                <wp:positionV relativeFrom="paragraph">
                  <wp:posOffset>-913757</wp:posOffset>
                </wp:positionV>
                <wp:extent cx="7635240" cy="9942830"/>
                <wp:effectExtent l="0" t="0" r="0" b="0"/>
                <wp:wrapNone/>
                <wp:docPr id="15523854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A82B34" w14:paraId="07812714" w14:textId="77777777">
      <w:trPr>
        <w:trHeight w:val="228"/>
      </w:trPr>
      <w:tc>
        <w:tcPr>
          <w:tcW w:w="2551" w:type="dxa"/>
          <w:vAlign w:val="center"/>
        </w:tcPr>
        <w:p w14:paraId="17DB9BBB" w14:textId="77777777" w:rsidR="00A82B34" w:rsidRDefault="000E1924">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Sujeto obligado:</w:t>
          </w:r>
        </w:p>
      </w:tc>
      <w:tc>
        <w:tcPr>
          <w:tcW w:w="3402" w:type="dxa"/>
          <w:vAlign w:val="center"/>
        </w:tcPr>
        <w:p w14:paraId="5EF210F3" w14:textId="77777777" w:rsidR="00A82B34" w:rsidRDefault="000E1924">
          <w:pPr>
            <w:ind w:left="36"/>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Ayuntamiento de Tepotzotlán</w:t>
          </w:r>
        </w:p>
      </w:tc>
    </w:tr>
    <w:tr w:rsidR="00A82B34" w14:paraId="128F537E" w14:textId="77777777">
      <w:tc>
        <w:tcPr>
          <w:tcW w:w="2551" w:type="dxa"/>
          <w:vAlign w:val="center"/>
        </w:tcPr>
        <w:p w14:paraId="00C4D3DB" w14:textId="77777777" w:rsidR="00A82B34" w:rsidRDefault="000E1924">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ponente:</w:t>
          </w:r>
        </w:p>
      </w:tc>
      <w:tc>
        <w:tcPr>
          <w:tcW w:w="3402" w:type="dxa"/>
          <w:vAlign w:val="center"/>
        </w:tcPr>
        <w:p w14:paraId="1A0024C5" w14:textId="77777777" w:rsidR="00A82B34" w:rsidRDefault="000E1924">
          <w:pPr>
            <w:ind w:left="36" w:right="-533"/>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Guadalupe Ramírez Peña</w:t>
          </w:r>
        </w:p>
      </w:tc>
    </w:tr>
  </w:tbl>
  <w:p w14:paraId="1F82B10D" w14:textId="77777777" w:rsidR="00A82B34" w:rsidRDefault="00A82B3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5EB0" w14:textId="77777777" w:rsidR="00A82B34" w:rsidRDefault="000E192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6D35B82" w14:textId="77777777" w:rsidR="00A82B34" w:rsidRDefault="00A82B3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7C94"/>
    <w:multiLevelType w:val="multilevel"/>
    <w:tmpl w:val="21EE0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EA1BC3"/>
    <w:multiLevelType w:val="multilevel"/>
    <w:tmpl w:val="64581E06"/>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F566A8"/>
    <w:multiLevelType w:val="multilevel"/>
    <w:tmpl w:val="0444D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2A2C36"/>
    <w:multiLevelType w:val="multilevel"/>
    <w:tmpl w:val="A9B4CF2C"/>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3A3C62"/>
    <w:multiLevelType w:val="multilevel"/>
    <w:tmpl w:val="848A1F84"/>
    <w:lvl w:ilvl="0">
      <w:start w:val="14"/>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3146DD"/>
    <w:multiLevelType w:val="multilevel"/>
    <w:tmpl w:val="AF7A7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34"/>
    <w:rsid w:val="000E1924"/>
    <w:rsid w:val="001C764D"/>
    <w:rsid w:val="0021325B"/>
    <w:rsid w:val="00406DF6"/>
    <w:rsid w:val="00717342"/>
    <w:rsid w:val="00927ECF"/>
    <w:rsid w:val="00A82B34"/>
    <w:rsid w:val="00AC211D"/>
    <w:rsid w:val="00C274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2FA507"/>
  <w15:docId w15:val="{0EA7DB6F-5BFD-4CB1-B10E-6CCF0CC3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7"/>
    <w:tblPr>
      <w:tblStyleRowBandSize w:val="1"/>
      <w:tblStyleColBandSize w:val="1"/>
      <w:tblCellMar>
        <w:left w:w="108" w:type="dxa"/>
        <w:right w:w="108" w:type="dxa"/>
      </w:tblCellMar>
    </w:tblPr>
  </w:style>
  <w:style w:type="table" w:customStyle="1" w:styleId="a2">
    <w:basedOn w:val="TableNormal7"/>
    <w:tblPr>
      <w:tblStyleRowBandSize w:val="1"/>
      <w:tblStyleColBandSize w:val="1"/>
      <w:tblCellMar>
        <w:left w:w="108" w:type="dxa"/>
        <w:right w:w="108"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1"/>
    <w:rPr>
      <w:rFonts w:ascii="Calibri" w:eastAsia="Calibri" w:hAnsi="Calibri" w:cs="Calibri"/>
    </w:rPr>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s4BZXXf58qYAQguMwCdPEwV+g==">CgMxLjAyCWguMXQzaDVzZjIJaC4zMGowemxsMghoLmdqZGd4czIJaC4xZm9iOXRlMghoLnR5amN3dDgAciExd3FyM05NclhPdE9tVXZLNmVrR3c5U0hyaGFsRmRKMDI=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7956</Words>
  <Characters>43761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2025-11-14T19:32:00Z</cp:lastPrinted>
  <dcterms:created xsi:type="dcterms:W3CDTF">2025-12-13T02:04:00Z</dcterms:created>
  <dcterms:modified xsi:type="dcterms:W3CDTF">2025-12-13T02:04:00Z</dcterms:modified>
</cp:coreProperties>
</file>