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FF0000"/>
          <w:sz w:val="22"/>
          <w:szCs w:val="22"/>
          <w:lang w:val="es-ES" w:eastAsia="en-US"/>
        </w:rPr>
        <w:id w:val="-1872525245"/>
        <w:docPartObj>
          <w:docPartGallery w:val="Table of Contents"/>
          <w:docPartUnique/>
        </w:docPartObj>
      </w:sdtPr>
      <w:sdtEndPr>
        <w:rPr>
          <w:b/>
          <w:bCs/>
        </w:rPr>
      </w:sdtEndPr>
      <w:sdtContent>
        <w:p w14:paraId="6D3D8C7A" w14:textId="325B4097" w:rsidR="008D4BF2" w:rsidRPr="00EE1394" w:rsidRDefault="008D4BF2" w:rsidP="008D4BF2">
          <w:pPr>
            <w:pStyle w:val="TtulodeTDC"/>
            <w:spacing w:line="360" w:lineRule="auto"/>
            <w:jc w:val="center"/>
            <w:rPr>
              <w:rFonts w:ascii="Palatino Linotype" w:hAnsi="Palatino Linotype"/>
              <w:color w:val="auto"/>
              <w:sz w:val="22"/>
              <w:szCs w:val="22"/>
            </w:rPr>
          </w:pPr>
          <w:r w:rsidRPr="00EE1394">
            <w:rPr>
              <w:rFonts w:ascii="Palatino Linotype" w:hAnsi="Palatino Linotype"/>
              <w:color w:val="auto"/>
              <w:sz w:val="22"/>
              <w:szCs w:val="22"/>
              <w:lang w:val="es-ES"/>
            </w:rPr>
            <w:t xml:space="preserve">RESOLUCIÓN DEL RECURSO DE REVISIÓN </w:t>
          </w:r>
          <w:r w:rsidR="00EE1394" w:rsidRPr="00EE1394">
            <w:rPr>
              <w:rFonts w:ascii="Palatino Linotype" w:eastAsia="Calibri" w:hAnsi="Palatino Linotype" w:cs="Tahoma"/>
              <w:color w:val="auto"/>
              <w:sz w:val="22"/>
              <w:szCs w:val="22"/>
            </w:rPr>
            <w:t>01351</w:t>
          </w:r>
          <w:r w:rsidRPr="00EE1394">
            <w:rPr>
              <w:rFonts w:ascii="Palatino Linotype" w:eastAsia="Calibri" w:hAnsi="Palatino Linotype" w:cs="Tahoma"/>
              <w:color w:val="auto"/>
              <w:sz w:val="22"/>
              <w:szCs w:val="22"/>
            </w:rPr>
            <w:t>/INFOEM/IP/RR/2025</w:t>
          </w:r>
        </w:p>
        <w:p w14:paraId="355B3E39" w14:textId="1C74653C" w:rsidR="00412B97" w:rsidRDefault="008D4BF2">
          <w:pPr>
            <w:pStyle w:val="TDC1"/>
            <w:tabs>
              <w:tab w:val="right" w:leader="dot" w:pos="8921"/>
            </w:tabs>
            <w:rPr>
              <w:rFonts w:asciiTheme="minorHAnsi" w:eastAsiaTheme="minorEastAsia" w:hAnsiTheme="minorHAnsi"/>
              <w:noProof/>
              <w:color w:val="auto"/>
              <w:kern w:val="2"/>
              <w:lang w:eastAsia="es-MX"/>
              <w14:ligatures w14:val="standardContextual"/>
            </w:rPr>
          </w:pPr>
          <w:r w:rsidRPr="00EE1394">
            <w:rPr>
              <w:color w:val="FF0000"/>
            </w:rPr>
            <w:fldChar w:fldCharType="begin"/>
          </w:r>
          <w:r w:rsidRPr="00EE1394">
            <w:rPr>
              <w:color w:val="FF0000"/>
            </w:rPr>
            <w:instrText xml:space="preserve"> TOC \o "1-3" \h \z \u </w:instrText>
          </w:r>
          <w:r w:rsidRPr="00EE1394">
            <w:rPr>
              <w:color w:val="FF0000"/>
            </w:rPr>
            <w:fldChar w:fldCharType="separate"/>
          </w:r>
          <w:hyperlink w:anchor="_Toc195200348" w:history="1">
            <w:r w:rsidR="00412B97" w:rsidRPr="00A67CB7">
              <w:rPr>
                <w:rStyle w:val="Hipervnculo"/>
                <w:rFonts w:eastAsia="Calibri"/>
                <w:noProof/>
                <w:lang w:val="es-ES"/>
              </w:rPr>
              <w:t>A N T E C E D E N T E S</w:t>
            </w:r>
            <w:r w:rsidR="00412B97">
              <w:rPr>
                <w:noProof/>
                <w:webHidden/>
              </w:rPr>
              <w:tab/>
            </w:r>
            <w:r w:rsidR="00412B97">
              <w:rPr>
                <w:noProof/>
                <w:webHidden/>
              </w:rPr>
              <w:fldChar w:fldCharType="begin"/>
            </w:r>
            <w:r w:rsidR="00412B97">
              <w:rPr>
                <w:noProof/>
                <w:webHidden/>
              </w:rPr>
              <w:instrText xml:space="preserve"> PAGEREF _Toc195200348 \h </w:instrText>
            </w:r>
            <w:r w:rsidR="00412B97">
              <w:rPr>
                <w:noProof/>
                <w:webHidden/>
              </w:rPr>
            </w:r>
            <w:r w:rsidR="00412B97">
              <w:rPr>
                <w:noProof/>
                <w:webHidden/>
              </w:rPr>
              <w:fldChar w:fldCharType="separate"/>
            </w:r>
            <w:r w:rsidR="0073187A">
              <w:rPr>
                <w:noProof/>
                <w:webHidden/>
              </w:rPr>
              <w:t>2</w:t>
            </w:r>
            <w:r w:rsidR="00412B97">
              <w:rPr>
                <w:noProof/>
                <w:webHidden/>
              </w:rPr>
              <w:fldChar w:fldCharType="end"/>
            </w:r>
          </w:hyperlink>
        </w:p>
        <w:p w14:paraId="086EE2E8" w14:textId="4F1DBE81"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49" w:history="1">
            <w:r w:rsidR="00412B97" w:rsidRPr="00A67CB7">
              <w:rPr>
                <w:rStyle w:val="Hipervnculo"/>
                <w:rFonts w:eastAsia="Calibri"/>
                <w:noProof/>
                <w:lang w:val="es-ES"/>
              </w:rPr>
              <w:t>I. Presentación de la solicitud de información</w:t>
            </w:r>
            <w:r w:rsidR="00412B97">
              <w:rPr>
                <w:noProof/>
                <w:webHidden/>
              </w:rPr>
              <w:tab/>
            </w:r>
            <w:r w:rsidR="00412B97">
              <w:rPr>
                <w:noProof/>
                <w:webHidden/>
              </w:rPr>
              <w:fldChar w:fldCharType="begin"/>
            </w:r>
            <w:r w:rsidR="00412B97">
              <w:rPr>
                <w:noProof/>
                <w:webHidden/>
              </w:rPr>
              <w:instrText xml:space="preserve"> PAGEREF _Toc195200349 \h </w:instrText>
            </w:r>
            <w:r w:rsidR="00412B97">
              <w:rPr>
                <w:noProof/>
                <w:webHidden/>
              </w:rPr>
            </w:r>
            <w:r w:rsidR="00412B97">
              <w:rPr>
                <w:noProof/>
                <w:webHidden/>
              </w:rPr>
              <w:fldChar w:fldCharType="separate"/>
            </w:r>
            <w:r w:rsidR="0073187A">
              <w:rPr>
                <w:noProof/>
                <w:webHidden/>
              </w:rPr>
              <w:t>2</w:t>
            </w:r>
            <w:r w:rsidR="00412B97">
              <w:rPr>
                <w:noProof/>
                <w:webHidden/>
              </w:rPr>
              <w:fldChar w:fldCharType="end"/>
            </w:r>
          </w:hyperlink>
        </w:p>
        <w:p w14:paraId="21039BBA" w14:textId="5BA12271"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50" w:history="1">
            <w:r w:rsidR="00412B97" w:rsidRPr="00A67CB7">
              <w:rPr>
                <w:rStyle w:val="Hipervnculo"/>
                <w:rFonts w:eastAsia="Times New Roman"/>
                <w:noProof/>
                <w:lang w:eastAsia="es-ES"/>
              </w:rPr>
              <w:t>II. Respuesta del Sujeto Obligado</w:t>
            </w:r>
            <w:r w:rsidR="00412B97">
              <w:rPr>
                <w:noProof/>
                <w:webHidden/>
              </w:rPr>
              <w:tab/>
            </w:r>
            <w:r w:rsidR="00412B97">
              <w:rPr>
                <w:noProof/>
                <w:webHidden/>
              </w:rPr>
              <w:fldChar w:fldCharType="begin"/>
            </w:r>
            <w:r w:rsidR="00412B97">
              <w:rPr>
                <w:noProof/>
                <w:webHidden/>
              </w:rPr>
              <w:instrText xml:space="preserve"> PAGEREF _Toc195200350 \h </w:instrText>
            </w:r>
            <w:r w:rsidR="00412B97">
              <w:rPr>
                <w:noProof/>
                <w:webHidden/>
              </w:rPr>
            </w:r>
            <w:r w:rsidR="00412B97">
              <w:rPr>
                <w:noProof/>
                <w:webHidden/>
              </w:rPr>
              <w:fldChar w:fldCharType="separate"/>
            </w:r>
            <w:r w:rsidR="0073187A">
              <w:rPr>
                <w:noProof/>
                <w:webHidden/>
              </w:rPr>
              <w:t>3</w:t>
            </w:r>
            <w:r w:rsidR="00412B97">
              <w:rPr>
                <w:noProof/>
                <w:webHidden/>
              </w:rPr>
              <w:fldChar w:fldCharType="end"/>
            </w:r>
          </w:hyperlink>
        </w:p>
        <w:p w14:paraId="2279DFF3" w14:textId="7090F206"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51" w:history="1">
            <w:r w:rsidR="00412B97" w:rsidRPr="00A67CB7">
              <w:rPr>
                <w:rStyle w:val="Hipervnculo"/>
                <w:rFonts w:eastAsia="Calibri"/>
                <w:noProof/>
              </w:rPr>
              <w:t>III. Interposición del Recurso de Revisión</w:t>
            </w:r>
            <w:r w:rsidR="00412B97">
              <w:rPr>
                <w:noProof/>
                <w:webHidden/>
              </w:rPr>
              <w:tab/>
            </w:r>
            <w:r w:rsidR="00412B97">
              <w:rPr>
                <w:noProof/>
                <w:webHidden/>
              </w:rPr>
              <w:fldChar w:fldCharType="begin"/>
            </w:r>
            <w:r w:rsidR="00412B97">
              <w:rPr>
                <w:noProof/>
                <w:webHidden/>
              </w:rPr>
              <w:instrText xml:space="preserve"> PAGEREF _Toc195200351 \h </w:instrText>
            </w:r>
            <w:r w:rsidR="00412B97">
              <w:rPr>
                <w:noProof/>
                <w:webHidden/>
              </w:rPr>
            </w:r>
            <w:r w:rsidR="00412B97">
              <w:rPr>
                <w:noProof/>
                <w:webHidden/>
              </w:rPr>
              <w:fldChar w:fldCharType="separate"/>
            </w:r>
            <w:r w:rsidR="0073187A">
              <w:rPr>
                <w:noProof/>
                <w:webHidden/>
              </w:rPr>
              <w:t>3</w:t>
            </w:r>
            <w:r w:rsidR="00412B97">
              <w:rPr>
                <w:noProof/>
                <w:webHidden/>
              </w:rPr>
              <w:fldChar w:fldCharType="end"/>
            </w:r>
          </w:hyperlink>
        </w:p>
        <w:p w14:paraId="38913BA7" w14:textId="11D06B66"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52" w:history="1">
            <w:r w:rsidR="00412B97" w:rsidRPr="00A67CB7">
              <w:rPr>
                <w:rStyle w:val="Hipervnculo"/>
                <w:rFonts w:eastAsia="Calibri"/>
                <w:noProof/>
              </w:rPr>
              <w:t xml:space="preserve">IV. </w:t>
            </w:r>
            <w:r w:rsidR="00412B97" w:rsidRPr="00A67CB7">
              <w:rPr>
                <w:rStyle w:val="Hipervnculo"/>
                <w:rFonts w:eastAsia="Batang"/>
                <w:noProof/>
              </w:rPr>
              <w:t>Trámite del Recurso de Revisión</w:t>
            </w:r>
            <w:r w:rsidR="00412B97" w:rsidRPr="00A67CB7">
              <w:rPr>
                <w:rStyle w:val="Hipervnculo"/>
                <w:rFonts w:eastAsia="Calibri"/>
                <w:noProof/>
              </w:rPr>
              <w:t xml:space="preserve"> </w:t>
            </w:r>
            <w:r w:rsidR="00412B97" w:rsidRPr="00A67CB7">
              <w:rPr>
                <w:rStyle w:val="Hipervnculo"/>
                <w:rFonts w:eastAsia="Batang"/>
                <w:noProof/>
              </w:rPr>
              <w:t>ante este Instituto</w:t>
            </w:r>
            <w:r w:rsidR="00412B97">
              <w:rPr>
                <w:noProof/>
                <w:webHidden/>
              </w:rPr>
              <w:tab/>
            </w:r>
            <w:r w:rsidR="00412B97">
              <w:rPr>
                <w:noProof/>
                <w:webHidden/>
              </w:rPr>
              <w:fldChar w:fldCharType="begin"/>
            </w:r>
            <w:r w:rsidR="00412B97">
              <w:rPr>
                <w:noProof/>
                <w:webHidden/>
              </w:rPr>
              <w:instrText xml:space="preserve"> PAGEREF _Toc195200352 \h </w:instrText>
            </w:r>
            <w:r w:rsidR="00412B97">
              <w:rPr>
                <w:noProof/>
                <w:webHidden/>
              </w:rPr>
            </w:r>
            <w:r w:rsidR="00412B97">
              <w:rPr>
                <w:noProof/>
                <w:webHidden/>
              </w:rPr>
              <w:fldChar w:fldCharType="separate"/>
            </w:r>
            <w:r w:rsidR="0073187A">
              <w:rPr>
                <w:noProof/>
                <w:webHidden/>
              </w:rPr>
              <w:t>4</w:t>
            </w:r>
            <w:r w:rsidR="00412B97">
              <w:rPr>
                <w:noProof/>
                <w:webHidden/>
              </w:rPr>
              <w:fldChar w:fldCharType="end"/>
            </w:r>
          </w:hyperlink>
        </w:p>
        <w:p w14:paraId="36AA4F5C" w14:textId="03FB574A" w:rsidR="00412B97" w:rsidRDefault="00235E41">
          <w:pPr>
            <w:pStyle w:val="TDC3"/>
            <w:tabs>
              <w:tab w:val="right" w:leader="dot" w:pos="8921"/>
            </w:tabs>
            <w:rPr>
              <w:rFonts w:asciiTheme="minorHAnsi" w:eastAsiaTheme="minorEastAsia" w:hAnsiTheme="minorHAnsi"/>
              <w:noProof/>
              <w:color w:val="auto"/>
              <w:kern w:val="2"/>
              <w:lang w:eastAsia="es-MX"/>
              <w14:ligatures w14:val="standardContextual"/>
            </w:rPr>
          </w:pPr>
          <w:hyperlink w:anchor="_Toc195200353" w:history="1">
            <w:r w:rsidR="00412B97" w:rsidRPr="00A67CB7">
              <w:rPr>
                <w:rStyle w:val="Hipervnculo"/>
                <w:noProof/>
              </w:rPr>
              <w:t>a) Turno del Medio de Impugnación</w:t>
            </w:r>
            <w:r w:rsidR="00412B97">
              <w:rPr>
                <w:noProof/>
                <w:webHidden/>
              </w:rPr>
              <w:tab/>
            </w:r>
            <w:r w:rsidR="00412B97">
              <w:rPr>
                <w:noProof/>
                <w:webHidden/>
              </w:rPr>
              <w:fldChar w:fldCharType="begin"/>
            </w:r>
            <w:r w:rsidR="00412B97">
              <w:rPr>
                <w:noProof/>
                <w:webHidden/>
              </w:rPr>
              <w:instrText xml:space="preserve"> PAGEREF _Toc195200353 \h </w:instrText>
            </w:r>
            <w:r w:rsidR="00412B97">
              <w:rPr>
                <w:noProof/>
                <w:webHidden/>
              </w:rPr>
            </w:r>
            <w:r w:rsidR="00412B97">
              <w:rPr>
                <w:noProof/>
                <w:webHidden/>
              </w:rPr>
              <w:fldChar w:fldCharType="separate"/>
            </w:r>
            <w:r w:rsidR="0073187A">
              <w:rPr>
                <w:noProof/>
                <w:webHidden/>
              </w:rPr>
              <w:t>4</w:t>
            </w:r>
            <w:r w:rsidR="00412B97">
              <w:rPr>
                <w:noProof/>
                <w:webHidden/>
              </w:rPr>
              <w:fldChar w:fldCharType="end"/>
            </w:r>
          </w:hyperlink>
        </w:p>
        <w:p w14:paraId="3EB34028" w14:textId="44FE402E" w:rsidR="00412B97" w:rsidRDefault="00235E41">
          <w:pPr>
            <w:pStyle w:val="TDC3"/>
            <w:tabs>
              <w:tab w:val="right" w:leader="dot" w:pos="8921"/>
            </w:tabs>
            <w:rPr>
              <w:rFonts w:asciiTheme="minorHAnsi" w:eastAsiaTheme="minorEastAsia" w:hAnsiTheme="minorHAnsi"/>
              <w:noProof/>
              <w:color w:val="auto"/>
              <w:kern w:val="2"/>
              <w:lang w:eastAsia="es-MX"/>
              <w14:ligatures w14:val="standardContextual"/>
            </w:rPr>
          </w:pPr>
          <w:hyperlink w:anchor="_Toc195200354" w:history="1">
            <w:r w:rsidR="00412B97" w:rsidRPr="00A67CB7">
              <w:rPr>
                <w:rStyle w:val="Hipervnculo"/>
                <w:noProof/>
              </w:rPr>
              <w:t>b) Admisión del Recurso de Revisión</w:t>
            </w:r>
            <w:r w:rsidR="00412B97">
              <w:rPr>
                <w:noProof/>
                <w:webHidden/>
              </w:rPr>
              <w:tab/>
            </w:r>
            <w:r w:rsidR="00412B97">
              <w:rPr>
                <w:noProof/>
                <w:webHidden/>
              </w:rPr>
              <w:fldChar w:fldCharType="begin"/>
            </w:r>
            <w:r w:rsidR="00412B97">
              <w:rPr>
                <w:noProof/>
                <w:webHidden/>
              </w:rPr>
              <w:instrText xml:space="preserve"> PAGEREF _Toc195200354 \h </w:instrText>
            </w:r>
            <w:r w:rsidR="00412B97">
              <w:rPr>
                <w:noProof/>
                <w:webHidden/>
              </w:rPr>
            </w:r>
            <w:r w:rsidR="00412B97">
              <w:rPr>
                <w:noProof/>
                <w:webHidden/>
              </w:rPr>
              <w:fldChar w:fldCharType="separate"/>
            </w:r>
            <w:r w:rsidR="0073187A">
              <w:rPr>
                <w:noProof/>
                <w:webHidden/>
              </w:rPr>
              <w:t>4</w:t>
            </w:r>
            <w:r w:rsidR="00412B97">
              <w:rPr>
                <w:noProof/>
                <w:webHidden/>
              </w:rPr>
              <w:fldChar w:fldCharType="end"/>
            </w:r>
          </w:hyperlink>
        </w:p>
        <w:p w14:paraId="7DB12029" w14:textId="0C08EFEF" w:rsidR="00412B97" w:rsidRDefault="00235E41">
          <w:pPr>
            <w:pStyle w:val="TDC3"/>
            <w:tabs>
              <w:tab w:val="right" w:leader="dot" w:pos="8921"/>
            </w:tabs>
            <w:rPr>
              <w:rFonts w:asciiTheme="minorHAnsi" w:eastAsiaTheme="minorEastAsia" w:hAnsiTheme="minorHAnsi"/>
              <w:noProof/>
              <w:color w:val="auto"/>
              <w:kern w:val="2"/>
              <w:lang w:eastAsia="es-MX"/>
              <w14:ligatures w14:val="standardContextual"/>
            </w:rPr>
          </w:pPr>
          <w:hyperlink w:anchor="_Toc195200355" w:history="1">
            <w:r w:rsidR="00412B97" w:rsidRPr="00A67CB7">
              <w:rPr>
                <w:rStyle w:val="Hipervnculo"/>
                <w:noProof/>
              </w:rPr>
              <w:t>c) Informe Justificado</w:t>
            </w:r>
            <w:r w:rsidR="00412B97">
              <w:rPr>
                <w:noProof/>
                <w:webHidden/>
              </w:rPr>
              <w:tab/>
            </w:r>
            <w:r w:rsidR="00412B97">
              <w:rPr>
                <w:noProof/>
                <w:webHidden/>
              </w:rPr>
              <w:fldChar w:fldCharType="begin"/>
            </w:r>
            <w:r w:rsidR="00412B97">
              <w:rPr>
                <w:noProof/>
                <w:webHidden/>
              </w:rPr>
              <w:instrText xml:space="preserve"> PAGEREF _Toc195200355 \h </w:instrText>
            </w:r>
            <w:r w:rsidR="00412B97">
              <w:rPr>
                <w:noProof/>
                <w:webHidden/>
              </w:rPr>
            </w:r>
            <w:r w:rsidR="00412B97">
              <w:rPr>
                <w:noProof/>
                <w:webHidden/>
              </w:rPr>
              <w:fldChar w:fldCharType="separate"/>
            </w:r>
            <w:r w:rsidR="0073187A">
              <w:rPr>
                <w:noProof/>
                <w:webHidden/>
              </w:rPr>
              <w:t>5</w:t>
            </w:r>
            <w:r w:rsidR="00412B97">
              <w:rPr>
                <w:noProof/>
                <w:webHidden/>
              </w:rPr>
              <w:fldChar w:fldCharType="end"/>
            </w:r>
          </w:hyperlink>
        </w:p>
        <w:p w14:paraId="0F2BB8BD" w14:textId="39364B4A" w:rsidR="00412B97" w:rsidRDefault="00235E41">
          <w:pPr>
            <w:pStyle w:val="TDC3"/>
            <w:tabs>
              <w:tab w:val="right" w:leader="dot" w:pos="8921"/>
            </w:tabs>
            <w:rPr>
              <w:rFonts w:asciiTheme="minorHAnsi" w:eastAsiaTheme="minorEastAsia" w:hAnsiTheme="minorHAnsi"/>
              <w:noProof/>
              <w:color w:val="auto"/>
              <w:kern w:val="2"/>
              <w:lang w:eastAsia="es-MX"/>
              <w14:ligatures w14:val="standardContextual"/>
            </w:rPr>
          </w:pPr>
          <w:hyperlink w:anchor="_Toc195200356" w:history="1">
            <w:r w:rsidR="00412B97" w:rsidRPr="00A67CB7">
              <w:rPr>
                <w:rStyle w:val="Hipervnculo"/>
                <w:noProof/>
              </w:rPr>
              <w:t>d) Vista al Informe Justificado</w:t>
            </w:r>
            <w:r w:rsidR="00412B97">
              <w:rPr>
                <w:noProof/>
                <w:webHidden/>
              </w:rPr>
              <w:tab/>
            </w:r>
            <w:r w:rsidR="00412B97">
              <w:rPr>
                <w:noProof/>
                <w:webHidden/>
              </w:rPr>
              <w:fldChar w:fldCharType="begin"/>
            </w:r>
            <w:r w:rsidR="00412B97">
              <w:rPr>
                <w:noProof/>
                <w:webHidden/>
              </w:rPr>
              <w:instrText xml:space="preserve"> PAGEREF _Toc195200356 \h </w:instrText>
            </w:r>
            <w:r w:rsidR="00412B97">
              <w:rPr>
                <w:noProof/>
                <w:webHidden/>
              </w:rPr>
            </w:r>
            <w:r w:rsidR="00412B97">
              <w:rPr>
                <w:noProof/>
                <w:webHidden/>
              </w:rPr>
              <w:fldChar w:fldCharType="separate"/>
            </w:r>
            <w:r w:rsidR="0073187A">
              <w:rPr>
                <w:noProof/>
                <w:webHidden/>
              </w:rPr>
              <w:t>5</w:t>
            </w:r>
            <w:r w:rsidR="00412B97">
              <w:rPr>
                <w:noProof/>
                <w:webHidden/>
              </w:rPr>
              <w:fldChar w:fldCharType="end"/>
            </w:r>
          </w:hyperlink>
        </w:p>
        <w:p w14:paraId="1B5AD73F" w14:textId="37D8A95F" w:rsidR="00412B97" w:rsidRDefault="00235E41">
          <w:pPr>
            <w:pStyle w:val="TDC3"/>
            <w:tabs>
              <w:tab w:val="right" w:leader="dot" w:pos="8921"/>
            </w:tabs>
            <w:rPr>
              <w:rFonts w:asciiTheme="minorHAnsi" w:eastAsiaTheme="minorEastAsia" w:hAnsiTheme="minorHAnsi"/>
              <w:noProof/>
              <w:color w:val="auto"/>
              <w:kern w:val="2"/>
              <w:lang w:eastAsia="es-MX"/>
              <w14:ligatures w14:val="standardContextual"/>
            </w:rPr>
          </w:pPr>
          <w:hyperlink w:anchor="_Toc195200357" w:history="1">
            <w:r w:rsidR="00412B97" w:rsidRPr="00A67CB7">
              <w:rPr>
                <w:rStyle w:val="Hipervnculo"/>
                <w:noProof/>
              </w:rPr>
              <w:t>f) Vista al Informe Justificado</w:t>
            </w:r>
            <w:r w:rsidR="00412B97">
              <w:rPr>
                <w:noProof/>
                <w:webHidden/>
              </w:rPr>
              <w:tab/>
            </w:r>
            <w:r w:rsidR="00412B97">
              <w:rPr>
                <w:noProof/>
                <w:webHidden/>
              </w:rPr>
              <w:fldChar w:fldCharType="begin"/>
            </w:r>
            <w:r w:rsidR="00412B97">
              <w:rPr>
                <w:noProof/>
                <w:webHidden/>
              </w:rPr>
              <w:instrText xml:space="preserve"> PAGEREF _Toc195200357 \h </w:instrText>
            </w:r>
            <w:r w:rsidR="00412B97">
              <w:rPr>
                <w:noProof/>
                <w:webHidden/>
              </w:rPr>
            </w:r>
            <w:r w:rsidR="00412B97">
              <w:rPr>
                <w:noProof/>
                <w:webHidden/>
              </w:rPr>
              <w:fldChar w:fldCharType="separate"/>
            </w:r>
            <w:r w:rsidR="0073187A">
              <w:rPr>
                <w:noProof/>
                <w:webHidden/>
              </w:rPr>
              <w:t>6</w:t>
            </w:r>
            <w:r w:rsidR="00412B97">
              <w:rPr>
                <w:noProof/>
                <w:webHidden/>
              </w:rPr>
              <w:fldChar w:fldCharType="end"/>
            </w:r>
          </w:hyperlink>
        </w:p>
        <w:p w14:paraId="0700424A" w14:textId="5324B10E" w:rsidR="00412B97" w:rsidRDefault="00235E41">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5200358" w:history="1">
            <w:r w:rsidR="00412B97" w:rsidRPr="00A67CB7">
              <w:rPr>
                <w:rStyle w:val="Hipervnculo"/>
                <w:noProof/>
              </w:rPr>
              <w:t>g) Ampliación de plazo para resolver.</w:t>
            </w:r>
            <w:r w:rsidR="00412B97">
              <w:rPr>
                <w:noProof/>
                <w:webHidden/>
              </w:rPr>
              <w:tab/>
            </w:r>
            <w:r w:rsidR="00412B97">
              <w:rPr>
                <w:noProof/>
                <w:webHidden/>
              </w:rPr>
              <w:fldChar w:fldCharType="begin"/>
            </w:r>
            <w:r w:rsidR="00412B97">
              <w:rPr>
                <w:noProof/>
                <w:webHidden/>
              </w:rPr>
              <w:instrText xml:space="preserve"> PAGEREF _Toc195200358 \h </w:instrText>
            </w:r>
            <w:r w:rsidR="00412B97">
              <w:rPr>
                <w:noProof/>
                <w:webHidden/>
              </w:rPr>
            </w:r>
            <w:r w:rsidR="00412B97">
              <w:rPr>
                <w:noProof/>
                <w:webHidden/>
              </w:rPr>
              <w:fldChar w:fldCharType="separate"/>
            </w:r>
            <w:r w:rsidR="0073187A">
              <w:rPr>
                <w:noProof/>
                <w:webHidden/>
              </w:rPr>
              <w:t>6</w:t>
            </w:r>
            <w:r w:rsidR="00412B97">
              <w:rPr>
                <w:noProof/>
                <w:webHidden/>
              </w:rPr>
              <w:fldChar w:fldCharType="end"/>
            </w:r>
          </w:hyperlink>
        </w:p>
        <w:p w14:paraId="2FFBBF6A" w14:textId="3A12F493" w:rsidR="00412B97" w:rsidRDefault="00235E41">
          <w:pPr>
            <w:pStyle w:val="TDC3"/>
            <w:tabs>
              <w:tab w:val="right" w:leader="dot" w:pos="8921"/>
            </w:tabs>
            <w:rPr>
              <w:rFonts w:asciiTheme="minorHAnsi" w:eastAsiaTheme="minorEastAsia" w:hAnsiTheme="minorHAnsi"/>
              <w:noProof/>
              <w:color w:val="auto"/>
              <w:kern w:val="2"/>
              <w:lang w:eastAsia="es-MX"/>
              <w14:ligatures w14:val="standardContextual"/>
            </w:rPr>
          </w:pPr>
          <w:hyperlink w:anchor="_Toc195200359" w:history="1">
            <w:r w:rsidR="00412B97" w:rsidRPr="00A67CB7">
              <w:rPr>
                <w:rStyle w:val="Hipervnculo"/>
                <w:noProof/>
              </w:rPr>
              <w:t>h) Cierre de instrucción</w:t>
            </w:r>
            <w:r w:rsidR="00412B97">
              <w:rPr>
                <w:noProof/>
                <w:webHidden/>
              </w:rPr>
              <w:tab/>
            </w:r>
            <w:r w:rsidR="00412B97">
              <w:rPr>
                <w:noProof/>
                <w:webHidden/>
              </w:rPr>
              <w:fldChar w:fldCharType="begin"/>
            </w:r>
            <w:r w:rsidR="00412B97">
              <w:rPr>
                <w:noProof/>
                <w:webHidden/>
              </w:rPr>
              <w:instrText xml:space="preserve"> PAGEREF _Toc195200359 \h </w:instrText>
            </w:r>
            <w:r w:rsidR="00412B97">
              <w:rPr>
                <w:noProof/>
                <w:webHidden/>
              </w:rPr>
            </w:r>
            <w:r w:rsidR="00412B97">
              <w:rPr>
                <w:noProof/>
                <w:webHidden/>
              </w:rPr>
              <w:fldChar w:fldCharType="separate"/>
            </w:r>
            <w:r w:rsidR="0073187A">
              <w:rPr>
                <w:noProof/>
                <w:webHidden/>
              </w:rPr>
              <w:t>6</w:t>
            </w:r>
            <w:r w:rsidR="00412B97">
              <w:rPr>
                <w:noProof/>
                <w:webHidden/>
              </w:rPr>
              <w:fldChar w:fldCharType="end"/>
            </w:r>
          </w:hyperlink>
        </w:p>
        <w:p w14:paraId="67EB17A1" w14:textId="2328778E" w:rsidR="00412B97" w:rsidRDefault="00235E41">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5200360" w:history="1">
            <w:r w:rsidR="00412B97" w:rsidRPr="00A67CB7">
              <w:rPr>
                <w:rStyle w:val="Hipervnculo"/>
                <w:rFonts w:eastAsia="Times New Roman"/>
                <w:noProof/>
                <w:lang w:val="es-ES" w:eastAsia="es-ES"/>
              </w:rPr>
              <w:t>C O N S I D E R A N D O S</w:t>
            </w:r>
            <w:r w:rsidR="00412B97">
              <w:rPr>
                <w:noProof/>
                <w:webHidden/>
              </w:rPr>
              <w:tab/>
            </w:r>
            <w:r w:rsidR="00412B97">
              <w:rPr>
                <w:noProof/>
                <w:webHidden/>
              </w:rPr>
              <w:fldChar w:fldCharType="begin"/>
            </w:r>
            <w:r w:rsidR="00412B97">
              <w:rPr>
                <w:noProof/>
                <w:webHidden/>
              </w:rPr>
              <w:instrText xml:space="preserve"> PAGEREF _Toc195200360 \h </w:instrText>
            </w:r>
            <w:r w:rsidR="00412B97">
              <w:rPr>
                <w:noProof/>
                <w:webHidden/>
              </w:rPr>
            </w:r>
            <w:r w:rsidR="00412B97">
              <w:rPr>
                <w:noProof/>
                <w:webHidden/>
              </w:rPr>
              <w:fldChar w:fldCharType="separate"/>
            </w:r>
            <w:r w:rsidR="0073187A">
              <w:rPr>
                <w:noProof/>
                <w:webHidden/>
              </w:rPr>
              <w:t>6</w:t>
            </w:r>
            <w:r w:rsidR="00412B97">
              <w:rPr>
                <w:noProof/>
                <w:webHidden/>
              </w:rPr>
              <w:fldChar w:fldCharType="end"/>
            </w:r>
          </w:hyperlink>
        </w:p>
        <w:p w14:paraId="40F65853" w14:textId="2CBD1D64"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61" w:history="1">
            <w:r w:rsidR="00412B97" w:rsidRPr="00A67CB7">
              <w:rPr>
                <w:rStyle w:val="Hipervnculo"/>
                <w:rFonts w:eastAsia="Calibri"/>
                <w:noProof/>
                <w:lang w:val="es-ES" w:eastAsia="es-MX"/>
              </w:rPr>
              <w:t xml:space="preserve">PRIMERO. </w:t>
            </w:r>
            <w:r w:rsidR="00412B97" w:rsidRPr="00A67CB7">
              <w:rPr>
                <w:rStyle w:val="Hipervnculo"/>
                <w:rFonts w:eastAsia="Times New Roman"/>
                <w:noProof/>
                <w:lang w:val="es-ES" w:eastAsia="es-ES"/>
              </w:rPr>
              <w:t>Competencia</w:t>
            </w:r>
            <w:r w:rsidR="00412B97">
              <w:rPr>
                <w:noProof/>
                <w:webHidden/>
              </w:rPr>
              <w:tab/>
            </w:r>
            <w:r w:rsidR="00412B97">
              <w:rPr>
                <w:noProof/>
                <w:webHidden/>
              </w:rPr>
              <w:fldChar w:fldCharType="begin"/>
            </w:r>
            <w:r w:rsidR="00412B97">
              <w:rPr>
                <w:noProof/>
                <w:webHidden/>
              </w:rPr>
              <w:instrText xml:space="preserve"> PAGEREF _Toc195200361 \h </w:instrText>
            </w:r>
            <w:r w:rsidR="00412B97">
              <w:rPr>
                <w:noProof/>
                <w:webHidden/>
              </w:rPr>
            </w:r>
            <w:r w:rsidR="00412B97">
              <w:rPr>
                <w:noProof/>
                <w:webHidden/>
              </w:rPr>
              <w:fldChar w:fldCharType="separate"/>
            </w:r>
            <w:r w:rsidR="0073187A">
              <w:rPr>
                <w:noProof/>
                <w:webHidden/>
              </w:rPr>
              <w:t>7</w:t>
            </w:r>
            <w:r w:rsidR="00412B97">
              <w:rPr>
                <w:noProof/>
                <w:webHidden/>
              </w:rPr>
              <w:fldChar w:fldCharType="end"/>
            </w:r>
          </w:hyperlink>
        </w:p>
        <w:p w14:paraId="45A74404" w14:textId="3E7C6D5B"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62" w:history="1">
            <w:r w:rsidR="00412B97" w:rsidRPr="00A67CB7">
              <w:rPr>
                <w:rStyle w:val="Hipervnculo"/>
                <w:rFonts w:eastAsia="Calibri"/>
                <w:noProof/>
                <w:lang w:val="es-ES" w:eastAsia="es-MX"/>
              </w:rPr>
              <w:t xml:space="preserve">SEGUNDO. </w:t>
            </w:r>
            <w:r w:rsidR="00412B97" w:rsidRPr="00A67CB7">
              <w:rPr>
                <w:rStyle w:val="Hipervnculo"/>
                <w:rFonts w:eastAsia="Times New Roman"/>
                <w:noProof/>
                <w:lang w:val="es-ES" w:eastAsia="es-ES"/>
              </w:rPr>
              <w:t>Causales de improcedencia y sobreseimiento</w:t>
            </w:r>
            <w:r w:rsidR="00412B97">
              <w:rPr>
                <w:noProof/>
                <w:webHidden/>
              </w:rPr>
              <w:tab/>
            </w:r>
            <w:r w:rsidR="00412B97">
              <w:rPr>
                <w:noProof/>
                <w:webHidden/>
              </w:rPr>
              <w:fldChar w:fldCharType="begin"/>
            </w:r>
            <w:r w:rsidR="00412B97">
              <w:rPr>
                <w:noProof/>
                <w:webHidden/>
              </w:rPr>
              <w:instrText xml:space="preserve"> PAGEREF _Toc195200362 \h </w:instrText>
            </w:r>
            <w:r w:rsidR="00412B97">
              <w:rPr>
                <w:noProof/>
                <w:webHidden/>
              </w:rPr>
            </w:r>
            <w:r w:rsidR="00412B97">
              <w:rPr>
                <w:noProof/>
                <w:webHidden/>
              </w:rPr>
              <w:fldChar w:fldCharType="separate"/>
            </w:r>
            <w:r w:rsidR="0073187A">
              <w:rPr>
                <w:noProof/>
                <w:webHidden/>
              </w:rPr>
              <w:t>7</w:t>
            </w:r>
            <w:r w:rsidR="00412B97">
              <w:rPr>
                <w:noProof/>
                <w:webHidden/>
              </w:rPr>
              <w:fldChar w:fldCharType="end"/>
            </w:r>
          </w:hyperlink>
        </w:p>
        <w:p w14:paraId="3CE91B74" w14:textId="64ECE4E5" w:rsidR="00412B97" w:rsidRDefault="00235E41">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5200363" w:history="1">
            <w:r w:rsidR="00412B97" w:rsidRPr="00A67CB7">
              <w:rPr>
                <w:rStyle w:val="Hipervnculo"/>
                <w:rFonts w:eastAsia="Times New Roman"/>
                <w:noProof/>
                <w:lang w:eastAsia="es-ES"/>
              </w:rPr>
              <w:t>TERCERO. Causales de sobreseimiento</w:t>
            </w:r>
            <w:r w:rsidR="00412B97">
              <w:rPr>
                <w:noProof/>
                <w:webHidden/>
              </w:rPr>
              <w:tab/>
            </w:r>
            <w:r w:rsidR="00412B97">
              <w:rPr>
                <w:noProof/>
                <w:webHidden/>
              </w:rPr>
              <w:fldChar w:fldCharType="begin"/>
            </w:r>
            <w:r w:rsidR="00412B97">
              <w:rPr>
                <w:noProof/>
                <w:webHidden/>
              </w:rPr>
              <w:instrText xml:space="preserve"> PAGEREF _Toc195200363 \h </w:instrText>
            </w:r>
            <w:r w:rsidR="00412B97">
              <w:rPr>
                <w:noProof/>
                <w:webHidden/>
              </w:rPr>
            </w:r>
            <w:r w:rsidR="00412B97">
              <w:rPr>
                <w:noProof/>
                <w:webHidden/>
              </w:rPr>
              <w:fldChar w:fldCharType="separate"/>
            </w:r>
            <w:r w:rsidR="0073187A">
              <w:rPr>
                <w:noProof/>
                <w:webHidden/>
              </w:rPr>
              <w:t>8</w:t>
            </w:r>
            <w:r w:rsidR="00412B97">
              <w:rPr>
                <w:noProof/>
                <w:webHidden/>
              </w:rPr>
              <w:fldChar w:fldCharType="end"/>
            </w:r>
          </w:hyperlink>
        </w:p>
        <w:p w14:paraId="55CF0E5A" w14:textId="650C1762"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64" w:history="1">
            <w:r w:rsidR="00412B97" w:rsidRPr="00A67CB7">
              <w:rPr>
                <w:rStyle w:val="Hipervnculo"/>
                <w:rFonts w:eastAsia="Times New Roman"/>
                <w:noProof/>
                <w:lang w:val="es-ES" w:eastAsia="es-ES"/>
              </w:rPr>
              <w:t>CUARTO. Determinación de la Controversia</w:t>
            </w:r>
            <w:r w:rsidR="00412B97">
              <w:rPr>
                <w:noProof/>
                <w:webHidden/>
              </w:rPr>
              <w:tab/>
            </w:r>
            <w:r w:rsidR="00412B97">
              <w:rPr>
                <w:noProof/>
                <w:webHidden/>
              </w:rPr>
              <w:fldChar w:fldCharType="begin"/>
            </w:r>
            <w:r w:rsidR="00412B97">
              <w:rPr>
                <w:noProof/>
                <w:webHidden/>
              </w:rPr>
              <w:instrText xml:space="preserve"> PAGEREF _Toc195200364 \h </w:instrText>
            </w:r>
            <w:r w:rsidR="00412B97">
              <w:rPr>
                <w:noProof/>
                <w:webHidden/>
              </w:rPr>
            </w:r>
            <w:r w:rsidR="00412B97">
              <w:rPr>
                <w:noProof/>
                <w:webHidden/>
              </w:rPr>
              <w:fldChar w:fldCharType="separate"/>
            </w:r>
            <w:r w:rsidR="0073187A">
              <w:rPr>
                <w:noProof/>
                <w:webHidden/>
              </w:rPr>
              <w:t>12</w:t>
            </w:r>
            <w:r w:rsidR="00412B97">
              <w:rPr>
                <w:noProof/>
                <w:webHidden/>
              </w:rPr>
              <w:fldChar w:fldCharType="end"/>
            </w:r>
          </w:hyperlink>
        </w:p>
        <w:p w14:paraId="03666B0A" w14:textId="0D5D5316"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65" w:history="1">
            <w:r w:rsidR="00412B97" w:rsidRPr="00A67CB7">
              <w:rPr>
                <w:rStyle w:val="Hipervnculo"/>
                <w:rFonts w:eastAsia="Times New Roman"/>
                <w:noProof/>
                <w:lang w:val="es-ES" w:eastAsia="es-ES"/>
              </w:rPr>
              <w:t xml:space="preserve">QUINTO. </w:t>
            </w:r>
            <w:r w:rsidR="00412B97" w:rsidRPr="00A67CB7">
              <w:rPr>
                <w:rStyle w:val="Hipervnculo"/>
                <w:rFonts w:eastAsia="Times New Roman"/>
                <w:noProof/>
                <w:lang w:eastAsia="es-ES"/>
              </w:rPr>
              <w:t>Marco normativo aplicable en materia de transparencia y acceso a la información pública</w:t>
            </w:r>
            <w:r w:rsidR="00412B97">
              <w:rPr>
                <w:noProof/>
                <w:webHidden/>
              </w:rPr>
              <w:tab/>
            </w:r>
            <w:r w:rsidR="00412B97">
              <w:rPr>
                <w:noProof/>
                <w:webHidden/>
              </w:rPr>
              <w:fldChar w:fldCharType="begin"/>
            </w:r>
            <w:r w:rsidR="00412B97">
              <w:rPr>
                <w:noProof/>
                <w:webHidden/>
              </w:rPr>
              <w:instrText xml:space="preserve"> PAGEREF _Toc195200365 \h </w:instrText>
            </w:r>
            <w:r w:rsidR="00412B97">
              <w:rPr>
                <w:noProof/>
                <w:webHidden/>
              </w:rPr>
            </w:r>
            <w:r w:rsidR="00412B97">
              <w:rPr>
                <w:noProof/>
                <w:webHidden/>
              </w:rPr>
              <w:fldChar w:fldCharType="separate"/>
            </w:r>
            <w:r w:rsidR="0073187A">
              <w:rPr>
                <w:noProof/>
                <w:webHidden/>
              </w:rPr>
              <w:t>13</w:t>
            </w:r>
            <w:r w:rsidR="00412B97">
              <w:rPr>
                <w:noProof/>
                <w:webHidden/>
              </w:rPr>
              <w:fldChar w:fldCharType="end"/>
            </w:r>
          </w:hyperlink>
        </w:p>
        <w:p w14:paraId="0B251808" w14:textId="09362A7B" w:rsidR="00412B97" w:rsidRDefault="00235E41">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5200366" w:history="1">
            <w:r w:rsidR="00412B97" w:rsidRPr="00A67CB7">
              <w:rPr>
                <w:rStyle w:val="Hipervnculo"/>
                <w:rFonts w:eastAsia="Times New Roman"/>
                <w:noProof/>
                <w:lang w:val="es-ES" w:eastAsia="es-ES"/>
              </w:rPr>
              <w:t>SEXTO. Estudio de Fondo</w:t>
            </w:r>
            <w:r w:rsidR="00412B97">
              <w:rPr>
                <w:noProof/>
                <w:webHidden/>
              </w:rPr>
              <w:tab/>
            </w:r>
            <w:r w:rsidR="00412B97">
              <w:rPr>
                <w:noProof/>
                <w:webHidden/>
              </w:rPr>
              <w:fldChar w:fldCharType="begin"/>
            </w:r>
            <w:r w:rsidR="00412B97">
              <w:rPr>
                <w:noProof/>
                <w:webHidden/>
              </w:rPr>
              <w:instrText xml:space="preserve"> PAGEREF _Toc195200366 \h </w:instrText>
            </w:r>
            <w:r w:rsidR="00412B97">
              <w:rPr>
                <w:noProof/>
                <w:webHidden/>
              </w:rPr>
            </w:r>
            <w:r w:rsidR="00412B97">
              <w:rPr>
                <w:noProof/>
                <w:webHidden/>
              </w:rPr>
              <w:fldChar w:fldCharType="separate"/>
            </w:r>
            <w:r w:rsidR="0073187A">
              <w:rPr>
                <w:noProof/>
                <w:webHidden/>
              </w:rPr>
              <w:t>14</w:t>
            </w:r>
            <w:r w:rsidR="00412B97">
              <w:rPr>
                <w:noProof/>
                <w:webHidden/>
              </w:rPr>
              <w:fldChar w:fldCharType="end"/>
            </w:r>
          </w:hyperlink>
        </w:p>
        <w:p w14:paraId="2917A3A1" w14:textId="36BDDFFA" w:rsidR="00412B97" w:rsidRDefault="00235E41">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5200367" w:history="1">
            <w:r w:rsidR="00412B97" w:rsidRPr="00A67CB7">
              <w:rPr>
                <w:rStyle w:val="Hipervnculo"/>
                <w:rFonts w:eastAsia="Calibri" w:cstheme="majorBidi"/>
                <w:b/>
                <w:bCs/>
                <w:noProof/>
              </w:rPr>
              <w:t>SÉPTIMO. Decisión</w:t>
            </w:r>
            <w:r w:rsidR="00412B97">
              <w:rPr>
                <w:noProof/>
                <w:webHidden/>
              </w:rPr>
              <w:tab/>
            </w:r>
            <w:r w:rsidR="00412B97">
              <w:rPr>
                <w:noProof/>
                <w:webHidden/>
              </w:rPr>
              <w:fldChar w:fldCharType="begin"/>
            </w:r>
            <w:r w:rsidR="00412B97">
              <w:rPr>
                <w:noProof/>
                <w:webHidden/>
              </w:rPr>
              <w:instrText xml:space="preserve"> PAGEREF _Toc195200367 \h </w:instrText>
            </w:r>
            <w:r w:rsidR="00412B97">
              <w:rPr>
                <w:noProof/>
                <w:webHidden/>
              </w:rPr>
            </w:r>
            <w:r w:rsidR="00412B97">
              <w:rPr>
                <w:noProof/>
                <w:webHidden/>
              </w:rPr>
              <w:fldChar w:fldCharType="separate"/>
            </w:r>
            <w:r w:rsidR="0073187A">
              <w:rPr>
                <w:noProof/>
                <w:webHidden/>
              </w:rPr>
              <w:t>47</w:t>
            </w:r>
            <w:r w:rsidR="00412B97">
              <w:rPr>
                <w:noProof/>
                <w:webHidden/>
              </w:rPr>
              <w:fldChar w:fldCharType="end"/>
            </w:r>
          </w:hyperlink>
        </w:p>
        <w:p w14:paraId="0AED1E39" w14:textId="3520DD7D" w:rsidR="00412B97" w:rsidRDefault="00235E41">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5200368" w:history="1">
            <w:r w:rsidR="00412B97" w:rsidRPr="00A67CB7">
              <w:rPr>
                <w:rStyle w:val="Hipervnculo"/>
                <w:rFonts w:eastAsia="Palatino Linotype"/>
                <w:noProof/>
                <w:lang w:val="es-ES" w:eastAsia="es-MX"/>
              </w:rPr>
              <w:t>R E S U E L V E</w:t>
            </w:r>
            <w:r w:rsidR="00412B97">
              <w:rPr>
                <w:noProof/>
                <w:webHidden/>
              </w:rPr>
              <w:tab/>
            </w:r>
            <w:r w:rsidR="00412B97">
              <w:rPr>
                <w:noProof/>
                <w:webHidden/>
              </w:rPr>
              <w:fldChar w:fldCharType="begin"/>
            </w:r>
            <w:r w:rsidR="00412B97">
              <w:rPr>
                <w:noProof/>
                <w:webHidden/>
              </w:rPr>
              <w:instrText xml:space="preserve"> PAGEREF _Toc195200368 \h </w:instrText>
            </w:r>
            <w:r w:rsidR="00412B97">
              <w:rPr>
                <w:noProof/>
                <w:webHidden/>
              </w:rPr>
            </w:r>
            <w:r w:rsidR="00412B97">
              <w:rPr>
                <w:noProof/>
                <w:webHidden/>
              </w:rPr>
              <w:fldChar w:fldCharType="separate"/>
            </w:r>
            <w:r w:rsidR="0073187A">
              <w:rPr>
                <w:noProof/>
                <w:webHidden/>
              </w:rPr>
              <w:t>48</w:t>
            </w:r>
            <w:r w:rsidR="00412B97">
              <w:rPr>
                <w:noProof/>
                <w:webHidden/>
              </w:rPr>
              <w:fldChar w:fldCharType="end"/>
            </w:r>
          </w:hyperlink>
        </w:p>
        <w:p w14:paraId="6D4313BC" w14:textId="45AD362A" w:rsidR="008D4BF2" w:rsidRPr="00EE1394" w:rsidRDefault="008D4BF2">
          <w:pPr>
            <w:rPr>
              <w:color w:val="FF0000"/>
            </w:rPr>
          </w:pPr>
          <w:r w:rsidRPr="00EE1394">
            <w:rPr>
              <w:b/>
              <w:bCs/>
              <w:color w:val="FF0000"/>
              <w:lang w:val="es-ES"/>
            </w:rPr>
            <w:fldChar w:fldCharType="end"/>
          </w:r>
        </w:p>
      </w:sdtContent>
    </w:sdt>
    <w:p w14:paraId="695FBE80" w14:textId="7EE09E12" w:rsidR="00435EA7" w:rsidRPr="00EE1394" w:rsidRDefault="008D4BF2" w:rsidP="00A62148">
      <w:pPr>
        <w:tabs>
          <w:tab w:val="left" w:pos="8931"/>
        </w:tabs>
        <w:spacing w:after="0" w:line="360" w:lineRule="auto"/>
        <w:rPr>
          <w:rFonts w:cs="Tahoma"/>
          <w:bCs/>
          <w:color w:val="FF0000"/>
        </w:rPr>
      </w:pPr>
      <w:r w:rsidRPr="00EE1394">
        <w:rPr>
          <w:rFonts w:cs="Tahoma"/>
          <w:bCs/>
          <w:color w:val="FF0000"/>
        </w:rPr>
        <w:br w:type="column"/>
      </w:r>
    </w:p>
    <w:p w14:paraId="63E834DF" w14:textId="32F0D9E1" w:rsidR="00EC77D9" w:rsidRPr="00EE1394" w:rsidRDefault="00EC77D9" w:rsidP="00A62148">
      <w:pPr>
        <w:tabs>
          <w:tab w:val="left" w:pos="8931"/>
        </w:tabs>
        <w:spacing w:after="0" w:line="360" w:lineRule="auto"/>
        <w:rPr>
          <w:rFonts w:eastAsia="Calibri" w:cs="Tahoma"/>
          <w:color w:val="auto"/>
          <w:lang w:val="es-ES"/>
        </w:rPr>
      </w:pPr>
      <w:r w:rsidRPr="00EE1394">
        <w:rPr>
          <w:rFonts w:cs="Tahoma"/>
          <w:bCs/>
          <w:color w:val="auto"/>
        </w:rPr>
        <w:t xml:space="preserve">Resolución del Pleno del Instituto de Transparencia, Acceso a la Información Pública y Protección de Datos Personales del Estado de México y Municipios, con domicilio en Metepec, </w:t>
      </w:r>
      <w:r w:rsidRPr="00EE1394">
        <w:rPr>
          <w:rFonts w:eastAsia="Calibri" w:cs="Tahoma"/>
          <w:color w:val="auto"/>
          <w:lang w:val="es-ES"/>
        </w:rPr>
        <w:t xml:space="preserve">Estado de México, de fecha </w:t>
      </w:r>
      <w:r w:rsidR="00ED1204">
        <w:rPr>
          <w:rFonts w:eastAsia="Calibri" w:cs="Tahoma"/>
          <w:color w:val="auto"/>
          <w:lang w:val="es-ES"/>
        </w:rPr>
        <w:t xml:space="preserve">nueve </w:t>
      </w:r>
      <w:r w:rsidR="00EF196C">
        <w:rPr>
          <w:rFonts w:eastAsia="Calibri" w:cs="Tahoma"/>
          <w:color w:val="auto"/>
          <w:lang w:val="es-ES"/>
        </w:rPr>
        <w:t>de abril de dos mil veinticinco</w:t>
      </w:r>
      <w:r w:rsidR="00ED1204">
        <w:rPr>
          <w:rFonts w:eastAsia="Calibri" w:cs="Tahoma"/>
          <w:color w:val="auto"/>
          <w:lang w:val="es-ES"/>
        </w:rPr>
        <w:t>.</w:t>
      </w:r>
    </w:p>
    <w:p w14:paraId="5E4128C6" w14:textId="31091B34" w:rsidR="00EC77D9" w:rsidRPr="00EE1394" w:rsidRDefault="004F0E43" w:rsidP="00A62148">
      <w:pPr>
        <w:tabs>
          <w:tab w:val="left" w:pos="5580"/>
        </w:tabs>
        <w:spacing w:after="0" w:line="360" w:lineRule="auto"/>
        <w:rPr>
          <w:rFonts w:eastAsia="Calibri" w:cs="Tahoma"/>
          <w:b/>
          <w:bCs/>
          <w:color w:val="FF0000"/>
          <w:lang w:val="es-ES"/>
        </w:rPr>
      </w:pPr>
      <w:r w:rsidRPr="00EE1394">
        <w:rPr>
          <w:rFonts w:eastAsia="Calibri" w:cs="Tahoma"/>
          <w:b/>
          <w:bCs/>
          <w:color w:val="FF0000"/>
          <w:lang w:val="es-ES"/>
        </w:rPr>
        <w:tab/>
      </w:r>
    </w:p>
    <w:p w14:paraId="04C62500" w14:textId="6C1F005A" w:rsidR="00EC77D9" w:rsidRPr="00EE1394" w:rsidRDefault="00EC77D9" w:rsidP="00A62148">
      <w:pPr>
        <w:spacing w:after="0" w:line="360" w:lineRule="auto"/>
        <w:rPr>
          <w:rFonts w:ascii="Verdana" w:hAnsi="Verdana"/>
          <w:b/>
          <w:bCs/>
          <w:color w:val="auto"/>
        </w:rPr>
      </w:pPr>
      <w:r w:rsidRPr="00EE1394">
        <w:rPr>
          <w:rFonts w:eastAsia="Calibri" w:cs="Tahoma"/>
          <w:b/>
          <w:bCs/>
          <w:color w:val="auto"/>
          <w:lang w:val="es-ES"/>
        </w:rPr>
        <w:t xml:space="preserve">VISTO </w:t>
      </w:r>
      <w:r w:rsidRPr="00EE1394">
        <w:rPr>
          <w:rFonts w:eastAsia="Calibri" w:cs="Tahoma"/>
          <w:color w:val="auto"/>
          <w:lang w:val="es-ES"/>
        </w:rPr>
        <w:t xml:space="preserve">el expediente conformado con motivo del Recurso de Revisión </w:t>
      </w:r>
      <w:bookmarkStart w:id="0" w:name="_Hlk168055842"/>
      <w:r w:rsidR="00EE1394" w:rsidRPr="00EF196C">
        <w:rPr>
          <w:rFonts w:eastAsia="Calibri" w:cs="Tahoma"/>
          <w:b/>
          <w:color w:val="auto"/>
        </w:rPr>
        <w:t>01351/INFOEM/IP/RR/202</w:t>
      </w:r>
      <w:r w:rsidR="00EE1394" w:rsidRPr="00EE1394">
        <w:rPr>
          <w:rFonts w:eastAsia="Calibri" w:cs="Tahoma"/>
          <w:color w:val="auto"/>
        </w:rPr>
        <w:t>5</w:t>
      </w:r>
      <w:bookmarkEnd w:id="0"/>
      <w:r w:rsidRPr="00EE1394">
        <w:rPr>
          <w:rFonts w:eastAsia="Calibri" w:cs="Tahoma"/>
          <w:color w:val="auto"/>
        </w:rPr>
        <w:t>, interpuesto</w:t>
      </w:r>
      <w:r w:rsidR="00780B8A" w:rsidRPr="00EE1394">
        <w:rPr>
          <w:rFonts w:eastAsia="Calibri" w:cs="Tahoma"/>
          <w:color w:val="auto"/>
        </w:rPr>
        <w:t xml:space="preserve"> </w:t>
      </w:r>
      <w:r w:rsidR="005477C1" w:rsidRPr="00EE1394">
        <w:rPr>
          <w:rFonts w:eastAsia="Calibri" w:cs="Tahoma"/>
          <w:color w:val="auto"/>
        </w:rPr>
        <w:t xml:space="preserve">por </w:t>
      </w:r>
      <w:r w:rsidR="00C67EF9" w:rsidRPr="00EE1394">
        <w:rPr>
          <w:rFonts w:eastAsia="Calibri" w:cs="Tahoma"/>
          <w:color w:val="auto"/>
        </w:rPr>
        <w:t>la persona</w:t>
      </w:r>
      <w:r w:rsidRPr="00EE1394">
        <w:rPr>
          <w:rFonts w:cs="Tahoma"/>
          <w:color w:val="auto"/>
        </w:rPr>
        <w:t xml:space="preserve"> Recurrente o Particular, en contra</w:t>
      </w:r>
      <w:r w:rsidR="00C67EF9" w:rsidRPr="00EE1394">
        <w:rPr>
          <w:rFonts w:cs="Tahoma"/>
          <w:color w:val="auto"/>
        </w:rPr>
        <w:t xml:space="preserve"> </w:t>
      </w:r>
      <w:r w:rsidRPr="00EE1394">
        <w:rPr>
          <w:rFonts w:cs="Tahoma"/>
          <w:color w:val="auto"/>
        </w:rPr>
        <w:t xml:space="preserve">de </w:t>
      </w:r>
      <w:r w:rsidR="00C67EF9" w:rsidRPr="00EE1394">
        <w:rPr>
          <w:rFonts w:cs="Tahoma"/>
          <w:color w:val="auto"/>
        </w:rPr>
        <w:t xml:space="preserve">la </w:t>
      </w:r>
      <w:r w:rsidRPr="00EE1394">
        <w:rPr>
          <w:rFonts w:cs="Tahoma"/>
          <w:color w:val="auto"/>
        </w:rPr>
        <w:t xml:space="preserve">respuesta del Sujeto Obligado, </w:t>
      </w:r>
      <w:bookmarkStart w:id="1" w:name="_GoBack"/>
      <w:r w:rsidR="00EE1394" w:rsidRPr="00EF196C">
        <w:rPr>
          <w:rFonts w:cs="Tahoma"/>
          <w:b/>
          <w:color w:val="auto"/>
        </w:rPr>
        <w:t>Ayuntamiento de Toluca</w:t>
      </w:r>
      <w:bookmarkEnd w:id="1"/>
      <w:r w:rsidR="00EE1394" w:rsidRPr="00EE1394">
        <w:rPr>
          <w:rFonts w:cs="Tahoma"/>
          <w:color w:val="auto"/>
        </w:rPr>
        <w:t xml:space="preserve">, </w:t>
      </w:r>
      <w:r w:rsidRPr="00EE1394">
        <w:rPr>
          <w:rFonts w:cs="Tahoma"/>
          <w:color w:val="auto"/>
        </w:rPr>
        <w:t xml:space="preserve">a la solicitud de acceso a la información </w:t>
      </w:r>
      <w:r w:rsidR="005477C1" w:rsidRPr="00EE1394">
        <w:rPr>
          <w:rFonts w:cs="Tahoma"/>
          <w:color w:val="auto"/>
        </w:rPr>
        <w:t>pública</w:t>
      </w:r>
      <w:r w:rsidR="005477C1" w:rsidRPr="00EE1394">
        <w:rPr>
          <w:rFonts w:ascii="Verdana" w:hAnsi="Verdana"/>
          <w:b/>
          <w:bCs/>
          <w:color w:val="auto"/>
        </w:rPr>
        <w:t xml:space="preserve"> </w:t>
      </w:r>
      <w:r w:rsidR="00EE1394" w:rsidRPr="00EE1394">
        <w:rPr>
          <w:color w:val="auto"/>
        </w:rPr>
        <w:t>00119/TOLUCA/IP/2025</w:t>
      </w:r>
      <w:r w:rsidRPr="00EE1394">
        <w:rPr>
          <w:rFonts w:cs="Tahoma"/>
          <w:iCs/>
          <w:color w:val="auto"/>
        </w:rPr>
        <w:t>,</w:t>
      </w:r>
      <w:r w:rsidRPr="00EE1394">
        <w:rPr>
          <w:rFonts w:cs="Tahoma"/>
          <w:color w:val="auto"/>
        </w:rPr>
        <w:t xml:space="preserve"> se emite</w:t>
      </w:r>
      <w:r w:rsidRPr="00EE1394">
        <w:rPr>
          <w:rFonts w:cs="Tahoma"/>
          <w:bCs/>
          <w:color w:val="auto"/>
        </w:rPr>
        <w:t xml:space="preserve"> la presente Resolución, con base en los Antecedentes y Considerandos que se exponen a continuación:</w:t>
      </w:r>
    </w:p>
    <w:p w14:paraId="40862826" w14:textId="77777777" w:rsidR="00EC77D9" w:rsidRPr="00EE1394" w:rsidRDefault="00EC77D9" w:rsidP="00A62148">
      <w:pPr>
        <w:spacing w:after="0" w:line="360" w:lineRule="auto"/>
        <w:rPr>
          <w:rFonts w:eastAsia="Calibri" w:cs="Tahoma"/>
          <w:b/>
          <w:bCs/>
          <w:color w:val="auto"/>
          <w:lang w:val="es-ES"/>
        </w:rPr>
      </w:pPr>
    </w:p>
    <w:p w14:paraId="75BF07A7" w14:textId="1B1A449D" w:rsidR="00EC77D9" w:rsidRPr="00EE1394" w:rsidRDefault="00EC77D9" w:rsidP="008D4BF2">
      <w:pPr>
        <w:pStyle w:val="Ttulo1"/>
        <w:rPr>
          <w:rFonts w:eastAsia="Calibri"/>
          <w:color w:val="auto"/>
          <w:lang w:val="es-ES"/>
        </w:rPr>
      </w:pPr>
      <w:bookmarkStart w:id="2" w:name="_Toc190871535"/>
      <w:bookmarkStart w:id="3" w:name="_Toc195200348"/>
      <w:r w:rsidRPr="00EE1394">
        <w:rPr>
          <w:rFonts w:eastAsia="Calibri"/>
          <w:color w:val="auto"/>
          <w:lang w:val="es-ES"/>
        </w:rPr>
        <w:t>A N T E C E D E N T E S</w:t>
      </w:r>
      <w:bookmarkEnd w:id="2"/>
      <w:bookmarkEnd w:id="3"/>
    </w:p>
    <w:p w14:paraId="3C95874E" w14:textId="77777777" w:rsidR="00EC77D9" w:rsidRPr="00EE1394" w:rsidRDefault="00EC77D9" w:rsidP="00A62148">
      <w:pPr>
        <w:spacing w:after="0" w:line="360" w:lineRule="auto"/>
        <w:rPr>
          <w:color w:val="FF0000"/>
          <w:lang w:val="es-ES"/>
        </w:rPr>
      </w:pPr>
    </w:p>
    <w:p w14:paraId="4F749C11" w14:textId="16E58D7E" w:rsidR="00EC77D9" w:rsidRPr="00EE1394" w:rsidRDefault="00EC77D9" w:rsidP="008D4BF2">
      <w:pPr>
        <w:pStyle w:val="Ttulo2"/>
        <w:rPr>
          <w:rFonts w:eastAsia="Calibri"/>
          <w:color w:val="auto"/>
          <w:lang w:val="es-ES"/>
        </w:rPr>
      </w:pPr>
      <w:bookmarkStart w:id="4" w:name="_Toc190871536"/>
      <w:bookmarkStart w:id="5" w:name="_Toc195200349"/>
      <w:r w:rsidRPr="00EE1394">
        <w:rPr>
          <w:rFonts w:eastAsia="Calibri"/>
          <w:color w:val="auto"/>
          <w:lang w:val="es-ES"/>
        </w:rPr>
        <w:t>I. Presentación</w:t>
      </w:r>
      <w:r w:rsidR="00C672B0" w:rsidRPr="00EE1394">
        <w:rPr>
          <w:rFonts w:eastAsia="Calibri"/>
          <w:color w:val="auto"/>
          <w:lang w:val="es-ES"/>
        </w:rPr>
        <w:t xml:space="preserve"> de la solicitud de información</w:t>
      </w:r>
      <w:bookmarkEnd w:id="4"/>
      <w:bookmarkEnd w:id="5"/>
    </w:p>
    <w:p w14:paraId="2856D2CB" w14:textId="77777777" w:rsidR="000F08D4" w:rsidRPr="00EE1394" w:rsidRDefault="000F08D4" w:rsidP="00A62148">
      <w:pPr>
        <w:spacing w:after="0" w:line="360" w:lineRule="auto"/>
        <w:rPr>
          <w:rFonts w:cs="Tahoma"/>
          <w:color w:val="auto"/>
        </w:rPr>
      </w:pPr>
    </w:p>
    <w:p w14:paraId="46A55CEB" w14:textId="4BD410F4" w:rsidR="00D17D14" w:rsidRPr="00EE1394" w:rsidRDefault="00EA79A8" w:rsidP="00EE1394">
      <w:pPr>
        <w:spacing w:after="0" w:line="360" w:lineRule="auto"/>
        <w:rPr>
          <w:rFonts w:eastAsia="Calibri" w:cs="Tahoma"/>
          <w:color w:val="auto"/>
        </w:rPr>
      </w:pPr>
      <w:r w:rsidRPr="00EE1394">
        <w:rPr>
          <w:rFonts w:eastAsia="Calibri" w:cs="Tahoma"/>
          <w:color w:val="auto"/>
        </w:rPr>
        <w:t>El</w:t>
      </w:r>
      <w:r w:rsidR="005477C1" w:rsidRPr="00EE1394">
        <w:rPr>
          <w:rFonts w:eastAsia="Calibri" w:cs="Tahoma"/>
          <w:color w:val="auto"/>
        </w:rPr>
        <w:t xml:space="preserve"> </w:t>
      </w:r>
      <w:r w:rsidR="00EE1394" w:rsidRPr="00EE1394">
        <w:rPr>
          <w:rFonts w:eastAsia="Calibri" w:cs="Tahoma"/>
          <w:color w:val="auto"/>
        </w:rPr>
        <w:t xml:space="preserve">trece de enero </w:t>
      </w:r>
      <w:r w:rsidR="005477C1" w:rsidRPr="00EE1394">
        <w:rPr>
          <w:rFonts w:eastAsia="Calibri" w:cs="Tahoma"/>
          <w:color w:val="auto"/>
        </w:rPr>
        <w:t xml:space="preserve">de dos mil veinticinco, </w:t>
      </w:r>
      <w:r w:rsidR="000F08D4" w:rsidRPr="00EE1394">
        <w:rPr>
          <w:rFonts w:eastAsia="Calibri" w:cs="Tahoma"/>
          <w:color w:val="auto"/>
          <w:lang w:val="es-ES"/>
        </w:rPr>
        <w:t xml:space="preserve">se presentó una solicitud de información </w:t>
      </w:r>
      <w:r w:rsidR="009C1D2E" w:rsidRPr="00EE1394">
        <w:rPr>
          <w:rFonts w:eastAsia="Calibri" w:cs="Tahoma"/>
          <w:color w:val="auto"/>
          <w:lang w:val="es-ES"/>
        </w:rPr>
        <w:t>por la persona Recurrente</w:t>
      </w:r>
      <w:r w:rsidR="000F08D4" w:rsidRPr="00EE1394">
        <w:rPr>
          <w:rFonts w:eastAsia="Calibri" w:cs="Tahoma"/>
          <w:color w:val="auto"/>
          <w:lang w:val="es-ES"/>
        </w:rPr>
        <w:t>, a través del Sistema de Acceso a la Información Mexiquense (SAIMEX),</w:t>
      </w:r>
      <w:r w:rsidR="000F08D4" w:rsidRPr="00EE1394">
        <w:rPr>
          <w:rFonts w:eastAsia="Calibri" w:cs="Times New Roman"/>
          <w:b/>
          <w:bCs/>
          <w:color w:val="auto"/>
        </w:rPr>
        <w:t xml:space="preserve"> </w:t>
      </w:r>
      <w:r w:rsidR="00EE1394">
        <w:rPr>
          <w:rFonts w:eastAsia="Calibri" w:cs="Times New Roman"/>
          <w:bCs/>
          <w:color w:val="auto"/>
        </w:rPr>
        <w:t>(</w:t>
      </w:r>
      <w:r w:rsidR="00D76148">
        <w:rPr>
          <w:rFonts w:eastAsia="Calibri" w:cs="Times New Roman"/>
          <w:bCs/>
          <w:color w:val="auto"/>
        </w:rPr>
        <w:t>ya que,</w:t>
      </w:r>
      <w:r w:rsidR="00EE1394">
        <w:rPr>
          <w:rFonts w:eastAsia="Calibri" w:cs="Times New Roman"/>
          <w:bCs/>
          <w:color w:val="auto"/>
        </w:rPr>
        <w:t xml:space="preserve"> si bien se registró el tres de dicho mes y año, este fue inhábil, por lo que se tuvo por presentada el día hábil siguiente)</w:t>
      </w:r>
      <w:r w:rsidR="00EE1394" w:rsidRPr="00EE1394">
        <w:rPr>
          <w:rFonts w:eastAsia="Calibri" w:cs="Tahoma"/>
          <w:color w:val="auto"/>
          <w:lang w:val="es-ES"/>
        </w:rPr>
        <w:t xml:space="preserve">, </w:t>
      </w:r>
      <w:r w:rsidR="000F08D4" w:rsidRPr="00EE1394">
        <w:rPr>
          <w:rFonts w:eastAsia="Calibri" w:cs="Tahoma"/>
          <w:color w:val="auto"/>
          <w:lang w:val="es-ES"/>
        </w:rPr>
        <w:t>ante</w:t>
      </w:r>
      <w:r w:rsidR="00C573A0" w:rsidRPr="00EE1394">
        <w:rPr>
          <w:rFonts w:eastAsia="Calibri" w:cs="Tahoma"/>
          <w:color w:val="auto"/>
          <w:lang w:val="es-ES"/>
        </w:rPr>
        <w:t xml:space="preserve"> el</w:t>
      </w:r>
      <w:r w:rsidR="005477C1" w:rsidRPr="00EE1394">
        <w:rPr>
          <w:rFonts w:eastAsia="Calibri" w:cs="Tahoma"/>
          <w:color w:val="auto"/>
          <w:lang w:val="es-ES"/>
        </w:rPr>
        <w:t xml:space="preserve"> </w:t>
      </w:r>
      <w:r w:rsidR="00EE1394" w:rsidRPr="00EE1394">
        <w:rPr>
          <w:rFonts w:eastAsia="Calibri" w:cs="Tahoma"/>
          <w:b/>
          <w:color w:val="auto"/>
          <w:lang w:val="es-ES"/>
        </w:rPr>
        <w:t xml:space="preserve">Ayuntamiento </w:t>
      </w:r>
      <w:r w:rsidR="00435EA7" w:rsidRPr="00EE1394">
        <w:rPr>
          <w:rFonts w:eastAsia="Calibri" w:cs="Tahoma"/>
          <w:b/>
          <w:color w:val="auto"/>
          <w:lang w:val="es-ES"/>
        </w:rPr>
        <w:t>de Toluca</w:t>
      </w:r>
      <w:r w:rsidR="000F08D4" w:rsidRPr="00EE1394">
        <w:rPr>
          <w:rFonts w:eastAsia="Calibri" w:cs="Tahoma"/>
          <w:color w:val="auto"/>
          <w:lang w:val="es-ES"/>
        </w:rPr>
        <w:t>, en los siguientes términos</w:t>
      </w:r>
      <w:r w:rsidR="002736F9" w:rsidRPr="00EE1394">
        <w:rPr>
          <w:rFonts w:eastAsia="Calibri" w:cs="Tahoma"/>
          <w:color w:val="auto"/>
          <w:lang w:val="es-ES"/>
        </w:rPr>
        <w:t>:</w:t>
      </w:r>
    </w:p>
    <w:p w14:paraId="369E556B" w14:textId="77777777" w:rsidR="00EE1394" w:rsidRPr="00EE1394" w:rsidRDefault="00EE1394" w:rsidP="00A62148">
      <w:pPr>
        <w:tabs>
          <w:tab w:val="left" w:pos="4667"/>
        </w:tabs>
        <w:spacing w:after="0" w:line="360" w:lineRule="auto"/>
        <w:ind w:left="567" w:right="567"/>
        <w:rPr>
          <w:rFonts w:eastAsia="Calibri" w:cs="Times New Roman"/>
          <w:b/>
          <w:bCs/>
          <w:color w:val="auto"/>
        </w:rPr>
      </w:pPr>
    </w:p>
    <w:p w14:paraId="3C749962" w14:textId="632C53F9" w:rsidR="00EC77D9" w:rsidRPr="00EE1394" w:rsidRDefault="00EE1394" w:rsidP="00A62148">
      <w:pPr>
        <w:tabs>
          <w:tab w:val="left" w:pos="4667"/>
        </w:tabs>
        <w:spacing w:after="0" w:line="360" w:lineRule="auto"/>
        <w:ind w:left="567" w:right="567"/>
        <w:rPr>
          <w:rFonts w:cs="Tahoma"/>
          <w:b/>
          <w:bCs/>
          <w:i/>
          <w:color w:val="auto"/>
          <w:sz w:val="20"/>
          <w:szCs w:val="20"/>
        </w:rPr>
      </w:pPr>
      <w:r w:rsidRPr="00EE1394">
        <w:rPr>
          <w:rFonts w:cs="Tahoma"/>
          <w:b/>
          <w:bCs/>
          <w:i/>
          <w:color w:val="auto"/>
          <w:sz w:val="20"/>
          <w:szCs w:val="20"/>
        </w:rPr>
        <w:t xml:space="preserve"> </w:t>
      </w:r>
      <w:r w:rsidR="00EC77D9" w:rsidRPr="00EE1394">
        <w:rPr>
          <w:rFonts w:cs="Tahoma"/>
          <w:b/>
          <w:bCs/>
          <w:i/>
          <w:color w:val="auto"/>
          <w:sz w:val="20"/>
          <w:szCs w:val="20"/>
        </w:rPr>
        <w:t>“DESCRIPCIÓN CLARA Y PRECISA DE LA INFORMACIÓN SOLICITADA</w:t>
      </w:r>
    </w:p>
    <w:p w14:paraId="58218D87" w14:textId="18F392E5" w:rsidR="00E90E82" w:rsidRPr="00EE1394" w:rsidRDefault="00EE1394" w:rsidP="00A62148">
      <w:pPr>
        <w:spacing w:after="0" w:line="360" w:lineRule="auto"/>
        <w:ind w:left="567" w:right="567"/>
        <w:rPr>
          <w:rFonts w:eastAsia="Times New Roman" w:cs="Arial"/>
          <w:bCs/>
          <w:i/>
          <w:iCs/>
          <w:color w:val="auto"/>
          <w:sz w:val="20"/>
          <w:szCs w:val="20"/>
          <w:lang w:eastAsia="es-ES"/>
        </w:rPr>
      </w:pPr>
      <w:r w:rsidRPr="00EE1394">
        <w:rPr>
          <w:rFonts w:eastAsia="Times New Roman" w:cs="Arial"/>
          <w:bCs/>
          <w:i/>
          <w:iCs/>
          <w:color w:val="auto"/>
          <w:sz w:val="20"/>
          <w:szCs w:val="20"/>
          <w:lang w:eastAsia="es-ES"/>
        </w:rPr>
        <w:t xml:space="preserve">Se solicita todas la entrega recepción de los Servidores Públicos que entregaron del 1 de enero al 3 de enero 2024 y </w:t>
      </w:r>
      <w:r w:rsidRPr="00E92D9A">
        <w:rPr>
          <w:rFonts w:eastAsia="Times New Roman" w:cs="Arial"/>
          <w:bCs/>
          <w:i/>
          <w:iCs/>
          <w:color w:val="auto"/>
          <w:sz w:val="20"/>
          <w:szCs w:val="20"/>
          <w:lang w:eastAsia="es-ES"/>
        </w:rPr>
        <w:t>su manifestación de bienes de. Los que ingresaron</w:t>
      </w:r>
      <w:r w:rsidR="00EC77D9" w:rsidRPr="00E92D9A">
        <w:rPr>
          <w:rFonts w:eastAsia="Times New Roman" w:cs="Arial"/>
          <w:bCs/>
          <w:i/>
          <w:iCs/>
          <w:color w:val="auto"/>
          <w:sz w:val="20"/>
          <w:szCs w:val="20"/>
          <w:lang w:eastAsia="es-ES"/>
        </w:rPr>
        <w:t>”</w:t>
      </w:r>
      <w:r w:rsidR="00A62148" w:rsidRPr="00E92D9A">
        <w:rPr>
          <w:rFonts w:eastAsia="Times New Roman" w:cs="Arial"/>
          <w:bCs/>
          <w:i/>
          <w:iCs/>
          <w:color w:val="auto"/>
          <w:sz w:val="20"/>
          <w:szCs w:val="20"/>
          <w:lang w:eastAsia="es-ES"/>
        </w:rPr>
        <w:t xml:space="preserve"> </w:t>
      </w:r>
      <w:r w:rsidR="00EC77D9" w:rsidRPr="00E92D9A">
        <w:rPr>
          <w:rFonts w:eastAsia="Times New Roman" w:cs="Arial"/>
          <w:bCs/>
          <w:i/>
          <w:iCs/>
          <w:color w:val="auto"/>
          <w:sz w:val="20"/>
          <w:szCs w:val="20"/>
          <w:lang w:eastAsia="es-ES"/>
        </w:rPr>
        <w:t>(Sic)</w:t>
      </w:r>
    </w:p>
    <w:p w14:paraId="3F4037DA" w14:textId="0A19B38F" w:rsidR="00EC77D9" w:rsidRPr="00EE1394" w:rsidRDefault="00EC77D9" w:rsidP="00A62148">
      <w:pPr>
        <w:tabs>
          <w:tab w:val="left" w:pos="4667"/>
        </w:tabs>
        <w:spacing w:after="0" w:line="360" w:lineRule="auto"/>
        <w:ind w:left="567" w:right="567"/>
        <w:rPr>
          <w:rFonts w:cs="Tahoma"/>
          <w:bCs/>
          <w:i/>
          <w:color w:val="auto"/>
          <w:sz w:val="20"/>
          <w:szCs w:val="20"/>
        </w:rPr>
      </w:pPr>
      <w:bookmarkStart w:id="6" w:name="_Hlk168055945"/>
    </w:p>
    <w:p w14:paraId="1DAB7206" w14:textId="191C2A5D" w:rsidR="00EC77D9" w:rsidRPr="00EE1394" w:rsidRDefault="00EC77D9" w:rsidP="00A62148">
      <w:pPr>
        <w:tabs>
          <w:tab w:val="left" w:pos="4667"/>
        </w:tabs>
        <w:spacing w:after="0" w:line="360" w:lineRule="auto"/>
        <w:ind w:left="567" w:right="567"/>
        <w:rPr>
          <w:rFonts w:eastAsia="Times New Roman" w:cs="Tahoma"/>
          <w:b/>
          <w:bCs/>
          <w:i/>
          <w:iCs/>
          <w:color w:val="auto"/>
          <w:sz w:val="20"/>
          <w:szCs w:val="20"/>
          <w:lang w:eastAsia="es-ES"/>
        </w:rPr>
      </w:pPr>
      <w:r w:rsidRPr="00EE1394">
        <w:rPr>
          <w:rFonts w:eastAsia="Times New Roman" w:cs="Tahoma"/>
          <w:b/>
          <w:bCs/>
          <w:i/>
          <w:iCs/>
          <w:color w:val="auto"/>
          <w:sz w:val="20"/>
          <w:szCs w:val="20"/>
          <w:lang w:eastAsia="es-ES"/>
        </w:rPr>
        <w:t>“MODALIDAD DE ENTREGA</w:t>
      </w:r>
    </w:p>
    <w:p w14:paraId="4C266D02" w14:textId="6A09DF63" w:rsidR="00CD4962" w:rsidRPr="00EE1394" w:rsidRDefault="00EC77D9" w:rsidP="00A62148">
      <w:pPr>
        <w:spacing w:after="0" w:line="360" w:lineRule="auto"/>
        <w:ind w:left="567" w:right="567"/>
        <w:rPr>
          <w:rFonts w:eastAsia="Times New Roman" w:cs="Arial"/>
          <w:bCs/>
          <w:i/>
          <w:iCs/>
          <w:color w:val="auto"/>
          <w:sz w:val="20"/>
          <w:szCs w:val="20"/>
          <w:lang w:eastAsia="es-ES"/>
        </w:rPr>
      </w:pPr>
      <w:r w:rsidRPr="00EE1394">
        <w:rPr>
          <w:rFonts w:eastAsia="Times New Roman" w:cs="Arial"/>
          <w:bCs/>
          <w:i/>
          <w:iCs/>
          <w:color w:val="auto"/>
          <w:sz w:val="20"/>
          <w:szCs w:val="20"/>
          <w:lang w:eastAsia="es-ES"/>
        </w:rPr>
        <w:t>A través del SAIMEX” (Sic)</w:t>
      </w:r>
      <w:bookmarkEnd w:id="6"/>
    </w:p>
    <w:p w14:paraId="44D2076E" w14:textId="77777777" w:rsidR="00E161BB" w:rsidRPr="00EE1394" w:rsidRDefault="00E161BB" w:rsidP="00A62148">
      <w:pPr>
        <w:tabs>
          <w:tab w:val="left" w:pos="4667"/>
        </w:tabs>
        <w:spacing w:after="0" w:line="360" w:lineRule="auto"/>
        <w:ind w:right="567"/>
        <w:rPr>
          <w:rFonts w:eastAsia="Times New Roman" w:cs="Tahoma"/>
          <w:b/>
          <w:bCs/>
          <w:color w:val="FF0000"/>
          <w:szCs w:val="24"/>
          <w:lang w:eastAsia="es-ES"/>
        </w:rPr>
      </w:pPr>
    </w:p>
    <w:p w14:paraId="1F1DE128" w14:textId="37E1397D" w:rsidR="003D0B51" w:rsidRPr="00EE1394" w:rsidRDefault="00A05C78" w:rsidP="008D4BF2">
      <w:pPr>
        <w:pStyle w:val="Ttulo2"/>
        <w:rPr>
          <w:rFonts w:eastAsia="Times New Roman"/>
          <w:color w:val="auto"/>
          <w:lang w:eastAsia="es-ES"/>
        </w:rPr>
      </w:pPr>
      <w:bookmarkStart w:id="7" w:name="_Toc190871537"/>
      <w:bookmarkStart w:id="8" w:name="_Toc195200350"/>
      <w:r w:rsidRPr="00EE1394">
        <w:rPr>
          <w:rFonts w:eastAsia="Times New Roman"/>
          <w:color w:val="auto"/>
          <w:lang w:eastAsia="es-ES"/>
        </w:rPr>
        <w:t>I</w:t>
      </w:r>
      <w:r w:rsidR="00265193" w:rsidRPr="00EE1394">
        <w:rPr>
          <w:rFonts w:eastAsia="Times New Roman"/>
          <w:color w:val="auto"/>
          <w:lang w:eastAsia="es-ES"/>
        </w:rPr>
        <w:t>I</w:t>
      </w:r>
      <w:r w:rsidR="001756F2" w:rsidRPr="00EE1394">
        <w:rPr>
          <w:rFonts w:eastAsia="Times New Roman"/>
          <w:color w:val="auto"/>
          <w:lang w:eastAsia="es-ES"/>
        </w:rPr>
        <w:t>. Respuesta</w:t>
      </w:r>
      <w:r w:rsidR="00E161BB" w:rsidRPr="00EE1394">
        <w:rPr>
          <w:rFonts w:eastAsia="Times New Roman"/>
          <w:color w:val="auto"/>
          <w:lang w:eastAsia="es-ES"/>
        </w:rPr>
        <w:t xml:space="preserve"> del Sujeto Obligado</w:t>
      </w:r>
      <w:bookmarkEnd w:id="7"/>
      <w:bookmarkEnd w:id="8"/>
    </w:p>
    <w:p w14:paraId="538CCB70" w14:textId="77777777" w:rsidR="005477C1" w:rsidRPr="00EE1394" w:rsidRDefault="005477C1" w:rsidP="005477C1">
      <w:pPr>
        <w:tabs>
          <w:tab w:val="left" w:pos="4667"/>
        </w:tabs>
        <w:spacing w:after="0" w:line="360" w:lineRule="auto"/>
        <w:ind w:right="567"/>
        <w:rPr>
          <w:rFonts w:eastAsia="Times New Roman" w:cs="Tahoma"/>
          <w:b/>
          <w:bCs/>
          <w:color w:val="FF0000"/>
          <w:szCs w:val="24"/>
          <w:lang w:eastAsia="es-ES"/>
        </w:rPr>
      </w:pPr>
    </w:p>
    <w:p w14:paraId="63AEE1E3" w14:textId="147152ED" w:rsidR="005477C1" w:rsidRPr="003507C4" w:rsidRDefault="00E6783D" w:rsidP="003507C4">
      <w:pPr>
        <w:autoSpaceDE w:val="0"/>
        <w:autoSpaceDN w:val="0"/>
        <w:adjustRightInd w:val="0"/>
        <w:spacing w:after="0" w:line="360" w:lineRule="auto"/>
        <w:contextualSpacing/>
        <w:rPr>
          <w:rFonts w:eastAsia="Times New Roman" w:cs="Tahoma"/>
          <w:color w:val="auto"/>
          <w:lang w:eastAsia="es-ES"/>
        </w:rPr>
      </w:pPr>
      <w:bookmarkStart w:id="9" w:name="_Hlk170906280"/>
      <w:r w:rsidRPr="003507C4">
        <w:rPr>
          <w:rFonts w:eastAsia="Calibri" w:cs="Tahoma"/>
          <w:color w:val="auto"/>
        </w:rPr>
        <w:t xml:space="preserve">El </w:t>
      </w:r>
      <w:r w:rsidR="003507C4" w:rsidRPr="003507C4">
        <w:rPr>
          <w:rFonts w:eastAsia="Calibri" w:cs="Tahoma"/>
          <w:color w:val="auto"/>
        </w:rPr>
        <w:t>cinco</w:t>
      </w:r>
      <w:r w:rsidR="005477C1" w:rsidRPr="003507C4">
        <w:rPr>
          <w:rFonts w:eastAsia="Calibri" w:cs="Tahoma"/>
          <w:color w:val="auto"/>
        </w:rPr>
        <w:t xml:space="preserve"> de febrero de dos </w:t>
      </w:r>
      <w:r w:rsidR="00E161BB" w:rsidRPr="003507C4">
        <w:rPr>
          <w:rFonts w:eastAsia="Calibri" w:cs="Tahoma"/>
          <w:color w:val="auto"/>
        </w:rPr>
        <w:t xml:space="preserve">mil veinticinco, </w:t>
      </w:r>
      <w:r w:rsidRPr="003507C4">
        <w:rPr>
          <w:rFonts w:eastAsia="Calibri" w:cs="Tahoma"/>
          <w:color w:val="auto"/>
        </w:rPr>
        <w:t xml:space="preserve">el Sujeto Obligado notificó al Particular, mediante el </w:t>
      </w:r>
      <w:r w:rsidRPr="003507C4">
        <w:rPr>
          <w:rFonts w:eastAsia="Times New Roman" w:cs="Tahoma"/>
          <w:color w:val="auto"/>
          <w:lang w:eastAsia="es-ES"/>
        </w:rPr>
        <w:t xml:space="preserve">Sistema de Acceso a la Información Mexiquense (SAIMEX), la respuesta a la solicitud de acceso a la información, </w:t>
      </w:r>
      <w:r w:rsidR="001C21EE" w:rsidRPr="003507C4">
        <w:rPr>
          <w:rFonts w:eastAsia="Times New Roman" w:cs="Tahoma"/>
          <w:color w:val="auto"/>
          <w:lang w:eastAsia="es-ES"/>
        </w:rPr>
        <w:t>a través de</w:t>
      </w:r>
      <w:r w:rsidR="00E161BB" w:rsidRPr="003507C4">
        <w:rPr>
          <w:rFonts w:eastAsia="Times New Roman" w:cs="Tahoma"/>
          <w:color w:val="auto"/>
          <w:lang w:eastAsia="es-ES"/>
        </w:rPr>
        <w:t xml:space="preserve"> </w:t>
      </w:r>
      <w:r w:rsidR="003507C4">
        <w:rPr>
          <w:rFonts w:eastAsia="Times New Roman" w:cs="Tahoma"/>
          <w:color w:val="auto"/>
          <w:lang w:eastAsia="es-ES"/>
        </w:rPr>
        <w:t>un escrito de fecha cuatro de febrero de dos mil veinticuatro, suscrito por el Titular de la Unidad de Transparencia, dirigido al Solicitante, por medio del cual menciona lo siguiente:</w:t>
      </w:r>
    </w:p>
    <w:p w14:paraId="761FA722" w14:textId="77777777" w:rsidR="00435EA7" w:rsidRPr="0066730B" w:rsidRDefault="00435EA7" w:rsidP="00A62148">
      <w:pPr>
        <w:autoSpaceDE w:val="0"/>
        <w:autoSpaceDN w:val="0"/>
        <w:adjustRightInd w:val="0"/>
        <w:spacing w:after="0" w:line="360" w:lineRule="auto"/>
        <w:contextualSpacing/>
        <w:rPr>
          <w:rFonts w:eastAsia="Times New Roman" w:cs="Tahoma"/>
          <w:color w:val="auto"/>
          <w:lang w:eastAsia="es-ES"/>
        </w:rPr>
      </w:pPr>
    </w:p>
    <w:p w14:paraId="34170D84" w14:textId="3A903E66" w:rsidR="00565D80" w:rsidRPr="0066730B" w:rsidRDefault="00BC05D7" w:rsidP="00A62148">
      <w:pPr>
        <w:spacing w:after="0" w:line="360" w:lineRule="auto"/>
        <w:ind w:left="567" w:right="567"/>
        <w:rPr>
          <w:rFonts w:eastAsia="Times New Roman" w:cs="Arial"/>
          <w:bCs/>
          <w:i/>
          <w:iCs/>
          <w:color w:val="auto"/>
          <w:sz w:val="20"/>
          <w:szCs w:val="20"/>
          <w:lang w:eastAsia="es-ES"/>
        </w:rPr>
      </w:pPr>
      <w:r w:rsidRPr="0066730B">
        <w:rPr>
          <w:rFonts w:eastAsia="Times New Roman" w:cs="Arial"/>
          <w:bCs/>
          <w:i/>
          <w:iCs/>
          <w:color w:val="auto"/>
          <w:sz w:val="20"/>
          <w:szCs w:val="20"/>
          <w:lang w:eastAsia="es-ES"/>
        </w:rPr>
        <w:t>“…</w:t>
      </w:r>
      <w:r w:rsidR="00BF3AE3" w:rsidRPr="0066730B">
        <w:rPr>
          <w:rFonts w:eastAsia="Times New Roman" w:cs="Arial"/>
          <w:bCs/>
          <w:i/>
          <w:iCs/>
          <w:color w:val="auto"/>
          <w:sz w:val="20"/>
          <w:szCs w:val="20"/>
          <w:lang w:eastAsia="es-ES"/>
        </w:rPr>
        <w:t xml:space="preserve">hago de su conocimiento que la </w:t>
      </w:r>
      <w:r w:rsidR="00BF3AE3" w:rsidRPr="0066730B">
        <w:rPr>
          <w:rFonts w:eastAsia="Times New Roman" w:cs="Arial"/>
          <w:b/>
          <w:bCs/>
          <w:i/>
          <w:iCs/>
          <w:color w:val="auto"/>
          <w:sz w:val="20"/>
          <w:szCs w:val="20"/>
          <w:lang w:eastAsia="es-ES"/>
        </w:rPr>
        <w:t xml:space="preserve">Dirección General de Administración y Servidor Público Habilitado </w:t>
      </w:r>
      <w:r w:rsidR="00BF3AE3" w:rsidRPr="0066730B">
        <w:rPr>
          <w:rFonts w:eastAsia="Times New Roman" w:cs="Arial"/>
          <w:bCs/>
          <w:i/>
          <w:iCs/>
          <w:color w:val="auto"/>
          <w:sz w:val="20"/>
          <w:szCs w:val="20"/>
          <w:lang w:eastAsia="es-ES"/>
        </w:rPr>
        <w:t xml:space="preserve">informó que después de una búsqueda en los archivos que guarda el Departamento de Reclutamiento, Selección y Capacitación de Personal, informa que lo solicitado, es de acuerdo con lo establecido por el Artículo 11.11 del Código Reglamentario </w:t>
      </w:r>
      <w:r w:rsidR="0066730B" w:rsidRPr="0066730B">
        <w:rPr>
          <w:rFonts w:eastAsia="Times New Roman" w:cs="Arial"/>
          <w:bCs/>
          <w:i/>
          <w:iCs/>
          <w:color w:val="auto"/>
          <w:sz w:val="20"/>
          <w:szCs w:val="20"/>
          <w:lang w:eastAsia="es-ES"/>
        </w:rPr>
        <w:t xml:space="preserve">Municipal de Toluca, que a la letra dice: Para ingresar a laborar a las dependencias de la administración pública municipal de Toluca, los aspirantes deberán satisfacer los siguientes requisitos, además de los establecidos </w:t>
      </w:r>
      <w:r w:rsidR="0066730B">
        <w:rPr>
          <w:rFonts w:eastAsia="Times New Roman" w:cs="Arial"/>
          <w:bCs/>
          <w:i/>
          <w:iCs/>
          <w:color w:val="auto"/>
          <w:sz w:val="20"/>
          <w:szCs w:val="20"/>
          <w:lang w:eastAsia="es-ES"/>
        </w:rPr>
        <w:t>en el artículo 47 de la Ley del Trabajo de los Servidores Públicos del Estado y Municipios. Cedula del RFC; II. Cedula del CURP; II. Copia del documento que acredite clave del ISSEMYM; IV. Solicitud de empleo o Currículum; V. Copia del comprobante del grado máximo de estudios; VI. Copia del comprobante de domicilio no mayor a 60días; VI. Copia de la cartilla del servicio militar con liberación en su caso; VIII. 3 fotografías tamaño infantil a color; IX. Original del certificado médico; X. Copia del acta de nacimiento; XI Copia de identificación oficial vigente con fotografía; XII. Examen diagnostico proporcionado por la autoridad administrativa; XII Certificado de no Deudor Alimentario; y XIV. Constancia de no inhabilitación ARTICULO 47….” (Sic)</w:t>
      </w:r>
    </w:p>
    <w:p w14:paraId="74B5C630" w14:textId="77777777" w:rsidR="007B0D14" w:rsidRPr="0010185B" w:rsidRDefault="007B0D14" w:rsidP="0010185B">
      <w:pPr>
        <w:spacing w:after="0" w:line="360" w:lineRule="auto"/>
        <w:ind w:right="567"/>
        <w:rPr>
          <w:rFonts w:eastAsia="Times New Roman" w:cs="Arial"/>
          <w:bCs/>
          <w:i/>
          <w:iCs/>
          <w:color w:val="auto"/>
          <w:sz w:val="20"/>
          <w:szCs w:val="20"/>
          <w:lang w:eastAsia="es-ES"/>
        </w:rPr>
      </w:pPr>
    </w:p>
    <w:p w14:paraId="56912486" w14:textId="54653D4D" w:rsidR="00EC77D9" w:rsidRPr="0010185B" w:rsidRDefault="00EC77D9" w:rsidP="008D4BF2">
      <w:pPr>
        <w:pStyle w:val="Ttulo2"/>
        <w:rPr>
          <w:rFonts w:eastAsia="Calibri"/>
          <w:color w:val="auto"/>
        </w:rPr>
      </w:pPr>
      <w:bookmarkStart w:id="10" w:name="_Toc190871538"/>
      <w:bookmarkStart w:id="11" w:name="_Toc195200351"/>
      <w:bookmarkEnd w:id="9"/>
      <w:r w:rsidRPr="0010185B">
        <w:rPr>
          <w:rFonts w:eastAsia="Calibri"/>
          <w:color w:val="auto"/>
        </w:rPr>
        <w:t>I</w:t>
      </w:r>
      <w:r w:rsidR="007B0D14" w:rsidRPr="0010185B">
        <w:rPr>
          <w:rFonts w:eastAsia="Calibri"/>
          <w:color w:val="auto"/>
        </w:rPr>
        <w:t>II</w:t>
      </w:r>
      <w:r w:rsidRPr="0010185B">
        <w:rPr>
          <w:rFonts w:eastAsia="Calibri"/>
          <w:color w:val="auto"/>
        </w:rPr>
        <w:t>. Interpo</w:t>
      </w:r>
      <w:r w:rsidR="007B0D14" w:rsidRPr="0010185B">
        <w:rPr>
          <w:rFonts w:eastAsia="Calibri"/>
          <w:color w:val="auto"/>
        </w:rPr>
        <w:t>sición del Recurso de Revisión</w:t>
      </w:r>
      <w:bookmarkEnd w:id="10"/>
      <w:bookmarkEnd w:id="11"/>
    </w:p>
    <w:p w14:paraId="193305E5" w14:textId="77777777" w:rsidR="00EC77D9" w:rsidRPr="00EE1394" w:rsidRDefault="00EC77D9" w:rsidP="00A62148">
      <w:pPr>
        <w:spacing w:after="0" w:line="360" w:lineRule="auto"/>
        <w:rPr>
          <w:rFonts w:eastAsia="Times New Roman" w:cs="Tahoma"/>
          <w:bCs/>
          <w:color w:val="FF0000"/>
          <w:lang w:eastAsia="es-ES"/>
        </w:rPr>
      </w:pPr>
    </w:p>
    <w:p w14:paraId="24595562" w14:textId="3F4E96D4" w:rsidR="00EC77D9" w:rsidRPr="0010185B" w:rsidRDefault="00F1768D" w:rsidP="00A62148">
      <w:pPr>
        <w:spacing w:after="0" w:line="360" w:lineRule="auto"/>
        <w:rPr>
          <w:rFonts w:eastAsia="Times New Roman" w:cs="Tahoma"/>
          <w:bCs/>
          <w:color w:val="auto"/>
          <w:lang w:val="es-ES" w:eastAsia="es-ES"/>
        </w:rPr>
      </w:pPr>
      <w:r w:rsidRPr="0010185B">
        <w:rPr>
          <w:rFonts w:eastAsia="Times New Roman" w:cs="Tahoma"/>
          <w:bCs/>
          <w:color w:val="auto"/>
          <w:lang w:val="es-ES" w:eastAsia="es-ES"/>
        </w:rPr>
        <w:lastRenderedPageBreak/>
        <w:t>El</w:t>
      </w:r>
      <w:r w:rsidR="0010185B" w:rsidRPr="0010185B">
        <w:rPr>
          <w:rFonts w:eastAsia="Times New Roman" w:cs="Tahoma"/>
          <w:bCs/>
          <w:color w:val="auto"/>
          <w:lang w:val="es-ES" w:eastAsia="es-ES"/>
        </w:rPr>
        <w:t xml:space="preserve"> trece de febrero de dos mil veinticinco, </w:t>
      </w:r>
      <w:r w:rsidR="00EE6AAF" w:rsidRPr="0010185B">
        <w:rPr>
          <w:rFonts w:eastAsia="Times New Roman" w:cs="Tahoma"/>
          <w:bCs/>
          <w:color w:val="auto"/>
          <w:lang w:eastAsia="es-ES"/>
        </w:rPr>
        <w:t xml:space="preserve">se recibió en este Instituto, a través del </w:t>
      </w:r>
      <w:r w:rsidR="00EE6AAF" w:rsidRPr="0010185B">
        <w:rPr>
          <w:rFonts w:eastAsia="Times New Roman" w:cs="Tahoma"/>
          <w:bCs/>
          <w:color w:val="auto"/>
          <w:lang w:val="es-ES" w:eastAsia="es-ES"/>
        </w:rPr>
        <w:t>Sistema de Acceso a la Información Mexiquense (SAIMEX)</w:t>
      </w:r>
      <w:r w:rsidR="00EE6AAF" w:rsidRPr="0010185B">
        <w:rPr>
          <w:rFonts w:eastAsia="Times New Roman" w:cs="Tahoma"/>
          <w:bCs/>
          <w:color w:val="auto"/>
          <w:lang w:eastAsia="es-ES"/>
        </w:rPr>
        <w:t>, el Recurso de Revisión interpuesto por la p</w:t>
      </w:r>
      <w:r w:rsidR="00D55E2F" w:rsidRPr="0010185B">
        <w:rPr>
          <w:rFonts w:eastAsia="Times New Roman" w:cs="Tahoma"/>
          <w:bCs/>
          <w:color w:val="auto"/>
          <w:lang w:eastAsia="es-ES"/>
        </w:rPr>
        <w:t>ersona</w:t>
      </w:r>
      <w:r w:rsidR="00EE6AAF" w:rsidRPr="0010185B">
        <w:rPr>
          <w:rFonts w:eastAsia="Times New Roman" w:cs="Tahoma"/>
          <w:bCs/>
          <w:color w:val="auto"/>
          <w:lang w:eastAsia="es-ES"/>
        </w:rPr>
        <w:t xml:space="preserve"> Recurrente, en contra</w:t>
      </w:r>
      <w:r w:rsidR="0068447E" w:rsidRPr="0010185B">
        <w:rPr>
          <w:rFonts w:eastAsia="Times New Roman" w:cs="Tahoma"/>
          <w:bCs/>
          <w:color w:val="auto"/>
          <w:lang w:eastAsia="es-ES"/>
        </w:rPr>
        <w:t xml:space="preserve"> </w:t>
      </w:r>
      <w:r w:rsidR="00EE6AAF" w:rsidRPr="0010185B">
        <w:rPr>
          <w:rFonts w:eastAsia="Times New Roman" w:cs="Tahoma"/>
          <w:bCs/>
          <w:color w:val="auto"/>
          <w:lang w:eastAsia="es-ES"/>
        </w:rPr>
        <w:t>de</w:t>
      </w:r>
      <w:r w:rsidR="0068447E" w:rsidRPr="0010185B">
        <w:rPr>
          <w:rFonts w:eastAsia="Times New Roman" w:cs="Tahoma"/>
          <w:bCs/>
          <w:color w:val="auto"/>
          <w:lang w:eastAsia="es-ES"/>
        </w:rPr>
        <w:t xml:space="preserve"> la</w:t>
      </w:r>
      <w:r w:rsidR="007B0D14" w:rsidRPr="0010185B">
        <w:rPr>
          <w:rFonts w:eastAsia="Times New Roman" w:cs="Tahoma"/>
          <w:bCs/>
          <w:color w:val="auto"/>
          <w:lang w:eastAsia="es-ES"/>
        </w:rPr>
        <w:t xml:space="preserve"> respuesta del Sujeto Obligado</w:t>
      </w:r>
      <w:r w:rsidR="00B90EF8" w:rsidRPr="0010185B">
        <w:rPr>
          <w:rFonts w:eastAsia="Calibri" w:cs="Times New Roman"/>
          <w:color w:val="auto"/>
        </w:rPr>
        <w:t xml:space="preserve">, </w:t>
      </w:r>
      <w:r w:rsidR="00EE6AAF" w:rsidRPr="0010185B">
        <w:rPr>
          <w:rFonts w:eastAsia="Times New Roman" w:cs="Tahoma"/>
          <w:bCs/>
          <w:color w:val="auto"/>
          <w:lang w:eastAsia="es-ES"/>
        </w:rPr>
        <w:t>en los siguientes términos:</w:t>
      </w:r>
    </w:p>
    <w:p w14:paraId="1900B5E9" w14:textId="77777777" w:rsidR="003D0B51" w:rsidRPr="0010185B" w:rsidRDefault="003D0B51" w:rsidP="00A62148">
      <w:pPr>
        <w:spacing w:after="0" w:line="360" w:lineRule="auto"/>
        <w:rPr>
          <w:rFonts w:eastAsia="Times New Roman" w:cs="Tahoma"/>
          <w:b/>
          <w:bCs/>
          <w:color w:val="auto"/>
          <w:lang w:val="es-ES" w:eastAsia="es-ES"/>
        </w:rPr>
      </w:pPr>
    </w:p>
    <w:p w14:paraId="122D4953" w14:textId="77777777" w:rsidR="00EC77D9" w:rsidRPr="0010185B" w:rsidRDefault="00EC77D9" w:rsidP="00A62148">
      <w:pPr>
        <w:spacing w:after="0" w:line="360" w:lineRule="auto"/>
        <w:ind w:left="567" w:right="567"/>
        <w:rPr>
          <w:rFonts w:eastAsia="Times New Roman" w:cs="Tahoma"/>
          <w:b/>
          <w:bCs/>
          <w:i/>
          <w:iCs/>
          <w:color w:val="auto"/>
          <w:sz w:val="20"/>
          <w:szCs w:val="20"/>
          <w:lang w:eastAsia="es-ES"/>
        </w:rPr>
      </w:pPr>
      <w:r w:rsidRPr="0010185B">
        <w:rPr>
          <w:rFonts w:eastAsia="Times New Roman" w:cs="Tahoma"/>
          <w:b/>
          <w:bCs/>
          <w:i/>
          <w:iCs/>
          <w:color w:val="auto"/>
          <w:sz w:val="20"/>
          <w:szCs w:val="20"/>
          <w:lang w:eastAsia="es-ES"/>
        </w:rPr>
        <w:t>“ACTO IMPUGNADO</w:t>
      </w:r>
    </w:p>
    <w:p w14:paraId="6E62BBE2" w14:textId="51735E42" w:rsidR="00EC77D9" w:rsidRPr="0010185B" w:rsidRDefault="0010185B" w:rsidP="0010185B">
      <w:pPr>
        <w:spacing w:after="0" w:line="360" w:lineRule="auto"/>
        <w:ind w:left="567" w:right="567"/>
        <w:rPr>
          <w:rFonts w:eastAsia="Times New Roman" w:cs="Tahoma"/>
          <w:bCs/>
          <w:i/>
          <w:color w:val="auto"/>
          <w:sz w:val="20"/>
          <w:szCs w:val="20"/>
          <w:lang w:eastAsia="es-ES"/>
        </w:rPr>
      </w:pPr>
      <w:r w:rsidRPr="0010185B">
        <w:rPr>
          <w:rFonts w:eastAsia="Times New Roman" w:cs="Tahoma"/>
          <w:bCs/>
          <w:i/>
          <w:color w:val="auto"/>
          <w:sz w:val="20"/>
          <w:szCs w:val="20"/>
          <w:lang w:eastAsia="es-ES"/>
        </w:rPr>
        <w:t xml:space="preserve">No me dan lo que se </w:t>
      </w:r>
      <w:proofErr w:type="spellStart"/>
      <w:r w:rsidRPr="0010185B">
        <w:rPr>
          <w:rFonts w:eastAsia="Times New Roman" w:cs="Tahoma"/>
          <w:bCs/>
          <w:i/>
          <w:color w:val="auto"/>
          <w:sz w:val="20"/>
          <w:szCs w:val="20"/>
          <w:lang w:eastAsia="es-ES"/>
        </w:rPr>
        <w:t>solicito</w:t>
      </w:r>
      <w:proofErr w:type="spellEnd"/>
      <w:r w:rsidRPr="0010185B">
        <w:rPr>
          <w:rFonts w:eastAsia="Times New Roman" w:cs="Tahoma"/>
          <w:bCs/>
          <w:i/>
          <w:color w:val="auto"/>
          <w:sz w:val="20"/>
          <w:szCs w:val="20"/>
          <w:lang w:eastAsia="es-ES"/>
        </w:rPr>
        <w:t>”</w:t>
      </w:r>
      <w:r w:rsidR="00EC77D9" w:rsidRPr="0010185B">
        <w:rPr>
          <w:rFonts w:eastAsia="Times New Roman" w:cs="Tahoma"/>
          <w:bCs/>
          <w:i/>
          <w:color w:val="auto"/>
          <w:sz w:val="20"/>
          <w:szCs w:val="20"/>
          <w:lang w:eastAsia="es-ES"/>
        </w:rPr>
        <w:t xml:space="preserve"> (Sic)</w:t>
      </w:r>
    </w:p>
    <w:p w14:paraId="5CCEB8EC" w14:textId="200EAB7C" w:rsidR="00EC77D9" w:rsidRPr="0010185B" w:rsidRDefault="00EC77D9" w:rsidP="00A62148">
      <w:pPr>
        <w:spacing w:after="0" w:line="360" w:lineRule="auto"/>
        <w:ind w:left="567" w:right="567"/>
        <w:rPr>
          <w:rFonts w:eastAsia="Times New Roman" w:cs="Tahoma"/>
          <w:bCs/>
          <w:i/>
          <w:color w:val="auto"/>
          <w:sz w:val="20"/>
          <w:szCs w:val="20"/>
          <w:lang w:eastAsia="es-ES"/>
        </w:rPr>
      </w:pPr>
    </w:p>
    <w:p w14:paraId="01991E43" w14:textId="7A969951" w:rsidR="00EC77D9" w:rsidRPr="0010185B" w:rsidRDefault="00EC77D9" w:rsidP="00A62148">
      <w:pPr>
        <w:spacing w:after="0" w:line="360" w:lineRule="auto"/>
        <w:ind w:left="567" w:right="567"/>
        <w:rPr>
          <w:rFonts w:eastAsia="Times New Roman" w:cs="Tahoma"/>
          <w:b/>
          <w:bCs/>
          <w:i/>
          <w:color w:val="auto"/>
          <w:sz w:val="20"/>
          <w:szCs w:val="20"/>
          <w:lang w:eastAsia="es-ES"/>
        </w:rPr>
      </w:pPr>
      <w:r w:rsidRPr="0010185B">
        <w:rPr>
          <w:rFonts w:eastAsia="Times New Roman" w:cs="Tahoma"/>
          <w:b/>
          <w:bCs/>
          <w:i/>
          <w:color w:val="auto"/>
          <w:sz w:val="20"/>
          <w:szCs w:val="20"/>
          <w:lang w:eastAsia="es-ES"/>
        </w:rPr>
        <w:t>“RAZONES O MOTIVOS DE LA INCONFORMIDAD</w:t>
      </w:r>
    </w:p>
    <w:p w14:paraId="51F3E683" w14:textId="482D73A2" w:rsidR="0010185B" w:rsidRPr="0010185B" w:rsidRDefault="0010185B" w:rsidP="00A62148">
      <w:pPr>
        <w:spacing w:after="0" w:line="360" w:lineRule="auto"/>
        <w:ind w:left="567" w:right="567"/>
        <w:rPr>
          <w:rFonts w:eastAsia="Times New Roman" w:cs="Tahoma"/>
          <w:bCs/>
          <w:i/>
          <w:color w:val="auto"/>
          <w:sz w:val="20"/>
          <w:szCs w:val="20"/>
          <w:lang w:eastAsia="es-ES"/>
        </w:rPr>
      </w:pPr>
      <w:r w:rsidRPr="0010185B">
        <w:rPr>
          <w:rFonts w:eastAsia="Times New Roman" w:cs="Tahoma"/>
          <w:bCs/>
          <w:i/>
          <w:color w:val="auto"/>
          <w:sz w:val="20"/>
          <w:szCs w:val="20"/>
          <w:lang w:eastAsia="es-ES"/>
        </w:rPr>
        <w:t xml:space="preserve">No me dan la información” </w:t>
      </w:r>
    </w:p>
    <w:p w14:paraId="47CDC813" w14:textId="77777777" w:rsidR="00683FC3" w:rsidRPr="00EE1394" w:rsidRDefault="00683FC3" w:rsidP="00A62148">
      <w:pPr>
        <w:spacing w:after="0" w:line="360" w:lineRule="auto"/>
        <w:rPr>
          <w:rFonts w:eastAsia="Calibri" w:cs="Tahoma"/>
          <w:bCs/>
          <w:color w:val="FF0000"/>
        </w:rPr>
      </w:pPr>
    </w:p>
    <w:p w14:paraId="32EBD4AE" w14:textId="51EA325E" w:rsidR="00EC77D9" w:rsidRPr="00C02C74" w:rsidRDefault="007B0D14" w:rsidP="008D4BF2">
      <w:pPr>
        <w:pStyle w:val="Ttulo2"/>
        <w:rPr>
          <w:rFonts w:eastAsia="Batang"/>
          <w:color w:val="auto"/>
        </w:rPr>
      </w:pPr>
      <w:bookmarkStart w:id="12" w:name="_Toc190871539"/>
      <w:bookmarkStart w:id="13" w:name="_Toc195200352"/>
      <w:r w:rsidRPr="00C02C74">
        <w:rPr>
          <w:rFonts w:eastAsia="Calibri"/>
          <w:color w:val="auto"/>
        </w:rPr>
        <w:t>I</w:t>
      </w:r>
      <w:r w:rsidR="00EC77D9" w:rsidRPr="00C02C74">
        <w:rPr>
          <w:rFonts w:eastAsia="Calibri"/>
          <w:color w:val="auto"/>
        </w:rPr>
        <w:t xml:space="preserve">V. </w:t>
      </w:r>
      <w:r w:rsidR="00EC77D9" w:rsidRPr="00C02C74">
        <w:rPr>
          <w:rFonts w:eastAsia="Batang"/>
          <w:color w:val="auto"/>
        </w:rPr>
        <w:t>Trámite del Recurso de Revisión</w:t>
      </w:r>
      <w:r w:rsidR="00EC77D9" w:rsidRPr="00C02C74">
        <w:rPr>
          <w:rFonts w:eastAsia="Calibri"/>
          <w:color w:val="auto"/>
        </w:rPr>
        <w:t xml:space="preserve"> </w:t>
      </w:r>
      <w:r w:rsidRPr="00C02C74">
        <w:rPr>
          <w:rFonts w:eastAsia="Batang"/>
          <w:color w:val="auto"/>
        </w:rPr>
        <w:t>ante este Instituto</w:t>
      </w:r>
      <w:bookmarkEnd w:id="12"/>
      <w:bookmarkEnd w:id="13"/>
    </w:p>
    <w:p w14:paraId="1C4ADB40" w14:textId="77777777" w:rsidR="00EC77D9" w:rsidRPr="00C02C74" w:rsidRDefault="00EC77D9" w:rsidP="00A62148">
      <w:pPr>
        <w:spacing w:after="0" w:line="360" w:lineRule="auto"/>
        <w:rPr>
          <w:rFonts w:eastAsia="Batang" w:cs="Tahoma"/>
          <w:bCs/>
          <w:color w:val="auto"/>
        </w:rPr>
      </w:pPr>
    </w:p>
    <w:p w14:paraId="7EC9EE07" w14:textId="086D362C" w:rsidR="00EC77D9" w:rsidRPr="00C02C74" w:rsidRDefault="00EC77D9" w:rsidP="00A62148">
      <w:pPr>
        <w:spacing w:after="0" w:line="360" w:lineRule="auto"/>
        <w:rPr>
          <w:rFonts w:eastAsia="Times New Roman" w:cs="Tahoma"/>
          <w:bCs/>
          <w:color w:val="auto"/>
          <w:lang w:val="es-ES" w:eastAsia="es-ES"/>
        </w:rPr>
      </w:pPr>
      <w:bookmarkStart w:id="14" w:name="_Toc190871540"/>
      <w:bookmarkStart w:id="15" w:name="_Toc195200353"/>
      <w:r w:rsidRPr="00C02C74">
        <w:rPr>
          <w:rStyle w:val="Ttulo3Car"/>
          <w:color w:val="auto"/>
        </w:rPr>
        <w:t>a) Turno del Medio de Impugnación</w:t>
      </w:r>
      <w:bookmarkEnd w:id="14"/>
      <w:bookmarkEnd w:id="15"/>
      <w:r w:rsidRPr="00C02C74">
        <w:rPr>
          <w:rFonts w:eastAsia="Batang" w:cs="Tahoma"/>
          <w:b/>
          <w:bCs/>
          <w:color w:val="auto"/>
        </w:rPr>
        <w:t>.</w:t>
      </w:r>
      <w:r w:rsidR="00824195" w:rsidRPr="00C02C74">
        <w:rPr>
          <w:rFonts w:eastAsia="Batang" w:cs="Tahoma"/>
          <w:bCs/>
          <w:color w:val="auto"/>
        </w:rPr>
        <w:t xml:space="preserve"> </w:t>
      </w:r>
      <w:r w:rsidR="00824195" w:rsidRPr="00C02C74">
        <w:rPr>
          <w:rFonts w:eastAsia="Times New Roman" w:cs="Tahoma"/>
          <w:bCs/>
          <w:color w:val="auto"/>
          <w:lang w:val="es-ES" w:eastAsia="es-ES"/>
        </w:rPr>
        <w:t>El</w:t>
      </w:r>
      <w:r w:rsidR="007B0D14" w:rsidRPr="00C02C74">
        <w:rPr>
          <w:rFonts w:eastAsia="Times New Roman" w:cs="Tahoma"/>
          <w:bCs/>
          <w:color w:val="auto"/>
          <w:lang w:val="es-ES" w:eastAsia="es-ES"/>
        </w:rPr>
        <w:t xml:space="preserve"> </w:t>
      </w:r>
      <w:r w:rsidR="00C02C74" w:rsidRPr="00C02C74">
        <w:rPr>
          <w:rFonts w:eastAsia="Times New Roman" w:cs="Tahoma"/>
          <w:bCs/>
          <w:color w:val="auto"/>
          <w:lang w:val="es-ES" w:eastAsia="es-ES"/>
        </w:rPr>
        <w:t>trece</w:t>
      </w:r>
      <w:r w:rsidR="00F622DA" w:rsidRPr="00C02C74">
        <w:rPr>
          <w:rFonts w:eastAsia="Times New Roman" w:cs="Tahoma"/>
          <w:bCs/>
          <w:color w:val="auto"/>
          <w:lang w:val="es-ES" w:eastAsia="es-ES"/>
        </w:rPr>
        <w:t xml:space="preserve"> de febrero de dos mil veinticinco, </w:t>
      </w:r>
      <w:r w:rsidRPr="00C02C74">
        <w:rPr>
          <w:rFonts w:eastAsia="Batang" w:cs="Tahoma"/>
          <w:bCs/>
          <w:color w:val="auto"/>
        </w:rPr>
        <w:t xml:space="preserve">el </w:t>
      </w:r>
      <w:r w:rsidRPr="00C02C74">
        <w:rPr>
          <w:rFonts w:eastAsia="Calibri" w:cs="Tahoma"/>
          <w:color w:val="auto"/>
          <w:lang w:val="es-ES"/>
        </w:rPr>
        <w:t>Sistema de Acceso a la Información Mexiquense (SAIMEX),</w:t>
      </w:r>
      <w:r w:rsidRPr="00C02C74">
        <w:rPr>
          <w:rFonts w:eastAsia="Batang" w:cs="Tahoma"/>
          <w:bCs/>
          <w:color w:val="auto"/>
        </w:rPr>
        <w:t xml:space="preserve"> asignó el número de expediente</w:t>
      </w:r>
      <w:r w:rsidR="00394EBC" w:rsidRPr="00C02C74">
        <w:rPr>
          <w:color w:val="auto"/>
        </w:rPr>
        <w:t xml:space="preserve"> </w:t>
      </w:r>
      <w:r w:rsidR="00394EBC" w:rsidRPr="00C02C74">
        <w:rPr>
          <w:rFonts w:eastAsia="Calibri" w:cs="Tahoma"/>
          <w:b/>
          <w:bCs/>
          <w:color w:val="auto"/>
        </w:rPr>
        <w:t>0</w:t>
      </w:r>
      <w:r w:rsidR="00C02C74" w:rsidRPr="00C02C74">
        <w:rPr>
          <w:rFonts w:eastAsia="Calibri" w:cs="Tahoma"/>
          <w:b/>
          <w:bCs/>
          <w:color w:val="auto"/>
        </w:rPr>
        <w:t>1351</w:t>
      </w:r>
      <w:r w:rsidR="007B0D14" w:rsidRPr="00C02C74">
        <w:rPr>
          <w:rFonts w:eastAsia="Calibri" w:cs="Tahoma"/>
          <w:b/>
          <w:bCs/>
          <w:color w:val="auto"/>
        </w:rPr>
        <w:t>/INFOEM/IP/RR/2025</w:t>
      </w:r>
      <w:r w:rsidRPr="00C02C74">
        <w:rPr>
          <w:rFonts w:eastAsia="Batang" w:cs="Tahoma"/>
          <w:bCs/>
          <w:color w:val="auto"/>
        </w:rPr>
        <w:t xml:space="preserve">, al Medio de Impugnación que nos ocupa, con base en el sistema aprobado por el Pleno de este </w:t>
      </w:r>
      <w:r w:rsidR="00394EBC" w:rsidRPr="00C02C74">
        <w:rPr>
          <w:rFonts w:eastAsia="Batang" w:cs="Tahoma"/>
          <w:bCs/>
          <w:color w:val="auto"/>
        </w:rPr>
        <w:t>Organismo</w:t>
      </w:r>
      <w:r w:rsidRPr="00C02C74">
        <w:rPr>
          <w:rFonts w:eastAsia="Batang" w:cs="Tahoma"/>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C02C74" w:rsidRDefault="00EC77D9" w:rsidP="00A62148">
      <w:pPr>
        <w:spacing w:after="0" w:line="360" w:lineRule="auto"/>
        <w:rPr>
          <w:rFonts w:eastAsia="Batang" w:cs="Tahoma"/>
          <w:bCs/>
          <w:color w:val="auto"/>
        </w:rPr>
      </w:pPr>
    </w:p>
    <w:p w14:paraId="2E948D3C" w14:textId="39B02349" w:rsidR="003D0B51" w:rsidRPr="00C02C74" w:rsidRDefault="00EC77D9" w:rsidP="00A62148">
      <w:pPr>
        <w:spacing w:after="0" w:line="360" w:lineRule="auto"/>
        <w:rPr>
          <w:rFonts w:eastAsia="Batang" w:cs="Tahoma"/>
          <w:bCs/>
          <w:color w:val="auto"/>
        </w:rPr>
      </w:pPr>
      <w:bookmarkStart w:id="16" w:name="_Toc190871541"/>
      <w:bookmarkStart w:id="17" w:name="_Toc195200354"/>
      <w:r w:rsidRPr="00C02C74">
        <w:rPr>
          <w:rStyle w:val="Ttulo3Car"/>
          <w:color w:val="auto"/>
        </w:rPr>
        <w:t>b) Admisión del Recurso de Revisión</w:t>
      </w:r>
      <w:bookmarkEnd w:id="16"/>
      <w:bookmarkEnd w:id="17"/>
      <w:r w:rsidRPr="00C02C74">
        <w:rPr>
          <w:rFonts w:eastAsia="Times New Roman" w:cs="Tahoma"/>
          <w:b/>
          <w:bCs/>
          <w:color w:val="auto"/>
          <w:lang w:val="es-ES_tradnl" w:eastAsia="es-ES"/>
        </w:rPr>
        <w:t xml:space="preserve">. </w:t>
      </w:r>
      <w:r w:rsidRPr="00C02C74">
        <w:rPr>
          <w:rFonts w:eastAsia="Batang" w:cs="Tahoma"/>
          <w:bCs/>
          <w:color w:val="auto"/>
        </w:rPr>
        <w:t>El</w:t>
      </w:r>
      <w:r w:rsidR="00A37D74" w:rsidRPr="00C02C74">
        <w:rPr>
          <w:rFonts w:eastAsia="Batang" w:cs="Tahoma"/>
          <w:bCs/>
          <w:color w:val="auto"/>
        </w:rPr>
        <w:t xml:space="preserve"> </w:t>
      </w:r>
      <w:r w:rsidR="00C02C74" w:rsidRPr="00C02C74">
        <w:rPr>
          <w:rFonts w:eastAsia="Batang" w:cs="Tahoma"/>
          <w:bCs/>
          <w:color w:val="auto"/>
        </w:rPr>
        <w:t xml:space="preserve">dieciocho de </w:t>
      </w:r>
      <w:r w:rsidR="00F622DA" w:rsidRPr="00C02C74">
        <w:rPr>
          <w:rFonts w:eastAsia="Batang" w:cs="Tahoma"/>
          <w:bCs/>
          <w:color w:val="auto"/>
        </w:rPr>
        <w:t xml:space="preserve">febrero de dos mil veinticinco, </w:t>
      </w:r>
      <w:r w:rsidRPr="00C02C74">
        <w:rPr>
          <w:rFonts w:eastAsia="Times New Roman" w:cs="Tahoma"/>
          <w:bCs/>
          <w:color w:val="auto"/>
          <w:lang w:val="es-ES_tradnl" w:eastAsia="es-ES"/>
        </w:rPr>
        <w:t xml:space="preserve">se acordó la admisión del Recurso de Revisión interpuesto por </w:t>
      </w:r>
      <w:r w:rsidR="00B064A4" w:rsidRPr="00C02C74">
        <w:rPr>
          <w:rFonts w:eastAsia="Times New Roman" w:cs="Tahoma"/>
          <w:bCs/>
          <w:color w:val="auto"/>
          <w:lang w:val="es-ES_tradnl" w:eastAsia="es-ES"/>
        </w:rPr>
        <w:t>la persona</w:t>
      </w:r>
      <w:r w:rsidRPr="00C02C74">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C02C74">
        <w:rPr>
          <w:rFonts w:eastAsia="Times New Roman" w:cs="Tahoma"/>
          <w:bCs/>
          <w:color w:val="auto"/>
          <w:lang w:val="es-ES_tradnl" w:eastAsia="es-ES"/>
        </w:rPr>
        <w:t xml:space="preserve"> </w:t>
      </w:r>
      <w:r w:rsidR="001756F2" w:rsidRPr="00C02C74">
        <w:rPr>
          <w:rFonts w:eastAsia="Times New Roman" w:cs="Tahoma"/>
          <w:bCs/>
          <w:color w:val="auto"/>
          <w:lang w:val="es-ES_tradnl" w:eastAsia="es-ES"/>
        </w:rPr>
        <w:t>el</w:t>
      </w:r>
      <w:r w:rsidR="00F622DA" w:rsidRPr="00C02C74">
        <w:rPr>
          <w:rFonts w:eastAsia="Times New Roman" w:cs="Tahoma"/>
          <w:bCs/>
          <w:color w:val="auto"/>
          <w:lang w:val="es-ES_tradnl" w:eastAsia="es-ES"/>
        </w:rPr>
        <w:t xml:space="preserve"> mismo día</w:t>
      </w:r>
      <w:r w:rsidR="00CB7980" w:rsidRPr="00C02C74">
        <w:rPr>
          <w:rFonts w:eastAsia="Times New Roman" w:cs="Tahoma"/>
          <w:bCs/>
          <w:color w:val="auto"/>
          <w:lang w:val="es-ES_tradnl" w:eastAsia="es-ES"/>
        </w:rPr>
        <w:t xml:space="preserve">, </w:t>
      </w:r>
      <w:r w:rsidRPr="00C02C74">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5054E53" w14:textId="77777777" w:rsidR="00AE3612" w:rsidRPr="00C02C74" w:rsidRDefault="00AE3612" w:rsidP="00A62148">
      <w:pPr>
        <w:widowControl w:val="0"/>
        <w:spacing w:after="0" w:line="360" w:lineRule="auto"/>
        <w:rPr>
          <w:rFonts w:eastAsia="Times New Roman" w:cs="Tahoma"/>
          <w:b/>
          <w:color w:val="auto"/>
          <w:lang w:eastAsia="es-ES"/>
        </w:rPr>
      </w:pPr>
    </w:p>
    <w:p w14:paraId="0671C3D6" w14:textId="79E8CCF0" w:rsidR="008D4BF2" w:rsidRPr="008A43FC" w:rsidRDefault="008D4BF2" w:rsidP="008D4BF2">
      <w:pPr>
        <w:spacing w:after="0" w:line="360" w:lineRule="auto"/>
        <w:rPr>
          <w:rFonts w:eastAsia="Times New Roman" w:cs="Times New Roman"/>
          <w:color w:val="FF0000"/>
        </w:rPr>
      </w:pPr>
      <w:bookmarkStart w:id="18" w:name="_Toc190871542"/>
      <w:bookmarkStart w:id="19" w:name="_Toc195200355"/>
      <w:r w:rsidRPr="00C02C74">
        <w:rPr>
          <w:rStyle w:val="Ttulo3Car"/>
          <w:color w:val="auto"/>
        </w:rPr>
        <w:lastRenderedPageBreak/>
        <w:t>c) Informe Justificado</w:t>
      </w:r>
      <w:bookmarkEnd w:id="18"/>
      <w:bookmarkEnd w:id="19"/>
      <w:r w:rsidRPr="00C02C74">
        <w:rPr>
          <w:rFonts w:eastAsia="Times New Roman" w:cs="Times New Roman"/>
          <w:b/>
          <w:color w:val="auto"/>
        </w:rPr>
        <w:t>.</w:t>
      </w:r>
      <w:r w:rsidRPr="00C02C74">
        <w:rPr>
          <w:rFonts w:eastAsia="Times New Roman" w:cs="Times New Roman"/>
          <w:color w:val="auto"/>
        </w:rPr>
        <w:t xml:space="preserve"> En fecha</w:t>
      </w:r>
      <w:r w:rsidR="00C02C74">
        <w:rPr>
          <w:rFonts w:eastAsia="Times New Roman" w:cs="Times New Roman"/>
          <w:color w:val="auto"/>
        </w:rPr>
        <w:t xml:space="preserve"> veintisiete de febrero de </w:t>
      </w:r>
      <w:r w:rsidR="001B5A39">
        <w:rPr>
          <w:rFonts w:eastAsia="Times New Roman" w:cs="Times New Roman"/>
          <w:color w:val="auto"/>
        </w:rPr>
        <w:t>dos mil</w:t>
      </w:r>
      <w:r w:rsidR="00C02C74">
        <w:rPr>
          <w:rFonts w:eastAsia="Times New Roman" w:cs="Times New Roman"/>
          <w:color w:val="auto"/>
        </w:rPr>
        <w:t xml:space="preserve"> veinticinco, </w:t>
      </w:r>
      <w:r w:rsidRPr="00C02C74">
        <w:rPr>
          <w:rFonts w:eastAsia="Times New Roman" w:cs="Times New Roman"/>
          <w:color w:val="auto"/>
        </w:rPr>
        <w:t xml:space="preserve">el Sujeto Obligado a </w:t>
      </w:r>
      <w:r w:rsidRPr="008A43FC">
        <w:rPr>
          <w:rFonts w:eastAsia="Times New Roman" w:cs="Times New Roman"/>
          <w:color w:val="auto"/>
        </w:rPr>
        <w:t xml:space="preserve">través del SAIMEX, presentó en el apartado de Informe Justificado, </w:t>
      </w:r>
      <w:r w:rsidR="00C02C74" w:rsidRPr="008A43FC">
        <w:rPr>
          <w:rFonts w:eastAsia="Times New Roman" w:cs="Times New Roman"/>
          <w:color w:val="auto"/>
        </w:rPr>
        <w:t>un escrito de la misma fecha, suscrito por el</w:t>
      </w:r>
      <w:r w:rsidRPr="008A43FC">
        <w:rPr>
          <w:rFonts w:eastAsia="Times New Roman" w:cs="Times New Roman"/>
          <w:color w:val="auto"/>
        </w:rPr>
        <w:t xml:space="preserve"> Titular de la Unidad de </w:t>
      </w:r>
      <w:r w:rsidR="008A43FC" w:rsidRPr="008A43FC">
        <w:rPr>
          <w:rFonts w:eastAsia="Times New Roman" w:cs="Times New Roman"/>
          <w:color w:val="auto"/>
        </w:rPr>
        <w:t xml:space="preserve">Transparencia, por medio del cual </w:t>
      </w:r>
      <w:r w:rsidRPr="008A43FC">
        <w:rPr>
          <w:rFonts w:eastAsia="Times New Roman" w:cs="Times New Roman"/>
          <w:color w:val="auto"/>
        </w:rPr>
        <w:t>confirmo su respuesta.</w:t>
      </w:r>
    </w:p>
    <w:p w14:paraId="5572A103" w14:textId="77777777" w:rsidR="008D4BF2" w:rsidRPr="008A43FC" w:rsidRDefault="008D4BF2" w:rsidP="008D4BF2">
      <w:pPr>
        <w:spacing w:after="0" w:line="360" w:lineRule="auto"/>
        <w:rPr>
          <w:rFonts w:eastAsia="Times New Roman" w:cs="Times New Roman"/>
          <w:color w:val="auto"/>
        </w:rPr>
      </w:pPr>
    </w:p>
    <w:p w14:paraId="079A72E3" w14:textId="30641D8D" w:rsidR="00AE3612" w:rsidRDefault="008D4BF2" w:rsidP="008D4BF2">
      <w:pPr>
        <w:spacing w:after="0" w:line="360" w:lineRule="auto"/>
        <w:rPr>
          <w:rFonts w:eastAsia="Times New Roman" w:cs="Times New Roman"/>
          <w:color w:val="auto"/>
        </w:rPr>
      </w:pPr>
      <w:bookmarkStart w:id="20" w:name="_Toc190871543"/>
      <w:bookmarkStart w:id="21" w:name="_Toc195200356"/>
      <w:r w:rsidRPr="008A43FC">
        <w:rPr>
          <w:rStyle w:val="Ttulo3Car"/>
          <w:color w:val="auto"/>
        </w:rPr>
        <w:t>d) Vista al Informe Justificado</w:t>
      </w:r>
      <w:bookmarkEnd w:id="20"/>
      <w:bookmarkEnd w:id="21"/>
      <w:r w:rsidRPr="008A43FC">
        <w:rPr>
          <w:rFonts w:eastAsia="Times New Roman" w:cs="Times New Roman"/>
          <w:b/>
          <w:color w:val="auto"/>
        </w:rPr>
        <w:t xml:space="preserve">. </w:t>
      </w:r>
      <w:r w:rsidRPr="008A43FC">
        <w:rPr>
          <w:rFonts w:eastAsia="Times New Roman" w:cs="Times New Roman"/>
          <w:color w:val="auto"/>
        </w:rPr>
        <w:t xml:space="preserve">El </w:t>
      </w:r>
      <w:r w:rsidR="008A43FC" w:rsidRPr="008A43FC">
        <w:rPr>
          <w:rFonts w:eastAsia="Times New Roman" w:cs="Times New Roman"/>
          <w:color w:val="auto"/>
        </w:rPr>
        <w:t xml:space="preserve">once de marzo </w:t>
      </w:r>
      <w:r w:rsidRPr="008A43FC">
        <w:rPr>
          <w:rFonts w:eastAsia="Times New Roman" w:cs="Times New Roman"/>
          <w:color w:val="auto"/>
        </w:rPr>
        <w:t>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p>
    <w:p w14:paraId="4C451A82" w14:textId="77777777" w:rsidR="008D4BF2" w:rsidRDefault="008D4BF2" w:rsidP="008D4BF2">
      <w:pPr>
        <w:spacing w:after="0" w:line="360" w:lineRule="auto"/>
        <w:rPr>
          <w:rFonts w:eastAsia="Times New Roman" w:cs="Times New Roman"/>
          <w:color w:val="auto"/>
        </w:rPr>
      </w:pPr>
    </w:p>
    <w:p w14:paraId="3CCFDDF1" w14:textId="4963A23A" w:rsidR="00ED1204" w:rsidRDefault="00ED1204" w:rsidP="008D4BF2">
      <w:pPr>
        <w:spacing w:after="0" w:line="360" w:lineRule="auto"/>
        <w:rPr>
          <w:rFonts w:eastAsia="Times New Roman" w:cs="Times New Roman"/>
          <w:color w:val="auto"/>
        </w:rPr>
      </w:pPr>
      <w:r>
        <w:rPr>
          <w:rFonts w:eastAsia="Times New Roman" w:cs="Times New Roman"/>
          <w:b/>
          <w:color w:val="auto"/>
        </w:rPr>
        <w:t xml:space="preserve">e) Alcance al Informe Justificado. </w:t>
      </w:r>
      <w:r>
        <w:rPr>
          <w:rFonts w:eastAsia="Times New Roman" w:cs="Times New Roman"/>
          <w:color w:val="auto"/>
        </w:rPr>
        <w:t>El catorce de marzo de dos mil veinticinco, el Sujeto Obligado a través del SAIMEX, presentó su un Alcance al Informe Justificado, mediante el oficio 203010000/0751/2025 del trece de marzo de dos mil veinticinco, suscrito por la Titular del Órgano Interno de Control Municipal, dirigido al Titular de la Unidad de Transparencia, por medio del cual se menciona lo siguiente:</w:t>
      </w:r>
    </w:p>
    <w:p w14:paraId="1E6DB22F" w14:textId="77777777" w:rsidR="00DE0CC3" w:rsidRDefault="00DE0CC3" w:rsidP="008D4BF2">
      <w:pPr>
        <w:spacing w:after="0" w:line="360" w:lineRule="auto"/>
        <w:rPr>
          <w:rFonts w:eastAsia="Times New Roman" w:cs="Times New Roman"/>
          <w:color w:val="auto"/>
        </w:rPr>
      </w:pPr>
    </w:p>
    <w:p w14:paraId="0E5368CF" w14:textId="3B877ED3" w:rsidR="00ED1204" w:rsidRPr="00DE0CC3" w:rsidRDefault="001C2BEB" w:rsidP="00DE0CC3">
      <w:pPr>
        <w:spacing w:after="0" w:line="360" w:lineRule="auto"/>
        <w:ind w:left="567" w:right="567"/>
        <w:rPr>
          <w:rFonts w:eastAsia="Times New Roman" w:cs="Tahoma"/>
          <w:bCs/>
          <w:i/>
          <w:color w:val="auto"/>
          <w:sz w:val="20"/>
          <w:szCs w:val="20"/>
          <w:lang w:eastAsia="es-ES"/>
        </w:rPr>
      </w:pPr>
      <w:r w:rsidRPr="00DE0CC3">
        <w:rPr>
          <w:rFonts w:eastAsia="Times New Roman" w:cs="Tahoma"/>
          <w:bCs/>
          <w:i/>
          <w:color w:val="auto"/>
          <w:sz w:val="20"/>
          <w:szCs w:val="20"/>
          <w:lang w:eastAsia="es-ES"/>
        </w:rPr>
        <w:t>“…Con base a los artículos 12, 92 y 140 de la Ley de Transparencia y Acceso a la Información Pública del Estado de México y Municipios, me permito dar respuesta al requerimiento adicional informando que la información solicitada se clasificó como confidencial total</w:t>
      </w:r>
      <w:r w:rsidR="00862641" w:rsidRPr="00DE0CC3">
        <w:rPr>
          <w:rFonts w:eastAsia="Times New Roman" w:cs="Tahoma"/>
          <w:bCs/>
          <w:i/>
          <w:color w:val="auto"/>
          <w:sz w:val="20"/>
          <w:szCs w:val="20"/>
          <w:lang w:eastAsia="es-ES"/>
        </w:rPr>
        <w:t xml:space="preserve">, con fundamento en la Ducentésima Cuadragésima Séptima Sesión Extraordinaria del Comité de Transparencia de fecha 13 d marzo de 2025, </w:t>
      </w:r>
      <w:r w:rsidR="005671FE" w:rsidRPr="00DE0CC3">
        <w:rPr>
          <w:rFonts w:eastAsia="Times New Roman" w:cs="Tahoma"/>
          <w:bCs/>
          <w:i/>
          <w:color w:val="auto"/>
          <w:sz w:val="20"/>
          <w:szCs w:val="20"/>
          <w:lang w:eastAsia="es-ES"/>
        </w:rPr>
        <w:t xml:space="preserve">mediante acuerdo CT/SE/247/01/2025; correspondiente a la Entrega – Recepción de los Servidores Públicos que entregaron del 01 al 03 de enero de 2024, toda vez que se encuentra en un proceso administrativo determinado en el artículo 37 de los Lineamientos que norman la Entrega – Recepción de los Ayuntamientos, sus Dependencias, Unidades Administrativas y Entidades de la Administración Pública Municipal del Estado de México…” </w:t>
      </w:r>
    </w:p>
    <w:p w14:paraId="10F1CF66" w14:textId="77777777" w:rsidR="00DE0CC3" w:rsidRDefault="00DE0CC3" w:rsidP="00DE0CC3">
      <w:pPr>
        <w:spacing w:after="0" w:line="360" w:lineRule="auto"/>
        <w:rPr>
          <w:rStyle w:val="Ttulo3Car"/>
          <w:color w:val="auto"/>
        </w:rPr>
      </w:pPr>
    </w:p>
    <w:p w14:paraId="2D6B859E" w14:textId="34F35E6D" w:rsidR="00DE0CC3" w:rsidRDefault="00DE0CC3" w:rsidP="00DE0CC3">
      <w:pPr>
        <w:spacing w:after="0" w:line="360" w:lineRule="auto"/>
        <w:rPr>
          <w:rFonts w:eastAsia="Times New Roman" w:cs="Times New Roman"/>
          <w:color w:val="auto"/>
        </w:rPr>
      </w:pPr>
      <w:bookmarkStart w:id="22" w:name="_Toc195200357"/>
      <w:r>
        <w:rPr>
          <w:rStyle w:val="Ttulo3Car"/>
          <w:color w:val="auto"/>
        </w:rPr>
        <w:lastRenderedPageBreak/>
        <w:t>f</w:t>
      </w:r>
      <w:r w:rsidRPr="008A43FC">
        <w:rPr>
          <w:rStyle w:val="Ttulo3Car"/>
          <w:color w:val="auto"/>
        </w:rPr>
        <w:t>) Vista al Informe Justificado</w:t>
      </w:r>
      <w:bookmarkEnd w:id="22"/>
      <w:r w:rsidRPr="008A43FC">
        <w:rPr>
          <w:rFonts w:eastAsia="Times New Roman" w:cs="Times New Roman"/>
          <w:b/>
          <w:color w:val="auto"/>
        </w:rPr>
        <w:t xml:space="preserve">. </w:t>
      </w:r>
      <w:r w:rsidRPr="008A43FC">
        <w:rPr>
          <w:rFonts w:eastAsia="Times New Roman" w:cs="Times New Roman"/>
          <w:color w:val="auto"/>
        </w:rPr>
        <w:t>El</w:t>
      </w:r>
      <w:r>
        <w:rPr>
          <w:rFonts w:eastAsia="Times New Roman" w:cs="Times New Roman"/>
          <w:color w:val="auto"/>
        </w:rPr>
        <w:t xml:space="preserve"> primero de abril de dos mil veinticinco</w:t>
      </w:r>
      <w:r w:rsidRPr="008A43FC">
        <w:rPr>
          <w:rFonts w:eastAsia="Times New Roman" w:cs="Times New Roman"/>
          <w:color w:val="auto"/>
        </w:rPr>
        <w:t>, se notificó a través del SAIMEX, el acuerdo mediante el cual se puso a la vista del Particular el Informe Justificado, proveído por el cual se le otorgó a este último, un término de tres días hábiles contados a partir del día siguiente a la notificación, a fin de emitir las manifestaciones que conforme a sus intereses convinieran.</w:t>
      </w:r>
    </w:p>
    <w:p w14:paraId="70E7309A" w14:textId="77777777" w:rsidR="00412B97" w:rsidRDefault="00412B97" w:rsidP="00412B97">
      <w:pPr>
        <w:spacing w:after="0" w:line="360" w:lineRule="auto"/>
        <w:rPr>
          <w:rFonts w:eastAsia="Times New Roman" w:cs="Times New Roman"/>
          <w:color w:val="auto"/>
        </w:rPr>
      </w:pPr>
    </w:p>
    <w:p w14:paraId="15779363" w14:textId="3B2F8532" w:rsidR="00ED1204" w:rsidRDefault="00412B97" w:rsidP="00412B97">
      <w:pPr>
        <w:spacing w:after="0" w:line="360" w:lineRule="auto"/>
        <w:rPr>
          <w:rFonts w:eastAsia="Times New Roman" w:cs="Times New Roman"/>
          <w:color w:val="auto"/>
        </w:rPr>
      </w:pPr>
      <w:bookmarkStart w:id="23" w:name="_Toc195200358"/>
      <w:r w:rsidRPr="00412B97">
        <w:rPr>
          <w:rStyle w:val="Ttulo1Car"/>
        </w:rPr>
        <w:t>g) Ampliación de plazo para resolver.</w:t>
      </w:r>
      <w:bookmarkEnd w:id="23"/>
      <w:r w:rsidRPr="00412B97">
        <w:rPr>
          <w:rFonts w:eastAsia="Times New Roman" w:cs="Times New Roman"/>
          <w:color w:val="auto"/>
        </w:rPr>
        <w:t xml:space="preserve"> El </w:t>
      </w:r>
      <w:r>
        <w:rPr>
          <w:rFonts w:eastAsia="Times New Roman" w:cs="Times New Roman"/>
          <w:color w:val="auto"/>
        </w:rPr>
        <w:t xml:space="preserve">ocho de abril </w:t>
      </w:r>
      <w:r w:rsidRPr="00412B97">
        <w:rPr>
          <w:rFonts w:eastAsia="Times New Roman" w:cs="Times New Roman"/>
          <w:color w:val="auto"/>
        </w:rPr>
        <w:t>de dos mil veinticinco, el</w:t>
      </w:r>
      <w:r>
        <w:rPr>
          <w:rFonts w:eastAsia="Times New Roman" w:cs="Times New Roman"/>
          <w:color w:val="auto"/>
        </w:rPr>
        <w:t xml:space="preserve"> </w:t>
      </w:r>
      <w:r w:rsidRPr="00412B97">
        <w:rPr>
          <w:rFonts w:eastAsia="Times New Roman" w:cs="Times New Roman"/>
          <w:color w:val="auto"/>
        </w:rPr>
        <w:t>Comisionado Ponente, con fundamento en lo dispuesto por el artículo 181, párrafo</w:t>
      </w:r>
      <w:r>
        <w:rPr>
          <w:rFonts w:eastAsia="Times New Roman" w:cs="Times New Roman"/>
          <w:color w:val="auto"/>
        </w:rPr>
        <w:t xml:space="preserve"> </w:t>
      </w:r>
      <w:r w:rsidRPr="00412B97">
        <w:rPr>
          <w:rFonts w:eastAsia="Times New Roman" w:cs="Times New Roman"/>
          <w:color w:val="auto"/>
        </w:rPr>
        <w:t>tercero, de la Ley de Transparencia y Acceso a la Información Pública del Estado de</w:t>
      </w:r>
      <w:r>
        <w:rPr>
          <w:rFonts w:eastAsia="Times New Roman" w:cs="Times New Roman"/>
          <w:color w:val="auto"/>
        </w:rPr>
        <w:t xml:space="preserve"> </w:t>
      </w:r>
      <w:r w:rsidRPr="00412B97">
        <w:rPr>
          <w:rFonts w:eastAsia="Times New Roman" w:cs="Times New Roman"/>
          <w:color w:val="auto"/>
        </w:rPr>
        <w:t>México y Municipios, acordó ampliar por un periodo de quince días, el plazo para resolver</w:t>
      </w:r>
      <w:r>
        <w:rPr>
          <w:rFonts w:eastAsia="Times New Roman" w:cs="Times New Roman"/>
          <w:color w:val="auto"/>
        </w:rPr>
        <w:t xml:space="preserve"> </w:t>
      </w:r>
      <w:r w:rsidRPr="00412B97">
        <w:rPr>
          <w:rFonts w:eastAsia="Times New Roman" w:cs="Times New Roman"/>
          <w:color w:val="auto"/>
        </w:rPr>
        <w:t>el Recurso de Revisión que nos ocupa; acto que fue notificado a las partes, mediante</w:t>
      </w:r>
      <w:r>
        <w:rPr>
          <w:rFonts w:eastAsia="Times New Roman" w:cs="Times New Roman"/>
          <w:color w:val="auto"/>
        </w:rPr>
        <w:t xml:space="preserve"> </w:t>
      </w:r>
      <w:r w:rsidRPr="00412B97">
        <w:rPr>
          <w:rFonts w:eastAsia="Times New Roman" w:cs="Times New Roman"/>
          <w:color w:val="auto"/>
        </w:rPr>
        <w:t>correo electrónico, el veintiséis de marzo del año en curso.</w:t>
      </w:r>
    </w:p>
    <w:p w14:paraId="71632DDE" w14:textId="77777777" w:rsidR="00412B97" w:rsidRDefault="00412B97" w:rsidP="00A62148">
      <w:pPr>
        <w:widowControl w:val="0"/>
        <w:spacing w:after="0" w:line="360" w:lineRule="auto"/>
        <w:rPr>
          <w:rStyle w:val="Ttulo3Car"/>
          <w:color w:val="auto"/>
        </w:rPr>
      </w:pPr>
      <w:bookmarkStart w:id="24" w:name="_Toc190871544"/>
    </w:p>
    <w:p w14:paraId="35AAACA3" w14:textId="704064AD" w:rsidR="00EC77D9" w:rsidRPr="00CE2118" w:rsidRDefault="00412B97" w:rsidP="00A62148">
      <w:pPr>
        <w:widowControl w:val="0"/>
        <w:spacing w:after="0" w:line="360" w:lineRule="auto"/>
        <w:rPr>
          <w:rFonts w:eastAsia="Times New Roman" w:cs="Tahoma"/>
          <w:color w:val="auto"/>
          <w:lang w:eastAsia="es-ES"/>
        </w:rPr>
      </w:pPr>
      <w:bookmarkStart w:id="25" w:name="_Toc195200359"/>
      <w:r>
        <w:rPr>
          <w:rStyle w:val="Ttulo3Car"/>
          <w:color w:val="auto"/>
        </w:rPr>
        <w:t>h</w:t>
      </w:r>
      <w:r w:rsidR="00EC77D9" w:rsidRPr="00CE2118">
        <w:rPr>
          <w:rStyle w:val="Ttulo3Car"/>
          <w:color w:val="auto"/>
        </w:rPr>
        <w:t>) Cierre de instrucción</w:t>
      </w:r>
      <w:bookmarkEnd w:id="24"/>
      <w:bookmarkEnd w:id="25"/>
      <w:r w:rsidR="00EC77D9" w:rsidRPr="00CE2118">
        <w:rPr>
          <w:rFonts w:eastAsia="Times New Roman" w:cs="Tahoma"/>
          <w:b/>
          <w:color w:val="auto"/>
          <w:lang w:eastAsia="es-ES"/>
        </w:rPr>
        <w:t>.</w:t>
      </w:r>
      <w:r w:rsidR="00EC77D9" w:rsidRPr="00CE2118">
        <w:rPr>
          <w:rFonts w:eastAsia="Times New Roman" w:cs="Tahoma"/>
          <w:color w:val="auto"/>
          <w:lang w:eastAsia="es-ES"/>
        </w:rPr>
        <w:t xml:space="preserve"> El </w:t>
      </w:r>
      <w:r w:rsidR="001B5A39">
        <w:rPr>
          <w:rFonts w:eastAsia="Times New Roman" w:cs="Tahoma"/>
          <w:color w:val="auto"/>
          <w:lang w:eastAsia="es-ES"/>
        </w:rPr>
        <w:t>ocho</w:t>
      </w:r>
      <w:r w:rsidR="00DE0CC3" w:rsidRPr="00CE2118">
        <w:rPr>
          <w:rFonts w:eastAsia="Times New Roman" w:cs="Tahoma"/>
          <w:color w:val="auto"/>
          <w:lang w:eastAsia="es-ES"/>
        </w:rPr>
        <w:t xml:space="preserve"> de abril </w:t>
      </w:r>
      <w:r w:rsidR="008A43FC" w:rsidRPr="00CE2118">
        <w:rPr>
          <w:rFonts w:eastAsia="Times New Roman" w:cs="Tahoma"/>
          <w:color w:val="auto"/>
          <w:lang w:eastAsia="es-ES"/>
        </w:rPr>
        <w:t xml:space="preserve">de dos mil veinticinco, </w:t>
      </w:r>
      <w:r w:rsidR="00EC77D9" w:rsidRPr="00CE2118">
        <w:rPr>
          <w:rFonts w:eastAsia="Times New Roman" w:cs="Tahoma"/>
          <w:color w:val="auto"/>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CE2118">
        <w:rPr>
          <w:rFonts w:eastAsia="Times New Roman" w:cs="Tahoma"/>
          <w:color w:val="auto"/>
          <w:lang w:eastAsia="es-ES"/>
        </w:rPr>
        <w:t>mismo día</w:t>
      </w:r>
      <w:r w:rsidR="00EC77D9" w:rsidRPr="00CE2118">
        <w:rPr>
          <w:rFonts w:eastAsia="Times New Roman" w:cs="Tahoma"/>
          <w:color w:val="auto"/>
          <w:lang w:eastAsia="es-ES"/>
        </w:rPr>
        <w:t xml:space="preserve">, a través del </w:t>
      </w:r>
      <w:r w:rsidR="00EC77D9" w:rsidRPr="00CE2118">
        <w:rPr>
          <w:rFonts w:eastAsia="Times New Roman" w:cs="Tahoma"/>
          <w:color w:val="auto"/>
          <w:lang w:val="es-ES" w:eastAsia="es-ES"/>
        </w:rPr>
        <w:t>Sistema de Acceso a la Información Mexiquense (SAIMEX)</w:t>
      </w:r>
      <w:r w:rsidR="00EC77D9" w:rsidRPr="00CE2118">
        <w:rPr>
          <w:rFonts w:eastAsia="Times New Roman" w:cs="Tahoma"/>
          <w:color w:val="auto"/>
          <w:lang w:eastAsia="es-ES"/>
        </w:rPr>
        <w:t xml:space="preserve">. </w:t>
      </w:r>
    </w:p>
    <w:p w14:paraId="5AB5C251" w14:textId="77777777" w:rsidR="00232DCC" w:rsidRPr="00CE2118" w:rsidRDefault="00232DCC" w:rsidP="00A62148">
      <w:pPr>
        <w:spacing w:after="0" w:line="360" w:lineRule="auto"/>
        <w:rPr>
          <w:rFonts w:eastAsia="Times New Roman" w:cs="Tahoma"/>
          <w:color w:val="FF0000"/>
          <w:lang w:eastAsia="es-ES"/>
        </w:rPr>
      </w:pPr>
    </w:p>
    <w:p w14:paraId="77C7A5C4" w14:textId="77777777" w:rsidR="00EC77D9" w:rsidRPr="00CE2118" w:rsidRDefault="00EC77D9" w:rsidP="00A62148">
      <w:pPr>
        <w:spacing w:after="0" w:line="360" w:lineRule="auto"/>
        <w:rPr>
          <w:rFonts w:eastAsia="Times New Roman" w:cs="Tahoma"/>
          <w:color w:val="auto"/>
          <w:lang w:eastAsia="es-ES"/>
        </w:rPr>
      </w:pPr>
      <w:r w:rsidRPr="00CE2118">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CE2118" w:rsidRDefault="008E4F87" w:rsidP="00A62148">
      <w:pPr>
        <w:spacing w:after="0" w:line="360" w:lineRule="auto"/>
        <w:rPr>
          <w:rFonts w:eastAsia="Times New Roman" w:cs="Tahoma"/>
          <w:bCs/>
          <w:iCs/>
          <w:color w:val="auto"/>
          <w:lang w:val="es-ES" w:eastAsia="es-ES"/>
        </w:rPr>
      </w:pPr>
    </w:p>
    <w:p w14:paraId="4B442488" w14:textId="652AEB0D" w:rsidR="00EC77D9" w:rsidRPr="008A43FC" w:rsidRDefault="007B0D14" w:rsidP="008D4BF2">
      <w:pPr>
        <w:pStyle w:val="Ttulo1"/>
        <w:rPr>
          <w:rFonts w:eastAsia="Times New Roman"/>
          <w:color w:val="auto"/>
          <w:lang w:val="es-ES" w:eastAsia="es-ES"/>
        </w:rPr>
      </w:pPr>
      <w:bookmarkStart w:id="26" w:name="_Toc190871545"/>
      <w:bookmarkStart w:id="27" w:name="_Toc195200360"/>
      <w:r w:rsidRPr="00CE2118">
        <w:rPr>
          <w:rFonts w:eastAsia="Times New Roman"/>
          <w:color w:val="auto"/>
          <w:lang w:val="es-ES" w:eastAsia="es-ES"/>
        </w:rPr>
        <w:t>C O N S I D E R A N D O S</w:t>
      </w:r>
      <w:bookmarkEnd w:id="26"/>
      <w:bookmarkEnd w:id="27"/>
    </w:p>
    <w:p w14:paraId="7A8CFE1B" w14:textId="77777777" w:rsidR="008E4F87" w:rsidRPr="00EE1394" w:rsidRDefault="008E4F87" w:rsidP="00A62148">
      <w:pPr>
        <w:spacing w:after="0" w:line="360" w:lineRule="auto"/>
        <w:jc w:val="center"/>
        <w:rPr>
          <w:rFonts w:eastAsia="Times New Roman" w:cs="Tahoma"/>
          <w:b/>
          <w:color w:val="FF0000"/>
          <w:lang w:val="es-ES" w:eastAsia="es-ES"/>
        </w:rPr>
      </w:pPr>
    </w:p>
    <w:p w14:paraId="2B2C70F6" w14:textId="5C1317CA" w:rsidR="00EC77D9" w:rsidRPr="008A43FC" w:rsidRDefault="00EC77D9" w:rsidP="008D4BF2">
      <w:pPr>
        <w:pStyle w:val="Ttulo2"/>
        <w:rPr>
          <w:rFonts w:eastAsia="Times New Roman"/>
          <w:color w:val="auto"/>
          <w:lang w:val="es-ES" w:eastAsia="es-ES"/>
        </w:rPr>
      </w:pPr>
      <w:bookmarkStart w:id="28" w:name="_Toc190871546"/>
      <w:bookmarkStart w:id="29" w:name="_Toc195200361"/>
      <w:r w:rsidRPr="008A43FC">
        <w:rPr>
          <w:rFonts w:eastAsia="Calibri"/>
          <w:color w:val="auto"/>
          <w:lang w:val="es-ES" w:eastAsia="es-MX"/>
        </w:rPr>
        <w:lastRenderedPageBreak/>
        <w:t xml:space="preserve">PRIMERO. </w:t>
      </w:r>
      <w:r w:rsidR="007B0D14" w:rsidRPr="008A43FC">
        <w:rPr>
          <w:rFonts w:eastAsia="Times New Roman"/>
          <w:color w:val="auto"/>
          <w:lang w:val="es-ES" w:eastAsia="es-ES"/>
        </w:rPr>
        <w:t>Competencia</w:t>
      </w:r>
      <w:bookmarkEnd w:id="28"/>
      <w:bookmarkEnd w:id="29"/>
    </w:p>
    <w:p w14:paraId="62F65765" w14:textId="77777777" w:rsidR="00EC77D9" w:rsidRPr="008A43FC" w:rsidRDefault="00EC77D9" w:rsidP="00A62148">
      <w:pPr>
        <w:autoSpaceDE w:val="0"/>
        <w:autoSpaceDN w:val="0"/>
        <w:adjustRightInd w:val="0"/>
        <w:spacing w:after="0" w:line="360" w:lineRule="auto"/>
        <w:rPr>
          <w:rFonts w:eastAsia="Times New Roman" w:cs="Tahoma"/>
          <w:b/>
          <w:color w:val="auto"/>
          <w:lang w:val="es-ES" w:eastAsia="es-ES"/>
        </w:rPr>
      </w:pPr>
    </w:p>
    <w:p w14:paraId="1F83A937" w14:textId="3A395F21" w:rsidR="00EC77D9" w:rsidRPr="008A43FC" w:rsidRDefault="00EC77D9" w:rsidP="00A62148">
      <w:pPr>
        <w:spacing w:after="0" w:line="360" w:lineRule="auto"/>
        <w:rPr>
          <w:rFonts w:eastAsia="Times New Roman" w:cs="Tahoma"/>
          <w:bCs/>
          <w:color w:val="auto"/>
          <w:lang w:eastAsia="es-ES"/>
        </w:rPr>
      </w:pPr>
      <w:bookmarkStart w:id="30" w:name="_Hlk63334754"/>
      <w:r w:rsidRPr="008A43FC">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8A43FC">
        <w:rPr>
          <w:rFonts w:eastAsia="Times New Roman" w:cs="Tahoma"/>
          <w:bCs/>
          <w:color w:val="auto"/>
          <w:lang w:eastAsia="es-ES"/>
        </w:rPr>
        <w:t>ersona</w:t>
      </w:r>
      <w:r w:rsidRPr="008A43FC">
        <w:rPr>
          <w:rFonts w:eastAsia="Times New Roman" w:cs="Tahoma"/>
          <w:bCs/>
          <w:color w:val="auto"/>
          <w:lang w:eastAsia="es-ES"/>
        </w:rPr>
        <w:t xml:space="preserve"> recurrente, conforme a lo dispuesto en los artículos 5°, párrafos</w:t>
      </w:r>
      <w:r w:rsidR="00B12193" w:rsidRPr="008A43FC">
        <w:rPr>
          <w:rFonts w:eastAsia="Times New Roman" w:cs="Tahoma"/>
          <w:bCs/>
          <w:color w:val="auto"/>
          <w:lang w:eastAsia="es-ES"/>
        </w:rPr>
        <w:t xml:space="preserve"> trigésimo </w:t>
      </w:r>
      <w:r w:rsidR="009F26A8">
        <w:rPr>
          <w:rFonts w:eastAsia="Times New Roman" w:cs="Tahoma"/>
          <w:bCs/>
          <w:color w:val="auto"/>
          <w:lang w:eastAsia="es-ES"/>
        </w:rPr>
        <w:t>séptimo</w:t>
      </w:r>
      <w:r w:rsidR="00B12193" w:rsidRPr="008A43FC">
        <w:rPr>
          <w:rFonts w:eastAsia="Times New Roman" w:cs="Tahoma"/>
          <w:bCs/>
          <w:color w:val="auto"/>
          <w:lang w:eastAsia="es-ES"/>
        </w:rPr>
        <w:t xml:space="preserve">, trigésimo </w:t>
      </w:r>
      <w:r w:rsidR="009F26A8">
        <w:rPr>
          <w:rFonts w:eastAsia="Times New Roman" w:cs="Tahoma"/>
          <w:bCs/>
          <w:color w:val="auto"/>
          <w:lang w:eastAsia="es-ES"/>
        </w:rPr>
        <w:t>octavo</w:t>
      </w:r>
      <w:r w:rsidR="00B12193" w:rsidRPr="008A43FC">
        <w:rPr>
          <w:rFonts w:eastAsia="Times New Roman" w:cs="Tahoma"/>
          <w:bCs/>
          <w:color w:val="auto"/>
          <w:lang w:eastAsia="es-ES"/>
        </w:rPr>
        <w:t xml:space="preserve"> y trigésimo </w:t>
      </w:r>
      <w:r w:rsidR="009F26A8">
        <w:rPr>
          <w:rFonts w:eastAsia="Times New Roman" w:cs="Tahoma"/>
          <w:bCs/>
          <w:color w:val="auto"/>
          <w:lang w:eastAsia="es-ES"/>
        </w:rPr>
        <w:t>noveno</w:t>
      </w:r>
      <w:r w:rsidRPr="008A43FC">
        <w:rPr>
          <w:rFonts w:eastAsia="Times New Roman" w:cs="Tahoma"/>
          <w:bCs/>
          <w:color w:val="auto"/>
          <w:lang w:eastAsia="es-ES"/>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8A43FC">
        <w:rPr>
          <w:rFonts w:eastAsia="Times New Roman" w:cs="Times New Roman"/>
          <w:bCs/>
          <w:color w:val="auto"/>
          <w:lang w:eastAsia="es-ES"/>
        </w:rPr>
        <w:t xml:space="preserve"> 7°, </w:t>
      </w:r>
      <w:r w:rsidR="00ED609B" w:rsidRPr="008A43FC">
        <w:rPr>
          <w:rFonts w:eastAsia="Times New Roman" w:cs="Tahoma"/>
          <w:bCs/>
          <w:color w:val="auto"/>
          <w:lang w:eastAsia="es-ES"/>
        </w:rPr>
        <w:t>9°, fracciones I y XXIII</w:t>
      </w:r>
      <w:r w:rsidRPr="008A43FC">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30"/>
    </w:p>
    <w:p w14:paraId="18FF6F8F" w14:textId="77777777" w:rsidR="00EC77D9" w:rsidRPr="008A43FC" w:rsidRDefault="00EC77D9" w:rsidP="00A62148">
      <w:pPr>
        <w:spacing w:after="0" w:line="360" w:lineRule="auto"/>
        <w:rPr>
          <w:color w:val="auto"/>
        </w:rPr>
      </w:pPr>
    </w:p>
    <w:p w14:paraId="1A678CDB" w14:textId="5D9B0AE3" w:rsidR="00EC77D9" w:rsidRPr="008A43FC" w:rsidRDefault="00EC77D9" w:rsidP="008D4BF2">
      <w:pPr>
        <w:pStyle w:val="Ttulo2"/>
        <w:rPr>
          <w:rFonts w:eastAsia="Times New Roman"/>
          <w:color w:val="auto"/>
          <w:lang w:val="es-ES" w:eastAsia="es-ES"/>
        </w:rPr>
      </w:pPr>
      <w:bookmarkStart w:id="31" w:name="_Toc190871547"/>
      <w:bookmarkStart w:id="32" w:name="_Toc195200362"/>
      <w:r w:rsidRPr="008A43FC">
        <w:rPr>
          <w:rFonts w:eastAsia="Calibri"/>
          <w:color w:val="auto"/>
          <w:lang w:val="es-ES" w:eastAsia="es-MX"/>
        </w:rPr>
        <w:t xml:space="preserve">SEGUNDO. </w:t>
      </w:r>
      <w:r w:rsidRPr="008A43FC">
        <w:rPr>
          <w:rFonts w:eastAsia="Times New Roman"/>
          <w:color w:val="auto"/>
          <w:lang w:val="es-ES" w:eastAsia="es-ES"/>
        </w:rPr>
        <w:t>Causales de</w:t>
      </w:r>
      <w:r w:rsidR="007B0D14" w:rsidRPr="008A43FC">
        <w:rPr>
          <w:rFonts w:eastAsia="Times New Roman"/>
          <w:color w:val="auto"/>
          <w:lang w:val="es-ES" w:eastAsia="es-ES"/>
        </w:rPr>
        <w:t xml:space="preserve"> improcedencia y sobreseimiento</w:t>
      </w:r>
      <w:bookmarkEnd w:id="31"/>
      <w:bookmarkEnd w:id="32"/>
    </w:p>
    <w:p w14:paraId="53A4CC85" w14:textId="77777777" w:rsidR="007F20F1" w:rsidRPr="008A43FC" w:rsidRDefault="007F20F1" w:rsidP="00A62148">
      <w:pPr>
        <w:autoSpaceDE w:val="0"/>
        <w:autoSpaceDN w:val="0"/>
        <w:adjustRightInd w:val="0"/>
        <w:spacing w:after="0" w:line="360" w:lineRule="auto"/>
        <w:rPr>
          <w:rFonts w:eastAsia="Times New Roman" w:cs="Tahoma"/>
          <w:color w:val="auto"/>
          <w:lang w:val="es-ES" w:eastAsia="es-ES"/>
        </w:rPr>
      </w:pPr>
    </w:p>
    <w:p w14:paraId="5E0147CF" w14:textId="77777777" w:rsidR="00EC77D9" w:rsidRPr="008A43FC" w:rsidRDefault="00EC77D9" w:rsidP="00A62148">
      <w:pPr>
        <w:autoSpaceDE w:val="0"/>
        <w:autoSpaceDN w:val="0"/>
        <w:adjustRightInd w:val="0"/>
        <w:spacing w:after="0" w:line="360" w:lineRule="auto"/>
        <w:rPr>
          <w:rFonts w:eastAsia="Times New Roman" w:cs="Tahoma"/>
          <w:color w:val="auto"/>
          <w:lang w:val="es-ES" w:eastAsia="es-ES"/>
        </w:rPr>
      </w:pPr>
      <w:r w:rsidRPr="008A43FC">
        <w:rPr>
          <w:rFonts w:eastAsia="Times New Roman" w:cs="Tahoma"/>
          <w:color w:val="auto"/>
          <w:lang w:val="es-ES" w:eastAsia="es-ES"/>
        </w:rPr>
        <w:t xml:space="preserve">De las constancias que forma parte del Recurso de Revisión que se analiza, se advierte que previo al estudio del fondo de la </w:t>
      </w:r>
      <w:r w:rsidRPr="008A43FC">
        <w:rPr>
          <w:rFonts w:eastAsia="Times New Roman" w:cs="Tahoma"/>
          <w:i/>
          <w:color w:val="auto"/>
          <w:lang w:val="es-ES" w:eastAsia="es-ES"/>
        </w:rPr>
        <w:t>litis</w:t>
      </w:r>
      <w:r w:rsidRPr="008A43FC">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8A43FC" w:rsidRDefault="00EC77D9" w:rsidP="00A62148">
      <w:pPr>
        <w:autoSpaceDE w:val="0"/>
        <w:autoSpaceDN w:val="0"/>
        <w:adjustRightInd w:val="0"/>
        <w:spacing w:after="0" w:line="360" w:lineRule="auto"/>
        <w:rPr>
          <w:rFonts w:eastAsia="Times New Roman" w:cs="Tahoma"/>
          <w:color w:val="auto"/>
          <w:lang w:val="es-ES" w:eastAsia="es-ES"/>
        </w:rPr>
      </w:pPr>
    </w:p>
    <w:p w14:paraId="3B9478FB" w14:textId="77777777" w:rsidR="00EC77D9" w:rsidRPr="008A43FC" w:rsidRDefault="00EC77D9" w:rsidP="00A62148">
      <w:pPr>
        <w:spacing w:after="0" w:line="360" w:lineRule="auto"/>
        <w:rPr>
          <w:b/>
          <w:color w:val="auto"/>
          <w:lang w:val="es-ES"/>
        </w:rPr>
      </w:pPr>
      <w:r w:rsidRPr="008A43FC">
        <w:rPr>
          <w:b/>
          <w:color w:val="auto"/>
          <w:lang w:val="es-ES"/>
        </w:rPr>
        <w:t>Causales de improcedencia</w:t>
      </w:r>
    </w:p>
    <w:p w14:paraId="49F1FD7D" w14:textId="77777777" w:rsidR="00EC77D9" w:rsidRPr="008A43FC" w:rsidRDefault="00EC77D9" w:rsidP="00A62148">
      <w:pPr>
        <w:spacing w:after="0" w:line="360" w:lineRule="auto"/>
        <w:rPr>
          <w:color w:val="auto"/>
        </w:rPr>
      </w:pPr>
    </w:p>
    <w:p w14:paraId="16D4B38A" w14:textId="77777777" w:rsidR="00EC1C03" w:rsidRPr="008A43FC" w:rsidRDefault="00EC1C03" w:rsidP="00A62148">
      <w:pPr>
        <w:spacing w:after="0" w:line="360" w:lineRule="auto"/>
        <w:rPr>
          <w:color w:val="auto"/>
        </w:rPr>
      </w:pPr>
      <w:r w:rsidRPr="008A43FC">
        <w:rPr>
          <w:color w:val="auto"/>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8A43FC">
        <w:rPr>
          <w:color w:val="auto"/>
        </w:rPr>
        <w:lastRenderedPageBreak/>
        <w:t>actualice alguno de los supuestos establecidos en el artículo 191 de la Ley de Transparencia y Acceso a la Información Pública del Estado de México y Municipios, por ser improcedente.</w:t>
      </w:r>
    </w:p>
    <w:p w14:paraId="78F86E3A" w14:textId="77777777" w:rsidR="00EC1C03" w:rsidRPr="008A43FC" w:rsidRDefault="00EC1C03" w:rsidP="00A62148">
      <w:pPr>
        <w:spacing w:after="0" w:line="360" w:lineRule="auto"/>
        <w:rPr>
          <w:color w:val="auto"/>
        </w:rPr>
      </w:pPr>
    </w:p>
    <w:p w14:paraId="6DA990A4" w14:textId="77777777" w:rsidR="00EC1C03" w:rsidRPr="008A43FC" w:rsidRDefault="00EC1C03" w:rsidP="00A62148">
      <w:pPr>
        <w:spacing w:after="0" w:line="360" w:lineRule="auto"/>
        <w:rPr>
          <w:color w:val="auto"/>
        </w:rPr>
      </w:pPr>
      <w:r w:rsidRPr="008A43FC">
        <w:rPr>
          <w:color w:val="auto"/>
        </w:rPr>
        <w:t>En el presente caso, </w:t>
      </w:r>
      <w:r w:rsidRPr="008A43FC">
        <w:rPr>
          <w:b/>
          <w:color w:val="auto"/>
        </w:rPr>
        <w:t>no se actualiza ninguna de las causales de improcedencia</w:t>
      </w:r>
      <w:r w:rsidRPr="008A43FC">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8A43FC" w:rsidRDefault="00EC1C03" w:rsidP="00A62148">
      <w:pPr>
        <w:spacing w:after="0" w:line="360" w:lineRule="auto"/>
        <w:rPr>
          <w:color w:val="auto"/>
        </w:rPr>
      </w:pPr>
    </w:p>
    <w:p w14:paraId="09400D35" w14:textId="7CFDCEE4" w:rsidR="00DD5123" w:rsidRPr="008A43FC" w:rsidRDefault="00EC1C03" w:rsidP="00A62148">
      <w:pPr>
        <w:spacing w:after="0" w:line="360" w:lineRule="auto"/>
        <w:rPr>
          <w:rFonts w:eastAsia="Calibri" w:cs="Tahoma"/>
          <w:color w:val="auto"/>
        </w:rPr>
      </w:pPr>
      <w:r w:rsidRPr="008A43FC">
        <w:rPr>
          <w:rFonts w:eastAsia="Times New Roman" w:cs="Tahoma"/>
          <w:color w:val="auto"/>
          <w:lang w:eastAsia="es-ES"/>
        </w:rPr>
        <w:t>Asimismo, se actualiza la causal de procedencia del Recurso de Revisión señalada en el artículo 179, fracción V</w:t>
      </w:r>
      <w:r w:rsidR="00F622DA" w:rsidRPr="008A43FC">
        <w:rPr>
          <w:rFonts w:eastAsia="Times New Roman" w:cs="Tahoma"/>
          <w:color w:val="auto"/>
          <w:lang w:eastAsia="es-ES"/>
        </w:rPr>
        <w:t>I</w:t>
      </w:r>
      <w:r w:rsidRPr="008A43FC">
        <w:rPr>
          <w:rFonts w:eastAsia="Times New Roman" w:cs="Tahoma"/>
          <w:color w:val="auto"/>
          <w:lang w:eastAsia="es-ES"/>
        </w:rPr>
        <w:t xml:space="preserve">, de la Ley en cita, </w:t>
      </w:r>
      <w:r w:rsidRPr="008A43FC">
        <w:rPr>
          <w:rFonts w:eastAsia="Calibri" w:cs="Tahoma"/>
          <w:color w:val="auto"/>
        </w:rPr>
        <w:t>pues la persona Recurrente se inconformó con la e</w:t>
      </w:r>
      <w:r w:rsidR="003D3877" w:rsidRPr="008A43FC">
        <w:rPr>
          <w:rFonts w:eastAsia="Calibri" w:cs="Tahoma"/>
          <w:color w:val="auto"/>
        </w:rPr>
        <w:t xml:space="preserve">ntrega de información </w:t>
      </w:r>
      <w:r w:rsidR="00F622DA" w:rsidRPr="008A43FC">
        <w:rPr>
          <w:rFonts w:eastAsia="Calibri" w:cs="Tahoma"/>
          <w:color w:val="auto"/>
        </w:rPr>
        <w:t>que no corresponde con lo solicitado.</w:t>
      </w:r>
    </w:p>
    <w:p w14:paraId="087490CC" w14:textId="77777777" w:rsidR="00EC1C03" w:rsidRPr="008A43FC" w:rsidRDefault="00EC1C03" w:rsidP="00A62148">
      <w:pPr>
        <w:spacing w:after="0" w:line="360" w:lineRule="auto"/>
        <w:rPr>
          <w:rFonts w:eastAsia="Calibri" w:cs="Tahoma"/>
          <w:color w:val="auto"/>
        </w:rPr>
      </w:pPr>
    </w:p>
    <w:p w14:paraId="7B14536E" w14:textId="4B990C79" w:rsidR="00EC77D9" w:rsidRPr="008A43FC" w:rsidRDefault="00DD65EE" w:rsidP="004B4BCC">
      <w:pPr>
        <w:pStyle w:val="Ttulo1"/>
        <w:jc w:val="left"/>
        <w:rPr>
          <w:rFonts w:eastAsia="Times New Roman"/>
          <w:lang w:eastAsia="es-ES"/>
        </w:rPr>
      </w:pPr>
      <w:r>
        <w:rPr>
          <w:rFonts w:eastAsia="Times New Roman"/>
          <w:lang w:eastAsia="es-ES"/>
        </w:rPr>
        <w:t xml:space="preserve"> </w:t>
      </w:r>
      <w:bookmarkStart w:id="33" w:name="_Toc195200363"/>
      <w:r>
        <w:rPr>
          <w:rFonts w:eastAsia="Times New Roman"/>
          <w:lang w:eastAsia="es-ES"/>
        </w:rPr>
        <w:t xml:space="preserve">TERCERO. </w:t>
      </w:r>
      <w:r w:rsidR="00EC77D9" w:rsidRPr="008A43FC">
        <w:rPr>
          <w:rFonts w:eastAsia="Times New Roman"/>
          <w:lang w:eastAsia="es-ES"/>
        </w:rPr>
        <w:t>Causales de sobreseimiento</w:t>
      </w:r>
      <w:bookmarkEnd w:id="33"/>
    </w:p>
    <w:p w14:paraId="535575C5" w14:textId="77777777" w:rsidR="008E4F87" w:rsidRPr="008A43FC" w:rsidRDefault="008E4F87" w:rsidP="00A62148">
      <w:pPr>
        <w:spacing w:after="0" w:line="360" w:lineRule="auto"/>
        <w:rPr>
          <w:rFonts w:eastAsia="Times New Roman" w:cs="Tahoma"/>
          <w:bCs/>
          <w:color w:val="auto"/>
          <w:lang w:eastAsia="es-ES"/>
        </w:rPr>
      </w:pPr>
    </w:p>
    <w:p w14:paraId="63CB641D" w14:textId="21D3BF0F" w:rsidR="006607EA" w:rsidRPr="008A43FC" w:rsidRDefault="00EC77D9" w:rsidP="00A62148">
      <w:pPr>
        <w:spacing w:after="0" w:line="360" w:lineRule="auto"/>
        <w:rPr>
          <w:rFonts w:eastAsia="Times New Roman" w:cs="Tahoma"/>
          <w:bCs/>
          <w:color w:val="auto"/>
          <w:lang w:eastAsia="es-ES"/>
        </w:rPr>
      </w:pPr>
      <w:r w:rsidRPr="008A43FC">
        <w:rPr>
          <w:rFonts w:eastAsia="Times New Roman" w:cs="Tahoma"/>
          <w:bCs/>
          <w:color w:val="auto"/>
          <w:lang w:eastAsia="es-ES"/>
        </w:rPr>
        <w:t>Por ser de previo y especial pronunciamiento, este Instituto analiza si se actualiza alguna causal de sobreseimiento.</w:t>
      </w:r>
      <w:r w:rsidR="00B61BF0" w:rsidRPr="008A43FC">
        <w:rPr>
          <w:rFonts w:eastAsia="Times New Roman" w:cs="Tahoma"/>
          <w:bCs/>
          <w:color w:val="auto"/>
          <w:lang w:eastAsia="es-ES"/>
        </w:rPr>
        <w:t xml:space="preserve"> </w:t>
      </w:r>
    </w:p>
    <w:p w14:paraId="1DA7DE69" w14:textId="77777777" w:rsidR="006607EA" w:rsidRPr="008A43FC" w:rsidRDefault="006607EA" w:rsidP="00A62148">
      <w:pPr>
        <w:spacing w:after="0" w:line="360" w:lineRule="auto"/>
        <w:rPr>
          <w:rFonts w:eastAsia="Times New Roman" w:cs="Tahoma"/>
          <w:bCs/>
          <w:color w:val="auto"/>
          <w:lang w:eastAsia="es-ES"/>
        </w:rPr>
      </w:pPr>
    </w:p>
    <w:p w14:paraId="19EDC06B" w14:textId="77777777" w:rsidR="00926253" w:rsidRDefault="00926253" w:rsidP="00A62148">
      <w:pPr>
        <w:spacing w:after="0" w:line="360" w:lineRule="auto"/>
      </w:pPr>
      <w:r>
        <w:t xml:space="preserve">El artículo 192 de la Ley Transparencia y Acceso a la Información Pública del Estado de México y Municipios, señala las causales por las cuales se puede sobreseer en todo </w:t>
      </w:r>
      <w:r w:rsidRPr="009F26A8">
        <w:rPr>
          <w:b/>
          <w:bCs/>
        </w:rPr>
        <w:t>o en parte</w:t>
      </w:r>
      <w:r>
        <w:t xml:space="preserve">, el Recurso de Revisión; así, del análisis realizado por este Instituto, se advierte que no se actualizan los supuestos de sobreseimiento previstos en las fracciones I, II, III y IV, del artículo en comento, lo anterior, en virtud de que no hay constancias en el expediente en que se actúa, de que el Recurrente se haya desistido del recurso, haya fallecido, el Sujeto Obligado haya modificado o revocado el Recurso de Revisión, o bien, sobreviniera alguna causal de improcedencia. </w:t>
      </w:r>
    </w:p>
    <w:p w14:paraId="5DA713EE" w14:textId="77777777" w:rsidR="00926253" w:rsidRDefault="00926253" w:rsidP="00A62148">
      <w:pPr>
        <w:spacing w:after="0" w:line="360" w:lineRule="auto"/>
      </w:pPr>
    </w:p>
    <w:p w14:paraId="4ACD5B8E" w14:textId="7142FE8E" w:rsidR="009E7021" w:rsidRDefault="00926253" w:rsidP="00A62148">
      <w:pPr>
        <w:spacing w:after="0" w:line="360" w:lineRule="auto"/>
      </w:pPr>
      <w:r>
        <w:t xml:space="preserve">Ahora bien, se procede analizar la fracción V, del artículo 192, de la Ley de la materia, es decir, que por cualquier motivo quede sin materia, para lo cual resulta conveniente precisar, que una vez realizado el estudio de las constancias que integran el expediente del Recurso de Revisión 01351/INFOEM/IP/RR/2025, se desprende que el Particular requirió, la manifestación de </w:t>
      </w:r>
      <w:r w:rsidR="009F26A8">
        <w:t>bienes de</w:t>
      </w:r>
      <w:r>
        <w:t xml:space="preserve"> todos los servidores públicos adscritos al Ayuntamiento de Toluca </w:t>
      </w:r>
      <w:r w:rsidR="009F26A8">
        <w:t>que ingresaron del primero al tres de enero de dos mil veinticuatro.</w:t>
      </w:r>
    </w:p>
    <w:p w14:paraId="44B5C26C" w14:textId="5B193078" w:rsidR="00BF5B49" w:rsidRDefault="00BF5B49" w:rsidP="00A62148">
      <w:pPr>
        <w:spacing w:after="0" w:line="360" w:lineRule="auto"/>
      </w:pPr>
      <w:r>
        <w:t xml:space="preserve">Al respecto, es importante señalar </w:t>
      </w:r>
      <w:r w:rsidR="009F26A8">
        <w:t>que,</w:t>
      </w:r>
      <w:r>
        <w:t xml:space="preserve"> en la página oficial de la Secretaría de la Contraloría, en el apartado de Declaración Patrimonial y de Intereses, precisa que dicha dependencia ofrece el portal </w:t>
      </w:r>
      <w:proofErr w:type="spellStart"/>
      <w:r w:rsidRPr="00BF5B49">
        <w:rPr>
          <w:b/>
        </w:rPr>
        <w:t>Decl@ranet</w:t>
      </w:r>
      <w:proofErr w:type="spellEnd"/>
      <w:r>
        <w:t>, con la finalidad de facilitar a los servidores públicos del Estado de México, presenten su Declaración de Situación Patrimonial, Declaración de Intereses o Posible Conflicto de Intereses y presentación de Constancia de Declaración Fiscal.</w:t>
      </w:r>
    </w:p>
    <w:p w14:paraId="2BFF1364" w14:textId="77777777" w:rsidR="00926253" w:rsidRDefault="00926253" w:rsidP="00A62148">
      <w:pPr>
        <w:spacing w:after="0" w:line="360" w:lineRule="auto"/>
        <w:rPr>
          <w:rFonts w:eastAsia="Times New Roman" w:cs="Tahoma"/>
          <w:bCs/>
          <w:color w:val="auto"/>
          <w:lang w:eastAsia="es-ES"/>
        </w:rPr>
      </w:pPr>
    </w:p>
    <w:p w14:paraId="61943411" w14:textId="41D328A8" w:rsidR="00BF5B49" w:rsidRDefault="00BF5B49" w:rsidP="00A62148">
      <w:pPr>
        <w:spacing w:after="0" w:line="360" w:lineRule="auto"/>
      </w:pPr>
      <w:r>
        <w:t xml:space="preserve">Además, que el díptico denominado “Sistema </w:t>
      </w:r>
      <w:proofErr w:type="spellStart"/>
      <w:r>
        <w:t>Declaranet</w:t>
      </w:r>
      <w:proofErr w:type="spellEnd"/>
      <w:r>
        <w:t xml:space="preserve">”, precisa que dicho sistema es administrado por la </w:t>
      </w:r>
      <w:r w:rsidRPr="00BF5B49">
        <w:rPr>
          <w:b/>
        </w:rPr>
        <w:t>Secretaría de la Contraloría,</w:t>
      </w:r>
      <w:r>
        <w:t xml:space="preserve"> y cuyo fin es los servidores públicos del Poder Ejecutivo y los ciento veinticinco Ayuntamientos, presenten su Manifestación de Bienes o Declaración Patrimonial.</w:t>
      </w:r>
    </w:p>
    <w:p w14:paraId="0962A51C" w14:textId="77777777" w:rsidR="00BF5B49" w:rsidRDefault="00BF5B49" w:rsidP="00A62148">
      <w:pPr>
        <w:spacing w:after="0" w:line="360" w:lineRule="auto"/>
      </w:pPr>
    </w:p>
    <w:p w14:paraId="2864CB7C" w14:textId="29D7A050" w:rsidR="00BF5B49" w:rsidRPr="00BF5B49" w:rsidRDefault="00BF5B49" w:rsidP="00A62148">
      <w:pPr>
        <w:spacing w:after="0" w:line="360" w:lineRule="auto"/>
        <w:rPr>
          <w:b/>
        </w:rPr>
      </w:pPr>
      <w:r>
        <w:t xml:space="preserve">Como se logra observar, el Sistema </w:t>
      </w:r>
      <w:proofErr w:type="spellStart"/>
      <w:r>
        <w:t>Decl@ranet</w:t>
      </w:r>
      <w:proofErr w:type="spellEnd"/>
      <w:r>
        <w:t xml:space="preserve">, es administrado y operado únicamente por la Secretaría de la Contraloría, por lo que, es la única dependencia que tiene acceso a las declaraciones presentadas por dicha plataforma; situación que se robustece con el Manual General de Organización de la </w:t>
      </w:r>
      <w:r w:rsidRPr="00BF5B49">
        <w:rPr>
          <w:b/>
        </w:rPr>
        <w:t>Secretaría de la Contraloría,</w:t>
      </w:r>
      <w:r>
        <w:t xml:space="preserve"> que precisa que dicha dependencia cuenta con diversas unidades administrativas para el ejercicio de sus funciones, entre las cuales se encuentra la </w:t>
      </w:r>
      <w:r w:rsidRPr="00BF5B49">
        <w:rPr>
          <w:b/>
        </w:rPr>
        <w:t>Dirección de Registro de Declaraciones y de Sanciones, encargada de realizar la recepción, registro y resguardo de las declaraciones de situación patrimonial de los servidores públicos de las Administraciones Públicas Estatal y Municipal.</w:t>
      </w:r>
    </w:p>
    <w:p w14:paraId="763612F1" w14:textId="77777777" w:rsidR="00BF5B49" w:rsidRDefault="00BF5B49" w:rsidP="00A62148">
      <w:pPr>
        <w:spacing w:after="0" w:line="360" w:lineRule="auto"/>
      </w:pPr>
    </w:p>
    <w:p w14:paraId="26F31FE2" w14:textId="7065558A" w:rsidR="009E6830" w:rsidRDefault="009E6830" w:rsidP="009E6830">
      <w:pPr>
        <w:spacing w:after="0" w:line="360" w:lineRule="auto"/>
      </w:pPr>
      <w:r>
        <w:t>Conforme a lo anterior, se logra vislumbrar que el Sujeto Obligado es notoriamente  incompetente para conocer de la información peticionada; al respecto, los artículos 49, fracción II, 53, fracción III y 167 de la Ley de Transparencia y Acceso a la Información Pública del Estado de México, se desprende que las Unidades de Transparencia son responsables de orientar a los particulares respecto de la dependencia, entidad u órgano que pudiera tener la información requerida, cuando la misma no sea competencia del sujeto obligado ante el cual se formule la solicitud de acceso.</w:t>
      </w:r>
    </w:p>
    <w:p w14:paraId="1CEBEECE" w14:textId="77777777" w:rsidR="009E6830" w:rsidRDefault="009E6830" w:rsidP="00A62148">
      <w:pPr>
        <w:spacing w:after="0" w:line="360" w:lineRule="auto"/>
      </w:pPr>
    </w:p>
    <w:p w14:paraId="22611769" w14:textId="77777777" w:rsidR="009E6830" w:rsidRPr="00BC1433" w:rsidRDefault="009E6830" w:rsidP="009E6830">
      <w:pPr>
        <w:widowControl w:val="0"/>
        <w:autoSpaceDE w:val="0"/>
        <w:autoSpaceDN w:val="0"/>
        <w:adjustRightInd w:val="0"/>
        <w:spacing w:after="0" w:line="360" w:lineRule="auto"/>
        <w:contextualSpacing/>
        <w:rPr>
          <w:color w:val="auto"/>
        </w:rPr>
      </w:pPr>
      <w:r w:rsidRPr="00BC1433">
        <w:rPr>
          <w:color w:val="auto"/>
        </w:rPr>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01CBE932" w14:textId="77777777" w:rsidR="009E6830" w:rsidRPr="00BC1433" w:rsidRDefault="009E6830" w:rsidP="009E6830">
      <w:pPr>
        <w:widowControl w:val="0"/>
        <w:autoSpaceDE w:val="0"/>
        <w:autoSpaceDN w:val="0"/>
        <w:adjustRightInd w:val="0"/>
        <w:spacing w:after="0" w:line="360" w:lineRule="auto"/>
        <w:contextualSpacing/>
        <w:rPr>
          <w:color w:val="auto"/>
        </w:rPr>
      </w:pPr>
    </w:p>
    <w:p w14:paraId="06BDD2AC" w14:textId="77777777" w:rsidR="009E6830" w:rsidRPr="00BC1433" w:rsidRDefault="009E6830" w:rsidP="009E6830">
      <w:pPr>
        <w:pStyle w:val="Prrafodelista"/>
        <w:widowControl w:val="0"/>
        <w:numPr>
          <w:ilvl w:val="0"/>
          <w:numId w:val="15"/>
        </w:numPr>
        <w:autoSpaceDE w:val="0"/>
        <w:autoSpaceDN w:val="0"/>
        <w:adjustRightInd w:val="0"/>
        <w:spacing w:after="0" w:line="360" w:lineRule="auto"/>
        <w:rPr>
          <w:color w:val="auto"/>
        </w:rPr>
      </w:pPr>
      <w:r w:rsidRPr="00BC1433">
        <w:rPr>
          <w:b/>
          <w:color w:val="auto"/>
        </w:rPr>
        <w:t>Competencia:</w:t>
      </w:r>
      <w:r w:rsidRPr="00BC1433">
        <w:rPr>
          <w:color w:val="auto"/>
        </w:rPr>
        <w:t xml:space="preserve"> La capacidad de una autoridad para conocer sobre una materia o asunto. </w:t>
      </w:r>
    </w:p>
    <w:p w14:paraId="3B47CA1B" w14:textId="77777777" w:rsidR="009E6830" w:rsidRPr="00BC1433" w:rsidRDefault="009E6830" w:rsidP="009E6830">
      <w:pPr>
        <w:pStyle w:val="Prrafodelista"/>
        <w:widowControl w:val="0"/>
        <w:numPr>
          <w:ilvl w:val="0"/>
          <w:numId w:val="15"/>
        </w:numPr>
        <w:autoSpaceDE w:val="0"/>
        <w:autoSpaceDN w:val="0"/>
        <w:adjustRightInd w:val="0"/>
        <w:spacing w:after="0" w:line="360" w:lineRule="auto"/>
        <w:rPr>
          <w:color w:val="auto"/>
        </w:rPr>
      </w:pPr>
      <w:r w:rsidRPr="00BC1433">
        <w:rPr>
          <w:b/>
          <w:color w:val="auto"/>
        </w:rPr>
        <w:t>Incompetencia:</w:t>
      </w:r>
      <w:r w:rsidRPr="00BC1433">
        <w:rPr>
          <w:color w:val="auto"/>
        </w:rPr>
        <w:t xml:space="preserve"> Falta de Competencia.</w:t>
      </w:r>
    </w:p>
    <w:p w14:paraId="4C21526D" w14:textId="77777777" w:rsidR="009E6830" w:rsidRPr="00BC1433" w:rsidRDefault="009E6830" w:rsidP="009E6830">
      <w:pPr>
        <w:widowControl w:val="0"/>
        <w:autoSpaceDE w:val="0"/>
        <w:autoSpaceDN w:val="0"/>
        <w:adjustRightInd w:val="0"/>
        <w:spacing w:after="0" w:line="360" w:lineRule="auto"/>
        <w:contextualSpacing/>
        <w:rPr>
          <w:rFonts w:eastAsia="Times New Roman" w:cs="Times New Roman"/>
          <w:color w:val="auto"/>
          <w:lang w:eastAsia="es-ES"/>
        </w:rPr>
      </w:pPr>
    </w:p>
    <w:p w14:paraId="35640E58" w14:textId="77777777" w:rsidR="009E6830" w:rsidRPr="00BC1433" w:rsidRDefault="009E6830" w:rsidP="009E6830">
      <w:pPr>
        <w:widowControl w:val="0"/>
        <w:autoSpaceDE w:val="0"/>
        <w:autoSpaceDN w:val="0"/>
        <w:adjustRightInd w:val="0"/>
        <w:spacing w:after="0" w:line="360" w:lineRule="auto"/>
        <w:contextualSpacing/>
        <w:rPr>
          <w:color w:val="auto"/>
        </w:rPr>
      </w:pPr>
      <w:r w:rsidRPr="00BC1433">
        <w:rPr>
          <w:color w:val="auto"/>
        </w:rPr>
        <w:t>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w:t>
      </w:r>
    </w:p>
    <w:p w14:paraId="5A870B47" w14:textId="77777777" w:rsidR="009E6830" w:rsidRPr="00BC1433" w:rsidRDefault="009E6830" w:rsidP="009E6830">
      <w:pPr>
        <w:widowControl w:val="0"/>
        <w:autoSpaceDE w:val="0"/>
        <w:autoSpaceDN w:val="0"/>
        <w:adjustRightInd w:val="0"/>
        <w:spacing w:after="0" w:line="360" w:lineRule="auto"/>
        <w:contextualSpacing/>
        <w:rPr>
          <w:b/>
          <w:color w:val="auto"/>
        </w:rPr>
      </w:pPr>
    </w:p>
    <w:p w14:paraId="09C87D4F" w14:textId="77777777" w:rsidR="009E6830" w:rsidRPr="00BC1433" w:rsidRDefault="009E6830" w:rsidP="009E6830">
      <w:pPr>
        <w:spacing w:after="0" w:line="360" w:lineRule="auto"/>
        <w:ind w:left="567" w:right="567"/>
        <w:rPr>
          <w:rFonts w:eastAsia="Times New Roman" w:cs="Arial"/>
          <w:bCs/>
          <w:i/>
          <w:iCs/>
          <w:color w:val="auto"/>
          <w:sz w:val="20"/>
          <w:szCs w:val="20"/>
          <w:lang w:eastAsia="es-ES"/>
        </w:rPr>
      </w:pPr>
      <w:r w:rsidRPr="00BC1433">
        <w:rPr>
          <w:rFonts w:eastAsia="Times New Roman" w:cs="Arial"/>
          <w:b/>
          <w:bCs/>
          <w:i/>
          <w:iCs/>
          <w:color w:val="auto"/>
          <w:sz w:val="20"/>
          <w:szCs w:val="20"/>
          <w:lang w:eastAsia="es-ES"/>
        </w:rPr>
        <w:t>“LEGITIMACIÓN DE FUNCIONARIOS PÚBLICOS. LOS TRIBUNALES DE AMPARO, POR ESTAR VINCULADOS CON EL CONCEPTO DE COMPETENCIA A QUE SE REFIERE EL ARTÍCULO 16 CONSTITUCIONAL, NO PUEDEN CONOCER DE AQUÉLLA</w:t>
      </w:r>
      <w:r w:rsidRPr="00BC1433">
        <w:rPr>
          <w:rFonts w:eastAsia="Times New Roman" w:cs="Arial"/>
          <w:bCs/>
          <w:i/>
          <w:iCs/>
          <w:color w:val="auto"/>
          <w:sz w:val="20"/>
          <w:szCs w:val="20"/>
          <w:lang w:eastAsia="es-ES"/>
        </w:rPr>
        <w:t xml:space="preserve">. El artículo 16 constitucional se refiere a la competencia que tienen las autoridades </w:t>
      </w:r>
      <w:r w:rsidRPr="00BC1433">
        <w:rPr>
          <w:rFonts w:eastAsia="Times New Roman" w:cs="Arial"/>
          <w:bCs/>
          <w:i/>
          <w:iCs/>
          <w:color w:val="auto"/>
          <w:sz w:val="20"/>
          <w:szCs w:val="20"/>
          <w:lang w:eastAsia="es-ES"/>
        </w:rPr>
        <w:lastRenderedPageBreak/>
        <w:t>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6B7C035B" w14:textId="77777777" w:rsidR="009E6830" w:rsidRPr="00BC1433" w:rsidRDefault="009E6830" w:rsidP="009E6830">
      <w:pPr>
        <w:widowControl w:val="0"/>
        <w:autoSpaceDE w:val="0"/>
        <w:autoSpaceDN w:val="0"/>
        <w:adjustRightInd w:val="0"/>
        <w:spacing w:after="0" w:line="360" w:lineRule="auto"/>
        <w:contextualSpacing/>
        <w:rPr>
          <w:color w:val="auto"/>
        </w:rPr>
      </w:pPr>
    </w:p>
    <w:p w14:paraId="382835DD" w14:textId="3EB2E2A2" w:rsidR="009E6830" w:rsidRPr="00BC1433" w:rsidRDefault="009E6830" w:rsidP="009F26A8">
      <w:pPr>
        <w:widowControl w:val="0"/>
        <w:autoSpaceDE w:val="0"/>
        <w:autoSpaceDN w:val="0"/>
        <w:adjustRightInd w:val="0"/>
        <w:spacing w:after="0" w:line="360" w:lineRule="auto"/>
        <w:contextualSpacing/>
        <w:rPr>
          <w:color w:val="auto"/>
        </w:rPr>
      </w:pPr>
      <w:r w:rsidRPr="00BC1433">
        <w:rPr>
          <w:color w:val="auto"/>
        </w:rPr>
        <w:t xml:space="preserve">De la misma manera, resulta necesario traer a colación, el Criterio </w:t>
      </w:r>
      <w:r w:rsidR="009F26A8">
        <w:rPr>
          <w:color w:val="auto"/>
        </w:rPr>
        <w:t>Orientador</w:t>
      </w:r>
      <w:r w:rsidRPr="00BC1433">
        <w:rPr>
          <w:color w:val="auto"/>
        </w:rPr>
        <w:t xml:space="preserve">, de la Segunda Época, con número de registro SO/013/2017, emitido por el </w:t>
      </w:r>
      <w:r w:rsidR="009F26A8">
        <w:rPr>
          <w:color w:val="auto"/>
        </w:rPr>
        <w:t xml:space="preserve">entonces </w:t>
      </w:r>
      <w:r w:rsidRPr="00BC1433">
        <w:rPr>
          <w:color w:val="auto"/>
        </w:rPr>
        <w:t>Instituto Nacional de Transparencia, Acceso a la Información y Protección de Datos Personales,</w:t>
      </w:r>
      <w:r w:rsidR="009F26A8">
        <w:rPr>
          <w:color w:val="auto"/>
        </w:rPr>
        <w:t xml:space="preserve"> vigente a la fecha de la solicitud,</w:t>
      </w:r>
      <w:r w:rsidRPr="00BC1433">
        <w:rPr>
          <w:color w:val="auto"/>
        </w:rPr>
        <w:t xml:space="preserve"> </w:t>
      </w:r>
      <w:r w:rsidR="009F26A8">
        <w:rPr>
          <w:color w:val="auto"/>
        </w:rPr>
        <w:t xml:space="preserve">el cual establece que </w:t>
      </w:r>
      <w:r w:rsidRPr="00BC1433">
        <w:rPr>
          <w:color w:val="auto"/>
        </w:rPr>
        <w:t>la incompetencia implica que, de conformidad con las atribuciones conferidas al Sujeto Obligado, no habría razón por la cual éste deba contar con la información solicitada, en cuyo caso, tendría que orientar al particular para que acuda a la instancia competente. En otro orden de ideas, dicho concepto refiere a la ausencia de atribuciones por parte de los Entes sujetos a la Ley de Transparencia, para contar con la información que se requiere, es decir, se trata de una situación que se dilucida a partir de las facultades atribuidas a éste.</w:t>
      </w:r>
    </w:p>
    <w:p w14:paraId="22351294" w14:textId="77777777" w:rsidR="009E6830" w:rsidRDefault="009E6830" w:rsidP="00A62148">
      <w:pPr>
        <w:spacing w:after="0" w:line="360" w:lineRule="auto"/>
      </w:pPr>
    </w:p>
    <w:p w14:paraId="1381B0E6" w14:textId="6AB43B4F" w:rsidR="00BF5B49" w:rsidRDefault="00032D6B" w:rsidP="00A62148">
      <w:pPr>
        <w:spacing w:after="0" w:line="360" w:lineRule="auto"/>
      </w:pPr>
      <w:r>
        <w:t>Así, se logra observar que</w:t>
      </w:r>
      <w:r w:rsidR="009E6830">
        <w:t xml:space="preserve"> el Ayuntamiento de </w:t>
      </w:r>
      <w:r w:rsidR="009F26A8">
        <w:t>Toluca no</w:t>
      </w:r>
      <w:r w:rsidR="00A45587">
        <w:t xml:space="preserve"> tiene competencia para conocer de las declaraciones patrimoniales de los servidores públicos adscritos al mismo, pues</w:t>
      </w:r>
      <w:r w:rsidR="009E6830">
        <w:t xml:space="preserve"> el encargado de recibir, registrar y resguardar las declaraciones patrimoniales del Ayuntamiento </w:t>
      </w:r>
      <w:r w:rsidR="00B60B4F">
        <w:t>de Toluca</w:t>
      </w:r>
      <w:r w:rsidR="009E6830">
        <w:t>, es únicamente la Secretaría de la Contraloría</w:t>
      </w:r>
      <w:r w:rsidR="00A45587">
        <w:t>.</w:t>
      </w:r>
    </w:p>
    <w:p w14:paraId="0C269CD8" w14:textId="77777777" w:rsidR="004B4BCC" w:rsidRDefault="004B4BCC" w:rsidP="00A62148">
      <w:pPr>
        <w:spacing w:after="0" w:line="360" w:lineRule="auto"/>
      </w:pPr>
    </w:p>
    <w:p w14:paraId="5CCB96BC" w14:textId="046EC55A" w:rsidR="00BF5B49" w:rsidRDefault="00032D6B" w:rsidP="00A62148">
      <w:pPr>
        <w:spacing w:after="0" w:line="360" w:lineRule="auto"/>
        <w:rPr>
          <w:b/>
        </w:rPr>
      </w:pPr>
      <w:r>
        <w:rPr>
          <w:rFonts w:eastAsia="Times New Roman" w:cs="Tahoma"/>
          <w:bCs/>
          <w:color w:val="auto"/>
          <w:lang w:eastAsia="es-ES"/>
        </w:rPr>
        <w:t xml:space="preserve">Conforme a lo anterior, se logra vislumbrar que toda vez que la Secretaría de la Contraloría es la encargada de </w:t>
      </w:r>
      <w:r>
        <w:t xml:space="preserve">recibir y administrar las declaraciones patrimoniales de los servidores públicos municipales, la este punto de la solicitud de información </w:t>
      </w:r>
      <w:r>
        <w:rPr>
          <w:b/>
        </w:rPr>
        <w:t xml:space="preserve">RESULTA SER </w:t>
      </w:r>
      <w:r>
        <w:rPr>
          <w:b/>
        </w:rPr>
        <w:lastRenderedPageBreak/>
        <w:t xml:space="preserve">INATENDIBLE, </w:t>
      </w:r>
      <w:r>
        <w:t xml:space="preserve">pues en el presente caso, el Particular no va obtener ninguna información, al no haber sido generada y/o administrada por el Sujeto Obligado, o, </w:t>
      </w:r>
      <w:r w:rsidRPr="00032D6B">
        <w:rPr>
          <w:b/>
        </w:rPr>
        <w:t xml:space="preserve">por lo que, se considera que la impugnación </w:t>
      </w:r>
      <w:r>
        <w:rPr>
          <w:b/>
        </w:rPr>
        <w:t xml:space="preserve"> en relación con la manifestación de bienes de los servidores públicos adscritos al Ayuntamiento </w:t>
      </w:r>
      <w:r w:rsidRPr="00032D6B">
        <w:rPr>
          <w:b/>
        </w:rPr>
        <w:t xml:space="preserve"> ha quedado sin materia.</w:t>
      </w:r>
    </w:p>
    <w:p w14:paraId="393721E2" w14:textId="77777777" w:rsidR="00032D6B" w:rsidRDefault="00032D6B" w:rsidP="00A62148">
      <w:pPr>
        <w:spacing w:after="0" w:line="360" w:lineRule="auto"/>
        <w:rPr>
          <w:b/>
        </w:rPr>
      </w:pPr>
    </w:p>
    <w:p w14:paraId="5DF86D3F" w14:textId="29BC220B" w:rsidR="00032D6B" w:rsidRDefault="00032D6B" w:rsidP="00B60B4F">
      <w:pPr>
        <w:spacing w:after="0" w:line="360" w:lineRule="auto"/>
      </w:pPr>
      <w:r>
        <w:t xml:space="preserve">Por lo que, se considera procedente </w:t>
      </w:r>
      <w:r w:rsidRPr="00032D6B">
        <w:rPr>
          <w:b/>
        </w:rPr>
        <w:t>SOBRESEER PARCIALMENTE</w:t>
      </w:r>
      <w:r>
        <w:t xml:space="preserve"> el Recurso de Revisión 01351/INFOEM/IP/RR/2025, en virtud de que se actualiza la hipótesis normativa prevista en la fracción V, del artículo 192, del citado ordenamiento legal</w:t>
      </w:r>
      <w:r w:rsidR="00B60B4F">
        <w:t>; sin embargo</w:t>
      </w:r>
      <w:r w:rsidR="00935203">
        <w:t>, toda vez que no ha quedado sin materia la totalidad del Recurso de Revisión, se considera entrar al fondo del asunto.</w:t>
      </w:r>
    </w:p>
    <w:p w14:paraId="25A3EECC" w14:textId="77777777" w:rsidR="00935203" w:rsidRPr="00032D6B" w:rsidRDefault="00935203" w:rsidP="00A62148">
      <w:pPr>
        <w:spacing w:after="0" w:line="360" w:lineRule="auto"/>
        <w:rPr>
          <w:rFonts w:eastAsia="Times New Roman" w:cs="Tahoma"/>
          <w:bCs/>
          <w:color w:val="auto"/>
          <w:lang w:eastAsia="es-ES"/>
        </w:rPr>
      </w:pPr>
    </w:p>
    <w:p w14:paraId="2AEBE5D0" w14:textId="0055146A" w:rsidR="00A2050F" w:rsidRPr="008A43FC" w:rsidRDefault="00C92EBB" w:rsidP="008D4BF2">
      <w:pPr>
        <w:pStyle w:val="Ttulo2"/>
        <w:rPr>
          <w:rFonts w:eastAsia="Times New Roman"/>
          <w:color w:val="auto"/>
          <w:lang w:val="es-ES" w:eastAsia="es-ES"/>
        </w:rPr>
      </w:pPr>
      <w:bookmarkStart w:id="34" w:name="_Toc190871548"/>
      <w:bookmarkStart w:id="35" w:name="_Toc195200364"/>
      <w:r w:rsidRPr="00C92EBB">
        <w:rPr>
          <w:rFonts w:eastAsia="Times New Roman"/>
          <w:color w:val="auto"/>
          <w:lang w:val="es-ES" w:eastAsia="es-ES"/>
        </w:rPr>
        <w:t>CUARTO</w:t>
      </w:r>
      <w:r w:rsidR="00EC77D9" w:rsidRPr="00C92EBB">
        <w:rPr>
          <w:rFonts w:eastAsia="Times New Roman"/>
          <w:color w:val="auto"/>
          <w:lang w:val="es-ES" w:eastAsia="es-ES"/>
        </w:rPr>
        <w:t>. De</w:t>
      </w:r>
      <w:r w:rsidR="007B0D14" w:rsidRPr="00C92EBB">
        <w:rPr>
          <w:rFonts w:eastAsia="Times New Roman"/>
          <w:color w:val="auto"/>
          <w:lang w:val="es-ES" w:eastAsia="es-ES"/>
        </w:rPr>
        <w:t>terminación de la Controversia</w:t>
      </w:r>
      <w:bookmarkEnd w:id="34"/>
      <w:bookmarkEnd w:id="35"/>
    </w:p>
    <w:p w14:paraId="66946365" w14:textId="65B5F57A" w:rsidR="00A2050F" w:rsidRPr="00EE1394" w:rsidRDefault="00A2050F" w:rsidP="00A62148">
      <w:pPr>
        <w:spacing w:after="0" w:line="360" w:lineRule="auto"/>
        <w:rPr>
          <w:rFonts w:eastAsia="Times New Roman" w:cs="Tahoma"/>
          <w:b/>
          <w:bCs/>
          <w:iCs/>
          <w:color w:val="FF0000"/>
          <w:lang w:val="es-ES" w:eastAsia="es-ES"/>
        </w:rPr>
      </w:pPr>
    </w:p>
    <w:p w14:paraId="5F9B08E6" w14:textId="663F878F" w:rsidR="008A43FC" w:rsidRDefault="00A2050F" w:rsidP="00A62148">
      <w:pPr>
        <w:spacing w:after="0" w:line="360" w:lineRule="auto"/>
        <w:rPr>
          <w:rFonts w:cs="Tahoma"/>
          <w:color w:val="auto"/>
        </w:rPr>
      </w:pPr>
      <w:r w:rsidRPr="008A43FC">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D17D14" w:rsidRPr="008A43FC">
        <w:rPr>
          <w:rFonts w:cs="Tahoma"/>
          <w:color w:val="auto"/>
        </w:rPr>
        <w:t>requirió</w:t>
      </w:r>
      <w:r w:rsidR="00C22BE9" w:rsidRPr="008A43FC">
        <w:rPr>
          <w:rFonts w:cs="Tahoma"/>
          <w:color w:val="auto"/>
        </w:rPr>
        <w:t xml:space="preserve">, </w:t>
      </w:r>
      <w:r w:rsidR="00EC2CCE">
        <w:rPr>
          <w:rFonts w:cs="Tahoma"/>
          <w:color w:val="auto"/>
        </w:rPr>
        <w:t>de la</w:t>
      </w:r>
      <w:r w:rsidR="00C92EBB">
        <w:rPr>
          <w:rFonts w:cs="Tahoma"/>
          <w:color w:val="auto"/>
        </w:rPr>
        <w:t xml:space="preserve"> entrega – recepción de </w:t>
      </w:r>
      <w:r w:rsidR="008A43FC">
        <w:rPr>
          <w:rFonts w:cs="Tahoma"/>
          <w:color w:val="auto"/>
        </w:rPr>
        <w:t>todos los servidores públicos adscritos al Ayuntamiento de Toluca, del primero al tres de</w:t>
      </w:r>
      <w:r w:rsidR="00C92EBB">
        <w:rPr>
          <w:rFonts w:cs="Tahoma"/>
          <w:color w:val="auto"/>
        </w:rPr>
        <w:t xml:space="preserve"> </w:t>
      </w:r>
      <w:r w:rsidR="00E44A84">
        <w:rPr>
          <w:rFonts w:cs="Tahoma"/>
          <w:color w:val="auto"/>
        </w:rPr>
        <w:t>enero</w:t>
      </w:r>
      <w:r w:rsidR="00C92EBB">
        <w:rPr>
          <w:rFonts w:cs="Tahoma"/>
          <w:color w:val="auto"/>
        </w:rPr>
        <w:t xml:space="preserve"> de dos mil veinticuatro.</w:t>
      </w:r>
    </w:p>
    <w:p w14:paraId="02035709" w14:textId="38290352" w:rsidR="007B0D14" w:rsidRPr="00EC2CCE" w:rsidRDefault="00C92EBB" w:rsidP="00EC2CCE">
      <w:pPr>
        <w:tabs>
          <w:tab w:val="left" w:pos="2430"/>
        </w:tabs>
        <w:spacing w:after="0" w:line="360" w:lineRule="auto"/>
        <w:rPr>
          <w:rFonts w:cs="Tahoma"/>
          <w:color w:val="auto"/>
        </w:rPr>
      </w:pPr>
      <w:r>
        <w:rPr>
          <w:rFonts w:cs="Tahoma"/>
          <w:color w:val="auto"/>
        </w:rPr>
        <w:tab/>
      </w:r>
    </w:p>
    <w:p w14:paraId="7D2CCB66" w14:textId="2239B23E" w:rsidR="00CE2118" w:rsidRPr="00C92EBB" w:rsidRDefault="00953F07" w:rsidP="00A62148">
      <w:pPr>
        <w:spacing w:after="0" w:line="360" w:lineRule="auto"/>
        <w:rPr>
          <w:color w:val="auto"/>
        </w:rPr>
      </w:pPr>
      <w:r w:rsidRPr="00ED14E0">
        <w:rPr>
          <w:color w:val="auto"/>
        </w:rPr>
        <w:t>En respuesta, el Sujeto Obligado, a través de</w:t>
      </w:r>
      <w:r w:rsidR="001F1B13" w:rsidRPr="00ED14E0">
        <w:rPr>
          <w:color w:val="auto"/>
        </w:rPr>
        <w:t xml:space="preserve"> la </w:t>
      </w:r>
      <w:r w:rsidR="00F34E0A" w:rsidRPr="00ED14E0">
        <w:rPr>
          <w:color w:val="auto"/>
        </w:rPr>
        <w:t xml:space="preserve">Dirección </w:t>
      </w:r>
      <w:r w:rsidR="008A6AAC" w:rsidRPr="00ED14E0">
        <w:rPr>
          <w:color w:val="auto"/>
        </w:rPr>
        <w:t>General de Administración</w:t>
      </w:r>
      <w:r w:rsidR="00B74D72" w:rsidRPr="00ED14E0">
        <w:rPr>
          <w:color w:val="auto"/>
        </w:rPr>
        <w:t>, refirió que</w:t>
      </w:r>
      <w:r w:rsidR="00C405F0">
        <w:rPr>
          <w:color w:val="auto"/>
        </w:rPr>
        <w:t xml:space="preserve"> después de realizar la</w:t>
      </w:r>
      <w:r w:rsidR="00B74D72" w:rsidRPr="00ED14E0">
        <w:rPr>
          <w:color w:val="auto"/>
        </w:rPr>
        <w:t xml:space="preserve"> </w:t>
      </w:r>
      <w:r w:rsidR="008A6AAC" w:rsidRPr="00ED14E0">
        <w:rPr>
          <w:color w:val="auto"/>
        </w:rPr>
        <w:t xml:space="preserve">búsqueda en los </w:t>
      </w:r>
      <w:r w:rsidR="00ED14E0" w:rsidRPr="00ED14E0">
        <w:rPr>
          <w:color w:val="auto"/>
        </w:rPr>
        <w:t xml:space="preserve"> archivos del Departamento de Reclutamiento, Selección y Capacitación de Personal, informa que para ingresar al servicio público se requiere lo establecido en el artículo 11.11 del Código Reglamentario Municipal, así como lo señalado en el artículo 47 de la Ley del Trabajo de los Servidores Públicos del Estado y Municipios</w:t>
      </w:r>
      <w:r w:rsidRPr="00ED14E0">
        <w:rPr>
          <w:rFonts w:cs="Tahoma"/>
          <w:color w:val="auto"/>
        </w:rPr>
        <w:t>;</w:t>
      </w:r>
      <w:r w:rsidR="00A864C8" w:rsidRPr="00ED14E0">
        <w:rPr>
          <w:color w:val="auto"/>
        </w:rPr>
        <w:t xml:space="preserve"> </w:t>
      </w:r>
      <w:r w:rsidRPr="00ED14E0">
        <w:rPr>
          <w:rFonts w:cs="Tahoma"/>
          <w:color w:val="auto"/>
          <w:lang w:val="es-ES"/>
        </w:rPr>
        <w:t>ante dicha circunstancia, el Particular se inconformó de</w:t>
      </w:r>
      <w:r w:rsidR="00BE39D1" w:rsidRPr="00ED14E0">
        <w:rPr>
          <w:rFonts w:cs="Tahoma"/>
          <w:color w:val="auto"/>
          <w:lang w:val="es-ES"/>
        </w:rPr>
        <w:t xml:space="preserve"> la entrega de información </w:t>
      </w:r>
      <w:r w:rsidR="0013697B" w:rsidRPr="00ED14E0">
        <w:rPr>
          <w:rFonts w:cs="Tahoma"/>
          <w:color w:val="auto"/>
          <w:lang w:val="es-ES"/>
        </w:rPr>
        <w:t xml:space="preserve">que no corresponde con lo solicitado </w:t>
      </w:r>
      <w:r w:rsidRPr="00ED14E0">
        <w:rPr>
          <w:rFonts w:eastAsia="Calibri" w:cs="Tahoma"/>
          <w:color w:val="auto"/>
        </w:rPr>
        <w:t>prevista en la fracción V</w:t>
      </w:r>
      <w:r w:rsidR="0013697B" w:rsidRPr="00ED14E0">
        <w:rPr>
          <w:rFonts w:eastAsia="Calibri" w:cs="Tahoma"/>
          <w:color w:val="auto"/>
        </w:rPr>
        <w:t>I</w:t>
      </w:r>
      <w:r w:rsidRPr="00ED14E0">
        <w:rPr>
          <w:rFonts w:eastAsia="Calibri" w:cs="Tahoma"/>
          <w:color w:val="auto"/>
        </w:rPr>
        <w:t xml:space="preserve">, del artículo 179 de la Ley de Transparencia y Acceso a la Información Pública del Estado de México y </w:t>
      </w:r>
      <w:r w:rsidRPr="00ED14E0">
        <w:rPr>
          <w:rFonts w:eastAsia="Calibri" w:cs="Tahoma"/>
          <w:color w:val="auto"/>
        </w:rPr>
        <w:lastRenderedPageBreak/>
        <w:t>Municipios</w:t>
      </w:r>
      <w:r w:rsidRPr="00ED14E0">
        <w:rPr>
          <w:color w:val="auto"/>
        </w:rPr>
        <w:t xml:space="preserve">. </w:t>
      </w:r>
      <w:r w:rsidRPr="00ED14E0">
        <w:rPr>
          <w:rFonts w:eastAsia="Calibri" w:cs="Tahoma"/>
          <w:color w:val="auto"/>
        </w:rPr>
        <w:t>Así, las cosas, una vez admitido y notificado el Recurso de Revisión</w:t>
      </w:r>
      <w:r w:rsidR="00837814" w:rsidRPr="00ED14E0">
        <w:rPr>
          <w:rFonts w:eastAsia="Calibri" w:cs="Tahoma"/>
          <w:color w:val="auto"/>
        </w:rPr>
        <w:t>,</w:t>
      </w:r>
      <w:r w:rsidR="0013697B" w:rsidRPr="00ED14E0">
        <w:rPr>
          <w:rFonts w:eastAsia="Calibri" w:cs="Tahoma"/>
          <w:color w:val="auto"/>
        </w:rPr>
        <w:t xml:space="preserve"> </w:t>
      </w:r>
      <w:r w:rsidR="00DA6412" w:rsidRPr="00ED14E0">
        <w:rPr>
          <w:rFonts w:eastAsia="Calibri" w:cs="Tahoma"/>
          <w:color w:val="auto"/>
        </w:rPr>
        <w:t>el Sujeto Obligado r</w:t>
      </w:r>
      <w:r w:rsidR="00CE2118">
        <w:rPr>
          <w:rFonts w:eastAsia="Calibri" w:cs="Tahoma"/>
          <w:color w:val="auto"/>
        </w:rPr>
        <w:t xml:space="preserve">atificó la respuesta primigenia; posteriormente a través de un alcance al informe justificado el Sujeto Obligado señalo que </w:t>
      </w:r>
      <w:r w:rsidR="00CE2118" w:rsidRPr="00CE2118">
        <w:rPr>
          <w:rFonts w:eastAsia="Calibri" w:cs="Tahoma"/>
          <w:color w:val="auto"/>
        </w:rPr>
        <w:t>la información solicitada se clasificó como confidencial total, con fundamento en la Ducentésima Cuadragésima Séptima Sesión Extraordinaria del Comité de Transparencia de fecha 13 d marzo de 2025, mediante acuerdo CT/SE/247/01/2025</w:t>
      </w:r>
      <w:r w:rsidR="00CE2118">
        <w:rPr>
          <w:rFonts w:eastAsia="Calibri" w:cs="Tahoma"/>
          <w:color w:val="auto"/>
        </w:rPr>
        <w:t xml:space="preserve">, </w:t>
      </w:r>
      <w:r w:rsidR="00CE2118" w:rsidRPr="00CE2118">
        <w:rPr>
          <w:rFonts w:eastAsia="Calibri" w:cs="Tahoma"/>
          <w:color w:val="auto"/>
        </w:rPr>
        <w:t>correspondiente a la Entrega – Recepción de los Servidores Públicos que entregaron del</w:t>
      </w:r>
      <w:r w:rsidR="00CE2118">
        <w:rPr>
          <w:rFonts w:eastAsia="Calibri" w:cs="Tahoma"/>
          <w:color w:val="auto"/>
        </w:rPr>
        <w:t xml:space="preserve"> primero al tres de enero de dos mil veinticuatro, </w:t>
      </w:r>
      <w:r w:rsidR="00CE2118" w:rsidRPr="00CE2118">
        <w:rPr>
          <w:rFonts w:eastAsia="Calibri" w:cs="Tahoma"/>
          <w:color w:val="auto"/>
        </w:rPr>
        <w:t>toda vez que se encuentra en un proceso administrativo determinado en el artículo 37 de los Lineamientos que norman la Entrega – Recepción de los Ayuntamientos, sus Dependencias, Unidades Administrativas y Entidades de la Administración Pública Municipal del Estado de México</w:t>
      </w:r>
      <w:r w:rsidR="00BF388B">
        <w:rPr>
          <w:rFonts w:eastAsia="Calibri" w:cs="Tahoma"/>
          <w:color w:val="auto"/>
        </w:rPr>
        <w:t>.</w:t>
      </w:r>
    </w:p>
    <w:p w14:paraId="3A840A48" w14:textId="77777777" w:rsidR="00CE2118" w:rsidRPr="00EE1394" w:rsidRDefault="00CE2118" w:rsidP="00A62148">
      <w:pPr>
        <w:spacing w:after="0" w:line="360" w:lineRule="auto"/>
        <w:rPr>
          <w:rFonts w:eastAsia="Calibri" w:cs="Tahoma"/>
          <w:color w:val="FF0000"/>
        </w:rPr>
      </w:pPr>
    </w:p>
    <w:p w14:paraId="6F1CFCEB" w14:textId="2623503D" w:rsidR="00EC77D9" w:rsidRPr="00ED14E0" w:rsidRDefault="00EC77D9" w:rsidP="00A62148">
      <w:pPr>
        <w:tabs>
          <w:tab w:val="left" w:pos="4962"/>
        </w:tabs>
        <w:spacing w:after="0" w:line="360" w:lineRule="auto"/>
        <w:rPr>
          <w:rFonts w:eastAsia="Calibri" w:cs="Tahoma"/>
          <w:bCs/>
          <w:color w:val="auto"/>
        </w:rPr>
      </w:pPr>
      <w:r w:rsidRPr="00ED14E0">
        <w:rPr>
          <w:rFonts w:eastAsia="Calibri" w:cs="Tahoma"/>
          <w:iCs/>
          <w:color w:val="auto"/>
          <w:lang w:val="es-ES" w:eastAsia="es-ES_tradnl"/>
        </w:rPr>
        <w:t>Lo anterior, se desprende de las documentales que obran en el expediente de referencia, materia de la presente resolución, consistente en: la solic</w:t>
      </w:r>
      <w:r w:rsidR="00ED14E0" w:rsidRPr="00ED14E0">
        <w:rPr>
          <w:rFonts w:eastAsia="Calibri" w:cs="Tahoma"/>
          <w:iCs/>
          <w:color w:val="auto"/>
          <w:lang w:val="es-ES" w:eastAsia="es-ES_tradnl"/>
        </w:rPr>
        <w:t xml:space="preserve">itud de acceso a la información, </w:t>
      </w:r>
      <w:r w:rsidRPr="00ED14E0">
        <w:rPr>
          <w:rFonts w:eastAsia="Calibri" w:cs="Tahoma"/>
          <w:iCs/>
          <w:color w:val="auto"/>
          <w:lang w:eastAsia="es-ES_tradnl"/>
        </w:rPr>
        <w:t>el escrito recursal</w:t>
      </w:r>
      <w:r w:rsidR="00ED14E0" w:rsidRPr="00ED14E0">
        <w:rPr>
          <w:rFonts w:eastAsia="Calibri" w:cs="Tahoma"/>
          <w:iCs/>
          <w:color w:val="auto"/>
          <w:lang w:eastAsia="es-ES_tradnl"/>
        </w:rPr>
        <w:t xml:space="preserve"> y el informe justificado</w:t>
      </w:r>
      <w:r w:rsidRPr="00ED14E0">
        <w:rPr>
          <w:rFonts w:eastAsia="Calibri" w:cs="Tahoma"/>
          <w:iCs/>
          <w:color w:val="auto"/>
          <w:lang w:eastAsia="es-ES_tradnl"/>
        </w:rPr>
        <w:t xml:space="preserve">; </w:t>
      </w:r>
      <w:r w:rsidRPr="00ED14E0">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ED14E0" w:rsidRDefault="00EC77D9" w:rsidP="00A62148">
      <w:pPr>
        <w:spacing w:after="0" w:line="360" w:lineRule="auto"/>
        <w:rPr>
          <w:rFonts w:eastAsia="Calibri" w:cs="Tahoma"/>
          <w:color w:val="auto"/>
          <w:lang w:eastAsia="es-ES_tradnl"/>
        </w:rPr>
      </w:pPr>
    </w:p>
    <w:p w14:paraId="4AC719C6" w14:textId="327F5411" w:rsidR="00EC77D9" w:rsidRPr="00ED14E0" w:rsidRDefault="004B4BCC" w:rsidP="008D4BF2">
      <w:pPr>
        <w:pStyle w:val="Ttulo2"/>
        <w:rPr>
          <w:rFonts w:eastAsia="Times New Roman"/>
          <w:color w:val="auto"/>
          <w:lang w:eastAsia="es-ES"/>
        </w:rPr>
      </w:pPr>
      <w:bookmarkStart w:id="36" w:name="_Toc190871549"/>
      <w:bookmarkStart w:id="37" w:name="_Toc195200365"/>
      <w:r>
        <w:rPr>
          <w:rFonts w:eastAsia="Times New Roman"/>
          <w:color w:val="auto"/>
          <w:lang w:val="es-ES" w:eastAsia="es-ES"/>
        </w:rPr>
        <w:t>QUINTO</w:t>
      </w:r>
      <w:r w:rsidR="00EC77D9" w:rsidRPr="00ED14E0">
        <w:rPr>
          <w:rFonts w:eastAsia="Times New Roman"/>
          <w:color w:val="auto"/>
          <w:lang w:val="es-ES" w:eastAsia="es-ES"/>
        </w:rPr>
        <w:t xml:space="preserve">. </w:t>
      </w:r>
      <w:r w:rsidR="00EC77D9" w:rsidRPr="00ED14E0">
        <w:rPr>
          <w:rFonts w:eastAsia="Times New Roman"/>
          <w:color w:val="auto"/>
          <w:lang w:eastAsia="es-ES"/>
        </w:rPr>
        <w:t>Marco normativo aplicable en materia de transparencia y acceso a la informaci</w:t>
      </w:r>
      <w:r w:rsidR="00D94DEB" w:rsidRPr="00ED14E0">
        <w:rPr>
          <w:rFonts w:eastAsia="Times New Roman"/>
          <w:color w:val="auto"/>
          <w:lang w:eastAsia="es-ES"/>
        </w:rPr>
        <w:t>ón pública</w:t>
      </w:r>
      <w:bookmarkEnd w:id="36"/>
      <w:bookmarkEnd w:id="37"/>
    </w:p>
    <w:p w14:paraId="53349C7E" w14:textId="77777777" w:rsidR="00EC77D9" w:rsidRPr="00EE1394" w:rsidRDefault="00EC77D9" w:rsidP="00A62148">
      <w:pPr>
        <w:autoSpaceDE w:val="0"/>
        <w:autoSpaceDN w:val="0"/>
        <w:adjustRightInd w:val="0"/>
        <w:spacing w:after="0" w:line="360" w:lineRule="auto"/>
        <w:rPr>
          <w:rFonts w:eastAsia="Times New Roman" w:cs="Tahoma"/>
          <w:bCs/>
          <w:iCs/>
          <w:color w:val="FF0000"/>
          <w:lang w:val="es-ES" w:eastAsia="es-ES"/>
        </w:rPr>
      </w:pPr>
    </w:p>
    <w:p w14:paraId="24646644" w14:textId="77777777" w:rsidR="00EC77D9" w:rsidRPr="00ED14E0" w:rsidRDefault="00EC77D9" w:rsidP="00A62148">
      <w:pPr>
        <w:spacing w:after="0" w:line="360" w:lineRule="auto"/>
        <w:rPr>
          <w:rFonts w:eastAsia="Times New Roman" w:cs="Tahoma"/>
          <w:bCs/>
          <w:iCs/>
          <w:color w:val="auto"/>
          <w:lang w:eastAsia="es-ES"/>
        </w:rPr>
      </w:pPr>
      <w:r w:rsidRPr="00ED14E0">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ED14E0" w:rsidRDefault="00B61BF0" w:rsidP="00A62148">
      <w:pPr>
        <w:spacing w:after="0" w:line="360" w:lineRule="auto"/>
        <w:rPr>
          <w:rFonts w:eastAsia="Times New Roman" w:cs="Tahoma"/>
          <w:bCs/>
          <w:iCs/>
          <w:color w:val="auto"/>
          <w:lang w:eastAsia="es-ES"/>
        </w:rPr>
      </w:pPr>
    </w:p>
    <w:p w14:paraId="27585E1D" w14:textId="6CD8436B" w:rsidR="00EC77D9" w:rsidRPr="00ED14E0" w:rsidRDefault="00EC77D9" w:rsidP="00A62148">
      <w:pPr>
        <w:spacing w:after="0" w:line="360" w:lineRule="auto"/>
        <w:rPr>
          <w:rFonts w:eastAsia="Times New Roman" w:cs="Tahoma"/>
          <w:bCs/>
          <w:iCs/>
          <w:color w:val="auto"/>
          <w:lang w:eastAsia="es-ES"/>
        </w:rPr>
      </w:pPr>
      <w:r w:rsidRPr="00ED14E0">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ED14E0" w:rsidRDefault="00EC77D9" w:rsidP="00A62148">
      <w:pPr>
        <w:spacing w:after="0" w:line="360" w:lineRule="auto"/>
        <w:rPr>
          <w:rFonts w:eastAsia="Times New Roman" w:cs="Tahoma"/>
          <w:bCs/>
          <w:iCs/>
          <w:color w:val="auto"/>
          <w:lang w:eastAsia="es-ES"/>
        </w:rPr>
      </w:pPr>
    </w:p>
    <w:p w14:paraId="3ECDEC3B" w14:textId="77777777" w:rsidR="00EC77D9" w:rsidRPr="00ED14E0" w:rsidRDefault="00EC77D9" w:rsidP="00A62148">
      <w:pPr>
        <w:spacing w:after="0" w:line="360" w:lineRule="auto"/>
        <w:rPr>
          <w:rFonts w:eastAsia="Times New Roman" w:cs="Tahoma"/>
          <w:bCs/>
          <w:iCs/>
          <w:color w:val="auto"/>
          <w:lang w:eastAsia="es-ES"/>
        </w:rPr>
      </w:pPr>
      <w:r w:rsidRPr="00ED14E0">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ED14E0" w:rsidRDefault="00EC77D9" w:rsidP="00A62148">
      <w:pPr>
        <w:spacing w:after="0" w:line="360" w:lineRule="auto"/>
        <w:rPr>
          <w:rFonts w:eastAsia="Times New Roman" w:cs="Tahoma"/>
          <w:bCs/>
          <w:iCs/>
          <w:color w:val="auto"/>
          <w:lang w:eastAsia="es-ES"/>
        </w:rPr>
      </w:pPr>
    </w:p>
    <w:p w14:paraId="16EC33CD" w14:textId="77777777" w:rsidR="00EC77D9" w:rsidRPr="00ED14E0" w:rsidRDefault="00EC77D9" w:rsidP="00A62148">
      <w:pPr>
        <w:spacing w:after="0" w:line="360" w:lineRule="auto"/>
        <w:rPr>
          <w:rFonts w:eastAsia="Times New Roman" w:cs="Tahoma"/>
          <w:bCs/>
          <w:iCs/>
          <w:color w:val="auto"/>
          <w:lang w:eastAsia="es-ES"/>
        </w:rPr>
      </w:pPr>
      <w:r w:rsidRPr="00ED14E0">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ED14E0" w:rsidRDefault="00EC77D9" w:rsidP="00A62148">
      <w:pPr>
        <w:spacing w:after="0" w:line="360" w:lineRule="auto"/>
        <w:rPr>
          <w:rFonts w:eastAsia="Times New Roman" w:cs="Tahoma"/>
          <w:bCs/>
          <w:iCs/>
          <w:color w:val="auto"/>
          <w:lang w:eastAsia="es-ES"/>
        </w:rPr>
      </w:pPr>
    </w:p>
    <w:p w14:paraId="5AAC1DAC" w14:textId="77777777" w:rsidR="00EC77D9" w:rsidRPr="00ED14E0" w:rsidRDefault="00EC77D9" w:rsidP="00A62148">
      <w:pPr>
        <w:spacing w:after="0" w:line="360" w:lineRule="auto"/>
        <w:rPr>
          <w:rFonts w:eastAsia="Times New Roman" w:cs="Tahoma"/>
          <w:bCs/>
          <w:iCs/>
          <w:color w:val="auto"/>
          <w:lang w:eastAsia="es-ES"/>
        </w:rPr>
      </w:pPr>
      <w:r w:rsidRPr="00ED14E0">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ED14E0" w:rsidRDefault="00EC77D9" w:rsidP="00A62148">
      <w:pPr>
        <w:spacing w:after="0" w:line="360" w:lineRule="auto"/>
        <w:rPr>
          <w:rFonts w:eastAsia="Times New Roman" w:cs="Tahoma"/>
          <w:bCs/>
          <w:iCs/>
          <w:color w:val="auto"/>
          <w:lang w:eastAsia="es-ES"/>
        </w:rPr>
      </w:pPr>
    </w:p>
    <w:p w14:paraId="1A199F11" w14:textId="77777777" w:rsidR="00EC77D9" w:rsidRPr="00ED14E0" w:rsidRDefault="00EC77D9" w:rsidP="00A62148">
      <w:pPr>
        <w:widowControl w:val="0"/>
        <w:spacing w:after="0" w:line="360" w:lineRule="auto"/>
        <w:rPr>
          <w:rFonts w:eastAsia="Times New Roman" w:cs="Tahoma"/>
          <w:bCs/>
          <w:iCs/>
          <w:color w:val="auto"/>
          <w:lang w:eastAsia="es-ES"/>
        </w:rPr>
      </w:pPr>
      <w:r w:rsidRPr="00ED14E0">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ED14E0" w:rsidRDefault="00EC77D9" w:rsidP="00A62148">
      <w:pPr>
        <w:spacing w:after="0" w:line="360" w:lineRule="auto"/>
        <w:rPr>
          <w:rFonts w:eastAsia="Times New Roman" w:cs="Tahoma"/>
          <w:bCs/>
          <w:iCs/>
          <w:color w:val="auto"/>
          <w:lang w:eastAsia="es-ES"/>
        </w:rPr>
      </w:pPr>
    </w:p>
    <w:p w14:paraId="6B93EA99" w14:textId="2691E2CA" w:rsidR="00EC77D9" w:rsidRPr="00ED14E0" w:rsidRDefault="00EC77D9" w:rsidP="00A62148">
      <w:pPr>
        <w:spacing w:after="0" w:line="360" w:lineRule="auto"/>
        <w:rPr>
          <w:rFonts w:eastAsia="Times New Roman" w:cs="Tahoma"/>
          <w:bCs/>
          <w:iCs/>
          <w:color w:val="auto"/>
          <w:lang w:eastAsia="es-ES"/>
        </w:rPr>
      </w:pPr>
      <w:r w:rsidRPr="00ED14E0">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ED14E0" w:rsidRDefault="006A52AF" w:rsidP="00A62148">
      <w:pPr>
        <w:spacing w:after="0" w:line="360" w:lineRule="auto"/>
        <w:rPr>
          <w:rFonts w:eastAsia="Times New Roman" w:cs="Tahoma"/>
          <w:bCs/>
          <w:iCs/>
          <w:color w:val="auto"/>
          <w:lang w:eastAsia="es-ES"/>
        </w:rPr>
      </w:pPr>
    </w:p>
    <w:p w14:paraId="438CA9E5" w14:textId="0704997B" w:rsidR="009B3229" w:rsidRPr="00ED14E0" w:rsidRDefault="004B4BCC" w:rsidP="004B4BCC">
      <w:pPr>
        <w:pStyle w:val="Ttulo2"/>
        <w:rPr>
          <w:rFonts w:eastAsia="Times New Roman"/>
          <w:lang w:val="es-ES" w:eastAsia="es-ES"/>
        </w:rPr>
      </w:pPr>
      <w:bookmarkStart w:id="38" w:name="_Toc195200366"/>
      <w:r>
        <w:rPr>
          <w:rFonts w:eastAsia="Times New Roman"/>
          <w:lang w:val="es-ES" w:eastAsia="es-ES"/>
        </w:rPr>
        <w:t>SEXTO</w:t>
      </w:r>
      <w:r w:rsidR="00D94DEB" w:rsidRPr="00ED14E0">
        <w:rPr>
          <w:rFonts w:eastAsia="Times New Roman"/>
          <w:lang w:val="es-ES" w:eastAsia="es-ES"/>
        </w:rPr>
        <w:t>. Estudio de Fondo</w:t>
      </w:r>
      <w:bookmarkEnd w:id="38"/>
    </w:p>
    <w:p w14:paraId="79411ADE" w14:textId="77777777" w:rsidR="00F7251D" w:rsidRPr="00EE1394" w:rsidRDefault="00F7251D" w:rsidP="00A62148">
      <w:pPr>
        <w:spacing w:after="0" w:line="360" w:lineRule="auto"/>
        <w:rPr>
          <w:rFonts w:eastAsia="Times New Roman" w:cs="Tahoma"/>
          <w:b/>
          <w:bCs/>
          <w:iCs/>
          <w:color w:val="FF0000"/>
          <w:lang w:val="es-ES" w:eastAsia="es-ES"/>
        </w:rPr>
      </w:pPr>
    </w:p>
    <w:p w14:paraId="16BB5D78" w14:textId="470EA261" w:rsidR="009B4F07" w:rsidRPr="00ED14E0" w:rsidRDefault="009B4F07" w:rsidP="00A62148">
      <w:pPr>
        <w:widowControl w:val="0"/>
        <w:autoSpaceDE w:val="0"/>
        <w:autoSpaceDN w:val="0"/>
        <w:adjustRightInd w:val="0"/>
        <w:spacing w:after="0" w:line="360" w:lineRule="auto"/>
        <w:contextualSpacing/>
        <w:rPr>
          <w:rFonts w:eastAsia="Times New Roman" w:cs="Times New Roman"/>
          <w:color w:val="auto"/>
          <w:lang w:eastAsia="es-ES"/>
        </w:rPr>
      </w:pPr>
      <w:r w:rsidRPr="00ED14E0">
        <w:rPr>
          <w:rFonts w:eastAsia="Times New Roman" w:cs="Tahoma"/>
          <w:bCs/>
          <w:iCs/>
          <w:color w:val="auto"/>
          <w:lang w:eastAsia="es-ES"/>
        </w:rPr>
        <w:lastRenderedPageBreak/>
        <w:t xml:space="preserve">Expuestas las posturas de las partes, se procede al análisis del agravio hecho valer por </w:t>
      </w:r>
      <w:r w:rsidR="00D55E2F" w:rsidRPr="00ED14E0">
        <w:rPr>
          <w:rFonts w:eastAsia="Times New Roman" w:cs="Tahoma"/>
          <w:bCs/>
          <w:iCs/>
          <w:color w:val="auto"/>
          <w:lang w:eastAsia="es-ES"/>
        </w:rPr>
        <w:t>la persona</w:t>
      </w:r>
      <w:r w:rsidRPr="00ED14E0">
        <w:rPr>
          <w:rFonts w:eastAsia="Times New Roman" w:cs="Tahoma"/>
          <w:bCs/>
          <w:iCs/>
          <w:color w:val="auto"/>
          <w:lang w:eastAsia="es-ES"/>
        </w:rPr>
        <w:t xml:space="preserve"> Recurrente, concerniente </w:t>
      </w:r>
      <w:r w:rsidRPr="00ED14E0">
        <w:rPr>
          <w:rFonts w:eastAsia="Times New Roman" w:cs="Tahoma"/>
          <w:color w:val="auto"/>
        </w:rPr>
        <w:t xml:space="preserve">a la entrega </w:t>
      </w:r>
      <w:r w:rsidR="00CE604B" w:rsidRPr="00ED14E0">
        <w:rPr>
          <w:rFonts w:eastAsia="Times New Roman" w:cs="Tahoma"/>
          <w:color w:val="auto"/>
        </w:rPr>
        <w:t xml:space="preserve">de información que no corresponde con lo solicitado, </w:t>
      </w:r>
      <w:r w:rsidRPr="00ED14E0">
        <w:rPr>
          <w:rFonts w:eastAsia="Times New Roman" w:cs="Times New Roman"/>
          <w:color w:val="auto"/>
          <w:lang w:eastAsia="es-ES"/>
        </w:rPr>
        <w:t xml:space="preserve">para lo cual, en principio es necesario contextualizar la solicitud de información. </w:t>
      </w:r>
    </w:p>
    <w:p w14:paraId="4D11B2F3" w14:textId="77777777" w:rsidR="002708CA" w:rsidRPr="00EE1394" w:rsidRDefault="002708CA"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622E942C" w14:textId="08FD265A" w:rsidR="000C0491" w:rsidRDefault="00F93769" w:rsidP="00A62148">
      <w:pPr>
        <w:tabs>
          <w:tab w:val="left" w:pos="4962"/>
        </w:tabs>
        <w:spacing w:after="0" w:line="360" w:lineRule="auto"/>
      </w:pPr>
      <w:r>
        <w:t>Al respecto, el artículo 2°, fracciones</w:t>
      </w:r>
      <w:r w:rsidR="000C0491" w:rsidRPr="000C0491">
        <w:t xml:space="preserve"> </w:t>
      </w:r>
      <w:r w:rsidR="000C0491">
        <w:t xml:space="preserve">I, III, XVIII, XXVIII y XXXVI, </w:t>
      </w:r>
      <w:r w:rsidR="00B60B4F">
        <w:t xml:space="preserve">de </w:t>
      </w:r>
      <w:r w:rsidR="000C0491">
        <w:t xml:space="preserve">los Lineamientos que Norman la Entrega-Recepción de los Ayuntamientos, sus Dependencias y Organismos Descentralizados Municipales del Estado de México, vigentes </w:t>
      </w:r>
      <w:r w:rsidR="00B60B4F">
        <w:t>durante el periodo solicitado</w:t>
      </w:r>
      <w:r w:rsidR="00EC2CCE">
        <w:t>, establecen</w:t>
      </w:r>
      <w:r w:rsidR="000C0491">
        <w:t xml:space="preserve"> lo siguiente</w:t>
      </w:r>
    </w:p>
    <w:p w14:paraId="3BB01C1E" w14:textId="77777777" w:rsidR="000C0491" w:rsidRDefault="000C0491" w:rsidP="00A62148">
      <w:pPr>
        <w:tabs>
          <w:tab w:val="left" w:pos="4962"/>
        </w:tabs>
        <w:spacing w:after="0" w:line="360" w:lineRule="auto"/>
      </w:pPr>
    </w:p>
    <w:p w14:paraId="1E901F97" w14:textId="77777777" w:rsidR="000C0491" w:rsidRDefault="000C0491" w:rsidP="000C0491">
      <w:pPr>
        <w:pStyle w:val="Prrafodelista"/>
        <w:numPr>
          <w:ilvl w:val="0"/>
          <w:numId w:val="17"/>
        </w:numPr>
        <w:tabs>
          <w:tab w:val="left" w:pos="4962"/>
        </w:tabs>
        <w:spacing w:after="0" w:line="360" w:lineRule="auto"/>
      </w:pPr>
      <w:r w:rsidRPr="000C0491">
        <w:rPr>
          <w:b/>
        </w:rPr>
        <w:t>Entrega-recepción:</w:t>
      </w:r>
      <w: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 </w:t>
      </w:r>
    </w:p>
    <w:p w14:paraId="3F58082F" w14:textId="77777777" w:rsidR="000C0491" w:rsidRDefault="000C0491" w:rsidP="00A62148">
      <w:pPr>
        <w:tabs>
          <w:tab w:val="left" w:pos="4962"/>
        </w:tabs>
        <w:spacing w:after="0" w:line="360" w:lineRule="auto"/>
      </w:pPr>
    </w:p>
    <w:p w14:paraId="19418766" w14:textId="77777777" w:rsidR="000C0491" w:rsidRDefault="000C0491" w:rsidP="000C0491">
      <w:pPr>
        <w:pStyle w:val="Prrafodelista"/>
        <w:numPr>
          <w:ilvl w:val="0"/>
          <w:numId w:val="17"/>
        </w:numPr>
        <w:tabs>
          <w:tab w:val="left" w:pos="4962"/>
        </w:tabs>
        <w:spacing w:after="0" w:line="360" w:lineRule="auto"/>
      </w:pPr>
      <w:r w:rsidRPr="000C0491">
        <w:rPr>
          <w:b/>
        </w:rPr>
        <w:t>Acta administrativa:</w:t>
      </w:r>
      <w:r>
        <w:t xml:space="preserve"> Al instrumento jurídico donde se hacen constar los hechos, motivos o circunstancias que impidan y/o perturben la celebración del proceso y acto de entrega-recepción del empleo, cargo o comisión; </w:t>
      </w:r>
    </w:p>
    <w:p w14:paraId="0C612098" w14:textId="77777777" w:rsidR="000C0491" w:rsidRPr="000C0491" w:rsidRDefault="000C0491" w:rsidP="00A62148">
      <w:pPr>
        <w:tabs>
          <w:tab w:val="left" w:pos="4962"/>
        </w:tabs>
        <w:spacing w:after="0" w:line="360" w:lineRule="auto"/>
        <w:rPr>
          <w:b/>
        </w:rPr>
      </w:pPr>
    </w:p>
    <w:p w14:paraId="6AB91D79" w14:textId="5DCB51DB" w:rsidR="000C0491" w:rsidRDefault="000C0491" w:rsidP="00D7544A">
      <w:pPr>
        <w:pStyle w:val="Prrafodelista"/>
        <w:numPr>
          <w:ilvl w:val="0"/>
          <w:numId w:val="17"/>
        </w:numPr>
        <w:tabs>
          <w:tab w:val="left" w:pos="4962"/>
        </w:tabs>
        <w:spacing w:after="0" w:line="360" w:lineRule="auto"/>
      </w:pPr>
      <w:r w:rsidRPr="00B60B4F">
        <w:rPr>
          <w:b/>
        </w:rPr>
        <w:t>Acta entrega - recepción:</w:t>
      </w:r>
      <w:r>
        <w:t xml:space="preserve">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w:t>
      </w:r>
      <w:r w:rsidR="00B60B4F">
        <w:t xml:space="preserve"> </w:t>
      </w:r>
      <w:r>
        <w:t>Las actas de entrega-recepción se clasifican en:</w:t>
      </w:r>
    </w:p>
    <w:p w14:paraId="284C4D5B" w14:textId="77777777" w:rsidR="000C0491" w:rsidRDefault="000C0491" w:rsidP="00A62148">
      <w:pPr>
        <w:tabs>
          <w:tab w:val="left" w:pos="4962"/>
        </w:tabs>
        <w:spacing w:after="0" w:line="360" w:lineRule="auto"/>
      </w:pPr>
    </w:p>
    <w:p w14:paraId="1240560E" w14:textId="09093398" w:rsidR="000C0491" w:rsidRDefault="004C3207" w:rsidP="00B60B4F">
      <w:pPr>
        <w:pStyle w:val="Prrafodelista"/>
        <w:numPr>
          <w:ilvl w:val="0"/>
          <w:numId w:val="18"/>
        </w:numPr>
        <w:tabs>
          <w:tab w:val="left" w:pos="4962"/>
        </w:tabs>
        <w:spacing w:after="0" w:line="360" w:lineRule="auto"/>
        <w:ind w:left="1134"/>
      </w:pPr>
      <w:r w:rsidRPr="004C3207">
        <w:rPr>
          <w:b/>
        </w:rPr>
        <w:lastRenderedPageBreak/>
        <w:t>Acta Ordinaria de Entrega-recepción del Periodo de Gestión Constitucional Municipal (AER-1):</w:t>
      </w:r>
      <w:r>
        <w:t xml:space="preserve"> Instrumento jurídico que deben utilizar las personas servidoras públicas al entregar y recibir un empleo, cargo o comisión, dentro del periodo constitucional municipal o derivado de la culminación de éste.</w:t>
      </w:r>
    </w:p>
    <w:p w14:paraId="5AAC9A00" w14:textId="77777777" w:rsidR="000C0491" w:rsidRDefault="000C0491" w:rsidP="00B60B4F">
      <w:pPr>
        <w:tabs>
          <w:tab w:val="left" w:pos="4962"/>
        </w:tabs>
        <w:spacing w:after="0" w:line="360" w:lineRule="auto"/>
        <w:ind w:left="1134"/>
      </w:pPr>
    </w:p>
    <w:p w14:paraId="2A9CD32F" w14:textId="23CF46C0" w:rsidR="000C0491" w:rsidRDefault="004C3207" w:rsidP="00B60B4F">
      <w:pPr>
        <w:pStyle w:val="Prrafodelista"/>
        <w:numPr>
          <w:ilvl w:val="0"/>
          <w:numId w:val="18"/>
        </w:numPr>
        <w:tabs>
          <w:tab w:val="left" w:pos="4962"/>
        </w:tabs>
        <w:spacing w:after="0" w:line="360" w:lineRule="auto"/>
        <w:ind w:left="1134"/>
      </w:pPr>
      <w:r w:rsidRPr="004C3207">
        <w:rPr>
          <w:b/>
        </w:rPr>
        <w:t>Acta Extraordinaria de Entrega-recepción del Periodo de Gestión Constitucional Municipal (AER2):</w:t>
      </w:r>
      <w:r>
        <w:t xml:space="preserve"> Instrumento jurídico que deben utilizar</w:t>
      </w:r>
      <w:r w:rsidRPr="004C3207">
        <w:t xml:space="preserve"> </w:t>
      </w:r>
      <w:r>
        <w:t>las personas servidoras públicas en los actos de entrega - recepción para la presentación de información por casos fortuitos o de fuerza mayor.</w:t>
      </w:r>
    </w:p>
    <w:p w14:paraId="5D5E7C1A" w14:textId="77777777" w:rsidR="000C0491" w:rsidRDefault="000C0491" w:rsidP="00A62148">
      <w:pPr>
        <w:tabs>
          <w:tab w:val="left" w:pos="4962"/>
        </w:tabs>
        <w:spacing w:after="0" w:line="360" w:lineRule="auto"/>
      </w:pPr>
    </w:p>
    <w:p w14:paraId="3961F472" w14:textId="77777777" w:rsidR="00B60B4F" w:rsidRPr="00B60B4F" w:rsidRDefault="00B60B4F" w:rsidP="00B60B4F">
      <w:pPr>
        <w:tabs>
          <w:tab w:val="left" w:pos="4962"/>
        </w:tabs>
        <w:spacing w:after="0" w:line="360" w:lineRule="auto"/>
        <w:rPr>
          <w:rFonts w:eastAsia="Calibri" w:cs="Tahoma"/>
          <w:iCs/>
          <w:color w:val="auto"/>
          <w:lang w:val="x-none" w:eastAsia="es-ES_tradnl"/>
        </w:rPr>
      </w:pPr>
      <w:r w:rsidRPr="00B60B4F">
        <w:rPr>
          <w:rFonts w:eastAsia="Calibri" w:cs="Tahoma"/>
          <w:iCs/>
          <w:color w:val="auto"/>
          <w:lang w:val="es-ES" w:eastAsia="es-ES_tradnl"/>
        </w:rPr>
        <w:t>Adem</w:t>
      </w:r>
      <w:r w:rsidRPr="00B60B4F">
        <w:rPr>
          <w:rFonts w:eastAsia="Calibri" w:cs="Tahoma"/>
          <w:iCs/>
          <w:color w:val="auto"/>
          <w:lang w:val="x-none" w:eastAsia="es-ES_tradnl"/>
        </w:rPr>
        <w:t>ás, el artículo 4˚, fracción II, inciso r</w:t>
      </w:r>
      <w:r w:rsidRPr="00B60B4F">
        <w:rPr>
          <w:rFonts w:eastAsia="Calibri" w:cs="Tahoma"/>
          <w:iCs/>
          <w:color w:val="auto"/>
          <w:lang w:eastAsia="es-ES_tradnl"/>
        </w:rPr>
        <w:t xml:space="preserve"> y fracción III, incisos a y b</w:t>
      </w:r>
      <w:r w:rsidRPr="00B60B4F">
        <w:rPr>
          <w:rFonts w:eastAsia="Calibri" w:cs="Tahoma"/>
          <w:iCs/>
          <w:color w:val="auto"/>
          <w:lang w:val="x-none" w:eastAsia="es-ES_tradnl"/>
        </w:rPr>
        <w:t xml:space="preserve">, de los Lineamientos citados, establece que los servidores públicos entrantes y salientes de unidades administrativas, deben generar el procedimiento administrativo de entrega-recepción. </w:t>
      </w:r>
    </w:p>
    <w:p w14:paraId="1C136742" w14:textId="77777777" w:rsidR="004C3207" w:rsidRDefault="004C3207" w:rsidP="00A62148">
      <w:pPr>
        <w:tabs>
          <w:tab w:val="left" w:pos="4962"/>
        </w:tabs>
        <w:spacing w:after="0" w:line="360" w:lineRule="auto"/>
        <w:rPr>
          <w:lang w:val="x-none"/>
        </w:rPr>
      </w:pPr>
    </w:p>
    <w:p w14:paraId="7F194D97" w14:textId="1A2A9C51" w:rsidR="00B60B4F" w:rsidRPr="00B60B4F" w:rsidRDefault="00B60B4F" w:rsidP="00B60B4F">
      <w:pPr>
        <w:tabs>
          <w:tab w:val="left" w:pos="4962"/>
        </w:tabs>
        <w:spacing w:after="0" w:line="360" w:lineRule="auto"/>
        <w:rPr>
          <w:rFonts w:eastAsia="Batang" w:cs="Tahoma"/>
          <w:bCs/>
          <w:color w:val="auto"/>
          <w:lang w:val="x-none" w:eastAsia="es-ES"/>
        </w:rPr>
      </w:pPr>
      <w:r w:rsidRPr="00B60B4F">
        <w:rPr>
          <w:rFonts w:eastAsia="Calibri" w:cs="Tahoma"/>
          <w:iCs/>
          <w:color w:val="auto"/>
          <w:lang w:val="es-ES" w:eastAsia="es-ES_tradnl"/>
        </w:rPr>
        <w:t>En ese orden de ideas, el art</w:t>
      </w:r>
      <w:proofErr w:type="spellStart"/>
      <w:r w:rsidRPr="00B60B4F">
        <w:rPr>
          <w:rFonts w:eastAsia="Calibri" w:cs="Tahoma"/>
          <w:iCs/>
          <w:color w:val="auto"/>
          <w:lang w:val="x-none" w:eastAsia="es-ES_tradnl"/>
        </w:rPr>
        <w:t>ículo</w:t>
      </w:r>
      <w:proofErr w:type="spellEnd"/>
      <w:r w:rsidRPr="00B60B4F">
        <w:rPr>
          <w:rFonts w:eastAsia="Calibri" w:cs="Tahoma"/>
          <w:iCs/>
          <w:color w:val="auto"/>
          <w:lang w:val="x-none" w:eastAsia="es-ES_tradnl"/>
        </w:rPr>
        <w:t xml:space="preserve"> 13, de </w:t>
      </w:r>
      <w:r w:rsidRPr="00B60B4F">
        <w:rPr>
          <w:rFonts w:eastAsia="Batang" w:cs="Tahoma"/>
          <w:bCs/>
          <w:color w:val="auto"/>
          <w:lang w:val="x-none" w:eastAsia="es-ES"/>
        </w:rPr>
        <w:t xml:space="preserve">los </w:t>
      </w:r>
      <w:r w:rsidRPr="00B60B4F">
        <w:rPr>
          <w:rFonts w:eastAsia="Batang" w:cs="Tahoma"/>
          <w:bCs/>
          <w:color w:val="auto"/>
          <w:lang w:val="es-ES" w:eastAsia="es-ES"/>
        </w:rPr>
        <w:t>Lineamientos que Norman la Entrega-Recepción de los Ayuntamientos, sus Dependencias y Organismos Descentralizados Municipales del Estado de México, precisan que el procedimiento administrativo de entrega-rece</w:t>
      </w:r>
      <w:proofErr w:type="spellStart"/>
      <w:r w:rsidRPr="00B60B4F">
        <w:rPr>
          <w:rFonts w:eastAsia="Batang" w:cs="Tahoma"/>
          <w:bCs/>
          <w:color w:val="auto"/>
          <w:lang w:val="x-none" w:eastAsia="es-ES"/>
        </w:rPr>
        <w:t>pción</w:t>
      </w:r>
      <w:proofErr w:type="spellEnd"/>
      <w:r w:rsidRPr="00B60B4F">
        <w:rPr>
          <w:rFonts w:eastAsia="Batang" w:cs="Tahoma"/>
          <w:bCs/>
          <w:color w:val="auto"/>
          <w:lang w:val="x-none" w:eastAsia="es-ES"/>
        </w:rPr>
        <w:t>, se realizará cuando el servidor público culmine con el periodo constitucional municipal, o cuando se ausente o separe del empleo, cargo o comisión.</w:t>
      </w:r>
    </w:p>
    <w:p w14:paraId="08C29ABC" w14:textId="77777777" w:rsidR="00B60B4F" w:rsidRPr="00B60B4F" w:rsidRDefault="00B60B4F" w:rsidP="00B60B4F">
      <w:pPr>
        <w:tabs>
          <w:tab w:val="left" w:pos="4962"/>
        </w:tabs>
        <w:spacing w:after="0" w:line="360" w:lineRule="auto"/>
        <w:rPr>
          <w:rFonts w:eastAsia="Calibri" w:cs="Tahoma"/>
          <w:iCs/>
          <w:color w:val="auto"/>
          <w:lang w:val="es-ES" w:eastAsia="es-ES_tradnl"/>
        </w:rPr>
      </w:pPr>
    </w:p>
    <w:p w14:paraId="2CB6E1F5" w14:textId="77777777" w:rsidR="00B60B4F" w:rsidRPr="00B60B4F" w:rsidRDefault="00B60B4F" w:rsidP="00B60B4F">
      <w:pPr>
        <w:tabs>
          <w:tab w:val="left" w:pos="4962"/>
        </w:tabs>
        <w:spacing w:after="0" w:line="360" w:lineRule="auto"/>
        <w:rPr>
          <w:rFonts w:eastAsia="Calibri" w:cs="Tahoma"/>
          <w:iCs/>
          <w:color w:val="auto"/>
          <w:lang w:val="es-ES" w:eastAsia="es-ES_tradnl"/>
        </w:rPr>
      </w:pPr>
      <w:r w:rsidRPr="00B60B4F">
        <w:rPr>
          <w:rFonts w:eastAsia="Times New Roman" w:cs="Tahoma"/>
          <w:bCs/>
          <w:color w:val="auto"/>
          <w:lang w:val="es-ES_tradnl" w:eastAsia="es-ES"/>
        </w:rPr>
        <w:t>En ese orden de ideas, el artículo 48 de los Lineamientos que norman la Entrega-Recepción de los Ayuntamientos, sus Dependencias y Organismos Descentralizados Municipal del Estado de México, precisa que para la realización</w:t>
      </w:r>
      <w:r w:rsidRPr="00B60B4F">
        <w:rPr>
          <w:rFonts w:eastAsia="Times New Roman" w:cs="Tahoma"/>
          <w:bCs/>
          <w:color w:val="auto"/>
          <w:lang w:val="x-none" w:eastAsia="es-ES"/>
        </w:rPr>
        <w:t xml:space="preserve"> de las aclaraciones y observaciones, los servidores públicos entrantes tendrán un plazo de sesenta días hábiles contados a partir del día siguiente al de la suscripción del acta de entrega-recepción, por medio de un escrito dirigido a la persona titular del Órgano Interno de Control o al Síndico.</w:t>
      </w:r>
    </w:p>
    <w:p w14:paraId="113FCDE8" w14:textId="77777777" w:rsidR="00B60B4F" w:rsidRPr="00B60B4F" w:rsidRDefault="00B60B4F" w:rsidP="00A62148">
      <w:pPr>
        <w:tabs>
          <w:tab w:val="left" w:pos="4962"/>
        </w:tabs>
        <w:spacing w:after="0" w:line="360" w:lineRule="auto"/>
        <w:rPr>
          <w:lang w:val="es-ES"/>
        </w:rPr>
      </w:pPr>
    </w:p>
    <w:p w14:paraId="6292B027" w14:textId="775EDADC" w:rsidR="00933429" w:rsidRDefault="00933429" w:rsidP="00933429">
      <w:pPr>
        <w:tabs>
          <w:tab w:val="left" w:pos="4962"/>
        </w:tabs>
        <w:spacing w:after="0" w:line="360" w:lineRule="auto"/>
      </w:pPr>
      <w:r>
        <w:lastRenderedPageBreak/>
        <w:t>Conforme a lo expuesto, se logra vislumbrar que la pretensión de la person</w:t>
      </w:r>
      <w:r w:rsidR="007A753C">
        <w:t xml:space="preserve">a Recurrente es obtener, las </w:t>
      </w:r>
      <w:r w:rsidR="00EC250C">
        <w:t>Actas Entrega</w:t>
      </w:r>
      <w:r w:rsidR="0086735E">
        <w:t>-</w:t>
      </w:r>
      <w:r w:rsidR="007A753C">
        <w:t xml:space="preserve"> </w:t>
      </w:r>
      <w:r w:rsidR="0086735E">
        <w:t>R</w:t>
      </w:r>
      <w:r w:rsidR="007A753C">
        <w:t xml:space="preserve">ecepción de los servidores adscritos al Ayuntamiento de Toluca, </w:t>
      </w:r>
      <w:r w:rsidR="00B60B4F">
        <w:t xml:space="preserve">generadas </w:t>
      </w:r>
      <w:r w:rsidR="007A753C">
        <w:t xml:space="preserve">del primero al tres de </w:t>
      </w:r>
      <w:r w:rsidR="00E44A84">
        <w:t>enero</w:t>
      </w:r>
      <w:r w:rsidR="007A753C">
        <w:t xml:space="preserve"> de dos mil veinticuatro.</w:t>
      </w:r>
    </w:p>
    <w:p w14:paraId="60E08A8E" w14:textId="77777777" w:rsidR="00796B55" w:rsidRDefault="00796B55" w:rsidP="00933429">
      <w:pPr>
        <w:tabs>
          <w:tab w:val="left" w:pos="4962"/>
        </w:tabs>
        <w:spacing w:after="0" w:line="360" w:lineRule="auto"/>
      </w:pPr>
    </w:p>
    <w:p w14:paraId="213050EA" w14:textId="4F496063" w:rsidR="00796B55" w:rsidRDefault="00796B55" w:rsidP="00796B55">
      <w:pPr>
        <w:tabs>
          <w:tab w:val="left" w:pos="4962"/>
        </w:tabs>
        <w:spacing w:after="0" w:line="360" w:lineRule="auto"/>
      </w:pPr>
      <w:r>
        <w:t>Establecido lo anterior, es de hacer mención que de las constancias que obran en el expediente se advierte que el Sujeto Obligado turno el requerimiento de información a la Dirección General de Administración, por lo que, es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F4340AB" w14:textId="77777777" w:rsidR="00842502" w:rsidRDefault="00842502" w:rsidP="00796B55">
      <w:pPr>
        <w:tabs>
          <w:tab w:val="left" w:pos="4962"/>
        </w:tabs>
        <w:spacing w:after="0" w:line="360" w:lineRule="auto"/>
      </w:pPr>
    </w:p>
    <w:p w14:paraId="5214CBCB" w14:textId="4F37D288" w:rsidR="00842502" w:rsidRDefault="00487532" w:rsidP="00487532">
      <w:pPr>
        <w:tabs>
          <w:tab w:val="left" w:pos="4962"/>
        </w:tabs>
        <w:spacing w:after="0" w:line="360" w:lineRule="auto"/>
      </w:pPr>
      <w:r>
        <w:t>Así, a efecto de verificar que el Sujeto Obligado cumplió con dicho procedimiento, es necesario traer a colación el artículo 3.25 fracción XIII del Código Reglamentario Municipal de Toluca dos mil veintidós, dos mil veinticuatro, el cual señala que dentro de las atribuciones de la o el titular de la Contraloría está el participar en la entrega-recepción de las unidades administrativas de las dependencias, organismos auxiliares y fideicomisos del municipio; así mismo dentro de sus objetivos la Contraloría se encarga de testificar los actos de entrega-recepción de las unidades administrativas de la administración pública municipal, de conformidad con lo dispuesto en la normatividad aplicable.</w:t>
      </w:r>
    </w:p>
    <w:p w14:paraId="35948411" w14:textId="77777777" w:rsidR="00CF38B2" w:rsidRDefault="00CF38B2" w:rsidP="00487532">
      <w:pPr>
        <w:tabs>
          <w:tab w:val="left" w:pos="4962"/>
        </w:tabs>
        <w:spacing w:after="0" w:line="360" w:lineRule="auto"/>
      </w:pPr>
    </w:p>
    <w:p w14:paraId="1D9B53A6" w14:textId="07D846DA" w:rsidR="00CF38B2" w:rsidRDefault="00CF38B2" w:rsidP="00487532">
      <w:pPr>
        <w:tabs>
          <w:tab w:val="left" w:pos="4962"/>
        </w:tabs>
        <w:spacing w:after="0" w:line="360" w:lineRule="auto"/>
      </w:pPr>
      <w:r>
        <w:t xml:space="preserve">En ese contexto el Manual General de Organización del Sector Central de la Administración Pública Municipal de Toluca dos mil veintidós, dos mil veinticuatro refiere que la Dirección de Administración, tiene como objetivo definir, establecer, difundir y aplicar la normatividad </w:t>
      </w:r>
      <w:r>
        <w:lastRenderedPageBreak/>
        <w:t>para la administración de personal, adquisición, uso y mantenimiento de bienes, contratación y prestación de servicios, de la tecnología de la información y comunicaciones que requieran las diferentes dependencias y órganos que integran la administración pública municipal, para la ejecución de sus funciones, privilegiando las mejores condiciones de oportunidad, precio, calidad y financiamiento, en un esquema de transparencia, a fin de optimizar los recursos humanos, materiales, técnicos y tecnológicos, así como el adecuado control del parque vehicular y de bienes muebles e inmuebles.</w:t>
      </w:r>
    </w:p>
    <w:p w14:paraId="2B947CEE" w14:textId="77777777" w:rsidR="00487532" w:rsidRDefault="00487532" w:rsidP="00487532">
      <w:pPr>
        <w:tabs>
          <w:tab w:val="left" w:pos="4962"/>
        </w:tabs>
        <w:spacing w:after="0" w:line="360" w:lineRule="auto"/>
      </w:pPr>
    </w:p>
    <w:p w14:paraId="7A8981E9" w14:textId="5C2CAC4B" w:rsidR="00487532" w:rsidRDefault="008B456C" w:rsidP="008B456C">
      <w:pPr>
        <w:tabs>
          <w:tab w:val="left" w:pos="4962"/>
        </w:tabs>
        <w:spacing w:after="0" w:line="360" w:lineRule="auto"/>
      </w:pPr>
      <w:r>
        <w:t>De tales circunstancias, se logra colegir que el Sujeto Obligado no cumplió con el procedimiento de búsqueda a establecido en el artículo 162 de la Ley de Transparencia y Acceso a la Información Pública del Estado de México y Municipios, pues fue omiso en turnar la Solicitud de información a el área encargada de participar y resguardar los documentos del procedimiento de entrega – recepción de los servidores públicos.</w:t>
      </w:r>
    </w:p>
    <w:p w14:paraId="05373E56" w14:textId="77777777" w:rsidR="00C405F0" w:rsidRDefault="00C405F0" w:rsidP="008B456C">
      <w:pPr>
        <w:tabs>
          <w:tab w:val="left" w:pos="4962"/>
        </w:tabs>
        <w:spacing w:after="0" w:line="360" w:lineRule="auto"/>
      </w:pPr>
    </w:p>
    <w:p w14:paraId="335F1C45" w14:textId="25AB45C5" w:rsidR="00C405F0" w:rsidRDefault="00C405F0" w:rsidP="00C405F0">
      <w:pPr>
        <w:tabs>
          <w:tab w:val="left" w:pos="4962"/>
        </w:tabs>
        <w:spacing w:after="0" w:line="360" w:lineRule="auto"/>
        <w:rPr>
          <w:color w:val="auto"/>
        </w:rPr>
      </w:pPr>
      <w:r>
        <w:t>Sin menoscabar lo anterior, se procede analizar la respuesta entregada por la Dirección General  de Administración, la cual señal</w:t>
      </w:r>
      <w:r w:rsidR="00B60B4F">
        <w:t>ó</w:t>
      </w:r>
      <w:r w:rsidR="00BF388B">
        <w:t xml:space="preserve"> en respuesta</w:t>
      </w:r>
      <w:r w:rsidR="00B60B4F">
        <w:t>,</w:t>
      </w:r>
      <w:r w:rsidR="00BF388B">
        <w:t xml:space="preserve"> como </w:t>
      </w:r>
      <w:r w:rsidR="00B60B4F">
        <w:t>I</w:t>
      </w:r>
      <w:r w:rsidR="00BF388B">
        <w:t xml:space="preserve">nforme </w:t>
      </w:r>
      <w:r w:rsidR="00B60B4F">
        <w:t>J</w:t>
      </w:r>
      <w:r w:rsidR="00BF388B">
        <w:t>ustificado</w:t>
      </w:r>
      <w:r>
        <w:t xml:space="preserve"> que </w:t>
      </w:r>
      <w:r>
        <w:rPr>
          <w:color w:val="auto"/>
        </w:rPr>
        <w:t xml:space="preserve"> después de realizar la</w:t>
      </w:r>
      <w:r w:rsidRPr="00ED14E0">
        <w:rPr>
          <w:color w:val="auto"/>
        </w:rPr>
        <w:t xml:space="preserve"> búsqueda en los  archivos del Departamento de Reclutamiento, Selección y Capacitación de Personal, informa que para ingresar al servicio público se requiere lo establecido en el artículo 11.11 del Código Reglamentario Municipal, así como lo señalado en el artículo 47 de la Ley del Trabajo de los Servidores Públicos del Estado y Municipios</w:t>
      </w:r>
      <w:r>
        <w:rPr>
          <w:color w:val="auto"/>
        </w:rPr>
        <w:t>.</w:t>
      </w:r>
    </w:p>
    <w:p w14:paraId="3C417A79" w14:textId="77777777" w:rsidR="00C405F0" w:rsidRDefault="00C405F0" w:rsidP="00C405F0">
      <w:pPr>
        <w:tabs>
          <w:tab w:val="left" w:pos="4962"/>
        </w:tabs>
        <w:spacing w:after="0" w:line="360" w:lineRule="auto"/>
        <w:rPr>
          <w:color w:val="auto"/>
        </w:rPr>
      </w:pPr>
    </w:p>
    <w:p w14:paraId="37044927" w14:textId="39A19FD6" w:rsidR="00C405F0" w:rsidRDefault="00C42E16" w:rsidP="00C42E16">
      <w:pPr>
        <w:tabs>
          <w:tab w:val="left" w:pos="4962"/>
        </w:tabs>
        <w:spacing w:after="0" w:line="360" w:lineRule="auto"/>
      </w:pPr>
      <w:r>
        <w:t xml:space="preserve">Del análisis de la respuesta proporcionada, se logra advertir que la respuesta emitida no guarda relación con el requerimiento del Particular, pues la pretensión del Particular versa </w:t>
      </w:r>
      <w:r w:rsidR="00DF5D98">
        <w:t xml:space="preserve">en obtener </w:t>
      </w:r>
      <w:r w:rsidR="00DF5D98" w:rsidRPr="00DF5D98">
        <w:t xml:space="preserve"> </w:t>
      </w:r>
      <w:r w:rsidR="00DF5D98">
        <w:t xml:space="preserve">las </w:t>
      </w:r>
      <w:r w:rsidR="0086735E">
        <w:t>A</w:t>
      </w:r>
      <w:r w:rsidR="00DF5D98">
        <w:t xml:space="preserve">ctas  </w:t>
      </w:r>
      <w:r w:rsidR="0086735E">
        <w:t>E</w:t>
      </w:r>
      <w:r w:rsidR="00DF5D98">
        <w:t xml:space="preserve">ntrega </w:t>
      </w:r>
      <w:r w:rsidR="0086735E">
        <w:t>- R</w:t>
      </w:r>
      <w:r w:rsidR="00DF5D98">
        <w:t xml:space="preserve">ecepción de los servidores </w:t>
      </w:r>
      <w:r w:rsidR="00B60B4F">
        <w:t>públicos</w:t>
      </w:r>
      <w:r w:rsidR="00DF5D98">
        <w:t xml:space="preserve"> y no así los requisitos para ingresar al servicio público; </w:t>
      </w:r>
      <w:r>
        <w:t xml:space="preserve">sobre el tema, el artículo 1.8, fracción IX, del Código </w:t>
      </w:r>
      <w:r>
        <w:lastRenderedPageBreak/>
        <w:t>Admin</w:t>
      </w:r>
      <w:r w:rsidR="00DF5D98">
        <w:t xml:space="preserve">istrativo del Estado de México, </w:t>
      </w:r>
      <w:r>
        <w:t>establece que para que un acto administrativo tenga vali</w:t>
      </w:r>
      <w:r w:rsidR="00DF5D98">
        <w:t xml:space="preserve">dez, deberá guardar congruencia </w:t>
      </w:r>
      <w:r>
        <w:t>con lo solicitado.</w:t>
      </w:r>
    </w:p>
    <w:p w14:paraId="7E564896" w14:textId="77777777" w:rsidR="00DF5D98" w:rsidRDefault="00DF5D98" w:rsidP="00C42E16">
      <w:pPr>
        <w:tabs>
          <w:tab w:val="left" w:pos="4962"/>
        </w:tabs>
        <w:spacing w:after="0" w:line="360" w:lineRule="auto"/>
      </w:pPr>
    </w:p>
    <w:p w14:paraId="4F2BA53E" w14:textId="67F0D188" w:rsidR="00DF5D98" w:rsidRDefault="00BF388B" w:rsidP="00BF388B">
      <w:pPr>
        <w:tabs>
          <w:tab w:val="left" w:pos="4962"/>
        </w:tabs>
        <w:spacing w:after="0" w:line="360" w:lineRule="auto"/>
        <w:rPr>
          <w:b/>
        </w:rPr>
      </w:pPr>
      <w:r>
        <w:t xml:space="preserve">Asimismo, resulta necesario traer el </w:t>
      </w:r>
      <w:r w:rsidR="00EC4487">
        <w:t>Criterio Orientador</w:t>
      </w:r>
      <w:r>
        <w:t xml:space="preserve">, de la Segunda Época, con número de registro SO/002/2017, emitido </w:t>
      </w:r>
      <w:r w:rsidR="00EC4487">
        <w:t>por el entonces Instituto Nacional</w:t>
      </w:r>
      <w:r>
        <w:t xml:space="preserve"> de Transparencia, Acceso a la Información y Protección de Datos Personales, el cual se encontraba vigente a la fecha de la solicitud, mismo que precisa que todo acto administrativo debe apegarse al Principio de Congruencia, el cual implica que exista concordancia entre el requerimiento formulado y la respuesta entregada; por lo que se considera que el agravio deviene de </w:t>
      </w:r>
      <w:r>
        <w:rPr>
          <w:b/>
        </w:rPr>
        <w:t>FUNDADO.</w:t>
      </w:r>
    </w:p>
    <w:p w14:paraId="0BFF2D5A" w14:textId="77777777" w:rsidR="00BF388B" w:rsidRDefault="00BF388B" w:rsidP="00BF388B">
      <w:pPr>
        <w:tabs>
          <w:tab w:val="left" w:pos="4962"/>
        </w:tabs>
        <w:spacing w:after="0" w:line="360" w:lineRule="auto"/>
        <w:rPr>
          <w:b/>
        </w:rPr>
      </w:pPr>
    </w:p>
    <w:p w14:paraId="577B9742" w14:textId="3F64DE89" w:rsidR="00BF388B" w:rsidRDefault="00BF388B" w:rsidP="00BF388B">
      <w:pPr>
        <w:tabs>
          <w:tab w:val="left" w:pos="4962"/>
        </w:tabs>
        <w:spacing w:after="0" w:line="360" w:lineRule="auto"/>
        <w:rPr>
          <w:rFonts w:eastAsia="Calibri" w:cs="Tahoma"/>
          <w:color w:val="auto"/>
        </w:rPr>
      </w:pPr>
      <w:r>
        <w:t xml:space="preserve">Sin embargo, durante la sustanciación del recurso de revisión el Sujeto Obligado a través de la presentación de un alcance al informe justificado, señalo que </w:t>
      </w:r>
      <w:r w:rsidRPr="00CE2118">
        <w:rPr>
          <w:rFonts w:eastAsia="Calibri" w:cs="Tahoma"/>
          <w:color w:val="auto"/>
        </w:rPr>
        <w:t>la información solicitada se clasificó como confidencial total, con fundamento en la Ducentésima Cuadragésima Séptima Sesión Extraordinaria del Comité de Transparencia, mediante acuerdo CT/SE/247/01/2025</w:t>
      </w:r>
      <w:r>
        <w:rPr>
          <w:rFonts w:eastAsia="Calibri" w:cs="Tahoma"/>
          <w:color w:val="auto"/>
        </w:rPr>
        <w:t xml:space="preserve">, </w:t>
      </w:r>
      <w:r w:rsidRPr="00CE2118">
        <w:rPr>
          <w:rFonts w:eastAsia="Calibri" w:cs="Tahoma"/>
          <w:color w:val="auto"/>
        </w:rPr>
        <w:t>correspondiente a la Entrega – Recepción de los Servidores Públicos que entregaron del</w:t>
      </w:r>
      <w:r>
        <w:rPr>
          <w:rFonts w:eastAsia="Calibri" w:cs="Tahoma"/>
          <w:color w:val="auto"/>
        </w:rPr>
        <w:t xml:space="preserve"> primero al tres de enero de dos mil veinticuatro, </w:t>
      </w:r>
      <w:r w:rsidRPr="00CE2118">
        <w:rPr>
          <w:rFonts w:eastAsia="Calibri" w:cs="Tahoma"/>
          <w:color w:val="auto"/>
        </w:rPr>
        <w:t>toda vez que se encuentra en un proceso administrativo determinado en el artículo 37 de los Lineamientos que norman la Entrega – Recepción de los Ayuntamientos, sus Dependencias, Unidades Administrativas y Entidades de la Administración Pública Municipal del Estado de México</w:t>
      </w:r>
      <w:r w:rsidR="0042509C">
        <w:rPr>
          <w:rFonts w:eastAsia="Calibri" w:cs="Tahoma"/>
          <w:color w:val="auto"/>
        </w:rPr>
        <w:t>.</w:t>
      </w:r>
    </w:p>
    <w:p w14:paraId="3DDBE923" w14:textId="77777777" w:rsidR="0042509C" w:rsidRDefault="0042509C" w:rsidP="00BF388B">
      <w:pPr>
        <w:tabs>
          <w:tab w:val="left" w:pos="4962"/>
        </w:tabs>
        <w:spacing w:after="0" w:line="360" w:lineRule="auto"/>
        <w:rPr>
          <w:rFonts w:eastAsia="Calibri" w:cs="Tahoma"/>
          <w:color w:val="auto"/>
        </w:rPr>
      </w:pPr>
    </w:p>
    <w:p w14:paraId="6324CB91" w14:textId="21475131" w:rsidR="0042509C" w:rsidRDefault="0042509C" w:rsidP="00BF388B">
      <w:pPr>
        <w:tabs>
          <w:tab w:val="left" w:pos="4962"/>
        </w:tabs>
        <w:spacing w:after="0" w:line="360" w:lineRule="auto"/>
        <w:rPr>
          <w:b/>
        </w:rPr>
      </w:pPr>
      <w:r>
        <w:t xml:space="preserve">Al respecto, cabe precisar, que conforme al artículo 20 de la Ley de Transparencia y Acceso a la Información Pública del Estado de México y Municipios, </w:t>
      </w:r>
      <w:r w:rsidRPr="0042509C">
        <w:rPr>
          <w:b/>
        </w:rPr>
        <w:t>ante la negativa de acceso a la información o su inexistencia, el sujeto obligado deberá demostrar que encuentra en alguna de las excepciones establecidas en la normatividad aplicable.</w:t>
      </w:r>
    </w:p>
    <w:p w14:paraId="5A209631" w14:textId="77777777" w:rsidR="008C64E9" w:rsidRDefault="008C64E9" w:rsidP="00BF388B">
      <w:pPr>
        <w:tabs>
          <w:tab w:val="left" w:pos="4962"/>
        </w:tabs>
        <w:spacing w:after="0" w:line="360" w:lineRule="auto"/>
      </w:pPr>
    </w:p>
    <w:p w14:paraId="48027A60" w14:textId="73352D87" w:rsidR="0042509C" w:rsidRDefault="008C64E9" w:rsidP="00BF388B">
      <w:pPr>
        <w:tabs>
          <w:tab w:val="left" w:pos="4962"/>
        </w:tabs>
        <w:spacing w:after="0" w:line="360" w:lineRule="auto"/>
      </w:pPr>
      <w:r>
        <w:t xml:space="preserve">En ese sentido, según Trujillo, Humberto (2019), en el “Diccionario de Transparencia y Acceso a la Información Pública” (p. 201), </w:t>
      </w:r>
      <w:r w:rsidRPr="008C64E9">
        <w:rPr>
          <w:b/>
        </w:rPr>
        <w:t xml:space="preserve">la negativa de acceso a la información </w:t>
      </w:r>
      <w:r>
        <w:t xml:space="preserve">ocurre </w:t>
      </w:r>
      <w:r>
        <w:lastRenderedPageBreak/>
        <w:t>cuanto de manera fundada y motivada, una autoridad la niega o la limita, por alguna de las siguientes razones:</w:t>
      </w:r>
    </w:p>
    <w:p w14:paraId="2F2EC346" w14:textId="77777777" w:rsidR="008C64E9" w:rsidRDefault="008C64E9" w:rsidP="00BF388B">
      <w:pPr>
        <w:tabs>
          <w:tab w:val="left" w:pos="4962"/>
        </w:tabs>
        <w:spacing w:after="0" w:line="360" w:lineRule="auto"/>
      </w:pPr>
    </w:p>
    <w:p w14:paraId="3006165E" w14:textId="132B531E" w:rsidR="008C64E9" w:rsidRDefault="008C64E9" w:rsidP="008C64E9">
      <w:pPr>
        <w:pStyle w:val="Prrafodelista"/>
        <w:numPr>
          <w:ilvl w:val="0"/>
          <w:numId w:val="25"/>
        </w:numPr>
        <w:tabs>
          <w:tab w:val="left" w:pos="4962"/>
        </w:tabs>
        <w:spacing w:after="0" w:line="360" w:lineRule="auto"/>
      </w:pPr>
      <w:r w:rsidRPr="008C64E9">
        <w:rPr>
          <w:b/>
        </w:rPr>
        <w:t>La inexistencia de la información (p. 171):</w:t>
      </w:r>
      <w:r>
        <w:t xml:space="preserve"> Sucede cuando la información solicitada no se encuentra en los archivos públicos o clasificados, de los entes sujetos a las Leyes de Transparencia.</w:t>
      </w:r>
    </w:p>
    <w:p w14:paraId="00205CAD" w14:textId="77777777" w:rsidR="008C64E9" w:rsidRPr="008C64E9" w:rsidRDefault="008C64E9" w:rsidP="00BF388B">
      <w:pPr>
        <w:tabs>
          <w:tab w:val="left" w:pos="4962"/>
        </w:tabs>
        <w:spacing w:after="0" w:line="360" w:lineRule="auto"/>
        <w:rPr>
          <w:b/>
        </w:rPr>
      </w:pPr>
    </w:p>
    <w:p w14:paraId="749003DB" w14:textId="0313CF11" w:rsidR="008C64E9" w:rsidRDefault="008C64E9" w:rsidP="008C64E9">
      <w:pPr>
        <w:pStyle w:val="Prrafodelista"/>
        <w:numPr>
          <w:ilvl w:val="0"/>
          <w:numId w:val="25"/>
        </w:numPr>
        <w:tabs>
          <w:tab w:val="left" w:pos="4962"/>
        </w:tabs>
        <w:spacing w:after="0" w:line="360" w:lineRule="auto"/>
      </w:pPr>
      <w:r w:rsidRPr="008C64E9">
        <w:rPr>
          <w:b/>
        </w:rPr>
        <w:t>La incompetencia del Sujeto Obligado (p. 171):</w:t>
      </w:r>
      <w:r>
        <w:t xml:space="preserve"> Ocurre cuando el Sujeto Obligado carece de atribuciones para poseer la información peticionada.</w:t>
      </w:r>
    </w:p>
    <w:p w14:paraId="29FB5E0C" w14:textId="77777777" w:rsidR="008C64E9" w:rsidRDefault="008C64E9" w:rsidP="00BF388B">
      <w:pPr>
        <w:tabs>
          <w:tab w:val="left" w:pos="4962"/>
        </w:tabs>
        <w:spacing w:after="0" w:line="360" w:lineRule="auto"/>
      </w:pPr>
    </w:p>
    <w:p w14:paraId="6D488BE2" w14:textId="273DAF89" w:rsidR="008C64E9" w:rsidRDefault="008C64E9" w:rsidP="008C64E9">
      <w:pPr>
        <w:pStyle w:val="Prrafodelista"/>
        <w:numPr>
          <w:ilvl w:val="0"/>
          <w:numId w:val="25"/>
        </w:numPr>
        <w:tabs>
          <w:tab w:val="left" w:pos="4962"/>
        </w:tabs>
        <w:spacing w:after="0" w:line="360" w:lineRule="auto"/>
      </w:pPr>
      <w:r w:rsidRPr="008C64E9">
        <w:rPr>
          <w:b/>
        </w:rPr>
        <w:t>La clasificación de la información (p. 70):</w:t>
      </w:r>
      <w:r>
        <w:t xml:space="preserve"> Es el proceso o conjunto de acciones que realizan los sujetos obligados para establecer que determinada información se encuentra en alguno de los supuestos de reserva o confidencialidad establecidos en la legislación en materia de transparencia.</w:t>
      </w:r>
    </w:p>
    <w:p w14:paraId="5458AA2D" w14:textId="77777777" w:rsidR="003B02B6" w:rsidRDefault="003B02B6" w:rsidP="003B02B6"/>
    <w:p w14:paraId="3B26E78B" w14:textId="340ABD51" w:rsidR="003B02B6" w:rsidRDefault="003B02B6" w:rsidP="003B02B6">
      <w:pPr>
        <w:tabs>
          <w:tab w:val="left" w:pos="4962"/>
        </w:tabs>
        <w:spacing w:after="0" w:line="360" w:lineRule="auto"/>
        <w:rPr>
          <w:b/>
          <w:color w:val="auto"/>
        </w:rPr>
      </w:pPr>
      <w:r w:rsidRPr="003B02B6">
        <w:rPr>
          <w:color w:val="auto"/>
        </w:rPr>
        <w:t xml:space="preserve">En ese orden de ideas y en atención a lo anterior, es de señalar que las excepciones al derecho de acceso a la información, consisten en que la documentación sea inexistente, se encuentre </w:t>
      </w:r>
      <w:r w:rsidRPr="003B02B6">
        <w:rPr>
          <w:b/>
          <w:color w:val="auto"/>
        </w:rPr>
        <w:t>clasificada,</w:t>
      </w:r>
      <w:r w:rsidRPr="003B02B6">
        <w:rPr>
          <w:color w:val="auto"/>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3B02B6">
        <w:rPr>
          <w:b/>
          <w:color w:val="auto"/>
        </w:rPr>
        <w:t>confidenciales o reservados.</w:t>
      </w:r>
    </w:p>
    <w:p w14:paraId="15B59385" w14:textId="77777777" w:rsidR="003B02B6" w:rsidRPr="003B02B6" w:rsidRDefault="003B02B6" w:rsidP="003B02B6">
      <w:pPr>
        <w:tabs>
          <w:tab w:val="left" w:pos="4962"/>
        </w:tabs>
        <w:spacing w:after="0" w:line="360" w:lineRule="auto"/>
        <w:rPr>
          <w:b/>
          <w:color w:val="auto"/>
        </w:rPr>
      </w:pPr>
    </w:p>
    <w:p w14:paraId="2972FB7E" w14:textId="484C37AB" w:rsidR="003B02B6" w:rsidRDefault="00BF33DD" w:rsidP="003B02B6">
      <w:pPr>
        <w:tabs>
          <w:tab w:val="left" w:pos="4962"/>
        </w:tabs>
        <w:spacing w:after="0" w:line="360" w:lineRule="auto"/>
      </w:pPr>
      <w:r>
        <w:t xml:space="preserve">Así, en los artículos 122, 128 y 130 de la Ley Transparencia y Acceso a la Información Pública del Estado de México y Municipios, se prevé que </w:t>
      </w:r>
      <w:r w:rsidRPr="00BF33DD">
        <w:rPr>
          <w:b/>
        </w:rPr>
        <w:t>la clasificación</w:t>
      </w:r>
      <w:r>
        <w:t xml:space="preserve"> es el proceso mediante el cual los sujetos obligados determinan que la información en su poder, actualiza alguno de los supuestos de reserva o confidencialidad. Además, que dichos entes deberán aplicar de </w:t>
      </w:r>
      <w:r>
        <w:lastRenderedPageBreak/>
        <w:t>manera restrictiva y limitada, las excepciones al derecho de acceso a la información, por lo que, tendrán que acreditar la procedencia.</w:t>
      </w:r>
    </w:p>
    <w:p w14:paraId="2F00873E" w14:textId="77777777" w:rsidR="00BF33DD" w:rsidRDefault="00BF33DD" w:rsidP="003B02B6">
      <w:pPr>
        <w:tabs>
          <w:tab w:val="left" w:pos="4962"/>
        </w:tabs>
        <w:spacing w:after="0" w:line="360" w:lineRule="auto"/>
        <w:rPr>
          <w:b/>
        </w:rPr>
      </w:pPr>
    </w:p>
    <w:p w14:paraId="14203F14" w14:textId="72690DE3" w:rsidR="0058455C" w:rsidRDefault="0058455C" w:rsidP="003B02B6">
      <w:pPr>
        <w:tabs>
          <w:tab w:val="left" w:pos="4962"/>
        </w:tabs>
        <w:spacing w:after="0" w:line="360" w:lineRule="auto"/>
      </w:pPr>
      <w:r>
        <w:t xml:space="preserve">Por lo cual, en los casos en que se niegue el acceso a la información, por actualizarse alguno de los supuestos de clasificación, </w:t>
      </w:r>
      <w:r w:rsidRPr="0058455C">
        <w:rPr>
          <w:b/>
        </w:rPr>
        <w:t>el Comité de Transparencia deberá confirmar, modificar o revocar la decisión;</w:t>
      </w:r>
      <w:r>
        <w:t xml:space="preserve"> 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73526DBA" w14:textId="77777777" w:rsidR="0058455C" w:rsidRDefault="0058455C" w:rsidP="003B02B6">
      <w:pPr>
        <w:tabs>
          <w:tab w:val="left" w:pos="4962"/>
        </w:tabs>
        <w:spacing w:after="0" w:line="360" w:lineRule="auto"/>
        <w:rPr>
          <w:b/>
        </w:rPr>
      </w:pPr>
    </w:p>
    <w:p w14:paraId="05260DD4" w14:textId="2AE16738" w:rsidR="00CB6445" w:rsidRDefault="00CB6445" w:rsidP="003B02B6">
      <w:pPr>
        <w:tabs>
          <w:tab w:val="left" w:pos="4962"/>
        </w:tabs>
        <w:spacing w:after="0" w:line="360" w:lineRule="auto"/>
      </w:pPr>
      <w: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24418D50" w14:textId="77777777" w:rsidR="00CB6445" w:rsidRDefault="00CB6445" w:rsidP="003B02B6">
      <w:pPr>
        <w:tabs>
          <w:tab w:val="left" w:pos="4962"/>
        </w:tabs>
        <w:spacing w:after="0" w:line="360" w:lineRule="auto"/>
      </w:pPr>
    </w:p>
    <w:p w14:paraId="0FDCAF83" w14:textId="343FC9DC" w:rsidR="00C57671" w:rsidRDefault="00C57671" w:rsidP="003B02B6">
      <w:pPr>
        <w:tabs>
          <w:tab w:val="left" w:pos="4962"/>
        </w:tabs>
        <w:spacing w:after="0" w:line="360" w:lineRule="auto"/>
      </w:pPr>
      <w:r>
        <w:t>Además,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w:t>
      </w:r>
      <w:r w:rsidR="00467BE1">
        <w:t>,</w:t>
      </w:r>
      <w:r>
        <w:t xml:space="preserve"> los cuales se encontraban vigentes a la fecha de la solicitud</w:t>
      </w:r>
      <w:r w:rsidR="0085462A">
        <w:t>,</w:t>
      </w:r>
      <w:r>
        <w:t xml:space="preserve"> los sujetos obligados no podrán emitir acuerdos de</w:t>
      </w:r>
      <w:r w:rsidR="000B724E">
        <w:t xml:space="preserve"> </w:t>
      </w:r>
      <w:r w:rsidR="0085462A">
        <w:t>carácter general que clasifiquen documentos o expedientes; por lo que, la clasificación de información se llevará a cabo mediante un análisis caso por caso.</w:t>
      </w:r>
    </w:p>
    <w:p w14:paraId="3B763733" w14:textId="77777777" w:rsidR="0085462A" w:rsidRDefault="0085462A" w:rsidP="003B02B6">
      <w:pPr>
        <w:tabs>
          <w:tab w:val="left" w:pos="4962"/>
        </w:tabs>
        <w:spacing w:after="0" w:line="360" w:lineRule="auto"/>
      </w:pPr>
    </w:p>
    <w:p w14:paraId="4130801C" w14:textId="22A2160A" w:rsidR="0085462A" w:rsidRDefault="000B724E" w:rsidP="003B02B6">
      <w:pPr>
        <w:tabs>
          <w:tab w:val="left" w:pos="4962"/>
        </w:tabs>
        <w:spacing w:after="0" w:line="360" w:lineRule="auto"/>
      </w:pPr>
      <w:r>
        <w:t xml:space="preserve">Sobre lo anterior, el artículo 131 de la Ley referida, así como el Quinto de los Lineamientos Generales vigentes a la fecha de la solicitud, establecen que los sujetos obligados </w:t>
      </w:r>
      <w:r w:rsidRPr="000B724E">
        <w:rPr>
          <w:b/>
        </w:rPr>
        <w:t>deberán fundar y motivar</w:t>
      </w:r>
      <w:r>
        <w:t xml:space="preserve"> debidamente la clasificación de la información.</w:t>
      </w:r>
    </w:p>
    <w:p w14:paraId="01D6F1DC" w14:textId="77777777" w:rsidR="00CB6445" w:rsidRDefault="00CB6445" w:rsidP="003B02B6">
      <w:pPr>
        <w:tabs>
          <w:tab w:val="left" w:pos="4962"/>
        </w:tabs>
        <w:spacing w:after="0" w:line="360" w:lineRule="auto"/>
      </w:pPr>
    </w:p>
    <w:p w14:paraId="7A498662" w14:textId="00C04229" w:rsidR="000B724E" w:rsidRDefault="000B724E" w:rsidP="003B02B6">
      <w:pPr>
        <w:tabs>
          <w:tab w:val="left" w:pos="4962"/>
        </w:tabs>
        <w:spacing w:after="0" w:line="360" w:lineRule="auto"/>
      </w:pPr>
      <w:r>
        <w:lastRenderedPageBreak/>
        <w:t>Al respecto, el Octavo de los Lineamientos Generales en comento, precisa lo siguiente:</w:t>
      </w:r>
    </w:p>
    <w:p w14:paraId="05B48D71" w14:textId="77777777" w:rsidR="000B724E" w:rsidRDefault="000B724E" w:rsidP="003B02B6">
      <w:pPr>
        <w:tabs>
          <w:tab w:val="left" w:pos="4962"/>
        </w:tabs>
        <w:spacing w:after="0" w:line="360" w:lineRule="auto"/>
      </w:pPr>
    </w:p>
    <w:p w14:paraId="49D08D84" w14:textId="77777777" w:rsidR="000B724E" w:rsidRDefault="000B724E" w:rsidP="000B724E">
      <w:pPr>
        <w:pStyle w:val="Prrafodelista"/>
        <w:numPr>
          <w:ilvl w:val="0"/>
          <w:numId w:val="26"/>
        </w:numPr>
        <w:tabs>
          <w:tab w:val="left" w:pos="4962"/>
        </w:tabs>
        <w:spacing w:after="0" w:line="360" w:lineRule="auto"/>
      </w:pPr>
      <w:r w:rsidRPr="000B724E">
        <w:rPr>
          <w:b/>
        </w:rPr>
        <w:t>Para fundar la clasificación</w:t>
      </w:r>
      <w:r>
        <w:t xml:space="preserve"> de la información se deberán señalar el artículo, fracción, inciso, párrafo o numeral de la Ley aplicable;</w:t>
      </w:r>
    </w:p>
    <w:p w14:paraId="6B848948" w14:textId="77777777" w:rsidR="000B724E" w:rsidRDefault="000B724E" w:rsidP="003B02B6">
      <w:pPr>
        <w:tabs>
          <w:tab w:val="left" w:pos="4962"/>
        </w:tabs>
        <w:spacing w:after="0" w:line="360" w:lineRule="auto"/>
      </w:pPr>
    </w:p>
    <w:p w14:paraId="2383A465" w14:textId="60D1CBCE" w:rsidR="000B724E" w:rsidRDefault="000B724E" w:rsidP="000B724E">
      <w:pPr>
        <w:pStyle w:val="Prrafodelista"/>
        <w:numPr>
          <w:ilvl w:val="0"/>
          <w:numId w:val="26"/>
        </w:numPr>
        <w:tabs>
          <w:tab w:val="left" w:pos="4962"/>
        </w:tabs>
        <w:spacing w:after="0" w:line="360" w:lineRule="auto"/>
      </w:pPr>
      <w:r w:rsidRPr="000B724E">
        <w:rPr>
          <w:b/>
        </w:rPr>
        <w:t>Para motivar la clasificación</w:t>
      </w:r>
      <w:r>
        <w:t xml:space="preserve"> se deberán indicar las razones y circunstancias especiales que lo llevaron a concluir que el caso particular se ajusta al supuesto previsto por la norma legal invocada.</w:t>
      </w:r>
    </w:p>
    <w:p w14:paraId="7F307A73" w14:textId="77777777" w:rsidR="000B724E" w:rsidRDefault="000B724E" w:rsidP="003B02B6">
      <w:pPr>
        <w:tabs>
          <w:tab w:val="left" w:pos="4962"/>
        </w:tabs>
        <w:spacing w:after="0" w:line="360" w:lineRule="auto"/>
      </w:pPr>
    </w:p>
    <w:p w14:paraId="0C467902" w14:textId="01D67AA7" w:rsidR="000B724E" w:rsidRDefault="000B724E" w:rsidP="003B02B6">
      <w:pPr>
        <w:tabs>
          <w:tab w:val="left" w:pos="4962"/>
        </w:tabs>
        <w:spacing w:after="0" w:line="360" w:lineRule="auto"/>
      </w:pPr>
      <w: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1C2C094D" w14:textId="77777777" w:rsidR="000B724E" w:rsidRDefault="000B724E" w:rsidP="003B02B6">
      <w:pPr>
        <w:tabs>
          <w:tab w:val="left" w:pos="4962"/>
        </w:tabs>
        <w:spacing w:after="0" w:line="360" w:lineRule="auto"/>
      </w:pPr>
    </w:p>
    <w:p w14:paraId="606D7E07" w14:textId="6FD7847C" w:rsidR="000B724E" w:rsidRPr="000B724E" w:rsidRDefault="000B724E" w:rsidP="000B724E">
      <w:pPr>
        <w:spacing w:after="0" w:line="360" w:lineRule="auto"/>
        <w:ind w:left="567" w:right="567"/>
        <w:rPr>
          <w:rFonts w:eastAsia="Times New Roman" w:cs="Arial"/>
          <w:bCs/>
          <w:i/>
          <w:iCs/>
          <w:color w:val="auto"/>
          <w:sz w:val="20"/>
          <w:szCs w:val="20"/>
          <w:lang w:eastAsia="es-ES"/>
        </w:rPr>
      </w:pPr>
      <w:r w:rsidRPr="000B724E">
        <w:rPr>
          <w:rFonts w:eastAsia="Times New Roman" w:cs="Arial"/>
          <w:b/>
          <w:bCs/>
          <w:i/>
          <w:iCs/>
          <w:color w:val="auto"/>
          <w:sz w:val="20"/>
          <w:szCs w:val="20"/>
          <w:lang w:eastAsia="es-ES"/>
        </w:rPr>
        <w:t xml:space="preserve">“FUNDAMENTACION Y MOTIVACION, CONCEPTO DE. </w:t>
      </w:r>
      <w:r w:rsidRPr="000B724E">
        <w:rPr>
          <w:rFonts w:eastAsia="Times New Roman" w:cs="Arial"/>
          <w:bCs/>
          <w:i/>
          <w:iCs/>
          <w:color w:val="auto"/>
          <w:sz w:val="20"/>
          <w:szCs w:val="20"/>
          <w:lang w:eastAsia="es-ES"/>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6272FE04" w14:textId="77777777" w:rsidR="000B724E" w:rsidRDefault="000B724E" w:rsidP="00A62148">
      <w:pPr>
        <w:tabs>
          <w:tab w:val="left" w:pos="4962"/>
        </w:tabs>
        <w:spacing w:after="0" w:line="360" w:lineRule="auto"/>
        <w:rPr>
          <w:rFonts w:eastAsia="Times New Roman" w:cs="Times New Roman"/>
          <w:bCs/>
          <w:color w:val="FF0000"/>
          <w:lang w:eastAsia="es-ES"/>
        </w:rPr>
      </w:pPr>
    </w:p>
    <w:p w14:paraId="7087C37B" w14:textId="1B4C5576" w:rsidR="000B724E" w:rsidRDefault="00853982" w:rsidP="00A62148">
      <w:pPr>
        <w:tabs>
          <w:tab w:val="left" w:pos="4962"/>
        </w:tabs>
        <w:spacing w:after="0" w:line="360" w:lineRule="auto"/>
      </w:pPr>
      <w:r>
        <w:t>Conforme a lo anterior, se advierte lo siguiente:</w:t>
      </w:r>
    </w:p>
    <w:p w14:paraId="5A7744FD" w14:textId="77777777" w:rsidR="00853982" w:rsidRDefault="00853982" w:rsidP="00A62148">
      <w:pPr>
        <w:tabs>
          <w:tab w:val="left" w:pos="4962"/>
        </w:tabs>
        <w:spacing w:after="0" w:line="360" w:lineRule="auto"/>
      </w:pPr>
    </w:p>
    <w:p w14:paraId="2C9E95CC" w14:textId="1D721E53" w:rsidR="00853982" w:rsidRDefault="00853982" w:rsidP="00853982">
      <w:pPr>
        <w:pStyle w:val="Prrafodelista"/>
        <w:numPr>
          <w:ilvl w:val="0"/>
          <w:numId w:val="27"/>
        </w:numPr>
        <w:tabs>
          <w:tab w:val="left" w:pos="4962"/>
        </w:tabs>
        <w:spacing w:after="0" w:line="360" w:lineRule="auto"/>
      </w:pPr>
      <w:r w:rsidRPr="00853982">
        <w:rPr>
          <w:b/>
        </w:rPr>
        <w:lastRenderedPageBreak/>
        <w:t>Fundamentación:</w:t>
      </w:r>
      <w:r>
        <w:t xml:space="preserve"> Obligación de la autoridad que emite un acto, para citar los preceptos legales, sustantivos y adjetivos, en que se apoye para la determinación tomada.</w:t>
      </w:r>
    </w:p>
    <w:p w14:paraId="3E02091B" w14:textId="77777777" w:rsidR="00853982" w:rsidRDefault="00853982" w:rsidP="00A62148">
      <w:pPr>
        <w:tabs>
          <w:tab w:val="left" w:pos="4962"/>
        </w:tabs>
        <w:spacing w:after="0" w:line="360" w:lineRule="auto"/>
      </w:pPr>
    </w:p>
    <w:p w14:paraId="6F241810" w14:textId="65D51720" w:rsidR="00853982" w:rsidRPr="00853982" w:rsidRDefault="00853982" w:rsidP="00853982">
      <w:pPr>
        <w:pStyle w:val="Prrafodelista"/>
        <w:numPr>
          <w:ilvl w:val="0"/>
          <w:numId w:val="27"/>
        </w:numPr>
        <w:tabs>
          <w:tab w:val="left" w:pos="4962"/>
        </w:tabs>
        <w:spacing w:after="0" w:line="360" w:lineRule="auto"/>
        <w:rPr>
          <w:rFonts w:eastAsia="Times New Roman" w:cs="Times New Roman"/>
          <w:bCs/>
          <w:color w:val="auto"/>
          <w:lang w:eastAsia="es-ES"/>
        </w:rPr>
      </w:pPr>
      <w:r w:rsidRPr="00853982">
        <w:rPr>
          <w:b/>
          <w:color w:val="auto"/>
        </w:rPr>
        <w:t>Motivación:</w:t>
      </w:r>
      <w:r w:rsidRPr="00853982">
        <w:rPr>
          <w:color w:val="auto"/>
        </w:rPr>
        <w:t xml:space="preserve"> Razonamientos lógico-jurídicos sobre porque se consideró en el caso en concreto, que se ajusta a la hipótesis normativa.</w:t>
      </w:r>
    </w:p>
    <w:p w14:paraId="2F8EA90B" w14:textId="77777777" w:rsidR="000B724E" w:rsidRDefault="000B724E" w:rsidP="00A62148">
      <w:pPr>
        <w:tabs>
          <w:tab w:val="left" w:pos="4962"/>
        </w:tabs>
        <w:spacing w:after="0" w:line="360" w:lineRule="auto"/>
        <w:rPr>
          <w:rFonts w:eastAsia="Times New Roman" w:cs="Times New Roman"/>
          <w:bCs/>
          <w:color w:val="FF0000"/>
          <w:lang w:eastAsia="es-ES"/>
        </w:rPr>
      </w:pPr>
    </w:p>
    <w:p w14:paraId="0EF7CD63" w14:textId="0264E259" w:rsidR="000B724E" w:rsidRDefault="00DD185A" w:rsidP="00A62148">
      <w:pPr>
        <w:tabs>
          <w:tab w:val="left" w:pos="4962"/>
        </w:tabs>
        <w:spacing w:after="0" w:line="360" w:lineRule="auto"/>
      </w:pPr>
      <w:r>
        <w:t>En ese orden de ideas, el Trigésimo tercero de los Lineamientos Generales previamente señalados, establece la forma en que se debe fundamentar y motivar la reserva de la información, es decir, a través de los siguientes pasos:</w:t>
      </w:r>
    </w:p>
    <w:p w14:paraId="734C3065" w14:textId="77777777" w:rsidR="00DD185A" w:rsidRDefault="00DD185A" w:rsidP="00A62148">
      <w:pPr>
        <w:tabs>
          <w:tab w:val="left" w:pos="4962"/>
        </w:tabs>
        <w:spacing w:after="0" w:line="360" w:lineRule="auto"/>
        <w:rPr>
          <w:rFonts w:eastAsia="Times New Roman" w:cs="Times New Roman"/>
          <w:bCs/>
          <w:color w:val="FF0000"/>
          <w:lang w:eastAsia="es-ES"/>
        </w:rPr>
      </w:pPr>
    </w:p>
    <w:p w14:paraId="538EFFE4" w14:textId="07E77494" w:rsidR="000B724E" w:rsidRPr="00750FC8" w:rsidRDefault="003E188A" w:rsidP="00750FC8">
      <w:pPr>
        <w:pStyle w:val="Prrafodelista"/>
        <w:numPr>
          <w:ilvl w:val="0"/>
          <w:numId w:val="28"/>
        </w:numPr>
        <w:tabs>
          <w:tab w:val="left" w:pos="4962"/>
        </w:tabs>
        <w:spacing w:after="0" w:line="360" w:lineRule="auto"/>
        <w:rPr>
          <w:color w:val="auto"/>
        </w:rPr>
      </w:pPr>
      <w:r w:rsidRPr="00750FC8">
        <w:rPr>
          <w:color w:val="auto"/>
        </w:rPr>
        <w:t>Se deberá demostrar que la publicidad de la información generaría un riesgo de perjuicio, que rebasa el interés público;</w:t>
      </w:r>
    </w:p>
    <w:p w14:paraId="4E432161" w14:textId="77777777" w:rsidR="003E188A" w:rsidRPr="00750FC8" w:rsidRDefault="003E188A" w:rsidP="00A62148">
      <w:pPr>
        <w:tabs>
          <w:tab w:val="left" w:pos="4962"/>
        </w:tabs>
        <w:spacing w:after="0" w:line="360" w:lineRule="auto"/>
        <w:rPr>
          <w:color w:val="auto"/>
        </w:rPr>
      </w:pPr>
    </w:p>
    <w:p w14:paraId="55700E28" w14:textId="471D689D" w:rsidR="003E188A" w:rsidRPr="00750FC8" w:rsidRDefault="003E188A" w:rsidP="00750FC8">
      <w:pPr>
        <w:pStyle w:val="Prrafodelista"/>
        <w:numPr>
          <w:ilvl w:val="0"/>
          <w:numId w:val="28"/>
        </w:numPr>
        <w:tabs>
          <w:tab w:val="left" w:pos="4962"/>
        </w:tabs>
        <w:spacing w:after="0" w:line="360" w:lineRule="auto"/>
        <w:rPr>
          <w:color w:val="auto"/>
        </w:rPr>
      </w:pPr>
      <w:r w:rsidRPr="00750FC8">
        <w:rPr>
          <w:color w:val="auto"/>
        </w:rPr>
        <w:t>Se acreditará el vínculo entre la difusión de la información y la afectación del interés jurídico tutelado;</w:t>
      </w:r>
    </w:p>
    <w:p w14:paraId="75EE174D" w14:textId="77777777" w:rsidR="00B02DF3" w:rsidRPr="00750FC8" w:rsidRDefault="00B02DF3" w:rsidP="00A62148">
      <w:pPr>
        <w:tabs>
          <w:tab w:val="left" w:pos="4962"/>
        </w:tabs>
        <w:spacing w:after="0" w:line="360" w:lineRule="auto"/>
        <w:rPr>
          <w:rFonts w:eastAsia="Times New Roman" w:cs="Times New Roman"/>
          <w:bCs/>
          <w:color w:val="auto"/>
          <w:lang w:eastAsia="es-ES"/>
        </w:rPr>
      </w:pPr>
    </w:p>
    <w:p w14:paraId="2FFBBF1F" w14:textId="390452ED" w:rsidR="000B724E" w:rsidRPr="00750FC8" w:rsidRDefault="00B02DF3" w:rsidP="00750FC8">
      <w:pPr>
        <w:pStyle w:val="Prrafodelista"/>
        <w:numPr>
          <w:ilvl w:val="0"/>
          <w:numId w:val="28"/>
        </w:numPr>
        <w:tabs>
          <w:tab w:val="left" w:pos="4962"/>
        </w:tabs>
        <w:spacing w:after="0" w:line="360" w:lineRule="auto"/>
        <w:rPr>
          <w:color w:val="auto"/>
        </w:rPr>
      </w:pPr>
      <w:r w:rsidRPr="00750FC8">
        <w:rPr>
          <w:color w:val="auto"/>
        </w:rPr>
        <w:t>Se precisará las razones objetivas por las que la apertura de la información generaría una afectación, por medio del riesgo real, demostrable e identificable;</w:t>
      </w:r>
    </w:p>
    <w:p w14:paraId="4A00D092" w14:textId="77777777" w:rsidR="00B02DF3" w:rsidRPr="00750FC8" w:rsidRDefault="00B02DF3" w:rsidP="00A62148">
      <w:pPr>
        <w:tabs>
          <w:tab w:val="left" w:pos="4962"/>
        </w:tabs>
        <w:spacing w:after="0" w:line="360" w:lineRule="auto"/>
        <w:rPr>
          <w:color w:val="auto"/>
        </w:rPr>
      </w:pPr>
    </w:p>
    <w:p w14:paraId="1C4E4496" w14:textId="1F5FDB2D" w:rsidR="00B02DF3" w:rsidRPr="00750FC8" w:rsidRDefault="00750FC8" w:rsidP="00750FC8">
      <w:pPr>
        <w:pStyle w:val="Prrafodelista"/>
        <w:numPr>
          <w:ilvl w:val="0"/>
          <w:numId w:val="28"/>
        </w:numPr>
        <w:tabs>
          <w:tab w:val="left" w:pos="4962"/>
        </w:tabs>
        <w:spacing w:after="0" w:line="360" w:lineRule="auto"/>
        <w:rPr>
          <w:color w:val="auto"/>
        </w:rPr>
      </w:pPr>
      <w:r w:rsidRPr="00750FC8">
        <w:rPr>
          <w:color w:val="auto"/>
        </w:rPr>
        <w:t>Se deberán señalar las circunstancias de modo, tiempo y lugar del daño, y</w:t>
      </w:r>
    </w:p>
    <w:p w14:paraId="3B681368" w14:textId="77777777" w:rsidR="00750FC8" w:rsidRPr="00750FC8" w:rsidRDefault="00750FC8" w:rsidP="00A62148">
      <w:pPr>
        <w:tabs>
          <w:tab w:val="left" w:pos="4962"/>
        </w:tabs>
        <w:spacing w:after="0" w:line="360" w:lineRule="auto"/>
        <w:rPr>
          <w:color w:val="auto"/>
        </w:rPr>
      </w:pPr>
    </w:p>
    <w:p w14:paraId="22BD5041" w14:textId="7B7F05FC" w:rsidR="00750FC8" w:rsidRPr="00750FC8" w:rsidRDefault="00750FC8" w:rsidP="00750FC8">
      <w:pPr>
        <w:pStyle w:val="Prrafodelista"/>
        <w:numPr>
          <w:ilvl w:val="0"/>
          <w:numId w:val="28"/>
        </w:numPr>
        <w:tabs>
          <w:tab w:val="left" w:pos="4962"/>
        </w:tabs>
        <w:spacing w:after="0" w:line="360" w:lineRule="auto"/>
        <w:rPr>
          <w:rFonts w:eastAsia="Times New Roman" w:cs="Times New Roman"/>
          <w:bCs/>
          <w:color w:val="auto"/>
          <w:lang w:eastAsia="es-ES"/>
        </w:rPr>
      </w:pPr>
      <w:r w:rsidRPr="00750FC8">
        <w:rPr>
          <w:color w:val="auto"/>
        </w:rPr>
        <w:t>Se elegirá la opción de excepción al acceso a la información que menos restrinja, la cual será adecuada y proporcional para la protección del interés público.</w:t>
      </w:r>
    </w:p>
    <w:p w14:paraId="67DFD450" w14:textId="77777777" w:rsidR="000B724E" w:rsidRDefault="000B724E" w:rsidP="00A62148">
      <w:pPr>
        <w:tabs>
          <w:tab w:val="left" w:pos="4962"/>
        </w:tabs>
        <w:spacing w:after="0" w:line="360" w:lineRule="auto"/>
        <w:rPr>
          <w:rFonts w:eastAsia="Times New Roman" w:cs="Times New Roman"/>
          <w:bCs/>
          <w:color w:val="FF0000"/>
          <w:lang w:eastAsia="es-ES"/>
        </w:rPr>
      </w:pPr>
    </w:p>
    <w:p w14:paraId="10E0E8EB" w14:textId="52F7108D" w:rsidR="000B724E" w:rsidRDefault="002D5345" w:rsidP="00A62148">
      <w:pPr>
        <w:tabs>
          <w:tab w:val="left" w:pos="4962"/>
        </w:tabs>
        <w:spacing w:after="0" w:line="360" w:lineRule="auto"/>
      </w:pPr>
      <w:r>
        <w:t xml:space="preserve">Así, tomando en consideración, las formalidades previstas por la Ley de la Materia, de los Lineamientos Generales y el análisis de las constancias se logra advertir que el Sujeto </w:t>
      </w:r>
      <w:r>
        <w:lastRenderedPageBreak/>
        <w:t>Obligado no fundamentó, ni motivó la clasificación de la información, por las siguientes consideraciones:</w:t>
      </w:r>
    </w:p>
    <w:p w14:paraId="3D7800DC" w14:textId="77777777" w:rsidR="002D5345" w:rsidRDefault="002D5345" w:rsidP="00A62148">
      <w:pPr>
        <w:tabs>
          <w:tab w:val="left" w:pos="4962"/>
        </w:tabs>
        <w:spacing w:after="0" w:line="360" w:lineRule="auto"/>
        <w:rPr>
          <w:rFonts w:eastAsia="Times New Roman" w:cs="Times New Roman"/>
          <w:bCs/>
          <w:color w:val="FF0000"/>
          <w:lang w:eastAsia="es-ES"/>
        </w:rPr>
      </w:pPr>
    </w:p>
    <w:p w14:paraId="75EDEEFB" w14:textId="5CB01D09" w:rsidR="00695F4F" w:rsidRDefault="009001BC" w:rsidP="00A62148">
      <w:pPr>
        <w:tabs>
          <w:tab w:val="left" w:pos="4962"/>
        </w:tabs>
        <w:spacing w:after="0" w:line="360" w:lineRule="auto"/>
      </w:pPr>
      <w:r>
        <w:t>Ahora bien, de las constancias que obran en el expediente, se advierte que no fundamentó, ni motivó la clasificación de la información, de manera correcta, por las siguientes consideraciones:</w:t>
      </w:r>
    </w:p>
    <w:p w14:paraId="330DCB70" w14:textId="77777777" w:rsidR="002D5345" w:rsidRDefault="002D5345" w:rsidP="00A62148">
      <w:pPr>
        <w:tabs>
          <w:tab w:val="left" w:pos="4962"/>
        </w:tabs>
        <w:spacing w:after="0" w:line="360" w:lineRule="auto"/>
      </w:pPr>
    </w:p>
    <w:p w14:paraId="43F60A05" w14:textId="5CDB315B" w:rsidR="00695F4F" w:rsidRPr="00327A5A" w:rsidRDefault="002D5345" w:rsidP="00327A5A">
      <w:pPr>
        <w:pStyle w:val="Prrafodelista"/>
        <w:numPr>
          <w:ilvl w:val="0"/>
          <w:numId w:val="29"/>
        </w:numPr>
        <w:tabs>
          <w:tab w:val="left" w:pos="4962"/>
        </w:tabs>
        <w:spacing w:after="0" w:line="360" w:lineRule="auto"/>
        <w:rPr>
          <w:rFonts w:eastAsia="Times New Roman" w:cs="Times New Roman"/>
          <w:bCs/>
          <w:color w:val="auto"/>
          <w:lang w:eastAsia="es-ES"/>
        </w:rPr>
      </w:pPr>
      <w:r w:rsidRPr="00327A5A">
        <w:rPr>
          <w:color w:val="auto"/>
        </w:rPr>
        <w:t>No señaló de manera clara y precisa los artículos de los ordenamientos jurídicos aplicables; pues únicamente señaló los Lineamientos que Norman la Entrega - Recepción de los Ayuntamientos, sus Dependencias, Unidades Administrativas y Entidades de la Administración Pública Municipal del Estado de México, sin indicar las causales de reserva;</w:t>
      </w:r>
    </w:p>
    <w:p w14:paraId="32B4C820" w14:textId="4C54C7BA" w:rsidR="00327A5A" w:rsidRPr="00327A5A" w:rsidRDefault="00327A5A" w:rsidP="00327A5A">
      <w:pPr>
        <w:pStyle w:val="Prrafodelista"/>
        <w:numPr>
          <w:ilvl w:val="0"/>
          <w:numId w:val="29"/>
        </w:numPr>
        <w:tabs>
          <w:tab w:val="left" w:pos="4962"/>
        </w:tabs>
        <w:spacing w:after="0" w:line="360" w:lineRule="auto"/>
        <w:rPr>
          <w:rFonts w:eastAsia="Times New Roman" w:cs="Times New Roman"/>
          <w:bCs/>
          <w:color w:val="auto"/>
          <w:lang w:eastAsia="es-ES"/>
        </w:rPr>
      </w:pPr>
      <w:r>
        <w:rPr>
          <w:color w:val="auto"/>
        </w:rPr>
        <w:t>Los Lineamientos citados sobre los que fundamento y motivo la clasificación de la información solicitada, no se encontraban vigentes a la fecha de la solicitud, pues corresponden a una fecha posterior a la misma;</w:t>
      </w:r>
    </w:p>
    <w:p w14:paraId="0197F8C9" w14:textId="7591ABE1" w:rsidR="00327A5A" w:rsidRPr="00327A5A" w:rsidRDefault="00327A5A" w:rsidP="00327A5A">
      <w:pPr>
        <w:pStyle w:val="Prrafodelista"/>
        <w:numPr>
          <w:ilvl w:val="0"/>
          <w:numId w:val="29"/>
        </w:numPr>
        <w:tabs>
          <w:tab w:val="left" w:pos="4962"/>
        </w:tabs>
        <w:spacing w:after="0" w:line="360" w:lineRule="auto"/>
        <w:rPr>
          <w:rFonts w:eastAsia="Times New Roman" w:cs="Times New Roman"/>
          <w:bCs/>
          <w:color w:val="auto"/>
          <w:lang w:eastAsia="es-ES"/>
        </w:rPr>
      </w:pPr>
      <w:r>
        <w:t>No precisó las razones objetivas, concretas y específicas por las cuales la apertura de la información generaría una afectación que rebase el interés público, pues, el Sujeto Obligado no indicó las razones por las cuales considera que la información era reservada;</w:t>
      </w:r>
    </w:p>
    <w:p w14:paraId="77F8FB04" w14:textId="7BDCC3BD" w:rsidR="00327A5A" w:rsidRPr="00327A5A" w:rsidRDefault="00327A5A" w:rsidP="00327A5A">
      <w:pPr>
        <w:pStyle w:val="Prrafodelista"/>
        <w:numPr>
          <w:ilvl w:val="0"/>
          <w:numId w:val="29"/>
        </w:numPr>
        <w:tabs>
          <w:tab w:val="left" w:pos="4962"/>
        </w:tabs>
        <w:spacing w:after="0" w:line="360" w:lineRule="auto"/>
        <w:rPr>
          <w:rFonts w:eastAsia="Times New Roman" w:cs="Times New Roman"/>
          <w:bCs/>
          <w:color w:val="auto"/>
          <w:lang w:eastAsia="es-ES"/>
        </w:rPr>
      </w:pPr>
      <w:r>
        <w:t>No acreditó el vínculo entre la información peticionada y la afectación que podría causar;</w:t>
      </w:r>
    </w:p>
    <w:p w14:paraId="50653405" w14:textId="2CA32A2F" w:rsidR="00327A5A" w:rsidRPr="00327A5A" w:rsidRDefault="00327A5A" w:rsidP="00327A5A">
      <w:pPr>
        <w:pStyle w:val="Prrafodelista"/>
        <w:numPr>
          <w:ilvl w:val="0"/>
          <w:numId w:val="29"/>
        </w:numPr>
        <w:tabs>
          <w:tab w:val="left" w:pos="4962"/>
        </w:tabs>
        <w:spacing w:after="0" w:line="360" w:lineRule="auto"/>
        <w:rPr>
          <w:rFonts w:eastAsia="Times New Roman" w:cs="Times New Roman"/>
          <w:bCs/>
          <w:color w:val="auto"/>
          <w:lang w:eastAsia="es-ES"/>
        </w:rPr>
      </w:pPr>
      <w:r>
        <w:t>Omitió señalar, las circunstancias de tiempo, modo y lugar del daño que produciría entregar la información peticionada, y</w:t>
      </w:r>
    </w:p>
    <w:p w14:paraId="7D962C17" w14:textId="37833A81" w:rsidR="00327A5A" w:rsidRPr="00327A5A" w:rsidRDefault="00327A5A" w:rsidP="00327A5A">
      <w:pPr>
        <w:pStyle w:val="Prrafodelista"/>
        <w:numPr>
          <w:ilvl w:val="0"/>
          <w:numId w:val="29"/>
        </w:numPr>
        <w:tabs>
          <w:tab w:val="left" w:pos="4962"/>
        </w:tabs>
        <w:spacing w:after="0" w:line="360" w:lineRule="auto"/>
        <w:rPr>
          <w:rFonts w:eastAsia="Times New Roman" w:cs="Times New Roman"/>
          <w:bCs/>
          <w:color w:val="auto"/>
          <w:lang w:eastAsia="es-ES"/>
        </w:rPr>
      </w:pPr>
      <w:r>
        <w:t>No se establecieron las razones, por las cuales la reserva era el medio menos restrictivo, para la protección del interés jurídico.</w:t>
      </w:r>
    </w:p>
    <w:p w14:paraId="7AC550CC" w14:textId="77777777" w:rsidR="000B724E" w:rsidRDefault="000B724E" w:rsidP="00A62148">
      <w:pPr>
        <w:tabs>
          <w:tab w:val="left" w:pos="4962"/>
        </w:tabs>
        <w:spacing w:after="0" w:line="360" w:lineRule="auto"/>
        <w:rPr>
          <w:rFonts w:eastAsia="Times New Roman" w:cs="Times New Roman"/>
          <w:bCs/>
          <w:color w:val="FF0000"/>
          <w:lang w:eastAsia="es-ES"/>
        </w:rPr>
      </w:pPr>
    </w:p>
    <w:p w14:paraId="0143B40E" w14:textId="5C0D904E" w:rsidR="00327A5A" w:rsidRDefault="00327A5A" w:rsidP="00A62148">
      <w:pPr>
        <w:tabs>
          <w:tab w:val="left" w:pos="4962"/>
        </w:tabs>
        <w:spacing w:after="0" w:line="360" w:lineRule="auto"/>
        <w:rPr>
          <w:b/>
          <w:bCs/>
        </w:rPr>
      </w:pPr>
      <w:r>
        <w:lastRenderedPageBreak/>
        <w:t>Así, se advierte que el Sujeto Obligado, no fundamentó y motivó la reserva, pues no realizó de manera correcta, la prueba de daño, señalada en el Trigésimo tercero de los Lineamientos Generales vigentes a la fecha de la solicitud,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004535D6">
        <w:t>.</w:t>
      </w:r>
    </w:p>
    <w:p w14:paraId="3BFEF9B8" w14:textId="77777777" w:rsidR="004535D6" w:rsidRDefault="004535D6" w:rsidP="00A62148">
      <w:pPr>
        <w:tabs>
          <w:tab w:val="left" w:pos="4962"/>
        </w:tabs>
        <w:spacing w:after="0" w:line="360" w:lineRule="auto"/>
      </w:pPr>
    </w:p>
    <w:p w14:paraId="0B63746B" w14:textId="3C2D6F12" w:rsidR="004535D6" w:rsidRDefault="004535D6" w:rsidP="00A62148">
      <w:pPr>
        <w:tabs>
          <w:tab w:val="left" w:pos="4962"/>
        </w:tabs>
        <w:spacing w:after="0" w:line="360" w:lineRule="auto"/>
      </w:pPr>
      <w:r>
        <w:t>Lo anterior, toma relevancia pues el Sujeto Obligado aludió a que la información se encontraba en el proceso establecido en el artículo 37 de los Lineamientos que Norman la Entrega-Recepción de los Ayuntamientos, sus Dependencias, Unidades Administrativas y Entidades de la Administración Pública Municipal del Estado de México, por lo que, este Instituto revisó el Acuerdo 07/2024, del Órgano Superior de Fiscalización del Estado de México y Municipios, del cual se logra vislumbrar que mediante este se emitieron los lineamientos referidos y que los mismos entraron en vigor el primero de septiembre de dos mil veinticuatro.</w:t>
      </w:r>
    </w:p>
    <w:p w14:paraId="587C112E" w14:textId="77777777" w:rsidR="004535D6" w:rsidRDefault="004535D6" w:rsidP="00A62148">
      <w:pPr>
        <w:tabs>
          <w:tab w:val="left" w:pos="4962"/>
        </w:tabs>
        <w:spacing w:after="0" w:line="360" w:lineRule="auto"/>
      </w:pPr>
    </w:p>
    <w:p w14:paraId="206FB249" w14:textId="77D7EE41" w:rsidR="004535D6" w:rsidRDefault="004535D6" w:rsidP="00A62148">
      <w:pPr>
        <w:tabs>
          <w:tab w:val="left" w:pos="4962"/>
        </w:tabs>
        <w:spacing w:after="0" w:line="360" w:lineRule="auto"/>
      </w:pPr>
      <w:r>
        <w:t>De tal circunstancias, se logra vislumbrar que el Sujeto Obligado aludió aun procedimiento que no le aplicaba a las Entregas-Recepción realizadas durante enero de dos mil veinticuatro, pues aun no existían los Lineamientos referidos, situación que robustece el hecho de la indebida fundamentación y motivación de la reserva; pues en el periodo solicitado, aplicaban los Lineamientos que Norman la Entrega-Recepción de los Ayuntamientos, sus Dependencias y Organismos Descentralizados Municipales del Estado de México.</w:t>
      </w:r>
    </w:p>
    <w:p w14:paraId="23D5F4DE" w14:textId="77777777" w:rsidR="004535D6" w:rsidRDefault="004535D6" w:rsidP="00A62148">
      <w:pPr>
        <w:tabs>
          <w:tab w:val="left" w:pos="4962"/>
        </w:tabs>
        <w:spacing w:after="0" w:line="360" w:lineRule="auto"/>
      </w:pPr>
    </w:p>
    <w:p w14:paraId="10FF16E0" w14:textId="36B9FF0D" w:rsidR="00327A5A" w:rsidRDefault="00EC2CCE" w:rsidP="00A62148">
      <w:pPr>
        <w:tabs>
          <w:tab w:val="left" w:pos="4962"/>
        </w:tabs>
        <w:spacing w:after="0" w:line="360" w:lineRule="auto"/>
      </w:pPr>
      <w:r>
        <w:t xml:space="preserve">Ahora bien, sin menospreciar lo anterior, este Instituto procederá al análisis sobre si la información actualiza alguna causal de procedencia; para lo cual, es de señalar que se debe </w:t>
      </w:r>
      <w:r>
        <w:lastRenderedPageBreak/>
        <w:t>realizar una evaluación, caso por caso, a través de una prueba de daño, tomando como referencia, el principio de máxima publicidad y el interés público de dar a conocer la información requerida.</w:t>
      </w:r>
    </w:p>
    <w:p w14:paraId="3991D375" w14:textId="77777777" w:rsidR="00EC2CCE" w:rsidRDefault="00EC2CCE" w:rsidP="00A62148">
      <w:pPr>
        <w:tabs>
          <w:tab w:val="left" w:pos="4962"/>
        </w:tabs>
        <w:spacing w:after="0" w:line="360" w:lineRule="auto"/>
      </w:pPr>
    </w:p>
    <w:p w14:paraId="4F85643E" w14:textId="656105D4" w:rsidR="00EC2CCE" w:rsidRDefault="00EC2CCE" w:rsidP="00A62148">
      <w:pPr>
        <w:tabs>
          <w:tab w:val="left" w:pos="4962"/>
        </w:tabs>
        <w:spacing w:after="0" w:line="360" w:lineRule="auto"/>
      </w:pPr>
      <w:r>
        <w:t>Así, el análisis de la reserva de la información, será realizado tomando en consideración, el interés público que existe para entregar la información solicitada, con el fin dar cumplimiento cabal, al principio máxima publicidad; para lo cual, los artículos 47 y 48 del Acuerdo 013/2021 por el que se emiten los Lineamientos que Norman la Entrega-Recepción de los Ayuntamientos, sus Dependencias y Organismos Descentralizados Municipales del Estado de México, establecen que se hará una revisión y verificación de la información física y electrónica y soporte documental referidos en el Acta de Entrega - Recepción, formatos y anexos se realizará por el servidor público entrante, conforme a las siguientes hipótesis:</w:t>
      </w:r>
    </w:p>
    <w:p w14:paraId="5D13F310" w14:textId="77777777" w:rsidR="00EC2CCE" w:rsidRDefault="00EC2CCE" w:rsidP="00A62148">
      <w:pPr>
        <w:tabs>
          <w:tab w:val="left" w:pos="4962"/>
        </w:tabs>
        <w:spacing w:after="0" w:line="360" w:lineRule="auto"/>
      </w:pPr>
    </w:p>
    <w:p w14:paraId="41A01E5F" w14:textId="380A4436" w:rsidR="00EC2CCE" w:rsidRPr="009F693C" w:rsidRDefault="00EC2CCE" w:rsidP="009F693C">
      <w:pPr>
        <w:pStyle w:val="Prrafodelista"/>
        <w:numPr>
          <w:ilvl w:val="0"/>
          <w:numId w:val="30"/>
        </w:numPr>
        <w:tabs>
          <w:tab w:val="left" w:pos="4962"/>
        </w:tabs>
        <w:spacing w:after="0" w:line="360" w:lineRule="auto"/>
        <w:rPr>
          <w:b/>
          <w:bCs/>
        </w:rPr>
      </w:pPr>
      <w:r>
        <w:t xml:space="preserve">Derivado de la revisión y verificación que realice al contenido de los informes, expedientes, documentos probatorios, deberá determinar si coinciden con el marco normativo aplicable, las evidencias físicas, los reportes de existencia de inventarios, lotes de materiales, fondos, valores y bienes muebles e inmuebles que forman parte de la entrega-recepción; </w:t>
      </w:r>
      <w:r w:rsidRPr="009F693C">
        <w:rPr>
          <w:b/>
          <w:bCs/>
        </w:rPr>
        <w:t>en caso de identificar diferencias entre lo reportado y lo constatado será procedente solicitar las aclaraciones respectivas a través de la persona titular del Órgano Interno de Control.</w:t>
      </w:r>
    </w:p>
    <w:p w14:paraId="5239A263" w14:textId="77777777" w:rsidR="00EC2CCE" w:rsidRDefault="00EC2CCE" w:rsidP="00A62148">
      <w:pPr>
        <w:tabs>
          <w:tab w:val="left" w:pos="4962"/>
        </w:tabs>
        <w:spacing w:after="0" w:line="360" w:lineRule="auto"/>
      </w:pPr>
    </w:p>
    <w:p w14:paraId="0AC66D3C" w14:textId="4B0A5B11" w:rsidR="00EC2CCE" w:rsidRDefault="00955641" w:rsidP="009F693C">
      <w:pPr>
        <w:pStyle w:val="Prrafodelista"/>
        <w:tabs>
          <w:tab w:val="left" w:pos="4962"/>
        </w:tabs>
        <w:spacing w:after="0" w:line="360" w:lineRule="auto"/>
      </w:pPr>
      <w:r>
        <w:t>Recibida la solicitud de aclaración, el Órgano Interno de Control requerirá al servidor público saliente que realice las acciones necesarias para esclarecer las inconsistencias detectadas, para lo que señalará fecha, lugar y hora.</w:t>
      </w:r>
    </w:p>
    <w:p w14:paraId="6F119489" w14:textId="77777777" w:rsidR="00955641" w:rsidRDefault="00955641" w:rsidP="00A62148">
      <w:pPr>
        <w:tabs>
          <w:tab w:val="left" w:pos="4962"/>
        </w:tabs>
        <w:spacing w:after="0" w:line="360" w:lineRule="auto"/>
      </w:pPr>
    </w:p>
    <w:p w14:paraId="08734FAA" w14:textId="1BD82364" w:rsidR="00955641" w:rsidRDefault="00955641" w:rsidP="009F693C">
      <w:pPr>
        <w:pStyle w:val="Prrafodelista"/>
        <w:numPr>
          <w:ilvl w:val="0"/>
          <w:numId w:val="30"/>
        </w:numPr>
        <w:tabs>
          <w:tab w:val="left" w:pos="4962"/>
        </w:tabs>
        <w:spacing w:after="0" w:line="360" w:lineRule="auto"/>
      </w:pPr>
      <w:r>
        <w:t xml:space="preserve">Si existen diferencias entre lo reportado y lo constado que no hayan sido producidas por causas negligentes o incumplimiento de las normas vigentes, y la situación pueda </w:t>
      </w:r>
      <w:r>
        <w:lastRenderedPageBreak/>
        <w:t>explicarse por motivos previamente registrados y documentados como de fuerza mayor o causas no imputables a la voluntad o acción de los servidores públicos que se trate, se requerirán las pruebas que acrediten la existencia de tales circunstancia</w:t>
      </w:r>
      <w:r w:rsidR="009F693C">
        <w:t>s</w:t>
      </w:r>
      <w:r>
        <w:t>.</w:t>
      </w:r>
    </w:p>
    <w:p w14:paraId="1D998915" w14:textId="77777777" w:rsidR="00955641" w:rsidRDefault="00955641" w:rsidP="00A62148">
      <w:pPr>
        <w:tabs>
          <w:tab w:val="left" w:pos="4962"/>
        </w:tabs>
        <w:spacing w:after="0" w:line="360" w:lineRule="auto"/>
      </w:pPr>
    </w:p>
    <w:p w14:paraId="19C2B796" w14:textId="02BC360D" w:rsidR="00955641" w:rsidRDefault="009F693C" w:rsidP="009F693C">
      <w:pPr>
        <w:pStyle w:val="Prrafodelista"/>
        <w:numPr>
          <w:ilvl w:val="0"/>
          <w:numId w:val="30"/>
        </w:numPr>
        <w:tabs>
          <w:tab w:val="left" w:pos="4962"/>
        </w:tabs>
        <w:spacing w:after="0" w:line="360" w:lineRule="auto"/>
      </w:pPr>
      <w:r>
        <w:t>Si existen diferencias entre lo reportado y lo constatado y fueron producidas por omisiones, negligencia, incumplimiento de la norma o errores que presentan de manera ostensible irregularidades que no puedan justificarse por causa de fuerza mayor y que signifiquen daño al patrimonio, se dará vista al Órgano Interno de Control para iniciar el procedimiento de responsabilidad correspondiente.</w:t>
      </w:r>
    </w:p>
    <w:p w14:paraId="37D21302" w14:textId="77777777" w:rsidR="009F693C" w:rsidRDefault="009F693C" w:rsidP="00A62148">
      <w:pPr>
        <w:tabs>
          <w:tab w:val="left" w:pos="4962"/>
        </w:tabs>
        <w:spacing w:after="0" w:line="360" w:lineRule="auto"/>
      </w:pPr>
    </w:p>
    <w:p w14:paraId="7B124A84" w14:textId="0900FF9D" w:rsidR="009F693C" w:rsidRDefault="009F693C" w:rsidP="009F693C">
      <w:pPr>
        <w:pStyle w:val="Prrafodelista"/>
        <w:numPr>
          <w:ilvl w:val="0"/>
          <w:numId w:val="30"/>
        </w:numPr>
        <w:tabs>
          <w:tab w:val="left" w:pos="4962"/>
        </w:tabs>
        <w:spacing w:after="0" w:line="360" w:lineRule="auto"/>
      </w:pPr>
      <w:r>
        <w:t>Si existen diferencias entre lo reportado y lo constatado y sus efectos hayan sido producidos con dolo, omisión u otra causa imputable al responsable de su manejo o gestión y genere afectaciones, merma, o pérdida irreparable al patrimonio de los entes públicos, se dará vista al Órgano Interno de Control y, en su caso, a la Fiscalía General de Justicia, así como la promoción del ejercicio de la facultad de comprobación fiscal ante el Servicio de Administración Tributaria.</w:t>
      </w:r>
    </w:p>
    <w:p w14:paraId="1086A057" w14:textId="77777777" w:rsidR="009F693C" w:rsidRDefault="009F693C" w:rsidP="00A62148">
      <w:pPr>
        <w:tabs>
          <w:tab w:val="left" w:pos="4962"/>
        </w:tabs>
        <w:spacing w:after="0" w:line="360" w:lineRule="auto"/>
      </w:pPr>
    </w:p>
    <w:p w14:paraId="018AD47B" w14:textId="612DFFFA" w:rsidR="009F693C" w:rsidRPr="006A5AF2" w:rsidRDefault="009F693C" w:rsidP="009F693C">
      <w:pPr>
        <w:pStyle w:val="Prrafodelista"/>
        <w:numPr>
          <w:ilvl w:val="0"/>
          <w:numId w:val="30"/>
        </w:numPr>
        <w:tabs>
          <w:tab w:val="left" w:pos="4962"/>
        </w:tabs>
        <w:spacing w:after="0" w:line="360" w:lineRule="auto"/>
        <w:rPr>
          <w:rFonts w:eastAsia="Times New Roman" w:cs="Times New Roman"/>
          <w:bCs/>
          <w:color w:val="auto"/>
          <w:lang w:eastAsia="es-ES"/>
        </w:rPr>
      </w:pPr>
      <w:r w:rsidRPr="006A5AF2">
        <w:rPr>
          <w:color w:val="auto"/>
        </w:rPr>
        <w:t xml:space="preserve">Para la realización de las aclaraciones y observaciones, los servidores públicos entrantes tendrán un plazo </w:t>
      </w:r>
      <w:r w:rsidRPr="006A5AF2">
        <w:rPr>
          <w:color w:val="auto"/>
          <w:u w:val="single"/>
        </w:rPr>
        <w:t>de sesenta días hábiles contados</w:t>
      </w:r>
      <w:r w:rsidRPr="006A5AF2">
        <w:rPr>
          <w:color w:val="auto"/>
        </w:rPr>
        <w:t xml:space="preserve"> a partir del día siguiente al de la suscripción del acta de entrega-recepción; lo anterior, a través de escrito dirigido a la persona titular del Órgano Interno de Control o al Síndic</w:t>
      </w:r>
      <w:r w:rsidR="006A5AF2">
        <w:rPr>
          <w:color w:val="auto"/>
        </w:rPr>
        <w:t>o.</w:t>
      </w:r>
    </w:p>
    <w:p w14:paraId="312E0217" w14:textId="77777777" w:rsidR="006A5AF2" w:rsidRPr="006A5AF2" w:rsidRDefault="006A5AF2" w:rsidP="006A5AF2">
      <w:pPr>
        <w:pStyle w:val="Prrafodelista"/>
        <w:rPr>
          <w:rFonts w:eastAsia="Times New Roman" w:cs="Times New Roman"/>
          <w:bCs/>
          <w:color w:val="auto"/>
          <w:lang w:eastAsia="es-ES"/>
        </w:rPr>
      </w:pPr>
    </w:p>
    <w:p w14:paraId="7A4B2DEE" w14:textId="304B1F6B" w:rsidR="006A5AF2" w:rsidRDefault="00A352F4" w:rsidP="006A5AF2">
      <w:pPr>
        <w:tabs>
          <w:tab w:val="left" w:pos="4962"/>
        </w:tabs>
        <w:spacing w:after="0" w:line="360" w:lineRule="auto"/>
      </w:pPr>
      <w:r>
        <w:t>Conforme a lo anterior, se logra observar que el procedimiento de verificación de información contenida en la Entrega-Recepción, corresponde a un procedimiento deliberativo, en el cual se busca determinar si fueron atendidas las aclaraciones y observaciones realizadas por los servidores públicos entrantes.</w:t>
      </w:r>
    </w:p>
    <w:p w14:paraId="0F3D64E0" w14:textId="77777777" w:rsidR="006472B4" w:rsidRDefault="006472B4" w:rsidP="006A5AF2">
      <w:pPr>
        <w:tabs>
          <w:tab w:val="left" w:pos="4962"/>
        </w:tabs>
        <w:spacing w:after="0" w:line="360" w:lineRule="auto"/>
      </w:pPr>
    </w:p>
    <w:p w14:paraId="10B9257B" w14:textId="5A3C12D7" w:rsidR="00A352F4" w:rsidRDefault="006472B4" w:rsidP="006A5AF2">
      <w:pPr>
        <w:tabs>
          <w:tab w:val="left" w:pos="4962"/>
        </w:tabs>
        <w:spacing w:after="0" w:line="360" w:lineRule="auto"/>
      </w:pPr>
      <w:r>
        <w:lastRenderedPageBreak/>
        <w:t>Ahora bien y en atención a la naturaleza del procedimiento referida, se procede analizar de manera oficiosa, si las Actas actualizan la causal de reserva establecida en el artículo 140, fracción VII, de la Ley de Transparencia y Acceso a la Información Pública del Estado de México y Municipios, que precisa lo siguiente:</w:t>
      </w:r>
    </w:p>
    <w:p w14:paraId="59BBBF7F" w14:textId="77777777" w:rsidR="006F75C4" w:rsidRPr="006F75C4" w:rsidRDefault="006F75C4" w:rsidP="006F75C4">
      <w:pPr>
        <w:spacing w:after="0" w:line="360" w:lineRule="auto"/>
        <w:ind w:left="567" w:right="567"/>
        <w:rPr>
          <w:rFonts w:eastAsia="Times New Roman" w:cs="Arial"/>
          <w:bCs/>
          <w:i/>
          <w:iCs/>
          <w:color w:val="auto"/>
          <w:sz w:val="20"/>
          <w:szCs w:val="20"/>
          <w:lang w:eastAsia="es-ES"/>
        </w:rPr>
      </w:pPr>
      <w:r w:rsidRPr="006F75C4">
        <w:rPr>
          <w:rFonts w:eastAsia="Times New Roman" w:cs="Arial"/>
          <w:bCs/>
          <w:i/>
          <w:iCs/>
          <w:color w:val="auto"/>
          <w:sz w:val="20"/>
          <w:szCs w:val="20"/>
          <w:lang w:eastAsia="es-ES"/>
        </w:rPr>
        <w:t>“</w:t>
      </w:r>
      <w:r w:rsidRPr="006F75C4">
        <w:rPr>
          <w:rFonts w:eastAsia="Times New Roman" w:cs="Arial"/>
          <w:b/>
          <w:i/>
          <w:iCs/>
          <w:color w:val="auto"/>
          <w:sz w:val="20"/>
          <w:szCs w:val="20"/>
          <w:lang w:eastAsia="es-ES"/>
        </w:rPr>
        <w:t>Artículo 140.</w:t>
      </w:r>
      <w:r w:rsidRPr="006F75C4">
        <w:rPr>
          <w:rFonts w:eastAsia="Times New Roman" w:cs="Arial"/>
          <w:bCs/>
          <w:i/>
          <w:iCs/>
          <w:color w:val="auto"/>
          <w:sz w:val="20"/>
          <w:szCs w:val="20"/>
          <w:lang w:eastAsia="es-ES"/>
        </w:rPr>
        <w:t xml:space="preserve"> El acceso a la información pública será restringido excepcionalmente, cuando por razones de interés público, ésta sea clasificada como reservada, conforme a los criterios siguientes:</w:t>
      </w:r>
    </w:p>
    <w:p w14:paraId="4DC66AD9" w14:textId="16230D23" w:rsidR="006472B4" w:rsidRPr="006F75C4" w:rsidRDefault="006F75C4" w:rsidP="006F75C4">
      <w:pPr>
        <w:spacing w:after="0" w:line="360" w:lineRule="auto"/>
        <w:ind w:left="567" w:right="567"/>
        <w:rPr>
          <w:rFonts w:eastAsia="Times New Roman" w:cs="Arial"/>
          <w:bCs/>
          <w:i/>
          <w:iCs/>
          <w:color w:val="auto"/>
          <w:sz w:val="20"/>
          <w:szCs w:val="20"/>
          <w:lang w:eastAsia="es-ES"/>
        </w:rPr>
      </w:pPr>
      <w:r w:rsidRPr="006F75C4">
        <w:rPr>
          <w:rFonts w:eastAsia="Times New Roman" w:cs="Arial"/>
          <w:bCs/>
          <w:i/>
          <w:iCs/>
          <w:color w:val="auto"/>
          <w:sz w:val="20"/>
          <w:szCs w:val="20"/>
          <w:lang w:eastAsia="es-ES"/>
        </w:rPr>
        <w:t xml:space="preserve"> …</w:t>
      </w:r>
    </w:p>
    <w:p w14:paraId="4F69D79B" w14:textId="77777777" w:rsidR="006F75C4" w:rsidRPr="006F75C4" w:rsidRDefault="006F75C4" w:rsidP="006F75C4">
      <w:pPr>
        <w:spacing w:after="0" w:line="360" w:lineRule="auto"/>
        <w:ind w:left="567" w:right="567"/>
        <w:rPr>
          <w:rFonts w:eastAsia="Times New Roman" w:cs="Arial"/>
          <w:bCs/>
          <w:i/>
          <w:iCs/>
          <w:color w:val="auto"/>
          <w:sz w:val="20"/>
          <w:szCs w:val="20"/>
          <w:lang w:eastAsia="es-ES"/>
        </w:rPr>
      </w:pPr>
      <w:r w:rsidRPr="006F75C4">
        <w:rPr>
          <w:rFonts w:eastAsia="Times New Roman" w:cs="Arial"/>
          <w:bCs/>
          <w:i/>
          <w:iCs/>
          <w:color w:val="auto"/>
          <w:sz w:val="20"/>
          <w:szCs w:val="20"/>
          <w:lang w:eastAsia="es-ES"/>
        </w:rPr>
        <w:t xml:space="preserve">VII. La que contengan las opiniones, recomendaciones o puntos de vista que formen parte del proceso deliberativo de los servidores públicos, hasta en tanto sea adoptada la decisión definitiva, la cual deberá estar documentada; </w:t>
      </w:r>
    </w:p>
    <w:p w14:paraId="0EB37884" w14:textId="01770E3C" w:rsidR="006F75C4" w:rsidRDefault="006F75C4" w:rsidP="006F75C4">
      <w:pPr>
        <w:spacing w:after="0" w:line="360" w:lineRule="auto"/>
        <w:ind w:left="567" w:right="567"/>
        <w:rPr>
          <w:rFonts w:eastAsia="Times New Roman" w:cs="Arial"/>
          <w:bCs/>
          <w:i/>
          <w:iCs/>
          <w:color w:val="auto"/>
          <w:sz w:val="20"/>
          <w:szCs w:val="20"/>
          <w:lang w:eastAsia="es-ES"/>
        </w:rPr>
      </w:pPr>
      <w:r w:rsidRPr="006F75C4">
        <w:rPr>
          <w:rFonts w:eastAsia="Times New Roman" w:cs="Arial"/>
          <w:bCs/>
          <w:i/>
          <w:iCs/>
          <w:color w:val="auto"/>
          <w:sz w:val="20"/>
          <w:szCs w:val="20"/>
          <w:lang w:eastAsia="es-ES"/>
        </w:rPr>
        <w:t>…”</w:t>
      </w:r>
    </w:p>
    <w:p w14:paraId="31B4AEB1" w14:textId="77777777" w:rsidR="006D76F9" w:rsidRDefault="006D76F9" w:rsidP="006F75C4">
      <w:pPr>
        <w:spacing w:after="0" w:line="360" w:lineRule="auto"/>
        <w:ind w:right="567"/>
      </w:pPr>
    </w:p>
    <w:p w14:paraId="03888F91" w14:textId="3946EFAE" w:rsidR="006F75C4" w:rsidRDefault="006D76F9" w:rsidP="006F75C4">
      <w:pPr>
        <w:spacing w:after="0" w:line="360" w:lineRule="auto"/>
        <w:ind w:right="567"/>
      </w:pPr>
      <w:r>
        <w:t>Por su parte, en los Lineamientos Generales los cuales se encontraban vigentes a la fecha de la solicitud, se prevé lo siguiente:</w:t>
      </w:r>
    </w:p>
    <w:p w14:paraId="67232568" w14:textId="77777777" w:rsidR="000734AC" w:rsidRDefault="000734AC" w:rsidP="006F75C4">
      <w:pPr>
        <w:spacing w:after="0" w:line="360" w:lineRule="auto"/>
        <w:ind w:right="567"/>
      </w:pPr>
    </w:p>
    <w:p w14:paraId="36876518" w14:textId="77777777" w:rsidR="004E2B83" w:rsidRDefault="004E2B83" w:rsidP="004E2B83">
      <w:pPr>
        <w:spacing w:after="0" w:line="360" w:lineRule="auto"/>
        <w:ind w:left="567" w:right="567"/>
        <w:rPr>
          <w:rFonts w:eastAsia="Times New Roman" w:cs="Arial"/>
          <w:bCs/>
          <w:i/>
          <w:iCs/>
          <w:color w:val="auto"/>
          <w:sz w:val="20"/>
          <w:szCs w:val="20"/>
          <w:lang w:eastAsia="es-ES"/>
        </w:rPr>
      </w:pPr>
      <w:r w:rsidRPr="004E2B83">
        <w:rPr>
          <w:rFonts w:eastAsia="Times New Roman" w:cs="Arial"/>
          <w:bCs/>
          <w:i/>
          <w:iCs/>
          <w:color w:val="auto"/>
          <w:sz w:val="20"/>
          <w:szCs w:val="20"/>
          <w:lang w:eastAsia="es-ES"/>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7EC7DA92" w14:textId="77777777" w:rsidR="004E2B83" w:rsidRDefault="004E2B83" w:rsidP="004E2B83">
      <w:pPr>
        <w:spacing w:after="0" w:line="360" w:lineRule="auto"/>
        <w:ind w:left="567" w:right="567"/>
        <w:rPr>
          <w:rFonts w:eastAsia="Times New Roman" w:cs="Arial"/>
          <w:bCs/>
          <w:i/>
          <w:iCs/>
          <w:color w:val="auto"/>
          <w:sz w:val="20"/>
          <w:szCs w:val="20"/>
          <w:lang w:eastAsia="es-ES"/>
        </w:rPr>
      </w:pPr>
    </w:p>
    <w:p w14:paraId="6029A406" w14:textId="38867729" w:rsidR="004E2B83" w:rsidRDefault="004E2B83" w:rsidP="004E2B83">
      <w:pPr>
        <w:pStyle w:val="Prrafodelista"/>
        <w:numPr>
          <w:ilvl w:val="0"/>
          <w:numId w:val="31"/>
        </w:numPr>
        <w:spacing w:after="0" w:line="360" w:lineRule="auto"/>
        <w:ind w:right="567"/>
        <w:rPr>
          <w:rFonts w:eastAsia="Times New Roman" w:cs="Arial"/>
          <w:bCs/>
          <w:i/>
          <w:iCs/>
          <w:color w:val="auto"/>
          <w:sz w:val="20"/>
          <w:szCs w:val="20"/>
          <w:lang w:eastAsia="es-ES"/>
        </w:rPr>
      </w:pPr>
      <w:r w:rsidRPr="004E2B83">
        <w:rPr>
          <w:rFonts w:eastAsia="Times New Roman" w:cs="Arial"/>
          <w:bCs/>
          <w:i/>
          <w:iCs/>
          <w:color w:val="auto"/>
          <w:sz w:val="20"/>
          <w:szCs w:val="20"/>
          <w:lang w:eastAsia="es-ES"/>
        </w:rPr>
        <w:t>La existencia de un proceso deliberativo en curso, precisando la fecha de inicio;</w:t>
      </w:r>
    </w:p>
    <w:p w14:paraId="022858DB" w14:textId="77777777" w:rsidR="004E2B83" w:rsidRPr="004E2B83" w:rsidRDefault="004E2B83" w:rsidP="004E2B83">
      <w:pPr>
        <w:pStyle w:val="Prrafodelista"/>
        <w:spacing w:after="0" w:line="360" w:lineRule="auto"/>
        <w:ind w:left="1335" w:right="567"/>
        <w:rPr>
          <w:rFonts w:eastAsia="Times New Roman" w:cs="Arial"/>
          <w:bCs/>
          <w:i/>
          <w:iCs/>
          <w:color w:val="auto"/>
          <w:sz w:val="20"/>
          <w:szCs w:val="20"/>
          <w:lang w:eastAsia="es-ES"/>
        </w:rPr>
      </w:pPr>
    </w:p>
    <w:p w14:paraId="550B247F" w14:textId="77777777" w:rsidR="004E2B83" w:rsidRDefault="004E2B83" w:rsidP="004E2B83">
      <w:pPr>
        <w:pStyle w:val="Prrafodelista"/>
        <w:numPr>
          <w:ilvl w:val="0"/>
          <w:numId w:val="31"/>
        </w:numPr>
        <w:spacing w:after="0" w:line="360" w:lineRule="auto"/>
        <w:ind w:right="567"/>
        <w:rPr>
          <w:rFonts w:eastAsia="Times New Roman" w:cs="Arial"/>
          <w:bCs/>
          <w:i/>
          <w:iCs/>
          <w:color w:val="auto"/>
          <w:sz w:val="20"/>
          <w:szCs w:val="20"/>
          <w:lang w:eastAsia="es-ES"/>
        </w:rPr>
      </w:pPr>
      <w:r w:rsidRPr="004E2B83">
        <w:rPr>
          <w:rFonts w:eastAsia="Times New Roman" w:cs="Arial"/>
          <w:bCs/>
          <w:i/>
          <w:iCs/>
          <w:color w:val="auto"/>
          <w:sz w:val="20"/>
          <w:szCs w:val="20"/>
          <w:lang w:eastAsia="es-ES"/>
        </w:rPr>
        <w:t xml:space="preserve">  Que la información consista en opiniones, recomendaciones o puntos de vista de los servidores públicos que participan en el proceso deliberativo; </w:t>
      </w:r>
    </w:p>
    <w:p w14:paraId="27840749" w14:textId="77777777" w:rsidR="004E2B83" w:rsidRPr="004E2B83" w:rsidRDefault="004E2B83" w:rsidP="004E2B83">
      <w:pPr>
        <w:pStyle w:val="Prrafodelista"/>
        <w:rPr>
          <w:rFonts w:eastAsia="Times New Roman" w:cs="Arial"/>
          <w:bCs/>
          <w:i/>
          <w:iCs/>
          <w:color w:val="auto"/>
          <w:sz w:val="20"/>
          <w:szCs w:val="20"/>
          <w:lang w:eastAsia="es-ES"/>
        </w:rPr>
      </w:pPr>
    </w:p>
    <w:p w14:paraId="31316EC6" w14:textId="77777777" w:rsidR="004E2B83" w:rsidRDefault="004E2B83" w:rsidP="004E2B83">
      <w:pPr>
        <w:pStyle w:val="Prrafodelista"/>
        <w:numPr>
          <w:ilvl w:val="0"/>
          <w:numId w:val="31"/>
        </w:numPr>
        <w:spacing w:after="0" w:line="360" w:lineRule="auto"/>
        <w:ind w:right="567"/>
        <w:rPr>
          <w:rFonts w:eastAsia="Times New Roman" w:cs="Arial"/>
          <w:bCs/>
          <w:i/>
          <w:iCs/>
          <w:color w:val="auto"/>
          <w:sz w:val="20"/>
          <w:szCs w:val="20"/>
          <w:lang w:eastAsia="es-ES"/>
        </w:rPr>
      </w:pPr>
      <w:r w:rsidRPr="004E2B83">
        <w:rPr>
          <w:rFonts w:eastAsia="Times New Roman" w:cs="Arial"/>
          <w:bCs/>
          <w:i/>
          <w:iCs/>
          <w:color w:val="auto"/>
          <w:sz w:val="20"/>
          <w:szCs w:val="20"/>
          <w:lang w:eastAsia="es-ES"/>
        </w:rPr>
        <w:t xml:space="preserve">Que la información se encuentre relacionada, de manera directa, con el proceso deliberativo, y </w:t>
      </w:r>
    </w:p>
    <w:p w14:paraId="5073727A" w14:textId="77777777" w:rsidR="004E2B83" w:rsidRPr="004E2B83" w:rsidRDefault="004E2B83" w:rsidP="004E2B83">
      <w:pPr>
        <w:pStyle w:val="Prrafodelista"/>
        <w:rPr>
          <w:rFonts w:eastAsia="Times New Roman" w:cs="Arial"/>
          <w:bCs/>
          <w:i/>
          <w:iCs/>
          <w:color w:val="auto"/>
          <w:sz w:val="20"/>
          <w:szCs w:val="20"/>
          <w:lang w:eastAsia="es-ES"/>
        </w:rPr>
      </w:pPr>
    </w:p>
    <w:p w14:paraId="54FDC74B" w14:textId="77777777" w:rsidR="004E2B83" w:rsidRDefault="004E2B83" w:rsidP="004E2B83">
      <w:pPr>
        <w:pStyle w:val="Prrafodelista"/>
        <w:numPr>
          <w:ilvl w:val="0"/>
          <w:numId w:val="31"/>
        </w:numPr>
        <w:spacing w:after="0" w:line="360" w:lineRule="auto"/>
        <w:ind w:right="567"/>
        <w:rPr>
          <w:rFonts w:eastAsia="Times New Roman" w:cs="Arial"/>
          <w:bCs/>
          <w:i/>
          <w:iCs/>
          <w:color w:val="auto"/>
          <w:sz w:val="20"/>
          <w:szCs w:val="20"/>
          <w:lang w:eastAsia="es-ES"/>
        </w:rPr>
      </w:pPr>
      <w:r w:rsidRPr="004E2B83">
        <w:rPr>
          <w:rFonts w:eastAsia="Times New Roman" w:cs="Arial"/>
          <w:bCs/>
          <w:i/>
          <w:iCs/>
          <w:color w:val="auto"/>
          <w:sz w:val="20"/>
          <w:szCs w:val="20"/>
          <w:lang w:eastAsia="es-ES"/>
        </w:rPr>
        <w:lastRenderedPageBreak/>
        <w:t xml:space="preserve"> Que con su difusión se pueda llegar a interrumpir, menoscabar o inhibir el diseño, negociación, determinación o implementación de los asuntos sometidos a deliberación. </w:t>
      </w:r>
    </w:p>
    <w:p w14:paraId="26D37113" w14:textId="77777777" w:rsidR="004E2B83" w:rsidRPr="004E2B83" w:rsidRDefault="004E2B83" w:rsidP="004E2B83">
      <w:pPr>
        <w:pStyle w:val="Prrafodelista"/>
        <w:rPr>
          <w:rFonts w:eastAsia="Times New Roman" w:cs="Arial"/>
          <w:bCs/>
          <w:i/>
          <w:iCs/>
          <w:color w:val="auto"/>
          <w:sz w:val="20"/>
          <w:szCs w:val="20"/>
          <w:lang w:eastAsia="es-ES"/>
        </w:rPr>
      </w:pPr>
    </w:p>
    <w:p w14:paraId="6903D331" w14:textId="31243479" w:rsidR="006D76F9" w:rsidRDefault="004E2B83" w:rsidP="004E2B83">
      <w:pPr>
        <w:pStyle w:val="Prrafodelista"/>
        <w:spacing w:after="0" w:line="360" w:lineRule="auto"/>
        <w:ind w:left="1335" w:right="567"/>
        <w:rPr>
          <w:rFonts w:eastAsia="Times New Roman" w:cs="Arial"/>
          <w:bCs/>
          <w:i/>
          <w:iCs/>
          <w:color w:val="auto"/>
          <w:sz w:val="20"/>
          <w:szCs w:val="20"/>
          <w:lang w:eastAsia="es-ES"/>
        </w:rPr>
      </w:pPr>
      <w:r w:rsidRPr="004E2B83">
        <w:rPr>
          <w:rFonts w:eastAsia="Times New Roman" w:cs="Arial"/>
          <w:bCs/>
          <w:i/>
          <w:iCs/>
          <w:color w:val="auto"/>
          <w:sz w:val="20"/>
          <w:szCs w:val="20"/>
          <w:lang w:eastAsia="es-ES"/>
        </w:rPr>
        <w:t>Se considera concluido el proceso deliberativo cuando se adopte de manera concluyente la última determinación, sea o no susceptible de ejecución; cuando el proceso haya quedado sin materia, o cuando por cualquier causa no sea posible continuar con su desarrollo. …”</w:t>
      </w:r>
    </w:p>
    <w:p w14:paraId="5F54D004" w14:textId="77777777" w:rsidR="00DE7982" w:rsidRDefault="00DE7982" w:rsidP="00DE7982">
      <w:pPr>
        <w:spacing w:after="0" w:line="360" w:lineRule="auto"/>
        <w:ind w:right="567"/>
      </w:pPr>
    </w:p>
    <w:p w14:paraId="73DE5419" w14:textId="43CE6065" w:rsidR="00DE7982" w:rsidRDefault="00DE7982" w:rsidP="00DE7982">
      <w:pPr>
        <w:tabs>
          <w:tab w:val="left" w:pos="4962"/>
        </w:tabs>
        <w:spacing w:after="0" w:line="360" w:lineRule="auto"/>
        <w:rPr>
          <w:color w:val="auto"/>
        </w:rPr>
      </w:pPr>
      <w:r w:rsidRPr="00DE7982">
        <w:rPr>
          <w:color w:val="auto"/>
        </w:rPr>
        <w:t>De los preceptos normativos citados, se desprende que podrá considerarse como información reservada la que contenga opiniones, recomendaciones o puntos de vista que formen parte del proceso deliberativo de los servidores públicos, hasta en tanto no sea adoptada la decisión definitiva, la cual deberá estar documentada. En ese tenor, para poder acreditar la clasificación referida, deben cumplirse los siguientes requisitos:</w:t>
      </w:r>
    </w:p>
    <w:p w14:paraId="4A157322" w14:textId="77777777" w:rsidR="00DE7982" w:rsidRDefault="00DE7982" w:rsidP="00DE7982">
      <w:pPr>
        <w:tabs>
          <w:tab w:val="left" w:pos="4962"/>
        </w:tabs>
        <w:spacing w:after="0" w:line="360" w:lineRule="auto"/>
        <w:rPr>
          <w:color w:val="auto"/>
        </w:rPr>
      </w:pPr>
    </w:p>
    <w:p w14:paraId="736775F4" w14:textId="77777777" w:rsidR="00DE7982" w:rsidRDefault="00DE7982" w:rsidP="00DE7982">
      <w:pPr>
        <w:pStyle w:val="Prrafodelista"/>
        <w:numPr>
          <w:ilvl w:val="0"/>
          <w:numId w:val="33"/>
        </w:numPr>
        <w:tabs>
          <w:tab w:val="left" w:pos="4962"/>
        </w:tabs>
        <w:spacing w:after="0" w:line="360" w:lineRule="auto"/>
      </w:pPr>
      <w:r>
        <w:t xml:space="preserve">La existencia de un proceso deliberativo en curso. </w:t>
      </w:r>
    </w:p>
    <w:p w14:paraId="6A208901" w14:textId="77777777" w:rsidR="00DE7982" w:rsidRDefault="00DE7982" w:rsidP="00DE7982">
      <w:pPr>
        <w:pStyle w:val="Prrafodelista"/>
        <w:tabs>
          <w:tab w:val="left" w:pos="4962"/>
        </w:tabs>
        <w:spacing w:after="0" w:line="360" w:lineRule="auto"/>
      </w:pPr>
    </w:p>
    <w:p w14:paraId="1C9416C4" w14:textId="77777777" w:rsidR="00DE7982" w:rsidRDefault="00DE7982" w:rsidP="00DE7982">
      <w:pPr>
        <w:pStyle w:val="Prrafodelista"/>
        <w:numPr>
          <w:ilvl w:val="0"/>
          <w:numId w:val="33"/>
        </w:numPr>
        <w:tabs>
          <w:tab w:val="left" w:pos="4962"/>
        </w:tabs>
        <w:spacing w:after="0" w:line="360" w:lineRule="auto"/>
      </w:pPr>
      <w:r>
        <w:t xml:space="preserve">Que la información solicitada consista en opiniones, recomendaciones o puntos de vista de los servidores públicos que participan en el proceso deliberativo. </w:t>
      </w:r>
    </w:p>
    <w:p w14:paraId="35A7DE1B" w14:textId="77777777" w:rsidR="00DE7982" w:rsidRDefault="00DE7982" w:rsidP="00DE7982">
      <w:pPr>
        <w:pStyle w:val="Prrafodelista"/>
      </w:pPr>
    </w:p>
    <w:p w14:paraId="7DE9453C" w14:textId="77777777" w:rsidR="00DE7982" w:rsidRDefault="00DE7982" w:rsidP="00DE7982">
      <w:pPr>
        <w:pStyle w:val="Prrafodelista"/>
        <w:numPr>
          <w:ilvl w:val="0"/>
          <w:numId w:val="33"/>
        </w:numPr>
        <w:tabs>
          <w:tab w:val="left" w:pos="4962"/>
        </w:tabs>
        <w:spacing w:after="0" w:line="360" w:lineRule="auto"/>
      </w:pPr>
      <w:r>
        <w:t xml:space="preserve">Que la información solicitada se encuentre relacionada de manera directa con el proceso deliberativo. </w:t>
      </w:r>
    </w:p>
    <w:p w14:paraId="4D2DD22D" w14:textId="77777777" w:rsidR="00DE7982" w:rsidRDefault="00DE7982" w:rsidP="00DE7982">
      <w:pPr>
        <w:pStyle w:val="Prrafodelista"/>
        <w:tabs>
          <w:tab w:val="left" w:pos="4962"/>
        </w:tabs>
        <w:spacing w:after="0" w:line="360" w:lineRule="auto"/>
      </w:pPr>
    </w:p>
    <w:p w14:paraId="100FD1CA" w14:textId="3D659A9D" w:rsidR="00DE7982" w:rsidRPr="00DE7982" w:rsidRDefault="00DE7982" w:rsidP="00DE7982">
      <w:pPr>
        <w:pStyle w:val="Prrafodelista"/>
        <w:numPr>
          <w:ilvl w:val="0"/>
          <w:numId w:val="33"/>
        </w:numPr>
        <w:tabs>
          <w:tab w:val="left" w:pos="4962"/>
        </w:tabs>
        <w:spacing w:after="0" w:line="360" w:lineRule="auto"/>
        <w:rPr>
          <w:color w:val="auto"/>
        </w:rPr>
      </w:pPr>
      <w:r>
        <w:t>Que con su difusión se pueda llegar afectar los asuntos sometidos a deliberación.</w:t>
      </w:r>
    </w:p>
    <w:p w14:paraId="59EF5394" w14:textId="77777777" w:rsidR="00DE7982" w:rsidRPr="00DE7982" w:rsidRDefault="00DE7982" w:rsidP="00DE7982">
      <w:pPr>
        <w:pStyle w:val="Prrafodelista"/>
        <w:rPr>
          <w:color w:val="auto"/>
        </w:rPr>
      </w:pPr>
    </w:p>
    <w:p w14:paraId="733F2EB2" w14:textId="632D2DB8" w:rsidR="00DE7982" w:rsidRDefault="0081534B" w:rsidP="00DE7982">
      <w:pPr>
        <w:tabs>
          <w:tab w:val="left" w:pos="4962"/>
        </w:tabs>
        <w:spacing w:after="0" w:line="360" w:lineRule="auto"/>
      </w:pPr>
      <w:r>
        <w:t xml:space="preserve">En ese sentido, la información de un proceso deliberativo que es susceptible de reserva, es aquélla que registra la deliberación o el sentido de la decisión, al tratarse de opiniones, recomendaciones o puntos de vista que son valorados por las autoridades, ya que lo que se protege es la secrecía en la toma de decisiones hasta que estas sean adoptadas a fin de que </w:t>
      </w:r>
      <w:r>
        <w:lastRenderedPageBreak/>
        <w:t>dicha deliberación no sea afectada por agentes externos de modo tal que estos servidores se vean incapacitados para tomar la decisión de forma adecuada; es decir, la información susceptible de reserva es aquella que estrictamente forma parte y guarda relación directa con el proceso de toma de decisión y cuya divulgación, precisamente, inhibiría ese proceso o lesionaría su determinación.</w:t>
      </w:r>
    </w:p>
    <w:p w14:paraId="60ACED19" w14:textId="77777777" w:rsidR="00CC3383" w:rsidRDefault="00CC3383" w:rsidP="00DE7982">
      <w:pPr>
        <w:tabs>
          <w:tab w:val="left" w:pos="4962"/>
        </w:tabs>
        <w:spacing w:after="0" w:line="360" w:lineRule="auto"/>
      </w:pPr>
    </w:p>
    <w:p w14:paraId="4EA2E418" w14:textId="6F5A0EF3" w:rsidR="00CC3383" w:rsidRDefault="00CC3383" w:rsidP="00DE7982">
      <w:pPr>
        <w:tabs>
          <w:tab w:val="left" w:pos="4962"/>
        </w:tabs>
        <w:spacing w:after="0" w:line="360" w:lineRule="auto"/>
      </w:pPr>
      <w: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 En otras palabras, lo que se busca evitar es que se divulgue información que pueda entorpecer o afectar el correcto desarrollo de la deliberación.</w:t>
      </w:r>
    </w:p>
    <w:p w14:paraId="292B1670" w14:textId="77777777" w:rsidR="00CC3383" w:rsidRDefault="00CC3383" w:rsidP="00DE7982">
      <w:pPr>
        <w:tabs>
          <w:tab w:val="left" w:pos="4962"/>
        </w:tabs>
        <w:spacing w:after="0" w:line="360" w:lineRule="auto"/>
      </w:pPr>
    </w:p>
    <w:p w14:paraId="621DE519" w14:textId="37B84A02" w:rsidR="00CC3383" w:rsidRDefault="00CC3383" w:rsidP="00DE7982">
      <w:pPr>
        <w:tabs>
          <w:tab w:val="left" w:pos="4962"/>
        </w:tabs>
        <w:spacing w:after="0" w:line="360" w:lineRule="auto"/>
      </w:pPr>
      <w:r>
        <w:t>En ese contexto, cabe recordar que el procedimiento de verificación de la información contenida en la Entrega-Recepción</w:t>
      </w:r>
      <w:r w:rsidR="004535D6">
        <w:t>, previamente analizado</w:t>
      </w:r>
      <w:r>
        <w:t>, se conforma de las siguientes etapas:</w:t>
      </w:r>
    </w:p>
    <w:p w14:paraId="691B33D6" w14:textId="77777777" w:rsidR="00CC3383" w:rsidRDefault="00CC3383" w:rsidP="00DE7982">
      <w:pPr>
        <w:tabs>
          <w:tab w:val="left" w:pos="4962"/>
        </w:tabs>
        <w:spacing w:after="0" w:line="360" w:lineRule="auto"/>
      </w:pPr>
    </w:p>
    <w:p w14:paraId="50582446" w14:textId="53137956" w:rsidR="00CC3383" w:rsidRPr="006D3456" w:rsidRDefault="006D3456" w:rsidP="006D3456">
      <w:pPr>
        <w:pStyle w:val="Prrafodelista"/>
        <w:numPr>
          <w:ilvl w:val="0"/>
          <w:numId w:val="34"/>
        </w:numPr>
        <w:tabs>
          <w:tab w:val="left" w:pos="4962"/>
        </w:tabs>
        <w:spacing w:after="0" w:line="360" w:lineRule="auto"/>
        <w:rPr>
          <w:color w:val="auto"/>
        </w:rPr>
      </w:pPr>
      <w:r>
        <w:t>Revisión y documentación del contenido de la Entrega-Recepción, con sus respectivos anexos; en caso de no localizar inconsistencias, se da por terminado el proceso.</w:t>
      </w:r>
    </w:p>
    <w:p w14:paraId="5BAB179D" w14:textId="77777777" w:rsidR="006D3456" w:rsidRPr="006D3456" w:rsidRDefault="006D3456" w:rsidP="006D3456">
      <w:pPr>
        <w:pStyle w:val="Prrafodelista"/>
        <w:tabs>
          <w:tab w:val="left" w:pos="4962"/>
        </w:tabs>
        <w:spacing w:after="0" w:line="360" w:lineRule="auto"/>
        <w:rPr>
          <w:color w:val="auto"/>
        </w:rPr>
      </w:pPr>
    </w:p>
    <w:p w14:paraId="40AAB5AB" w14:textId="61D9201D" w:rsidR="006D3456" w:rsidRPr="00407C23" w:rsidRDefault="006D3456" w:rsidP="006D3456">
      <w:pPr>
        <w:pStyle w:val="Prrafodelista"/>
        <w:numPr>
          <w:ilvl w:val="0"/>
          <w:numId w:val="34"/>
        </w:numPr>
        <w:tabs>
          <w:tab w:val="left" w:pos="4962"/>
        </w:tabs>
        <w:spacing w:after="0" w:line="360" w:lineRule="auto"/>
        <w:rPr>
          <w:color w:val="auto"/>
        </w:rPr>
      </w:pPr>
      <w:r>
        <w:t xml:space="preserve"> En caso de localizar inconsistencias o diferencias entre lo reportado y constatado, será procedente solicitar las aclaraciones respectivas; para lo cual, la Contraloría Municipal requerirá al servidor público saliente que realice las aclaraciones correspondientes para esclarecer las inconsistencias y en caso de subsistir se iniciará el procedimiento correspondiente</w:t>
      </w:r>
      <w:r w:rsidR="004535D6">
        <w:t xml:space="preserve"> ante las autoridades competentes.</w:t>
      </w:r>
    </w:p>
    <w:p w14:paraId="49A9AE45" w14:textId="77777777" w:rsidR="00407C23" w:rsidRPr="00407C23" w:rsidRDefault="00407C23" w:rsidP="00407C23">
      <w:pPr>
        <w:pStyle w:val="Prrafodelista"/>
        <w:rPr>
          <w:color w:val="auto"/>
        </w:rPr>
      </w:pPr>
    </w:p>
    <w:p w14:paraId="4A737058" w14:textId="45E575D2" w:rsidR="00407C23" w:rsidRDefault="00407C23" w:rsidP="00407C23">
      <w:pPr>
        <w:tabs>
          <w:tab w:val="left" w:pos="4962"/>
        </w:tabs>
        <w:spacing w:after="0" w:line="360" w:lineRule="auto"/>
      </w:pPr>
      <w:r>
        <w:lastRenderedPageBreak/>
        <w:t>Conforme a lo anterior, el proceso deliberativo en el presente caso, es realizar observaciones y aclaraciones relacionadas con el proceso de Entrega-Recepción, para que los servidores públicos salientes, las solventen o justifiquen; y en el caso, que no puedan realizar dichas acciones, iniciar un procedimiento de responsabilidades administrativas.</w:t>
      </w:r>
    </w:p>
    <w:p w14:paraId="7EF43097" w14:textId="77777777" w:rsidR="00407C23" w:rsidRDefault="00407C23" w:rsidP="00407C23">
      <w:pPr>
        <w:tabs>
          <w:tab w:val="left" w:pos="4962"/>
        </w:tabs>
        <w:spacing w:after="0" w:line="360" w:lineRule="auto"/>
      </w:pPr>
    </w:p>
    <w:p w14:paraId="07FEA7F5" w14:textId="27B52F32" w:rsidR="00407C23" w:rsidRDefault="00064368" w:rsidP="00407C23">
      <w:pPr>
        <w:tabs>
          <w:tab w:val="left" w:pos="4962"/>
        </w:tabs>
        <w:spacing w:after="0" w:line="360" w:lineRule="auto"/>
      </w:pPr>
      <w:r>
        <w:t>Así, se procede a analizar los requisitos señalados en los Lineamientos Generales en materia de clasificación y desclasificación de la información, con la finalidad de verificar si se configura la hipótesis de reserva en estudio:</w:t>
      </w:r>
    </w:p>
    <w:p w14:paraId="191D30B3" w14:textId="77777777" w:rsidR="0083025F" w:rsidRDefault="0083025F" w:rsidP="00407C23">
      <w:pPr>
        <w:tabs>
          <w:tab w:val="left" w:pos="4962"/>
        </w:tabs>
        <w:spacing w:after="0" w:line="360" w:lineRule="auto"/>
      </w:pPr>
    </w:p>
    <w:p w14:paraId="01847C78" w14:textId="43A21651" w:rsidR="00064368" w:rsidRPr="0083025F" w:rsidRDefault="0083025F" w:rsidP="0083025F">
      <w:pPr>
        <w:pStyle w:val="Prrafodelista"/>
        <w:numPr>
          <w:ilvl w:val="0"/>
          <w:numId w:val="35"/>
        </w:numPr>
        <w:tabs>
          <w:tab w:val="left" w:pos="4962"/>
        </w:tabs>
        <w:spacing w:after="0" w:line="360" w:lineRule="auto"/>
        <w:rPr>
          <w:b/>
          <w:bCs/>
        </w:rPr>
      </w:pPr>
      <w:r w:rsidRPr="0083025F">
        <w:rPr>
          <w:b/>
          <w:bCs/>
        </w:rPr>
        <w:t>La existencia de un proceso deliberativo en curso.</w:t>
      </w:r>
    </w:p>
    <w:p w14:paraId="6B05412C" w14:textId="77777777" w:rsidR="0083025F" w:rsidRDefault="0083025F" w:rsidP="0083025F">
      <w:pPr>
        <w:tabs>
          <w:tab w:val="left" w:pos="4962"/>
        </w:tabs>
        <w:spacing w:after="0" w:line="360" w:lineRule="auto"/>
        <w:rPr>
          <w:b/>
          <w:bCs/>
          <w:color w:val="auto"/>
        </w:rPr>
      </w:pPr>
    </w:p>
    <w:p w14:paraId="4D1EC9C1" w14:textId="7EB4A7C3" w:rsidR="0083025F" w:rsidRDefault="00DD5C69" w:rsidP="0083025F">
      <w:pPr>
        <w:tabs>
          <w:tab w:val="left" w:pos="4962"/>
        </w:tabs>
        <w:spacing w:after="0" w:line="360" w:lineRule="auto"/>
      </w:pPr>
      <w:r>
        <w:t>En ese contexto, cabe precisar que el Sujeto Obligado señaló que a la fecha se encontraba dentro del procedimiento; por lo que, únicamente se acreditaría el requisito si a la fecha de la solicitud existieran observaciones en contra de un servidor saliente; en el caso contrario, no se actualizaría la presente formalidad.</w:t>
      </w:r>
    </w:p>
    <w:p w14:paraId="5891578F" w14:textId="77777777" w:rsidR="0008699D" w:rsidRDefault="0008699D" w:rsidP="0083025F">
      <w:pPr>
        <w:tabs>
          <w:tab w:val="left" w:pos="4962"/>
        </w:tabs>
        <w:spacing w:after="0" w:line="360" w:lineRule="auto"/>
      </w:pPr>
    </w:p>
    <w:p w14:paraId="4CEE97A6" w14:textId="0A53C0D6" w:rsidR="0008699D" w:rsidRDefault="0008699D" w:rsidP="0083025F">
      <w:pPr>
        <w:tabs>
          <w:tab w:val="left" w:pos="4962"/>
        </w:tabs>
        <w:spacing w:after="0" w:line="360" w:lineRule="auto"/>
      </w:pPr>
      <w:r>
        <w:t>En el caso en particular, el plazo de sesenta días para emitir observaciones a la fecha de la solicitud se tuvo por concluido, por lo que ya no se actualiza la existencia de un proceso deliberativo en curso.</w:t>
      </w:r>
    </w:p>
    <w:p w14:paraId="45829BE4" w14:textId="77777777" w:rsidR="001771F6" w:rsidRDefault="001771F6" w:rsidP="0083025F">
      <w:pPr>
        <w:tabs>
          <w:tab w:val="left" w:pos="4962"/>
        </w:tabs>
        <w:spacing w:after="0" w:line="360" w:lineRule="auto"/>
      </w:pPr>
    </w:p>
    <w:p w14:paraId="1B1B354E" w14:textId="0AAEF641" w:rsidR="001771F6" w:rsidRDefault="001771F6" w:rsidP="001771F6">
      <w:pPr>
        <w:pStyle w:val="Prrafodelista"/>
        <w:numPr>
          <w:ilvl w:val="0"/>
          <w:numId w:val="35"/>
        </w:numPr>
        <w:tabs>
          <w:tab w:val="left" w:pos="4962"/>
        </w:tabs>
        <w:spacing w:after="0" w:line="360" w:lineRule="auto"/>
        <w:rPr>
          <w:b/>
          <w:bCs/>
        </w:rPr>
      </w:pPr>
      <w:r w:rsidRPr="001771F6">
        <w:rPr>
          <w:b/>
          <w:bCs/>
        </w:rPr>
        <w:t>Que la información solicitada consista en opiniones, recomendaciones o puntos de vista de los servidores públicos que participan en el proceso deliberativo.</w:t>
      </w:r>
    </w:p>
    <w:p w14:paraId="2B9DF68C" w14:textId="77777777" w:rsidR="001771F6" w:rsidRDefault="001771F6" w:rsidP="001771F6">
      <w:pPr>
        <w:tabs>
          <w:tab w:val="left" w:pos="4962"/>
        </w:tabs>
        <w:spacing w:after="0" w:line="360" w:lineRule="auto"/>
        <w:rPr>
          <w:b/>
          <w:bCs/>
        </w:rPr>
      </w:pPr>
    </w:p>
    <w:p w14:paraId="436F2AE1" w14:textId="22355B6D" w:rsidR="001771F6" w:rsidRDefault="001771F6" w:rsidP="001771F6">
      <w:pPr>
        <w:tabs>
          <w:tab w:val="left" w:pos="4962"/>
        </w:tabs>
        <w:spacing w:after="0" w:line="360" w:lineRule="auto"/>
      </w:pPr>
      <w:r>
        <w:t xml:space="preserve">Sobre dicho elemento, resulta indispensable precisar que los sujetos obligados deben distinguir claramente la información que documenta el proceso deliberativo, es decir, opiniones, recomendaciones o puntos de vista de los servidores públicos que participan, de aquella otra que, si bien guarda alguna relación con el mismo, no está relacionada de forma </w:t>
      </w:r>
      <w:r>
        <w:lastRenderedPageBreak/>
        <w:t>directa con la deliberación y su conclusión definitiva, por lo que, únicamente es un insumo informativo.</w:t>
      </w:r>
    </w:p>
    <w:p w14:paraId="6C46FD11" w14:textId="77777777" w:rsidR="001771F6" w:rsidRDefault="001771F6" w:rsidP="001771F6">
      <w:pPr>
        <w:tabs>
          <w:tab w:val="left" w:pos="4962"/>
        </w:tabs>
        <w:spacing w:after="0" w:line="360" w:lineRule="auto"/>
      </w:pPr>
    </w:p>
    <w:p w14:paraId="6D1D66D9" w14:textId="076E114A" w:rsidR="001771F6" w:rsidRDefault="001771F6" w:rsidP="001771F6">
      <w:pPr>
        <w:tabs>
          <w:tab w:val="left" w:pos="4962"/>
        </w:tabs>
        <w:spacing w:after="0" w:line="360" w:lineRule="auto"/>
      </w:pPr>
      <w:r>
        <w:t xml:space="preserve">Lo anterior, se robustece con el </w:t>
      </w:r>
      <w:r w:rsidR="00EC4487">
        <w:t>Criterio Orientador</w:t>
      </w:r>
      <w:r>
        <w:t>, con clave de control SO/016/2013, de la Primera Época, emitido por el Pleno del entonces Instituto Federal de Acceso a la Información y Protección de Datos, vigente a la fecha de la solicitud, que precisa lo siguiente:</w:t>
      </w:r>
    </w:p>
    <w:p w14:paraId="6C514709" w14:textId="77777777" w:rsidR="001771F6" w:rsidRDefault="001771F6" w:rsidP="001771F6">
      <w:pPr>
        <w:tabs>
          <w:tab w:val="left" w:pos="4962"/>
        </w:tabs>
        <w:spacing w:after="0" w:line="360" w:lineRule="auto"/>
      </w:pPr>
    </w:p>
    <w:p w14:paraId="149680DA" w14:textId="366D582A" w:rsidR="001771F6" w:rsidRDefault="007F2122" w:rsidP="007F2122">
      <w:pPr>
        <w:spacing w:after="0" w:line="360" w:lineRule="auto"/>
        <w:ind w:left="567" w:right="567"/>
        <w:rPr>
          <w:rFonts w:eastAsia="Times New Roman" w:cs="Arial"/>
          <w:bCs/>
          <w:i/>
          <w:iCs/>
          <w:color w:val="auto"/>
          <w:sz w:val="20"/>
          <w:szCs w:val="20"/>
          <w:lang w:eastAsia="es-ES"/>
        </w:rPr>
      </w:pPr>
      <w:r w:rsidRPr="007F2122">
        <w:rPr>
          <w:rFonts w:eastAsia="Times New Roman" w:cs="Arial"/>
          <w:b/>
          <w:i/>
          <w:iCs/>
          <w:color w:val="auto"/>
          <w:sz w:val="20"/>
          <w:szCs w:val="20"/>
          <w:lang w:eastAsia="es-ES"/>
        </w:rPr>
        <w:t>“Insumos informativos o de apoyo.</w:t>
      </w:r>
      <w:r w:rsidRPr="007F2122">
        <w:rPr>
          <w:rFonts w:eastAsia="Times New Roman" w:cs="Arial"/>
          <w:bCs/>
          <w:i/>
          <w:iCs/>
          <w:color w:val="auto"/>
          <w:sz w:val="20"/>
          <w:szCs w:val="20"/>
          <w:lang w:eastAsia="es-ES"/>
        </w:rPr>
        <w:t xml:space="preserve"> No forman parte de los procesos deliberativos. Al clasificar información con base en el artículo 14, fracción VI de la Ley Federal de Transparencia y Acceso a la Información Pública Gubernamental, las dependencias y entidades de la Administración Pública Federal deben distinguir entre la información que en sí misma documenta el proceso deliberativo o el sentido de la decisión a adoptar, de aquélla que no se relaciona de manera directa con la toma de decisiones, como es el caso de un insumo informativo o de apoyo del proceso deliberativo. En el primer supuesto, se tiene que la información se encuentra ligada de manera directa con los procesos deliberativos, y su difusión puede llegar a interrumpir, menoscabar o inhibir el diseño, negociación e implementación del objeto materia del proceso; mientras que los insumos informativos o de apoyo no forman parte de las opiniones, recomendaciones o puntos de vista del proceso deliberativo y, por tanto, su difusión no afecta la decisión que se pudiese llegar a adoptar”.</w:t>
      </w:r>
    </w:p>
    <w:p w14:paraId="5036B4BD" w14:textId="77777777" w:rsidR="0087175D" w:rsidRDefault="0087175D" w:rsidP="007F2122">
      <w:pPr>
        <w:spacing w:after="0" w:line="360" w:lineRule="auto"/>
        <w:ind w:right="567"/>
      </w:pPr>
    </w:p>
    <w:p w14:paraId="7B5B0C22" w14:textId="4D54FB3A" w:rsidR="007F2122" w:rsidRDefault="0087175D" w:rsidP="0087175D">
      <w:pPr>
        <w:tabs>
          <w:tab w:val="left" w:pos="4962"/>
        </w:tabs>
        <w:spacing w:after="0" w:line="360" w:lineRule="auto"/>
      </w:pPr>
      <w:r>
        <w:t>Así, se puede vislumbrar que la difusión de los insumos informativos o de apoyo no afectan a la decisión final que pueda adoptar la autoridad, pues no forman parte de las opiniones, recomendaciones o puntos de vista del proceso deliberativo.</w:t>
      </w:r>
    </w:p>
    <w:p w14:paraId="247F5DAC" w14:textId="77777777" w:rsidR="0087175D" w:rsidRDefault="0087175D" w:rsidP="0087175D">
      <w:pPr>
        <w:tabs>
          <w:tab w:val="left" w:pos="4962"/>
        </w:tabs>
        <w:spacing w:after="0" w:line="360" w:lineRule="auto"/>
      </w:pPr>
    </w:p>
    <w:p w14:paraId="43F54492" w14:textId="4A05A978" w:rsidR="0087175D" w:rsidRDefault="0087175D" w:rsidP="0087175D">
      <w:pPr>
        <w:tabs>
          <w:tab w:val="left" w:pos="4962"/>
        </w:tabs>
        <w:spacing w:after="0" w:line="360" w:lineRule="auto"/>
      </w:pPr>
      <w:r>
        <w:t xml:space="preserve">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 con la información económica, financiera, patrimonial, </w:t>
      </w:r>
      <w:r>
        <w:lastRenderedPageBreak/>
        <w:t>presupuestal, programática y administrativa, así como, todos aquellos documentos e información vinculada a las atribuciones, funciones, facultades y actividades de la unidad.</w:t>
      </w:r>
    </w:p>
    <w:p w14:paraId="6ED1A737" w14:textId="77777777" w:rsidR="0087175D" w:rsidRDefault="0087175D" w:rsidP="0087175D">
      <w:pPr>
        <w:tabs>
          <w:tab w:val="left" w:pos="4962"/>
        </w:tabs>
        <w:spacing w:after="0" w:line="360" w:lineRule="auto"/>
      </w:pPr>
    </w:p>
    <w:p w14:paraId="7993A819" w14:textId="0F6D7552" w:rsidR="0087175D" w:rsidRDefault="0087175D" w:rsidP="0087175D">
      <w:pPr>
        <w:tabs>
          <w:tab w:val="left" w:pos="4962"/>
        </w:tabs>
        <w:spacing w:after="0" w:line="360" w:lineRule="auto"/>
      </w:pPr>
      <w:r>
        <w:t>Conforme a lo anterior y en atención al procedimiento de verificación multicitado, se logra vislumbrar que las Actas mencionadas, corresponden a un insumo informativo y de apoyo, para iniciar el procedimiento referido, pues el servidor público entrante revisará la Entrega - Recepción y documentos anexos, para localizar observaciones y aclaraciones, con el fin de que sean solventadas por los trabajadores salientes.</w:t>
      </w:r>
    </w:p>
    <w:p w14:paraId="6C18CD8F" w14:textId="77777777" w:rsidR="000841C4" w:rsidRDefault="000841C4" w:rsidP="0087175D">
      <w:pPr>
        <w:tabs>
          <w:tab w:val="left" w:pos="4962"/>
        </w:tabs>
        <w:spacing w:after="0" w:line="360" w:lineRule="auto"/>
      </w:pPr>
    </w:p>
    <w:p w14:paraId="3364843B" w14:textId="4DD73A02" w:rsidR="000841C4" w:rsidRDefault="000841C4" w:rsidP="0087175D">
      <w:pPr>
        <w:tabs>
          <w:tab w:val="left" w:pos="4962"/>
        </w:tabs>
        <w:spacing w:after="0" w:line="360" w:lineRule="auto"/>
      </w:pPr>
      <w:r>
        <w:t>Conforme a lo anterior, se logra vislumbrar lo siguiente:</w:t>
      </w:r>
    </w:p>
    <w:p w14:paraId="7400E052" w14:textId="77777777" w:rsidR="00483B90" w:rsidRDefault="00483B90" w:rsidP="0087175D">
      <w:pPr>
        <w:tabs>
          <w:tab w:val="left" w:pos="4962"/>
        </w:tabs>
        <w:spacing w:after="0" w:line="360" w:lineRule="auto"/>
      </w:pPr>
    </w:p>
    <w:tbl>
      <w:tblPr>
        <w:tblStyle w:val="Tablaconcuadrcula"/>
        <w:tblW w:w="0" w:type="auto"/>
        <w:tblLook w:val="04A0" w:firstRow="1" w:lastRow="0" w:firstColumn="1" w:lastColumn="0" w:noHBand="0" w:noVBand="1"/>
      </w:tblPr>
      <w:tblGrid>
        <w:gridCol w:w="4456"/>
        <w:gridCol w:w="4465"/>
      </w:tblGrid>
      <w:tr w:rsidR="00483B90" w:rsidRPr="00C4583E" w14:paraId="24BB69EC" w14:textId="77777777" w:rsidTr="004E0072">
        <w:tc>
          <w:tcPr>
            <w:tcW w:w="9034" w:type="dxa"/>
            <w:gridSpan w:val="2"/>
            <w:shd w:val="clear" w:color="auto" w:fill="A6A6A6" w:themeFill="background1" w:themeFillShade="A6"/>
          </w:tcPr>
          <w:p w14:paraId="1548CBB4" w14:textId="77777777" w:rsidR="00483B90" w:rsidRPr="00C4583E" w:rsidRDefault="00483B90" w:rsidP="004E0072">
            <w:pPr>
              <w:spacing w:line="360" w:lineRule="auto"/>
              <w:jc w:val="center"/>
              <w:rPr>
                <w:rFonts w:eastAsia="Batang" w:cs="Tahoma"/>
                <w:b/>
                <w:color w:val="auto"/>
                <w:sz w:val="20"/>
                <w:szCs w:val="20"/>
                <w:lang w:eastAsia="es-ES"/>
              </w:rPr>
            </w:pPr>
            <w:r w:rsidRPr="00C4583E">
              <w:rPr>
                <w:rFonts w:eastAsia="Batang" w:cs="Tahoma"/>
                <w:b/>
                <w:color w:val="auto"/>
                <w:sz w:val="20"/>
                <w:szCs w:val="20"/>
                <w:lang w:eastAsia="es-ES"/>
              </w:rPr>
              <w:t>Procedimiento de verificación de la información contenida en la Entrega-Recepción</w:t>
            </w:r>
          </w:p>
        </w:tc>
      </w:tr>
      <w:tr w:rsidR="00483B90" w:rsidRPr="00C4583E" w14:paraId="7455A1A9" w14:textId="77777777" w:rsidTr="004E0072">
        <w:tc>
          <w:tcPr>
            <w:tcW w:w="4517" w:type="dxa"/>
            <w:shd w:val="clear" w:color="auto" w:fill="A6A6A6" w:themeFill="background1" w:themeFillShade="A6"/>
          </w:tcPr>
          <w:p w14:paraId="44DB38AF" w14:textId="77777777" w:rsidR="00483B90" w:rsidRPr="00C4583E" w:rsidRDefault="00483B90" w:rsidP="004E0072">
            <w:pPr>
              <w:spacing w:line="360" w:lineRule="auto"/>
              <w:jc w:val="center"/>
              <w:rPr>
                <w:rFonts w:eastAsia="Batang" w:cs="Tahoma"/>
                <w:b/>
                <w:color w:val="auto"/>
                <w:sz w:val="20"/>
                <w:szCs w:val="20"/>
                <w:lang w:eastAsia="es-ES"/>
              </w:rPr>
            </w:pPr>
            <w:r w:rsidRPr="00C4583E">
              <w:rPr>
                <w:rFonts w:eastAsia="Batang" w:cs="Tahoma"/>
                <w:b/>
                <w:color w:val="auto"/>
                <w:sz w:val="20"/>
                <w:szCs w:val="20"/>
                <w:lang w:eastAsia="es-ES"/>
              </w:rPr>
              <w:t>Insumo Informativo o documento de apoyo</w:t>
            </w:r>
          </w:p>
        </w:tc>
        <w:tc>
          <w:tcPr>
            <w:tcW w:w="4517" w:type="dxa"/>
            <w:shd w:val="clear" w:color="auto" w:fill="A6A6A6" w:themeFill="background1" w:themeFillShade="A6"/>
          </w:tcPr>
          <w:p w14:paraId="291A6306" w14:textId="77777777" w:rsidR="00483B90" w:rsidRPr="00C4583E" w:rsidRDefault="00483B90" w:rsidP="004E0072">
            <w:pPr>
              <w:spacing w:line="360" w:lineRule="auto"/>
              <w:jc w:val="center"/>
              <w:rPr>
                <w:rFonts w:eastAsia="Batang" w:cs="Tahoma"/>
                <w:b/>
                <w:color w:val="auto"/>
                <w:sz w:val="20"/>
                <w:szCs w:val="20"/>
                <w:lang w:eastAsia="es-ES"/>
              </w:rPr>
            </w:pPr>
            <w:r w:rsidRPr="00C4583E">
              <w:rPr>
                <w:rFonts w:eastAsia="Times New Roman" w:cs="Tahoma"/>
                <w:b/>
                <w:color w:val="auto"/>
                <w:sz w:val="20"/>
                <w:szCs w:val="20"/>
                <w:lang w:eastAsia="es-ES"/>
              </w:rPr>
              <w:t>Opiniones, recomendaciones o puntos de vista de los servidores públicos</w:t>
            </w:r>
          </w:p>
        </w:tc>
      </w:tr>
      <w:tr w:rsidR="00483B90" w:rsidRPr="00C4583E" w14:paraId="7C024CC7" w14:textId="77777777" w:rsidTr="004E0072">
        <w:tc>
          <w:tcPr>
            <w:tcW w:w="4517" w:type="dxa"/>
          </w:tcPr>
          <w:p w14:paraId="1427D159" w14:textId="77777777" w:rsidR="00483B90" w:rsidRPr="00C4583E" w:rsidRDefault="00483B90" w:rsidP="004E0072">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Acta Entrega-Recepción</w:t>
            </w:r>
          </w:p>
        </w:tc>
        <w:tc>
          <w:tcPr>
            <w:tcW w:w="4517" w:type="dxa"/>
          </w:tcPr>
          <w:p w14:paraId="56970E09" w14:textId="77777777" w:rsidR="00483B90" w:rsidRPr="00C4583E" w:rsidRDefault="00483B90" w:rsidP="004E0072">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Las observaciones y aclaraciones localizadas y manifestadas por el servidor público entrante</w:t>
            </w:r>
          </w:p>
        </w:tc>
      </w:tr>
      <w:tr w:rsidR="00483B90" w:rsidRPr="00C4583E" w14:paraId="3F08C307" w14:textId="77777777" w:rsidTr="004E0072">
        <w:tc>
          <w:tcPr>
            <w:tcW w:w="4517" w:type="dxa"/>
          </w:tcPr>
          <w:p w14:paraId="7F486281" w14:textId="77777777" w:rsidR="00483B90" w:rsidRPr="00C4583E" w:rsidRDefault="00483B90" w:rsidP="004E0072">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Anexos a dicho documento</w:t>
            </w:r>
          </w:p>
        </w:tc>
        <w:tc>
          <w:tcPr>
            <w:tcW w:w="4517" w:type="dxa"/>
          </w:tcPr>
          <w:p w14:paraId="16F7E494" w14:textId="77777777" w:rsidR="00483B90" w:rsidRPr="00C4583E" w:rsidRDefault="00483B90" w:rsidP="004E0072">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Los documentos, oficios y manifestaciones realizadas por el trabajador saliente para solventar o no lo conducente</w:t>
            </w:r>
          </w:p>
        </w:tc>
      </w:tr>
      <w:tr w:rsidR="00483B90" w:rsidRPr="00C4583E" w14:paraId="07E4DB20" w14:textId="77777777" w:rsidTr="004E0072">
        <w:trPr>
          <w:trHeight w:val="70"/>
        </w:trPr>
        <w:tc>
          <w:tcPr>
            <w:tcW w:w="4517" w:type="dxa"/>
          </w:tcPr>
          <w:p w14:paraId="4E2EC566" w14:textId="77777777" w:rsidR="00483B90" w:rsidRPr="00C4583E" w:rsidRDefault="00483B90" w:rsidP="004E0072">
            <w:pPr>
              <w:spacing w:line="360" w:lineRule="auto"/>
              <w:rPr>
                <w:rFonts w:eastAsia="Batang" w:cs="Tahoma"/>
                <w:bCs/>
                <w:color w:val="auto"/>
                <w:sz w:val="20"/>
                <w:szCs w:val="20"/>
                <w:lang w:eastAsia="es-ES"/>
              </w:rPr>
            </w:pPr>
          </w:p>
        </w:tc>
        <w:tc>
          <w:tcPr>
            <w:tcW w:w="4517" w:type="dxa"/>
          </w:tcPr>
          <w:p w14:paraId="7357BC6F" w14:textId="77777777" w:rsidR="00483B90" w:rsidRPr="00C4583E" w:rsidRDefault="00483B90" w:rsidP="004E0072">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La revisión efectuada por la Contraloría o Órgano Interno de Control, para tomar la determinación o decisión respectiva</w:t>
            </w:r>
          </w:p>
        </w:tc>
      </w:tr>
    </w:tbl>
    <w:p w14:paraId="43B5F710" w14:textId="77777777" w:rsidR="000841C4" w:rsidRDefault="000841C4" w:rsidP="0087175D">
      <w:pPr>
        <w:tabs>
          <w:tab w:val="left" w:pos="4962"/>
        </w:tabs>
        <w:spacing w:after="0" w:line="360" w:lineRule="auto"/>
      </w:pPr>
    </w:p>
    <w:p w14:paraId="4A650034" w14:textId="77777777" w:rsidR="005D58F4" w:rsidRDefault="005D58F4" w:rsidP="005D58F4">
      <w:pPr>
        <w:spacing w:after="0" w:line="360" w:lineRule="auto"/>
        <w:rPr>
          <w:rFonts w:eastAsia="Batang" w:cs="Tahoma"/>
          <w:bCs/>
          <w:color w:val="auto"/>
          <w:lang w:val="es-ES" w:eastAsia="es-ES"/>
        </w:rPr>
      </w:pPr>
      <w:r w:rsidRPr="00C4583E">
        <w:rPr>
          <w:rFonts w:eastAsia="Batang" w:cs="Tahoma"/>
          <w:bCs/>
          <w:color w:val="auto"/>
          <w:lang w:val="es-ES" w:eastAsia="es-ES"/>
        </w:rPr>
        <w:t>Conforme a lo anterior, se logra vislumbrar que las Actas de Entrega-Recepción, son un insumo informativo y de apoyo del procedimiento deliberativo citado, por lo que, no consiste en opiniones, recomendaciones o puntos de vista de los servidores públicos participantes; por lo que, no se acredita el segundo de los elementos para actualizar la reserva de la información.</w:t>
      </w:r>
    </w:p>
    <w:p w14:paraId="2EDAA4D5" w14:textId="77777777" w:rsidR="005D58F4" w:rsidRPr="00C4583E" w:rsidRDefault="005D58F4" w:rsidP="005D58F4">
      <w:pPr>
        <w:spacing w:after="0" w:line="360" w:lineRule="auto"/>
        <w:rPr>
          <w:rFonts w:eastAsia="Batang" w:cs="Tahoma"/>
          <w:bCs/>
          <w:color w:val="auto"/>
          <w:lang w:val="es-ES" w:eastAsia="es-ES"/>
        </w:rPr>
      </w:pPr>
    </w:p>
    <w:p w14:paraId="04185409" w14:textId="44CC32FB" w:rsidR="005D58F4" w:rsidRPr="005D58F4" w:rsidRDefault="005D58F4" w:rsidP="005D58F4">
      <w:pPr>
        <w:pStyle w:val="Prrafodelista"/>
        <w:numPr>
          <w:ilvl w:val="0"/>
          <w:numId w:val="35"/>
        </w:numPr>
        <w:spacing w:after="0" w:line="360" w:lineRule="auto"/>
        <w:jc w:val="left"/>
        <w:rPr>
          <w:rFonts w:eastAsia="Times New Roman" w:cs="Tahoma"/>
          <w:b/>
          <w:bCs/>
          <w:color w:val="auto"/>
          <w:lang w:eastAsia="es-ES"/>
        </w:rPr>
      </w:pPr>
      <w:r w:rsidRPr="005D58F4">
        <w:rPr>
          <w:rFonts w:eastAsia="Times New Roman" w:cs="Tahoma"/>
          <w:b/>
          <w:bCs/>
          <w:color w:val="auto"/>
          <w:lang w:eastAsia="es-ES"/>
        </w:rPr>
        <w:t xml:space="preserve">Que la información solicitada se encuentre relacionada de manera directa con el proceso deliberativo. </w:t>
      </w:r>
    </w:p>
    <w:p w14:paraId="64A5F8D6" w14:textId="77777777" w:rsidR="003C7C12" w:rsidRPr="003C7C12" w:rsidRDefault="003C7C12" w:rsidP="003C7C12">
      <w:pPr>
        <w:spacing w:after="0" w:line="360" w:lineRule="auto"/>
        <w:rPr>
          <w:rFonts w:eastAsia="Batang" w:cs="Tahoma"/>
          <w:bCs/>
          <w:color w:val="auto"/>
          <w:lang w:val="es-ES" w:eastAsia="es-ES"/>
        </w:rPr>
      </w:pPr>
      <w:r w:rsidRPr="003C7C12">
        <w:rPr>
          <w:rFonts w:eastAsia="Batang" w:cs="Tahoma"/>
          <w:bCs/>
          <w:color w:val="auto"/>
          <w:lang w:val="es-ES" w:eastAsia="es-ES"/>
        </w:rPr>
        <w:t>Al respecto, este Instituto considera que se actualiza dicho requisito, pues como ya se mencionó las Actas Entrega-Recepción, están relacionadas de manera directa con el proceso deliberativo, pues es el documento base del procedimiento de verificación, en el cual el servidor público entrante hace la revisión respectiva, para determinar si existen o no observaciones o aclaraciones por solventar.</w:t>
      </w:r>
    </w:p>
    <w:p w14:paraId="7E4C1E70" w14:textId="77777777" w:rsidR="000841C4" w:rsidRDefault="000841C4" w:rsidP="0087175D">
      <w:pPr>
        <w:tabs>
          <w:tab w:val="left" w:pos="4962"/>
        </w:tabs>
        <w:spacing w:after="0" w:line="360" w:lineRule="auto"/>
      </w:pPr>
    </w:p>
    <w:p w14:paraId="78D7BCC6" w14:textId="77777777" w:rsidR="004832F8" w:rsidRPr="00C4583E" w:rsidRDefault="004832F8" w:rsidP="004832F8">
      <w:pPr>
        <w:pStyle w:val="Prrafodelista"/>
        <w:numPr>
          <w:ilvl w:val="0"/>
          <w:numId w:val="35"/>
        </w:numPr>
        <w:spacing w:after="0" w:line="360" w:lineRule="auto"/>
        <w:jc w:val="left"/>
        <w:rPr>
          <w:rFonts w:eastAsia="Times New Roman" w:cs="Tahoma"/>
          <w:b/>
          <w:bCs/>
          <w:color w:val="auto"/>
          <w:lang w:eastAsia="es-ES"/>
        </w:rPr>
      </w:pPr>
      <w:r w:rsidRPr="00C4583E">
        <w:rPr>
          <w:rFonts w:eastAsia="Times New Roman" w:cs="Tahoma"/>
          <w:b/>
          <w:bCs/>
          <w:color w:val="auto"/>
          <w:lang w:eastAsia="es-ES"/>
        </w:rPr>
        <w:t xml:space="preserve">Que con su difusión se pueda llegar afectar los asuntos sometidos a deliberación. </w:t>
      </w:r>
    </w:p>
    <w:p w14:paraId="55118082" w14:textId="77777777" w:rsidR="004832F8" w:rsidRDefault="004832F8" w:rsidP="0087175D">
      <w:pPr>
        <w:tabs>
          <w:tab w:val="left" w:pos="4962"/>
        </w:tabs>
        <w:spacing w:after="0" w:line="360" w:lineRule="auto"/>
      </w:pPr>
    </w:p>
    <w:p w14:paraId="63829543" w14:textId="77777777" w:rsidR="000734AC" w:rsidRPr="00C4583E" w:rsidRDefault="000734AC" w:rsidP="000734AC">
      <w:pPr>
        <w:spacing w:after="0" w:line="360" w:lineRule="auto"/>
        <w:rPr>
          <w:rFonts w:eastAsia="Batang" w:cs="Tahoma"/>
          <w:bCs/>
          <w:color w:val="auto"/>
          <w:lang w:val="es-ES" w:eastAsia="es-ES"/>
        </w:rPr>
      </w:pPr>
      <w:r w:rsidRPr="00C4583E">
        <w:rPr>
          <w:rFonts w:eastAsia="Batang" w:cs="Tahoma"/>
          <w:bCs/>
          <w:color w:val="auto"/>
          <w:lang w:val="es-ES" w:eastAsia="es-ES"/>
        </w:rPr>
        <w:t>Al respecto, tal como se señaló en párrafos anteriores, las Actas solicitadas corresponden a un insumo informativo y documento de apoyo, para el proceso deliberativo; por lo que, su difusión no afecta a la deliberación, pues su entrega no da cuenta de la existencia o no observaciones y aclaraciones localizadas por los servidores públicos entrantes, ni de la forma en que el saliente solventaran las mismas en caso de existir, o bien, las determinaciones y decisiones tomadas por la Contraloría u Órgano Interno de Control.</w:t>
      </w:r>
    </w:p>
    <w:p w14:paraId="23A51D3C" w14:textId="77777777" w:rsidR="000734AC" w:rsidRPr="00C4583E" w:rsidRDefault="000734AC" w:rsidP="000734AC">
      <w:pPr>
        <w:spacing w:after="0" w:line="360" w:lineRule="auto"/>
        <w:rPr>
          <w:rFonts w:eastAsia="Batang" w:cs="Tahoma"/>
          <w:bCs/>
          <w:color w:val="auto"/>
          <w:lang w:val="es-ES" w:eastAsia="es-ES"/>
        </w:rPr>
      </w:pPr>
    </w:p>
    <w:p w14:paraId="105F3DDF" w14:textId="77777777" w:rsidR="000734AC" w:rsidRPr="00C4583E" w:rsidRDefault="000734AC" w:rsidP="000734AC">
      <w:pPr>
        <w:spacing w:after="0" w:line="360" w:lineRule="auto"/>
        <w:rPr>
          <w:rFonts w:eastAsia="Batang" w:cs="Tahoma"/>
          <w:bCs/>
          <w:color w:val="auto"/>
          <w:lang w:val="es-ES" w:eastAsia="es-ES"/>
        </w:rPr>
      </w:pPr>
      <w:r w:rsidRPr="00C4583E">
        <w:rPr>
          <w:rFonts w:eastAsia="Batang" w:cs="Tahoma"/>
          <w:bCs/>
          <w:color w:val="auto"/>
          <w:lang w:val="es-ES" w:eastAsia="es-ES"/>
        </w:rPr>
        <w:t>En otras palabras, las Actas Entrega-Recepción, al no contener las opiniones, recomendaciones o puntos de vista de los servidores públicos participantes en el proceso deliberativo, su difusión no puede llegar a interrumpir, menoscabar o inhibir el diseño, negociación, determinación o implementación de los asuntos sometidos a deliberación, pues como ya se precisó únicamente corresponde al documento base para determinar el inicio del proceso deliberativo, que por sí sólo no da pauta del estado o inicio de algún procedimiento.</w:t>
      </w:r>
    </w:p>
    <w:p w14:paraId="58B52F03" w14:textId="77777777" w:rsidR="004832F8" w:rsidRDefault="004832F8" w:rsidP="0087175D">
      <w:pPr>
        <w:tabs>
          <w:tab w:val="left" w:pos="4962"/>
        </w:tabs>
        <w:spacing w:after="0" w:line="360" w:lineRule="auto"/>
      </w:pPr>
    </w:p>
    <w:p w14:paraId="461985D2" w14:textId="5D4C98BF" w:rsidR="000734AC" w:rsidRPr="000734AC" w:rsidRDefault="000734AC" w:rsidP="000734AC">
      <w:pPr>
        <w:tabs>
          <w:tab w:val="left" w:pos="4962"/>
        </w:tabs>
        <w:spacing w:after="0" w:line="360" w:lineRule="auto"/>
      </w:pPr>
      <w:r w:rsidRPr="00FA0B4C">
        <w:rPr>
          <w:rFonts w:eastAsia="Times New Roman" w:cs="Times New Roman"/>
          <w:color w:val="auto"/>
          <w:lang w:val="es-ES" w:eastAsia="es-ES"/>
        </w:rPr>
        <w:t>Por lo expuesto, se considera que el Ayuntamiento de</w:t>
      </w:r>
      <w:r>
        <w:rPr>
          <w:rFonts w:eastAsia="Times New Roman" w:cs="Times New Roman"/>
          <w:color w:val="auto"/>
          <w:lang w:val="es-ES" w:eastAsia="es-ES"/>
        </w:rPr>
        <w:t xml:space="preserve"> Toluca</w:t>
      </w:r>
      <w:r w:rsidRPr="00FA0B4C">
        <w:rPr>
          <w:rFonts w:eastAsia="Times New Roman" w:cs="Times New Roman"/>
          <w:color w:val="auto"/>
          <w:lang w:val="es-ES" w:eastAsia="es-ES"/>
        </w:rPr>
        <w:t>, para atender el requerimiento de información, deberá entregar,</w:t>
      </w:r>
      <w:r>
        <w:t xml:space="preserve"> las Actas Entrega- Recepción de los servidores adscritos al </w:t>
      </w:r>
      <w:r>
        <w:lastRenderedPageBreak/>
        <w:t xml:space="preserve">Ayuntamiento de Toluca, del periodo que comprende del primero al tres de </w:t>
      </w:r>
      <w:r w:rsidR="0008699D">
        <w:t>enero</w:t>
      </w:r>
      <w:r>
        <w:t xml:space="preserve"> de dos mil veinticuatro</w:t>
      </w:r>
      <w:r w:rsidRPr="00FA0B4C">
        <w:rPr>
          <w:rFonts w:eastAsia="MS Mincho" w:cs="Arial"/>
          <w:color w:val="000000"/>
          <w:lang w:eastAsia="es-ES"/>
        </w:rPr>
        <w:t xml:space="preserve">; </w:t>
      </w:r>
      <w:r w:rsidRPr="00FA0B4C">
        <w:rPr>
          <w:rFonts w:eastAsia="Calibri" w:cs="Tahoma"/>
          <w:bCs/>
          <w:iCs/>
          <w:color w:val="auto"/>
        </w:rPr>
        <w:t>dicha situación toma sustento en</w:t>
      </w:r>
      <w:r w:rsidRPr="00FA0B4C">
        <w:rPr>
          <w:rFonts w:eastAsia="Calibri" w:cs="Tahoma"/>
          <w:bCs/>
          <w:color w:val="auto"/>
        </w:rPr>
        <w:t xml:space="preserve"> el</w:t>
      </w:r>
      <w:r w:rsidRPr="00FA0B4C">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0DD5A81" w14:textId="77777777" w:rsidR="000734AC" w:rsidRDefault="000734AC" w:rsidP="0087175D">
      <w:pPr>
        <w:tabs>
          <w:tab w:val="left" w:pos="4962"/>
        </w:tabs>
        <w:spacing w:after="0" w:line="360" w:lineRule="auto"/>
      </w:pPr>
    </w:p>
    <w:p w14:paraId="5733EDC1" w14:textId="77777777" w:rsidR="000734AC" w:rsidRPr="00FA0B4C" w:rsidRDefault="000734AC" w:rsidP="000734AC">
      <w:pPr>
        <w:tabs>
          <w:tab w:val="left" w:pos="4962"/>
        </w:tabs>
        <w:spacing w:after="0" w:line="360" w:lineRule="auto"/>
        <w:rPr>
          <w:rFonts w:eastAsia="Times New Roman" w:cs="Tahoma"/>
          <w:color w:val="auto"/>
          <w:lang w:eastAsia="es-ES"/>
        </w:rPr>
      </w:pPr>
      <w:r w:rsidRPr="00FA0B4C">
        <w:rPr>
          <w:rFonts w:eastAsia="Times New Roman" w:cs="Tahoma"/>
          <w:color w:val="auto"/>
          <w:lang w:eastAsia="es-ES"/>
        </w:rPr>
        <w:t xml:space="preserve">De esta manera, </w:t>
      </w:r>
      <w:r w:rsidRPr="00FA0B4C">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FA0B4C">
        <w:rPr>
          <w:rFonts w:eastAsia="Times New Roman" w:cs="Tahoma"/>
          <w:i/>
          <w:color w:val="auto"/>
          <w:lang w:eastAsia="es-ES"/>
        </w:rPr>
        <w:t>ad hoc</w:t>
      </w:r>
      <w:r w:rsidRPr="00FA0B4C">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E34F49A" w14:textId="77777777" w:rsidR="000734AC" w:rsidRPr="00FA0B4C" w:rsidRDefault="000734AC" w:rsidP="000734AC">
      <w:pPr>
        <w:tabs>
          <w:tab w:val="left" w:pos="4962"/>
        </w:tabs>
        <w:spacing w:after="0" w:line="360" w:lineRule="auto"/>
        <w:rPr>
          <w:rFonts w:eastAsia="Times New Roman" w:cs="Tahoma"/>
          <w:color w:val="auto"/>
          <w:szCs w:val="24"/>
          <w:lang w:val="es-ES" w:eastAsia="es-ES"/>
        </w:rPr>
      </w:pPr>
    </w:p>
    <w:p w14:paraId="5098C2F0" w14:textId="77777777" w:rsidR="000734AC" w:rsidRPr="00FA0B4C" w:rsidRDefault="000734AC" w:rsidP="000734AC">
      <w:pPr>
        <w:spacing w:after="0" w:line="360" w:lineRule="auto"/>
        <w:rPr>
          <w:rFonts w:eastAsia="Calibri" w:cs="Tahoma"/>
          <w:iCs/>
          <w:color w:val="auto"/>
          <w:szCs w:val="24"/>
          <w:lang w:eastAsia="es-ES_tradnl"/>
        </w:rPr>
      </w:pPr>
      <w:r w:rsidRPr="00FA0B4C">
        <w:rPr>
          <w:rFonts w:eastAsia="Times New Roman" w:cs="Tahoma"/>
          <w:color w:val="auto"/>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información, deberá proporcionar </w:t>
      </w:r>
      <w:r>
        <w:rPr>
          <w:rFonts w:eastAsia="Times New Roman" w:cs="Tahoma"/>
          <w:color w:val="auto"/>
          <w:lang w:val="es-ES" w:eastAsia="es-ES"/>
        </w:rPr>
        <w:t xml:space="preserve">el </w:t>
      </w:r>
      <w:r w:rsidRPr="00FA0B4C">
        <w:rPr>
          <w:rFonts w:eastAsia="Times New Roman" w:cs="Tahoma"/>
          <w:color w:val="auto"/>
          <w:lang w:val="es-ES" w:eastAsia="es-ES"/>
        </w:rPr>
        <w:t xml:space="preserve">Actas de Entrega-Recepción </w:t>
      </w:r>
      <w:r>
        <w:rPr>
          <w:rFonts w:eastAsia="Times New Roman" w:cs="Tahoma"/>
          <w:color w:val="auto"/>
          <w:lang w:val="es-ES" w:eastAsia="es-ES"/>
        </w:rPr>
        <w:t>de la Dirección general de Gobierno generada con motivo del cambio de administración.</w:t>
      </w:r>
    </w:p>
    <w:p w14:paraId="0F7B48EF" w14:textId="77777777" w:rsidR="000734AC" w:rsidRDefault="000734AC" w:rsidP="000734AC">
      <w:pPr>
        <w:widowControl w:val="0"/>
        <w:autoSpaceDE w:val="0"/>
        <w:autoSpaceDN w:val="0"/>
        <w:adjustRightInd w:val="0"/>
        <w:spacing w:after="0" w:line="360" w:lineRule="auto"/>
      </w:pPr>
    </w:p>
    <w:p w14:paraId="07A9A0D7" w14:textId="77777777" w:rsidR="000734AC" w:rsidRPr="00426D57" w:rsidRDefault="000734AC" w:rsidP="000734AC">
      <w:pPr>
        <w:spacing w:after="0" w:line="360" w:lineRule="auto"/>
        <w:rPr>
          <w:rFonts w:eastAsia="Times New Roman" w:cs="Times New Roman"/>
          <w:color w:val="auto"/>
          <w:lang w:eastAsia="es-ES"/>
        </w:rPr>
      </w:pPr>
      <w:r w:rsidRPr="00426D57">
        <w:rPr>
          <w:rFonts w:eastAsia="Times New Roman" w:cs="Times New Roman"/>
          <w:color w:val="auto"/>
          <w:lang w:eastAsia="es-ES"/>
        </w:rPr>
        <w:t>Para proporcionar dicha información, primero deberá realizar una b</w:t>
      </w:r>
      <w:proofErr w:type="spellStart"/>
      <w:r w:rsidRPr="00426D57">
        <w:rPr>
          <w:rFonts w:eastAsia="Times New Roman" w:cs="Times New Roman"/>
          <w:color w:val="auto"/>
          <w:lang w:val="x-none" w:eastAsia="es-ES"/>
        </w:rPr>
        <w:t>úsqueda</w:t>
      </w:r>
      <w:proofErr w:type="spellEnd"/>
      <w:r w:rsidRPr="00426D57">
        <w:rPr>
          <w:rFonts w:eastAsia="Times New Roman" w:cs="Times New Roman"/>
          <w:color w:val="auto"/>
          <w:lang w:val="x-none" w:eastAsia="es-ES"/>
        </w:rPr>
        <w:t xml:space="preserve"> exhaustiva y razonable, en términos del artículo 162 de la Ley de Transparencia y Acceso a la Información Pública del Estado de México y Municipios, en la</w:t>
      </w:r>
      <w:r w:rsidRPr="00426D57">
        <w:rPr>
          <w:rFonts w:eastAsia="Times New Roman" w:cs="Times New Roman"/>
          <w:color w:val="auto"/>
          <w:lang w:eastAsia="es-ES"/>
        </w:rPr>
        <w:t>s</w:t>
      </w:r>
      <w:r w:rsidRPr="00426D57">
        <w:rPr>
          <w:rFonts w:eastAsia="Times New Roman" w:cs="Times New Roman"/>
          <w:color w:val="auto"/>
          <w:lang w:val="x-none" w:eastAsia="es-ES"/>
        </w:rPr>
        <w:t xml:space="preserve"> </w:t>
      </w:r>
      <w:r w:rsidRPr="00426D57">
        <w:rPr>
          <w:rFonts w:eastAsia="Times New Roman" w:cs="Times New Roman"/>
          <w:color w:val="auto"/>
          <w:lang w:eastAsia="es-ES"/>
        </w:rPr>
        <w:t>áreas competentes, de las que no se podrá eximir a la Contraloría Municipal.</w:t>
      </w:r>
    </w:p>
    <w:p w14:paraId="118C0B6F" w14:textId="77777777" w:rsidR="000734AC" w:rsidRPr="00426D57" w:rsidRDefault="000734AC" w:rsidP="000734AC">
      <w:pPr>
        <w:tabs>
          <w:tab w:val="left" w:pos="4962"/>
        </w:tabs>
        <w:spacing w:after="0" w:line="360" w:lineRule="auto"/>
        <w:rPr>
          <w:rFonts w:eastAsia="Times New Roman" w:cs="Tahoma"/>
          <w:bCs/>
          <w:iCs/>
          <w:color w:val="auto"/>
          <w:lang w:eastAsia="es-ES"/>
        </w:rPr>
      </w:pPr>
    </w:p>
    <w:p w14:paraId="449F650F" w14:textId="77777777" w:rsidR="000734AC" w:rsidRPr="00426D57" w:rsidRDefault="000734AC" w:rsidP="000734AC">
      <w:pPr>
        <w:spacing w:after="0" w:line="360" w:lineRule="auto"/>
        <w:rPr>
          <w:rFonts w:eastAsia="Times New Roman" w:cs="Tahoma"/>
          <w:color w:val="0D0D0D" w:themeColor="text1" w:themeTint="F2"/>
          <w:lang w:val="es-ES_tradnl" w:eastAsia="es-MX"/>
        </w:rPr>
      </w:pPr>
      <w:r w:rsidRPr="00426D57">
        <w:rPr>
          <w:rFonts w:eastAsia="Times New Roman" w:cs="Tahoma"/>
          <w:color w:val="0D0D0D" w:themeColor="text1" w:themeTint="F2"/>
          <w:lang w:val="es-ES_tradnl" w:eastAsia="es-MX"/>
        </w:rPr>
        <w:lastRenderedPageBreak/>
        <w:t>Ahora bien, este Instituto considera que los documentos que den cuenta de lo peticionado, pudieran contener diversos datos, entre los cuales se encuentran los siguientes:</w:t>
      </w:r>
    </w:p>
    <w:p w14:paraId="31F4D215" w14:textId="77777777" w:rsidR="000734AC" w:rsidRPr="00426D57" w:rsidRDefault="000734AC" w:rsidP="000734AC">
      <w:pPr>
        <w:spacing w:after="0" w:line="360" w:lineRule="auto"/>
        <w:rPr>
          <w:rFonts w:eastAsia="Times New Roman" w:cs="Tahoma"/>
          <w:color w:val="0D0D0D" w:themeColor="text1" w:themeTint="F2"/>
          <w:lang w:val="es-ES_tradnl" w:eastAsia="es-MX"/>
        </w:rPr>
      </w:pPr>
    </w:p>
    <w:p w14:paraId="182C3D1C" w14:textId="77777777" w:rsidR="000734AC" w:rsidRPr="00426D57"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Nombre de testigos (servidor público o particulares);</w:t>
      </w:r>
    </w:p>
    <w:p w14:paraId="7431079A" w14:textId="77777777" w:rsidR="000734AC" w:rsidRPr="00426D57"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Clave Única de Registro de Población;</w:t>
      </w:r>
    </w:p>
    <w:p w14:paraId="17FD9423" w14:textId="77777777" w:rsidR="000734AC" w:rsidRPr="00426D57"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Registro Federal de Contribuyentes;</w:t>
      </w:r>
    </w:p>
    <w:p w14:paraId="7628B97C" w14:textId="77777777" w:rsidR="000734AC" w:rsidRPr="00426D57"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Código Bidimensional;</w:t>
      </w:r>
    </w:p>
    <w:p w14:paraId="1360C1C9" w14:textId="77777777" w:rsidR="000734AC" w:rsidRPr="00426D57"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Teléfono particular;</w:t>
      </w:r>
    </w:p>
    <w:p w14:paraId="01F6F9B1" w14:textId="77777777" w:rsidR="000734AC" w:rsidRPr="00426D57"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Número de clave de elector, y</w:t>
      </w:r>
    </w:p>
    <w:p w14:paraId="7AD59B38" w14:textId="77777777" w:rsidR="000734AC" w:rsidRDefault="000734AC" w:rsidP="000734AC">
      <w:pPr>
        <w:numPr>
          <w:ilvl w:val="0"/>
          <w:numId w:val="3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Firma de servidores públicos o particulares.</w:t>
      </w:r>
    </w:p>
    <w:p w14:paraId="6FB09BB8" w14:textId="77777777" w:rsidR="000734AC" w:rsidRPr="00426D57" w:rsidRDefault="000734AC" w:rsidP="000734AC">
      <w:pPr>
        <w:spacing w:after="0" w:line="360" w:lineRule="auto"/>
        <w:ind w:left="720"/>
        <w:contextualSpacing/>
        <w:jc w:val="left"/>
        <w:rPr>
          <w:rFonts w:eastAsia="Times New Roman" w:cs="Tahoma"/>
          <w:color w:val="0D0D0D" w:themeColor="text1" w:themeTint="F2"/>
          <w:szCs w:val="24"/>
          <w:lang w:val="es-ES_tradnl" w:eastAsia="es-MX"/>
        </w:rPr>
      </w:pPr>
    </w:p>
    <w:p w14:paraId="1A66C005" w14:textId="7853EE13" w:rsidR="000734AC" w:rsidRPr="00426D57" w:rsidRDefault="000734AC" w:rsidP="00EC4487">
      <w:pPr>
        <w:spacing w:after="0" w:line="360" w:lineRule="auto"/>
        <w:rPr>
          <w:rFonts w:eastAsia="Times New Roman" w:cs="Tahoma"/>
          <w:bCs/>
        </w:rPr>
      </w:pPr>
      <w:r w:rsidRPr="00426D57">
        <w:rPr>
          <w:rFonts w:eastAsia="Times New Roman" w:cs="Tahoma"/>
          <w:bCs/>
        </w:rPr>
        <w:t>Así, se procede analizar si dichos datos son confidenciales o públicos</w:t>
      </w:r>
      <w:r w:rsidR="00EC4487">
        <w:rPr>
          <w:rFonts w:eastAsia="Times New Roman" w:cs="Tahoma"/>
          <w:bCs/>
        </w:rPr>
        <w:t>, para lo cual,</w:t>
      </w:r>
      <w:r w:rsidRPr="00426D57">
        <w:rPr>
          <w:rFonts w:eastAsia="Times New Roman" w:cs="Tahoma"/>
          <w:bCs/>
        </w:rPr>
        <w:t xml:space="preserve"> el artículo 143, fracción I, de la Ley previamente citada, establece que la información privada y los datos personales, concernientes a una persona física o jurídica colectiva identificada o identificable son confidenciales.</w:t>
      </w:r>
    </w:p>
    <w:p w14:paraId="72E1304B" w14:textId="77777777" w:rsidR="000734AC" w:rsidRPr="00426D57" w:rsidRDefault="000734AC" w:rsidP="000734AC">
      <w:pPr>
        <w:spacing w:after="0" w:line="360" w:lineRule="auto"/>
        <w:rPr>
          <w:rFonts w:eastAsia="Times New Roman" w:cs="Tahoma"/>
          <w:bCs/>
        </w:rPr>
      </w:pPr>
    </w:p>
    <w:p w14:paraId="44069B17" w14:textId="77777777" w:rsidR="000734AC" w:rsidRPr="00426D57" w:rsidRDefault="000734AC" w:rsidP="000734AC">
      <w:pPr>
        <w:spacing w:after="0" w:line="360" w:lineRule="auto"/>
        <w:rPr>
          <w:rFonts w:eastAsia="Times New Roman" w:cs="Tahoma"/>
          <w:bCs/>
        </w:rPr>
      </w:pPr>
      <w:r w:rsidRPr="00426D57">
        <w:rPr>
          <w:rFonts w:eastAsia="Times New Roman" w:cs="Tahoma"/>
          <w:b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C78A649" w14:textId="77777777" w:rsidR="000734AC" w:rsidRPr="00426D57" w:rsidRDefault="000734AC" w:rsidP="000734AC">
      <w:pPr>
        <w:spacing w:after="0" w:line="360" w:lineRule="auto"/>
        <w:rPr>
          <w:rFonts w:eastAsia="Times New Roman" w:cs="Tahoma"/>
          <w:bCs/>
        </w:rPr>
      </w:pPr>
    </w:p>
    <w:p w14:paraId="4B900BB2" w14:textId="77777777" w:rsidR="000734AC" w:rsidRPr="00426D57" w:rsidRDefault="000734AC" w:rsidP="000734AC">
      <w:pPr>
        <w:spacing w:after="0" w:line="360" w:lineRule="auto"/>
        <w:rPr>
          <w:rFonts w:eastAsia="Times New Roman" w:cs="Tahoma"/>
          <w:bCs/>
        </w:rPr>
      </w:pPr>
      <w:r w:rsidRPr="00426D57">
        <w:rPr>
          <w:rFonts w:eastAsia="Times New Roman" w:cs="Tahoma"/>
          <w:bCs/>
        </w:rPr>
        <w:t>En términos de lo expuesto, la documentación y aquellos datos que se consideren confidenciales, serán una limitante del derecho de acceso a la información, siempre y cuando:</w:t>
      </w:r>
    </w:p>
    <w:p w14:paraId="701D88F2" w14:textId="77777777" w:rsidR="000734AC" w:rsidRPr="00426D57" w:rsidRDefault="000734AC" w:rsidP="000734AC">
      <w:pPr>
        <w:spacing w:after="0" w:line="360" w:lineRule="auto"/>
        <w:rPr>
          <w:rFonts w:eastAsia="Times New Roman" w:cs="Tahoma"/>
          <w:bCs/>
        </w:rPr>
      </w:pPr>
    </w:p>
    <w:p w14:paraId="381BB196" w14:textId="77777777" w:rsidR="000734AC" w:rsidRPr="00426D57" w:rsidRDefault="000734AC" w:rsidP="00EC4487">
      <w:pPr>
        <w:numPr>
          <w:ilvl w:val="0"/>
          <w:numId w:val="12"/>
        </w:numPr>
        <w:spacing w:after="0" w:line="360" w:lineRule="auto"/>
        <w:rPr>
          <w:rFonts w:eastAsia="Times New Roman" w:cs="Tahoma"/>
          <w:bCs/>
        </w:rPr>
      </w:pPr>
      <w:r w:rsidRPr="00426D57">
        <w:rPr>
          <w:rFonts w:eastAsia="Times New Roman" w:cs="Tahoma"/>
          <w:bCs/>
        </w:rPr>
        <w:t xml:space="preserve">Se trate de datos personales o información privada; esto es, información concerniente a una persona física o jurídico colectiva y que esta sea identificada o identificable. </w:t>
      </w:r>
    </w:p>
    <w:p w14:paraId="1978A322" w14:textId="77777777" w:rsidR="000734AC" w:rsidRPr="00426D57" w:rsidRDefault="000734AC" w:rsidP="000734AC">
      <w:pPr>
        <w:numPr>
          <w:ilvl w:val="0"/>
          <w:numId w:val="12"/>
        </w:numPr>
        <w:spacing w:after="0" w:line="360" w:lineRule="auto"/>
        <w:jc w:val="left"/>
        <w:rPr>
          <w:rFonts w:eastAsia="Times New Roman" w:cs="Tahoma"/>
          <w:bCs/>
        </w:rPr>
      </w:pPr>
      <w:r w:rsidRPr="00426D57">
        <w:rPr>
          <w:rFonts w:eastAsia="Times New Roman" w:cs="Tahoma"/>
          <w:bCs/>
        </w:rPr>
        <w:t xml:space="preserve">Para la difusión de los datos, se requiera el consentimiento del titular. </w:t>
      </w:r>
    </w:p>
    <w:p w14:paraId="44170872" w14:textId="77777777" w:rsidR="000734AC" w:rsidRPr="00426D57" w:rsidRDefault="000734AC" w:rsidP="000734AC">
      <w:pPr>
        <w:spacing w:after="0" w:line="360" w:lineRule="auto"/>
        <w:rPr>
          <w:rFonts w:eastAsia="Times New Roman" w:cs="Tahoma"/>
          <w:bCs/>
        </w:rPr>
      </w:pPr>
    </w:p>
    <w:p w14:paraId="42ABE6FD" w14:textId="77777777" w:rsidR="000734AC" w:rsidRPr="00426D57" w:rsidRDefault="000734AC" w:rsidP="000734AC">
      <w:pPr>
        <w:spacing w:after="0" w:line="360" w:lineRule="auto"/>
        <w:rPr>
          <w:rFonts w:eastAsia="Times New Roman" w:cs="Tahoma"/>
          <w:bCs/>
        </w:rPr>
      </w:pPr>
      <w:r w:rsidRPr="00426D57">
        <w:rPr>
          <w:rFonts w:eastAsia="Times New Roman" w:cs="Tahoma"/>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7C94F20" w14:textId="77777777" w:rsidR="000734AC" w:rsidRPr="00426D57" w:rsidRDefault="000734AC" w:rsidP="000734AC">
      <w:pPr>
        <w:spacing w:after="0" w:line="360" w:lineRule="auto"/>
        <w:rPr>
          <w:rFonts w:eastAsia="Times New Roman" w:cs="Tahoma"/>
          <w:iCs/>
          <w:color w:val="auto"/>
          <w:szCs w:val="24"/>
          <w:lang w:eastAsia="es-ES_tradnl"/>
        </w:rPr>
      </w:pPr>
    </w:p>
    <w:p w14:paraId="60ED68F2" w14:textId="77777777" w:rsidR="000734AC" w:rsidRPr="00426D57" w:rsidRDefault="000734AC" w:rsidP="000734AC">
      <w:pPr>
        <w:spacing w:after="0" w:line="360" w:lineRule="auto"/>
        <w:rPr>
          <w:rFonts w:eastAsia="Times New Roman" w:cs="Tahoma"/>
          <w:bCs/>
        </w:rPr>
      </w:pPr>
      <w:r w:rsidRPr="00426D57">
        <w:rPr>
          <w:rFonts w:eastAsia="Times New Roman" w:cs="Tahoma"/>
          <w:bCs/>
        </w:rPr>
        <w:t>Bajo ese contexto, se analizarán si los datos mencionados, deben ser considerados confidenciales, en términos del artículo 143, fracción I, de la Ley de Transparencia y Acceso a la Información Pública del Estado de México y Municipios, o públicos.</w:t>
      </w:r>
    </w:p>
    <w:p w14:paraId="0EE00274" w14:textId="77777777" w:rsidR="000734AC" w:rsidRPr="00426D57" w:rsidRDefault="000734AC" w:rsidP="000734AC">
      <w:pPr>
        <w:spacing w:after="0" w:line="360" w:lineRule="auto"/>
        <w:rPr>
          <w:rFonts w:eastAsia="Times New Roman" w:cs="Tahoma"/>
          <w:bCs/>
        </w:rPr>
      </w:pPr>
    </w:p>
    <w:p w14:paraId="42CADD41" w14:textId="77777777" w:rsidR="000734AC" w:rsidRPr="00426D57" w:rsidRDefault="000734AC" w:rsidP="000734AC">
      <w:pPr>
        <w:numPr>
          <w:ilvl w:val="0"/>
          <w:numId w:val="1"/>
        </w:numPr>
        <w:spacing w:after="0" w:line="360" w:lineRule="auto"/>
        <w:jc w:val="left"/>
        <w:rPr>
          <w:rFonts w:eastAsia="Times New Roman" w:cs="Tahoma"/>
          <w:bCs/>
        </w:rPr>
      </w:pPr>
      <w:r w:rsidRPr="00426D57">
        <w:rPr>
          <w:rFonts w:eastAsia="Times New Roman" w:cs="Tahoma"/>
          <w:b/>
        </w:rPr>
        <w:t>Nombre de testigos (part</w:t>
      </w:r>
      <w:r>
        <w:rPr>
          <w:rFonts w:eastAsia="Times New Roman" w:cs="Tahoma"/>
          <w:b/>
        </w:rPr>
        <w:t>iculares o servidores públicos)</w:t>
      </w:r>
    </w:p>
    <w:p w14:paraId="7B96DA88" w14:textId="77777777" w:rsidR="000734AC" w:rsidRPr="00426D57" w:rsidRDefault="000734AC" w:rsidP="000734AC">
      <w:pPr>
        <w:spacing w:after="0" w:line="360" w:lineRule="auto"/>
        <w:rPr>
          <w:rFonts w:eastAsia="Times New Roman" w:cs="Tahoma"/>
          <w:bCs/>
        </w:rPr>
      </w:pPr>
    </w:p>
    <w:p w14:paraId="654A7E07" w14:textId="77777777" w:rsidR="000734AC" w:rsidRPr="00426D57" w:rsidRDefault="000734AC" w:rsidP="000734AC">
      <w:pPr>
        <w:spacing w:after="0" w:line="360" w:lineRule="auto"/>
        <w:rPr>
          <w:rFonts w:eastAsia="Times New Roman" w:cs="Tahoma"/>
          <w:b/>
        </w:rPr>
      </w:pPr>
      <w:r w:rsidRPr="00426D57">
        <w:rPr>
          <w:rFonts w:eastAsia="Times New Roman" w:cs="Tahoma"/>
          <w:b/>
        </w:rPr>
        <w:t>Particular</w:t>
      </w:r>
    </w:p>
    <w:p w14:paraId="75D1BEA9" w14:textId="77777777" w:rsidR="000734AC" w:rsidRPr="00426D57" w:rsidRDefault="000734AC" w:rsidP="000734AC">
      <w:pPr>
        <w:spacing w:after="0" w:line="360" w:lineRule="auto"/>
        <w:rPr>
          <w:rFonts w:eastAsia="Times New Roman" w:cs="Tahoma"/>
          <w:bCs/>
        </w:rPr>
      </w:pPr>
    </w:p>
    <w:p w14:paraId="0A8C5DB9" w14:textId="77777777" w:rsidR="000734AC" w:rsidRPr="00426D57" w:rsidRDefault="000734AC" w:rsidP="000734AC">
      <w:pPr>
        <w:spacing w:after="0" w:line="360" w:lineRule="auto"/>
        <w:ind w:right="-93"/>
        <w:rPr>
          <w:rFonts w:eastAsia="Times New Roman" w:cs="Tahoma"/>
          <w:b/>
          <w:bCs/>
          <w:color w:val="auto"/>
          <w:lang w:val="es-ES_tradnl"/>
        </w:rPr>
      </w:pPr>
      <w:r w:rsidRPr="00426D57">
        <w:rPr>
          <w:rFonts w:eastAsia="Times New Roman" w:cs="Tahoma"/>
          <w:bCs/>
          <w:color w:val="auto"/>
        </w:rPr>
        <w:t xml:space="preserve">Al respecto, se considera que el nombre de una persona se integra </w:t>
      </w:r>
      <w:r w:rsidRPr="00426D57">
        <w:rPr>
          <w:rFonts w:eastAsia="Times New Roman" w:cs="Tahoma"/>
          <w:bCs/>
          <w:color w:val="auto"/>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26D57">
        <w:rPr>
          <w:rFonts w:eastAsia="Times New Roman" w:cs="Tahoma"/>
          <w:bCs/>
          <w:i/>
          <w:color w:val="auto"/>
          <w:lang w:val="es-ES_tradnl"/>
        </w:rPr>
        <w:t xml:space="preserve">per </w:t>
      </w:r>
      <w:r w:rsidRPr="00426D57">
        <w:rPr>
          <w:rFonts w:eastAsia="Times New Roman" w:cs="Tahoma"/>
          <w:bCs/>
          <w:i/>
          <w:color w:val="auto"/>
          <w:lang w:val="es-ES_tradnl"/>
        </w:rPr>
        <w:lastRenderedPageBreak/>
        <w:t>se</w:t>
      </w:r>
      <w:r w:rsidRPr="00426D57">
        <w:rPr>
          <w:rFonts w:eastAsia="Times New Roman" w:cs="Tahoma"/>
          <w:bCs/>
          <w:color w:val="auto"/>
          <w:lang w:val="es-ES_tradnl"/>
        </w:rPr>
        <w:t xml:space="preserve"> es un elemento que hace a una persona física identificada o identificable, por lo que, </w:t>
      </w:r>
      <w:r w:rsidRPr="00426D57">
        <w:rPr>
          <w:rFonts w:eastAsia="Times New Roman" w:cs="Tahoma"/>
          <w:b/>
          <w:bCs/>
          <w:color w:val="auto"/>
          <w:lang w:val="es-ES_tradnl"/>
        </w:rPr>
        <w:t>se considera un dato personal.</w:t>
      </w:r>
    </w:p>
    <w:p w14:paraId="45F42D4A" w14:textId="77777777" w:rsidR="000734AC" w:rsidRPr="00426D57" w:rsidRDefault="000734AC" w:rsidP="000734AC">
      <w:pPr>
        <w:spacing w:after="0" w:line="360" w:lineRule="auto"/>
        <w:ind w:right="-93"/>
        <w:rPr>
          <w:rFonts w:eastAsia="Times New Roman" w:cs="Tahoma"/>
          <w:b/>
          <w:bCs/>
          <w:color w:val="auto"/>
          <w:lang w:val="es-ES_tradnl"/>
        </w:rPr>
      </w:pPr>
    </w:p>
    <w:p w14:paraId="437A5ABB" w14:textId="77777777" w:rsidR="000734AC" w:rsidRPr="00426D57" w:rsidRDefault="000734AC" w:rsidP="000734AC">
      <w:pPr>
        <w:spacing w:after="0" w:line="360" w:lineRule="auto"/>
        <w:rPr>
          <w:rFonts w:eastAsia="Times New Roman" w:cs="Tahoma"/>
          <w:color w:val="auto"/>
          <w:lang w:val="es-ES" w:eastAsia="es-ES"/>
        </w:rPr>
      </w:pPr>
      <w:r w:rsidRPr="00426D57">
        <w:rPr>
          <w:rFonts w:eastAsia="Times New Roman" w:cs="Tahoma"/>
          <w:color w:val="auto"/>
          <w:lang w:val="es-ES" w:eastAsia="es-ES"/>
        </w:rPr>
        <w:t>En el presente caso, es de referir que el nombre corresponde a una persona particular que fungió como testigo para el servidor público entrante o saliente, y que no tiene relación alguna con el Ayuntamiento, por lo que, se considera que el dato actualiza la causal de clasificación, establecida en el artículo 143, fracción I, de la Ley de la materia.</w:t>
      </w:r>
    </w:p>
    <w:p w14:paraId="297D4700" w14:textId="77777777" w:rsidR="000734AC" w:rsidRPr="0087175D" w:rsidRDefault="000734AC" w:rsidP="0087175D">
      <w:pPr>
        <w:tabs>
          <w:tab w:val="left" w:pos="4962"/>
        </w:tabs>
        <w:spacing w:after="0" w:line="360" w:lineRule="auto"/>
      </w:pPr>
    </w:p>
    <w:p w14:paraId="0CB7B5A4" w14:textId="77777777" w:rsidR="000734AC" w:rsidRDefault="000734AC" w:rsidP="00A62148">
      <w:pPr>
        <w:tabs>
          <w:tab w:val="left" w:pos="4962"/>
        </w:tabs>
        <w:spacing w:after="0" w:line="360" w:lineRule="auto"/>
        <w:rPr>
          <w:rFonts w:eastAsia="Times New Roman" w:cs="Times New Roman"/>
          <w:bCs/>
          <w:color w:val="FF0000"/>
          <w:lang w:eastAsia="es-ES"/>
        </w:rPr>
      </w:pPr>
    </w:p>
    <w:p w14:paraId="2B128F74" w14:textId="77777777" w:rsidR="000734AC" w:rsidRDefault="000734AC" w:rsidP="00A62148">
      <w:pPr>
        <w:tabs>
          <w:tab w:val="left" w:pos="4962"/>
        </w:tabs>
        <w:spacing w:after="0" w:line="360" w:lineRule="auto"/>
        <w:rPr>
          <w:rFonts w:eastAsia="Times New Roman" w:cs="Times New Roman"/>
          <w:bCs/>
          <w:color w:val="FF0000"/>
          <w:lang w:eastAsia="es-ES"/>
        </w:rPr>
      </w:pPr>
    </w:p>
    <w:p w14:paraId="35996B72" w14:textId="77777777" w:rsidR="000734AC" w:rsidRPr="00426D57" w:rsidRDefault="000734AC" w:rsidP="000734AC">
      <w:pPr>
        <w:spacing w:after="0" w:line="360" w:lineRule="auto"/>
        <w:rPr>
          <w:rFonts w:eastAsia="Times New Roman" w:cs="Tahoma"/>
          <w:b/>
        </w:rPr>
      </w:pPr>
      <w:r w:rsidRPr="00426D57">
        <w:rPr>
          <w:rFonts w:eastAsia="Times New Roman" w:cs="Tahoma"/>
          <w:b/>
        </w:rPr>
        <w:t>Servidor Público</w:t>
      </w:r>
    </w:p>
    <w:p w14:paraId="59BBD00D" w14:textId="77777777" w:rsidR="000734AC" w:rsidRPr="00426D57" w:rsidRDefault="000734AC" w:rsidP="000734AC">
      <w:pPr>
        <w:spacing w:after="0" w:line="360" w:lineRule="auto"/>
        <w:rPr>
          <w:rFonts w:eastAsia="Times New Roman" w:cs="Tahoma"/>
          <w:b/>
        </w:rPr>
      </w:pPr>
    </w:p>
    <w:p w14:paraId="1529622F" w14:textId="77777777" w:rsidR="000734AC" w:rsidRPr="00426D57" w:rsidRDefault="000734AC" w:rsidP="000734AC">
      <w:pPr>
        <w:spacing w:after="0" w:line="360" w:lineRule="auto"/>
        <w:ind w:right="-93"/>
        <w:rPr>
          <w:rFonts w:eastAsia="Times New Roman" w:cs="Tahoma"/>
          <w:bCs/>
          <w:color w:val="auto"/>
          <w:lang w:val="es-ES_tradnl"/>
        </w:rPr>
      </w:pPr>
      <w:r w:rsidRPr="00426D57">
        <w:rPr>
          <w:rFonts w:eastAsia="Times New Roman" w:cs="Tahoma"/>
          <w:bCs/>
          <w:color w:val="auto"/>
          <w:lang w:val="es-ES_tradnl"/>
        </w:rPr>
        <w:t>Al respecto,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los nombres de servidores públicos, ya que la difusión de dicho dato constituye una obligación de transparencia por parte de los sujetos obligados.</w:t>
      </w:r>
    </w:p>
    <w:p w14:paraId="6FA86848" w14:textId="77777777" w:rsidR="000734AC" w:rsidRPr="00426D57" w:rsidRDefault="000734AC" w:rsidP="000734AC">
      <w:pPr>
        <w:spacing w:after="0" w:line="360" w:lineRule="auto"/>
        <w:ind w:right="-93"/>
        <w:rPr>
          <w:rFonts w:eastAsia="Times New Roman" w:cs="Tahoma"/>
          <w:bCs/>
          <w:color w:val="auto"/>
          <w:lang w:val="es-ES_tradnl"/>
        </w:rPr>
      </w:pPr>
    </w:p>
    <w:p w14:paraId="2AB58FBD" w14:textId="77777777" w:rsidR="000734AC" w:rsidRPr="00426D57" w:rsidRDefault="000734AC" w:rsidP="000734AC">
      <w:pPr>
        <w:spacing w:after="0" w:line="360" w:lineRule="auto"/>
        <w:ind w:right="-93"/>
        <w:rPr>
          <w:rFonts w:eastAsia="Times New Roman" w:cs="Tahoma"/>
          <w:b/>
          <w:bCs/>
          <w:color w:val="auto"/>
          <w:lang w:val="es-ES_tradnl"/>
        </w:rPr>
      </w:pPr>
      <w:r w:rsidRPr="00426D57">
        <w:rPr>
          <w:rFonts w:eastAsia="Times New Roman" w:cs="Tahoma"/>
          <w:bCs/>
          <w:color w:val="auto"/>
          <w:lang w:val="es-ES_tradnl"/>
        </w:rPr>
        <w:t xml:space="preserve">Lo anterior, toma sustento con el artículo 70, fracción VII, de la Ley General de Transparencia y Acceso a la Información Pública y el 92, fracción VII, de la Ley de Transparencia y Acceso a la Información Pública del Estado de México y Municipios,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426D57">
        <w:rPr>
          <w:rFonts w:eastAsia="Times New Roman" w:cs="Tahoma"/>
          <w:b/>
          <w:bCs/>
          <w:color w:val="auto"/>
          <w:lang w:val="es-ES_tradnl"/>
        </w:rPr>
        <w:t>el nombre del servidor público.</w:t>
      </w:r>
    </w:p>
    <w:p w14:paraId="125809A0" w14:textId="77777777" w:rsidR="000734AC" w:rsidRPr="00426D57" w:rsidRDefault="000734AC" w:rsidP="000734AC">
      <w:pPr>
        <w:spacing w:after="0" w:line="360" w:lineRule="auto"/>
        <w:ind w:right="-93"/>
        <w:rPr>
          <w:rFonts w:eastAsia="Times New Roman" w:cs="Tahoma"/>
          <w:b/>
          <w:bCs/>
          <w:color w:val="auto"/>
          <w:lang w:val="es-ES_tradnl"/>
        </w:rPr>
      </w:pPr>
    </w:p>
    <w:p w14:paraId="5675E8EF" w14:textId="77777777" w:rsidR="000734AC" w:rsidRPr="00426D57" w:rsidRDefault="000734AC" w:rsidP="000734AC">
      <w:pPr>
        <w:spacing w:after="0" w:line="360" w:lineRule="auto"/>
        <w:ind w:right="-93"/>
        <w:rPr>
          <w:rFonts w:eastAsia="Times New Roman" w:cs="Tahoma"/>
          <w:bCs/>
          <w:color w:val="auto"/>
          <w:lang w:val="es-ES_tradnl"/>
        </w:rPr>
      </w:pPr>
      <w:r w:rsidRPr="00426D57">
        <w:rPr>
          <w:rFonts w:eastAsia="Times New Roman" w:cs="Tahoma"/>
          <w:bCs/>
          <w:color w:val="auto"/>
          <w:lang w:val="es-ES_tradnl"/>
        </w:rPr>
        <w:lastRenderedPageBreak/>
        <w:t xml:space="preserve">Por lo tanto, las Leyes de Transparencia, considera que </w:t>
      </w:r>
      <w:r w:rsidRPr="00426D57">
        <w:rPr>
          <w:rFonts w:eastAsia="Times New Roman" w:cs="Tahoma"/>
          <w:b/>
          <w:bCs/>
          <w:color w:val="auto"/>
          <w:lang w:val="es-ES_tradnl"/>
        </w:rPr>
        <w:t xml:space="preserve">los datos, como el nombre de servidores públicos, por regla general, </w:t>
      </w:r>
      <w:r w:rsidRPr="00426D57">
        <w:rPr>
          <w:rFonts w:eastAsia="Times New Roman" w:cs="Tahoma"/>
          <w:bCs/>
          <w:color w:val="auto"/>
          <w:lang w:val="es-ES_tradnl"/>
        </w:rPr>
        <w:t>son de naturaleza pública, ya que su publicidad orienta a cumplir los objetivos que persigue la Ley y, por lo tanto, no procede la clasificación en términos del artículo 143, fracción I, de la Ley Local.</w:t>
      </w:r>
    </w:p>
    <w:p w14:paraId="0476004E" w14:textId="77777777" w:rsidR="000734AC" w:rsidRPr="00426D57" w:rsidRDefault="000734AC" w:rsidP="000734AC">
      <w:pPr>
        <w:spacing w:after="0" w:line="360" w:lineRule="auto"/>
        <w:rPr>
          <w:rFonts w:eastAsia="Times New Roman" w:cs="Tahoma"/>
          <w:b/>
        </w:rPr>
      </w:pPr>
    </w:p>
    <w:p w14:paraId="3DF65DE5" w14:textId="77777777" w:rsidR="000734AC" w:rsidRPr="00426D57" w:rsidRDefault="000734AC" w:rsidP="000734AC">
      <w:pPr>
        <w:numPr>
          <w:ilvl w:val="0"/>
          <w:numId w:val="1"/>
        </w:numPr>
        <w:spacing w:after="0" w:line="360" w:lineRule="auto"/>
        <w:contextualSpacing/>
        <w:jc w:val="left"/>
        <w:rPr>
          <w:rFonts w:eastAsia="Times New Roman" w:cs="Tahoma"/>
          <w:b/>
          <w:bCs/>
          <w:color w:val="auto"/>
        </w:rPr>
      </w:pPr>
      <w:r w:rsidRPr="00426D57">
        <w:rPr>
          <w:rFonts w:eastAsia="Times New Roman" w:cs="Tahoma"/>
          <w:b/>
          <w:bCs/>
          <w:color w:val="auto"/>
        </w:rPr>
        <w:t>Domicilio particular, así como, para recibir todo tipo de notificaciones</w:t>
      </w:r>
    </w:p>
    <w:p w14:paraId="2F7CDE74" w14:textId="77777777" w:rsidR="000734AC" w:rsidRPr="00426D57" w:rsidRDefault="000734AC" w:rsidP="000734AC">
      <w:pPr>
        <w:spacing w:after="0" w:line="360" w:lineRule="auto"/>
        <w:ind w:left="720"/>
        <w:contextualSpacing/>
        <w:jc w:val="left"/>
        <w:rPr>
          <w:rFonts w:eastAsia="Times New Roman" w:cs="Tahoma"/>
          <w:b/>
          <w:bCs/>
          <w:color w:val="auto"/>
        </w:rPr>
      </w:pPr>
    </w:p>
    <w:p w14:paraId="646ECDD2" w14:textId="77777777" w:rsidR="000734AC" w:rsidRPr="00426D57" w:rsidRDefault="000734AC" w:rsidP="000734AC">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9DAEEA6" w14:textId="77777777" w:rsidR="000734AC" w:rsidRPr="00426D57" w:rsidRDefault="000734AC" w:rsidP="000734AC">
      <w:pPr>
        <w:spacing w:after="0" w:line="360" w:lineRule="auto"/>
        <w:ind w:right="-93"/>
        <w:rPr>
          <w:rFonts w:eastAsia="Times New Roman" w:cs="Tahoma"/>
          <w:color w:val="auto"/>
          <w:lang w:val="es-ES" w:eastAsia="es-ES"/>
        </w:rPr>
      </w:pPr>
    </w:p>
    <w:p w14:paraId="716B9AC1" w14:textId="77777777" w:rsidR="000734AC" w:rsidRPr="00426D57" w:rsidRDefault="000734AC" w:rsidP="000734AC">
      <w:pPr>
        <w:spacing w:after="0" w:line="360" w:lineRule="auto"/>
        <w:ind w:right="-93"/>
        <w:rPr>
          <w:rFonts w:eastAsia="Times New Roman" w:cs="Tahoma"/>
          <w:b/>
          <w:color w:val="auto"/>
          <w:lang w:val="es-ES" w:eastAsia="es-ES"/>
        </w:rPr>
      </w:pPr>
      <w:r w:rsidRPr="00426D57">
        <w:rPr>
          <w:rFonts w:eastAsia="Times New Roman" w:cs="Tahoma"/>
          <w:color w:val="auto"/>
          <w:lang w:val="es-ES" w:eastAsia="es-ES"/>
        </w:rPr>
        <w:t>De la misma manera, lo establece el artículo 29 del Código Civil Federal, al precisar que el domicilio de personas físicas</w:t>
      </w:r>
      <w:r w:rsidRPr="00426D57">
        <w:rPr>
          <w:rFonts w:eastAsia="Times New Roman" w:cs="Tahoma"/>
          <w:b/>
          <w:color w:val="auto"/>
          <w:lang w:val="es-ES" w:eastAsia="es-ES"/>
        </w:rPr>
        <w:t>, es el lugar donde residen habitualmente, el lugar del centro principal de sus negocios, donde residan o el lugar donde se encuentren.</w:t>
      </w:r>
    </w:p>
    <w:p w14:paraId="481CD40D" w14:textId="77777777" w:rsidR="000734AC" w:rsidRPr="00426D57" w:rsidRDefault="000734AC" w:rsidP="000734AC">
      <w:pPr>
        <w:spacing w:after="0" w:line="360" w:lineRule="auto"/>
        <w:rPr>
          <w:rFonts w:eastAsia="Times New Roman" w:cs="Tahoma"/>
          <w:b/>
          <w:bCs/>
          <w:color w:val="auto"/>
          <w:sz w:val="20"/>
        </w:rPr>
      </w:pPr>
    </w:p>
    <w:p w14:paraId="14FFCCF8" w14:textId="77777777" w:rsidR="000734AC" w:rsidRPr="00426D57" w:rsidRDefault="000734AC" w:rsidP="000734AC">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466FC31" w14:textId="77777777" w:rsidR="000734AC" w:rsidRPr="00426D57" w:rsidRDefault="000734AC" w:rsidP="000734AC">
      <w:pPr>
        <w:spacing w:after="0" w:line="360" w:lineRule="auto"/>
        <w:ind w:right="-93"/>
        <w:rPr>
          <w:rFonts w:eastAsia="Times New Roman" w:cs="Tahoma"/>
          <w:color w:val="auto"/>
          <w:lang w:val="es-ES" w:eastAsia="es-ES"/>
        </w:rPr>
      </w:pPr>
    </w:p>
    <w:p w14:paraId="6DE5C32F" w14:textId="77777777" w:rsidR="000734AC" w:rsidRPr="00426D57" w:rsidRDefault="000734AC" w:rsidP="000734AC">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 xml:space="preserve">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w:t>
      </w:r>
      <w:r w:rsidRPr="00426D57">
        <w:rPr>
          <w:rFonts w:eastAsia="Times New Roman" w:cs="Tahoma"/>
          <w:color w:val="auto"/>
          <w:lang w:val="es-ES" w:eastAsia="es-ES"/>
        </w:rPr>
        <w:lastRenderedPageBreak/>
        <w:t>ubicable en su carácter de particular, por lo que, se concluye que el comprobante guarda la naturaleza de privado.</w:t>
      </w:r>
    </w:p>
    <w:p w14:paraId="227DC4AF" w14:textId="77777777" w:rsidR="000734AC" w:rsidRPr="00426D57" w:rsidRDefault="000734AC" w:rsidP="000734AC">
      <w:pPr>
        <w:spacing w:after="0" w:line="360" w:lineRule="auto"/>
        <w:ind w:right="-93"/>
        <w:rPr>
          <w:rFonts w:eastAsia="Times New Roman" w:cs="Tahoma"/>
          <w:color w:val="auto"/>
          <w:lang w:val="es-ES" w:eastAsia="es-ES"/>
        </w:rPr>
      </w:pPr>
    </w:p>
    <w:p w14:paraId="4DEF228C" w14:textId="77777777" w:rsidR="000734AC" w:rsidRPr="00426D57" w:rsidRDefault="000734AC" w:rsidP="000734AC">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6A0D3ECE" w14:textId="77777777" w:rsidR="000734AC" w:rsidRPr="00426D57" w:rsidRDefault="000734AC" w:rsidP="000734AC">
      <w:pPr>
        <w:spacing w:after="0" w:line="360" w:lineRule="auto"/>
        <w:rPr>
          <w:rFonts w:eastAsia="Times New Roman" w:cs="Tahoma"/>
          <w:bCs/>
        </w:rPr>
      </w:pPr>
    </w:p>
    <w:p w14:paraId="192F5EE6" w14:textId="77777777" w:rsidR="000734AC" w:rsidRPr="00426D57" w:rsidRDefault="000734AC" w:rsidP="000734AC">
      <w:pPr>
        <w:numPr>
          <w:ilvl w:val="0"/>
          <w:numId w:val="1"/>
        </w:numPr>
        <w:spacing w:after="0" w:line="360" w:lineRule="auto"/>
        <w:jc w:val="left"/>
        <w:rPr>
          <w:rFonts w:eastAsia="Times New Roman" w:cs="Tahoma"/>
          <w:b/>
          <w:bCs/>
          <w:iCs/>
          <w:lang w:val="es-ES_tradnl"/>
        </w:rPr>
      </w:pPr>
      <w:r w:rsidRPr="00426D57">
        <w:rPr>
          <w:rFonts w:eastAsia="Times New Roman" w:cs="Tahoma"/>
          <w:b/>
          <w:bCs/>
          <w:iCs/>
        </w:rPr>
        <w:t>C</w:t>
      </w:r>
      <w:r w:rsidRPr="00426D57">
        <w:rPr>
          <w:rFonts w:eastAsia="Times New Roman" w:cs="Tahoma"/>
          <w:b/>
          <w:bCs/>
          <w:iCs/>
          <w:lang w:val="es-ES_tradnl"/>
        </w:rPr>
        <w:t>lave Única de Registro de Población (CURP)</w:t>
      </w:r>
    </w:p>
    <w:p w14:paraId="49584CE9" w14:textId="77777777" w:rsidR="000734AC" w:rsidRPr="00426D57" w:rsidRDefault="000734AC" w:rsidP="000734AC">
      <w:pPr>
        <w:spacing w:after="0" w:line="360" w:lineRule="auto"/>
        <w:rPr>
          <w:rFonts w:eastAsia="Times New Roman" w:cs="Tahoma"/>
          <w:bCs/>
          <w:iCs/>
        </w:rPr>
      </w:pPr>
    </w:p>
    <w:p w14:paraId="5B8B58B1" w14:textId="77777777" w:rsidR="000734AC" w:rsidRPr="00426D57" w:rsidRDefault="000734AC" w:rsidP="000734AC">
      <w:pPr>
        <w:spacing w:after="0" w:line="360" w:lineRule="auto"/>
        <w:rPr>
          <w:rFonts w:eastAsia="Times New Roman" w:cs="Tahoma"/>
          <w:bCs/>
          <w:iCs/>
        </w:rPr>
      </w:pPr>
      <w:r w:rsidRPr="00426D57">
        <w:rPr>
          <w:rFonts w:eastAsia="Times New Roman" w:cs="Tahoma"/>
          <w:bCs/>
          <w:iC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BD6542C" w14:textId="77777777" w:rsidR="000734AC" w:rsidRPr="00426D57" w:rsidRDefault="000734AC" w:rsidP="000734AC">
      <w:pPr>
        <w:spacing w:after="0" w:line="360" w:lineRule="auto"/>
        <w:rPr>
          <w:rFonts w:eastAsia="Times New Roman" w:cs="Tahoma"/>
          <w:bCs/>
          <w:iCs/>
        </w:rPr>
      </w:pPr>
    </w:p>
    <w:p w14:paraId="3867D59B" w14:textId="77777777" w:rsidR="000734AC" w:rsidRPr="00426D57" w:rsidRDefault="000734AC" w:rsidP="000734AC">
      <w:pPr>
        <w:spacing w:after="0" w:line="360" w:lineRule="auto"/>
        <w:rPr>
          <w:rFonts w:eastAsia="Times New Roman" w:cs="Tahoma"/>
          <w:bCs/>
          <w:iCs/>
        </w:rPr>
      </w:pPr>
      <w:r w:rsidRPr="00426D57">
        <w:rPr>
          <w:rFonts w:eastAsia="Times New Roman" w:cs="Tahoma"/>
          <w:bCs/>
          <w:i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27A68F0" w14:textId="77777777" w:rsidR="000734AC" w:rsidRPr="00426D57" w:rsidRDefault="000734AC" w:rsidP="000734AC">
      <w:pPr>
        <w:spacing w:after="0" w:line="360" w:lineRule="auto"/>
        <w:rPr>
          <w:rFonts w:eastAsia="Times New Roman" w:cs="Tahoma"/>
          <w:bCs/>
          <w:iCs/>
        </w:rPr>
      </w:pPr>
    </w:p>
    <w:p w14:paraId="2D18798F" w14:textId="6D8F30B7" w:rsidR="000734AC" w:rsidRPr="00426D57" w:rsidRDefault="000734AC" w:rsidP="000734AC">
      <w:pPr>
        <w:spacing w:after="0" w:line="360" w:lineRule="auto"/>
        <w:rPr>
          <w:rFonts w:eastAsia="Times New Roman" w:cs="Tahoma"/>
          <w:bCs/>
          <w:iCs/>
        </w:rPr>
      </w:pPr>
      <w:r w:rsidRPr="00426D57">
        <w:rPr>
          <w:rFonts w:eastAsia="Times New Roman" w:cs="Tahoma"/>
          <w:bCs/>
          <w:iCs/>
        </w:rPr>
        <w:t xml:space="preserve">En ese orden de ideas, la Secretaría de Gobernación en las direcciones </w:t>
      </w:r>
      <w:hyperlink r:id="rId8" w:history="1">
        <w:r w:rsidRPr="00426D57">
          <w:rPr>
            <w:rFonts w:eastAsia="Times New Roman" w:cs="Tahoma"/>
            <w:bCs/>
            <w:iCs/>
            <w:u w:val="single"/>
          </w:rPr>
          <w:t>https://consultas.curp.gob.mx/CurpSP/html/informacionecurpPS.html</w:t>
        </w:r>
      </w:hyperlink>
      <w:r w:rsidRPr="00426D57">
        <w:rPr>
          <w:rFonts w:eastAsia="Times New Roman" w:cs="Tahoma"/>
          <w:bCs/>
          <w:iCs/>
        </w:rPr>
        <w:t xml:space="preserve"> y </w:t>
      </w:r>
      <w:hyperlink r:id="rId9" w:history="1">
        <w:r w:rsidRPr="00426D57">
          <w:rPr>
            <w:rFonts w:eastAsia="Times New Roman" w:cs="Tahoma"/>
            <w:bCs/>
            <w:iCs/>
            <w:u w:val="single"/>
          </w:rPr>
          <w:t>https://www.gob.mx/segob/renapo/acciones-y-programas/clave-unica-de-registro-de-poblacion-curp-142226</w:t>
        </w:r>
      </w:hyperlink>
      <w:r w:rsidRPr="00426D57">
        <w:rPr>
          <w:rFonts w:eastAsia="Times New Roman" w:cs="Tahoma"/>
          <w:bCs/>
          <w:iCs/>
        </w:rPr>
        <w:t xml:space="preserve"> (consultadas</w:t>
      </w:r>
      <w:r>
        <w:rPr>
          <w:rFonts w:eastAsia="Times New Roman" w:cs="Tahoma"/>
          <w:bCs/>
          <w:iCs/>
        </w:rPr>
        <w:t xml:space="preserve"> el primero de abril de dos mil veinticinco</w:t>
      </w:r>
      <w:r w:rsidRPr="00426D57">
        <w:rPr>
          <w:rFonts w:eastAsia="Times New Roman" w:cs="Tahoma"/>
          <w:bCs/>
          <w:iCs/>
        </w:rPr>
        <w:t xml:space="preserve">), estableció que la Clave Única del Registro de Población, es un instrumento de registro que se asigna a todas las personas que viven en el territorio nacional, así como a los mexicanos que residen </w:t>
      </w:r>
      <w:r w:rsidRPr="00426D57">
        <w:rPr>
          <w:rFonts w:eastAsia="Times New Roman" w:cs="Tahoma"/>
          <w:bCs/>
          <w:iCs/>
        </w:rPr>
        <w:lastRenderedPageBreak/>
        <w:t xml:space="preserve">en el extranjero y se compone de dieciocho elementos, representados por letras y números, que </w:t>
      </w:r>
      <w:r w:rsidRPr="00426D57">
        <w:rPr>
          <w:rFonts w:eastAsia="Times New Roman" w:cs="Tahoma"/>
          <w:b/>
          <w:bCs/>
          <w:iCs/>
        </w:rPr>
        <w:t>se generan a partir de los datos contenidos en el documento probatorio de la identidad</w:t>
      </w:r>
      <w:r w:rsidRPr="00426D57">
        <w:rPr>
          <w:rFonts w:eastAsia="Times New Roman" w:cs="Tahoma"/>
          <w:bCs/>
          <w:iCs/>
        </w:rPr>
        <w:t xml:space="preserve"> </w:t>
      </w:r>
      <w:r w:rsidRPr="00426D57">
        <w:rPr>
          <w:rFonts w:eastAsia="Times New Roman" w:cs="Tahoma"/>
          <w:b/>
          <w:bCs/>
          <w:iCs/>
        </w:rPr>
        <w:t xml:space="preserve">del interesado </w:t>
      </w:r>
      <w:r w:rsidRPr="00426D57">
        <w:rPr>
          <w:rFonts w:eastAsia="Times New Roman" w:cs="Tahoma"/>
          <w:bCs/>
          <w:iCs/>
        </w:rPr>
        <w:t>(acta de nacimiento, carta de naturalización o documento migratorio) de la siguiente forma:</w:t>
      </w:r>
    </w:p>
    <w:p w14:paraId="1EFC2989" w14:textId="77777777" w:rsidR="000734AC" w:rsidRPr="00426D57" w:rsidRDefault="000734AC" w:rsidP="000734AC">
      <w:pPr>
        <w:spacing w:after="0" w:line="360" w:lineRule="auto"/>
        <w:rPr>
          <w:rFonts w:eastAsia="Times New Roman" w:cs="Tahoma"/>
          <w:bCs/>
          <w:iCs/>
        </w:rPr>
      </w:pPr>
    </w:p>
    <w:p w14:paraId="4AD23B4B" w14:textId="77777777" w:rsidR="000734AC" w:rsidRPr="00426D57" w:rsidRDefault="000734AC" w:rsidP="000734AC">
      <w:pPr>
        <w:numPr>
          <w:ilvl w:val="0"/>
          <w:numId w:val="38"/>
        </w:numPr>
        <w:spacing w:after="0" w:line="360" w:lineRule="auto"/>
        <w:jc w:val="left"/>
        <w:rPr>
          <w:rFonts w:eastAsia="Times New Roman" w:cs="Tahoma"/>
          <w:bCs/>
          <w:iCs/>
        </w:rPr>
      </w:pPr>
      <w:r w:rsidRPr="00426D57">
        <w:rPr>
          <w:rFonts w:eastAsia="Times New Roman" w:cs="Tahoma"/>
          <w:bCs/>
          <w:iCs/>
        </w:rPr>
        <w:t>El primero y segundo apellidos, así como al nombre de pila;</w:t>
      </w:r>
    </w:p>
    <w:p w14:paraId="7E3993DE" w14:textId="77777777" w:rsidR="000734AC" w:rsidRPr="00426D57" w:rsidRDefault="000734AC" w:rsidP="000734AC">
      <w:pPr>
        <w:numPr>
          <w:ilvl w:val="0"/>
          <w:numId w:val="38"/>
        </w:numPr>
        <w:spacing w:after="0" w:line="360" w:lineRule="auto"/>
        <w:jc w:val="left"/>
        <w:rPr>
          <w:rFonts w:eastAsia="Times New Roman" w:cs="Tahoma"/>
          <w:bCs/>
          <w:iCs/>
        </w:rPr>
      </w:pPr>
      <w:r w:rsidRPr="00426D57">
        <w:rPr>
          <w:rFonts w:eastAsia="Times New Roman" w:cs="Tahoma"/>
          <w:bCs/>
          <w:iCs/>
        </w:rPr>
        <w:t>La fecha de nacimiento;</w:t>
      </w:r>
    </w:p>
    <w:p w14:paraId="01EAB3DF" w14:textId="77777777" w:rsidR="000734AC" w:rsidRPr="00426D57" w:rsidRDefault="000734AC" w:rsidP="000734AC">
      <w:pPr>
        <w:numPr>
          <w:ilvl w:val="0"/>
          <w:numId w:val="38"/>
        </w:numPr>
        <w:spacing w:after="0" w:line="360" w:lineRule="auto"/>
        <w:jc w:val="left"/>
        <w:rPr>
          <w:rFonts w:eastAsia="Times New Roman" w:cs="Tahoma"/>
          <w:bCs/>
          <w:iCs/>
        </w:rPr>
      </w:pPr>
      <w:r w:rsidRPr="00426D57">
        <w:rPr>
          <w:rFonts w:eastAsia="Times New Roman" w:cs="Tahoma"/>
          <w:bCs/>
          <w:iCs/>
        </w:rPr>
        <w:t>El sexo, y</w:t>
      </w:r>
    </w:p>
    <w:p w14:paraId="24032E2E" w14:textId="77777777" w:rsidR="000734AC" w:rsidRPr="00426D57" w:rsidRDefault="000734AC" w:rsidP="000734AC">
      <w:pPr>
        <w:numPr>
          <w:ilvl w:val="0"/>
          <w:numId w:val="38"/>
        </w:numPr>
        <w:spacing w:after="0" w:line="360" w:lineRule="auto"/>
        <w:jc w:val="left"/>
        <w:rPr>
          <w:rFonts w:eastAsia="Times New Roman" w:cs="Tahoma"/>
          <w:bCs/>
          <w:iCs/>
        </w:rPr>
      </w:pPr>
      <w:r w:rsidRPr="00426D57">
        <w:rPr>
          <w:rFonts w:eastAsia="Times New Roman" w:cs="Tahoma"/>
          <w:bCs/>
          <w:iCs/>
        </w:rPr>
        <w:t>La entidad federativa de nacimiento.</w:t>
      </w:r>
    </w:p>
    <w:p w14:paraId="290F6F16" w14:textId="77777777" w:rsidR="000734AC" w:rsidRPr="00426D57" w:rsidRDefault="000734AC" w:rsidP="000734AC">
      <w:pPr>
        <w:spacing w:after="0" w:line="360" w:lineRule="auto"/>
        <w:rPr>
          <w:rFonts w:eastAsia="Times New Roman" w:cs="Tahoma"/>
          <w:bCs/>
          <w:iCs/>
        </w:rPr>
      </w:pPr>
    </w:p>
    <w:p w14:paraId="50255756" w14:textId="77777777" w:rsidR="000734AC" w:rsidRPr="00426D57" w:rsidRDefault="000734AC" w:rsidP="000734AC">
      <w:pPr>
        <w:spacing w:after="0" w:line="360" w:lineRule="auto"/>
        <w:rPr>
          <w:rFonts w:eastAsia="Times New Roman" w:cs="Tahoma"/>
          <w:bCs/>
          <w:iCs/>
        </w:rPr>
      </w:pPr>
      <w:r w:rsidRPr="00426D57">
        <w:rPr>
          <w:rFonts w:eastAsia="Times New Roman" w:cs="Tahoma"/>
          <w:bCs/>
          <w:iCs/>
        </w:rPr>
        <w:t>Los dos últimos elementos de la Clave Única de Registro de Población evitan la duplicidad de la Clave y garantizan su correcta integración.</w:t>
      </w:r>
    </w:p>
    <w:p w14:paraId="2626BB1A" w14:textId="77777777" w:rsidR="000734AC" w:rsidRDefault="000734AC" w:rsidP="00A62148">
      <w:pPr>
        <w:tabs>
          <w:tab w:val="left" w:pos="4962"/>
        </w:tabs>
        <w:spacing w:after="0" w:line="360" w:lineRule="auto"/>
        <w:rPr>
          <w:rFonts w:eastAsia="Times New Roman" w:cs="Times New Roman"/>
          <w:bCs/>
          <w:color w:val="FF0000"/>
          <w:lang w:eastAsia="es-ES"/>
        </w:rPr>
      </w:pPr>
    </w:p>
    <w:p w14:paraId="0CB40062"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07F7462" w14:textId="77777777" w:rsidR="00EB1B64" w:rsidRPr="00426D57" w:rsidRDefault="00EB1B64" w:rsidP="00EB1B64">
      <w:pPr>
        <w:spacing w:after="0" w:line="360" w:lineRule="auto"/>
        <w:rPr>
          <w:rFonts w:eastAsia="Times New Roman" w:cs="Tahoma"/>
          <w:bCs/>
          <w:iCs/>
        </w:rPr>
      </w:pPr>
    </w:p>
    <w:p w14:paraId="64A0CA10" w14:textId="3B48BF2E" w:rsidR="00EB1B64" w:rsidRPr="00426D57" w:rsidRDefault="00EB1B64" w:rsidP="00EB1B64">
      <w:pPr>
        <w:spacing w:after="0" w:line="360" w:lineRule="auto"/>
        <w:rPr>
          <w:rFonts w:eastAsia="Times New Roman" w:cs="Tahoma"/>
          <w:bCs/>
          <w:iCs/>
        </w:rPr>
      </w:pPr>
      <w:r w:rsidRPr="00426D57">
        <w:rPr>
          <w:rFonts w:eastAsia="Times New Roman" w:cs="Tahoma"/>
          <w:bCs/>
          <w:iCs/>
        </w:rPr>
        <w:t xml:space="preserve">Situación que se robustece, con el </w:t>
      </w:r>
      <w:r w:rsidR="00EC4487">
        <w:rPr>
          <w:rFonts w:eastAsia="Times New Roman" w:cs="Tahoma"/>
          <w:bCs/>
          <w:iCs/>
        </w:rPr>
        <w:t>Criterio Orientador</w:t>
      </w:r>
      <w:r w:rsidRPr="00426D57">
        <w:rPr>
          <w:rFonts w:eastAsia="Times New Roman" w:cs="Tahoma"/>
          <w:bCs/>
          <w:iCs/>
        </w:rPr>
        <w:t xml:space="preserve">, con clave de control SO/018/2017, emitido </w:t>
      </w:r>
      <w:r w:rsidR="00EC4487">
        <w:rPr>
          <w:rFonts w:eastAsia="Times New Roman" w:cs="Tahoma"/>
          <w:bCs/>
          <w:iCs/>
        </w:rPr>
        <w:t>por el entonces Instituto Nacional</w:t>
      </w:r>
      <w:r w:rsidRPr="00426D57">
        <w:rPr>
          <w:rFonts w:eastAsia="Times New Roman" w:cs="Tahoma"/>
          <w:bCs/>
          <w:iCs/>
        </w:rPr>
        <w:t xml:space="preserve"> de Transparencia, Acceso a la Información y Protección de Datos Personales</w:t>
      </w:r>
      <w:r>
        <w:rPr>
          <w:rFonts w:eastAsia="Times New Roman" w:cs="Tahoma"/>
          <w:bCs/>
          <w:iCs/>
        </w:rPr>
        <w:t xml:space="preserve"> vigente a la fecha de la solicitud, </w:t>
      </w:r>
      <w:r w:rsidRPr="00426D57">
        <w:rPr>
          <w:rFonts w:eastAsia="Times New Roman" w:cs="Tahoma"/>
          <w:bCs/>
          <w:iCs/>
        </w:rPr>
        <w:t xml:space="preserve"> que establece lo siguiente:</w:t>
      </w:r>
    </w:p>
    <w:p w14:paraId="0774A866" w14:textId="77777777" w:rsidR="00EB1B64" w:rsidRPr="00426D57" w:rsidRDefault="00EB1B64" w:rsidP="00EB1B64">
      <w:pPr>
        <w:spacing w:after="0" w:line="360" w:lineRule="auto"/>
        <w:rPr>
          <w:rFonts w:eastAsia="Times New Roman" w:cs="Tahoma"/>
          <w:bCs/>
          <w:iCs/>
        </w:rPr>
      </w:pPr>
    </w:p>
    <w:p w14:paraId="216D09B4" w14:textId="77777777" w:rsidR="00EB1B64" w:rsidRPr="00426D57" w:rsidRDefault="00EB1B64" w:rsidP="00EB1B64">
      <w:pPr>
        <w:spacing w:after="0" w:line="360" w:lineRule="auto"/>
        <w:ind w:left="567" w:right="567"/>
        <w:rPr>
          <w:rFonts w:eastAsia="Times New Roman" w:cs="Tahoma"/>
          <w:bCs/>
          <w:i/>
          <w:iCs/>
          <w:sz w:val="20"/>
          <w:szCs w:val="20"/>
        </w:rPr>
      </w:pPr>
      <w:r w:rsidRPr="00426D57">
        <w:rPr>
          <w:rFonts w:eastAsia="Times New Roman" w:cs="Tahoma"/>
          <w:b/>
          <w:bCs/>
          <w:i/>
          <w:iCs/>
          <w:sz w:val="20"/>
          <w:szCs w:val="20"/>
        </w:rPr>
        <w:t xml:space="preserve">“Clave Única de Registro de Población (CURP). </w:t>
      </w:r>
      <w:r w:rsidRPr="00426D57">
        <w:rPr>
          <w:rFonts w:eastAsia="Times New Roman" w:cs="Tahoma"/>
          <w:bCs/>
          <w:i/>
          <w:iCs/>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w:t>
      </w:r>
      <w:r w:rsidRPr="00426D57">
        <w:rPr>
          <w:rFonts w:eastAsia="Times New Roman" w:cs="Tahoma"/>
          <w:bCs/>
          <w:i/>
          <w:iCs/>
          <w:sz w:val="20"/>
          <w:szCs w:val="20"/>
        </w:rPr>
        <w:lastRenderedPageBreak/>
        <w:t xml:space="preserve">información que distingue plenamente a una persona física del resto de los habitantes del país, por lo que la CURP está considerada como información confidencial.” </w:t>
      </w:r>
    </w:p>
    <w:p w14:paraId="6F19FE27" w14:textId="77777777" w:rsidR="00EB1B64" w:rsidRPr="00426D57" w:rsidRDefault="00EB1B64" w:rsidP="00EB1B64">
      <w:pPr>
        <w:spacing w:after="0" w:line="360" w:lineRule="auto"/>
        <w:rPr>
          <w:rFonts w:eastAsia="Times New Roman" w:cs="Tahoma"/>
          <w:bCs/>
          <w:iCs/>
        </w:rPr>
      </w:pPr>
    </w:p>
    <w:p w14:paraId="53380E1C"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28823066" w14:textId="77777777" w:rsidR="00EB1B64" w:rsidRPr="00426D57" w:rsidRDefault="00EB1B64" w:rsidP="00EB1B64">
      <w:pPr>
        <w:spacing w:after="0" w:line="360" w:lineRule="auto"/>
        <w:rPr>
          <w:rFonts w:eastAsia="Times New Roman" w:cs="Tahoma"/>
          <w:bCs/>
          <w:iCs/>
          <w:lang w:val="es-ES"/>
        </w:rPr>
      </w:pPr>
    </w:p>
    <w:p w14:paraId="258785EF" w14:textId="77777777" w:rsidR="00EB1B64" w:rsidRPr="00426D57" w:rsidRDefault="00EB1B64" w:rsidP="00EB1B64">
      <w:pPr>
        <w:numPr>
          <w:ilvl w:val="0"/>
          <w:numId w:val="1"/>
        </w:numPr>
        <w:spacing w:after="0" w:line="360" w:lineRule="auto"/>
        <w:jc w:val="left"/>
        <w:rPr>
          <w:rFonts w:eastAsia="Times New Roman" w:cs="Tahoma"/>
          <w:b/>
          <w:bCs/>
          <w:iCs/>
          <w:lang w:val="es-ES_tradnl"/>
        </w:rPr>
      </w:pPr>
      <w:r w:rsidRPr="00426D57">
        <w:rPr>
          <w:rFonts w:eastAsia="Times New Roman" w:cs="Tahoma"/>
          <w:b/>
          <w:bCs/>
          <w:iCs/>
          <w:lang w:val="es-ES_tradnl"/>
        </w:rPr>
        <w:t xml:space="preserve">Registro </w:t>
      </w:r>
      <w:r>
        <w:rPr>
          <w:rFonts w:eastAsia="Times New Roman" w:cs="Tahoma"/>
          <w:b/>
          <w:bCs/>
          <w:iCs/>
          <w:lang w:val="es-ES_tradnl"/>
        </w:rPr>
        <w:t>Federal de Contribuyentes (RFC)</w:t>
      </w:r>
    </w:p>
    <w:p w14:paraId="5B29E33C" w14:textId="77777777" w:rsidR="00EB1B64" w:rsidRPr="00426D57" w:rsidRDefault="00EB1B64" w:rsidP="00EB1B64">
      <w:pPr>
        <w:spacing w:after="0" w:line="360" w:lineRule="auto"/>
        <w:rPr>
          <w:rFonts w:eastAsia="Times New Roman" w:cs="Tahoma"/>
          <w:bCs/>
          <w:iCs/>
        </w:rPr>
      </w:pPr>
    </w:p>
    <w:p w14:paraId="70FF6496"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0C2CEFF" w14:textId="77777777" w:rsidR="00EB1B64" w:rsidRPr="00426D57" w:rsidRDefault="00EB1B64" w:rsidP="00EB1B64">
      <w:pPr>
        <w:spacing w:after="0" w:line="360" w:lineRule="auto"/>
        <w:rPr>
          <w:rFonts w:eastAsia="Times New Roman" w:cs="Tahoma"/>
          <w:bCs/>
          <w:iCs/>
        </w:rPr>
      </w:pPr>
    </w:p>
    <w:p w14:paraId="1C8BD3E5"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 xml:space="preserve">De acuerdo a lo establecido en el artículo en comento, esta clave se compone de trece caracteres alfanuméricos, con datos obtenidos de los apellidos, nombre(s), fecha de nacimiento del titular, más una </w:t>
      </w:r>
      <w:proofErr w:type="spellStart"/>
      <w:r w:rsidRPr="00426D57">
        <w:rPr>
          <w:rFonts w:eastAsia="Times New Roman" w:cs="Tahoma"/>
          <w:bCs/>
          <w:iCs/>
        </w:rPr>
        <w:t>homoclave</w:t>
      </w:r>
      <w:proofErr w:type="spellEnd"/>
      <w:r w:rsidRPr="00426D57">
        <w:rPr>
          <w:rFonts w:eastAsia="Times New Roman" w:cs="Tahoma"/>
          <w:bCs/>
          <w:iCs/>
        </w:rPr>
        <w:t xml:space="preserve"> que establece el sistema automático del Servicio de Administración Tributaria.</w:t>
      </w:r>
    </w:p>
    <w:p w14:paraId="3B4CC811" w14:textId="77777777" w:rsidR="00EB1B64" w:rsidRPr="00426D57" w:rsidRDefault="00EB1B64" w:rsidP="00EB1B64">
      <w:pPr>
        <w:spacing w:after="0" w:line="360" w:lineRule="auto"/>
        <w:rPr>
          <w:rFonts w:eastAsia="Times New Roman" w:cs="Tahoma"/>
          <w:bCs/>
          <w:iCs/>
        </w:rPr>
      </w:pPr>
    </w:p>
    <w:p w14:paraId="0BA3FFC8"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D9859B3" w14:textId="77777777" w:rsidR="00EB1B64" w:rsidRPr="00426D57" w:rsidRDefault="00EB1B64" w:rsidP="00EB1B64">
      <w:pPr>
        <w:spacing w:after="0" w:line="360" w:lineRule="auto"/>
        <w:rPr>
          <w:rFonts w:eastAsia="Times New Roman" w:cs="Tahoma"/>
          <w:bCs/>
          <w:iCs/>
        </w:rPr>
      </w:pPr>
    </w:p>
    <w:p w14:paraId="48B5EACA"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5FD1B28" w14:textId="77777777" w:rsidR="00EB1B64" w:rsidRPr="00426D57" w:rsidRDefault="00EB1B64" w:rsidP="00EB1B64">
      <w:pPr>
        <w:spacing w:after="0" w:line="360" w:lineRule="auto"/>
        <w:rPr>
          <w:rFonts w:eastAsia="Times New Roman" w:cs="Tahoma"/>
          <w:bCs/>
          <w:iCs/>
        </w:rPr>
      </w:pPr>
    </w:p>
    <w:p w14:paraId="5A0783DA" w14:textId="1EF6CEAD" w:rsidR="00EB1B64" w:rsidRPr="00426D57" w:rsidRDefault="00EB1B64" w:rsidP="00EB1B64">
      <w:pPr>
        <w:spacing w:after="0" w:line="360" w:lineRule="auto"/>
        <w:rPr>
          <w:rFonts w:eastAsia="Times New Roman" w:cs="Tahoma"/>
          <w:bCs/>
          <w:iCs/>
        </w:rPr>
      </w:pPr>
      <w:r w:rsidRPr="00426D57">
        <w:rPr>
          <w:rFonts w:eastAsia="Times New Roman" w:cs="Tahoma"/>
          <w:bCs/>
          <w:iCs/>
        </w:rPr>
        <w:t xml:space="preserve">Lo anterior, resulta congruente con él con el </w:t>
      </w:r>
      <w:r w:rsidR="00EC4487">
        <w:rPr>
          <w:rFonts w:eastAsia="Times New Roman" w:cs="Tahoma"/>
          <w:bCs/>
          <w:iCs/>
        </w:rPr>
        <w:t>Criterio Orientador</w:t>
      </w:r>
      <w:r w:rsidRPr="00426D57">
        <w:rPr>
          <w:rFonts w:eastAsia="Times New Roman" w:cs="Tahoma"/>
          <w:bCs/>
          <w:iCs/>
        </w:rPr>
        <w:t xml:space="preserve">, con clave de control SO/019/2017, emitido </w:t>
      </w:r>
      <w:r w:rsidR="00EC4487">
        <w:rPr>
          <w:rFonts w:eastAsia="Times New Roman" w:cs="Tahoma"/>
          <w:bCs/>
          <w:iCs/>
        </w:rPr>
        <w:t>por el entonces Instituto Nacional</w:t>
      </w:r>
      <w:r w:rsidRPr="00426D57">
        <w:rPr>
          <w:rFonts w:eastAsia="Times New Roman" w:cs="Tahoma"/>
          <w:bCs/>
          <w:iCs/>
        </w:rPr>
        <w:t xml:space="preserve"> de Transparencia, Acceso a la Información y Protección de Datos Personales,</w:t>
      </w:r>
      <w:r>
        <w:rPr>
          <w:rFonts w:eastAsia="Times New Roman" w:cs="Tahoma"/>
          <w:bCs/>
          <w:iCs/>
        </w:rPr>
        <w:t xml:space="preserve"> vigente a la fecha de la solicitud,</w:t>
      </w:r>
      <w:r w:rsidRPr="00426D57">
        <w:rPr>
          <w:rFonts w:eastAsia="Times New Roman" w:cs="Tahoma"/>
          <w:bCs/>
          <w:iCs/>
        </w:rPr>
        <w:t xml:space="preserve"> en el cual se señala lo siguiente:</w:t>
      </w:r>
    </w:p>
    <w:p w14:paraId="6D5A367B" w14:textId="77777777" w:rsidR="00EB1B64" w:rsidRPr="00426D57" w:rsidRDefault="00EB1B64" w:rsidP="00EB1B64">
      <w:pPr>
        <w:spacing w:after="0" w:line="360" w:lineRule="auto"/>
        <w:rPr>
          <w:rFonts w:eastAsia="Times New Roman" w:cs="Tahoma"/>
          <w:bCs/>
          <w:iCs/>
        </w:rPr>
      </w:pPr>
    </w:p>
    <w:p w14:paraId="38E9094A" w14:textId="77777777" w:rsidR="00EB1B64" w:rsidRPr="00426D57" w:rsidRDefault="00EB1B64" w:rsidP="00EB1B64">
      <w:pPr>
        <w:spacing w:after="0" w:line="360" w:lineRule="auto"/>
        <w:ind w:left="567" w:right="567"/>
        <w:rPr>
          <w:rFonts w:eastAsia="Times New Roman" w:cs="Tahoma"/>
          <w:bCs/>
          <w:i/>
          <w:iCs/>
          <w:sz w:val="20"/>
          <w:szCs w:val="20"/>
        </w:rPr>
      </w:pPr>
      <w:r w:rsidRPr="00426D57">
        <w:rPr>
          <w:rFonts w:eastAsia="Times New Roman" w:cs="Tahoma"/>
          <w:b/>
          <w:bCs/>
          <w:i/>
          <w:iCs/>
          <w:sz w:val="20"/>
          <w:szCs w:val="20"/>
        </w:rPr>
        <w:t>“Registro Federal de Contribuyentes (RFC) de personas físicas.</w:t>
      </w:r>
      <w:r w:rsidRPr="00426D57">
        <w:rPr>
          <w:rFonts w:eastAsia="Times New Roman" w:cs="Tahoma"/>
          <w:bCs/>
          <w:i/>
          <w:iCs/>
          <w:sz w:val="20"/>
          <w:szCs w:val="20"/>
        </w:rPr>
        <w:t xml:space="preserve"> El RFC es una clave de carácter fiscal, única e irrepetible, que permite identificar al titular, su edad y fecha de nacimiento, por lo que es un dato personal de carácter confidencial.”</w:t>
      </w:r>
    </w:p>
    <w:p w14:paraId="5F16386B" w14:textId="77777777" w:rsidR="00EB1B64" w:rsidRPr="00426D57" w:rsidRDefault="00EB1B64" w:rsidP="00EB1B64">
      <w:pPr>
        <w:spacing w:after="0" w:line="360" w:lineRule="auto"/>
        <w:rPr>
          <w:rFonts w:eastAsia="Times New Roman" w:cs="Tahoma"/>
          <w:bCs/>
          <w:iCs/>
        </w:rPr>
      </w:pPr>
    </w:p>
    <w:p w14:paraId="727F4738" w14:textId="77777777" w:rsidR="00EB1B64" w:rsidRPr="00426D57" w:rsidRDefault="00EB1B64" w:rsidP="00EB1B64">
      <w:pPr>
        <w:spacing w:after="0" w:line="360" w:lineRule="auto"/>
        <w:rPr>
          <w:rFonts w:eastAsia="Times New Roman" w:cs="Tahoma"/>
          <w:bCs/>
          <w:iCs/>
        </w:rPr>
      </w:pPr>
      <w:r w:rsidRPr="00426D57">
        <w:rPr>
          <w:rFonts w:eastAsia="Times New Roman" w:cs="Tahoma"/>
          <w:bCs/>
          <w:iC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17DC3432" w14:textId="77777777" w:rsidR="00EB1B64" w:rsidRPr="00426D57" w:rsidRDefault="00EB1B64" w:rsidP="00EB1B64">
      <w:pPr>
        <w:spacing w:after="0" w:line="360" w:lineRule="auto"/>
        <w:rPr>
          <w:rFonts w:eastAsia="Times New Roman" w:cs="Tahoma"/>
          <w:bCs/>
          <w:iCs/>
        </w:rPr>
      </w:pPr>
    </w:p>
    <w:p w14:paraId="146B53EC" w14:textId="77777777" w:rsidR="0069065D" w:rsidRPr="00426D57" w:rsidRDefault="0069065D" w:rsidP="0069065D">
      <w:pPr>
        <w:numPr>
          <w:ilvl w:val="0"/>
          <w:numId w:val="1"/>
        </w:numPr>
        <w:spacing w:after="0" w:line="360" w:lineRule="auto"/>
        <w:contextualSpacing/>
        <w:jc w:val="left"/>
        <w:rPr>
          <w:rFonts w:eastAsia="Times New Roman" w:cs="Tahoma"/>
          <w:color w:val="auto"/>
          <w:lang w:eastAsia="es-ES"/>
        </w:rPr>
      </w:pPr>
      <w:r w:rsidRPr="00426D57">
        <w:rPr>
          <w:rFonts w:eastAsia="Times New Roman" w:cs="Tahoma"/>
          <w:b/>
          <w:color w:val="auto"/>
          <w:lang w:eastAsia="es-ES"/>
        </w:rPr>
        <w:t>Teléfono y celular particular</w:t>
      </w:r>
    </w:p>
    <w:p w14:paraId="747F4DC9" w14:textId="77777777" w:rsidR="0069065D" w:rsidRPr="00426D57" w:rsidRDefault="0069065D" w:rsidP="0069065D">
      <w:pPr>
        <w:spacing w:after="0" w:line="360" w:lineRule="auto"/>
        <w:rPr>
          <w:rFonts w:eastAsia="Times New Roman" w:cs="Tahoma"/>
          <w:color w:val="auto"/>
          <w:lang w:eastAsia="es-ES"/>
        </w:rPr>
      </w:pPr>
    </w:p>
    <w:p w14:paraId="52D81C0B" w14:textId="77777777" w:rsidR="0069065D" w:rsidRPr="00426D57" w:rsidRDefault="0069065D" w:rsidP="0069065D">
      <w:pPr>
        <w:spacing w:after="0" w:line="360" w:lineRule="auto"/>
        <w:rPr>
          <w:rFonts w:eastAsia="Times New Roman" w:cs="Tahoma"/>
          <w:color w:val="auto"/>
          <w:lang w:eastAsia="es-ES"/>
        </w:rPr>
      </w:pPr>
      <w:r w:rsidRPr="00426D57">
        <w:rPr>
          <w:rFonts w:eastAsia="Times New Roman" w:cs="Tahoma"/>
          <w:color w:val="auto"/>
          <w:lang w:eastAsia="es-ES"/>
        </w:rPr>
        <w:t xml:space="preserve">Dicho dato corresponde al número asignado a un teléfono particular o celular, el cual permite localizar a una persona física identificada o identificable, ya sea a través de un dispositivo </w:t>
      </w:r>
      <w:r w:rsidRPr="00426D57">
        <w:rPr>
          <w:rFonts w:eastAsia="Times New Roman" w:cs="Tahoma"/>
          <w:color w:val="auto"/>
          <w:lang w:eastAsia="es-ES"/>
        </w:rPr>
        <w:lastRenderedPageBreak/>
        <w:t>móvil o bien, en un lugar como el domicilio; por lo que, la titularidad del mismo, corresponde a la persona física servidor público (entrante o saliente), en su calidad de particular.</w:t>
      </w:r>
    </w:p>
    <w:p w14:paraId="47B8ADEF" w14:textId="77777777" w:rsidR="0069065D" w:rsidRPr="00426D57" w:rsidRDefault="0069065D" w:rsidP="0069065D">
      <w:pPr>
        <w:spacing w:after="0" w:line="360" w:lineRule="auto"/>
        <w:rPr>
          <w:rFonts w:eastAsia="Times New Roman" w:cs="Tahoma"/>
          <w:color w:val="auto"/>
          <w:lang w:eastAsia="es-ES"/>
        </w:rPr>
      </w:pPr>
    </w:p>
    <w:p w14:paraId="12F57ECC" w14:textId="77777777" w:rsidR="0069065D" w:rsidRPr="00426D57" w:rsidRDefault="0069065D" w:rsidP="0069065D">
      <w:pPr>
        <w:spacing w:after="0" w:line="360" w:lineRule="auto"/>
        <w:rPr>
          <w:rFonts w:eastAsia="Times New Roman" w:cs="Tahoma"/>
          <w:color w:val="auto"/>
          <w:lang w:eastAsia="es-ES"/>
        </w:rPr>
      </w:pPr>
      <w:r w:rsidRPr="00426D57">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6F0E0AD5" w14:textId="77777777" w:rsidR="0069065D" w:rsidRPr="00426D57" w:rsidRDefault="0069065D" w:rsidP="0069065D">
      <w:pPr>
        <w:spacing w:after="0" w:line="360" w:lineRule="auto"/>
        <w:rPr>
          <w:rFonts w:eastAsia="Times New Roman" w:cs="Tahoma"/>
          <w:color w:val="auto"/>
          <w:lang w:eastAsia="es-ES"/>
        </w:rPr>
      </w:pPr>
    </w:p>
    <w:p w14:paraId="08C28C76" w14:textId="77777777" w:rsidR="0069065D" w:rsidRPr="00426D57" w:rsidRDefault="0069065D" w:rsidP="0069065D">
      <w:pPr>
        <w:numPr>
          <w:ilvl w:val="0"/>
          <w:numId w:val="1"/>
        </w:numPr>
        <w:spacing w:after="0" w:line="360" w:lineRule="auto"/>
        <w:contextualSpacing/>
        <w:jc w:val="left"/>
        <w:rPr>
          <w:rFonts w:eastAsia="Times New Roman" w:cs="Tahoma"/>
          <w:b/>
          <w:iCs/>
          <w:color w:val="auto"/>
          <w:szCs w:val="24"/>
          <w:lang w:eastAsia="es-ES_tradnl"/>
        </w:rPr>
      </w:pPr>
      <w:r w:rsidRPr="00426D57">
        <w:rPr>
          <w:rFonts w:eastAsia="Times New Roman" w:cs="Tahoma"/>
          <w:b/>
          <w:iCs/>
          <w:color w:val="auto"/>
          <w:szCs w:val="24"/>
          <w:lang w:eastAsia="es-ES_tradnl"/>
        </w:rPr>
        <w:t>Clave de registro o elector</w:t>
      </w:r>
    </w:p>
    <w:p w14:paraId="2A9340BE" w14:textId="77777777" w:rsidR="0069065D" w:rsidRPr="00426D57" w:rsidRDefault="0069065D" w:rsidP="0069065D">
      <w:pPr>
        <w:tabs>
          <w:tab w:val="left" w:pos="4962"/>
        </w:tabs>
        <w:spacing w:after="0" w:line="360" w:lineRule="auto"/>
        <w:ind w:right="-28"/>
        <w:rPr>
          <w:rFonts w:eastAsia="Times New Roman" w:cs="Tahoma"/>
          <w:b/>
          <w:iCs/>
          <w:color w:val="auto"/>
          <w:szCs w:val="24"/>
          <w:lang w:eastAsia="es-ES_tradnl"/>
        </w:rPr>
      </w:pPr>
    </w:p>
    <w:p w14:paraId="6E278380" w14:textId="77777777" w:rsidR="0069065D" w:rsidRPr="00426D57" w:rsidRDefault="0069065D" w:rsidP="0069065D">
      <w:pPr>
        <w:tabs>
          <w:tab w:val="left" w:pos="4962"/>
        </w:tabs>
        <w:spacing w:after="0" w:line="360" w:lineRule="auto"/>
        <w:ind w:right="-28"/>
        <w:rPr>
          <w:rFonts w:eastAsia="Times New Roman" w:cs="Tahoma"/>
          <w:bCs/>
          <w:iCs/>
          <w:color w:val="auto"/>
          <w:szCs w:val="24"/>
          <w:lang w:eastAsia="es-ES_tradnl"/>
        </w:rPr>
      </w:pPr>
      <w:r w:rsidRPr="00426D57">
        <w:rPr>
          <w:rFonts w:eastAsia="Times New Roman" w:cs="Tahoma"/>
          <w:bCs/>
          <w:iCs/>
          <w:color w:val="auto"/>
          <w:szCs w:val="24"/>
          <w:lang w:eastAsia="es-ES_tradnl"/>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426D57">
        <w:rPr>
          <w:rFonts w:eastAsia="Times New Roman" w:cs="Tahoma"/>
          <w:bCs/>
          <w:iCs/>
          <w:color w:val="auto"/>
          <w:szCs w:val="24"/>
          <w:lang w:eastAsia="es-ES_tradnl"/>
        </w:rPr>
        <w:t>homoclave</w:t>
      </w:r>
      <w:proofErr w:type="spellEnd"/>
      <w:r w:rsidRPr="00426D57">
        <w:rPr>
          <w:rFonts w:eastAsia="Times New Roman" w:cs="Tahoma"/>
          <w:bCs/>
          <w:iCs/>
          <w:color w:val="auto"/>
          <w:szCs w:val="24"/>
          <w:lang w:eastAsia="es-ES_tradnl"/>
        </w:rPr>
        <w:t xml:space="preserve"> compuesta de tres dígitos, dando un total de 18 caracteres.</w:t>
      </w:r>
    </w:p>
    <w:p w14:paraId="7CECB477" w14:textId="77777777" w:rsidR="0069065D" w:rsidRPr="00426D57" w:rsidRDefault="0069065D" w:rsidP="0069065D">
      <w:pPr>
        <w:tabs>
          <w:tab w:val="left" w:pos="4962"/>
        </w:tabs>
        <w:spacing w:after="0" w:line="360" w:lineRule="auto"/>
        <w:ind w:right="-28"/>
        <w:rPr>
          <w:rFonts w:eastAsia="Times New Roman" w:cs="Tahoma"/>
          <w:b/>
          <w:iCs/>
          <w:color w:val="auto"/>
          <w:szCs w:val="24"/>
          <w:lang w:eastAsia="es-ES_tradnl"/>
        </w:rPr>
      </w:pPr>
    </w:p>
    <w:p w14:paraId="1FD439E2" w14:textId="77777777" w:rsidR="0069065D" w:rsidRPr="00426D57" w:rsidRDefault="0069065D" w:rsidP="0069065D">
      <w:pPr>
        <w:shd w:val="clear" w:color="auto" w:fill="FFFFFF" w:themeFill="background1"/>
        <w:spacing w:after="0" w:line="360" w:lineRule="auto"/>
        <w:rPr>
          <w:rFonts w:eastAsia="Times New Roman" w:cs="Tahoma"/>
          <w:bCs/>
          <w:iCs/>
          <w:color w:val="auto"/>
        </w:rPr>
      </w:pPr>
      <w:r w:rsidRPr="00426D57">
        <w:rPr>
          <w:rFonts w:eastAsia="Times New Roman" w:cs="Tahoma"/>
          <w:bCs/>
          <w:iCs/>
          <w:color w:val="auto"/>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2BBD684C" w14:textId="77777777" w:rsidR="0069065D" w:rsidRPr="00426D57" w:rsidRDefault="0069065D" w:rsidP="0069065D">
      <w:pPr>
        <w:shd w:val="clear" w:color="auto" w:fill="FFFFFF" w:themeFill="background1"/>
        <w:spacing w:after="0" w:line="360" w:lineRule="auto"/>
        <w:rPr>
          <w:rFonts w:eastAsia="Times New Roman" w:cs="Tahoma"/>
          <w:bCs/>
          <w:iCs/>
          <w:color w:val="auto"/>
        </w:rPr>
      </w:pPr>
    </w:p>
    <w:p w14:paraId="1C56F33E" w14:textId="77777777" w:rsidR="0069065D" w:rsidRPr="00426D57" w:rsidRDefault="0069065D" w:rsidP="0069065D">
      <w:pPr>
        <w:tabs>
          <w:tab w:val="left" w:pos="4962"/>
        </w:tabs>
        <w:spacing w:after="0" w:line="360" w:lineRule="auto"/>
        <w:ind w:right="-28"/>
        <w:rPr>
          <w:rFonts w:eastAsia="Times New Roman" w:cs="Tahoma"/>
          <w:bCs/>
          <w:iCs/>
          <w:color w:val="auto"/>
          <w:szCs w:val="24"/>
          <w:lang w:eastAsia="es-ES_tradnl"/>
        </w:rPr>
      </w:pPr>
      <w:r w:rsidRPr="00426D57">
        <w:rPr>
          <w:rFonts w:eastAsia="Times New Roman" w:cs="Tahoma"/>
          <w:bCs/>
          <w:iCs/>
          <w:color w:val="auto"/>
          <w:szCs w:val="24"/>
          <w:lang w:eastAsia="es-ES_tradnl"/>
        </w:rPr>
        <w:t xml:space="preserve">Por lo tanto, al ser un dato que hace reconocible a una persona física, resulta procedente su clasificación como información confidencial en términos de lo dispuesto por el artículo 143, </w:t>
      </w:r>
      <w:r w:rsidRPr="00426D57">
        <w:rPr>
          <w:rFonts w:eastAsia="Times New Roman" w:cs="Tahoma"/>
          <w:bCs/>
          <w:iCs/>
          <w:color w:val="auto"/>
          <w:szCs w:val="24"/>
          <w:lang w:eastAsia="es-ES_tradnl"/>
        </w:rPr>
        <w:lastRenderedPageBreak/>
        <w:t>fracción I de la Ley de Transparencia y Acceso a la Información Pública del Estado de México y Municipios.</w:t>
      </w:r>
    </w:p>
    <w:p w14:paraId="4EBE5DE0" w14:textId="77777777" w:rsidR="0069065D" w:rsidRPr="00426D57" w:rsidRDefault="0069065D" w:rsidP="0069065D">
      <w:pPr>
        <w:spacing w:after="0" w:line="360" w:lineRule="auto"/>
        <w:rPr>
          <w:rFonts w:eastAsia="Times New Roman" w:cs="Tahoma"/>
          <w:color w:val="auto"/>
          <w:lang w:eastAsia="es-ES"/>
        </w:rPr>
      </w:pPr>
    </w:p>
    <w:p w14:paraId="782437BC" w14:textId="77777777" w:rsidR="0069065D" w:rsidRPr="00426D57" w:rsidRDefault="0069065D" w:rsidP="0069065D">
      <w:pPr>
        <w:numPr>
          <w:ilvl w:val="0"/>
          <w:numId w:val="1"/>
        </w:numPr>
        <w:spacing w:after="0" w:line="360" w:lineRule="auto"/>
        <w:contextualSpacing/>
        <w:jc w:val="left"/>
        <w:rPr>
          <w:rFonts w:eastAsia="Times New Roman" w:cs="Tahoma"/>
          <w:b/>
          <w:color w:val="0D0D0D" w:themeColor="text1" w:themeTint="F2"/>
          <w:szCs w:val="24"/>
          <w:lang w:val="es-ES" w:eastAsia="es-ES"/>
        </w:rPr>
      </w:pPr>
      <w:r w:rsidRPr="00426D57">
        <w:rPr>
          <w:rFonts w:eastAsia="Times New Roman" w:cs="Tahoma"/>
          <w:b/>
          <w:color w:val="0D0D0D" w:themeColor="text1" w:themeTint="F2"/>
          <w:szCs w:val="24"/>
          <w:lang w:val="es-ES" w:eastAsia="es-ES"/>
        </w:rPr>
        <w:t>Firma de servidores públicos y particulares</w:t>
      </w:r>
    </w:p>
    <w:p w14:paraId="207B0D94" w14:textId="77777777" w:rsidR="0069065D" w:rsidRPr="00426D57" w:rsidRDefault="0069065D" w:rsidP="0069065D">
      <w:pPr>
        <w:spacing w:after="0" w:line="360" w:lineRule="auto"/>
        <w:rPr>
          <w:rFonts w:eastAsia="Times New Roman" w:cs="Tahoma"/>
          <w:b/>
          <w:color w:val="0D0D0D" w:themeColor="text1" w:themeTint="F2"/>
          <w:lang w:val="es-ES" w:eastAsia="es-ES"/>
        </w:rPr>
      </w:pPr>
    </w:p>
    <w:p w14:paraId="2BC497FF" w14:textId="77777777" w:rsidR="0069065D" w:rsidRPr="00426D57" w:rsidRDefault="0069065D" w:rsidP="0069065D">
      <w:pPr>
        <w:spacing w:after="0" w:line="360" w:lineRule="auto"/>
        <w:rPr>
          <w:rFonts w:eastAsia="Times New Roman" w:cs="Tahoma"/>
          <w:b/>
          <w:color w:val="0D0D0D" w:themeColor="text1" w:themeTint="F2"/>
          <w:lang w:val="es-ES" w:eastAsia="es-ES"/>
        </w:rPr>
      </w:pPr>
      <w:r w:rsidRPr="00426D57">
        <w:rPr>
          <w:rFonts w:eastAsia="Times New Roman" w:cs="Tahoma"/>
          <w:b/>
          <w:color w:val="0D0D0D" w:themeColor="text1" w:themeTint="F2"/>
          <w:lang w:val="es-ES" w:eastAsia="es-ES"/>
        </w:rPr>
        <w:t>Particulares</w:t>
      </w:r>
    </w:p>
    <w:p w14:paraId="3007D214" w14:textId="77777777" w:rsidR="0069065D" w:rsidRPr="00426D57" w:rsidRDefault="0069065D" w:rsidP="0069065D">
      <w:pPr>
        <w:spacing w:after="0" w:line="360" w:lineRule="auto"/>
        <w:rPr>
          <w:rFonts w:eastAsia="Times New Roman" w:cs="Tahoma"/>
          <w:b/>
          <w:color w:val="0D0D0D" w:themeColor="text1" w:themeTint="F2"/>
          <w:lang w:val="es-ES" w:eastAsia="es-ES"/>
        </w:rPr>
      </w:pPr>
    </w:p>
    <w:p w14:paraId="371304D6" w14:textId="77777777" w:rsidR="0069065D" w:rsidRPr="00426D57" w:rsidRDefault="0069065D" w:rsidP="0069065D">
      <w:pPr>
        <w:spacing w:after="0" w:line="360" w:lineRule="auto"/>
        <w:rPr>
          <w:rFonts w:eastAsia="Times New Roman" w:cs="Tahoma"/>
          <w:b/>
          <w:bCs/>
          <w:color w:val="auto"/>
        </w:rPr>
      </w:pPr>
      <w:r w:rsidRPr="00426D57">
        <w:rPr>
          <w:rFonts w:eastAsia="Times New Roman" w:cs="Tahoma"/>
          <w:bCs/>
          <w:color w:val="auto"/>
        </w:rPr>
        <w:t xml:space="preserve">En principio, cabe señalar que la firma corresponde de aquellas personas físicas que fungieron como testigos de los servidores públicos entrantes y salientes, por lo que, no se trata de empleados o servidores públicos de este, </w:t>
      </w:r>
      <w:r w:rsidRPr="00426D57">
        <w:rPr>
          <w:rFonts w:eastAsia="Times New Roman" w:cs="Tahoma"/>
          <w:b/>
          <w:bCs/>
          <w:color w:val="auto"/>
        </w:rPr>
        <w:t>sino de particulares.</w:t>
      </w:r>
    </w:p>
    <w:p w14:paraId="6FAD48BA" w14:textId="77777777" w:rsidR="0069065D" w:rsidRPr="00426D57" w:rsidRDefault="0069065D" w:rsidP="0069065D">
      <w:pPr>
        <w:spacing w:after="0" w:line="360" w:lineRule="auto"/>
        <w:rPr>
          <w:rFonts w:eastAsia="Times New Roman" w:cs="Tahoma"/>
          <w:bCs/>
          <w:color w:val="auto"/>
        </w:rPr>
      </w:pPr>
    </w:p>
    <w:p w14:paraId="65CBF03E" w14:textId="77777777" w:rsidR="0069065D" w:rsidRPr="00426D57" w:rsidRDefault="0069065D" w:rsidP="0069065D">
      <w:pPr>
        <w:spacing w:after="0" w:line="360" w:lineRule="auto"/>
        <w:rPr>
          <w:rFonts w:eastAsia="Times New Roman" w:cs="Tahoma"/>
          <w:bCs/>
          <w:color w:val="auto"/>
        </w:rPr>
      </w:pPr>
      <w:r w:rsidRPr="00426D57">
        <w:rPr>
          <w:rFonts w:eastAsia="Times New Roman" w:cs="Tahoma"/>
          <w:bCs/>
          <w:color w:val="auto"/>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w:t>
      </w:r>
      <w:r w:rsidRPr="00426D57">
        <w:rPr>
          <w:rFonts w:eastAsia="Times New Roman" w:cs="Tahoma"/>
          <w:b/>
          <w:bCs/>
          <w:color w:val="auto"/>
        </w:rPr>
        <w:t>, ya que también haría identificable a los individuos en cuestión.</w:t>
      </w:r>
    </w:p>
    <w:p w14:paraId="5BCC7149" w14:textId="77777777" w:rsidR="0069065D" w:rsidRPr="00426D57" w:rsidRDefault="0069065D" w:rsidP="0069065D">
      <w:pPr>
        <w:spacing w:after="0" w:line="360" w:lineRule="auto"/>
        <w:rPr>
          <w:rFonts w:eastAsia="Times New Roman" w:cs="Tahoma"/>
          <w:bCs/>
          <w:iCs/>
          <w:color w:val="auto"/>
        </w:rPr>
      </w:pPr>
    </w:p>
    <w:p w14:paraId="4D22D389" w14:textId="77777777" w:rsidR="0069065D" w:rsidRPr="00426D57" w:rsidRDefault="0069065D" w:rsidP="0069065D">
      <w:pPr>
        <w:spacing w:after="0" w:line="360" w:lineRule="auto"/>
        <w:rPr>
          <w:rFonts w:eastAsia="Times New Roman" w:cs="Tahoma"/>
          <w:bCs/>
          <w:color w:val="auto"/>
        </w:rPr>
      </w:pPr>
      <w:r w:rsidRPr="00426D57">
        <w:rPr>
          <w:rFonts w:eastAsia="Times New Roman" w:cs="Tahoma"/>
          <w:bCs/>
          <w:iCs/>
          <w:color w:val="auto"/>
        </w:rPr>
        <w:t>Además, aún y cuando se encuentra asentada en un documento público, elaborado en ejercicio de las facultades con las que cuenta el Sujeto Obligado, lo cierto es que es un dato que exterioriza su voluntad y aceptación de la información señalada en el Acta. Por lo que, se actualiza la causal de clasificación establecida en el artículo 143, fracción I, de la L</w:t>
      </w:r>
      <w:r w:rsidRPr="00426D57">
        <w:rPr>
          <w:rFonts w:eastAsia="Times New Roman" w:cs="Tahoma"/>
          <w:bCs/>
          <w:color w:val="auto"/>
        </w:rPr>
        <w:t>ey de Transparencia y Acceso a la Información Pública del Estado de México y Municipios.</w:t>
      </w:r>
    </w:p>
    <w:p w14:paraId="4C1A1CB0" w14:textId="77777777" w:rsidR="0069065D" w:rsidRPr="00426D57" w:rsidRDefault="0069065D" w:rsidP="0069065D">
      <w:pPr>
        <w:spacing w:after="0" w:line="360" w:lineRule="auto"/>
        <w:rPr>
          <w:rFonts w:eastAsia="Times New Roman" w:cs="Tahoma"/>
          <w:b/>
          <w:color w:val="0D0D0D" w:themeColor="text1" w:themeTint="F2"/>
          <w:lang w:val="es-ES" w:eastAsia="es-ES"/>
        </w:rPr>
      </w:pPr>
    </w:p>
    <w:p w14:paraId="20CB77B0" w14:textId="77777777" w:rsidR="0069065D" w:rsidRPr="00426D57" w:rsidRDefault="0069065D" w:rsidP="0069065D">
      <w:pPr>
        <w:numPr>
          <w:ilvl w:val="0"/>
          <w:numId w:val="39"/>
        </w:numPr>
        <w:spacing w:after="0" w:line="360" w:lineRule="auto"/>
        <w:jc w:val="left"/>
        <w:rPr>
          <w:rFonts w:eastAsia="Times New Roman" w:cs="Tahoma"/>
          <w:b/>
          <w:bCs/>
          <w:color w:val="auto"/>
        </w:rPr>
      </w:pPr>
      <w:r>
        <w:rPr>
          <w:rFonts w:eastAsia="Times New Roman" w:cs="Tahoma"/>
          <w:b/>
          <w:bCs/>
          <w:color w:val="auto"/>
        </w:rPr>
        <w:t>Firma de servidores públicos</w:t>
      </w:r>
    </w:p>
    <w:p w14:paraId="62350A3A" w14:textId="77777777" w:rsidR="0069065D" w:rsidRPr="0069065D" w:rsidRDefault="0069065D" w:rsidP="0069065D">
      <w:pPr>
        <w:tabs>
          <w:tab w:val="left" w:pos="4962"/>
        </w:tabs>
        <w:spacing w:after="0" w:line="360" w:lineRule="auto"/>
        <w:rPr>
          <w:rFonts w:eastAsia="Times New Roman" w:cs="Times New Roman"/>
          <w:bCs/>
          <w:color w:val="auto"/>
          <w:lang w:eastAsia="es-ES"/>
        </w:rPr>
      </w:pPr>
      <w:r w:rsidRPr="0069065D">
        <w:rPr>
          <w:rFonts w:eastAsia="Times New Roman" w:cs="Times New Roman"/>
          <w:bCs/>
          <w:color w:val="auto"/>
          <w:lang w:eastAsia="es-ES"/>
        </w:rPr>
        <w:t xml:space="preserve">Al respecto, cabe precisar que, en el presente caso, se trata de testigos, en su calidad de servidores públicos; por lo que, si bien la firma es un dato personal confidencial, lo cierto es que, en el presente caso, acreditaron que la información señalada en el Acta, es correcta, por </w:t>
      </w:r>
      <w:r w:rsidRPr="0069065D">
        <w:rPr>
          <w:rFonts w:eastAsia="Times New Roman" w:cs="Times New Roman"/>
          <w:bCs/>
          <w:color w:val="auto"/>
          <w:lang w:eastAsia="es-ES"/>
        </w:rPr>
        <w:lastRenderedPageBreak/>
        <w:t>lo que, es de naturaleza pública; lo anterior, pues la plasmó en cumplimiento a las obligaciones que le corresponden.</w:t>
      </w:r>
    </w:p>
    <w:p w14:paraId="27D633F4" w14:textId="77777777" w:rsidR="0069065D" w:rsidRPr="0069065D" w:rsidRDefault="0069065D" w:rsidP="0069065D">
      <w:pPr>
        <w:tabs>
          <w:tab w:val="left" w:pos="4962"/>
        </w:tabs>
        <w:spacing w:after="0" w:line="360" w:lineRule="auto"/>
        <w:rPr>
          <w:rFonts w:eastAsia="Times New Roman" w:cs="Times New Roman"/>
          <w:bCs/>
          <w:color w:val="auto"/>
          <w:lang w:eastAsia="es-ES"/>
        </w:rPr>
      </w:pPr>
    </w:p>
    <w:p w14:paraId="5F93EC28" w14:textId="77777777" w:rsidR="0069065D" w:rsidRPr="0069065D" w:rsidRDefault="0069065D" w:rsidP="0069065D">
      <w:pPr>
        <w:tabs>
          <w:tab w:val="left" w:pos="4962"/>
        </w:tabs>
        <w:spacing w:after="0" w:line="360" w:lineRule="auto"/>
        <w:rPr>
          <w:rFonts w:eastAsia="Times New Roman" w:cs="Times New Roman"/>
          <w:bCs/>
          <w:color w:val="auto"/>
          <w:lang w:eastAsia="es-ES"/>
        </w:rPr>
      </w:pPr>
      <w:r w:rsidRPr="0069065D">
        <w:rPr>
          <w:rFonts w:eastAsia="Times New Roman" w:cs="Times New Roman"/>
          <w:bCs/>
          <w:color w:val="auto"/>
          <w:lang w:eastAsia="es-ES"/>
        </w:rPr>
        <w:t xml:space="preserve">Conforme a lo anterior,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48D7B68A" w14:textId="77777777" w:rsidR="0069065D" w:rsidRPr="0069065D" w:rsidRDefault="0069065D" w:rsidP="0069065D">
      <w:pPr>
        <w:tabs>
          <w:tab w:val="left" w:pos="4962"/>
        </w:tabs>
        <w:spacing w:after="0" w:line="360" w:lineRule="auto"/>
        <w:rPr>
          <w:rFonts w:eastAsia="Times New Roman" w:cs="Times New Roman"/>
          <w:bCs/>
          <w:color w:val="auto"/>
          <w:lang w:eastAsia="es-ES"/>
        </w:rPr>
      </w:pPr>
    </w:p>
    <w:p w14:paraId="16829737" w14:textId="56369AA3" w:rsidR="0069065D" w:rsidRPr="0069065D" w:rsidRDefault="0069065D" w:rsidP="0069065D">
      <w:pPr>
        <w:tabs>
          <w:tab w:val="left" w:pos="4962"/>
        </w:tabs>
        <w:spacing w:after="0" w:line="360" w:lineRule="auto"/>
        <w:rPr>
          <w:rFonts w:eastAsia="Times New Roman" w:cs="Times New Roman"/>
          <w:bCs/>
          <w:color w:val="auto"/>
          <w:lang w:eastAsia="es-ES"/>
        </w:rPr>
      </w:pPr>
      <w:r w:rsidRPr="0069065D">
        <w:rPr>
          <w:rFonts w:eastAsia="Times New Roman" w:cs="Times New Roman"/>
          <w:bCs/>
          <w:color w:val="auto"/>
          <w:lang w:eastAsia="es-ES"/>
        </w:rPr>
        <w:t xml:space="preserve">La publicidad de dicho dato, se robustece, con el con el </w:t>
      </w:r>
      <w:r w:rsidR="00EC4487">
        <w:rPr>
          <w:rFonts w:eastAsia="Times New Roman" w:cs="Times New Roman"/>
          <w:bCs/>
          <w:color w:val="auto"/>
          <w:lang w:eastAsia="es-ES"/>
        </w:rPr>
        <w:t>Criterio Orientador</w:t>
      </w:r>
      <w:r w:rsidRPr="0069065D">
        <w:rPr>
          <w:rFonts w:eastAsia="Times New Roman" w:cs="Times New Roman"/>
          <w:bCs/>
          <w:color w:val="auto"/>
          <w:lang w:eastAsia="es-ES"/>
        </w:rPr>
        <w:t xml:space="preserve">, con clave de control SO/002/2019, emitido </w:t>
      </w:r>
      <w:r w:rsidR="00EC4487">
        <w:rPr>
          <w:rFonts w:eastAsia="Times New Roman" w:cs="Times New Roman"/>
          <w:bCs/>
          <w:color w:val="auto"/>
          <w:lang w:eastAsia="es-ES"/>
        </w:rPr>
        <w:t>por el entonces Instituto Nacional</w:t>
      </w:r>
      <w:r w:rsidRPr="0069065D">
        <w:rPr>
          <w:rFonts w:eastAsia="Times New Roman" w:cs="Times New Roman"/>
          <w:bCs/>
          <w:color w:val="auto"/>
          <w:lang w:eastAsia="es-ES"/>
        </w:rPr>
        <w:t xml:space="preserve"> de Transparencia, Acceso a la Información y Protección de Datos Personales, vigente a la fecha de la solicitud, que establece lo siguiente:</w:t>
      </w:r>
    </w:p>
    <w:p w14:paraId="2AEFCC9C" w14:textId="77777777" w:rsidR="0069065D" w:rsidRPr="0069065D" w:rsidRDefault="0069065D" w:rsidP="0069065D">
      <w:pPr>
        <w:tabs>
          <w:tab w:val="left" w:pos="4962"/>
        </w:tabs>
        <w:spacing w:after="0" w:line="360" w:lineRule="auto"/>
        <w:rPr>
          <w:rFonts w:eastAsia="Times New Roman" w:cs="Times New Roman"/>
          <w:bCs/>
          <w:color w:val="FF0000"/>
          <w:lang w:eastAsia="es-ES"/>
        </w:rPr>
      </w:pPr>
    </w:p>
    <w:p w14:paraId="4C8935EB" w14:textId="77777777" w:rsidR="0069065D" w:rsidRPr="0069065D" w:rsidRDefault="0069065D" w:rsidP="0069065D">
      <w:pPr>
        <w:spacing w:after="0" w:line="360" w:lineRule="auto"/>
        <w:ind w:left="567" w:right="567"/>
        <w:rPr>
          <w:rFonts w:eastAsia="Times New Roman" w:cs="Arial"/>
          <w:bCs/>
          <w:i/>
          <w:iCs/>
          <w:color w:val="auto"/>
          <w:sz w:val="20"/>
          <w:szCs w:val="20"/>
          <w:lang w:eastAsia="es-ES"/>
        </w:rPr>
      </w:pPr>
      <w:r w:rsidRPr="0069065D">
        <w:rPr>
          <w:rFonts w:eastAsia="Times New Roman" w:cs="Arial"/>
          <w:b/>
          <w:i/>
          <w:iCs/>
          <w:color w:val="auto"/>
          <w:sz w:val="20"/>
          <w:szCs w:val="20"/>
          <w:lang w:eastAsia="es-ES"/>
        </w:rPr>
        <w:t>“Firma y rúbrica de servidores públicos.</w:t>
      </w:r>
      <w:r w:rsidRPr="0069065D">
        <w:rPr>
          <w:rFonts w:eastAsia="Times New Roman" w:cs="Arial"/>
          <w:bCs/>
          <w:i/>
          <w:iCs/>
          <w:color w:val="auto"/>
          <w:sz w:val="20"/>
          <w:szCs w:val="20"/>
          <w:lang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6E64985" w14:textId="77777777" w:rsidR="0069065D" w:rsidRPr="0069065D" w:rsidRDefault="0069065D" w:rsidP="0069065D">
      <w:pPr>
        <w:tabs>
          <w:tab w:val="left" w:pos="4962"/>
        </w:tabs>
        <w:spacing w:after="0" w:line="360" w:lineRule="auto"/>
        <w:rPr>
          <w:rFonts w:eastAsia="Times New Roman" w:cs="Times New Roman"/>
          <w:bCs/>
          <w:color w:val="FF0000"/>
          <w:lang w:eastAsia="es-ES"/>
        </w:rPr>
      </w:pPr>
    </w:p>
    <w:p w14:paraId="0B9F424B" w14:textId="77777777" w:rsidR="0069065D" w:rsidRPr="0069065D" w:rsidRDefault="0069065D" w:rsidP="0069065D">
      <w:pPr>
        <w:tabs>
          <w:tab w:val="left" w:pos="4962"/>
        </w:tabs>
        <w:spacing w:after="0" w:line="360" w:lineRule="auto"/>
        <w:rPr>
          <w:rFonts w:eastAsia="Times New Roman" w:cs="Times New Roman"/>
          <w:bCs/>
          <w:color w:val="auto"/>
          <w:lang w:eastAsia="es-ES"/>
        </w:rPr>
      </w:pPr>
      <w:r w:rsidRPr="0069065D">
        <w:rPr>
          <w:rFonts w:eastAsia="Times New Roman" w:cs="Times New Roman"/>
          <w:bCs/>
          <w:color w:val="auto"/>
          <w:lang w:eastAsia="es-ES"/>
        </w:rPr>
        <w:t>Conforme a lo expuesto, no procede la clasificación, en términos del artículo 143, fracción I de la Ley de Transparencia y Acceso a la Información Pública del Estado de México y Municipios, de la firma de los servidores públicos que fungieron como testigos.</w:t>
      </w:r>
    </w:p>
    <w:p w14:paraId="77BEFBF4" w14:textId="77777777" w:rsidR="0069065D" w:rsidRPr="0069065D" w:rsidRDefault="0069065D" w:rsidP="0069065D">
      <w:pPr>
        <w:tabs>
          <w:tab w:val="left" w:pos="4962"/>
        </w:tabs>
        <w:spacing w:after="0" w:line="360" w:lineRule="auto"/>
        <w:rPr>
          <w:rFonts w:eastAsia="Times New Roman" w:cs="Times New Roman"/>
          <w:bCs/>
          <w:color w:val="auto"/>
          <w:lang w:eastAsia="es-ES"/>
        </w:rPr>
      </w:pPr>
    </w:p>
    <w:p w14:paraId="7AEB72A0" w14:textId="62B1CE02" w:rsidR="000734AC" w:rsidRPr="0069065D" w:rsidRDefault="0069065D" w:rsidP="0069065D">
      <w:pPr>
        <w:tabs>
          <w:tab w:val="left" w:pos="4962"/>
        </w:tabs>
        <w:spacing w:after="0" w:line="360" w:lineRule="auto"/>
        <w:rPr>
          <w:rFonts w:eastAsia="Times New Roman" w:cs="Times New Roman"/>
          <w:bCs/>
          <w:color w:val="auto"/>
          <w:lang w:eastAsia="es-ES"/>
        </w:rPr>
      </w:pPr>
      <w:r w:rsidRPr="0069065D">
        <w:rPr>
          <w:rFonts w:eastAsia="Times New Roman" w:cs="Times New Roman"/>
          <w:bCs/>
          <w:color w:val="auto"/>
          <w:lang w:eastAsia="es-ES"/>
        </w:rPr>
        <w:t xml:space="preserve">Además, es de señalar que las Acta puede contener las observaciones que hayan dado pauta al procedimiento de verificación de información contenida en la Entrega-Recepción o procedimiento de posibles responsabilidades administrativas, </w:t>
      </w:r>
      <w:r w:rsidR="00EC4487">
        <w:rPr>
          <w:rFonts w:eastAsia="Times New Roman" w:cs="Times New Roman"/>
          <w:bCs/>
          <w:color w:val="auto"/>
          <w:lang w:eastAsia="es-ES"/>
        </w:rPr>
        <w:t xml:space="preserve">en trámite, </w:t>
      </w:r>
      <w:r w:rsidRPr="0069065D">
        <w:rPr>
          <w:rFonts w:eastAsia="Times New Roman" w:cs="Times New Roman"/>
          <w:bCs/>
          <w:color w:val="auto"/>
          <w:lang w:eastAsia="es-ES"/>
        </w:rPr>
        <w:t>a la fecha de la solicitud.</w:t>
      </w:r>
    </w:p>
    <w:p w14:paraId="136754C3" w14:textId="77777777" w:rsidR="0069065D" w:rsidRDefault="0069065D" w:rsidP="00A62148">
      <w:pPr>
        <w:tabs>
          <w:tab w:val="left" w:pos="4962"/>
        </w:tabs>
        <w:spacing w:after="0" w:line="360" w:lineRule="auto"/>
        <w:rPr>
          <w:rFonts w:eastAsia="Times New Roman" w:cs="Times New Roman"/>
          <w:bCs/>
          <w:color w:val="FF0000"/>
          <w:lang w:eastAsia="es-ES"/>
        </w:rPr>
      </w:pPr>
    </w:p>
    <w:p w14:paraId="3EDE6DDD" w14:textId="77777777" w:rsidR="0069065D" w:rsidRPr="00426D57" w:rsidRDefault="0069065D" w:rsidP="0069065D">
      <w:pPr>
        <w:spacing w:after="0" w:line="360" w:lineRule="auto"/>
        <w:rPr>
          <w:rFonts w:eastAsia="Times New Roman" w:cs="Tahoma"/>
          <w:bCs/>
          <w:color w:val="auto"/>
          <w:lang w:val="es-ES" w:eastAsia="es-ES"/>
        </w:rPr>
      </w:pPr>
      <w:r w:rsidRPr="00426D57">
        <w:rPr>
          <w:rFonts w:eastAsia="Times New Roman" w:cs="Tahoma"/>
          <w:bCs/>
        </w:rPr>
        <w:lastRenderedPageBreak/>
        <w:t>Por lo que, en el presente caso, el S</w:t>
      </w:r>
      <w:r>
        <w:rPr>
          <w:rFonts w:eastAsia="Times New Roman" w:cs="Tahoma"/>
          <w:bCs/>
        </w:rPr>
        <w:t>ujeto Obligado deberá entregar el acta</w:t>
      </w:r>
      <w:r w:rsidRPr="00426D57">
        <w:rPr>
          <w:rFonts w:eastAsia="Times New Roman" w:cs="Tahoma"/>
          <w:bCs/>
        </w:rPr>
        <w:t xml:space="preserve">, en versión pública; sobre el tema  de conformidad con lo establecido en </w:t>
      </w:r>
      <w:r w:rsidRPr="00426D57">
        <w:rPr>
          <w:rFonts w:eastAsia="Times New Roman" w:cs="Tahoma"/>
          <w:bCs/>
          <w:color w:val="auto"/>
          <w:lang w:val="es-ES" w:eastAsia="es-ES"/>
        </w:rPr>
        <w:t>el artículo 3°, fracción XLV, relacionado con el 137, ambos de la Ley de Transparencia y Acceso a la Información Pública del Estado de México y Municipios, que establecen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6298642" w14:textId="77777777" w:rsidR="0069065D" w:rsidRPr="00426D57" w:rsidRDefault="0069065D" w:rsidP="0069065D">
      <w:pPr>
        <w:spacing w:after="0" w:line="360" w:lineRule="auto"/>
        <w:rPr>
          <w:rFonts w:eastAsia="Times New Roman" w:cs="Tahoma"/>
          <w:bCs/>
          <w:color w:val="auto"/>
          <w:lang w:val="es-ES" w:eastAsia="es-ES"/>
        </w:rPr>
      </w:pPr>
    </w:p>
    <w:p w14:paraId="32107D0D" w14:textId="77777777" w:rsidR="0069065D" w:rsidRPr="00426D57" w:rsidRDefault="0069065D" w:rsidP="0069065D">
      <w:pPr>
        <w:spacing w:after="0" w:line="360" w:lineRule="auto"/>
        <w:rPr>
          <w:rFonts w:eastAsia="Times New Roman" w:cs="Tahoma"/>
          <w:bCs/>
          <w:color w:val="auto"/>
          <w:lang w:val="es-ES" w:eastAsia="es-ES"/>
        </w:rPr>
      </w:pPr>
      <w:r w:rsidRPr="00426D57">
        <w:rPr>
          <w:rFonts w:eastAsia="Times New Roman" w:cs="Tahoma"/>
          <w:bCs/>
          <w:color w:val="auto"/>
          <w:lang w:eastAsia="es-ES"/>
        </w:rPr>
        <w:t>Así, se advierte que el Sujeto Obligado para atender el requerimiento deberá elaborar la versión pública respectiva; a</w:t>
      </w:r>
      <w:r w:rsidRPr="00426D57">
        <w:rPr>
          <w:rFonts w:eastAsia="Times New Roman" w:cs="Tahoma"/>
          <w:bCs/>
          <w:color w:val="auto"/>
          <w:lang w:val="es-ES" w:eastAsia="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D9A24EE" w14:textId="77777777" w:rsidR="0069065D" w:rsidRPr="00426D57" w:rsidRDefault="0069065D" w:rsidP="0069065D">
      <w:pPr>
        <w:spacing w:after="0" w:line="360" w:lineRule="auto"/>
        <w:rPr>
          <w:rFonts w:eastAsia="Times New Roman" w:cs="Tahoma"/>
          <w:bCs/>
          <w:color w:val="auto"/>
          <w:lang w:val="es-ES" w:eastAsia="es-ES"/>
        </w:rPr>
      </w:pPr>
    </w:p>
    <w:p w14:paraId="5D8783B1" w14:textId="2663EB3A" w:rsidR="0069065D" w:rsidRDefault="0069065D" w:rsidP="0069065D">
      <w:pPr>
        <w:spacing w:after="0" w:line="360" w:lineRule="auto"/>
        <w:rPr>
          <w:rFonts w:eastAsia="Times New Roman" w:cs="Tahoma"/>
          <w:bCs/>
          <w:color w:val="auto"/>
          <w:lang w:val="es-ES" w:eastAsia="es-ES"/>
        </w:rPr>
      </w:pPr>
      <w:r w:rsidRPr="00426D57">
        <w:rPr>
          <w:rFonts w:eastAsia="Times New Roman" w:cs="Tahoma"/>
          <w:b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Pr>
          <w:rFonts w:eastAsia="Times New Roman" w:cs="Tahoma"/>
          <w:bCs/>
          <w:color w:val="auto"/>
          <w:lang w:val="es-ES" w:eastAsia="es-ES"/>
        </w:rPr>
        <w:t>.</w:t>
      </w:r>
    </w:p>
    <w:p w14:paraId="3FF78E3D" w14:textId="77777777" w:rsidR="000A14E9" w:rsidRDefault="000A14E9" w:rsidP="0069065D">
      <w:pPr>
        <w:spacing w:after="0" w:line="360" w:lineRule="auto"/>
        <w:rPr>
          <w:rFonts w:eastAsia="Times New Roman" w:cs="Tahoma"/>
          <w:bCs/>
          <w:color w:val="auto"/>
          <w:lang w:val="es-ES" w:eastAsia="es-ES"/>
        </w:rPr>
      </w:pPr>
    </w:p>
    <w:p w14:paraId="50A4845C" w14:textId="1523CCE8" w:rsidR="000A14E9" w:rsidRPr="000A14E9" w:rsidRDefault="000A14E9" w:rsidP="000A14E9">
      <w:pPr>
        <w:keepNext/>
        <w:keepLines/>
        <w:spacing w:after="0" w:line="360" w:lineRule="auto"/>
        <w:outlineLvl w:val="0"/>
        <w:rPr>
          <w:rFonts w:eastAsia="Calibri" w:cstheme="majorBidi"/>
          <w:b/>
          <w:bCs/>
          <w:color w:val="auto"/>
        </w:rPr>
      </w:pPr>
      <w:bookmarkStart w:id="39" w:name="_Toc187916690"/>
      <w:bookmarkStart w:id="40" w:name="_Toc191400561"/>
      <w:bookmarkStart w:id="41" w:name="_Toc192777763"/>
      <w:bookmarkStart w:id="42" w:name="_Toc195200367"/>
      <w:r w:rsidRPr="000A14E9">
        <w:rPr>
          <w:rFonts w:eastAsia="Calibri" w:cstheme="majorBidi"/>
          <w:b/>
          <w:bCs/>
          <w:color w:val="auto"/>
        </w:rPr>
        <w:t>S</w:t>
      </w:r>
      <w:r w:rsidR="004B4BCC">
        <w:rPr>
          <w:rFonts w:eastAsia="Calibri" w:cstheme="majorBidi"/>
          <w:b/>
          <w:bCs/>
          <w:color w:val="auto"/>
        </w:rPr>
        <w:t>ÉPTIMO</w:t>
      </w:r>
      <w:r w:rsidRPr="000A14E9">
        <w:rPr>
          <w:rFonts w:eastAsia="Calibri" w:cstheme="majorBidi"/>
          <w:b/>
          <w:bCs/>
          <w:color w:val="auto"/>
        </w:rPr>
        <w:t>. Decisión</w:t>
      </w:r>
      <w:bookmarkEnd w:id="39"/>
      <w:bookmarkEnd w:id="40"/>
      <w:bookmarkEnd w:id="41"/>
      <w:bookmarkEnd w:id="42"/>
    </w:p>
    <w:p w14:paraId="5276AAAB" w14:textId="77777777" w:rsidR="000A14E9" w:rsidRPr="000A14E9" w:rsidRDefault="000A14E9" w:rsidP="000A14E9">
      <w:pPr>
        <w:spacing w:after="0" w:line="360" w:lineRule="auto"/>
        <w:rPr>
          <w:rFonts w:eastAsia="Times New Roman" w:cs="Tahoma"/>
          <w:color w:val="auto"/>
          <w:lang w:eastAsia="es-ES"/>
        </w:rPr>
      </w:pPr>
    </w:p>
    <w:p w14:paraId="2D7E3585" w14:textId="77777777" w:rsidR="000A14E9" w:rsidRPr="000A14E9" w:rsidRDefault="000A14E9" w:rsidP="000A14E9">
      <w:pPr>
        <w:spacing w:after="0" w:line="360" w:lineRule="auto"/>
        <w:rPr>
          <w:color w:val="000000"/>
          <w:lang w:eastAsia="es-ES"/>
        </w:rPr>
      </w:pPr>
      <w:r w:rsidRPr="000A14E9">
        <w:rPr>
          <w:color w:val="000000"/>
          <w:lang w:eastAsia="es-ES"/>
        </w:rPr>
        <w:t xml:space="preserve">Con fundamento en el artículo 186, fracción III, de la Ley de Transparencia y Acceso a la Información Pública del Estado de México y Municipios, este Instituto considera procedente </w:t>
      </w:r>
      <w:r w:rsidRPr="000A14E9">
        <w:rPr>
          <w:b/>
          <w:color w:val="000000"/>
          <w:lang w:eastAsia="es-ES"/>
        </w:rPr>
        <w:t xml:space="preserve">REVOCAR </w:t>
      </w:r>
      <w:r w:rsidRPr="000A14E9">
        <w:rPr>
          <w:color w:val="000000"/>
          <w:lang w:eastAsia="es-ES"/>
        </w:rPr>
        <w:t xml:space="preserve">la respuesta otorgada por el Sujeto Obligado. </w:t>
      </w:r>
    </w:p>
    <w:p w14:paraId="5DD7E929" w14:textId="77777777" w:rsidR="000A14E9" w:rsidRPr="000A14E9" w:rsidRDefault="000A14E9" w:rsidP="000A14E9">
      <w:pPr>
        <w:spacing w:after="0" w:line="360" w:lineRule="auto"/>
        <w:rPr>
          <w:rFonts w:eastAsia="Times New Roman" w:cs="Tahoma"/>
          <w:bCs/>
          <w:iCs/>
          <w:color w:val="auto"/>
          <w:lang w:eastAsia="es-ES"/>
        </w:rPr>
      </w:pPr>
    </w:p>
    <w:p w14:paraId="3F18AC6D" w14:textId="77777777" w:rsidR="000A14E9" w:rsidRPr="000A14E9" w:rsidRDefault="000A14E9" w:rsidP="000A14E9">
      <w:pPr>
        <w:spacing w:after="0" w:line="360" w:lineRule="auto"/>
        <w:rPr>
          <w:rFonts w:eastAsia="Times New Roman" w:cs="Tahoma"/>
          <w:b/>
          <w:bCs/>
          <w:iCs/>
          <w:color w:val="auto"/>
          <w:lang w:val="es-ES" w:eastAsia="es-ES"/>
        </w:rPr>
      </w:pPr>
      <w:r w:rsidRPr="000A14E9">
        <w:rPr>
          <w:rFonts w:eastAsia="Times New Roman" w:cs="Tahoma"/>
          <w:b/>
          <w:bCs/>
          <w:iCs/>
          <w:color w:val="auto"/>
          <w:lang w:val="es-ES" w:eastAsia="es-ES"/>
        </w:rPr>
        <w:t>Términos de la Resolución para conocimiento del Particular</w:t>
      </w:r>
    </w:p>
    <w:p w14:paraId="309BA5F8" w14:textId="77777777" w:rsidR="000A14E9" w:rsidRPr="000A14E9" w:rsidRDefault="000A14E9" w:rsidP="000A14E9">
      <w:pPr>
        <w:spacing w:after="0" w:line="360" w:lineRule="auto"/>
        <w:rPr>
          <w:rFonts w:eastAsia="Times New Roman" w:cs="Tahoma"/>
          <w:b/>
          <w:bCs/>
          <w:iCs/>
          <w:color w:val="auto"/>
          <w:lang w:val="es-ES" w:eastAsia="es-ES"/>
        </w:rPr>
      </w:pPr>
    </w:p>
    <w:p w14:paraId="03B435FD" w14:textId="28ED4AC8" w:rsidR="000A14E9" w:rsidRPr="000A14E9" w:rsidRDefault="000A14E9" w:rsidP="00EC4487">
      <w:pPr>
        <w:autoSpaceDE w:val="0"/>
        <w:autoSpaceDN w:val="0"/>
        <w:adjustRightInd w:val="0"/>
        <w:spacing w:after="0" w:line="360" w:lineRule="auto"/>
        <w:rPr>
          <w:rFonts w:eastAsia="Calibri" w:cs="Tahoma"/>
          <w:bCs/>
          <w:iCs/>
          <w:color w:val="auto"/>
          <w:lang w:eastAsia="es-ES"/>
        </w:rPr>
      </w:pPr>
      <w:r w:rsidRPr="000A14E9">
        <w:rPr>
          <w:rFonts w:eastAsia="Calibri" w:cs="Tahoma"/>
          <w:bCs/>
          <w:iCs/>
          <w:color w:val="auto"/>
          <w:lang w:val="es-ES"/>
        </w:rPr>
        <w:t xml:space="preserve">Se le hace del conocimiento al Particular, que, en el presente caso, se le da la razón, pues </w:t>
      </w:r>
      <w:r w:rsidRPr="000A14E9">
        <w:rPr>
          <w:rFonts w:eastAsia="Calibri" w:cs="Tahoma"/>
        </w:rPr>
        <w:t>el Ayuntamiento de Toluca refirió</w:t>
      </w:r>
      <w:r>
        <w:rPr>
          <w:rFonts w:eastAsia="Calibri" w:cs="Tahoma"/>
        </w:rPr>
        <w:t xml:space="preserve">, inicialmente entrego información que no guarda relación con lo solicitado, además de señalar </w:t>
      </w:r>
      <w:r w:rsidRPr="000A14E9">
        <w:rPr>
          <w:rFonts w:eastAsia="Calibri" w:cs="Tahoma"/>
        </w:rPr>
        <w:t xml:space="preserve">que la información solicitada estaba reservada, </w:t>
      </w:r>
      <w:r w:rsidRPr="000A14E9">
        <w:t>sin embargo, no fundó ni motivó dicha información, por lo que, deberá entregar la información solicitada</w:t>
      </w:r>
      <w:r w:rsidR="00EC4487">
        <w:t xml:space="preserve">; </w:t>
      </w:r>
      <w:r w:rsidRPr="000A14E9">
        <w:rPr>
          <w:rFonts w:eastAsia="Calibri" w:cs="Tahoma"/>
          <w:bCs/>
          <w:iCs/>
          <w:color w:val="auto"/>
          <w:lang w:eastAsia="es-ES"/>
        </w:rPr>
        <w:t>la labor de</w:t>
      </w:r>
      <w:r w:rsidR="00EC4487">
        <w:rPr>
          <w:rFonts w:eastAsia="Calibri" w:cs="Tahoma"/>
          <w:bCs/>
          <w:iCs/>
          <w:color w:val="auto"/>
          <w:lang w:eastAsia="es-ES"/>
        </w:rPr>
        <w:t xml:space="preserve"> este</w:t>
      </w:r>
      <w:r w:rsidRPr="000A14E9">
        <w:rPr>
          <w:rFonts w:eastAsia="Calibri" w:cs="Tahoma"/>
          <w:bCs/>
          <w:iCs/>
          <w:color w:val="auto"/>
          <w:lang w:eastAsia="es-ES"/>
        </w:rPr>
        <w:t xml:space="preserve"> Instituto, es apoyar a la población a acceder a la información pública y garantizar la protección de sus datos personales.</w:t>
      </w:r>
    </w:p>
    <w:p w14:paraId="3387EB33" w14:textId="77777777" w:rsidR="000A14E9" w:rsidRPr="000A14E9" w:rsidRDefault="000A14E9" w:rsidP="000A14E9">
      <w:pPr>
        <w:spacing w:after="0" w:line="360" w:lineRule="auto"/>
        <w:rPr>
          <w:rFonts w:eastAsia="Calibri" w:cs="Times New Roman"/>
          <w:color w:val="FF0000"/>
        </w:rPr>
      </w:pPr>
    </w:p>
    <w:p w14:paraId="0056D787" w14:textId="77777777" w:rsidR="000A14E9" w:rsidRPr="000A14E9" w:rsidRDefault="000A14E9" w:rsidP="000A14E9">
      <w:pPr>
        <w:spacing w:after="0" w:line="360" w:lineRule="auto"/>
        <w:rPr>
          <w:rFonts w:eastAsia="Times New Roman" w:cs="Tahoma"/>
          <w:bCs/>
          <w:iCs/>
          <w:color w:val="auto"/>
          <w:lang w:eastAsia="es-ES"/>
        </w:rPr>
      </w:pPr>
      <w:r w:rsidRPr="000A14E9">
        <w:rPr>
          <w:rFonts w:eastAsia="Times New Roman" w:cs="Tahoma"/>
          <w:bCs/>
          <w:iCs/>
          <w:color w:val="auto"/>
          <w:lang w:eastAsia="es-ES"/>
        </w:rPr>
        <w:t>Por lo expuesto y fundado, este Pleno:</w:t>
      </w:r>
    </w:p>
    <w:p w14:paraId="22F2ECB2" w14:textId="77777777" w:rsidR="000A14E9" w:rsidRDefault="000A14E9" w:rsidP="0069065D">
      <w:pPr>
        <w:spacing w:after="0" w:line="360" w:lineRule="auto"/>
        <w:rPr>
          <w:rFonts w:eastAsia="Palatino Linotype" w:cs="Palatino Linotype"/>
          <w:lang w:val="es-ES" w:eastAsia="es-MX"/>
          <w14:ligatures w14:val="standardContextual"/>
        </w:rPr>
      </w:pPr>
    </w:p>
    <w:p w14:paraId="411FB2C7" w14:textId="5FAC1596" w:rsidR="004B4BCC" w:rsidRDefault="004B4BCC" w:rsidP="0040465F">
      <w:pPr>
        <w:pStyle w:val="Ttulo1"/>
        <w:rPr>
          <w:rFonts w:eastAsia="Palatino Linotype"/>
          <w:lang w:val="es-ES" w:eastAsia="es-MX"/>
        </w:rPr>
      </w:pPr>
      <w:bookmarkStart w:id="43" w:name="_Toc195200368"/>
      <w:r w:rsidRPr="004B4BCC">
        <w:rPr>
          <w:rFonts w:eastAsia="Palatino Linotype"/>
          <w:lang w:val="es-ES" w:eastAsia="es-MX"/>
        </w:rPr>
        <w:t>R E S U E L V E</w:t>
      </w:r>
      <w:bookmarkEnd w:id="43"/>
    </w:p>
    <w:p w14:paraId="0D34EAD3" w14:textId="77777777" w:rsidR="004B4BCC" w:rsidRPr="004B4BCC" w:rsidRDefault="004B4BCC" w:rsidP="004B4BCC">
      <w:pPr>
        <w:spacing w:after="0" w:line="360" w:lineRule="auto"/>
        <w:jc w:val="center"/>
        <w:rPr>
          <w:rFonts w:eastAsia="Palatino Linotype" w:cs="Palatino Linotype"/>
          <w:b/>
          <w:bCs/>
          <w:lang w:val="es-ES" w:eastAsia="es-MX"/>
          <w14:ligatures w14:val="standardContextual"/>
        </w:rPr>
      </w:pPr>
    </w:p>
    <w:p w14:paraId="394A6060" w14:textId="46790904" w:rsidR="000A14E9" w:rsidRDefault="000A14E9" w:rsidP="000A14E9">
      <w:pPr>
        <w:spacing w:after="0" w:line="360" w:lineRule="auto"/>
      </w:pPr>
      <w:r w:rsidRPr="004703FE">
        <w:rPr>
          <w:b/>
          <w:bCs/>
        </w:rPr>
        <w:t>PRIMERO.</w:t>
      </w:r>
      <w:r>
        <w:t xml:space="preserve"> Se </w:t>
      </w:r>
      <w:r w:rsidRPr="00DD2BEB">
        <w:rPr>
          <w:b/>
        </w:rPr>
        <w:t xml:space="preserve">REVOCA </w:t>
      </w:r>
      <w:r>
        <w:t xml:space="preserve">la respuesta a la solicitud de información pública </w:t>
      </w:r>
      <w:r w:rsidRPr="00DD2BEB">
        <w:t>00</w:t>
      </w:r>
      <w:r w:rsidR="001B22A9">
        <w:t>119</w:t>
      </w:r>
      <w:r w:rsidRPr="00DD2BEB">
        <w:t>/TOLUCA/IP/2025</w:t>
      </w:r>
      <w:r>
        <w:t xml:space="preserve">, por resultar </w:t>
      </w:r>
      <w:r w:rsidRPr="004703FE">
        <w:rPr>
          <w:b/>
          <w:bCs/>
        </w:rPr>
        <w:t>FUNDADAS</w:t>
      </w:r>
      <w:r>
        <w:t xml:space="preserve"> las razones o motivos de inconformidad hechos valer por el Recurrente, en el Recurso de Revisión </w:t>
      </w:r>
      <w:r w:rsidRPr="00B92024">
        <w:t>01</w:t>
      </w:r>
      <w:r w:rsidR="001B22A9">
        <w:t>351</w:t>
      </w:r>
      <w:r w:rsidRPr="00B92024">
        <w:t>/INFOEM/IP/RR/2025</w:t>
      </w:r>
      <w:r>
        <w:t>, en términos de los Considerandos QUINTO y SEXTO de esta Resolución.</w:t>
      </w:r>
    </w:p>
    <w:p w14:paraId="7560264D" w14:textId="77777777" w:rsidR="000A14E9" w:rsidRDefault="000A14E9" w:rsidP="000A14E9">
      <w:pPr>
        <w:spacing w:after="0" w:line="360" w:lineRule="auto"/>
      </w:pPr>
    </w:p>
    <w:p w14:paraId="04AA599A" w14:textId="77777777" w:rsidR="000A14E9" w:rsidRPr="008E358A" w:rsidRDefault="000A14E9" w:rsidP="000A14E9">
      <w:pPr>
        <w:spacing w:after="0" w:line="360" w:lineRule="auto"/>
        <w:rPr>
          <w:rFonts w:eastAsia="Calibri" w:cs="Tahoma"/>
          <w:bCs/>
          <w:color w:val="auto"/>
          <w:lang w:eastAsia="es-ES"/>
        </w:rPr>
      </w:pPr>
      <w:r w:rsidRPr="008E358A">
        <w:rPr>
          <w:rFonts w:eastAsia="Times New Roman" w:cs="Tahoma"/>
          <w:b/>
          <w:bCs/>
          <w:iCs/>
          <w:color w:val="auto"/>
          <w:lang w:val="es-ES" w:eastAsia="es-ES"/>
        </w:rPr>
        <w:t xml:space="preserve">SEGUNDO. </w:t>
      </w:r>
      <w:r w:rsidRPr="008E358A">
        <w:rPr>
          <w:rFonts w:eastAsia="Times New Roman" w:cs="Tahoma"/>
          <w:bCs/>
          <w:iCs/>
          <w:color w:val="auto"/>
          <w:lang w:eastAsia="es-ES"/>
        </w:rPr>
        <w:t xml:space="preserve">Se </w:t>
      </w:r>
      <w:r w:rsidRPr="008E358A">
        <w:rPr>
          <w:rFonts w:eastAsia="Times New Roman" w:cs="Tahoma"/>
          <w:b/>
          <w:bCs/>
          <w:iCs/>
          <w:color w:val="auto"/>
          <w:lang w:eastAsia="es-ES"/>
        </w:rPr>
        <w:t>ORDENA</w:t>
      </w:r>
      <w:r w:rsidRPr="008E358A">
        <w:rPr>
          <w:rFonts w:eastAsia="Times New Roman" w:cs="Tahoma"/>
          <w:bCs/>
          <w:iCs/>
          <w:color w:val="auto"/>
          <w:lang w:eastAsia="es-ES"/>
        </w:rPr>
        <w:t xml:space="preserve"> al Sujeto Obligado, a efecto de entregue a través del Sistema de Acceso a la Información Mexiquense (SAIMEX), en versión pública, </w:t>
      </w:r>
      <w:r w:rsidRPr="008E358A">
        <w:rPr>
          <w:rFonts w:eastAsia="Calibri" w:cs="Tahoma"/>
          <w:bCs/>
          <w:color w:val="auto"/>
          <w:lang w:eastAsia="es-ES"/>
        </w:rPr>
        <w:t>lo siguiente:</w:t>
      </w:r>
    </w:p>
    <w:p w14:paraId="163C25B7" w14:textId="77777777" w:rsidR="000A14E9" w:rsidRPr="008E358A" w:rsidRDefault="000A14E9" w:rsidP="000A14E9">
      <w:pPr>
        <w:spacing w:after="0" w:line="360" w:lineRule="auto"/>
        <w:rPr>
          <w:rFonts w:eastAsia="Calibri" w:cs="Tahoma"/>
          <w:bCs/>
          <w:color w:val="auto"/>
          <w:lang w:eastAsia="es-ES"/>
        </w:rPr>
      </w:pPr>
    </w:p>
    <w:p w14:paraId="1C7F9CDF" w14:textId="325A9780" w:rsidR="000A14E9" w:rsidRPr="001B22A9" w:rsidRDefault="001B22A9" w:rsidP="001B22A9">
      <w:pPr>
        <w:numPr>
          <w:ilvl w:val="0"/>
          <w:numId w:val="40"/>
        </w:numPr>
        <w:spacing w:after="0" w:line="360" w:lineRule="auto"/>
        <w:contextualSpacing/>
        <w:rPr>
          <w:rFonts w:eastAsia="Times New Roman" w:cs="Times New Roman"/>
          <w:szCs w:val="24"/>
          <w:lang w:eastAsia="es-ES"/>
        </w:rPr>
      </w:pPr>
      <w:r>
        <w:rPr>
          <w:rFonts w:eastAsia="Times New Roman" w:cs="Tahoma"/>
          <w:bCs/>
          <w:lang w:eastAsia="es-ES"/>
        </w:rPr>
        <w:t xml:space="preserve">Las </w:t>
      </w:r>
      <w:r w:rsidR="000A14E9">
        <w:rPr>
          <w:rFonts w:eastAsia="Times New Roman" w:cs="Tahoma"/>
          <w:bCs/>
          <w:lang w:eastAsia="es-ES"/>
        </w:rPr>
        <w:t>Acta</w:t>
      </w:r>
      <w:r>
        <w:rPr>
          <w:rFonts w:eastAsia="Times New Roman" w:cs="Tahoma"/>
          <w:bCs/>
          <w:lang w:eastAsia="es-ES"/>
        </w:rPr>
        <w:t>s</w:t>
      </w:r>
      <w:r w:rsidR="000A14E9">
        <w:rPr>
          <w:rFonts w:eastAsia="Times New Roman" w:cs="Tahoma"/>
          <w:bCs/>
          <w:lang w:eastAsia="es-ES"/>
        </w:rPr>
        <w:t xml:space="preserve"> de Entrega-Recepción de </w:t>
      </w:r>
      <w:r>
        <w:rPr>
          <w:rFonts w:eastAsia="Times New Roman" w:cs="Tahoma"/>
          <w:bCs/>
          <w:lang w:eastAsia="es-ES"/>
        </w:rPr>
        <w:t>los servidores públicos adscritos al Ayuntamiento de Toluca</w:t>
      </w:r>
      <w:r w:rsidR="00EC4487">
        <w:rPr>
          <w:rFonts w:eastAsia="Times New Roman" w:cs="Tahoma"/>
          <w:bCs/>
          <w:lang w:eastAsia="es-ES"/>
        </w:rPr>
        <w:t>,</w:t>
      </w:r>
      <w:r>
        <w:rPr>
          <w:rFonts w:eastAsia="Times New Roman" w:cs="Tahoma"/>
          <w:bCs/>
          <w:lang w:eastAsia="es-ES"/>
        </w:rPr>
        <w:t xml:space="preserve"> generadas</w:t>
      </w:r>
      <w:r w:rsidR="00EC4487">
        <w:rPr>
          <w:rFonts w:eastAsia="Times New Roman" w:cs="Tahoma"/>
          <w:bCs/>
          <w:lang w:eastAsia="es-ES"/>
        </w:rPr>
        <w:t xml:space="preserve"> </w:t>
      </w:r>
      <w:r>
        <w:rPr>
          <w:rFonts w:eastAsia="Times New Roman" w:cs="Tahoma"/>
          <w:bCs/>
          <w:lang w:eastAsia="es-ES"/>
        </w:rPr>
        <w:t>del primero al tres de enero de dos mil veinticuatro</w:t>
      </w:r>
      <w:r w:rsidR="00EC4487">
        <w:rPr>
          <w:rFonts w:eastAsia="Times New Roman" w:cs="Tahoma"/>
          <w:bCs/>
          <w:lang w:eastAsia="es-ES"/>
        </w:rPr>
        <w:t>.</w:t>
      </w:r>
    </w:p>
    <w:p w14:paraId="66B1E41C" w14:textId="77777777" w:rsidR="000A14E9" w:rsidRDefault="000A14E9" w:rsidP="000A14E9">
      <w:pPr>
        <w:spacing w:after="0" w:line="360" w:lineRule="auto"/>
      </w:pPr>
    </w:p>
    <w:p w14:paraId="518902DA" w14:textId="77777777" w:rsidR="000A14E9" w:rsidRDefault="000A14E9" w:rsidP="000A14E9">
      <w:pPr>
        <w:spacing w:after="0" w:line="360" w:lineRule="auto"/>
      </w:pPr>
      <w:r w:rsidRPr="008E44AC">
        <w:t xml:space="preserve">Además, deberá proporcionar el Acuerdo de Clasificación donde el Comité de Transparencia, confirme la eliminación de los datos o información clasificada, en términos </w:t>
      </w:r>
      <w:r w:rsidRPr="008E44AC">
        <w:lastRenderedPageBreak/>
        <w:t>del Considerando QUINTO, en la versión pública, de conformidad con los artículos 49, fracciones II y VIII y 132, fracción II de la Ley de Transparencia y Acceso a la Información Pública del Estado de México y Municipios.</w:t>
      </w:r>
    </w:p>
    <w:p w14:paraId="103F48A1" w14:textId="77777777" w:rsidR="000A14E9" w:rsidRDefault="000A14E9" w:rsidP="000A14E9">
      <w:pPr>
        <w:spacing w:after="0" w:line="360" w:lineRule="auto"/>
      </w:pPr>
    </w:p>
    <w:p w14:paraId="66D1FD63" w14:textId="77777777" w:rsidR="000A14E9" w:rsidRPr="0030305E" w:rsidRDefault="000A14E9" w:rsidP="000A14E9">
      <w:pPr>
        <w:spacing w:after="0" w:line="360" w:lineRule="auto"/>
        <w:ind w:right="-28"/>
        <w:rPr>
          <w:b/>
          <w:lang w:eastAsia="es-MX"/>
        </w:rPr>
      </w:pPr>
      <w:r w:rsidRPr="0030305E">
        <w:rPr>
          <w:b/>
          <w:lang w:eastAsia="es-MX"/>
        </w:rPr>
        <w:t xml:space="preserve">TERCERO. NOTIFÍQUESE POR SAIMEX </w:t>
      </w:r>
      <w:r w:rsidRPr="0030305E">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0F2A1F3" w14:textId="77777777" w:rsidR="000A14E9" w:rsidRPr="0030305E" w:rsidRDefault="000A14E9" w:rsidP="000A14E9">
      <w:pPr>
        <w:spacing w:after="0" w:line="360" w:lineRule="auto"/>
        <w:ind w:right="-28"/>
        <w:rPr>
          <w:color w:val="000000"/>
          <w:lang w:eastAsia="es-MX"/>
        </w:rPr>
      </w:pPr>
    </w:p>
    <w:p w14:paraId="173B98BC" w14:textId="77777777" w:rsidR="000A14E9" w:rsidRPr="0030305E" w:rsidRDefault="000A14E9" w:rsidP="000A14E9">
      <w:pPr>
        <w:spacing w:after="0" w:line="360" w:lineRule="auto"/>
        <w:rPr>
          <w:color w:val="000000"/>
          <w:lang w:eastAsia="es-MX"/>
        </w:rPr>
      </w:pPr>
      <w:r w:rsidRPr="0030305E">
        <w:rPr>
          <w:color w:val="000000"/>
          <w:lang w:eastAsia="es-MX"/>
        </w:rPr>
        <w:t xml:space="preserve">De conformidad con el artículo 198 de la </w:t>
      </w:r>
      <w:r w:rsidRPr="0030305E">
        <w:rPr>
          <w:lang w:eastAsia="es-MX"/>
        </w:rPr>
        <w:t>Ley de Transparencia y Acceso a la Información Pública del Estado de México y Municipios</w:t>
      </w:r>
      <w:r w:rsidRPr="0030305E">
        <w:rPr>
          <w:color w:val="000000"/>
          <w:lang w:eastAsia="es-MX"/>
        </w:rPr>
        <w:t>, de considerarlo procedente, el Sujeto Obligado de manera fundada y motivada, podrá solicitar una ampliación de plazo para el cumplimiento de la presente resolución.</w:t>
      </w:r>
    </w:p>
    <w:p w14:paraId="645F1346" w14:textId="77777777" w:rsidR="000A14E9" w:rsidRPr="0030305E" w:rsidRDefault="000A14E9" w:rsidP="000A14E9">
      <w:pPr>
        <w:spacing w:after="0" w:line="360" w:lineRule="auto"/>
        <w:rPr>
          <w:color w:val="000000"/>
          <w:lang w:eastAsia="es-MX"/>
        </w:rPr>
      </w:pPr>
    </w:p>
    <w:p w14:paraId="2E73605D" w14:textId="77777777" w:rsidR="000A14E9" w:rsidRPr="0030305E" w:rsidRDefault="000A14E9" w:rsidP="000A14E9">
      <w:pPr>
        <w:spacing w:after="0" w:line="360" w:lineRule="auto"/>
        <w:contextualSpacing/>
        <w:rPr>
          <w:color w:val="000000"/>
        </w:rPr>
      </w:pPr>
      <w:r w:rsidRPr="0030305E">
        <w:rPr>
          <w:b/>
          <w:bCs/>
          <w:color w:val="000000"/>
        </w:rPr>
        <w:t xml:space="preserve">CUARTO. </w:t>
      </w:r>
      <w:r w:rsidRPr="0030305E">
        <w:rPr>
          <w:b/>
          <w:lang w:eastAsia="es-MX"/>
        </w:rPr>
        <w:t>NOTIFÍQUESE POR SAIMEX</w:t>
      </w:r>
      <w:r w:rsidRPr="0030305E">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1B4493E6" w14:textId="77777777" w:rsidR="000A14E9" w:rsidRPr="0030305E" w:rsidRDefault="000A14E9" w:rsidP="000A14E9">
      <w:pPr>
        <w:spacing w:after="0" w:line="360" w:lineRule="auto"/>
        <w:rPr>
          <w:rFonts w:eastAsia="Calibri" w:cs="Tahoma"/>
          <w:bCs/>
        </w:rPr>
      </w:pPr>
    </w:p>
    <w:p w14:paraId="30EA964D" w14:textId="2B221552" w:rsidR="000A14E9" w:rsidRPr="0030305E" w:rsidRDefault="000A14E9" w:rsidP="000A14E9">
      <w:pPr>
        <w:spacing w:after="0" w:line="360" w:lineRule="auto"/>
        <w:rPr>
          <w:rFonts w:eastAsia="Calibri" w:cs="Tahoma"/>
          <w:bCs/>
        </w:rPr>
      </w:pPr>
      <w:r w:rsidRPr="0030305E">
        <w:rPr>
          <w:rFonts w:eastAsia="Calibri" w:cs="Tahoma"/>
          <w:bCs/>
        </w:rPr>
        <w:t xml:space="preserve">ASÍ LO RESUELVE, POR </w:t>
      </w:r>
      <w:r w:rsidRPr="0030305E">
        <w:rPr>
          <w:rFonts w:eastAsia="Calibri" w:cs="Tahoma"/>
          <w:b/>
        </w:rPr>
        <w:t>UNANIMIDAD</w:t>
      </w:r>
      <w:r w:rsidRPr="0030305E">
        <w:rPr>
          <w:rFonts w:eastAsia="Calibri" w:cs="Tahoma"/>
          <w:bCs/>
        </w:rPr>
        <w:t xml:space="preserve"> DE VOTOS EL PLENO DEL INSTITUTO DE TRANSPARENCIA, ACCESO A LA INFORMACIÓN PÚBLICA Y PROTECCIÓN DE DATOS PERSONALES DEL ESTADO DE MÉXICO Y MUNICIPIOS, CONFORMADO POR </w:t>
      </w:r>
      <w:r w:rsidRPr="0030305E">
        <w:rPr>
          <w:rFonts w:eastAsia="Calibri" w:cs="Tahoma"/>
          <w:bCs/>
        </w:rPr>
        <w:lastRenderedPageBreak/>
        <w:t xml:space="preserve">LOS COMISIONADOS JOSÉ MARTÍNEZ VILCHIS, MARÍA DEL ROSARIO MEJÍA AYALA, SHARON CRISTINA MORALES MARTÍNEZ, LUIS GUSTAVO PARRA NORIEGA Y GUADALUPE RAMÍREZ PEÑA, EN LA </w:t>
      </w:r>
      <w:r w:rsidR="00E44A84">
        <w:rPr>
          <w:rFonts w:eastAsia="Calibri" w:cs="Tahoma"/>
          <w:bCs/>
        </w:rPr>
        <w:t xml:space="preserve">DÉCIMA TERCERA </w:t>
      </w:r>
      <w:r w:rsidRPr="0030305E">
        <w:rPr>
          <w:rFonts w:eastAsia="Calibri" w:cs="Tahoma"/>
          <w:bCs/>
        </w:rPr>
        <w:t xml:space="preserve">SESIÓN ORDINARIA, CELEBRADA EL </w:t>
      </w:r>
      <w:r w:rsidR="00E44A84">
        <w:rPr>
          <w:rFonts w:eastAsia="Calibri" w:cs="Tahoma"/>
          <w:bCs/>
        </w:rPr>
        <w:t xml:space="preserve">NUEVE DE ABRIL </w:t>
      </w:r>
      <w:r w:rsidRPr="0030305E">
        <w:rPr>
          <w:rFonts w:eastAsia="Calibri" w:cs="Tahoma"/>
          <w:bCs/>
        </w:rPr>
        <w:t>DE DOS MIL VEINTICINCO, ANTE EL SECRETARIO TÉCNICO DEL PLENO, ALEXIS TAPIA RAMÍREZ.</w:t>
      </w:r>
    </w:p>
    <w:p w14:paraId="3294E735" w14:textId="77777777" w:rsidR="000A14E9" w:rsidRDefault="000A14E9" w:rsidP="000A14E9">
      <w:pPr>
        <w:spacing w:after="0" w:line="360" w:lineRule="auto"/>
      </w:pPr>
    </w:p>
    <w:p w14:paraId="1576B0ED" w14:textId="77777777" w:rsidR="000A14E9" w:rsidRDefault="000A14E9" w:rsidP="000A14E9">
      <w:pPr>
        <w:spacing w:after="0" w:line="360" w:lineRule="auto"/>
      </w:pPr>
    </w:p>
    <w:p w14:paraId="4DBBF623" w14:textId="77777777" w:rsidR="0069065D" w:rsidRDefault="0069065D" w:rsidP="00A62148">
      <w:pPr>
        <w:tabs>
          <w:tab w:val="left" w:pos="4962"/>
        </w:tabs>
        <w:spacing w:after="0" w:line="360" w:lineRule="auto"/>
        <w:rPr>
          <w:rFonts w:eastAsia="Times New Roman" w:cs="Times New Roman"/>
          <w:bCs/>
          <w:color w:val="FF0000"/>
          <w:lang w:eastAsia="es-ES"/>
        </w:rPr>
      </w:pPr>
    </w:p>
    <w:p w14:paraId="38DCDD5A" w14:textId="77777777" w:rsidR="00A96F3B" w:rsidRPr="00EE1394" w:rsidRDefault="00A96F3B"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02F28CC" w14:textId="77777777" w:rsidR="00A96F3B" w:rsidRPr="00EE1394" w:rsidRDefault="00A96F3B"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2EE29C0C" w14:textId="77777777" w:rsidR="00D6151E" w:rsidRPr="00EE1394" w:rsidRDefault="00D6151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45364CFE" w14:textId="77777777" w:rsidR="009443DE" w:rsidRPr="00EE1394"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14676EB8" w14:textId="77777777" w:rsidR="00C56B8B" w:rsidRPr="00EE1394" w:rsidRDefault="00C56B8B" w:rsidP="00A62148">
      <w:pPr>
        <w:spacing w:after="0" w:line="360" w:lineRule="auto"/>
        <w:ind w:right="-93"/>
        <w:rPr>
          <w:color w:val="FF0000"/>
          <w:lang w:val="es-ES"/>
        </w:rPr>
      </w:pPr>
    </w:p>
    <w:p w14:paraId="1950A4FE" w14:textId="145680F6" w:rsidR="00C50842" w:rsidRPr="00EE1394" w:rsidRDefault="00C50842" w:rsidP="00A62148">
      <w:pPr>
        <w:spacing w:after="0" w:line="360" w:lineRule="auto"/>
        <w:rPr>
          <w:color w:val="FF0000"/>
        </w:rPr>
      </w:pPr>
    </w:p>
    <w:p w14:paraId="4B3B0D06" w14:textId="77777777" w:rsidR="000D34E7" w:rsidRPr="00EE1394" w:rsidRDefault="000D34E7" w:rsidP="00A62148">
      <w:pPr>
        <w:spacing w:after="0" w:line="360" w:lineRule="auto"/>
        <w:rPr>
          <w:color w:val="FF0000"/>
        </w:rPr>
      </w:pPr>
    </w:p>
    <w:p w14:paraId="376C9FEC" w14:textId="77777777" w:rsidR="000D34E7" w:rsidRPr="00EE1394" w:rsidRDefault="000D34E7" w:rsidP="00A62148">
      <w:pPr>
        <w:spacing w:after="0" w:line="360" w:lineRule="auto"/>
        <w:rPr>
          <w:color w:val="FF0000"/>
        </w:rPr>
      </w:pPr>
    </w:p>
    <w:p w14:paraId="5D3FE85D" w14:textId="77777777" w:rsidR="000D34E7" w:rsidRPr="00EE1394" w:rsidRDefault="000D34E7" w:rsidP="00A62148">
      <w:pPr>
        <w:spacing w:after="0" w:line="360" w:lineRule="auto"/>
        <w:rPr>
          <w:color w:val="FF0000"/>
        </w:rPr>
      </w:pPr>
    </w:p>
    <w:p w14:paraId="77C22A7F" w14:textId="77777777" w:rsidR="000D34E7" w:rsidRPr="00EE1394" w:rsidRDefault="000D34E7" w:rsidP="00A62148">
      <w:pPr>
        <w:spacing w:after="0" w:line="360" w:lineRule="auto"/>
        <w:rPr>
          <w:color w:val="FF0000"/>
        </w:rPr>
      </w:pPr>
    </w:p>
    <w:p w14:paraId="6EE54DDC" w14:textId="77777777" w:rsidR="000D34E7" w:rsidRPr="00EE1394" w:rsidRDefault="000D34E7" w:rsidP="00A62148">
      <w:pPr>
        <w:spacing w:after="0" w:line="360" w:lineRule="auto"/>
        <w:rPr>
          <w:color w:val="FF0000"/>
        </w:rPr>
      </w:pPr>
    </w:p>
    <w:p w14:paraId="6DE8D759" w14:textId="77777777" w:rsidR="000D34E7" w:rsidRPr="00EE1394" w:rsidRDefault="000D34E7" w:rsidP="00A62148">
      <w:pPr>
        <w:spacing w:after="0" w:line="360" w:lineRule="auto"/>
        <w:rPr>
          <w:color w:val="FF0000"/>
        </w:rPr>
      </w:pPr>
    </w:p>
    <w:p w14:paraId="189A56DD" w14:textId="77777777" w:rsidR="000D34E7" w:rsidRPr="00EE1394" w:rsidRDefault="000D34E7" w:rsidP="00A62148">
      <w:pPr>
        <w:spacing w:after="0" w:line="360" w:lineRule="auto"/>
        <w:rPr>
          <w:color w:val="FF0000"/>
        </w:rPr>
      </w:pPr>
    </w:p>
    <w:p w14:paraId="7403148E" w14:textId="77777777" w:rsidR="000D34E7" w:rsidRPr="00EE1394" w:rsidRDefault="000D34E7" w:rsidP="00A62148">
      <w:pPr>
        <w:spacing w:after="0" w:line="360" w:lineRule="auto"/>
        <w:rPr>
          <w:color w:val="FF0000"/>
        </w:rPr>
      </w:pPr>
    </w:p>
    <w:p w14:paraId="3538753C" w14:textId="77777777" w:rsidR="000D34E7" w:rsidRPr="00EE1394" w:rsidRDefault="000D34E7" w:rsidP="00A62148">
      <w:pPr>
        <w:spacing w:after="0" w:line="360" w:lineRule="auto"/>
        <w:rPr>
          <w:color w:val="FF0000"/>
        </w:rPr>
      </w:pPr>
    </w:p>
    <w:p w14:paraId="51F65D21" w14:textId="77777777" w:rsidR="000D34E7" w:rsidRPr="00EE1394" w:rsidRDefault="000D34E7" w:rsidP="00A62148">
      <w:pPr>
        <w:spacing w:after="0" w:line="360" w:lineRule="auto"/>
        <w:rPr>
          <w:color w:val="FF0000"/>
        </w:rPr>
      </w:pPr>
    </w:p>
    <w:p w14:paraId="735FAF20" w14:textId="77777777" w:rsidR="000D34E7" w:rsidRDefault="000D34E7" w:rsidP="00A62148">
      <w:pPr>
        <w:spacing w:after="0" w:line="360" w:lineRule="auto"/>
        <w:rPr>
          <w:color w:val="FF0000"/>
        </w:rPr>
      </w:pPr>
    </w:p>
    <w:p w14:paraId="213BEA14" w14:textId="77777777" w:rsidR="00396F2A" w:rsidRDefault="00396F2A" w:rsidP="00A62148">
      <w:pPr>
        <w:spacing w:after="0" w:line="360" w:lineRule="auto"/>
        <w:rPr>
          <w:color w:val="FF0000"/>
        </w:rPr>
      </w:pPr>
    </w:p>
    <w:p w14:paraId="31968659" w14:textId="77777777" w:rsidR="00396F2A" w:rsidRDefault="00396F2A" w:rsidP="00A62148">
      <w:pPr>
        <w:spacing w:after="0" w:line="360" w:lineRule="auto"/>
        <w:rPr>
          <w:color w:val="FF0000"/>
        </w:rPr>
      </w:pPr>
    </w:p>
    <w:p w14:paraId="5DCBF293" w14:textId="77777777" w:rsidR="00396F2A" w:rsidRDefault="00396F2A" w:rsidP="00A62148">
      <w:pPr>
        <w:spacing w:after="0" w:line="360" w:lineRule="auto"/>
        <w:rPr>
          <w:color w:val="FF0000"/>
        </w:rPr>
      </w:pPr>
    </w:p>
    <w:p w14:paraId="68E75BB6" w14:textId="77777777" w:rsidR="00396F2A" w:rsidRDefault="00396F2A" w:rsidP="00A62148">
      <w:pPr>
        <w:spacing w:after="0" w:line="360" w:lineRule="auto"/>
        <w:rPr>
          <w:color w:val="FF0000"/>
        </w:rPr>
      </w:pPr>
    </w:p>
    <w:p w14:paraId="00A122BF" w14:textId="77777777" w:rsidR="00396F2A" w:rsidRDefault="00396F2A" w:rsidP="00A62148">
      <w:pPr>
        <w:spacing w:after="0" w:line="360" w:lineRule="auto"/>
        <w:rPr>
          <w:color w:val="FF0000"/>
        </w:rPr>
      </w:pPr>
    </w:p>
    <w:p w14:paraId="6CBE3A2E" w14:textId="77777777" w:rsidR="00396F2A" w:rsidRPr="00EE1394" w:rsidRDefault="00396F2A" w:rsidP="00A62148">
      <w:pPr>
        <w:spacing w:after="0" w:line="360" w:lineRule="auto"/>
        <w:rPr>
          <w:color w:val="FF0000"/>
        </w:rPr>
      </w:pPr>
    </w:p>
    <w:sectPr w:rsidR="00396F2A" w:rsidRPr="00EE1394" w:rsidSect="009B3229">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0758F" w14:textId="77777777" w:rsidR="00235E41" w:rsidRDefault="00235E41" w:rsidP="00EC77D9">
      <w:pPr>
        <w:spacing w:after="0" w:line="240" w:lineRule="auto"/>
      </w:pPr>
      <w:r>
        <w:separator/>
      </w:r>
    </w:p>
  </w:endnote>
  <w:endnote w:type="continuationSeparator" w:id="0">
    <w:p w14:paraId="5ADD2598" w14:textId="77777777" w:rsidR="00235E41" w:rsidRDefault="00235E41"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BF388B" w:rsidRDefault="00BF388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3187A">
              <w:rPr>
                <w:b/>
                <w:bCs/>
                <w:noProof/>
              </w:rPr>
              <w:t>51</w:t>
            </w:r>
            <w:r>
              <w:rPr>
                <w:b/>
                <w:bCs/>
                <w:sz w:val="24"/>
                <w:szCs w:val="24"/>
              </w:rPr>
              <w:fldChar w:fldCharType="end"/>
            </w:r>
          </w:p>
        </w:sdtContent>
      </w:sdt>
    </w:sdtContent>
  </w:sdt>
  <w:p w14:paraId="16BDDDFD" w14:textId="77777777" w:rsidR="00BF388B" w:rsidRDefault="00BF38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BF388B" w:rsidRDefault="00BF388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3187A">
              <w:rPr>
                <w:b/>
                <w:bCs/>
                <w:noProof/>
              </w:rPr>
              <w:t>50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3187A">
              <w:rPr>
                <w:b/>
                <w:bCs/>
                <w:noProof/>
              </w:rPr>
              <w:t>51</w:t>
            </w:r>
            <w:r>
              <w:rPr>
                <w:b/>
                <w:bCs/>
                <w:sz w:val="24"/>
                <w:szCs w:val="24"/>
              </w:rPr>
              <w:fldChar w:fldCharType="end"/>
            </w:r>
          </w:p>
        </w:sdtContent>
      </w:sdt>
    </w:sdtContent>
  </w:sdt>
  <w:p w14:paraId="480CB874" w14:textId="77777777" w:rsidR="00BF388B" w:rsidRDefault="00BF38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BF388B" w:rsidRDefault="00BF388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3187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3187A">
              <w:rPr>
                <w:b/>
                <w:bCs/>
                <w:noProof/>
              </w:rPr>
              <w:t>51</w:t>
            </w:r>
            <w:r>
              <w:rPr>
                <w:b/>
                <w:bCs/>
                <w:sz w:val="24"/>
                <w:szCs w:val="24"/>
              </w:rPr>
              <w:fldChar w:fldCharType="end"/>
            </w:r>
          </w:p>
        </w:sdtContent>
      </w:sdt>
    </w:sdtContent>
  </w:sdt>
  <w:p w14:paraId="604FB1E6" w14:textId="77777777" w:rsidR="00BF388B" w:rsidRDefault="00BF3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94F09" w14:textId="77777777" w:rsidR="00235E41" w:rsidRDefault="00235E41" w:rsidP="00EC77D9">
      <w:pPr>
        <w:spacing w:after="0" w:line="240" w:lineRule="auto"/>
      </w:pPr>
      <w:r>
        <w:separator/>
      </w:r>
    </w:p>
  </w:footnote>
  <w:footnote w:type="continuationSeparator" w:id="0">
    <w:p w14:paraId="3A58BC35" w14:textId="77777777" w:rsidR="00235E41" w:rsidRDefault="00235E41"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F388B" w:rsidRPr="00E152D8" w14:paraId="4A0009A6" w14:textId="77777777" w:rsidTr="00F34E0A">
      <w:trPr>
        <w:trHeight w:val="132"/>
      </w:trPr>
      <w:tc>
        <w:tcPr>
          <w:tcW w:w="2691" w:type="dxa"/>
        </w:tcPr>
        <w:p w14:paraId="76E98208" w14:textId="77777777" w:rsidR="00BF388B" w:rsidRPr="00E152D8" w:rsidRDefault="00BF388B"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BF388B" w:rsidRPr="00EE1572" w:rsidRDefault="00BF388B" w:rsidP="00F34E0A">
          <w:pPr>
            <w:tabs>
              <w:tab w:val="right" w:pos="8838"/>
            </w:tabs>
            <w:ind w:left="-28" w:right="-32"/>
            <w:rPr>
              <w:rFonts w:eastAsia="Calibri" w:cs="Tahoma"/>
            </w:rPr>
          </w:pPr>
          <w:r w:rsidRPr="00EE1572">
            <w:rPr>
              <w:rFonts w:eastAsia="Calibri" w:cs="Tahoma"/>
            </w:rPr>
            <w:t>03846/INFOEM/IP/RR/2020</w:t>
          </w:r>
        </w:p>
      </w:tc>
    </w:tr>
    <w:tr w:rsidR="00BF388B" w:rsidRPr="00E152D8" w14:paraId="4AB4C711" w14:textId="77777777" w:rsidTr="00F34E0A">
      <w:trPr>
        <w:trHeight w:val="261"/>
      </w:trPr>
      <w:tc>
        <w:tcPr>
          <w:tcW w:w="2691" w:type="dxa"/>
        </w:tcPr>
        <w:p w14:paraId="7E7EF0C1" w14:textId="77777777" w:rsidR="00BF388B" w:rsidRPr="00E152D8" w:rsidRDefault="00BF388B"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BF388B" w:rsidRPr="00EE1572" w:rsidRDefault="00BF388B" w:rsidP="00F34E0A">
          <w:pPr>
            <w:tabs>
              <w:tab w:val="right" w:pos="8838"/>
            </w:tabs>
            <w:ind w:right="-32"/>
            <w:rPr>
              <w:rFonts w:eastAsia="Calibri" w:cs="Tahoma"/>
              <w:lang w:val="es-MX"/>
            </w:rPr>
          </w:pPr>
          <w:r>
            <w:rPr>
              <w:rFonts w:eastAsia="Calibri" w:cs="Tahoma"/>
              <w:lang w:val="es-MX"/>
            </w:rPr>
            <w:t>Ayuntamiento de Valle de Chalco Solidaridad</w:t>
          </w:r>
        </w:p>
      </w:tc>
    </w:tr>
    <w:tr w:rsidR="00BF388B" w:rsidRPr="00E152D8" w14:paraId="4659C8A1" w14:textId="77777777" w:rsidTr="00F34E0A">
      <w:trPr>
        <w:trHeight w:val="261"/>
      </w:trPr>
      <w:tc>
        <w:tcPr>
          <w:tcW w:w="2691" w:type="dxa"/>
        </w:tcPr>
        <w:p w14:paraId="1445B823" w14:textId="77777777" w:rsidR="00BF388B" w:rsidRPr="00E152D8" w:rsidRDefault="00BF388B"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BF388B" w:rsidRPr="00E152D8" w:rsidRDefault="00BF388B"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BF388B" w:rsidRDefault="00235E41">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9323" w14:textId="77777777" w:rsidR="00BF388B" w:rsidRDefault="00BF388B"/>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BF388B" w:rsidRPr="00E152D8" w14:paraId="62A5EE36" w14:textId="77777777" w:rsidTr="009F26A8">
      <w:trPr>
        <w:trHeight w:val="138"/>
      </w:trPr>
      <w:tc>
        <w:tcPr>
          <w:tcW w:w="2401" w:type="dxa"/>
          <w:vAlign w:val="center"/>
        </w:tcPr>
        <w:p w14:paraId="028A99F9" w14:textId="77777777" w:rsidR="00BF388B" w:rsidRPr="00E152D8" w:rsidRDefault="00BF388B"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4D423477" w:rsidR="00BF388B" w:rsidRPr="00051642" w:rsidRDefault="00BF388B" w:rsidP="00F34E0A">
          <w:pPr>
            <w:tabs>
              <w:tab w:val="right" w:pos="8838"/>
            </w:tabs>
            <w:ind w:right="-32"/>
            <w:rPr>
              <w:rFonts w:eastAsia="Calibri" w:cs="Tahoma"/>
            </w:rPr>
          </w:pPr>
          <w:r>
            <w:rPr>
              <w:rFonts w:eastAsia="Calibri" w:cs="Tahoma"/>
              <w:lang w:val="es-MX"/>
            </w:rPr>
            <w:t>01351/INFOEM/IP/RR/2025</w:t>
          </w:r>
        </w:p>
      </w:tc>
    </w:tr>
    <w:tr w:rsidR="00BF388B" w:rsidRPr="00E152D8" w14:paraId="25EB3B4F" w14:textId="77777777" w:rsidTr="009F26A8">
      <w:trPr>
        <w:trHeight w:val="273"/>
      </w:trPr>
      <w:tc>
        <w:tcPr>
          <w:tcW w:w="2401" w:type="dxa"/>
        </w:tcPr>
        <w:p w14:paraId="12B07625" w14:textId="77777777" w:rsidR="00BF388B" w:rsidRPr="00E152D8" w:rsidRDefault="00BF388B"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1222B9FD" w:rsidR="00BF388B" w:rsidRPr="00051642" w:rsidRDefault="00BF388B" w:rsidP="008E1582">
          <w:pPr>
            <w:tabs>
              <w:tab w:val="right" w:pos="8838"/>
            </w:tabs>
            <w:ind w:left="-28" w:right="597"/>
            <w:rPr>
              <w:rFonts w:eastAsia="Calibri" w:cs="Tahoma"/>
              <w:lang w:val="es-MX"/>
            </w:rPr>
          </w:pPr>
          <w:r w:rsidRPr="00EE1394">
            <w:rPr>
              <w:rFonts w:eastAsia="Calibri" w:cs="Tahoma"/>
              <w:lang w:val="es-MX"/>
            </w:rPr>
            <w:t>Ayuntamiento de Toluca</w:t>
          </w:r>
        </w:p>
      </w:tc>
    </w:tr>
    <w:tr w:rsidR="00BF388B" w:rsidRPr="00E152D8" w14:paraId="2B76E1FC" w14:textId="77777777" w:rsidTr="009F26A8">
      <w:trPr>
        <w:trHeight w:val="273"/>
      </w:trPr>
      <w:tc>
        <w:tcPr>
          <w:tcW w:w="2401" w:type="dxa"/>
        </w:tcPr>
        <w:p w14:paraId="4C4F10A1" w14:textId="77777777" w:rsidR="00BF388B" w:rsidRPr="00E152D8" w:rsidRDefault="00BF388B"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77777777" w:rsidR="00BF388B" w:rsidRPr="00E152D8" w:rsidRDefault="00BF388B"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0AC850F3" w14:textId="77777777" w:rsidR="00BF388B" w:rsidRDefault="00235E41"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AD62" w14:textId="77777777" w:rsidR="00BF388B" w:rsidRDefault="00BF388B"/>
  <w:tbl>
    <w:tblPr>
      <w:tblStyle w:val="Tablaconcuadrcula"/>
      <w:tblW w:w="6950"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BF388B" w:rsidRPr="00E152D8" w14:paraId="03E85E0E" w14:textId="77777777" w:rsidTr="00435EA7">
      <w:trPr>
        <w:trHeight w:val="132"/>
      </w:trPr>
      <w:tc>
        <w:tcPr>
          <w:tcW w:w="2410" w:type="dxa"/>
        </w:tcPr>
        <w:p w14:paraId="67360501" w14:textId="1B94502D" w:rsidR="00BF388B" w:rsidRPr="00E152D8" w:rsidRDefault="00BF388B"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0517E005" w:rsidR="00BF388B" w:rsidRPr="00051642" w:rsidRDefault="00BF388B" w:rsidP="009B3229">
          <w:pPr>
            <w:tabs>
              <w:tab w:val="right" w:pos="8838"/>
            </w:tabs>
            <w:ind w:right="-32"/>
            <w:rPr>
              <w:rFonts w:eastAsia="Calibri" w:cs="Tahoma"/>
            </w:rPr>
          </w:pPr>
          <w:r w:rsidRPr="00EE1394">
            <w:rPr>
              <w:rFonts w:eastAsia="Calibri" w:cs="Tahoma"/>
              <w:lang w:val="es-MX"/>
            </w:rPr>
            <w:t>01351/INFOEM/IP/RR/2025</w:t>
          </w:r>
        </w:p>
      </w:tc>
    </w:tr>
    <w:tr w:rsidR="00BF388B" w:rsidRPr="00E152D8" w14:paraId="5E1FE5FD" w14:textId="77777777" w:rsidTr="00435EA7">
      <w:trPr>
        <w:trHeight w:val="132"/>
      </w:trPr>
      <w:tc>
        <w:tcPr>
          <w:tcW w:w="2410" w:type="dxa"/>
        </w:tcPr>
        <w:p w14:paraId="046D02FA" w14:textId="77777777" w:rsidR="00BF388B" w:rsidRPr="00E152D8" w:rsidRDefault="00BF388B" w:rsidP="00F34E0A">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540" w:type="dxa"/>
          <w:gridSpan w:val="2"/>
        </w:tcPr>
        <w:p w14:paraId="6517D3A9" w14:textId="7AB17158" w:rsidR="00BF388B" w:rsidRPr="00E152D8" w:rsidRDefault="00BF388B" w:rsidP="00197665">
          <w:pPr>
            <w:tabs>
              <w:tab w:val="right" w:pos="8838"/>
            </w:tabs>
            <w:ind w:right="-32"/>
            <w:rPr>
              <w:rFonts w:eastAsia="Calibri" w:cs="Tahoma"/>
              <w:lang w:val="es-MX"/>
            </w:rPr>
          </w:pPr>
        </w:p>
      </w:tc>
    </w:tr>
    <w:tr w:rsidR="00BF388B" w:rsidRPr="00E152D8" w14:paraId="55B580D4" w14:textId="77777777" w:rsidTr="00435EA7">
      <w:trPr>
        <w:gridAfter w:val="1"/>
        <w:wAfter w:w="429" w:type="dxa"/>
        <w:trHeight w:val="261"/>
      </w:trPr>
      <w:tc>
        <w:tcPr>
          <w:tcW w:w="2410" w:type="dxa"/>
        </w:tcPr>
        <w:p w14:paraId="08C714D2" w14:textId="77777777" w:rsidR="00BF388B" w:rsidRPr="00E152D8" w:rsidRDefault="00BF388B"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59819FFD" w:rsidR="00BF388B" w:rsidRPr="00FD6846" w:rsidRDefault="00BF388B" w:rsidP="00197665">
          <w:pPr>
            <w:tabs>
              <w:tab w:val="right" w:pos="8838"/>
            </w:tabs>
            <w:ind w:right="-32"/>
          </w:pPr>
          <w:r w:rsidRPr="00EE1394">
            <w:rPr>
              <w:rFonts w:eastAsia="Calibri" w:cs="Tahoma"/>
              <w:lang w:val="es-MX"/>
            </w:rPr>
            <w:t>Ayuntamiento de Toluca</w:t>
          </w:r>
        </w:p>
      </w:tc>
    </w:tr>
    <w:tr w:rsidR="00BF388B" w:rsidRPr="00E152D8" w14:paraId="3EC166B6" w14:textId="77777777" w:rsidTr="00435EA7">
      <w:trPr>
        <w:trHeight w:val="261"/>
      </w:trPr>
      <w:tc>
        <w:tcPr>
          <w:tcW w:w="2410" w:type="dxa"/>
        </w:tcPr>
        <w:p w14:paraId="2F1C1A23" w14:textId="77777777" w:rsidR="00BF388B" w:rsidRPr="00E152D8" w:rsidRDefault="00BF388B"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BF388B" w:rsidRPr="00E152D8" w:rsidRDefault="00BF388B"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BF388B" w:rsidRDefault="00235E41"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35088"/>
    <w:multiLevelType w:val="hybridMultilevel"/>
    <w:tmpl w:val="6994F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C0AE3"/>
    <w:multiLevelType w:val="hybridMultilevel"/>
    <w:tmpl w:val="8E8E6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C4F30"/>
    <w:multiLevelType w:val="hybridMultilevel"/>
    <w:tmpl w:val="4328B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06B0590"/>
    <w:multiLevelType w:val="hybridMultilevel"/>
    <w:tmpl w:val="37368F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A05133"/>
    <w:multiLevelType w:val="hybridMultilevel"/>
    <w:tmpl w:val="D340C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F5C7C"/>
    <w:multiLevelType w:val="hybridMultilevel"/>
    <w:tmpl w:val="819EE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2375246"/>
    <w:multiLevelType w:val="hybridMultilevel"/>
    <w:tmpl w:val="E3EA18F2"/>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476355"/>
    <w:multiLevelType w:val="hybridMultilevel"/>
    <w:tmpl w:val="FC78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657920"/>
    <w:multiLevelType w:val="hybridMultilevel"/>
    <w:tmpl w:val="1AD84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D62AF"/>
    <w:multiLevelType w:val="hybridMultilevel"/>
    <w:tmpl w:val="EBD87F36"/>
    <w:lvl w:ilvl="0" w:tplc="65CEF4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A742D"/>
    <w:multiLevelType w:val="hybridMultilevel"/>
    <w:tmpl w:val="76AAFE1E"/>
    <w:lvl w:ilvl="0" w:tplc="9C4A5F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9"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400E7"/>
    <w:multiLevelType w:val="hybridMultilevel"/>
    <w:tmpl w:val="A496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574845"/>
    <w:multiLevelType w:val="hybridMultilevel"/>
    <w:tmpl w:val="9E14D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0C29D5"/>
    <w:multiLevelType w:val="hybridMultilevel"/>
    <w:tmpl w:val="F08E0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1B2D5A"/>
    <w:multiLevelType w:val="hybridMultilevel"/>
    <w:tmpl w:val="297E33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EE3890"/>
    <w:multiLevelType w:val="hybridMultilevel"/>
    <w:tmpl w:val="6BE4A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2A43337"/>
    <w:multiLevelType w:val="hybridMultilevel"/>
    <w:tmpl w:val="2A100692"/>
    <w:lvl w:ilvl="0" w:tplc="B12C82B6">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147D8A"/>
    <w:multiLevelType w:val="hybridMultilevel"/>
    <w:tmpl w:val="BACCB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9272E6"/>
    <w:multiLevelType w:val="hybridMultilevel"/>
    <w:tmpl w:val="67D27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DA02B8"/>
    <w:multiLevelType w:val="hybridMultilevel"/>
    <w:tmpl w:val="06B0ED44"/>
    <w:lvl w:ilvl="0" w:tplc="1EEE1B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E66D04"/>
    <w:multiLevelType w:val="hybridMultilevel"/>
    <w:tmpl w:val="1844457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AF61B9"/>
    <w:multiLevelType w:val="hybridMultilevel"/>
    <w:tmpl w:val="42E82146"/>
    <w:lvl w:ilvl="0" w:tplc="D654F73C">
      <w:start w:val="1"/>
      <w:numFmt w:val="upperRoman"/>
      <w:lvlText w:val="%1."/>
      <w:lvlJc w:val="left"/>
      <w:pPr>
        <w:ind w:left="1335" w:hanging="720"/>
      </w:pPr>
      <w:rPr>
        <w:rFonts w:hint="default"/>
      </w:rPr>
    </w:lvl>
    <w:lvl w:ilvl="1" w:tplc="080A0019" w:tentative="1">
      <w:start w:val="1"/>
      <w:numFmt w:val="lowerLetter"/>
      <w:lvlText w:val="%2."/>
      <w:lvlJc w:val="left"/>
      <w:pPr>
        <w:ind w:left="1695" w:hanging="360"/>
      </w:pPr>
    </w:lvl>
    <w:lvl w:ilvl="2" w:tplc="080A001B" w:tentative="1">
      <w:start w:val="1"/>
      <w:numFmt w:val="lowerRoman"/>
      <w:lvlText w:val="%3."/>
      <w:lvlJc w:val="right"/>
      <w:pPr>
        <w:ind w:left="2415" w:hanging="180"/>
      </w:pPr>
    </w:lvl>
    <w:lvl w:ilvl="3" w:tplc="080A000F" w:tentative="1">
      <w:start w:val="1"/>
      <w:numFmt w:val="decimal"/>
      <w:lvlText w:val="%4."/>
      <w:lvlJc w:val="left"/>
      <w:pPr>
        <w:ind w:left="3135" w:hanging="360"/>
      </w:pPr>
    </w:lvl>
    <w:lvl w:ilvl="4" w:tplc="080A0019" w:tentative="1">
      <w:start w:val="1"/>
      <w:numFmt w:val="lowerLetter"/>
      <w:lvlText w:val="%5."/>
      <w:lvlJc w:val="left"/>
      <w:pPr>
        <w:ind w:left="3855" w:hanging="360"/>
      </w:pPr>
    </w:lvl>
    <w:lvl w:ilvl="5" w:tplc="080A001B" w:tentative="1">
      <w:start w:val="1"/>
      <w:numFmt w:val="lowerRoman"/>
      <w:lvlText w:val="%6."/>
      <w:lvlJc w:val="right"/>
      <w:pPr>
        <w:ind w:left="4575" w:hanging="180"/>
      </w:pPr>
    </w:lvl>
    <w:lvl w:ilvl="6" w:tplc="080A000F" w:tentative="1">
      <w:start w:val="1"/>
      <w:numFmt w:val="decimal"/>
      <w:lvlText w:val="%7."/>
      <w:lvlJc w:val="left"/>
      <w:pPr>
        <w:ind w:left="5295" w:hanging="360"/>
      </w:pPr>
    </w:lvl>
    <w:lvl w:ilvl="7" w:tplc="080A0019" w:tentative="1">
      <w:start w:val="1"/>
      <w:numFmt w:val="lowerLetter"/>
      <w:lvlText w:val="%8."/>
      <w:lvlJc w:val="left"/>
      <w:pPr>
        <w:ind w:left="6015" w:hanging="360"/>
      </w:pPr>
    </w:lvl>
    <w:lvl w:ilvl="8" w:tplc="080A001B" w:tentative="1">
      <w:start w:val="1"/>
      <w:numFmt w:val="lowerRoman"/>
      <w:lvlText w:val="%9."/>
      <w:lvlJc w:val="right"/>
      <w:pPr>
        <w:ind w:left="6735" w:hanging="180"/>
      </w:pPr>
    </w:lvl>
  </w:abstractNum>
  <w:abstractNum w:abstractNumId="35" w15:restartNumberingAfterBreak="0">
    <w:nsid w:val="722952A5"/>
    <w:multiLevelType w:val="hybridMultilevel"/>
    <w:tmpl w:val="9EC8D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63C3A1C"/>
    <w:multiLevelType w:val="hybridMultilevel"/>
    <w:tmpl w:val="ECC0071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634AC5"/>
    <w:multiLevelType w:val="hybridMultilevel"/>
    <w:tmpl w:val="4DA41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4"/>
  </w:num>
  <w:num w:numId="4">
    <w:abstractNumId w:val="19"/>
  </w:num>
  <w:num w:numId="5">
    <w:abstractNumId w:val="1"/>
  </w:num>
  <w:num w:numId="6">
    <w:abstractNumId w:val="26"/>
  </w:num>
  <w:num w:numId="7">
    <w:abstractNumId w:val="36"/>
  </w:num>
  <w:num w:numId="8">
    <w:abstractNumId w:val="3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3"/>
  </w:num>
  <w:num w:numId="13">
    <w:abstractNumId w:val="22"/>
  </w:num>
  <w:num w:numId="14">
    <w:abstractNumId w:val="7"/>
  </w:num>
  <w:num w:numId="15">
    <w:abstractNumId w:val="25"/>
  </w:num>
  <w:num w:numId="16">
    <w:abstractNumId w:val="38"/>
  </w:num>
  <w:num w:numId="17">
    <w:abstractNumId w:val="3"/>
  </w:num>
  <w:num w:numId="18">
    <w:abstractNumId w:val="23"/>
  </w:num>
  <w:num w:numId="19">
    <w:abstractNumId w:val="24"/>
  </w:num>
  <w:num w:numId="20">
    <w:abstractNumId w:val="30"/>
  </w:num>
  <w:num w:numId="21">
    <w:abstractNumId w:val="4"/>
  </w:num>
  <w:num w:numId="22">
    <w:abstractNumId w:val="35"/>
  </w:num>
  <w:num w:numId="23">
    <w:abstractNumId w:val="33"/>
  </w:num>
  <w:num w:numId="24">
    <w:abstractNumId w:val="37"/>
  </w:num>
  <w:num w:numId="25">
    <w:abstractNumId w:val="2"/>
  </w:num>
  <w:num w:numId="26">
    <w:abstractNumId w:val="29"/>
  </w:num>
  <w:num w:numId="27">
    <w:abstractNumId w:val="21"/>
  </w:num>
  <w:num w:numId="28">
    <w:abstractNumId w:val="28"/>
  </w:num>
  <w:num w:numId="29">
    <w:abstractNumId w:val="15"/>
  </w:num>
  <w:num w:numId="30">
    <w:abstractNumId w:val="8"/>
  </w:num>
  <w:num w:numId="31">
    <w:abstractNumId w:val="34"/>
  </w:num>
  <w:num w:numId="32">
    <w:abstractNumId w:val="6"/>
  </w:num>
  <w:num w:numId="33">
    <w:abstractNumId w:val="10"/>
  </w:num>
  <w:num w:numId="34">
    <w:abstractNumId w:val="27"/>
  </w:num>
  <w:num w:numId="35">
    <w:abstractNumId w:val="16"/>
  </w:num>
  <w:num w:numId="36">
    <w:abstractNumId w:val="18"/>
  </w:num>
  <w:num w:numId="37">
    <w:abstractNumId w:val="32"/>
  </w:num>
  <w:num w:numId="38">
    <w:abstractNumId w:val="0"/>
  </w:num>
  <w:num w:numId="39">
    <w:abstractNumId w:val="5"/>
  </w:num>
  <w:num w:numId="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2DA0"/>
    <w:rsid w:val="00005346"/>
    <w:rsid w:val="0001164A"/>
    <w:rsid w:val="000118C2"/>
    <w:rsid w:val="0001218F"/>
    <w:rsid w:val="00012400"/>
    <w:rsid w:val="00013F59"/>
    <w:rsid w:val="000144E2"/>
    <w:rsid w:val="00016654"/>
    <w:rsid w:val="00020AB8"/>
    <w:rsid w:val="00032D6B"/>
    <w:rsid w:val="000355E1"/>
    <w:rsid w:val="000374E9"/>
    <w:rsid w:val="0004033B"/>
    <w:rsid w:val="00042549"/>
    <w:rsid w:val="00042F3F"/>
    <w:rsid w:val="00047686"/>
    <w:rsid w:val="000512B5"/>
    <w:rsid w:val="00051EE6"/>
    <w:rsid w:val="00054D31"/>
    <w:rsid w:val="00055ECC"/>
    <w:rsid w:val="00061DFC"/>
    <w:rsid w:val="00061E08"/>
    <w:rsid w:val="00063582"/>
    <w:rsid w:val="00064368"/>
    <w:rsid w:val="00066FDF"/>
    <w:rsid w:val="00070CB0"/>
    <w:rsid w:val="00071380"/>
    <w:rsid w:val="000734AC"/>
    <w:rsid w:val="00077A6E"/>
    <w:rsid w:val="00077B14"/>
    <w:rsid w:val="00081C90"/>
    <w:rsid w:val="000823E5"/>
    <w:rsid w:val="000841C4"/>
    <w:rsid w:val="00084522"/>
    <w:rsid w:val="00084933"/>
    <w:rsid w:val="0008699D"/>
    <w:rsid w:val="00092121"/>
    <w:rsid w:val="0009234B"/>
    <w:rsid w:val="00094453"/>
    <w:rsid w:val="000964A3"/>
    <w:rsid w:val="00096C42"/>
    <w:rsid w:val="000A14E9"/>
    <w:rsid w:val="000A4685"/>
    <w:rsid w:val="000B1245"/>
    <w:rsid w:val="000B5550"/>
    <w:rsid w:val="000B5614"/>
    <w:rsid w:val="000B6867"/>
    <w:rsid w:val="000B724E"/>
    <w:rsid w:val="000C006D"/>
    <w:rsid w:val="000C00CC"/>
    <w:rsid w:val="000C0491"/>
    <w:rsid w:val="000C41DA"/>
    <w:rsid w:val="000C64B6"/>
    <w:rsid w:val="000D1D08"/>
    <w:rsid w:val="000D214C"/>
    <w:rsid w:val="000D30AB"/>
    <w:rsid w:val="000D34E7"/>
    <w:rsid w:val="000D3754"/>
    <w:rsid w:val="000D3D74"/>
    <w:rsid w:val="000D64A4"/>
    <w:rsid w:val="000E12E9"/>
    <w:rsid w:val="000E20C2"/>
    <w:rsid w:val="000F08D4"/>
    <w:rsid w:val="000F4364"/>
    <w:rsid w:val="000F5705"/>
    <w:rsid w:val="000F62E3"/>
    <w:rsid w:val="000F6396"/>
    <w:rsid w:val="000F6C3B"/>
    <w:rsid w:val="000F7377"/>
    <w:rsid w:val="000F7477"/>
    <w:rsid w:val="000F7709"/>
    <w:rsid w:val="0010185B"/>
    <w:rsid w:val="001021C0"/>
    <w:rsid w:val="001049AC"/>
    <w:rsid w:val="00104B20"/>
    <w:rsid w:val="00107737"/>
    <w:rsid w:val="001132A0"/>
    <w:rsid w:val="00120610"/>
    <w:rsid w:val="00122140"/>
    <w:rsid w:val="00123122"/>
    <w:rsid w:val="001252D3"/>
    <w:rsid w:val="00127270"/>
    <w:rsid w:val="0013032C"/>
    <w:rsid w:val="00132209"/>
    <w:rsid w:val="0013258E"/>
    <w:rsid w:val="001327F2"/>
    <w:rsid w:val="0013697B"/>
    <w:rsid w:val="00140FE8"/>
    <w:rsid w:val="001448D9"/>
    <w:rsid w:val="00152DB9"/>
    <w:rsid w:val="001570AC"/>
    <w:rsid w:val="001613C8"/>
    <w:rsid w:val="00165240"/>
    <w:rsid w:val="00165CC4"/>
    <w:rsid w:val="001700C7"/>
    <w:rsid w:val="00172038"/>
    <w:rsid w:val="00173914"/>
    <w:rsid w:val="001756F2"/>
    <w:rsid w:val="001771F6"/>
    <w:rsid w:val="00180096"/>
    <w:rsid w:val="00182C11"/>
    <w:rsid w:val="001855D3"/>
    <w:rsid w:val="00191FDE"/>
    <w:rsid w:val="001928BD"/>
    <w:rsid w:val="001952CF"/>
    <w:rsid w:val="00196794"/>
    <w:rsid w:val="00197665"/>
    <w:rsid w:val="00197E2A"/>
    <w:rsid w:val="001A12B4"/>
    <w:rsid w:val="001A6395"/>
    <w:rsid w:val="001A7755"/>
    <w:rsid w:val="001B0790"/>
    <w:rsid w:val="001B223B"/>
    <w:rsid w:val="001B22A9"/>
    <w:rsid w:val="001B5A39"/>
    <w:rsid w:val="001B6A39"/>
    <w:rsid w:val="001C21EE"/>
    <w:rsid w:val="001C2619"/>
    <w:rsid w:val="001C2BEB"/>
    <w:rsid w:val="001C2EBC"/>
    <w:rsid w:val="001C62B4"/>
    <w:rsid w:val="001D0453"/>
    <w:rsid w:val="001D2BA2"/>
    <w:rsid w:val="001D3031"/>
    <w:rsid w:val="001D7434"/>
    <w:rsid w:val="001E01FD"/>
    <w:rsid w:val="001E0CFE"/>
    <w:rsid w:val="001E478B"/>
    <w:rsid w:val="001E5E4A"/>
    <w:rsid w:val="001E69B5"/>
    <w:rsid w:val="001F1688"/>
    <w:rsid w:val="001F1B13"/>
    <w:rsid w:val="001F55A5"/>
    <w:rsid w:val="001F560E"/>
    <w:rsid w:val="001F6AAF"/>
    <w:rsid w:val="0020058C"/>
    <w:rsid w:val="002031DD"/>
    <w:rsid w:val="002049A7"/>
    <w:rsid w:val="00206B4A"/>
    <w:rsid w:val="00207C6F"/>
    <w:rsid w:val="00220B1D"/>
    <w:rsid w:val="002245BC"/>
    <w:rsid w:val="00232DCC"/>
    <w:rsid w:val="00235E41"/>
    <w:rsid w:val="0024566F"/>
    <w:rsid w:val="002552D9"/>
    <w:rsid w:val="00255743"/>
    <w:rsid w:val="00255DE0"/>
    <w:rsid w:val="00257FAC"/>
    <w:rsid w:val="00263EE3"/>
    <w:rsid w:val="00265193"/>
    <w:rsid w:val="00265B53"/>
    <w:rsid w:val="00270575"/>
    <w:rsid w:val="002708CA"/>
    <w:rsid w:val="002711D3"/>
    <w:rsid w:val="002736F9"/>
    <w:rsid w:val="002753AC"/>
    <w:rsid w:val="002762F3"/>
    <w:rsid w:val="002771B1"/>
    <w:rsid w:val="00281566"/>
    <w:rsid w:val="0028160B"/>
    <w:rsid w:val="0028211E"/>
    <w:rsid w:val="0029016A"/>
    <w:rsid w:val="002912C0"/>
    <w:rsid w:val="00292591"/>
    <w:rsid w:val="002945EF"/>
    <w:rsid w:val="0029541E"/>
    <w:rsid w:val="0029791B"/>
    <w:rsid w:val="002A2920"/>
    <w:rsid w:val="002A5550"/>
    <w:rsid w:val="002A5660"/>
    <w:rsid w:val="002A6F8F"/>
    <w:rsid w:val="002A7380"/>
    <w:rsid w:val="002B2A85"/>
    <w:rsid w:val="002B2DFE"/>
    <w:rsid w:val="002B67F9"/>
    <w:rsid w:val="002D2283"/>
    <w:rsid w:val="002D4674"/>
    <w:rsid w:val="002D5345"/>
    <w:rsid w:val="002E19CF"/>
    <w:rsid w:val="002E44C3"/>
    <w:rsid w:val="002E4B22"/>
    <w:rsid w:val="002E6038"/>
    <w:rsid w:val="002F07DF"/>
    <w:rsid w:val="002F48EA"/>
    <w:rsid w:val="002F5AB6"/>
    <w:rsid w:val="003044BA"/>
    <w:rsid w:val="00304AD6"/>
    <w:rsid w:val="00311C91"/>
    <w:rsid w:val="00320553"/>
    <w:rsid w:val="003219DA"/>
    <w:rsid w:val="00324215"/>
    <w:rsid w:val="00324F7C"/>
    <w:rsid w:val="00327A5A"/>
    <w:rsid w:val="003318DB"/>
    <w:rsid w:val="00334E76"/>
    <w:rsid w:val="00341434"/>
    <w:rsid w:val="00341982"/>
    <w:rsid w:val="00344C97"/>
    <w:rsid w:val="0034595E"/>
    <w:rsid w:val="003459B3"/>
    <w:rsid w:val="00345CD3"/>
    <w:rsid w:val="003507C4"/>
    <w:rsid w:val="00355FC7"/>
    <w:rsid w:val="0035655F"/>
    <w:rsid w:val="00356A74"/>
    <w:rsid w:val="003573E6"/>
    <w:rsid w:val="00361155"/>
    <w:rsid w:val="00361D01"/>
    <w:rsid w:val="003644DC"/>
    <w:rsid w:val="00364B33"/>
    <w:rsid w:val="003672E3"/>
    <w:rsid w:val="00372CF6"/>
    <w:rsid w:val="00375AEB"/>
    <w:rsid w:val="00377F05"/>
    <w:rsid w:val="00382767"/>
    <w:rsid w:val="00383F4C"/>
    <w:rsid w:val="00392509"/>
    <w:rsid w:val="00392B31"/>
    <w:rsid w:val="00393B51"/>
    <w:rsid w:val="0039476D"/>
    <w:rsid w:val="00394979"/>
    <w:rsid w:val="00394EBC"/>
    <w:rsid w:val="00395FD2"/>
    <w:rsid w:val="00396F2A"/>
    <w:rsid w:val="003A1D06"/>
    <w:rsid w:val="003A280A"/>
    <w:rsid w:val="003A2DD8"/>
    <w:rsid w:val="003A3736"/>
    <w:rsid w:val="003A3D30"/>
    <w:rsid w:val="003B02B6"/>
    <w:rsid w:val="003B121B"/>
    <w:rsid w:val="003B1CBE"/>
    <w:rsid w:val="003B444F"/>
    <w:rsid w:val="003B66D4"/>
    <w:rsid w:val="003B7EAA"/>
    <w:rsid w:val="003C2350"/>
    <w:rsid w:val="003C2F7C"/>
    <w:rsid w:val="003C39F9"/>
    <w:rsid w:val="003C7592"/>
    <w:rsid w:val="003C7C12"/>
    <w:rsid w:val="003D0090"/>
    <w:rsid w:val="003D0737"/>
    <w:rsid w:val="003D0B51"/>
    <w:rsid w:val="003D130A"/>
    <w:rsid w:val="003D3877"/>
    <w:rsid w:val="003D3AD3"/>
    <w:rsid w:val="003D4253"/>
    <w:rsid w:val="003D4DFE"/>
    <w:rsid w:val="003D7C2C"/>
    <w:rsid w:val="003E188A"/>
    <w:rsid w:val="003E263F"/>
    <w:rsid w:val="003E3B2A"/>
    <w:rsid w:val="003E5DCB"/>
    <w:rsid w:val="004003DF"/>
    <w:rsid w:val="0040057B"/>
    <w:rsid w:val="00404187"/>
    <w:rsid w:val="00404348"/>
    <w:rsid w:val="0040465F"/>
    <w:rsid w:val="00405044"/>
    <w:rsid w:val="004061A3"/>
    <w:rsid w:val="004063F9"/>
    <w:rsid w:val="00407974"/>
    <w:rsid w:val="00407C23"/>
    <w:rsid w:val="004100AC"/>
    <w:rsid w:val="00412B97"/>
    <w:rsid w:val="0042509C"/>
    <w:rsid w:val="00427609"/>
    <w:rsid w:val="00430E8A"/>
    <w:rsid w:val="00431452"/>
    <w:rsid w:val="00431D14"/>
    <w:rsid w:val="00435EA7"/>
    <w:rsid w:val="00437156"/>
    <w:rsid w:val="00437331"/>
    <w:rsid w:val="00443F0D"/>
    <w:rsid w:val="004453F4"/>
    <w:rsid w:val="00451C54"/>
    <w:rsid w:val="004535D6"/>
    <w:rsid w:val="00454CCA"/>
    <w:rsid w:val="004617CA"/>
    <w:rsid w:val="00463532"/>
    <w:rsid w:val="004655A7"/>
    <w:rsid w:val="00467BE1"/>
    <w:rsid w:val="00470FD1"/>
    <w:rsid w:val="00471323"/>
    <w:rsid w:val="00471720"/>
    <w:rsid w:val="004732B4"/>
    <w:rsid w:val="004832F8"/>
    <w:rsid w:val="00483B90"/>
    <w:rsid w:val="004850BB"/>
    <w:rsid w:val="00485E75"/>
    <w:rsid w:val="00487532"/>
    <w:rsid w:val="00487553"/>
    <w:rsid w:val="004902BE"/>
    <w:rsid w:val="0049048A"/>
    <w:rsid w:val="00494A1F"/>
    <w:rsid w:val="00494ADB"/>
    <w:rsid w:val="004957E2"/>
    <w:rsid w:val="004A2B98"/>
    <w:rsid w:val="004A4DD2"/>
    <w:rsid w:val="004A5EC7"/>
    <w:rsid w:val="004A7050"/>
    <w:rsid w:val="004B20E0"/>
    <w:rsid w:val="004B4BCC"/>
    <w:rsid w:val="004B54D0"/>
    <w:rsid w:val="004B7098"/>
    <w:rsid w:val="004B7612"/>
    <w:rsid w:val="004C09DA"/>
    <w:rsid w:val="004C2175"/>
    <w:rsid w:val="004C2C37"/>
    <w:rsid w:val="004C3207"/>
    <w:rsid w:val="004C6C16"/>
    <w:rsid w:val="004D33FF"/>
    <w:rsid w:val="004D5B25"/>
    <w:rsid w:val="004D7869"/>
    <w:rsid w:val="004E2B83"/>
    <w:rsid w:val="004E44D2"/>
    <w:rsid w:val="004E5AED"/>
    <w:rsid w:val="004F0E43"/>
    <w:rsid w:val="004F7F38"/>
    <w:rsid w:val="00502FA9"/>
    <w:rsid w:val="005057E9"/>
    <w:rsid w:val="0050747C"/>
    <w:rsid w:val="00511A67"/>
    <w:rsid w:val="00515860"/>
    <w:rsid w:val="00520569"/>
    <w:rsid w:val="00520E25"/>
    <w:rsid w:val="00526532"/>
    <w:rsid w:val="00533430"/>
    <w:rsid w:val="0053490D"/>
    <w:rsid w:val="00537966"/>
    <w:rsid w:val="0054037C"/>
    <w:rsid w:val="00541CD3"/>
    <w:rsid w:val="00543143"/>
    <w:rsid w:val="005439B3"/>
    <w:rsid w:val="0054421E"/>
    <w:rsid w:val="0054509E"/>
    <w:rsid w:val="00545CEE"/>
    <w:rsid w:val="005477C1"/>
    <w:rsid w:val="00551348"/>
    <w:rsid w:val="00551D7E"/>
    <w:rsid w:val="0055491F"/>
    <w:rsid w:val="00555330"/>
    <w:rsid w:val="005556DE"/>
    <w:rsid w:val="00563865"/>
    <w:rsid w:val="005647A2"/>
    <w:rsid w:val="00565D80"/>
    <w:rsid w:val="005671FE"/>
    <w:rsid w:val="00575ABA"/>
    <w:rsid w:val="00577C8E"/>
    <w:rsid w:val="0058455C"/>
    <w:rsid w:val="0058579C"/>
    <w:rsid w:val="0059130C"/>
    <w:rsid w:val="00591706"/>
    <w:rsid w:val="005A0B5F"/>
    <w:rsid w:val="005A0CE3"/>
    <w:rsid w:val="005A21DB"/>
    <w:rsid w:val="005A2DBB"/>
    <w:rsid w:val="005B14D2"/>
    <w:rsid w:val="005B1A75"/>
    <w:rsid w:val="005B351C"/>
    <w:rsid w:val="005B6354"/>
    <w:rsid w:val="005B709F"/>
    <w:rsid w:val="005B78CE"/>
    <w:rsid w:val="005D1845"/>
    <w:rsid w:val="005D1AB8"/>
    <w:rsid w:val="005D3BC9"/>
    <w:rsid w:val="005D58F4"/>
    <w:rsid w:val="005D6A89"/>
    <w:rsid w:val="005E24DB"/>
    <w:rsid w:val="005E24F8"/>
    <w:rsid w:val="005E310D"/>
    <w:rsid w:val="005E34EA"/>
    <w:rsid w:val="005E4A9F"/>
    <w:rsid w:val="005E6021"/>
    <w:rsid w:val="005E7AE7"/>
    <w:rsid w:val="005F3E3D"/>
    <w:rsid w:val="005F4789"/>
    <w:rsid w:val="005F5459"/>
    <w:rsid w:val="005F68B9"/>
    <w:rsid w:val="005F71FE"/>
    <w:rsid w:val="005F7AB9"/>
    <w:rsid w:val="00601AF0"/>
    <w:rsid w:val="0060301A"/>
    <w:rsid w:val="00603286"/>
    <w:rsid w:val="00605FAD"/>
    <w:rsid w:val="006069B1"/>
    <w:rsid w:val="00610BB9"/>
    <w:rsid w:val="006120A3"/>
    <w:rsid w:val="00613F1F"/>
    <w:rsid w:val="00617C09"/>
    <w:rsid w:val="00617C0F"/>
    <w:rsid w:val="006301F7"/>
    <w:rsid w:val="00634B59"/>
    <w:rsid w:val="00636809"/>
    <w:rsid w:val="00643DD1"/>
    <w:rsid w:val="006472B4"/>
    <w:rsid w:val="006502FE"/>
    <w:rsid w:val="00657F1C"/>
    <w:rsid w:val="006607EA"/>
    <w:rsid w:val="006654FC"/>
    <w:rsid w:val="00666AA9"/>
    <w:rsid w:val="0066730B"/>
    <w:rsid w:val="00667419"/>
    <w:rsid w:val="00667F19"/>
    <w:rsid w:val="00670BBA"/>
    <w:rsid w:val="006724BD"/>
    <w:rsid w:val="00672FE0"/>
    <w:rsid w:val="00681069"/>
    <w:rsid w:val="00683D04"/>
    <w:rsid w:val="00683E00"/>
    <w:rsid w:val="00683FC3"/>
    <w:rsid w:val="0068447E"/>
    <w:rsid w:val="00686C69"/>
    <w:rsid w:val="00687A5B"/>
    <w:rsid w:val="0069065D"/>
    <w:rsid w:val="00695D3F"/>
    <w:rsid w:val="00695F4F"/>
    <w:rsid w:val="006A0DD0"/>
    <w:rsid w:val="006A117F"/>
    <w:rsid w:val="006A271A"/>
    <w:rsid w:val="006A52AF"/>
    <w:rsid w:val="006A54DA"/>
    <w:rsid w:val="006A5AF2"/>
    <w:rsid w:val="006A7D41"/>
    <w:rsid w:val="006B2DBE"/>
    <w:rsid w:val="006B62D8"/>
    <w:rsid w:val="006C291D"/>
    <w:rsid w:val="006C35BB"/>
    <w:rsid w:val="006C4C51"/>
    <w:rsid w:val="006C5476"/>
    <w:rsid w:val="006C78B0"/>
    <w:rsid w:val="006D3456"/>
    <w:rsid w:val="006D607E"/>
    <w:rsid w:val="006D72E9"/>
    <w:rsid w:val="006D76F9"/>
    <w:rsid w:val="006E3C98"/>
    <w:rsid w:val="006E4169"/>
    <w:rsid w:val="006E4CE6"/>
    <w:rsid w:val="006F011A"/>
    <w:rsid w:val="006F0B2A"/>
    <w:rsid w:val="006F1C52"/>
    <w:rsid w:val="006F1D63"/>
    <w:rsid w:val="006F6518"/>
    <w:rsid w:val="006F75C4"/>
    <w:rsid w:val="00703548"/>
    <w:rsid w:val="00703C07"/>
    <w:rsid w:val="0070685D"/>
    <w:rsid w:val="0071529C"/>
    <w:rsid w:val="00716A83"/>
    <w:rsid w:val="007173BE"/>
    <w:rsid w:val="007202EE"/>
    <w:rsid w:val="007221BA"/>
    <w:rsid w:val="0072702A"/>
    <w:rsid w:val="0072796F"/>
    <w:rsid w:val="0073187A"/>
    <w:rsid w:val="0073646F"/>
    <w:rsid w:val="00737A52"/>
    <w:rsid w:val="00737A6B"/>
    <w:rsid w:val="007505E8"/>
    <w:rsid w:val="00750FC8"/>
    <w:rsid w:val="0076755B"/>
    <w:rsid w:val="007727DE"/>
    <w:rsid w:val="00773098"/>
    <w:rsid w:val="0077314F"/>
    <w:rsid w:val="00773977"/>
    <w:rsid w:val="00775A95"/>
    <w:rsid w:val="00775DBC"/>
    <w:rsid w:val="00780243"/>
    <w:rsid w:val="00780B8A"/>
    <w:rsid w:val="00782DF8"/>
    <w:rsid w:val="00784FF6"/>
    <w:rsid w:val="00786A7B"/>
    <w:rsid w:val="00787D60"/>
    <w:rsid w:val="00792D79"/>
    <w:rsid w:val="00793831"/>
    <w:rsid w:val="00796B55"/>
    <w:rsid w:val="007A0DC6"/>
    <w:rsid w:val="007A5636"/>
    <w:rsid w:val="007A753C"/>
    <w:rsid w:val="007B02AA"/>
    <w:rsid w:val="007B0D14"/>
    <w:rsid w:val="007B4060"/>
    <w:rsid w:val="007B77CD"/>
    <w:rsid w:val="007B781E"/>
    <w:rsid w:val="007C1DD1"/>
    <w:rsid w:val="007C5E89"/>
    <w:rsid w:val="007C7368"/>
    <w:rsid w:val="007C7B40"/>
    <w:rsid w:val="007D1ADE"/>
    <w:rsid w:val="007D32AF"/>
    <w:rsid w:val="007D3602"/>
    <w:rsid w:val="007D64DF"/>
    <w:rsid w:val="007D6E5D"/>
    <w:rsid w:val="007D71D0"/>
    <w:rsid w:val="007E4AAE"/>
    <w:rsid w:val="007E771E"/>
    <w:rsid w:val="007F1E03"/>
    <w:rsid w:val="007F20F1"/>
    <w:rsid w:val="007F2122"/>
    <w:rsid w:val="007F228A"/>
    <w:rsid w:val="007F316A"/>
    <w:rsid w:val="00800152"/>
    <w:rsid w:val="00801331"/>
    <w:rsid w:val="00804735"/>
    <w:rsid w:val="008063AC"/>
    <w:rsid w:val="00806C42"/>
    <w:rsid w:val="00806DB3"/>
    <w:rsid w:val="00807E43"/>
    <w:rsid w:val="00812612"/>
    <w:rsid w:val="0081534B"/>
    <w:rsid w:val="008175CD"/>
    <w:rsid w:val="00817C75"/>
    <w:rsid w:val="00822B62"/>
    <w:rsid w:val="00822D03"/>
    <w:rsid w:val="00823825"/>
    <w:rsid w:val="008238C5"/>
    <w:rsid w:val="00824195"/>
    <w:rsid w:val="00824827"/>
    <w:rsid w:val="008263E3"/>
    <w:rsid w:val="0083025F"/>
    <w:rsid w:val="00837814"/>
    <w:rsid w:val="00840587"/>
    <w:rsid w:val="00842502"/>
    <w:rsid w:val="00842C30"/>
    <w:rsid w:val="00844441"/>
    <w:rsid w:val="00845102"/>
    <w:rsid w:val="008462E0"/>
    <w:rsid w:val="00850E31"/>
    <w:rsid w:val="0085133C"/>
    <w:rsid w:val="008538FA"/>
    <w:rsid w:val="00853982"/>
    <w:rsid w:val="0085462A"/>
    <w:rsid w:val="00855CF6"/>
    <w:rsid w:val="00860287"/>
    <w:rsid w:val="00862641"/>
    <w:rsid w:val="0086489A"/>
    <w:rsid w:val="0086735E"/>
    <w:rsid w:val="0087175D"/>
    <w:rsid w:val="00871A8D"/>
    <w:rsid w:val="008851B3"/>
    <w:rsid w:val="00885EEA"/>
    <w:rsid w:val="008866A4"/>
    <w:rsid w:val="00886CD4"/>
    <w:rsid w:val="00890243"/>
    <w:rsid w:val="008942CE"/>
    <w:rsid w:val="00894760"/>
    <w:rsid w:val="00894B74"/>
    <w:rsid w:val="00895475"/>
    <w:rsid w:val="00896CD8"/>
    <w:rsid w:val="00896FB9"/>
    <w:rsid w:val="008A3936"/>
    <w:rsid w:val="008A43FC"/>
    <w:rsid w:val="008A558B"/>
    <w:rsid w:val="008A6086"/>
    <w:rsid w:val="008A6AAC"/>
    <w:rsid w:val="008A6E52"/>
    <w:rsid w:val="008B4387"/>
    <w:rsid w:val="008B456C"/>
    <w:rsid w:val="008B60E3"/>
    <w:rsid w:val="008C1A3E"/>
    <w:rsid w:val="008C4CB3"/>
    <w:rsid w:val="008C576A"/>
    <w:rsid w:val="008C64E9"/>
    <w:rsid w:val="008C6F94"/>
    <w:rsid w:val="008C7A9D"/>
    <w:rsid w:val="008D4BF2"/>
    <w:rsid w:val="008D6C15"/>
    <w:rsid w:val="008E0E17"/>
    <w:rsid w:val="008E1582"/>
    <w:rsid w:val="008E3332"/>
    <w:rsid w:val="008E4F87"/>
    <w:rsid w:val="008E558B"/>
    <w:rsid w:val="008E5F4B"/>
    <w:rsid w:val="008E78E6"/>
    <w:rsid w:val="008F179C"/>
    <w:rsid w:val="008F1933"/>
    <w:rsid w:val="008F5178"/>
    <w:rsid w:val="009001BC"/>
    <w:rsid w:val="00904745"/>
    <w:rsid w:val="00910469"/>
    <w:rsid w:val="00910870"/>
    <w:rsid w:val="00911580"/>
    <w:rsid w:val="0091577C"/>
    <w:rsid w:val="00916765"/>
    <w:rsid w:val="00917C3C"/>
    <w:rsid w:val="00926253"/>
    <w:rsid w:val="00931EA9"/>
    <w:rsid w:val="0093261A"/>
    <w:rsid w:val="00933429"/>
    <w:rsid w:val="009337EE"/>
    <w:rsid w:val="009341FE"/>
    <w:rsid w:val="00935203"/>
    <w:rsid w:val="0093576C"/>
    <w:rsid w:val="00936C3A"/>
    <w:rsid w:val="00941D19"/>
    <w:rsid w:val="009428BC"/>
    <w:rsid w:val="009443DE"/>
    <w:rsid w:val="00945466"/>
    <w:rsid w:val="00950101"/>
    <w:rsid w:val="0095180B"/>
    <w:rsid w:val="00952A40"/>
    <w:rsid w:val="0095381C"/>
    <w:rsid w:val="00953F07"/>
    <w:rsid w:val="00955641"/>
    <w:rsid w:val="009603B7"/>
    <w:rsid w:val="00963B00"/>
    <w:rsid w:val="0096478B"/>
    <w:rsid w:val="00966C3B"/>
    <w:rsid w:val="009673AA"/>
    <w:rsid w:val="00970AE3"/>
    <w:rsid w:val="009711D8"/>
    <w:rsid w:val="0097128D"/>
    <w:rsid w:val="00973B66"/>
    <w:rsid w:val="0097492D"/>
    <w:rsid w:val="00975E93"/>
    <w:rsid w:val="009813E7"/>
    <w:rsid w:val="00986275"/>
    <w:rsid w:val="009876BA"/>
    <w:rsid w:val="009933C5"/>
    <w:rsid w:val="009955C1"/>
    <w:rsid w:val="009A07AE"/>
    <w:rsid w:val="009A3066"/>
    <w:rsid w:val="009A5A84"/>
    <w:rsid w:val="009B3229"/>
    <w:rsid w:val="009B4AE7"/>
    <w:rsid w:val="009B4F07"/>
    <w:rsid w:val="009B568A"/>
    <w:rsid w:val="009B5FF8"/>
    <w:rsid w:val="009B7B92"/>
    <w:rsid w:val="009C1D2E"/>
    <w:rsid w:val="009C399F"/>
    <w:rsid w:val="009C5452"/>
    <w:rsid w:val="009D3479"/>
    <w:rsid w:val="009E1FAE"/>
    <w:rsid w:val="009E4CDB"/>
    <w:rsid w:val="009E6830"/>
    <w:rsid w:val="009E6F8A"/>
    <w:rsid w:val="009E7021"/>
    <w:rsid w:val="009F0623"/>
    <w:rsid w:val="009F26A8"/>
    <w:rsid w:val="009F2BE0"/>
    <w:rsid w:val="009F3FF7"/>
    <w:rsid w:val="009F40D0"/>
    <w:rsid w:val="009F41C9"/>
    <w:rsid w:val="009F51BE"/>
    <w:rsid w:val="009F693C"/>
    <w:rsid w:val="00A01721"/>
    <w:rsid w:val="00A0338D"/>
    <w:rsid w:val="00A0396E"/>
    <w:rsid w:val="00A04131"/>
    <w:rsid w:val="00A0453B"/>
    <w:rsid w:val="00A05C78"/>
    <w:rsid w:val="00A13FAA"/>
    <w:rsid w:val="00A17D4E"/>
    <w:rsid w:val="00A2050F"/>
    <w:rsid w:val="00A20C59"/>
    <w:rsid w:val="00A21466"/>
    <w:rsid w:val="00A235FA"/>
    <w:rsid w:val="00A3160A"/>
    <w:rsid w:val="00A329C5"/>
    <w:rsid w:val="00A32BB9"/>
    <w:rsid w:val="00A33BF8"/>
    <w:rsid w:val="00A352F4"/>
    <w:rsid w:val="00A36B7F"/>
    <w:rsid w:val="00A37D74"/>
    <w:rsid w:val="00A431C0"/>
    <w:rsid w:val="00A45587"/>
    <w:rsid w:val="00A47197"/>
    <w:rsid w:val="00A500EE"/>
    <w:rsid w:val="00A502CA"/>
    <w:rsid w:val="00A54574"/>
    <w:rsid w:val="00A54976"/>
    <w:rsid w:val="00A56556"/>
    <w:rsid w:val="00A568F2"/>
    <w:rsid w:val="00A62148"/>
    <w:rsid w:val="00A62376"/>
    <w:rsid w:val="00A64BAC"/>
    <w:rsid w:val="00A66E98"/>
    <w:rsid w:val="00A67272"/>
    <w:rsid w:val="00A76FDA"/>
    <w:rsid w:val="00A7744F"/>
    <w:rsid w:val="00A7785B"/>
    <w:rsid w:val="00A864C8"/>
    <w:rsid w:val="00A9167D"/>
    <w:rsid w:val="00A942BE"/>
    <w:rsid w:val="00A953B4"/>
    <w:rsid w:val="00A96314"/>
    <w:rsid w:val="00A96F3B"/>
    <w:rsid w:val="00AA0825"/>
    <w:rsid w:val="00AA2E44"/>
    <w:rsid w:val="00AA4DA6"/>
    <w:rsid w:val="00AA4DCE"/>
    <w:rsid w:val="00AA775E"/>
    <w:rsid w:val="00AB021B"/>
    <w:rsid w:val="00AB2B19"/>
    <w:rsid w:val="00AB5E61"/>
    <w:rsid w:val="00AB6E48"/>
    <w:rsid w:val="00AC2A23"/>
    <w:rsid w:val="00AC66FF"/>
    <w:rsid w:val="00AD2531"/>
    <w:rsid w:val="00AD294A"/>
    <w:rsid w:val="00AD7BB9"/>
    <w:rsid w:val="00AE0541"/>
    <w:rsid w:val="00AE3612"/>
    <w:rsid w:val="00AE68A4"/>
    <w:rsid w:val="00AF1426"/>
    <w:rsid w:val="00AF14A7"/>
    <w:rsid w:val="00AF43DD"/>
    <w:rsid w:val="00AF54A6"/>
    <w:rsid w:val="00AF590D"/>
    <w:rsid w:val="00AF6587"/>
    <w:rsid w:val="00AF7F6E"/>
    <w:rsid w:val="00B014EB"/>
    <w:rsid w:val="00B0253B"/>
    <w:rsid w:val="00B02DD6"/>
    <w:rsid w:val="00B02DF3"/>
    <w:rsid w:val="00B03065"/>
    <w:rsid w:val="00B04C84"/>
    <w:rsid w:val="00B0598B"/>
    <w:rsid w:val="00B064A4"/>
    <w:rsid w:val="00B11CEA"/>
    <w:rsid w:val="00B12193"/>
    <w:rsid w:val="00B172D4"/>
    <w:rsid w:val="00B21155"/>
    <w:rsid w:val="00B2169F"/>
    <w:rsid w:val="00B22482"/>
    <w:rsid w:val="00B2451A"/>
    <w:rsid w:val="00B24607"/>
    <w:rsid w:val="00B2617B"/>
    <w:rsid w:val="00B433C9"/>
    <w:rsid w:val="00B43F5C"/>
    <w:rsid w:val="00B470E8"/>
    <w:rsid w:val="00B53856"/>
    <w:rsid w:val="00B57108"/>
    <w:rsid w:val="00B60B4F"/>
    <w:rsid w:val="00B614AA"/>
    <w:rsid w:val="00B617E5"/>
    <w:rsid w:val="00B61BF0"/>
    <w:rsid w:val="00B65594"/>
    <w:rsid w:val="00B66997"/>
    <w:rsid w:val="00B66E59"/>
    <w:rsid w:val="00B7032E"/>
    <w:rsid w:val="00B70FDE"/>
    <w:rsid w:val="00B7100A"/>
    <w:rsid w:val="00B74D72"/>
    <w:rsid w:val="00B76905"/>
    <w:rsid w:val="00B77668"/>
    <w:rsid w:val="00B8289E"/>
    <w:rsid w:val="00B9075D"/>
    <w:rsid w:val="00B90EF8"/>
    <w:rsid w:val="00B936C7"/>
    <w:rsid w:val="00B956E6"/>
    <w:rsid w:val="00B95F59"/>
    <w:rsid w:val="00BA3DDB"/>
    <w:rsid w:val="00BA5C25"/>
    <w:rsid w:val="00BB2153"/>
    <w:rsid w:val="00BB3910"/>
    <w:rsid w:val="00BB6216"/>
    <w:rsid w:val="00BB670F"/>
    <w:rsid w:val="00BB7194"/>
    <w:rsid w:val="00BB7A3E"/>
    <w:rsid w:val="00BC05D7"/>
    <w:rsid w:val="00BC30E5"/>
    <w:rsid w:val="00BC4547"/>
    <w:rsid w:val="00BC74C1"/>
    <w:rsid w:val="00BD0FDF"/>
    <w:rsid w:val="00BD5986"/>
    <w:rsid w:val="00BD7F30"/>
    <w:rsid w:val="00BE39D1"/>
    <w:rsid w:val="00BE3B2E"/>
    <w:rsid w:val="00BE44F4"/>
    <w:rsid w:val="00BE4513"/>
    <w:rsid w:val="00BE75BB"/>
    <w:rsid w:val="00BF1227"/>
    <w:rsid w:val="00BF3376"/>
    <w:rsid w:val="00BF33DD"/>
    <w:rsid w:val="00BF388B"/>
    <w:rsid w:val="00BF3AE3"/>
    <w:rsid w:val="00BF5B49"/>
    <w:rsid w:val="00BF79B2"/>
    <w:rsid w:val="00BF7D4A"/>
    <w:rsid w:val="00C00AC6"/>
    <w:rsid w:val="00C02C74"/>
    <w:rsid w:val="00C0402C"/>
    <w:rsid w:val="00C11D49"/>
    <w:rsid w:val="00C12448"/>
    <w:rsid w:val="00C13E00"/>
    <w:rsid w:val="00C140F1"/>
    <w:rsid w:val="00C147F9"/>
    <w:rsid w:val="00C1531D"/>
    <w:rsid w:val="00C17F74"/>
    <w:rsid w:val="00C20BF0"/>
    <w:rsid w:val="00C22BE9"/>
    <w:rsid w:val="00C238BB"/>
    <w:rsid w:val="00C24833"/>
    <w:rsid w:val="00C27F4A"/>
    <w:rsid w:val="00C31A4B"/>
    <w:rsid w:val="00C405F0"/>
    <w:rsid w:val="00C42E16"/>
    <w:rsid w:val="00C478B8"/>
    <w:rsid w:val="00C47955"/>
    <w:rsid w:val="00C50335"/>
    <w:rsid w:val="00C50842"/>
    <w:rsid w:val="00C555B3"/>
    <w:rsid w:val="00C5585E"/>
    <w:rsid w:val="00C56B8B"/>
    <w:rsid w:val="00C573A0"/>
    <w:rsid w:val="00C57671"/>
    <w:rsid w:val="00C60547"/>
    <w:rsid w:val="00C66E92"/>
    <w:rsid w:val="00C672B0"/>
    <w:rsid w:val="00C67EF9"/>
    <w:rsid w:val="00C71C92"/>
    <w:rsid w:val="00C72E9C"/>
    <w:rsid w:val="00C77736"/>
    <w:rsid w:val="00C82AC9"/>
    <w:rsid w:val="00C82FED"/>
    <w:rsid w:val="00C83219"/>
    <w:rsid w:val="00C867B6"/>
    <w:rsid w:val="00C87D0E"/>
    <w:rsid w:val="00C87FF5"/>
    <w:rsid w:val="00C90653"/>
    <w:rsid w:val="00C914D9"/>
    <w:rsid w:val="00C91799"/>
    <w:rsid w:val="00C92269"/>
    <w:rsid w:val="00C92EBB"/>
    <w:rsid w:val="00C97CAB"/>
    <w:rsid w:val="00CA0F19"/>
    <w:rsid w:val="00CA4B18"/>
    <w:rsid w:val="00CA5434"/>
    <w:rsid w:val="00CA5E67"/>
    <w:rsid w:val="00CB14D9"/>
    <w:rsid w:val="00CB3D04"/>
    <w:rsid w:val="00CB3E41"/>
    <w:rsid w:val="00CB6445"/>
    <w:rsid w:val="00CB7980"/>
    <w:rsid w:val="00CC21B4"/>
    <w:rsid w:val="00CC313F"/>
    <w:rsid w:val="00CC3383"/>
    <w:rsid w:val="00CC519B"/>
    <w:rsid w:val="00CC6A76"/>
    <w:rsid w:val="00CD4962"/>
    <w:rsid w:val="00CD69E9"/>
    <w:rsid w:val="00CE0477"/>
    <w:rsid w:val="00CE2118"/>
    <w:rsid w:val="00CE3BBE"/>
    <w:rsid w:val="00CE52C5"/>
    <w:rsid w:val="00CE5773"/>
    <w:rsid w:val="00CE604B"/>
    <w:rsid w:val="00CE6D86"/>
    <w:rsid w:val="00CE6E93"/>
    <w:rsid w:val="00CF38B2"/>
    <w:rsid w:val="00CF3906"/>
    <w:rsid w:val="00CF5BEA"/>
    <w:rsid w:val="00CF60DA"/>
    <w:rsid w:val="00D00C3E"/>
    <w:rsid w:val="00D01379"/>
    <w:rsid w:val="00D06A1A"/>
    <w:rsid w:val="00D15E32"/>
    <w:rsid w:val="00D1670B"/>
    <w:rsid w:val="00D1671B"/>
    <w:rsid w:val="00D17D14"/>
    <w:rsid w:val="00D20D79"/>
    <w:rsid w:val="00D24FB2"/>
    <w:rsid w:val="00D25560"/>
    <w:rsid w:val="00D26876"/>
    <w:rsid w:val="00D30265"/>
    <w:rsid w:val="00D30E70"/>
    <w:rsid w:val="00D30F6C"/>
    <w:rsid w:val="00D3330B"/>
    <w:rsid w:val="00D359B1"/>
    <w:rsid w:val="00D376D0"/>
    <w:rsid w:val="00D4257C"/>
    <w:rsid w:val="00D445DC"/>
    <w:rsid w:val="00D47421"/>
    <w:rsid w:val="00D502AB"/>
    <w:rsid w:val="00D54702"/>
    <w:rsid w:val="00D54DBD"/>
    <w:rsid w:val="00D55E2F"/>
    <w:rsid w:val="00D569D4"/>
    <w:rsid w:val="00D56F7F"/>
    <w:rsid w:val="00D6151E"/>
    <w:rsid w:val="00D61C83"/>
    <w:rsid w:val="00D646C1"/>
    <w:rsid w:val="00D656B7"/>
    <w:rsid w:val="00D75F21"/>
    <w:rsid w:val="00D76148"/>
    <w:rsid w:val="00D76E10"/>
    <w:rsid w:val="00D84796"/>
    <w:rsid w:val="00D86083"/>
    <w:rsid w:val="00D94DEB"/>
    <w:rsid w:val="00D96589"/>
    <w:rsid w:val="00D97102"/>
    <w:rsid w:val="00DA2042"/>
    <w:rsid w:val="00DA4C87"/>
    <w:rsid w:val="00DA6412"/>
    <w:rsid w:val="00DA74FF"/>
    <w:rsid w:val="00DB31D6"/>
    <w:rsid w:val="00DB5C3E"/>
    <w:rsid w:val="00DB677D"/>
    <w:rsid w:val="00DC3802"/>
    <w:rsid w:val="00DC6ABD"/>
    <w:rsid w:val="00DD0465"/>
    <w:rsid w:val="00DD185A"/>
    <w:rsid w:val="00DD2681"/>
    <w:rsid w:val="00DD407A"/>
    <w:rsid w:val="00DD5123"/>
    <w:rsid w:val="00DD5C69"/>
    <w:rsid w:val="00DD65EE"/>
    <w:rsid w:val="00DD6872"/>
    <w:rsid w:val="00DD6E79"/>
    <w:rsid w:val="00DD7483"/>
    <w:rsid w:val="00DD7A69"/>
    <w:rsid w:val="00DE0CC3"/>
    <w:rsid w:val="00DE37B9"/>
    <w:rsid w:val="00DE4F79"/>
    <w:rsid w:val="00DE7982"/>
    <w:rsid w:val="00DF1476"/>
    <w:rsid w:val="00DF5D98"/>
    <w:rsid w:val="00E000AA"/>
    <w:rsid w:val="00E003E9"/>
    <w:rsid w:val="00E03699"/>
    <w:rsid w:val="00E0386E"/>
    <w:rsid w:val="00E03FA3"/>
    <w:rsid w:val="00E075E2"/>
    <w:rsid w:val="00E10653"/>
    <w:rsid w:val="00E11886"/>
    <w:rsid w:val="00E14EDC"/>
    <w:rsid w:val="00E15450"/>
    <w:rsid w:val="00E156EB"/>
    <w:rsid w:val="00E161BB"/>
    <w:rsid w:val="00E16503"/>
    <w:rsid w:val="00E17875"/>
    <w:rsid w:val="00E21940"/>
    <w:rsid w:val="00E22B52"/>
    <w:rsid w:val="00E25189"/>
    <w:rsid w:val="00E34685"/>
    <w:rsid w:val="00E35735"/>
    <w:rsid w:val="00E36E12"/>
    <w:rsid w:val="00E40057"/>
    <w:rsid w:val="00E40424"/>
    <w:rsid w:val="00E40738"/>
    <w:rsid w:val="00E41269"/>
    <w:rsid w:val="00E44A84"/>
    <w:rsid w:val="00E4507A"/>
    <w:rsid w:val="00E5008F"/>
    <w:rsid w:val="00E50564"/>
    <w:rsid w:val="00E511FA"/>
    <w:rsid w:val="00E529BB"/>
    <w:rsid w:val="00E53809"/>
    <w:rsid w:val="00E57A08"/>
    <w:rsid w:val="00E61B48"/>
    <w:rsid w:val="00E6319B"/>
    <w:rsid w:val="00E635B7"/>
    <w:rsid w:val="00E6783D"/>
    <w:rsid w:val="00E702F3"/>
    <w:rsid w:val="00E70445"/>
    <w:rsid w:val="00E752ED"/>
    <w:rsid w:val="00E75851"/>
    <w:rsid w:val="00E769FD"/>
    <w:rsid w:val="00E84509"/>
    <w:rsid w:val="00E84FAD"/>
    <w:rsid w:val="00E90E82"/>
    <w:rsid w:val="00E92D9A"/>
    <w:rsid w:val="00EA0E69"/>
    <w:rsid w:val="00EA2DD0"/>
    <w:rsid w:val="00EA35D9"/>
    <w:rsid w:val="00EA79A8"/>
    <w:rsid w:val="00EB1B64"/>
    <w:rsid w:val="00EB3DC8"/>
    <w:rsid w:val="00EB4125"/>
    <w:rsid w:val="00EB466E"/>
    <w:rsid w:val="00EB495E"/>
    <w:rsid w:val="00EB6538"/>
    <w:rsid w:val="00EC1C03"/>
    <w:rsid w:val="00EC250C"/>
    <w:rsid w:val="00EC2CCE"/>
    <w:rsid w:val="00EC31FB"/>
    <w:rsid w:val="00EC4487"/>
    <w:rsid w:val="00EC4A2E"/>
    <w:rsid w:val="00EC612F"/>
    <w:rsid w:val="00EC77D9"/>
    <w:rsid w:val="00ED1204"/>
    <w:rsid w:val="00ED14E0"/>
    <w:rsid w:val="00ED3762"/>
    <w:rsid w:val="00ED609B"/>
    <w:rsid w:val="00ED7013"/>
    <w:rsid w:val="00EE1394"/>
    <w:rsid w:val="00EE6AAF"/>
    <w:rsid w:val="00EF077C"/>
    <w:rsid w:val="00EF196C"/>
    <w:rsid w:val="00EF2DE1"/>
    <w:rsid w:val="00F0085C"/>
    <w:rsid w:val="00F02F7E"/>
    <w:rsid w:val="00F03558"/>
    <w:rsid w:val="00F038A9"/>
    <w:rsid w:val="00F108D1"/>
    <w:rsid w:val="00F10CB5"/>
    <w:rsid w:val="00F15472"/>
    <w:rsid w:val="00F167B7"/>
    <w:rsid w:val="00F1768D"/>
    <w:rsid w:val="00F17FEF"/>
    <w:rsid w:val="00F21EE0"/>
    <w:rsid w:val="00F2667C"/>
    <w:rsid w:val="00F27576"/>
    <w:rsid w:val="00F27E6C"/>
    <w:rsid w:val="00F34E0A"/>
    <w:rsid w:val="00F36F8C"/>
    <w:rsid w:val="00F37243"/>
    <w:rsid w:val="00F41B18"/>
    <w:rsid w:val="00F47BE3"/>
    <w:rsid w:val="00F53AEA"/>
    <w:rsid w:val="00F5589F"/>
    <w:rsid w:val="00F60083"/>
    <w:rsid w:val="00F622DA"/>
    <w:rsid w:val="00F632F8"/>
    <w:rsid w:val="00F67477"/>
    <w:rsid w:val="00F70988"/>
    <w:rsid w:val="00F72248"/>
    <w:rsid w:val="00F7251D"/>
    <w:rsid w:val="00F72920"/>
    <w:rsid w:val="00F73369"/>
    <w:rsid w:val="00F7429E"/>
    <w:rsid w:val="00F752FD"/>
    <w:rsid w:val="00F75F69"/>
    <w:rsid w:val="00F84FF3"/>
    <w:rsid w:val="00F931F8"/>
    <w:rsid w:val="00F93351"/>
    <w:rsid w:val="00F93769"/>
    <w:rsid w:val="00F94E52"/>
    <w:rsid w:val="00F967B1"/>
    <w:rsid w:val="00FA1E5E"/>
    <w:rsid w:val="00FA25A8"/>
    <w:rsid w:val="00FA29C4"/>
    <w:rsid w:val="00FA38D9"/>
    <w:rsid w:val="00FA65FF"/>
    <w:rsid w:val="00FA701C"/>
    <w:rsid w:val="00FA7798"/>
    <w:rsid w:val="00FB21F8"/>
    <w:rsid w:val="00FB7385"/>
    <w:rsid w:val="00FC0A74"/>
    <w:rsid w:val="00FC7BAA"/>
    <w:rsid w:val="00FD11C2"/>
    <w:rsid w:val="00FD19A9"/>
    <w:rsid w:val="00FD2D2D"/>
    <w:rsid w:val="00FD569A"/>
    <w:rsid w:val="00FD6846"/>
    <w:rsid w:val="00FD7076"/>
    <w:rsid w:val="00FE00F5"/>
    <w:rsid w:val="00FE02C9"/>
    <w:rsid w:val="00FE4AB3"/>
    <w:rsid w:val="00FE6217"/>
    <w:rsid w:val="00FF5246"/>
    <w:rsid w:val="00FF55AC"/>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B9"/>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8D4BF2"/>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D4BF2"/>
    <w:pPr>
      <w:keepNext/>
      <w:keepLines/>
      <w:spacing w:after="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D4BF2"/>
    <w:pPr>
      <w:keepNext/>
      <w:keepLines/>
      <w:spacing w:after="0" w:line="360" w:lineRule="auto"/>
      <w:jc w:val="left"/>
      <w:outlineLvl w:val="2"/>
    </w:pPr>
    <w:rPr>
      <w:rFonts w:eastAsiaTheme="majorEastAsia" w:cstheme="majorBidi"/>
      <w:b/>
      <w:color w:val="auto"/>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character" w:customStyle="1" w:styleId="Mencinsinresolver4">
    <w:name w:val="Mención sin resolver4"/>
    <w:basedOn w:val="Fuentedeprrafopredeter"/>
    <w:uiPriority w:val="99"/>
    <w:semiHidden/>
    <w:unhideWhenUsed/>
    <w:rsid w:val="00F622DA"/>
    <w:rPr>
      <w:color w:val="605E5C"/>
      <w:shd w:val="clear" w:color="auto" w:fill="E1DFDD"/>
    </w:rPr>
  </w:style>
  <w:style w:type="character" w:customStyle="1" w:styleId="Ttulo1Car">
    <w:name w:val="Título 1 Car"/>
    <w:basedOn w:val="Fuentedeprrafopredeter"/>
    <w:link w:val="Ttulo1"/>
    <w:uiPriority w:val="9"/>
    <w:rsid w:val="008D4BF2"/>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8D4BF2"/>
    <w:rPr>
      <w:rFonts w:ascii="Palatino Linotype" w:eastAsiaTheme="majorEastAsia" w:hAnsi="Palatino Linotype" w:cstheme="majorBidi"/>
      <w:b/>
      <w:color w:val="000000" w:themeColor="text1"/>
      <w:szCs w:val="26"/>
    </w:rPr>
  </w:style>
  <w:style w:type="character" w:customStyle="1" w:styleId="Ttulo3Car">
    <w:name w:val="Título 3 Car"/>
    <w:basedOn w:val="Fuentedeprrafopredeter"/>
    <w:link w:val="Ttulo3"/>
    <w:uiPriority w:val="9"/>
    <w:rsid w:val="008D4BF2"/>
    <w:rPr>
      <w:rFonts w:ascii="Palatino Linotype" w:eastAsiaTheme="majorEastAsia" w:hAnsi="Palatino Linotype" w:cstheme="majorBidi"/>
      <w:b/>
      <w:szCs w:val="24"/>
    </w:rPr>
  </w:style>
  <w:style w:type="paragraph" w:styleId="TtulodeTDC">
    <w:name w:val="TOC Heading"/>
    <w:basedOn w:val="Ttulo1"/>
    <w:next w:val="Normal"/>
    <w:uiPriority w:val="39"/>
    <w:unhideWhenUsed/>
    <w:qFormat/>
    <w:rsid w:val="008D4BF2"/>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8D4BF2"/>
    <w:pPr>
      <w:spacing w:after="100"/>
    </w:pPr>
  </w:style>
  <w:style w:type="paragraph" w:styleId="TDC2">
    <w:name w:val="toc 2"/>
    <w:basedOn w:val="Normal"/>
    <w:next w:val="Normal"/>
    <w:autoRedefine/>
    <w:uiPriority w:val="39"/>
    <w:unhideWhenUsed/>
    <w:rsid w:val="008D4BF2"/>
    <w:pPr>
      <w:spacing w:after="100"/>
      <w:ind w:left="220"/>
    </w:pPr>
  </w:style>
  <w:style w:type="paragraph" w:styleId="TDC3">
    <w:name w:val="toc 3"/>
    <w:basedOn w:val="Normal"/>
    <w:next w:val="Normal"/>
    <w:autoRedefine/>
    <w:uiPriority w:val="39"/>
    <w:unhideWhenUsed/>
    <w:rsid w:val="008D4B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0124788">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A109-296C-4B29-8916-0EA96E9E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13193</Words>
  <Characters>72562</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2025-04-11T16:30:00Z</cp:lastPrinted>
  <dcterms:created xsi:type="dcterms:W3CDTF">2025-04-11T16:30:00Z</dcterms:created>
  <dcterms:modified xsi:type="dcterms:W3CDTF">2025-04-11T16:31:00Z</dcterms:modified>
</cp:coreProperties>
</file>