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C9A" w:rsidRDefault="00C93C9A">
      <w:pPr>
        <w:widowControl w:val="0"/>
        <w:pBdr>
          <w:top w:val="nil"/>
          <w:left w:val="nil"/>
          <w:bottom w:val="nil"/>
          <w:right w:val="nil"/>
          <w:between w:val="nil"/>
        </w:pBdr>
        <w:spacing w:line="276" w:lineRule="auto"/>
      </w:pPr>
    </w:p>
    <w:p w:rsidR="00C93C9A" w:rsidRPr="00B67E98" w:rsidRDefault="009F323A">
      <w:pPr>
        <w:tabs>
          <w:tab w:val="left" w:pos="3465"/>
        </w:tabs>
        <w:spacing w:line="360" w:lineRule="auto"/>
        <w:ind w:right="-787"/>
        <w:jc w:val="both"/>
        <w:rPr>
          <w:rFonts w:ascii="Palatino Linotype" w:eastAsia="Palatino Linotype" w:hAnsi="Palatino Linotype" w:cs="Palatino Linotype"/>
        </w:rPr>
      </w:pPr>
      <w:bookmarkStart w:id="0" w:name="_heading=h.gjdgxs" w:colFirst="0" w:colLast="0"/>
      <w:bookmarkEnd w:id="0"/>
      <w:r w:rsidRPr="00B67E98">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doce (12) de febrero de dos mil veinticinco.</w:t>
      </w:r>
    </w:p>
    <w:p w:rsidR="00C93C9A" w:rsidRPr="00B67E98" w:rsidRDefault="00C93C9A">
      <w:pPr>
        <w:tabs>
          <w:tab w:val="left" w:pos="3465"/>
        </w:tabs>
        <w:spacing w:line="360" w:lineRule="auto"/>
        <w:ind w:right="-787"/>
        <w:jc w:val="both"/>
        <w:rPr>
          <w:rFonts w:ascii="Palatino Linotype" w:eastAsia="Palatino Linotype" w:hAnsi="Palatino Linotype" w:cs="Palatino Linotype"/>
        </w:rPr>
      </w:pPr>
    </w:p>
    <w:p w:rsidR="00C93C9A" w:rsidRPr="00B67E98" w:rsidRDefault="009F323A">
      <w:pPr>
        <w:spacing w:line="360" w:lineRule="auto"/>
        <w:ind w:right="-787"/>
        <w:jc w:val="both"/>
        <w:rPr>
          <w:rFonts w:ascii="Palatino Linotype" w:eastAsia="Palatino Linotype" w:hAnsi="Palatino Linotype" w:cs="Palatino Linotype"/>
        </w:rPr>
      </w:pPr>
      <w:r w:rsidRPr="00B67E98">
        <w:rPr>
          <w:rFonts w:ascii="Palatino Linotype" w:eastAsia="Palatino Linotype" w:hAnsi="Palatino Linotype" w:cs="Palatino Linotype"/>
          <w:b/>
        </w:rPr>
        <w:t>VISTO</w:t>
      </w:r>
      <w:r w:rsidRPr="00B67E98">
        <w:rPr>
          <w:rFonts w:ascii="Palatino Linotype" w:eastAsia="Palatino Linotype" w:hAnsi="Palatino Linotype" w:cs="Palatino Linotype"/>
        </w:rPr>
        <w:t xml:space="preserve"> el expediente electrónico formado con motivo del recurso de revisión </w:t>
      </w:r>
      <w:r w:rsidRPr="00B67E98">
        <w:rPr>
          <w:rFonts w:ascii="Palatino Linotype" w:eastAsia="Palatino Linotype" w:hAnsi="Palatino Linotype" w:cs="Palatino Linotype"/>
          <w:b/>
        </w:rPr>
        <w:t xml:space="preserve">05808/INFOEM/IP/RR/2024, </w:t>
      </w:r>
      <w:r w:rsidRPr="00B67E98">
        <w:rPr>
          <w:rFonts w:ascii="Palatino Linotype" w:eastAsia="Palatino Linotype" w:hAnsi="Palatino Linotype" w:cs="Palatino Linotype"/>
        </w:rPr>
        <w:t>promovido por</w:t>
      </w:r>
      <w:r w:rsidRPr="00B67E98">
        <w:rPr>
          <w:rFonts w:ascii="Palatino Linotype" w:eastAsia="Palatino Linotype" w:hAnsi="Palatino Linotype" w:cs="Palatino Linotype"/>
          <w:b/>
        </w:rPr>
        <w:t xml:space="preserve"> </w:t>
      </w:r>
      <w:r w:rsidR="003979C9">
        <w:rPr>
          <w:rFonts w:ascii="Palatino Linotype" w:eastAsia="Palatino Linotype" w:hAnsi="Palatino Linotype" w:cs="Palatino Linotype"/>
          <w:b/>
        </w:rPr>
        <w:t>XXXXXXXXX</w:t>
      </w:r>
      <w:r w:rsidRPr="00B67E98">
        <w:rPr>
          <w:rFonts w:ascii="Palatino Linotype" w:eastAsia="Palatino Linotype" w:hAnsi="Palatino Linotype" w:cs="Palatino Linotype"/>
        </w:rPr>
        <w:t xml:space="preserve">, a quien en lo sucesivo se le identificará como </w:t>
      </w:r>
      <w:r w:rsidRPr="00B67E98">
        <w:rPr>
          <w:rFonts w:ascii="Palatino Linotype" w:eastAsia="Palatino Linotype" w:hAnsi="Palatino Linotype" w:cs="Palatino Linotype"/>
          <w:b/>
        </w:rPr>
        <w:t>EL  RECURRENTE</w:t>
      </w:r>
      <w:r w:rsidRPr="00B67E98">
        <w:rPr>
          <w:rFonts w:ascii="Palatino Linotype" w:eastAsia="Palatino Linotype" w:hAnsi="Palatino Linotype" w:cs="Palatino Linotype"/>
        </w:rPr>
        <w:t xml:space="preserve">, en contra de la respuesta </w:t>
      </w:r>
      <w:r w:rsidRPr="00B67E98">
        <w:rPr>
          <w:rFonts w:ascii="Palatino Linotype" w:eastAsia="Palatino Linotype" w:hAnsi="Palatino Linotype" w:cs="Palatino Linotype"/>
          <w:b/>
        </w:rPr>
        <w:t xml:space="preserve">del Ayuntamiento de Naucalpan de Juárez, </w:t>
      </w:r>
      <w:r w:rsidRPr="00B67E98">
        <w:rPr>
          <w:rFonts w:ascii="Palatino Linotype" w:eastAsia="Palatino Linotype" w:hAnsi="Palatino Linotype" w:cs="Palatino Linotype"/>
        </w:rPr>
        <w:t>en lo sucesivo el</w:t>
      </w:r>
      <w:r w:rsidRPr="00B67E98">
        <w:rPr>
          <w:rFonts w:ascii="Palatino Linotype" w:eastAsia="Palatino Linotype" w:hAnsi="Palatino Linotype" w:cs="Palatino Linotype"/>
          <w:b/>
        </w:rPr>
        <w:t xml:space="preserve"> SUJETO OBLIGADO</w:t>
      </w:r>
      <w:r w:rsidRPr="00B67E98">
        <w:rPr>
          <w:rFonts w:ascii="Palatino Linotype" w:eastAsia="Palatino Linotype" w:hAnsi="Palatino Linotype" w:cs="Palatino Linotype"/>
        </w:rPr>
        <w:t>, se procede a dictar la presente resolución, con base en los siguientes:</w:t>
      </w:r>
    </w:p>
    <w:p w:rsidR="00C93C9A" w:rsidRPr="00B67E98" w:rsidRDefault="00C93C9A">
      <w:pPr>
        <w:spacing w:line="360" w:lineRule="auto"/>
        <w:ind w:right="-787"/>
        <w:jc w:val="both"/>
        <w:rPr>
          <w:rFonts w:ascii="Palatino Linotype" w:eastAsia="Palatino Linotype" w:hAnsi="Palatino Linotype" w:cs="Palatino Linotype"/>
          <w:b/>
        </w:rPr>
      </w:pPr>
    </w:p>
    <w:p w:rsidR="00C93C9A" w:rsidRPr="00B67E98" w:rsidRDefault="009F323A">
      <w:pPr>
        <w:pStyle w:val="Ttulo1"/>
        <w:spacing w:before="0" w:line="360" w:lineRule="auto"/>
        <w:ind w:right="-787"/>
        <w:jc w:val="center"/>
        <w:rPr>
          <w:rFonts w:ascii="Palatino Linotype" w:eastAsia="Palatino Linotype" w:hAnsi="Palatino Linotype" w:cs="Palatino Linotype"/>
          <w:b/>
          <w:color w:val="000000"/>
          <w:sz w:val="24"/>
          <w:szCs w:val="24"/>
        </w:rPr>
      </w:pPr>
      <w:r w:rsidRPr="00B67E98">
        <w:rPr>
          <w:rFonts w:ascii="Palatino Linotype" w:eastAsia="Palatino Linotype" w:hAnsi="Palatino Linotype" w:cs="Palatino Linotype"/>
          <w:b/>
          <w:color w:val="000000"/>
          <w:sz w:val="24"/>
          <w:szCs w:val="24"/>
        </w:rPr>
        <w:t>ANTECEDENTES</w:t>
      </w:r>
    </w:p>
    <w:p w:rsidR="00C93C9A" w:rsidRPr="00B67E98" w:rsidRDefault="009F323A">
      <w:pPr>
        <w:numPr>
          <w:ilvl w:val="0"/>
          <w:numId w:val="4"/>
        </w:numPr>
        <w:tabs>
          <w:tab w:val="left" w:pos="0"/>
        </w:tabs>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El día</w:t>
      </w:r>
      <w:r w:rsidRPr="00B67E98">
        <w:rPr>
          <w:rFonts w:ascii="Palatino Linotype" w:eastAsia="Palatino Linotype" w:hAnsi="Palatino Linotype" w:cs="Palatino Linotype"/>
          <w:b/>
        </w:rPr>
        <w:t xml:space="preserve"> once de junio de dos mil veinticuatro, </w:t>
      </w:r>
      <w:r w:rsidRPr="00B67E98">
        <w:rPr>
          <w:rFonts w:ascii="Palatino Linotype" w:eastAsia="Palatino Linotype" w:hAnsi="Palatino Linotype" w:cs="Palatino Linotype"/>
        </w:rPr>
        <w:t xml:space="preserve">se presentó ante el </w:t>
      </w:r>
      <w:r w:rsidRPr="00B67E98">
        <w:rPr>
          <w:rFonts w:ascii="Palatino Linotype" w:eastAsia="Palatino Linotype" w:hAnsi="Palatino Linotype" w:cs="Palatino Linotype"/>
          <w:b/>
        </w:rPr>
        <w:t>SUJETO OBLIGADO</w:t>
      </w:r>
      <w:r w:rsidRPr="00B67E98">
        <w:rPr>
          <w:rFonts w:ascii="Palatino Linotype" w:eastAsia="Palatino Linotype" w:hAnsi="Palatino Linotype" w:cs="Palatino Linotype"/>
        </w:rPr>
        <w:t xml:space="preserve"> por medio de la Plataforma Nacional de Transparencia vinculada al Sistema de Acceso a la Información, la solicitud de información pública registrada con el número</w:t>
      </w:r>
      <w:r w:rsidRPr="00B67E98">
        <w:rPr>
          <w:rFonts w:ascii="Palatino Linotype" w:eastAsia="Palatino Linotype" w:hAnsi="Palatino Linotype" w:cs="Palatino Linotype"/>
          <w:b/>
          <w:color w:val="000000"/>
        </w:rPr>
        <w:t xml:space="preserve"> 00643/NAUCALPA/IP/2024; </w:t>
      </w:r>
      <w:r w:rsidRPr="00B67E98">
        <w:rPr>
          <w:rFonts w:ascii="Palatino Linotype" w:eastAsia="Palatino Linotype" w:hAnsi="Palatino Linotype" w:cs="Palatino Linotype"/>
        </w:rPr>
        <w:t>mediante la cual se solicitó la siguiente información:</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ind w:left="1134" w:right="-787"/>
        <w:jc w:val="both"/>
        <w:rPr>
          <w:rFonts w:ascii="Palatino Linotype" w:eastAsia="Palatino Linotype" w:hAnsi="Palatino Linotype" w:cs="Palatino Linotype"/>
        </w:rPr>
      </w:pPr>
      <w:bookmarkStart w:id="1" w:name="_heading=h.30j0zll" w:colFirst="0" w:colLast="0"/>
      <w:bookmarkEnd w:id="1"/>
      <w:r w:rsidRPr="00B67E98">
        <w:rPr>
          <w:rFonts w:ascii="Palatino Linotype" w:eastAsia="Palatino Linotype" w:hAnsi="Palatino Linotype" w:cs="Palatino Linotype"/>
          <w:i/>
        </w:rPr>
        <w:t xml:space="preserve">“Solicito los siguientes reportes que sin pretextos o excusas de argucias legales o evasivas sin fundamento jurídico legal obran en sus archivos del Ente Publico Obligado y que sin ningún pretexto se pueden extraer de sus portales en no mas de 30 minutos tal cual se solicitan de manera, ordenada, clara, precisa y puntual y que se enfatizan obran en sus archivos. Esperando se pueda tener a la brevedad. Sin tener que seguir litigimos de Recursos de Revisión esto debido a trabas por servidores publicos o desconocimiento de sus archivos se me haga llegar en formato pdf. Vía datos adjuntos o link de nube por correo electrónico. Agradezco la atención quedo pendiente de lo solicitado. Gracias. *El visor de nómina por sueldos y salarios, es un reporte que baja el tesorero del municipio de la plataforma del SAT en unos pocos minutos, usando la clave CIEC o la FIEL. del año 2020 </w:t>
      </w:r>
      <w:r w:rsidRPr="00B67E98">
        <w:rPr>
          <w:rFonts w:ascii="Palatino Linotype" w:eastAsia="Palatino Linotype" w:hAnsi="Palatino Linotype" w:cs="Palatino Linotype"/>
          <w:i/>
        </w:rPr>
        <w:lastRenderedPageBreak/>
        <w:t>a la feche de esta solicitud Arroja los dos resultados que ocupo: 1) Diferencia a cargo o a favor o en contra 2) ISR retenido que a su vez es el monto histórico recuperado por conducto de la Secretaria de Finanzas del Estado. El visor de nómina por asimilados a salarios. Le aplican los comentarios del visor de salarios. Éstos dos visores se requieren por el municipio, y las paramunicipales También se solicita: *Reporte emitido por la Secretaria de Finanzas del Estado que comprende desde el año 2015 a la fecha en el que se especifica el monto del ISR que se obtuvo en devolución. *Reporte emitido por el software de contabilidad gubernamental en el que se pueda apreciar el control del saldo pendiente de recuperar del ISR participable. Puede ser el auxiliar contable de una cuenta de activo, una nota de desglose a los estados financieros. Se adjunta ejemplo en archivo pdf. de un Ente Publico Municipal del estado de Guanajuato para que les sirva de ejemplo y no existan dudas de lo que se está requiriendo. Y como se me entrego de una forma total, en una sola exhibición , clara y legiblemente y sobre todo ordenada..”</w:t>
      </w:r>
    </w:p>
    <w:p w:rsidR="00C93C9A" w:rsidRPr="00B67E98" w:rsidRDefault="00C93C9A">
      <w:pPr>
        <w:spacing w:line="360" w:lineRule="auto"/>
        <w:ind w:left="851" w:right="-787"/>
        <w:jc w:val="both"/>
        <w:rPr>
          <w:rFonts w:ascii="Palatino Linotype" w:eastAsia="Palatino Linotype" w:hAnsi="Palatino Linotype" w:cs="Palatino Linotype"/>
        </w:rPr>
      </w:pPr>
    </w:p>
    <w:p w:rsidR="00C93C9A" w:rsidRPr="00B67E98" w:rsidRDefault="009F323A">
      <w:pPr>
        <w:numPr>
          <w:ilvl w:val="0"/>
          <w:numId w:val="6"/>
        </w:numPr>
        <w:spacing w:line="360" w:lineRule="auto"/>
        <w:ind w:left="851" w:right="-787"/>
        <w:jc w:val="both"/>
        <w:rPr>
          <w:rFonts w:ascii="Palatino Linotype" w:eastAsia="Palatino Linotype" w:hAnsi="Palatino Linotype" w:cs="Palatino Linotype"/>
          <w:b/>
        </w:rPr>
      </w:pPr>
      <w:r w:rsidRPr="00B67E98">
        <w:rPr>
          <w:rFonts w:ascii="Palatino Linotype" w:eastAsia="Palatino Linotype" w:hAnsi="Palatino Linotype" w:cs="Palatino Linotype"/>
        </w:rPr>
        <w:t xml:space="preserve">Se eligió como modalidad de entrega de la información: </w:t>
      </w:r>
      <w:r w:rsidRPr="00B67E98">
        <w:rPr>
          <w:rFonts w:ascii="Palatino Linotype" w:eastAsia="Palatino Linotype" w:hAnsi="Palatino Linotype" w:cs="Palatino Linotype"/>
          <w:b/>
        </w:rPr>
        <w:t xml:space="preserve">vía correo electrónico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tabs>
          <w:tab w:val="left" w:pos="0"/>
        </w:tabs>
        <w:spacing w:line="360" w:lineRule="auto"/>
        <w:ind w:left="0" w:right="-787" w:firstLine="0"/>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color w:val="000000"/>
        </w:rPr>
        <w:t xml:space="preserve">Al momento de ingresar la solicitud de información el </w:t>
      </w:r>
      <w:r w:rsidRPr="00B67E98">
        <w:rPr>
          <w:rFonts w:ascii="Palatino Linotype" w:eastAsia="Palatino Linotype" w:hAnsi="Palatino Linotype" w:cs="Palatino Linotype"/>
          <w:b/>
          <w:color w:val="000000"/>
        </w:rPr>
        <w:t xml:space="preserve">SOLICITANTE </w:t>
      </w:r>
      <w:r w:rsidRPr="00B67E98">
        <w:rPr>
          <w:rFonts w:ascii="Palatino Linotype" w:eastAsia="Palatino Linotype" w:hAnsi="Palatino Linotype" w:cs="Palatino Linotype"/>
          <w:color w:val="000000"/>
        </w:rPr>
        <w:t xml:space="preserve">anexo el archivo electrónico </w:t>
      </w:r>
      <w:r w:rsidRPr="00B67E98">
        <w:rPr>
          <w:rFonts w:ascii="Palatino Linotype" w:eastAsia="Palatino Linotype" w:hAnsi="Palatino Linotype" w:cs="Palatino Linotype"/>
          <w:b/>
          <w:color w:val="000000"/>
        </w:rPr>
        <w:t xml:space="preserve">Archivo Adjunto a la Solicitud, </w:t>
      </w:r>
      <w:r w:rsidRPr="00B67E98">
        <w:rPr>
          <w:rFonts w:ascii="Palatino Linotype" w:eastAsia="Palatino Linotype" w:hAnsi="Palatino Linotype" w:cs="Palatino Linotype"/>
          <w:color w:val="000000"/>
        </w:rPr>
        <w:t xml:space="preserve">que contiene el ejemplo de la información solicitada. </w:t>
      </w:r>
    </w:p>
    <w:p w:rsidR="00C93C9A" w:rsidRPr="00B67E98" w:rsidRDefault="00C93C9A">
      <w:pPr>
        <w:tabs>
          <w:tab w:val="left" w:pos="0"/>
        </w:tabs>
        <w:spacing w:line="360" w:lineRule="auto"/>
        <w:ind w:left="360" w:right="-787"/>
        <w:jc w:val="both"/>
        <w:rPr>
          <w:rFonts w:ascii="Palatino Linotype" w:eastAsia="Palatino Linotype" w:hAnsi="Palatino Linotype" w:cs="Palatino Linotype"/>
          <w:b/>
          <w:i/>
          <w:color w:val="000000"/>
        </w:rPr>
      </w:pPr>
    </w:p>
    <w:p w:rsidR="00C93C9A" w:rsidRPr="00B67E98" w:rsidRDefault="009F323A">
      <w:pPr>
        <w:numPr>
          <w:ilvl w:val="0"/>
          <w:numId w:val="4"/>
        </w:numPr>
        <w:tabs>
          <w:tab w:val="left" w:pos="0"/>
        </w:tabs>
        <w:spacing w:line="360" w:lineRule="auto"/>
        <w:ind w:left="0" w:right="-787" w:firstLine="0"/>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color w:val="000000"/>
        </w:rPr>
        <w:t xml:space="preserve">El </w:t>
      </w:r>
      <w:r w:rsidRPr="00B67E98">
        <w:rPr>
          <w:rFonts w:ascii="Palatino Linotype" w:eastAsia="Palatino Linotype" w:hAnsi="Palatino Linotype" w:cs="Palatino Linotype"/>
          <w:b/>
          <w:color w:val="000000"/>
        </w:rPr>
        <w:t xml:space="preserve">treinta de agosto de dos </w:t>
      </w:r>
      <w:r w:rsidRPr="00B67E98">
        <w:rPr>
          <w:rFonts w:ascii="Palatino Linotype" w:eastAsia="Palatino Linotype" w:hAnsi="Palatino Linotype" w:cs="Palatino Linotype"/>
          <w:b/>
        </w:rPr>
        <w:t>mil</w:t>
      </w:r>
      <w:r w:rsidRPr="00B67E98">
        <w:rPr>
          <w:rFonts w:ascii="Palatino Linotype" w:eastAsia="Palatino Linotype" w:hAnsi="Palatino Linotype" w:cs="Palatino Linotype"/>
          <w:b/>
          <w:color w:val="000000"/>
        </w:rPr>
        <w:t xml:space="preserve"> veinticuatro, </w:t>
      </w:r>
      <w:r w:rsidRPr="00B67E98">
        <w:rPr>
          <w:rFonts w:ascii="Palatino Linotype" w:eastAsia="Palatino Linotype" w:hAnsi="Palatino Linotype" w:cs="Palatino Linotype"/>
          <w:color w:val="000000"/>
        </w:rPr>
        <w:t xml:space="preserve">el </w:t>
      </w:r>
      <w:r w:rsidRPr="00B67E98">
        <w:rPr>
          <w:rFonts w:ascii="Palatino Linotype" w:eastAsia="Palatino Linotype" w:hAnsi="Palatino Linotype" w:cs="Palatino Linotype"/>
          <w:b/>
          <w:color w:val="000000"/>
        </w:rPr>
        <w:t xml:space="preserve">SUJETO OBLIGADO </w:t>
      </w:r>
      <w:r w:rsidRPr="00B67E98">
        <w:rPr>
          <w:rFonts w:ascii="Palatino Linotype" w:eastAsia="Palatino Linotype" w:hAnsi="Palatino Linotype" w:cs="Palatino Linotype"/>
        </w:rPr>
        <w:t>giró</w:t>
      </w:r>
      <w:r w:rsidRPr="00B67E98">
        <w:rPr>
          <w:rFonts w:ascii="Palatino Linotype" w:eastAsia="Palatino Linotype" w:hAnsi="Palatino Linotype" w:cs="Palatino Linotype"/>
          <w:color w:val="000000"/>
        </w:rPr>
        <w:t xml:space="preserve"> los requerimientos de información para que fuera atendida la solicitud de información </w:t>
      </w:r>
      <w:r w:rsidRPr="00B67E98">
        <w:rPr>
          <w:rFonts w:ascii="Palatino Linotype" w:eastAsia="Palatino Linotype" w:hAnsi="Palatino Linotype" w:cs="Palatino Linotype"/>
          <w:b/>
          <w:color w:val="000000"/>
        </w:rPr>
        <w:t>00643/NAUCALPA/IP/2024.</w:t>
      </w:r>
    </w:p>
    <w:p w:rsidR="00C93C9A" w:rsidRPr="00B67E98" w:rsidRDefault="00C93C9A">
      <w:pPr>
        <w:ind w:right="-787"/>
        <w:rPr>
          <w:rFonts w:ascii="Palatino Linotype" w:eastAsia="Palatino Linotype" w:hAnsi="Palatino Linotype" w:cs="Palatino Linotype"/>
          <w:color w:val="000000"/>
        </w:rPr>
      </w:pPr>
    </w:p>
    <w:p w:rsidR="00C93C9A" w:rsidRPr="00B67E98" w:rsidRDefault="009F323A">
      <w:pPr>
        <w:numPr>
          <w:ilvl w:val="0"/>
          <w:numId w:val="4"/>
        </w:numPr>
        <w:tabs>
          <w:tab w:val="left" w:pos="0"/>
        </w:tabs>
        <w:spacing w:line="360" w:lineRule="auto"/>
        <w:ind w:left="0" w:right="-787" w:firstLine="0"/>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color w:val="000000"/>
        </w:rPr>
        <w:t>El</w:t>
      </w:r>
      <w:r w:rsidRPr="00B67E98">
        <w:rPr>
          <w:rFonts w:ascii="Palatino Linotype" w:eastAsia="Palatino Linotype" w:hAnsi="Palatino Linotype" w:cs="Palatino Linotype"/>
          <w:b/>
          <w:color w:val="000000"/>
        </w:rPr>
        <w:t xml:space="preserve"> veintitrés de septiembre de dos mil veinticuatro</w:t>
      </w:r>
      <w:r w:rsidRPr="00B67E98">
        <w:rPr>
          <w:rFonts w:ascii="Palatino Linotype" w:eastAsia="Palatino Linotype" w:hAnsi="Palatino Linotype" w:cs="Palatino Linotype"/>
          <w:color w:val="000000"/>
        </w:rPr>
        <w:t xml:space="preserve">, el </w:t>
      </w:r>
      <w:r w:rsidRPr="00B67E98">
        <w:rPr>
          <w:rFonts w:ascii="Palatino Linotype" w:eastAsia="Palatino Linotype" w:hAnsi="Palatino Linotype" w:cs="Palatino Linotype"/>
          <w:b/>
          <w:color w:val="000000"/>
        </w:rPr>
        <w:t xml:space="preserve">SUJETO OBLIGADO </w:t>
      </w:r>
      <w:r w:rsidRPr="00B67E98">
        <w:rPr>
          <w:rFonts w:ascii="Palatino Linotype" w:eastAsia="Palatino Linotype" w:hAnsi="Palatino Linotype" w:cs="Palatino Linotype"/>
        </w:rPr>
        <w:t>entregó</w:t>
      </w:r>
      <w:r w:rsidRPr="00B67E98">
        <w:rPr>
          <w:rFonts w:ascii="Palatino Linotype" w:eastAsia="Palatino Linotype" w:hAnsi="Palatino Linotype" w:cs="Palatino Linotype"/>
          <w:color w:val="000000"/>
        </w:rPr>
        <w:t xml:space="preserve"> su respuesta por medio de trece archivos electrónicos en formato pdf, cuyo contenido grosso modo es el siguiente: </w:t>
      </w:r>
      <w:r w:rsidRPr="00B67E98">
        <w:rPr>
          <w:rFonts w:ascii="Palatino Linotype" w:eastAsia="Palatino Linotype" w:hAnsi="Palatino Linotype" w:cs="Palatino Linotype"/>
          <w:b/>
          <w:i/>
          <w:color w:val="000000"/>
        </w:rPr>
        <w:t xml:space="preserve"> </w:t>
      </w:r>
    </w:p>
    <w:p w:rsidR="00C93C9A" w:rsidRPr="00B67E98" w:rsidRDefault="009F323A">
      <w:pPr>
        <w:ind w:left="1134" w:right="-787"/>
        <w:jc w:val="both"/>
        <w:rPr>
          <w:rFonts w:ascii="Palatino Linotype" w:eastAsia="Palatino Linotype" w:hAnsi="Palatino Linotype" w:cs="Palatino Linotype"/>
          <w:i/>
          <w:color w:val="000000"/>
        </w:rPr>
      </w:pPr>
      <w:bookmarkStart w:id="2" w:name="_heading=h.1fob9te" w:colFirst="0" w:colLast="0"/>
      <w:bookmarkEnd w:id="2"/>
      <w:r w:rsidRPr="00B67E98">
        <w:rPr>
          <w:rFonts w:ascii="Palatino Linotype" w:eastAsia="Palatino Linotype" w:hAnsi="Palatino Linotype" w:cs="Palatino Linotype"/>
          <w:b/>
          <w:i/>
          <w:color w:val="000000"/>
        </w:rPr>
        <w:t xml:space="preserve">Respuesta 00643-NAUCALPA-IP-2024.pdf: </w:t>
      </w:r>
      <w:r w:rsidRPr="00B67E98">
        <w:rPr>
          <w:rFonts w:ascii="Palatino Linotype" w:eastAsia="Palatino Linotype" w:hAnsi="Palatino Linotype" w:cs="Palatino Linotype"/>
          <w:i/>
          <w:color w:val="000000"/>
        </w:rPr>
        <w:t xml:space="preserve">oficio del Subdirector de Recursos Humanos mediante el cual informa que no le corresponde la atención de la solicitud de </w:t>
      </w:r>
      <w:r w:rsidRPr="00B67E98">
        <w:rPr>
          <w:rFonts w:ascii="Palatino Linotype" w:eastAsia="Palatino Linotype" w:hAnsi="Palatino Linotype" w:cs="Palatino Linotype"/>
          <w:i/>
          <w:color w:val="000000"/>
        </w:rPr>
        <w:lastRenderedPageBreak/>
        <w:t xml:space="preserve">información, toda vez que no cuenta con las claves CIEC o FIEL para el acceso a los visores correspondientes.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9.pdf: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2023, del cual se observa que falta el mes de enero)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6.pdf: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2020.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2.pdf: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2015, del cual faltan los meses de enero, febrero y marzo, y del ejercicio fiscal 2016 del cual falta el mes de enero. </w:t>
      </w:r>
    </w:p>
    <w:p w:rsidR="00C93C9A" w:rsidRPr="00B67E98" w:rsidRDefault="009F323A">
      <w:pPr>
        <w:ind w:left="1134"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Anexo 3.pdf: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2017. </w:t>
      </w:r>
    </w:p>
    <w:p w:rsidR="00C93C9A" w:rsidRPr="00B67E98" w:rsidRDefault="009F323A">
      <w:pPr>
        <w:ind w:left="1134"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Anexo 8.pdf: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2022, del cual se observa que falta el mes de enero)</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10.pdf: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los meses de enero a septiembre de 2024.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SAIMEX 00643-2024.pdf: </w:t>
      </w:r>
      <w:r w:rsidRPr="00B67E98">
        <w:rPr>
          <w:rFonts w:ascii="Palatino Linotype" w:eastAsia="Palatino Linotype" w:hAnsi="Palatino Linotype" w:cs="Palatino Linotype"/>
          <w:i/>
          <w:color w:val="000000"/>
        </w:rPr>
        <w:t xml:space="preserve">oficio del Tesorero Municipal, mediante el cual informa que se anexa la información entregada por la Subtesoreria de Egresos, así como la información de la Secretaría de Finanzas del Estado de México. </w:t>
      </w:r>
    </w:p>
    <w:p w:rsidR="00C93C9A" w:rsidRPr="00B67E98" w:rsidRDefault="009F323A">
      <w:pPr>
        <w:ind w:left="1134"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Anexo 5.pdf: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2019, del cual se observa que falta el mes de enero)</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1.pdf: </w:t>
      </w:r>
      <w:r w:rsidRPr="00B67E98">
        <w:rPr>
          <w:rFonts w:ascii="Palatino Linotype" w:eastAsia="Palatino Linotype" w:hAnsi="Palatino Linotype" w:cs="Palatino Linotype"/>
          <w:i/>
          <w:color w:val="000000"/>
        </w:rPr>
        <w:t xml:space="preserve">documento que contiene la respuesta de la Subtesorería de Egresos, que no se encuentra completa, mediante el cual remite los visores de nómina por sueldos y salarios y de nómina por asimilados a salarios, de los cuales no se observa el ejercicio fiscal 2020, así como también se encuentra información que es ilegible.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4.pdf: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2018.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Anexo 7.pdf:</w:t>
      </w:r>
      <w:r w:rsidRPr="00B67E98">
        <w:rPr>
          <w:rFonts w:ascii="Palatino Linotype" w:eastAsia="Palatino Linotype" w:hAnsi="Palatino Linotype" w:cs="Palatino Linotype"/>
          <w:i/>
          <w:color w:val="000000"/>
        </w:rPr>
        <w:t xml:space="preserve"> 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2018.</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Notificacion 643_24.pdf</w:t>
      </w:r>
      <w:r w:rsidRPr="00B67E98">
        <w:rPr>
          <w:rFonts w:ascii="Palatino Linotype" w:eastAsia="Palatino Linotype" w:hAnsi="Palatino Linotype" w:cs="Palatino Linotype"/>
          <w:i/>
          <w:color w:val="000000"/>
        </w:rPr>
        <w:t xml:space="preserve">: captura de pantalla mediante la cual se observa que el </w:t>
      </w:r>
      <w:r w:rsidRPr="00B67E98">
        <w:rPr>
          <w:rFonts w:ascii="Palatino Linotype" w:eastAsia="Palatino Linotype" w:hAnsi="Palatino Linotype" w:cs="Palatino Linotype"/>
          <w:b/>
          <w:i/>
          <w:color w:val="000000"/>
        </w:rPr>
        <w:t xml:space="preserve">SUJETO OBLIGADO </w:t>
      </w:r>
      <w:r w:rsidRPr="00B67E98">
        <w:rPr>
          <w:rFonts w:ascii="Palatino Linotype" w:eastAsia="Palatino Linotype" w:hAnsi="Palatino Linotype" w:cs="Palatino Linotype"/>
          <w:i/>
          <w:color w:val="000000"/>
        </w:rPr>
        <w:t xml:space="preserve">entrego la información vía correo electrónico. </w:t>
      </w:r>
    </w:p>
    <w:p w:rsidR="00C93C9A" w:rsidRPr="00B67E98" w:rsidRDefault="00C93C9A">
      <w:pPr>
        <w:ind w:left="1134" w:right="-787"/>
        <w:jc w:val="both"/>
      </w:pPr>
    </w:p>
    <w:p w:rsidR="00C93C9A" w:rsidRPr="00B67E98" w:rsidRDefault="009F323A">
      <w:pPr>
        <w:numPr>
          <w:ilvl w:val="0"/>
          <w:numId w:val="4"/>
        </w:numPr>
        <w:tabs>
          <w:tab w:val="left" w:pos="0"/>
        </w:tabs>
        <w:spacing w:line="360" w:lineRule="auto"/>
        <w:ind w:left="0" w:right="-787" w:firstLine="0"/>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color w:val="000000"/>
        </w:rPr>
        <w:t xml:space="preserve">El </w:t>
      </w:r>
      <w:r w:rsidRPr="00B67E98">
        <w:rPr>
          <w:rFonts w:ascii="Palatino Linotype" w:eastAsia="Palatino Linotype" w:hAnsi="Palatino Linotype" w:cs="Palatino Linotype"/>
          <w:b/>
          <w:color w:val="000000"/>
        </w:rPr>
        <w:t xml:space="preserve">tres de julio de dos mil veinticuatro </w:t>
      </w:r>
      <w:r w:rsidRPr="00B67E98">
        <w:rPr>
          <w:rFonts w:ascii="Palatino Linotype" w:eastAsia="Palatino Linotype" w:hAnsi="Palatino Linotype" w:cs="Palatino Linotype"/>
          <w:color w:val="000000"/>
        </w:rPr>
        <w:t>el</w:t>
      </w:r>
      <w:r w:rsidRPr="00B67E98">
        <w:rPr>
          <w:rFonts w:ascii="Palatino Linotype" w:eastAsia="Palatino Linotype" w:hAnsi="Palatino Linotype" w:cs="Palatino Linotype"/>
          <w:b/>
          <w:color w:val="000000"/>
        </w:rPr>
        <w:t xml:space="preserve"> </w:t>
      </w:r>
      <w:r w:rsidRPr="00B67E98">
        <w:rPr>
          <w:rFonts w:ascii="Palatino Linotype" w:eastAsia="Palatino Linotype" w:hAnsi="Palatino Linotype" w:cs="Palatino Linotype"/>
          <w:color w:val="000000"/>
        </w:rPr>
        <w:t xml:space="preserve">entonces </w:t>
      </w:r>
      <w:r w:rsidRPr="00B67E98">
        <w:rPr>
          <w:rFonts w:ascii="Palatino Linotype" w:eastAsia="Palatino Linotype" w:hAnsi="Palatino Linotype" w:cs="Palatino Linotype"/>
          <w:b/>
          <w:color w:val="000000"/>
        </w:rPr>
        <w:t xml:space="preserve">SOLICITANTE </w:t>
      </w:r>
      <w:r w:rsidRPr="00B67E98">
        <w:rPr>
          <w:rFonts w:ascii="Palatino Linotype" w:eastAsia="Palatino Linotype" w:hAnsi="Palatino Linotype" w:cs="Palatino Linotype"/>
          <w:color w:val="000000"/>
        </w:rPr>
        <w:t xml:space="preserve">interpuso el recurso de revisión en contra de la respuesta del </w:t>
      </w:r>
      <w:r w:rsidRPr="00B67E98">
        <w:rPr>
          <w:rFonts w:ascii="Palatino Linotype" w:eastAsia="Palatino Linotype" w:hAnsi="Palatino Linotype" w:cs="Palatino Linotype"/>
          <w:b/>
          <w:color w:val="000000"/>
        </w:rPr>
        <w:t>SUJETO OBLIGADO</w:t>
      </w:r>
      <w:r w:rsidRPr="00B67E98">
        <w:rPr>
          <w:rFonts w:ascii="Palatino Linotype" w:eastAsia="Palatino Linotype" w:hAnsi="Palatino Linotype" w:cs="Palatino Linotype"/>
          <w:color w:val="000000"/>
        </w:rPr>
        <w:t>, manifestando las siguientes razones o motivos de inconformidad:</w:t>
      </w:r>
    </w:p>
    <w:p w:rsidR="00C93C9A" w:rsidRPr="00B67E98" w:rsidRDefault="009F323A">
      <w:pPr>
        <w:tabs>
          <w:tab w:val="left" w:pos="0"/>
          <w:tab w:val="left" w:pos="5775"/>
        </w:tabs>
        <w:spacing w:line="360" w:lineRule="auto"/>
        <w:ind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i/>
          <w:color w:val="000000"/>
        </w:rPr>
        <w:lastRenderedPageBreak/>
        <w:tab/>
      </w:r>
    </w:p>
    <w:p w:rsidR="00C93C9A" w:rsidRPr="00B67E98" w:rsidRDefault="009F323A">
      <w:pPr>
        <w:numPr>
          <w:ilvl w:val="0"/>
          <w:numId w:val="6"/>
        </w:numPr>
        <w:ind w:right="-787"/>
        <w:jc w:val="both"/>
        <w:rPr>
          <w:rFonts w:ascii="Palatino Linotype" w:eastAsia="Palatino Linotype" w:hAnsi="Palatino Linotype" w:cs="Palatino Linotype"/>
          <w:i/>
          <w:color w:val="000000"/>
        </w:rPr>
      </w:pPr>
      <w:bookmarkStart w:id="3" w:name="_heading=h.3znysh7" w:colFirst="0" w:colLast="0"/>
      <w:bookmarkEnd w:id="3"/>
      <w:r w:rsidRPr="00B67E98">
        <w:rPr>
          <w:rFonts w:ascii="Palatino Linotype" w:eastAsia="Palatino Linotype" w:hAnsi="Palatino Linotype" w:cs="Palatino Linotype"/>
          <w:b/>
          <w:i/>
        </w:rPr>
        <w:t>Acto impugnado</w:t>
      </w:r>
      <w:r w:rsidRPr="00B67E98">
        <w:rPr>
          <w:rFonts w:ascii="Palatino Linotype" w:eastAsia="Palatino Linotype" w:hAnsi="Palatino Linotype" w:cs="Palatino Linotype"/>
          <w:b/>
          <w:i/>
          <w:color w:val="000000"/>
        </w:rPr>
        <w:t xml:space="preserve">: </w:t>
      </w:r>
      <w:r w:rsidRPr="00B67E98">
        <w:rPr>
          <w:rFonts w:ascii="Palatino Linotype" w:eastAsia="Palatino Linotype" w:hAnsi="Palatino Linotype" w:cs="Palatino Linotype"/>
          <w:i/>
          <w:color w:val="000000"/>
        </w:rPr>
        <w:t>“La no respuesta en el tiempo establecido por ley a mi solicitud de reportes.”</w:t>
      </w:r>
    </w:p>
    <w:p w:rsidR="00C93C9A" w:rsidRPr="00B67E98" w:rsidRDefault="009F323A">
      <w:pPr>
        <w:tabs>
          <w:tab w:val="left" w:pos="7020"/>
        </w:tabs>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i/>
          <w:color w:val="000000"/>
        </w:rPr>
        <w:tab/>
      </w:r>
    </w:p>
    <w:p w:rsidR="00C93C9A" w:rsidRPr="00B67E98" w:rsidRDefault="00C93C9A">
      <w:pPr>
        <w:tabs>
          <w:tab w:val="left" w:pos="7020"/>
        </w:tabs>
        <w:ind w:left="1134" w:right="-787"/>
        <w:jc w:val="both"/>
        <w:rPr>
          <w:rFonts w:ascii="Palatino Linotype" w:eastAsia="Palatino Linotype" w:hAnsi="Palatino Linotype" w:cs="Palatino Linotype"/>
          <w:i/>
          <w:color w:val="000000"/>
        </w:rPr>
      </w:pPr>
    </w:p>
    <w:p w:rsidR="00C93C9A" w:rsidRPr="00B67E98" w:rsidRDefault="009F323A">
      <w:pPr>
        <w:numPr>
          <w:ilvl w:val="0"/>
          <w:numId w:val="6"/>
        </w:numPr>
        <w:ind w:right="-787"/>
        <w:jc w:val="both"/>
        <w:rPr>
          <w:rFonts w:ascii="Palatino Linotype" w:eastAsia="Palatino Linotype" w:hAnsi="Palatino Linotype" w:cs="Palatino Linotype"/>
          <w:i/>
          <w:color w:val="000000"/>
        </w:rPr>
      </w:pPr>
      <w:bookmarkStart w:id="4" w:name="_heading=h.2et92p0" w:colFirst="0" w:colLast="0"/>
      <w:bookmarkEnd w:id="4"/>
      <w:r w:rsidRPr="00B67E98">
        <w:rPr>
          <w:rFonts w:ascii="Palatino Linotype" w:eastAsia="Palatino Linotype" w:hAnsi="Palatino Linotype" w:cs="Palatino Linotype"/>
          <w:b/>
          <w:i/>
          <w:color w:val="000000"/>
        </w:rPr>
        <w:t xml:space="preserve">Razones o Motivos de inconformidad: </w:t>
      </w:r>
      <w:r w:rsidRPr="00B67E98">
        <w:rPr>
          <w:rFonts w:ascii="Palatino Linotype" w:eastAsia="Palatino Linotype" w:hAnsi="Palatino Linotype" w:cs="Palatino Linotype"/>
          <w:i/>
          <w:color w:val="000000"/>
        </w:rPr>
        <w:t xml:space="preserve">“Por la NO respuesta a la solicitud realizada de manera clara y precisa por mi persona por lo tanto por la NEGACIÓN de la información. Es realmente molesto tantas evasivas a entregar archivos reportes que obran en sus archivos y que además se les mando un ejemplo claro y exacto de lo solicitado. Ojalá con este Recurso de Revisión ya no hagan más pernicioso el tema y me lo envíen a la brevedad de manera COMPLETA, ORDENADA, LEGIBLE Y TODA la información requerida y por favor que sea a mi Correo Electrónico que es el que solicito se haga llegar y no por medio de su plataforma SAIMEX que es tediosa y poco entendible y de total desagrado para manejar para mi. Gracias. Mi correo es </w:t>
      </w:r>
      <w:bookmarkStart w:id="5" w:name="_GoBack"/>
      <w:r w:rsidR="003979C9">
        <w:rPr>
          <w:rFonts w:ascii="Palatino Linotype" w:eastAsia="Palatino Linotype" w:hAnsi="Palatino Linotype" w:cs="Palatino Linotype"/>
          <w:i/>
          <w:color w:val="000000"/>
        </w:rPr>
        <w:t>XXX</w:t>
      </w:r>
      <w:bookmarkEnd w:id="5"/>
      <w:r w:rsidR="003979C9">
        <w:rPr>
          <w:rFonts w:ascii="Palatino Linotype" w:eastAsia="Palatino Linotype" w:hAnsi="Palatino Linotype" w:cs="Palatino Linotype"/>
          <w:i/>
          <w:color w:val="000000"/>
        </w:rPr>
        <w:t>XXXXXXXXXXX</w:t>
      </w:r>
      <w:r w:rsidRPr="00B67E98">
        <w:rPr>
          <w:rFonts w:ascii="Palatino Linotype" w:eastAsia="Palatino Linotype" w:hAnsi="Palatino Linotype" w:cs="Palatino Linotype"/>
          <w:i/>
          <w:color w:val="000000"/>
        </w:rPr>
        <w:t xml:space="preserve"> Adjunto nuevamente ejemplo de la solicitud requerida.”</w:t>
      </w:r>
    </w:p>
    <w:p w:rsidR="00C93C9A" w:rsidRPr="00B67E98" w:rsidRDefault="00C93C9A">
      <w:pPr>
        <w:ind w:left="1134" w:right="-787"/>
        <w:jc w:val="both"/>
        <w:rPr>
          <w:rFonts w:ascii="Palatino Linotype" w:eastAsia="Palatino Linotype" w:hAnsi="Palatino Linotype" w:cs="Palatino Linotype"/>
          <w:i/>
          <w:color w:val="000000"/>
        </w:rPr>
      </w:pPr>
    </w:p>
    <w:p w:rsidR="00C93C9A" w:rsidRPr="00B67E98" w:rsidRDefault="00C93C9A">
      <w:pPr>
        <w:ind w:left="1134" w:right="-787"/>
        <w:rPr>
          <w:rFonts w:ascii="Palatino Linotype" w:eastAsia="Palatino Linotype" w:hAnsi="Palatino Linotype" w:cs="Palatino Linotype"/>
          <w:i/>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i/>
        </w:rPr>
      </w:pPr>
      <w:r w:rsidRPr="00B67E98">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 fecha </w:t>
      </w:r>
      <w:r w:rsidRPr="00B67E98">
        <w:rPr>
          <w:rFonts w:ascii="Palatino Linotype" w:eastAsia="Palatino Linotype" w:hAnsi="Palatino Linotype" w:cs="Palatino Linotype"/>
          <w:b/>
        </w:rPr>
        <w:t>veintisiete de septiembre de dos mil veinticuatro</w:t>
      </w:r>
      <w:r w:rsidRPr="00B67E98">
        <w:rPr>
          <w:rFonts w:ascii="Palatino Linotype" w:eastAsia="Palatino Linotype" w:hAnsi="Palatino Linotype" w:cs="Palatino Linotype"/>
        </w:rPr>
        <w:t xml:space="preserve">, puso a disposición de las partes el expediente electrónico vía </w:t>
      </w:r>
      <w:r w:rsidRPr="00B67E98">
        <w:rPr>
          <w:rFonts w:ascii="Palatino Linotype" w:eastAsia="Palatino Linotype" w:hAnsi="Palatino Linotype" w:cs="Palatino Linotype"/>
          <w:b/>
        </w:rPr>
        <w:t xml:space="preserve">SAIMEX </w:t>
      </w:r>
      <w:r w:rsidRPr="00B67E98">
        <w:rPr>
          <w:rFonts w:ascii="Palatino Linotype" w:eastAsia="Palatino Linotype" w:hAnsi="Palatino Linotype" w:cs="Palatino Linotype"/>
        </w:rPr>
        <w:t xml:space="preserve">a efecto de que en un plazo máximo de siete días manifestara lo que a su derecho conviniera, ofreciera pruebas y alegatos según corresponda a los casos concretos, y el </w:t>
      </w:r>
      <w:r w:rsidRPr="00B67E98">
        <w:rPr>
          <w:rFonts w:ascii="Palatino Linotype" w:eastAsia="Palatino Linotype" w:hAnsi="Palatino Linotype" w:cs="Palatino Linotype"/>
          <w:b/>
        </w:rPr>
        <w:t>SUJETO OBLIGADO</w:t>
      </w:r>
      <w:r w:rsidRPr="00B67E98">
        <w:rPr>
          <w:rFonts w:ascii="Palatino Linotype" w:eastAsia="Palatino Linotype" w:hAnsi="Palatino Linotype" w:cs="Palatino Linotype"/>
        </w:rPr>
        <w:t xml:space="preserve"> presentará el Informe Justificado procedente.</w:t>
      </w:r>
    </w:p>
    <w:p w:rsidR="00C93C9A" w:rsidRPr="00B67E98" w:rsidRDefault="00C93C9A">
      <w:pPr>
        <w:spacing w:line="360" w:lineRule="auto"/>
        <w:ind w:right="-787"/>
        <w:jc w:val="both"/>
        <w:rPr>
          <w:rFonts w:ascii="Palatino Linotype" w:eastAsia="Palatino Linotype" w:hAnsi="Palatino Linotype" w:cs="Palatino Linotype"/>
          <w:i/>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Al momento de interponer el recurso de revisión el entonces </w:t>
      </w:r>
      <w:r w:rsidRPr="00B67E98">
        <w:rPr>
          <w:rFonts w:ascii="Palatino Linotype" w:eastAsia="Palatino Linotype" w:hAnsi="Palatino Linotype" w:cs="Palatino Linotype"/>
          <w:b/>
        </w:rPr>
        <w:t>SOLICITANTE</w:t>
      </w:r>
      <w:r w:rsidRPr="00B67E98">
        <w:rPr>
          <w:rFonts w:ascii="Palatino Linotype" w:eastAsia="Palatino Linotype" w:hAnsi="Palatino Linotype" w:cs="Palatino Linotype"/>
        </w:rPr>
        <w:t xml:space="preserve"> anexó el archivo electrónico </w:t>
      </w:r>
      <w:r w:rsidRPr="00B67E98">
        <w:rPr>
          <w:rFonts w:ascii="Palatino Linotype" w:eastAsia="Palatino Linotype" w:hAnsi="Palatino Linotype" w:cs="Palatino Linotype"/>
          <w:b/>
        </w:rPr>
        <w:t>Ejemplo Irapuato</w:t>
      </w:r>
      <w:r w:rsidRPr="00B67E98">
        <w:rPr>
          <w:rFonts w:ascii="Palatino Linotype" w:eastAsia="Palatino Linotype" w:hAnsi="Palatino Linotype" w:cs="Palatino Linotype"/>
        </w:rPr>
        <w:t xml:space="preserve"> .pdf, que contiene el ejemplo de la información solicitada.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lastRenderedPageBreak/>
        <w:t xml:space="preserve">De lo anterior, tal y como se observa en el expediente electrónico el </w:t>
      </w:r>
      <w:r w:rsidRPr="00B67E98">
        <w:rPr>
          <w:rFonts w:ascii="Palatino Linotype" w:eastAsia="Palatino Linotype" w:hAnsi="Palatino Linotype" w:cs="Palatino Linotype"/>
          <w:b/>
          <w:color w:val="000000"/>
        </w:rPr>
        <w:t>SUJETO OBLIGADO y el RECURRENTE</w:t>
      </w:r>
      <w:r w:rsidRPr="00B67E98">
        <w:rPr>
          <w:rFonts w:ascii="Palatino Linotype" w:eastAsia="Palatino Linotype" w:hAnsi="Palatino Linotype" w:cs="Palatino Linotype"/>
          <w:color w:val="000000"/>
        </w:rPr>
        <w:t xml:space="preserve">, anexaron información el </w:t>
      </w:r>
      <w:r w:rsidRPr="00B67E98">
        <w:rPr>
          <w:rFonts w:ascii="Palatino Linotype" w:eastAsia="Palatino Linotype" w:hAnsi="Palatino Linotype" w:cs="Palatino Linotype"/>
          <w:b/>
          <w:color w:val="000000"/>
        </w:rPr>
        <w:t>veintisiete de septiembre de dos mil veinticuatro</w:t>
      </w:r>
      <w:r w:rsidRPr="00B67E98">
        <w:rPr>
          <w:rFonts w:ascii="Palatino Linotype" w:eastAsia="Palatino Linotype" w:hAnsi="Palatino Linotype" w:cs="Palatino Linotype"/>
          <w:color w:val="000000"/>
        </w:rPr>
        <w:t xml:space="preserve">, cuyo contenido grosso  modo es el siguiente. </w:t>
      </w:r>
    </w:p>
    <w:p w:rsidR="00C93C9A" w:rsidRPr="00B67E98" w:rsidRDefault="00C93C9A">
      <w:pPr>
        <w:spacing w:line="360" w:lineRule="auto"/>
        <w:ind w:right="-787"/>
        <w:jc w:val="both"/>
        <w:rPr>
          <w:rFonts w:ascii="Palatino Linotype" w:eastAsia="Palatino Linotype" w:hAnsi="Palatino Linotype" w:cs="Palatino Linotype"/>
          <w:color w:val="000000"/>
        </w:rPr>
      </w:pPr>
    </w:p>
    <w:tbl>
      <w:tblPr>
        <w:tblStyle w:val="a"/>
        <w:tblW w:w="7694"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7"/>
        <w:gridCol w:w="3847"/>
      </w:tblGrid>
      <w:tr w:rsidR="00C93C9A" w:rsidRPr="00B67E98">
        <w:tc>
          <w:tcPr>
            <w:tcW w:w="3847" w:type="dxa"/>
          </w:tcPr>
          <w:p w:rsidR="00C93C9A" w:rsidRPr="00B67E98" w:rsidRDefault="009F323A">
            <w:pPr>
              <w:ind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RECURRENTE</w:t>
            </w:r>
          </w:p>
        </w:tc>
        <w:tc>
          <w:tcPr>
            <w:tcW w:w="3847" w:type="dxa"/>
          </w:tcPr>
          <w:p w:rsidR="00C93C9A" w:rsidRPr="00B67E98" w:rsidRDefault="009F323A">
            <w:pPr>
              <w:ind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Ejemplo Irapuato .pdf.</w:t>
            </w:r>
            <w:r w:rsidRPr="00B67E98">
              <w:rPr>
                <w:rFonts w:ascii="Palatino Linotype" w:eastAsia="Palatino Linotype" w:hAnsi="Palatino Linotype" w:cs="Palatino Linotype"/>
                <w:i/>
              </w:rPr>
              <w:t xml:space="preserve">  que contiene el ejemplo de la información solicitada. </w:t>
            </w:r>
          </w:p>
          <w:p w:rsidR="00C93C9A" w:rsidRPr="00B67E98" w:rsidRDefault="00C93C9A">
            <w:pPr>
              <w:ind w:right="-787"/>
              <w:jc w:val="both"/>
              <w:rPr>
                <w:rFonts w:ascii="Palatino Linotype" w:eastAsia="Palatino Linotype" w:hAnsi="Palatino Linotype" w:cs="Palatino Linotype"/>
                <w:b/>
                <w:i/>
                <w:color w:val="000000"/>
              </w:rPr>
            </w:pPr>
          </w:p>
        </w:tc>
      </w:tr>
      <w:tr w:rsidR="00C93C9A" w:rsidRPr="00B67E98">
        <w:tc>
          <w:tcPr>
            <w:tcW w:w="3847" w:type="dxa"/>
          </w:tcPr>
          <w:p w:rsidR="00C93C9A" w:rsidRPr="00B67E98" w:rsidRDefault="009F323A">
            <w:pPr>
              <w:ind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SUJETO OBLIGADO </w:t>
            </w:r>
          </w:p>
        </w:tc>
        <w:tc>
          <w:tcPr>
            <w:tcW w:w="3847" w:type="dxa"/>
          </w:tcPr>
          <w:p w:rsidR="00C93C9A" w:rsidRPr="00B67E98" w:rsidRDefault="009F323A">
            <w:pPr>
              <w:ind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TM-CJ-M-2069-2024.pdf: </w:t>
            </w:r>
            <w:r w:rsidRPr="00B67E98">
              <w:rPr>
                <w:rFonts w:ascii="Palatino Linotype" w:eastAsia="Palatino Linotype" w:hAnsi="Palatino Linotype" w:cs="Palatino Linotype"/>
                <w:i/>
                <w:color w:val="000000"/>
              </w:rPr>
              <w:t xml:space="preserve">oficio de la Tesorera Municipal, mediante la cual refiere que se entregaron 13 archivos al </w:t>
            </w:r>
            <w:r w:rsidRPr="00B67E98">
              <w:rPr>
                <w:rFonts w:ascii="Palatino Linotype" w:eastAsia="Palatino Linotype" w:hAnsi="Palatino Linotype" w:cs="Palatino Linotype"/>
                <w:b/>
                <w:i/>
                <w:color w:val="000000"/>
              </w:rPr>
              <w:t xml:space="preserve">RECURRENTE. </w:t>
            </w:r>
          </w:p>
        </w:tc>
      </w:tr>
    </w:tbl>
    <w:p w:rsidR="00C93C9A" w:rsidRPr="00B67E98" w:rsidRDefault="00C93C9A">
      <w:pPr>
        <w:pBdr>
          <w:top w:val="nil"/>
          <w:left w:val="nil"/>
          <w:bottom w:val="nil"/>
          <w:right w:val="nil"/>
          <w:between w:val="nil"/>
        </w:pBdr>
        <w:ind w:left="720" w:right="-787"/>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b/>
          <w:color w:val="000000"/>
        </w:rPr>
      </w:pPr>
      <w:bookmarkStart w:id="6" w:name="_heading=h.tyjcwt" w:colFirst="0" w:colLast="0"/>
      <w:bookmarkEnd w:id="6"/>
      <w:r w:rsidRPr="00B67E98">
        <w:rPr>
          <w:rFonts w:ascii="Palatino Linotype" w:eastAsia="Palatino Linotype" w:hAnsi="Palatino Linotype" w:cs="Palatino Linotype"/>
          <w:color w:val="000000"/>
        </w:rPr>
        <w:t xml:space="preserve">En fecha </w:t>
      </w:r>
      <w:r w:rsidRPr="00B67E98">
        <w:rPr>
          <w:rFonts w:ascii="Palatino Linotype" w:eastAsia="Palatino Linotype" w:hAnsi="Palatino Linotype" w:cs="Palatino Linotype"/>
          <w:b/>
          <w:color w:val="000000"/>
        </w:rPr>
        <w:t xml:space="preserve">treinta  de enero de dos mil </w:t>
      </w:r>
      <w:r w:rsidRPr="00B67E98">
        <w:rPr>
          <w:rFonts w:ascii="Palatino Linotype" w:eastAsia="Palatino Linotype" w:hAnsi="Palatino Linotype" w:cs="Palatino Linotype"/>
          <w:b/>
        </w:rPr>
        <w:t>veinticinco</w:t>
      </w:r>
      <w:r w:rsidRPr="00B67E98">
        <w:rPr>
          <w:rFonts w:ascii="Palatino Linotype" w:eastAsia="Palatino Linotype" w:hAnsi="Palatino Linotype" w:cs="Palatino Linotype"/>
          <w:color w:val="000000"/>
        </w:rPr>
        <w:t>, se amplió el término para resolver; al respecto es menester realizar las siguientes precisiones.</w:t>
      </w:r>
    </w:p>
    <w:p w:rsidR="00C93C9A" w:rsidRPr="00B67E98" w:rsidRDefault="00C93C9A">
      <w:pPr>
        <w:spacing w:line="360" w:lineRule="auto"/>
        <w:ind w:right="-787"/>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Este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rsidR="00C93C9A" w:rsidRPr="00B67E98" w:rsidRDefault="00C93C9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C93C9A" w:rsidRPr="00B67E98" w:rsidRDefault="00C93C9A">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93C9A" w:rsidRPr="00B67E98" w:rsidRDefault="00C93C9A">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C93C9A" w:rsidRPr="00B67E98" w:rsidRDefault="00C93C9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rsidR="00C93C9A" w:rsidRPr="00B67E98" w:rsidRDefault="009F323A">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Complejidad del </w:t>
      </w:r>
      <w:r w:rsidRPr="00B67E98">
        <w:rPr>
          <w:rFonts w:ascii="Palatino Linotype" w:eastAsia="Palatino Linotype" w:hAnsi="Palatino Linotype" w:cs="Palatino Linotype"/>
        </w:rPr>
        <w:t>asunto</w:t>
      </w:r>
      <w:r w:rsidRPr="00B67E98">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rsidR="00C93C9A" w:rsidRPr="00B67E98" w:rsidRDefault="009F323A">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Actividad Procesal del interesado. Acciones u omisiones del interesado.</w:t>
      </w:r>
    </w:p>
    <w:p w:rsidR="00C93C9A" w:rsidRPr="00B67E98" w:rsidRDefault="009F323A">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rsidR="00C93C9A" w:rsidRPr="00B67E98" w:rsidRDefault="009F323A">
      <w:pPr>
        <w:spacing w:line="360" w:lineRule="auto"/>
        <w:ind w:left="851" w:right="-787" w:hanging="284"/>
        <w:jc w:val="both"/>
        <w:rPr>
          <w:rFonts w:ascii="Palatino Linotype" w:eastAsia="Palatino Linotype" w:hAnsi="Palatino Linotype" w:cs="Palatino Linotype"/>
        </w:rPr>
      </w:pPr>
      <w:r w:rsidRPr="00B67E98">
        <w:rPr>
          <w:rFonts w:ascii="Palatino Linotype" w:eastAsia="Palatino Linotype" w:hAnsi="Palatino Linotype" w:cs="Palatino Linotype"/>
        </w:rPr>
        <w:t>d) La afectación generada en la situación jurídica de la persona involucrada en el proceso: Violación a sus derechos humanos.</w:t>
      </w:r>
    </w:p>
    <w:p w:rsidR="00C93C9A" w:rsidRPr="00B67E98" w:rsidRDefault="00C93C9A">
      <w:pPr>
        <w:spacing w:line="360" w:lineRule="auto"/>
        <w:ind w:left="851" w:right="-787" w:hanging="284"/>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De modo que, cuando se trate de un asunto excepcional, por alguna o todas las características mencionadas o bien, cuando el ingreso de asuntos al órgano jurisdiccional </w:t>
      </w:r>
      <w:r w:rsidRPr="00B67E98">
        <w:rPr>
          <w:rFonts w:ascii="Palatino Linotype" w:eastAsia="Palatino Linotype" w:hAnsi="Palatino Linotype" w:cs="Palatino Linotype"/>
          <w:color w:val="000000"/>
        </w:rPr>
        <w:lastRenderedPageBreak/>
        <w:t>o cuasi jurisdiccional respectivo supere notoriamente al que podría considerarse normal, debe concluirse que es una excluyente de responsabilidad en relación con la actuación del funcionario, como ha acontecido en el caso que nos ocupa.</w:t>
      </w:r>
    </w:p>
    <w:p w:rsidR="00C93C9A" w:rsidRPr="00B67E98" w:rsidRDefault="00C93C9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b/>
          <w:color w:val="000000"/>
        </w:rPr>
      </w:pPr>
      <w:r w:rsidRPr="00B67E98">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sidRPr="00B67E98">
        <w:rPr>
          <w:rFonts w:ascii="Palatino Linotype" w:eastAsia="Palatino Linotype" w:hAnsi="Palatino Linotype" w:cs="Palatino Linotype"/>
        </w:rPr>
        <w:t>del rubro</w:t>
      </w:r>
      <w:r w:rsidRPr="00B67E98">
        <w:rPr>
          <w:rFonts w:ascii="Palatino Linotype" w:eastAsia="Palatino Linotype" w:hAnsi="Palatino Linotype" w:cs="Palatino Linotype"/>
          <w:color w:val="000000"/>
        </w:rPr>
        <w:t xml:space="preserve"> </w:t>
      </w:r>
      <w:r w:rsidRPr="00B67E98">
        <w:rPr>
          <w:rFonts w:ascii="Palatino Linotype" w:eastAsia="Palatino Linotype" w:hAnsi="Palatino Linotype" w:cs="Palatino Linotype"/>
          <w:i/>
          <w:color w:val="000000"/>
        </w:rPr>
        <w:t xml:space="preserve">“TÉRMINOS PROCESALES. PARA DETERMINAR SI UN FUNCIONARIO JUDICIAL ACTUÓ </w:t>
      </w:r>
      <w:r w:rsidRPr="00B67E98">
        <w:rPr>
          <w:rFonts w:ascii="Palatino Linotype" w:eastAsia="Palatino Linotype" w:hAnsi="Palatino Linotype" w:cs="Palatino Linotype"/>
          <w:color w:val="000000"/>
        </w:rPr>
        <w:t>INDEBIDAMENTE</w:t>
      </w:r>
      <w:r w:rsidRPr="00B67E98">
        <w:rPr>
          <w:rFonts w:ascii="Palatino Linotype" w:eastAsia="Palatino Linotype" w:hAnsi="Palatino Linotype" w:cs="Palatino Linotype"/>
          <w:i/>
          <w:color w:val="000000"/>
        </w:rPr>
        <w:t xml:space="preserve"> POR NO RESPETARLOS SE DEBE ATENDER AL PRESUPUESTO QUE CONSIDERÓ EL LEGISLADOR AL FIJARLOS Y LAS CARACTERÍSTICAS DEL CASO.”</w:t>
      </w:r>
      <w:r w:rsidRPr="00B67E98">
        <w:rPr>
          <w:rFonts w:ascii="Palatino Linotype" w:eastAsia="Palatino Linotype" w:hAnsi="Palatino Linotype" w:cs="Palatino Linotype"/>
          <w:color w:val="000000"/>
        </w:rPr>
        <w:t xml:space="preserve">, visible en la Gaceta del </w:t>
      </w:r>
      <w:r w:rsidRPr="00B67E98">
        <w:rPr>
          <w:rFonts w:ascii="Palatino Linotype" w:eastAsia="Palatino Linotype" w:hAnsi="Palatino Linotype" w:cs="Palatino Linotype"/>
        </w:rPr>
        <w:t>Semanario</w:t>
      </w:r>
      <w:r w:rsidRPr="00B67E98">
        <w:rPr>
          <w:rFonts w:ascii="Palatino Linotype" w:eastAsia="Palatino Linotype" w:hAnsi="Palatino Linotype" w:cs="Palatino Linotype"/>
          <w:color w:val="000000"/>
        </w:rPr>
        <w:t xml:space="preserve"> Judicial de la Federación con el registro digital 205635.</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93C9A" w:rsidRPr="00B67E98" w:rsidRDefault="00C93C9A">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C93C9A" w:rsidRPr="00B67E98" w:rsidRDefault="009F323A">
      <w:pPr>
        <w:ind w:left="113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 </w:t>
      </w:r>
      <w:r w:rsidRPr="00B67E98">
        <w:rPr>
          <w:rFonts w:ascii="Palatino Linotype" w:eastAsia="Palatino Linotype" w:hAnsi="Palatino Linotype" w:cs="Palatino Linotype"/>
          <w:i/>
        </w:rPr>
        <w:t>“PLAZO RAZONABLE PARA RESOLVER. DIMENSIÓN Y EFECTOS DE ESTE CONCEPTO CUANDO SE ADUCE EXCESIVA CARGA DE TRABAJO.”</w:t>
      </w:r>
      <w:r w:rsidRPr="00B67E98">
        <w:rPr>
          <w:rFonts w:ascii="Palatino Linotype" w:eastAsia="Palatino Linotype" w:hAnsi="Palatino Linotype" w:cs="Palatino Linotype"/>
        </w:rPr>
        <w:t xml:space="preserve"> consultable en el Semanario Judicial de la Federación y su gaceta, con el registro digital 2002351.</w:t>
      </w:r>
    </w:p>
    <w:p w:rsidR="00C93C9A" w:rsidRPr="00B67E98" w:rsidRDefault="00C93C9A">
      <w:pPr>
        <w:ind w:left="1134" w:right="-787"/>
        <w:jc w:val="both"/>
        <w:rPr>
          <w:rFonts w:ascii="Palatino Linotype" w:eastAsia="Palatino Linotype" w:hAnsi="Palatino Linotype" w:cs="Palatino Linotype"/>
          <w:b/>
        </w:rPr>
      </w:pPr>
    </w:p>
    <w:p w:rsidR="00C93C9A" w:rsidRPr="00B67E98" w:rsidRDefault="009F323A">
      <w:pPr>
        <w:ind w:left="1134" w:right="-787"/>
        <w:jc w:val="both"/>
        <w:rPr>
          <w:rFonts w:ascii="Palatino Linotype" w:eastAsia="Palatino Linotype" w:hAnsi="Palatino Linotype" w:cs="Palatino Linotype"/>
        </w:rPr>
      </w:pPr>
      <w:r w:rsidRPr="00B67E98">
        <w:rPr>
          <w:rFonts w:ascii="Palatino Linotype" w:eastAsia="Palatino Linotype" w:hAnsi="Palatino Linotype" w:cs="Palatino Linotype"/>
          <w:i/>
        </w:rPr>
        <w:t>“PLAZO RAZONABLE PARA RESOLVER. CONCEPTO Y ELEMENTOS QUE LO INTEGRAN A LA LUZ DEL DERECHO INTERNACIONAL DE LOS DERECHOS HUMANOS.”</w:t>
      </w:r>
      <w:r w:rsidRPr="00B67E98">
        <w:rPr>
          <w:rFonts w:ascii="Palatino Linotype" w:eastAsia="Palatino Linotype" w:hAnsi="Palatino Linotype" w:cs="Palatino Linotype"/>
        </w:rPr>
        <w:t>, visible en el Semanario Judicial de la Federación y su gaceta, con el registro digital 2002350.”</w:t>
      </w:r>
    </w:p>
    <w:p w:rsidR="00C93C9A" w:rsidRPr="00B67E98" w:rsidRDefault="00C93C9A">
      <w:pPr>
        <w:ind w:right="-787"/>
        <w:rPr>
          <w:rFonts w:ascii="Palatino Linotype" w:eastAsia="Palatino Linotype" w:hAnsi="Palatino Linotype" w:cs="Palatino Linotype"/>
          <w:color w:val="000000"/>
        </w:rPr>
      </w:pPr>
    </w:p>
    <w:p w:rsidR="00C93C9A" w:rsidRPr="00B67E98" w:rsidRDefault="00C93C9A">
      <w:pPr>
        <w:spacing w:line="360" w:lineRule="auto"/>
        <w:ind w:right="-787"/>
        <w:jc w:val="both"/>
        <w:rPr>
          <w:rFonts w:ascii="Palatino Linotype" w:eastAsia="Palatino Linotype" w:hAnsi="Palatino Linotype" w:cs="Palatino Linotype"/>
          <w:b/>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b/>
          <w:color w:val="000000"/>
        </w:rPr>
      </w:pPr>
      <w:r w:rsidRPr="00B67E98">
        <w:rPr>
          <w:rFonts w:ascii="Palatino Linotype" w:eastAsia="Palatino Linotype" w:hAnsi="Palatino Linotype" w:cs="Palatino Linotype"/>
        </w:rPr>
        <w:t xml:space="preserve">Seguidamente, mediante </w:t>
      </w:r>
      <w:r w:rsidRPr="00B67E98">
        <w:rPr>
          <w:rFonts w:ascii="Palatino Linotype" w:eastAsia="Palatino Linotype" w:hAnsi="Palatino Linotype" w:cs="Palatino Linotype"/>
          <w:color w:val="000000"/>
        </w:rPr>
        <w:t>acuerdo</w:t>
      </w:r>
      <w:r w:rsidRPr="00B67E98">
        <w:rPr>
          <w:rFonts w:ascii="Palatino Linotype" w:eastAsia="Palatino Linotype" w:hAnsi="Palatino Linotype" w:cs="Palatino Linotype"/>
        </w:rPr>
        <w:t xml:space="preserve"> de fecha </w:t>
      </w:r>
      <w:r w:rsidRPr="00B67E98">
        <w:rPr>
          <w:rFonts w:ascii="Palatino Linotype" w:eastAsia="Palatino Linotype" w:hAnsi="Palatino Linotype" w:cs="Palatino Linotype"/>
          <w:b/>
        </w:rPr>
        <w:t xml:space="preserve">seis de febrero de dos mil veinticinco, </w:t>
      </w:r>
      <w:r w:rsidRPr="00B67E98">
        <w:rPr>
          <w:rFonts w:ascii="Palatino Linotype" w:eastAsia="Palatino Linotype" w:hAnsi="Palatino Linotype" w:cs="Palatino Linotype"/>
        </w:rPr>
        <w:t>se decretó el cierre de instrucción, por lo que no habiendo más que hacer constar, y-----------</w:t>
      </w:r>
    </w:p>
    <w:p w:rsidR="00C93C9A" w:rsidRPr="00B67E98" w:rsidRDefault="00C93C9A">
      <w:pPr>
        <w:spacing w:line="360" w:lineRule="auto"/>
        <w:ind w:right="-787"/>
        <w:jc w:val="center"/>
        <w:rPr>
          <w:rFonts w:ascii="Palatino Linotype" w:eastAsia="Palatino Linotype" w:hAnsi="Palatino Linotype" w:cs="Palatino Linotype"/>
          <w:b/>
          <w:color w:val="000000"/>
        </w:rPr>
      </w:pPr>
    </w:p>
    <w:p w:rsidR="00C93C9A" w:rsidRPr="00B67E98" w:rsidRDefault="00C93C9A">
      <w:pPr>
        <w:spacing w:line="360" w:lineRule="auto"/>
        <w:ind w:right="-787"/>
        <w:jc w:val="center"/>
        <w:rPr>
          <w:rFonts w:ascii="Palatino Linotype" w:eastAsia="Palatino Linotype" w:hAnsi="Palatino Linotype" w:cs="Palatino Linotype"/>
          <w:b/>
          <w:color w:val="000000"/>
        </w:rPr>
      </w:pPr>
    </w:p>
    <w:p w:rsidR="00C93C9A" w:rsidRPr="00B67E98" w:rsidRDefault="009F323A">
      <w:pPr>
        <w:spacing w:line="360" w:lineRule="auto"/>
        <w:ind w:right="-787"/>
        <w:jc w:val="center"/>
        <w:rPr>
          <w:rFonts w:ascii="Palatino Linotype" w:eastAsia="Palatino Linotype" w:hAnsi="Palatino Linotype" w:cs="Palatino Linotype"/>
          <w:b/>
          <w:color w:val="000000"/>
        </w:rPr>
      </w:pPr>
      <w:r w:rsidRPr="00B67E98">
        <w:rPr>
          <w:rFonts w:ascii="Palatino Linotype" w:eastAsia="Palatino Linotype" w:hAnsi="Palatino Linotype" w:cs="Palatino Linotype"/>
          <w:b/>
          <w:color w:val="000000"/>
        </w:rPr>
        <w:t>CONSIDERANDO</w:t>
      </w:r>
    </w:p>
    <w:p w:rsidR="00C93C9A" w:rsidRPr="00B67E98" w:rsidRDefault="00C93C9A">
      <w:pPr>
        <w:spacing w:line="360" w:lineRule="auto"/>
        <w:ind w:right="-787"/>
        <w:jc w:val="center"/>
        <w:rPr>
          <w:rFonts w:ascii="Palatino Linotype" w:eastAsia="Palatino Linotype" w:hAnsi="Palatino Linotype" w:cs="Palatino Linotype"/>
          <w:b/>
          <w:color w:val="000000"/>
        </w:rPr>
      </w:pPr>
    </w:p>
    <w:p w:rsidR="00C93C9A" w:rsidRPr="00B67E98" w:rsidRDefault="009F323A">
      <w:pPr>
        <w:keepNext/>
        <w:keepLines/>
        <w:spacing w:line="360" w:lineRule="auto"/>
        <w:ind w:right="-787"/>
        <w:rPr>
          <w:rFonts w:ascii="Palatino Linotype" w:eastAsia="Palatino Linotype" w:hAnsi="Palatino Linotype" w:cs="Palatino Linotype"/>
          <w:b/>
        </w:rPr>
      </w:pPr>
      <w:bookmarkStart w:id="7" w:name="_heading=h.3dy6vkm" w:colFirst="0" w:colLast="0"/>
      <w:bookmarkEnd w:id="7"/>
      <w:r w:rsidRPr="00B67E98">
        <w:rPr>
          <w:rFonts w:ascii="Palatino Linotype" w:eastAsia="Palatino Linotype" w:hAnsi="Palatino Linotype" w:cs="Palatino Linotype"/>
          <w:b/>
        </w:rPr>
        <w:t>PRIMERO. De la competencia</w:t>
      </w:r>
    </w:p>
    <w:p w:rsidR="00C93C9A" w:rsidRPr="00B67E98" w:rsidRDefault="00C93C9A">
      <w:pPr>
        <w:spacing w:line="360" w:lineRule="auto"/>
        <w:ind w:right="-787"/>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w:t>
      </w:r>
      <w:r w:rsidRPr="00B67E98">
        <w:rPr>
          <w:rFonts w:ascii="Palatino Linotype" w:eastAsia="Palatino Linotype" w:hAnsi="Palatino Linotype" w:cs="Palatino Linotype"/>
          <w:color w:val="000000"/>
        </w:rPr>
        <w:lastRenderedPageBreak/>
        <w:t>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C93C9A" w:rsidRPr="00B67E98" w:rsidRDefault="00C93C9A">
      <w:pPr>
        <w:spacing w:line="360" w:lineRule="auto"/>
        <w:ind w:right="-787"/>
        <w:jc w:val="both"/>
        <w:rPr>
          <w:rFonts w:ascii="Palatino Linotype" w:eastAsia="Palatino Linotype" w:hAnsi="Palatino Linotype" w:cs="Palatino Linotype"/>
          <w:b/>
        </w:rPr>
      </w:pPr>
    </w:p>
    <w:p w:rsidR="00C93C9A" w:rsidRPr="00B67E98" w:rsidRDefault="009F323A">
      <w:pPr>
        <w:keepNext/>
        <w:keepLines/>
        <w:spacing w:line="360" w:lineRule="auto"/>
        <w:ind w:right="-787"/>
        <w:rPr>
          <w:rFonts w:ascii="Palatino Linotype" w:eastAsia="Palatino Linotype" w:hAnsi="Palatino Linotype" w:cs="Palatino Linotype"/>
          <w:b/>
        </w:rPr>
      </w:pPr>
      <w:bookmarkStart w:id="8" w:name="_heading=h.1t3h5sf" w:colFirst="0" w:colLast="0"/>
      <w:bookmarkEnd w:id="8"/>
      <w:r w:rsidRPr="00B67E98">
        <w:rPr>
          <w:rFonts w:ascii="Palatino Linotype" w:eastAsia="Palatino Linotype" w:hAnsi="Palatino Linotype" w:cs="Palatino Linotype"/>
          <w:b/>
        </w:rPr>
        <w:t>SEGUNDO. De la oportunidad y procedencia.</w:t>
      </w:r>
    </w:p>
    <w:p w:rsidR="00C93C9A" w:rsidRPr="00B67E98" w:rsidRDefault="00C93C9A">
      <w:pPr>
        <w:spacing w:line="360" w:lineRule="auto"/>
        <w:ind w:right="-787"/>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El medio de impugnación fue presentado a través del </w:t>
      </w:r>
      <w:r w:rsidRPr="00B67E98">
        <w:rPr>
          <w:rFonts w:ascii="Palatino Linotype" w:eastAsia="Palatino Linotype" w:hAnsi="Palatino Linotype" w:cs="Palatino Linotype"/>
          <w:b/>
        </w:rPr>
        <w:t>SAIMEX,</w:t>
      </w:r>
      <w:r w:rsidRPr="00B67E98">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B67E98">
        <w:rPr>
          <w:rFonts w:ascii="Palatino Linotype" w:eastAsia="Palatino Linotype" w:hAnsi="Palatino Linotype" w:cs="Palatino Linotype"/>
          <w:b/>
        </w:rPr>
        <w:t>SUJETO OBLIGADO</w:t>
      </w:r>
      <w:r w:rsidRPr="00B67E98">
        <w:rPr>
          <w:rFonts w:ascii="Palatino Linotype" w:eastAsia="Palatino Linotype" w:hAnsi="Palatino Linotype" w:cs="Palatino Linotype"/>
        </w:rPr>
        <w:t xml:space="preserve"> entregó su respuesta el </w:t>
      </w:r>
      <w:r w:rsidRPr="00B67E98">
        <w:rPr>
          <w:rFonts w:ascii="Palatino Linotype" w:eastAsia="Palatino Linotype" w:hAnsi="Palatino Linotype" w:cs="Palatino Linotype"/>
          <w:b/>
        </w:rPr>
        <w:t>veintitrés de septiembre de dos mil veinticuatro</w:t>
      </w:r>
      <w:r w:rsidRPr="00B67E98">
        <w:rPr>
          <w:rFonts w:ascii="Palatino Linotype" w:eastAsia="Palatino Linotype" w:hAnsi="Palatino Linotype" w:cs="Palatino Linotype"/>
        </w:rPr>
        <w:t xml:space="preserve">, de tal forma que el plazo para interponer el recurso de revisión transcurrió del día </w:t>
      </w:r>
      <w:r w:rsidRPr="00B67E98">
        <w:rPr>
          <w:rFonts w:ascii="Palatino Linotype" w:eastAsia="Palatino Linotype" w:hAnsi="Palatino Linotype" w:cs="Palatino Linotype"/>
          <w:b/>
        </w:rPr>
        <w:t>veinticuatro de septiembre al quince de octubre dos mil veinticuatro</w:t>
      </w:r>
      <w:r w:rsidRPr="00B67E98">
        <w:rPr>
          <w:rFonts w:ascii="Palatino Linotype" w:eastAsia="Palatino Linotype" w:hAnsi="Palatino Linotype" w:cs="Palatino Linotype"/>
        </w:rPr>
        <w:t xml:space="preserve">; lo anterior, toda vez que hubo suspensión de actividades, en consecuencia, el ahora </w:t>
      </w:r>
      <w:r w:rsidRPr="00B67E98">
        <w:rPr>
          <w:rFonts w:ascii="Palatino Linotype" w:eastAsia="Palatino Linotype" w:hAnsi="Palatino Linotype" w:cs="Palatino Linotype"/>
          <w:b/>
        </w:rPr>
        <w:t>RECURRENTE</w:t>
      </w:r>
      <w:r w:rsidRPr="00B67E98">
        <w:rPr>
          <w:rFonts w:ascii="Palatino Linotype" w:eastAsia="Palatino Linotype" w:hAnsi="Palatino Linotype" w:cs="Palatino Linotype"/>
        </w:rPr>
        <w:t xml:space="preserve"> presentó su inconformidad el día </w:t>
      </w:r>
      <w:r w:rsidRPr="00B67E98">
        <w:rPr>
          <w:rFonts w:ascii="Palatino Linotype" w:eastAsia="Palatino Linotype" w:hAnsi="Palatino Linotype" w:cs="Palatino Linotype"/>
          <w:b/>
        </w:rPr>
        <w:t>veinticuatro de septiembre de dos mil veinticuatro</w:t>
      </w:r>
      <w:r w:rsidRPr="00B67E98">
        <w:rPr>
          <w:rFonts w:ascii="Palatino Linotype" w:eastAsia="Palatino Linotype" w:hAnsi="Palatino Linotype" w:cs="Palatino Linotype"/>
        </w:rPr>
        <w:t>; por lo que se estima que la inconformidad se presentó dentro del lapso legalmente establecido para tal efecto.</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w:t>
      </w:r>
      <w:r w:rsidRPr="00B67E98">
        <w:rPr>
          <w:rFonts w:ascii="Palatino Linotype" w:eastAsia="Palatino Linotype" w:hAnsi="Palatino Linotype" w:cs="Palatino Linotype"/>
        </w:rPr>
        <w:lastRenderedPageBreak/>
        <w:t>previsto en el artículo 155, penúltimo párrafo de la Ley de Transparencia y Acceso a la Información Pública del Estado de México y Municipios que establece lo siguiente:</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r w:rsidRPr="00B67E98">
        <w:rPr>
          <w:rFonts w:ascii="Palatino Linotype" w:eastAsia="Palatino Linotype" w:hAnsi="Palatino Linotype" w:cs="Palatino Linotype"/>
          <w:b/>
          <w:i/>
        </w:rPr>
        <w:t>Las solicitudes anónimas</w:t>
      </w:r>
      <w:r w:rsidRPr="00B67E98">
        <w:rPr>
          <w:rFonts w:ascii="Palatino Linotype" w:eastAsia="Palatino Linotype" w:hAnsi="Palatino Linotype" w:cs="Palatino Linotype"/>
          <w:i/>
        </w:rPr>
        <w:t xml:space="preserve">, con nombre incompleto o seudónimo </w:t>
      </w:r>
      <w:r w:rsidRPr="00B67E98">
        <w:rPr>
          <w:rFonts w:ascii="Palatino Linotype" w:eastAsia="Palatino Linotype" w:hAnsi="Palatino Linotype" w:cs="Palatino Linotype"/>
          <w:b/>
          <w:i/>
        </w:rPr>
        <w:t>serán procedentes para su trámite por parte del sujeto obligado ante quien se presente</w:t>
      </w:r>
      <w:r w:rsidRPr="00B67E98">
        <w:rPr>
          <w:rFonts w:ascii="Palatino Linotype" w:eastAsia="Palatino Linotype" w:hAnsi="Palatino Linotype" w:cs="Palatino Linotype"/>
          <w:i/>
        </w:rPr>
        <w:t>. No podrá requerirse información adicional con motivo del nombre proporcionado por el solicitante."</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rsidR="00C93C9A" w:rsidRPr="00B67E98" w:rsidRDefault="00C93C9A">
      <w:pPr>
        <w:ind w:left="1134" w:right="-787"/>
        <w:jc w:val="both"/>
        <w:rPr>
          <w:rFonts w:ascii="Palatino Linotype" w:eastAsia="Palatino Linotype" w:hAnsi="Palatino Linotype" w:cs="Palatino Linotype"/>
          <w:i/>
        </w:rPr>
      </w:pP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r w:rsidRPr="00B67E98">
        <w:rPr>
          <w:rFonts w:ascii="Palatino Linotype" w:eastAsia="Palatino Linotype" w:hAnsi="Palatino Linotype" w:cs="Palatino Linotype"/>
          <w:b/>
          <w:i/>
        </w:rPr>
        <w:t>Artículo 6.-</w:t>
      </w:r>
      <w:r w:rsidRPr="00B67E98">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Para efectos de lo dispuesto en el presente artículo se observará lo siguiente:</w:t>
      </w:r>
    </w:p>
    <w:p w:rsidR="00C93C9A" w:rsidRPr="00B67E98" w:rsidRDefault="00C93C9A">
      <w:pPr>
        <w:ind w:left="1134" w:right="-787"/>
        <w:jc w:val="both"/>
        <w:rPr>
          <w:rFonts w:ascii="Palatino Linotype" w:eastAsia="Palatino Linotype" w:hAnsi="Palatino Linotype" w:cs="Palatino Linotype"/>
          <w:i/>
        </w:rPr>
      </w:pP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C93C9A" w:rsidRPr="00B67E98" w:rsidRDefault="00C93C9A">
      <w:pPr>
        <w:ind w:left="1134" w:right="-787"/>
        <w:jc w:val="both"/>
        <w:rPr>
          <w:rFonts w:ascii="Palatino Linotype" w:eastAsia="Palatino Linotype" w:hAnsi="Palatino Linotype" w:cs="Palatino Linotype"/>
          <w:i/>
        </w:rPr>
      </w:pP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B67E98">
        <w:rPr>
          <w:rFonts w:ascii="Palatino Linotype" w:eastAsia="Palatino Linotype" w:hAnsi="Palatino Linotype" w:cs="Palatino Linotype"/>
        </w:rPr>
        <w:t>(Sic)</w:t>
      </w:r>
    </w:p>
    <w:p w:rsidR="00C93C9A" w:rsidRPr="00B67E98" w:rsidRDefault="00C93C9A">
      <w:pPr>
        <w:spacing w:line="360" w:lineRule="auto"/>
        <w:ind w:left="567" w:right="-787"/>
        <w:jc w:val="both"/>
        <w:rPr>
          <w:rFonts w:ascii="Palatino Linotype" w:eastAsia="Palatino Linotype" w:hAnsi="Palatino Linotype" w:cs="Palatino Linotype"/>
          <w:i/>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C93C9A" w:rsidRPr="00B67E98" w:rsidRDefault="00C93C9A">
      <w:pPr>
        <w:spacing w:line="360" w:lineRule="auto"/>
        <w:ind w:right="-787"/>
        <w:jc w:val="both"/>
        <w:rPr>
          <w:rFonts w:ascii="Palatino Linotype" w:eastAsia="Palatino Linotype" w:hAnsi="Palatino Linotype" w:cs="Palatino Linotype"/>
          <w:i/>
        </w:rPr>
      </w:pP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lastRenderedPageBreak/>
        <w:t>"</w:t>
      </w:r>
      <w:r w:rsidRPr="00B67E98">
        <w:rPr>
          <w:rFonts w:ascii="Palatino Linotype" w:eastAsia="Palatino Linotype" w:hAnsi="Palatino Linotype" w:cs="Palatino Linotype"/>
          <w:b/>
          <w:i/>
        </w:rPr>
        <w:t>Artículo 5.-</w:t>
      </w:r>
      <w:r w:rsidRPr="00B67E98">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B67E98">
        <w:rPr>
          <w:rFonts w:ascii="Palatino Linotype" w:eastAsia="Palatino Linotype" w:hAnsi="Palatino Linotype" w:cs="Palatino Linotype"/>
        </w:rPr>
        <w:t>(Sic)</w:t>
      </w:r>
    </w:p>
    <w:p w:rsidR="00C93C9A" w:rsidRPr="00B67E98" w:rsidRDefault="00C93C9A">
      <w:pPr>
        <w:spacing w:line="360" w:lineRule="auto"/>
        <w:ind w:left="426" w:right="-787"/>
        <w:jc w:val="both"/>
        <w:rPr>
          <w:rFonts w:ascii="Palatino Linotype" w:eastAsia="Palatino Linotype" w:hAnsi="Palatino Linotype" w:cs="Palatino Linotype"/>
          <w:i/>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Por otra parte, del contenido del artículo 1 de la Constitución Política de los Estados Unidos mexicanos, se destaca lo siguiente:</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r w:rsidRPr="00B67E98">
        <w:rPr>
          <w:rFonts w:ascii="Palatino Linotype" w:eastAsia="Palatino Linotype" w:hAnsi="Palatino Linotype" w:cs="Palatino Linotype"/>
          <w:b/>
          <w:i/>
        </w:rPr>
        <w:t>Artículo 1</w:t>
      </w:r>
      <w:r w:rsidRPr="00B67E98">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w:t>
      </w:r>
      <w:r w:rsidRPr="00B67E98">
        <w:rPr>
          <w:rFonts w:ascii="Palatino Linotype" w:eastAsia="Palatino Linotype" w:hAnsi="Palatino Linotype" w:cs="Palatino Linotype"/>
          <w:i/>
        </w:rPr>
        <w:lastRenderedPageBreak/>
        <w:t>ejercicio no podrá restringirse ni suspenderse, salvo en los casos y bajo las condiciones que esta Constitución establece.</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C93C9A" w:rsidRPr="00B67E98" w:rsidRDefault="00C93C9A">
      <w:pPr>
        <w:ind w:left="1134" w:right="-787"/>
        <w:jc w:val="both"/>
        <w:rPr>
          <w:rFonts w:ascii="Palatino Linotype" w:eastAsia="Palatino Linotype" w:hAnsi="Palatino Linotype" w:cs="Palatino Linotype"/>
          <w:i/>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B67E98">
        <w:rPr>
          <w:rFonts w:ascii="Palatino Linotype" w:eastAsia="Palatino Linotype" w:hAnsi="Palatino Linotype" w:cs="Palatino Linotype"/>
          <w:i/>
        </w:rPr>
        <w:t>derecho fundamental exime a quien lo ejerce</w:t>
      </w:r>
      <w:r w:rsidRPr="00B67E98">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En consecuencia, dado lo expuesto y fundado con anterioridad, se estima que el requisito relativo al nombre del </w:t>
      </w:r>
      <w:r w:rsidRPr="00B67E98">
        <w:rPr>
          <w:rFonts w:ascii="Palatino Linotype" w:eastAsia="Palatino Linotype" w:hAnsi="Palatino Linotype" w:cs="Palatino Linotype"/>
          <w:b/>
        </w:rPr>
        <w:t>RECURRENTE</w:t>
      </w:r>
      <w:r w:rsidRPr="00B67E98">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w:t>
      </w:r>
      <w:r w:rsidRPr="00B67E98">
        <w:rPr>
          <w:rFonts w:ascii="Palatino Linotype" w:eastAsia="Palatino Linotype" w:hAnsi="Palatino Linotype" w:cs="Palatino Linotype"/>
        </w:rPr>
        <w:lastRenderedPageBreak/>
        <w:t>acredita en las constancias electrónicas de los expedientes en revisión, de las que se desprende que la parte recurrente, es la misma que realizó la solicitud de acceso a la información pública que ahora se impugna.</w:t>
      </w:r>
    </w:p>
    <w:p w:rsidR="00C93C9A" w:rsidRPr="00B67E98" w:rsidRDefault="00C93C9A">
      <w:pPr>
        <w:ind w:right="-787"/>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93C9A" w:rsidRPr="00B67E98" w:rsidRDefault="00C93C9A">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rsidR="00C93C9A" w:rsidRPr="00B67E98" w:rsidRDefault="009F323A">
      <w:pPr>
        <w:pStyle w:val="Ttulo1"/>
        <w:spacing w:before="0" w:line="360" w:lineRule="auto"/>
        <w:ind w:right="-787"/>
        <w:rPr>
          <w:rFonts w:ascii="Palatino Linotype" w:eastAsia="Palatino Linotype" w:hAnsi="Palatino Linotype" w:cs="Palatino Linotype"/>
          <w:b/>
          <w:color w:val="000000"/>
          <w:sz w:val="24"/>
          <w:szCs w:val="24"/>
        </w:rPr>
      </w:pPr>
      <w:bookmarkStart w:id="9" w:name="_heading=h.4d34og8" w:colFirst="0" w:colLast="0"/>
      <w:bookmarkEnd w:id="9"/>
      <w:r w:rsidRPr="00B67E98">
        <w:rPr>
          <w:rFonts w:ascii="Palatino Linotype" w:eastAsia="Palatino Linotype" w:hAnsi="Palatino Linotype" w:cs="Palatino Linotype"/>
          <w:b/>
          <w:color w:val="000000"/>
          <w:sz w:val="24"/>
          <w:szCs w:val="24"/>
        </w:rPr>
        <w:t xml:space="preserve">TERCERO. Del planteamiento de la </w:t>
      </w:r>
      <w:r w:rsidRPr="00B67E98">
        <w:rPr>
          <w:rFonts w:ascii="Palatino Linotype" w:eastAsia="Palatino Linotype" w:hAnsi="Palatino Linotype" w:cs="Palatino Linotype"/>
          <w:b/>
          <w:i/>
          <w:color w:val="000000"/>
          <w:sz w:val="24"/>
          <w:szCs w:val="24"/>
        </w:rPr>
        <w:t>Litis</w:t>
      </w:r>
      <w:r w:rsidRPr="00B67E98">
        <w:rPr>
          <w:rFonts w:ascii="Palatino Linotype" w:eastAsia="Palatino Linotype" w:hAnsi="Palatino Linotype" w:cs="Palatino Linotype"/>
          <w:b/>
          <w:color w:val="000000"/>
          <w:sz w:val="24"/>
          <w:szCs w:val="24"/>
        </w:rPr>
        <w:t>.</w:t>
      </w:r>
    </w:p>
    <w:p w:rsidR="00C93C9A" w:rsidRPr="00B67E98" w:rsidRDefault="00C93C9A">
      <w:pPr>
        <w:spacing w:line="360" w:lineRule="auto"/>
        <w:ind w:right="-787"/>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Se solicitó tener acceso, a la información que a continuación se desagrega:</w:t>
      </w:r>
    </w:p>
    <w:p w:rsidR="00C93C9A" w:rsidRPr="00B67E98" w:rsidRDefault="00C93C9A">
      <w:pPr>
        <w:pBdr>
          <w:top w:val="nil"/>
          <w:left w:val="nil"/>
          <w:bottom w:val="nil"/>
          <w:right w:val="nil"/>
          <w:between w:val="nil"/>
        </w:pBdr>
        <w:ind w:left="426" w:right="-787"/>
        <w:jc w:val="both"/>
        <w:rPr>
          <w:rFonts w:ascii="Palatino Linotype" w:eastAsia="Palatino Linotype" w:hAnsi="Palatino Linotype" w:cs="Palatino Linotype"/>
          <w:b/>
          <w:color w:val="000000"/>
        </w:rPr>
      </w:pPr>
    </w:p>
    <w:p w:rsidR="00C93C9A" w:rsidRPr="00B67E98" w:rsidRDefault="009F323A">
      <w:pPr>
        <w:numPr>
          <w:ilvl w:val="0"/>
          <w:numId w:val="8"/>
        </w:numPr>
        <w:pBdr>
          <w:top w:val="nil"/>
          <w:left w:val="nil"/>
          <w:bottom w:val="nil"/>
          <w:right w:val="nil"/>
          <w:between w:val="nil"/>
        </w:pBdr>
        <w:ind w:right="-787"/>
        <w:jc w:val="both"/>
        <w:rPr>
          <w:rFonts w:ascii="Palatino Linotype" w:eastAsia="Palatino Linotype" w:hAnsi="Palatino Linotype" w:cs="Palatino Linotype"/>
          <w:b/>
          <w:i/>
          <w:color w:val="000000"/>
        </w:rPr>
      </w:pPr>
      <w:bookmarkStart w:id="10" w:name="_heading=h.2s8eyo1" w:colFirst="0" w:colLast="0"/>
      <w:bookmarkEnd w:id="10"/>
      <w:r w:rsidRPr="00B67E98">
        <w:rPr>
          <w:rFonts w:ascii="Palatino Linotype" w:eastAsia="Palatino Linotype" w:hAnsi="Palatino Linotype" w:cs="Palatino Linotype"/>
          <w:b/>
          <w:i/>
          <w:color w:val="000000"/>
        </w:rPr>
        <w:t xml:space="preserve">Del visor de nómina por sueldos y salarios y del visor de nómina por asimilados a salarios:  </w:t>
      </w:r>
    </w:p>
    <w:p w:rsidR="00C93C9A" w:rsidRPr="00B67E98" w:rsidRDefault="00C93C9A">
      <w:pPr>
        <w:pBdr>
          <w:top w:val="nil"/>
          <w:left w:val="nil"/>
          <w:bottom w:val="nil"/>
          <w:right w:val="nil"/>
          <w:between w:val="nil"/>
        </w:pBdr>
        <w:ind w:left="1931" w:right="-787"/>
        <w:jc w:val="both"/>
        <w:rPr>
          <w:rFonts w:ascii="Palatino Linotype" w:eastAsia="Palatino Linotype" w:hAnsi="Palatino Linotype" w:cs="Palatino Linotype"/>
          <w:b/>
          <w:i/>
          <w:color w:val="000000"/>
        </w:rPr>
      </w:pPr>
    </w:p>
    <w:p w:rsidR="00C93C9A" w:rsidRPr="00B67E98" w:rsidRDefault="009F323A">
      <w:pPr>
        <w:pBdr>
          <w:top w:val="nil"/>
          <w:left w:val="nil"/>
          <w:bottom w:val="nil"/>
          <w:right w:val="nil"/>
          <w:between w:val="nil"/>
        </w:pBdr>
        <w:ind w:left="1571"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1) Diferencia a cargo o a favor o en contra </w:t>
      </w:r>
    </w:p>
    <w:p w:rsidR="00C93C9A" w:rsidRPr="00B67E98" w:rsidRDefault="009F323A">
      <w:pPr>
        <w:pBdr>
          <w:top w:val="nil"/>
          <w:left w:val="nil"/>
          <w:bottom w:val="nil"/>
          <w:right w:val="nil"/>
          <w:between w:val="nil"/>
        </w:pBdr>
        <w:ind w:left="1571"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2) ISR retenido. </w:t>
      </w:r>
    </w:p>
    <w:p w:rsidR="00C93C9A" w:rsidRPr="00B67E98" w:rsidRDefault="00C93C9A">
      <w:pPr>
        <w:pBdr>
          <w:top w:val="nil"/>
          <w:left w:val="nil"/>
          <w:bottom w:val="nil"/>
          <w:right w:val="nil"/>
          <w:between w:val="nil"/>
        </w:pBdr>
        <w:ind w:left="1571" w:right="-787"/>
        <w:jc w:val="both"/>
        <w:rPr>
          <w:rFonts w:ascii="Palatino Linotype" w:eastAsia="Palatino Linotype" w:hAnsi="Palatino Linotype" w:cs="Palatino Linotype"/>
          <w:b/>
          <w:i/>
          <w:color w:val="000000"/>
        </w:rPr>
      </w:pPr>
    </w:p>
    <w:p w:rsidR="00C93C9A" w:rsidRPr="00B67E98" w:rsidRDefault="009F323A">
      <w:pPr>
        <w:numPr>
          <w:ilvl w:val="0"/>
          <w:numId w:val="8"/>
        </w:numPr>
        <w:pBdr>
          <w:top w:val="nil"/>
          <w:left w:val="nil"/>
          <w:bottom w:val="nil"/>
          <w:right w:val="nil"/>
          <w:between w:val="nil"/>
        </w:pBdr>
        <w:ind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Reporte emitido por la Secretaria de Finanzas del Estado que comprende desde el año 2015 a la fecha en el que se especifica el monto del ISR que se obtuvo en devolución. </w:t>
      </w:r>
    </w:p>
    <w:p w:rsidR="00C93C9A" w:rsidRPr="00B67E98" w:rsidRDefault="00C93C9A">
      <w:pPr>
        <w:pBdr>
          <w:top w:val="nil"/>
          <w:left w:val="nil"/>
          <w:bottom w:val="nil"/>
          <w:right w:val="nil"/>
          <w:between w:val="nil"/>
        </w:pBdr>
        <w:ind w:left="1931" w:right="-787"/>
        <w:jc w:val="both"/>
        <w:rPr>
          <w:rFonts w:ascii="Palatino Linotype" w:eastAsia="Palatino Linotype" w:hAnsi="Palatino Linotype" w:cs="Palatino Linotype"/>
          <w:b/>
          <w:i/>
          <w:color w:val="000000"/>
        </w:rPr>
      </w:pPr>
    </w:p>
    <w:p w:rsidR="00C93C9A" w:rsidRPr="00B67E98" w:rsidRDefault="009F323A">
      <w:pPr>
        <w:pBdr>
          <w:top w:val="nil"/>
          <w:left w:val="nil"/>
          <w:bottom w:val="nil"/>
          <w:right w:val="nil"/>
          <w:between w:val="nil"/>
        </w:pBdr>
        <w:ind w:left="1571" w:right="-787"/>
        <w:jc w:val="both"/>
        <w:rPr>
          <w:rFonts w:ascii="Palatino Linotype" w:eastAsia="Palatino Linotype" w:hAnsi="Palatino Linotype" w:cs="Palatino Linotype"/>
          <w:b/>
          <w:i/>
          <w:color w:val="000000"/>
        </w:rPr>
      </w:pPr>
      <w:bookmarkStart w:id="11" w:name="_heading=h.17dp8vu" w:colFirst="0" w:colLast="0"/>
      <w:bookmarkEnd w:id="11"/>
      <w:r w:rsidRPr="00B67E98">
        <w:rPr>
          <w:rFonts w:ascii="Palatino Linotype" w:eastAsia="Palatino Linotype" w:hAnsi="Palatino Linotype" w:cs="Palatino Linotype"/>
          <w:b/>
          <w:i/>
          <w:color w:val="000000"/>
        </w:rPr>
        <w:t xml:space="preserve">C) Reporte emitido por el software de contabilidad gubernamental en el que se pueda apreciar el control del saldo pendiente de recuperar del ISR participable. </w:t>
      </w:r>
    </w:p>
    <w:p w:rsidR="00C93C9A" w:rsidRPr="00B67E98" w:rsidRDefault="00C93C9A">
      <w:pPr>
        <w:pBdr>
          <w:top w:val="nil"/>
          <w:left w:val="nil"/>
          <w:bottom w:val="nil"/>
          <w:right w:val="nil"/>
          <w:between w:val="nil"/>
        </w:pBdr>
        <w:ind w:left="1571" w:right="-787"/>
        <w:jc w:val="both"/>
        <w:rPr>
          <w:rFonts w:ascii="Palatino Linotype" w:eastAsia="Palatino Linotype" w:hAnsi="Palatino Linotype" w:cs="Palatino Linotype"/>
          <w:b/>
          <w:i/>
          <w:color w:val="000000"/>
        </w:rPr>
      </w:pPr>
    </w:p>
    <w:p w:rsidR="00C93C9A" w:rsidRPr="00B67E98" w:rsidRDefault="00C93C9A">
      <w:pPr>
        <w:pBdr>
          <w:top w:val="nil"/>
          <w:left w:val="nil"/>
          <w:bottom w:val="nil"/>
          <w:right w:val="nil"/>
          <w:between w:val="nil"/>
        </w:pBdr>
        <w:ind w:left="851" w:right="-787"/>
        <w:jc w:val="both"/>
        <w:rPr>
          <w:rFonts w:ascii="Palatino Linotype" w:eastAsia="Palatino Linotype" w:hAnsi="Palatino Linotype" w:cs="Palatino Linotype"/>
          <w:b/>
          <w:i/>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lastRenderedPageBreak/>
        <w:t xml:space="preserve">En respuesta, el </w:t>
      </w:r>
      <w:r w:rsidRPr="00B67E98">
        <w:rPr>
          <w:rFonts w:ascii="Palatino Linotype" w:eastAsia="Palatino Linotype" w:hAnsi="Palatino Linotype" w:cs="Palatino Linotype"/>
          <w:b/>
        </w:rPr>
        <w:t xml:space="preserve">SUJETO OBLIGADO </w:t>
      </w:r>
      <w:r w:rsidRPr="00B67E98">
        <w:rPr>
          <w:rFonts w:ascii="Palatino Linotype" w:eastAsia="Palatino Linotype" w:hAnsi="Palatino Linotype" w:cs="Palatino Linotype"/>
        </w:rPr>
        <w:t xml:space="preserve">entregó la visores de nómina y salarios y de nómina por asimilados y salarios, así como el reporte de la Secretaría de Finanzas del 2015 al mes de septiembre de 2024, mismos que serán analizados en el apartado de estudio.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En dichas condiciones, la </w:t>
      </w:r>
      <w:r w:rsidRPr="00B67E98">
        <w:rPr>
          <w:rFonts w:ascii="Palatino Linotype" w:eastAsia="Palatino Linotype" w:hAnsi="Palatino Linotype" w:cs="Palatino Linotype"/>
          <w:i/>
        </w:rPr>
        <w:t>Litis</w:t>
      </w:r>
      <w:r w:rsidRPr="00B67E98">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B67E98">
        <w:rPr>
          <w:rFonts w:ascii="Palatino Linotype" w:eastAsia="Palatino Linotype" w:hAnsi="Palatino Linotype" w:cs="Palatino Linotype"/>
          <w:b/>
        </w:rPr>
        <w:t xml:space="preserve">fracción I </w:t>
      </w:r>
      <w:r w:rsidRPr="00B67E98">
        <w:rPr>
          <w:rFonts w:ascii="Palatino Linotype" w:eastAsia="Palatino Linotype" w:hAnsi="Palatino Linotype" w:cs="Palatino Linotype"/>
        </w:rPr>
        <w:t xml:space="preserve">de la </w:t>
      </w:r>
      <w:r w:rsidRPr="00B67E98">
        <w:rPr>
          <w:rFonts w:ascii="Palatino Linotype" w:eastAsia="Palatino Linotype" w:hAnsi="Palatino Linotype" w:cs="Palatino Linotype"/>
          <w:b/>
        </w:rPr>
        <w:t xml:space="preserve">Ley de Transparencia y Acceso a la Información Pública del Estado de </w:t>
      </w:r>
      <w:r w:rsidRPr="00B67E98">
        <w:rPr>
          <w:rFonts w:ascii="Palatino Linotype" w:eastAsia="Palatino Linotype" w:hAnsi="Palatino Linotype" w:cs="Palatino Linotype"/>
        </w:rPr>
        <w:t>México</w:t>
      </w:r>
      <w:r w:rsidRPr="00B67E98">
        <w:rPr>
          <w:rFonts w:ascii="Palatino Linotype" w:eastAsia="Palatino Linotype" w:hAnsi="Palatino Linotype" w:cs="Palatino Linotype"/>
          <w:b/>
        </w:rPr>
        <w:t xml:space="preserve"> y </w:t>
      </w:r>
      <w:r w:rsidRPr="00B67E98">
        <w:rPr>
          <w:rFonts w:ascii="Palatino Linotype" w:eastAsia="Palatino Linotype" w:hAnsi="Palatino Linotype" w:cs="Palatino Linotype"/>
        </w:rPr>
        <w:t xml:space="preserve">Municipios; </w:t>
      </w:r>
      <w:r w:rsidRPr="00B67E98">
        <w:rPr>
          <w:rFonts w:ascii="Palatino Linotype" w:eastAsia="Palatino Linotype" w:hAnsi="Palatino Linotype" w:cs="Palatino Linotype"/>
          <w:color w:val="000000"/>
        </w:rPr>
        <w:t xml:space="preserve">fracción que determina la hipótesis jurídica relativa negativa de la información por parte del </w:t>
      </w:r>
      <w:r w:rsidRPr="00B67E98">
        <w:rPr>
          <w:rFonts w:ascii="Palatino Linotype" w:eastAsia="Palatino Linotype" w:hAnsi="Palatino Linotype" w:cs="Palatino Linotype"/>
          <w:b/>
          <w:color w:val="000000"/>
        </w:rPr>
        <w:t>SUJETO OBLIGADO</w:t>
      </w:r>
      <w:r w:rsidRPr="00B67E98">
        <w:rPr>
          <w:rFonts w:ascii="Palatino Linotype" w:eastAsia="Palatino Linotype" w:hAnsi="Palatino Linotype" w:cs="Palatino Linotype"/>
          <w:color w:val="000000"/>
        </w:rPr>
        <w:t xml:space="preserve">; </w:t>
      </w:r>
      <w:r w:rsidRPr="00B67E98">
        <w:rPr>
          <w:rFonts w:ascii="Palatino Linotype" w:eastAsia="Palatino Linotype" w:hAnsi="Palatino Linotype" w:cs="Palatino Linotype"/>
        </w:rPr>
        <w:t xml:space="preserve">contexto del cual se dolió </w:t>
      </w:r>
      <w:r w:rsidRPr="00B67E98">
        <w:rPr>
          <w:rFonts w:ascii="Palatino Linotype" w:eastAsia="Palatino Linotype" w:hAnsi="Palatino Linotype" w:cs="Palatino Linotype"/>
          <w:b/>
        </w:rPr>
        <w:t xml:space="preserve">EL RECURRENTE </w:t>
      </w:r>
      <w:r w:rsidRPr="00B67E98">
        <w:rPr>
          <w:rFonts w:ascii="Palatino Linotype" w:eastAsia="Palatino Linotype" w:hAnsi="Palatino Linotype" w:cs="Palatino Linotype"/>
        </w:rPr>
        <w:t>al momento de interponer su inconformidad.</w:t>
      </w:r>
      <w:r w:rsidRPr="00B67E98">
        <w:rPr>
          <w:rFonts w:ascii="Palatino Linotype" w:eastAsia="Palatino Linotype" w:hAnsi="Palatino Linotype" w:cs="Palatino Linotype"/>
          <w:color w:val="000000"/>
        </w:rPr>
        <w:t xml:space="preserve"> De modo tal que el presente recurso de revisión se </w:t>
      </w:r>
      <w:r w:rsidRPr="00B67E98">
        <w:rPr>
          <w:rFonts w:ascii="Palatino Linotype" w:eastAsia="Palatino Linotype" w:hAnsi="Palatino Linotype" w:cs="Palatino Linotype"/>
        </w:rPr>
        <w:t>abocará</w:t>
      </w:r>
      <w:r w:rsidRPr="00B67E98">
        <w:rPr>
          <w:rFonts w:ascii="Palatino Linotype" w:eastAsia="Palatino Linotype" w:hAnsi="Palatino Linotype" w:cs="Palatino Linotype"/>
          <w:color w:val="000000"/>
        </w:rPr>
        <w:t xml:space="preserve"> en determinar si el </w:t>
      </w:r>
      <w:r w:rsidRPr="00B67E98">
        <w:rPr>
          <w:rFonts w:ascii="Palatino Linotype" w:eastAsia="Palatino Linotype" w:hAnsi="Palatino Linotype" w:cs="Palatino Linotype"/>
          <w:b/>
          <w:color w:val="000000"/>
        </w:rPr>
        <w:t>SUJETO</w:t>
      </w:r>
      <w:r w:rsidRPr="00B67E98">
        <w:rPr>
          <w:rFonts w:ascii="Palatino Linotype" w:eastAsia="Palatino Linotype" w:hAnsi="Palatino Linotype" w:cs="Palatino Linotype"/>
          <w:color w:val="000000"/>
        </w:rPr>
        <w:t xml:space="preserve"> </w:t>
      </w:r>
      <w:r w:rsidRPr="00B67E98">
        <w:rPr>
          <w:rFonts w:ascii="Palatino Linotype" w:eastAsia="Palatino Linotype" w:hAnsi="Palatino Linotype" w:cs="Palatino Linotype"/>
          <w:b/>
          <w:color w:val="000000"/>
        </w:rPr>
        <w:t>OBLIGADO</w:t>
      </w:r>
      <w:r w:rsidRPr="00B67E98">
        <w:rPr>
          <w:rFonts w:ascii="Palatino Linotype" w:eastAsia="Palatino Linotype" w:hAnsi="Palatino Linotype" w:cs="Palatino Linotype"/>
          <w:color w:val="000000"/>
        </w:rPr>
        <w:t xml:space="preserve"> con su respuesta ciertamente actualiza la causal de procedencia</w:t>
      </w:r>
      <w:r w:rsidRPr="00B67E98">
        <w:rPr>
          <w:rFonts w:ascii="Palatino Linotype" w:eastAsia="Palatino Linotype" w:hAnsi="Palatino Linotype" w:cs="Palatino Linotype"/>
          <w:b/>
          <w:color w:val="000000"/>
        </w:rPr>
        <w:t xml:space="preserve"> </w:t>
      </w:r>
      <w:r w:rsidRPr="00B67E98">
        <w:rPr>
          <w:rFonts w:ascii="Palatino Linotype" w:eastAsia="Palatino Linotype" w:hAnsi="Palatino Linotype" w:cs="Palatino Linotype"/>
          <w:color w:val="000000"/>
        </w:rPr>
        <w:t xml:space="preserve">antes señalada. </w:t>
      </w:r>
    </w:p>
    <w:p w:rsidR="00C93C9A" w:rsidRPr="00B67E98" w:rsidRDefault="00C93C9A">
      <w:pPr>
        <w:spacing w:line="360" w:lineRule="auto"/>
        <w:ind w:right="-787"/>
        <w:rPr>
          <w:rFonts w:ascii="Palatino Linotype" w:eastAsia="Palatino Linotype" w:hAnsi="Palatino Linotype" w:cs="Palatino Linotype"/>
        </w:rPr>
      </w:pPr>
    </w:p>
    <w:p w:rsidR="00C93C9A" w:rsidRPr="00B67E98" w:rsidRDefault="009F323A">
      <w:pPr>
        <w:pStyle w:val="Ttulo2"/>
        <w:spacing w:before="0" w:line="360" w:lineRule="auto"/>
        <w:ind w:right="-787"/>
        <w:rPr>
          <w:rFonts w:ascii="Palatino Linotype" w:eastAsia="Palatino Linotype" w:hAnsi="Palatino Linotype" w:cs="Palatino Linotype"/>
          <w:b/>
          <w:color w:val="000000"/>
          <w:sz w:val="24"/>
          <w:szCs w:val="24"/>
        </w:rPr>
      </w:pPr>
      <w:bookmarkStart w:id="12" w:name="_heading=h.3rdcrjn" w:colFirst="0" w:colLast="0"/>
      <w:bookmarkEnd w:id="12"/>
      <w:r w:rsidRPr="00B67E98">
        <w:rPr>
          <w:rFonts w:ascii="Palatino Linotype" w:eastAsia="Palatino Linotype" w:hAnsi="Palatino Linotype" w:cs="Palatino Linotype"/>
          <w:b/>
          <w:color w:val="000000"/>
          <w:sz w:val="24"/>
          <w:szCs w:val="24"/>
        </w:rPr>
        <w:t>CUARTO. Del estudio y resolución del asunto.</w:t>
      </w:r>
    </w:p>
    <w:p w:rsidR="00C93C9A" w:rsidRPr="00B67E98" w:rsidRDefault="00C93C9A">
      <w:pPr>
        <w:spacing w:line="360" w:lineRule="auto"/>
        <w:ind w:right="-787"/>
        <w:rPr>
          <w:rFonts w:ascii="Palatino Linotype" w:eastAsia="Palatino Linotype" w:hAnsi="Palatino Linotype" w:cs="Palatino Linotype"/>
        </w:rPr>
      </w:pPr>
    </w:p>
    <w:p w:rsidR="00C93C9A" w:rsidRPr="00B67E98" w:rsidRDefault="009F323A">
      <w:pPr>
        <w:pStyle w:val="Ttulo1"/>
        <w:numPr>
          <w:ilvl w:val="0"/>
          <w:numId w:val="1"/>
        </w:numPr>
        <w:spacing w:before="0" w:after="240" w:line="360" w:lineRule="auto"/>
        <w:ind w:left="786" w:right="-787" w:hanging="360"/>
        <w:rPr>
          <w:rFonts w:ascii="Palatino Linotype" w:eastAsia="Palatino Linotype" w:hAnsi="Palatino Linotype" w:cs="Palatino Linotype"/>
          <w:b/>
          <w:color w:val="000000"/>
          <w:sz w:val="24"/>
          <w:szCs w:val="24"/>
        </w:rPr>
      </w:pPr>
      <w:bookmarkStart w:id="13" w:name="_heading=h.26in1rg" w:colFirst="0" w:colLast="0"/>
      <w:bookmarkEnd w:id="13"/>
      <w:r w:rsidRPr="00B67E98">
        <w:rPr>
          <w:rFonts w:ascii="Palatino Linotype" w:eastAsia="Palatino Linotype" w:hAnsi="Palatino Linotype" w:cs="Palatino Linotype"/>
          <w:b/>
          <w:color w:val="000000"/>
          <w:sz w:val="24"/>
          <w:szCs w:val="24"/>
        </w:rPr>
        <w:t>Del derecho de acceso a la información.</w:t>
      </w: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C93C9A" w:rsidRPr="00B67E98" w:rsidRDefault="00C93C9A">
      <w:pPr>
        <w:pBdr>
          <w:top w:val="nil"/>
          <w:left w:val="nil"/>
          <w:bottom w:val="nil"/>
          <w:right w:val="nil"/>
          <w:between w:val="nil"/>
        </w:pBdr>
        <w:spacing w:after="240" w:line="360" w:lineRule="auto"/>
        <w:ind w:right="-787"/>
        <w:jc w:val="both"/>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lastRenderedPageBreak/>
        <w:t xml:space="preserve">Definiendo el Derecho de Acceso a la Información Pública como: </w:t>
      </w:r>
      <w:r w:rsidRPr="00B67E98">
        <w:rPr>
          <w:rFonts w:ascii="Palatino Linotype" w:eastAsia="Palatino Linotype" w:hAnsi="Palatino Linotype" w:cs="Palatino Linotype"/>
          <w:i/>
          <w:color w:val="000000"/>
        </w:rPr>
        <w:t>La igualdad de oportunidades para recibir, buscar e impartir información</w:t>
      </w:r>
      <w:r w:rsidRPr="00B67E98">
        <w:rPr>
          <w:rFonts w:ascii="Palatino Linotype" w:eastAsia="Palatino Linotype" w:hAnsi="Palatino Linotype" w:cs="Palatino Linotype"/>
          <w:i/>
          <w:vertAlign w:val="superscript"/>
        </w:rPr>
        <w:footnoteReference w:id="1"/>
      </w:r>
      <w:r w:rsidRPr="00B67E98">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67E98">
        <w:rPr>
          <w:rFonts w:ascii="Palatino Linotype" w:eastAsia="Palatino Linotype" w:hAnsi="Palatino Linotype" w:cs="Palatino Linotype"/>
          <w:i/>
          <w:vertAlign w:val="superscript"/>
        </w:rPr>
        <w:footnoteReference w:id="2"/>
      </w:r>
      <w:r w:rsidRPr="00B67E98">
        <w:rPr>
          <w:rFonts w:ascii="Palatino Linotype" w:eastAsia="Palatino Linotype" w:hAnsi="Palatino Linotype" w:cs="Palatino Linotype"/>
          <w:color w:val="000000"/>
        </w:rPr>
        <w:t>que se constituye como una herramienta fundamental para ejercer</w:t>
      </w:r>
      <w:r w:rsidRPr="00B67E98">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B67E98">
        <w:rPr>
          <w:rFonts w:ascii="Palatino Linotype" w:eastAsia="Palatino Linotype" w:hAnsi="Palatino Linotype" w:cs="Palatino Linotype"/>
          <w:i/>
          <w:vertAlign w:val="superscript"/>
        </w:rPr>
        <w:footnoteReference w:id="3"/>
      </w:r>
      <w:r w:rsidRPr="00B67E98">
        <w:rPr>
          <w:rFonts w:ascii="Palatino Linotype" w:eastAsia="Palatino Linotype" w:hAnsi="Palatino Linotype" w:cs="Palatino Linotype"/>
          <w:color w:val="000000"/>
        </w:rPr>
        <w:t>fomentando</w:t>
      </w:r>
      <w:r w:rsidRPr="00B67E98">
        <w:rPr>
          <w:rFonts w:ascii="Palatino Linotype" w:eastAsia="Palatino Linotype" w:hAnsi="Palatino Linotype" w:cs="Palatino Linotype"/>
          <w:i/>
          <w:color w:val="000000"/>
        </w:rPr>
        <w:t xml:space="preserve"> la transparencia de las actividades estatales y </w:t>
      </w:r>
      <w:r w:rsidRPr="00B67E98">
        <w:rPr>
          <w:rFonts w:ascii="Palatino Linotype" w:eastAsia="Palatino Linotype" w:hAnsi="Palatino Linotype" w:cs="Palatino Linotype"/>
          <w:color w:val="000000"/>
        </w:rPr>
        <w:t>promoviendo</w:t>
      </w:r>
      <w:r w:rsidRPr="00B67E98">
        <w:rPr>
          <w:rFonts w:ascii="Palatino Linotype" w:eastAsia="Palatino Linotype" w:hAnsi="Palatino Linotype" w:cs="Palatino Linotype"/>
          <w:i/>
          <w:color w:val="000000"/>
        </w:rPr>
        <w:t xml:space="preserve"> la responsabilidad de los funcionarios sobre su gestión pública,</w:t>
      </w:r>
      <w:r w:rsidRPr="00B67E98">
        <w:rPr>
          <w:rFonts w:ascii="Palatino Linotype" w:eastAsia="Palatino Linotype" w:hAnsi="Palatino Linotype" w:cs="Palatino Linotype"/>
          <w:i/>
          <w:vertAlign w:val="superscript"/>
        </w:rPr>
        <w:footnoteReference w:id="4"/>
      </w:r>
      <w:r w:rsidRPr="00B67E98">
        <w:rPr>
          <w:rFonts w:ascii="Palatino Linotype" w:eastAsia="Palatino Linotype" w:hAnsi="Palatino Linotype" w:cs="Palatino Linotype"/>
          <w:color w:val="000000"/>
        </w:rPr>
        <w:t>que permite</w:t>
      </w:r>
      <w:r w:rsidRPr="00B67E98">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C93C9A" w:rsidRPr="00B67E98" w:rsidRDefault="00C93C9A">
      <w:pPr>
        <w:ind w:right="-787"/>
        <w:jc w:val="both"/>
        <w:rPr>
          <w:rFonts w:ascii="Palatino Linotype" w:eastAsia="Palatino Linotype" w:hAnsi="Palatino Linotype" w:cs="Palatino Linotype"/>
        </w:rPr>
      </w:pP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r w:rsidRPr="00B67E98">
        <w:rPr>
          <w:rFonts w:ascii="Palatino Linotype" w:eastAsia="Palatino Linotype" w:hAnsi="Palatino Linotype" w:cs="Palatino Linotype"/>
          <w:b/>
          <w:i/>
        </w:rPr>
        <w:t>Artículo 1.-</w:t>
      </w:r>
      <w:r w:rsidRPr="00B67E98">
        <w:rPr>
          <w:rFonts w:ascii="Palatino Linotype" w:eastAsia="Palatino Linotype" w:hAnsi="Palatino Linotype" w:cs="Palatino Linotype"/>
          <w:i/>
        </w:rPr>
        <w:t xml:space="preserve"> </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Todas las</w:t>
      </w:r>
      <w:r w:rsidRPr="00B67E98">
        <w:rPr>
          <w:rFonts w:ascii="Palatino Linotype" w:eastAsia="Palatino Linotype" w:hAnsi="Palatino Linotype" w:cs="Palatino Linotype"/>
        </w:rPr>
        <w:t xml:space="preserve"> </w:t>
      </w:r>
      <w:r w:rsidRPr="00B67E98">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93C9A" w:rsidRPr="00B67E98" w:rsidRDefault="009F323A">
      <w:pPr>
        <w:ind w:left="1134" w:right="-787"/>
        <w:jc w:val="both"/>
        <w:rPr>
          <w:rFonts w:ascii="Palatino Linotype" w:eastAsia="Palatino Linotype" w:hAnsi="Palatino Linotype" w:cs="Palatino Linotype"/>
        </w:rPr>
      </w:pPr>
      <w:r w:rsidRPr="00B67E98">
        <w:rPr>
          <w:rFonts w:ascii="Palatino Linotype" w:eastAsia="Palatino Linotype" w:hAnsi="Palatino Linotype" w:cs="Palatino Linotype"/>
          <w:i/>
        </w:rPr>
        <w:lastRenderedPageBreak/>
        <w:t>(…)</w:t>
      </w:r>
      <w:r w:rsidRPr="00B67E98">
        <w:rPr>
          <w:rFonts w:ascii="Palatino Linotype" w:eastAsia="Palatino Linotype" w:hAnsi="Palatino Linotype" w:cs="Palatino Linotype"/>
        </w:rPr>
        <w:t>”.</w:t>
      </w:r>
    </w:p>
    <w:p w:rsidR="00C93C9A" w:rsidRPr="00B67E98" w:rsidRDefault="00C93C9A">
      <w:pPr>
        <w:ind w:right="-787"/>
        <w:jc w:val="both"/>
        <w:rPr>
          <w:rFonts w:ascii="Palatino Linotype" w:eastAsia="Palatino Linotype" w:hAnsi="Palatino Linotype" w:cs="Palatino Linotype"/>
          <w:b/>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spacing w:after="240"/>
        <w:ind w:left="1134" w:right="-787"/>
        <w:jc w:val="both"/>
        <w:rPr>
          <w:rFonts w:ascii="Palatino Linotype" w:eastAsia="Palatino Linotype" w:hAnsi="Palatino Linotype" w:cs="Palatino Linotype"/>
          <w:b/>
          <w:i/>
        </w:rPr>
      </w:pPr>
      <w:r w:rsidRPr="00B67E98">
        <w:rPr>
          <w:rFonts w:ascii="Palatino Linotype" w:eastAsia="Palatino Linotype" w:hAnsi="Palatino Linotype" w:cs="Palatino Linotype"/>
          <w:b/>
          <w:i/>
        </w:rPr>
        <w:t>Constitución Política de los Estados Unidos Mexicanos</w:t>
      </w:r>
    </w:p>
    <w:p w:rsidR="00C93C9A" w:rsidRPr="00B67E98" w:rsidRDefault="009F323A">
      <w:pPr>
        <w:spacing w:before="240" w:after="240"/>
        <w:ind w:left="1134" w:right="-787"/>
        <w:jc w:val="both"/>
        <w:rPr>
          <w:rFonts w:ascii="Palatino Linotype" w:eastAsia="Palatino Linotype" w:hAnsi="Palatino Linotype" w:cs="Palatino Linotype"/>
          <w:b/>
          <w:i/>
        </w:rPr>
      </w:pPr>
      <w:r w:rsidRPr="00B67E98">
        <w:rPr>
          <w:rFonts w:ascii="Palatino Linotype" w:eastAsia="Palatino Linotype" w:hAnsi="Palatino Linotype" w:cs="Palatino Linotype"/>
          <w:b/>
          <w:i/>
        </w:rPr>
        <w:t>“Artículo 6.</w:t>
      </w:r>
    </w:p>
    <w:p w:rsidR="00C93C9A" w:rsidRPr="00B67E98" w:rsidRDefault="009F323A">
      <w:pPr>
        <w:spacing w:before="240" w:after="24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spacing w:before="240" w:after="24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Para efectos de lo dispuesto en el presente artículo se observará lo siguiente:</w:t>
      </w:r>
    </w:p>
    <w:p w:rsidR="00C93C9A" w:rsidRPr="00B67E98" w:rsidRDefault="009F323A">
      <w:pPr>
        <w:spacing w:before="240" w:after="240"/>
        <w:ind w:left="1134" w:right="-787"/>
        <w:jc w:val="both"/>
        <w:rPr>
          <w:rFonts w:ascii="Palatino Linotype" w:eastAsia="Palatino Linotype" w:hAnsi="Palatino Linotype" w:cs="Palatino Linotype"/>
          <w:b/>
          <w:i/>
        </w:rPr>
      </w:pPr>
      <w:r w:rsidRPr="00B67E98">
        <w:rPr>
          <w:rFonts w:ascii="Palatino Linotype" w:eastAsia="Palatino Linotype" w:hAnsi="Palatino Linotype" w:cs="Palatino Linotype"/>
          <w:b/>
          <w:i/>
        </w:rPr>
        <w:t>A</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rPr>
        <w:t>Para el ejercicio del derecho de acceso a la información</w:t>
      </w:r>
      <w:r w:rsidRPr="00B67E98">
        <w:rPr>
          <w:rFonts w:ascii="Palatino Linotype" w:eastAsia="Palatino Linotype" w:hAnsi="Palatino Linotype" w:cs="Palatino Linotype"/>
          <w:i/>
        </w:rPr>
        <w:t xml:space="preserve">, la Federación y </w:t>
      </w:r>
      <w:r w:rsidRPr="00B67E98">
        <w:rPr>
          <w:rFonts w:ascii="Palatino Linotype" w:eastAsia="Palatino Linotype" w:hAnsi="Palatino Linotype" w:cs="Palatino Linotype"/>
          <w:b/>
          <w:i/>
        </w:rPr>
        <w:t>las entidades federativas, en el ámbito de sus respectivas competencias, se regirán por los siguientes principios y bases:</w:t>
      </w:r>
    </w:p>
    <w:p w:rsidR="00C93C9A" w:rsidRPr="00B67E98" w:rsidRDefault="009F323A">
      <w:pPr>
        <w:spacing w:before="240" w:after="24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 xml:space="preserve">I. </w:t>
      </w:r>
      <w:r w:rsidRPr="00B67E98">
        <w:rPr>
          <w:rFonts w:ascii="Palatino Linotype" w:eastAsia="Palatino Linotype" w:hAnsi="Palatino Linotype" w:cs="Palatino Linotype"/>
          <w:b/>
          <w:i/>
        </w:rPr>
        <w:tab/>
        <w:t>Toda la información en posesión de cualquier</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rPr>
        <w:t>autoridad</w:t>
      </w:r>
      <w:r w:rsidRPr="00B67E98">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67E98">
        <w:rPr>
          <w:rFonts w:ascii="Palatino Linotype" w:eastAsia="Palatino Linotype" w:hAnsi="Palatino Linotype" w:cs="Palatino Linotype"/>
          <w:b/>
          <w:i/>
        </w:rPr>
        <w:t>municipal</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rPr>
        <w:t>es pública</w:t>
      </w:r>
      <w:r w:rsidRPr="00B67E98">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B67E98">
        <w:rPr>
          <w:rFonts w:ascii="Palatino Linotype" w:eastAsia="Palatino Linotype" w:hAnsi="Palatino Linotype" w:cs="Palatino Linotype"/>
          <w:b/>
          <w:i/>
        </w:rPr>
        <w:t xml:space="preserve">En la </w:t>
      </w:r>
      <w:r w:rsidRPr="00B67E98">
        <w:rPr>
          <w:rFonts w:ascii="Palatino Linotype" w:eastAsia="Palatino Linotype" w:hAnsi="Palatino Linotype" w:cs="Palatino Linotype"/>
          <w:b/>
          <w:i/>
        </w:rPr>
        <w:lastRenderedPageBreak/>
        <w:t>interpretación de este derecho deberá prevalecer el principio de máxima publicidad. Los sujetos obligados deberán documentar todo acto que derive del ejercicio de sus facultades, competencias o funciones</w:t>
      </w:r>
      <w:r w:rsidRPr="00B67E98">
        <w:rPr>
          <w:rFonts w:ascii="Palatino Linotype" w:eastAsia="Palatino Linotype" w:hAnsi="Palatino Linotype" w:cs="Palatino Linotype"/>
          <w:i/>
        </w:rPr>
        <w:t>, la ley determinará los supuestos específicos bajo los cuales procederá la declaración de inexistencia de la información.”</w:t>
      </w:r>
    </w:p>
    <w:p w:rsidR="00C93C9A" w:rsidRPr="00B67E98" w:rsidRDefault="00C93C9A">
      <w:pPr>
        <w:pBdr>
          <w:top w:val="nil"/>
          <w:left w:val="nil"/>
          <w:bottom w:val="nil"/>
          <w:right w:val="nil"/>
          <w:between w:val="nil"/>
        </w:pBdr>
        <w:tabs>
          <w:tab w:val="left" w:pos="567"/>
        </w:tabs>
        <w:spacing w:before="240" w:after="240"/>
        <w:ind w:left="1134" w:right="-787"/>
        <w:jc w:val="both"/>
        <w:rPr>
          <w:rFonts w:ascii="Palatino Linotype" w:eastAsia="Palatino Linotype" w:hAnsi="Palatino Linotype" w:cs="Palatino Linotype"/>
          <w:b/>
          <w:i/>
          <w:color w:val="000000"/>
        </w:rPr>
      </w:pPr>
    </w:p>
    <w:p w:rsidR="00C93C9A" w:rsidRPr="00B67E98" w:rsidRDefault="009F323A">
      <w:pPr>
        <w:spacing w:before="240" w:after="240"/>
        <w:ind w:left="1134" w:right="-787"/>
        <w:jc w:val="both"/>
        <w:rPr>
          <w:rFonts w:ascii="Palatino Linotype" w:eastAsia="Palatino Linotype" w:hAnsi="Palatino Linotype" w:cs="Palatino Linotype"/>
          <w:b/>
          <w:i/>
        </w:rPr>
      </w:pPr>
      <w:r w:rsidRPr="00B67E98">
        <w:rPr>
          <w:rFonts w:ascii="Palatino Linotype" w:eastAsia="Palatino Linotype" w:hAnsi="Palatino Linotype" w:cs="Palatino Linotype"/>
          <w:b/>
          <w:i/>
        </w:rPr>
        <w:t>Constitución Política del Estado Libre y Soberano de México</w:t>
      </w:r>
    </w:p>
    <w:p w:rsidR="00C93C9A" w:rsidRPr="00B67E98" w:rsidRDefault="009F323A">
      <w:pPr>
        <w:spacing w:before="240" w:after="24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“Artículo 5</w:t>
      </w:r>
      <w:r w:rsidRPr="00B67E98">
        <w:rPr>
          <w:rFonts w:ascii="Palatino Linotype" w:eastAsia="Palatino Linotype" w:hAnsi="Palatino Linotype" w:cs="Palatino Linotype"/>
          <w:i/>
        </w:rPr>
        <w:t xml:space="preserve">.- </w:t>
      </w:r>
    </w:p>
    <w:p w:rsidR="00C93C9A" w:rsidRPr="00B67E98" w:rsidRDefault="009F323A">
      <w:pPr>
        <w:spacing w:before="240" w:after="24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spacing w:before="240" w:after="24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B67E98">
        <w:rPr>
          <w:rFonts w:ascii="Palatino Linotype" w:eastAsia="Palatino Linotype" w:hAnsi="Palatino Linotype" w:cs="Palatino Linotype"/>
          <w:i/>
        </w:rPr>
        <w:t>.</w:t>
      </w:r>
    </w:p>
    <w:p w:rsidR="00C93C9A" w:rsidRPr="00B67E98" w:rsidRDefault="009F323A">
      <w:pPr>
        <w:spacing w:before="240" w:after="24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93C9A" w:rsidRPr="00B67E98" w:rsidRDefault="009F323A">
      <w:pPr>
        <w:spacing w:before="240" w:after="24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Este derecho se regirá por los principios y bases siguientes</w:t>
      </w:r>
      <w:r w:rsidRPr="00B67E98">
        <w:rPr>
          <w:rFonts w:ascii="Palatino Linotype" w:eastAsia="Palatino Linotype" w:hAnsi="Palatino Linotype" w:cs="Palatino Linotype"/>
          <w:i/>
        </w:rPr>
        <w:t>:</w:t>
      </w:r>
    </w:p>
    <w:p w:rsidR="00C93C9A" w:rsidRPr="00B67E98" w:rsidRDefault="009F323A">
      <w:pPr>
        <w:spacing w:before="240" w:after="24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I. Toda la información en posesión de cualquier autoridad, entidad, órgano y organismos de los</w:t>
      </w:r>
      <w:r w:rsidRPr="00B67E98">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B67E98">
        <w:rPr>
          <w:rFonts w:ascii="Palatino Linotype" w:eastAsia="Palatino Linotype" w:hAnsi="Palatino Linotype" w:cs="Palatino Linotype"/>
          <w:b/>
          <w:i/>
        </w:rPr>
        <w:t>municipales</w:t>
      </w:r>
      <w:r w:rsidRPr="00B67E98">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67E98">
        <w:rPr>
          <w:rFonts w:ascii="Palatino Linotype" w:eastAsia="Palatino Linotype" w:hAnsi="Palatino Linotype" w:cs="Palatino Linotype"/>
          <w:b/>
          <w:i/>
        </w:rPr>
        <w:t>es pública</w:t>
      </w:r>
      <w:r w:rsidRPr="00B67E98">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B67E98">
        <w:rPr>
          <w:rFonts w:ascii="Palatino Linotype" w:eastAsia="Palatino Linotype" w:hAnsi="Palatino Linotype" w:cs="Palatino Linotype"/>
          <w:b/>
          <w:i/>
        </w:rPr>
        <w:t>En la interpretación de este derecho deberá prevalecer el principio de máxima publicidad</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rPr>
        <w:t>Los sujetos obligados deberán documentar todo acto que derive del ejercicio de sus facultades, competencias o funciones</w:t>
      </w:r>
      <w:r w:rsidRPr="00B67E98">
        <w:rPr>
          <w:rFonts w:ascii="Palatino Linotype" w:eastAsia="Palatino Linotype" w:hAnsi="Palatino Linotype" w:cs="Palatino Linotype"/>
          <w:i/>
        </w:rPr>
        <w:t>, la ley determinará los supuestos específicos bajo los cuales procederá la declaración de inexistencia de la información.”</w:t>
      </w:r>
    </w:p>
    <w:p w:rsidR="00C93C9A" w:rsidRPr="00B67E98" w:rsidRDefault="00C93C9A">
      <w:pPr>
        <w:tabs>
          <w:tab w:val="left" w:pos="567"/>
        </w:tabs>
        <w:spacing w:before="240" w:after="240"/>
        <w:ind w:right="-787"/>
        <w:jc w:val="both"/>
        <w:rPr>
          <w:rFonts w:ascii="Palatino Linotype" w:eastAsia="Palatino Linotype" w:hAnsi="Palatino Linotype" w:cs="Palatino Linotype"/>
          <w:b/>
          <w:i/>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B67E98">
        <w:rPr>
          <w:rFonts w:ascii="Palatino Linotype" w:eastAsia="Palatino Linotype" w:hAnsi="Palatino Linotype" w:cs="Palatino Linotype"/>
          <w:i/>
        </w:rPr>
        <w:t>por los principios de simplicidad, rapidez gratuidad del procedimiento, auxilio y orientación a los particulares</w:t>
      </w:r>
      <w:r w:rsidRPr="00B67E98">
        <w:rPr>
          <w:rFonts w:ascii="Palatino Linotype" w:eastAsia="Palatino Linotype" w:hAnsi="Palatino Linotype" w:cs="Palatino Linotype"/>
        </w:rPr>
        <w:t>, contemplando el derecho de las personas con discapacidad y hablantes de lengua indígena.</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El Derecho de Acceso a la Información se garantiza y respeta oportunamente, y según lo que dispone la Ley, las </w:t>
      </w:r>
      <w:r w:rsidRPr="00B67E98">
        <w:rPr>
          <w:rFonts w:ascii="Palatino Linotype" w:eastAsia="Palatino Linotype" w:hAnsi="Palatino Linotype" w:cs="Palatino Linotype"/>
          <w:i/>
        </w:rPr>
        <w:t>solicitudes de acceso a la información</w:t>
      </w:r>
      <w:r w:rsidRPr="00B67E98">
        <w:rPr>
          <w:rFonts w:ascii="Palatino Linotype" w:eastAsia="Palatino Linotype" w:hAnsi="Palatino Linotype" w:cs="Palatino Linotype"/>
        </w:rPr>
        <w:t>.</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bookmarkStart w:id="14" w:name="_heading=h.lnxbz9" w:colFirst="0" w:colLast="0"/>
      <w:bookmarkEnd w:id="14"/>
      <w:r w:rsidRPr="00B67E98">
        <w:rPr>
          <w:rFonts w:ascii="Palatino Linotype" w:eastAsia="Palatino Linotype" w:hAnsi="Palatino Linotype" w:cs="Palatino Linotype"/>
        </w:rPr>
        <w:t xml:space="preserve">Así entonces, se procede analizar, en primer lugar, si el </w:t>
      </w:r>
      <w:r w:rsidRPr="00B67E98">
        <w:rPr>
          <w:rFonts w:ascii="Palatino Linotype" w:eastAsia="Palatino Linotype" w:hAnsi="Palatino Linotype" w:cs="Palatino Linotype"/>
          <w:b/>
        </w:rPr>
        <w:t>SUJETO OBLIGADO</w:t>
      </w:r>
      <w:r w:rsidRPr="00B67E98">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pStyle w:val="Ttulo1"/>
        <w:spacing w:before="0" w:after="240" w:line="360" w:lineRule="auto"/>
        <w:ind w:right="-787"/>
        <w:rPr>
          <w:rFonts w:ascii="Palatino Linotype" w:eastAsia="Palatino Linotype" w:hAnsi="Palatino Linotype" w:cs="Palatino Linotype"/>
          <w:b/>
          <w:color w:val="000000"/>
          <w:sz w:val="24"/>
          <w:szCs w:val="24"/>
        </w:rPr>
      </w:pPr>
      <w:bookmarkStart w:id="15" w:name="_heading=h.35nkun2" w:colFirst="0" w:colLast="0"/>
      <w:bookmarkEnd w:id="15"/>
      <w:r w:rsidRPr="00B67E98">
        <w:rPr>
          <w:rFonts w:ascii="Palatino Linotype" w:eastAsia="Palatino Linotype" w:hAnsi="Palatino Linotype" w:cs="Palatino Linotype"/>
          <w:b/>
          <w:color w:val="000000"/>
          <w:sz w:val="24"/>
          <w:szCs w:val="24"/>
        </w:rPr>
        <w:t>II. De la información solicitada y la respuesta del SUJETO OBLIGADO</w:t>
      </w: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color w:val="000000"/>
        </w:rPr>
        <w:t xml:space="preserve">Acotada la </w:t>
      </w:r>
      <w:r w:rsidRPr="00B67E98">
        <w:rPr>
          <w:rFonts w:ascii="Palatino Linotype" w:eastAsia="Palatino Linotype" w:hAnsi="Palatino Linotype" w:cs="Palatino Linotype"/>
          <w:i/>
          <w:color w:val="000000"/>
        </w:rPr>
        <w:t>Litis</w:t>
      </w:r>
      <w:r w:rsidRPr="00B67E98">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la respuesta que dio el </w:t>
      </w:r>
      <w:r w:rsidRPr="00B67E98">
        <w:rPr>
          <w:rFonts w:ascii="Palatino Linotype" w:eastAsia="Palatino Linotype" w:hAnsi="Palatino Linotype" w:cs="Palatino Linotype"/>
          <w:b/>
          <w:color w:val="000000"/>
        </w:rPr>
        <w:t xml:space="preserve">SUJETO OBLIGADO </w:t>
      </w:r>
      <w:r w:rsidRPr="00B67E98">
        <w:rPr>
          <w:rFonts w:ascii="Palatino Linotype" w:eastAsia="Palatino Linotype" w:hAnsi="Palatino Linotype" w:cs="Palatino Linotype"/>
          <w:color w:val="000000"/>
        </w:rPr>
        <w:t xml:space="preserve">fue hecha de manera incompleta.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Ahora bien, es importante recordar que la información solicitada por  parte del </w:t>
      </w:r>
      <w:r w:rsidRPr="00B67E98">
        <w:rPr>
          <w:rFonts w:ascii="Palatino Linotype" w:eastAsia="Palatino Linotype" w:hAnsi="Palatino Linotype" w:cs="Palatino Linotype"/>
          <w:b/>
        </w:rPr>
        <w:t xml:space="preserve">RECURRENTE </w:t>
      </w:r>
      <w:r w:rsidRPr="00B67E98">
        <w:rPr>
          <w:rFonts w:ascii="Palatino Linotype" w:eastAsia="Palatino Linotype" w:hAnsi="Palatino Linotype" w:cs="Palatino Linotype"/>
        </w:rPr>
        <w:t xml:space="preserve">consiste en acceder a lo siguiente. </w:t>
      </w:r>
    </w:p>
    <w:p w:rsidR="00C93C9A" w:rsidRPr="00B67E98" w:rsidRDefault="00C93C9A">
      <w:pPr>
        <w:pBdr>
          <w:top w:val="nil"/>
          <w:left w:val="nil"/>
          <w:bottom w:val="nil"/>
          <w:right w:val="nil"/>
          <w:between w:val="nil"/>
        </w:pBdr>
        <w:ind w:left="720" w:right="-787"/>
        <w:rPr>
          <w:rFonts w:ascii="Palatino Linotype" w:eastAsia="Palatino Linotype" w:hAnsi="Palatino Linotype" w:cs="Palatino Linotype"/>
          <w:color w:val="000000"/>
        </w:rPr>
      </w:pPr>
    </w:p>
    <w:p w:rsidR="00C93C9A" w:rsidRPr="00B67E98" w:rsidRDefault="009F323A">
      <w:pPr>
        <w:numPr>
          <w:ilvl w:val="0"/>
          <w:numId w:val="2"/>
        </w:numPr>
        <w:pBdr>
          <w:top w:val="nil"/>
          <w:left w:val="nil"/>
          <w:bottom w:val="nil"/>
          <w:right w:val="nil"/>
          <w:between w:val="nil"/>
        </w:pBdr>
        <w:ind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Del visor de nómina por sueldos y salarios y del visor de nómina por asimilados a salarios:  </w:t>
      </w:r>
    </w:p>
    <w:p w:rsidR="00C93C9A" w:rsidRPr="00B67E98" w:rsidRDefault="00C93C9A">
      <w:pPr>
        <w:pBdr>
          <w:top w:val="nil"/>
          <w:left w:val="nil"/>
          <w:bottom w:val="nil"/>
          <w:right w:val="nil"/>
          <w:between w:val="nil"/>
        </w:pBdr>
        <w:ind w:left="1931" w:right="-787"/>
        <w:jc w:val="both"/>
        <w:rPr>
          <w:rFonts w:ascii="Palatino Linotype" w:eastAsia="Palatino Linotype" w:hAnsi="Palatino Linotype" w:cs="Palatino Linotype"/>
          <w:b/>
          <w:i/>
          <w:color w:val="000000"/>
        </w:rPr>
      </w:pPr>
    </w:p>
    <w:p w:rsidR="00C93C9A" w:rsidRPr="00B67E98" w:rsidRDefault="009F323A">
      <w:pPr>
        <w:pBdr>
          <w:top w:val="nil"/>
          <w:left w:val="nil"/>
          <w:bottom w:val="nil"/>
          <w:right w:val="nil"/>
          <w:between w:val="nil"/>
        </w:pBdr>
        <w:ind w:left="1571"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1) Diferencia a cargo o a favor o en contra </w:t>
      </w:r>
    </w:p>
    <w:p w:rsidR="00C93C9A" w:rsidRPr="00B67E98" w:rsidRDefault="009F323A">
      <w:pPr>
        <w:pBdr>
          <w:top w:val="nil"/>
          <w:left w:val="nil"/>
          <w:bottom w:val="nil"/>
          <w:right w:val="nil"/>
          <w:between w:val="nil"/>
        </w:pBdr>
        <w:ind w:left="1571"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2) ISR retenido. </w:t>
      </w:r>
    </w:p>
    <w:p w:rsidR="00C93C9A" w:rsidRPr="00B67E98" w:rsidRDefault="00C93C9A">
      <w:pPr>
        <w:pBdr>
          <w:top w:val="nil"/>
          <w:left w:val="nil"/>
          <w:bottom w:val="nil"/>
          <w:right w:val="nil"/>
          <w:between w:val="nil"/>
        </w:pBdr>
        <w:ind w:left="1571" w:right="-787"/>
        <w:jc w:val="both"/>
        <w:rPr>
          <w:rFonts w:ascii="Palatino Linotype" w:eastAsia="Palatino Linotype" w:hAnsi="Palatino Linotype" w:cs="Palatino Linotype"/>
          <w:b/>
          <w:i/>
          <w:color w:val="000000"/>
        </w:rPr>
      </w:pPr>
    </w:p>
    <w:p w:rsidR="00C93C9A" w:rsidRPr="00B67E98" w:rsidRDefault="009F323A">
      <w:pPr>
        <w:numPr>
          <w:ilvl w:val="0"/>
          <w:numId w:val="2"/>
        </w:numPr>
        <w:pBdr>
          <w:top w:val="nil"/>
          <w:left w:val="nil"/>
          <w:bottom w:val="nil"/>
          <w:right w:val="nil"/>
          <w:between w:val="nil"/>
        </w:pBdr>
        <w:ind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Reporte emitido por la Secretaria de Finanzas del Estado que comprende desde el año 2015 a la fecha en el que se especifica el monto del ISR que se obtuvo en devolución. </w:t>
      </w:r>
    </w:p>
    <w:p w:rsidR="00C93C9A" w:rsidRPr="00B67E98" w:rsidRDefault="00C93C9A">
      <w:pPr>
        <w:pBdr>
          <w:top w:val="nil"/>
          <w:left w:val="nil"/>
          <w:bottom w:val="nil"/>
          <w:right w:val="nil"/>
          <w:between w:val="nil"/>
        </w:pBdr>
        <w:ind w:left="1931" w:right="-787"/>
        <w:jc w:val="both"/>
        <w:rPr>
          <w:rFonts w:ascii="Palatino Linotype" w:eastAsia="Palatino Linotype" w:hAnsi="Palatino Linotype" w:cs="Palatino Linotype"/>
          <w:b/>
          <w:i/>
          <w:color w:val="000000"/>
        </w:rPr>
      </w:pPr>
    </w:p>
    <w:p w:rsidR="00C93C9A" w:rsidRPr="00B67E98" w:rsidRDefault="009F323A">
      <w:pPr>
        <w:pBdr>
          <w:top w:val="nil"/>
          <w:left w:val="nil"/>
          <w:bottom w:val="nil"/>
          <w:right w:val="nil"/>
          <w:between w:val="nil"/>
        </w:pBdr>
        <w:ind w:left="1571"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C) Reporte emitido por el software de contabilidad gubernamental en el que se pueda apreciar el control del saldo pendiente de recuperar del ISR participable.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C93C9A">
      <w:pPr>
        <w:pBdr>
          <w:top w:val="nil"/>
          <w:left w:val="nil"/>
          <w:bottom w:val="nil"/>
          <w:right w:val="nil"/>
          <w:between w:val="nil"/>
        </w:pBdr>
        <w:ind w:left="720" w:right="-787"/>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En respuesta el </w:t>
      </w:r>
      <w:r w:rsidRPr="00B67E98">
        <w:rPr>
          <w:rFonts w:ascii="Palatino Linotype" w:eastAsia="Palatino Linotype" w:hAnsi="Palatino Linotype" w:cs="Palatino Linotype"/>
          <w:b/>
        </w:rPr>
        <w:t xml:space="preserve">SUJETO OBLIGADO </w:t>
      </w:r>
      <w:r w:rsidRPr="00B67E98">
        <w:rPr>
          <w:rFonts w:ascii="Palatino Linotype" w:eastAsia="Palatino Linotype" w:hAnsi="Palatino Linotype" w:cs="Palatino Linotype"/>
        </w:rPr>
        <w:t>por medio del Tesorero Municipal, anexo la siguiente información.</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Respuesta 00643-NAUCALPA-IP-2024.pdf: </w:t>
      </w:r>
      <w:r w:rsidRPr="00B67E98">
        <w:rPr>
          <w:rFonts w:ascii="Palatino Linotype" w:eastAsia="Palatino Linotype" w:hAnsi="Palatino Linotype" w:cs="Palatino Linotype"/>
          <w:i/>
          <w:color w:val="000000"/>
        </w:rPr>
        <w:t xml:space="preserve">oficio del Subdirector de Recursos Humanos mediante el cual informa que no le corresponde la atención de la solicitud de información, toda vez que no cuenta con las claves CIEC o FIEL para el acceso a los visores correspondientes.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9.pdf: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2023, del cual se observa que falta el mes de enero)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6.pdf: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2020.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2.pdf: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2015, del cual faltan los meses de enero, febrero y marzo, y del ejercicio fiscal 2016 del cual falta el mes de enero. </w:t>
      </w:r>
    </w:p>
    <w:p w:rsidR="00C93C9A" w:rsidRPr="00B67E98" w:rsidRDefault="009F323A">
      <w:pPr>
        <w:ind w:left="1134"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Anexo 3.pdf: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2017. </w:t>
      </w:r>
    </w:p>
    <w:p w:rsidR="00C93C9A" w:rsidRPr="00B67E98" w:rsidRDefault="009F323A">
      <w:pPr>
        <w:ind w:left="1134"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Anexo 8.pdf: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2022, del cual se observa que falta el mes de enero)</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lastRenderedPageBreak/>
        <w:t xml:space="preserve">Anexo 10.pdf: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los meses de enero a septiembre de 2024.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SAIMEX 00643-2024.pdf: </w:t>
      </w:r>
      <w:r w:rsidRPr="00B67E98">
        <w:rPr>
          <w:rFonts w:ascii="Palatino Linotype" w:eastAsia="Palatino Linotype" w:hAnsi="Palatino Linotype" w:cs="Palatino Linotype"/>
          <w:i/>
          <w:color w:val="000000"/>
        </w:rPr>
        <w:t xml:space="preserve">oficio del Tesorero Municipal, mediante el cual informa que se anexa la información entregada por la Subtesoreria de Egresos, así como la información de la Secretaría de Finanzas del Estado de México. </w:t>
      </w:r>
    </w:p>
    <w:p w:rsidR="00C93C9A" w:rsidRPr="00B67E98" w:rsidRDefault="009F323A">
      <w:pPr>
        <w:ind w:left="1134"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Anexo 5.pdf: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2019, del cual se observa que falta el mes de enero)</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1.pdf: </w:t>
      </w:r>
      <w:r w:rsidRPr="00B67E98">
        <w:rPr>
          <w:rFonts w:ascii="Palatino Linotype" w:eastAsia="Palatino Linotype" w:hAnsi="Palatino Linotype" w:cs="Palatino Linotype"/>
          <w:i/>
          <w:color w:val="000000"/>
        </w:rPr>
        <w:t xml:space="preserve">documento que contiene la respuesta de la Subtesorería de Egresos, que no se encuentra completa, mediante el cual remite los visores de nómina por sueldos y salarios y de nómina por asimilados a salarios, de los cuales no se observa el ejercicio fiscal 2020, así como también se encuentra información que es ilegible.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4.pdf: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2018.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Anexo 7.pdf:</w:t>
      </w:r>
      <w:r w:rsidRPr="00B67E98">
        <w:rPr>
          <w:rFonts w:ascii="Palatino Linotype" w:eastAsia="Palatino Linotype" w:hAnsi="Palatino Linotype" w:cs="Palatino Linotype"/>
          <w:i/>
          <w:color w:val="000000"/>
        </w:rPr>
        <w:t xml:space="preserve"> 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2018.</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Notificacion 643_24.pdf</w:t>
      </w:r>
      <w:r w:rsidRPr="00B67E98">
        <w:rPr>
          <w:rFonts w:ascii="Palatino Linotype" w:eastAsia="Palatino Linotype" w:hAnsi="Palatino Linotype" w:cs="Palatino Linotype"/>
          <w:i/>
          <w:color w:val="000000"/>
        </w:rPr>
        <w:t xml:space="preserve">: captura de pantalla mediante la cual se observa que el </w:t>
      </w:r>
      <w:r w:rsidRPr="00B67E98">
        <w:rPr>
          <w:rFonts w:ascii="Palatino Linotype" w:eastAsia="Palatino Linotype" w:hAnsi="Palatino Linotype" w:cs="Palatino Linotype"/>
          <w:b/>
          <w:i/>
          <w:color w:val="000000"/>
        </w:rPr>
        <w:t xml:space="preserve">SUJETO OBLIGADO </w:t>
      </w:r>
      <w:r w:rsidRPr="00B67E98">
        <w:rPr>
          <w:rFonts w:ascii="Palatino Linotype" w:eastAsia="Palatino Linotype" w:hAnsi="Palatino Linotype" w:cs="Palatino Linotype"/>
          <w:i/>
          <w:color w:val="000000"/>
        </w:rPr>
        <w:t xml:space="preserve">entrego la información vía correo electrónico.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Posteriormente a la información recibida el </w:t>
      </w:r>
      <w:r w:rsidRPr="00B67E98">
        <w:rPr>
          <w:rFonts w:ascii="Palatino Linotype" w:eastAsia="Palatino Linotype" w:hAnsi="Palatino Linotype" w:cs="Palatino Linotype"/>
          <w:b/>
        </w:rPr>
        <w:t xml:space="preserve">RECURRENTE </w:t>
      </w:r>
      <w:r w:rsidRPr="00B67E98">
        <w:rPr>
          <w:rFonts w:ascii="Palatino Linotype" w:eastAsia="Palatino Linotype" w:hAnsi="Palatino Linotype" w:cs="Palatino Linotype"/>
        </w:rPr>
        <w:t xml:space="preserve">se inconforma por la negativa de información, por lo que se hace el siguiente análisis de la información enviada por el </w:t>
      </w:r>
      <w:r w:rsidRPr="00B67E98">
        <w:rPr>
          <w:rFonts w:ascii="Palatino Linotype" w:eastAsia="Palatino Linotype" w:hAnsi="Palatino Linotype" w:cs="Palatino Linotype"/>
          <w:b/>
        </w:rPr>
        <w:t xml:space="preserve">SUJETO OBLIGADO. </w:t>
      </w:r>
    </w:p>
    <w:p w:rsidR="00C93C9A" w:rsidRPr="00B67E98" w:rsidRDefault="009F323A">
      <w:pPr>
        <w:spacing w:before="120" w:after="12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r w:rsidRPr="00B67E98">
        <w:rPr>
          <w:rFonts w:ascii="Palatino Linotype" w:eastAsia="Palatino Linotype" w:hAnsi="Palatino Linotype" w:cs="Palatino Linotype"/>
          <w:b/>
          <w:i/>
        </w:rPr>
        <w:t>Artículo 93</w:t>
      </w:r>
      <w:r w:rsidRPr="00B67E98">
        <w:rPr>
          <w:rFonts w:ascii="Palatino Linotype" w:eastAsia="Palatino Linotype" w:hAnsi="Palatino Linotype" w:cs="Palatino Linotype"/>
          <w:i/>
        </w:rPr>
        <w:t>.- La tesorería municipal es el órgano encargado de la recaudación de los ingresos municipales y responsable de realizar las erogaciones que haga el ayuntamiento.</w:t>
      </w:r>
    </w:p>
    <w:p w:rsidR="00C93C9A" w:rsidRPr="00B67E98" w:rsidRDefault="009F323A">
      <w:pPr>
        <w:spacing w:before="120" w:after="12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spacing w:before="120" w:after="12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Artículo 95</w:t>
      </w:r>
      <w:r w:rsidRPr="00B67E98">
        <w:rPr>
          <w:rFonts w:ascii="Palatino Linotype" w:eastAsia="Palatino Linotype" w:hAnsi="Palatino Linotype" w:cs="Palatino Linotype"/>
          <w:i/>
        </w:rPr>
        <w:t xml:space="preserve">.- Son atribuciones del tesorero municipal: </w:t>
      </w:r>
    </w:p>
    <w:p w:rsidR="00C93C9A" w:rsidRPr="00B67E98" w:rsidRDefault="009F323A">
      <w:pPr>
        <w:spacing w:before="120" w:after="12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I</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rPr>
        <w:t>Administrar la hacienda pública municipal</w:t>
      </w:r>
      <w:r w:rsidRPr="00B67E98">
        <w:rPr>
          <w:rFonts w:ascii="Palatino Linotype" w:eastAsia="Palatino Linotype" w:hAnsi="Palatino Linotype" w:cs="Palatino Linotype"/>
          <w:i/>
        </w:rPr>
        <w:t>, de conformidad con las disposiciones legales aplicables;</w:t>
      </w:r>
    </w:p>
    <w:p w:rsidR="00C93C9A" w:rsidRPr="00B67E98" w:rsidRDefault="009F323A">
      <w:pPr>
        <w:spacing w:before="120" w:after="12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spacing w:before="120" w:after="12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IV.</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u w:val="single"/>
        </w:rPr>
        <w:t>Llevar los registros contables, financieros y administrativos</w:t>
      </w:r>
      <w:r w:rsidRPr="00B67E98">
        <w:rPr>
          <w:rFonts w:ascii="Palatino Linotype" w:eastAsia="Palatino Linotype" w:hAnsi="Palatino Linotype" w:cs="Palatino Linotype"/>
          <w:b/>
          <w:i/>
        </w:rPr>
        <w:t xml:space="preserve"> de los ingresos, egresos</w:t>
      </w:r>
      <w:r w:rsidRPr="00B67E98">
        <w:rPr>
          <w:rFonts w:ascii="Palatino Linotype" w:eastAsia="Palatino Linotype" w:hAnsi="Palatino Linotype" w:cs="Palatino Linotype"/>
          <w:i/>
        </w:rPr>
        <w:t>, e inventarios;</w:t>
      </w:r>
    </w:p>
    <w:p w:rsidR="00C93C9A" w:rsidRPr="00B67E98" w:rsidRDefault="009F323A">
      <w:pPr>
        <w:spacing w:before="120" w:after="12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spacing w:before="120" w:after="12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lastRenderedPageBreak/>
        <w:t>VIII</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rPr>
        <w:t>Participar en la formulación de Convenios Fiscales</w:t>
      </w:r>
      <w:r w:rsidRPr="00B67E98">
        <w:rPr>
          <w:rFonts w:ascii="Palatino Linotype" w:eastAsia="Palatino Linotype" w:hAnsi="Palatino Linotype" w:cs="Palatino Linotype"/>
          <w:i/>
        </w:rPr>
        <w:t xml:space="preserve"> y ejercer las atribuciones que le correspondan en el ámbito de su competencia;</w:t>
      </w:r>
    </w:p>
    <w:p w:rsidR="00C93C9A" w:rsidRPr="00B67E98" w:rsidRDefault="009F323A">
      <w:pPr>
        <w:spacing w:before="120" w:after="12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spacing w:before="120" w:after="12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XIX.</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color w:val="000000"/>
          <w:u w:val="single"/>
        </w:rPr>
        <w:t xml:space="preserve">Recaudar y administrar los ingresos que se deriven de la suscripción de convenios, acuerdos o la emisión de declaratorias de coordinación; los relativos a las transferencias otorgadas a favor del Municipio en el marco del Sistema Nacional o Estatal de Coordinación Fiscal, </w:t>
      </w:r>
      <w:r w:rsidRPr="00B67E98">
        <w:rPr>
          <w:rFonts w:ascii="Palatino Linotype" w:eastAsia="Palatino Linotype" w:hAnsi="Palatino Linotype" w:cs="Palatino Linotype"/>
          <w:b/>
          <w:i/>
          <w:u w:val="single"/>
        </w:rPr>
        <w:t>o los que reciba por cualquier otro concepto</w:t>
      </w:r>
      <w:r w:rsidRPr="00B67E98">
        <w:rPr>
          <w:rFonts w:ascii="Palatino Linotype" w:eastAsia="Palatino Linotype" w:hAnsi="Palatino Linotype" w:cs="Palatino Linotype"/>
          <w:i/>
        </w:rPr>
        <w:t>; así como el importe de las sanciones por infracciones impuestas por las autoridades competentes, por la inobservancia de las diversas disposiciones y ordenamientos legales, constituyendo los créditos fiscales correspondientes;</w:t>
      </w:r>
    </w:p>
    <w:p w:rsidR="00C93C9A" w:rsidRPr="00B67E98" w:rsidRDefault="009F323A">
      <w:pPr>
        <w:spacing w:before="120" w:after="120"/>
        <w:ind w:left="1134"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XX.</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u w:val="single"/>
        </w:rPr>
        <w:t>Dar cumplimiento a las leyes, convenios de coordinación fiscal y demás que en materia hacendaria celebre el Ayuntamiento con el Estado;</w:t>
      </w:r>
      <w:r w:rsidRPr="00B67E98">
        <w:rPr>
          <w:rFonts w:ascii="Palatino Linotype" w:eastAsia="Palatino Linotype" w:hAnsi="Palatino Linotype" w:cs="Palatino Linotype"/>
          <w:b/>
          <w:i/>
        </w:rPr>
        <w:t xml:space="preserve"> autorizar la suficiencia presupuestal</w:t>
      </w:r>
      <w:r w:rsidRPr="00B67E98">
        <w:rPr>
          <w:rFonts w:ascii="Palatino Linotype" w:eastAsia="Palatino Linotype" w:hAnsi="Palatino Linotype" w:cs="Palatino Linotype"/>
          <w:i/>
        </w:rPr>
        <w:t xml:space="preserve"> para la adquisición de bienes y servicios requeridos por las áreas, de conformidad con el articulo su presupuesto autorizado para cada ejercicio, en términos de los artículos 93 y 95 de la Ley Orgánica Municipal del Estado de México.” (Énfasis añadido)</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De lo anterior, se colige que el área de la Tesorería Municipal es la encargada de administrar el recurso público, así como de llevar el registro contable, financiero y administrativo.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Una vez analizado la fuente obligacional de las razones por las cuales la solicitud de información fue turnada al área habilitada, se procede a analizar la información solicitada y la entregada por el </w:t>
      </w:r>
      <w:r w:rsidRPr="00B67E98">
        <w:rPr>
          <w:rFonts w:ascii="Palatino Linotype" w:eastAsia="Palatino Linotype" w:hAnsi="Palatino Linotype" w:cs="Palatino Linotype"/>
          <w:b/>
        </w:rPr>
        <w:t xml:space="preserve">SUJETO OBLIGADO. </w:t>
      </w:r>
    </w:p>
    <w:p w:rsidR="00C93C9A" w:rsidRPr="00B67E98" w:rsidRDefault="00C93C9A">
      <w:pPr>
        <w:pBdr>
          <w:top w:val="nil"/>
          <w:left w:val="nil"/>
          <w:bottom w:val="nil"/>
          <w:right w:val="nil"/>
          <w:between w:val="nil"/>
        </w:pBdr>
        <w:ind w:left="720" w:right="-787"/>
        <w:rPr>
          <w:rFonts w:ascii="Palatino Linotype" w:eastAsia="Palatino Linotype" w:hAnsi="Palatino Linotype" w:cs="Palatino Linotype"/>
          <w:color w:val="000000"/>
        </w:rPr>
      </w:pPr>
    </w:p>
    <w:p w:rsidR="00C93C9A" w:rsidRPr="00B67E98" w:rsidRDefault="00C93C9A">
      <w:pPr>
        <w:ind w:right="-787"/>
        <w:rPr>
          <w:rFonts w:ascii="Palatino Linotype" w:eastAsia="Palatino Linotype" w:hAnsi="Palatino Linotype" w:cs="Palatino Linotype"/>
        </w:rPr>
      </w:pPr>
    </w:p>
    <w:p w:rsidR="0083374E" w:rsidRPr="00B67E98" w:rsidRDefault="0083374E" w:rsidP="0083374E">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Ahora bien, toda vez que la persona solicitante requirió información del municipio y las paramunicipales, entendidas estas últimas como las dependencias que forman parte de la Administración Pública Municipal creadas para auxiliar a la administración central para </w:t>
      </w:r>
      <w:r w:rsidRPr="00B67E98">
        <w:rPr>
          <w:rFonts w:ascii="Palatino Linotype" w:eastAsia="Palatino Linotype" w:hAnsi="Palatino Linotype" w:cs="Palatino Linotype"/>
        </w:rPr>
        <w:lastRenderedPageBreak/>
        <w:t>realizar alguna actividad considerada estratégica o privada, la prestación de algún servicio público o social, o la aplicación de recursos con fines específicos, pudiendo ser entidades paramunicipales, organismos descentralizados, empresas, fideicomisos, o cualquier otro tipo de institución, organización o unidad administrativa pública de características similares, es preciso señalar que de acuerdo con los artículos 42 del Bando Municipal del Ayuntamiento de Naucalpan de Juárez,   la administración pública municipal se integra por las dependencias y entidades siguientes:</w:t>
      </w:r>
    </w:p>
    <w:p w:rsidR="0083374E" w:rsidRPr="00B67E98" w:rsidRDefault="009F323A" w:rsidP="009F323A">
      <w:pPr>
        <w:spacing w:before="240" w:after="240" w:line="360" w:lineRule="auto"/>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14:anchorId="19D1463B" wp14:editId="39A419AA">
            <wp:extent cx="2468958" cy="2620370"/>
            <wp:effectExtent l="152400" t="152400" r="369570" b="3708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5652" cy="2638087"/>
                    </a:xfrm>
                    <a:prstGeom prst="rect">
                      <a:avLst/>
                    </a:prstGeom>
                    <a:ln>
                      <a:noFill/>
                    </a:ln>
                    <a:effectLst>
                      <a:outerShdw blurRad="292100" dist="139700" dir="2700000" algn="tl" rotWithShape="0">
                        <a:srgbClr val="333333">
                          <a:alpha val="65000"/>
                        </a:srgbClr>
                      </a:outerShdw>
                    </a:effectLst>
                  </pic:spPr>
                </pic:pic>
              </a:graphicData>
            </a:graphic>
          </wp:inline>
        </w:drawing>
      </w:r>
    </w:p>
    <w:p w:rsidR="0083374E" w:rsidRPr="00B67E98" w:rsidRDefault="009F323A" w:rsidP="0083374E">
      <w:pPr>
        <w:numPr>
          <w:ilvl w:val="0"/>
          <w:numId w:val="4"/>
        </w:numPr>
        <w:spacing w:line="360" w:lineRule="auto"/>
        <w:ind w:left="0" w:right="-787" w:firstLine="0"/>
        <w:jc w:val="both"/>
        <w:rPr>
          <w:rFonts w:ascii="Palatino Linotype" w:eastAsia="Palatino Linotype" w:hAnsi="Palatino Linotype" w:cs="Palatino Linotype"/>
          <w:b/>
        </w:rPr>
      </w:pPr>
      <w:r w:rsidRPr="00B67E98">
        <w:rPr>
          <w:rFonts w:ascii="Palatino Linotype" w:eastAsia="Palatino Linotype" w:hAnsi="Palatino Linotype" w:cs="Palatino Linotype"/>
        </w:rPr>
        <w:t>Como se advierte en la imagen</w:t>
      </w:r>
      <w:r w:rsidR="0083374E" w:rsidRPr="00B67E98">
        <w:rPr>
          <w:rFonts w:ascii="Palatino Linotype" w:eastAsia="Palatino Linotype" w:hAnsi="Palatino Linotype" w:cs="Palatino Linotype"/>
        </w:rPr>
        <w:t xml:space="preserve">, </w:t>
      </w:r>
      <w:r w:rsidRPr="00B67E98">
        <w:rPr>
          <w:rFonts w:ascii="Palatino Linotype" w:eastAsia="Palatino Linotype" w:hAnsi="Palatino Linotype" w:cs="Palatino Linotype"/>
        </w:rPr>
        <w:t xml:space="preserve">el </w:t>
      </w:r>
      <w:r w:rsidRPr="00B67E98">
        <w:rPr>
          <w:rFonts w:ascii="Palatino Linotype" w:eastAsia="Palatino Linotype" w:hAnsi="Palatino Linotype" w:cs="Palatino Linotype"/>
          <w:b/>
        </w:rPr>
        <w:t xml:space="preserve">SUJETO OBLIGADO </w:t>
      </w:r>
      <w:r w:rsidR="0083374E" w:rsidRPr="00B67E98">
        <w:rPr>
          <w:rFonts w:ascii="Palatino Linotype" w:eastAsia="Palatino Linotype" w:hAnsi="Palatino Linotype" w:cs="Palatino Linotype"/>
        </w:rPr>
        <w:t xml:space="preserve">contempla </w:t>
      </w:r>
      <w:r w:rsidR="008E0289" w:rsidRPr="00B67E98">
        <w:rPr>
          <w:rFonts w:ascii="Palatino Linotype" w:eastAsia="Palatino Linotype" w:hAnsi="Palatino Linotype" w:cs="Palatino Linotype"/>
        </w:rPr>
        <w:t xml:space="preserve">al </w:t>
      </w:r>
      <w:r w:rsidR="0083374E" w:rsidRPr="00B67E98">
        <w:rPr>
          <w:rFonts w:ascii="Palatino Linotype" w:eastAsia="Palatino Linotype" w:hAnsi="Palatino Linotype" w:cs="Palatino Linotype"/>
        </w:rPr>
        <w:t xml:space="preserve"> Sistema Municipal para el Desarrollo Integral de la Familia, el Organismo Público Descentralizado para la Prestación de los Servicios de Agua Potable, Alcantarillado y Saneamiento</w:t>
      </w:r>
      <w:r w:rsidR="008E0289" w:rsidRPr="00B67E98">
        <w:rPr>
          <w:rFonts w:ascii="Palatino Linotype" w:eastAsia="Palatino Linotype" w:hAnsi="Palatino Linotype" w:cs="Palatino Linotype"/>
        </w:rPr>
        <w:t xml:space="preserve"> y </w:t>
      </w:r>
      <w:r w:rsidR="0083374E" w:rsidRPr="00B67E98">
        <w:rPr>
          <w:rFonts w:ascii="Palatino Linotype" w:eastAsia="Palatino Linotype" w:hAnsi="Palatino Linotype" w:cs="Palatino Linotype"/>
        </w:rPr>
        <w:t xml:space="preserve"> </w:t>
      </w:r>
      <w:r w:rsidRPr="00B67E98">
        <w:rPr>
          <w:rFonts w:ascii="Palatino Linotype" w:eastAsia="Palatino Linotype" w:hAnsi="Palatino Linotype" w:cs="Palatino Linotype"/>
        </w:rPr>
        <w:t xml:space="preserve">al </w:t>
      </w:r>
      <w:r w:rsidR="0083374E" w:rsidRPr="00B67E98">
        <w:rPr>
          <w:rFonts w:ascii="Palatino Linotype" w:eastAsia="Palatino Linotype" w:hAnsi="Palatino Linotype" w:cs="Palatino Linotype"/>
        </w:rPr>
        <w:t xml:space="preserve"> Instituto Municipal</w:t>
      </w:r>
      <w:r w:rsidRPr="00B67E98">
        <w:rPr>
          <w:rFonts w:ascii="Palatino Linotype" w:eastAsia="Palatino Linotype" w:hAnsi="Palatino Linotype" w:cs="Palatino Linotype"/>
        </w:rPr>
        <w:t xml:space="preserve"> de Cultura Física y Deporte </w:t>
      </w:r>
      <w:r w:rsidR="0083374E" w:rsidRPr="00B67E98">
        <w:rPr>
          <w:rFonts w:ascii="Palatino Linotype" w:eastAsia="Palatino Linotype" w:hAnsi="Palatino Linotype" w:cs="Palatino Linotype"/>
        </w:rPr>
        <w:t xml:space="preserve">como Organismos Públicos </w:t>
      </w:r>
      <w:r w:rsidR="0083374E" w:rsidRPr="00B67E98">
        <w:rPr>
          <w:rFonts w:ascii="Palatino Linotype" w:eastAsia="Palatino Linotype" w:hAnsi="Palatino Linotype" w:cs="Palatino Linotype"/>
        </w:rPr>
        <w:lastRenderedPageBreak/>
        <w:t>Descentralizados;</w:t>
      </w:r>
      <w:r w:rsidRPr="00B67E98">
        <w:rPr>
          <w:rFonts w:ascii="Palatino Linotype" w:eastAsia="Palatino Linotype" w:hAnsi="Palatino Linotype" w:cs="Palatino Linotype"/>
        </w:rPr>
        <w:t xml:space="preserve"> situación de la cual se debe de referir que son considerados Sujetos Obligados diversos al Ayuntamiento de Naucalpan de Juárez</w:t>
      </w:r>
      <w:r w:rsidR="0083374E" w:rsidRPr="00B67E98">
        <w:rPr>
          <w:rFonts w:ascii="Palatino Linotype" w:eastAsia="Palatino Linotype" w:hAnsi="Palatino Linotype" w:cs="Palatino Linotype"/>
        </w:rPr>
        <w:t>.</w:t>
      </w:r>
    </w:p>
    <w:p w:rsidR="0083374E" w:rsidRPr="00B67E98" w:rsidRDefault="0083374E" w:rsidP="0083374E">
      <w:pPr>
        <w:spacing w:line="360" w:lineRule="auto"/>
        <w:ind w:right="-787"/>
        <w:jc w:val="both"/>
        <w:rPr>
          <w:rFonts w:ascii="Palatino Linotype" w:eastAsia="Palatino Linotype" w:hAnsi="Palatino Linotype" w:cs="Palatino Linotype"/>
          <w:b/>
        </w:rPr>
      </w:pPr>
    </w:p>
    <w:p w:rsidR="009F323A" w:rsidRPr="00B67E98" w:rsidRDefault="009F323A" w:rsidP="009F323A">
      <w:pPr>
        <w:pStyle w:val="Prrafodelista"/>
        <w:rPr>
          <w:rFonts w:ascii="Palatino Linotype" w:eastAsia="Palatino Linotype" w:hAnsi="Palatino Linotype" w:cs="Palatino Linotype"/>
        </w:rPr>
      </w:pPr>
    </w:p>
    <w:p w:rsidR="008E0289" w:rsidRPr="00B67E98" w:rsidRDefault="008E0289" w:rsidP="0083374E">
      <w:pPr>
        <w:numPr>
          <w:ilvl w:val="0"/>
          <w:numId w:val="4"/>
        </w:numPr>
        <w:spacing w:before="120" w:after="120" w:line="360" w:lineRule="auto"/>
        <w:ind w:left="0" w:right="51"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Para el caso del Sistema Municipal para el Desarrollo Integral de la Familia y del Organismo Público Descentralizado para la Prestación de los Servicios de Agua Potable, Alcantarillado y Saneamiento, fueron aprobados como sujetos obligados diversos mediante el Acuerdo  del primero de febrero de dos mil diecisiete</w:t>
      </w:r>
      <w:r w:rsidR="0083374E" w:rsidRPr="00B67E98">
        <w:rPr>
          <w:rFonts w:ascii="Palatino Linotype" w:eastAsia="Palatino Linotype" w:hAnsi="Palatino Linotype" w:cs="Palatino Linotype"/>
        </w:rPr>
        <w:t>,</w:t>
      </w:r>
      <w:r w:rsidRPr="00B67E98">
        <w:rPr>
          <w:rFonts w:ascii="Palatino Linotype" w:eastAsia="Palatino Linotype" w:hAnsi="Palatino Linotype" w:cs="Palatino Linotype"/>
        </w:rPr>
        <w:t xml:space="preserve"> como se ilustra a continuación.</w:t>
      </w:r>
    </w:p>
    <w:p w:rsidR="0083374E" w:rsidRPr="00B67E98" w:rsidRDefault="008E0289" w:rsidP="008E0289">
      <w:pPr>
        <w:spacing w:before="120" w:after="120" w:line="360" w:lineRule="auto"/>
        <w:ind w:right="51"/>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14:anchorId="51F13E3B" wp14:editId="5906B367">
            <wp:extent cx="4660711" cy="516973"/>
            <wp:effectExtent l="152400" t="152400" r="368935" b="3594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6092" cy="523116"/>
                    </a:xfrm>
                    <a:prstGeom prst="rect">
                      <a:avLst/>
                    </a:prstGeom>
                    <a:ln>
                      <a:noFill/>
                    </a:ln>
                    <a:effectLst>
                      <a:outerShdw blurRad="292100" dist="139700" dir="2700000" algn="tl" rotWithShape="0">
                        <a:srgbClr val="333333">
                          <a:alpha val="65000"/>
                        </a:srgbClr>
                      </a:outerShdw>
                    </a:effectLst>
                  </pic:spPr>
                </pic:pic>
              </a:graphicData>
            </a:graphic>
          </wp:inline>
        </w:drawing>
      </w:r>
    </w:p>
    <w:p w:rsidR="0083374E" w:rsidRPr="00B67E98" w:rsidRDefault="008E0289" w:rsidP="008E0289">
      <w:pPr>
        <w:tabs>
          <w:tab w:val="left" w:pos="284"/>
        </w:tabs>
        <w:spacing w:before="120" w:after="120"/>
        <w:ind w:right="51"/>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14:anchorId="5C7F36B1" wp14:editId="12746EA4">
            <wp:extent cx="4490114" cy="357964"/>
            <wp:effectExtent l="152400" t="152400" r="348615" b="3663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8614" cy="367411"/>
                    </a:xfrm>
                    <a:prstGeom prst="rect">
                      <a:avLst/>
                    </a:prstGeom>
                    <a:ln>
                      <a:noFill/>
                    </a:ln>
                    <a:effectLst>
                      <a:outerShdw blurRad="292100" dist="139700" dir="2700000" algn="tl" rotWithShape="0">
                        <a:srgbClr val="333333">
                          <a:alpha val="65000"/>
                        </a:srgbClr>
                      </a:outerShdw>
                    </a:effectLst>
                  </pic:spPr>
                </pic:pic>
              </a:graphicData>
            </a:graphic>
          </wp:inline>
        </w:drawing>
      </w:r>
    </w:p>
    <w:p w:rsidR="0083374E" w:rsidRPr="00B67E98" w:rsidRDefault="008E0289" w:rsidP="008E0289">
      <w:pPr>
        <w:tabs>
          <w:tab w:val="left" w:pos="284"/>
        </w:tabs>
        <w:spacing w:before="120" w:after="120"/>
        <w:ind w:right="51"/>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14:anchorId="3308735A" wp14:editId="0BF7BE28">
            <wp:extent cx="3405116" cy="1118472"/>
            <wp:effectExtent l="152400" t="152400" r="367030" b="3676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1620" cy="1123893"/>
                    </a:xfrm>
                    <a:prstGeom prst="rect">
                      <a:avLst/>
                    </a:prstGeom>
                    <a:ln>
                      <a:noFill/>
                    </a:ln>
                    <a:effectLst>
                      <a:outerShdw blurRad="292100" dist="139700" dir="2700000" algn="tl" rotWithShape="0">
                        <a:srgbClr val="333333">
                          <a:alpha val="65000"/>
                        </a:srgbClr>
                      </a:outerShdw>
                    </a:effectLst>
                  </pic:spPr>
                </pic:pic>
              </a:graphicData>
            </a:graphic>
          </wp:inline>
        </w:drawing>
      </w:r>
    </w:p>
    <w:p w:rsidR="008E0289" w:rsidRPr="00B67E98" w:rsidRDefault="008E0289" w:rsidP="0083374E">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Por cuanto hace el Instituto de Cultura Física y Deporte, se observa que mediante el Acuerdo de fecha diecinueve de junio </w:t>
      </w:r>
      <w:r w:rsidR="00312378" w:rsidRPr="00B67E98">
        <w:rPr>
          <w:rFonts w:ascii="Palatino Linotype" w:eastAsia="Palatino Linotype" w:hAnsi="Palatino Linotype" w:cs="Palatino Linotype"/>
        </w:rPr>
        <w:t>de dos mil veinticuatro</w:t>
      </w:r>
      <w:r w:rsidR="00BD2303" w:rsidRPr="00B67E98">
        <w:rPr>
          <w:rFonts w:ascii="Palatino Linotype" w:eastAsia="Palatino Linotype" w:hAnsi="Palatino Linotype" w:cs="Palatino Linotype"/>
        </w:rPr>
        <w:t xml:space="preserve">, se consideró a dicho Instituto </w:t>
      </w:r>
      <w:r w:rsidR="00BD2303" w:rsidRPr="00B67E98">
        <w:rPr>
          <w:rFonts w:ascii="Palatino Linotype" w:eastAsia="Palatino Linotype" w:hAnsi="Palatino Linotype" w:cs="Palatino Linotype"/>
        </w:rPr>
        <w:lastRenderedPageBreak/>
        <w:t xml:space="preserve">como un Sujeto Obligado diverso, previo al ingreso a la solicitud de información que fue el </w:t>
      </w:r>
      <w:r w:rsidR="00BD2303" w:rsidRPr="00B67E98">
        <w:rPr>
          <w:rFonts w:ascii="Palatino Linotype" w:eastAsia="Palatino Linotype" w:hAnsi="Palatino Linotype" w:cs="Palatino Linotype"/>
          <w:b/>
        </w:rPr>
        <w:t xml:space="preserve">treinta de agosto de dos mil veinticuatro, </w:t>
      </w:r>
      <w:r w:rsidR="00BD2303" w:rsidRPr="00B67E98">
        <w:rPr>
          <w:rFonts w:ascii="Palatino Linotype" w:eastAsia="Palatino Linotype" w:hAnsi="Palatino Linotype" w:cs="Palatino Linotype"/>
        </w:rPr>
        <w:t xml:space="preserve">por lo que al ser un Sujeto Obligado diverso el Ayuntamiento de Naucalpan, no es el competente para pronunciarse. </w:t>
      </w:r>
    </w:p>
    <w:p w:rsidR="00BD2303" w:rsidRPr="00B67E98" w:rsidRDefault="00BD2303" w:rsidP="00BD2303">
      <w:pPr>
        <w:spacing w:line="360" w:lineRule="auto"/>
        <w:ind w:right="-787"/>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14:anchorId="16E69000" wp14:editId="56957B1A">
            <wp:extent cx="4482918" cy="1801504"/>
            <wp:effectExtent l="152400" t="152400" r="356235" b="3702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374"/>
                    <a:stretch/>
                  </pic:blipFill>
                  <pic:spPr bwMode="auto">
                    <a:xfrm>
                      <a:off x="0" y="0"/>
                      <a:ext cx="4494450" cy="18061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D2303" w:rsidRPr="00B67E98" w:rsidRDefault="00BD2303" w:rsidP="00BD2303">
      <w:pPr>
        <w:spacing w:line="360" w:lineRule="auto"/>
        <w:ind w:right="-787"/>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14:anchorId="043BA642" wp14:editId="315C3ABD">
            <wp:extent cx="4496937" cy="1546299"/>
            <wp:effectExtent l="152400" t="152400" r="361315" b="3587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1075" cy="1554599"/>
                    </a:xfrm>
                    <a:prstGeom prst="rect">
                      <a:avLst/>
                    </a:prstGeom>
                    <a:ln>
                      <a:noFill/>
                    </a:ln>
                    <a:effectLst>
                      <a:outerShdw blurRad="292100" dist="139700" dir="2700000" algn="tl" rotWithShape="0">
                        <a:srgbClr val="333333">
                          <a:alpha val="65000"/>
                        </a:srgbClr>
                      </a:outerShdw>
                    </a:effectLst>
                  </pic:spPr>
                </pic:pic>
              </a:graphicData>
            </a:graphic>
          </wp:inline>
        </w:drawing>
      </w:r>
    </w:p>
    <w:p w:rsidR="0083374E" w:rsidRPr="00B67E98" w:rsidRDefault="00BD2303" w:rsidP="0083374E">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En ese sentido, se colige que al Ayuntamiento de Naucalpan de Juárez, le corresponder transparentar la información de la administración pública centralizada y no de la descentralizada que como ya se demostró en párrafos anteriores son considerados sujetos obligados diversos al Ayuntamiento de Naucalpan de Juárez. </w:t>
      </w:r>
    </w:p>
    <w:p w:rsidR="0083374E" w:rsidRPr="00B67E98" w:rsidRDefault="0083374E" w:rsidP="0083374E">
      <w:pPr>
        <w:spacing w:line="360" w:lineRule="auto"/>
        <w:ind w:right="-787"/>
        <w:jc w:val="both"/>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rPr>
        <w:lastRenderedPageBreak/>
        <w:t xml:space="preserve">En ese sentido, respecto de los puntos de la solicitud de información </w:t>
      </w:r>
      <w:r w:rsidRPr="00B67E98">
        <w:rPr>
          <w:rFonts w:ascii="Palatino Linotype" w:eastAsia="Palatino Linotype" w:hAnsi="Palatino Linotype" w:cs="Palatino Linotype"/>
          <w:b/>
          <w:i/>
        </w:rPr>
        <w:t xml:space="preserve">Del visor de nómina por sueldos y salarios y del visor de nómina por asimilados a salarios (Diferencia a cargo o a favor o en contra e ISR retenido.), </w:t>
      </w:r>
      <w:r w:rsidRPr="00B67E98">
        <w:rPr>
          <w:rFonts w:ascii="Palatino Linotype" w:eastAsia="Palatino Linotype" w:hAnsi="Palatino Linotype" w:cs="Palatino Linotype"/>
        </w:rPr>
        <w:t xml:space="preserve">se observa que el </w:t>
      </w:r>
      <w:r w:rsidRPr="00B67E98">
        <w:rPr>
          <w:rFonts w:ascii="Palatino Linotype" w:eastAsia="Palatino Linotype" w:hAnsi="Palatino Linotype" w:cs="Palatino Linotype"/>
          <w:b/>
        </w:rPr>
        <w:t xml:space="preserve">SUJETO OBLIGADO </w:t>
      </w:r>
      <w:r w:rsidRPr="00B67E98">
        <w:rPr>
          <w:rFonts w:ascii="Palatino Linotype" w:eastAsia="Palatino Linotype" w:hAnsi="Palatino Linotype" w:cs="Palatino Linotype"/>
        </w:rPr>
        <w:t xml:space="preserve">mediante el archivo </w:t>
      </w:r>
      <w:r w:rsidRPr="00B67E98">
        <w:rPr>
          <w:rFonts w:ascii="Palatino Linotype" w:eastAsia="Palatino Linotype" w:hAnsi="Palatino Linotype" w:cs="Palatino Linotype"/>
          <w:b/>
          <w:i/>
          <w:color w:val="000000"/>
        </w:rPr>
        <w:t xml:space="preserve">Anexo 1.pdf: </w:t>
      </w:r>
      <w:r w:rsidRPr="00B67E98">
        <w:rPr>
          <w:rFonts w:ascii="Palatino Linotype" w:eastAsia="Palatino Linotype" w:hAnsi="Palatino Linotype" w:cs="Palatino Linotype"/>
          <w:color w:val="000000"/>
        </w:rPr>
        <w:t>remitió los visores de nómina por sueldos y salarios y de nómina por asimilados a salarios, de los cuales no se observa el ejercicio fiscal 2020, así como también se encuentra parte de la información que es ilegible, tal y como se muestra a continuación.</w:t>
      </w:r>
    </w:p>
    <w:p w:rsidR="00C93C9A" w:rsidRPr="00B67E98" w:rsidRDefault="009F323A">
      <w:pPr>
        <w:spacing w:line="360" w:lineRule="auto"/>
        <w:ind w:right="-787"/>
        <w:jc w:val="center"/>
        <w:rPr>
          <w:rFonts w:ascii="Palatino Linotype" w:eastAsia="Palatino Linotype" w:hAnsi="Palatino Linotype" w:cs="Palatino Linotype"/>
          <w:color w:val="000000"/>
        </w:rPr>
      </w:pPr>
      <w:r w:rsidRPr="00B67E98">
        <w:rPr>
          <w:rFonts w:ascii="Palatino Linotype" w:eastAsia="Palatino Linotype" w:hAnsi="Palatino Linotype" w:cs="Palatino Linotype"/>
          <w:noProof/>
          <w:color w:val="000000"/>
          <w:lang w:val="es-MX" w:eastAsia="es-MX"/>
        </w:rPr>
        <w:drawing>
          <wp:inline distT="0" distB="0" distL="0" distR="0">
            <wp:extent cx="4569754" cy="1760063"/>
            <wp:effectExtent l="0" t="0" r="0" b="0"/>
            <wp:docPr id="19714301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4569754" cy="1760063"/>
                    </a:xfrm>
                    <a:prstGeom prst="rect">
                      <a:avLst/>
                    </a:prstGeom>
                    <a:ln/>
                  </pic:spPr>
                </pic:pic>
              </a:graphicData>
            </a:graphic>
          </wp:inline>
        </w:drawing>
      </w: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Ahora bien, se debe de precisar que la información remitida de los ejercicios fiscales 2021, 2022, 2023 y del mes de enero a septiembre de 2024 si se puede observar la información del ISR retenido y la Diferencia, tal y como se observa a continuación. </w:t>
      </w:r>
    </w:p>
    <w:p w:rsidR="00C93C9A" w:rsidRPr="00B67E98" w:rsidRDefault="009F323A">
      <w:pPr>
        <w:spacing w:line="360" w:lineRule="auto"/>
        <w:ind w:right="-787"/>
        <w:jc w:val="both"/>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lastRenderedPageBreak/>
        <w:drawing>
          <wp:inline distT="0" distB="0" distL="0" distR="0">
            <wp:extent cx="5612130" cy="3242310"/>
            <wp:effectExtent l="0" t="0" r="0" b="0"/>
            <wp:docPr id="19714301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612130" cy="3242310"/>
                    </a:xfrm>
                    <a:prstGeom prst="rect">
                      <a:avLst/>
                    </a:prstGeom>
                    <a:ln/>
                  </pic:spPr>
                </pic:pic>
              </a:graphicData>
            </a:graphic>
          </wp:inline>
        </w:drawing>
      </w:r>
    </w:p>
    <w:p w:rsidR="00C93C9A" w:rsidRPr="00B67E98" w:rsidRDefault="009F323A">
      <w:pPr>
        <w:spacing w:line="360" w:lineRule="auto"/>
        <w:ind w:right="-787"/>
        <w:jc w:val="both"/>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extent cx="5612130" cy="2989580"/>
            <wp:effectExtent l="0" t="0" r="0" b="0"/>
            <wp:docPr id="19714301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2130" cy="2989580"/>
                    </a:xfrm>
                    <a:prstGeom prst="rect">
                      <a:avLst/>
                    </a:prstGeom>
                    <a:ln/>
                  </pic:spPr>
                </pic:pic>
              </a:graphicData>
            </a:graphic>
          </wp:inline>
        </w:drawing>
      </w: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Situación por la cual este punto de la solicitud de tiene parcialmente colmado, toda vez que del ejercicio fiscal 2020 no se visualiza información.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lastRenderedPageBreak/>
        <w:t xml:space="preserve">Ahora bien, respecto al reporte de ISR retenido correspondiente al monto histórico recuperado por conducto de la </w:t>
      </w:r>
      <w:r w:rsidRPr="00B67E98">
        <w:rPr>
          <w:rFonts w:ascii="Palatino Linotype" w:eastAsia="Palatino Linotype" w:hAnsi="Palatino Linotype" w:cs="Palatino Linotype"/>
        </w:rPr>
        <w:t>Secretaría</w:t>
      </w:r>
      <w:r w:rsidRPr="00B67E98">
        <w:rPr>
          <w:rFonts w:ascii="Palatino Linotype" w:eastAsia="Palatino Linotype" w:hAnsi="Palatino Linotype" w:cs="Palatino Linotype"/>
          <w:color w:val="000000"/>
        </w:rPr>
        <w:t xml:space="preserve"> de Finanzas del Estado, se precisa el documento que da cuenta de ello es la </w:t>
      </w:r>
      <w:r w:rsidRPr="00B67E98">
        <w:rPr>
          <w:rFonts w:ascii="Palatino Linotype" w:eastAsia="Palatino Linotype" w:hAnsi="Palatino Linotype" w:cs="Palatino Linotype"/>
          <w:b/>
          <w:color w:val="000000"/>
        </w:rPr>
        <w:t>“Vista anual acumulada”,</w:t>
      </w:r>
      <w:r w:rsidRPr="00B67E98">
        <w:rPr>
          <w:rFonts w:ascii="Palatino Linotype" w:eastAsia="Palatino Linotype" w:hAnsi="Palatino Linotype" w:cs="Palatino Linotype"/>
          <w:color w:val="000000"/>
        </w:rPr>
        <w:t xml:space="preserve">  toda vez que se muestra el </w:t>
      </w:r>
      <w:r w:rsidRPr="00B67E98">
        <w:rPr>
          <w:rFonts w:ascii="Palatino Linotype" w:eastAsia="Palatino Linotype" w:hAnsi="Palatino Linotype" w:cs="Palatino Linotype"/>
          <w:b/>
          <w:color w:val="000000"/>
        </w:rPr>
        <w:t>registro del Acumulado Anual Total,</w:t>
      </w:r>
      <w:r w:rsidRPr="00B67E98">
        <w:rPr>
          <w:rFonts w:ascii="Palatino Linotype" w:eastAsia="Palatino Linotype" w:hAnsi="Palatino Linotype" w:cs="Palatino Linotype"/>
          <w:color w:val="000000"/>
        </w:rPr>
        <w:t xml:space="preserve"> que contiene los pagos acumulados realizados a los trabajadores </w:t>
      </w:r>
      <w:r w:rsidRPr="00B67E98">
        <w:rPr>
          <w:rFonts w:ascii="Palatino Linotype" w:eastAsia="Palatino Linotype" w:hAnsi="Palatino Linotype" w:cs="Palatino Linotype"/>
          <w:b/>
          <w:color w:val="000000"/>
          <w:u w:val="single"/>
        </w:rPr>
        <w:t>durante el ejercicio</w:t>
      </w:r>
      <w:r w:rsidRPr="00B67E98">
        <w:rPr>
          <w:rFonts w:ascii="Palatino Linotype" w:eastAsia="Palatino Linotype" w:hAnsi="Palatino Linotype" w:cs="Palatino Linotype"/>
          <w:color w:val="000000"/>
        </w:rPr>
        <w:t>, y se integra de las columnas siguientes: Concepto, Salarios, Indemnización, Total sueldos, Asimilados a salarios y un Total pagado por nómina, es decir, contiene una columna que integra un gran total resumido de cada concepto, además del número de trabajadores, así como también el</w:t>
      </w:r>
      <w:r w:rsidRPr="00B67E98">
        <w:rPr>
          <w:rFonts w:ascii="Palatino Linotype" w:eastAsia="Palatino Linotype" w:hAnsi="Palatino Linotype" w:cs="Palatino Linotype"/>
          <w:b/>
          <w:color w:val="000000"/>
        </w:rPr>
        <w:t xml:space="preserve"> </w:t>
      </w:r>
      <w:r w:rsidRPr="00B67E98">
        <w:rPr>
          <w:rFonts w:ascii="Palatino Linotype" w:eastAsia="Palatino Linotype" w:hAnsi="Palatino Linotype" w:cs="Palatino Linotype"/>
          <w:b/>
          <w:color w:val="000000"/>
          <w:u w:val="single"/>
        </w:rPr>
        <w:t>total de ISR retenido e ISR enterado</w:t>
      </w:r>
      <w:r w:rsidRPr="00B67E98">
        <w:rPr>
          <w:rFonts w:ascii="Palatino Linotype" w:eastAsia="Palatino Linotype" w:hAnsi="Palatino Linotype" w:cs="Palatino Linotype"/>
          <w:color w:val="000000"/>
        </w:rPr>
        <w:t xml:space="preserve">. Asimismo, al dar clic en el ícono PDF, es posible generar un documento con la información que se visualiza en la siguiente captura de pantalla. </w:t>
      </w:r>
      <w:r w:rsidRPr="00B67E98">
        <w:rPr>
          <w:noProof/>
          <w:lang w:val="es-MX" w:eastAsia="es-MX"/>
        </w:rPr>
        <mc:AlternateContent>
          <mc:Choice Requires="wps">
            <w:drawing>
              <wp:anchor distT="0" distB="0" distL="114300" distR="114300" simplePos="0" relativeHeight="251658240" behindDoc="0" locked="0" layoutInCell="1" hidden="0" allowOverlap="1">
                <wp:simplePos x="0" y="0"/>
                <wp:positionH relativeFrom="column">
                  <wp:posOffset>4356100</wp:posOffset>
                </wp:positionH>
                <wp:positionV relativeFrom="paragraph">
                  <wp:posOffset>4470400</wp:posOffset>
                </wp:positionV>
                <wp:extent cx="0" cy="25400"/>
                <wp:effectExtent l="0" t="0" r="0" b="0"/>
                <wp:wrapNone/>
                <wp:docPr id="1971430113" name="Conector recto de flecha 1971430113"/>
                <wp:cNvGraphicFramePr/>
                <a:graphic xmlns:a="http://schemas.openxmlformats.org/drawingml/2006/main">
                  <a:graphicData uri="http://schemas.microsoft.com/office/word/2010/wordprocessingShape">
                    <wps:wsp>
                      <wps:cNvCnPr/>
                      <wps:spPr>
                        <a:xfrm>
                          <a:off x="4936108" y="3780000"/>
                          <a:ext cx="819785"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4356100</wp:posOffset>
                </wp:positionH>
                <wp:positionV relativeFrom="paragraph">
                  <wp:posOffset>4470400</wp:posOffset>
                </wp:positionV>
                <wp:extent cx="0" cy="25400"/>
                <wp:effectExtent b="0" l="0" r="0" t="0"/>
                <wp:wrapNone/>
                <wp:docPr id="1971430113" name="image28.png"/>
                <a:graphic>
                  <a:graphicData uri="http://schemas.openxmlformats.org/drawingml/2006/picture">
                    <pic:pic>
                      <pic:nvPicPr>
                        <pic:cNvPr id="0" name="image28.png"/>
                        <pic:cNvPicPr preferRelativeResize="0"/>
                      </pic:nvPicPr>
                      <pic:blipFill>
                        <a:blip r:embed="rId17"/>
                        <a:srcRect/>
                        <a:stretch>
                          <a:fillRect/>
                        </a:stretch>
                      </pic:blipFill>
                      <pic:spPr>
                        <a:xfrm>
                          <a:off x="0" y="0"/>
                          <a:ext cx="0" cy="25400"/>
                        </a:xfrm>
                        <a:prstGeom prst="rect"/>
                        <a:ln/>
                      </pic:spPr>
                    </pic:pic>
                  </a:graphicData>
                </a:graphic>
              </wp:anchor>
            </w:drawing>
          </mc:Fallback>
        </mc:AlternateContent>
      </w:r>
      <w:r w:rsidRPr="00B67E98">
        <w:rPr>
          <w:noProof/>
          <w:lang w:val="es-MX" w:eastAsia="es-MX"/>
        </w:rPr>
        <mc:AlternateContent>
          <mc:Choice Requires="wps">
            <w:drawing>
              <wp:anchor distT="0" distB="0" distL="114300" distR="114300" simplePos="0" relativeHeight="251659264" behindDoc="0" locked="0" layoutInCell="1" hidden="0" allowOverlap="1">
                <wp:simplePos x="0" y="0"/>
                <wp:positionH relativeFrom="column">
                  <wp:posOffset>3771900</wp:posOffset>
                </wp:positionH>
                <wp:positionV relativeFrom="paragraph">
                  <wp:posOffset>4597400</wp:posOffset>
                </wp:positionV>
                <wp:extent cx="0" cy="25400"/>
                <wp:effectExtent l="0" t="0" r="0" b="0"/>
                <wp:wrapNone/>
                <wp:docPr id="1971430109" name="Conector recto de flecha 1971430109"/>
                <wp:cNvGraphicFramePr/>
                <a:graphic xmlns:a="http://schemas.openxmlformats.org/drawingml/2006/main">
                  <a:graphicData uri="http://schemas.microsoft.com/office/word/2010/wordprocessingShape">
                    <wps:wsp>
                      <wps:cNvCnPr/>
                      <wps:spPr>
                        <a:xfrm>
                          <a:off x="4477955" y="3780000"/>
                          <a:ext cx="1736090"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3771900</wp:posOffset>
                </wp:positionH>
                <wp:positionV relativeFrom="paragraph">
                  <wp:posOffset>4597400</wp:posOffset>
                </wp:positionV>
                <wp:extent cx="0" cy="25400"/>
                <wp:effectExtent b="0" l="0" r="0" t="0"/>
                <wp:wrapNone/>
                <wp:docPr id="1971430109" name="image22.png"/>
                <a:graphic>
                  <a:graphicData uri="http://schemas.openxmlformats.org/drawingml/2006/picture">
                    <pic:pic>
                      <pic:nvPicPr>
                        <pic:cNvPr id="0" name="image22.png"/>
                        <pic:cNvPicPr preferRelativeResize="0"/>
                      </pic:nvPicPr>
                      <pic:blipFill>
                        <a:blip r:embed="rId17"/>
                        <a:srcRect/>
                        <a:stretch>
                          <a:fillRect/>
                        </a:stretch>
                      </pic:blipFill>
                      <pic:spPr>
                        <a:xfrm>
                          <a:off x="0" y="0"/>
                          <a:ext cx="0" cy="25400"/>
                        </a:xfrm>
                        <a:prstGeom prst="rect"/>
                        <a:ln/>
                      </pic:spPr>
                    </pic:pic>
                  </a:graphicData>
                </a:graphic>
              </wp:anchor>
            </w:drawing>
          </mc:Fallback>
        </mc:AlternateContent>
      </w:r>
      <w:r w:rsidRPr="00B67E98">
        <w:rPr>
          <w:noProof/>
          <w:lang w:val="es-MX" w:eastAsia="es-MX"/>
        </w:rPr>
        <mc:AlternateContent>
          <mc:Choice Requires="wps">
            <w:drawing>
              <wp:anchor distT="0" distB="0" distL="114300" distR="114300" simplePos="0" relativeHeight="251660288" behindDoc="0" locked="0" layoutInCell="1" hidden="0" allowOverlap="1">
                <wp:simplePos x="0" y="0"/>
                <wp:positionH relativeFrom="column">
                  <wp:posOffset>3175000</wp:posOffset>
                </wp:positionH>
                <wp:positionV relativeFrom="paragraph">
                  <wp:posOffset>4749800</wp:posOffset>
                </wp:positionV>
                <wp:extent cx="0" cy="25400"/>
                <wp:effectExtent l="0" t="0" r="0" b="0"/>
                <wp:wrapNone/>
                <wp:docPr id="1971430112" name="Conector recto de flecha 1971430112"/>
                <wp:cNvGraphicFramePr/>
                <a:graphic xmlns:a="http://schemas.openxmlformats.org/drawingml/2006/main">
                  <a:graphicData uri="http://schemas.microsoft.com/office/word/2010/wordprocessingShape">
                    <wps:wsp>
                      <wps:cNvCnPr/>
                      <wps:spPr>
                        <a:xfrm>
                          <a:off x="5008180" y="3780000"/>
                          <a:ext cx="675640"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3175000</wp:posOffset>
                </wp:positionH>
                <wp:positionV relativeFrom="paragraph">
                  <wp:posOffset>4749800</wp:posOffset>
                </wp:positionV>
                <wp:extent cx="0" cy="25400"/>
                <wp:effectExtent b="0" l="0" r="0" t="0"/>
                <wp:wrapNone/>
                <wp:docPr id="1971430112" name="image27.png"/>
                <a:graphic>
                  <a:graphicData uri="http://schemas.openxmlformats.org/drawingml/2006/picture">
                    <pic:pic>
                      <pic:nvPicPr>
                        <pic:cNvPr id="0" name="image27.png"/>
                        <pic:cNvPicPr preferRelativeResize="0"/>
                      </pic:nvPicPr>
                      <pic:blipFill>
                        <a:blip r:embed="rId17"/>
                        <a:srcRect/>
                        <a:stretch>
                          <a:fillRect/>
                        </a:stretch>
                      </pic:blipFill>
                      <pic:spPr>
                        <a:xfrm>
                          <a:off x="0" y="0"/>
                          <a:ext cx="0" cy="25400"/>
                        </a:xfrm>
                        <a:prstGeom prst="rect"/>
                        <a:ln/>
                      </pic:spPr>
                    </pic:pic>
                  </a:graphicData>
                </a:graphic>
              </wp:anchor>
            </w:drawing>
          </mc:Fallback>
        </mc:AlternateContent>
      </w:r>
      <w:r w:rsidRPr="00B67E98">
        <w:rPr>
          <w:noProof/>
          <w:lang w:val="es-MX" w:eastAsia="es-MX"/>
        </w:rPr>
        <mc:AlternateContent>
          <mc:Choice Requires="wpg">
            <w:drawing>
              <wp:anchor distT="0" distB="0" distL="114300" distR="114300" simplePos="0" relativeHeight="251661312" behindDoc="0" locked="0" layoutInCell="1" hidden="0" allowOverlap="1">
                <wp:simplePos x="0" y="0"/>
                <wp:positionH relativeFrom="column">
                  <wp:posOffset>2819400</wp:posOffset>
                </wp:positionH>
                <wp:positionV relativeFrom="paragraph">
                  <wp:posOffset>4648200</wp:posOffset>
                </wp:positionV>
                <wp:extent cx="452169" cy="381684"/>
                <wp:effectExtent l="0" t="0" r="0" b="0"/>
                <wp:wrapNone/>
                <wp:docPr id="1971430104" name="Conector recto de flecha 1971430104"/>
                <wp:cNvGraphicFramePr/>
                <a:graphic xmlns:a="http://schemas.openxmlformats.org/drawingml/2006/main">
                  <a:graphicData uri="http://schemas.microsoft.com/office/word/2010/wordprocessingShape">
                    <wps:wsp>
                      <wps:cNvCnPr/>
                      <wps:spPr>
                        <a:xfrm>
                          <a:off x="5205641" y="3674883"/>
                          <a:ext cx="280719" cy="210234"/>
                        </a:xfrm>
                        <a:prstGeom prst="straightConnector1">
                          <a:avLst/>
                        </a:prstGeom>
                        <a:noFill/>
                        <a:ln w="57150" cap="flat" cmpd="sng">
                          <a:solidFill>
                            <a:srgbClr val="0070C0"/>
                          </a:solidFill>
                          <a:prstDash val="solid"/>
                          <a:round/>
                          <a:headEnd type="none" w="sm" len="sm"/>
                          <a:tailEnd type="triangle" w="med" len="med"/>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2819400</wp:posOffset>
                </wp:positionH>
                <wp:positionV relativeFrom="paragraph">
                  <wp:posOffset>4648200</wp:posOffset>
                </wp:positionV>
                <wp:extent cx="452169" cy="381684"/>
                <wp:effectExtent b="0" l="0" r="0" t="0"/>
                <wp:wrapNone/>
                <wp:docPr id="1971430104"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452169" cy="381684"/>
                        </a:xfrm>
                        <a:prstGeom prst="rect"/>
                        <a:ln/>
                      </pic:spPr>
                    </pic:pic>
                  </a:graphicData>
                </a:graphic>
              </wp:anchor>
            </w:drawing>
          </mc:Fallback>
        </mc:AlternateContent>
      </w:r>
      <w:r w:rsidRPr="00B67E98">
        <w:rPr>
          <w:noProof/>
          <w:lang w:val="es-MX" w:eastAsia="es-MX"/>
        </w:rPr>
        <mc:AlternateContent>
          <mc:Choice Requires="wps">
            <w:drawing>
              <wp:anchor distT="0" distB="0" distL="114300" distR="114300" simplePos="0" relativeHeight="251662336" behindDoc="0" locked="0" layoutInCell="1" hidden="0" allowOverlap="1">
                <wp:simplePos x="0" y="0"/>
                <wp:positionH relativeFrom="column">
                  <wp:posOffset>4457700</wp:posOffset>
                </wp:positionH>
                <wp:positionV relativeFrom="paragraph">
                  <wp:posOffset>5842000</wp:posOffset>
                </wp:positionV>
                <wp:extent cx="0" cy="25400"/>
                <wp:effectExtent l="0" t="0" r="0" b="0"/>
                <wp:wrapNone/>
                <wp:docPr id="1971430107" name="Conector recto de flecha 1971430107"/>
                <wp:cNvGraphicFramePr/>
                <a:graphic xmlns:a="http://schemas.openxmlformats.org/drawingml/2006/main">
                  <a:graphicData uri="http://schemas.microsoft.com/office/word/2010/wordprocessingShape">
                    <wps:wsp>
                      <wps:cNvCnPr/>
                      <wps:spPr>
                        <a:xfrm>
                          <a:off x="4936009" y="3780000"/>
                          <a:ext cx="819983"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4457700</wp:posOffset>
                </wp:positionH>
                <wp:positionV relativeFrom="paragraph">
                  <wp:posOffset>5842000</wp:posOffset>
                </wp:positionV>
                <wp:extent cx="0" cy="25400"/>
                <wp:effectExtent b="0" l="0" r="0" t="0"/>
                <wp:wrapNone/>
                <wp:docPr id="1971430107"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0" cy="25400"/>
                        </a:xfrm>
                        <a:prstGeom prst="rect"/>
                        <a:ln/>
                      </pic:spPr>
                    </pic:pic>
                  </a:graphicData>
                </a:graphic>
              </wp:anchor>
            </w:drawing>
          </mc:Fallback>
        </mc:AlternateContent>
      </w:r>
      <w:r w:rsidRPr="00B67E98">
        <w:rPr>
          <w:noProof/>
          <w:lang w:val="es-MX" w:eastAsia="es-MX"/>
        </w:rPr>
        <mc:AlternateContent>
          <mc:Choice Requires="wps">
            <w:drawing>
              <wp:anchor distT="0" distB="0" distL="114300" distR="114300" simplePos="0" relativeHeight="251663360" behindDoc="0" locked="0" layoutInCell="1" hidden="0" allowOverlap="1">
                <wp:simplePos x="0" y="0"/>
                <wp:positionH relativeFrom="column">
                  <wp:posOffset>3759200</wp:posOffset>
                </wp:positionH>
                <wp:positionV relativeFrom="paragraph">
                  <wp:posOffset>5981700</wp:posOffset>
                </wp:positionV>
                <wp:extent cx="0" cy="25400"/>
                <wp:effectExtent l="0" t="0" r="0" b="0"/>
                <wp:wrapNone/>
                <wp:docPr id="1971430111" name="Conector recto de flecha 1971430111"/>
                <wp:cNvGraphicFramePr/>
                <a:graphic xmlns:a="http://schemas.openxmlformats.org/drawingml/2006/main">
                  <a:graphicData uri="http://schemas.microsoft.com/office/word/2010/wordprocessingShape">
                    <wps:wsp>
                      <wps:cNvCnPr/>
                      <wps:spPr>
                        <a:xfrm>
                          <a:off x="4477955" y="3780000"/>
                          <a:ext cx="1736090"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3759200</wp:posOffset>
                </wp:positionH>
                <wp:positionV relativeFrom="paragraph">
                  <wp:posOffset>5981700</wp:posOffset>
                </wp:positionV>
                <wp:extent cx="0" cy="25400"/>
                <wp:effectExtent b="0" l="0" r="0" t="0"/>
                <wp:wrapNone/>
                <wp:docPr id="1971430111"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0" cy="25400"/>
                        </a:xfrm>
                        <a:prstGeom prst="rect"/>
                        <a:ln/>
                      </pic:spPr>
                    </pic:pic>
                  </a:graphicData>
                </a:graphic>
              </wp:anchor>
            </w:drawing>
          </mc:Fallback>
        </mc:AlternateContent>
      </w:r>
      <w:r w:rsidRPr="00B67E98">
        <w:rPr>
          <w:noProof/>
          <w:lang w:val="es-MX" w:eastAsia="es-MX"/>
        </w:rPr>
        <mc:AlternateContent>
          <mc:Choice Requires="wps">
            <w:drawing>
              <wp:anchor distT="0" distB="0" distL="114300" distR="114300" simplePos="0" relativeHeight="251664384" behindDoc="0" locked="0" layoutInCell="1" hidden="0" allowOverlap="1">
                <wp:simplePos x="0" y="0"/>
                <wp:positionH relativeFrom="column">
                  <wp:posOffset>3200400</wp:posOffset>
                </wp:positionH>
                <wp:positionV relativeFrom="paragraph">
                  <wp:posOffset>6121400</wp:posOffset>
                </wp:positionV>
                <wp:extent cx="0" cy="25400"/>
                <wp:effectExtent l="0" t="0" r="0" b="0"/>
                <wp:wrapNone/>
                <wp:docPr id="1971430105" name="Conector recto de flecha 1971430105"/>
                <wp:cNvGraphicFramePr/>
                <a:graphic xmlns:a="http://schemas.openxmlformats.org/drawingml/2006/main">
                  <a:graphicData uri="http://schemas.microsoft.com/office/word/2010/wordprocessingShape">
                    <wps:wsp>
                      <wps:cNvCnPr/>
                      <wps:spPr>
                        <a:xfrm>
                          <a:off x="5038694" y="3780000"/>
                          <a:ext cx="614612"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3200400</wp:posOffset>
                </wp:positionH>
                <wp:positionV relativeFrom="paragraph">
                  <wp:posOffset>6121400</wp:posOffset>
                </wp:positionV>
                <wp:extent cx="0" cy="25400"/>
                <wp:effectExtent b="0" l="0" r="0" t="0"/>
                <wp:wrapNone/>
                <wp:docPr id="1971430105"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0" cy="25400"/>
                        </a:xfrm>
                        <a:prstGeom prst="rect"/>
                        <a:ln/>
                      </pic:spPr>
                    </pic:pic>
                  </a:graphicData>
                </a:graphic>
              </wp:anchor>
            </w:drawing>
          </mc:Fallback>
        </mc:AlternateContent>
      </w:r>
    </w:p>
    <w:p w:rsidR="00C93C9A" w:rsidRPr="00B67E98" w:rsidRDefault="009F323A">
      <w:pPr>
        <w:spacing w:before="240" w:after="240" w:line="360" w:lineRule="auto"/>
        <w:ind w:right="-787"/>
        <w:jc w:val="center"/>
        <w:rPr>
          <w:rFonts w:ascii="Palatino Linotype" w:eastAsia="Palatino Linotype" w:hAnsi="Palatino Linotype" w:cs="Palatino Linotype"/>
          <w:color w:val="000000"/>
        </w:rPr>
      </w:pPr>
      <w:r w:rsidRPr="00B67E98">
        <w:rPr>
          <w:rFonts w:ascii="Palatino Linotype" w:eastAsia="Palatino Linotype" w:hAnsi="Palatino Linotype" w:cs="Palatino Linotype"/>
          <w:noProof/>
          <w:color w:val="000000"/>
          <w:lang w:val="es-MX" w:eastAsia="es-MX"/>
        </w:rPr>
        <w:drawing>
          <wp:inline distT="0" distB="0" distL="0" distR="0">
            <wp:extent cx="5040000" cy="3380192"/>
            <wp:effectExtent l="0" t="0" r="0" b="0"/>
            <wp:docPr id="1971430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040000" cy="3380192"/>
                    </a:xfrm>
                    <a:prstGeom prst="rect">
                      <a:avLst/>
                    </a:prstGeom>
                    <a:ln/>
                  </pic:spPr>
                </pic:pic>
              </a:graphicData>
            </a:graphic>
          </wp:inline>
        </w:drawing>
      </w: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color w:val="000000"/>
        </w:rPr>
        <w:lastRenderedPageBreak/>
        <w:t xml:space="preserve">Seguidamente, se debe de mencionar que el </w:t>
      </w:r>
      <w:r w:rsidRPr="00B67E98">
        <w:rPr>
          <w:rFonts w:ascii="Palatino Linotype" w:eastAsia="Palatino Linotype" w:hAnsi="Palatino Linotype" w:cs="Palatino Linotype"/>
          <w:b/>
          <w:color w:val="000000"/>
        </w:rPr>
        <w:t xml:space="preserve">SUJETO OBLIGADO </w:t>
      </w:r>
      <w:r w:rsidRPr="00B67E98">
        <w:rPr>
          <w:rFonts w:ascii="Palatino Linotype" w:eastAsia="Palatino Linotype" w:hAnsi="Palatino Linotype" w:cs="Palatino Linotype"/>
          <w:color w:val="000000"/>
        </w:rPr>
        <w:t xml:space="preserve">si remite dicha información, del ejercicio fiscal 2021, 2022, 2023 y del mes de enero a septiembre de 2024, sin embargo la información se encuentra ilegible tal y como se muestra a continuación. </w:t>
      </w:r>
    </w:p>
    <w:p w:rsidR="00C93C9A" w:rsidRPr="00B67E98" w:rsidRDefault="009F323A">
      <w:pPr>
        <w:spacing w:line="360" w:lineRule="auto"/>
        <w:ind w:right="-787"/>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extent cx="3172917" cy="1349513"/>
            <wp:effectExtent l="0" t="0" r="0" b="0"/>
            <wp:docPr id="19714301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172917" cy="1349513"/>
                    </a:xfrm>
                    <a:prstGeom prst="rect">
                      <a:avLst/>
                    </a:prstGeom>
                    <a:ln/>
                  </pic:spPr>
                </pic:pic>
              </a:graphicData>
            </a:graphic>
          </wp:inline>
        </w:drawing>
      </w:r>
    </w:p>
    <w:p w:rsidR="00C93C9A" w:rsidRPr="00B67E98" w:rsidRDefault="009F323A">
      <w:pPr>
        <w:spacing w:line="360" w:lineRule="auto"/>
        <w:ind w:right="-787"/>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extent cx="3061228" cy="1132287"/>
            <wp:effectExtent l="0" t="0" r="0" b="0"/>
            <wp:docPr id="19714301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061228" cy="1132287"/>
                    </a:xfrm>
                    <a:prstGeom prst="rect">
                      <a:avLst/>
                    </a:prstGeom>
                    <a:ln/>
                  </pic:spPr>
                </pic:pic>
              </a:graphicData>
            </a:graphic>
          </wp:inline>
        </w:drawing>
      </w:r>
    </w:p>
    <w:p w:rsidR="00C93C9A" w:rsidRPr="00B67E98" w:rsidRDefault="009F323A">
      <w:pPr>
        <w:spacing w:line="360" w:lineRule="auto"/>
        <w:ind w:right="-787"/>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extent cx="3470169" cy="1198736"/>
            <wp:effectExtent l="0" t="0" r="0" b="0"/>
            <wp:docPr id="19714301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470169" cy="1198736"/>
                    </a:xfrm>
                    <a:prstGeom prst="rect">
                      <a:avLst/>
                    </a:prstGeom>
                    <a:ln/>
                  </pic:spPr>
                </pic:pic>
              </a:graphicData>
            </a:graphic>
          </wp:inline>
        </w:drawing>
      </w:r>
    </w:p>
    <w:p w:rsidR="00C93C9A" w:rsidRPr="00B67E98" w:rsidRDefault="009F323A">
      <w:pPr>
        <w:spacing w:line="360" w:lineRule="auto"/>
        <w:ind w:right="-787"/>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extent cx="3439675" cy="1243857"/>
            <wp:effectExtent l="0" t="0" r="0" b="0"/>
            <wp:docPr id="19714301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439675" cy="1243857"/>
                    </a:xfrm>
                    <a:prstGeom prst="rect">
                      <a:avLst/>
                    </a:prstGeom>
                    <a:ln/>
                  </pic:spPr>
                </pic:pic>
              </a:graphicData>
            </a:graphic>
          </wp:inline>
        </w:drawing>
      </w:r>
    </w:p>
    <w:p w:rsidR="00C93C9A" w:rsidRPr="00B67E98" w:rsidRDefault="00C93C9A">
      <w:pPr>
        <w:pBdr>
          <w:top w:val="nil"/>
          <w:left w:val="nil"/>
          <w:bottom w:val="nil"/>
          <w:right w:val="nil"/>
          <w:between w:val="nil"/>
        </w:pBdr>
        <w:ind w:left="720" w:right="-787"/>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De lo anterior, se debe de referir que para colmar el derecho de acceso a la información del </w:t>
      </w:r>
      <w:r w:rsidRPr="00B67E98">
        <w:rPr>
          <w:rFonts w:ascii="Palatino Linotype" w:eastAsia="Palatino Linotype" w:hAnsi="Palatino Linotype" w:cs="Palatino Linotype"/>
          <w:b/>
        </w:rPr>
        <w:t xml:space="preserve">RECURRENTE </w:t>
      </w:r>
      <w:r w:rsidRPr="00B67E98">
        <w:rPr>
          <w:rFonts w:ascii="Palatino Linotype" w:eastAsia="Palatino Linotype" w:hAnsi="Palatino Linotype" w:cs="Palatino Linotype"/>
        </w:rPr>
        <w:t xml:space="preserve">el </w:t>
      </w:r>
      <w:r w:rsidRPr="00B67E98">
        <w:rPr>
          <w:rFonts w:ascii="Palatino Linotype" w:eastAsia="Palatino Linotype" w:hAnsi="Palatino Linotype" w:cs="Palatino Linotype"/>
          <w:b/>
        </w:rPr>
        <w:t xml:space="preserve">SUJETO OBLIGADO </w:t>
      </w:r>
      <w:r w:rsidRPr="00B67E98">
        <w:rPr>
          <w:rFonts w:ascii="Palatino Linotype" w:eastAsia="Palatino Linotype" w:hAnsi="Palatino Linotype" w:cs="Palatino Linotype"/>
        </w:rPr>
        <w:t xml:space="preserve">deberá de remitir la información de manera legible.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rPr>
          <w:rFonts w:ascii="Palatino Linotype" w:eastAsia="Palatino Linotype" w:hAnsi="Palatino Linotype" w:cs="Palatino Linotype"/>
          <w:b/>
          <w:i/>
        </w:rPr>
      </w:pPr>
      <w:r w:rsidRPr="00B67E98">
        <w:rPr>
          <w:rFonts w:ascii="Palatino Linotype" w:eastAsia="Palatino Linotype" w:hAnsi="Palatino Linotype" w:cs="Palatino Linotype"/>
        </w:rPr>
        <w:t xml:space="preserve">Ahora bien, por cuanto hace al </w:t>
      </w:r>
      <w:r w:rsidRPr="00B67E98">
        <w:rPr>
          <w:rFonts w:ascii="Palatino Linotype" w:eastAsia="Palatino Linotype" w:hAnsi="Palatino Linotype" w:cs="Palatino Linotype"/>
          <w:b/>
          <w:i/>
        </w:rPr>
        <w:t xml:space="preserve">Reporte emitido por la Secretaria de Finanzas del Estado que comprende desde el año 2015 a la fecha en el que se especifica el monto del ISR que se obtuvo en devolución, </w:t>
      </w:r>
      <w:r w:rsidRPr="00B67E98">
        <w:rPr>
          <w:rFonts w:ascii="Palatino Linotype" w:eastAsia="Palatino Linotype" w:hAnsi="Palatino Linotype" w:cs="Palatino Linotype"/>
        </w:rPr>
        <w:t xml:space="preserve">se debe de referir que el </w:t>
      </w:r>
      <w:r w:rsidRPr="00B67E98">
        <w:rPr>
          <w:rFonts w:ascii="Palatino Linotype" w:eastAsia="Palatino Linotype" w:hAnsi="Palatino Linotype" w:cs="Palatino Linotype"/>
          <w:b/>
        </w:rPr>
        <w:t xml:space="preserve">SUJETO OBLIGADO </w:t>
      </w:r>
      <w:r w:rsidRPr="00B67E98">
        <w:rPr>
          <w:rFonts w:ascii="Palatino Linotype" w:eastAsia="Palatino Linotype" w:hAnsi="Palatino Linotype" w:cs="Palatino Linotype"/>
        </w:rPr>
        <w:t xml:space="preserve">entregó diversos documentos que se integran de la siguiente manera. </w:t>
      </w:r>
    </w:p>
    <w:p w:rsidR="00C93C9A" w:rsidRPr="00B67E98" w:rsidRDefault="00C93C9A">
      <w:pPr>
        <w:pBdr>
          <w:top w:val="nil"/>
          <w:left w:val="nil"/>
          <w:bottom w:val="nil"/>
          <w:right w:val="nil"/>
          <w:between w:val="nil"/>
        </w:pBdr>
        <w:ind w:left="720" w:right="-787"/>
        <w:rPr>
          <w:rFonts w:ascii="Palatino Linotype" w:eastAsia="Palatino Linotype" w:hAnsi="Palatino Linotype" w:cs="Palatino Linotype"/>
          <w:b/>
          <w:i/>
          <w:color w:val="000000"/>
        </w:rPr>
      </w:pP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9.pdf: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2023, del cual se observa que falta el mes de enero)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6.pdf: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2020.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2.pdf: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2015, del cual faltan los meses de enero, febrero y marzo, y del ejercicio fiscal 2016 del cual falta el mes de enero. </w:t>
      </w:r>
    </w:p>
    <w:p w:rsidR="00C93C9A" w:rsidRPr="00B67E98" w:rsidRDefault="009F323A">
      <w:pPr>
        <w:ind w:left="1134"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Anexo 3.pdf: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2017. </w:t>
      </w:r>
    </w:p>
    <w:p w:rsidR="00C93C9A" w:rsidRPr="00B67E98" w:rsidRDefault="009F323A">
      <w:pPr>
        <w:ind w:left="1134"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Anexo 8.pdf: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2022, del cual se observa que falta el mes de enero)</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10.pdf: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los meses de enero a septiembre de 2024. </w:t>
      </w:r>
    </w:p>
    <w:p w:rsidR="00C93C9A" w:rsidRPr="00B67E98" w:rsidRDefault="009F323A">
      <w:pPr>
        <w:ind w:left="1134"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Anexo 5.pdf: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2019, del cual se observa que falta el mes de enero)</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 xml:space="preserve">Anexo 4.pdf: </w:t>
      </w:r>
      <w:r w:rsidRPr="00B67E98">
        <w:rPr>
          <w:rFonts w:ascii="Palatino Linotype" w:eastAsia="Palatino Linotype" w:hAnsi="Palatino Linotype" w:cs="Palatino Linotype"/>
          <w:i/>
          <w:color w:val="000000"/>
        </w:rPr>
        <w:t xml:space="preserve">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2018. </w:t>
      </w:r>
    </w:p>
    <w:p w:rsidR="00C93C9A" w:rsidRPr="00B67E98" w:rsidRDefault="009F323A">
      <w:pPr>
        <w:ind w:left="1134" w:right="-787"/>
        <w:jc w:val="both"/>
        <w:rPr>
          <w:rFonts w:ascii="Palatino Linotype" w:eastAsia="Palatino Linotype" w:hAnsi="Palatino Linotype" w:cs="Palatino Linotype"/>
          <w:i/>
          <w:color w:val="000000"/>
        </w:rPr>
      </w:pPr>
      <w:r w:rsidRPr="00B67E98">
        <w:rPr>
          <w:rFonts w:ascii="Palatino Linotype" w:eastAsia="Palatino Linotype" w:hAnsi="Palatino Linotype" w:cs="Palatino Linotype"/>
          <w:b/>
          <w:i/>
          <w:color w:val="000000"/>
        </w:rPr>
        <w:t>Anexo 7.pdf:</w:t>
      </w:r>
      <w:r w:rsidRPr="00B67E98">
        <w:rPr>
          <w:rFonts w:ascii="Palatino Linotype" w:eastAsia="Palatino Linotype" w:hAnsi="Palatino Linotype" w:cs="Palatino Linotype"/>
          <w:i/>
          <w:color w:val="000000"/>
        </w:rPr>
        <w:t xml:space="preserve"> Reporte del ISR participable </w:t>
      </w:r>
      <w:r w:rsidRPr="00B67E98">
        <w:rPr>
          <w:rFonts w:ascii="Palatino Linotype" w:eastAsia="Palatino Linotype" w:hAnsi="Palatino Linotype" w:cs="Palatino Linotype"/>
          <w:b/>
          <w:i/>
          <w:color w:val="000000"/>
        </w:rPr>
        <w:t xml:space="preserve">ministrado (dado) </w:t>
      </w:r>
      <w:r w:rsidRPr="00B67E98">
        <w:rPr>
          <w:rFonts w:ascii="Palatino Linotype" w:eastAsia="Palatino Linotype" w:hAnsi="Palatino Linotype" w:cs="Palatino Linotype"/>
          <w:i/>
          <w:color w:val="000000"/>
        </w:rPr>
        <w:t xml:space="preserve"> durante del ejercicio fiscal 2021. </w:t>
      </w:r>
    </w:p>
    <w:p w:rsidR="00C93C9A" w:rsidRPr="00B67E98" w:rsidRDefault="00C93C9A">
      <w:pPr>
        <w:spacing w:line="360" w:lineRule="auto"/>
        <w:ind w:right="-787"/>
        <w:rPr>
          <w:rFonts w:ascii="Palatino Linotype" w:eastAsia="Palatino Linotype" w:hAnsi="Palatino Linotype" w:cs="Palatino Linotype"/>
          <w:b/>
          <w:i/>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De la información entregada se debe de  precisar que solo los ejercicios fiscales 2021, 2018, 2017, 2020 y los meses de enero a septiembre de 2024 se encuentran completos, toda vez que se integra por los meses completos que integra a los ejercicios fiscales, en las que se muestra el total del ISR ministrado, que significa la devolución que tuvo el </w:t>
      </w:r>
      <w:r w:rsidRPr="00B67E98">
        <w:rPr>
          <w:rFonts w:ascii="Palatino Linotype" w:eastAsia="Palatino Linotype" w:hAnsi="Palatino Linotype" w:cs="Palatino Linotype"/>
          <w:b/>
        </w:rPr>
        <w:t xml:space="preserve">SUJETO OBLIGADO.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Ahora bien, de los ejercicios fiscales 2015, 2016, 2019, 2023, 2022, la información se encuentra incompleta, toda vez que del ejercicio fiscal 2015</w:t>
      </w:r>
      <w:r w:rsidRPr="00B67E98">
        <w:rPr>
          <w:rFonts w:ascii="Palatino Linotype" w:eastAsia="Palatino Linotype" w:hAnsi="Palatino Linotype" w:cs="Palatino Linotype"/>
          <w:color w:val="000000"/>
        </w:rPr>
        <w:t xml:space="preserve"> </w:t>
      </w:r>
      <w:r w:rsidRPr="00B67E98">
        <w:rPr>
          <w:rFonts w:ascii="Palatino Linotype" w:eastAsia="Palatino Linotype" w:hAnsi="Palatino Linotype" w:cs="Palatino Linotype"/>
        </w:rPr>
        <w:t>faltan los meses de enero, febrero y marzo, del ejercicio fiscal 2016, 2019, 2022 y 2023 falta el mes correspondiente a cada ejercicio fiscal, por lo que para colmar el derecho de acceso a la información se deberá de remitir la información completa.</w:t>
      </w:r>
    </w:p>
    <w:p w:rsidR="00C93C9A" w:rsidRPr="00B67E98" w:rsidRDefault="00C93C9A">
      <w:pPr>
        <w:pBdr>
          <w:top w:val="nil"/>
          <w:left w:val="nil"/>
          <w:bottom w:val="nil"/>
          <w:right w:val="nil"/>
          <w:between w:val="nil"/>
        </w:pBdr>
        <w:ind w:left="720" w:right="-787"/>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Por último, en cuanto a “</w:t>
      </w:r>
      <w:r w:rsidRPr="00B67E98">
        <w:rPr>
          <w:rFonts w:ascii="Palatino Linotype" w:eastAsia="Palatino Linotype" w:hAnsi="Palatino Linotype" w:cs="Palatino Linotype"/>
          <w:b/>
          <w:i/>
          <w:color w:val="000000"/>
        </w:rPr>
        <w:t>Reporte emitido por el software de contabilidad gubernamental en el que se pueda apreciar el control del saldo pendiente de recuperar del ISR participable</w:t>
      </w:r>
      <w:r w:rsidRPr="00B67E98">
        <w:rPr>
          <w:rFonts w:ascii="Palatino Linotype" w:eastAsia="Palatino Linotype" w:hAnsi="Palatino Linotype" w:cs="Palatino Linotype"/>
        </w:rPr>
        <w:t xml:space="preserve">”, de la información adjunta se observa que no se hace pronunciamiento en cuanto a este punto de la solicitud de información, por lo que se analiza lo siguiente. </w:t>
      </w:r>
    </w:p>
    <w:p w:rsidR="00C93C9A" w:rsidRPr="00B67E98" w:rsidRDefault="00C93C9A">
      <w:pPr>
        <w:pBdr>
          <w:top w:val="nil"/>
          <w:left w:val="nil"/>
          <w:bottom w:val="nil"/>
          <w:right w:val="nil"/>
          <w:between w:val="nil"/>
        </w:pBdr>
        <w:ind w:left="720" w:right="-787"/>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En ese sentido, se debe de mencionar que derivado del timbrado de la nómina, los entes públicos pueden acceder al </w:t>
      </w:r>
      <w:r w:rsidRPr="00B67E98">
        <w:rPr>
          <w:rFonts w:ascii="Palatino Linotype" w:eastAsia="Palatino Linotype" w:hAnsi="Palatino Linotype" w:cs="Palatino Linotype"/>
          <w:b/>
          <w:color w:val="000000"/>
        </w:rPr>
        <w:t>beneficio fiscal</w:t>
      </w:r>
      <w:r w:rsidRPr="00B67E98">
        <w:rPr>
          <w:rFonts w:ascii="Palatino Linotype" w:eastAsia="Palatino Linotype" w:hAnsi="Palatino Linotype" w:cs="Palatino Linotype"/>
          <w:color w:val="000000"/>
        </w:rPr>
        <w:t xml:space="preserve"> de obtener </w:t>
      </w:r>
      <w:r w:rsidRPr="00B67E98">
        <w:rPr>
          <w:rFonts w:ascii="Palatino Linotype" w:eastAsia="Palatino Linotype" w:hAnsi="Palatino Linotype" w:cs="Palatino Linotype"/>
          <w:b/>
          <w:color w:val="000000"/>
        </w:rPr>
        <w:t>la devolución de las retenciones de ISR enteradas sobre los sueldos que paguen a los trabajadores</w:t>
      </w:r>
      <w:r w:rsidRPr="00B67E98">
        <w:rPr>
          <w:rFonts w:ascii="Palatino Linotype" w:eastAsia="Palatino Linotype" w:hAnsi="Palatino Linotype" w:cs="Palatino Linotype"/>
          <w:color w:val="000000"/>
        </w:rPr>
        <w:t>; esto, de conformidad con el artículo 3-B de la Ley de Coordinación Fiscal, a saber:</w:t>
      </w:r>
    </w:p>
    <w:p w:rsidR="00C93C9A" w:rsidRPr="00B67E98" w:rsidRDefault="009F323A">
      <w:pPr>
        <w:spacing w:before="120" w:after="120"/>
        <w:ind w:left="851"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“Artículo 3-B</w:t>
      </w:r>
      <w:r w:rsidRPr="00B67E98">
        <w:rPr>
          <w:rFonts w:ascii="Palatino Linotype" w:eastAsia="Palatino Linotype" w:hAnsi="Palatino Linotype" w:cs="Palatino Linotype"/>
          <w:i/>
        </w:rPr>
        <w:t xml:space="preserve">.- Las </w:t>
      </w:r>
      <w:r w:rsidRPr="00B67E98">
        <w:rPr>
          <w:rFonts w:ascii="Palatino Linotype" w:eastAsia="Palatino Linotype" w:hAnsi="Palatino Linotype" w:cs="Palatino Linotype"/>
          <w:b/>
          <w:i/>
        </w:rPr>
        <w:t xml:space="preserve">entidades </w:t>
      </w:r>
      <w:r w:rsidRPr="00B67E98">
        <w:rPr>
          <w:rFonts w:ascii="Palatino Linotype" w:eastAsia="Palatino Linotype" w:hAnsi="Palatino Linotype" w:cs="Palatino Linotype"/>
          <w:b/>
          <w:i/>
          <w:u w:val="single"/>
        </w:rPr>
        <w:t>adheridas al Sistema Nacional de Coordinación Fiscal</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rPr>
        <w:t>participarán al 100% de la recaudación que se obtenga del impuesto sobre la renta</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u w:val="single"/>
        </w:rPr>
        <w:t>que efectivamente se entere a la Federación</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rPr>
        <w:t>correspondiente al salario del personal que preste o desempeñe un servicio personal subordinado en las dependencias</w:t>
      </w:r>
      <w:r w:rsidRPr="00B67E98">
        <w:rPr>
          <w:rFonts w:ascii="Palatino Linotype" w:eastAsia="Palatino Linotype" w:hAnsi="Palatino Linotype" w:cs="Palatino Linotype"/>
          <w:i/>
        </w:rPr>
        <w:t xml:space="preserve"> de la entidad federativa, </w:t>
      </w:r>
      <w:r w:rsidRPr="00B67E98">
        <w:rPr>
          <w:rFonts w:ascii="Palatino Linotype" w:eastAsia="Palatino Linotype" w:hAnsi="Palatino Linotype" w:cs="Palatino Linotype"/>
          <w:b/>
          <w:i/>
        </w:rPr>
        <w:t>del municipio</w:t>
      </w:r>
      <w:r w:rsidRPr="00B67E98">
        <w:rPr>
          <w:rFonts w:ascii="Palatino Linotype" w:eastAsia="Palatino Linotype" w:hAnsi="Palatino Linotype" w:cs="Palatino Linotype"/>
          <w:i/>
        </w:rPr>
        <w:t xml:space="preserve"> o demarcación territorial del Distrito Federal, </w:t>
      </w:r>
      <w:r w:rsidRPr="00B67E98">
        <w:rPr>
          <w:rFonts w:ascii="Palatino Linotype" w:eastAsia="Palatino Linotype" w:hAnsi="Palatino Linotype" w:cs="Palatino Linotype"/>
          <w:b/>
          <w:i/>
        </w:rPr>
        <w:t>así como en sus respectivos organismos autónomos y entidades</w:t>
      </w:r>
      <w:r w:rsidRPr="00B67E98">
        <w:rPr>
          <w:rFonts w:ascii="Palatino Linotype" w:eastAsia="Palatino Linotype" w:hAnsi="Palatino Linotype" w:cs="Palatino Linotype"/>
          <w:i/>
        </w:rPr>
        <w:t xml:space="preserve"> paraestatales y </w:t>
      </w:r>
      <w:r w:rsidRPr="00B67E98">
        <w:rPr>
          <w:rFonts w:ascii="Palatino Linotype" w:eastAsia="Palatino Linotype" w:hAnsi="Palatino Linotype" w:cs="Palatino Linotype"/>
          <w:b/>
          <w:i/>
        </w:rPr>
        <w:t>paramunicipales</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u w:val="single"/>
        </w:rPr>
        <w:t>siempre que el salario sea efectivamente pagado por los entes mencionados con cargo a sus participaciones u otros ingresos locales</w:t>
      </w:r>
      <w:r w:rsidRPr="00B67E98">
        <w:rPr>
          <w:rFonts w:ascii="Palatino Linotype" w:eastAsia="Palatino Linotype" w:hAnsi="Palatino Linotype" w:cs="Palatino Linotype"/>
          <w:i/>
        </w:rPr>
        <w:t xml:space="preserve">. </w:t>
      </w:r>
    </w:p>
    <w:p w:rsidR="00C93C9A" w:rsidRPr="00B67E98" w:rsidRDefault="009F323A">
      <w:pPr>
        <w:spacing w:before="120" w:after="120"/>
        <w:ind w:left="851"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 xml:space="preserve">Para efectos del párrafo anterior, se considerará la recaudación que se obtenga por el Impuesto sobre la Renta, una vez descontadas las devoluciones por dicho concepto. </w:t>
      </w:r>
    </w:p>
    <w:p w:rsidR="00C93C9A" w:rsidRPr="00B67E98" w:rsidRDefault="009F323A">
      <w:pPr>
        <w:spacing w:before="120" w:after="120"/>
        <w:ind w:left="851" w:right="-787"/>
        <w:jc w:val="both"/>
        <w:rPr>
          <w:rFonts w:ascii="Palatino Linotype" w:eastAsia="Palatino Linotype" w:hAnsi="Palatino Linotype" w:cs="Palatino Linotype"/>
          <w:i/>
          <w:u w:val="single"/>
        </w:rPr>
      </w:pPr>
      <w:r w:rsidRPr="00B67E98">
        <w:rPr>
          <w:rFonts w:ascii="Palatino Linotype" w:eastAsia="Palatino Linotype" w:hAnsi="Palatino Linotype" w:cs="Palatino Linotype"/>
          <w:i/>
        </w:rPr>
        <w:lastRenderedPageBreak/>
        <w:t xml:space="preserve">Asimismo, para que resulte aplicable lo dispuesto en el primer párrafo de este artículo, </w:t>
      </w:r>
      <w:r w:rsidRPr="00B67E98">
        <w:rPr>
          <w:rFonts w:ascii="Palatino Linotype" w:eastAsia="Palatino Linotype" w:hAnsi="Palatino Linotype" w:cs="Palatino Linotype"/>
          <w:b/>
          <w:i/>
          <w:u w:val="single"/>
        </w:rPr>
        <w:t>las entidades deberán enterar a la Federación el 100% de la retención que deben efectuar del Impuesto sobre la Renta</w:t>
      </w:r>
      <w:r w:rsidRPr="00B67E98">
        <w:rPr>
          <w:rFonts w:ascii="Palatino Linotype" w:eastAsia="Palatino Linotype" w:hAnsi="Palatino Linotype" w:cs="Palatino Linotype"/>
          <w:b/>
          <w:i/>
        </w:rPr>
        <w:t xml:space="preserve"> correspondiente a los ingresos por salarios que las entidades paguen </w:t>
      </w:r>
      <w:r w:rsidRPr="00B67E98">
        <w:rPr>
          <w:rFonts w:ascii="Palatino Linotype" w:eastAsia="Palatino Linotype" w:hAnsi="Palatino Linotype" w:cs="Palatino Linotype"/>
          <w:b/>
          <w:i/>
          <w:u w:val="single"/>
        </w:rPr>
        <w:t>con cargo a recursos federales</w:t>
      </w:r>
      <w:r w:rsidRPr="00B67E98">
        <w:rPr>
          <w:rFonts w:ascii="Palatino Linotype" w:eastAsia="Palatino Linotype" w:hAnsi="Palatino Linotype" w:cs="Palatino Linotype"/>
          <w:i/>
          <w:u w:val="single"/>
        </w:rPr>
        <w:t>.</w:t>
      </w:r>
    </w:p>
    <w:p w:rsidR="00C93C9A" w:rsidRPr="00B67E98" w:rsidRDefault="009F323A">
      <w:pPr>
        <w:spacing w:before="120" w:after="120"/>
        <w:ind w:left="851"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 xml:space="preserve">Las entidades deberán participar a sus municipios o demarcaciones territoriales, el 100% de la recaudación del impuesto </w:t>
      </w:r>
      <w:r w:rsidRPr="00B67E98">
        <w:rPr>
          <w:rFonts w:ascii="Palatino Linotype" w:eastAsia="Palatino Linotype" w:hAnsi="Palatino Linotype" w:cs="Palatino Linotype"/>
          <w:i/>
        </w:rPr>
        <w:t xml:space="preserve">al que se refiere el párrafo primero de este artículo, </w:t>
      </w:r>
      <w:r w:rsidRPr="00B67E98">
        <w:rPr>
          <w:rFonts w:ascii="Palatino Linotype" w:eastAsia="Palatino Linotype" w:hAnsi="Palatino Linotype" w:cs="Palatino Linotype"/>
          <w:b/>
          <w:i/>
        </w:rPr>
        <w:t>correspondiente al personal que preste o desempeñe un servicio personal subordinado en el municipio o demarcación territorial de que se trate</w:t>
      </w:r>
      <w:r w:rsidRPr="00B67E98">
        <w:rPr>
          <w:rFonts w:ascii="Palatino Linotype" w:eastAsia="Palatino Linotype" w:hAnsi="Palatino Linotype" w:cs="Palatino Linotype"/>
          <w:i/>
        </w:rPr>
        <w:t>.”</w:t>
      </w:r>
    </w:p>
    <w:p w:rsidR="00C93C9A" w:rsidRPr="00B67E98" w:rsidRDefault="00C93C9A">
      <w:pPr>
        <w:spacing w:before="120" w:after="120"/>
        <w:ind w:right="-787"/>
        <w:jc w:val="both"/>
        <w:rPr>
          <w:rFonts w:ascii="Palatino Linotype" w:eastAsia="Palatino Linotype" w:hAnsi="Palatino Linotype" w:cs="Palatino Linotype"/>
          <w:i/>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Seguidamente, se debe de señalar que dicho precepto legal se reformó mediante Decreto por el que se reforman y adicionan diversas disposiciones de la Ley de Coordinación Fiscal y de la Ley General de Contabilidad Gubernamental, publicado el nueve de diciembre de dos mil trece en el Diario Oficial de la Federación, y </w:t>
      </w:r>
      <w:r w:rsidRPr="00B67E98">
        <w:rPr>
          <w:rFonts w:ascii="Palatino Linotype" w:eastAsia="Palatino Linotype" w:hAnsi="Palatino Linotype" w:cs="Palatino Linotype"/>
          <w:b/>
          <w:u w:val="single"/>
        </w:rPr>
        <w:t>entró en vigor el uno de enero de dos mil quince</w:t>
      </w:r>
      <w:r w:rsidRPr="00B67E98">
        <w:rPr>
          <w:rFonts w:ascii="Palatino Linotype" w:eastAsia="Palatino Linotype" w:hAnsi="Palatino Linotype" w:cs="Palatino Linotype"/>
          <w:b/>
        </w:rPr>
        <w:t xml:space="preserve">, </w:t>
      </w:r>
      <w:r w:rsidRPr="00B67E98">
        <w:rPr>
          <w:rFonts w:ascii="Palatino Linotype" w:eastAsia="Palatino Linotype" w:hAnsi="Palatino Linotype" w:cs="Palatino Linotype"/>
        </w:rPr>
        <w:t>de conformidad con el Transitorio Noveno, a saber:</w:t>
      </w:r>
    </w:p>
    <w:p w:rsidR="00C93C9A" w:rsidRPr="00B67E98" w:rsidRDefault="009F323A">
      <w:pPr>
        <w:spacing w:before="120" w:after="120"/>
        <w:ind w:left="851"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“Noveno.-</w:t>
      </w:r>
      <w:r w:rsidRPr="00B67E98">
        <w:rPr>
          <w:rFonts w:ascii="Palatino Linotype" w:eastAsia="Palatino Linotype" w:hAnsi="Palatino Linotype" w:cs="Palatino Linotype"/>
          <w:i/>
        </w:rPr>
        <w:t> Lo previsto en la fracción II del artículo 2o. de la Ley de Coordinación Fiscal, respecto a la no inclusión en la recaudación federal participable del Impuesto sobre la Renta por concepto de salarios y, en general, por la prestación de un servicio personal subordinado causado por los servidores públicos; así como </w:t>
      </w:r>
      <w:r w:rsidRPr="00B67E98">
        <w:rPr>
          <w:rFonts w:ascii="Palatino Linotype" w:eastAsia="Palatino Linotype" w:hAnsi="Palatino Linotype" w:cs="Palatino Linotype"/>
          <w:b/>
          <w:i/>
        </w:rPr>
        <w:t>lo dispuesto en el artículo 3-B</w:t>
      </w:r>
      <w:r w:rsidRPr="00B67E98">
        <w:rPr>
          <w:rFonts w:ascii="Palatino Linotype" w:eastAsia="Palatino Linotype" w:hAnsi="Palatino Linotype" w:cs="Palatino Linotype"/>
          <w:i/>
        </w:rPr>
        <w:t xml:space="preserve"> de dicha Ley, </w:t>
      </w:r>
      <w:r w:rsidRPr="00B67E98">
        <w:rPr>
          <w:rFonts w:ascii="Palatino Linotype" w:eastAsia="Palatino Linotype" w:hAnsi="Palatino Linotype" w:cs="Palatino Linotype"/>
          <w:b/>
          <w:i/>
          <w:u w:val="single"/>
        </w:rPr>
        <w:t>entrarán en vigor el 1 de enero de 2015</w:t>
      </w:r>
      <w:r w:rsidRPr="00B67E98">
        <w:rPr>
          <w:rFonts w:ascii="Palatino Linotype" w:eastAsia="Palatino Linotype" w:hAnsi="Palatino Linotype" w:cs="Palatino Linotype"/>
          <w:i/>
        </w:rPr>
        <w:t>.”</w:t>
      </w: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En este sentido, se colige que a partir del uno de enero de dos mil quince -fecha a partir de la cual se solicita la información-, las entidades adheridas al Sistema Nacional de Coordinación Fiscal,  participan al 100% de la recaudación que se obtenga del Impuesto Sobre la Renta que efectivamente se entere a la federación, correspondiente al salario del personal que preste o desempeñe un servicio personal subordinado en las dependencias de la entidad federativa, del municipio o alcaldía de la Ciudad de México, así como en sus respectivos organismos autónomos y entidades paraestatales y paramunicipales, bajo dos premisas fundamentales: </w:t>
      </w:r>
    </w:p>
    <w:p w:rsidR="00C93C9A" w:rsidRPr="00B67E98" w:rsidRDefault="009F323A">
      <w:pPr>
        <w:spacing w:before="240" w:after="240" w:line="360"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lastRenderedPageBreak/>
        <w:t>1. Que el salario sea efectivamente pagado con cargo a sus participaciones u otros ingresos locales.</w:t>
      </w:r>
    </w:p>
    <w:p w:rsidR="00C93C9A" w:rsidRPr="00B67E98" w:rsidRDefault="009F323A">
      <w:pPr>
        <w:spacing w:before="240" w:after="240" w:line="360"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2. Que hayan entregado a la Federación el 100% del ISR de los salarios que paguen con cargo a recursos federales.</w:t>
      </w: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Asimismo, dado que no existía antecedente para distinguir el origen de los recursos utilizados en el pago de los sueldos y salarios del personal de los entes públicos, y por lo tanto del ISR, la Unidad de Coordinación con Entidades Federativas, UCEF y el Servicio de Administración Tributaria, SAT, implementaron un mecanismo para su identificación, el cual que se lleva a cabo a través del Comprobante Fiscal Digital por Internet de nómina, cuyo complemento de percepciones se modificó para incluir el origen de los recursos con los que se paga los sueldos y salarios y con ello se determinan los montos que se participan por concepto de ISR a los entes públicos.</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De conformidad con las Reglas de operación para la aplicación del artículo 3-B de la Ley de Coordinación Fiscal, el proceso de identificación y validación del pago de sueldos y salarios y del ISR por fuente de financiamiento se lleva a cabo, de forma general, conforme el procedimiento siguiente: </w:t>
      </w:r>
    </w:p>
    <w:p w:rsidR="00C93C9A" w:rsidRPr="00B67E98" w:rsidRDefault="009F323A">
      <w:pPr>
        <w:spacing w:before="120" w:after="120" w:line="360"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 Los entes públicos deben cumplir con sus obligaciones de retención y entero de ISR, </w:t>
      </w:r>
      <w:r w:rsidRPr="00B67E98">
        <w:rPr>
          <w:rFonts w:ascii="Palatino Linotype" w:eastAsia="Palatino Linotype" w:hAnsi="Palatino Linotype" w:cs="Palatino Linotype"/>
          <w:b/>
        </w:rPr>
        <w:t xml:space="preserve">así como expedir y entregar los comprobantes fiscales a las personas que reciban pagos por salarios, y en general por la prestación de un servicio personal subordinado, </w:t>
      </w:r>
      <w:r w:rsidRPr="00B67E98">
        <w:rPr>
          <w:rFonts w:ascii="Palatino Linotype" w:eastAsia="Palatino Linotype" w:hAnsi="Palatino Linotype" w:cs="Palatino Linotype"/>
        </w:rPr>
        <w:t>en términos de lo dispuesto por los artículos 96 y 99, fracción III de la Ley del Impuesto sobre la Renta, y que utilicen correctamente las claves en del Catálogo Atributo: Tipo Percepción del Complemento del CFDI comprobante CFDI de nómina.</w:t>
      </w:r>
    </w:p>
    <w:p w:rsidR="00C93C9A" w:rsidRPr="00B67E98" w:rsidRDefault="009F323A">
      <w:pPr>
        <w:spacing w:before="120" w:after="120" w:line="360"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lastRenderedPageBreak/>
        <w:t>• La UCEF solicita a las entidades federativas que mensualmente ratifiquen el listado de claves del Registro Federal de Contribuyentes (RFC) de sus entes públicos que pagan sueldos y salarios en términos de lo señalado en el artículo 3-B de la Ley de Coordinación Fiscal, y una vez recibida la información es enviada al SAT.</w:t>
      </w:r>
    </w:p>
    <w:p w:rsidR="00C93C9A" w:rsidRPr="00B67E98" w:rsidRDefault="009F323A">
      <w:pPr>
        <w:spacing w:before="120" w:after="120" w:line="360"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El SAT valida la información de los CFDI de nómina correspondientes al periodo, a efecto de identificar por cada RFC los importes de la retención del ISR pagado con participaciones u otros ingresos locales y el pagado con recursos federales, lo cual es validado con las declaraciones del ISR del mismo periodo; en su caso, el SAT informa a las entidades federativas las inconsistencias u omisiones resultantes, para que éstas subsanen las omisiones o realicen las aclaraciones o correcciones procedentes.</w:t>
      </w:r>
    </w:p>
    <w:p w:rsidR="00C93C9A" w:rsidRPr="00B67E98" w:rsidRDefault="009F323A">
      <w:pPr>
        <w:spacing w:before="120" w:after="120" w:line="360"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El SAT remite mensualmente a la UCEF el informe de los entes públicos que elaboraron correctamente sus CFDI de nómina, para efecto de que dicha Unidad determine los montos susceptibles de ser participados a las entidades federativas.</w:t>
      </w:r>
    </w:p>
    <w:p w:rsidR="00C93C9A" w:rsidRPr="00B67E98" w:rsidRDefault="009F323A">
      <w:pPr>
        <w:spacing w:before="120" w:after="120" w:line="360"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 La UCEF lleva un registro de los montos acumulados del ISR participado a las entidades federativas y lo coteja con los informes que recibe del SAT para determinar las cantidades a entregar por concepto ISR que se entregan a la Federación. </w:t>
      </w:r>
    </w:p>
    <w:p w:rsidR="00C93C9A" w:rsidRPr="00B67E98" w:rsidRDefault="009F323A">
      <w:pPr>
        <w:spacing w:before="120" w:after="120" w:line="360"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 El SAT informa anualmente a la UCEF acerca de los entes públicos a los que se hayan detectado diferencias en el entero del 100% de la retención que deben efectuar del ISR, así como de los montos correspondientes a las devoluciones del ISR efectuadas, para efectos de que dicha Unidad realice los ajustes respectivos. </w:t>
      </w:r>
    </w:p>
    <w:p w:rsidR="00C93C9A" w:rsidRPr="00B67E98" w:rsidRDefault="009F323A">
      <w:pPr>
        <w:spacing w:before="120" w:after="120" w:line="360" w:lineRule="auto"/>
        <w:ind w:left="284" w:right="-787"/>
        <w:jc w:val="both"/>
        <w:rPr>
          <w:rFonts w:ascii="Palatino Linotype" w:eastAsia="Palatino Linotype" w:hAnsi="Palatino Linotype" w:cs="Palatino Linotype"/>
          <w:b/>
        </w:rPr>
      </w:pPr>
      <w:r w:rsidRPr="00B67E98">
        <w:rPr>
          <w:rFonts w:ascii="Palatino Linotype" w:eastAsia="Palatino Linotype" w:hAnsi="Palatino Linotype" w:cs="Palatino Linotype"/>
        </w:rPr>
        <w:t xml:space="preserve">• Por su parte, </w:t>
      </w:r>
      <w:r w:rsidRPr="00B67E98">
        <w:rPr>
          <w:rFonts w:ascii="Palatino Linotype" w:eastAsia="Palatino Linotype" w:hAnsi="Palatino Linotype" w:cs="Palatino Linotype"/>
          <w:b/>
          <w:u w:val="single"/>
        </w:rPr>
        <w:t>las entidades federativas participarán a sus municipios</w:t>
      </w:r>
      <w:r w:rsidRPr="00B67E98">
        <w:rPr>
          <w:rFonts w:ascii="Palatino Linotype" w:eastAsia="Palatino Linotype" w:hAnsi="Palatino Linotype" w:cs="Palatino Linotype"/>
          <w:b/>
        </w:rPr>
        <w:t xml:space="preserve"> </w:t>
      </w:r>
      <w:r w:rsidRPr="00B67E98">
        <w:rPr>
          <w:rFonts w:ascii="Palatino Linotype" w:eastAsia="Palatino Linotype" w:hAnsi="Palatino Linotype" w:cs="Palatino Linotype"/>
        </w:rPr>
        <w:t>o alcaldías en el caso de la CDMX,</w:t>
      </w:r>
      <w:r w:rsidRPr="00B67E98">
        <w:rPr>
          <w:rFonts w:ascii="Palatino Linotype" w:eastAsia="Palatino Linotype" w:hAnsi="Palatino Linotype" w:cs="Palatino Linotype"/>
          <w:b/>
        </w:rPr>
        <w:t xml:space="preserve"> el ISR que a éstos les corresponda en términos de lo señalado en el </w:t>
      </w:r>
      <w:r w:rsidRPr="00B67E98">
        <w:rPr>
          <w:rFonts w:ascii="Palatino Linotype" w:eastAsia="Palatino Linotype" w:hAnsi="Palatino Linotype" w:cs="Palatino Linotype"/>
          <w:b/>
        </w:rPr>
        <w:lastRenderedPageBreak/>
        <w:t>artículo 3-B de la Ley de Coordinación Fiscal, dentro de los 5 días siguientes a su recepción.</w:t>
      </w:r>
    </w:p>
    <w:p w:rsidR="00C93C9A" w:rsidRPr="00B67E98" w:rsidRDefault="009F323A">
      <w:pPr>
        <w:spacing w:before="120" w:after="120" w:line="276" w:lineRule="auto"/>
        <w:ind w:right="-787"/>
        <w:jc w:val="center"/>
        <w:rPr>
          <w:rFonts w:ascii="Palatino Linotype" w:eastAsia="Palatino Linotype" w:hAnsi="Palatino Linotype" w:cs="Palatino Linotype"/>
          <w:b/>
        </w:rPr>
      </w:pPr>
      <w:r w:rsidRPr="00B67E98">
        <w:rPr>
          <w:noProof/>
          <w:lang w:val="es-MX" w:eastAsia="es-MX"/>
        </w:rPr>
        <w:drawing>
          <wp:inline distT="0" distB="0" distL="0" distR="0">
            <wp:extent cx="3961299" cy="1641907"/>
            <wp:effectExtent l="0" t="0" r="0" b="0"/>
            <wp:docPr id="19714301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3961299" cy="1641907"/>
                    </a:xfrm>
                    <a:prstGeom prst="rect">
                      <a:avLst/>
                    </a:prstGeom>
                    <a:ln/>
                  </pic:spPr>
                </pic:pic>
              </a:graphicData>
            </a:graphic>
          </wp:inline>
        </w:drawing>
      </w:r>
    </w:p>
    <w:p w:rsidR="00C93C9A" w:rsidRPr="00B67E98" w:rsidRDefault="00C93C9A">
      <w:pPr>
        <w:spacing w:before="120" w:after="120" w:line="276" w:lineRule="auto"/>
        <w:ind w:right="-787"/>
        <w:jc w:val="center"/>
        <w:rPr>
          <w:rFonts w:ascii="Palatino Linotype" w:eastAsia="Palatino Linotype" w:hAnsi="Palatino Linotype" w:cs="Palatino Linotype"/>
          <w:b/>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Ahora bien, derivado de la consulta del portal del Sistema Nacional de Coordinación Fiscal, se advirtió que el Estado de México pertenece a dicho Sistema, por lo tanto, se infiere que si es susceptible de participar en obtención del 100% de la recaudación del Impuesto Sobre la Renta enterado a la Federación por los conceptos establecidos en el Capítulo I De los ingresos por salarios y en general por la prestación de un servicio personal subordinado, del Título IV De las personas  físicas, de la Ley del Impuesto Sobre la Renta:</w:t>
      </w:r>
    </w:p>
    <w:p w:rsidR="00C93C9A" w:rsidRPr="00B67E98" w:rsidRDefault="009F323A">
      <w:pPr>
        <w:spacing w:before="240" w:after="240" w:line="360" w:lineRule="auto"/>
        <w:ind w:right="-787"/>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extent cx="3420000" cy="2182485"/>
            <wp:effectExtent l="0" t="0" r="0" b="0"/>
            <wp:docPr id="19714301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3420000" cy="2182485"/>
                    </a:xfrm>
                    <a:prstGeom prst="rect">
                      <a:avLst/>
                    </a:prstGeom>
                    <a:ln/>
                  </pic:spPr>
                </pic:pic>
              </a:graphicData>
            </a:graphic>
          </wp:inline>
        </w:drawing>
      </w:r>
      <w:r w:rsidRPr="00B67E98">
        <w:rPr>
          <w:noProof/>
          <w:lang w:val="es-MX" w:eastAsia="es-MX"/>
        </w:rPr>
        <mc:AlternateContent>
          <mc:Choice Requires="wps">
            <w:drawing>
              <wp:anchor distT="0" distB="0" distL="114300" distR="114300" simplePos="0" relativeHeight="251665408" behindDoc="0" locked="0" layoutInCell="1" hidden="0" allowOverlap="1">
                <wp:simplePos x="0" y="0"/>
                <wp:positionH relativeFrom="column">
                  <wp:posOffset>2387600</wp:posOffset>
                </wp:positionH>
                <wp:positionV relativeFrom="paragraph">
                  <wp:posOffset>1651000</wp:posOffset>
                </wp:positionV>
                <wp:extent cx="504985" cy="570398"/>
                <wp:effectExtent l="0" t="0" r="0" b="0"/>
                <wp:wrapNone/>
                <wp:docPr id="1971430110" name="Rectángulo 1971430110"/>
                <wp:cNvGraphicFramePr/>
                <a:graphic xmlns:a="http://schemas.openxmlformats.org/drawingml/2006/main">
                  <a:graphicData uri="http://schemas.microsoft.com/office/word/2010/wordprocessingShape">
                    <wps:wsp>
                      <wps:cNvSpPr/>
                      <wps:spPr>
                        <a:xfrm>
                          <a:off x="5136370" y="3537664"/>
                          <a:ext cx="419260" cy="484673"/>
                        </a:xfrm>
                        <a:prstGeom prst="rect">
                          <a:avLst/>
                        </a:prstGeom>
                        <a:noFill/>
                        <a:ln w="28575" cap="flat" cmpd="sng">
                          <a:solidFill>
                            <a:srgbClr val="C00000"/>
                          </a:solidFill>
                          <a:prstDash val="solid"/>
                          <a:round/>
                          <a:headEnd type="none" w="sm" len="sm"/>
                          <a:tailEnd type="none" w="sm" len="sm"/>
                        </a:ln>
                        <a:effectLst>
                          <a:outerShdw blurRad="40000" dist="23000" dir="5400000" rotWithShape="0">
                            <a:srgbClr val="000000">
                              <a:alpha val="34117"/>
                            </a:srgbClr>
                          </a:outerShdw>
                        </a:effectLst>
                      </wps:spPr>
                      <wps:txbx>
                        <w:txbxContent>
                          <w:p w:rsidR="009F323A" w:rsidRDefault="009F323A">
                            <w:pPr>
                              <w:textDirection w:val="btLr"/>
                            </w:pPr>
                          </w:p>
                        </w:txbxContent>
                      </wps:txbx>
                      <wps:bodyPr spcFirstLastPara="1" wrap="square" lIns="91425" tIns="91425" rIns="91425" bIns="91425" anchor="ctr" anchorCtr="0">
                        <a:noAutofit/>
                      </wps:bodyPr>
                    </wps:wsp>
                  </a:graphicData>
                </a:graphic>
              </wp:anchor>
            </w:drawing>
          </mc:Choice>
          <mc:Fallback>
            <w:pict>
              <v:rect id="Rectángulo 1971430110" o:spid="_x0000_s1026" style="position:absolute;left:0;text-align:left;margin-left:188pt;margin-top:130pt;width:39.75pt;height:44.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" filled="f" strokecolor="#c00000" strokeweight="2.25pt">
                <v:stroke startarrowwidth="narrow" startarrowlength="short" endarrowwidth="narrow" endarrowlength="short" joinstyle="round"/>
                <v:shadow on="t" color="black" opacity="22358f" origin=",.5" offset="0,.63889mm"/>
                <v:textbox inset="2.53958mm,2.53958mm,2.53958mm,2.53958mm">
                  <w:txbxContent>
                    <w:p w:rsidR="009F323A" w:rsidRDefault="009F323A">
                      <w:pPr>
                        <w:textDirection w:val="btLr"/>
                      </w:pPr>
                    </w:p>
                  </w:txbxContent>
                </v:textbox>
              </v:rect>
            </w:pict>
          </mc:Fallback>
        </mc:AlternateContent>
      </w: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lastRenderedPageBreak/>
        <w:t>Como se precisó en líneas anteriores, a partir del uno de enero de dos mil quince las entidades adheridas al Sistema Nacional de Coordinación Fiscal, participaron al 100% de la recaudación que se obtuvo del ISR que efectivamente se enteró a la Federación, correspondiente al salario del personal que preste o desempeñe un servicio personal subordinado en las dependencias del ente público respectivo, y sus organismos autónomos y entidades paraestatales y paramunicipales.</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Lo anterior se robustece con el artículo 1° de Ley de Ingresos de los Municipios del Estado de México para el ejercicio 2015, en donde se visualiza  que dicho instrumento normativo contempló como ingreso para los municipios, el relativo al Impuesto Sobre la Renta efectivamente enterado a la Federación, correspondiente al salario de su personal que preste o desempeñe un servicio personal subordinado así como de sus organismos públicos descentralizados, que en su parte conducente dispone lo siguiente:</w:t>
      </w:r>
    </w:p>
    <w:p w:rsidR="00C93C9A" w:rsidRPr="00B67E98" w:rsidRDefault="009F323A">
      <w:pPr>
        <w:spacing w:before="120" w:after="120"/>
        <w:ind w:left="567"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r w:rsidRPr="00B67E98">
        <w:rPr>
          <w:rFonts w:ascii="Palatino Linotype" w:eastAsia="Palatino Linotype" w:hAnsi="Palatino Linotype" w:cs="Palatino Linotype"/>
          <w:b/>
          <w:i/>
        </w:rPr>
        <w:t>Artículo 1.- La hacienda pública de los municipios</w:t>
      </w:r>
      <w:r w:rsidRPr="00B67E98">
        <w:rPr>
          <w:rFonts w:ascii="Palatino Linotype" w:eastAsia="Palatino Linotype" w:hAnsi="Palatino Linotype" w:cs="Palatino Linotype"/>
          <w:i/>
        </w:rPr>
        <w:t xml:space="preserve"> del Estado de México, </w:t>
      </w:r>
      <w:r w:rsidRPr="00B67E98">
        <w:rPr>
          <w:rFonts w:ascii="Palatino Linotype" w:eastAsia="Palatino Linotype" w:hAnsi="Palatino Linotype" w:cs="Palatino Linotype"/>
          <w:b/>
          <w:i/>
        </w:rPr>
        <w:t>percibirá durante el ejercicio fiscal del año 2015, los ingresos provenientes</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rPr>
        <w:t>de los conceptos</w:t>
      </w:r>
      <w:r w:rsidRPr="00B67E98">
        <w:rPr>
          <w:rFonts w:ascii="Palatino Linotype" w:eastAsia="Palatino Linotype" w:hAnsi="Palatino Linotype" w:cs="Palatino Linotype"/>
          <w:i/>
        </w:rPr>
        <w:t xml:space="preserve"> que a continuación se enumeran:</w:t>
      </w:r>
    </w:p>
    <w:p w:rsidR="00C93C9A" w:rsidRPr="00B67E98" w:rsidRDefault="009F323A">
      <w:pPr>
        <w:spacing w:before="120" w:after="120"/>
        <w:ind w:left="567"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spacing w:before="120" w:after="120"/>
        <w:ind w:left="567" w:right="-787"/>
        <w:jc w:val="both"/>
        <w:rPr>
          <w:rFonts w:ascii="Palatino Linotype" w:eastAsia="Palatino Linotype" w:hAnsi="Palatino Linotype" w:cs="Palatino Linotype"/>
          <w:b/>
          <w:i/>
        </w:rPr>
      </w:pPr>
      <w:r w:rsidRPr="00B67E98">
        <w:rPr>
          <w:rFonts w:ascii="Palatino Linotype" w:eastAsia="Palatino Linotype" w:hAnsi="Palatino Linotype" w:cs="Palatino Linotype"/>
          <w:b/>
          <w:i/>
        </w:rPr>
        <w:t>8. PARTICIPACIONES, APORTACIONES, CONVENIOS Y SUBSIDIOS:</w:t>
      </w:r>
    </w:p>
    <w:p w:rsidR="00C93C9A" w:rsidRPr="00B67E98" w:rsidRDefault="009F323A">
      <w:pPr>
        <w:spacing w:before="120" w:after="120"/>
        <w:ind w:left="567"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spacing w:before="120" w:after="120"/>
        <w:ind w:left="567" w:right="-787"/>
        <w:jc w:val="both"/>
        <w:rPr>
          <w:rFonts w:ascii="Palatino Linotype" w:eastAsia="Palatino Linotype" w:hAnsi="Palatino Linotype" w:cs="Palatino Linotype"/>
          <w:b/>
          <w:i/>
        </w:rPr>
      </w:pPr>
      <w:r w:rsidRPr="00B67E98">
        <w:rPr>
          <w:rFonts w:ascii="Palatino Linotype" w:eastAsia="Palatino Linotype" w:hAnsi="Palatino Linotype" w:cs="Palatino Linotype"/>
          <w:b/>
          <w:i/>
        </w:rPr>
        <w:t xml:space="preserve">8.1.9. El Impuesto Sobre la Renta efectivamente enterado a la Federación, </w:t>
      </w:r>
      <w:r w:rsidRPr="00B67E98">
        <w:rPr>
          <w:rFonts w:ascii="Palatino Linotype" w:eastAsia="Palatino Linotype" w:hAnsi="Palatino Linotype" w:cs="Palatino Linotype"/>
          <w:i/>
        </w:rPr>
        <w:t>correspondiente al salario de su personal que preste o desempeñe un servicio personal subordinado así como de sus organismos públicos descentralizados.</w:t>
      </w:r>
      <w:r w:rsidRPr="00B67E98">
        <w:rPr>
          <w:rFonts w:ascii="Palatino Linotype" w:eastAsia="Palatino Linotype" w:hAnsi="Palatino Linotype" w:cs="Palatino Linotype"/>
          <w:b/>
          <w:i/>
        </w:rPr>
        <w:t xml:space="preserve">” </w:t>
      </w: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Para efectuar la asignación de dichas participaciones, nuestra entidad federativa se ciñe a lo establecido en las Reglas para la Asignación de las Participaciones Federales y </w:t>
      </w:r>
      <w:r w:rsidRPr="00B67E98">
        <w:rPr>
          <w:rFonts w:ascii="Palatino Linotype" w:eastAsia="Palatino Linotype" w:hAnsi="Palatino Linotype" w:cs="Palatino Linotype"/>
        </w:rPr>
        <w:lastRenderedPageBreak/>
        <w:t xml:space="preserve">Estatales a los Municipios del Estado de México, las cuales, en su parte conducente dispone lo siguiente: </w:t>
      </w:r>
    </w:p>
    <w:p w:rsidR="00C93C9A" w:rsidRPr="00B67E98" w:rsidRDefault="009F323A">
      <w:pPr>
        <w:spacing w:before="120" w:after="120"/>
        <w:ind w:left="567"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r w:rsidRPr="00B67E98">
        <w:rPr>
          <w:rFonts w:ascii="Palatino Linotype" w:eastAsia="Palatino Linotype" w:hAnsi="Palatino Linotype" w:cs="Palatino Linotype"/>
          <w:b/>
          <w:i/>
        </w:rPr>
        <w:t>Secretaría</w:t>
      </w:r>
      <w:r w:rsidRPr="00B67E98">
        <w:rPr>
          <w:rFonts w:ascii="Palatino Linotype" w:eastAsia="Palatino Linotype" w:hAnsi="Palatino Linotype" w:cs="Palatino Linotype"/>
          <w:i/>
        </w:rPr>
        <w:t xml:space="preserve">, a la </w:t>
      </w:r>
      <w:r w:rsidRPr="00B67E98">
        <w:rPr>
          <w:rFonts w:ascii="Palatino Linotype" w:eastAsia="Palatino Linotype" w:hAnsi="Palatino Linotype" w:cs="Palatino Linotype"/>
          <w:b/>
          <w:i/>
          <w:u w:val="single"/>
        </w:rPr>
        <w:t>Secretaría de Finanzas del Gobierno del Estado de México</w:t>
      </w:r>
    </w:p>
    <w:p w:rsidR="00C93C9A" w:rsidRPr="00B67E98" w:rsidRDefault="009F323A">
      <w:pPr>
        <w:spacing w:before="120" w:after="120"/>
        <w:ind w:left="567"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spacing w:before="120" w:after="120"/>
        <w:ind w:left="567"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Tercera</w:t>
      </w:r>
      <w:r w:rsidRPr="00B67E98">
        <w:rPr>
          <w:rFonts w:ascii="Palatino Linotype" w:eastAsia="Palatino Linotype" w:hAnsi="Palatino Linotype" w:cs="Palatino Linotype"/>
          <w:i/>
        </w:rPr>
        <w:t>.- El Estado de México deberá liquidar a los municipios, a más tardar el último día hábil de cada mes, el monto que por concepto de participaciones provisionales Federales y Estatales, les corresponde. Para tal efecto, l</w:t>
      </w:r>
      <w:r w:rsidRPr="00B67E98">
        <w:rPr>
          <w:rFonts w:ascii="Palatino Linotype" w:eastAsia="Palatino Linotype" w:hAnsi="Palatino Linotype" w:cs="Palatino Linotype"/>
          <w:b/>
          <w:i/>
          <w:u w:val="single"/>
        </w:rPr>
        <w:t>a Secretaría emitirá una Constancia desglosando las participaciones</w:t>
      </w:r>
      <w:r w:rsidRPr="00B67E98">
        <w:rPr>
          <w:rFonts w:ascii="Palatino Linotype" w:eastAsia="Palatino Linotype" w:hAnsi="Palatino Linotype" w:cs="Palatino Linotype"/>
          <w:i/>
        </w:rPr>
        <w:t xml:space="preserve"> </w:t>
      </w:r>
      <w:r w:rsidRPr="00B67E98">
        <w:rPr>
          <w:rFonts w:ascii="Palatino Linotype" w:eastAsia="Palatino Linotype" w:hAnsi="Palatino Linotype" w:cs="Palatino Linotype"/>
          <w:b/>
          <w:i/>
        </w:rPr>
        <w:t>por cada uno de los conceptos señalados en el artículo 219 del Código Financiero.</w:t>
      </w:r>
    </w:p>
    <w:p w:rsidR="00C93C9A" w:rsidRPr="00B67E98" w:rsidRDefault="009F323A">
      <w:pPr>
        <w:spacing w:before="120" w:after="120"/>
        <w:ind w:left="567" w:right="-787"/>
        <w:jc w:val="both"/>
        <w:rPr>
          <w:rFonts w:ascii="Palatino Linotype" w:eastAsia="Palatino Linotype" w:hAnsi="Palatino Linotype" w:cs="Palatino Linotype"/>
          <w:i/>
        </w:rPr>
      </w:pPr>
      <w:r w:rsidRPr="00B67E98">
        <w:rPr>
          <w:rFonts w:ascii="Palatino Linotype" w:eastAsia="Palatino Linotype" w:hAnsi="Palatino Linotype" w:cs="Palatino Linotype"/>
          <w:i/>
        </w:rPr>
        <w:t>…</w:t>
      </w:r>
    </w:p>
    <w:p w:rsidR="00C93C9A" w:rsidRPr="00B67E98" w:rsidRDefault="009F323A">
      <w:pPr>
        <w:spacing w:before="120" w:after="120"/>
        <w:ind w:left="567" w:right="-787"/>
        <w:jc w:val="both"/>
        <w:rPr>
          <w:rFonts w:ascii="Palatino Linotype" w:eastAsia="Palatino Linotype" w:hAnsi="Palatino Linotype" w:cs="Palatino Linotype"/>
          <w:b/>
          <w:i/>
        </w:rPr>
      </w:pPr>
      <w:r w:rsidRPr="00B67E98">
        <w:rPr>
          <w:rFonts w:ascii="Palatino Linotype" w:eastAsia="Palatino Linotype" w:hAnsi="Palatino Linotype" w:cs="Palatino Linotype"/>
          <w:b/>
          <w:i/>
        </w:rPr>
        <w:t>DEL CÁLCULO DE PARTICIPACIONES POR CONCEPTO DEL ISR</w:t>
      </w:r>
    </w:p>
    <w:p w:rsidR="00C93C9A" w:rsidRPr="00B67E98" w:rsidRDefault="009F323A">
      <w:pPr>
        <w:spacing w:before="120" w:after="120"/>
        <w:ind w:left="567" w:right="-787"/>
        <w:jc w:val="both"/>
        <w:rPr>
          <w:rFonts w:ascii="Palatino Linotype" w:eastAsia="Palatino Linotype" w:hAnsi="Palatino Linotype" w:cs="Palatino Linotype"/>
          <w:i/>
        </w:rPr>
      </w:pPr>
      <w:r w:rsidRPr="00B67E98">
        <w:rPr>
          <w:rFonts w:ascii="Palatino Linotype" w:eastAsia="Palatino Linotype" w:hAnsi="Palatino Linotype" w:cs="Palatino Linotype"/>
          <w:b/>
          <w:i/>
        </w:rPr>
        <w:t>Novena</w:t>
      </w:r>
      <w:r w:rsidRPr="00B67E98">
        <w:rPr>
          <w:rFonts w:ascii="Palatino Linotype" w:eastAsia="Palatino Linotype" w:hAnsi="Palatino Linotype" w:cs="Palatino Linotype"/>
          <w:i/>
        </w:rPr>
        <w:t xml:space="preserve">.- De conformidad con lo establecido en el artículo 223 del Código Financiero, </w:t>
      </w:r>
      <w:r w:rsidRPr="00B67E98">
        <w:rPr>
          <w:rFonts w:ascii="Palatino Linotype" w:eastAsia="Palatino Linotype" w:hAnsi="Palatino Linotype" w:cs="Palatino Linotype"/>
          <w:b/>
          <w:i/>
          <w:u w:val="single"/>
        </w:rPr>
        <w:t>las participaciones derivadas del Impuesto Sobre la Renta correspondientes a cada Ayuntamiento y sus organismos públicos descentralizados se transferirán a cada municipio conforme al monto efectivamente enterado a la federación</w:t>
      </w:r>
      <w:r w:rsidRPr="00B67E98">
        <w:rPr>
          <w:rFonts w:ascii="Palatino Linotype" w:eastAsia="Palatino Linotype" w:hAnsi="Palatino Linotype" w:cs="Palatino Linotype"/>
          <w:i/>
        </w:rPr>
        <w:t>.”</w:t>
      </w: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Con base en lo previo, se concluye que la federación es susceptible de transferir recursos a las entidades federativas por concepto de participaciones federales, las cuales se encuentran previstas en el Ramo General 28 Participaciones a Entidades Federativas y Municipios del Gasto no programable contemplado en el Presupuesto de Egresos la Federación de cada ejercicio fiscal, entre las que se encuentra la participación de la recaudación que se obtenga del ISR efectivamente enterado correspondiente al salario del personal de los entes públicos; y,  la entidad federativa a su vez, es responsable de participar a los municipios el ISR que a éstos les corresponda.</w:t>
      </w:r>
    </w:p>
    <w:p w:rsidR="00D47D3E" w:rsidRPr="00B67E98" w:rsidRDefault="00D47D3E" w:rsidP="00D47D3E">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En ese sentido,  si bien es cierto la Secretaría de Finanzas transfiere los recursos por concepto de participaciones a los municipios y genera la Constancia en la que desglosa las participaciones, no menos cierto es que la información también puede ser obtenida por los </w:t>
      </w:r>
      <w:r w:rsidRPr="00B67E98">
        <w:rPr>
          <w:rFonts w:ascii="Palatino Linotype" w:eastAsia="Palatino Linotype" w:hAnsi="Palatino Linotype" w:cs="Palatino Linotype"/>
        </w:rPr>
        <w:lastRenderedPageBreak/>
        <w:t xml:space="preserve">propios municipios, siendo relevante mencionar que las Tesorerías Municipales son las entidades responsables de </w:t>
      </w:r>
      <w:r w:rsidRPr="00B67E98">
        <w:rPr>
          <w:rFonts w:ascii="Palatino Linotype" w:eastAsia="Palatino Linotype" w:hAnsi="Palatino Linotype" w:cs="Palatino Linotype"/>
          <w:b/>
          <w:u w:val="single"/>
        </w:rPr>
        <w:t>recaudar y administrar los ingresos que se deriven de la suscripción de convenios, acuerdos o la emisión de declaratorias de coordinación; los relativos a las transferencias otorgadas a favor del Municipio en el marco del Sistema Nacional o Estatal de Coordinación Fiscal,</w:t>
      </w:r>
      <w:r w:rsidRPr="00B67E98">
        <w:rPr>
          <w:rFonts w:ascii="Palatino Linotype" w:eastAsia="Palatino Linotype" w:hAnsi="Palatino Linotype" w:cs="Palatino Linotype"/>
          <w:b/>
          <w:color w:val="00B050"/>
          <w:u w:val="single"/>
        </w:rPr>
        <w:t xml:space="preserve"> </w:t>
      </w:r>
      <w:r w:rsidRPr="00B67E98">
        <w:rPr>
          <w:rFonts w:ascii="Palatino Linotype" w:eastAsia="Palatino Linotype" w:hAnsi="Palatino Linotype" w:cs="Palatino Linotype"/>
        </w:rPr>
        <w:t>de conformidad con lo señalado en el artículo 95, fracción XIX de la Ley Orgánica Municipal del Estado de México, citado con antelación.</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Asimismo, el artículo 6, antepenúltimo párrafo de la Ley de Coordinación Fiscal, dispone que la entidad federativa, por medio de la dependencia competente -la Secretaría de Finanzas-, cuenta con la obligación de publicar a más tardar el 15 de febrero de cada ejercicio, en el Periódico Oficial, así como en su página oficial de Internet, el calendario de entrega, porcentaje, fórmulas y variables utilizadas, así como los </w:t>
      </w:r>
      <w:r w:rsidRPr="00B67E98">
        <w:rPr>
          <w:rFonts w:ascii="Palatino Linotype" w:eastAsia="Palatino Linotype" w:hAnsi="Palatino Linotype" w:cs="Palatino Linotype"/>
          <w:b/>
          <w:u w:val="single"/>
        </w:rPr>
        <w:t>montos estimados, de las participaciones que las entidades reciban y de las que tengan obligación de participar a sus municipios o demarcaciones territoriales</w:t>
      </w:r>
      <w:r w:rsidRPr="00B67E98">
        <w:rPr>
          <w:rFonts w:ascii="Palatino Linotype" w:eastAsia="Palatino Linotype" w:hAnsi="Palatino Linotype" w:cs="Palatino Linotype"/>
        </w:rPr>
        <w:t xml:space="preserve">, así como a </w:t>
      </w:r>
      <w:r w:rsidRPr="00B67E98">
        <w:rPr>
          <w:rFonts w:ascii="Palatino Linotype" w:eastAsia="Palatino Linotype" w:hAnsi="Palatino Linotype" w:cs="Palatino Linotype"/>
          <w:b/>
          <w:u w:val="single"/>
        </w:rPr>
        <w:t>publicar trimestralmente</w:t>
      </w:r>
      <w:r w:rsidRPr="00B67E98">
        <w:rPr>
          <w:rFonts w:ascii="Palatino Linotype" w:eastAsia="Palatino Linotype" w:hAnsi="Palatino Linotype" w:cs="Palatino Linotype"/>
        </w:rPr>
        <w:t xml:space="preserve"> de a través de los mismos medios, </w:t>
      </w:r>
      <w:r w:rsidRPr="00B67E98">
        <w:rPr>
          <w:rFonts w:ascii="Palatino Linotype" w:eastAsia="Palatino Linotype" w:hAnsi="Palatino Linotype" w:cs="Palatino Linotype"/>
          <w:b/>
          <w:u w:val="single"/>
        </w:rPr>
        <w:t>el importe de las participaciones entregadas y, en su caso, el ajuste realizado al término de cada ejercicio fiscal</w:t>
      </w:r>
      <w:r w:rsidRPr="00B67E98">
        <w:rPr>
          <w:rFonts w:ascii="Palatino Linotype" w:eastAsia="Palatino Linotype" w:hAnsi="Palatino Linotype" w:cs="Palatino Linotype"/>
        </w:rPr>
        <w:t>, publicaciones que se deberán realizar conforme a los lineamientos que al efecto emita la Secretaría de Hacienda y Crédito Público, por lo que en estricto sentido, dicha información se encuentra disponible y es de acceso público, como se ilustra a continuación respecto del ejercicio 2017, a manera de ejemplo:</w:t>
      </w:r>
    </w:p>
    <w:p w:rsidR="00C93C9A" w:rsidRPr="00B67E98" w:rsidRDefault="009F323A">
      <w:pPr>
        <w:spacing w:before="240" w:after="240" w:line="360" w:lineRule="auto"/>
        <w:ind w:right="-787"/>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lastRenderedPageBreak/>
        <w:drawing>
          <wp:inline distT="0" distB="0" distL="0" distR="0">
            <wp:extent cx="4680000" cy="1348717"/>
            <wp:effectExtent l="0" t="0" r="0" b="0"/>
            <wp:docPr id="19714301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680000" cy="1348717"/>
                    </a:xfrm>
                    <a:prstGeom prst="rect">
                      <a:avLst/>
                    </a:prstGeom>
                    <a:ln/>
                  </pic:spPr>
                </pic:pic>
              </a:graphicData>
            </a:graphic>
          </wp:inline>
        </w:drawing>
      </w:r>
      <w:r w:rsidRPr="00B67E98">
        <w:rPr>
          <w:rFonts w:ascii="Palatino Linotype" w:eastAsia="Palatino Linotype" w:hAnsi="Palatino Linotype" w:cs="Palatino Linotype"/>
          <w:noProof/>
          <w:lang w:val="es-MX" w:eastAsia="es-MX"/>
        </w:rPr>
        <w:drawing>
          <wp:inline distT="0" distB="0" distL="0" distR="0">
            <wp:extent cx="4680000" cy="610550"/>
            <wp:effectExtent l="0" t="0" r="0" b="0"/>
            <wp:docPr id="19714301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4680000" cy="610550"/>
                    </a:xfrm>
                    <a:prstGeom prst="rect">
                      <a:avLst/>
                    </a:prstGeom>
                    <a:ln/>
                  </pic:spPr>
                </pic:pic>
              </a:graphicData>
            </a:graphic>
          </wp:inline>
        </w:drawing>
      </w:r>
      <w:r w:rsidRPr="00B67E98">
        <w:rPr>
          <w:rFonts w:ascii="Palatino Linotype" w:eastAsia="Palatino Linotype" w:hAnsi="Palatino Linotype" w:cs="Palatino Linotype"/>
          <w:noProof/>
          <w:lang w:val="es-MX" w:eastAsia="es-MX"/>
        </w:rPr>
        <w:drawing>
          <wp:inline distT="0" distB="0" distL="0" distR="0">
            <wp:extent cx="4680000" cy="162036"/>
            <wp:effectExtent l="0" t="0" r="0" b="0"/>
            <wp:docPr id="19714301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4680000" cy="162036"/>
                    </a:xfrm>
                    <a:prstGeom prst="rect">
                      <a:avLst/>
                    </a:prstGeom>
                    <a:ln/>
                  </pic:spPr>
                </pic:pic>
              </a:graphicData>
            </a:graphic>
          </wp:inline>
        </w:drawing>
      </w:r>
    </w:p>
    <w:p w:rsidR="00C93C9A" w:rsidRPr="00B67E98" w:rsidRDefault="009F323A">
      <w:pPr>
        <w:spacing w:before="240" w:after="240" w:line="360" w:lineRule="auto"/>
        <w:ind w:right="-787"/>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extent cx="4680000" cy="3584927"/>
            <wp:effectExtent l="0" t="0" r="0" b="0"/>
            <wp:docPr id="19714301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4680000" cy="3584927"/>
                    </a:xfrm>
                    <a:prstGeom prst="rect">
                      <a:avLst/>
                    </a:prstGeom>
                    <a:ln/>
                  </pic:spPr>
                </pic:pic>
              </a:graphicData>
            </a:graphic>
          </wp:inline>
        </w:drawing>
      </w:r>
      <w:r w:rsidRPr="00B67E98">
        <w:rPr>
          <w:rFonts w:ascii="Palatino Linotype" w:eastAsia="Palatino Linotype" w:hAnsi="Palatino Linotype" w:cs="Palatino Linotype"/>
        </w:rPr>
        <w:t xml:space="preserve"> </w:t>
      </w:r>
    </w:p>
    <w:p w:rsidR="00C93C9A" w:rsidRPr="00B67E98" w:rsidRDefault="009F323A">
      <w:pPr>
        <w:spacing w:before="240" w:after="240" w:line="360" w:lineRule="auto"/>
        <w:ind w:right="-787"/>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lastRenderedPageBreak/>
        <w:drawing>
          <wp:inline distT="0" distB="0" distL="0" distR="0">
            <wp:extent cx="5612130" cy="3249295"/>
            <wp:effectExtent l="0" t="0" r="0" b="0"/>
            <wp:docPr id="19714301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5612130" cy="3249295"/>
                    </a:xfrm>
                    <a:prstGeom prst="rect">
                      <a:avLst/>
                    </a:prstGeom>
                    <a:ln/>
                  </pic:spPr>
                </pic:pic>
              </a:graphicData>
            </a:graphic>
          </wp:inline>
        </w:drawing>
      </w:r>
      <w:r w:rsidRPr="00B67E98">
        <w:rPr>
          <w:rFonts w:ascii="Palatino Linotype" w:eastAsia="Palatino Linotype" w:hAnsi="Palatino Linotype" w:cs="Palatino Linotype"/>
        </w:rPr>
        <w:t xml:space="preserve"> </w:t>
      </w:r>
      <w:r w:rsidRPr="00B67E98">
        <w:rPr>
          <w:noProof/>
          <w:lang w:val="es-MX" w:eastAsia="es-MX"/>
        </w:rPr>
        <mc:AlternateContent>
          <mc:Choice Requires="wps">
            <w:drawing>
              <wp:anchor distT="0" distB="0" distL="114300" distR="114300" simplePos="0" relativeHeight="251666432" behindDoc="0" locked="0" layoutInCell="1" hidden="0" allowOverlap="1">
                <wp:simplePos x="0" y="0"/>
                <wp:positionH relativeFrom="column">
                  <wp:posOffset>381000</wp:posOffset>
                </wp:positionH>
                <wp:positionV relativeFrom="paragraph">
                  <wp:posOffset>1866900</wp:posOffset>
                </wp:positionV>
                <wp:extent cx="1779199" cy="778533"/>
                <wp:effectExtent l="0" t="0" r="0" b="0"/>
                <wp:wrapNone/>
                <wp:docPr id="1971430106" name="Rectángulo 1971430106"/>
                <wp:cNvGraphicFramePr/>
                <a:graphic xmlns:a="http://schemas.openxmlformats.org/drawingml/2006/main">
                  <a:graphicData uri="http://schemas.microsoft.com/office/word/2010/wordprocessingShape">
                    <wps:wsp>
                      <wps:cNvSpPr/>
                      <wps:spPr>
                        <a:xfrm>
                          <a:off x="4513551" y="3447884"/>
                          <a:ext cx="1664899" cy="664233"/>
                        </a:xfrm>
                        <a:prstGeom prst="rect">
                          <a:avLst/>
                        </a:prstGeom>
                        <a:noFill/>
                        <a:ln w="38100" cap="flat" cmpd="sng">
                          <a:solidFill>
                            <a:srgbClr val="C00000"/>
                          </a:solidFill>
                          <a:prstDash val="solid"/>
                          <a:round/>
                          <a:headEnd type="none" w="sm" len="sm"/>
                          <a:tailEnd type="none" w="sm" len="sm"/>
                        </a:ln>
                        <a:effectLst>
                          <a:outerShdw blurRad="40000" dist="23000" dir="5400000" rotWithShape="0">
                            <a:srgbClr val="000000">
                              <a:alpha val="34117"/>
                            </a:srgbClr>
                          </a:outerShdw>
                        </a:effectLst>
                      </wps:spPr>
                      <wps:txbx>
                        <w:txbxContent>
                          <w:p w:rsidR="009F323A" w:rsidRDefault="009F323A">
                            <w:pPr>
                              <w:textDirection w:val="btLr"/>
                            </w:pPr>
                          </w:p>
                        </w:txbxContent>
                      </wps:txbx>
                      <wps:bodyPr spcFirstLastPara="1" wrap="square" lIns="91425" tIns="91425" rIns="91425" bIns="91425" anchor="ctr" anchorCtr="0">
                        <a:noAutofit/>
                      </wps:bodyPr>
                    </wps:wsp>
                  </a:graphicData>
                </a:graphic>
              </wp:anchor>
            </w:drawing>
          </mc:Choice>
          <mc:Fallback>
            <w:pict>
              <v:rect id="Rectángulo 1971430106" o:spid="_x0000_s1027" style="position:absolute;left:0;text-align:left;margin-left:30pt;margin-top:147pt;width:140.1pt;height:61.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" filled="f" strokecolor="#c00000" strokeweight="3pt">
                <v:stroke startarrowwidth="narrow" startarrowlength="short" endarrowwidth="narrow" endarrowlength="short" joinstyle="round"/>
                <v:shadow on="t" color="black" opacity="22358f" origin=",.5" offset="0,.63889mm"/>
                <v:textbox inset="2.53958mm,2.53958mm,2.53958mm,2.53958mm">
                  <w:txbxContent>
                    <w:p w:rsidR="009F323A" w:rsidRDefault="009F323A">
                      <w:pPr>
                        <w:textDirection w:val="btLr"/>
                      </w:pPr>
                    </w:p>
                  </w:txbxContent>
                </v:textbox>
              </v:rect>
            </w:pict>
          </mc:Fallback>
        </mc:AlternateContent>
      </w:r>
    </w:p>
    <w:p w:rsidR="00C93C9A" w:rsidRPr="00B67E98" w:rsidRDefault="009F323A">
      <w:pPr>
        <w:spacing w:before="240" w:after="240" w:line="360" w:lineRule="auto"/>
        <w:ind w:right="-787"/>
        <w:jc w:val="center"/>
        <w:rPr>
          <w:rFonts w:ascii="Palatino Linotype" w:eastAsia="Palatino Linotype" w:hAnsi="Palatino Linotype" w:cs="Palatino Linotype"/>
        </w:rPr>
      </w:pPr>
      <w:r w:rsidRPr="00B67E98">
        <w:rPr>
          <w:rFonts w:ascii="Palatino Linotype" w:eastAsia="Palatino Linotype" w:hAnsi="Palatino Linotype" w:cs="Palatino Linotype"/>
          <w:noProof/>
          <w:lang w:val="es-MX" w:eastAsia="es-MX"/>
        </w:rPr>
        <w:drawing>
          <wp:inline distT="0" distB="0" distL="0" distR="0">
            <wp:extent cx="5612130" cy="907415"/>
            <wp:effectExtent l="0" t="0" r="0" b="0"/>
            <wp:docPr id="19714301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5612130" cy="907415"/>
                    </a:xfrm>
                    <a:prstGeom prst="rect">
                      <a:avLst/>
                    </a:prstGeom>
                    <a:ln/>
                  </pic:spPr>
                </pic:pic>
              </a:graphicData>
            </a:graphic>
          </wp:inline>
        </w:drawing>
      </w:r>
      <w:r w:rsidRPr="00B67E98">
        <w:rPr>
          <w:noProof/>
          <w:lang w:val="es-MX" w:eastAsia="es-MX"/>
        </w:rPr>
        <mc:AlternateContent>
          <mc:Choice Requires="wpg">
            <w:drawing>
              <wp:anchor distT="0" distB="0" distL="114300" distR="114300" simplePos="0" relativeHeight="251667456" behindDoc="0" locked="0" layoutInCell="1" hidden="0" allowOverlap="1">
                <wp:simplePos x="0" y="0"/>
                <wp:positionH relativeFrom="column">
                  <wp:posOffset>3035300</wp:posOffset>
                </wp:positionH>
                <wp:positionV relativeFrom="paragraph">
                  <wp:posOffset>241300</wp:posOffset>
                </wp:positionV>
                <wp:extent cx="226613" cy="206149"/>
                <wp:effectExtent l="0" t="0" r="0" b="0"/>
                <wp:wrapNone/>
                <wp:docPr id="1971430108" name="Conector recto de flecha 1971430108"/>
                <wp:cNvGraphicFramePr/>
                <a:graphic xmlns:a="http://schemas.openxmlformats.org/drawingml/2006/main">
                  <a:graphicData uri="http://schemas.microsoft.com/office/word/2010/wordprocessingShape">
                    <wps:wsp>
                      <wps:cNvCnPr/>
                      <wps:spPr>
                        <a:xfrm flipH="1">
                          <a:off x="5270794" y="3715026"/>
                          <a:ext cx="150413" cy="129949"/>
                        </a:xfrm>
                        <a:prstGeom prst="straightConnector1">
                          <a:avLst/>
                        </a:prstGeom>
                        <a:noFill/>
                        <a:ln w="25400" cap="flat" cmpd="sng">
                          <a:solidFill>
                            <a:srgbClr val="C00000"/>
                          </a:solidFill>
                          <a:prstDash val="solid"/>
                          <a:round/>
                          <a:headEnd type="none" w="sm" len="sm"/>
                          <a:tailEnd type="triangle" w="med" len="med"/>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3035300</wp:posOffset>
                </wp:positionH>
                <wp:positionV relativeFrom="paragraph">
                  <wp:posOffset>241300</wp:posOffset>
                </wp:positionV>
                <wp:extent cx="226613" cy="206149"/>
                <wp:effectExtent b="0" l="0" r="0" t="0"/>
                <wp:wrapNone/>
                <wp:docPr id="1971430108"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226613" cy="206149"/>
                        </a:xfrm>
                        <a:prstGeom prst="rect"/>
                        <a:ln/>
                      </pic:spPr>
                    </pic:pic>
                  </a:graphicData>
                </a:graphic>
              </wp:anchor>
            </w:drawing>
          </mc:Fallback>
        </mc:AlternateContent>
      </w: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Cabe señalar que de la consulta de participaciones a municipios, se genera un documento el cual puede descargarse en formato Excel.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De igual forma se señala que la Constancia mensual de liquidación de participaciones de los municipios del Estado de México, se puede obtener por los propios municipios bajo la siguiente serie de pasos establecida en el portal del Registro Estatal de Trámites y Servicios:</w:t>
      </w:r>
    </w:p>
    <w:p w:rsidR="00C93C9A" w:rsidRPr="00B67E98" w:rsidRDefault="009F323A">
      <w:pPr>
        <w:spacing w:before="240" w:after="240" w:line="360" w:lineRule="auto"/>
        <w:ind w:right="-787"/>
        <w:jc w:val="both"/>
        <w:rPr>
          <w:rFonts w:ascii="Palatino Linotype" w:eastAsia="Palatino Linotype" w:hAnsi="Palatino Linotype" w:cs="Palatino Linotype"/>
          <w:b/>
        </w:rPr>
      </w:pPr>
      <w:r w:rsidRPr="00B67E98">
        <w:rPr>
          <w:rFonts w:ascii="Palatino Linotype" w:eastAsia="Palatino Linotype" w:hAnsi="Palatino Linotype" w:cs="Palatino Linotype"/>
          <w:b/>
        </w:rPr>
        <w:lastRenderedPageBreak/>
        <w:t>Constancia mensual de liquidación de participaciones de los municipios del Estado de México</w:t>
      </w:r>
    </w:p>
    <w:p w:rsidR="00C93C9A" w:rsidRPr="00B67E98" w:rsidRDefault="009F323A">
      <w:pPr>
        <w:spacing w:before="240" w:after="240" w:line="276"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1. Deberá ingresar a la página web de la Secretaría de Finanzas: </w:t>
      </w:r>
      <w:hyperlink r:id="rId31">
        <w:r w:rsidRPr="00B67E98">
          <w:rPr>
            <w:rFonts w:ascii="Palatino Linotype" w:eastAsia="Palatino Linotype" w:hAnsi="Palatino Linotype" w:cs="Palatino Linotype"/>
            <w:color w:val="0000FF"/>
            <w:u w:val="single"/>
          </w:rPr>
          <w:t>https://sfpya.edomexico.gob.mx/participaciones/</w:t>
        </w:r>
      </w:hyperlink>
      <w:r w:rsidRPr="00B67E98">
        <w:rPr>
          <w:rFonts w:ascii="Palatino Linotype" w:eastAsia="Palatino Linotype" w:hAnsi="Palatino Linotype" w:cs="Palatino Linotype"/>
        </w:rPr>
        <w:t xml:space="preserve"> </w:t>
      </w:r>
    </w:p>
    <w:p w:rsidR="00C93C9A" w:rsidRPr="00B67E98" w:rsidRDefault="009F323A">
      <w:pPr>
        <w:spacing w:before="240" w:after="240" w:line="276"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2. Una vez dentro de la página, seleccionar la opción de "Participaciones a Municipios".</w:t>
      </w:r>
    </w:p>
    <w:p w:rsidR="00C93C9A" w:rsidRPr="00B67E98" w:rsidRDefault="009F323A">
      <w:pPr>
        <w:spacing w:before="240" w:after="240" w:line="276"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 3. Dar clic en al apartado de “Constancias de Participaciones”, aparecerá un cuadro con diferentes opciones (Municipio, año y mes), dependiendo del municipio y temporalidad. </w:t>
      </w:r>
    </w:p>
    <w:p w:rsidR="00C93C9A" w:rsidRPr="00B67E98" w:rsidRDefault="009F323A">
      <w:pPr>
        <w:spacing w:before="240" w:after="240" w:line="276"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4. Seleccione el municipio, año y mes del que desea obtener la constancia de liquidación de participaciones y oprima el botón "Generar". </w:t>
      </w:r>
    </w:p>
    <w:p w:rsidR="00C93C9A" w:rsidRPr="00B67E98" w:rsidRDefault="009F323A">
      <w:pPr>
        <w:spacing w:before="240" w:after="240" w:line="276"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5. El sistema genera una constancia sin validez oficial, a modo de consulta. </w:t>
      </w:r>
    </w:p>
    <w:p w:rsidR="00C93C9A" w:rsidRPr="00B67E98" w:rsidRDefault="009F323A">
      <w:pPr>
        <w:spacing w:before="240" w:after="240" w:line="276"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En caso de ser servidora o servidor público municipal y a fin de obtener la constancia de liquidación de participaciones con validez oficial, una vez generada la constancia sin validez oficial:</w:t>
      </w:r>
    </w:p>
    <w:p w:rsidR="00C93C9A" w:rsidRPr="00B67E98" w:rsidRDefault="009F323A">
      <w:pPr>
        <w:spacing w:before="240" w:after="240" w:line="276"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6. Deberá presionar el botón "COMPROBANTE" situado en la parte inferior de la pantalla, deberá introducir el "Usuario" y "Contraseña". </w:t>
      </w:r>
    </w:p>
    <w:p w:rsidR="00C93C9A" w:rsidRPr="00B67E98" w:rsidRDefault="009F323A">
      <w:pPr>
        <w:spacing w:before="240" w:after="240" w:line="276"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7. Seleccionar la opción “Constancias de liquidación oficiales”. </w:t>
      </w:r>
    </w:p>
    <w:p w:rsidR="00C93C9A" w:rsidRPr="00B67E98" w:rsidRDefault="009F323A">
      <w:pPr>
        <w:spacing w:before="240" w:after="240" w:line="276" w:lineRule="auto"/>
        <w:ind w:left="284" w:right="-787"/>
        <w:jc w:val="both"/>
        <w:rPr>
          <w:rFonts w:ascii="Palatino Linotype" w:eastAsia="Palatino Linotype" w:hAnsi="Palatino Linotype" w:cs="Palatino Linotype"/>
        </w:rPr>
      </w:pPr>
      <w:r w:rsidRPr="00B67E98">
        <w:rPr>
          <w:rFonts w:ascii="Palatino Linotype" w:eastAsia="Palatino Linotype" w:hAnsi="Palatino Linotype" w:cs="Palatino Linotype"/>
        </w:rPr>
        <w:t>8.Por último, seleccionar el mes deseado y el sistema generará la constancia con sello digital.</w:t>
      </w: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Cabe resaltar que al ejecutar los pasos establecidos en los numerales del 1 al 5 este Organismo Garante logró obtener la siguiente constancia de liquidación de participaciones en la que se puede observar el monto por el concepto de participaciones en el que se aprecia el monto por Impuesto Sobre la Renta, tal como se ilustra en la siguiente imagen: </w:t>
      </w:r>
    </w:p>
    <w:p w:rsidR="00C93C9A" w:rsidRPr="00B67E98" w:rsidRDefault="009F323A">
      <w:pPr>
        <w:spacing w:before="240" w:after="240" w:line="360" w:lineRule="auto"/>
        <w:ind w:right="-787"/>
        <w:jc w:val="center"/>
        <w:rPr>
          <w:rFonts w:ascii="Palatino Linotype" w:eastAsia="Palatino Linotype" w:hAnsi="Palatino Linotype" w:cs="Palatino Linotype"/>
        </w:rPr>
      </w:pPr>
      <w:r w:rsidRPr="00B67E98">
        <w:rPr>
          <w:noProof/>
          <w:lang w:val="es-MX" w:eastAsia="es-MX"/>
        </w:rPr>
        <w:lastRenderedPageBreak/>
        <w:drawing>
          <wp:inline distT="0" distB="0" distL="0" distR="0">
            <wp:extent cx="5040000" cy="6547864"/>
            <wp:effectExtent l="0" t="0" r="0" b="0"/>
            <wp:docPr id="19714301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5040000" cy="6547864"/>
                    </a:xfrm>
                    <a:prstGeom prst="rect">
                      <a:avLst/>
                    </a:prstGeom>
                    <a:ln/>
                  </pic:spPr>
                </pic:pic>
              </a:graphicData>
            </a:graphic>
          </wp:inline>
        </w:drawing>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lastRenderedPageBreak/>
        <w:t xml:space="preserve">De lo anterior, se muestra la facultad y obligación de que el </w:t>
      </w:r>
      <w:r w:rsidRPr="00B67E98">
        <w:rPr>
          <w:rFonts w:ascii="Palatino Linotype" w:eastAsia="Palatino Linotype" w:hAnsi="Palatino Linotype" w:cs="Palatino Linotype"/>
          <w:b/>
        </w:rPr>
        <w:t xml:space="preserve">SUJETO OBLIGADO </w:t>
      </w:r>
      <w:r w:rsidRPr="00B67E98">
        <w:rPr>
          <w:rFonts w:ascii="Palatino Linotype" w:eastAsia="Palatino Linotype" w:hAnsi="Palatino Linotype" w:cs="Palatino Linotype"/>
        </w:rPr>
        <w:t xml:space="preserve">cuente con ISR pro devolución que obtuvo el </w:t>
      </w:r>
      <w:r w:rsidRPr="00B67E98">
        <w:rPr>
          <w:rFonts w:ascii="Palatino Linotype" w:eastAsia="Palatino Linotype" w:hAnsi="Palatino Linotype" w:cs="Palatino Linotype"/>
          <w:b/>
        </w:rPr>
        <w:t xml:space="preserve">SUJETO OBLIGADO </w:t>
      </w:r>
      <w:r w:rsidRPr="00B67E98">
        <w:rPr>
          <w:rFonts w:ascii="Palatino Linotype" w:eastAsia="Palatino Linotype" w:hAnsi="Palatino Linotype" w:cs="Palatino Linotype"/>
        </w:rPr>
        <w:t>por la Secretaría de Finanzas del Estado de México, sin embargo dicha líneas no refieren la obligación de obtener la información del software de contabilidad gubernamental en el que se pueda apreciar el control del saldo pendiente</w:t>
      </w:r>
      <w:r w:rsidRPr="00B67E98">
        <w:rPr>
          <w:rFonts w:ascii="Palatino Linotype" w:eastAsia="Palatino Linotype" w:hAnsi="Palatino Linotype" w:cs="Palatino Linotype"/>
          <w:color w:val="C00000"/>
        </w:rPr>
        <w:t xml:space="preserve"> </w:t>
      </w:r>
      <w:r w:rsidRPr="00B67E98">
        <w:rPr>
          <w:rFonts w:ascii="Palatino Linotype" w:eastAsia="Palatino Linotype" w:hAnsi="Palatino Linotype" w:cs="Palatino Linotype"/>
        </w:rPr>
        <w:t xml:space="preserve">de recuperar del ISR participable, por lo que  bastará con que el </w:t>
      </w:r>
      <w:r w:rsidRPr="00B67E98">
        <w:rPr>
          <w:rFonts w:ascii="Palatino Linotype" w:eastAsia="Palatino Linotype" w:hAnsi="Palatino Linotype" w:cs="Palatino Linotype"/>
          <w:b/>
        </w:rPr>
        <w:t xml:space="preserve">SUJETO OBLIGADO </w:t>
      </w:r>
      <w:r w:rsidRPr="00B67E98">
        <w:rPr>
          <w:rFonts w:ascii="Palatino Linotype" w:eastAsia="Palatino Linotype" w:hAnsi="Palatino Linotype" w:cs="Palatino Linotype"/>
        </w:rPr>
        <w:t xml:space="preserve">lo haga del conocimiento del </w:t>
      </w:r>
      <w:r w:rsidRPr="00B67E98">
        <w:rPr>
          <w:rFonts w:ascii="Palatino Linotype" w:eastAsia="Palatino Linotype" w:hAnsi="Palatino Linotype" w:cs="Palatino Linotype"/>
          <w:b/>
        </w:rPr>
        <w:t xml:space="preserve">RECURRENTE </w:t>
      </w:r>
      <w:r w:rsidRPr="00B67E98">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Finalmente, respecto a la modalidad de entrega, es necesario mencionar que el </w:t>
      </w:r>
      <w:r w:rsidRPr="00B67E98">
        <w:rPr>
          <w:rFonts w:ascii="Palatino Linotype" w:eastAsia="Palatino Linotype" w:hAnsi="Palatino Linotype" w:cs="Palatino Linotype"/>
          <w:b/>
        </w:rPr>
        <w:t xml:space="preserve">RECURRENTE </w:t>
      </w:r>
      <w:r w:rsidRPr="00B67E98">
        <w:rPr>
          <w:rFonts w:ascii="Palatino Linotype" w:eastAsia="Palatino Linotype" w:hAnsi="Palatino Linotype" w:cs="Palatino Linotype"/>
        </w:rPr>
        <w:t xml:space="preserve">solicitó que fuera entregada en la modalidad de correo electrónico, por lo que el </w:t>
      </w:r>
      <w:r w:rsidRPr="00B67E98">
        <w:rPr>
          <w:rFonts w:ascii="Palatino Linotype" w:eastAsia="Palatino Linotype" w:hAnsi="Palatino Linotype" w:cs="Palatino Linotype"/>
          <w:b/>
        </w:rPr>
        <w:t xml:space="preserve">SUJETO OBLIGADO </w:t>
      </w:r>
      <w:r w:rsidRPr="00B67E98">
        <w:rPr>
          <w:rFonts w:ascii="Palatino Linotype" w:eastAsia="Palatino Linotype" w:hAnsi="Palatino Linotype" w:cs="Palatino Linotype"/>
        </w:rPr>
        <w:t>deberá de sujetarse a lo regulado por el artículo 164 de la Ley de Transparencia y Acceso a la Información Pública del Estado de México y Municipios,  que es del tenor literal siguiente:</w:t>
      </w:r>
    </w:p>
    <w:p w:rsidR="00C93C9A" w:rsidRPr="00B67E98" w:rsidRDefault="009F323A">
      <w:pPr>
        <w:spacing w:before="120" w:after="120"/>
        <w:ind w:left="1134" w:right="-787"/>
        <w:rPr>
          <w:rFonts w:ascii="Palatino Linotype" w:eastAsia="Palatino Linotype" w:hAnsi="Palatino Linotype" w:cs="Palatino Linotype"/>
          <w:i/>
        </w:rPr>
      </w:pPr>
      <w:r w:rsidRPr="00B67E98">
        <w:rPr>
          <w:rFonts w:ascii="Palatino Linotype" w:eastAsia="Palatino Linotype" w:hAnsi="Palatino Linotype" w:cs="Palatino Linotype"/>
          <w:i/>
        </w:rPr>
        <w:t>”</w:t>
      </w:r>
      <w:r w:rsidRPr="00B67E98">
        <w:rPr>
          <w:rFonts w:ascii="Palatino Linotype" w:eastAsia="Palatino Linotype" w:hAnsi="Palatino Linotype" w:cs="Palatino Linotype"/>
          <w:b/>
          <w:i/>
        </w:rPr>
        <w:t>Artículo 164</w:t>
      </w:r>
      <w:r w:rsidRPr="00B67E98">
        <w:rPr>
          <w:rFonts w:ascii="Palatino Linotype" w:eastAsia="Palatino Linotype" w:hAnsi="Palatino Linotype" w:cs="Palatino Linotype"/>
          <w:i/>
        </w:rPr>
        <w:t>. El acceso se dará en la modalidad de entrega y, en su caso, de envío elegidos por el solicitante. Cuando la información no pueda entregarse o enviarse en la modalidad solicitada, el sujeto obligado deberá ofrecer otra u otras modalidades de entrega.</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C93C9A">
      <w:pPr>
        <w:pBdr>
          <w:top w:val="nil"/>
          <w:left w:val="nil"/>
          <w:bottom w:val="nil"/>
          <w:right w:val="nil"/>
          <w:between w:val="nil"/>
        </w:pBdr>
        <w:ind w:left="720" w:right="-787"/>
        <w:rPr>
          <w:rFonts w:ascii="Palatino Linotype" w:eastAsia="Palatino Linotype" w:hAnsi="Palatino Linotype" w:cs="Palatino Linotype"/>
          <w:color w:val="000000"/>
        </w:rPr>
      </w:pP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C93C9A">
      <w:pPr>
        <w:pBdr>
          <w:top w:val="nil"/>
          <w:left w:val="nil"/>
          <w:bottom w:val="nil"/>
          <w:right w:val="nil"/>
          <w:between w:val="nil"/>
        </w:pBdr>
        <w:ind w:left="720" w:right="-787"/>
        <w:rPr>
          <w:rFonts w:ascii="Palatino Linotype" w:eastAsia="Palatino Linotype" w:hAnsi="Palatino Linotype" w:cs="Palatino Linotype"/>
          <w:color w:val="000000"/>
        </w:rPr>
      </w:pP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keepNext/>
        <w:keepLines/>
        <w:spacing w:after="160" w:line="360" w:lineRule="auto"/>
        <w:ind w:left="708" w:right="-787" w:hanging="708"/>
        <w:rPr>
          <w:rFonts w:ascii="Palatino Linotype" w:eastAsia="Palatino Linotype" w:hAnsi="Palatino Linotype" w:cs="Palatino Linotype"/>
          <w:b/>
          <w:color w:val="000000"/>
        </w:rPr>
      </w:pPr>
      <w:r w:rsidRPr="00B67E98">
        <w:rPr>
          <w:rFonts w:ascii="Palatino Linotype" w:eastAsia="Palatino Linotype" w:hAnsi="Palatino Linotype" w:cs="Palatino Linotype"/>
          <w:b/>
          <w:color w:val="000000"/>
        </w:rPr>
        <w:lastRenderedPageBreak/>
        <w:t>QUINTO. De la versión pública.</w:t>
      </w:r>
    </w:p>
    <w:p w:rsidR="00C93C9A" w:rsidRPr="00B67E98" w:rsidRDefault="009F323A">
      <w:pPr>
        <w:keepNext/>
        <w:keepLines/>
        <w:numPr>
          <w:ilvl w:val="0"/>
          <w:numId w:val="5"/>
        </w:numPr>
        <w:tabs>
          <w:tab w:val="left" w:pos="284"/>
        </w:tabs>
        <w:spacing w:after="160" w:line="360" w:lineRule="auto"/>
        <w:ind w:left="0" w:right="-787" w:firstLine="0"/>
        <w:rPr>
          <w:rFonts w:ascii="Palatino Linotype" w:eastAsia="Palatino Linotype" w:hAnsi="Palatino Linotype" w:cs="Palatino Linotype"/>
          <w:b/>
          <w:color w:val="000000"/>
        </w:rPr>
      </w:pPr>
      <w:r w:rsidRPr="00B67E98">
        <w:rPr>
          <w:rFonts w:ascii="Palatino Linotype" w:eastAsia="Palatino Linotype" w:hAnsi="Palatino Linotype" w:cs="Palatino Linotype"/>
          <w:b/>
          <w:color w:val="000000"/>
        </w:rPr>
        <w:t xml:space="preserve">Nociones generales. </w:t>
      </w: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Debe destacarse, que debido a la información solicitada por el </w:t>
      </w:r>
      <w:r w:rsidRPr="00B67E98">
        <w:rPr>
          <w:rFonts w:ascii="Palatino Linotype" w:eastAsia="Palatino Linotype" w:hAnsi="Palatino Linotype" w:cs="Palatino Linotype"/>
          <w:b/>
          <w:color w:val="000000"/>
        </w:rPr>
        <w:t xml:space="preserve">RECURRENTE, pueden obrar </w:t>
      </w:r>
      <w:r w:rsidRPr="00B67E98">
        <w:rPr>
          <w:rFonts w:ascii="Palatino Linotype" w:eastAsia="Palatino Linotype" w:hAnsi="Palatino Linotype" w:cs="Palatino Linotype"/>
          <w:color w:val="000000"/>
        </w:rPr>
        <w:t xml:space="preserve">datos personales susceptibles de protegerse, así como información susceptible de clasificarse como confidencial,  por lo que el </w:t>
      </w:r>
      <w:r w:rsidRPr="00B67E98">
        <w:rPr>
          <w:rFonts w:ascii="Palatino Linotype" w:eastAsia="Palatino Linotype" w:hAnsi="Palatino Linotype" w:cs="Palatino Linotype"/>
          <w:b/>
          <w:color w:val="000000"/>
        </w:rPr>
        <w:t xml:space="preserve">SUJETO OBLIGADO </w:t>
      </w:r>
      <w:r w:rsidRPr="00B67E98">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C93C9A" w:rsidRPr="00B67E98" w:rsidRDefault="00C93C9A">
      <w:pPr>
        <w:tabs>
          <w:tab w:val="left" w:pos="0"/>
          <w:tab w:val="left" w:pos="284"/>
        </w:tabs>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No pasa desapercibido para este Órgano Garante que los sujetos obligados</w:t>
      </w:r>
      <w:r w:rsidRPr="00B67E98">
        <w:rPr>
          <w:rFonts w:ascii="Palatino Linotype" w:eastAsia="Palatino Linotype" w:hAnsi="Palatino Linotype" w:cs="Palatino Linotype"/>
          <w:b/>
          <w:color w:val="000000"/>
        </w:rPr>
        <w:t xml:space="preserve"> </w:t>
      </w:r>
      <w:r w:rsidRPr="00B67E98">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93C9A" w:rsidRPr="00B67E98" w:rsidRDefault="00C93C9A">
      <w:pPr>
        <w:tabs>
          <w:tab w:val="left" w:pos="284"/>
        </w:tabs>
        <w:spacing w:after="160" w:line="360" w:lineRule="auto"/>
        <w:ind w:right="-787"/>
        <w:jc w:val="both"/>
        <w:rPr>
          <w:rFonts w:ascii="Palatino Linotype" w:eastAsia="Palatino Linotype" w:hAnsi="Palatino Linotype" w:cs="Palatino Linotype"/>
          <w:color w:val="000000"/>
        </w:rPr>
      </w:pPr>
    </w:p>
    <w:tbl>
      <w:tblPr>
        <w:tblStyle w:val="a0"/>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C93C9A" w:rsidRPr="00B67E98">
        <w:tc>
          <w:tcPr>
            <w:tcW w:w="2689" w:type="dxa"/>
          </w:tcPr>
          <w:p w:rsidR="00C93C9A" w:rsidRPr="00B67E98" w:rsidRDefault="009F323A">
            <w:pPr>
              <w:tabs>
                <w:tab w:val="left" w:pos="284"/>
              </w:tabs>
              <w:spacing w:line="360" w:lineRule="auto"/>
              <w:ind w:right="-787"/>
              <w:rPr>
                <w:rFonts w:ascii="Palatino Linotype" w:eastAsia="Palatino Linotype" w:hAnsi="Palatino Linotype" w:cs="Palatino Linotype"/>
              </w:rPr>
            </w:pPr>
            <w:r w:rsidRPr="00B67E98">
              <w:rPr>
                <w:rFonts w:ascii="Palatino Linotype" w:eastAsia="Palatino Linotype" w:hAnsi="Palatino Linotype" w:cs="Palatino Linotype"/>
              </w:rPr>
              <w:t>a) Requisitos previos.</w:t>
            </w:r>
          </w:p>
        </w:tc>
        <w:tc>
          <w:tcPr>
            <w:tcW w:w="6520" w:type="dxa"/>
          </w:tcPr>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lastRenderedPageBreak/>
              <w:t>Además, se debe señalar el procedimiento, de los tres que establecen los artículos 132 y 106 de la Ley Estatal y General, respectivamente.</w:t>
            </w:r>
          </w:p>
          <w:p w:rsidR="00C93C9A" w:rsidRPr="00B67E98" w:rsidRDefault="009F323A">
            <w:pPr>
              <w:tabs>
                <w:tab w:val="left" w:pos="284"/>
              </w:tabs>
              <w:spacing w:line="360" w:lineRule="auto"/>
              <w:ind w:right="-787"/>
              <w:jc w:val="both"/>
              <w:rPr>
                <w:rFonts w:ascii="Palatino Linotype" w:eastAsia="Palatino Linotype" w:hAnsi="Palatino Linotype" w:cs="Palatino Linotype"/>
              </w:rPr>
            </w:pPr>
            <w:r w:rsidRPr="00B67E98">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B67E98">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B67E98">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C93C9A" w:rsidRPr="00B67E98">
        <w:tc>
          <w:tcPr>
            <w:tcW w:w="2689" w:type="dxa"/>
          </w:tcPr>
          <w:p w:rsidR="00C93C9A" w:rsidRPr="00B67E98" w:rsidRDefault="009F323A">
            <w:pPr>
              <w:tabs>
                <w:tab w:val="left" w:pos="284"/>
              </w:tabs>
              <w:spacing w:line="360" w:lineRule="auto"/>
              <w:ind w:right="-787"/>
              <w:rPr>
                <w:rFonts w:ascii="Palatino Linotype" w:eastAsia="Palatino Linotype" w:hAnsi="Palatino Linotype" w:cs="Palatino Linotype"/>
              </w:rPr>
            </w:pPr>
            <w:r w:rsidRPr="00B67E98">
              <w:rPr>
                <w:rFonts w:ascii="Palatino Linotype" w:eastAsia="Palatino Linotype" w:hAnsi="Palatino Linotype" w:cs="Palatino Linotype"/>
              </w:rPr>
              <w:lastRenderedPageBreak/>
              <w:t>b) Supuestos de clasificación.</w:t>
            </w:r>
          </w:p>
        </w:tc>
        <w:tc>
          <w:tcPr>
            <w:tcW w:w="6520" w:type="dxa"/>
          </w:tcPr>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93C9A" w:rsidRPr="00B67E98" w:rsidRDefault="009F323A">
            <w:pPr>
              <w:tabs>
                <w:tab w:val="left" w:pos="284"/>
              </w:tabs>
              <w:spacing w:line="360" w:lineRule="auto"/>
              <w:ind w:right="-787"/>
              <w:jc w:val="both"/>
              <w:rPr>
                <w:rFonts w:ascii="Palatino Linotype" w:eastAsia="Palatino Linotype" w:hAnsi="Palatino Linotype" w:cs="Palatino Linotype"/>
              </w:rPr>
            </w:pPr>
            <w:r w:rsidRPr="00B67E98">
              <w:rPr>
                <w:rFonts w:ascii="Palatino Linotype" w:eastAsia="Palatino Linotype" w:hAnsi="Palatino Linotype" w:cs="Palatino Linotype"/>
                <w:color w:val="000000"/>
              </w:rPr>
              <w:t xml:space="preserve">El </w:t>
            </w:r>
            <w:r w:rsidRPr="00B67E98">
              <w:rPr>
                <w:rFonts w:ascii="Palatino Linotype" w:eastAsia="Palatino Linotype" w:hAnsi="Palatino Linotype" w:cs="Palatino Linotype"/>
                <w:b/>
                <w:color w:val="000000"/>
              </w:rPr>
              <w:t>Sujeto Obligado</w:t>
            </w:r>
            <w:r w:rsidRPr="00B67E98">
              <w:rPr>
                <w:rFonts w:ascii="Palatino Linotype" w:eastAsia="Palatino Linotype" w:hAnsi="Palatino Linotype" w:cs="Palatino Linotype"/>
                <w:color w:val="000000"/>
              </w:rPr>
              <w:t xml:space="preserve"> debe identificar claramente el tipo de información y hacer un juicio de subsunción o encaje para acreditar </w:t>
            </w:r>
            <w:r w:rsidRPr="00B67E98">
              <w:rPr>
                <w:rFonts w:ascii="Palatino Linotype" w:eastAsia="Palatino Linotype" w:hAnsi="Palatino Linotype" w:cs="Palatino Linotype"/>
                <w:color w:val="000000"/>
              </w:rPr>
              <w:lastRenderedPageBreak/>
              <w:t>que el supuesto de hecho corresponde estrictamente con la hipótesis jurídica. Esto también lo debe de realizar el servidor público habilitado y el titular del área que administra la información.</w:t>
            </w:r>
          </w:p>
        </w:tc>
      </w:tr>
      <w:tr w:rsidR="00C93C9A" w:rsidRPr="00B67E98">
        <w:tc>
          <w:tcPr>
            <w:tcW w:w="2689" w:type="dxa"/>
          </w:tcPr>
          <w:p w:rsidR="00C93C9A" w:rsidRPr="00B67E98" w:rsidRDefault="009F323A">
            <w:pPr>
              <w:tabs>
                <w:tab w:val="left" w:pos="284"/>
              </w:tabs>
              <w:spacing w:line="360" w:lineRule="auto"/>
              <w:ind w:right="-787"/>
              <w:rPr>
                <w:rFonts w:ascii="Palatino Linotype" w:eastAsia="Palatino Linotype" w:hAnsi="Palatino Linotype" w:cs="Palatino Linotype"/>
              </w:rPr>
            </w:pPr>
            <w:r w:rsidRPr="00B67E98">
              <w:rPr>
                <w:rFonts w:ascii="Palatino Linotype" w:eastAsia="Palatino Linotype" w:hAnsi="Palatino Linotype" w:cs="Palatino Linotype"/>
              </w:rPr>
              <w:lastRenderedPageBreak/>
              <w:t>c) Formalidades para emitir el acuerdo de clasificación.</w:t>
            </w:r>
          </w:p>
        </w:tc>
        <w:tc>
          <w:tcPr>
            <w:tcW w:w="6520" w:type="dxa"/>
          </w:tcPr>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Es necesario que </w:t>
            </w:r>
            <w:r w:rsidRPr="00B67E98">
              <w:rPr>
                <w:rFonts w:ascii="Palatino Linotype" w:eastAsia="Palatino Linotype" w:hAnsi="Palatino Linotype" w:cs="Palatino Linotype"/>
                <w:b/>
                <w:color w:val="000000"/>
                <w:u w:val="single"/>
              </w:rPr>
              <w:t>el acto reúna con los requisitos elementales</w:t>
            </w:r>
            <w:r w:rsidRPr="00B67E98">
              <w:rPr>
                <w:rFonts w:ascii="Palatino Linotype" w:eastAsia="Palatino Linotype" w:hAnsi="Palatino Linotype" w:cs="Palatino Linotype"/>
                <w:color w:val="000000"/>
              </w:rPr>
              <w:t>, entre ellos, que la autoridad que va a emitir el acto de autoridad sea la legalmente facultada para ello.</w:t>
            </w:r>
          </w:p>
          <w:p w:rsidR="00C93C9A" w:rsidRPr="00B67E98" w:rsidRDefault="009F323A">
            <w:pPr>
              <w:tabs>
                <w:tab w:val="left" w:pos="284"/>
              </w:tabs>
              <w:spacing w:line="360" w:lineRule="auto"/>
              <w:ind w:right="-787"/>
              <w:jc w:val="both"/>
              <w:rPr>
                <w:rFonts w:ascii="Palatino Linotype" w:eastAsia="Palatino Linotype" w:hAnsi="Palatino Linotype" w:cs="Palatino Linotype"/>
              </w:rPr>
            </w:pPr>
            <w:r w:rsidRPr="00B67E98">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B67E98">
              <w:rPr>
                <w:rFonts w:ascii="Palatino Linotype" w:eastAsia="Palatino Linotype" w:hAnsi="Palatino Linotype" w:cs="Palatino Linotype"/>
              </w:rPr>
              <w:t>El área</w:t>
            </w:r>
            <w:r w:rsidRPr="00B67E98">
              <w:rPr>
                <w:rFonts w:ascii="Palatino Linotype" w:eastAsia="Palatino Linotype" w:hAnsi="Palatino Linotype" w:cs="Palatino Linotype"/>
                <w:color w:val="00000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93C9A" w:rsidRPr="00B67E98">
        <w:tc>
          <w:tcPr>
            <w:tcW w:w="2689" w:type="dxa"/>
          </w:tcPr>
          <w:p w:rsidR="00C93C9A" w:rsidRPr="00B67E98" w:rsidRDefault="00C93C9A">
            <w:pPr>
              <w:tabs>
                <w:tab w:val="left" w:pos="284"/>
              </w:tabs>
              <w:spacing w:line="360" w:lineRule="auto"/>
              <w:ind w:right="-787"/>
              <w:rPr>
                <w:rFonts w:ascii="Palatino Linotype" w:eastAsia="Palatino Linotype" w:hAnsi="Palatino Linotype" w:cs="Palatino Linotype"/>
              </w:rPr>
            </w:pPr>
          </w:p>
          <w:p w:rsidR="00C93C9A" w:rsidRPr="00B67E98" w:rsidRDefault="009F323A">
            <w:pPr>
              <w:tabs>
                <w:tab w:val="left" w:pos="284"/>
              </w:tabs>
              <w:spacing w:line="360" w:lineRule="auto"/>
              <w:ind w:right="-787"/>
              <w:jc w:val="both"/>
              <w:rPr>
                <w:rFonts w:ascii="Palatino Linotype" w:eastAsia="Palatino Linotype" w:hAnsi="Palatino Linotype" w:cs="Palatino Linotype"/>
              </w:rPr>
            </w:pPr>
            <w:r w:rsidRPr="00B67E98">
              <w:rPr>
                <w:rFonts w:ascii="Palatino Linotype" w:eastAsia="Palatino Linotype" w:hAnsi="Palatino Linotype" w:cs="Palatino Linotype"/>
                <w:color w:val="000000"/>
              </w:rPr>
              <w:t xml:space="preserve">d) Requisitos de fondo del acuerdo de clasificación. </w:t>
            </w:r>
          </w:p>
        </w:tc>
        <w:tc>
          <w:tcPr>
            <w:tcW w:w="6520" w:type="dxa"/>
          </w:tcPr>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w:t>
            </w:r>
            <w:r w:rsidRPr="00B67E98">
              <w:rPr>
                <w:rFonts w:ascii="Palatino Linotype" w:eastAsia="Palatino Linotype" w:hAnsi="Palatino Linotype" w:cs="Palatino Linotype"/>
                <w:color w:val="000000"/>
              </w:rPr>
              <w:lastRenderedPageBreak/>
              <w:t xml:space="preserve">las restricciones, corresponde a los </w:t>
            </w:r>
            <w:r w:rsidRPr="00B67E98">
              <w:rPr>
                <w:rFonts w:ascii="Palatino Linotype" w:eastAsia="Palatino Linotype" w:hAnsi="Palatino Linotype" w:cs="Palatino Linotype"/>
                <w:b/>
                <w:color w:val="000000"/>
              </w:rPr>
              <w:t>Sujetos Obligados</w:t>
            </w:r>
            <w:r w:rsidRPr="00B67E98">
              <w:rPr>
                <w:rFonts w:ascii="Palatino Linotype" w:eastAsia="Palatino Linotype" w:hAnsi="Palatino Linotype" w:cs="Palatino Linotype"/>
                <w:color w:val="000000"/>
              </w:rPr>
              <w:t xml:space="preserve">, por lo que deberán fundar y motivar debidamente la clasificación. </w:t>
            </w:r>
          </w:p>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De lo anterior, se desprende que para una correcta </w:t>
            </w:r>
            <w:r w:rsidRPr="00B67E98">
              <w:rPr>
                <w:rFonts w:ascii="Palatino Linotype" w:eastAsia="Palatino Linotype" w:hAnsi="Palatino Linotype" w:cs="Palatino Linotype"/>
                <w:b/>
                <w:color w:val="000000"/>
              </w:rPr>
              <w:t>clasificación total o parcial</w:t>
            </w:r>
            <w:r w:rsidRPr="00B67E98">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Ahora bien, </w:t>
            </w:r>
            <w:r w:rsidRPr="00B67E98">
              <w:rPr>
                <w:rFonts w:ascii="Palatino Linotype" w:eastAsia="Palatino Linotype" w:hAnsi="Palatino Linotype" w:cs="Palatino Linotype"/>
                <w:b/>
                <w:color w:val="000000"/>
                <w:u w:val="single"/>
              </w:rPr>
              <w:t>para cada caso además de fundar y motivar</w:t>
            </w:r>
            <w:r w:rsidRPr="00B67E98">
              <w:rPr>
                <w:rFonts w:ascii="Palatino Linotype" w:eastAsia="Palatino Linotype" w:hAnsi="Palatino Linotype" w:cs="Palatino Linotype"/>
                <w:color w:val="000000"/>
              </w:rPr>
              <w:t xml:space="preserve">, se debe identificar con claridad </w:t>
            </w:r>
            <w:r w:rsidRPr="00B67E98">
              <w:rPr>
                <w:rFonts w:ascii="Palatino Linotype" w:eastAsia="Palatino Linotype" w:hAnsi="Palatino Linotype" w:cs="Palatino Linotype"/>
              </w:rPr>
              <w:t>qué</w:t>
            </w:r>
            <w:r w:rsidRPr="00B67E98">
              <w:rPr>
                <w:rFonts w:ascii="Palatino Linotype" w:eastAsia="Palatino Linotype" w:hAnsi="Palatino Linotype" w:cs="Palatino Linotype"/>
                <w:color w:val="000000"/>
              </w:rPr>
              <w:t xml:space="preserve"> datos contenidos en las documentales que son susceptibles de suprimirse, por ejemplo; Clave Única de Registro de Población (CURP), Registro Federal de Contribuyentes </w:t>
            </w:r>
            <w:r w:rsidRPr="00B67E98">
              <w:rPr>
                <w:rFonts w:ascii="Palatino Linotype" w:eastAsia="Palatino Linotype" w:hAnsi="Palatino Linotype" w:cs="Palatino Linotype"/>
                <w:color w:val="000000"/>
              </w:rPr>
              <w:lastRenderedPageBreak/>
              <w:t>(R.F.C.), claves de seguros, préstamos o descuentos personales, secretos bancario, fiduciario, industrial, comercial, fiscal, bursátil y postal, cuya titularidad corresponda a particulares, entre otros.</w:t>
            </w:r>
          </w:p>
        </w:tc>
      </w:tr>
      <w:tr w:rsidR="00C93C9A" w:rsidRPr="00B67E98">
        <w:tc>
          <w:tcPr>
            <w:tcW w:w="2689" w:type="dxa"/>
          </w:tcPr>
          <w:p w:rsidR="00C93C9A" w:rsidRPr="00B67E98" w:rsidRDefault="009F323A">
            <w:pPr>
              <w:tabs>
                <w:tab w:val="left" w:pos="284"/>
              </w:tabs>
              <w:spacing w:line="360" w:lineRule="auto"/>
              <w:ind w:right="-787"/>
              <w:jc w:val="both"/>
              <w:rPr>
                <w:rFonts w:ascii="Palatino Linotype" w:eastAsia="Palatino Linotype" w:hAnsi="Palatino Linotype" w:cs="Palatino Linotype"/>
              </w:rPr>
            </w:pPr>
            <w:r w:rsidRPr="00B67E98">
              <w:rPr>
                <w:rFonts w:ascii="Palatino Linotype" w:eastAsia="Palatino Linotype" w:hAnsi="Palatino Linotype" w:cs="Palatino Linotype"/>
              </w:rPr>
              <w:lastRenderedPageBreak/>
              <w:t xml:space="preserve">e) Condiciones especiales de la clasificación de la información como confidencial. </w:t>
            </w:r>
          </w:p>
        </w:tc>
        <w:tc>
          <w:tcPr>
            <w:tcW w:w="6520" w:type="dxa"/>
          </w:tcPr>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C93C9A" w:rsidRPr="00B67E98" w:rsidRDefault="009F323A">
            <w:pPr>
              <w:tabs>
                <w:tab w:val="left" w:pos="284"/>
              </w:tabs>
              <w:spacing w:line="360" w:lineRule="auto"/>
              <w:ind w:right="-787"/>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93C9A" w:rsidRPr="00B67E98" w:rsidRDefault="009F323A">
            <w:pPr>
              <w:tabs>
                <w:tab w:val="left" w:pos="284"/>
              </w:tabs>
              <w:spacing w:line="360" w:lineRule="auto"/>
              <w:ind w:right="-787"/>
              <w:rPr>
                <w:rFonts w:ascii="Palatino Linotype" w:eastAsia="Palatino Linotype" w:hAnsi="Palatino Linotype" w:cs="Palatino Linotype"/>
              </w:rPr>
            </w:pPr>
            <w:r w:rsidRPr="00B67E98">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93C9A" w:rsidRPr="00B67E98" w:rsidRDefault="00C93C9A">
      <w:pPr>
        <w:tabs>
          <w:tab w:val="left" w:pos="284"/>
        </w:tabs>
        <w:spacing w:line="360" w:lineRule="auto"/>
        <w:ind w:right="-787"/>
        <w:jc w:val="both"/>
        <w:rPr>
          <w:rFonts w:ascii="Palatino Linotype" w:eastAsia="Palatino Linotype" w:hAnsi="Palatino Linotype" w:cs="Palatino Linotype"/>
          <w:color w:val="000000"/>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numPr>
          <w:ilvl w:val="0"/>
          <w:numId w:val="4"/>
        </w:numPr>
        <w:spacing w:line="360" w:lineRule="auto"/>
        <w:ind w:left="0" w:right="-787" w:firstLine="0"/>
        <w:jc w:val="both"/>
        <w:rPr>
          <w:rFonts w:ascii="Palatino Linotype" w:eastAsia="Palatino Linotype" w:hAnsi="Palatino Linotype" w:cs="Palatino Linotype"/>
          <w:color w:val="000000"/>
        </w:rPr>
      </w:pPr>
      <w:r w:rsidRPr="00B67E98">
        <w:rPr>
          <w:rFonts w:ascii="Palatino Linotype" w:eastAsia="Palatino Linotype" w:hAnsi="Palatino Linotype" w:cs="Palatino Linotype"/>
        </w:rPr>
        <w:t>Por lo anteriormente expuesto, este Órgano Garante considera fundadas las razones o motivos de inconformidad que plantea el</w:t>
      </w:r>
      <w:r w:rsidRPr="00B67E98">
        <w:rPr>
          <w:rFonts w:ascii="Palatino Linotype" w:eastAsia="Palatino Linotype" w:hAnsi="Palatino Linotype" w:cs="Palatino Linotype"/>
          <w:b/>
        </w:rPr>
        <w:t xml:space="preserve"> RECURRENTE</w:t>
      </w:r>
      <w:r w:rsidRPr="00B67E98">
        <w:rPr>
          <w:rFonts w:ascii="Palatino Linotype" w:eastAsia="Palatino Linotype" w:hAnsi="Palatino Linotype" w:cs="Palatino Linotype"/>
        </w:rPr>
        <w:t xml:space="preserve">, determinando </w:t>
      </w:r>
      <w:r w:rsidRPr="00B67E98">
        <w:rPr>
          <w:rFonts w:ascii="Palatino Linotype" w:eastAsia="Palatino Linotype" w:hAnsi="Palatino Linotype" w:cs="Palatino Linotype"/>
          <w:b/>
        </w:rPr>
        <w:t>MODIFICAR</w:t>
      </w:r>
      <w:r w:rsidRPr="00B67E98">
        <w:rPr>
          <w:rFonts w:ascii="Palatino Linotype" w:eastAsia="Palatino Linotype" w:hAnsi="Palatino Linotype" w:cs="Palatino Linotype"/>
        </w:rPr>
        <w:t xml:space="preserve"> </w:t>
      </w:r>
      <w:r w:rsidRPr="00B67E98">
        <w:rPr>
          <w:rFonts w:ascii="Palatino Linotype" w:eastAsia="Palatino Linotype" w:hAnsi="Palatino Linotype" w:cs="Palatino Linotype"/>
        </w:rPr>
        <w:lastRenderedPageBreak/>
        <w:t xml:space="preserve">la respuesta del </w:t>
      </w:r>
      <w:r w:rsidRPr="00B67E98">
        <w:rPr>
          <w:rFonts w:ascii="Palatino Linotype" w:eastAsia="Palatino Linotype" w:hAnsi="Palatino Linotype" w:cs="Palatino Linotype"/>
          <w:b/>
        </w:rPr>
        <w:t>SUJETO OBLIGADO</w:t>
      </w:r>
      <w:r w:rsidRPr="00B67E98">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B67E98">
        <w:rPr>
          <w:rFonts w:ascii="Palatino Linotype" w:eastAsia="Palatino Linotype" w:hAnsi="Palatino Linotype" w:cs="Palatino Linotype"/>
          <w:color w:val="000000"/>
        </w:rPr>
        <w:t xml:space="preserve">este </w:t>
      </w:r>
      <w:r w:rsidRPr="00B67E98">
        <w:rPr>
          <w:rFonts w:ascii="Palatino Linotype" w:eastAsia="Palatino Linotype" w:hAnsi="Palatino Linotype" w:cs="Palatino Linotype"/>
          <w:b/>
          <w:color w:val="000000"/>
        </w:rPr>
        <w:t>ÓRGANO GARANTE</w:t>
      </w:r>
      <w:r w:rsidRPr="00B67E98">
        <w:rPr>
          <w:rFonts w:ascii="Palatino Linotype" w:eastAsia="Palatino Linotype" w:hAnsi="Palatino Linotype" w:cs="Palatino Linotype"/>
          <w:color w:val="000000"/>
        </w:rPr>
        <w:t xml:space="preserve"> emite los siguientes.</w:t>
      </w:r>
    </w:p>
    <w:p w:rsidR="00C93C9A" w:rsidRPr="00B67E98" w:rsidRDefault="00C93C9A">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rsidR="00C93C9A" w:rsidRPr="00B67E98" w:rsidRDefault="009F323A">
      <w:pPr>
        <w:pStyle w:val="Ttulo1"/>
        <w:spacing w:before="0" w:line="360" w:lineRule="auto"/>
        <w:ind w:right="-787"/>
        <w:jc w:val="center"/>
        <w:rPr>
          <w:rFonts w:ascii="Palatino Linotype" w:eastAsia="Palatino Linotype" w:hAnsi="Palatino Linotype" w:cs="Palatino Linotype"/>
          <w:b/>
          <w:color w:val="000000"/>
          <w:sz w:val="24"/>
          <w:szCs w:val="24"/>
        </w:rPr>
      </w:pPr>
      <w:r w:rsidRPr="00B67E98">
        <w:rPr>
          <w:rFonts w:ascii="Palatino Linotype" w:eastAsia="Palatino Linotype" w:hAnsi="Palatino Linotype" w:cs="Palatino Linotype"/>
          <w:b/>
          <w:color w:val="000000"/>
          <w:sz w:val="24"/>
          <w:szCs w:val="24"/>
        </w:rPr>
        <w:t>R E S O L U T I V O S</w:t>
      </w:r>
    </w:p>
    <w:p w:rsidR="00C93C9A" w:rsidRPr="00B67E98" w:rsidRDefault="00C93C9A">
      <w:pPr>
        <w:spacing w:line="360" w:lineRule="auto"/>
        <w:ind w:right="-787"/>
        <w:rPr>
          <w:rFonts w:ascii="Palatino Linotype" w:eastAsia="Palatino Linotype" w:hAnsi="Palatino Linotype" w:cs="Palatino Linotype"/>
        </w:rPr>
      </w:pPr>
    </w:p>
    <w:p w:rsidR="00C93C9A" w:rsidRPr="00B67E98" w:rsidRDefault="009F323A">
      <w:pPr>
        <w:spacing w:line="360" w:lineRule="auto"/>
        <w:ind w:right="-787"/>
        <w:jc w:val="both"/>
        <w:rPr>
          <w:rFonts w:ascii="Palatino Linotype" w:eastAsia="Palatino Linotype" w:hAnsi="Palatino Linotype" w:cs="Palatino Linotype"/>
        </w:rPr>
      </w:pPr>
      <w:r w:rsidRPr="00B67E98">
        <w:rPr>
          <w:rFonts w:ascii="Palatino Linotype" w:eastAsia="Palatino Linotype" w:hAnsi="Palatino Linotype" w:cs="Palatino Linotype"/>
          <w:b/>
        </w:rPr>
        <w:t>PRIMERO</w:t>
      </w:r>
      <w:r w:rsidRPr="00B67E98">
        <w:rPr>
          <w:rFonts w:ascii="Palatino Linotype" w:eastAsia="Palatino Linotype" w:hAnsi="Palatino Linotype" w:cs="Palatino Linotype"/>
        </w:rPr>
        <w:t xml:space="preserve">. Resultan fundadas las razones o motivos de inconformidad hechos valer en el Recurso de Revisión </w:t>
      </w:r>
      <w:r w:rsidRPr="00B67E98">
        <w:rPr>
          <w:rFonts w:ascii="Palatino Linotype" w:eastAsia="Palatino Linotype" w:hAnsi="Palatino Linotype" w:cs="Palatino Linotype"/>
          <w:b/>
        </w:rPr>
        <w:t xml:space="preserve">05808/INFOEM/IP/RR/2024, </w:t>
      </w:r>
      <w:r w:rsidRPr="00B67E98">
        <w:rPr>
          <w:rFonts w:ascii="Palatino Linotype" w:eastAsia="Palatino Linotype" w:hAnsi="Palatino Linotype" w:cs="Palatino Linotype"/>
        </w:rPr>
        <w:t xml:space="preserve">en términos de los  Considerandos </w:t>
      </w:r>
      <w:r w:rsidRPr="00B67E98">
        <w:rPr>
          <w:rFonts w:ascii="Palatino Linotype" w:eastAsia="Palatino Linotype" w:hAnsi="Palatino Linotype" w:cs="Palatino Linotype"/>
          <w:b/>
        </w:rPr>
        <w:t xml:space="preserve">Cuarto y Quinto </w:t>
      </w:r>
      <w:r w:rsidRPr="00B67E98">
        <w:rPr>
          <w:rFonts w:ascii="Palatino Linotype" w:eastAsia="Palatino Linotype" w:hAnsi="Palatino Linotype" w:cs="Palatino Linotype"/>
        </w:rPr>
        <w:t xml:space="preserve">de la presente resolución. </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spacing w:line="360" w:lineRule="auto"/>
        <w:ind w:right="-787"/>
        <w:jc w:val="both"/>
        <w:rPr>
          <w:rFonts w:ascii="Palatino Linotype" w:eastAsia="Palatino Linotype" w:hAnsi="Palatino Linotype" w:cs="Palatino Linotype"/>
          <w:b/>
          <w:color w:val="000000"/>
        </w:rPr>
      </w:pPr>
      <w:bookmarkStart w:id="16" w:name="_heading=h.z337ya" w:colFirst="0" w:colLast="0"/>
      <w:bookmarkEnd w:id="16"/>
      <w:r w:rsidRPr="00B67E98">
        <w:rPr>
          <w:rFonts w:ascii="Palatino Linotype" w:eastAsia="Palatino Linotype" w:hAnsi="Palatino Linotype" w:cs="Palatino Linotype"/>
          <w:b/>
        </w:rPr>
        <w:t xml:space="preserve">SEGUNDO. </w:t>
      </w:r>
      <w:r w:rsidRPr="00B67E98">
        <w:rPr>
          <w:rFonts w:ascii="Palatino Linotype" w:eastAsia="Palatino Linotype" w:hAnsi="Palatino Linotype" w:cs="Palatino Linotype"/>
          <w:color w:val="000000"/>
        </w:rPr>
        <w:t xml:space="preserve">Se </w:t>
      </w:r>
      <w:r w:rsidRPr="00B67E98">
        <w:rPr>
          <w:rFonts w:ascii="Palatino Linotype" w:eastAsia="Palatino Linotype" w:hAnsi="Palatino Linotype" w:cs="Palatino Linotype"/>
          <w:b/>
          <w:color w:val="000000"/>
        </w:rPr>
        <w:t xml:space="preserve">MODIFICA </w:t>
      </w:r>
      <w:r w:rsidR="00AF3A66" w:rsidRPr="00B67E98">
        <w:rPr>
          <w:rFonts w:ascii="Palatino Linotype" w:eastAsia="Palatino Linotype" w:hAnsi="Palatino Linotype" w:cs="Palatino Linotype"/>
          <w:color w:val="000000"/>
        </w:rPr>
        <w:t>la respuesta emitida por el</w:t>
      </w:r>
      <w:r w:rsidRPr="00B67E98">
        <w:rPr>
          <w:rFonts w:ascii="Palatino Linotype" w:eastAsia="Palatino Linotype" w:hAnsi="Palatino Linotype" w:cs="Palatino Linotype"/>
          <w:color w:val="000000"/>
        </w:rPr>
        <w:t xml:space="preserve"> </w:t>
      </w:r>
      <w:r w:rsidRPr="00B67E98">
        <w:rPr>
          <w:rFonts w:ascii="Palatino Linotype" w:eastAsia="Palatino Linotype" w:hAnsi="Palatino Linotype" w:cs="Palatino Linotype"/>
          <w:b/>
          <w:color w:val="000000"/>
        </w:rPr>
        <w:t xml:space="preserve">Ayuntamiento de Naucalpan de Juárez </w:t>
      </w:r>
      <w:r w:rsidRPr="00B67E98">
        <w:rPr>
          <w:rFonts w:ascii="Palatino Linotype" w:eastAsia="Palatino Linotype" w:hAnsi="Palatino Linotype" w:cs="Palatino Linotype"/>
          <w:color w:val="000000"/>
        </w:rPr>
        <w:t xml:space="preserve">y se </w:t>
      </w:r>
      <w:r w:rsidRPr="00B67E98">
        <w:rPr>
          <w:rFonts w:ascii="Palatino Linotype" w:eastAsia="Palatino Linotype" w:hAnsi="Palatino Linotype" w:cs="Palatino Linotype"/>
          <w:b/>
          <w:color w:val="000000"/>
        </w:rPr>
        <w:t>ORDENA</w:t>
      </w:r>
      <w:r w:rsidRPr="00B67E98">
        <w:rPr>
          <w:rFonts w:ascii="Palatino Linotype" w:eastAsia="Palatino Linotype" w:hAnsi="Palatino Linotype" w:cs="Palatino Linotype"/>
          <w:color w:val="000000"/>
        </w:rPr>
        <w:t xml:space="preserve"> entregar vía Sistema de Acceso a la Información Mexiquense </w:t>
      </w:r>
      <w:r w:rsidRPr="00B67E98">
        <w:rPr>
          <w:rFonts w:ascii="Palatino Linotype" w:eastAsia="Palatino Linotype" w:hAnsi="Palatino Linotype" w:cs="Palatino Linotype"/>
          <w:b/>
          <w:color w:val="000000"/>
        </w:rPr>
        <w:t>(SAIMEX)</w:t>
      </w:r>
      <w:r w:rsidR="008F46C4" w:rsidRPr="00B67E98">
        <w:rPr>
          <w:rFonts w:ascii="Palatino Linotype" w:eastAsia="Palatino Linotype" w:hAnsi="Palatino Linotype" w:cs="Palatino Linotype"/>
          <w:b/>
          <w:color w:val="000000"/>
        </w:rPr>
        <w:t xml:space="preserve"> </w:t>
      </w:r>
      <w:r w:rsidR="008F46C4" w:rsidRPr="00B67E98">
        <w:rPr>
          <w:rFonts w:ascii="Palatino Linotype" w:eastAsia="Palatino Linotype" w:hAnsi="Palatino Linotype" w:cs="Palatino Linotype"/>
          <w:color w:val="000000"/>
        </w:rPr>
        <w:t>y vía correo electrónico</w:t>
      </w:r>
      <w:r w:rsidRPr="00B67E98">
        <w:rPr>
          <w:rFonts w:ascii="Palatino Linotype" w:eastAsia="Palatino Linotype" w:hAnsi="Palatino Linotype" w:cs="Palatino Linotype"/>
          <w:color w:val="000000"/>
        </w:rPr>
        <w:t>, la siguiente información, en versión pública.</w:t>
      </w:r>
    </w:p>
    <w:p w:rsidR="00C93C9A" w:rsidRPr="00B67E98" w:rsidRDefault="00C93C9A">
      <w:pPr>
        <w:pBdr>
          <w:top w:val="nil"/>
          <w:left w:val="nil"/>
          <w:bottom w:val="nil"/>
          <w:right w:val="nil"/>
          <w:between w:val="nil"/>
        </w:pBdr>
        <w:ind w:left="426" w:right="-787"/>
        <w:jc w:val="both"/>
        <w:rPr>
          <w:rFonts w:ascii="Palatino Linotype" w:eastAsia="Palatino Linotype" w:hAnsi="Palatino Linotype" w:cs="Palatino Linotype"/>
          <w:b/>
        </w:rPr>
      </w:pPr>
    </w:p>
    <w:p w:rsidR="00C93C9A" w:rsidRPr="00B67E98" w:rsidRDefault="009F323A">
      <w:pPr>
        <w:numPr>
          <w:ilvl w:val="0"/>
          <w:numId w:val="3"/>
        </w:numPr>
        <w:pBdr>
          <w:top w:val="nil"/>
          <w:left w:val="nil"/>
          <w:bottom w:val="nil"/>
          <w:right w:val="nil"/>
          <w:between w:val="nil"/>
        </w:pBdr>
        <w:ind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Visor de Nómina por sueldos y Salarios y Visor de Nómina por asimilados del ejercicio fiscal 2021; </w:t>
      </w:r>
    </w:p>
    <w:p w:rsidR="00C93C9A" w:rsidRPr="00B67E98" w:rsidRDefault="00C93C9A">
      <w:pPr>
        <w:pBdr>
          <w:top w:val="nil"/>
          <w:left w:val="nil"/>
          <w:bottom w:val="nil"/>
          <w:right w:val="nil"/>
          <w:between w:val="nil"/>
        </w:pBdr>
        <w:ind w:left="1494" w:right="-787"/>
        <w:jc w:val="both"/>
        <w:rPr>
          <w:rFonts w:ascii="Palatino Linotype" w:eastAsia="Palatino Linotype" w:hAnsi="Palatino Linotype" w:cs="Palatino Linotype"/>
          <w:b/>
          <w:i/>
          <w:color w:val="000000"/>
        </w:rPr>
      </w:pPr>
    </w:p>
    <w:p w:rsidR="00C93C9A" w:rsidRPr="00B67E98" w:rsidRDefault="005C0C1C">
      <w:pPr>
        <w:numPr>
          <w:ilvl w:val="0"/>
          <w:numId w:val="3"/>
        </w:numPr>
        <w:pBdr>
          <w:top w:val="nil"/>
          <w:left w:val="nil"/>
          <w:bottom w:val="nil"/>
          <w:right w:val="nil"/>
          <w:between w:val="nil"/>
        </w:pBdr>
        <w:ind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Vista Anual Acumulada que dé cuenta del </w:t>
      </w:r>
      <w:r w:rsidR="008F46C4" w:rsidRPr="00B67E98">
        <w:rPr>
          <w:rFonts w:ascii="Palatino Linotype" w:eastAsia="Palatino Linotype" w:hAnsi="Palatino Linotype" w:cs="Palatino Linotype"/>
          <w:b/>
          <w:i/>
          <w:color w:val="000000"/>
        </w:rPr>
        <w:t>Impuesto Sobre la Renta</w:t>
      </w:r>
      <w:r w:rsidR="008F46C4" w:rsidRPr="00B67E98">
        <w:rPr>
          <w:rFonts w:ascii="Palatino Linotype" w:eastAsia="Palatino Linotype" w:hAnsi="Palatino Linotype" w:cs="Palatino Linotype"/>
          <w:b/>
          <w:i/>
          <w:color w:val="000000"/>
          <w:lang w:val="es-MX"/>
        </w:rPr>
        <w:t xml:space="preserve"> que se obtuvo en devolución </w:t>
      </w:r>
      <w:r w:rsidR="009F323A" w:rsidRPr="00B67E98">
        <w:rPr>
          <w:rFonts w:ascii="Palatino Linotype" w:eastAsia="Palatino Linotype" w:hAnsi="Palatino Linotype" w:cs="Palatino Linotype"/>
          <w:b/>
          <w:i/>
          <w:color w:val="000000"/>
        </w:rPr>
        <w:t xml:space="preserve">por la Secretaría de Finanzas (histórico), del ejercicio  fiscal 2020; </w:t>
      </w:r>
    </w:p>
    <w:p w:rsidR="00C93C9A" w:rsidRPr="00B67E98" w:rsidRDefault="00C93C9A">
      <w:pPr>
        <w:pBdr>
          <w:top w:val="nil"/>
          <w:left w:val="nil"/>
          <w:bottom w:val="nil"/>
          <w:right w:val="nil"/>
          <w:between w:val="nil"/>
        </w:pBdr>
        <w:ind w:left="720" w:right="-787"/>
        <w:rPr>
          <w:rFonts w:ascii="Palatino Linotype" w:eastAsia="Palatino Linotype" w:hAnsi="Palatino Linotype" w:cs="Palatino Linotype"/>
          <w:b/>
          <w:i/>
          <w:color w:val="000000"/>
        </w:rPr>
      </w:pPr>
    </w:p>
    <w:p w:rsidR="00C93C9A" w:rsidRPr="00B67E98" w:rsidRDefault="00C93C9A">
      <w:pPr>
        <w:pBdr>
          <w:top w:val="nil"/>
          <w:left w:val="nil"/>
          <w:bottom w:val="nil"/>
          <w:right w:val="nil"/>
          <w:between w:val="nil"/>
        </w:pBdr>
        <w:ind w:left="1494" w:right="-787"/>
        <w:jc w:val="both"/>
        <w:rPr>
          <w:rFonts w:ascii="Palatino Linotype" w:eastAsia="Palatino Linotype" w:hAnsi="Palatino Linotype" w:cs="Palatino Linotype"/>
          <w:b/>
          <w:i/>
          <w:color w:val="000000"/>
        </w:rPr>
      </w:pPr>
    </w:p>
    <w:p w:rsidR="00C93C9A" w:rsidRPr="00B67E98" w:rsidRDefault="005C0C1C">
      <w:pPr>
        <w:numPr>
          <w:ilvl w:val="0"/>
          <w:numId w:val="3"/>
        </w:numPr>
        <w:pBdr>
          <w:top w:val="nil"/>
          <w:left w:val="nil"/>
          <w:bottom w:val="nil"/>
          <w:right w:val="nil"/>
          <w:between w:val="nil"/>
        </w:pBdr>
        <w:ind w:right="-787"/>
        <w:jc w:val="both"/>
        <w:rPr>
          <w:rFonts w:ascii="Palatino Linotype" w:eastAsia="Palatino Linotype" w:hAnsi="Palatino Linotype" w:cs="Palatino Linotype"/>
          <w:b/>
          <w:i/>
          <w:color w:val="000000"/>
        </w:rPr>
      </w:pPr>
      <w:r w:rsidRPr="00B67E98">
        <w:rPr>
          <w:rFonts w:ascii="Palatino Linotype" w:eastAsia="Palatino Linotype" w:hAnsi="Palatino Linotype" w:cs="Palatino Linotype"/>
          <w:b/>
          <w:i/>
          <w:color w:val="000000"/>
        </w:rPr>
        <w:t xml:space="preserve">Vista Anual Acumulada que dé cuenta del </w:t>
      </w:r>
      <w:r w:rsidR="009F323A" w:rsidRPr="00B67E98">
        <w:rPr>
          <w:rFonts w:ascii="Palatino Linotype" w:eastAsia="Palatino Linotype" w:hAnsi="Palatino Linotype" w:cs="Palatino Linotype"/>
          <w:b/>
          <w:i/>
          <w:color w:val="000000"/>
        </w:rPr>
        <w:t xml:space="preserve">Impuesto Sobre la Renta </w:t>
      </w:r>
      <w:r w:rsidR="008F46C4" w:rsidRPr="00B67E98">
        <w:rPr>
          <w:rFonts w:ascii="Palatino Linotype" w:eastAsia="Palatino Linotype" w:hAnsi="Palatino Linotype" w:cs="Palatino Linotype"/>
          <w:b/>
          <w:i/>
          <w:color w:val="000000"/>
          <w:lang w:val="es-MX"/>
        </w:rPr>
        <w:t xml:space="preserve">que se obtuvo en devolución </w:t>
      </w:r>
      <w:r w:rsidR="009F323A" w:rsidRPr="00B67E98">
        <w:rPr>
          <w:rFonts w:ascii="Palatino Linotype" w:eastAsia="Palatino Linotype" w:hAnsi="Palatino Linotype" w:cs="Palatino Linotype"/>
          <w:b/>
          <w:i/>
          <w:color w:val="000000"/>
        </w:rPr>
        <w:t>por la Secretaría de Finanzas (histórico)</w:t>
      </w:r>
      <w:r w:rsidR="0083374E" w:rsidRPr="00B67E98">
        <w:rPr>
          <w:rFonts w:ascii="Palatino Linotype" w:eastAsia="Palatino Linotype" w:hAnsi="Palatino Linotype" w:cs="Palatino Linotype"/>
          <w:b/>
          <w:i/>
          <w:color w:val="000000"/>
        </w:rPr>
        <w:t xml:space="preserve"> de los ejercicios fiscales </w:t>
      </w:r>
      <w:r w:rsidR="009F323A" w:rsidRPr="00B67E98">
        <w:rPr>
          <w:rFonts w:ascii="Palatino Linotype" w:eastAsia="Palatino Linotype" w:hAnsi="Palatino Linotype" w:cs="Palatino Linotype"/>
          <w:b/>
          <w:i/>
          <w:color w:val="000000"/>
        </w:rPr>
        <w:t xml:space="preserve">2021, 2022, 2023 y del mes de enero al treinta de agosto de dos mil veinticuatro; </w:t>
      </w:r>
    </w:p>
    <w:p w:rsidR="00C93C9A" w:rsidRPr="00B67E98" w:rsidRDefault="00C93C9A">
      <w:pPr>
        <w:pBdr>
          <w:top w:val="nil"/>
          <w:left w:val="nil"/>
          <w:bottom w:val="nil"/>
          <w:right w:val="nil"/>
          <w:between w:val="nil"/>
        </w:pBdr>
        <w:ind w:left="1494" w:right="-787"/>
        <w:jc w:val="both"/>
        <w:rPr>
          <w:rFonts w:ascii="Palatino Linotype" w:eastAsia="Palatino Linotype" w:hAnsi="Palatino Linotype" w:cs="Palatino Linotype"/>
          <w:b/>
          <w:i/>
          <w:color w:val="000000"/>
        </w:rPr>
      </w:pPr>
    </w:p>
    <w:p w:rsidR="00C93C9A" w:rsidRPr="00B67E98" w:rsidRDefault="009F323A">
      <w:pPr>
        <w:numPr>
          <w:ilvl w:val="0"/>
          <w:numId w:val="3"/>
        </w:numPr>
        <w:pBdr>
          <w:top w:val="nil"/>
          <w:left w:val="nil"/>
          <w:bottom w:val="nil"/>
          <w:right w:val="nil"/>
          <w:between w:val="nil"/>
        </w:pBdr>
        <w:ind w:right="-787"/>
        <w:jc w:val="both"/>
        <w:rPr>
          <w:rFonts w:ascii="Palatino Linotype" w:eastAsia="Palatino Linotype" w:hAnsi="Palatino Linotype" w:cs="Palatino Linotype"/>
          <w:b/>
          <w:color w:val="000000"/>
        </w:rPr>
      </w:pPr>
      <w:r w:rsidRPr="00B67E98">
        <w:rPr>
          <w:rFonts w:ascii="Palatino Linotype" w:eastAsia="Palatino Linotype" w:hAnsi="Palatino Linotype" w:cs="Palatino Linotype"/>
          <w:b/>
          <w:i/>
          <w:color w:val="000000"/>
        </w:rPr>
        <w:t>Documento donde conste o se advierta el reporte emitido por la Secretaría de Finanzas  del Estado de México, que contenga el Impuesto Sobre la Renta que se obtuvo de devolución, de manera completa de los ejercicios fiscales 2015, 2016, 2019, 2022 y 2023; y</w:t>
      </w:r>
    </w:p>
    <w:p w:rsidR="00C93C9A" w:rsidRPr="00B67E98" w:rsidRDefault="00C93C9A">
      <w:pPr>
        <w:pBdr>
          <w:top w:val="nil"/>
          <w:left w:val="nil"/>
          <w:bottom w:val="nil"/>
          <w:right w:val="nil"/>
          <w:between w:val="nil"/>
        </w:pBdr>
        <w:ind w:left="720" w:right="-787"/>
        <w:rPr>
          <w:rFonts w:ascii="Palatino Linotype" w:eastAsia="Palatino Linotype" w:hAnsi="Palatino Linotype" w:cs="Palatino Linotype"/>
          <w:b/>
          <w:i/>
          <w:color w:val="000000"/>
        </w:rPr>
      </w:pPr>
    </w:p>
    <w:p w:rsidR="00C93C9A" w:rsidRPr="00B67E98" w:rsidRDefault="009F323A">
      <w:pPr>
        <w:numPr>
          <w:ilvl w:val="0"/>
          <w:numId w:val="3"/>
        </w:numPr>
        <w:pBdr>
          <w:top w:val="nil"/>
          <w:left w:val="nil"/>
          <w:bottom w:val="nil"/>
          <w:right w:val="nil"/>
          <w:between w:val="nil"/>
        </w:pBdr>
        <w:ind w:right="-787"/>
        <w:jc w:val="both"/>
        <w:rPr>
          <w:rFonts w:ascii="Palatino Linotype" w:eastAsia="Palatino Linotype" w:hAnsi="Palatino Linotype" w:cs="Palatino Linotype"/>
          <w:b/>
          <w:color w:val="000000"/>
        </w:rPr>
      </w:pPr>
      <w:r w:rsidRPr="00B67E98">
        <w:rPr>
          <w:rFonts w:ascii="Palatino Linotype" w:eastAsia="Palatino Linotype" w:hAnsi="Palatino Linotype" w:cs="Palatino Linotype"/>
          <w:b/>
          <w:i/>
          <w:color w:val="000000"/>
        </w:rPr>
        <w:t>Reporte emitido por el software de contabilidad gubernamental en el que se pueda apreciar el control del saldo pendiente de recuperar del ISR participable, al treinta de agosto de dos mil veinticuatro</w:t>
      </w:r>
    </w:p>
    <w:p w:rsidR="00C93C9A" w:rsidRPr="00B67E98" w:rsidRDefault="00C93C9A">
      <w:pPr>
        <w:pBdr>
          <w:top w:val="nil"/>
          <w:left w:val="nil"/>
          <w:bottom w:val="nil"/>
          <w:right w:val="nil"/>
          <w:between w:val="nil"/>
        </w:pBdr>
        <w:ind w:left="720" w:right="-787"/>
        <w:rPr>
          <w:rFonts w:ascii="Palatino Linotype" w:eastAsia="Palatino Linotype" w:hAnsi="Palatino Linotype" w:cs="Palatino Linotype"/>
          <w:b/>
          <w:i/>
          <w:color w:val="000000"/>
        </w:rPr>
      </w:pPr>
    </w:p>
    <w:p w:rsidR="00C93C9A" w:rsidRPr="00B67E98" w:rsidRDefault="00C93C9A">
      <w:pPr>
        <w:tabs>
          <w:tab w:val="left" w:pos="8080"/>
        </w:tabs>
        <w:spacing w:line="360" w:lineRule="auto"/>
        <w:ind w:right="-787"/>
        <w:jc w:val="both"/>
        <w:rPr>
          <w:rFonts w:ascii="Palatino Linotype" w:eastAsia="Palatino Linotype" w:hAnsi="Palatino Linotype" w:cs="Palatino Linotype"/>
          <w:b/>
          <w:color w:val="000000"/>
        </w:rPr>
      </w:pPr>
    </w:p>
    <w:p w:rsidR="00C93C9A" w:rsidRPr="00B67E98" w:rsidRDefault="009F323A">
      <w:pPr>
        <w:tabs>
          <w:tab w:val="left" w:pos="8080"/>
        </w:tabs>
        <w:spacing w:line="360" w:lineRule="auto"/>
        <w:ind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B67E98">
        <w:rPr>
          <w:rFonts w:ascii="Palatino Linotype" w:eastAsia="Palatino Linotype" w:hAnsi="Palatino Linotype" w:cs="Palatino Linotype"/>
          <w:b/>
        </w:rPr>
        <w:t>RECURRENTE.</w:t>
      </w:r>
    </w:p>
    <w:p w:rsidR="00C93C9A" w:rsidRPr="00B67E98" w:rsidRDefault="00C93C9A">
      <w:pPr>
        <w:tabs>
          <w:tab w:val="left" w:pos="8080"/>
        </w:tabs>
        <w:spacing w:line="360" w:lineRule="auto"/>
        <w:ind w:right="-787"/>
        <w:jc w:val="both"/>
        <w:rPr>
          <w:rFonts w:ascii="Palatino Linotype" w:eastAsia="Palatino Linotype" w:hAnsi="Palatino Linotype" w:cs="Palatino Linotype"/>
          <w:b/>
        </w:rPr>
      </w:pPr>
    </w:p>
    <w:p w:rsidR="00C93C9A" w:rsidRPr="00B67E98" w:rsidRDefault="009F323A">
      <w:pPr>
        <w:tabs>
          <w:tab w:val="left" w:pos="8080"/>
        </w:tabs>
        <w:spacing w:line="360" w:lineRule="auto"/>
        <w:ind w:right="-787"/>
        <w:jc w:val="both"/>
        <w:rPr>
          <w:rFonts w:ascii="Palatino Linotype" w:eastAsia="Palatino Linotype" w:hAnsi="Palatino Linotype" w:cs="Palatino Linotype"/>
        </w:rPr>
      </w:pPr>
      <w:r w:rsidRPr="00B67E98">
        <w:rPr>
          <w:rFonts w:ascii="Palatino Linotype" w:eastAsia="Palatino Linotype" w:hAnsi="Palatino Linotype" w:cs="Palatino Linotype"/>
        </w:rPr>
        <w:t xml:space="preserve">De ser el caso que la información que se ordena en el inciso e) no obre en los archivos del </w:t>
      </w:r>
      <w:r w:rsidRPr="00B67E98">
        <w:rPr>
          <w:rFonts w:ascii="Palatino Linotype" w:eastAsia="Palatino Linotype" w:hAnsi="Palatino Linotype" w:cs="Palatino Linotype"/>
          <w:b/>
        </w:rPr>
        <w:t xml:space="preserve">SUJETO OBLIGADO </w:t>
      </w:r>
      <w:r w:rsidRPr="00B67E98">
        <w:rPr>
          <w:rFonts w:ascii="Palatino Linotype" w:eastAsia="Palatino Linotype" w:hAnsi="Palatino Linotype" w:cs="Palatino Linotype"/>
        </w:rPr>
        <w:t xml:space="preserve">por haberse generado, poseído o administrado, bastará con que lo haga del conocimiento del </w:t>
      </w:r>
      <w:r w:rsidRPr="00B67E98">
        <w:rPr>
          <w:rFonts w:ascii="Palatino Linotype" w:eastAsia="Palatino Linotype" w:hAnsi="Palatino Linotype" w:cs="Palatino Linotype"/>
          <w:b/>
        </w:rPr>
        <w:t xml:space="preserve">RECURRENTE </w:t>
      </w:r>
      <w:r w:rsidRPr="00B67E98">
        <w:rPr>
          <w:rFonts w:ascii="Palatino Linotype" w:eastAsia="Palatino Linotype" w:hAnsi="Palatino Linotype" w:cs="Palatino Linotype"/>
        </w:rPr>
        <w:t>de conformidad con el artículo 19</w:t>
      </w:r>
      <w:r w:rsidR="00AF3A66" w:rsidRPr="00B67E98">
        <w:rPr>
          <w:rFonts w:ascii="Palatino Linotype" w:eastAsia="Palatino Linotype" w:hAnsi="Palatino Linotype" w:cs="Palatino Linotype"/>
        </w:rPr>
        <w:t>,</w:t>
      </w:r>
      <w:r w:rsidRPr="00B67E98">
        <w:rPr>
          <w:rFonts w:ascii="Palatino Linotype" w:eastAsia="Palatino Linotype" w:hAnsi="Palatino Linotype" w:cs="Palatino Linotype"/>
        </w:rPr>
        <w:t xml:space="preserve"> párrafo segundo de la Ley de Transparencia y Acceso a la Información Pública del Estado de México y Municipios. </w:t>
      </w:r>
    </w:p>
    <w:p w:rsidR="00C93C9A" w:rsidRPr="00B67E98" w:rsidRDefault="00C93C9A">
      <w:pPr>
        <w:tabs>
          <w:tab w:val="left" w:pos="8080"/>
        </w:tabs>
        <w:spacing w:line="360" w:lineRule="auto"/>
        <w:ind w:right="-787"/>
        <w:jc w:val="both"/>
        <w:rPr>
          <w:rFonts w:ascii="Palatino Linotype" w:eastAsia="Palatino Linotype" w:hAnsi="Palatino Linotype" w:cs="Palatino Linotype"/>
        </w:rPr>
      </w:pPr>
    </w:p>
    <w:p w:rsidR="00C93C9A" w:rsidRPr="00B67E98" w:rsidRDefault="009F323A">
      <w:pPr>
        <w:tabs>
          <w:tab w:val="left" w:pos="8080"/>
        </w:tabs>
        <w:spacing w:line="360" w:lineRule="auto"/>
        <w:ind w:right="-787"/>
        <w:jc w:val="both"/>
        <w:rPr>
          <w:rFonts w:ascii="Palatino Linotype" w:eastAsia="Palatino Linotype" w:hAnsi="Palatino Linotype" w:cs="Palatino Linotype"/>
          <w:color w:val="222222"/>
        </w:rPr>
      </w:pPr>
      <w:r w:rsidRPr="00B67E98">
        <w:rPr>
          <w:rFonts w:ascii="Palatino Linotype" w:eastAsia="Palatino Linotype" w:hAnsi="Palatino Linotype" w:cs="Palatino Linotype"/>
          <w:b/>
        </w:rPr>
        <w:t xml:space="preserve">TERCERO. </w:t>
      </w:r>
      <w:r w:rsidRPr="00B67E98">
        <w:rPr>
          <w:rFonts w:ascii="Palatino Linotype" w:eastAsia="Palatino Linotype" w:hAnsi="Palatino Linotype" w:cs="Palatino Linotype"/>
          <w:b/>
          <w:color w:val="222222"/>
        </w:rPr>
        <w:t xml:space="preserve">NOTIFÍQUESE </w:t>
      </w:r>
      <w:r w:rsidRPr="00B67E98">
        <w:rPr>
          <w:rFonts w:ascii="Palatino Linotype" w:eastAsia="Palatino Linotype" w:hAnsi="Palatino Linotype" w:cs="Palatino Linotype"/>
          <w:color w:val="222222"/>
        </w:rPr>
        <w:t>la presente resolución al Titular de la Unidad de Transparencia del Sujeto Obligado vía SAIMEX, para que conforme al artículo 186</w:t>
      </w:r>
      <w:r w:rsidR="00AF3A66" w:rsidRPr="00B67E98">
        <w:rPr>
          <w:rFonts w:ascii="Palatino Linotype" w:eastAsia="Palatino Linotype" w:hAnsi="Palatino Linotype" w:cs="Palatino Linotype"/>
          <w:color w:val="222222"/>
        </w:rPr>
        <w:t>,</w:t>
      </w:r>
      <w:r w:rsidRPr="00B67E98">
        <w:rPr>
          <w:rFonts w:ascii="Palatino Linotype" w:eastAsia="Palatino Linotype" w:hAnsi="Palatino Linotype" w:cs="Palatino Linotype"/>
          <w:color w:val="222222"/>
        </w:rPr>
        <w:t xml:space="preserve"> último párrafo, 189</w:t>
      </w:r>
      <w:r w:rsidR="00AF3A66" w:rsidRPr="00B67E98">
        <w:rPr>
          <w:rFonts w:ascii="Palatino Linotype" w:eastAsia="Palatino Linotype" w:hAnsi="Palatino Linotype" w:cs="Palatino Linotype"/>
          <w:color w:val="222222"/>
        </w:rPr>
        <w:t>,</w:t>
      </w:r>
      <w:r w:rsidRPr="00B67E98">
        <w:rPr>
          <w:rFonts w:ascii="Palatino Linotype" w:eastAsia="Palatino Linotype" w:hAnsi="Palatino Linotype" w:cs="Palatino Linotype"/>
          <w:color w:val="222222"/>
        </w:rPr>
        <w:t xml:space="preserve"> segundo párrafo y 194</w:t>
      </w:r>
      <w:r w:rsidR="00AF3A66" w:rsidRPr="00B67E98">
        <w:rPr>
          <w:rFonts w:ascii="Palatino Linotype" w:eastAsia="Palatino Linotype" w:hAnsi="Palatino Linotype" w:cs="Palatino Linotype"/>
          <w:color w:val="222222"/>
        </w:rPr>
        <w:t>,</w:t>
      </w:r>
      <w:r w:rsidRPr="00B67E98">
        <w:rPr>
          <w:rFonts w:ascii="Palatino Linotype" w:eastAsia="Palatino Linotype" w:hAnsi="Palatino Linotype" w:cs="Palatino Linotype"/>
          <w:color w:val="222222"/>
        </w:rPr>
        <w:t xml:space="preserve"> de la Ley de Transparencia y Acceso a la Información Pública del </w:t>
      </w:r>
      <w:r w:rsidRPr="00B67E98">
        <w:rPr>
          <w:rFonts w:ascii="Palatino Linotype" w:eastAsia="Palatino Linotype" w:hAnsi="Palatino Linotype" w:cs="Palatino Linotype"/>
          <w:color w:val="222222"/>
        </w:rPr>
        <w:lastRenderedPageBreak/>
        <w:t>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93C9A" w:rsidRPr="00B67E98" w:rsidRDefault="00C93C9A">
      <w:pPr>
        <w:tabs>
          <w:tab w:val="left" w:pos="8080"/>
        </w:tabs>
        <w:spacing w:line="360" w:lineRule="auto"/>
        <w:ind w:right="-787"/>
        <w:jc w:val="both"/>
        <w:rPr>
          <w:rFonts w:ascii="Palatino Linotype" w:eastAsia="Palatino Linotype" w:hAnsi="Palatino Linotype" w:cs="Palatino Linotype"/>
        </w:rPr>
      </w:pPr>
    </w:p>
    <w:p w:rsidR="00C93C9A" w:rsidRPr="00B67E98" w:rsidRDefault="009F323A">
      <w:pPr>
        <w:spacing w:line="360" w:lineRule="auto"/>
        <w:ind w:right="-787"/>
        <w:jc w:val="both"/>
        <w:rPr>
          <w:rFonts w:ascii="Palatino Linotype" w:eastAsia="Palatino Linotype" w:hAnsi="Palatino Linotype" w:cs="Palatino Linotype"/>
        </w:rPr>
      </w:pPr>
      <w:r w:rsidRPr="00B67E98">
        <w:rPr>
          <w:rFonts w:ascii="Palatino Linotype" w:eastAsia="Palatino Linotype" w:hAnsi="Palatino Linotype" w:cs="Palatino Linotype"/>
          <w:b/>
        </w:rPr>
        <w:t xml:space="preserve">CUARTO. </w:t>
      </w:r>
      <w:r w:rsidRPr="00B67E9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67E98">
        <w:rPr>
          <w:rFonts w:ascii="Palatino Linotype" w:eastAsia="Palatino Linotype" w:hAnsi="Palatino Linotype" w:cs="Palatino Linotype"/>
          <w:b/>
        </w:rPr>
        <w:t>SUJETO OBLIGADO</w:t>
      </w:r>
      <w:r w:rsidRPr="00B67E98">
        <w:rPr>
          <w:rFonts w:ascii="Palatino Linotype" w:eastAsia="Palatino Linotype" w:hAnsi="Palatino Linotype" w:cs="Palatino Linotype"/>
        </w:rPr>
        <w:t xml:space="preserve"> de manera fundada y motivada, podrá solicitar una ampliación de plazo para el cumplimiento de la presente resolución.</w:t>
      </w:r>
    </w:p>
    <w:p w:rsidR="00C93C9A" w:rsidRPr="00B67E98" w:rsidRDefault="00C93C9A">
      <w:pPr>
        <w:spacing w:line="360" w:lineRule="auto"/>
        <w:ind w:right="-787"/>
        <w:jc w:val="both"/>
        <w:rPr>
          <w:rFonts w:ascii="Palatino Linotype" w:eastAsia="Palatino Linotype" w:hAnsi="Palatino Linotype" w:cs="Palatino Linotype"/>
        </w:rPr>
      </w:pPr>
    </w:p>
    <w:p w:rsidR="00C93C9A" w:rsidRPr="00B67E98" w:rsidRDefault="009F323A">
      <w:pPr>
        <w:tabs>
          <w:tab w:val="left" w:pos="8080"/>
        </w:tabs>
        <w:spacing w:line="360" w:lineRule="auto"/>
        <w:ind w:right="-787"/>
        <w:jc w:val="both"/>
        <w:rPr>
          <w:rFonts w:ascii="Palatino Linotype" w:eastAsia="Palatino Linotype" w:hAnsi="Palatino Linotype" w:cs="Palatino Linotype"/>
        </w:rPr>
      </w:pPr>
      <w:bookmarkStart w:id="17" w:name="_heading=h.1y810tw" w:colFirst="0" w:colLast="0"/>
      <w:bookmarkEnd w:id="17"/>
      <w:r w:rsidRPr="00B67E98">
        <w:rPr>
          <w:rFonts w:ascii="Palatino Linotype" w:eastAsia="Palatino Linotype" w:hAnsi="Palatino Linotype" w:cs="Palatino Linotype"/>
          <w:b/>
        </w:rPr>
        <w:t xml:space="preserve">QUINTO. </w:t>
      </w:r>
      <w:r w:rsidRPr="00B67E98">
        <w:rPr>
          <w:rFonts w:ascii="Palatino Linotype" w:eastAsia="Palatino Linotype" w:hAnsi="Palatino Linotype" w:cs="Palatino Linotype"/>
        </w:rPr>
        <w:t xml:space="preserve">Notifíquese a </w:t>
      </w:r>
      <w:r w:rsidRPr="00B67E98">
        <w:rPr>
          <w:rFonts w:ascii="Palatino Linotype" w:eastAsia="Palatino Linotype" w:hAnsi="Palatino Linotype" w:cs="Palatino Linotype"/>
          <w:b/>
        </w:rPr>
        <w:t>EL RECURRENTE</w:t>
      </w:r>
      <w:r w:rsidRPr="00B67E98">
        <w:rPr>
          <w:rFonts w:ascii="Palatino Linotype" w:eastAsia="Palatino Linotype" w:hAnsi="Palatino Linotype" w:cs="Palatino Linotype"/>
        </w:rPr>
        <w:t xml:space="preserve"> la presente resolución, vía SAIMEX</w:t>
      </w:r>
      <w:r w:rsidR="008F46C4" w:rsidRPr="00B67E98">
        <w:rPr>
          <w:rFonts w:ascii="Palatino Linotype" w:eastAsia="Palatino Linotype" w:hAnsi="Palatino Linotype" w:cs="Palatino Linotype"/>
        </w:rPr>
        <w:t xml:space="preserve"> y vía correo electrónico</w:t>
      </w:r>
      <w:r w:rsidRPr="00B67E98">
        <w:rPr>
          <w:rFonts w:ascii="Palatino Linotype" w:eastAsia="Palatino Linotype" w:hAnsi="Palatino Linotype" w:cs="Palatino Linotype"/>
        </w:rPr>
        <w:t>.</w:t>
      </w:r>
    </w:p>
    <w:p w:rsidR="00C93C9A" w:rsidRPr="00B67E98" w:rsidRDefault="00C93C9A">
      <w:pPr>
        <w:tabs>
          <w:tab w:val="left" w:pos="8080"/>
        </w:tabs>
        <w:spacing w:line="360" w:lineRule="auto"/>
        <w:ind w:right="-787"/>
        <w:jc w:val="both"/>
        <w:rPr>
          <w:rFonts w:ascii="Palatino Linotype" w:eastAsia="Palatino Linotype" w:hAnsi="Palatino Linotype" w:cs="Palatino Linotype"/>
        </w:rPr>
      </w:pPr>
    </w:p>
    <w:p w:rsidR="00C93C9A" w:rsidRPr="00B67E98" w:rsidRDefault="009F323A">
      <w:pPr>
        <w:shd w:val="clear" w:color="auto" w:fill="FFFFFF"/>
        <w:spacing w:line="360" w:lineRule="auto"/>
        <w:ind w:right="-787"/>
        <w:jc w:val="both"/>
        <w:rPr>
          <w:rFonts w:ascii="Palatino Linotype" w:eastAsia="Palatino Linotype" w:hAnsi="Palatino Linotype" w:cs="Palatino Linotype"/>
        </w:rPr>
      </w:pPr>
      <w:r w:rsidRPr="00B67E98">
        <w:rPr>
          <w:rFonts w:ascii="Palatino Linotype" w:eastAsia="Palatino Linotype" w:hAnsi="Palatino Linotype" w:cs="Palatino Linotype"/>
          <w:b/>
        </w:rPr>
        <w:t>SEXTO.</w:t>
      </w:r>
      <w:r w:rsidRPr="00B67E98">
        <w:rPr>
          <w:rFonts w:ascii="Palatino Linotype" w:eastAsia="Palatino Linotype" w:hAnsi="Palatino Linotype" w:cs="Palatino Linotype"/>
        </w:rPr>
        <w:t xml:space="preserve"> Se hace del conocimiento de </w:t>
      </w:r>
      <w:r w:rsidRPr="00B67E98">
        <w:rPr>
          <w:rFonts w:ascii="Palatino Linotype" w:eastAsia="Palatino Linotype" w:hAnsi="Palatino Linotype" w:cs="Palatino Linotype"/>
          <w:b/>
        </w:rPr>
        <w:t>EL RECURRENTE</w:t>
      </w:r>
      <w:r w:rsidRPr="00B67E98">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C93C9A" w:rsidRPr="00B67E98" w:rsidRDefault="00C93C9A">
      <w:pPr>
        <w:shd w:val="clear" w:color="auto" w:fill="FFFFFF"/>
        <w:spacing w:line="360" w:lineRule="auto"/>
        <w:ind w:right="-787"/>
        <w:jc w:val="both"/>
        <w:rPr>
          <w:rFonts w:ascii="Palatino Linotype" w:eastAsia="Palatino Linotype" w:hAnsi="Palatino Linotype" w:cs="Palatino Linotype"/>
        </w:rPr>
      </w:pPr>
    </w:p>
    <w:p w:rsidR="00AF3A66" w:rsidRPr="003C7186" w:rsidRDefault="00AF3A66" w:rsidP="00AF3A66">
      <w:pPr>
        <w:spacing w:line="360" w:lineRule="auto"/>
        <w:ind w:left="-142" w:right="-801" w:firstLine="1"/>
        <w:jc w:val="both"/>
        <w:rPr>
          <w:rFonts w:ascii="Palatino Linotype" w:hAnsi="Palatino Linotype"/>
        </w:rPr>
      </w:pPr>
      <w:r w:rsidRPr="00B67E98">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Pr="00B67E98">
        <w:rPr>
          <w:rFonts w:ascii="Palatino Linotype" w:hAnsi="Palatino Linotype"/>
        </w:rPr>
        <w:lastRenderedPageBreak/>
        <w:t>SHARON CRISTINA MORALES MARTÍNEZ; LUIS GUSTAVO PARRA NORIEGA Y GUADALUPE RAMÍREZ PEÑA; EN LA QUINTA SESIÓN ORDINARIA CELEBRADA EL DOCE (12) DE FEBRERO DE DOS MIL VEINTICINCO, ANTE EL SECRETARIO TÉCNICO DEL PLENO ALEXIS TAPIA RAMÍREZ.</w:t>
      </w:r>
      <w:r w:rsidRPr="003C7186">
        <w:rPr>
          <w:rFonts w:ascii="Palatino Linotype" w:hAnsi="Palatino Linotype"/>
        </w:rPr>
        <w:t xml:space="preserve"> </w:t>
      </w:r>
    </w:p>
    <w:p w:rsidR="00C93C9A" w:rsidRDefault="00C93C9A" w:rsidP="00AF3A66">
      <w:pPr>
        <w:spacing w:line="360" w:lineRule="auto"/>
        <w:ind w:right="-801"/>
        <w:rPr>
          <w:rFonts w:ascii="Palatino Linotype" w:eastAsia="Palatino Linotype" w:hAnsi="Palatino Linotype" w:cs="Palatino Linotype"/>
        </w:rPr>
      </w:pPr>
    </w:p>
    <w:p w:rsidR="00C93C9A" w:rsidRDefault="00C93C9A" w:rsidP="00AF3A66">
      <w:pPr>
        <w:spacing w:line="360" w:lineRule="auto"/>
        <w:ind w:right="-801"/>
        <w:rPr>
          <w:rFonts w:ascii="Palatino Linotype" w:eastAsia="Palatino Linotype" w:hAnsi="Palatino Linotype" w:cs="Palatino Linotype"/>
        </w:rPr>
      </w:pPr>
    </w:p>
    <w:p w:rsidR="00C93C9A" w:rsidRDefault="00C93C9A" w:rsidP="00AF3A66">
      <w:pPr>
        <w:spacing w:line="360" w:lineRule="auto"/>
        <w:ind w:right="-801"/>
        <w:rPr>
          <w:rFonts w:ascii="Palatino Linotype" w:eastAsia="Palatino Linotype" w:hAnsi="Palatino Linotype" w:cs="Palatino Linotype"/>
        </w:rPr>
      </w:pPr>
    </w:p>
    <w:p w:rsidR="00C93C9A" w:rsidRDefault="00C93C9A">
      <w:pPr>
        <w:spacing w:line="360" w:lineRule="auto"/>
        <w:ind w:right="-787"/>
        <w:rPr>
          <w:rFonts w:ascii="Palatino Linotype" w:eastAsia="Palatino Linotype" w:hAnsi="Palatino Linotype" w:cs="Palatino Linotype"/>
        </w:rPr>
      </w:pPr>
    </w:p>
    <w:p w:rsidR="00C93C9A" w:rsidRDefault="00C93C9A">
      <w:pPr>
        <w:spacing w:line="360" w:lineRule="auto"/>
        <w:ind w:right="-787"/>
        <w:rPr>
          <w:rFonts w:ascii="Palatino Linotype" w:eastAsia="Palatino Linotype" w:hAnsi="Palatino Linotype" w:cs="Palatino Linotype"/>
        </w:rPr>
      </w:pPr>
    </w:p>
    <w:p w:rsidR="00C93C9A" w:rsidRDefault="00C93C9A">
      <w:pPr>
        <w:spacing w:line="360" w:lineRule="auto"/>
        <w:ind w:right="-787"/>
        <w:rPr>
          <w:rFonts w:ascii="Palatino Linotype" w:eastAsia="Palatino Linotype" w:hAnsi="Palatino Linotype" w:cs="Palatino Linotype"/>
        </w:rPr>
      </w:pPr>
    </w:p>
    <w:p w:rsidR="00C93C9A" w:rsidRDefault="009F323A">
      <w:pPr>
        <w:tabs>
          <w:tab w:val="left" w:pos="3374"/>
        </w:tabs>
        <w:spacing w:line="360" w:lineRule="auto"/>
        <w:ind w:right="-787"/>
        <w:rPr>
          <w:rFonts w:ascii="Palatino Linotype" w:eastAsia="Palatino Linotype" w:hAnsi="Palatino Linotype" w:cs="Palatino Linotype"/>
        </w:rPr>
      </w:pPr>
      <w:r>
        <w:rPr>
          <w:rFonts w:ascii="Palatino Linotype" w:eastAsia="Palatino Linotype" w:hAnsi="Palatino Linotype" w:cs="Palatino Linotype"/>
        </w:rPr>
        <w:tab/>
      </w: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tabs>
          <w:tab w:val="left" w:pos="3374"/>
        </w:tabs>
        <w:spacing w:line="360" w:lineRule="auto"/>
        <w:ind w:right="-787"/>
        <w:rPr>
          <w:rFonts w:ascii="Palatino Linotype" w:eastAsia="Palatino Linotype" w:hAnsi="Palatino Linotype" w:cs="Palatino Linotype"/>
        </w:rPr>
      </w:pPr>
    </w:p>
    <w:p w:rsidR="00C93C9A" w:rsidRDefault="00C93C9A">
      <w:pPr>
        <w:ind w:right="-787"/>
      </w:pPr>
    </w:p>
    <w:p w:rsidR="00C93C9A" w:rsidRDefault="00C93C9A">
      <w:pPr>
        <w:ind w:right="-787"/>
      </w:pPr>
    </w:p>
    <w:p w:rsidR="00C93C9A" w:rsidRDefault="00C93C9A">
      <w:pPr>
        <w:ind w:right="-787"/>
      </w:pPr>
    </w:p>
    <w:p w:rsidR="00C93C9A" w:rsidRDefault="00C93C9A">
      <w:pPr>
        <w:ind w:right="-787"/>
      </w:pPr>
    </w:p>
    <w:p w:rsidR="00C93C9A" w:rsidRDefault="009F323A">
      <w:pPr>
        <w:ind w:right="-787"/>
      </w:pPr>
      <w:r>
        <w:tab/>
      </w:r>
    </w:p>
    <w:p w:rsidR="00C93C9A" w:rsidRDefault="00C93C9A">
      <w:pPr>
        <w:ind w:right="-787"/>
      </w:pPr>
    </w:p>
    <w:p w:rsidR="00C93C9A" w:rsidRDefault="00C93C9A">
      <w:pPr>
        <w:ind w:right="-787"/>
      </w:pPr>
    </w:p>
    <w:p w:rsidR="00C93C9A" w:rsidRDefault="00C93C9A">
      <w:pPr>
        <w:ind w:right="-787"/>
      </w:pPr>
    </w:p>
    <w:p w:rsidR="00C93C9A" w:rsidRDefault="00C93C9A">
      <w:pPr>
        <w:ind w:right="-787"/>
      </w:pPr>
    </w:p>
    <w:sectPr w:rsidR="00C93C9A">
      <w:headerReference w:type="even" r:id="rId33"/>
      <w:headerReference w:type="default" r:id="rId34"/>
      <w:footerReference w:type="default" r:id="rId35"/>
      <w:headerReference w:type="first" r:id="rId36"/>
      <w:footerReference w:type="first" r:id="rId37"/>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4C0" w:rsidRDefault="00C474C0">
      <w:r>
        <w:separator/>
      </w:r>
    </w:p>
  </w:endnote>
  <w:endnote w:type="continuationSeparator" w:id="0">
    <w:p w:rsidR="00C474C0" w:rsidRDefault="00C47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23A" w:rsidRDefault="009F323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3979C9">
      <w:rPr>
        <w:rFonts w:ascii="Palatino Linotype" w:eastAsia="Palatino Linotype" w:hAnsi="Palatino Linotype" w:cs="Palatino Linotype"/>
        <w:noProof/>
        <w:color w:val="000000"/>
        <w:sz w:val="20"/>
        <w:szCs w:val="20"/>
      </w:rPr>
      <w:t>51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3979C9">
      <w:rPr>
        <w:rFonts w:ascii="Palatino Linotype" w:eastAsia="Palatino Linotype" w:hAnsi="Palatino Linotype" w:cs="Palatino Linotype"/>
        <w:noProof/>
        <w:color w:val="000000"/>
        <w:sz w:val="20"/>
        <w:szCs w:val="20"/>
      </w:rPr>
      <w:t>52</w:t>
    </w:r>
    <w:r>
      <w:rPr>
        <w:rFonts w:ascii="Palatino Linotype" w:eastAsia="Palatino Linotype" w:hAnsi="Palatino Linotype" w:cs="Palatino Linotype"/>
        <w:color w:val="000000"/>
        <w:sz w:val="20"/>
        <w:szCs w:val="20"/>
      </w:rPr>
      <w:fldChar w:fldCharType="end"/>
    </w:r>
  </w:p>
  <w:p w:rsidR="009F323A" w:rsidRDefault="009F323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23A" w:rsidRDefault="009F323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3979C9">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3979C9">
      <w:rPr>
        <w:rFonts w:ascii="Palatino Linotype" w:eastAsia="Palatino Linotype" w:hAnsi="Palatino Linotype" w:cs="Palatino Linotype"/>
        <w:noProof/>
        <w:color w:val="000000"/>
        <w:sz w:val="20"/>
        <w:szCs w:val="20"/>
      </w:rPr>
      <w:t>52</w:t>
    </w:r>
    <w:r>
      <w:rPr>
        <w:rFonts w:ascii="Palatino Linotype" w:eastAsia="Palatino Linotype" w:hAnsi="Palatino Linotype" w:cs="Palatino Linotype"/>
        <w:color w:val="000000"/>
        <w:sz w:val="20"/>
        <w:szCs w:val="20"/>
      </w:rPr>
      <w:fldChar w:fldCharType="end"/>
    </w:r>
  </w:p>
  <w:p w:rsidR="009F323A" w:rsidRDefault="009F323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4C0" w:rsidRDefault="00C474C0">
      <w:r>
        <w:separator/>
      </w:r>
    </w:p>
  </w:footnote>
  <w:footnote w:type="continuationSeparator" w:id="0">
    <w:p w:rsidR="00C474C0" w:rsidRDefault="00C474C0">
      <w:r>
        <w:continuationSeparator/>
      </w:r>
    </w:p>
  </w:footnote>
  <w:footnote w:id="1">
    <w:p w:rsidR="009F323A" w:rsidRDefault="009F323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9F323A" w:rsidRDefault="009F323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9F323A" w:rsidRDefault="009F323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9F323A" w:rsidRDefault="009F323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23A" w:rsidRDefault="00C474C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23A" w:rsidRDefault="009F323A">
    <w:pPr>
      <w:widowControl w:val="0"/>
      <w:pBdr>
        <w:top w:val="nil"/>
        <w:left w:val="nil"/>
        <w:bottom w:val="nil"/>
        <w:right w:val="nil"/>
        <w:between w:val="nil"/>
      </w:pBdr>
      <w:spacing w:line="276" w:lineRule="auto"/>
      <w:rPr>
        <w:color w:val="000000"/>
      </w:rPr>
    </w:pPr>
  </w:p>
  <w:tbl>
    <w:tblPr>
      <w:tblStyle w:val="a1"/>
      <w:tblW w:w="6519" w:type="dxa"/>
      <w:tblInd w:w="2694" w:type="dxa"/>
      <w:tblLayout w:type="fixed"/>
      <w:tblLook w:val="0400" w:firstRow="0" w:lastRow="0" w:firstColumn="0" w:lastColumn="0" w:noHBand="0" w:noVBand="1"/>
    </w:tblPr>
    <w:tblGrid>
      <w:gridCol w:w="2976"/>
      <w:gridCol w:w="3543"/>
    </w:tblGrid>
    <w:tr w:rsidR="009F323A">
      <w:trPr>
        <w:trHeight w:val="227"/>
      </w:trPr>
      <w:tc>
        <w:tcPr>
          <w:tcW w:w="2976" w:type="dxa"/>
          <w:vAlign w:val="center"/>
        </w:tcPr>
        <w:p w:rsidR="009F323A" w:rsidRDefault="009F323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rsidR="009F323A" w:rsidRDefault="009F323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05808/INFOEM/IP/RR/2024</w:t>
          </w:r>
        </w:p>
      </w:tc>
    </w:tr>
    <w:tr w:rsidR="009F323A">
      <w:trPr>
        <w:trHeight w:val="242"/>
      </w:trPr>
      <w:tc>
        <w:tcPr>
          <w:tcW w:w="2976" w:type="dxa"/>
          <w:vAlign w:val="center"/>
        </w:tcPr>
        <w:p w:rsidR="009F323A" w:rsidRDefault="009F323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rsidR="009F323A" w:rsidRDefault="009F323A">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Ayuntamiento de Naucalpan de Juárez</w:t>
          </w:r>
        </w:p>
      </w:tc>
    </w:tr>
    <w:tr w:rsidR="009F323A">
      <w:trPr>
        <w:trHeight w:val="342"/>
      </w:trPr>
      <w:tc>
        <w:tcPr>
          <w:tcW w:w="2976" w:type="dxa"/>
          <w:vAlign w:val="center"/>
        </w:tcPr>
        <w:p w:rsidR="009F323A" w:rsidRDefault="009F323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rsidR="009F323A" w:rsidRDefault="009F323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rsidR="009F323A" w:rsidRDefault="00C474C0">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23A" w:rsidRDefault="009F323A">
    <w:pPr>
      <w:widowControl w:val="0"/>
      <w:pBdr>
        <w:top w:val="nil"/>
        <w:left w:val="nil"/>
        <w:bottom w:val="nil"/>
        <w:right w:val="nil"/>
        <w:between w:val="nil"/>
      </w:pBdr>
      <w:spacing w:line="276" w:lineRule="auto"/>
      <w:rPr>
        <w:color w:val="000000"/>
        <w:sz w:val="14"/>
        <w:szCs w:val="14"/>
      </w:rPr>
    </w:pPr>
  </w:p>
  <w:tbl>
    <w:tblPr>
      <w:tblStyle w:val="a2"/>
      <w:tblW w:w="6660" w:type="dxa"/>
      <w:tblInd w:w="2552" w:type="dxa"/>
      <w:tblLayout w:type="fixed"/>
      <w:tblLook w:val="0400" w:firstRow="0" w:lastRow="0" w:firstColumn="0" w:lastColumn="0" w:noHBand="0" w:noVBand="1"/>
    </w:tblPr>
    <w:tblGrid>
      <w:gridCol w:w="2977"/>
      <w:gridCol w:w="3683"/>
    </w:tblGrid>
    <w:tr w:rsidR="009F323A">
      <w:trPr>
        <w:trHeight w:val="227"/>
      </w:trPr>
      <w:tc>
        <w:tcPr>
          <w:tcW w:w="2977" w:type="dxa"/>
          <w:vAlign w:val="center"/>
        </w:tcPr>
        <w:p w:rsidR="009F323A" w:rsidRDefault="009F323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rsidR="009F323A" w:rsidRDefault="009F323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05808/INFOEM/IP/RR/2024</w:t>
          </w:r>
        </w:p>
      </w:tc>
    </w:tr>
    <w:tr w:rsidR="009F323A">
      <w:trPr>
        <w:trHeight w:val="242"/>
      </w:trPr>
      <w:tc>
        <w:tcPr>
          <w:tcW w:w="2977" w:type="dxa"/>
          <w:vAlign w:val="center"/>
        </w:tcPr>
        <w:p w:rsidR="009F323A" w:rsidRDefault="009F323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rsidR="009F323A" w:rsidRDefault="003979C9">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sz w:val="22"/>
              <w:szCs w:val="22"/>
              <w:highlight w:val="green"/>
            </w:rPr>
          </w:pPr>
          <w:r>
            <w:rPr>
              <w:rFonts w:ascii="Palatino Linotype" w:eastAsia="Palatino Linotype" w:hAnsi="Palatino Linotype" w:cs="Palatino Linotype"/>
              <w:b/>
              <w:sz w:val="22"/>
              <w:szCs w:val="22"/>
            </w:rPr>
            <w:t>XXXXXXXXX</w:t>
          </w:r>
        </w:p>
      </w:tc>
    </w:tr>
    <w:tr w:rsidR="009F323A">
      <w:trPr>
        <w:trHeight w:val="342"/>
      </w:trPr>
      <w:tc>
        <w:tcPr>
          <w:tcW w:w="2977" w:type="dxa"/>
          <w:vAlign w:val="center"/>
        </w:tcPr>
        <w:p w:rsidR="009F323A" w:rsidRDefault="009F323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rsidR="009F323A" w:rsidRDefault="009F323A">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Ayuntamiento de Naucalpan de Juárez</w:t>
          </w:r>
        </w:p>
      </w:tc>
    </w:tr>
    <w:tr w:rsidR="009F323A">
      <w:trPr>
        <w:trHeight w:val="342"/>
      </w:trPr>
      <w:tc>
        <w:tcPr>
          <w:tcW w:w="2977" w:type="dxa"/>
          <w:vAlign w:val="center"/>
        </w:tcPr>
        <w:p w:rsidR="009F323A" w:rsidRDefault="009F323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rsidR="009F323A" w:rsidRDefault="009F323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rsidR="009F323A" w:rsidRDefault="00C474C0">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A3669"/>
    <w:multiLevelType w:val="multilevel"/>
    <w:tmpl w:val="5428F32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372140"/>
    <w:multiLevelType w:val="multilevel"/>
    <w:tmpl w:val="78AE4F7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7911165"/>
    <w:multiLevelType w:val="multilevel"/>
    <w:tmpl w:val="EAC8BBBC"/>
    <w:lvl w:ilvl="0">
      <w:start w:val="1"/>
      <w:numFmt w:val="upperLetter"/>
      <w:lvlText w:val="%1)"/>
      <w:lvlJc w:val="left"/>
      <w:pPr>
        <w:ind w:left="1931" w:hanging="36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3" w15:restartNumberingAfterBreak="0">
    <w:nsid w:val="3B4F7A19"/>
    <w:multiLevelType w:val="multilevel"/>
    <w:tmpl w:val="C3726CC8"/>
    <w:lvl w:ilvl="0">
      <w:start w:val="1"/>
      <w:numFmt w:val="upperLetter"/>
      <w:lvlText w:val="%1)"/>
      <w:lvlJc w:val="left"/>
      <w:pPr>
        <w:ind w:left="1931" w:hanging="36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4" w15:restartNumberingAfterBreak="0">
    <w:nsid w:val="45B03A87"/>
    <w:multiLevelType w:val="multilevel"/>
    <w:tmpl w:val="11C8959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FE76E49"/>
    <w:multiLevelType w:val="multilevel"/>
    <w:tmpl w:val="51D6FB8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64154CB5"/>
    <w:multiLevelType w:val="multilevel"/>
    <w:tmpl w:val="0E5EA44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68E258E"/>
    <w:multiLevelType w:val="multilevel"/>
    <w:tmpl w:val="E9923DA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A981A3E"/>
    <w:multiLevelType w:val="multilevel"/>
    <w:tmpl w:val="01A46E02"/>
    <w:lvl w:ilvl="0">
      <w:start w:val="1"/>
      <w:numFmt w:val="lowerLetter"/>
      <w:lvlText w:val="%1)"/>
      <w:lvlJc w:val="left"/>
      <w:pPr>
        <w:ind w:left="1494" w:hanging="360"/>
      </w:pPr>
      <w:rPr>
        <w:i w:val="0"/>
        <w:color w:val="00000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0"/>
  </w:num>
  <w:num w:numId="2">
    <w:abstractNumId w:val="3"/>
  </w:num>
  <w:num w:numId="3">
    <w:abstractNumId w:val="8"/>
  </w:num>
  <w:num w:numId="4">
    <w:abstractNumId w:val="7"/>
  </w:num>
  <w:num w:numId="5">
    <w:abstractNumId w:val="4"/>
  </w:num>
  <w:num w:numId="6">
    <w:abstractNumId w:val="5"/>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C9A"/>
    <w:rsid w:val="000A177D"/>
    <w:rsid w:val="001F0EFC"/>
    <w:rsid w:val="00312378"/>
    <w:rsid w:val="003979C9"/>
    <w:rsid w:val="00596D15"/>
    <w:rsid w:val="005C0C1C"/>
    <w:rsid w:val="00622BE1"/>
    <w:rsid w:val="0071596E"/>
    <w:rsid w:val="0083374E"/>
    <w:rsid w:val="008B12E2"/>
    <w:rsid w:val="008E0289"/>
    <w:rsid w:val="008F46C4"/>
    <w:rsid w:val="0092674E"/>
    <w:rsid w:val="009F323A"/>
    <w:rsid w:val="00AF3A66"/>
    <w:rsid w:val="00B67E98"/>
    <w:rsid w:val="00BD2303"/>
    <w:rsid w:val="00C474C0"/>
    <w:rsid w:val="00C93C9A"/>
    <w:rsid w:val="00D47D3E"/>
    <w:rsid w:val="00F346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56D513B-4FB4-4AE1-BCC3-124E98945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04A"/>
    <w:rPr>
      <w:rFonts w:eastAsiaTheme="minorEastAsia"/>
      <w:lang w:eastAsia="es-ES"/>
    </w:rPr>
  </w:style>
  <w:style w:type="paragraph" w:styleId="Ttulo1">
    <w:name w:val="heading 1"/>
    <w:basedOn w:val="Normal"/>
    <w:next w:val="Normal"/>
    <w:link w:val="Ttulo1Car"/>
    <w:uiPriority w:val="9"/>
    <w:qFormat/>
    <w:rsid w:val="00DB304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DB304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DB304A"/>
    <w:rPr>
      <w:rFonts w:asciiTheme="majorHAnsi" w:eastAsiaTheme="majorEastAsia" w:hAnsiTheme="majorHAnsi" w:cstheme="majorBidi"/>
      <w:color w:val="2E74B5" w:themeColor="accent1" w:themeShade="BF"/>
      <w:sz w:val="40"/>
      <w:szCs w:val="40"/>
      <w:lang w:val="es-ES_tradnl" w:eastAsia="es-ES"/>
    </w:rPr>
  </w:style>
  <w:style w:type="character" w:customStyle="1" w:styleId="Ttulo2Car">
    <w:name w:val="Título 2 Car"/>
    <w:basedOn w:val="Fuentedeprrafopredeter"/>
    <w:link w:val="Ttulo2"/>
    <w:uiPriority w:val="9"/>
    <w:rsid w:val="00DB304A"/>
    <w:rPr>
      <w:rFonts w:asciiTheme="majorHAnsi" w:eastAsiaTheme="majorEastAsia" w:hAnsiTheme="majorHAnsi" w:cstheme="majorBidi"/>
      <w:color w:val="2E74B5" w:themeColor="accent1" w:themeShade="BF"/>
      <w:sz w:val="32"/>
      <w:szCs w:val="32"/>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04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B304A"/>
    <w:rPr>
      <w:rFonts w:ascii="Calibri" w:eastAsiaTheme="minorEastAsia" w:hAnsi="Calibri" w:cs="Calibri"/>
      <w:sz w:val="24"/>
      <w:szCs w:val="24"/>
      <w:lang w:val="es-ES_tradnl" w:eastAsia="es-ES"/>
    </w:rPr>
  </w:style>
  <w:style w:type="paragraph" w:styleId="Piedepgina">
    <w:name w:val="footer"/>
    <w:basedOn w:val="Normal"/>
    <w:link w:val="PiedepginaCar"/>
    <w:uiPriority w:val="99"/>
    <w:unhideWhenUsed/>
    <w:rsid w:val="00DB304A"/>
    <w:pPr>
      <w:tabs>
        <w:tab w:val="center" w:pos="4419"/>
        <w:tab w:val="right" w:pos="8838"/>
      </w:tabs>
    </w:pPr>
  </w:style>
  <w:style w:type="character" w:customStyle="1" w:styleId="PiedepginaCar">
    <w:name w:val="Pie de página Car"/>
    <w:basedOn w:val="Fuentedeprrafopredeter"/>
    <w:link w:val="Piedepgina"/>
    <w:uiPriority w:val="99"/>
    <w:rsid w:val="00DB304A"/>
    <w:rPr>
      <w:rFonts w:ascii="Calibri" w:eastAsiaTheme="minorEastAsia" w:hAnsi="Calibri" w:cs="Calibri"/>
      <w:sz w:val="24"/>
      <w:szCs w:val="24"/>
      <w:lang w:val="es-ES_tradnl" w:eastAsia="es-ES"/>
    </w:rPr>
  </w:style>
  <w:style w:type="table" w:styleId="Tablaconcuadrcula">
    <w:name w:val="Table Grid"/>
    <w:basedOn w:val="Tablanormal"/>
    <w:uiPriority w:val="39"/>
    <w:rsid w:val="00EA0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C2709D"/>
    <w:pPr>
      <w:numPr>
        <w:numId w:val="9"/>
      </w:numPr>
      <w:contextualSpacing/>
    </w:pPr>
    <w:rPr>
      <w:rFonts w:ascii="Times New Roman" w:eastAsia="Times New Roman" w:hAnsi="Times New Roman" w:cs="Times New Roman"/>
      <w:lang w:val="es-ES"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28.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sfpya.edomexico.gob.mx/participacion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9mDIGqxNj9fM2egkqbruneyOtg==">CgMxLjAyCGguZ2pkZ3hzMgloLjMwajB6bGwyCWguMWZvYjl0ZTIJaC4zem55c2g3MgloLjJldDkycDAyCGgudHlqY3d0MgloLjNkeTZ2a20yCWguMXQzaDVzZjIJaC40ZDM0b2c4MgloLjJzOGV5bzEyCWguMTdkcDh2dTIJaC4zcmRjcmpuMgloLjI2aW4xcmcyCGgubG54Yno5MgloLjM1bmt1bjIyCGguejMzN3lhMgloLjF5ODEwdHc4AHIhMWN3ektvdnhlT25hNi1uUmpyc2lqaXY4ZnpFRmtSTV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52</Pages>
  <Words>10760</Words>
  <Characters>59182</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69803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INFOEM403</cp:lastModifiedBy>
  <cp:revision>6</cp:revision>
  <cp:lastPrinted>2025-02-13T16:23:00Z</cp:lastPrinted>
  <dcterms:created xsi:type="dcterms:W3CDTF">2025-02-11T01:56:00Z</dcterms:created>
  <dcterms:modified xsi:type="dcterms:W3CDTF">2025-03-25T21:04:00Z</dcterms:modified>
</cp:coreProperties>
</file>