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BC4DCB" w:rsidRDefault="00AE3DA7" w:rsidP="00141876">
          <w:pPr>
            <w:pStyle w:val="TtulodeTDC"/>
            <w:spacing w:before="0" w:line="240" w:lineRule="auto"/>
            <w:rPr>
              <w:rFonts w:ascii="Palatino Linotype" w:hAnsi="Palatino Linotype"/>
              <w:sz w:val="24"/>
              <w:szCs w:val="24"/>
              <w:lang w:val="es-ES"/>
            </w:rPr>
          </w:pPr>
          <w:r w:rsidRPr="00BC4DCB">
            <w:rPr>
              <w:rFonts w:ascii="Palatino Linotype" w:hAnsi="Palatino Linotype"/>
              <w:sz w:val="24"/>
              <w:szCs w:val="24"/>
              <w:lang w:val="es-ES"/>
            </w:rPr>
            <w:t>Contenido</w:t>
          </w:r>
        </w:p>
        <w:p w14:paraId="3EB312A7" w14:textId="77777777" w:rsidR="00AA6EA9" w:rsidRPr="00BC4DCB" w:rsidRDefault="00AA6EA9" w:rsidP="00141876">
          <w:pPr>
            <w:spacing w:line="240" w:lineRule="auto"/>
            <w:rPr>
              <w:sz w:val="16"/>
              <w:szCs w:val="16"/>
              <w:lang w:val="es-ES" w:eastAsia="es-MX"/>
            </w:rPr>
          </w:pPr>
        </w:p>
        <w:p w14:paraId="0C548713" w14:textId="3344B18C" w:rsidR="00BF6114" w:rsidRPr="00BC4DCB" w:rsidRDefault="00AE3DA7">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r w:rsidRPr="00BC4DCB">
            <w:rPr>
              <w:sz w:val="16"/>
              <w:szCs w:val="16"/>
            </w:rPr>
            <w:fldChar w:fldCharType="begin"/>
          </w:r>
          <w:r w:rsidRPr="00BC4DCB">
            <w:rPr>
              <w:sz w:val="16"/>
              <w:szCs w:val="16"/>
            </w:rPr>
            <w:instrText xml:space="preserve"> TOC \o "1-3" \h \z \u </w:instrText>
          </w:r>
          <w:r w:rsidRPr="00BC4DCB">
            <w:rPr>
              <w:sz w:val="16"/>
              <w:szCs w:val="16"/>
            </w:rPr>
            <w:fldChar w:fldCharType="separate"/>
          </w:r>
          <w:hyperlink w:anchor="_Toc213867972" w:history="1">
            <w:r w:rsidR="00BF6114" w:rsidRPr="00BC4DCB">
              <w:rPr>
                <w:rStyle w:val="Hipervnculo"/>
                <w:noProof/>
              </w:rPr>
              <w:t>ANTECEDENTES</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_Toc213867972 \h </w:instrText>
            </w:r>
            <w:r w:rsidR="00BF6114" w:rsidRPr="00BC4DCB">
              <w:rPr>
                <w:noProof/>
                <w:webHidden/>
              </w:rPr>
            </w:r>
            <w:r w:rsidR="00BF6114" w:rsidRPr="00BC4DCB">
              <w:rPr>
                <w:noProof/>
                <w:webHidden/>
              </w:rPr>
              <w:fldChar w:fldCharType="separate"/>
            </w:r>
            <w:r w:rsidR="00BC4DCB">
              <w:rPr>
                <w:noProof/>
                <w:webHidden/>
              </w:rPr>
              <w:t>1</w:t>
            </w:r>
            <w:r w:rsidR="00BF6114" w:rsidRPr="00BC4DCB">
              <w:rPr>
                <w:noProof/>
                <w:webHidden/>
              </w:rPr>
              <w:fldChar w:fldCharType="end"/>
            </w:r>
          </w:hyperlink>
        </w:p>
        <w:p w14:paraId="21CEAAB6" w14:textId="0143B030" w:rsidR="00BF6114" w:rsidRPr="00BC4DCB" w:rsidRDefault="0079416B">
          <w:pPr>
            <w:pStyle w:val="TDC2"/>
            <w:rPr>
              <w:rFonts w:asciiTheme="minorHAnsi" w:eastAsiaTheme="minorEastAsia" w:hAnsiTheme="minorHAnsi" w:cstheme="minorBidi"/>
              <w:noProof/>
              <w:kern w:val="2"/>
              <w:sz w:val="24"/>
              <w:szCs w:val="24"/>
              <w:lang w:eastAsia="es-MX"/>
              <w14:ligatures w14:val="standardContextual"/>
            </w:rPr>
          </w:pPr>
          <w:hyperlink w:anchor="_Toc213867973" w:history="1">
            <w:r w:rsidR="00BF6114" w:rsidRPr="00BC4DCB">
              <w:rPr>
                <w:rStyle w:val="Hipervnculo"/>
                <w:noProof/>
              </w:rPr>
              <w:t>DE LA SOLICITUD DE INFORMACIÓN</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_Toc213867973 \h </w:instrText>
            </w:r>
            <w:r w:rsidR="00BF6114" w:rsidRPr="00BC4DCB">
              <w:rPr>
                <w:noProof/>
                <w:webHidden/>
              </w:rPr>
            </w:r>
            <w:r w:rsidR="00BF6114" w:rsidRPr="00BC4DCB">
              <w:rPr>
                <w:noProof/>
                <w:webHidden/>
              </w:rPr>
              <w:fldChar w:fldCharType="separate"/>
            </w:r>
            <w:r w:rsidR="00BC4DCB">
              <w:rPr>
                <w:noProof/>
                <w:webHidden/>
              </w:rPr>
              <w:t>1</w:t>
            </w:r>
            <w:r w:rsidR="00BF6114" w:rsidRPr="00BC4DCB">
              <w:rPr>
                <w:noProof/>
                <w:webHidden/>
              </w:rPr>
              <w:fldChar w:fldCharType="end"/>
            </w:r>
          </w:hyperlink>
        </w:p>
        <w:p w14:paraId="1077D48C" w14:textId="2C796521"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74" w:history="1">
            <w:r w:rsidR="00BF6114" w:rsidRPr="00BC4DCB">
              <w:rPr>
                <w:rStyle w:val="Hipervnculo"/>
                <w:noProof/>
              </w:rPr>
              <w:t>a) Solicitud de información</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_Toc213867974 \h </w:instrText>
            </w:r>
            <w:r w:rsidR="00BF6114" w:rsidRPr="00BC4DCB">
              <w:rPr>
                <w:noProof/>
                <w:webHidden/>
              </w:rPr>
            </w:r>
            <w:r w:rsidR="00BF6114" w:rsidRPr="00BC4DCB">
              <w:rPr>
                <w:noProof/>
                <w:webHidden/>
              </w:rPr>
              <w:fldChar w:fldCharType="separate"/>
            </w:r>
            <w:r w:rsidR="00BC4DCB">
              <w:rPr>
                <w:noProof/>
                <w:webHidden/>
              </w:rPr>
              <w:t>1</w:t>
            </w:r>
            <w:r w:rsidR="00BF6114" w:rsidRPr="00BC4DCB">
              <w:rPr>
                <w:noProof/>
                <w:webHidden/>
              </w:rPr>
              <w:fldChar w:fldCharType="end"/>
            </w:r>
          </w:hyperlink>
        </w:p>
        <w:p w14:paraId="6021BCD3" w14:textId="7AA532C0"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75" w:history="1">
            <w:r w:rsidR="00BF6114" w:rsidRPr="00BC4DCB">
              <w:rPr>
                <w:rStyle w:val="Hipervnculo"/>
                <w:noProof/>
              </w:rPr>
              <w:t>b) Turno de la solicitud de información</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_Toc213867975 \h </w:instrText>
            </w:r>
            <w:r w:rsidR="00BF6114" w:rsidRPr="00BC4DCB">
              <w:rPr>
                <w:noProof/>
                <w:webHidden/>
              </w:rPr>
            </w:r>
            <w:r w:rsidR="00BF6114" w:rsidRPr="00BC4DCB">
              <w:rPr>
                <w:noProof/>
                <w:webHidden/>
              </w:rPr>
              <w:fldChar w:fldCharType="separate"/>
            </w:r>
            <w:r w:rsidR="00BC4DCB">
              <w:rPr>
                <w:noProof/>
                <w:webHidden/>
              </w:rPr>
              <w:t>2</w:t>
            </w:r>
            <w:r w:rsidR="00BF6114" w:rsidRPr="00BC4DCB">
              <w:rPr>
                <w:noProof/>
                <w:webHidden/>
              </w:rPr>
              <w:fldChar w:fldCharType="end"/>
            </w:r>
          </w:hyperlink>
        </w:p>
        <w:p w14:paraId="0955CCD0" w14:textId="3996B3B4"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76" w:history="1">
            <w:r w:rsidR="00BF6114" w:rsidRPr="00BC4DCB">
              <w:rPr>
                <w:rStyle w:val="Hipervnculo"/>
                <w:noProof/>
              </w:rPr>
              <w:t>c) Prórroga</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_Toc213867976 \h </w:instrText>
            </w:r>
            <w:r w:rsidR="00BF6114" w:rsidRPr="00BC4DCB">
              <w:rPr>
                <w:noProof/>
                <w:webHidden/>
              </w:rPr>
            </w:r>
            <w:r w:rsidR="00BF6114" w:rsidRPr="00BC4DCB">
              <w:rPr>
                <w:noProof/>
                <w:webHidden/>
              </w:rPr>
              <w:fldChar w:fldCharType="separate"/>
            </w:r>
            <w:r w:rsidR="00BC4DCB">
              <w:rPr>
                <w:noProof/>
                <w:webHidden/>
              </w:rPr>
              <w:t>2</w:t>
            </w:r>
            <w:r w:rsidR="00BF6114" w:rsidRPr="00BC4DCB">
              <w:rPr>
                <w:noProof/>
                <w:webHidden/>
              </w:rPr>
              <w:fldChar w:fldCharType="end"/>
            </w:r>
          </w:hyperlink>
        </w:p>
        <w:p w14:paraId="3B9EF917" w14:textId="69AEEBB7"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77" w:history="1">
            <w:r w:rsidR="00BF6114" w:rsidRPr="00BC4DCB">
              <w:rPr>
                <w:rStyle w:val="Hipervnculo"/>
                <w:noProof/>
                <w:lang w:val="es-ES"/>
              </w:rPr>
              <w:t xml:space="preserve">d) Respuesta </w:t>
            </w:r>
            <w:r w:rsidR="00BF6114" w:rsidRPr="00BC4DCB">
              <w:rPr>
                <w:rStyle w:val="Hipervnculo"/>
                <w:rFonts w:eastAsia="Calibri"/>
                <w:noProof/>
                <w:lang w:eastAsia="en-US"/>
              </w:rPr>
              <w:t>del Sujeto Obligado</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_Toc213867977 \h </w:instrText>
            </w:r>
            <w:r w:rsidR="00BF6114" w:rsidRPr="00BC4DCB">
              <w:rPr>
                <w:noProof/>
                <w:webHidden/>
              </w:rPr>
            </w:r>
            <w:r w:rsidR="00BF6114" w:rsidRPr="00BC4DCB">
              <w:rPr>
                <w:noProof/>
                <w:webHidden/>
              </w:rPr>
              <w:fldChar w:fldCharType="separate"/>
            </w:r>
            <w:r w:rsidR="00BC4DCB">
              <w:rPr>
                <w:noProof/>
                <w:webHidden/>
              </w:rPr>
              <w:t>2</w:t>
            </w:r>
            <w:r w:rsidR="00BF6114" w:rsidRPr="00BC4DCB">
              <w:rPr>
                <w:noProof/>
                <w:webHidden/>
              </w:rPr>
              <w:fldChar w:fldCharType="end"/>
            </w:r>
          </w:hyperlink>
        </w:p>
        <w:p w14:paraId="5CC6C3AA" w14:textId="6721DEE1" w:rsidR="00BF6114" w:rsidRPr="00BC4DCB" w:rsidRDefault="0079416B">
          <w:pPr>
            <w:pStyle w:val="TDC2"/>
            <w:rPr>
              <w:rFonts w:asciiTheme="minorHAnsi" w:eastAsiaTheme="minorEastAsia" w:hAnsiTheme="minorHAnsi" w:cstheme="minorBidi"/>
              <w:noProof/>
              <w:kern w:val="2"/>
              <w:sz w:val="24"/>
              <w:szCs w:val="24"/>
              <w:lang w:eastAsia="es-MX"/>
              <w14:ligatures w14:val="standardContextual"/>
            </w:rPr>
          </w:pPr>
          <w:hyperlink w:anchor="_Toc213867978" w:history="1">
            <w:r w:rsidR="00BF6114" w:rsidRPr="00BC4DCB">
              <w:rPr>
                <w:rStyle w:val="Hipervnculo"/>
                <w:noProof/>
              </w:rPr>
              <w:t>DEL RECURSO DE REVISIÓN</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_Toc213867978 \h </w:instrText>
            </w:r>
            <w:r w:rsidR="00BF6114" w:rsidRPr="00BC4DCB">
              <w:rPr>
                <w:noProof/>
                <w:webHidden/>
              </w:rPr>
            </w:r>
            <w:r w:rsidR="00BF6114" w:rsidRPr="00BC4DCB">
              <w:rPr>
                <w:noProof/>
                <w:webHidden/>
              </w:rPr>
              <w:fldChar w:fldCharType="separate"/>
            </w:r>
            <w:r w:rsidR="00BC4DCB">
              <w:rPr>
                <w:noProof/>
                <w:webHidden/>
              </w:rPr>
              <w:t>3</w:t>
            </w:r>
            <w:r w:rsidR="00BF6114" w:rsidRPr="00BC4DCB">
              <w:rPr>
                <w:noProof/>
                <w:webHidden/>
              </w:rPr>
              <w:fldChar w:fldCharType="end"/>
            </w:r>
          </w:hyperlink>
        </w:p>
        <w:p w14:paraId="504D4891" w14:textId="05274B5E"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79" w:history="1">
            <w:r w:rsidR="00BF6114" w:rsidRPr="00BC4DCB">
              <w:rPr>
                <w:rStyle w:val="Hipervnculo"/>
                <w:noProof/>
              </w:rPr>
              <w:t>a) Interposición del Recurso de Revisión</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_Toc213867979 \h </w:instrText>
            </w:r>
            <w:r w:rsidR="00BF6114" w:rsidRPr="00BC4DCB">
              <w:rPr>
                <w:noProof/>
                <w:webHidden/>
              </w:rPr>
            </w:r>
            <w:r w:rsidR="00BF6114" w:rsidRPr="00BC4DCB">
              <w:rPr>
                <w:noProof/>
                <w:webHidden/>
              </w:rPr>
              <w:fldChar w:fldCharType="separate"/>
            </w:r>
            <w:r w:rsidR="00BC4DCB">
              <w:rPr>
                <w:noProof/>
                <w:webHidden/>
              </w:rPr>
              <w:t>3</w:t>
            </w:r>
            <w:r w:rsidR="00BF6114" w:rsidRPr="00BC4DCB">
              <w:rPr>
                <w:noProof/>
                <w:webHidden/>
              </w:rPr>
              <w:fldChar w:fldCharType="end"/>
            </w:r>
          </w:hyperlink>
        </w:p>
        <w:p w14:paraId="3FE5CD86" w14:textId="7047FB4C"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80" w:history="1">
            <w:r w:rsidR="00BF6114" w:rsidRPr="00BC4DCB">
              <w:rPr>
                <w:rStyle w:val="Hipervnculo"/>
                <w:noProof/>
              </w:rPr>
              <w:t>b) Turno del Recurso de Revisión</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_Toc213867980 \h </w:instrText>
            </w:r>
            <w:r w:rsidR="00BF6114" w:rsidRPr="00BC4DCB">
              <w:rPr>
                <w:noProof/>
                <w:webHidden/>
              </w:rPr>
            </w:r>
            <w:r w:rsidR="00BF6114" w:rsidRPr="00BC4DCB">
              <w:rPr>
                <w:noProof/>
                <w:webHidden/>
              </w:rPr>
              <w:fldChar w:fldCharType="separate"/>
            </w:r>
            <w:r w:rsidR="00BC4DCB">
              <w:rPr>
                <w:noProof/>
                <w:webHidden/>
              </w:rPr>
              <w:t>4</w:t>
            </w:r>
            <w:r w:rsidR="00BF6114" w:rsidRPr="00BC4DCB">
              <w:rPr>
                <w:noProof/>
                <w:webHidden/>
              </w:rPr>
              <w:fldChar w:fldCharType="end"/>
            </w:r>
          </w:hyperlink>
        </w:p>
        <w:p w14:paraId="6E0A6844" w14:textId="1F0F3B0B"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81" w:history="1">
            <w:r w:rsidR="00BF6114" w:rsidRPr="00BC4DCB">
              <w:rPr>
                <w:rStyle w:val="Hipervnculo"/>
                <w:noProof/>
              </w:rPr>
              <w:t>c) Admisión del Recurso de Revisión</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_Toc213867981 \h </w:instrText>
            </w:r>
            <w:r w:rsidR="00BF6114" w:rsidRPr="00BC4DCB">
              <w:rPr>
                <w:noProof/>
                <w:webHidden/>
              </w:rPr>
            </w:r>
            <w:r w:rsidR="00BF6114" w:rsidRPr="00BC4DCB">
              <w:rPr>
                <w:noProof/>
                <w:webHidden/>
              </w:rPr>
              <w:fldChar w:fldCharType="separate"/>
            </w:r>
            <w:r w:rsidR="00BC4DCB">
              <w:rPr>
                <w:noProof/>
                <w:webHidden/>
              </w:rPr>
              <w:t>4</w:t>
            </w:r>
            <w:r w:rsidR="00BF6114" w:rsidRPr="00BC4DCB">
              <w:rPr>
                <w:noProof/>
                <w:webHidden/>
              </w:rPr>
              <w:fldChar w:fldCharType="end"/>
            </w:r>
          </w:hyperlink>
        </w:p>
        <w:p w14:paraId="204EE9B2" w14:textId="37DBB273"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82" w:history="1">
            <w:r w:rsidR="00BF6114" w:rsidRPr="00BC4DCB">
              <w:rPr>
                <w:rStyle w:val="Hipervnculo"/>
                <w:noProof/>
              </w:rPr>
              <w:t>d) Informe Justificado del Sujeto Obligado</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_Toc213867982 \h </w:instrText>
            </w:r>
            <w:r w:rsidR="00BF6114" w:rsidRPr="00BC4DCB">
              <w:rPr>
                <w:noProof/>
                <w:webHidden/>
              </w:rPr>
            </w:r>
            <w:r w:rsidR="00BF6114" w:rsidRPr="00BC4DCB">
              <w:rPr>
                <w:noProof/>
                <w:webHidden/>
              </w:rPr>
              <w:fldChar w:fldCharType="separate"/>
            </w:r>
            <w:r w:rsidR="00BC4DCB">
              <w:rPr>
                <w:noProof/>
                <w:webHidden/>
              </w:rPr>
              <w:t>4</w:t>
            </w:r>
            <w:r w:rsidR="00BF6114" w:rsidRPr="00BC4DCB">
              <w:rPr>
                <w:noProof/>
                <w:webHidden/>
              </w:rPr>
              <w:fldChar w:fldCharType="end"/>
            </w:r>
          </w:hyperlink>
        </w:p>
        <w:p w14:paraId="0E682836" w14:textId="446CEC5C"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83" w:history="1">
            <w:r w:rsidR="00BF6114" w:rsidRPr="00BC4DCB">
              <w:rPr>
                <w:rStyle w:val="Hipervnculo"/>
                <w:rFonts w:eastAsia="Calibri"/>
                <w:bCs/>
                <w:noProof/>
                <w:lang w:eastAsia="en-US"/>
              </w:rPr>
              <w:t>e)</w:t>
            </w:r>
            <w:r w:rsidR="00BF6114" w:rsidRPr="00BC4DCB">
              <w:rPr>
                <w:rStyle w:val="Hipervnculo"/>
                <w:noProof/>
              </w:rPr>
              <w:t xml:space="preserve"> </w:t>
            </w:r>
            <w:r w:rsidR="00BF6114" w:rsidRPr="00BC4DCB">
              <w:rPr>
                <w:rStyle w:val="Hipervnculo"/>
                <w:noProof/>
                <w:lang w:val="es-ES"/>
              </w:rPr>
              <w:t>Manifestaciones de la Parte Recurrente</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_Toc213867983 \h </w:instrText>
            </w:r>
            <w:r w:rsidR="00BF6114" w:rsidRPr="00BC4DCB">
              <w:rPr>
                <w:noProof/>
                <w:webHidden/>
              </w:rPr>
            </w:r>
            <w:r w:rsidR="00BF6114" w:rsidRPr="00BC4DCB">
              <w:rPr>
                <w:noProof/>
                <w:webHidden/>
              </w:rPr>
              <w:fldChar w:fldCharType="separate"/>
            </w:r>
            <w:r w:rsidR="00BC4DCB">
              <w:rPr>
                <w:noProof/>
                <w:webHidden/>
              </w:rPr>
              <w:t>4</w:t>
            </w:r>
            <w:r w:rsidR="00BF6114" w:rsidRPr="00BC4DCB">
              <w:rPr>
                <w:noProof/>
                <w:webHidden/>
              </w:rPr>
              <w:fldChar w:fldCharType="end"/>
            </w:r>
          </w:hyperlink>
        </w:p>
        <w:p w14:paraId="4CDB4B3A" w14:textId="20610E63"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84" w:history="1">
            <w:r w:rsidR="00BF6114" w:rsidRPr="00BC4DCB">
              <w:rPr>
                <w:rStyle w:val="Hipervnculo"/>
                <w:noProof/>
                <w:lang w:val="es-ES"/>
              </w:rPr>
              <w:t xml:space="preserve">f) </w:t>
            </w:r>
            <w:r w:rsidR="00BF6114" w:rsidRPr="00BC4DCB">
              <w:rPr>
                <w:rStyle w:val="Hipervnculo"/>
                <w:noProof/>
              </w:rPr>
              <w:t>Cierre de instrucción</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_Toc213867984 \h </w:instrText>
            </w:r>
            <w:r w:rsidR="00BF6114" w:rsidRPr="00BC4DCB">
              <w:rPr>
                <w:noProof/>
                <w:webHidden/>
              </w:rPr>
            </w:r>
            <w:r w:rsidR="00BF6114" w:rsidRPr="00BC4DCB">
              <w:rPr>
                <w:noProof/>
                <w:webHidden/>
              </w:rPr>
              <w:fldChar w:fldCharType="separate"/>
            </w:r>
            <w:r w:rsidR="00BC4DCB">
              <w:rPr>
                <w:noProof/>
                <w:webHidden/>
              </w:rPr>
              <w:t>4</w:t>
            </w:r>
            <w:r w:rsidR="00BF6114" w:rsidRPr="00BC4DCB">
              <w:rPr>
                <w:noProof/>
                <w:webHidden/>
              </w:rPr>
              <w:fldChar w:fldCharType="end"/>
            </w:r>
          </w:hyperlink>
        </w:p>
        <w:p w14:paraId="13E1BEF9" w14:textId="125FE84F" w:rsidR="00BF6114" w:rsidRPr="00BC4DCB" w:rsidRDefault="0079416B">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867985" w:history="1">
            <w:r w:rsidR="00BF6114" w:rsidRPr="00BC4DCB">
              <w:rPr>
                <w:rStyle w:val="Hipervnculo"/>
                <w:rFonts w:eastAsiaTheme="minorHAnsi"/>
                <w:noProof/>
                <w:lang w:eastAsia="en-US"/>
              </w:rPr>
              <w:t>CONSIDERANDOS</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_Toc213867985 \h </w:instrText>
            </w:r>
            <w:r w:rsidR="00BF6114" w:rsidRPr="00BC4DCB">
              <w:rPr>
                <w:noProof/>
                <w:webHidden/>
              </w:rPr>
            </w:r>
            <w:r w:rsidR="00BF6114" w:rsidRPr="00BC4DCB">
              <w:rPr>
                <w:noProof/>
                <w:webHidden/>
              </w:rPr>
              <w:fldChar w:fldCharType="separate"/>
            </w:r>
            <w:r w:rsidR="00BC4DCB">
              <w:rPr>
                <w:noProof/>
                <w:webHidden/>
              </w:rPr>
              <w:t>5</w:t>
            </w:r>
            <w:r w:rsidR="00BF6114" w:rsidRPr="00BC4DCB">
              <w:rPr>
                <w:noProof/>
                <w:webHidden/>
              </w:rPr>
              <w:fldChar w:fldCharType="end"/>
            </w:r>
          </w:hyperlink>
        </w:p>
        <w:p w14:paraId="56681432" w14:textId="6C4B0BCB" w:rsidR="00BF6114" w:rsidRPr="00BC4DCB" w:rsidRDefault="0079416B">
          <w:pPr>
            <w:pStyle w:val="TDC2"/>
            <w:rPr>
              <w:rFonts w:asciiTheme="minorHAnsi" w:eastAsiaTheme="minorEastAsia" w:hAnsiTheme="minorHAnsi" w:cstheme="minorBidi"/>
              <w:noProof/>
              <w:kern w:val="2"/>
              <w:sz w:val="24"/>
              <w:szCs w:val="24"/>
              <w:lang w:eastAsia="es-MX"/>
              <w14:ligatures w14:val="standardContextual"/>
            </w:rPr>
          </w:pPr>
          <w:hyperlink w:anchor="_Toc213867986" w:history="1">
            <w:r w:rsidR="00BF6114" w:rsidRPr="00BC4DCB">
              <w:rPr>
                <w:rStyle w:val="Hipervnculo"/>
                <w:rFonts w:eastAsia="Batang"/>
                <w:noProof/>
              </w:rPr>
              <w:t>PRIMERO. Procedibilidad</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_Toc213867986 \h </w:instrText>
            </w:r>
            <w:r w:rsidR="00BF6114" w:rsidRPr="00BC4DCB">
              <w:rPr>
                <w:noProof/>
                <w:webHidden/>
              </w:rPr>
            </w:r>
            <w:r w:rsidR="00BF6114" w:rsidRPr="00BC4DCB">
              <w:rPr>
                <w:noProof/>
                <w:webHidden/>
              </w:rPr>
              <w:fldChar w:fldCharType="separate"/>
            </w:r>
            <w:r w:rsidR="00BC4DCB">
              <w:rPr>
                <w:noProof/>
                <w:webHidden/>
              </w:rPr>
              <w:t>5</w:t>
            </w:r>
            <w:r w:rsidR="00BF6114" w:rsidRPr="00BC4DCB">
              <w:rPr>
                <w:noProof/>
                <w:webHidden/>
              </w:rPr>
              <w:fldChar w:fldCharType="end"/>
            </w:r>
          </w:hyperlink>
        </w:p>
        <w:p w14:paraId="71DBB5C7" w14:textId="0A20F4DD"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87" w:history="1">
            <w:r w:rsidR="00BF6114" w:rsidRPr="00BC4DCB">
              <w:rPr>
                <w:rStyle w:val="Hipervnculo"/>
                <w:noProof/>
              </w:rPr>
              <w:t>a) Competencia del Instituto</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_Toc213867987 \h </w:instrText>
            </w:r>
            <w:r w:rsidR="00BF6114" w:rsidRPr="00BC4DCB">
              <w:rPr>
                <w:noProof/>
                <w:webHidden/>
              </w:rPr>
            </w:r>
            <w:r w:rsidR="00BF6114" w:rsidRPr="00BC4DCB">
              <w:rPr>
                <w:noProof/>
                <w:webHidden/>
              </w:rPr>
              <w:fldChar w:fldCharType="separate"/>
            </w:r>
            <w:r w:rsidR="00BC4DCB">
              <w:rPr>
                <w:noProof/>
                <w:webHidden/>
              </w:rPr>
              <w:t>5</w:t>
            </w:r>
            <w:r w:rsidR="00BF6114" w:rsidRPr="00BC4DCB">
              <w:rPr>
                <w:noProof/>
                <w:webHidden/>
              </w:rPr>
              <w:fldChar w:fldCharType="end"/>
            </w:r>
          </w:hyperlink>
        </w:p>
        <w:p w14:paraId="14D9778D" w14:textId="1A37BE44"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88" w:history="1">
            <w:r w:rsidR="00BF6114" w:rsidRPr="00BC4DCB">
              <w:rPr>
                <w:rStyle w:val="Hipervnculo"/>
                <w:noProof/>
              </w:rPr>
              <w:t>b) Legitimidad de la parte recurrente</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_Toc213867988 \h </w:instrText>
            </w:r>
            <w:r w:rsidR="00BF6114" w:rsidRPr="00BC4DCB">
              <w:rPr>
                <w:noProof/>
                <w:webHidden/>
              </w:rPr>
            </w:r>
            <w:r w:rsidR="00BF6114" w:rsidRPr="00BC4DCB">
              <w:rPr>
                <w:noProof/>
                <w:webHidden/>
              </w:rPr>
              <w:fldChar w:fldCharType="separate"/>
            </w:r>
            <w:r w:rsidR="00BC4DCB">
              <w:rPr>
                <w:noProof/>
                <w:webHidden/>
              </w:rPr>
              <w:t>5</w:t>
            </w:r>
            <w:r w:rsidR="00BF6114" w:rsidRPr="00BC4DCB">
              <w:rPr>
                <w:noProof/>
                <w:webHidden/>
              </w:rPr>
              <w:fldChar w:fldCharType="end"/>
            </w:r>
          </w:hyperlink>
        </w:p>
        <w:p w14:paraId="75CC1132" w14:textId="5A857302"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89" w:history="1">
            <w:r w:rsidR="00BF6114" w:rsidRPr="00BC4DCB">
              <w:rPr>
                <w:rStyle w:val="Hipervnculo"/>
                <w:rFonts w:eastAsia="Calibri"/>
                <w:noProof/>
                <w:lang w:eastAsia="es-ES_tradnl"/>
              </w:rPr>
              <w:t>c) Plazo para interponer el recurso</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_Toc213867989 \h </w:instrText>
            </w:r>
            <w:r w:rsidR="00BF6114" w:rsidRPr="00BC4DCB">
              <w:rPr>
                <w:noProof/>
                <w:webHidden/>
              </w:rPr>
            </w:r>
            <w:r w:rsidR="00BF6114" w:rsidRPr="00BC4DCB">
              <w:rPr>
                <w:noProof/>
                <w:webHidden/>
              </w:rPr>
              <w:fldChar w:fldCharType="separate"/>
            </w:r>
            <w:r w:rsidR="00BC4DCB">
              <w:rPr>
                <w:noProof/>
                <w:webHidden/>
              </w:rPr>
              <w:t>6</w:t>
            </w:r>
            <w:r w:rsidR="00BF6114" w:rsidRPr="00BC4DCB">
              <w:rPr>
                <w:noProof/>
                <w:webHidden/>
              </w:rPr>
              <w:fldChar w:fldCharType="end"/>
            </w:r>
          </w:hyperlink>
        </w:p>
        <w:p w14:paraId="30BC951D" w14:textId="47E84919"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90" w:history="1">
            <w:r w:rsidR="00BF6114" w:rsidRPr="00BC4DCB">
              <w:rPr>
                <w:rStyle w:val="Hipervnculo"/>
                <w:rFonts w:eastAsia="Calibri"/>
                <w:noProof/>
                <w:lang w:eastAsia="es-ES_tradnl"/>
              </w:rPr>
              <w:t>d) Causal de procedencia</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_Toc213867990 \h </w:instrText>
            </w:r>
            <w:r w:rsidR="00BF6114" w:rsidRPr="00BC4DCB">
              <w:rPr>
                <w:noProof/>
                <w:webHidden/>
              </w:rPr>
            </w:r>
            <w:r w:rsidR="00BF6114" w:rsidRPr="00BC4DCB">
              <w:rPr>
                <w:noProof/>
                <w:webHidden/>
              </w:rPr>
              <w:fldChar w:fldCharType="separate"/>
            </w:r>
            <w:r w:rsidR="00BC4DCB">
              <w:rPr>
                <w:noProof/>
                <w:webHidden/>
              </w:rPr>
              <w:t>6</w:t>
            </w:r>
            <w:r w:rsidR="00BF6114" w:rsidRPr="00BC4DCB">
              <w:rPr>
                <w:noProof/>
                <w:webHidden/>
              </w:rPr>
              <w:fldChar w:fldCharType="end"/>
            </w:r>
          </w:hyperlink>
        </w:p>
        <w:p w14:paraId="4DB14D61" w14:textId="51A6118D"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91" w:history="1">
            <w:r w:rsidR="00BF6114" w:rsidRPr="00BC4DCB">
              <w:rPr>
                <w:rStyle w:val="Hipervnculo"/>
                <w:noProof/>
              </w:rPr>
              <w:t>e) Requisitos formales para la interposición del recurso</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_Toc213867991 \h </w:instrText>
            </w:r>
            <w:r w:rsidR="00BF6114" w:rsidRPr="00BC4DCB">
              <w:rPr>
                <w:noProof/>
                <w:webHidden/>
              </w:rPr>
            </w:r>
            <w:r w:rsidR="00BF6114" w:rsidRPr="00BC4DCB">
              <w:rPr>
                <w:noProof/>
                <w:webHidden/>
              </w:rPr>
              <w:fldChar w:fldCharType="separate"/>
            </w:r>
            <w:r w:rsidR="00BC4DCB">
              <w:rPr>
                <w:noProof/>
                <w:webHidden/>
              </w:rPr>
              <w:t>6</w:t>
            </w:r>
            <w:r w:rsidR="00BF6114" w:rsidRPr="00BC4DCB">
              <w:rPr>
                <w:noProof/>
                <w:webHidden/>
              </w:rPr>
              <w:fldChar w:fldCharType="end"/>
            </w:r>
          </w:hyperlink>
        </w:p>
        <w:p w14:paraId="25F265E5" w14:textId="684BCBF4" w:rsidR="00BF6114" w:rsidRPr="00BC4DCB" w:rsidRDefault="0079416B">
          <w:pPr>
            <w:pStyle w:val="TDC2"/>
            <w:rPr>
              <w:rFonts w:asciiTheme="minorHAnsi" w:eastAsiaTheme="minorEastAsia" w:hAnsiTheme="minorHAnsi" w:cstheme="minorBidi"/>
              <w:noProof/>
              <w:kern w:val="2"/>
              <w:sz w:val="24"/>
              <w:szCs w:val="24"/>
              <w:lang w:eastAsia="es-MX"/>
              <w14:ligatures w14:val="standardContextual"/>
            </w:rPr>
          </w:pPr>
          <w:hyperlink w:anchor="_Toc213867992" w:history="1">
            <w:r w:rsidR="00BF6114" w:rsidRPr="00BC4DCB">
              <w:rPr>
                <w:rStyle w:val="Hipervnculo"/>
                <w:noProof/>
              </w:rPr>
              <w:t>SEGUNDO. Estudio de Fondo</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_Toc213867992 \h </w:instrText>
            </w:r>
            <w:r w:rsidR="00BF6114" w:rsidRPr="00BC4DCB">
              <w:rPr>
                <w:noProof/>
                <w:webHidden/>
              </w:rPr>
            </w:r>
            <w:r w:rsidR="00BF6114" w:rsidRPr="00BC4DCB">
              <w:rPr>
                <w:noProof/>
                <w:webHidden/>
              </w:rPr>
              <w:fldChar w:fldCharType="separate"/>
            </w:r>
            <w:r w:rsidR="00BC4DCB">
              <w:rPr>
                <w:noProof/>
                <w:webHidden/>
              </w:rPr>
              <w:t>7</w:t>
            </w:r>
            <w:r w:rsidR="00BF6114" w:rsidRPr="00BC4DCB">
              <w:rPr>
                <w:noProof/>
                <w:webHidden/>
              </w:rPr>
              <w:fldChar w:fldCharType="end"/>
            </w:r>
          </w:hyperlink>
        </w:p>
        <w:p w14:paraId="5F3BCBFF" w14:textId="239CB267"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93" w:history="1">
            <w:r w:rsidR="00BF6114" w:rsidRPr="00BC4DCB">
              <w:rPr>
                <w:rStyle w:val="Hipervnculo"/>
                <w:noProof/>
              </w:rPr>
              <w:t>a) Mandato de transparencia y responsabilidad del Sujeto Obligado</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_Toc213867993 \h </w:instrText>
            </w:r>
            <w:r w:rsidR="00BF6114" w:rsidRPr="00BC4DCB">
              <w:rPr>
                <w:noProof/>
                <w:webHidden/>
              </w:rPr>
            </w:r>
            <w:r w:rsidR="00BF6114" w:rsidRPr="00BC4DCB">
              <w:rPr>
                <w:noProof/>
                <w:webHidden/>
              </w:rPr>
              <w:fldChar w:fldCharType="separate"/>
            </w:r>
            <w:r w:rsidR="00BC4DCB">
              <w:rPr>
                <w:noProof/>
                <w:webHidden/>
              </w:rPr>
              <w:t>7</w:t>
            </w:r>
            <w:r w:rsidR="00BF6114" w:rsidRPr="00BC4DCB">
              <w:rPr>
                <w:noProof/>
                <w:webHidden/>
              </w:rPr>
              <w:fldChar w:fldCharType="end"/>
            </w:r>
          </w:hyperlink>
        </w:p>
        <w:p w14:paraId="140DCC42" w14:textId="18B692E5"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94" w:history="1">
            <w:r w:rsidR="00BF6114" w:rsidRPr="00BC4DCB">
              <w:rPr>
                <w:rStyle w:val="Hipervnculo"/>
                <w:rFonts w:eastAsia="Calibri"/>
                <w:noProof/>
                <w:lang w:eastAsia="es-ES_tradnl"/>
              </w:rPr>
              <w:t>b) Controversia a resolver</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_Toc213867994 \h </w:instrText>
            </w:r>
            <w:r w:rsidR="00BF6114" w:rsidRPr="00BC4DCB">
              <w:rPr>
                <w:noProof/>
                <w:webHidden/>
              </w:rPr>
            </w:r>
            <w:r w:rsidR="00BF6114" w:rsidRPr="00BC4DCB">
              <w:rPr>
                <w:noProof/>
                <w:webHidden/>
              </w:rPr>
              <w:fldChar w:fldCharType="separate"/>
            </w:r>
            <w:r w:rsidR="00BC4DCB">
              <w:rPr>
                <w:noProof/>
                <w:webHidden/>
              </w:rPr>
              <w:t>10</w:t>
            </w:r>
            <w:r w:rsidR="00BF6114" w:rsidRPr="00BC4DCB">
              <w:rPr>
                <w:noProof/>
                <w:webHidden/>
              </w:rPr>
              <w:fldChar w:fldCharType="end"/>
            </w:r>
          </w:hyperlink>
        </w:p>
        <w:p w14:paraId="7061B28D" w14:textId="17A1A904"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95" w:history="1">
            <w:r w:rsidR="00BF6114" w:rsidRPr="00BC4DCB">
              <w:rPr>
                <w:rStyle w:val="Hipervnculo"/>
                <w:noProof/>
              </w:rPr>
              <w:t>c) Estudio de la controversia</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_Toc213867995 \h </w:instrText>
            </w:r>
            <w:r w:rsidR="00BF6114" w:rsidRPr="00BC4DCB">
              <w:rPr>
                <w:noProof/>
                <w:webHidden/>
              </w:rPr>
            </w:r>
            <w:r w:rsidR="00BF6114" w:rsidRPr="00BC4DCB">
              <w:rPr>
                <w:noProof/>
                <w:webHidden/>
              </w:rPr>
              <w:fldChar w:fldCharType="separate"/>
            </w:r>
            <w:r w:rsidR="00BC4DCB">
              <w:rPr>
                <w:noProof/>
                <w:webHidden/>
              </w:rPr>
              <w:t>11</w:t>
            </w:r>
            <w:r w:rsidR="00BF6114" w:rsidRPr="00BC4DCB">
              <w:rPr>
                <w:noProof/>
                <w:webHidden/>
              </w:rPr>
              <w:fldChar w:fldCharType="end"/>
            </w:r>
          </w:hyperlink>
        </w:p>
        <w:p w14:paraId="6F0BBC5D" w14:textId="696CAD32"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96" w:history="1">
            <w:r w:rsidR="00BF6114" w:rsidRPr="00BC4DCB">
              <w:rPr>
                <w:rStyle w:val="Hipervnculo"/>
                <w:b/>
                <w:noProof/>
              </w:rPr>
              <w:t>d) Versión pública</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_Toc213867996 \h </w:instrText>
            </w:r>
            <w:r w:rsidR="00BF6114" w:rsidRPr="00BC4DCB">
              <w:rPr>
                <w:noProof/>
                <w:webHidden/>
              </w:rPr>
              <w:fldChar w:fldCharType="separate"/>
            </w:r>
            <w:r w:rsidR="00BC4DCB">
              <w:rPr>
                <w:b/>
                <w:bCs/>
                <w:noProof/>
                <w:webHidden/>
                <w:lang w:val="es-ES"/>
              </w:rPr>
              <w:t>¡Error! Marcador no definido.</w:t>
            </w:r>
            <w:r w:rsidR="00BF6114" w:rsidRPr="00BC4DCB">
              <w:rPr>
                <w:noProof/>
                <w:webHidden/>
              </w:rPr>
              <w:fldChar w:fldCharType="end"/>
            </w:r>
          </w:hyperlink>
        </w:p>
        <w:p w14:paraId="3046206A" w14:textId="1011510D" w:rsidR="00BF6114" w:rsidRPr="00BC4DCB" w:rsidRDefault="0079416B">
          <w:pPr>
            <w:pStyle w:val="TDC3"/>
            <w:rPr>
              <w:rFonts w:asciiTheme="minorHAnsi" w:eastAsiaTheme="minorEastAsia" w:hAnsiTheme="minorHAnsi" w:cstheme="minorBidi"/>
              <w:noProof/>
              <w:kern w:val="2"/>
              <w:sz w:val="24"/>
              <w:szCs w:val="24"/>
              <w:lang w:eastAsia="es-MX"/>
              <w14:ligatures w14:val="standardContextual"/>
            </w:rPr>
          </w:pPr>
          <w:hyperlink w:anchor="_Toc213867997" w:history="1">
            <w:r w:rsidR="00BF6114" w:rsidRPr="00BC4DCB">
              <w:rPr>
                <w:rStyle w:val="Hipervnculo"/>
                <w:noProof/>
              </w:rPr>
              <w:t>f) Conclusión</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_Toc213867997 \h </w:instrText>
            </w:r>
            <w:r w:rsidR="00BF6114" w:rsidRPr="00BC4DCB">
              <w:rPr>
                <w:noProof/>
                <w:webHidden/>
              </w:rPr>
            </w:r>
            <w:r w:rsidR="00BF6114" w:rsidRPr="00BC4DCB">
              <w:rPr>
                <w:noProof/>
                <w:webHidden/>
              </w:rPr>
              <w:fldChar w:fldCharType="separate"/>
            </w:r>
            <w:r w:rsidR="00BC4DCB">
              <w:rPr>
                <w:noProof/>
                <w:webHidden/>
              </w:rPr>
              <w:t>40</w:t>
            </w:r>
            <w:r w:rsidR="00BF6114" w:rsidRPr="00BC4DCB">
              <w:rPr>
                <w:noProof/>
                <w:webHidden/>
              </w:rPr>
              <w:fldChar w:fldCharType="end"/>
            </w:r>
          </w:hyperlink>
        </w:p>
        <w:p w14:paraId="0D565A41" w14:textId="7050EA21" w:rsidR="00BF6114" w:rsidRPr="00BC4DCB" w:rsidRDefault="0079416B">
          <w:pPr>
            <w:pStyle w:val="TDC1"/>
            <w:tabs>
              <w:tab w:val="right" w:leader="dot" w:pos="9034"/>
            </w:tabs>
            <w:rPr>
              <w:rFonts w:asciiTheme="minorHAnsi" w:eastAsiaTheme="minorEastAsia" w:hAnsiTheme="minorHAnsi" w:cstheme="minorBidi"/>
              <w:noProof/>
              <w:kern w:val="2"/>
              <w:sz w:val="24"/>
              <w:szCs w:val="24"/>
              <w:lang w:eastAsia="es-MX"/>
              <w14:ligatures w14:val="standardContextual"/>
            </w:rPr>
          </w:pPr>
          <w:hyperlink w:anchor="_Toc213867998" w:history="1">
            <w:r w:rsidR="00BF6114" w:rsidRPr="00BC4DCB">
              <w:rPr>
                <w:rStyle w:val="Hipervnculo"/>
                <w:noProof/>
              </w:rPr>
              <w:t>RESUELVE</w:t>
            </w:r>
            <w:r w:rsidR="00BF6114" w:rsidRPr="00BC4DCB">
              <w:rPr>
                <w:noProof/>
                <w:webHidden/>
              </w:rPr>
              <w:tab/>
            </w:r>
            <w:r w:rsidR="00BF6114" w:rsidRPr="00BC4DCB">
              <w:rPr>
                <w:noProof/>
                <w:webHidden/>
              </w:rPr>
              <w:fldChar w:fldCharType="begin"/>
            </w:r>
            <w:r w:rsidR="00BF6114" w:rsidRPr="00BC4DCB">
              <w:rPr>
                <w:noProof/>
                <w:webHidden/>
              </w:rPr>
              <w:instrText xml:space="preserve"> PAGEREF _Toc213867998 \h </w:instrText>
            </w:r>
            <w:r w:rsidR="00BF6114" w:rsidRPr="00BC4DCB">
              <w:rPr>
                <w:noProof/>
                <w:webHidden/>
              </w:rPr>
            </w:r>
            <w:r w:rsidR="00BF6114" w:rsidRPr="00BC4DCB">
              <w:rPr>
                <w:noProof/>
                <w:webHidden/>
              </w:rPr>
              <w:fldChar w:fldCharType="separate"/>
            </w:r>
            <w:r w:rsidR="00BC4DCB">
              <w:rPr>
                <w:noProof/>
                <w:webHidden/>
              </w:rPr>
              <w:t>41</w:t>
            </w:r>
            <w:r w:rsidR="00BF6114" w:rsidRPr="00BC4DCB">
              <w:rPr>
                <w:noProof/>
                <w:webHidden/>
              </w:rPr>
              <w:fldChar w:fldCharType="end"/>
            </w:r>
          </w:hyperlink>
        </w:p>
        <w:p w14:paraId="0C82FD7A" w14:textId="44D117A0" w:rsidR="009B2945" w:rsidRPr="00BC4DCB" w:rsidRDefault="00AE3DA7" w:rsidP="00141876">
          <w:pPr>
            <w:spacing w:line="240" w:lineRule="auto"/>
            <w:rPr>
              <w:b/>
              <w:bCs/>
              <w:lang w:val="es-ES"/>
            </w:rPr>
          </w:pPr>
          <w:r w:rsidRPr="00BC4DCB">
            <w:rPr>
              <w:b/>
              <w:bCs/>
              <w:sz w:val="16"/>
              <w:szCs w:val="16"/>
              <w:lang w:val="es-ES"/>
            </w:rPr>
            <w:lastRenderedPageBreak/>
            <w:fldChar w:fldCharType="end"/>
          </w:r>
        </w:p>
      </w:sdtContent>
    </w:sdt>
    <w:p w14:paraId="603A07E2" w14:textId="77777777" w:rsidR="00646436" w:rsidRPr="00BC4DCB" w:rsidRDefault="00646436" w:rsidP="00664420">
      <w:pPr>
        <w:rPr>
          <w:rFonts w:cs="Tahoma"/>
          <w:szCs w:val="22"/>
        </w:rPr>
        <w:sectPr w:rsidR="00646436" w:rsidRPr="00BC4DCB"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110C4E6B" w:rsidR="00775BFC" w:rsidRPr="00BC4DCB" w:rsidRDefault="00775BFC" w:rsidP="00775BFC">
      <w:r w:rsidRPr="00BC4DCB">
        <w:lastRenderedPageBreak/>
        <w:t>Resolución del Pleno del Instituto de Transparencia, Acceso a la Información Pública y Protección de Datos Personales del Estado de México y Municipios, con domicilio e</w:t>
      </w:r>
      <w:r w:rsidR="004D0573" w:rsidRPr="00BC4DCB">
        <w:t xml:space="preserve">n Metepec, Estado de México, de </w:t>
      </w:r>
      <w:r w:rsidR="00BF6114" w:rsidRPr="00BC4DCB">
        <w:rPr>
          <w:b/>
        </w:rPr>
        <w:t xml:space="preserve">veinte </w:t>
      </w:r>
      <w:r w:rsidR="00962787" w:rsidRPr="00BC4DCB">
        <w:rPr>
          <w:b/>
        </w:rPr>
        <w:t xml:space="preserve">de noviembre </w:t>
      </w:r>
      <w:r w:rsidR="006E7E69" w:rsidRPr="00BC4DCB">
        <w:rPr>
          <w:b/>
        </w:rPr>
        <w:t>de dos mil veinticinco</w:t>
      </w:r>
      <w:r w:rsidRPr="00BC4DCB">
        <w:t>.</w:t>
      </w:r>
    </w:p>
    <w:p w14:paraId="0AF3AAC4" w14:textId="77777777" w:rsidR="00775BFC" w:rsidRPr="00BC4DCB" w:rsidRDefault="00775BFC" w:rsidP="00775BFC"/>
    <w:p w14:paraId="40EAE038" w14:textId="49CDACC5" w:rsidR="00775BFC" w:rsidRPr="00BC4DCB" w:rsidRDefault="00775BFC" w:rsidP="009233A1">
      <w:r w:rsidRPr="00BC4DCB">
        <w:rPr>
          <w:b/>
        </w:rPr>
        <w:t xml:space="preserve">VISTO </w:t>
      </w:r>
      <w:r w:rsidRPr="00BC4DCB">
        <w:t xml:space="preserve">el expediente formado con motivo del Recurso de Revisión </w:t>
      </w:r>
      <w:r w:rsidR="00BF6114" w:rsidRPr="00BC4DCB">
        <w:rPr>
          <w:rFonts w:eastAsia="Calibri"/>
          <w:b/>
          <w:lang w:eastAsia="en-US"/>
        </w:rPr>
        <w:t>12092</w:t>
      </w:r>
      <w:r w:rsidR="006E7E69" w:rsidRPr="00BC4DCB">
        <w:rPr>
          <w:rFonts w:eastAsia="Calibri"/>
          <w:b/>
          <w:lang w:eastAsia="en-US"/>
        </w:rPr>
        <w:t>/INFOEM/IP/RR/2025</w:t>
      </w:r>
      <w:r w:rsidRPr="00BC4DCB">
        <w:rPr>
          <w:rFonts w:eastAsia="Calibri"/>
          <w:lang w:eastAsia="en-US"/>
        </w:rPr>
        <w:t xml:space="preserve"> </w:t>
      </w:r>
      <w:r w:rsidRPr="00BC4DCB">
        <w:t xml:space="preserve">interpuesto por </w:t>
      </w:r>
      <w:r w:rsidR="00962787" w:rsidRPr="00BC4DCB">
        <w:rPr>
          <w:rFonts w:eastAsia="Calibri"/>
          <w:bCs/>
          <w:lang w:eastAsia="en-US"/>
        </w:rPr>
        <w:t>una</w:t>
      </w:r>
      <w:r w:rsidR="00962787" w:rsidRPr="00BC4DCB">
        <w:rPr>
          <w:rFonts w:eastAsia="Calibri"/>
          <w:b/>
          <w:bCs/>
          <w:lang w:eastAsia="en-US"/>
        </w:rPr>
        <w:t xml:space="preserve"> persona de manera anónima</w:t>
      </w:r>
      <w:r w:rsidR="00962787" w:rsidRPr="00BC4DCB">
        <w:rPr>
          <w:rFonts w:eastAsia="Calibri"/>
          <w:b/>
          <w:lang w:eastAsia="en-US"/>
        </w:rPr>
        <w:t>,</w:t>
      </w:r>
      <w:r w:rsidRPr="00BC4DCB">
        <w:t xml:space="preserve"> a quien en lo subsecuente se le denominará </w:t>
      </w:r>
      <w:r w:rsidRPr="00BC4DCB">
        <w:rPr>
          <w:b/>
          <w:bCs/>
        </w:rPr>
        <w:t>LA PARTE RECURRENTE</w:t>
      </w:r>
      <w:r w:rsidRPr="00BC4DCB">
        <w:t xml:space="preserve">, en contra de la </w:t>
      </w:r>
      <w:r w:rsidR="00773DD6" w:rsidRPr="00BC4DCB">
        <w:t xml:space="preserve">respuesta </w:t>
      </w:r>
      <w:r w:rsidR="00BA1AB6" w:rsidRPr="00BC4DCB">
        <w:t>de</w:t>
      </w:r>
      <w:r w:rsidR="00EA53F7" w:rsidRPr="00BC4DCB">
        <w:t xml:space="preserve"> </w:t>
      </w:r>
      <w:r w:rsidR="005A5BF2" w:rsidRPr="00BC4DCB">
        <w:t>l</w:t>
      </w:r>
      <w:r w:rsidR="00EA53F7" w:rsidRPr="00BC4DCB">
        <w:t>a</w:t>
      </w:r>
      <w:r w:rsidR="00773DD6" w:rsidRPr="00BC4DCB">
        <w:t xml:space="preserve"> </w:t>
      </w:r>
      <w:r w:rsidR="00BF6114" w:rsidRPr="00BC4DCB">
        <w:rPr>
          <w:rFonts w:eastAsia="Calibri"/>
          <w:b/>
          <w:bCs/>
          <w:lang w:eastAsia="en-US"/>
        </w:rPr>
        <w:t>Hospital Regional de Alta Especialidad de Zumpango</w:t>
      </w:r>
      <w:r w:rsidRPr="00BC4DCB">
        <w:rPr>
          <w:rFonts w:eastAsia="Calibri"/>
          <w:b/>
          <w:lang w:eastAsia="en-US"/>
        </w:rPr>
        <w:t>,</w:t>
      </w:r>
      <w:r w:rsidRPr="00BC4DCB">
        <w:t xml:space="preserve"> en adelante </w:t>
      </w:r>
      <w:r w:rsidRPr="00BC4DCB">
        <w:rPr>
          <w:b/>
          <w:bCs/>
        </w:rPr>
        <w:t>EL SUJETO OBLIGADO</w:t>
      </w:r>
      <w:r w:rsidRPr="00BC4DCB">
        <w:rPr>
          <w:rFonts w:eastAsia="Calibri"/>
          <w:lang w:eastAsia="en-US"/>
        </w:rPr>
        <w:t xml:space="preserve">, </w:t>
      </w:r>
      <w:r w:rsidRPr="00BC4DCB">
        <w:t>se emite la presente Resolución con base en los Antecedentes y Considerandos que se exponen a continuación:</w:t>
      </w:r>
    </w:p>
    <w:p w14:paraId="2116968C" w14:textId="77777777" w:rsidR="00775BFC" w:rsidRPr="00BC4DCB" w:rsidRDefault="00775BFC" w:rsidP="00775BFC"/>
    <w:p w14:paraId="5A444FB6" w14:textId="639D3567" w:rsidR="00664420" w:rsidRPr="00BC4DCB" w:rsidRDefault="00664420" w:rsidP="00664420">
      <w:pPr>
        <w:pStyle w:val="Ttulo1"/>
      </w:pPr>
      <w:bookmarkStart w:id="2" w:name="_Toc213867972"/>
      <w:r w:rsidRPr="00BC4DCB">
        <w:t>ANTECEDENTES</w:t>
      </w:r>
      <w:bookmarkEnd w:id="2"/>
    </w:p>
    <w:p w14:paraId="5CB5034E" w14:textId="77777777" w:rsidR="00AC2DB8" w:rsidRPr="00BC4DCB" w:rsidRDefault="00AC2DB8" w:rsidP="00E37A3F"/>
    <w:p w14:paraId="09B2D38F" w14:textId="6E49D146" w:rsidR="00664420" w:rsidRPr="00BC4DCB" w:rsidRDefault="00E37A3F" w:rsidP="00C80B14">
      <w:pPr>
        <w:pStyle w:val="Ttulo2"/>
      </w:pPr>
      <w:bookmarkStart w:id="3" w:name="_Toc213867973"/>
      <w:r w:rsidRPr="00BC4DCB">
        <w:t>DE LA SOLICITUD DE INFORMACIÓN</w:t>
      </w:r>
      <w:bookmarkEnd w:id="3"/>
    </w:p>
    <w:p w14:paraId="2C6AD1A5" w14:textId="0405B3CD" w:rsidR="00664420" w:rsidRPr="00BC4DCB" w:rsidRDefault="00E37A3F" w:rsidP="00E37A3F">
      <w:pPr>
        <w:pStyle w:val="Ttulo3"/>
      </w:pPr>
      <w:bookmarkStart w:id="4" w:name="_Toc213867974"/>
      <w:r w:rsidRPr="00BC4DCB">
        <w:t xml:space="preserve">a) </w:t>
      </w:r>
      <w:r w:rsidR="006B10B0" w:rsidRPr="00BC4DCB">
        <w:t>S</w:t>
      </w:r>
      <w:r w:rsidR="00664420" w:rsidRPr="00BC4DCB">
        <w:t xml:space="preserve">olicitud de </w:t>
      </w:r>
      <w:r w:rsidR="006B10B0" w:rsidRPr="00BC4DCB">
        <w:t>i</w:t>
      </w:r>
      <w:r w:rsidR="00664420" w:rsidRPr="00BC4DCB">
        <w:t>nformación</w:t>
      </w:r>
      <w:bookmarkEnd w:id="4"/>
    </w:p>
    <w:p w14:paraId="6F73510B" w14:textId="1E93FF88" w:rsidR="000F32E8" w:rsidRPr="00BC4DCB" w:rsidRDefault="00B169A2" w:rsidP="000F32E8">
      <w:pPr>
        <w:pStyle w:val="Prrafodelista"/>
        <w:tabs>
          <w:tab w:val="left" w:pos="0"/>
        </w:tabs>
        <w:ind w:left="0"/>
        <w:contextualSpacing w:val="0"/>
        <w:rPr>
          <w:rFonts w:cs="Tahoma"/>
        </w:rPr>
      </w:pPr>
      <w:r w:rsidRPr="00BC4DCB">
        <w:rPr>
          <w:rFonts w:cs="Tahoma"/>
        </w:rPr>
        <w:t xml:space="preserve">El </w:t>
      </w:r>
      <w:r w:rsidR="00962787" w:rsidRPr="00BC4DCB">
        <w:rPr>
          <w:rFonts w:cs="Tahoma"/>
          <w:b/>
          <w:bCs/>
        </w:rPr>
        <w:t xml:space="preserve">dos de </w:t>
      </w:r>
      <w:r w:rsidR="00BF6114" w:rsidRPr="00BC4DCB">
        <w:rPr>
          <w:rFonts w:cs="Tahoma"/>
          <w:b/>
          <w:bCs/>
        </w:rPr>
        <w:t xml:space="preserve">octubre </w:t>
      </w:r>
      <w:r w:rsidR="00EA53F7" w:rsidRPr="00BC4DCB">
        <w:rPr>
          <w:rFonts w:cs="Tahoma"/>
          <w:b/>
          <w:bCs/>
        </w:rPr>
        <w:t>d</w:t>
      </w:r>
      <w:r w:rsidR="006E7E69" w:rsidRPr="00BC4DCB">
        <w:rPr>
          <w:rFonts w:cs="Tahoma"/>
          <w:b/>
          <w:bCs/>
        </w:rPr>
        <w:t>e dos mil veinticinco</w:t>
      </w:r>
      <w:r w:rsidRPr="00BC4DCB">
        <w:rPr>
          <w:rFonts w:cs="Tahoma"/>
        </w:rPr>
        <w:t xml:space="preserve">, </w:t>
      </w:r>
      <w:r w:rsidRPr="00BC4DCB">
        <w:rPr>
          <w:b/>
          <w:bCs/>
        </w:rPr>
        <w:t>LA PARTE RECURRENTE</w:t>
      </w:r>
      <w:r w:rsidRPr="00BC4DCB">
        <w:rPr>
          <w:rFonts w:cs="Tahoma"/>
        </w:rPr>
        <w:t xml:space="preserve"> presentó una solicitud de acceso a la información pública ante el </w:t>
      </w:r>
      <w:r w:rsidRPr="00BC4DCB">
        <w:rPr>
          <w:rFonts w:cs="Tahoma"/>
          <w:b/>
          <w:bCs/>
        </w:rPr>
        <w:t>SUJETO OBLIGADO</w:t>
      </w:r>
      <w:r w:rsidRPr="00BC4DCB">
        <w:rPr>
          <w:rFonts w:cs="Tahoma"/>
        </w:rPr>
        <w:t xml:space="preserve">, a través </w:t>
      </w:r>
      <w:r w:rsidR="00B56734" w:rsidRPr="00BC4DCB">
        <w:rPr>
          <w:rFonts w:cs="Tahoma"/>
        </w:rPr>
        <w:t xml:space="preserve">del </w:t>
      </w:r>
      <w:r w:rsidR="000F32E8" w:rsidRPr="00BC4DCB">
        <w:rPr>
          <w:rFonts w:cs="Tahoma"/>
        </w:rPr>
        <w:t>Sistema de Acceso a la Información Mexiquense (</w:t>
      </w:r>
      <w:r w:rsidR="000F32E8" w:rsidRPr="00BC4DCB">
        <w:rPr>
          <w:rFonts w:cs="Tahoma"/>
          <w:b/>
        </w:rPr>
        <w:t>SAIMEX</w:t>
      </w:r>
      <w:r w:rsidR="000F32E8" w:rsidRPr="00BC4DCB">
        <w:rPr>
          <w:rFonts w:cs="Tahoma"/>
        </w:rPr>
        <w:t xml:space="preserve">). </w:t>
      </w:r>
      <w:r w:rsidRPr="00BC4DCB">
        <w:rPr>
          <w:rFonts w:cs="Tahoma"/>
        </w:rPr>
        <w:t>Dicha solicitud quedó registrada con el número de folio</w:t>
      </w:r>
      <w:r w:rsidRPr="00BC4DCB">
        <w:rPr>
          <w:rFonts w:cs="Tahoma"/>
          <w:b/>
          <w:bCs/>
        </w:rPr>
        <w:t xml:space="preserve"> </w:t>
      </w:r>
      <w:r w:rsidR="00BF6114" w:rsidRPr="00BC4DCB">
        <w:rPr>
          <w:rFonts w:cs="Tahoma"/>
          <w:b/>
          <w:bCs/>
        </w:rPr>
        <w:t>00171/HRZUM/IP/2025</w:t>
      </w:r>
      <w:r w:rsidR="00EA53F7" w:rsidRPr="00BC4DCB">
        <w:rPr>
          <w:rFonts w:cs="Tahoma"/>
          <w:b/>
          <w:bCs/>
        </w:rPr>
        <w:t xml:space="preserve"> </w:t>
      </w:r>
      <w:r w:rsidRPr="00BC4DCB">
        <w:rPr>
          <w:rFonts w:cs="Tahoma"/>
        </w:rPr>
        <w:t>y en ella se requirió la siguiente información:</w:t>
      </w:r>
    </w:p>
    <w:p w14:paraId="0459D6AC" w14:textId="77777777" w:rsidR="00664420" w:rsidRPr="00BC4DCB" w:rsidRDefault="00664420" w:rsidP="00664420">
      <w:pPr>
        <w:tabs>
          <w:tab w:val="left" w:pos="4667"/>
        </w:tabs>
        <w:ind w:left="567" w:right="567"/>
        <w:rPr>
          <w:rFonts w:cs="Tahoma"/>
          <w:b/>
          <w:bCs/>
        </w:rPr>
      </w:pPr>
    </w:p>
    <w:p w14:paraId="64B27DE3" w14:textId="10B0A684" w:rsidR="00664420" w:rsidRPr="00BC4DCB" w:rsidRDefault="002B1D44" w:rsidP="00B169A2">
      <w:pPr>
        <w:pStyle w:val="Puesto"/>
      </w:pPr>
      <w:r w:rsidRPr="00BC4DCB">
        <w:t>“</w:t>
      </w:r>
      <w:r w:rsidR="00BF6114" w:rsidRPr="00BC4DCB">
        <w:t>Solicito del periodo de enero y febrero de este año, debidamente escaneados los acuses de oficios y los oficios recibidos por la uippe del Hospital, asi como un concentrado de los numeros de oficios consecutivos creados por la misma área.</w:t>
      </w:r>
      <w:r w:rsidR="00962787" w:rsidRPr="00BC4DCB">
        <w:t>”</w:t>
      </w:r>
      <w:r w:rsidR="00BA1AB6" w:rsidRPr="00BC4DCB">
        <w:t xml:space="preserve"> (sic)</w:t>
      </w:r>
    </w:p>
    <w:p w14:paraId="07B1E1B5" w14:textId="77777777" w:rsidR="004D0573" w:rsidRPr="00BC4DCB" w:rsidRDefault="004D0573" w:rsidP="006E7E69">
      <w:pPr>
        <w:pStyle w:val="Puesto"/>
      </w:pPr>
    </w:p>
    <w:p w14:paraId="04E0B884" w14:textId="3C135FCB" w:rsidR="00221455" w:rsidRPr="00BC4DCB" w:rsidRDefault="00221455" w:rsidP="00221455">
      <w:pPr>
        <w:tabs>
          <w:tab w:val="left" w:pos="4667"/>
        </w:tabs>
        <w:ind w:right="567"/>
        <w:rPr>
          <w:rFonts w:cs="Tahoma"/>
          <w:bCs/>
          <w:szCs w:val="22"/>
        </w:rPr>
      </w:pPr>
      <w:r w:rsidRPr="00BC4DCB">
        <w:rPr>
          <w:rFonts w:cs="Tahoma"/>
          <w:b/>
          <w:bCs/>
          <w:szCs w:val="22"/>
        </w:rPr>
        <w:t>Modalidad de entrega</w:t>
      </w:r>
      <w:r w:rsidRPr="00BC4DCB">
        <w:rPr>
          <w:rFonts w:cs="Tahoma"/>
          <w:bCs/>
          <w:szCs w:val="22"/>
        </w:rPr>
        <w:t>: a</w:t>
      </w:r>
      <w:r w:rsidRPr="00BC4DCB">
        <w:rPr>
          <w:rFonts w:cs="Tahoma"/>
          <w:bCs/>
          <w:i/>
          <w:szCs w:val="22"/>
        </w:rPr>
        <w:t xml:space="preserve"> través del </w:t>
      </w:r>
      <w:r w:rsidRPr="00BC4DCB">
        <w:rPr>
          <w:rFonts w:cs="Tahoma"/>
          <w:b/>
          <w:bCs/>
          <w:i/>
          <w:szCs w:val="22"/>
        </w:rPr>
        <w:t>SAIMEX</w:t>
      </w:r>
      <w:r w:rsidRPr="00BC4DCB">
        <w:rPr>
          <w:rFonts w:cs="Tahoma"/>
          <w:bCs/>
          <w:i/>
          <w:szCs w:val="22"/>
        </w:rPr>
        <w:t>.</w:t>
      </w:r>
    </w:p>
    <w:p w14:paraId="02BC941E" w14:textId="77777777" w:rsidR="00221455" w:rsidRPr="00BC4DCB" w:rsidRDefault="00221455" w:rsidP="00221455">
      <w:pPr>
        <w:autoSpaceDE w:val="0"/>
        <w:autoSpaceDN w:val="0"/>
        <w:adjustRightInd w:val="0"/>
        <w:ind w:right="-28"/>
        <w:rPr>
          <w:rFonts w:cs="Tahoma"/>
          <w:bCs/>
          <w:i/>
          <w:iCs/>
          <w:szCs w:val="22"/>
        </w:rPr>
      </w:pPr>
    </w:p>
    <w:p w14:paraId="09B9E1BF" w14:textId="77777777" w:rsidR="00EA53F7" w:rsidRPr="00BC4DCB" w:rsidRDefault="00EA53F7" w:rsidP="00AC5BC1">
      <w:pPr>
        <w:pStyle w:val="Ttulo3"/>
      </w:pPr>
      <w:bookmarkStart w:id="5" w:name="_Toc202367056"/>
      <w:bookmarkStart w:id="6" w:name="_Toc211341025"/>
      <w:bookmarkStart w:id="7" w:name="_Toc213867975"/>
      <w:r w:rsidRPr="00BC4DCB">
        <w:lastRenderedPageBreak/>
        <w:t>b) Turno de la solicitud de información</w:t>
      </w:r>
      <w:bookmarkEnd w:id="5"/>
      <w:bookmarkEnd w:id="6"/>
      <w:bookmarkEnd w:id="7"/>
    </w:p>
    <w:p w14:paraId="3B1620DF" w14:textId="29889C32" w:rsidR="00EA53F7" w:rsidRPr="00BC4DCB" w:rsidRDefault="00EA53F7" w:rsidP="00EA53F7">
      <w:pPr>
        <w:rPr>
          <w:color w:val="000000"/>
        </w:rPr>
      </w:pPr>
      <w:r w:rsidRPr="00BC4DCB">
        <w:rPr>
          <w:color w:val="000000"/>
        </w:rPr>
        <w:t xml:space="preserve">En cumplimiento al artículo 162 de la Ley de Transparencia y Acceso a la Información Pública del Estado de México y Municipios, el </w:t>
      </w:r>
      <w:r w:rsidR="00BF6114" w:rsidRPr="00BC4DCB">
        <w:rPr>
          <w:b/>
        </w:rPr>
        <w:t xml:space="preserve">seis de octubre </w:t>
      </w:r>
      <w:r w:rsidRPr="00BC4DCB">
        <w:rPr>
          <w:b/>
        </w:rPr>
        <w:t>de dos mil veinticinco</w:t>
      </w:r>
      <w:r w:rsidRPr="00BC4DCB">
        <w:rPr>
          <w:color w:val="000000"/>
        </w:rPr>
        <w:t xml:space="preserve">, el Titular de la Unidad de Transparencia del </w:t>
      </w:r>
      <w:r w:rsidRPr="00BC4DCB">
        <w:rPr>
          <w:b/>
          <w:color w:val="000000"/>
        </w:rPr>
        <w:t>SUJETO OBLIGADO</w:t>
      </w:r>
      <w:r w:rsidRPr="00BC4DCB">
        <w:rPr>
          <w:color w:val="000000"/>
        </w:rPr>
        <w:t xml:space="preserve"> turnó la solicitud de información al servidor público habilitado que estimó pertinente.</w:t>
      </w:r>
    </w:p>
    <w:p w14:paraId="5AF7E599" w14:textId="77777777" w:rsidR="00EA53F7" w:rsidRPr="00BC4DCB" w:rsidRDefault="00EA53F7" w:rsidP="00EA53F7">
      <w:pPr>
        <w:autoSpaceDE w:val="0"/>
        <w:autoSpaceDN w:val="0"/>
        <w:adjustRightInd w:val="0"/>
        <w:ind w:right="-28"/>
        <w:rPr>
          <w:rFonts w:cs="Tahoma"/>
          <w:bCs/>
          <w:i/>
          <w:szCs w:val="22"/>
        </w:rPr>
      </w:pPr>
    </w:p>
    <w:p w14:paraId="6FAB527D" w14:textId="42B959F1" w:rsidR="000E0258" w:rsidRPr="00BC4DCB" w:rsidRDefault="00EA53F7" w:rsidP="000E0258">
      <w:pPr>
        <w:pStyle w:val="Ttulo3"/>
      </w:pPr>
      <w:bookmarkStart w:id="8" w:name="_Toc172051801"/>
      <w:bookmarkStart w:id="9" w:name="_Toc175061278"/>
      <w:bookmarkStart w:id="10" w:name="_Toc178097684"/>
      <w:bookmarkStart w:id="11" w:name="_Toc179360992"/>
      <w:bookmarkStart w:id="12" w:name="_Toc192607670"/>
      <w:bookmarkStart w:id="13" w:name="_Toc194320797"/>
      <w:bookmarkStart w:id="14" w:name="_Toc211341026"/>
      <w:bookmarkStart w:id="15" w:name="_Toc213867976"/>
      <w:r w:rsidRPr="00BC4DCB">
        <w:t xml:space="preserve">c) </w:t>
      </w:r>
      <w:bookmarkStart w:id="16" w:name="_Toc196232680"/>
      <w:bookmarkStart w:id="17" w:name="_Toc213867977"/>
      <w:bookmarkEnd w:id="8"/>
      <w:bookmarkEnd w:id="9"/>
      <w:bookmarkEnd w:id="10"/>
      <w:bookmarkEnd w:id="11"/>
      <w:bookmarkEnd w:id="12"/>
      <w:bookmarkEnd w:id="13"/>
      <w:bookmarkEnd w:id="14"/>
      <w:bookmarkEnd w:id="15"/>
      <w:r w:rsidR="000E0258" w:rsidRPr="00BC4DCB">
        <w:rPr>
          <w:lang w:val="es-ES"/>
        </w:rPr>
        <w:t xml:space="preserve">Respuesta </w:t>
      </w:r>
      <w:r w:rsidR="000E0258" w:rsidRPr="00BC4DCB">
        <w:rPr>
          <w:rFonts w:eastAsia="Calibri"/>
          <w:lang w:eastAsia="en-US"/>
        </w:rPr>
        <w:t>del Sujeto Obligado</w:t>
      </w:r>
      <w:bookmarkEnd w:id="16"/>
      <w:bookmarkEnd w:id="17"/>
    </w:p>
    <w:p w14:paraId="1A88810B" w14:textId="04171721" w:rsidR="000E0258" w:rsidRPr="00BC4DCB" w:rsidRDefault="000E0258" w:rsidP="000E0258">
      <w:pPr>
        <w:rPr>
          <w:lang w:val="es-ES"/>
        </w:rPr>
      </w:pPr>
      <w:r w:rsidRPr="00BC4DCB">
        <w:rPr>
          <w:lang w:val="es-ES"/>
        </w:rPr>
        <w:t xml:space="preserve">El </w:t>
      </w:r>
      <w:r w:rsidR="00BF6114" w:rsidRPr="00BC4DCB">
        <w:rPr>
          <w:b/>
          <w:bCs/>
          <w:lang w:val="es-ES"/>
        </w:rPr>
        <w:t>diecisiete de octubre d</w:t>
      </w:r>
      <w:r w:rsidRPr="00BC4DCB">
        <w:rPr>
          <w:b/>
          <w:bCs/>
          <w:lang w:val="es-ES"/>
        </w:rPr>
        <w:t>e dos mil veinticinco</w:t>
      </w:r>
      <w:r w:rsidRPr="00BC4DCB">
        <w:rPr>
          <w:lang w:val="es-ES"/>
        </w:rPr>
        <w:t xml:space="preserve">, el Titular de la Unidad de Transparencia del </w:t>
      </w:r>
      <w:r w:rsidRPr="00BC4DCB">
        <w:rPr>
          <w:b/>
          <w:lang w:val="es-ES"/>
        </w:rPr>
        <w:t>SUJETO OBLIGADO</w:t>
      </w:r>
      <w:r w:rsidRPr="00BC4DCB">
        <w:rPr>
          <w:lang w:val="es-ES"/>
        </w:rPr>
        <w:t xml:space="preserve"> notificó la siguiente respuesta a través del </w:t>
      </w:r>
      <w:r w:rsidRPr="00BC4DCB">
        <w:rPr>
          <w:b/>
          <w:lang w:val="es-ES"/>
        </w:rPr>
        <w:t>SAIMEX</w:t>
      </w:r>
      <w:r w:rsidRPr="00BC4DCB">
        <w:rPr>
          <w:lang w:val="es-ES"/>
        </w:rPr>
        <w:t>:</w:t>
      </w:r>
    </w:p>
    <w:p w14:paraId="01CB51C0" w14:textId="77777777" w:rsidR="000E0258" w:rsidRPr="00BC4DCB" w:rsidRDefault="000E0258" w:rsidP="000E0258"/>
    <w:p w14:paraId="11739173" w14:textId="77777777" w:rsidR="00BF6114" w:rsidRPr="00BC4DCB" w:rsidRDefault="000E0258" w:rsidP="00BF6114">
      <w:pPr>
        <w:pStyle w:val="Puesto"/>
      </w:pPr>
      <w:r w:rsidRPr="00BC4DCB">
        <w:t>“</w:t>
      </w:r>
      <w:r w:rsidR="00BF6114" w:rsidRPr="00BC4DCB">
        <w:t>En respuesta a la solicitud recibida, nos permitimos hacer de su conocimiento que con fundamento en el artículo 53, Fracciones: II, V y VI de la Ley de Transparencia y Acceso a la Información Pública del Estado de México y Municipios, le contestamos que:</w:t>
      </w:r>
    </w:p>
    <w:p w14:paraId="63DE68CC" w14:textId="77777777" w:rsidR="00BF6114" w:rsidRPr="00BC4DCB" w:rsidRDefault="00BF6114" w:rsidP="00BF6114"/>
    <w:p w14:paraId="199FA493" w14:textId="77777777" w:rsidR="00BF6114" w:rsidRPr="00BC4DCB" w:rsidRDefault="00BF6114" w:rsidP="00BF6114">
      <w:pPr>
        <w:pStyle w:val="Puesto"/>
      </w:pPr>
      <w:r w:rsidRPr="00BC4DCB">
        <w:t>Se proporciona Respuesta a la Solicitud de Información número de folio 00171/HRZUM/IP/2025 En respuesta a la solicitud recibida, nos permitimos hacer de su conocimiento que con fundamento en el artículo 53, Fracciones: II, V y VI de la Ley de Transparencia y Acceso a la Información Pública del Estado de México y Municipios, le contestamos que: Con fundamento en lo previsto por los artículos 2 fracción II y VII, 4 párrafo tercero, 7, 11, 12, 15, 16, 17, 19, 22, 23, fracción I, 24, fracción XI y último párrafo, 50, 51, 52, 53 fracciones II, IV, V y VI, todos de la Ley de Transparencia y Acceso a la Información Pública del Estado de México y Municipios (LTAIPEMyM); en atención a la solicitud de acceso a la información pública, recibida por este Sujeto Obligado; sírvase encontrar adjunto los archivos que detallan de forma precisa el requerimiento recibido. Con el acto, se cumple en tiempo y forma asegurándose así el derecho de acceso a la información pública de la persona solicitante.</w:t>
      </w:r>
    </w:p>
    <w:p w14:paraId="2168D5A1" w14:textId="77777777" w:rsidR="00BF6114" w:rsidRPr="00BC4DCB" w:rsidRDefault="00BF6114" w:rsidP="00BF6114"/>
    <w:p w14:paraId="1C794CEF" w14:textId="77777777" w:rsidR="00BF6114" w:rsidRPr="00BC4DCB" w:rsidRDefault="00BF6114" w:rsidP="00BF6114">
      <w:pPr>
        <w:pStyle w:val="Puesto"/>
      </w:pPr>
      <w:r w:rsidRPr="00BC4DCB">
        <w:t>ATENTAMENTE</w:t>
      </w:r>
    </w:p>
    <w:p w14:paraId="7FC45C3A" w14:textId="77777777" w:rsidR="00BF6114" w:rsidRPr="00BC4DCB" w:rsidRDefault="00BF6114" w:rsidP="00BF6114"/>
    <w:p w14:paraId="001722A1" w14:textId="748922C5" w:rsidR="000E0258" w:rsidRPr="00BC4DCB" w:rsidRDefault="00BF6114" w:rsidP="00BF6114">
      <w:pPr>
        <w:pStyle w:val="Puesto"/>
      </w:pPr>
      <w:r w:rsidRPr="00BC4DCB">
        <w:t>Lic. JOSE LUIS NIETO CUELLAR</w:t>
      </w:r>
      <w:r w:rsidR="000E0258" w:rsidRPr="00BC4DCB">
        <w:t>” (sic)</w:t>
      </w:r>
    </w:p>
    <w:p w14:paraId="12981936" w14:textId="77777777" w:rsidR="000E0258" w:rsidRPr="00BC4DCB" w:rsidRDefault="000E0258" w:rsidP="000E0258"/>
    <w:p w14:paraId="14CBF6ED" w14:textId="1A27BB25" w:rsidR="00962787" w:rsidRPr="00BC4DCB" w:rsidRDefault="000E0258" w:rsidP="000E0258">
      <w:pPr>
        <w:ind w:right="-28"/>
        <w:rPr>
          <w:bCs/>
          <w:iCs/>
        </w:rPr>
      </w:pPr>
      <w:r w:rsidRPr="00BC4DCB">
        <w:lastRenderedPageBreak/>
        <w:t xml:space="preserve">Asimismo, </w:t>
      </w:r>
      <w:r w:rsidRPr="00BC4DCB">
        <w:rPr>
          <w:b/>
        </w:rPr>
        <w:t xml:space="preserve">EL SUJETO OBLIGADO </w:t>
      </w:r>
      <w:r w:rsidRPr="00BC4DCB">
        <w:t xml:space="preserve">adjuntó a su respuesta el archivo electrónico denominado </w:t>
      </w:r>
      <w:r w:rsidR="00BF6114" w:rsidRPr="00BC4DCB">
        <w:rPr>
          <w:b/>
          <w:i/>
        </w:rPr>
        <w:t>1234 SAIMEX 00171.pdf</w:t>
      </w:r>
      <w:r w:rsidR="00962787" w:rsidRPr="00BC4DCB">
        <w:rPr>
          <w:b/>
          <w:i/>
        </w:rPr>
        <w:t xml:space="preserve">, </w:t>
      </w:r>
      <w:r w:rsidR="00962787" w:rsidRPr="00BC4DCB">
        <w:rPr>
          <w:bCs/>
          <w:iCs/>
        </w:rPr>
        <w:t xml:space="preserve">el cual contiene el oficio </w:t>
      </w:r>
      <w:r w:rsidR="00BF6114" w:rsidRPr="00BC4DCB">
        <w:rPr>
          <w:bCs/>
          <w:iCs/>
        </w:rPr>
        <w:t>208C0401000300S/1234/2025 del dieciséis de octubre de dos mil veinticinco, por medio del cual el titular de la</w:t>
      </w:r>
      <w:r w:rsidR="00EA53F7" w:rsidRPr="00BC4DCB">
        <w:rPr>
          <w:bCs/>
          <w:iCs/>
        </w:rPr>
        <w:t xml:space="preserve"> Unidad de Información, Planeación, Programación y Evaluación, </w:t>
      </w:r>
      <w:r w:rsidR="00AC5BC1" w:rsidRPr="00BC4DCB">
        <w:rPr>
          <w:bCs/>
          <w:iCs/>
        </w:rPr>
        <w:t>hace del conocimiento que la información solicitada</w:t>
      </w:r>
      <w:r w:rsidR="00BF6114" w:rsidRPr="00BC4DCB">
        <w:rPr>
          <w:bCs/>
          <w:iCs/>
        </w:rPr>
        <w:t xml:space="preserve"> rebasa las capacidades técnicas y humanas, motivo por el cual invita al particular a acudir a las instalaciones a revisar de manera directa la información solicitada. </w:t>
      </w:r>
    </w:p>
    <w:p w14:paraId="1989D7EF" w14:textId="77777777" w:rsidR="00962787" w:rsidRPr="00BC4DCB" w:rsidRDefault="00962787" w:rsidP="000E0258">
      <w:pPr>
        <w:ind w:right="-28"/>
      </w:pPr>
    </w:p>
    <w:p w14:paraId="0F24A322" w14:textId="7F9E5F9A" w:rsidR="00B137E8" w:rsidRPr="00BC4DCB" w:rsidRDefault="00B137E8" w:rsidP="00B137E8">
      <w:pPr>
        <w:pStyle w:val="Ttulo2"/>
        <w:jc w:val="left"/>
      </w:pPr>
      <w:bookmarkStart w:id="18" w:name="_Toc171527280"/>
      <w:bookmarkStart w:id="19" w:name="_Toc213867978"/>
      <w:r w:rsidRPr="00BC4DCB">
        <w:t>DEL RECURSO DE REVISIÓN</w:t>
      </w:r>
      <w:bookmarkEnd w:id="18"/>
      <w:bookmarkEnd w:id="19"/>
    </w:p>
    <w:p w14:paraId="2B216813" w14:textId="61ADBB2B" w:rsidR="00664420" w:rsidRPr="00BC4DCB" w:rsidRDefault="006E25BC" w:rsidP="006E25BC">
      <w:pPr>
        <w:pStyle w:val="Ttulo3"/>
      </w:pPr>
      <w:bookmarkStart w:id="20" w:name="_Toc213867979"/>
      <w:r w:rsidRPr="00BC4DCB">
        <w:rPr>
          <w:szCs w:val="32"/>
        </w:rPr>
        <w:t>a)</w:t>
      </w:r>
      <w:r w:rsidRPr="00BC4DCB">
        <w:t xml:space="preserve"> </w:t>
      </w:r>
      <w:r w:rsidR="00664420" w:rsidRPr="00BC4DCB">
        <w:t>Interposición del Recurso de Revisión</w:t>
      </w:r>
      <w:bookmarkEnd w:id="20"/>
    </w:p>
    <w:p w14:paraId="6279C622" w14:textId="0397E08D" w:rsidR="00664420" w:rsidRPr="00BC4DCB" w:rsidRDefault="00664420" w:rsidP="00664420">
      <w:pPr>
        <w:autoSpaceDE w:val="0"/>
        <w:autoSpaceDN w:val="0"/>
        <w:adjustRightInd w:val="0"/>
        <w:ind w:right="-28"/>
        <w:rPr>
          <w:rFonts w:cs="Tahoma"/>
          <w:szCs w:val="22"/>
        </w:rPr>
      </w:pPr>
      <w:r w:rsidRPr="00BC4DCB">
        <w:rPr>
          <w:rFonts w:cs="Tahoma"/>
          <w:szCs w:val="22"/>
        </w:rPr>
        <w:t xml:space="preserve">El </w:t>
      </w:r>
      <w:r w:rsidR="00BF6114" w:rsidRPr="00BC4DCB">
        <w:rPr>
          <w:rFonts w:cs="Tahoma"/>
          <w:b/>
          <w:bCs/>
          <w:szCs w:val="22"/>
        </w:rPr>
        <w:t xml:space="preserve">veinte </w:t>
      </w:r>
      <w:r w:rsidR="00AC5BC1" w:rsidRPr="00BC4DCB">
        <w:rPr>
          <w:rFonts w:cs="Tahoma"/>
          <w:b/>
          <w:bCs/>
          <w:szCs w:val="22"/>
        </w:rPr>
        <w:t xml:space="preserve">de octubre </w:t>
      </w:r>
      <w:r w:rsidR="00475FF6" w:rsidRPr="00BC4DCB">
        <w:rPr>
          <w:rFonts w:cs="Tahoma"/>
          <w:b/>
          <w:bCs/>
          <w:szCs w:val="22"/>
        </w:rPr>
        <w:t xml:space="preserve">de </w:t>
      </w:r>
      <w:r w:rsidRPr="00BC4DCB">
        <w:rPr>
          <w:rFonts w:cs="Tahoma"/>
          <w:b/>
          <w:bCs/>
          <w:szCs w:val="22"/>
        </w:rPr>
        <w:t>dos mil</w:t>
      </w:r>
      <w:r w:rsidR="00F45902" w:rsidRPr="00BC4DCB">
        <w:rPr>
          <w:rFonts w:cs="Tahoma"/>
          <w:b/>
          <w:bCs/>
          <w:szCs w:val="22"/>
        </w:rPr>
        <w:t xml:space="preserve"> veintic</w:t>
      </w:r>
      <w:r w:rsidR="006E7E69" w:rsidRPr="00BC4DCB">
        <w:rPr>
          <w:rFonts w:cs="Tahoma"/>
          <w:b/>
          <w:bCs/>
          <w:szCs w:val="22"/>
        </w:rPr>
        <w:t>inco</w:t>
      </w:r>
      <w:r w:rsidRPr="00BC4DCB">
        <w:rPr>
          <w:rFonts w:cs="Tahoma"/>
          <w:szCs w:val="22"/>
        </w:rPr>
        <w:t xml:space="preserve"> </w:t>
      </w:r>
      <w:r w:rsidR="00F75D23" w:rsidRPr="00BC4DCB">
        <w:rPr>
          <w:rFonts w:cs="Tahoma"/>
          <w:b/>
          <w:bCs/>
          <w:szCs w:val="22"/>
        </w:rPr>
        <w:t>LA PARTE RECURRENTE</w:t>
      </w:r>
      <w:r w:rsidR="00F75D23" w:rsidRPr="00BC4DCB">
        <w:rPr>
          <w:rFonts w:cs="Tahoma"/>
          <w:szCs w:val="22"/>
        </w:rPr>
        <w:t xml:space="preserve"> interpuso el recurso de revisión en contra de la respuesta emitida por el </w:t>
      </w:r>
      <w:r w:rsidR="00F75D23" w:rsidRPr="00BC4DCB">
        <w:rPr>
          <w:rFonts w:cs="Tahoma"/>
          <w:b/>
          <w:bCs/>
          <w:szCs w:val="22"/>
        </w:rPr>
        <w:t>SUJETO OBLIGADO</w:t>
      </w:r>
      <w:r w:rsidR="00953430" w:rsidRPr="00BC4DCB">
        <w:rPr>
          <w:rFonts w:cs="Tahoma"/>
          <w:szCs w:val="22"/>
        </w:rPr>
        <w:t xml:space="preserve">, mismo que fue registrado en el </w:t>
      </w:r>
      <w:r w:rsidR="00953430" w:rsidRPr="00BC4DCB">
        <w:rPr>
          <w:rFonts w:cs="Tahoma"/>
          <w:b/>
          <w:szCs w:val="22"/>
        </w:rPr>
        <w:t>SAIMEX</w:t>
      </w:r>
      <w:r w:rsidR="00953430" w:rsidRPr="00BC4DCB">
        <w:rPr>
          <w:rFonts w:cs="Tahoma"/>
          <w:szCs w:val="22"/>
        </w:rPr>
        <w:t xml:space="preserve"> con el número de expediente </w:t>
      </w:r>
      <w:r w:rsidR="00BF6114" w:rsidRPr="00BC4DCB">
        <w:rPr>
          <w:rFonts w:cs="Tahoma"/>
          <w:b/>
          <w:bCs/>
          <w:szCs w:val="22"/>
        </w:rPr>
        <w:t>12092</w:t>
      </w:r>
      <w:r w:rsidR="006E7E69" w:rsidRPr="00BC4DCB">
        <w:rPr>
          <w:rFonts w:cs="Tahoma"/>
          <w:b/>
          <w:bCs/>
          <w:szCs w:val="22"/>
        </w:rPr>
        <w:t>/INFOEM/IP/RR/2025</w:t>
      </w:r>
      <w:r w:rsidR="00953430" w:rsidRPr="00BC4DCB">
        <w:rPr>
          <w:rFonts w:cs="Tahoma"/>
          <w:szCs w:val="22"/>
        </w:rPr>
        <w:t>, y en el cual manifiesta lo siguiente</w:t>
      </w:r>
      <w:r w:rsidRPr="00BC4DCB">
        <w:rPr>
          <w:rFonts w:cs="Tahoma"/>
          <w:szCs w:val="22"/>
        </w:rPr>
        <w:t>:</w:t>
      </w:r>
    </w:p>
    <w:p w14:paraId="74B30008" w14:textId="77777777" w:rsidR="00664420" w:rsidRPr="00BC4DCB" w:rsidRDefault="00664420" w:rsidP="00664420">
      <w:pPr>
        <w:tabs>
          <w:tab w:val="left" w:pos="4667"/>
        </w:tabs>
        <w:ind w:right="539"/>
        <w:rPr>
          <w:rFonts w:cs="Tahoma"/>
          <w:szCs w:val="22"/>
        </w:rPr>
      </w:pPr>
    </w:p>
    <w:p w14:paraId="3A3988B0" w14:textId="77777777" w:rsidR="001544A1" w:rsidRPr="00BC4DCB" w:rsidRDefault="00664420" w:rsidP="00CE3DBD">
      <w:pPr>
        <w:tabs>
          <w:tab w:val="left" w:pos="4667"/>
        </w:tabs>
        <w:ind w:right="539"/>
        <w:rPr>
          <w:rFonts w:cs="Tahoma"/>
          <w:b/>
          <w:iCs/>
        </w:rPr>
      </w:pPr>
      <w:r w:rsidRPr="00BC4DCB">
        <w:rPr>
          <w:rFonts w:cs="Tahoma"/>
          <w:b/>
          <w:iCs/>
        </w:rPr>
        <w:t>ACTO IMPUGNADO</w:t>
      </w:r>
      <w:r w:rsidR="001544A1" w:rsidRPr="00BC4DCB">
        <w:rPr>
          <w:rFonts w:cs="Tahoma"/>
          <w:b/>
          <w:iCs/>
        </w:rPr>
        <w:t xml:space="preserve">: </w:t>
      </w:r>
    </w:p>
    <w:p w14:paraId="74BBD238" w14:textId="77777777" w:rsidR="001544A1" w:rsidRPr="00BC4DCB" w:rsidRDefault="001544A1" w:rsidP="001544A1">
      <w:pPr>
        <w:pStyle w:val="Puesto"/>
      </w:pPr>
    </w:p>
    <w:p w14:paraId="327EED5D" w14:textId="250984A1" w:rsidR="001544A1" w:rsidRPr="00BC4DCB" w:rsidRDefault="001544A1" w:rsidP="001544A1">
      <w:pPr>
        <w:pStyle w:val="Puesto"/>
      </w:pPr>
      <w:r w:rsidRPr="00BC4DCB">
        <w:t>“</w:t>
      </w:r>
      <w:r w:rsidR="00BF6114" w:rsidRPr="00BC4DCB">
        <w:t>nuevamente recibo la respuesta que no tienen tiempo y por carga de trabajo no pueden enviar los oficios solicitados, todas las demas dependencias su area de transparencia si entregan lo solicitado solo ustedes niegan el derecho de acceso a la informacion que obra en sus archivos</w:t>
      </w:r>
      <w:r w:rsidRPr="00BC4DCB">
        <w:t xml:space="preserve">” (sic) </w:t>
      </w:r>
    </w:p>
    <w:p w14:paraId="1F180CCD" w14:textId="77777777" w:rsidR="001544A1" w:rsidRPr="00BC4DCB" w:rsidRDefault="001544A1" w:rsidP="001544A1">
      <w:pPr>
        <w:pStyle w:val="Puesto"/>
      </w:pPr>
    </w:p>
    <w:p w14:paraId="093C3F85" w14:textId="65D81CDC" w:rsidR="00CE3DBD" w:rsidRPr="00BC4DCB" w:rsidRDefault="00CE3DBD" w:rsidP="00CE3DBD">
      <w:pPr>
        <w:tabs>
          <w:tab w:val="left" w:pos="4667"/>
        </w:tabs>
        <w:ind w:right="539"/>
        <w:rPr>
          <w:rFonts w:cs="Tahoma"/>
          <w:b/>
          <w:iCs/>
        </w:rPr>
      </w:pPr>
      <w:r w:rsidRPr="00BC4DCB">
        <w:rPr>
          <w:rFonts w:cs="Tahoma"/>
          <w:b/>
          <w:iCs/>
        </w:rPr>
        <w:t xml:space="preserve">RAZONES O MOTIVOS DE INCONFORMIDAD </w:t>
      </w:r>
    </w:p>
    <w:p w14:paraId="177EE3D5" w14:textId="77777777" w:rsidR="00F45902" w:rsidRPr="00BC4DCB" w:rsidRDefault="00F45902" w:rsidP="00F45902">
      <w:pPr>
        <w:pStyle w:val="Puesto"/>
      </w:pPr>
    </w:p>
    <w:p w14:paraId="02B77E20" w14:textId="669A8CCB" w:rsidR="00AC5BC1" w:rsidRPr="00BC4DCB" w:rsidRDefault="00AC5BC1" w:rsidP="00AC5BC1">
      <w:pPr>
        <w:pStyle w:val="Puesto"/>
      </w:pPr>
      <w:r w:rsidRPr="00BC4DCB">
        <w:t>“</w:t>
      </w:r>
      <w:r w:rsidR="00BF6114" w:rsidRPr="00BC4DCB">
        <w:t>ahora mismo ya se ha solicitado los oficios solo de dos meses por supuesta carga de trabajo, ustedes estan negando la informacion. si lo siguen haciendo se les solictara los oficios por dia</w:t>
      </w:r>
      <w:r w:rsidRPr="00BC4DCB">
        <w:t xml:space="preserve">” (sic) </w:t>
      </w:r>
    </w:p>
    <w:p w14:paraId="6AE8EA9A" w14:textId="77777777" w:rsidR="00664420" w:rsidRPr="00BC4DCB" w:rsidRDefault="00664420" w:rsidP="004F6D6C">
      <w:pPr>
        <w:pStyle w:val="Puesto"/>
      </w:pPr>
    </w:p>
    <w:p w14:paraId="6804DEF1" w14:textId="1FD3227A" w:rsidR="00664420" w:rsidRPr="00BC4DCB" w:rsidRDefault="006E25BC" w:rsidP="006E25BC">
      <w:pPr>
        <w:pStyle w:val="Ttulo3"/>
      </w:pPr>
      <w:bookmarkStart w:id="21" w:name="_Toc213867980"/>
      <w:r w:rsidRPr="00BC4DCB">
        <w:lastRenderedPageBreak/>
        <w:t>b</w:t>
      </w:r>
      <w:r w:rsidR="00664420" w:rsidRPr="00BC4DCB">
        <w:t>) Turno del Recurso de Revisión</w:t>
      </w:r>
      <w:bookmarkEnd w:id="21"/>
    </w:p>
    <w:p w14:paraId="1173671B" w14:textId="0D967ABA" w:rsidR="00C72DAA" w:rsidRPr="00BC4DCB" w:rsidRDefault="00C72DAA" w:rsidP="00C72DAA">
      <w:r w:rsidRPr="00BC4DCB">
        <w:t>Con fundamento en el artículo 185, fracción I de la Ley de Transparencia y Acceso a la Información Pública del Estado de México y Municipios, el</w:t>
      </w:r>
      <w:r w:rsidRPr="00BC4DCB">
        <w:rPr>
          <w:b/>
          <w:bCs/>
        </w:rPr>
        <w:t xml:space="preserve"> </w:t>
      </w:r>
      <w:r w:rsidR="00BF6114" w:rsidRPr="00BC4DCB">
        <w:rPr>
          <w:rFonts w:eastAsia="Palatino Linotype" w:cs="Palatino Linotype"/>
          <w:b/>
        </w:rPr>
        <w:t>veinte de o</w:t>
      </w:r>
      <w:r w:rsidR="00AC5BC1" w:rsidRPr="00BC4DCB">
        <w:rPr>
          <w:rFonts w:eastAsia="Palatino Linotype" w:cs="Palatino Linotype"/>
          <w:b/>
        </w:rPr>
        <w:t xml:space="preserve">ctubre </w:t>
      </w:r>
      <w:r w:rsidR="009A1340" w:rsidRPr="00BC4DCB">
        <w:rPr>
          <w:rFonts w:eastAsia="Palatino Linotype" w:cs="Palatino Linotype"/>
          <w:b/>
        </w:rPr>
        <w:t xml:space="preserve">de dos mil veinticinco, </w:t>
      </w:r>
      <w:r w:rsidRPr="00BC4DCB">
        <w:t>se turnó el recurso de revisión a través del</w:t>
      </w:r>
      <w:r w:rsidRPr="00BC4DCB">
        <w:rPr>
          <w:rFonts w:eastAsia="Arial Unicode MS"/>
        </w:rPr>
        <w:t xml:space="preserve"> </w:t>
      </w:r>
      <w:r w:rsidRPr="00BC4DCB">
        <w:rPr>
          <w:rFonts w:eastAsia="Arial Unicode MS"/>
          <w:b/>
          <w:bCs/>
        </w:rPr>
        <w:t>SAIMEX</w:t>
      </w:r>
      <w:r w:rsidRPr="00BC4DCB">
        <w:t xml:space="preserve"> a la </w:t>
      </w:r>
      <w:r w:rsidRPr="00BC4DCB">
        <w:rPr>
          <w:b/>
        </w:rPr>
        <w:t>Comisionada Sharon Cristina Morales Martínez</w:t>
      </w:r>
      <w:r w:rsidRPr="00BC4DCB">
        <w:rPr>
          <w:bCs/>
        </w:rPr>
        <w:t xml:space="preserve">, </w:t>
      </w:r>
      <w:r w:rsidRPr="00BC4DCB">
        <w:t xml:space="preserve">a efecto de decretar su admisión o desechamiento. </w:t>
      </w:r>
    </w:p>
    <w:p w14:paraId="18F305CB" w14:textId="77777777" w:rsidR="00664420" w:rsidRPr="00BC4DCB" w:rsidRDefault="00664420" w:rsidP="00664420">
      <w:pPr>
        <w:rPr>
          <w:rFonts w:eastAsia="Batang" w:cs="Tahoma"/>
          <w:bCs/>
          <w:szCs w:val="22"/>
        </w:rPr>
      </w:pPr>
    </w:p>
    <w:p w14:paraId="3E31EC2D" w14:textId="295256A1" w:rsidR="00664420" w:rsidRPr="00BC4DCB" w:rsidRDefault="006E25BC" w:rsidP="006E25BC">
      <w:pPr>
        <w:pStyle w:val="Ttulo3"/>
      </w:pPr>
      <w:bookmarkStart w:id="22" w:name="_Toc213867981"/>
      <w:r w:rsidRPr="00BC4DCB">
        <w:t>c</w:t>
      </w:r>
      <w:r w:rsidR="00664420" w:rsidRPr="00BC4DCB">
        <w:t>) Admisión del Recurso de Revisión</w:t>
      </w:r>
      <w:bookmarkEnd w:id="22"/>
    </w:p>
    <w:p w14:paraId="240447D5" w14:textId="015564D9" w:rsidR="000E09C4" w:rsidRPr="00BC4DCB" w:rsidRDefault="000E09C4" w:rsidP="000E09C4">
      <w:pPr>
        <w:rPr>
          <w:rFonts w:cs="Arial"/>
          <w:color w:val="000000" w:themeColor="text1"/>
        </w:rPr>
      </w:pPr>
      <w:r w:rsidRPr="00BC4DCB">
        <w:rPr>
          <w:rFonts w:cs="Arial"/>
          <w:color w:val="000000" w:themeColor="text1"/>
        </w:rPr>
        <w:t xml:space="preserve">El </w:t>
      </w:r>
      <w:r w:rsidR="00BF6114" w:rsidRPr="00BC4DCB">
        <w:rPr>
          <w:rFonts w:eastAsia="Palatino Linotype" w:cs="Palatino Linotype"/>
          <w:b/>
        </w:rPr>
        <w:t xml:space="preserve">veintiuno </w:t>
      </w:r>
      <w:r w:rsidR="00AC5BC1" w:rsidRPr="00BC4DCB">
        <w:rPr>
          <w:rFonts w:eastAsia="Palatino Linotype" w:cs="Palatino Linotype"/>
          <w:b/>
        </w:rPr>
        <w:t xml:space="preserve">de octubre </w:t>
      </w:r>
      <w:r w:rsidR="00962787" w:rsidRPr="00BC4DCB">
        <w:rPr>
          <w:rFonts w:eastAsia="Palatino Linotype" w:cs="Palatino Linotype"/>
          <w:b/>
        </w:rPr>
        <w:t>d</w:t>
      </w:r>
      <w:r w:rsidR="00657603" w:rsidRPr="00BC4DCB">
        <w:rPr>
          <w:rFonts w:eastAsia="Palatino Linotype" w:cs="Palatino Linotype"/>
          <w:b/>
        </w:rPr>
        <w:t>e dos mil veintic</w:t>
      </w:r>
      <w:r w:rsidR="009A1340" w:rsidRPr="00BC4DCB">
        <w:rPr>
          <w:rFonts w:eastAsia="Palatino Linotype" w:cs="Palatino Linotype"/>
          <w:b/>
        </w:rPr>
        <w:t>inco</w:t>
      </w:r>
      <w:r w:rsidRPr="00BC4DCB">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BC4DCB">
        <w:rPr>
          <w:rFonts w:cs="Arial"/>
          <w:color w:val="000000" w:themeColor="text1"/>
        </w:rPr>
        <w:t>, fracción II</w:t>
      </w:r>
      <w:r w:rsidRPr="00BC4DCB">
        <w:rPr>
          <w:rFonts w:cs="Arial"/>
          <w:color w:val="000000" w:themeColor="text1"/>
        </w:rPr>
        <w:t xml:space="preserve"> de la Ley de Transparencia y Acceso a la Información Pública del Estado de México y Municipios.</w:t>
      </w:r>
    </w:p>
    <w:p w14:paraId="34EC3F86" w14:textId="77777777" w:rsidR="00D2790D" w:rsidRPr="00BC4DCB" w:rsidRDefault="00D2790D" w:rsidP="000E09C4">
      <w:pPr>
        <w:rPr>
          <w:rFonts w:cs="Arial"/>
          <w:color w:val="000000" w:themeColor="text1"/>
        </w:rPr>
      </w:pPr>
    </w:p>
    <w:p w14:paraId="305F9725" w14:textId="77777777" w:rsidR="00FF30FD" w:rsidRPr="00BC4DCB" w:rsidRDefault="00FF30FD" w:rsidP="00FF30FD">
      <w:pPr>
        <w:pStyle w:val="Ttulo3"/>
      </w:pPr>
      <w:bookmarkStart w:id="23" w:name="_Toc198720108"/>
      <w:bookmarkStart w:id="24" w:name="_Toc213867982"/>
      <w:r w:rsidRPr="00BC4DCB">
        <w:t>d) Informe Justificado del Sujeto Obligado</w:t>
      </w:r>
      <w:bookmarkEnd w:id="23"/>
      <w:bookmarkEnd w:id="24"/>
    </w:p>
    <w:p w14:paraId="271257FC" w14:textId="77777777" w:rsidR="001817F9" w:rsidRPr="00BC4DCB" w:rsidRDefault="001817F9" w:rsidP="001817F9">
      <w:pPr>
        <w:rPr>
          <w:rFonts w:eastAsia="Arial Unicode MS" w:cs="Arial"/>
          <w:color w:val="000000" w:themeColor="text1"/>
        </w:rPr>
      </w:pPr>
      <w:r w:rsidRPr="00BC4DCB">
        <w:rPr>
          <w:rFonts w:cs="Tahoma"/>
          <w:b/>
          <w:szCs w:val="24"/>
        </w:rPr>
        <w:t xml:space="preserve">EL SUJETO OBLIGADO </w:t>
      </w:r>
      <w:r w:rsidRPr="00BC4DCB">
        <w:rPr>
          <w:rFonts w:eastAsia="Arial Unicode MS" w:cs="Arial"/>
          <w:color w:val="000000" w:themeColor="text1"/>
        </w:rPr>
        <w:t>no rindió su informe justificado dentro del término legalmente concedido para tal efecto.</w:t>
      </w:r>
    </w:p>
    <w:p w14:paraId="61754587" w14:textId="77777777" w:rsidR="00FF30FD" w:rsidRPr="00BC4DCB" w:rsidRDefault="00FF30FD" w:rsidP="00FF30FD">
      <w:pPr>
        <w:rPr>
          <w:rFonts w:cs="Tahoma"/>
          <w:bCs/>
          <w:szCs w:val="24"/>
        </w:rPr>
      </w:pPr>
    </w:p>
    <w:p w14:paraId="6AF9279A" w14:textId="77777777" w:rsidR="00FF30FD" w:rsidRPr="00BC4DCB" w:rsidRDefault="00FF30FD" w:rsidP="00FF30FD">
      <w:pPr>
        <w:pStyle w:val="Ttulo3"/>
        <w:rPr>
          <w:lang w:val="es-ES"/>
        </w:rPr>
      </w:pPr>
      <w:bookmarkStart w:id="25" w:name="_Toc198720109"/>
      <w:bookmarkStart w:id="26" w:name="_Toc213867983"/>
      <w:r w:rsidRPr="00BC4DCB">
        <w:rPr>
          <w:rFonts w:eastAsia="Calibri"/>
          <w:bCs/>
          <w:lang w:eastAsia="en-US"/>
        </w:rPr>
        <w:t>e)</w:t>
      </w:r>
      <w:r w:rsidRPr="00BC4DCB">
        <w:t xml:space="preserve"> </w:t>
      </w:r>
      <w:r w:rsidRPr="00BC4DCB">
        <w:rPr>
          <w:lang w:val="es-ES"/>
        </w:rPr>
        <w:t>Manifestaciones de la Parte Recurrente</w:t>
      </w:r>
      <w:bookmarkEnd w:id="25"/>
      <w:bookmarkEnd w:id="26"/>
    </w:p>
    <w:p w14:paraId="73713DCC" w14:textId="77777777" w:rsidR="00FF30FD" w:rsidRPr="00BC4DCB" w:rsidRDefault="00FF30FD" w:rsidP="00FF30FD">
      <w:pPr>
        <w:rPr>
          <w:rFonts w:eastAsia="Arial Unicode MS" w:cs="Arial"/>
          <w:color w:val="000000" w:themeColor="text1"/>
        </w:rPr>
      </w:pPr>
      <w:r w:rsidRPr="00BC4DCB">
        <w:rPr>
          <w:rFonts w:cs="Tahoma"/>
          <w:b/>
          <w:szCs w:val="24"/>
        </w:rPr>
        <w:t xml:space="preserve">LA PARTE RECURRENTE </w:t>
      </w:r>
      <w:r w:rsidRPr="00BC4DCB">
        <w:rPr>
          <w:rFonts w:eastAsia="Arial Unicode MS" w:cs="Arial"/>
          <w:color w:val="000000" w:themeColor="text1"/>
        </w:rPr>
        <w:t>no realizó manifestación alguna dentro del término legalmente concedido para tal efecto, ni presentó pruebas o alegatos.</w:t>
      </w:r>
    </w:p>
    <w:p w14:paraId="2CBB8164" w14:textId="77777777" w:rsidR="00FF30FD" w:rsidRPr="00BC4DCB" w:rsidRDefault="00FF30FD" w:rsidP="000E09C4">
      <w:pPr>
        <w:rPr>
          <w:rFonts w:cs="Arial"/>
          <w:color w:val="000000" w:themeColor="text1"/>
        </w:rPr>
      </w:pPr>
    </w:p>
    <w:p w14:paraId="0E651988" w14:textId="10B87FBF" w:rsidR="00664420" w:rsidRPr="00BC4DCB" w:rsidRDefault="00AC5BC1" w:rsidP="00664420">
      <w:pPr>
        <w:pStyle w:val="Ttulo3"/>
      </w:pPr>
      <w:bookmarkStart w:id="27" w:name="_Toc172051809"/>
      <w:bookmarkStart w:id="28" w:name="_Toc178101309"/>
      <w:bookmarkStart w:id="29" w:name="_Toc213867984"/>
      <w:r w:rsidRPr="00BC4DCB">
        <w:rPr>
          <w:lang w:val="es-ES"/>
        </w:rPr>
        <w:t>f</w:t>
      </w:r>
      <w:r w:rsidR="003F3B84" w:rsidRPr="00BC4DCB">
        <w:rPr>
          <w:lang w:val="es-ES"/>
        </w:rPr>
        <w:t xml:space="preserve">) </w:t>
      </w:r>
      <w:bookmarkEnd w:id="27"/>
      <w:bookmarkEnd w:id="28"/>
      <w:r w:rsidR="00664420" w:rsidRPr="00BC4DCB">
        <w:t>Cierre de instrucción</w:t>
      </w:r>
      <w:bookmarkEnd w:id="29"/>
    </w:p>
    <w:p w14:paraId="79AF95DC" w14:textId="5A16424F" w:rsidR="00664420" w:rsidRPr="00BC4DCB" w:rsidRDefault="00BF091A" w:rsidP="00664420">
      <w:pPr>
        <w:rPr>
          <w:color w:val="000000" w:themeColor="text1"/>
        </w:rPr>
      </w:pPr>
      <w:r w:rsidRPr="00BC4DCB">
        <w:rPr>
          <w:rFonts w:cs="Tahoma"/>
          <w:szCs w:val="22"/>
        </w:rPr>
        <w:t>Al no existir diligencias pendientes por desahogar</w:t>
      </w:r>
      <w:r w:rsidRPr="00BC4DCB">
        <w:rPr>
          <w:rFonts w:cs="Arial"/>
          <w:color w:val="000000" w:themeColor="text1"/>
        </w:rPr>
        <w:t xml:space="preserve">, el </w:t>
      </w:r>
      <w:bookmarkStart w:id="30" w:name="_Hlk104892386"/>
      <w:r w:rsidR="001817F9" w:rsidRPr="00BC4DCB">
        <w:rPr>
          <w:rFonts w:cs="Arial"/>
          <w:b/>
          <w:color w:val="000000" w:themeColor="text1"/>
        </w:rPr>
        <w:t>trece</w:t>
      </w:r>
      <w:r w:rsidR="00AC5BC1" w:rsidRPr="00BC4DCB">
        <w:rPr>
          <w:rFonts w:cs="Arial"/>
          <w:b/>
          <w:color w:val="000000" w:themeColor="text1"/>
        </w:rPr>
        <w:t xml:space="preserve"> </w:t>
      </w:r>
      <w:r w:rsidR="00BA08F8" w:rsidRPr="00BC4DCB">
        <w:rPr>
          <w:rFonts w:cs="Arial"/>
          <w:b/>
          <w:color w:val="000000" w:themeColor="text1"/>
        </w:rPr>
        <w:t xml:space="preserve">de noviembre </w:t>
      </w:r>
      <w:r w:rsidR="009A1340" w:rsidRPr="00BC4DCB">
        <w:rPr>
          <w:rFonts w:cs="Arial"/>
          <w:b/>
          <w:color w:val="000000" w:themeColor="text1"/>
        </w:rPr>
        <w:t xml:space="preserve">de dos mil veinticinco </w:t>
      </w:r>
      <w:bookmarkEnd w:id="30"/>
      <w:r w:rsidRPr="00BC4DCB">
        <w:rPr>
          <w:rFonts w:cs="Arial"/>
          <w:color w:val="000000" w:themeColor="text1"/>
        </w:rPr>
        <w:t xml:space="preserve">la </w:t>
      </w:r>
      <w:r w:rsidRPr="00BC4DCB">
        <w:rPr>
          <w:rFonts w:cs="Arial"/>
          <w:b/>
          <w:bCs/>
          <w:color w:val="000000" w:themeColor="text1"/>
        </w:rPr>
        <w:t xml:space="preserve">Comisionada </w:t>
      </w:r>
      <w:r w:rsidRPr="00BC4DCB">
        <w:rPr>
          <w:b/>
          <w:color w:val="000000" w:themeColor="text1"/>
        </w:rPr>
        <w:t xml:space="preserve">Sharon Cristina Morales Martínez </w:t>
      </w:r>
      <w:r w:rsidRPr="00BC4DCB">
        <w:rPr>
          <w:rFonts w:cs="Arial"/>
          <w:color w:val="000000" w:themeColor="text1"/>
        </w:rPr>
        <w:t>acordó el cierre de instrucción</w:t>
      </w:r>
      <w:r w:rsidR="0011350D" w:rsidRPr="00BC4DCB">
        <w:rPr>
          <w:rFonts w:cs="Arial"/>
          <w:color w:val="000000" w:themeColor="text1"/>
        </w:rPr>
        <w:t xml:space="preserve"> </w:t>
      </w:r>
      <w:r w:rsidR="0011350D" w:rsidRPr="00BC4DCB">
        <w:rPr>
          <w:rFonts w:cs="Arial"/>
          <w:color w:val="000000" w:themeColor="text1"/>
        </w:rPr>
        <w:lastRenderedPageBreak/>
        <w:t>y</w:t>
      </w:r>
      <w:r w:rsidRPr="00BC4DCB">
        <w:rPr>
          <w:rFonts w:cs="Arial"/>
          <w:color w:val="000000" w:themeColor="text1"/>
        </w:rPr>
        <w:t xml:space="preserve"> </w:t>
      </w:r>
      <w:r w:rsidR="0011350D" w:rsidRPr="00BC4DCB">
        <w:rPr>
          <w:rFonts w:cs="Arial"/>
          <w:color w:val="000000" w:themeColor="text1"/>
        </w:rPr>
        <w:t xml:space="preserve">la </w:t>
      </w:r>
      <w:r w:rsidRPr="00BC4DCB">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BC4DCB">
        <w:rPr>
          <w:color w:val="000000" w:themeColor="text1"/>
        </w:rPr>
        <w:t>.</w:t>
      </w:r>
      <w:r w:rsidR="0011350D" w:rsidRPr="00BC4DCB">
        <w:rPr>
          <w:color w:val="000000" w:themeColor="text1"/>
        </w:rPr>
        <w:t xml:space="preserve"> Dicho acuerdo </w:t>
      </w:r>
      <w:r w:rsidR="00664420" w:rsidRPr="00BC4DCB">
        <w:rPr>
          <w:rFonts w:cs="Tahoma"/>
          <w:szCs w:val="22"/>
        </w:rPr>
        <w:t xml:space="preserve">fue notificado a las partes el mismo día a través del </w:t>
      </w:r>
      <w:r w:rsidR="00664420" w:rsidRPr="00BC4DCB">
        <w:rPr>
          <w:rFonts w:cs="Tahoma"/>
          <w:szCs w:val="22"/>
          <w:lang w:val="es-ES"/>
        </w:rPr>
        <w:t>SAIMEX</w:t>
      </w:r>
      <w:r w:rsidR="00664420" w:rsidRPr="00BC4DCB">
        <w:rPr>
          <w:rFonts w:cs="Tahoma"/>
          <w:szCs w:val="22"/>
        </w:rPr>
        <w:t>.</w:t>
      </w:r>
    </w:p>
    <w:p w14:paraId="741683E3" w14:textId="77777777" w:rsidR="0011350D" w:rsidRPr="00BC4DCB" w:rsidRDefault="0011350D" w:rsidP="00664420">
      <w:pPr>
        <w:rPr>
          <w:rFonts w:cs="Tahoma"/>
          <w:color w:val="000000"/>
          <w:szCs w:val="22"/>
        </w:rPr>
      </w:pPr>
    </w:p>
    <w:p w14:paraId="7A9629DE" w14:textId="77777777" w:rsidR="00664420" w:rsidRPr="00BC4DCB" w:rsidRDefault="00664420" w:rsidP="00664420">
      <w:pPr>
        <w:pStyle w:val="Ttulo1"/>
        <w:rPr>
          <w:rFonts w:eastAsiaTheme="minorHAnsi"/>
          <w:lang w:eastAsia="en-US"/>
        </w:rPr>
      </w:pPr>
      <w:bookmarkStart w:id="31" w:name="_Toc213867985"/>
      <w:r w:rsidRPr="00BC4DCB">
        <w:rPr>
          <w:rFonts w:eastAsiaTheme="minorHAnsi"/>
          <w:lang w:eastAsia="en-US"/>
        </w:rPr>
        <w:t>CONSIDERANDOS</w:t>
      </w:r>
      <w:bookmarkEnd w:id="31"/>
    </w:p>
    <w:p w14:paraId="6DD1243B" w14:textId="77777777" w:rsidR="00664420" w:rsidRPr="00BC4DCB" w:rsidRDefault="00664420" w:rsidP="00664420">
      <w:pPr>
        <w:contextualSpacing/>
        <w:jc w:val="center"/>
        <w:rPr>
          <w:rFonts w:eastAsiaTheme="minorHAnsi" w:cs="Tahoma"/>
          <w:b/>
          <w:color w:val="000000" w:themeColor="text1"/>
          <w:szCs w:val="22"/>
          <w:lang w:eastAsia="en-US"/>
        </w:rPr>
      </w:pPr>
    </w:p>
    <w:p w14:paraId="0B67CB92" w14:textId="2E307D3B" w:rsidR="00664420" w:rsidRPr="00BC4DCB" w:rsidRDefault="00664420" w:rsidP="00AE3DA7">
      <w:pPr>
        <w:pStyle w:val="Ttulo2"/>
        <w:rPr>
          <w:rFonts w:eastAsia="Batang"/>
        </w:rPr>
      </w:pPr>
      <w:bookmarkStart w:id="32" w:name="_Toc213867986"/>
      <w:r w:rsidRPr="00BC4DCB">
        <w:rPr>
          <w:rFonts w:eastAsia="Batang"/>
        </w:rPr>
        <w:t xml:space="preserve">PRIMERO. </w:t>
      </w:r>
      <w:r w:rsidR="00BA55A8" w:rsidRPr="00BC4DCB">
        <w:rPr>
          <w:rFonts w:eastAsia="Batang"/>
        </w:rPr>
        <w:t>Procedibilidad</w:t>
      </w:r>
      <w:bookmarkEnd w:id="32"/>
    </w:p>
    <w:p w14:paraId="39C52BC1" w14:textId="56FCC20D" w:rsidR="00BA55A8" w:rsidRPr="00BC4DCB" w:rsidRDefault="00BA55A8" w:rsidP="00BA55A8">
      <w:pPr>
        <w:pStyle w:val="Ttulo3"/>
      </w:pPr>
      <w:bookmarkStart w:id="33" w:name="_Toc213867987"/>
      <w:r w:rsidRPr="00BC4DCB">
        <w:t>a) Competencia</w:t>
      </w:r>
      <w:r w:rsidR="00150C49" w:rsidRPr="00BC4DCB">
        <w:t xml:space="preserve"> del Instituto</w:t>
      </w:r>
      <w:bookmarkEnd w:id="33"/>
    </w:p>
    <w:p w14:paraId="56E64942" w14:textId="13ACDD75" w:rsidR="0011350D" w:rsidRPr="00BC4DCB" w:rsidRDefault="0011350D" w:rsidP="0011350D">
      <w:pPr>
        <w:rPr>
          <w:rFonts w:cs="Arial"/>
          <w:color w:val="000000" w:themeColor="text1"/>
        </w:rPr>
      </w:pPr>
      <w:r w:rsidRPr="00BC4DCB">
        <w:rPr>
          <w:color w:val="000000" w:themeColor="text1"/>
        </w:rPr>
        <w:t xml:space="preserve">Este Instituto de Transparencia, Acceso a la Información Pública y Protección de Datos Personales del Estado de México y Municipios es competente para conocer y resolver </w:t>
      </w:r>
      <w:r w:rsidR="005F65B7" w:rsidRPr="00BC4DCB">
        <w:rPr>
          <w:color w:val="000000" w:themeColor="text1"/>
        </w:rPr>
        <w:t xml:space="preserve">el </w:t>
      </w:r>
      <w:r w:rsidRPr="00BC4DCB">
        <w:rPr>
          <w:color w:val="000000" w:themeColor="text1"/>
        </w:rPr>
        <w:t xml:space="preserve">presente Recurso de Revisión, conforme a lo dispuesto en los artículos 6, Apartado A de la Constitución Política de los Estados Unidos Mexicanos; 5, </w:t>
      </w:r>
      <w:r w:rsidR="00674AB3" w:rsidRPr="00BC4DCB">
        <w:rPr>
          <w:bCs/>
          <w:color w:val="000000" w:themeColor="text1"/>
        </w:rPr>
        <w:t xml:space="preserve">párrafos trigésimo noveno, cuadragésimo y cuadragésimo primero, fracciones IV y V, </w:t>
      </w:r>
      <w:r w:rsidRPr="00BC4DCB">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BC4DCB">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BC4DCB" w:rsidRDefault="00DB1C09" w:rsidP="0011350D">
      <w:pPr>
        <w:rPr>
          <w:rFonts w:cs="Arial"/>
          <w:color w:val="000000" w:themeColor="text1"/>
        </w:rPr>
      </w:pPr>
    </w:p>
    <w:p w14:paraId="517A2DD6" w14:textId="4169BE4D" w:rsidR="00664420" w:rsidRPr="00BC4DCB" w:rsidRDefault="00BA55A8" w:rsidP="00BA55A8">
      <w:pPr>
        <w:pStyle w:val="Ttulo3"/>
      </w:pPr>
      <w:bookmarkStart w:id="34" w:name="_Toc213867988"/>
      <w:r w:rsidRPr="00BC4DCB">
        <w:t>b)</w:t>
      </w:r>
      <w:r w:rsidR="00664420" w:rsidRPr="00BC4DCB">
        <w:t xml:space="preserve"> </w:t>
      </w:r>
      <w:r w:rsidR="00D91CB4" w:rsidRPr="00BC4DCB">
        <w:t>Legitimidad</w:t>
      </w:r>
      <w:r w:rsidRPr="00BC4DCB">
        <w:t xml:space="preserve"> de la parte recurrente</w:t>
      </w:r>
      <w:bookmarkEnd w:id="34"/>
    </w:p>
    <w:p w14:paraId="26FEA382" w14:textId="0B06695C" w:rsidR="00D91CB4" w:rsidRPr="00BC4DCB" w:rsidRDefault="00D91CB4" w:rsidP="00D91CB4">
      <w:pPr>
        <w:rPr>
          <w:rFonts w:cs="Arial"/>
          <w:bCs/>
          <w:color w:val="000000" w:themeColor="text1"/>
        </w:rPr>
      </w:pPr>
      <w:r w:rsidRPr="00BC4DCB">
        <w:rPr>
          <w:rFonts w:cs="Arial"/>
          <w:bCs/>
          <w:color w:val="000000" w:themeColor="text1"/>
        </w:rPr>
        <w:t>El recurso de revisión fue interpuesto por parte legítima, ya que se presentó por la misma persona que formuló la solicitud de acceso a la Información Pública,</w:t>
      </w:r>
      <w:r w:rsidRPr="00BC4DCB">
        <w:rPr>
          <w:rFonts w:cs="Arial"/>
          <w:b/>
          <w:bCs/>
          <w:color w:val="000000" w:themeColor="text1"/>
        </w:rPr>
        <w:t xml:space="preserve"> </w:t>
      </w:r>
      <w:r w:rsidRPr="00BC4DCB">
        <w:rPr>
          <w:rFonts w:cs="Arial"/>
          <w:color w:val="000000" w:themeColor="text1"/>
        </w:rPr>
        <w:t>debido a que los datos de acceso</w:t>
      </w:r>
      <w:r w:rsidRPr="00BC4DCB">
        <w:rPr>
          <w:rFonts w:cs="Arial"/>
          <w:b/>
          <w:bCs/>
          <w:color w:val="000000" w:themeColor="text1"/>
        </w:rPr>
        <w:t xml:space="preserve"> </w:t>
      </w:r>
      <w:r w:rsidRPr="00BC4DCB">
        <w:rPr>
          <w:rFonts w:cs="Arial"/>
          <w:b/>
          <w:color w:val="000000" w:themeColor="text1"/>
        </w:rPr>
        <w:t>SAIMEX</w:t>
      </w:r>
      <w:r w:rsidRPr="00BC4DCB">
        <w:rPr>
          <w:rFonts w:eastAsia="Calibri" w:cs="Arial"/>
          <w:color w:val="000000" w:themeColor="text1"/>
          <w:lang w:eastAsia="en-US"/>
        </w:rPr>
        <w:t xml:space="preserve"> son personales e irrepetibles.</w:t>
      </w:r>
    </w:p>
    <w:p w14:paraId="2C367810" w14:textId="77777777" w:rsidR="00D91CB4" w:rsidRPr="00BC4DCB" w:rsidRDefault="00D91CB4" w:rsidP="00D91CB4"/>
    <w:p w14:paraId="5C5FA5A8" w14:textId="77777777" w:rsidR="004565C2" w:rsidRPr="00BC4DCB" w:rsidRDefault="004565C2" w:rsidP="004565C2">
      <w:pPr>
        <w:pStyle w:val="Ttulo3"/>
        <w:rPr>
          <w:rFonts w:eastAsia="Calibri"/>
          <w:lang w:eastAsia="es-ES_tradnl"/>
        </w:rPr>
      </w:pPr>
      <w:bookmarkStart w:id="35" w:name="_Toc170932820"/>
      <w:bookmarkStart w:id="36" w:name="_Toc213867989"/>
      <w:r w:rsidRPr="00BC4DCB">
        <w:rPr>
          <w:rFonts w:eastAsia="Calibri"/>
          <w:lang w:eastAsia="es-ES_tradnl"/>
        </w:rPr>
        <w:lastRenderedPageBreak/>
        <w:t>c) Plazo para interponer el recurso</w:t>
      </w:r>
      <w:bookmarkEnd w:id="35"/>
      <w:bookmarkEnd w:id="36"/>
    </w:p>
    <w:p w14:paraId="5C63152A" w14:textId="7F1DB755" w:rsidR="004565C2" w:rsidRPr="00BC4DCB" w:rsidRDefault="004565C2" w:rsidP="004565C2">
      <w:pPr>
        <w:rPr>
          <w:rFonts w:eastAsiaTheme="minorEastAsia" w:cs="Arial"/>
          <w:color w:val="000000" w:themeColor="text1"/>
          <w:lang w:val="es-ES_tradnl"/>
        </w:rPr>
      </w:pPr>
      <w:r w:rsidRPr="00BC4DCB">
        <w:rPr>
          <w:rFonts w:cs="Arial"/>
          <w:b/>
          <w:color w:val="000000" w:themeColor="text1"/>
        </w:rPr>
        <w:t>EL SUJETO OBLIGADO</w:t>
      </w:r>
      <w:r w:rsidRPr="00BC4DCB">
        <w:rPr>
          <w:rFonts w:cs="Arial"/>
          <w:color w:val="000000" w:themeColor="text1"/>
        </w:rPr>
        <w:t xml:space="preserve"> notificó la respuesta a la solicitud de acceso a la Información Pública el </w:t>
      </w:r>
      <w:r w:rsidR="001817F9" w:rsidRPr="00BC4DCB">
        <w:rPr>
          <w:rFonts w:eastAsia="Palatino Linotype" w:cs="Palatino Linotype"/>
          <w:b/>
        </w:rPr>
        <w:t xml:space="preserve">diecisiete de octubre </w:t>
      </w:r>
      <w:r w:rsidR="00BA08F8" w:rsidRPr="00BC4DCB">
        <w:rPr>
          <w:rFonts w:eastAsia="Palatino Linotype" w:cs="Palatino Linotype"/>
          <w:b/>
        </w:rPr>
        <w:t>d</w:t>
      </w:r>
      <w:r w:rsidR="009A1340" w:rsidRPr="00BC4DCB">
        <w:rPr>
          <w:rFonts w:eastAsia="Palatino Linotype" w:cs="Palatino Linotype"/>
          <w:b/>
        </w:rPr>
        <w:t xml:space="preserve">e dos mil veinticinco </w:t>
      </w:r>
      <w:r w:rsidRPr="00BC4DCB">
        <w:rPr>
          <w:rFonts w:cs="Arial"/>
          <w:color w:val="000000" w:themeColor="text1"/>
        </w:rPr>
        <w:t xml:space="preserve">y el recurso </w:t>
      </w:r>
      <w:r w:rsidRPr="00BC4DCB">
        <w:rPr>
          <w:rFonts w:eastAsia="Palatino Linotype" w:cs="Palatino Linotype"/>
          <w:color w:val="000000" w:themeColor="text1"/>
        </w:rPr>
        <w:t xml:space="preserve">que nos ocupa se </w:t>
      </w:r>
      <w:r w:rsidR="00E27023" w:rsidRPr="00BC4DCB">
        <w:rPr>
          <w:rFonts w:eastAsia="Palatino Linotype" w:cs="Palatino Linotype"/>
          <w:color w:val="000000" w:themeColor="text1"/>
        </w:rPr>
        <w:t xml:space="preserve">tuvo por </w:t>
      </w:r>
      <w:r w:rsidRPr="00BC4DCB">
        <w:rPr>
          <w:rFonts w:eastAsia="Palatino Linotype" w:cs="Palatino Linotype"/>
          <w:color w:val="000000" w:themeColor="text1"/>
        </w:rPr>
        <w:t>interpu</w:t>
      </w:r>
      <w:r w:rsidR="00E27023" w:rsidRPr="00BC4DCB">
        <w:rPr>
          <w:rFonts w:eastAsia="Palatino Linotype" w:cs="Palatino Linotype"/>
          <w:color w:val="000000" w:themeColor="text1"/>
        </w:rPr>
        <w:t>esto</w:t>
      </w:r>
      <w:r w:rsidRPr="00BC4DCB">
        <w:rPr>
          <w:rFonts w:eastAsia="Palatino Linotype" w:cs="Palatino Linotype"/>
          <w:color w:val="000000" w:themeColor="text1"/>
        </w:rPr>
        <w:t xml:space="preserve"> el </w:t>
      </w:r>
      <w:r w:rsidR="001817F9" w:rsidRPr="00BC4DCB">
        <w:rPr>
          <w:rFonts w:eastAsia="Palatino Linotype" w:cs="Palatino Linotype"/>
          <w:b/>
          <w:color w:val="000000" w:themeColor="text1"/>
        </w:rPr>
        <w:t xml:space="preserve">veinte </w:t>
      </w:r>
      <w:r w:rsidR="00AC5BC1" w:rsidRPr="00BC4DCB">
        <w:rPr>
          <w:rFonts w:eastAsia="Palatino Linotype" w:cs="Palatino Linotype"/>
          <w:b/>
          <w:color w:val="000000" w:themeColor="text1"/>
        </w:rPr>
        <w:t xml:space="preserve">de octubre </w:t>
      </w:r>
      <w:r w:rsidR="009A1340" w:rsidRPr="00BC4DCB">
        <w:rPr>
          <w:rFonts w:eastAsia="Palatino Linotype" w:cs="Palatino Linotype"/>
          <w:b/>
          <w:color w:val="000000" w:themeColor="text1"/>
        </w:rPr>
        <w:t>de dos mil veinticinco</w:t>
      </w:r>
      <w:r w:rsidRPr="00BC4DCB">
        <w:rPr>
          <w:rFonts w:eastAsia="Palatino Linotype" w:cs="Palatino Linotype"/>
          <w:bCs/>
          <w:color w:val="000000" w:themeColor="text1"/>
        </w:rPr>
        <w:t>;</w:t>
      </w:r>
      <w:r w:rsidRPr="00BC4DCB">
        <w:rPr>
          <w:rFonts w:eastAsia="Palatino Linotype" w:cs="Palatino Linotype"/>
          <w:color w:val="000000" w:themeColor="text1"/>
        </w:rPr>
        <w:t xml:space="preserve"> por lo tanto, éste se encuentra dentro del margen temporal previsto en el artículo 178 de la </w:t>
      </w:r>
      <w:r w:rsidRPr="00BC4DCB">
        <w:rPr>
          <w:rFonts w:cs="Arial"/>
          <w:color w:val="000000" w:themeColor="text1"/>
        </w:rPr>
        <w:t>Ley de Transparencia y Acceso a la Información Pública del Estado de México y Municipios</w:t>
      </w:r>
      <w:r w:rsidRPr="00BC4DCB">
        <w:rPr>
          <w:rFonts w:eastAsiaTheme="minorEastAsia" w:cs="Arial"/>
          <w:color w:val="000000" w:themeColor="text1"/>
          <w:lang w:val="es-ES_tradnl"/>
        </w:rPr>
        <w:t>.</w:t>
      </w:r>
    </w:p>
    <w:p w14:paraId="41262D82" w14:textId="77777777" w:rsidR="00813497" w:rsidRPr="00BC4DCB" w:rsidRDefault="00813497" w:rsidP="00D91CB4"/>
    <w:p w14:paraId="46C0EB3A" w14:textId="5A92AF42" w:rsidR="00A53315" w:rsidRPr="00BC4DCB" w:rsidRDefault="00BA55A8" w:rsidP="00362A11">
      <w:pPr>
        <w:pStyle w:val="Ttulo3"/>
        <w:rPr>
          <w:rFonts w:eastAsia="Calibri"/>
          <w:lang w:eastAsia="es-ES_tradnl"/>
        </w:rPr>
      </w:pPr>
      <w:bookmarkStart w:id="37" w:name="_Toc213867990"/>
      <w:r w:rsidRPr="00BC4DCB">
        <w:rPr>
          <w:rFonts w:eastAsia="Calibri"/>
          <w:lang w:eastAsia="es-ES_tradnl"/>
        </w:rPr>
        <w:t>d)</w:t>
      </w:r>
      <w:r w:rsidR="00D91CB4" w:rsidRPr="00BC4DCB">
        <w:rPr>
          <w:rFonts w:eastAsia="Calibri"/>
          <w:lang w:eastAsia="es-ES_tradnl"/>
        </w:rPr>
        <w:t xml:space="preserve"> </w:t>
      </w:r>
      <w:r w:rsidR="004565C2" w:rsidRPr="00BC4DCB">
        <w:rPr>
          <w:rFonts w:eastAsia="Calibri"/>
          <w:lang w:eastAsia="es-ES_tradnl"/>
        </w:rPr>
        <w:t>Causal de procedencia</w:t>
      </w:r>
      <w:bookmarkEnd w:id="37"/>
    </w:p>
    <w:p w14:paraId="190404A6" w14:textId="0CA893DE" w:rsidR="00BA55A8" w:rsidRPr="00BC4DCB" w:rsidRDefault="00BA55A8" w:rsidP="00BA55A8">
      <w:r w:rsidRPr="00BC4DCB">
        <w:rPr>
          <w:rFonts w:cs="Arial"/>
        </w:rPr>
        <w:t xml:space="preserve">Resulta procedente la interposición del recurso de revisión, ya que </w:t>
      </w:r>
      <w:r w:rsidRPr="00BC4DCB">
        <w:rPr>
          <w:rFonts w:eastAsia="Calibri" w:cs="Tahoma"/>
          <w:color w:val="000000"/>
          <w:szCs w:val="22"/>
          <w:lang w:eastAsia="es-MX"/>
        </w:rPr>
        <w:t>se actualiza la causal de procedencia señalada en el artículo 179, fracci</w:t>
      </w:r>
      <w:r w:rsidR="00AC5BC1" w:rsidRPr="00BC4DCB">
        <w:rPr>
          <w:rFonts w:eastAsia="Calibri" w:cs="Tahoma"/>
          <w:color w:val="000000"/>
          <w:szCs w:val="22"/>
          <w:lang w:eastAsia="es-MX"/>
        </w:rPr>
        <w:t xml:space="preserve">ón </w:t>
      </w:r>
      <w:r w:rsidR="001817F9" w:rsidRPr="00BC4DCB">
        <w:rPr>
          <w:rFonts w:eastAsia="Calibri" w:cs="Tahoma"/>
          <w:color w:val="000000"/>
          <w:szCs w:val="22"/>
          <w:lang w:eastAsia="es-MX"/>
        </w:rPr>
        <w:t xml:space="preserve">I </w:t>
      </w:r>
      <w:r w:rsidRPr="00BC4DCB">
        <w:rPr>
          <w:rFonts w:cs="Arial"/>
        </w:rPr>
        <w:t xml:space="preserve">de la </w:t>
      </w:r>
      <w:r w:rsidRPr="00BC4DCB">
        <w:t>Ley de Transparencia y Acceso a la Información Pública del Estado de México y Municipios.</w:t>
      </w:r>
    </w:p>
    <w:p w14:paraId="0EFF7141" w14:textId="77777777" w:rsidR="00362A11" w:rsidRPr="00BC4DCB" w:rsidRDefault="00362A11" w:rsidP="00BA55A8"/>
    <w:p w14:paraId="2284D7EB" w14:textId="3EE1D036" w:rsidR="00BA55A8" w:rsidRPr="00BC4DCB" w:rsidRDefault="00362A11" w:rsidP="00362A11">
      <w:pPr>
        <w:pStyle w:val="Ttulo3"/>
      </w:pPr>
      <w:bookmarkStart w:id="38" w:name="_Toc213867991"/>
      <w:r w:rsidRPr="00BC4DCB">
        <w:t>e) Requisitos formales para la interposición del recurso</w:t>
      </w:r>
      <w:bookmarkEnd w:id="38"/>
    </w:p>
    <w:p w14:paraId="677C7009" w14:textId="77777777" w:rsidR="00185C7C" w:rsidRPr="00BC4DCB" w:rsidRDefault="00185C7C" w:rsidP="00185C7C">
      <w:pPr>
        <w:rPr>
          <w:rFonts w:cs="Arial"/>
        </w:rPr>
      </w:pPr>
      <w:r w:rsidRPr="00BC4DCB">
        <w:rPr>
          <w:rFonts w:cs="Arial"/>
          <w:b/>
          <w:bCs/>
        </w:rPr>
        <w:t xml:space="preserve">LA PARTE RECURRENTE </w:t>
      </w:r>
      <w:r w:rsidRPr="00BC4DCB">
        <w:rPr>
          <w:rFonts w:cs="Arial"/>
        </w:rPr>
        <w:t>acreditó todos y cada uno de los elementos formales exigidos por el artículo 180 de la misma normatividad.</w:t>
      </w:r>
    </w:p>
    <w:p w14:paraId="2BE2EBCD" w14:textId="77777777" w:rsidR="00185C7C" w:rsidRPr="00BC4DCB" w:rsidRDefault="00185C7C" w:rsidP="00185C7C">
      <w:pPr>
        <w:rPr>
          <w:rFonts w:cs="Arial"/>
        </w:rPr>
      </w:pPr>
    </w:p>
    <w:p w14:paraId="0AEA6CC2" w14:textId="77777777" w:rsidR="00BA08F8" w:rsidRPr="00BC4DCB" w:rsidRDefault="00BA08F8" w:rsidP="00BA08F8">
      <w:pPr>
        <w:rPr>
          <w:rFonts w:cs="Arial"/>
          <w:lang w:val="es-ES"/>
        </w:rPr>
      </w:pPr>
      <w:r w:rsidRPr="00BC4DCB">
        <w:rPr>
          <w:rFonts w:cs="Arial"/>
          <w:lang w:val="es-ES"/>
        </w:rPr>
        <w:t xml:space="preserve">Sin embargo, es importante mencionar que, de la revisión de los expedientes electrónicos del </w:t>
      </w:r>
      <w:r w:rsidRPr="00BC4DCB">
        <w:rPr>
          <w:rFonts w:cs="Arial"/>
          <w:b/>
          <w:bCs/>
          <w:lang w:val="es-ES"/>
        </w:rPr>
        <w:t>SAIMEX</w:t>
      </w:r>
      <w:r w:rsidRPr="00BC4DCB">
        <w:rPr>
          <w:rFonts w:cs="Arial"/>
          <w:bCs/>
          <w:lang w:val="es-ES"/>
        </w:rPr>
        <w:t>,</w:t>
      </w:r>
      <w:r w:rsidRPr="00BC4DCB">
        <w:rPr>
          <w:rFonts w:cs="Arial"/>
          <w:lang w:val="es-ES"/>
        </w:rPr>
        <w:t xml:space="preserve"> se observa que </w:t>
      </w:r>
      <w:r w:rsidRPr="00BC4DCB">
        <w:rPr>
          <w:rFonts w:cs="Arial"/>
          <w:b/>
          <w:bCs/>
          <w:lang w:val="es-ES"/>
        </w:rPr>
        <w:t>LA PARTE RECURRENTE</w:t>
      </w:r>
      <w:r w:rsidRPr="00BC4DCB">
        <w:rPr>
          <w:rFonts w:cs="Arial"/>
          <w:lang w:val="es-ES"/>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w:t>
      </w:r>
      <w:r w:rsidRPr="00BC4DCB">
        <w:rPr>
          <w:rFonts w:cs="Arial"/>
          <w:iCs/>
          <w:lang w:val="es-ES"/>
        </w:rPr>
        <w:t xml:space="preserve">prevé que </w:t>
      </w:r>
      <w:r w:rsidRPr="00BC4DCB">
        <w:rPr>
          <w:rFonts w:cs="Arial"/>
          <w:lang w:val="es-ES"/>
        </w:rPr>
        <w:t xml:space="preserve">toda persona tendrá acceso a la información sin necesidad de acreditar interés alguno o justificar su utilización, de lo que se infiere que </w:t>
      </w:r>
      <w:r w:rsidRPr="00BC4DCB">
        <w:rPr>
          <w:rFonts w:cs="Arial"/>
          <w:b/>
          <w:u w:val="single"/>
          <w:lang w:val="es-ES"/>
        </w:rPr>
        <w:t xml:space="preserve">el nombre no es un requisito </w:t>
      </w:r>
      <w:r w:rsidRPr="00BC4DCB">
        <w:rPr>
          <w:rFonts w:cs="Arial"/>
          <w:b/>
          <w:iCs/>
          <w:u w:val="single"/>
          <w:lang w:val="es-ES"/>
        </w:rPr>
        <w:t>indispensable</w:t>
      </w:r>
      <w:r w:rsidRPr="00BC4DCB">
        <w:rPr>
          <w:rFonts w:cs="Arial"/>
          <w:lang w:val="es-ES"/>
        </w:rPr>
        <w:t xml:space="preserve"> para que las y los ciudadanos ejerzan el derecho de acceso a la información pública. </w:t>
      </w:r>
    </w:p>
    <w:p w14:paraId="5E5B0998" w14:textId="77777777" w:rsidR="00BA08F8" w:rsidRPr="00BC4DCB" w:rsidRDefault="00BA08F8" w:rsidP="00BA08F8">
      <w:pPr>
        <w:rPr>
          <w:rFonts w:cs="Arial"/>
          <w:lang w:val="es-ES"/>
        </w:rPr>
      </w:pPr>
    </w:p>
    <w:p w14:paraId="658BF21F" w14:textId="77777777" w:rsidR="00BA08F8" w:rsidRPr="00BC4DCB" w:rsidRDefault="00BA08F8" w:rsidP="00BA08F8">
      <w:pPr>
        <w:rPr>
          <w:rFonts w:cs="Arial"/>
          <w:lang w:val="es-ES"/>
        </w:rPr>
      </w:pPr>
      <w:r w:rsidRPr="00BC4DCB">
        <w:rPr>
          <w:rFonts w:cs="Arial"/>
          <w:lang w:val="es-ES"/>
        </w:rPr>
        <w:lastRenderedPageBreak/>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BC4DCB">
        <w:rPr>
          <w:rFonts w:cs="Arial"/>
          <w:b/>
          <w:bCs/>
          <w:lang w:val="es-ES"/>
        </w:rPr>
        <w:t>LA PARTE RECURRENTE</w:t>
      </w:r>
      <w:r w:rsidRPr="00BC4DCB">
        <w:rPr>
          <w:rFonts w:cs="Arial"/>
          <w:b/>
          <w:lang w:val="es-ES"/>
        </w:rPr>
        <w:t>;</w:t>
      </w:r>
      <w:r w:rsidRPr="00BC4DCB">
        <w:rPr>
          <w:rFonts w:cs="Arial"/>
          <w:lang w:val="es-ES"/>
        </w:rPr>
        <w:t xml:space="preserve"> por lo que, en el presente caso, al haber sido presentado el recurso de revisión vía </w:t>
      </w:r>
      <w:r w:rsidRPr="00BC4DCB">
        <w:rPr>
          <w:rFonts w:cs="Arial"/>
          <w:b/>
          <w:bCs/>
          <w:lang w:val="es-ES"/>
        </w:rPr>
        <w:t>SAIMEX</w:t>
      </w:r>
      <w:r w:rsidRPr="00BC4DCB">
        <w:rPr>
          <w:rFonts w:cs="Arial"/>
          <w:lang w:val="es-ES"/>
        </w:rPr>
        <w:t>, dicho requisito resulta innecesario.</w:t>
      </w:r>
    </w:p>
    <w:p w14:paraId="7CFF7CF3" w14:textId="77777777" w:rsidR="00BA08F8" w:rsidRPr="00BC4DCB" w:rsidRDefault="00BA08F8" w:rsidP="00185C7C">
      <w:pPr>
        <w:rPr>
          <w:rFonts w:cs="Arial"/>
          <w:lang w:val="es-ES"/>
        </w:rPr>
      </w:pPr>
    </w:p>
    <w:p w14:paraId="457548E9" w14:textId="3F7AF03B" w:rsidR="00C71CEF" w:rsidRPr="00BC4DCB" w:rsidRDefault="00C71CEF" w:rsidP="00C71CEF">
      <w:pPr>
        <w:pStyle w:val="Ttulo2"/>
      </w:pPr>
      <w:bookmarkStart w:id="39" w:name="_Toc213867992"/>
      <w:r w:rsidRPr="00BC4DCB">
        <w:t>SEGUNDO. Estudio de Fondo</w:t>
      </w:r>
      <w:bookmarkEnd w:id="39"/>
    </w:p>
    <w:p w14:paraId="2A308F59" w14:textId="0FF373F0" w:rsidR="00C049E2" w:rsidRPr="00BC4DCB" w:rsidRDefault="00C71CEF" w:rsidP="00A21A20">
      <w:pPr>
        <w:pStyle w:val="Ttulo3"/>
      </w:pPr>
      <w:bookmarkStart w:id="40" w:name="_Toc213867993"/>
      <w:r w:rsidRPr="00BC4DCB">
        <w:t>a</w:t>
      </w:r>
      <w:r w:rsidR="00C049E2" w:rsidRPr="00BC4DCB">
        <w:t>) Mandato de transparencia y responsabilidad del Sujeto Obligado</w:t>
      </w:r>
      <w:bookmarkEnd w:id="40"/>
    </w:p>
    <w:p w14:paraId="6901A889" w14:textId="59EEDAE1" w:rsidR="00C049E2" w:rsidRPr="00BC4DCB" w:rsidRDefault="00C049E2" w:rsidP="00C049E2">
      <w:pPr>
        <w:rPr>
          <w:rFonts w:eastAsia="Palatino Linotype"/>
        </w:rPr>
      </w:pPr>
      <w:r w:rsidRPr="00BC4DCB">
        <w:rPr>
          <w:rFonts w:eastAsia="Palatino Linotype"/>
        </w:rPr>
        <w:t xml:space="preserve">El </w:t>
      </w:r>
      <w:r w:rsidR="00717E59" w:rsidRPr="00BC4DCB">
        <w:rPr>
          <w:rFonts w:eastAsia="Palatino Linotype"/>
        </w:rPr>
        <w:t>d</w:t>
      </w:r>
      <w:r w:rsidRPr="00BC4DCB">
        <w:rPr>
          <w:rFonts w:eastAsia="Palatino Linotype"/>
        </w:rPr>
        <w:t xml:space="preserve">erecho de </w:t>
      </w:r>
      <w:r w:rsidR="00717E59" w:rsidRPr="00BC4DCB">
        <w:rPr>
          <w:rFonts w:eastAsia="Palatino Linotype"/>
        </w:rPr>
        <w:t>a</w:t>
      </w:r>
      <w:r w:rsidRPr="00BC4DCB">
        <w:rPr>
          <w:rFonts w:eastAsia="Palatino Linotype"/>
        </w:rPr>
        <w:t xml:space="preserve">cceso a la </w:t>
      </w:r>
      <w:r w:rsidR="00717E59" w:rsidRPr="00BC4DCB">
        <w:rPr>
          <w:rFonts w:eastAsia="Palatino Linotype"/>
        </w:rPr>
        <w:t>i</w:t>
      </w:r>
      <w:r w:rsidRPr="00BC4DCB">
        <w:rPr>
          <w:rFonts w:eastAsia="Palatino Linotype"/>
        </w:rPr>
        <w:t xml:space="preserve">nformación </w:t>
      </w:r>
      <w:r w:rsidR="00717E59" w:rsidRPr="00BC4DCB">
        <w:rPr>
          <w:rFonts w:eastAsia="Palatino Linotype"/>
        </w:rPr>
        <w:t>p</w:t>
      </w:r>
      <w:r w:rsidRPr="00BC4DCB">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BC4DCB">
        <w:rPr>
          <w:rFonts w:eastAsia="Palatino Linotype"/>
        </w:rPr>
        <w:t>:</w:t>
      </w:r>
    </w:p>
    <w:p w14:paraId="7FAB8D32" w14:textId="77777777" w:rsidR="00C049E2" w:rsidRPr="00BC4DCB" w:rsidRDefault="00C049E2" w:rsidP="00C049E2">
      <w:pPr>
        <w:rPr>
          <w:rFonts w:eastAsia="Palatino Linotype"/>
        </w:rPr>
      </w:pPr>
    </w:p>
    <w:p w14:paraId="05320813" w14:textId="77777777" w:rsidR="00C049E2" w:rsidRPr="00BC4DCB" w:rsidRDefault="00C049E2" w:rsidP="004C43D3">
      <w:pPr>
        <w:pStyle w:val="Puesto"/>
        <w:rPr>
          <w:rFonts w:eastAsia="Palatino Linotype"/>
          <w:b/>
        </w:rPr>
      </w:pPr>
      <w:r w:rsidRPr="00BC4DCB">
        <w:rPr>
          <w:rFonts w:eastAsia="Palatino Linotype"/>
          <w:b/>
        </w:rPr>
        <w:t>Constitución Política de los Estados Unidos Mexicanos</w:t>
      </w:r>
    </w:p>
    <w:p w14:paraId="6B6C67B6" w14:textId="77777777" w:rsidR="00C049E2" w:rsidRPr="00BC4DCB" w:rsidRDefault="00C049E2" w:rsidP="004C43D3">
      <w:pPr>
        <w:pStyle w:val="Puesto"/>
        <w:rPr>
          <w:rFonts w:eastAsia="Palatino Linotype"/>
          <w:b/>
        </w:rPr>
      </w:pPr>
      <w:r w:rsidRPr="00BC4DCB">
        <w:rPr>
          <w:rFonts w:eastAsia="Palatino Linotype"/>
        </w:rPr>
        <w:t>“</w:t>
      </w:r>
      <w:r w:rsidRPr="00BC4DCB">
        <w:rPr>
          <w:rFonts w:eastAsia="Palatino Linotype"/>
          <w:b/>
        </w:rPr>
        <w:t>Artículo 6.</w:t>
      </w:r>
    </w:p>
    <w:p w14:paraId="38D3B4C4" w14:textId="77777777" w:rsidR="00C049E2" w:rsidRPr="00BC4DCB" w:rsidRDefault="00C049E2" w:rsidP="004C43D3">
      <w:pPr>
        <w:pStyle w:val="Puesto"/>
        <w:rPr>
          <w:rFonts w:eastAsia="Palatino Linotype"/>
        </w:rPr>
      </w:pPr>
      <w:r w:rsidRPr="00BC4DCB">
        <w:rPr>
          <w:rFonts w:eastAsia="Palatino Linotype"/>
        </w:rPr>
        <w:t>(…)</w:t>
      </w:r>
    </w:p>
    <w:p w14:paraId="2CCAA297" w14:textId="6602827B" w:rsidR="00C049E2" w:rsidRPr="00BC4DCB" w:rsidRDefault="00C049E2" w:rsidP="004C43D3">
      <w:pPr>
        <w:pStyle w:val="Puesto"/>
        <w:rPr>
          <w:rFonts w:eastAsia="Palatino Linotype"/>
        </w:rPr>
      </w:pPr>
      <w:r w:rsidRPr="00BC4DCB">
        <w:rPr>
          <w:rFonts w:eastAsia="Palatino Linotype"/>
        </w:rPr>
        <w:t>Para efectos de lo dispuesto en el presente artículo se observará lo siguiente:</w:t>
      </w:r>
    </w:p>
    <w:p w14:paraId="74CC3718" w14:textId="77777777" w:rsidR="00C049E2" w:rsidRPr="00BC4DCB" w:rsidRDefault="00C049E2" w:rsidP="004C43D3">
      <w:pPr>
        <w:pStyle w:val="Puesto"/>
        <w:rPr>
          <w:rFonts w:eastAsia="Palatino Linotype"/>
        </w:rPr>
      </w:pPr>
      <w:r w:rsidRPr="00BC4DCB">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BC4DCB" w:rsidRDefault="00C049E2" w:rsidP="004C43D3">
      <w:pPr>
        <w:pStyle w:val="Puesto"/>
        <w:rPr>
          <w:rFonts w:eastAsia="Palatino Linotype"/>
        </w:rPr>
      </w:pPr>
      <w:r w:rsidRPr="00BC4DCB">
        <w:rPr>
          <w:rFonts w:eastAsia="Palatino Linotype"/>
        </w:rPr>
        <w:t xml:space="preserve">I. </w:t>
      </w:r>
      <w:r w:rsidRPr="00BC4DCB">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BC4DCB" w:rsidRDefault="00C049E2" w:rsidP="004C43D3">
      <w:pPr>
        <w:pStyle w:val="Puesto"/>
        <w:rPr>
          <w:rFonts w:eastAsia="Palatino Linotype"/>
        </w:rPr>
      </w:pPr>
    </w:p>
    <w:p w14:paraId="504F12DB" w14:textId="77777777" w:rsidR="00C049E2" w:rsidRPr="00BC4DCB" w:rsidRDefault="00C049E2" w:rsidP="004C43D3">
      <w:pPr>
        <w:pStyle w:val="Puesto"/>
        <w:rPr>
          <w:rFonts w:eastAsia="Palatino Linotype"/>
          <w:b/>
        </w:rPr>
      </w:pPr>
      <w:r w:rsidRPr="00BC4DCB">
        <w:rPr>
          <w:rFonts w:eastAsia="Palatino Linotype"/>
          <w:b/>
        </w:rPr>
        <w:t>Constitución Política del Estado Libre y Soberano de México</w:t>
      </w:r>
    </w:p>
    <w:p w14:paraId="04932D29" w14:textId="77777777" w:rsidR="00C049E2" w:rsidRPr="00BC4DCB" w:rsidRDefault="00C049E2" w:rsidP="004C43D3">
      <w:pPr>
        <w:pStyle w:val="Puesto"/>
        <w:rPr>
          <w:rFonts w:eastAsia="Palatino Linotype"/>
          <w:b/>
        </w:rPr>
      </w:pPr>
      <w:r w:rsidRPr="00BC4DCB">
        <w:rPr>
          <w:rFonts w:eastAsia="Palatino Linotype"/>
        </w:rPr>
        <w:t>“</w:t>
      </w:r>
      <w:r w:rsidRPr="00BC4DCB">
        <w:rPr>
          <w:rFonts w:eastAsia="Palatino Linotype"/>
          <w:b/>
        </w:rPr>
        <w:t xml:space="preserve">Artículo 5.- </w:t>
      </w:r>
    </w:p>
    <w:p w14:paraId="1D3829F4" w14:textId="77777777" w:rsidR="00C049E2" w:rsidRPr="00BC4DCB" w:rsidRDefault="00C049E2" w:rsidP="004C43D3">
      <w:pPr>
        <w:pStyle w:val="Puesto"/>
        <w:rPr>
          <w:rFonts w:eastAsia="Palatino Linotype"/>
        </w:rPr>
      </w:pPr>
      <w:r w:rsidRPr="00BC4DCB">
        <w:rPr>
          <w:rFonts w:eastAsia="Palatino Linotype"/>
        </w:rPr>
        <w:t>(…)</w:t>
      </w:r>
    </w:p>
    <w:p w14:paraId="0EAE47FD" w14:textId="77777777" w:rsidR="00C049E2" w:rsidRPr="00BC4DCB" w:rsidRDefault="00C049E2" w:rsidP="004C43D3">
      <w:pPr>
        <w:pStyle w:val="Puesto"/>
        <w:rPr>
          <w:rFonts w:eastAsia="Palatino Linotype"/>
        </w:rPr>
      </w:pPr>
      <w:r w:rsidRPr="00BC4DCB">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BC4DCB" w:rsidRDefault="00C049E2" w:rsidP="004C43D3">
      <w:pPr>
        <w:pStyle w:val="Puesto"/>
        <w:rPr>
          <w:rFonts w:eastAsia="Palatino Linotype"/>
        </w:rPr>
      </w:pPr>
      <w:r w:rsidRPr="00BC4DCB">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BC4DCB" w:rsidRDefault="00C049E2" w:rsidP="004C43D3">
      <w:pPr>
        <w:pStyle w:val="Puesto"/>
        <w:rPr>
          <w:rFonts w:eastAsia="Palatino Linotype"/>
        </w:rPr>
      </w:pPr>
      <w:r w:rsidRPr="00BC4DCB">
        <w:rPr>
          <w:rFonts w:eastAsia="Palatino Linotype"/>
        </w:rPr>
        <w:t>Este derecho se regirá por los principios y bases siguientes:</w:t>
      </w:r>
    </w:p>
    <w:p w14:paraId="4A3E8CBA" w14:textId="77777777" w:rsidR="00C049E2" w:rsidRPr="00BC4DCB" w:rsidRDefault="00C049E2" w:rsidP="004C43D3">
      <w:pPr>
        <w:pStyle w:val="Puesto"/>
        <w:rPr>
          <w:rFonts w:eastAsia="Palatino Linotype"/>
        </w:rPr>
      </w:pPr>
      <w:r w:rsidRPr="00BC4DCB">
        <w:rPr>
          <w:rFonts w:eastAsia="Palatino Linotype"/>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BC4DCB" w:rsidRDefault="00C049E2" w:rsidP="00C049E2">
      <w:pPr>
        <w:rPr>
          <w:rFonts w:eastAsia="Palatino Linotype"/>
          <w:b/>
          <w:i/>
        </w:rPr>
      </w:pPr>
    </w:p>
    <w:p w14:paraId="6FC1BB3B" w14:textId="3BF4A33D" w:rsidR="00C049E2" w:rsidRPr="00BC4DCB" w:rsidRDefault="00717E59" w:rsidP="00331F35">
      <w:pPr>
        <w:rPr>
          <w:rFonts w:eastAsia="Palatino Linotype"/>
          <w:i/>
        </w:rPr>
      </w:pPr>
      <w:r w:rsidRPr="00BC4DCB">
        <w:rPr>
          <w:rFonts w:eastAsia="Palatino Linotype"/>
        </w:rPr>
        <w:t xml:space="preserve">Asimismo, </w:t>
      </w:r>
      <w:r w:rsidR="00C049E2" w:rsidRPr="00BC4DCB">
        <w:rPr>
          <w:rFonts w:eastAsia="Palatino Linotype"/>
        </w:rPr>
        <w:t>el artículo 150 de la Ley de Transparencia y Acceso a la Información Pública del Estado de México y Municipios</w:t>
      </w:r>
      <w:r w:rsidR="00057B2D" w:rsidRPr="00BC4DCB">
        <w:rPr>
          <w:rFonts w:eastAsia="Palatino Linotype"/>
        </w:rPr>
        <w:t xml:space="preserve"> </w:t>
      </w:r>
      <w:r w:rsidR="00E9335C" w:rsidRPr="00BC4DCB">
        <w:rPr>
          <w:rFonts w:eastAsia="Palatino Linotype"/>
        </w:rPr>
        <w:t xml:space="preserve">indica </w:t>
      </w:r>
      <w:r w:rsidR="00057B2D" w:rsidRPr="00BC4DCB">
        <w:rPr>
          <w:rFonts w:eastAsia="Palatino Linotype"/>
        </w:rPr>
        <w:t>que</w:t>
      </w:r>
      <w:r w:rsidR="00C049E2" w:rsidRPr="00BC4DCB">
        <w:rPr>
          <w:rFonts w:eastAsia="Palatino Linotype"/>
        </w:rPr>
        <w:t xml:space="preserve"> la solicitud es la garantía primaria del Derecho de Acceso a la Información, además, establece que se regirá </w:t>
      </w:r>
      <w:r w:rsidR="00C049E2" w:rsidRPr="00BC4DCB">
        <w:rPr>
          <w:rFonts w:eastAsia="Palatino Linotype"/>
          <w:i/>
        </w:rPr>
        <w:t>por los principios de simplicidad, rapidez</w:t>
      </w:r>
      <w:r w:rsidR="005F65B7" w:rsidRPr="00BC4DCB">
        <w:rPr>
          <w:rFonts w:eastAsia="Palatino Linotype"/>
          <w:i/>
        </w:rPr>
        <w:t>,</w:t>
      </w:r>
      <w:r w:rsidR="00C049E2" w:rsidRPr="00BC4DCB">
        <w:rPr>
          <w:rFonts w:eastAsia="Palatino Linotype"/>
          <w:i/>
        </w:rPr>
        <w:t xml:space="preserve"> gratuidad del procedimiento, auxilio y orientación a los particulare</w:t>
      </w:r>
      <w:r w:rsidR="001A58B3" w:rsidRPr="00BC4DCB">
        <w:rPr>
          <w:rFonts w:eastAsia="Palatino Linotype"/>
          <w:i/>
        </w:rPr>
        <w:t>s.</w:t>
      </w:r>
    </w:p>
    <w:p w14:paraId="033466A6" w14:textId="77777777" w:rsidR="001A58B3" w:rsidRPr="00BC4DCB" w:rsidRDefault="001A58B3" w:rsidP="00331F35">
      <w:pPr>
        <w:rPr>
          <w:rFonts w:eastAsia="Palatino Linotype"/>
          <w:i/>
        </w:rPr>
      </w:pPr>
    </w:p>
    <w:p w14:paraId="04ADA10B" w14:textId="574A944A" w:rsidR="001A58B3" w:rsidRPr="00BC4DCB" w:rsidRDefault="00233F17" w:rsidP="00331F35">
      <w:pPr>
        <w:rPr>
          <w:rFonts w:eastAsia="Palatino Linotype" w:cs="Palatino Linotype"/>
          <w:i/>
          <w:szCs w:val="22"/>
        </w:rPr>
      </w:pPr>
      <w:r w:rsidRPr="00BC4DCB">
        <w:rPr>
          <w:rFonts w:eastAsia="Palatino Linotype" w:cs="Palatino Linotype"/>
        </w:rPr>
        <w:t xml:space="preserve">Por su parte, el artículo 4 de </w:t>
      </w:r>
      <w:r w:rsidR="001A58B3" w:rsidRPr="00BC4DCB">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BC4DCB">
        <w:rPr>
          <w:rFonts w:eastAsia="Palatino Linotype" w:cs="Palatino Linotype"/>
        </w:rPr>
        <w:t>.</w:t>
      </w:r>
    </w:p>
    <w:p w14:paraId="1407DBB8" w14:textId="77777777" w:rsidR="001A58B3" w:rsidRPr="00BC4DCB" w:rsidRDefault="001A58B3" w:rsidP="00331F35">
      <w:pPr>
        <w:rPr>
          <w:rFonts w:eastAsia="Palatino Linotype" w:cs="Palatino Linotype"/>
        </w:rPr>
      </w:pPr>
    </w:p>
    <w:p w14:paraId="7552AA79" w14:textId="5C52E4A4" w:rsidR="001A58B3" w:rsidRPr="00BC4DCB" w:rsidRDefault="001A58B3" w:rsidP="00331F35">
      <w:pPr>
        <w:rPr>
          <w:rFonts w:eastAsia="Palatino Linotype" w:cs="Palatino Linotype"/>
        </w:rPr>
      </w:pPr>
      <w:r w:rsidRPr="00BC4DCB">
        <w:rPr>
          <w:rFonts w:eastAsia="Palatino Linotype" w:cs="Palatino Linotype"/>
        </w:rPr>
        <w:lastRenderedPageBreak/>
        <w:t xml:space="preserve">Esto es, que los Sujetos Obligados </w:t>
      </w:r>
      <w:r w:rsidR="00FA5957" w:rsidRPr="00BC4DCB">
        <w:rPr>
          <w:rFonts w:eastAsia="Palatino Linotype" w:cs="Palatino Linotype"/>
        </w:rPr>
        <w:t>deben</w:t>
      </w:r>
      <w:r w:rsidRPr="00BC4DCB">
        <w:rPr>
          <w:rFonts w:eastAsia="Palatino Linotype" w:cs="Palatino Linotype"/>
        </w:rPr>
        <w:t xml:space="preserve"> atender las solicitudes de acceso a la información pública que se les </w:t>
      </w:r>
      <w:r w:rsidR="00FA5957" w:rsidRPr="00BC4DCB">
        <w:rPr>
          <w:rFonts w:eastAsia="Palatino Linotype" w:cs="Palatino Linotype"/>
        </w:rPr>
        <w:t>sean realizadas,</w:t>
      </w:r>
      <w:r w:rsidRPr="00BC4DCB">
        <w:rPr>
          <w:rFonts w:eastAsia="Palatino Linotype" w:cs="Palatino Linotype"/>
        </w:rPr>
        <w:t xml:space="preserve"> y proporcionar la información pública que obre en su poder</w:t>
      </w:r>
      <w:r w:rsidR="00FA5957" w:rsidRPr="00BC4DCB">
        <w:rPr>
          <w:rFonts w:eastAsia="Palatino Linotype" w:cs="Palatino Linotype"/>
        </w:rPr>
        <w:t>,</w:t>
      </w:r>
      <w:r w:rsidRPr="00BC4DCB">
        <w:rPr>
          <w:rFonts w:eastAsia="Palatino Linotype" w:cs="Palatino Linotype"/>
        </w:rPr>
        <w:t xml:space="preserve"> conforme </w:t>
      </w:r>
      <w:r w:rsidR="00FA5957" w:rsidRPr="00BC4DCB">
        <w:rPr>
          <w:rFonts w:eastAsia="Palatino Linotype" w:cs="Palatino Linotype"/>
        </w:rPr>
        <w:t>a</w:t>
      </w:r>
      <w:r w:rsidRPr="00BC4DCB">
        <w:rPr>
          <w:rFonts w:eastAsia="Palatino Linotype" w:cs="Palatino Linotype"/>
        </w:rPr>
        <w:t xml:space="preserve">l estado </w:t>
      </w:r>
      <w:r w:rsidR="00FA5957" w:rsidRPr="00BC4DCB">
        <w:rPr>
          <w:rFonts w:eastAsia="Palatino Linotype" w:cs="Palatino Linotype"/>
        </w:rPr>
        <w:t xml:space="preserve">en </w:t>
      </w:r>
      <w:r w:rsidRPr="00BC4DCB">
        <w:rPr>
          <w:rFonts w:eastAsia="Palatino Linotype" w:cs="Palatino Linotype"/>
        </w:rPr>
        <w:t>que se encuentr</w:t>
      </w:r>
      <w:r w:rsidR="00FA5957" w:rsidRPr="00BC4DCB">
        <w:rPr>
          <w:rFonts w:eastAsia="Palatino Linotype" w:cs="Palatino Linotype"/>
        </w:rPr>
        <w:t>e, sin que sea necesario</w:t>
      </w:r>
      <w:r w:rsidRPr="00BC4DCB">
        <w:rPr>
          <w:rFonts w:eastAsia="Palatino Linotype" w:cs="Palatino Linotype"/>
        </w:rPr>
        <w:t xml:space="preserve"> </w:t>
      </w:r>
      <w:r w:rsidR="00FA5957" w:rsidRPr="00BC4DCB">
        <w:rPr>
          <w:rFonts w:eastAsia="Palatino Linotype" w:cs="Palatino Linotype"/>
        </w:rPr>
        <w:t>procesar</w:t>
      </w:r>
      <w:r w:rsidRPr="00BC4DCB">
        <w:rPr>
          <w:rFonts w:eastAsia="Palatino Linotype" w:cs="Palatino Linotype"/>
        </w:rPr>
        <w:t xml:space="preserve"> la misma, ni presentarla conforme al interés del solicitante; </w:t>
      </w:r>
      <w:r w:rsidR="00FA5957" w:rsidRPr="00BC4DCB">
        <w:rPr>
          <w:rFonts w:eastAsia="Palatino Linotype" w:cs="Palatino Linotype"/>
        </w:rPr>
        <w:t>tal y como</w:t>
      </w:r>
      <w:r w:rsidRPr="00BC4DCB">
        <w:rPr>
          <w:rFonts w:eastAsia="Palatino Linotype" w:cs="Palatino Linotype"/>
        </w:rPr>
        <w:t xml:space="preserve"> lo establece el artículo 12 de la Ley de Transparencia y Acceso a la Información Pública del Estado de México y Municipios</w:t>
      </w:r>
      <w:r w:rsidR="00970EB3" w:rsidRPr="00BC4DCB">
        <w:rPr>
          <w:rFonts w:eastAsia="Palatino Linotype" w:cs="Palatino Linotype"/>
        </w:rPr>
        <w:t>.</w:t>
      </w:r>
    </w:p>
    <w:p w14:paraId="73245195" w14:textId="77777777" w:rsidR="00970EB3" w:rsidRPr="00BC4DCB" w:rsidRDefault="00970EB3" w:rsidP="00331F35">
      <w:pPr>
        <w:rPr>
          <w:rFonts w:eastAsia="Palatino Linotype" w:cs="Palatino Linotype"/>
        </w:rPr>
      </w:pPr>
    </w:p>
    <w:p w14:paraId="7F62D4DF" w14:textId="775730E1" w:rsidR="001A58B3" w:rsidRPr="00BC4DCB" w:rsidRDefault="001A58B3" w:rsidP="00331F35">
      <w:pPr>
        <w:rPr>
          <w:rFonts w:eastAsia="Palatino Linotype" w:cs="Palatino Linotype"/>
        </w:rPr>
      </w:pPr>
      <w:r w:rsidRPr="00BC4DCB">
        <w:rPr>
          <w:rFonts w:eastAsia="Palatino Linotype" w:cs="Palatino Linotype"/>
        </w:rPr>
        <w:t>Es decir, que todo sujeto obligado que genere, recopile, administre, procese, archive, posea o conserven, son responsables de la misma</w:t>
      </w:r>
      <w:r w:rsidR="00970EB3" w:rsidRPr="00BC4DCB">
        <w:rPr>
          <w:rFonts w:eastAsia="Palatino Linotype" w:cs="Palatino Linotype"/>
        </w:rPr>
        <w:t>,</w:t>
      </w:r>
      <w:r w:rsidRPr="00BC4DCB">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BC4DCB">
        <w:rPr>
          <w:rFonts w:eastAsia="Palatino Linotype" w:cs="Palatino Linotype"/>
        </w:rPr>
        <w:t>o</w:t>
      </w:r>
      <w:r w:rsidRPr="00BC4DCB">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BC4DCB" w:rsidRDefault="001A58B3" w:rsidP="00331F35">
      <w:pPr>
        <w:rPr>
          <w:rFonts w:eastAsia="Palatino Linotype" w:cs="Palatino Linotype"/>
        </w:rPr>
      </w:pPr>
    </w:p>
    <w:p w14:paraId="04E42DFE" w14:textId="573F1198" w:rsidR="001A58B3" w:rsidRPr="00BC4DCB" w:rsidRDefault="001A58B3" w:rsidP="00331F35">
      <w:pPr>
        <w:rPr>
          <w:rFonts w:eastAsia="Palatino Linotype" w:cs="Palatino Linotype"/>
        </w:rPr>
      </w:pPr>
      <w:r w:rsidRPr="00BC4DCB">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BC4DCB">
        <w:rPr>
          <w:rFonts w:eastAsia="Palatino Linotype" w:cs="Palatino Linotype"/>
        </w:rPr>
        <w:t>, s</w:t>
      </w:r>
      <w:r w:rsidRPr="00BC4DCB">
        <w:rPr>
          <w:rFonts w:eastAsia="Palatino Linotype" w:cs="Palatino Linotype"/>
        </w:rPr>
        <w:t xml:space="preserve">iempre y cuando no se trate de información reservada o </w:t>
      </w:r>
      <w:r w:rsidR="00331F35" w:rsidRPr="00BC4DCB">
        <w:rPr>
          <w:rFonts w:eastAsia="Palatino Linotype" w:cs="Palatino Linotype"/>
        </w:rPr>
        <w:t>confidencial.</w:t>
      </w:r>
    </w:p>
    <w:p w14:paraId="40C5219F" w14:textId="77777777" w:rsidR="001A58B3" w:rsidRPr="00BC4DCB" w:rsidRDefault="001A58B3" w:rsidP="00331F35">
      <w:pPr>
        <w:rPr>
          <w:rFonts w:eastAsia="Palatino Linotype" w:cs="Palatino Linotype"/>
        </w:rPr>
      </w:pPr>
    </w:p>
    <w:p w14:paraId="2E629608" w14:textId="01727E15" w:rsidR="00C049E2" w:rsidRPr="00BC4DCB" w:rsidRDefault="006067C7" w:rsidP="00331F35">
      <w:pPr>
        <w:rPr>
          <w:rFonts w:eastAsia="Palatino Linotype"/>
        </w:rPr>
      </w:pPr>
      <w:bookmarkStart w:id="41" w:name="_heading=h.2s8eyo1" w:colFirst="0" w:colLast="0"/>
      <w:bookmarkEnd w:id="41"/>
      <w:r w:rsidRPr="00BC4DCB">
        <w:rPr>
          <w:rFonts w:eastAsia="Palatino Linotype"/>
        </w:rPr>
        <w:t>Con base en lo anterior</w:t>
      </w:r>
      <w:r w:rsidR="00B22A80" w:rsidRPr="00BC4DCB">
        <w:rPr>
          <w:rFonts w:eastAsia="Palatino Linotype"/>
        </w:rPr>
        <w:t>, se considera que</w:t>
      </w:r>
      <w:r w:rsidR="00C049E2" w:rsidRPr="00BC4DCB">
        <w:rPr>
          <w:rFonts w:eastAsia="Palatino Linotype"/>
        </w:rPr>
        <w:t xml:space="preserve"> </w:t>
      </w:r>
      <w:r w:rsidR="00B22A80" w:rsidRPr="00BC4DCB">
        <w:rPr>
          <w:rFonts w:eastAsia="Palatino Linotype"/>
          <w:b/>
          <w:bCs/>
        </w:rPr>
        <w:t>EL</w:t>
      </w:r>
      <w:r w:rsidR="00C049E2" w:rsidRPr="00BC4DCB">
        <w:rPr>
          <w:rFonts w:eastAsia="Palatino Linotype"/>
        </w:rPr>
        <w:t xml:space="preserve"> </w:t>
      </w:r>
      <w:r w:rsidR="00C049E2" w:rsidRPr="00BC4DCB">
        <w:rPr>
          <w:rFonts w:eastAsia="Palatino Linotype"/>
          <w:b/>
        </w:rPr>
        <w:t>SUJETO OBLIGADO</w:t>
      </w:r>
      <w:r w:rsidR="00C049E2" w:rsidRPr="00BC4DCB">
        <w:rPr>
          <w:rFonts w:eastAsia="Palatino Linotype"/>
        </w:rPr>
        <w:t xml:space="preserve"> </w:t>
      </w:r>
      <w:r w:rsidR="00B22A80" w:rsidRPr="00BC4DCB">
        <w:rPr>
          <w:rFonts w:eastAsia="Palatino Linotype"/>
        </w:rPr>
        <w:t xml:space="preserve">se </w:t>
      </w:r>
      <w:r w:rsidR="00717E59" w:rsidRPr="00BC4DCB">
        <w:rPr>
          <w:rFonts w:eastAsia="Palatino Linotype"/>
        </w:rPr>
        <w:t>encontraba</w:t>
      </w:r>
      <w:r w:rsidR="00B22A80" w:rsidRPr="00BC4DCB">
        <w:rPr>
          <w:rFonts w:eastAsia="Palatino Linotype"/>
        </w:rPr>
        <w:t xml:space="preserve"> compelido a</w:t>
      </w:r>
      <w:r w:rsidR="00C049E2" w:rsidRPr="00BC4DCB">
        <w:rPr>
          <w:rFonts w:eastAsia="Palatino Linotype"/>
        </w:rPr>
        <w:t xml:space="preserve"> atender la solicitud de acceso a la información </w:t>
      </w:r>
      <w:r w:rsidR="00B22A80" w:rsidRPr="00BC4DCB">
        <w:rPr>
          <w:rFonts w:eastAsia="Palatino Linotype"/>
        </w:rPr>
        <w:t xml:space="preserve">realizada por </w:t>
      </w:r>
      <w:r w:rsidR="00B22A80" w:rsidRPr="00BC4DCB">
        <w:rPr>
          <w:rFonts w:eastAsia="Palatino Linotype"/>
          <w:b/>
          <w:bCs/>
        </w:rPr>
        <w:t>LA PARTE RECURRENTE</w:t>
      </w:r>
      <w:r w:rsidR="00331F35" w:rsidRPr="00BC4DCB">
        <w:rPr>
          <w:rFonts w:eastAsia="Palatino Linotype"/>
        </w:rPr>
        <w:t>.</w:t>
      </w:r>
    </w:p>
    <w:p w14:paraId="1611F147" w14:textId="77777777" w:rsidR="00BD5A7C" w:rsidRPr="00BC4DCB" w:rsidRDefault="00BD5A7C" w:rsidP="00331F35">
      <w:pPr>
        <w:rPr>
          <w:rFonts w:eastAsia="Palatino Linotype"/>
        </w:rPr>
      </w:pPr>
    </w:p>
    <w:p w14:paraId="51A0E8B4" w14:textId="676DCA47" w:rsidR="00664420" w:rsidRPr="00BC4DCB" w:rsidRDefault="00C71CEF" w:rsidP="00C71CEF">
      <w:pPr>
        <w:pStyle w:val="Ttulo3"/>
        <w:rPr>
          <w:rFonts w:eastAsia="Calibri"/>
          <w:lang w:eastAsia="es-ES_tradnl"/>
        </w:rPr>
      </w:pPr>
      <w:bookmarkStart w:id="42" w:name="_Toc213867994"/>
      <w:r w:rsidRPr="00BC4DCB">
        <w:rPr>
          <w:rFonts w:eastAsia="Calibri"/>
          <w:lang w:eastAsia="es-ES_tradnl"/>
        </w:rPr>
        <w:lastRenderedPageBreak/>
        <w:t>b)</w:t>
      </w:r>
      <w:r w:rsidR="00A53315" w:rsidRPr="00BC4DCB">
        <w:rPr>
          <w:rFonts w:eastAsia="Calibri"/>
          <w:lang w:eastAsia="es-ES_tradnl"/>
        </w:rPr>
        <w:t xml:space="preserve"> </w:t>
      </w:r>
      <w:r w:rsidR="00A21A20" w:rsidRPr="00BC4DCB">
        <w:rPr>
          <w:rFonts w:eastAsia="Calibri"/>
          <w:lang w:eastAsia="es-ES_tradnl"/>
        </w:rPr>
        <w:t>Controversia a resolver</w:t>
      </w:r>
      <w:bookmarkEnd w:id="42"/>
    </w:p>
    <w:p w14:paraId="1E280DA4" w14:textId="77777777" w:rsidR="001817F9" w:rsidRPr="00BC4DCB" w:rsidRDefault="00664420" w:rsidP="008A790F">
      <w:pPr>
        <w:rPr>
          <w:bCs/>
          <w:iCs/>
        </w:rPr>
      </w:pPr>
      <w:r w:rsidRPr="00BC4DCB">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BC4DCB">
        <w:rPr>
          <w:rFonts w:eastAsia="Calibri"/>
          <w:b/>
          <w:bCs/>
          <w:lang w:eastAsia="es-ES_tradnl"/>
        </w:rPr>
        <w:t>LA PARTE RECURRENTE</w:t>
      </w:r>
      <w:r w:rsidR="004565C2" w:rsidRPr="00BC4DCB">
        <w:rPr>
          <w:rFonts w:eastAsia="Calibri"/>
          <w:lang w:eastAsia="es-ES_tradnl"/>
        </w:rPr>
        <w:t xml:space="preserve"> solicitó</w:t>
      </w:r>
      <w:r w:rsidR="001817F9" w:rsidRPr="00BC4DCB">
        <w:rPr>
          <w:rFonts w:eastAsia="Calibri"/>
          <w:lang w:eastAsia="es-ES_tradnl"/>
        </w:rPr>
        <w:t xml:space="preserve"> los acuses de oficios y los oficios recibidos por la </w:t>
      </w:r>
      <w:r w:rsidR="001817F9" w:rsidRPr="00BC4DCB">
        <w:rPr>
          <w:bCs/>
          <w:iCs/>
        </w:rPr>
        <w:t xml:space="preserve">Unidad de Información, Planeación, Programación y Evaluación correspondientes a enero y febrero de dos mil veinticinco; así como el concentrado de los números de oficio emitidos de manera consecutiva. </w:t>
      </w:r>
    </w:p>
    <w:p w14:paraId="71FB2D15" w14:textId="77777777" w:rsidR="001817F9" w:rsidRPr="00BC4DCB" w:rsidRDefault="001817F9" w:rsidP="008A790F">
      <w:pPr>
        <w:rPr>
          <w:bCs/>
          <w:iCs/>
        </w:rPr>
      </w:pPr>
    </w:p>
    <w:p w14:paraId="1DECF748" w14:textId="7FC557FA" w:rsidR="001817F9" w:rsidRPr="00BC4DCB" w:rsidRDefault="008A790F" w:rsidP="001817F9">
      <w:pPr>
        <w:rPr>
          <w:bCs/>
          <w:iCs/>
        </w:rPr>
      </w:pPr>
      <w:r w:rsidRPr="00BC4DCB">
        <w:rPr>
          <w:rFonts w:eastAsia="Calibri"/>
          <w:lang w:eastAsia="es-ES_tradnl"/>
        </w:rPr>
        <w:t xml:space="preserve">Al respecto, </w:t>
      </w:r>
      <w:r w:rsidRPr="00BC4DCB">
        <w:rPr>
          <w:rFonts w:eastAsia="Calibri"/>
          <w:b/>
          <w:lang w:eastAsia="es-ES_tradnl"/>
        </w:rPr>
        <w:t>EL SUJETO OBLIGADO</w:t>
      </w:r>
      <w:r w:rsidRPr="00BC4DCB">
        <w:rPr>
          <w:rFonts w:ascii="Verdana" w:hAnsi="Verdana"/>
          <w:color w:val="000000"/>
          <w:sz w:val="18"/>
          <w:szCs w:val="18"/>
        </w:rPr>
        <w:t xml:space="preserve"> </w:t>
      </w:r>
      <w:r w:rsidR="001817F9" w:rsidRPr="00BC4DCB">
        <w:rPr>
          <w:rFonts w:eastAsia="Calibri"/>
          <w:lang w:eastAsia="es-ES_tradnl"/>
        </w:rPr>
        <w:t xml:space="preserve">adjuntó </w:t>
      </w:r>
      <w:r w:rsidR="001817F9" w:rsidRPr="00BC4DCB">
        <w:rPr>
          <w:bCs/>
          <w:iCs/>
        </w:rPr>
        <w:t>oficio</w:t>
      </w:r>
      <w:r w:rsidR="00310720" w:rsidRPr="00BC4DCB">
        <w:rPr>
          <w:bCs/>
          <w:iCs/>
        </w:rPr>
        <w:t xml:space="preserve"> </w:t>
      </w:r>
      <w:r w:rsidR="001817F9" w:rsidRPr="00BC4DCB">
        <w:rPr>
          <w:bCs/>
          <w:iCs/>
        </w:rPr>
        <w:t xml:space="preserve">por medio del cual el titular de la Unidad de Información, Planeación, Programación y </w:t>
      </w:r>
      <w:r w:rsidR="00310720" w:rsidRPr="00BC4DCB">
        <w:rPr>
          <w:bCs/>
          <w:iCs/>
        </w:rPr>
        <w:t>Evaluación</w:t>
      </w:r>
      <w:r w:rsidR="001817F9" w:rsidRPr="00BC4DCB">
        <w:rPr>
          <w:bCs/>
          <w:iCs/>
        </w:rPr>
        <w:t xml:space="preserve"> </w:t>
      </w:r>
      <w:r w:rsidR="00310720" w:rsidRPr="00BC4DCB">
        <w:rPr>
          <w:bCs/>
          <w:iCs/>
        </w:rPr>
        <w:t>hizo</w:t>
      </w:r>
      <w:r w:rsidR="001817F9" w:rsidRPr="00BC4DCB">
        <w:rPr>
          <w:bCs/>
          <w:iCs/>
        </w:rPr>
        <w:t xml:space="preserve"> del conocimiento que la información solicitada rebasa</w:t>
      </w:r>
      <w:r w:rsidR="00310720" w:rsidRPr="00BC4DCB">
        <w:rPr>
          <w:bCs/>
          <w:iCs/>
        </w:rPr>
        <w:t>ba</w:t>
      </w:r>
      <w:r w:rsidR="001817F9" w:rsidRPr="00BC4DCB">
        <w:rPr>
          <w:bCs/>
          <w:iCs/>
        </w:rPr>
        <w:t xml:space="preserve"> las capacidades técnicas y humanas, motivo por el cual invita</w:t>
      </w:r>
      <w:r w:rsidR="00310720" w:rsidRPr="00BC4DCB">
        <w:rPr>
          <w:bCs/>
          <w:iCs/>
        </w:rPr>
        <w:t>ba</w:t>
      </w:r>
      <w:r w:rsidR="001817F9" w:rsidRPr="00BC4DCB">
        <w:rPr>
          <w:bCs/>
          <w:iCs/>
        </w:rPr>
        <w:t xml:space="preserve"> al particular a acudir a las instalaciones a revisar de manera directa la información solicitada. </w:t>
      </w:r>
    </w:p>
    <w:p w14:paraId="762A8F87" w14:textId="77777777" w:rsidR="00BA08F8" w:rsidRPr="00BC4DCB" w:rsidRDefault="00BA08F8" w:rsidP="00903DBE">
      <w:pPr>
        <w:rPr>
          <w:rFonts w:eastAsia="Calibri"/>
          <w:lang w:eastAsia="es-ES_tradnl"/>
        </w:rPr>
      </w:pPr>
    </w:p>
    <w:p w14:paraId="7975E17D" w14:textId="25A10682" w:rsidR="008530DB" w:rsidRPr="00BC4DCB" w:rsidRDefault="00CF7586" w:rsidP="00664420">
      <w:pPr>
        <w:tabs>
          <w:tab w:val="left" w:pos="4962"/>
        </w:tabs>
        <w:contextualSpacing/>
        <w:rPr>
          <w:rFonts w:eastAsiaTheme="minorHAnsi" w:cs="Tahoma"/>
          <w:bCs/>
          <w:iCs/>
          <w:color w:val="000000" w:themeColor="text1"/>
          <w:szCs w:val="22"/>
          <w:lang w:eastAsia="en-US"/>
        </w:rPr>
      </w:pPr>
      <w:r w:rsidRPr="00BC4DCB">
        <w:rPr>
          <w:rFonts w:eastAsiaTheme="minorHAnsi" w:cs="Tahoma"/>
          <w:bCs/>
          <w:iCs/>
          <w:color w:val="000000" w:themeColor="text1"/>
          <w:szCs w:val="22"/>
          <w:lang w:eastAsia="en-US"/>
        </w:rPr>
        <w:t xml:space="preserve">Ahora bien, en la interposición del presente recurso </w:t>
      </w:r>
      <w:r w:rsidRPr="00BC4DCB">
        <w:rPr>
          <w:rFonts w:eastAsiaTheme="minorHAnsi" w:cs="Tahoma"/>
          <w:b/>
          <w:iCs/>
          <w:color w:val="000000" w:themeColor="text1"/>
          <w:szCs w:val="22"/>
          <w:lang w:eastAsia="en-US"/>
        </w:rPr>
        <w:t>LA PARTE RECURRENTE</w:t>
      </w:r>
      <w:r w:rsidR="00237120" w:rsidRPr="00BC4DCB">
        <w:rPr>
          <w:rFonts w:eastAsiaTheme="minorHAnsi" w:cs="Tahoma"/>
          <w:bCs/>
          <w:iCs/>
          <w:color w:val="000000" w:themeColor="text1"/>
          <w:szCs w:val="22"/>
          <w:lang w:eastAsia="en-US"/>
        </w:rPr>
        <w:t xml:space="preserve"> s</w:t>
      </w:r>
      <w:r w:rsidR="00E11AA0" w:rsidRPr="00BC4DCB">
        <w:rPr>
          <w:rFonts w:eastAsiaTheme="minorHAnsi" w:cs="Tahoma"/>
          <w:bCs/>
          <w:iCs/>
          <w:color w:val="000000" w:themeColor="text1"/>
          <w:szCs w:val="22"/>
          <w:lang w:eastAsia="en-US"/>
        </w:rPr>
        <w:t xml:space="preserve">e inconformó medularmente </w:t>
      </w:r>
      <w:r w:rsidR="00473225" w:rsidRPr="00BC4DCB">
        <w:rPr>
          <w:rFonts w:eastAsiaTheme="minorHAnsi" w:cs="Tahoma"/>
          <w:bCs/>
          <w:iCs/>
          <w:color w:val="000000" w:themeColor="text1"/>
          <w:szCs w:val="22"/>
          <w:lang w:eastAsia="en-US"/>
        </w:rPr>
        <w:t>por</w:t>
      </w:r>
      <w:r w:rsidR="00C80359" w:rsidRPr="00BC4DCB">
        <w:rPr>
          <w:rFonts w:eastAsiaTheme="minorHAnsi" w:cs="Tahoma"/>
          <w:bCs/>
          <w:iCs/>
          <w:color w:val="000000" w:themeColor="text1"/>
          <w:szCs w:val="22"/>
          <w:lang w:eastAsia="en-US"/>
        </w:rPr>
        <w:t xml:space="preserve"> </w:t>
      </w:r>
      <w:r w:rsidR="001817F9" w:rsidRPr="00BC4DCB">
        <w:rPr>
          <w:rFonts w:eastAsiaTheme="minorHAnsi" w:cs="Tahoma"/>
          <w:bCs/>
          <w:iCs/>
          <w:color w:val="000000" w:themeColor="text1"/>
          <w:szCs w:val="22"/>
          <w:lang w:eastAsia="en-US"/>
        </w:rPr>
        <w:t xml:space="preserve">la negativa de proporcionar la información solicitada. </w:t>
      </w:r>
      <w:r w:rsidR="00AC5BC1" w:rsidRPr="00BC4DCB">
        <w:rPr>
          <w:rFonts w:eastAsiaTheme="minorHAnsi" w:cs="Tahoma"/>
          <w:bCs/>
          <w:iCs/>
          <w:color w:val="000000" w:themeColor="text1"/>
          <w:szCs w:val="22"/>
          <w:lang w:eastAsia="en-US"/>
        </w:rPr>
        <w:t xml:space="preserve"> </w:t>
      </w:r>
      <w:r w:rsidR="008A790F" w:rsidRPr="00BC4DCB">
        <w:rPr>
          <w:rFonts w:eastAsiaTheme="minorHAnsi" w:cs="Tahoma"/>
          <w:bCs/>
          <w:iCs/>
          <w:color w:val="000000" w:themeColor="text1"/>
          <w:szCs w:val="22"/>
          <w:lang w:eastAsia="en-US"/>
        </w:rPr>
        <w:t xml:space="preserve"> </w:t>
      </w:r>
    </w:p>
    <w:p w14:paraId="62D736AD" w14:textId="77777777" w:rsidR="00DA54C1" w:rsidRPr="00BC4DCB" w:rsidRDefault="00DA54C1" w:rsidP="00664420">
      <w:pPr>
        <w:tabs>
          <w:tab w:val="left" w:pos="4962"/>
        </w:tabs>
        <w:contextualSpacing/>
        <w:rPr>
          <w:rFonts w:eastAsiaTheme="minorHAnsi" w:cs="Tahoma"/>
          <w:bCs/>
          <w:iCs/>
          <w:color w:val="000000" w:themeColor="text1"/>
          <w:szCs w:val="22"/>
          <w:lang w:eastAsia="en-US"/>
        </w:rPr>
      </w:pPr>
    </w:p>
    <w:p w14:paraId="46FA3127" w14:textId="29B3D8BE" w:rsidR="008A790F" w:rsidRPr="00BC4DCB" w:rsidRDefault="008A790F" w:rsidP="008A790F">
      <w:pPr>
        <w:pStyle w:val="Prrafodelista"/>
        <w:widowControl w:val="0"/>
        <w:autoSpaceDE w:val="0"/>
        <w:autoSpaceDN w:val="0"/>
        <w:adjustRightInd w:val="0"/>
        <w:ind w:left="0"/>
        <w:rPr>
          <w:color w:val="000000" w:themeColor="text1"/>
        </w:rPr>
      </w:pPr>
      <w:r w:rsidRPr="00BC4DCB">
        <w:rPr>
          <w:rFonts w:eastAsiaTheme="minorHAnsi" w:cs="Tahoma"/>
          <w:bCs/>
          <w:iCs/>
          <w:color w:val="000000" w:themeColor="text1"/>
          <w:szCs w:val="22"/>
          <w:lang w:eastAsia="en-US"/>
        </w:rPr>
        <w:t>Asimismo</w:t>
      </w:r>
      <w:r w:rsidRPr="00BC4DCB">
        <w:rPr>
          <w:color w:val="000000" w:themeColor="text1"/>
        </w:rPr>
        <w:t xml:space="preserve">, es importante señalar que </w:t>
      </w:r>
      <w:r w:rsidRPr="00BC4DCB">
        <w:rPr>
          <w:b/>
          <w:iCs/>
          <w:color w:val="000000" w:themeColor="text1"/>
        </w:rPr>
        <w:t>LA PARTE RECURRENTE</w:t>
      </w:r>
      <w:r w:rsidRPr="00BC4DCB">
        <w:rPr>
          <w:bCs/>
          <w:iCs/>
          <w:color w:val="000000" w:themeColor="text1"/>
        </w:rPr>
        <w:t xml:space="preserve"> </w:t>
      </w:r>
      <w:r w:rsidRPr="00BC4DCB">
        <w:rPr>
          <w:color w:val="000000" w:themeColor="text1"/>
        </w:rPr>
        <w:t xml:space="preserve">no realizó manifestaciones, alegatos o pruebas y por su parte </w:t>
      </w:r>
      <w:r w:rsidRPr="00BC4DCB">
        <w:rPr>
          <w:b/>
          <w:color w:val="000000" w:themeColor="text1"/>
        </w:rPr>
        <w:t>EL SUJETO OBLIGADO</w:t>
      </w:r>
      <w:r w:rsidRPr="00BC4DCB">
        <w:rPr>
          <w:rFonts w:cs="Arial"/>
          <w:color w:val="000000" w:themeColor="text1"/>
        </w:rPr>
        <w:t xml:space="preserve"> </w:t>
      </w:r>
      <w:r w:rsidR="00AC5BC1" w:rsidRPr="00BC4DCB">
        <w:rPr>
          <w:rFonts w:cs="Arial"/>
          <w:color w:val="000000" w:themeColor="text1"/>
        </w:rPr>
        <w:t xml:space="preserve">mediante </w:t>
      </w:r>
      <w:r w:rsidRPr="00BC4DCB">
        <w:rPr>
          <w:color w:val="000000" w:themeColor="text1"/>
        </w:rPr>
        <w:t>Informe Justificado</w:t>
      </w:r>
      <w:r w:rsidR="00AC5BC1" w:rsidRPr="00BC4DCB">
        <w:rPr>
          <w:color w:val="000000" w:themeColor="text1"/>
        </w:rPr>
        <w:t xml:space="preserve"> medularmente ratificó su respuesta.</w:t>
      </w:r>
      <w:r w:rsidRPr="00BC4DCB">
        <w:rPr>
          <w:color w:val="000000" w:themeColor="text1"/>
        </w:rPr>
        <w:t xml:space="preserve"> </w:t>
      </w:r>
    </w:p>
    <w:p w14:paraId="7527E765" w14:textId="77777777" w:rsidR="008530DB" w:rsidRPr="00BC4DCB" w:rsidRDefault="008530DB" w:rsidP="00CA0628">
      <w:pPr>
        <w:pStyle w:val="Prrafodelista"/>
        <w:widowControl w:val="0"/>
        <w:autoSpaceDE w:val="0"/>
        <w:autoSpaceDN w:val="0"/>
        <w:adjustRightInd w:val="0"/>
        <w:ind w:left="0"/>
        <w:rPr>
          <w:color w:val="000000" w:themeColor="text1"/>
        </w:rPr>
      </w:pPr>
    </w:p>
    <w:p w14:paraId="22A6AC1B" w14:textId="77777777" w:rsidR="008A790F" w:rsidRPr="00BC4DCB" w:rsidRDefault="008A790F" w:rsidP="008A790F">
      <w:pPr>
        <w:tabs>
          <w:tab w:val="left" w:pos="4962"/>
        </w:tabs>
        <w:rPr>
          <w:color w:val="000000"/>
        </w:rPr>
      </w:pPr>
      <w:r w:rsidRPr="00BC4DCB">
        <w:rPr>
          <w:color w:val="000000"/>
        </w:rPr>
        <w:t xml:space="preserve">Derivado de lo anterior, el estudio se centrará en determinar si la respuesta otorgada colma el derecho de acceso a la información ejercido por </w:t>
      </w:r>
      <w:r w:rsidRPr="00BC4DCB">
        <w:rPr>
          <w:b/>
          <w:color w:val="000000"/>
        </w:rPr>
        <w:t>LA PARTE RECURRENTE</w:t>
      </w:r>
      <w:r w:rsidRPr="00BC4DCB">
        <w:rPr>
          <w:color w:val="000000"/>
        </w:rPr>
        <w:t>.</w:t>
      </w:r>
    </w:p>
    <w:p w14:paraId="6F255D86" w14:textId="77777777" w:rsidR="008A790F" w:rsidRPr="00BC4DCB" w:rsidRDefault="008A790F" w:rsidP="008A790F">
      <w:pPr>
        <w:tabs>
          <w:tab w:val="left" w:pos="4962"/>
        </w:tabs>
        <w:rPr>
          <w:color w:val="000000"/>
        </w:rPr>
      </w:pPr>
    </w:p>
    <w:p w14:paraId="414FD2D5" w14:textId="4408E416" w:rsidR="00664420" w:rsidRPr="00BC4DCB" w:rsidRDefault="00A21A20" w:rsidP="00A21A20">
      <w:pPr>
        <w:pStyle w:val="Ttulo3"/>
      </w:pPr>
      <w:bookmarkStart w:id="43" w:name="_Toc213867995"/>
      <w:r w:rsidRPr="00BC4DCB">
        <w:lastRenderedPageBreak/>
        <w:t>c)</w:t>
      </w:r>
      <w:r w:rsidR="00664420" w:rsidRPr="00BC4DCB">
        <w:t xml:space="preserve"> </w:t>
      </w:r>
      <w:r w:rsidRPr="00BC4DCB">
        <w:t>Estudio de la controversia</w:t>
      </w:r>
      <w:bookmarkEnd w:id="43"/>
    </w:p>
    <w:p w14:paraId="564401D9" w14:textId="77777777" w:rsidR="00310720" w:rsidRPr="00BC4DCB" w:rsidRDefault="00310720" w:rsidP="00310720">
      <w:pPr>
        <w:tabs>
          <w:tab w:val="left" w:pos="4962"/>
        </w:tabs>
        <w:contextualSpacing/>
        <w:rPr>
          <w:color w:val="000000"/>
          <w:szCs w:val="22"/>
        </w:rPr>
      </w:pPr>
      <w:bookmarkStart w:id="44" w:name="_Hlk210209806"/>
      <w:bookmarkStart w:id="45" w:name="_Toc195007310"/>
      <w:r w:rsidRPr="00BC4DCB">
        <w:rPr>
          <w:rFonts w:eastAsia="Palatino Linotype" w:cs="Palatino Linotype"/>
          <w:iCs/>
          <w:szCs w:val="22"/>
          <w:lang w:eastAsia="es-MX"/>
        </w:rPr>
        <w:t xml:space="preserve">Primero, se considera necesario precisar que la palabra </w:t>
      </w:r>
      <w:r w:rsidRPr="00BC4DCB">
        <w:rPr>
          <w:rFonts w:eastAsia="Palatino Linotype" w:cs="Palatino Linotype"/>
          <w:i/>
          <w:iCs/>
          <w:szCs w:val="22"/>
          <w:lang w:eastAsia="es-MX"/>
        </w:rPr>
        <w:t>“</w:t>
      </w:r>
      <w:r w:rsidRPr="00BC4DCB">
        <w:rPr>
          <w:rFonts w:eastAsia="Palatino Linotype" w:cs="Palatino Linotype"/>
          <w:b/>
          <w:i/>
          <w:iCs/>
          <w:szCs w:val="22"/>
          <w:lang w:eastAsia="es-MX"/>
        </w:rPr>
        <w:t>oficio</w:t>
      </w:r>
      <w:r w:rsidRPr="00BC4DCB">
        <w:rPr>
          <w:rFonts w:eastAsia="Palatino Linotype" w:cs="Palatino Linotype"/>
          <w:i/>
          <w:iCs/>
          <w:szCs w:val="22"/>
          <w:lang w:eastAsia="es-MX"/>
        </w:rPr>
        <w:t xml:space="preserve">”, </w:t>
      </w:r>
      <w:r w:rsidRPr="00BC4DCB">
        <w:rPr>
          <w:rFonts w:eastAsia="Palatino Linotype" w:cs="Palatino Linotype"/>
          <w:szCs w:val="22"/>
        </w:rPr>
        <w:t xml:space="preserve">es ampliamente conocido como instrumento de comunicación entre autoridades o dependencias, que permiten llevar a cabo distintas gestiones para el cumplimiento de sus distintas funciones, conforme a la definición </w:t>
      </w:r>
      <w:r w:rsidRPr="00BC4DCB">
        <w:rPr>
          <w:rFonts w:eastAsiaTheme="minorHAnsi" w:cs="Tahoma"/>
          <w:bCs/>
          <w:iCs/>
          <w:color w:val="000000" w:themeColor="text1"/>
          <w:szCs w:val="22"/>
          <w:lang w:eastAsia="en-US"/>
        </w:rPr>
        <w:t>del</w:t>
      </w:r>
      <w:r w:rsidRPr="00BC4DCB">
        <w:rPr>
          <w:rFonts w:eastAsia="Palatino Linotype" w:cs="Palatino Linotype"/>
          <w:szCs w:val="22"/>
        </w:rPr>
        <w:t xml:space="preserve"> Diccionario de la Real Academia Española, que señala:</w:t>
      </w:r>
    </w:p>
    <w:p w14:paraId="0A07D1DA" w14:textId="77777777" w:rsidR="00310720" w:rsidRPr="00BC4DCB" w:rsidRDefault="00310720" w:rsidP="00310720">
      <w:pPr>
        <w:spacing w:line="240" w:lineRule="auto"/>
        <w:ind w:left="567" w:right="567"/>
        <w:contextualSpacing/>
        <w:rPr>
          <w:rFonts w:eastAsia="Palatino Linotype"/>
          <w:i/>
          <w:kern w:val="28"/>
          <w:szCs w:val="56"/>
        </w:rPr>
      </w:pPr>
    </w:p>
    <w:p w14:paraId="690A60E0" w14:textId="77777777" w:rsidR="00310720" w:rsidRPr="00BC4DCB" w:rsidRDefault="00310720" w:rsidP="00310720">
      <w:pPr>
        <w:spacing w:line="240" w:lineRule="auto"/>
        <w:ind w:left="567" w:right="567"/>
        <w:contextualSpacing/>
        <w:rPr>
          <w:rFonts w:eastAsia="Palatino Linotype"/>
          <w:i/>
          <w:kern w:val="28"/>
          <w:szCs w:val="56"/>
        </w:rPr>
      </w:pPr>
      <w:r w:rsidRPr="00BC4DCB">
        <w:rPr>
          <w:rFonts w:eastAsia="Palatino Linotype"/>
          <w:i/>
          <w:kern w:val="28"/>
          <w:szCs w:val="56"/>
        </w:rPr>
        <w:t>“6. m. Comunicación escrita, referente a los asuntos de las Administraciones públicas.</w:t>
      </w:r>
    </w:p>
    <w:p w14:paraId="4E33528E" w14:textId="77777777" w:rsidR="00310720" w:rsidRPr="00BC4DCB" w:rsidRDefault="00310720" w:rsidP="00310720">
      <w:pPr>
        <w:spacing w:line="240" w:lineRule="auto"/>
        <w:ind w:left="567" w:right="567"/>
        <w:contextualSpacing/>
        <w:rPr>
          <w:rFonts w:eastAsia="Palatino Linotype"/>
          <w:i/>
          <w:kern w:val="28"/>
          <w:szCs w:val="56"/>
        </w:rPr>
      </w:pPr>
      <w:r w:rsidRPr="00BC4DCB">
        <w:rPr>
          <w:rFonts w:eastAsia="Palatino Linotype"/>
          <w:i/>
          <w:kern w:val="28"/>
          <w:szCs w:val="56"/>
        </w:rPr>
        <w:t>Sin.: escrito, comunicado, comunicación, documento, expediente.” (Sic)</w:t>
      </w:r>
    </w:p>
    <w:p w14:paraId="21F301FB" w14:textId="77777777" w:rsidR="00310720" w:rsidRPr="00BC4DCB" w:rsidRDefault="00310720" w:rsidP="00310720">
      <w:pPr>
        <w:spacing w:line="240" w:lineRule="auto"/>
        <w:ind w:left="567" w:right="567"/>
        <w:contextualSpacing/>
        <w:rPr>
          <w:rFonts w:cs="Arial"/>
          <w:i/>
          <w:color w:val="000000" w:themeColor="text1"/>
          <w:kern w:val="28"/>
          <w:szCs w:val="56"/>
        </w:rPr>
      </w:pPr>
    </w:p>
    <w:p w14:paraId="029FBF59" w14:textId="77777777" w:rsidR="00310720" w:rsidRPr="00BC4DCB" w:rsidRDefault="00310720" w:rsidP="00310720">
      <w:pPr>
        <w:shd w:val="clear" w:color="auto" w:fill="FFFFFF"/>
        <w:spacing w:before="240" w:after="240"/>
        <w:rPr>
          <w:rFonts w:eastAsia="Palatino Linotype" w:cs="Palatino Linotype"/>
          <w:szCs w:val="22"/>
          <w:lang w:eastAsia="es-MX"/>
        </w:rPr>
      </w:pPr>
      <w:r w:rsidRPr="00BC4DCB">
        <w:rPr>
          <w:rFonts w:eastAsia="Palatino Linotype" w:cs="Palatino Linotype"/>
          <w:iCs/>
          <w:szCs w:val="22"/>
          <w:lang w:eastAsia="es-MX"/>
        </w:rPr>
        <w:t xml:space="preserve">En ese tenor, se </w:t>
      </w:r>
      <w:r w:rsidRPr="00BC4DCB">
        <w:rPr>
          <w:rFonts w:eastAsia="Palatino Linotype" w:cs="Palatino Linotype"/>
          <w:b/>
          <w:iCs/>
          <w:szCs w:val="22"/>
          <w:lang w:eastAsia="es-MX"/>
        </w:rPr>
        <w:t>sirve citar por analogía</w:t>
      </w:r>
      <w:r w:rsidRPr="00BC4DCB">
        <w:rPr>
          <w:rFonts w:eastAsia="Palatino Linotype" w:cs="Palatino Linotype"/>
          <w:iCs/>
          <w:szCs w:val="22"/>
          <w:lang w:eastAsia="es-MX"/>
        </w:rPr>
        <w:t xml:space="preserve"> los </w:t>
      </w:r>
      <w:r w:rsidRPr="00BC4DCB">
        <w:rPr>
          <w:rFonts w:eastAsia="Palatino Linotype" w:cs="Palatino Linotype"/>
          <w:b/>
          <w:iCs/>
          <w:szCs w:val="22"/>
          <w:lang w:eastAsia="es-MX"/>
        </w:rPr>
        <w:t>Lineamientos para el trámite de la correspondencia de las unidades orgánicas del Poder Ejecutivo</w:t>
      </w:r>
      <w:r w:rsidRPr="00BC4DCB">
        <w:rPr>
          <w:rFonts w:eastAsia="Palatino Linotype" w:cs="Palatino Linotype"/>
          <w:iCs/>
          <w:szCs w:val="22"/>
          <w:lang w:eastAsia="es-MX"/>
        </w:rPr>
        <w:t xml:space="preserve">, </w:t>
      </w:r>
      <w:r w:rsidRPr="00BC4DCB">
        <w:rPr>
          <w:rFonts w:eastAsia="Palatino Linotype" w:cs="Palatino Linotype"/>
          <w:szCs w:val="22"/>
          <w:lang w:eastAsia="es-MX"/>
        </w:rPr>
        <w:t>publicados en mayo de dos mil diez por la Secretaría de Finanzas del Gobierno del Estado de México. Dichos lineamientos sujetan a todas las dependencias y unidades orgánicas del Poder Ejecutivo para lograr una homogenización en la comunicación formal de las instituciones públicas:</w:t>
      </w:r>
    </w:p>
    <w:p w14:paraId="457C5F8C" w14:textId="77777777" w:rsidR="00310720" w:rsidRPr="00BC4DCB" w:rsidRDefault="00310720" w:rsidP="00310720">
      <w:pPr>
        <w:spacing w:line="240" w:lineRule="auto"/>
        <w:ind w:left="567" w:right="567"/>
        <w:contextualSpacing/>
        <w:rPr>
          <w:b/>
          <w:bCs/>
          <w:i/>
          <w:kern w:val="28"/>
          <w:szCs w:val="56"/>
          <w:lang w:eastAsia="es-MX"/>
        </w:rPr>
      </w:pPr>
      <w:r w:rsidRPr="00BC4DCB">
        <w:rPr>
          <w:i/>
          <w:kern w:val="28"/>
          <w:szCs w:val="56"/>
          <w:lang w:eastAsia="es-MX"/>
        </w:rPr>
        <w:t>“</w:t>
      </w:r>
      <w:r w:rsidRPr="00BC4DCB">
        <w:rPr>
          <w:b/>
          <w:bCs/>
          <w:i/>
          <w:kern w:val="28"/>
          <w:szCs w:val="56"/>
          <w:lang w:eastAsia="es-MX"/>
        </w:rPr>
        <w:t>2.</w:t>
      </w:r>
      <w:r w:rsidRPr="00BC4DCB">
        <w:rPr>
          <w:i/>
          <w:kern w:val="28"/>
          <w:szCs w:val="56"/>
          <w:lang w:eastAsia="es-MX"/>
        </w:rPr>
        <w:t xml:space="preserve"> </w:t>
      </w:r>
      <w:r w:rsidRPr="00BC4DCB">
        <w:rPr>
          <w:b/>
          <w:bCs/>
          <w:i/>
          <w:kern w:val="28"/>
          <w:szCs w:val="56"/>
          <w:lang w:eastAsia="es-MX"/>
        </w:rPr>
        <w:t>Objetivo</w:t>
      </w:r>
    </w:p>
    <w:p w14:paraId="4F6A49C3" w14:textId="77777777" w:rsidR="00310720" w:rsidRPr="00BC4DCB" w:rsidRDefault="00310720" w:rsidP="00310720">
      <w:pPr>
        <w:spacing w:line="240" w:lineRule="auto"/>
        <w:ind w:left="567" w:right="567"/>
        <w:contextualSpacing/>
        <w:rPr>
          <w:b/>
          <w:bCs/>
          <w:i/>
          <w:kern w:val="28"/>
          <w:szCs w:val="56"/>
          <w:lang w:eastAsia="es-MX"/>
        </w:rPr>
      </w:pPr>
      <w:r w:rsidRPr="00BC4DCB">
        <w:rPr>
          <w:b/>
          <w:bCs/>
          <w:i/>
          <w:kern w:val="28"/>
          <w:szCs w:val="56"/>
          <w:lang w:eastAsia="es-MX"/>
        </w:rPr>
        <w:t>Proporcionar a las áreas de recepción y despacho de correspondencia de las unidades orgánicas del Poder Ejecutivo, un instrumento técnico que les permita homogeneizar y eficientar los servicios de correspondencia, a fin de agilizar la comunicación formal así como coadyuvar a la oportuna toma de decisiones por parte de los servidores públicos.</w:t>
      </w:r>
    </w:p>
    <w:p w14:paraId="3B9CAEC2" w14:textId="77777777" w:rsidR="00310720" w:rsidRPr="00BC4DCB" w:rsidRDefault="00310720" w:rsidP="00310720">
      <w:pPr>
        <w:spacing w:line="240" w:lineRule="auto"/>
        <w:ind w:left="567" w:right="567"/>
        <w:contextualSpacing/>
        <w:rPr>
          <w:b/>
          <w:bCs/>
          <w:i/>
          <w:kern w:val="28"/>
          <w:szCs w:val="56"/>
          <w:lang w:eastAsia="es-MX"/>
        </w:rPr>
      </w:pPr>
      <w:r w:rsidRPr="00BC4DCB">
        <w:rPr>
          <w:b/>
          <w:bCs/>
          <w:i/>
          <w:kern w:val="28"/>
          <w:szCs w:val="56"/>
          <w:lang w:eastAsia="es-MX"/>
        </w:rPr>
        <w:t>Administración de documentos:</w:t>
      </w:r>
    </w:p>
    <w:p w14:paraId="04E9180E" w14:textId="77777777" w:rsidR="00310720" w:rsidRPr="00BC4DCB" w:rsidRDefault="00310720" w:rsidP="00310720">
      <w:pPr>
        <w:spacing w:line="240" w:lineRule="auto"/>
        <w:ind w:left="567" w:right="567"/>
        <w:contextualSpacing/>
        <w:rPr>
          <w:b/>
          <w:bCs/>
          <w:i/>
          <w:kern w:val="28"/>
          <w:szCs w:val="56"/>
          <w:lang w:eastAsia="es-MX"/>
        </w:rPr>
      </w:pPr>
      <w:r w:rsidRPr="00BC4DCB">
        <w:rPr>
          <w:b/>
          <w:bCs/>
          <w:i/>
          <w:kern w:val="28"/>
          <w:szCs w:val="56"/>
          <w:lang w:eastAsia="es-MX"/>
        </w:rPr>
        <w:t>Conjunto de actividades vinculadas con la</w:t>
      </w:r>
      <w:r w:rsidRPr="00BC4DCB">
        <w:rPr>
          <w:i/>
          <w:kern w:val="28"/>
          <w:szCs w:val="56"/>
          <w:lang w:eastAsia="es-MX"/>
        </w:rPr>
        <w:t> </w:t>
      </w:r>
      <w:r w:rsidRPr="00BC4DCB">
        <w:rPr>
          <w:b/>
          <w:bCs/>
          <w:i/>
          <w:kern w:val="28"/>
          <w:szCs w:val="56"/>
          <w:lang w:eastAsia="es-MX"/>
        </w:rPr>
        <w:t>generación</w:t>
      </w:r>
      <w:r w:rsidRPr="00BC4DCB">
        <w:rPr>
          <w:i/>
          <w:kern w:val="28"/>
          <w:szCs w:val="56"/>
          <w:lang w:eastAsia="es-MX"/>
        </w:rPr>
        <w:t>, adquisición, recepción, control, circulación, reproducción, organización, conservación, custodia, restauración, valoración, selección, eliminación, </w:t>
      </w:r>
      <w:r w:rsidRPr="00BC4DCB">
        <w:rPr>
          <w:b/>
          <w:bCs/>
          <w:i/>
          <w:kern w:val="28"/>
          <w:szCs w:val="56"/>
          <w:lang w:eastAsia="es-MX"/>
        </w:rPr>
        <w:t>uso y divulgación de los documentos.</w:t>
      </w:r>
    </w:p>
    <w:p w14:paraId="7D4C80D0" w14:textId="77777777" w:rsidR="00310720" w:rsidRPr="00BC4DCB" w:rsidRDefault="00310720" w:rsidP="00310720">
      <w:pPr>
        <w:spacing w:line="240" w:lineRule="auto"/>
        <w:ind w:left="567" w:right="567"/>
        <w:contextualSpacing/>
        <w:rPr>
          <w:i/>
          <w:kern w:val="28"/>
          <w:szCs w:val="56"/>
          <w:lang w:eastAsia="es-MX"/>
        </w:rPr>
      </w:pPr>
      <w:r w:rsidRPr="00BC4DCB">
        <w:rPr>
          <w:i/>
          <w:kern w:val="28"/>
          <w:szCs w:val="56"/>
          <w:lang w:eastAsia="es-MX"/>
        </w:rPr>
        <w:t>…</w:t>
      </w:r>
    </w:p>
    <w:p w14:paraId="7AF6A073" w14:textId="77777777" w:rsidR="00310720" w:rsidRPr="00BC4DCB" w:rsidRDefault="00310720" w:rsidP="00310720">
      <w:pPr>
        <w:spacing w:line="240" w:lineRule="auto"/>
        <w:ind w:left="567" w:right="567"/>
        <w:contextualSpacing/>
        <w:rPr>
          <w:b/>
          <w:bCs/>
          <w:i/>
          <w:kern w:val="28"/>
          <w:szCs w:val="56"/>
          <w:lang w:eastAsia="es-MX"/>
        </w:rPr>
      </w:pPr>
      <w:r w:rsidRPr="00BC4DCB">
        <w:rPr>
          <w:b/>
          <w:bCs/>
          <w:i/>
          <w:kern w:val="28"/>
          <w:szCs w:val="56"/>
          <w:lang w:eastAsia="es-MX"/>
        </w:rPr>
        <w:t>Oficio:</w:t>
      </w:r>
    </w:p>
    <w:p w14:paraId="62764367" w14:textId="77777777" w:rsidR="00310720" w:rsidRPr="00BC4DCB" w:rsidRDefault="00310720" w:rsidP="00310720">
      <w:pPr>
        <w:spacing w:line="240" w:lineRule="auto"/>
        <w:ind w:left="567" w:right="567"/>
        <w:contextualSpacing/>
        <w:rPr>
          <w:b/>
          <w:bCs/>
          <w:i/>
          <w:kern w:val="28"/>
          <w:szCs w:val="56"/>
          <w:lang w:eastAsia="es-MX"/>
        </w:rPr>
      </w:pPr>
      <w:r w:rsidRPr="00BC4DCB">
        <w:rPr>
          <w:b/>
          <w:bCs/>
          <w:i/>
          <w:kern w:val="28"/>
          <w:szCs w:val="56"/>
          <w:lang w:eastAsia="es-MX"/>
        </w:rPr>
        <w:t xml:space="preserve">Comunicación formal que se utiliza para tratar asuntos de índole oficial. Su característica primordial es la sobriedad de su estilo. Es un documento que inicia una gestión, informa de un hecho relevante, regulariza una situación, transmite órdenes, lineamientos o instrucciones, o trata asuntos específicos relacionados </w:t>
      </w:r>
      <w:r w:rsidRPr="00BC4DCB">
        <w:rPr>
          <w:b/>
          <w:bCs/>
          <w:i/>
          <w:kern w:val="28"/>
          <w:szCs w:val="56"/>
          <w:lang w:eastAsia="es-MX"/>
        </w:rPr>
        <w:lastRenderedPageBreak/>
        <w:t>con personas físicas o morales fuera del sector público. La información fluye en línea vertical ascendente o descendente y en forma horizontal.</w:t>
      </w:r>
    </w:p>
    <w:p w14:paraId="6E04A859" w14:textId="77777777" w:rsidR="00310720" w:rsidRPr="00BC4DCB" w:rsidRDefault="00310720" w:rsidP="00310720">
      <w:pPr>
        <w:spacing w:line="240" w:lineRule="auto"/>
        <w:ind w:left="567" w:right="567"/>
        <w:contextualSpacing/>
        <w:rPr>
          <w:i/>
          <w:kern w:val="28"/>
          <w:szCs w:val="56"/>
          <w:lang w:eastAsia="es-MX"/>
        </w:rPr>
      </w:pPr>
      <w:r w:rsidRPr="00BC4DCB">
        <w:rPr>
          <w:i/>
          <w:kern w:val="28"/>
          <w:szCs w:val="56"/>
          <w:lang w:eastAsia="es-MX"/>
        </w:rPr>
        <w:t>…</w:t>
      </w:r>
    </w:p>
    <w:p w14:paraId="43BB47AE" w14:textId="77777777" w:rsidR="00310720" w:rsidRPr="00BC4DCB" w:rsidRDefault="00310720" w:rsidP="00310720">
      <w:pPr>
        <w:spacing w:line="240" w:lineRule="auto"/>
        <w:ind w:left="567" w:right="567"/>
        <w:contextualSpacing/>
        <w:rPr>
          <w:i/>
          <w:kern w:val="28"/>
          <w:szCs w:val="56"/>
          <w:lang w:eastAsia="es-MX"/>
        </w:rPr>
      </w:pPr>
      <w:r w:rsidRPr="00BC4DCB">
        <w:rPr>
          <w:i/>
          <w:kern w:val="28"/>
          <w:szCs w:val="56"/>
          <w:lang w:eastAsia="es-MX"/>
        </w:rPr>
        <w:t> Producción de documentos:</w:t>
      </w:r>
    </w:p>
    <w:p w14:paraId="02B9C70A" w14:textId="77777777" w:rsidR="00310720" w:rsidRPr="00BC4DCB" w:rsidRDefault="00310720" w:rsidP="00310720">
      <w:pPr>
        <w:spacing w:line="240" w:lineRule="auto"/>
        <w:ind w:left="567" w:right="567"/>
        <w:contextualSpacing/>
        <w:rPr>
          <w:i/>
          <w:kern w:val="28"/>
          <w:szCs w:val="56"/>
          <w:lang w:eastAsia="es-MX"/>
        </w:rPr>
      </w:pPr>
      <w:r w:rsidRPr="00BC4DCB">
        <w:rPr>
          <w:i/>
          <w:kern w:val="28"/>
          <w:szCs w:val="56"/>
          <w:lang w:eastAsia="es-MX"/>
        </w:rPr>
        <w:t>Es la generación de los documentos con el objeto de cumplir un trámite determinado, en el desarrollo de toda gestión, a partir del razonamiento de que su producción es necesaria y útil.  </w:t>
      </w:r>
    </w:p>
    <w:p w14:paraId="2C158288" w14:textId="77777777" w:rsidR="00310720" w:rsidRPr="00BC4DCB" w:rsidRDefault="00310720" w:rsidP="00310720">
      <w:pPr>
        <w:spacing w:line="240" w:lineRule="auto"/>
        <w:ind w:left="567" w:right="567"/>
        <w:contextualSpacing/>
        <w:rPr>
          <w:i/>
          <w:kern w:val="28"/>
          <w:szCs w:val="56"/>
          <w:lang w:eastAsia="es-MX"/>
        </w:rPr>
      </w:pPr>
      <w:r w:rsidRPr="00BC4DCB">
        <w:rPr>
          <w:i/>
          <w:kern w:val="28"/>
          <w:szCs w:val="56"/>
          <w:lang w:eastAsia="es-MX"/>
        </w:rPr>
        <w:t>4.2 Las disposiciones establecidas en los presentes lineamientos son de </w:t>
      </w:r>
      <w:r w:rsidRPr="00BC4DCB">
        <w:rPr>
          <w:i/>
          <w:kern w:val="28"/>
          <w:szCs w:val="56"/>
          <w:u w:val="single"/>
          <w:lang w:eastAsia="es-MX"/>
        </w:rPr>
        <w:t>observancia obligatoria para las unidades orgánicas del Poder Ejecutivo Estatal</w:t>
      </w:r>
      <w:r w:rsidRPr="00BC4DCB">
        <w:rPr>
          <w:i/>
          <w:kern w:val="28"/>
          <w:szCs w:val="56"/>
          <w:lang w:eastAsia="es-MX"/>
        </w:rPr>
        <w:t>…”</w:t>
      </w:r>
    </w:p>
    <w:p w14:paraId="503D6237" w14:textId="77777777" w:rsidR="00310720" w:rsidRPr="00BC4DCB" w:rsidRDefault="00310720" w:rsidP="00310720">
      <w:pPr>
        <w:rPr>
          <w:rFonts w:eastAsia="Palatino Linotype"/>
          <w:lang w:eastAsia="es-MX"/>
        </w:rPr>
      </w:pPr>
    </w:p>
    <w:p w14:paraId="5DEDBB69" w14:textId="77777777" w:rsidR="00310720" w:rsidRPr="00BC4DCB" w:rsidRDefault="00310720" w:rsidP="00310720">
      <w:pPr>
        <w:shd w:val="clear" w:color="auto" w:fill="FFFFFF"/>
        <w:spacing w:before="240" w:after="240"/>
        <w:rPr>
          <w:rFonts w:eastAsia="Palatino Linotype"/>
          <w:lang w:eastAsia="es-MX"/>
        </w:rPr>
      </w:pPr>
      <w:r w:rsidRPr="00BC4DCB">
        <w:rPr>
          <w:rFonts w:eastAsia="Palatino Linotype"/>
          <w:lang w:eastAsia="es-MX"/>
        </w:rPr>
        <w:t xml:space="preserve">De lo anteriormente vertido, se tiene que un oficio es el medio de </w:t>
      </w:r>
      <w:r w:rsidRPr="00BC4DCB">
        <w:rPr>
          <w:rFonts w:eastAsia="Palatino Linotype" w:cs="Palatino Linotype"/>
          <w:szCs w:val="22"/>
          <w:lang w:eastAsia="es-MX"/>
        </w:rPr>
        <w:t>comunicación</w:t>
      </w:r>
      <w:r w:rsidRPr="00BC4DCB">
        <w:rPr>
          <w:rFonts w:eastAsia="Palatino Linotype"/>
          <w:lang w:eastAsia="es-MX"/>
        </w:rPr>
        <w:t xml:space="preserve"> formal que inicia una gestión, informa de un hecho relevante, regulariza una situación, transmite órdenes, lineamientos o instrucciones, o trata asuntos específicos </w:t>
      </w:r>
      <w:r w:rsidRPr="00BC4DCB">
        <w:rPr>
          <w:rFonts w:eastAsiaTheme="minorHAnsi" w:cs="Tahoma"/>
          <w:bCs/>
          <w:iCs/>
          <w:color w:val="000000" w:themeColor="text1"/>
          <w:szCs w:val="22"/>
          <w:lang w:eastAsia="en-US"/>
        </w:rPr>
        <w:t>relacionados</w:t>
      </w:r>
      <w:r w:rsidRPr="00BC4DCB">
        <w:rPr>
          <w:rFonts w:eastAsia="Palatino Linotype"/>
          <w:lang w:eastAsia="es-MX"/>
        </w:rPr>
        <w:t xml:space="preserve"> con personas físicas o morales en el marco de sus actuaciones.</w:t>
      </w:r>
    </w:p>
    <w:p w14:paraId="043B8669" w14:textId="77777777" w:rsidR="00310720" w:rsidRPr="00BC4DCB" w:rsidRDefault="00310720" w:rsidP="00310720">
      <w:pPr>
        <w:shd w:val="clear" w:color="auto" w:fill="FFFFFF"/>
        <w:spacing w:before="240" w:after="240"/>
        <w:rPr>
          <w:rFonts w:eastAsia="Palatino Linotype"/>
          <w:iCs/>
          <w:lang w:eastAsia="es-MX"/>
        </w:rPr>
      </w:pPr>
      <w:r w:rsidRPr="00BC4DCB">
        <w:rPr>
          <w:rFonts w:eastAsia="Palatino Linotype"/>
          <w:iCs/>
          <w:lang w:eastAsia="es-MX"/>
        </w:rPr>
        <w:t xml:space="preserve">Por lo que respecta a nuestra materia, se tiene que la Ley de </w:t>
      </w:r>
      <w:r w:rsidRPr="00BC4DCB">
        <w:rPr>
          <w:rFonts w:eastAsia="Palatino Linotype" w:cs="Palatino Linotype"/>
          <w:szCs w:val="22"/>
          <w:lang w:eastAsia="es-MX"/>
        </w:rPr>
        <w:t>Transparencia</w:t>
      </w:r>
      <w:r w:rsidRPr="00BC4DCB">
        <w:rPr>
          <w:rFonts w:eastAsia="Palatino Linotype"/>
          <w:iCs/>
          <w:lang w:eastAsia="es-MX"/>
        </w:rPr>
        <w:t xml:space="preserve"> y Acceso a la Información Pública del Estado de México y Municipios, prevé en su artículo 3, fracción XI, lo siguiente: </w:t>
      </w:r>
    </w:p>
    <w:p w14:paraId="7AA026C2" w14:textId="77777777" w:rsidR="00310720" w:rsidRPr="00BC4DCB" w:rsidRDefault="00310720" w:rsidP="00310720">
      <w:pPr>
        <w:ind w:right="-312"/>
        <w:rPr>
          <w:rFonts w:eastAsia="Palatino Linotype" w:cs="Palatino Linotype"/>
          <w:iCs/>
          <w:szCs w:val="22"/>
          <w:lang w:eastAsia="es-MX"/>
        </w:rPr>
      </w:pPr>
    </w:p>
    <w:p w14:paraId="6CFBDEA7" w14:textId="77777777" w:rsidR="00310720" w:rsidRPr="00BC4DCB" w:rsidRDefault="00310720" w:rsidP="00310720">
      <w:pPr>
        <w:spacing w:line="240" w:lineRule="auto"/>
        <w:ind w:left="567" w:right="567"/>
        <w:rPr>
          <w:rFonts w:eastAsia="Palatino Linotype" w:cs="Palatino Linotype"/>
          <w:i/>
          <w:color w:val="000000"/>
          <w:szCs w:val="22"/>
          <w:lang w:eastAsia="es-MX"/>
        </w:rPr>
      </w:pPr>
      <w:r w:rsidRPr="00BC4DCB">
        <w:rPr>
          <w:rFonts w:eastAsia="Palatino Linotype" w:cs="Palatino Linotype"/>
          <w:b/>
          <w:i/>
          <w:color w:val="000000"/>
          <w:szCs w:val="22"/>
          <w:lang w:eastAsia="es-MX"/>
        </w:rPr>
        <w:t>Artículo 3.</w:t>
      </w:r>
      <w:r w:rsidRPr="00BC4DCB">
        <w:rPr>
          <w:rFonts w:eastAsia="Palatino Linotype" w:cs="Palatino Linotype"/>
          <w:i/>
          <w:color w:val="000000"/>
          <w:szCs w:val="22"/>
          <w:lang w:eastAsia="es-MX"/>
        </w:rPr>
        <w:t xml:space="preserve"> Para los efectos de la presente Ley se entenderá por:</w:t>
      </w:r>
    </w:p>
    <w:p w14:paraId="1599A861" w14:textId="77777777" w:rsidR="00310720" w:rsidRPr="00BC4DCB" w:rsidRDefault="00310720" w:rsidP="00310720">
      <w:pPr>
        <w:spacing w:line="240" w:lineRule="auto"/>
        <w:ind w:left="567" w:right="567"/>
        <w:rPr>
          <w:rFonts w:eastAsia="Palatino Linotype" w:cs="Palatino Linotype"/>
          <w:i/>
          <w:color w:val="000000"/>
          <w:szCs w:val="22"/>
          <w:lang w:eastAsia="es-MX"/>
        </w:rPr>
      </w:pPr>
      <w:r w:rsidRPr="00BC4DCB">
        <w:rPr>
          <w:rFonts w:eastAsia="Palatino Linotype" w:cs="Palatino Linotype"/>
          <w:i/>
          <w:color w:val="000000"/>
          <w:szCs w:val="22"/>
          <w:lang w:eastAsia="es-MX"/>
        </w:rPr>
        <w:t>…</w:t>
      </w:r>
    </w:p>
    <w:p w14:paraId="42DD4085" w14:textId="77777777" w:rsidR="00310720" w:rsidRPr="00BC4DCB" w:rsidRDefault="00310720" w:rsidP="00310720">
      <w:pPr>
        <w:spacing w:line="240" w:lineRule="auto"/>
        <w:ind w:left="567" w:right="567"/>
        <w:rPr>
          <w:rFonts w:eastAsia="Palatino Linotype" w:cs="Palatino Linotype"/>
          <w:b/>
          <w:i/>
          <w:color w:val="000000"/>
          <w:szCs w:val="22"/>
          <w:u w:val="single"/>
          <w:lang w:eastAsia="es-MX"/>
        </w:rPr>
      </w:pPr>
      <w:r w:rsidRPr="00BC4DCB">
        <w:rPr>
          <w:rFonts w:eastAsia="Palatino Linotype" w:cs="Palatino Linotype"/>
          <w:i/>
          <w:color w:val="000000"/>
          <w:szCs w:val="22"/>
          <w:lang w:eastAsia="es-MX"/>
        </w:rPr>
        <w:t xml:space="preserve">XI. </w:t>
      </w:r>
      <w:r w:rsidRPr="00BC4DCB">
        <w:rPr>
          <w:rFonts w:eastAsia="Palatino Linotype" w:cs="Palatino Linotype"/>
          <w:b/>
          <w:i/>
          <w:color w:val="000000"/>
          <w:szCs w:val="22"/>
          <w:lang w:eastAsia="es-MX"/>
        </w:rPr>
        <w:t>Documento:</w:t>
      </w:r>
      <w:r w:rsidRPr="00BC4DCB">
        <w:rPr>
          <w:rFonts w:eastAsia="Palatino Linotype" w:cs="Palatino Linotype"/>
          <w:i/>
          <w:color w:val="000000"/>
          <w:szCs w:val="22"/>
          <w:lang w:eastAsia="es-MX"/>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3D00F965" w14:textId="77777777" w:rsidR="00310720" w:rsidRPr="00BC4DCB" w:rsidRDefault="00310720" w:rsidP="00310720">
      <w:pPr>
        <w:spacing w:line="240" w:lineRule="auto"/>
        <w:ind w:left="567" w:right="567"/>
        <w:rPr>
          <w:rFonts w:eastAsia="Palatino Linotype" w:cs="Palatino Linotype"/>
          <w:i/>
          <w:color w:val="000000"/>
          <w:szCs w:val="22"/>
          <w:lang w:eastAsia="es-MX"/>
        </w:rPr>
      </w:pPr>
      <w:r w:rsidRPr="00BC4DCB">
        <w:rPr>
          <w:rFonts w:eastAsia="Palatino Linotype" w:cs="Palatino Linotype"/>
          <w:i/>
          <w:color w:val="000000"/>
          <w:szCs w:val="22"/>
          <w:lang w:eastAsia="es-MX"/>
        </w:rPr>
        <w:t>…</w:t>
      </w:r>
    </w:p>
    <w:p w14:paraId="696C71AE" w14:textId="77777777" w:rsidR="00310720" w:rsidRPr="00BC4DCB" w:rsidRDefault="00310720" w:rsidP="00310720">
      <w:pPr>
        <w:ind w:right="-312"/>
        <w:rPr>
          <w:rFonts w:eastAsia="Palatino Linotype" w:cs="Palatino Linotype"/>
          <w:i/>
          <w:iCs/>
          <w:szCs w:val="22"/>
          <w:lang w:eastAsia="es-MX"/>
        </w:rPr>
      </w:pPr>
    </w:p>
    <w:p w14:paraId="0051FFD3" w14:textId="77777777" w:rsidR="00310720" w:rsidRPr="00BC4DCB" w:rsidRDefault="00310720" w:rsidP="00310720">
      <w:pPr>
        <w:rPr>
          <w:rFonts w:eastAsia="Palatino Linotype"/>
          <w:lang w:eastAsia="es-MX"/>
        </w:rPr>
      </w:pPr>
      <w:r w:rsidRPr="00BC4DCB">
        <w:rPr>
          <w:rFonts w:eastAsia="Palatino Linotype"/>
          <w:lang w:eastAsia="es-MX"/>
        </w:rPr>
        <w:t xml:space="preserve">Es así, que se entiende como documento a cualquier registro que precise el ejercicio de las facultades, funciones y competencias de los sujetos obligados, sus servidores públicos e </w:t>
      </w:r>
      <w:r w:rsidRPr="00BC4DCB">
        <w:rPr>
          <w:rFonts w:eastAsia="Palatino Linotype"/>
          <w:lang w:eastAsia="es-MX"/>
        </w:rPr>
        <w:lastRenderedPageBreak/>
        <w:t xml:space="preserve">integrantes, sin importar su fuente o fecha de elaboración, entre los cuales se encuentran los “oficios”. </w:t>
      </w:r>
    </w:p>
    <w:p w14:paraId="64CFEC6F" w14:textId="77777777" w:rsidR="00310720" w:rsidRPr="00BC4DCB" w:rsidRDefault="00310720" w:rsidP="00310720">
      <w:pPr>
        <w:rPr>
          <w:rFonts w:cs="Arial"/>
          <w:color w:val="000000" w:themeColor="text1"/>
        </w:rPr>
      </w:pPr>
    </w:p>
    <w:p w14:paraId="53F75CA7" w14:textId="358AFCC6" w:rsidR="00310720" w:rsidRPr="00BC4DCB" w:rsidRDefault="00310720" w:rsidP="00310720">
      <w:r w:rsidRPr="00BC4DCB">
        <w:t xml:space="preserve">Una vez precisado lo anterior, es necesario destacar que la respuesta fue emitida por el </w:t>
      </w:r>
      <w:r w:rsidRPr="00BC4DCB">
        <w:rPr>
          <w:bCs/>
          <w:iCs/>
        </w:rPr>
        <w:t>titular de la Unidad de Información, Planeación, Programación y Evaluación</w:t>
      </w:r>
      <w:r w:rsidRPr="00BC4DCB">
        <w:t>, área a la que le fue solicitada la información y que reconoció haberla generado.</w:t>
      </w:r>
    </w:p>
    <w:p w14:paraId="53AA4490" w14:textId="77777777" w:rsidR="00310720" w:rsidRPr="00BC4DCB" w:rsidRDefault="00310720" w:rsidP="00310720">
      <w:pPr>
        <w:rPr>
          <w:rFonts w:cs="Tahoma"/>
          <w:szCs w:val="22"/>
        </w:rPr>
      </w:pPr>
    </w:p>
    <w:p w14:paraId="4615369B" w14:textId="77777777" w:rsidR="00310720" w:rsidRPr="00BC4DCB" w:rsidRDefault="00310720" w:rsidP="00310720">
      <w:pPr>
        <w:rPr>
          <w:rFonts w:cs="Tahoma"/>
          <w:szCs w:val="22"/>
        </w:rPr>
      </w:pPr>
      <w:r w:rsidRPr="00BC4DCB">
        <w:rPr>
          <w:rFonts w:cs="Tahoma"/>
          <w:szCs w:val="22"/>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w:t>
      </w:r>
    </w:p>
    <w:p w14:paraId="36DCC089" w14:textId="77777777" w:rsidR="00310720" w:rsidRPr="00BC4DCB" w:rsidRDefault="00310720" w:rsidP="00310720">
      <w:pPr>
        <w:pStyle w:val="Puesto"/>
      </w:pPr>
    </w:p>
    <w:p w14:paraId="4DD314A5" w14:textId="77777777" w:rsidR="00310720" w:rsidRPr="00BC4DCB" w:rsidRDefault="00310720" w:rsidP="00310720">
      <w:pPr>
        <w:pStyle w:val="Puesto"/>
      </w:pPr>
      <w:r w:rsidRPr="00BC4DCB">
        <w:rPr>
          <w:b/>
          <w:bCs/>
        </w:rPr>
        <w:t>XXXIX. Servidor público habilitado:</w:t>
      </w:r>
      <w:r w:rsidRPr="00BC4DCB">
        <w:t xml:space="preserve">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35CBE5B8" w14:textId="77777777" w:rsidR="00310720" w:rsidRPr="00BC4DCB" w:rsidRDefault="00310720" w:rsidP="00310720">
      <w:pPr>
        <w:pStyle w:val="Puesto"/>
      </w:pPr>
    </w:p>
    <w:p w14:paraId="6A388D45" w14:textId="77777777" w:rsidR="00310720" w:rsidRPr="00BC4DCB" w:rsidRDefault="00310720" w:rsidP="00310720">
      <w:r w:rsidRPr="00BC4DCB">
        <w:t xml:space="preserve">En este orden de ideas, se advierte que efectivamente la Unidad de Transparencia cumplió con lo expresado en el artículo 162 de la Ley de Transparencia y Acceso a la Información Pública del Estado de México y Municipios, el cual menciona lo siguiente: </w:t>
      </w:r>
    </w:p>
    <w:p w14:paraId="16909092" w14:textId="77777777" w:rsidR="00310720" w:rsidRPr="00BC4DCB" w:rsidRDefault="00310720" w:rsidP="00310720"/>
    <w:p w14:paraId="4306F839" w14:textId="77777777" w:rsidR="00310720" w:rsidRPr="00BC4DCB" w:rsidRDefault="00310720" w:rsidP="00310720">
      <w:pPr>
        <w:pStyle w:val="Puesto"/>
      </w:pPr>
      <w:r w:rsidRPr="00BC4DCB">
        <w:t>“</w:t>
      </w:r>
      <w:r w:rsidRPr="00BC4DCB">
        <w:rPr>
          <w:b/>
          <w:bCs/>
        </w:rPr>
        <w:t>Artículo 162. Las unidades de transparencia deberán garantizar que las solicitudes se turnen a todas las Áreas competentes</w:t>
      </w:r>
      <w:r w:rsidRPr="00BC4DCB">
        <w:t xml:space="preserve"> que cuenten con la información o deban tenerla de acuerdo a sus facultades, competencias y funciones, con el objeto de que realicen una búsqueda exhaustiva y razonable de la información solicitada.”</w:t>
      </w:r>
    </w:p>
    <w:p w14:paraId="7D6D6B9C" w14:textId="77777777" w:rsidR="00310720" w:rsidRPr="00BC4DCB" w:rsidRDefault="00310720" w:rsidP="00310720"/>
    <w:p w14:paraId="1B1B2388" w14:textId="67ED2B31" w:rsidR="00310720" w:rsidRPr="00BC4DCB" w:rsidRDefault="00310720" w:rsidP="00310720">
      <w:pPr>
        <w:rPr>
          <w:b/>
          <w:bCs/>
        </w:rPr>
      </w:pPr>
      <w:r w:rsidRPr="00BC4DCB">
        <w:lastRenderedPageBreak/>
        <w:t xml:space="preserve">Ahora bien, del análisis realizado a la respuesta otorgada por el servidor público habilitado competente se advierte que no atendió el derecho de acceso a la información, pues pretendió cambiar la modalidad de entrega elegida por </w:t>
      </w:r>
      <w:r w:rsidRPr="00BC4DCB">
        <w:rPr>
          <w:b/>
          <w:bCs/>
        </w:rPr>
        <w:t xml:space="preserve">LA PARTE RECURRENTE. </w:t>
      </w:r>
    </w:p>
    <w:p w14:paraId="5135E1E6" w14:textId="77777777" w:rsidR="00310720" w:rsidRPr="00BC4DCB" w:rsidRDefault="00310720" w:rsidP="00310720"/>
    <w:p w14:paraId="2311E98F" w14:textId="77777777" w:rsidR="00310720" w:rsidRPr="00BC4DCB" w:rsidRDefault="00310720" w:rsidP="00310720">
      <w:pPr>
        <w:rPr>
          <w:rFonts w:eastAsia="MS Mincho" w:cs="Arial"/>
        </w:rPr>
      </w:pPr>
      <w:r w:rsidRPr="00BC4DCB">
        <w:rPr>
          <w:color w:val="000000" w:themeColor="text1"/>
        </w:rPr>
        <w:t xml:space="preserve">En consecuencia, se considera viable </w:t>
      </w:r>
      <w:r w:rsidRPr="00BC4DCB">
        <w:rPr>
          <w:rFonts w:cs="Arial"/>
          <w:color w:val="000000" w:themeColor="text1"/>
        </w:rPr>
        <w:t xml:space="preserve">el cambio de modalidad, cuando se actualice lo previsto en el </w:t>
      </w:r>
      <w:r w:rsidRPr="00BC4DCB">
        <w:rPr>
          <w:rFonts w:eastAsia="MS Mincho" w:cs="Arial"/>
        </w:rPr>
        <w:t xml:space="preserve">artículo 158 de la Ley de Transparencia y Acceso a la Información Pública del Estado de México y Municipios, los cuales señalan: </w:t>
      </w:r>
    </w:p>
    <w:p w14:paraId="0139E7EC" w14:textId="77777777" w:rsidR="00310720" w:rsidRPr="00BC4DCB" w:rsidRDefault="00310720" w:rsidP="00310720">
      <w:pPr>
        <w:rPr>
          <w:color w:val="000000" w:themeColor="text1"/>
          <w:lang w:eastAsia="es-MX"/>
        </w:rPr>
      </w:pPr>
    </w:p>
    <w:p w14:paraId="2582FB76" w14:textId="77777777" w:rsidR="00310720" w:rsidRPr="00BC4DCB" w:rsidRDefault="00310720" w:rsidP="00310720">
      <w:pPr>
        <w:pStyle w:val="Puesto"/>
      </w:pPr>
      <w:r w:rsidRPr="00BC4DCB">
        <w:t>“</w:t>
      </w:r>
      <w:r w:rsidRPr="00BC4DCB">
        <w:rPr>
          <w:b/>
          <w:bCs/>
        </w:rPr>
        <w:t>Artículo 158.</w:t>
      </w:r>
      <w:r w:rsidRPr="00BC4DCB">
        <w:t xml:space="preserve"> </w:t>
      </w:r>
      <w:r w:rsidRPr="00BC4DCB">
        <w:rPr>
          <w:bCs/>
        </w:rPr>
        <w:t>De manera excepcional, cuando de forma fundada y motivada así lo determine el sujeto obligado</w:t>
      </w:r>
      <w:r w:rsidRPr="00BC4DCB">
        <w:t xml:space="preserve">, en aquellos casos en que la información solicitada que ya se encuentre en su posesión implique análisis, estudio o procesamiento de documentos </w:t>
      </w:r>
      <w:r w:rsidRPr="00BC4DCB">
        <w:rPr>
          <w:bCs/>
        </w:rPr>
        <w:t>cuya entrega o reproducción sobrepase las capacidades técnicas administrativas y humanas del sujeto obligado</w:t>
      </w:r>
      <w:r w:rsidRPr="00BC4DCB">
        <w:t xml:space="preserve"> para cumplir con la solicitud, en los plazos establecidos para dichos efectos,</w:t>
      </w:r>
      <w:r w:rsidRPr="00BC4DCB">
        <w:rPr>
          <w:bCs/>
        </w:rPr>
        <w:t xml:space="preserve"> se podrá poner a disposición del solicitante los documentos en consulta directa</w:t>
      </w:r>
      <w:r w:rsidRPr="00BC4DCB">
        <w:t>, salvo la información clasificada”.</w:t>
      </w:r>
    </w:p>
    <w:p w14:paraId="2CF5B696" w14:textId="77777777" w:rsidR="00310720" w:rsidRPr="00BC4DCB" w:rsidRDefault="00310720" w:rsidP="00310720">
      <w:pPr>
        <w:pStyle w:val="Puesto"/>
      </w:pPr>
      <w:r w:rsidRPr="00BC4DCB">
        <w:t xml:space="preserve"> (Énfasis añadido) </w:t>
      </w:r>
    </w:p>
    <w:p w14:paraId="696A59DD" w14:textId="77777777" w:rsidR="00310720" w:rsidRPr="00BC4DCB" w:rsidRDefault="00310720" w:rsidP="00310720">
      <w:pPr>
        <w:pStyle w:val="Puesto"/>
      </w:pPr>
    </w:p>
    <w:p w14:paraId="300672C7" w14:textId="11CB3C01" w:rsidR="00310720" w:rsidRPr="00BC4DCB" w:rsidRDefault="00310720" w:rsidP="00310720">
      <w:pPr>
        <w:rPr>
          <w:rFonts w:eastAsia="MS Mincho" w:cs="Arial"/>
        </w:rPr>
      </w:pPr>
      <w:r w:rsidRPr="00BC4DCB">
        <w:rPr>
          <w:rFonts w:eastAsia="MS Mincho" w:cs="Arial"/>
        </w:rPr>
        <w:t xml:space="preserve">Es así como, la Ley de la materia contempla que excepcionalmente, de manera fundada y motivada, en el caso de que la información solicitada implique análisis, estudio o procesamiento de documentos, cuya entrega o reproducción sobrepase las capacidades técnicas administrativas y humanas del Sujeto Obligado, se podrá poner a disposición del solicitante los documentos en consulta directa. </w:t>
      </w:r>
    </w:p>
    <w:p w14:paraId="026E0547" w14:textId="77777777" w:rsidR="00310720" w:rsidRPr="00BC4DCB" w:rsidRDefault="00310720" w:rsidP="00310720">
      <w:pPr>
        <w:rPr>
          <w:rFonts w:eastAsia="MS Mincho" w:cs="Arial"/>
        </w:rPr>
      </w:pPr>
    </w:p>
    <w:p w14:paraId="51CD251F" w14:textId="77777777" w:rsidR="00310720" w:rsidRPr="00BC4DCB" w:rsidRDefault="00310720" w:rsidP="00310720">
      <w:pPr>
        <w:rPr>
          <w:rFonts w:eastAsia="MS Mincho" w:cs="Arial"/>
          <w:b/>
        </w:rPr>
      </w:pPr>
      <w:r w:rsidRPr="00BC4DCB">
        <w:rPr>
          <w:rFonts w:eastAsia="MS Mincho" w:cs="Arial"/>
        </w:rPr>
        <w:t xml:space="preserve">Es decir, del artículo anterior, se derivan tres hipótesis que en conjunto y de manera fundada y motivada, validan el cambio de modalidad de entrega de la información y las cuales son, que las documentales a proporcionar </w:t>
      </w:r>
      <w:r w:rsidRPr="00BC4DCB">
        <w:rPr>
          <w:rFonts w:eastAsia="MS Mincho" w:cs="Arial"/>
          <w:b/>
        </w:rPr>
        <w:t xml:space="preserve">sobrepasen las capacidades técnicas administrativas y humanas del Sujeto Obligado. </w:t>
      </w:r>
    </w:p>
    <w:p w14:paraId="4615F62C" w14:textId="77777777" w:rsidR="00310720" w:rsidRPr="00BC4DCB" w:rsidRDefault="00310720" w:rsidP="00310720">
      <w:pPr>
        <w:rPr>
          <w:rFonts w:eastAsia="MS Mincho" w:cs="Arial"/>
        </w:rPr>
      </w:pPr>
    </w:p>
    <w:p w14:paraId="5391D3A5" w14:textId="77777777" w:rsidR="00310720" w:rsidRPr="00BC4DCB" w:rsidRDefault="00310720" w:rsidP="00310720">
      <w:pPr>
        <w:rPr>
          <w:rFonts w:eastAsia="MS Mincho" w:cs="Arial"/>
        </w:rPr>
      </w:pPr>
      <w:r w:rsidRPr="00BC4DCB">
        <w:rPr>
          <w:rFonts w:eastAsia="MS Mincho" w:cs="Arial"/>
        </w:rPr>
        <w:lastRenderedPageBreak/>
        <w:t xml:space="preserve">Derivado de lo anterior, cabe mencionar lo que se entiende por </w:t>
      </w:r>
      <w:r w:rsidRPr="00BC4DCB">
        <w:rPr>
          <w:rFonts w:eastAsia="MS Mincho" w:cs="Arial"/>
          <w:b/>
        </w:rPr>
        <w:t>“capacidad”</w:t>
      </w:r>
      <w:r w:rsidRPr="00BC4DCB">
        <w:rPr>
          <w:rFonts w:eastAsia="MS Mincho" w:cs="Arial"/>
        </w:rPr>
        <w:t>, que de manera general puede ser interpretado como la circunstancia o conjunto de condiciones, cualidades o aptitudes que permiten el desarrollo o el cumplimiento de una función o desempeño de un cargo.</w:t>
      </w:r>
    </w:p>
    <w:p w14:paraId="1C713CBB" w14:textId="77777777" w:rsidR="00310720" w:rsidRPr="00BC4DCB" w:rsidRDefault="00310720" w:rsidP="00310720">
      <w:pPr>
        <w:rPr>
          <w:rFonts w:eastAsia="MS Mincho" w:cs="Arial"/>
        </w:rPr>
      </w:pPr>
    </w:p>
    <w:p w14:paraId="3F3398F7" w14:textId="77777777" w:rsidR="00310720" w:rsidRPr="00BC4DCB" w:rsidRDefault="00310720" w:rsidP="00310720">
      <w:pPr>
        <w:rPr>
          <w:rFonts w:eastAsia="MS Mincho" w:cs="Arial"/>
        </w:rPr>
      </w:pPr>
      <w:r w:rsidRPr="00BC4DCB">
        <w:rPr>
          <w:rFonts w:eastAsia="MS Gothic" w:cstheme="majorBidi"/>
        </w:rPr>
        <w:t>Ahora bien, re</w:t>
      </w:r>
      <w:r w:rsidRPr="00BC4DCB">
        <w:rPr>
          <w:rFonts w:eastAsia="MS Mincho" w:cs="Arial"/>
        </w:rPr>
        <w:t xml:space="preserve">specto a las </w:t>
      </w:r>
      <w:r w:rsidRPr="00BC4DCB">
        <w:rPr>
          <w:rFonts w:eastAsia="MS Mincho" w:cs="Arial"/>
          <w:b/>
        </w:rPr>
        <w:t>capacidades técnicas</w:t>
      </w:r>
      <w:r w:rsidRPr="00BC4DCB">
        <w:rPr>
          <w:rFonts w:eastAsia="MS Mincho" w:cs="Arial"/>
        </w:rPr>
        <w:t xml:space="preserve">, el Sistema de Acceso a la Información Mexiquense (SAIMEX), es el medio electrónico a través del cual se formulan las solicitudes de información pública y se interponen los recursos de revisión. De esta manera, tras registrar una cuenta en el sistema electrónico y realizar una solicitud de información, es posible darle seguimiento a la presentación, respuesta, inconformidad y resolución de la misma. </w:t>
      </w:r>
    </w:p>
    <w:p w14:paraId="39801D10" w14:textId="77777777" w:rsidR="00310720" w:rsidRPr="00BC4DCB" w:rsidRDefault="00310720" w:rsidP="00310720">
      <w:pPr>
        <w:rPr>
          <w:rFonts w:eastAsia="MS Mincho" w:cs="Arial"/>
        </w:rPr>
      </w:pPr>
    </w:p>
    <w:p w14:paraId="02E7C6C8" w14:textId="77777777" w:rsidR="00310720" w:rsidRPr="00BC4DCB" w:rsidRDefault="00310720" w:rsidP="00310720">
      <w:pPr>
        <w:rPr>
          <w:rFonts w:eastAsiaTheme="minorEastAsia" w:cs="Arial"/>
          <w:lang w:val="es-ES_tradnl"/>
        </w:rPr>
      </w:pPr>
      <w:r w:rsidRPr="00BC4DCB">
        <w:rPr>
          <w:rFonts w:eastAsia="MS Mincho" w:cs="Arial"/>
        </w:rPr>
        <w:t xml:space="preserve">Derivado de lo anterior, es importante señalar que el </w:t>
      </w:r>
      <w:r w:rsidRPr="00BC4DCB">
        <w:rPr>
          <w:rFonts w:eastAsiaTheme="minorEastAsia" w:cs="Arial"/>
          <w:b/>
          <w:lang w:val="es-ES_tradnl"/>
        </w:rPr>
        <w:t>SAIMEX</w:t>
      </w:r>
      <w:r w:rsidRPr="00BC4DCB">
        <w:rPr>
          <w:rFonts w:eastAsiaTheme="minorEastAsia" w:cs="Arial"/>
          <w:lang w:val="es-ES_tradnl"/>
        </w:rPr>
        <w:t xml:space="preserve"> cuenta con el soporte tecnológico para que se puedan adjuntar archivos con un peso aprox. de hasta 500Mb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 </w:t>
      </w:r>
    </w:p>
    <w:p w14:paraId="10C1A393" w14:textId="77777777" w:rsidR="00310720" w:rsidRPr="00BC4DCB" w:rsidRDefault="00310720" w:rsidP="00310720">
      <w:pPr>
        <w:rPr>
          <w:rFonts w:eastAsiaTheme="minorEastAsia" w:cs="Arial"/>
          <w:lang w:val="es-ES_tradnl"/>
        </w:rPr>
      </w:pPr>
    </w:p>
    <w:p w14:paraId="6FAD0BBA" w14:textId="3A6E345C" w:rsidR="00310720" w:rsidRPr="00BC4DCB" w:rsidRDefault="00310720" w:rsidP="00310720">
      <w:pPr>
        <w:rPr>
          <w:rFonts w:cs="Arial"/>
          <w:lang w:val="es-ES"/>
        </w:rPr>
      </w:pPr>
      <w:r w:rsidRPr="00BC4DCB">
        <w:rPr>
          <w:rFonts w:eastAsia="MS Mincho" w:cs="Arial"/>
        </w:rPr>
        <w:t xml:space="preserve">Es así como, en el presente asunto </w:t>
      </w:r>
      <w:r w:rsidRPr="00BC4DCB">
        <w:rPr>
          <w:rFonts w:eastAsia="MS Mincho" w:cs="Arial"/>
          <w:b/>
        </w:rPr>
        <w:t xml:space="preserve">EL SUJETO OBLIGADO </w:t>
      </w:r>
      <w:r w:rsidRPr="00BC4DCB">
        <w:rPr>
          <w:rFonts w:eastAsia="MS Mincho" w:cs="Arial"/>
        </w:rPr>
        <w:t xml:space="preserve">omitió </w:t>
      </w:r>
      <w:r w:rsidRPr="00BC4DCB">
        <w:rPr>
          <w:rFonts w:cs="Arial"/>
          <w:lang w:val="es-ES"/>
        </w:rPr>
        <w:t xml:space="preserve">demostrar que los documentos con los que pretendía dar respuesta excedían de la capacidad para ser cargada en la plataforma </w:t>
      </w:r>
      <w:r w:rsidRPr="00BC4DCB">
        <w:rPr>
          <w:rFonts w:cs="Arial"/>
          <w:b/>
          <w:lang w:val="es-ES"/>
        </w:rPr>
        <w:t>SAIMEX</w:t>
      </w:r>
      <w:r w:rsidRPr="00BC4DCB">
        <w:rPr>
          <w:rFonts w:cs="Arial"/>
          <w:lang w:val="es-ES"/>
        </w:rPr>
        <w:t>, por lo que dicha respuesta carece de fundamentación y motivación; por lo tanto, dicha situación implica un incumplimiento a los principios de transparencia, ya que no se proporcionó la información que requería el particular en la modalidad que ésta señaló que se le entregara.</w:t>
      </w:r>
    </w:p>
    <w:p w14:paraId="5CA7E0CB" w14:textId="77777777" w:rsidR="00310720" w:rsidRPr="00BC4DCB" w:rsidRDefault="00310720" w:rsidP="00310720">
      <w:pPr>
        <w:rPr>
          <w:rFonts w:cs="Arial"/>
          <w:lang w:val="es-ES"/>
        </w:rPr>
      </w:pPr>
    </w:p>
    <w:p w14:paraId="2F67C043" w14:textId="7158BE98" w:rsidR="00310720" w:rsidRPr="00BC4DCB" w:rsidRDefault="00310720" w:rsidP="00310720">
      <w:pPr>
        <w:rPr>
          <w:rFonts w:cs="Arial"/>
          <w:b/>
          <w:lang w:val="es-ES"/>
        </w:rPr>
      </w:pPr>
      <w:r w:rsidRPr="00BC4DCB">
        <w:rPr>
          <w:rFonts w:cs="Arial"/>
          <w:lang w:val="es-ES"/>
        </w:rPr>
        <w:lastRenderedPageBreak/>
        <w:t xml:space="preserve">Por lo anterior, es necesario destacar que los Sujetos Obligados deben respetar la forma seleccionada por </w:t>
      </w:r>
      <w:r w:rsidRPr="00BC4DCB">
        <w:rPr>
          <w:rFonts w:cs="Arial"/>
          <w:b/>
          <w:lang w:val="es-ES"/>
        </w:rPr>
        <w:t>LA</w:t>
      </w:r>
      <w:r w:rsidRPr="00BC4DCB">
        <w:rPr>
          <w:rFonts w:cs="Arial"/>
          <w:bCs/>
          <w:lang w:val="es-ES"/>
        </w:rPr>
        <w:t xml:space="preserve"> </w:t>
      </w:r>
      <w:r w:rsidRPr="00BC4DCB">
        <w:rPr>
          <w:rFonts w:cs="Arial"/>
          <w:b/>
          <w:lang w:val="es-ES"/>
        </w:rPr>
        <w:t>PARTE RECURRENTE</w:t>
      </w:r>
      <w:r w:rsidRPr="00BC4DCB">
        <w:rPr>
          <w:rFonts w:cs="Arial"/>
          <w:lang w:val="es-ES"/>
        </w:rPr>
        <w:t xml:space="preserve"> para la entrega de la información, por lo que, si éste eligió que la vía de entrega de la información sea el</w:t>
      </w:r>
      <w:r w:rsidRPr="00BC4DCB">
        <w:rPr>
          <w:rFonts w:cs="Arial"/>
          <w:b/>
          <w:lang w:val="es-ES"/>
        </w:rPr>
        <w:t xml:space="preserve"> SAIMEX</w:t>
      </w:r>
      <w:r w:rsidRPr="00BC4DCB">
        <w:rPr>
          <w:rFonts w:cs="Arial"/>
          <w:lang w:val="es-ES"/>
        </w:rPr>
        <w:t xml:space="preserve">, el responsable de la Unidad de Transparencia debió agregar los archivos electrónicos que contengan la información requerida en dicho sistema </w:t>
      </w:r>
      <w:r w:rsidRPr="00BC4DCB">
        <w:rPr>
          <w:rFonts w:cs="Arial"/>
          <w:b/>
          <w:lang w:val="es-ES"/>
        </w:rPr>
        <w:t xml:space="preserve">y sólo en caso de imposibilidad técnica, y previo aviso a este Instituto, puede optarse por cambiar la modalidad de entrega. </w:t>
      </w:r>
    </w:p>
    <w:p w14:paraId="3A478F20" w14:textId="77777777" w:rsidR="00310720" w:rsidRPr="00BC4DCB" w:rsidRDefault="00310720" w:rsidP="00310720">
      <w:pPr>
        <w:rPr>
          <w:rFonts w:cs="Arial"/>
          <w:lang w:val="es-ES"/>
        </w:rPr>
      </w:pPr>
    </w:p>
    <w:p w14:paraId="664A8EB9" w14:textId="12BC98F0" w:rsidR="00310720" w:rsidRPr="00BC4DCB" w:rsidRDefault="00310720" w:rsidP="00310720">
      <w:pPr>
        <w:rPr>
          <w:rFonts w:eastAsia="Palatino Linotype" w:cs="Palatino Linotype"/>
        </w:rPr>
      </w:pPr>
      <w:r w:rsidRPr="00BC4DCB">
        <w:rPr>
          <w:rFonts w:eastAsia="Palatino Linotype" w:cs="Palatino Linotype"/>
        </w:rPr>
        <w:t xml:space="preserve">Luego, es conveniente mencionar que, el pasado </w:t>
      </w:r>
      <w:r w:rsidRPr="00BC4DCB">
        <w:rPr>
          <w:rFonts w:eastAsia="Palatino Linotype" w:cs="Palatino Linotype"/>
          <w:b/>
          <w:bCs/>
        </w:rPr>
        <w:t>cinco de noviembre de dos mil veinticuatro</w:t>
      </w:r>
      <w:r w:rsidRPr="00BC4DCB">
        <w:rPr>
          <w:rFonts w:eastAsia="Palatino Linotype" w:cs="Palatino Linotype"/>
        </w:rPr>
        <w:t xml:space="preserve">, este Órgano Garante, requirió al </w:t>
      </w:r>
      <w:r w:rsidRPr="00BC4DCB">
        <w:rPr>
          <w:rFonts w:eastAsia="Palatino Linotype" w:cs="Palatino Linotype"/>
          <w:b/>
        </w:rPr>
        <w:t>SUJETO OBLIGADO</w:t>
      </w:r>
      <w:r w:rsidRPr="00BC4DCB">
        <w:rPr>
          <w:rFonts w:eastAsia="Palatino Linotype" w:cs="Palatino Linotype"/>
        </w:rPr>
        <w:t xml:space="preserve"> vía correo electrónico para que en un plazo no mayor a tres días</w:t>
      </w:r>
      <w:r w:rsidRPr="00BC4DCB">
        <w:rPr>
          <w:rFonts w:eastAsia="Palatino Linotype" w:cs="Palatino Linotype"/>
          <w:vertAlign w:val="superscript"/>
        </w:rPr>
        <w:footnoteReference w:id="1"/>
      </w:r>
      <w:r w:rsidRPr="00BC4DCB">
        <w:rPr>
          <w:rFonts w:eastAsia="Palatino Linotype" w:cs="Palatino Linotype"/>
        </w:rPr>
        <w:t>, informara, de ser el caso, la imposibilidad de poder cargar la información en el Sistema de Acceso a la Información Mexiquense (</w:t>
      </w:r>
      <w:r w:rsidRPr="00BC4DCB">
        <w:rPr>
          <w:rFonts w:eastAsia="Palatino Linotype" w:cs="Palatino Linotype"/>
          <w:b/>
          <w:bCs/>
        </w:rPr>
        <w:t>SAIMEX</w:t>
      </w:r>
      <w:r w:rsidRPr="00BC4DCB">
        <w:rPr>
          <w:rFonts w:eastAsia="Palatino Linotype" w:cs="Palatino Linotype"/>
        </w:rPr>
        <w:t>) con la debida motivación y atender a las opciones que a continuación se mencionan, y tal como se advierte de lo siguiente:</w:t>
      </w:r>
    </w:p>
    <w:p w14:paraId="55522FB7" w14:textId="77777777" w:rsidR="00310720" w:rsidRPr="00BC4DCB" w:rsidRDefault="00310720" w:rsidP="00310720">
      <w:pPr>
        <w:rPr>
          <w:rFonts w:eastAsia="Palatino Linotype" w:cs="Palatino Linotype"/>
        </w:rPr>
      </w:pPr>
    </w:p>
    <w:p w14:paraId="4CFD5785" w14:textId="77777777" w:rsidR="00310720" w:rsidRPr="00BC4DCB" w:rsidRDefault="00310720" w:rsidP="00310720">
      <w:pPr>
        <w:numPr>
          <w:ilvl w:val="0"/>
          <w:numId w:val="38"/>
        </w:numPr>
        <w:rPr>
          <w:rFonts w:eastAsia="Palatino Linotype" w:cs="Palatino Linotype"/>
        </w:rPr>
      </w:pPr>
      <w:r w:rsidRPr="00BC4DCB">
        <w:rPr>
          <w:rFonts w:eastAsia="Palatino Linotype" w:cs="Palatino Linotype"/>
        </w:rPr>
        <w:t>Solicitar ante la Dirección General de Informática de este Instituto consulta de incidencia de la capacidad (MB) de la información que debe subirse al Sistema de Acceso a la Información Mexiquense (SAIMEX) o;</w:t>
      </w:r>
    </w:p>
    <w:p w14:paraId="2E137391" w14:textId="77777777" w:rsidR="00310720" w:rsidRPr="00BC4DCB" w:rsidRDefault="00310720" w:rsidP="00310720">
      <w:pPr>
        <w:numPr>
          <w:ilvl w:val="0"/>
          <w:numId w:val="38"/>
        </w:numPr>
        <w:rPr>
          <w:rFonts w:eastAsia="Palatino Linotype" w:cs="Palatino Linotype"/>
        </w:rPr>
      </w:pPr>
      <w:r w:rsidRPr="00BC4DCB">
        <w:rPr>
          <w:rFonts w:eastAsia="Palatino Linotype" w:cs="Palatino Linotype"/>
        </w:rPr>
        <w:t>Remitir el acuerdo emitido por el Comité de Transparencia en el cual se apruebe el cambio de modalidad atendiendo de manera particular las solicitudes materia del presente asunto.</w:t>
      </w:r>
    </w:p>
    <w:p w14:paraId="3B454AE2" w14:textId="77777777" w:rsidR="00310720" w:rsidRPr="00BC4DCB" w:rsidRDefault="00310720" w:rsidP="00310720">
      <w:pPr>
        <w:ind w:left="720"/>
        <w:rPr>
          <w:rFonts w:eastAsia="Palatino Linotype" w:cs="Palatino Linotype"/>
        </w:rPr>
      </w:pPr>
    </w:p>
    <w:p w14:paraId="6C568555" w14:textId="77777777" w:rsidR="00310720" w:rsidRPr="00BC4DCB" w:rsidRDefault="00310720" w:rsidP="00310720">
      <w:pPr>
        <w:rPr>
          <w:rFonts w:eastAsia="Palatino Linotype" w:cs="Palatino Linotype"/>
        </w:rPr>
      </w:pPr>
      <w:r w:rsidRPr="00BC4DCB">
        <w:rPr>
          <w:rFonts w:eastAsia="Palatino Linotype" w:cs="Palatino Linotype"/>
        </w:rPr>
        <w:lastRenderedPageBreak/>
        <w:t xml:space="preserve">Hecha la salvedad que antecede, se advierte que no se recibió correo electrónico, del </w:t>
      </w:r>
      <w:r w:rsidRPr="00BC4DCB">
        <w:rPr>
          <w:rFonts w:eastAsia="Palatino Linotype" w:cs="Palatino Linotype"/>
          <w:b/>
        </w:rPr>
        <w:t>SUJETO OBLIGADO</w:t>
      </w:r>
      <w:r w:rsidRPr="00BC4DCB">
        <w:rPr>
          <w:rFonts w:eastAsia="Palatino Linotype" w:cs="Palatino Linotype"/>
        </w:rPr>
        <w:t xml:space="preserve"> para desahogar el requerimiento de mérito.</w:t>
      </w:r>
    </w:p>
    <w:p w14:paraId="4E4607C9" w14:textId="77777777" w:rsidR="00310720" w:rsidRPr="00BC4DCB" w:rsidRDefault="00310720" w:rsidP="00310720">
      <w:pPr>
        <w:rPr>
          <w:rFonts w:eastAsia="Palatino Linotype" w:cs="Palatino Linotype"/>
        </w:rPr>
      </w:pPr>
    </w:p>
    <w:p w14:paraId="6FA5983D" w14:textId="77777777" w:rsidR="00310720" w:rsidRPr="00BC4DCB" w:rsidRDefault="00310720" w:rsidP="00310720">
      <w:pPr>
        <w:rPr>
          <w:rFonts w:cs="Arial"/>
          <w:lang w:val="es-ES"/>
        </w:rPr>
      </w:pPr>
      <w:r w:rsidRPr="00BC4DCB">
        <w:rPr>
          <w:rFonts w:eastAsia="Palatino Linotype" w:cs="Palatino Linotype"/>
        </w:rPr>
        <w:t xml:space="preserve">Asimismo, es necesario destacar que en el </w:t>
      </w:r>
      <w:r w:rsidRPr="00BC4DCB">
        <w:rPr>
          <w:rFonts w:cs="Arial"/>
          <w:lang w:val="es-ES"/>
        </w:rPr>
        <w:t xml:space="preserve">presente caso </w:t>
      </w:r>
      <w:r w:rsidRPr="00BC4DCB">
        <w:rPr>
          <w:rFonts w:cs="Arial"/>
          <w:b/>
          <w:lang w:val="es-ES"/>
        </w:rPr>
        <w:t xml:space="preserve">EL SUJETO OBLIGADO </w:t>
      </w:r>
      <w:r w:rsidRPr="00BC4DCB">
        <w:rPr>
          <w:rFonts w:cs="Arial"/>
          <w:lang w:val="es-ES"/>
        </w:rPr>
        <w:t xml:space="preserve">no dio avisó alguno o se comunicó con este Instituto para manifestar la imposibilidad técnica para proporcionar la información en la modalidad requerida, tal y como fue corroborado mediante correo dirigido a la Dirección General de Informática de este Órgano Garante, al solicitarle si dentro del expediente que nos ocupa se reportó alguna incidencia por parte del </w:t>
      </w:r>
      <w:r w:rsidRPr="00BC4DCB">
        <w:rPr>
          <w:rFonts w:cs="Arial"/>
          <w:b/>
          <w:lang w:val="es-ES"/>
        </w:rPr>
        <w:t xml:space="preserve">SUJETO OBIGADO </w:t>
      </w:r>
      <w:r w:rsidRPr="00BC4DCB">
        <w:rPr>
          <w:rFonts w:cs="Arial"/>
          <w:lang w:val="es-ES"/>
        </w:rPr>
        <w:t xml:space="preserve">para anexar los archivos de la respuesta mediante </w:t>
      </w:r>
      <w:r w:rsidRPr="00BC4DCB">
        <w:rPr>
          <w:rFonts w:cs="Arial"/>
          <w:b/>
          <w:lang w:val="es-ES"/>
        </w:rPr>
        <w:t>SAIMEX</w:t>
      </w:r>
      <w:r w:rsidRPr="00BC4DCB">
        <w:rPr>
          <w:rFonts w:cs="Arial"/>
          <w:lang w:val="es-ES"/>
        </w:rPr>
        <w:t>.</w:t>
      </w:r>
    </w:p>
    <w:p w14:paraId="3ECE3D6B" w14:textId="77777777" w:rsidR="00310720" w:rsidRPr="00BC4DCB" w:rsidRDefault="00310720" w:rsidP="00310720">
      <w:pPr>
        <w:rPr>
          <w:rFonts w:cs="Arial"/>
          <w:lang w:val="es-ES"/>
        </w:rPr>
      </w:pPr>
    </w:p>
    <w:p w14:paraId="09170306" w14:textId="77777777" w:rsidR="00310720" w:rsidRPr="00BC4DCB" w:rsidRDefault="00310720" w:rsidP="00310720">
      <w:pPr>
        <w:tabs>
          <w:tab w:val="left" w:pos="4245"/>
        </w:tabs>
        <w:rPr>
          <w:rFonts w:cs="Arial"/>
          <w:color w:val="000000"/>
          <w:lang w:eastAsia="es-MX"/>
        </w:rPr>
      </w:pPr>
      <w:r w:rsidRPr="00BC4DCB">
        <w:rPr>
          <w:rFonts w:cs="Arial"/>
          <w:lang w:val="es-ES"/>
        </w:rPr>
        <w:t xml:space="preserve">De modo que, el personal de la Dirección General de Informática de este </w:t>
      </w:r>
      <w:r w:rsidRPr="00BC4DCB">
        <w:rPr>
          <w:rFonts w:cs="Arial"/>
          <w:color w:val="000000"/>
          <w:lang w:val="es-ES"/>
        </w:rPr>
        <w:t xml:space="preserve">Instituto de Transparencia, Acceso a la Información Pública y Protección de Datos Personales del Estado de México y Municipios, notificó mediante correo electrónico que no existió ningún reporte de incidencias por parte de </w:t>
      </w:r>
      <w:r w:rsidRPr="00BC4DCB">
        <w:rPr>
          <w:rFonts w:cs="Arial"/>
          <w:b/>
          <w:color w:val="000000"/>
          <w:lang w:eastAsia="es-MX"/>
        </w:rPr>
        <w:t xml:space="preserve">EL SUJETO OBLIGADO, </w:t>
      </w:r>
      <w:r w:rsidRPr="00BC4DCB">
        <w:rPr>
          <w:rFonts w:cs="Arial"/>
          <w:color w:val="000000"/>
          <w:lang w:eastAsia="es-MX"/>
        </w:rPr>
        <w:t xml:space="preserve">tal como se muestra en la siguiente imagen: </w:t>
      </w:r>
    </w:p>
    <w:p w14:paraId="10DF8AFA" w14:textId="1520FE2E" w:rsidR="00310720" w:rsidRPr="00BC4DCB" w:rsidRDefault="00310720" w:rsidP="00310720">
      <w:pPr>
        <w:tabs>
          <w:tab w:val="left" w:pos="4245"/>
        </w:tabs>
        <w:rPr>
          <w:rFonts w:cs="Arial"/>
          <w:color w:val="000000"/>
          <w:lang w:eastAsia="es-MX"/>
        </w:rPr>
      </w:pPr>
      <w:r w:rsidRPr="00BC4DCB">
        <w:rPr>
          <w:rFonts w:cs="Arial"/>
          <w:noProof/>
          <w:color w:val="000000"/>
          <w:lang w:eastAsia="es-MX"/>
        </w:rPr>
        <w:drawing>
          <wp:inline distT="0" distB="0" distL="0" distR="0" wp14:anchorId="2DC3DF9D" wp14:editId="19F4FDDF">
            <wp:extent cx="5742940" cy="2352040"/>
            <wp:effectExtent l="0" t="0" r="0" b="0"/>
            <wp:docPr id="1260403384"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403384" name="Imagen 1" descr="Interfaz de usuario gráfica, Texto, Aplicación, Correo electrónico&#10;&#10;El contenido generado por IA puede ser incorrecto."/>
                    <pic:cNvPicPr/>
                  </pic:nvPicPr>
                  <pic:blipFill>
                    <a:blip r:embed="rId14"/>
                    <a:stretch>
                      <a:fillRect/>
                    </a:stretch>
                  </pic:blipFill>
                  <pic:spPr>
                    <a:xfrm>
                      <a:off x="0" y="0"/>
                      <a:ext cx="5742940" cy="2352040"/>
                    </a:xfrm>
                    <a:prstGeom prst="rect">
                      <a:avLst/>
                    </a:prstGeom>
                  </pic:spPr>
                </pic:pic>
              </a:graphicData>
            </a:graphic>
          </wp:inline>
        </w:drawing>
      </w:r>
    </w:p>
    <w:p w14:paraId="4F742174" w14:textId="77777777" w:rsidR="00310720" w:rsidRPr="00BC4DCB" w:rsidRDefault="00310720" w:rsidP="00310720">
      <w:pPr>
        <w:tabs>
          <w:tab w:val="left" w:pos="4245"/>
        </w:tabs>
        <w:jc w:val="center"/>
        <w:rPr>
          <w:rFonts w:cs="Arial"/>
          <w:color w:val="000000"/>
          <w:lang w:eastAsia="es-MX"/>
        </w:rPr>
      </w:pPr>
    </w:p>
    <w:p w14:paraId="35344EA3" w14:textId="77777777" w:rsidR="00310720" w:rsidRPr="00BC4DCB" w:rsidRDefault="00310720" w:rsidP="00310720">
      <w:pPr>
        <w:rPr>
          <w:rFonts w:eastAsia="MS Mincho" w:cs="Arial"/>
          <w:b/>
        </w:rPr>
      </w:pPr>
      <w:r w:rsidRPr="00BC4DCB">
        <w:rPr>
          <w:rFonts w:eastAsia="MS Mincho" w:cs="Arial"/>
        </w:rPr>
        <w:lastRenderedPageBreak/>
        <w:t xml:space="preserve">Ahora bien, referente la </w:t>
      </w:r>
      <w:r w:rsidRPr="00BC4DCB">
        <w:rPr>
          <w:rFonts w:eastAsia="MS Mincho" w:cs="Arial"/>
          <w:b/>
        </w:rPr>
        <w:t>capacidad administrativa</w:t>
      </w:r>
      <w:r w:rsidRPr="00BC4DCB">
        <w:rPr>
          <w:rFonts w:eastAsia="MS Mincho" w:cs="Arial"/>
        </w:rPr>
        <w:t xml:space="preserve">, esta es definida como la habilidad institucional de un gobierno, para formular y realizar planes, políticas, programas, actividades, operaciones u otras medidas para cumplir con los propósitos de desarrollo. En palabras más simples, es la </w:t>
      </w:r>
      <w:r w:rsidRPr="00BC4DCB">
        <w:rPr>
          <w:rFonts w:eastAsia="MS Mincho" w:cs="Arial"/>
          <w:b/>
        </w:rPr>
        <w:t>eficiencia organizacional para efectuar funciones esenciales.</w:t>
      </w:r>
    </w:p>
    <w:p w14:paraId="32B9817B" w14:textId="77777777" w:rsidR="00310720" w:rsidRPr="00BC4DCB" w:rsidRDefault="00310720" w:rsidP="00310720">
      <w:pPr>
        <w:rPr>
          <w:rFonts w:eastAsia="MS Mincho" w:cs="Arial"/>
        </w:rPr>
      </w:pPr>
    </w:p>
    <w:p w14:paraId="11A9235A" w14:textId="77777777" w:rsidR="00310720" w:rsidRPr="00BC4DCB" w:rsidRDefault="00310720" w:rsidP="00310720">
      <w:pPr>
        <w:rPr>
          <w:rFonts w:eastAsia="MS Mincho" w:cs="Arial"/>
        </w:rPr>
      </w:pPr>
      <w:r w:rsidRPr="00BC4DCB">
        <w:rPr>
          <w:rFonts w:eastAsia="MS Mincho" w:cs="Arial"/>
        </w:rPr>
        <w:t xml:space="preserve">La capacidad administrativa, resulta ser un mandato para un gobierno eficaz, la cual engloba, previsión, organización, coordinación y control en actos y esfuerzos con la finalidad de cumplir con sus responsabilidades y funciones de manera eficaz, eficiente y sostenible. </w:t>
      </w:r>
    </w:p>
    <w:p w14:paraId="20BDFB1B" w14:textId="77777777" w:rsidR="00310720" w:rsidRPr="00BC4DCB" w:rsidRDefault="00310720" w:rsidP="00310720">
      <w:pPr>
        <w:rPr>
          <w:rFonts w:eastAsia="MS Mincho" w:cs="Arial"/>
        </w:rPr>
      </w:pPr>
    </w:p>
    <w:p w14:paraId="3356F242" w14:textId="77777777" w:rsidR="00310720" w:rsidRPr="00BC4DCB" w:rsidRDefault="00310720" w:rsidP="00310720">
      <w:pPr>
        <w:rPr>
          <w:rFonts w:eastAsia="MS Mincho" w:cs="Arial"/>
          <w:i/>
        </w:rPr>
      </w:pPr>
      <w:r w:rsidRPr="00BC4DCB">
        <w:rPr>
          <w:rFonts w:eastAsia="MS Mincho" w:cs="Arial"/>
        </w:rPr>
        <w:t xml:space="preserve">Desde una perspectiva institucional, la </w:t>
      </w:r>
      <w:r w:rsidRPr="00BC4DCB">
        <w:rPr>
          <w:rFonts w:eastAsia="MS Mincho" w:cs="Arial"/>
          <w:b/>
        </w:rPr>
        <w:t xml:space="preserve">capacidad administrativa </w:t>
      </w:r>
      <w:r w:rsidRPr="00BC4DCB">
        <w:rPr>
          <w:rFonts w:eastAsia="MS Mincho" w:cs="Arial"/>
        </w:rPr>
        <w:t xml:space="preserve">es entendida como </w:t>
      </w:r>
      <w:r w:rsidRPr="00BC4DCB">
        <w:rPr>
          <w:rFonts w:eastAsia="MS Mincho" w:cs="Arial"/>
          <w:i/>
        </w:rPr>
        <w:t xml:space="preserve">“las habilidades técnico-burocráticas del aparato estatal requeridas para alcanzar sus objetos. En este componente se ubican el nivel micro y meso de la Capacidad Institucional. El </w:t>
      </w:r>
      <w:r w:rsidRPr="00BC4DCB">
        <w:rPr>
          <w:rFonts w:eastAsia="MS Mincho" w:cs="Arial"/>
          <w:b/>
          <w:i/>
        </w:rPr>
        <w:t xml:space="preserve">primero </w:t>
      </w:r>
      <w:r w:rsidRPr="00BC4DCB">
        <w:rPr>
          <w:rFonts w:eastAsia="MS Mincho" w:cs="Arial"/>
          <w:i/>
        </w:rPr>
        <w:t xml:space="preserve">hace alusión al individuo, al </w:t>
      </w:r>
      <w:r w:rsidRPr="00BC4DCB">
        <w:rPr>
          <w:rFonts w:eastAsia="MS Mincho" w:cs="Arial"/>
          <w:b/>
          <w:i/>
        </w:rPr>
        <w:t>recursos humano</w:t>
      </w:r>
      <w:r w:rsidRPr="00BC4DCB">
        <w:rPr>
          <w:rFonts w:eastAsia="MS Mincho" w:cs="Arial"/>
          <w:i/>
        </w:rPr>
        <w:t xml:space="preserve">. En el segundo nivel, se ubica la </w:t>
      </w:r>
      <w:r w:rsidRPr="00BC4DCB">
        <w:rPr>
          <w:rFonts w:eastAsia="MS Mincho" w:cs="Arial"/>
          <w:b/>
          <w:i/>
        </w:rPr>
        <w:t>capacidad de gestión</w:t>
      </w:r>
      <w:r w:rsidRPr="00BC4DCB">
        <w:rPr>
          <w:rFonts w:eastAsia="MS Mincho" w:cs="Arial"/>
          <w:i/>
        </w:rPr>
        <w:t xml:space="preserve">, el cual se centra en el fortalecimiento organizacional como área de intervención para construir capacidad; cultura organizacional, sistemas de comunicación u organización”. </w:t>
      </w:r>
      <w:r w:rsidRPr="00BC4DCB">
        <w:rPr>
          <w:rStyle w:val="Refdenotaalpie"/>
          <w:rFonts w:eastAsia="MS Mincho" w:cs="Arial"/>
          <w:i/>
        </w:rPr>
        <w:footnoteReference w:id="2"/>
      </w:r>
    </w:p>
    <w:p w14:paraId="29989157" w14:textId="77777777" w:rsidR="00310720" w:rsidRPr="00BC4DCB" w:rsidRDefault="00310720" w:rsidP="00310720">
      <w:pPr>
        <w:rPr>
          <w:rFonts w:eastAsia="MS Mincho" w:cs="Arial"/>
        </w:rPr>
      </w:pPr>
    </w:p>
    <w:p w14:paraId="5D0C7565" w14:textId="77777777" w:rsidR="00310720" w:rsidRPr="00BC4DCB" w:rsidRDefault="00310720" w:rsidP="00310720">
      <w:pPr>
        <w:rPr>
          <w:rFonts w:eastAsia="MS Mincho" w:cs="Arial"/>
        </w:rPr>
      </w:pPr>
      <w:r w:rsidRPr="00BC4DCB">
        <w:rPr>
          <w:rFonts w:eastAsia="MS Mincho" w:cs="Arial"/>
        </w:rPr>
        <w:t xml:space="preserve">Hasta aquí se tiene que, la capacidad administrativa señala los recursos humanos y organizacionales, donde los organizacionales, además de englobar recursos humanos, engloban recursos materiales (espacio, equipos de cómputo, instalaciones, tecnología), financieros (ingresos) e intangibles (tiempo), los cuales en conjunto y a la medida correcta, alcanzarían que las instituciones logren la finalidad de cumplir con sus responsabilidades y funciones de manera eficaz y eficiente. </w:t>
      </w:r>
    </w:p>
    <w:p w14:paraId="420085C6" w14:textId="77777777" w:rsidR="00310720" w:rsidRPr="00BC4DCB" w:rsidRDefault="00310720" w:rsidP="00310720">
      <w:pPr>
        <w:rPr>
          <w:rFonts w:eastAsia="MS Mincho" w:cs="Arial"/>
        </w:rPr>
      </w:pPr>
    </w:p>
    <w:p w14:paraId="2918CDDB" w14:textId="77777777" w:rsidR="00310720" w:rsidRPr="00BC4DCB" w:rsidRDefault="00310720" w:rsidP="00310720">
      <w:pPr>
        <w:rPr>
          <w:rFonts w:eastAsia="MS Mincho" w:cs="Arial"/>
        </w:rPr>
      </w:pPr>
      <w:r w:rsidRPr="00BC4DCB">
        <w:rPr>
          <w:rFonts w:eastAsia="MS Mincho" w:cs="Arial"/>
        </w:rPr>
        <w:lastRenderedPageBreak/>
        <w:t xml:space="preserve">Ahora bien, respecto de las </w:t>
      </w:r>
      <w:r w:rsidRPr="00BC4DCB">
        <w:rPr>
          <w:rFonts w:eastAsia="MS Mincho" w:cs="Arial"/>
          <w:b/>
        </w:rPr>
        <w:t>capacidades humanas</w:t>
      </w:r>
      <w:r w:rsidRPr="00BC4DCB">
        <w:rPr>
          <w:rFonts w:eastAsia="MS Mincho" w:cs="Arial"/>
        </w:rPr>
        <w:t xml:space="preserve"> vale la pena precisar lo que se denomina por </w:t>
      </w:r>
      <w:r w:rsidRPr="00BC4DCB">
        <w:rPr>
          <w:rFonts w:eastAsia="MS Mincho" w:cs="Arial"/>
          <w:b/>
        </w:rPr>
        <w:t>recursos humanos</w:t>
      </w:r>
      <w:r w:rsidRPr="00BC4DCB">
        <w:rPr>
          <w:rFonts w:eastAsia="MS Mincho" w:cs="Arial"/>
        </w:rPr>
        <w:t xml:space="preserve">, es decir, es el conjunto de personas con las que cuenta una determinada organización, para desarrollar y ejecutar de manera correcta las acciones, actividades, labores y tareas que deben realizarse y que han sido solicitadas. </w:t>
      </w:r>
    </w:p>
    <w:p w14:paraId="379E04A1" w14:textId="77777777" w:rsidR="00310720" w:rsidRPr="00BC4DCB" w:rsidRDefault="00310720" w:rsidP="00310720">
      <w:pPr>
        <w:rPr>
          <w:rFonts w:eastAsia="MS Mincho" w:cs="Arial"/>
        </w:rPr>
      </w:pPr>
    </w:p>
    <w:p w14:paraId="44246590" w14:textId="77777777" w:rsidR="00310720" w:rsidRPr="00BC4DCB" w:rsidRDefault="00310720" w:rsidP="00310720">
      <w:pPr>
        <w:rPr>
          <w:rFonts w:eastAsia="MS Mincho" w:cs="Arial"/>
        </w:rPr>
      </w:pPr>
      <w:r w:rsidRPr="00BC4DCB">
        <w:rPr>
          <w:rFonts w:eastAsia="MS Mincho" w:cs="Arial"/>
        </w:rPr>
        <w:t xml:space="preserve">Las personas, son la </w:t>
      </w:r>
      <w:r w:rsidRPr="00BC4DCB">
        <w:rPr>
          <w:rFonts w:eastAsia="MS Mincho" w:cs="Arial"/>
          <w:b/>
        </w:rPr>
        <w:t xml:space="preserve">parte fundamental de una organización </w:t>
      </w:r>
      <w:r w:rsidRPr="00BC4DCB">
        <w:rPr>
          <w:rFonts w:eastAsia="MS Mincho" w:cs="Arial"/>
        </w:rPr>
        <w:t xml:space="preserve">y junto con los recursos materiales, financieros e intangibles, conforman el “todo” que una organización necesita, es decir, para el correcto funcionamiento y el alcance de objetivos, deben coexistir uno con otro, de otra forma, el desarrollo no sería el apropiado y el cumplimiento de metas inasequible. </w:t>
      </w:r>
    </w:p>
    <w:p w14:paraId="43590D52" w14:textId="77777777" w:rsidR="00310720" w:rsidRPr="00BC4DCB" w:rsidRDefault="00310720" w:rsidP="00310720">
      <w:pPr>
        <w:rPr>
          <w:rFonts w:eastAsia="MS Mincho" w:cs="Arial"/>
        </w:rPr>
      </w:pPr>
    </w:p>
    <w:p w14:paraId="4A60CB9E" w14:textId="4EACA0D2" w:rsidR="00310720" w:rsidRPr="00BC4DCB" w:rsidRDefault="00310720" w:rsidP="00310720">
      <w:pPr>
        <w:rPr>
          <w:rFonts w:cs="Tahoma"/>
          <w:szCs w:val="22"/>
          <w:lang w:val="es-ES"/>
        </w:rPr>
      </w:pPr>
      <w:r w:rsidRPr="00BC4DCB">
        <w:rPr>
          <w:color w:val="000000" w:themeColor="text1"/>
        </w:rPr>
        <w:t xml:space="preserve">Es así que, del análisis realizado a las documentales que integra la respuesta a la solicitud de información, se puede advertir que </w:t>
      </w:r>
      <w:r w:rsidRPr="00BC4DCB">
        <w:rPr>
          <w:b/>
          <w:color w:val="000000" w:themeColor="text1"/>
        </w:rPr>
        <w:t xml:space="preserve">EL SUJETO OBLIGADO </w:t>
      </w:r>
      <w:r w:rsidRPr="00BC4DCB">
        <w:rPr>
          <w:color w:val="000000" w:themeColor="text1"/>
        </w:rPr>
        <w:t xml:space="preserve">no fundó adecuadamente ni motivó válidamente la imposibilidad de entregar la información solicitada en formato electrónico a través del </w:t>
      </w:r>
      <w:r w:rsidRPr="00BC4DCB">
        <w:rPr>
          <w:b/>
          <w:color w:val="000000" w:themeColor="text1"/>
        </w:rPr>
        <w:t>SAIMEX</w:t>
      </w:r>
      <w:r w:rsidRPr="00BC4DCB">
        <w:rPr>
          <w:color w:val="000000" w:themeColor="text1"/>
        </w:rPr>
        <w:t xml:space="preserve">, pues se limitó a señalar que derivado del volumen de información y falta de insumos materiales, limitación de persona y la carga excesiva de trabajo no era posible proporcionar la información, considerando con ello que rebasaba las capacidades técnicas y humanas. </w:t>
      </w:r>
    </w:p>
    <w:p w14:paraId="7E705B83" w14:textId="77777777" w:rsidR="00310720" w:rsidRPr="00BC4DCB" w:rsidRDefault="00310720" w:rsidP="00310720">
      <w:pPr>
        <w:rPr>
          <w:rFonts w:cs="Tahoma"/>
          <w:szCs w:val="22"/>
          <w:lang w:val="es-ES"/>
        </w:rPr>
      </w:pPr>
    </w:p>
    <w:p w14:paraId="38664F0C" w14:textId="77777777" w:rsidR="00646EDA" w:rsidRPr="00BC4DCB" w:rsidRDefault="00646EDA" w:rsidP="00646EDA">
      <w:pPr>
        <w:rPr>
          <w:rFonts w:cs="Arial"/>
          <w:lang w:val="es-ES_tradnl"/>
        </w:rPr>
      </w:pPr>
      <w:r w:rsidRPr="00BC4DCB">
        <w:rPr>
          <w:rFonts w:cs="Arial"/>
        </w:rPr>
        <w:t>En consecuencia; l</w:t>
      </w:r>
      <w:r w:rsidRPr="00BC4DCB">
        <w:rPr>
          <w:rFonts w:eastAsiaTheme="minorEastAsia" w:cs="Arial"/>
          <w:lang w:val="es-ES_tradnl"/>
        </w:rPr>
        <w:t xml:space="preserve">a respuesta otorgada por </w:t>
      </w:r>
      <w:r w:rsidRPr="00BC4DCB">
        <w:rPr>
          <w:rFonts w:eastAsiaTheme="minorEastAsia" w:cs="Arial"/>
          <w:b/>
          <w:lang w:val="es-ES_tradnl"/>
        </w:rPr>
        <w:t xml:space="preserve">EL SUJETO OBLIGADO </w:t>
      </w:r>
      <w:r w:rsidRPr="00BC4DCB">
        <w:rPr>
          <w:rFonts w:cs="Arial"/>
          <w:lang w:val="es-ES_tradnl"/>
        </w:rPr>
        <w:t>carece de la debida fundamentación y motivación</w:t>
      </w:r>
      <w:r w:rsidRPr="00BC4DCB">
        <w:rPr>
          <w:rFonts w:cs="Arial"/>
        </w:rPr>
        <w:t xml:space="preserve"> consiste en la obligación que tiene todo ente público de expresar los preceptos jurídicos aplicables al asunto motivo del acto y las razones o argumentos de su actuar.</w:t>
      </w:r>
    </w:p>
    <w:p w14:paraId="47F3415F" w14:textId="77777777" w:rsidR="00646EDA" w:rsidRPr="00BC4DCB" w:rsidRDefault="00646EDA" w:rsidP="00646EDA">
      <w:pPr>
        <w:rPr>
          <w:color w:val="222222"/>
          <w:lang w:val="es-ES_tradnl" w:eastAsia="es-MX"/>
        </w:rPr>
      </w:pPr>
    </w:p>
    <w:p w14:paraId="5A1FB453" w14:textId="77777777" w:rsidR="00646EDA" w:rsidRPr="00BC4DCB" w:rsidRDefault="00646EDA" w:rsidP="00646EDA">
      <w:pPr>
        <w:rPr>
          <w:rFonts w:cs="Arial"/>
        </w:rPr>
      </w:pPr>
      <w:r w:rsidRPr="00BC4DCB">
        <w:rPr>
          <w:rFonts w:cs="Arial"/>
        </w:rPr>
        <w:t xml:space="preserve">Lo anterior es así, pues no debe perderse de vista que, la fundamentación y motivación consiste en la obligación que tiene todo ente público de expresar los preceptos jurídicos aplicables al asunto origen del acto y las razones o argumentos de su actuar, es así que, al </w:t>
      </w:r>
      <w:r w:rsidRPr="00BC4DCB">
        <w:rPr>
          <w:rFonts w:cs="Arial"/>
        </w:rPr>
        <w:lastRenderedPageBreak/>
        <w:t>respecto, el máximo tribunal del país ha establecido jurisprudencia en relación a qué debe entenderse por fundamentación y motivación, en los siguientes términos:</w:t>
      </w:r>
    </w:p>
    <w:p w14:paraId="0D55B3B0" w14:textId="77777777" w:rsidR="00646EDA" w:rsidRPr="00BC4DCB" w:rsidRDefault="00646EDA" w:rsidP="00646EDA">
      <w:pPr>
        <w:rPr>
          <w:color w:val="222222"/>
          <w:lang w:val="es-ES" w:eastAsia="es-MX"/>
        </w:rPr>
      </w:pPr>
    </w:p>
    <w:p w14:paraId="2BDB311E" w14:textId="77777777" w:rsidR="00646EDA" w:rsidRPr="00BC4DCB" w:rsidRDefault="00646EDA" w:rsidP="00646EDA">
      <w:pPr>
        <w:pStyle w:val="Puesto"/>
      </w:pPr>
      <w:r w:rsidRPr="00BC4DCB">
        <w:t>“</w:t>
      </w:r>
      <w:r w:rsidRPr="00BC4DCB">
        <w:rPr>
          <w:b/>
        </w:rPr>
        <w:t xml:space="preserve">FUNDAMENTACIÓN Y MOTIVACIÓN. </w:t>
      </w:r>
      <w:r w:rsidRPr="00BC4DCB">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fundamento.”(Sic)</w:t>
      </w:r>
    </w:p>
    <w:p w14:paraId="12F81EFF" w14:textId="77777777" w:rsidR="00646EDA" w:rsidRPr="00BC4DCB" w:rsidRDefault="00646EDA" w:rsidP="00646EDA">
      <w:pPr>
        <w:ind w:left="851" w:right="902"/>
        <w:rPr>
          <w:rFonts w:cs="Arial"/>
          <w:i/>
          <w:szCs w:val="22"/>
        </w:rPr>
      </w:pPr>
    </w:p>
    <w:p w14:paraId="53C9E0F8" w14:textId="77777777" w:rsidR="00646EDA" w:rsidRPr="00BC4DCB" w:rsidRDefault="00646EDA" w:rsidP="00646EDA">
      <w:pPr>
        <w:rPr>
          <w:rFonts w:cs="Arial"/>
        </w:rPr>
      </w:pPr>
      <w:r w:rsidRPr="00BC4DCB">
        <w:rPr>
          <w:rFonts w:cs="Arial"/>
        </w:rPr>
        <w:t>Es así que,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02C87D1D" w14:textId="77777777" w:rsidR="00646EDA" w:rsidRPr="00BC4DCB" w:rsidRDefault="00646EDA" w:rsidP="00646EDA">
      <w:pPr>
        <w:rPr>
          <w:rFonts w:cs="Arial"/>
        </w:rPr>
      </w:pPr>
    </w:p>
    <w:p w14:paraId="60746E0A" w14:textId="77777777" w:rsidR="00646EDA" w:rsidRPr="00BC4DCB" w:rsidRDefault="00646EDA" w:rsidP="00646EDA">
      <w:pPr>
        <w:rPr>
          <w:rFonts w:cs="Arial"/>
        </w:rPr>
      </w:pPr>
      <w:r w:rsidRPr="00BC4DCB">
        <w:rPr>
          <w:rFonts w:cs="Arial"/>
        </w:rPr>
        <w:t>Más aún, a través de diversa jurisprudencia dictada por el Poder Judicial de la Federación se sostiene que la finalidad de la fundamentación o motivación es la de explicar, justificar, posibilitar la defensa y comunicar la decisión de la autoridad, sirviendo de sustento lo siguiente:</w:t>
      </w:r>
    </w:p>
    <w:p w14:paraId="6DAE71CA" w14:textId="77777777" w:rsidR="00646EDA" w:rsidRPr="00BC4DCB" w:rsidRDefault="00646EDA" w:rsidP="00646EDA">
      <w:pPr>
        <w:rPr>
          <w:rFonts w:cs="Arial"/>
        </w:rPr>
      </w:pPr>
    </w:p>
    <w:p w14:paraId="58504266" w14:textId="77777777" w:rsidR="00646EDA" w:rsidRPr="00BC4DCB" w:rsidRDefault="00646EDA" w:rsidP="00646EDA">
      <w:pPr>
        <w:pStyle w:val="Puesto"/>
      </w:pPr>
      <w:r w:rsidRPr="00BC4DCB">
        <w:t>“</w:t>
      </w:r>
      <w:r w:rsidRPr="00BC4DCB">
        <w:rPr>
          <w:b/>
          <w:bCs/>
        </w:rPr>
        <w:t>FUNDAMENTACIÓN Y MOTIVACIÓN. EL ASPECTO FORMAL DE LA GARANTÍA Y SU FINALIDAD SE TRADUCEN EN EXPLICAR, JUSTIFICAR, POSIBILITAR LA DEFENSA Y COMUNICAR LA DECISIÓN</w:t>
      </w:r>
      <w:r w:rsidRPr="00BC4DCB">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w:t>
      </w:r>
      <w:r w:rsidRPr="00BC4DCB">
        <w:lastRenderedPageBreak/>
        <w:t>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 (Sic)</w:t>
      </w:r>
    </w:p>
    <w:p w14:paraId="1A10322D" w14:textId="77777777" w:rsidR="00646EDA" w:rsidRPr="00BC4DCB" w:rsidRDefault="00646EDA" w:rsidP="00646EDA">
      <w:pPr>
        <w:pStyle w:val="Puesto"/>
      </w:pPr>
      <w:r w:rsidRPr="00BC4DCB">
        <w:t>(Énfasis añadido)</w:t>
      </w:r>
    </w:p>
    <w:p w14:paraId="7A61AA22" w14:textId="77777777" w:rsidR="00646EDA" w:rsidRPr="00BC4DCB" w:rsidRDefault="00646EDA" w:rsidP="00646EDA">
      <w:pPr>
        <w:ind w:left="851" w:right="902"/>
        <w:rPr>
          <w:rFonts w:cs="Arial"/>
          <w:i/>
          <w:szCs w:val="22"/>
        </w:rPr>
      </w:pPr>
    </w:p>
    <w:p w14:paraId="0FC8C6A0" w14:textId="77777777" w:rsidR="00646EDA" w:rsidRPr="00BC4DCB" w:rsidRDefault="00646EDA" w:rsidP="00646EDA">
      <w:pPr>
        <w:rPr>
          <w:rFonts w:cs="Arial"/>
          <w:i/>
          <w:szCs w:val="22"/>
        </w:rPr>
      </w:pPr>
      <w:r w:rsidRPr="00BC4DCB">
        <w:rPr>
          <w:rFonts w:cs="Arial"/>
        </w:rPr>
        <w:t xml:space="preserve">En consecuencia, la fundamentación y motivación implica que, en el acto de </w:t>
      </w:r>
      <w:r w:rsidRPr="00BC4DCB">
        <w:t>autoridad</w:t>
      </w:r>
      <w:r w:rsidRPr="00BC4DCB">
        <w:rPr>
          <w:rFonts w:cs="Arial"/>
        </w:rPr>
        <w:t>, además de contenerse los supuestos jurídicos aplicables se expliquen claramente, por qué, a través de la utilización de la norma se emitió el acto. De este modo, la persona que se siente afectada podrá impugnar la decisión, permitiéndole una real y auténtica defensa.</w:t>
      </w:r>
    </w:p>
    <w:p w14:paraId="2478ADBC" w14:textId="77777777" w:rsidR="00646EDA" w:rsidRPr="00BC4DCB" w:rsidRDefault="00646EDA" w:rsidP="00646EDA">
      <w:pPr>
        <w:rPr>
          <w:color w:val="222222"/>
          <w:lang w:val="es-ES" w:eastAsia="es-MX"/>
        </w:rPr>
      </w:pPr>
    </w:p>
    <w:p w14:paraId="44ADD552" w14:textId="77777777" w:rsidR="00646EDA" w:rsidRPr="00BC4DCB" w:rsidRDefault="00646EDA" w:rsidP="00646EDA">
      <w:pPr>
        <w:rPr>
          <w:color w:val="000000" w:themeColor="text1"/>
        </w:rPr>
      </w:pPr>
      <w:r w:rsidRPr="00BC4DCB">
        <w:rPr>
          <w:color w:val="000000" w:themeColor="text1"/>
        </w:rPr>
        <w:t xml:space="preserve">Es así </w:t>
      </w:r>
      <w:r w:rsidRPr="00BC4DCB">
        <w:rPr>
          <w:rFonts w:cs="Arial"/>
        </w:rPr>
        <w:t>que</w:t>
      </w:r>
      <w:r w:rsidRPr="00BC4DCB">
        <w:rPr>
          <w:color w:val="000000" w:themeColor="text1"/>
        </w:rPr>
        <w:t xml:space="preserve">, la respuesta proporcionada carece de la debía motivación, la cual consiste en que las determinaciones emitidas en materia de transparencia y acceso a la información deben estar debidamente </w:t>
      </w:r>
      <w:r w:rsidRPr="00BC4DCB">
        <w:rPr>
          <w:b/>
          <w:color w:val="000000" w:themeColor="text1"/>
        </w:rPr>
        <w:t>fundadas</w:t>
      </w:r>
      <w:r w:rsidRPr="00BC4DCB">
        <w:rPr>
          <w:color w:val="000000" w:themeColor="text1"/>
        </w:rPr>
        <w:t xml:space="preserve"> y </w:t>
      </w:r>
      <w:r w:rsidRPr="00BC4DCB">
        <w:rPr>
          <w:b/>
          <w:color w:val="000000" w:themeColor="text1"/>
        </w:rPr>
        <w:t>motivadas</w:t>
      </w:r>
      <w:r w:rsidRPr="00BC4DCB">
        <w:rPr>
          <w:color w:val="000000" w:themeColor="text1"/>
        </w:rPr>
        <w:t xml:space="preserve">, pues en ellas no solo deben </w:t>
      </w:r>
      <w:r w:rsidRPr="00BC4DCB">
        <w:rPr>
          <w:b/>
          <w:color w:val="000000" w:themeColor="text1"/>
        </w:rPr>
        <w:t>citarse los preceptos legales aplicables</w:t>
      </w:r>
      <w:r w:rsidRPr="00BC4DCB">
        <w:rPr>
          <w:color w:val="000000" w:themeColor="text1"/>
        </w:rPr>
        <w:t xml:space="preserve">, </w:t>
      </w:r>
      <w:r w:rsidRPr="00BC4DCB">
        <w:rPr>
          <w:b/>
          <w:color w:val="000000" w:themeColor="text1"/>
        </w:rPr>
        <w:t xml:space="preserve">sino las circunstancias especiales, razones particulares o causas inmediatas que se hayan tenido en consideración para su emisión, </w:t>
      </w:r>
      <w:r w:rsidRPr="00BC4DCB">
        <w:rPr>
          <w:color w:val="000000" w:themeColor="text1"/>
        </w:rPr>
        <w:t xml:space="preserve">debiendo existir una adecuación entre los </w:t>
      </w:r>
      <w:r w:rsidRPr="00BC4DCB">
        <w:rPr>
          <w:b/>
          <w:color w:val="000000" w:themeColor="text1"/>
        </w:rPr>
        <w:t>motivos aducidos</w:t>
      </w:r>
      <w:r w:rsidRPr="00BC4DCB">
        <w:rPr>
          <w:color w:val="000000" w:themeColor="text1"/>
        </w:rPr>
        <w:t xml:space="preserve"> y las normas aplicadas al caso concreto, cuestión que simplemente no aconteció en el presente caso; sirve de apoyo al razonamiento anterior, la siguiente Jurisprudencia emitida por el Poder Judicial de la Federación:</w:t>
      </w:r>
    </w:p>
    <w:p w14:paraId="5BDD8454" w14:textId="77777777" w:rsidR="00646EDA" w:rsidRPr="00BC4DCB" w:rsidRDefault="00646EDA" w:rsidP="00646EDA">
      <w:pPr>
        <w:rPr>
          <w:color w:val="000000" w:themeColor="text1"/>
        </w:rPr>
      </w:pPr>
    </w:p>
    <w:p w14:paraId="5C2A66AD" w14:textId="77777777" w:rsidR="00646EDA" w:rsidRPr="00BC4DCB" w:rsidRDefault="00646EDA" w:rsidP="00646EDA">
      <w:pPr>
        <w:pStyle w:val="Puesto"/>
        <w:rPr>
          <w:rFonts w:eastAsiaTheme="minorEastAsia"/>
          <w:b/>
        </w:rPr>
      </w:pPr>
      <w:r w:rsidRPr="00BC4DCB">
        <w:rPr>
          <w:rFonts w:eastAsiaTheme="minorEastAsia" w:cs="Arial-ItalicMT"/>
        </w:rPr>
        <w:t>“</w:t>
      </w:r>
      <w:r w:rsidRPr="00BC4DCB">
        <w:rPr>
          <w:rFonts w:eastAsiaTheme="minorEastAsia"/>
          <w:b/>
        </w:rPr>
        <w:t>FUNDAMENTACIÓN Y MOTIVACIÓN. LA DIFERENCIA ENTRE LA FALTA Y LA INDEBIDA SATISFACCIÓN DE AMBOS REQUISITOS CONSTITUCIONALES TRASCIENDE AL ORDEN EN QUE DEBEN ESTUDIARSE LOS CONCEPTOS DE VIOLACIÓN Y A LOS EFECTOS DEL FALLO PROTECTOR.</w:t>
      </w:r>
    </w:p>
    <w:p w14:paraId="61B1E4B8" w14:textId="77777777" w:rsidR="00646EDA" w:rsidRPr="00BC4DCB" w:rsidRDefault="00646EDA" w:rsidP="00646EDA">
      <w:pPr>
        <w:pStyle w:val="Puesto"/>
        <w:rPr>
          <w:rFonts w:eastAsiaTheme="minorEastAsia"/>
        </w:rPr>
      </w:pPr>
      <w:r w:rsidRPr="00BC4DCB">
        <w:rPr>
          <w:rFonts w:eastAsiaTheme="minorEastAsia"/>
        </w:rPr>
        <w:t xml:space="preserve">La falta de fundamentación y motivación es una violación formal diversa a la indebida o incorrecta fundamentación y motivación, que es una violación material o de fondo, siendo distintos los efectos que genera la existencia de una u otra, por lo que el estudio de aquella omisión debe hacerse de manera previa. En efecto, el artículo 16 constitucional establece, en su primer párrafo, el imperativo para las autoridades de fundar y motivar sus actos que </w:t>
      </w:r>
      <w:r w:rsidRPr="00BC4DCB">
        <w:rPr>
          <w:rFonts w:eastAsiaTheme="minorEastAsia"/>
        </w:rPr>
        <w:lastRenderedPageBreak/>
        <w:t>incidan en la esfera de los gobernados, pero la contravención al mandato constitucional que exige la expresión de ambas en los actos de autoridad puede revestir dos formas distintas, a saber: la derivada de su falta, y la correspondiente a su incorrección. Se produce la falta de fundamentación y motivación, cuando se omite expresar el dispositivo legal aplicable al asunto y las razones que se hayan considerado para estimar que el caso puede subsumirse en la hipótesis prevista en esa norma jurídica. En cambio, hay una indebida fundamentación cuando en el acto de autoridad sí se invoca el precepto legal, sin embargo, resulta inaplicable al asunto por las características específicas de éste que impiden su adecuación o encuadre en la hipótesis normativa; y una incorrecta motivación, en el supuesto en que sí se indican las razones que tiene en consideración la autoridad para emitir el acto, pero aquéllas están en disonancia con el contenido de la norma legal que se aplica en el caso. De manera que la falta de fundamentación y motivación significa la carencia o ausencia de tales requisitos, mientras que la indebida o incorrecta fundamentación y motivación entraña la presencia de ambos requisitos constitucionales, pero con un desajuste entre la aplicación de normas y los razonamientos formulados por la autoridad con el caso concreto. La diferencia apuntada permite advertir que en el primer supuesto se trata de una violación formal dado que el acto de autoridad carece de elementos ínsitos, connaturales, al mismo por virtud de un imperativo constitucional, por lo que, advertida su ausencia mediante la simple lectura del acto reclamado, procederá conceder el amparo solicitado; y en el segundo caso consiste en una violación material o de fondo porque se ha cumplido con la forma mediante la expresión de fundamentos y motivos, pero unos y otros son incorrectos, lo cual, por regla general, también dará lugar a un fallo protector, sin embargo, será menester un previo análisis del contenido del asunto para llegar a concluir la mencionada incorrección. Por virtud de esa nota distintiva, los efectos de la concesión del amparo, tratándose de una resolución jurisdiccional, son igualmente diversos en uno y otro caso, pues aunque existe un elemento común, o sea, que la autoridad deje insubsistente el acto inconstitucional, en el primer supuesto será para que subsane la irregularidad expresando la fundamentación y motivación antes ausente, y en el segundo para que aporte fundamentos y motivos diferentes a los que formuló previamente. La apuntada diferencia trasciende, igualmente, al orden en que se deberán estudiar los argumentos que hagan valer los quejosos, ya que si en un caso se advierte la carencia de los requisitos constitucionales de que se trata, es decir, una violación formal, se concederá el amparo para los efectos indicados, con exclusión del análisis de los motivos de disenso que, concurriendo con los atinentes al defecto, versen sobre la incorrección de ambos elementos inherentes al acto de autoridad; empero, si han sido satisfechos aquéllos, será factible el estudio de la indebida fundamentación y motivación, esto es, de la violación material o de fondo.”</w:t>
      </w:r>
    </w:p>
    <w:p w14:paraId="00A059F0" w14:textId="77777777" w:rsidR="00646EDA" w:rsidRPr="00BC4DCB" w:rsidRDefault="00646EDA" w:rsidP="00646EDA">
      <w:pPr>
        <w:pStyle w:val="Puesto"/>
        <w:rPr>
          <w:rFonts w:eastAsiaTheme="minorEastAsia"/>
        </w:rPr>
      </w:pPr>
      <w:r w:rsidRPr="00BC4DCB">
        <w:rPr>
          <w:rFonts w:eastAsiaTheme="minorEastAsia"/>
        </w:rPr>
        <w:t>(Énfasis añadido)</w:t>
      </w:r>
    </w:p>
    <w:p w14:paraId="22A6FFAA" w14:textId="77777777" w:rsidR="00646EDA" w:rsidRPr="00BC4DCB" w:rsidRDefault="00646EDA" w:rsidP="00646EDA">
      <w:pPr>
        <w:autoSpaceDE w:val="0"/>
        <w:autoSpaceDN w:val="0"/>
        <w:adjustRightInd w:val="0"/>
        <w:ind w:right="992"/>
        <w:rPr>
          <w:rFonts w:eastAsiaTheme="minorEastAsia" w:cs="Arial"/>
          <w:i/>
          <w:iCs/>
          <w:color w:val="000000" w:themeColor="text1"/>
          <w:szCs w:val="22"/>
        </w:rPr>
      </w:pPr>
    </w:p>
    <w:p w14:paraId="7BAAEE6D" w14:textId="77777777" w:rsidR="00646EDA" w:rsidRPr="00BC4DCB" w:rsidRDefault="00646EDA" w:rsidP="00646EDA">
      <w:pPr>
        <w:rPr>
          <w:color w:val="000000" w:themeColor="text1"/>
        </w:rPr>
      </w:pPr>
      <w:r w:rsidRPr="00BC4DCB">
        <w:rPr>
          <w:color w:val="000000" w:themeColor="text1"/>
        </w:rPr>
        <w:lastRenderedPageBreak/>
        <w:t xml:space="preserve">Es así que, para justificar el cambio de modalidad debe de </w:t>
      </w:r>
      <w:r w:rsidRPr="00BC4DCB">
        <w:rPr>
          <w:b/>
          <w:color w:val="000000" w:themeColor="text1"/>
        </w:rPr>
        <w:t xml:space="preserve">existir un obstáculo infranqueable o de difícil superación </w:t>
      </w:r>
      <w:r w:rsidRPr="00BC4DCB">
        <w:rPr>
          <w:color w:val="000000" w:themeColor="text1"/>
        </w:rPr>
        <w:t xml:space="preserve">para atenderla, como puede ser de manera enunciativa más no </w:t>
      </w:r>
      <w:r w:rsidRPr="00BC4DCB">
        <w:rPr>
          <w:rFonts w:cs="Arial"/>
          <w:color w:val="000000" w:themeColor="text1"/>
          <w:lang w:val="es-ES"/>
        </w:rPr>
        <w:t>limitativa</w:t>
      </w:r>
      <w:r w:rsidRPr="00BC4DCB">
        <w:rPr>
          <w:color w:val="000000" w:themeColor="text1"/>
        </w:rPr>
        <w:t xml:space="preserve"> que la información solicitada se encuentra en un formato diverso al solicitado, que de atendiendo a las características de la misma sea imposible su reproducción en el medio elegido por el particular o bien, que la información que dé atención a la solicitud amerite un cruce de información en los sistemas, entre otros. </w:t>
      </w:r>
    </w:p>
    <w:p w14:paraId="6789D6DA" w14:textId="77777777" w:rsidR="00646EDA" w:rsidRPr="00BC4DCB" w:rsidRDefault="00646EDA" w:rsidP="00646EDA">
      <w:pPr>
        <w:rPr>
          <w:color w:val="222222"/>
          <w:lang w:eastAsia="es-MX"/>
        </w:rPr>
      </w:pPr>
    </w:p>
    <w:p w14:paraId="2E04462F" w14:textId="77777777" w:rsidR="00646EDA" w:rsidRPr="00BC4DCB" w:rsidRDefault="00646EDA" w:rsidP="00646EDA">
      <w:pPr>
        <w:rPr>
          <w:color w:val="000000" w:themeColor="text1"/>
        </w:rPr>
      </w:pPr>
      <w:r w:rsidRPr="00BC4DCB">
        <w:rPr>
          <w:rFonts w:eastAsiaTheme="minorEastAsia" w:cs="Arial"/>
          <w:color w:val="000000" w:themeColor="text1"/>
          <w:lang w:val="es-ES_tradnl"/>
        </w:rPr>
        <w:t>Por lo que,</w:t>
      </w:r>
      <w:r w:rsidRPr="00BC4DCB">
        <w:rPr>
          <w:rFonts w:cs="Arial"/>
          <w:color w:val="000000" w:themeColor="text1"/>
        </w:rPr>
        <w:t xml:space="preserve"> para dar</w:t>
      </w:r>
      <w:r w:rsidRPr="00BC4DCB">
        <w:rPr>
          <w:color w:val="000000" w:themeColor="text1"/>
        </w:rPr>
        <w:t xml:space="preserve"> </w:t>
      </w:r>
      <w:r w:rsidRPr="00BC4DCB">
        <w:rPr>
          <w:rFonts w:cs="Arial"/>
          <w:color w:val="000000" w:themeColor="text1"/>
        </w:rPr>
        <w:t>cumplimiento</w:t>
      </w:r>
      <w:r w:rsidRPr="00BC4DCB">
        <w:rPr>
          <w:color w:val="000000" w:themeColor="text1"/>
        </w:rPr>
        <w:t xml:space="preserve"> al acceso a la Información Pública debe realizarse en la modalidad requerida por </w:t>
      </w:r>
      <w:r w:rsidRPr="00BC4DCB">
        <w:rPr>
          <w:b/>
          <w:color w:val="000000" w:themeColor="text1"/>
        </w:rPr>
        <w:t>LA PARTE RECURRENTE</w:t>
      </w:r>
      <w:r w:rsidRPr="00BC4DCB">
        <w:rPr>
          <w:color w:val="000000" w:themeColor="text1"/>
        </w:rPr>
        <w:t xml:space="preserve">, es decir, mediante la entrega de lo solicitado vía </w:t>
      </w:r>
      <w:r w:rsidRPr="00BC4DCB">
        <w:rPr>
          <w:b/>
          <w:color w:val="000000" w:themeColor="text1"/>
        </w:rPr>
        <w:t>SAIMEX</w:t>
      </w:r>
      <w:r w:rsidRPr="00BC4DCB">
        <w:rPr>
          <w:color w:val="000000" w:themeColor="text1"/>
        </w:rPr>
        <w:t xml:space="preserve">, lo que, en el presente caso, no aconteció, puesto que ya se refirió anteriormente </w:t>
      </w:r>
      <w:r w:rsidRPr="00BC4DCB">
        <w:rPr>
          <w:b/>
          <w:color w:val="000000" w:themeColor="text1"/>
        </w:rPr>
        <w:t xml:space="preserve">EL SUJETO OBLIGADO </w:t>
      </w:r>
      <w:r w:rsidRPr="00BC4DCB">
        <w:rPr>
          <w:color w:val="000000" w:themeColor="text1"/>
        </w:rPr>
        <w:t>pretendió satisfacer lo requerido en una modalidad distinta a la elegida.</w:t>
      </w:r>
    </w:p>
    <w:p w14:paraId="75053C82" w14:textId="77777777" w:rsidR="00646EDA" w:rsidRPr="00BC4DCB" w:rsidRDefault="00646EDA" w:rsidP="00646EDA">
      <w:pPr>
        <w:rPr>
          <w:color w:val="222222"/>
          <w:lang w:eastAsia="es-MX"/>
        </w:rPr>
      </w:pPr>
    </w:p>
    <w:p w14:paraId="22F21C37" w14:textId="3D313D9A" w:rsidR="009B6C53" w:rsidRPr="00BC4DCB" w:rsidRDefault="00310720" w:rsidP="009B6C53">
      <w:pPr>
        <w:widowControl w:val="0"/>
        <w:tabs>
          <w:tab w:val="left" w:pos="1418"/>
        </w:tabs>
        <w:rPr>
          <w:bCs/>
          <w:iCs/>
        </w:rPr>
      </w:pPr>
      <w:r w:rsidRPr="00BC4DCB">
        <w:rPr>
          <w:rFonts w:eastAsia="Palatino Linotype" w:cs="Palatino Linotype"/>
          <w:color w:val="222222"/>
        </w:rPr>
        <w:t xml:space="preserve">En consecuencia, este Órgano Garante determina ordenar al </w:t>
      </w:r>
      <w:r w:rsidRPr="00BC4DCB">
        <w:rPr>
          <w:rFonts w:eastAsia="Palatino Linotype" w:cs="Palatino Linotype"/>
          <w:b/>
          <w:color w:val="222222"/>
        </w:rPr>
        <w:t>SUJETO OBLIGADO</w:t>
      </w:r>
      <w:r w:rsidRPr="00BC4DCB">
        <w:rPr>
          <w:rFonts w:eastAsia="Palatino Linotype" w:cs="Palatino Linotype"/>
          <w:color w:val="222222"/>
        </w:rPr>
        <w:t xml:space="preserve"> haga entrega vía </w:t>
      </w:r>
      <w:r w:rsidRPr="00BC4DCB">
        <w:rPr>
          <w:rFonts w:eastAsia="Palatino Linotype" w:cs="Palatino Linotype"/>
          <w:b/>
          <w:color w:val="222222"/>
        </w:rPr>
        <w:t>SAIMEX</w:t>
      </w:r>
      <w:r w:rsidRPr="00BC4DCB">
        <w:rPr>
          <w:rFonts w:eastAsia="Palatino Linotype" w:cs="Palatino Linotype"/>
          <w:color w:val="222222"/>
        </w:rPr>
        <w:t xml:space="preserve">, </w:t>
      </w:r>
      <w:r w:rsidR="00646EDA" w:rsidRPr="00BC4DCB">
        <w:rPr>
          <w:rFonts w:eastAsia="Palatino Linotype" w:cs="Palatino Linotype"/>
          <w:color w:val="222222"/>
        </w:rPr>
        <w:t xml:space="preserve">de ser procedente en </w:t>
      </w:r>
      <w:r w:rsidRPr="00BC4DCB">
        <w:rPr>
          <w:rFonts w:eastAsia="Palatino Linotype" w:cs="Palatino Linotype"/>
          <w:b/>
          <w:color w:val="222222"/>
        </w:rPr>
        <w:t xml:space="preserve">versión pública </w:t>
      </w:r>
      <w:r w:rsidRPr="00BC4DCB">
        <w:rPr>
          <w:rFonts w:eastAsia="Palatino Linotype" w:cs="Palatino Linotype"/>
          <w:color w:val="222222"/>
        </w:rPr>
        <w:t>l</w:t>
      </w:r>
      <w:r w:rsidR="00646EDA" w:rsidRPr="00BC4DCB">
        <w:rPr>
          <w:rFonts w:eastAsia="Palatino Linotype" w:cs="Palatino Linotype"/>
          <w:color w:val="222222"/>
        </w:rPr>
        <w:t xml:space="preserve">os </w:t>
      </w:r>
      <w:r w:rsidR="00646EDA" w:rsidRPr="00BC4DCB">
        <w:rPr>
          <w:rFonts w:eastAsia="Calibri"/>
          <w:lang w:eastAsia="es-ES_tradnl"/>
        </w:rPr>
        <w:t xml:space="preserve">acuses de oficios y los oficios recibidos por la </w:t>
      </w:r>
      <w:r w:rsidR="00646EDA" w:rsidRPr="00BC4DCB">
        <w:rPr>
          <w:bCs/>
          <w:iCs/>
        </w:rPr>
        <w:t xml:space="preserve">Unidad de Información, Planeación, Programación y Evaluación correspondientes a enero y febrero de dos mil veinticinco; </w:t>
      </w:r>
      <w:r w:rsidR="009B6C53" w:rsidRPr="00BC4DCB">
        <w:rPr>
          <w:bCs/>
          <w:iCs/>
        </w:rPr>
        <w:t xml:space="preserve">así como, el documento donde conste el listado de los números de oficio emitidos de manera consecutiva. </w:t>
      </w:r>
    </w:p>
    <w:p w14:paraId="0157DE27" w14:textId="77777777" w:rsidR="009B6C53" w:rsidRPr="00BC4DCB" w:rsidRDefault="009B6C53" w:rsidP="00646EDA">
      <w:pPr>
        <w:widowControl w:val="0"/>
        <w:tabs>
          <w:tab w:val="left" w:pos="1418"/>
        </w:tabs>
        <w:rPr>
          <w:bCs/>
          <w:iCs/>
        </w:rPr>
      </w:pPr>
    </w:p>
    <w:p w14:paraId="63041462" w14:textId="77777777" w:rsidR="00646EDA" w:rsidRPr="00BC4DCB" w:rsidRDefault="00646EDA" w:rsidP="00646EDA">
      <w:pPr>
        <w:pStyle w:val="Ttulo3"/>
      </w:pPr>
      <w:r w:rsidRPr="00BC4DCB">
        <w:t>d) Versión pública</w:t>
      </w:r>
    </w:p>
    <w:p w14:paraId="2E8EDBAE" w14:textId="77777777" w:rsidR="00646EDA" w:rsidRPr="00BC4DCB" w:rsidRDefault="00646EDA" w:rsidP="00646EDA">
      <w:pPr>
        <w:rPr>
          <w:bCs/>
        </w:rPr>
      </w:pPr>
      <w:r w:rsidRPr="00BC4DCB">
        <w:t xml:space="preserve">Para el caso de que el o los documentos de los cuales se ordena su entrega contengan datos personales susceptibles de ser testados, deberán ser entregados en </w:t>
      </w:r>
      <w:r w:rsidRPr="00BC4DCB">
        <w:rPr>
          <w:b/>
        </w:rPr>
        <w:t>versión pública</w:t>
      </w:r>
      <w:r w:rsidRPr="00BC4DCB">
        <w:t>, pues el</w:t>
      </w:r>
      <w:r w:rsidRPr="00BC4DCB">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w:t>
      </w:r>
      <w:r w:rsidRPr="00BC4DCB">
        <w:rPr>
          <w:bCs/>
        </w:rPr>
        <w:lastRenderedPageBreak/>
        <w:t>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398E6127" w14:textId="77777777" w:rsidR="00646EDA" w:rsidRPr="00BC4DCB" w:rsidRDefault="00646EDA" w:rsidP="00646EDA">
      <w:pPr>
        <w:rPr>
          <w:rFonts w:eastAsia="Calibri"/>
          <w:bCs/>
          <w:lang w:eastAsia="en-US"/>
        </w:rPr>
      </w:pPr>
    </w:p>
    <w:p w14:paraId="2631DED3" w14:textId="77777777" w:rsidR="00646EDA" w:rsidRPr="00BC4DCB" w:rsidRDefault="00646EDA" w:rsidP="00646EDA">
      <w:pPr>
        <w:rPr>
          <w:bCs/>
        </w:rPr>
      </w:pPr>
      <w:r w:rsidRPr="00BC4DCB">
        <w:rPr>
          <w:bCs/>
        </w:rPr>
        <w:t>A este respecto, los artículos 3, fracciones IX, XX, XXI y XLV; 51 y 52 de la Ley de Transparencia y Acceso a la Información Pública del Estado de México y Municipios establecen:</w:t>
      </w:r>
    </w:p>
    <w:p w14:paraId="623E0D55" w14:textId="77777777" w:rsidR="00646EDA" w:rsidRPr="00BC4DCB" w:rsidRDefault="00646EDA" w:rsidP="00646EDA"/>
    <w:p w14:paraId="01925711" w14:textId="77777777" w:rsidR="00646EDA" w:rsidRPr="00BC4DCB" w:rsidRDefault="00646EDA" w:rsidP="00646EDA">
      <w:pPr>
        <w:pStyle w:val="Puesto"/>
      </w:pPr>
      <w:r w:rsidRPr="00BC4DCB">
        <w:rPr>
          <w:b/>
          <w:bCs/>
          <w:noProof/>
        </w:rPr>
        <w:t>“</w:t>
      </w:r>
      <w:r w:rsidRPr="00BC4DCB">
        <w:rPr>
          <w:b/>
          <w:bCs/>
        </w:rPr>
        <w:t xml:space="preserve">Artículo 3. </w:t>
      </w:r>
      <w:r w:rsidRPr="00BC4DCB">
        <w:t xml:space="preserve">Para los efectos de la presente Ley se entenderá por: </w:t>
      </w:r>
    </w:p>
    <w:p w14:paraId="6622CAD7" w14:textId="77777777" w:rsidR="00646EDA" w:rsidRPr="00BC4DCB" w:rsidRDefault="00646EDA" w:rsidP="00646EDA">
      <w:pPr>
        <w:pStyle w:val="Puesto"/>
      </w:pPr>
      <w:r w:rsidRPr="00BC4DCB">
        <w:rPr>
          <w:b/>
        </w:rPr>
        <w:t>IX.</w:t>
      </w:r>
      <w:r w:rsidRPr="00BC4DCB">
        <w:t xml:space="preserve"> </w:t>
      </w:r>
      <w:r w:rsidRPr="00BC4DCB">
        <w:rPr>
          <w:b/>
        </w:rPr>
        <w:t xml:space="preserve">Datos personales: </w:t>
      </w:r>
      <w:r w:rsidRPr="00BC4DCB">
        <w:t xml:space="preserve">La información concerniente a una persona, identificada o identificable según lo dispuesto por la Ley de Protección de Datos Personales del Estado de México; </w:t>
      </w:r>
    </w:p>
    <w:p w14:paraId="5FCC85A1" w14:textId="77777777" w:rsidR="00646EDA" w:rsidRPr="00BC4DCB" w:rsidRDefault="00646EDA" w:rsidP="00646EDA"/>
    <w:p w14:paraId="442F4987" w14:textId="77777777" w:rsidR="00646EDA" w:rsidRPr="00BC4DCB" w:rsidRDefault="00646EDA" w:rsidP="00646EDA">
      <w:pPr>
        <w:pStyle w:val="Puesto"/>
      </w:pPr>
      <w:r w:rsidRPr="00BC4DCB">
        <w:rPr>
          <w:b/>
        </w:rPr>
        <w:t>XX.</w:t>
      </w:r>
      <w:r w:rsidRPr="00BC4DCB">
        <w:t xml:space="preserve"> </w:t>
      </w:r>
      <w:r w:rsidRPr="00BC4DCB">
        <w:rPr>
          <w:b/>
        </w:rPr>
        <w:t>Información clasificada:</w:t>
      </w:r>
      <w:r w:rsidRPr="00BC4DCB">
        <w:t xml:space="preserve"> Aquella considerada por la presente Ley como reservada o confidencial; </w:t>
      </w:r>
    </w:p>
    <w:p w14:paraId="6524AA4A" w14:textId="77777777" w:rsidR="00646EDA" w:rsidRPr="00BC4DCB" w:rsidRDefault="00646EDA" w:rsidP="00646EDA"/>
    <w:p w14:paraId="4AA5C873" w14:textId="77777777" w:rsidR="00646EDA" w:rsidRPr="00BC4DCB" w:rsidRDefault="00646EDA" w:rsidP="00646EDA">
      <w:pPr>
        <w:pStyle w:val="Puesto"/>
      </w:pPr>
      <w:r w:rsidRPr="00BC4DCB">
        <w:rPr>
          <w:b/>
        </w:rPr>
        <w:t>XXI.</w:t>
      </w:r>
      <w:r w:rsidRPr="00BC4DCB">
        <w:t xml:space="preserve"> </w:t>
      </w:r>
      <w:r w:rsidRPr="00BC4DCB">
        <w:rPr>
          <w:b/>
        </w:rPr>
        <w:t>Información confidencial</w:t>
      </w:r>
      <w:r w:rsidRPr="00BC4DCB">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5507CF60" w14:textId="77777777" w:rsidR="00646EDA" w:rsidRPr="00BC4DCB" w:rsidRDefault="00646EDA" w:rsidP="00646EDA"/>
    <w:p w14:paraId="27AB696C" w14:textId="77777777" w:rsidR="00646EDA" w:rsidRPr="00BC4DCB" w:rsidRDefault="00646EDA" w:rsidP="00646EDA">
      <w:pPr>
        <w:pStyle w:val="Puesto"/>
      </w:pPr>
      <w:r w:rsidRPr="00BC4DCB">
        <w:rPr>
          <w:b/>
        </w:rPr>
        <w:t>XLV. Versión pública:</w:t>
      </w:r>
      <w:r w:rsidRPr="00BC4DCB">
        <w:t xml:space="preserve"> Documento en el que se elimine, suprime o borra la información clasificada como reservada o confidencial para permitir su acceso. </w:t>
      </w:r>
    </w:p>
    <w:p w14:paraId="75F81C03" w14:textId="77777777" w:rsidR="00646EDA" w:rsidRPr="00BC4DCB" w:rsidRDefault="00646EDA" w:rsidP="00646EDA"/>
    <w:p w14:paraId="4A579FBE" w14:textId="77777777" w:rsidR="00646EDA" w:rsidRPr="00BC4DCB" w:rsidRDefault="00646EDA" w:rsidP="00646EDA">
      <w:pPr>
        <w:pStyle w:val="Puesto"/>
      </w:pPr>
      <w:r w:rsidRPr="00BC4DCB">
        <w:rPr>
          <w:b/>
        </w:rPr>
        <w:t>Artículo 51.</w:t>
      </w:r>
      <w:r w:rsidRPr="00BC4DCB">
        <w:t xml:space="preserve"> Los sujetos obligados designaran a un responsable para atender la Unidad de Transparencia, quien fungirá como enlace entre éstos y los solicitantes. Dicha Unidad será la encargada de tramitar internamente la solicitud de información </w:t>
      </w:r>
      <w:r w:rsidRPr="00BC4DCB">
        <w:rPr>
          <w:b/>
        </w:rPr>
        <w:t xml:space="preserve">y tendrá la responsabilidad de verificar en cada caso que la misma no sea confidencial o reservada. </w:t>
      </w:r>
      <w:r w:rsidRPr="00BC4DCB">
        <w:t>Dicha Unidad contará con las facultades internas necesarias para gestionar la atención a las solicitudes de información en los términos de la Ley General y la presente Ley.</w:t>
      </w:r>
    </w:p>
    <w:p w14:paraId="1E981138" w14:textId="77777777" w:rsidR="00646EDA" w:rsidRPr="00BC4DCB" w:rsidRDefault="00646EDA" w:rsidP="00646EDA"/>
    <w:p w14:paraId="4AD958FA" w14:textId="77777777" w:rsidR="00646EDA" w:rsidRPr="00BC4DCB" w:rsidRDefault="00646EDA" w:rsidP="00646EDA">
      <w:pPr>
        <w:pStyle w:val="Puesto"/>
      </w:pPr>
      <w:r w:rsidRPr="00BC4DCB">
        <w:rPr>
          <w:b/>
        </w:rPr>
        <w:lastRenderedPageBreak/>
        <w:t>Artículo 52.</w:t>
      </w:r>
      <w:r w:rsidRPr="00BC4DCB">
        <w:t xml:space="preserve"> Las solicitudes de acceso a la información y las respuestas que se les dé, incluyendo, en su caso, </w:t>
      </w:r>
      <w:r w:rsidRPr="00BC4DCB">
        <w:rPr>
          <w:u w:val="single"/>
        </w:rPr>
        <w:t>la información entregada, así como las resoluciones a los recursos que en su caso se promuevan serán públicas, y de ser el caso que contenga datos personales que deban ser protegidos se podrá dar su acceso en su versión pública</w:t>
      </w:r>
      <w:r w:rsidRPr="00BC4DCB">
        <w:t>, siempre y cuando la resolución de referencia se someta a un proceso de disociación, es decir, no haga identificable al titular de tales datos personales.</w:t>
      </w:r>
      <w:r w:rsidRPr="00BC4DCB">
        <w:rPr>
          <w:bCs/>
          <w:noProof/>
        </w:rPr>
        <w:t xml:space="preserve">” </w:t>
      </w:r>
      <w:r w:rsidRPr="00BC4DCB">
        <w:rPr>
          <w:i w:val="0"/>
          <w:iCs/>
          <w:szCs w:val="22"/>
        </w:rPr>
        <w:t>(Énfasis añadido)</w:t>
      </w:r>
    </w:p>
    <w:p w14:paraId="0F373B2D" w14:textId="77777777" w:rsidR="00646EDA" w:rsidRPr="00BC4DCB" w:rsidRDefault="00646EDA" w:rsidP="00646EDA"/>
    <w:p w14:paraId="54E5E458" w14:textId="77777777" w:rsidR="00646EDA" w:rsidRPr="00BC4DCB" w:rsidRDefault="00646EDA" w:rsidP="00646EDA">
      <w:r w:rsidRPr="00BC4DCB">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1275EA40" w14:textId="77777777" w:rsidR="00646EDA" w:rsidRPr="00BC4DCB" w:rsidRDefault="00646EDA" w:rsidP="00646EDA"/>
    <w:p w14:paraId="50A84A67" w14:textId="77777777" w:rsidR="00646EDA" w:rsidRPr="00BC4DCB" w:rsidRDefault="00646EDA" w:rsidP="00646EDA">
      <w:pPr>
        <w:pStyle w:val="Puesto"/>
        <w:rPr>
          <w:rFonts w:eastAsia="Arial Unicode MS"/>
        </w:rPr>
      </w:pPr>
      <w:r w:rsidRPr="00BC4DCB">
        <w:rPr>
          <w:rFonts w:eastAsia="Arial Unicode MS"/>
          <w:b/>
        </w:rPr>
        <w:t>“Artículo 22.</w:t>
      </w:r>
      <w:r w:rsidRPr="00BC4DCB">
        <w:rPr>
          <w:rFonts w:eastAsia="Arial Unicode MS"/>
        </w:rPr>
        <w:t xml:space="preserve"> Todo tratamiento de datos personales que efectúe el responsable deberá estar justificado por finalidades concretas, lícitas, explícitas y legítimas, relacionadas con las atribuciones que la normatividad aplicable les confiera. </w:t>
      </w:r>
    </w:p>
    <w:p w14:paraId="633B3140" w14:textId="77777777" w:rsidR="00646EDA" w:rsidRPr="00BC4DCB" w:rsidRDefault="00646EDA" w:rsidP="00646EDA">
      <w:pPr>
        <w:rPr>
          <w:rFonts w:eastAsia="Arial Unicode MS"/>
        </w:rPr>
      </w:pPr>
    </w:p>
    <w:p w14:paraId="70DD4A4D" w14:textId="77777777" w:rsidR="00646EDA" w:rsidRPr="00BC4DCB" w:rsidRDefault="00646EDA" w:rsidP="00646EDA">
      <w:pPr>
        <w:pStyle w:val="Puesto"/>
        <w:rPr>
          <w:rFonts w:eastAsia="Arial Unicode MS"/>
        </w:rPr>
      </w:pPr>
      <w:r w:rsidRPr="00BC4DCB">
        <w:rPr>
          <w:rFonts w:eastAsia="Arial Unicode MS"/>
          <w:b/>
        </w:rPr>
        <w:t>Artículo 38.</w:t>
      </w:r>
      <w:r w:rsidRPr="00BC4DCB">
        <w:rPr>
          <w:rFonts w:eastAsia="Arial Unicode M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BC4DCB">
        <w:rPr>
          <w:rFonts w:eastAsia="Arial Unicode MS"/>
          <w:b/>
        </w:rPr>
        <w:t>”</w:t>
      </w:r>
      <w:r w:rsidRPr="00BC4DCB">
        <w:rPr>
          <w:rFonts w:eastAsia="Arial Unicode MS"/>
        </w:rPr>
        <w:t xml:space="preserve"> </w:t>
      </w:r>
    </w:p>
    <w:p w14:paraId="747854F2" w14:textId="77777777" w:rsidR="00646EDA" w:rsidRPr="00BC4DCB" w:rsidRDefault="00646EDA" w:rsidP="00646EDA">
      <w:pPr>
        <w:rPr>
          <w:rFonts w:eastAsia="Arial Unicode MS"/>
          <w:i/>
          <w:szCs w:val="22"/>
        </w:rPr>
      </w:pPr>
    </w:p>
    <w:p w14:paraId="475FB42F" w14:textId="77777777" w:rsidR="00646EDA" w:rsidRPr="00BC4DCB" w:rsidRDefault="00646EDA" w:rsidP="00646EDA">
      <w:r w:rsidRPr="00BC4DCB">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w:t>
      </w:r>
      <w:r w:rsidRPr="00BC4DCB">
        <w:lastRenderedPageBreak/>
        <w:t xml:space="preserve">particulares toda vez que ésta tiene por objeto proteger datos personales, entendiéndose por tales, aquéllos que hacen identificable a una persona. </w:t>
      </w:r>
    </w:p>
    <w:p w14:paraId="3D905B0C" w14:textId="77777777" w:rsidR="00646EDA" w:rsidRPr="00BC4DCB" w:rsidRDefault="00646EDA" w:rsidP="00646EDA"/>
    <w:p w14:paraId="6601AB61" w14:textId="77777777" w:rsidR="00646EDA" w:rsidRPr="00BC4DCB" w:rsidRDefault="00646EDA" w:rsidP="00646EDA">
      <w:r w:rsidRPr="00BC4DCB">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BC4DCB">
        <w:rPr>
          <w:rFonts w:eastAsia="Arial Unicode MS"/>
        </w:rPr>
        <w:t xml:space="preserve"> que debe ser protegida por </w:t>
      </w:r>
      <w:r w:rsidRPr="00BC4DCB">
        <w:rPr>
          <w:rFonts w:eastAsia="Arial Unicode MS"/>
          <w:b/>
        </w:rPr>
        <w:t>EL SUJETO OBLIGADO,</w:t>
      </w:r>
      <w:r w:rsidRPr="00BC4DCB">
        <w:rPr>
          <w:rFonts w:eastAsia="Arial Unicode MS"/>
        </w:rPr>
        <w:t xml:space="preserve"> por lo </w:t>
      </w:r>
      <w:r w:rsidRPr="00BC4DCB">
        <w:t>que, todo dato personal susceptible de clasificación debe ser protegido.</w:t>
      </w:r>
    </w:p>
    <w:p w14:paraId="6918A824" w14:textId="77777777" w:rsidR="00646EDA" w:rsidRPr="00BC4DCB" w:rsidRDefault="00646EDA" w:rsidP="00646EDA"/>
    <w:p w14:paraId="71F7493D" w14:textId="77777777" w:rsidR="00646EDA" w:rsidRPr="00BC4DCB" w:rsidRDefault="00646EDA" w:rsidP="00646EDA">
      <w:r w:rsidRPr="00BC4DCB">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36C19309" w14:textId="77777777" w:rsidR="00646EDA" w:rsidRPr="00BC4DCB" w:rsidRDefault="00646EDA" w:rsidP="00646EDA"/>
    <w:p w14:paraId="3B328D12" w14:textId="77777777" w:rsidR="00646EDA" w:rsidRPr="00BC4DCB" w:rsidRDefault="00646EDA" w:rsidP="00646EDA">
      <w:r w:rsidRPr="00BC4DCB">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1D5ACC59" w14:textId="77777777" w:rsidR="00646EDA" w:rsidRPr="00BC4DCB" w:rsidRDefault="00646EDA" w:rsidP="00646EDA"/>
    <w:p w14:paraId="3F5E3FE2" w14:textId="77777777" w:rsidR="00646EDA" w:rsidRPr="00BC4DCB" w:rsidRDefault="00646EDA" w:rsidP="00646EDA">
      <w:pPr>
        <w:jc w:val="center"/>
        <w:rPr>
          <w:b/>
          <w:i/>
          <w:szCs w:val="22"/>
        </w:rPr>
      </w:pPr>
      <w:r w:rsidRPr="00BC4DCB">
        <w:rPr>
          <w:b/>
          <w:i/>
          <w:szCs w:val="22"/>
          <w:lang w:val="es-ES_tradnl"/>
        </w:rPr>
        <w:t>Ley de Transparencia y Acceso a la Información Pública del Estado de México y Municipios</w:t>
      </w:r>
    </w:p>
    <w:p w14:paraId="1DC59ADE" w14:textId="77777777" w:rsidR="00646EDA" w:rsidRPr="00BC4DCB" w:rsidRDefault="00646EDA" w:rsidP="00646EDA"/>
    <w:p w14:paraId="40D3015A" w14:textId="77777777" w:rsidR="00646EDA" w:rsidRPr="00BC4DCB" w:rsidRDefault="00646EDA" w:rsidP="00646EDA">
      <w:pPr>
        <w:pStyle w:val="Puesto"/>
      </w:pPr>
      <w:r w:rsidRPr="00BC4DCB">
        <w:rPr>
          <w:b/>
        </w:rPr>
        <w:lastRenderedPageBreak/>
        <w:t xml:space="preserve">“Artículo 49. </w:t>
      </w:r>
      <w:r w:rsidRPr="00BC4DCB">
        <w:t>Los Comités de Transparencia tendrán las siguientes atribuciones:</w:t>
      </w:r>
    </w:p>
    <w:p w14:paraId="79E7B734" w14:textId="77777777" w:rsidR="00646EDA" w:rsidRPr="00BC4DCB" w:rsidRDefault="00646EDA" w:rsidP="00646EDA">
      <w:pPr>
        <w:pStyle w:val="Puesto"/>
      </w:pPr>
      <w:r w:rsidRPr="00BC4DCB">
        <w:rPr>
          <w:b/>
        </w:rPr>
        <w:t>VIII.</w:t>
      </w:r>
      <w:r w:rsidRPr="00BC4DCB">
        <w:t xml:space="preserve"> Aprobar, modificar o revocar la clasificación de la información;</w:t>
      </w:r>
    </w:p>
    <w:p w14:paraId="496C3A1B" w14:textId="77777777" w:rsidR="00646EDA" w:rsidRPr="00BC4DCB" w:rsidRDefault="00646EDA" w:rsidP="00646EDA"/>
    <w:p w14:paraId="57FDED28" w14:textId="77777777" w:rsidR="00646EDA" w:rsidRPr="00BC4DCB" w:rsidRDefault="00646EDA" w:rsidP="00646EDA">
      <w:pPr>
        <w:pStyle w:val="Puesto"/>
      </w:pPr>
      <w:r w:rsidRPr="00BC4DCB">
        <w:rPr>
          <w:b/>
        </w:rPr>
        <w:t>Artículo 132.</w:t>
      </w:r>
      <w:r w:rsidRPr="00BC4DCB">
        <w:t xml:space="preserve"> La clasificación de la información se llevará a cabo en el momento en que:</w:t>
      </w:r>
    </w:p>
    <w:p w14:paraId="437FFF15" w14:textId="77777777" w:rsidR="00646EDA" w:rsidRPr="00BC4DCB" w:rsidRDefault="00646EDA" w:rsidP="00646EDA">
      <w:pPr>
        <w:pStyle w:val="Puesto"/>
      </w:pPr>
      <w:r w:rsidRPr="00BC4DCB">
        <w:rPr>
          <w:b/>
        </w:rPr>
        <w:t>I.</w:t>
      </w:r>
      <w:r w:rsidRPr="00BC4DCB">
        <w:t xml:space="preserve"> Se reciba una solicitud de acceso a la información;</w:t>
      </w:r>
    </w:p>
    <w:p w14:paraId="2069A385" w14:textId="77777777" w:rsidR="00646EDA" w:rsidRPr="00BC4DCB" w:rsidRDefault="00646EDA" w:rsidP="00646EDA">
      <w:pPr>
        <w:pStyle w:val="Puesto"/>
      </w:pPr>
      <w:r w:rsidRPr="00BC4DCB">
        <w:rPr>
          <w:b/>
        </w:rPr>
        <w:t>II.</w:t>
      </w:r>
      <w:r w:rsidRPr="00BC4DCB">
        <w:t xml:space="preserve"> Se determine mediante resolución de autoridad competente; o</w:t>
      </w:r>
    </w:p>
    <w:p w14:paraId="0FB2E575" w14:textId="77777777" w:rsidR="00646EDA" w:rsidRPr="00BC4DCB" w:rsidRDefault="00646EDA" w:rsidP="00646EDA">
      <w:pPr>
        <w:pStyle w:val="Puesto"/>
        <w:rPr>
          <w:b/>
        </w:rPr>
      </w:pPr>
      <w:r w:rsidRPr="00BC4DCB">
        <w:rPr>
          <w:b/>
          <w:bCs/>
        </w:rPr>
        <w:t>III.</w:t>
      </w:r>
      <w:r w:rsidRPr="00BC4DCB">
        <w:t xml:space="preserve"> Se generen versiones públicas para dar cumplimiento a las obligaciones de transparencia previstas en esta Ley.</w:t>
      </w:r>
      <w:r w:rsidRPr="00BC4DCB">
        <w:rPr>
          <w:b/>
        </w:rPr>
        <w:t>”</w:t>
      </w:r>
    </w:p>
    <w:p w14:paraId="5D197F8F" w14:textId="77777777" w:rsidR="00646EDA" w:rsidRPr="00BC4DCB" w:rsidRDefault="00646EDA" w:rsidP="00646EDA"/>
    <w:p w14:paraId="363F8AC9" w14:textId="77777777" w:rsidR="00646EDA" w:rsidRPr="00BC4DCB" w:rsidRDefault="00646EDA" w:rsidP="00646EDA">
      <w:pPr>
        <w:pStyle w:val="Puesto"/>
      </w:pPr>
      <w:r w:rsidRPr="00BC4DCB">
        <w:rPr>
          <w:b/>
        </w:rPr>
        <w:t>“Segundo. -</w:t>
      </w:r>
      <w:r w:rsidRPr="00BC4DCB">
        <w:t xml:space="preserve"> Para efectos de los presentes Lineamientos Generales, se entenderá por:</w:t>
      </w:r>
    </w:p>
    <w:p w14:paraId="3EBC01D5" w14:textId="77777777" w:rsidR="00646EDA" w:rsidRPr="00BC4DCB" w:rsidRDefault="00646EDA" w:rsidP="00646EDA">
      <w:pPr>
        <w:pStyle w:val="Puesto"/>
      </w:pPr>
      <w:r w:rsidRPr="00BC4DCB">
        <w:rPr>
          <w:b/>
        </w:rPr>
        <w:t>XVIII.</w:t>
      </w:r>
      <w:r w:rsidRPr="00BC4DCB">
        <w:t xml:space="preserve">  </w:t>
      </w:r>
      <w:r w:rsidRPr="00BC4DCB">
        <w:rPr>
          <w:b/>
        </w:rPr>
        <w:t>Versión pública:</w:t>
      </w:r>
      <w:r w:rsidRPr="00BC4DCB">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D9F26CA" w14:textId="77777777" w:rsidR="00646EDA" w:rsidRPr="00BC4DCB" w:rsidRDefault="00646EDA" w:rsidP="00646EDA">
      <w:pPr>
        <w:pStyle w:val="Puesto"/>
      </w:pPr>
    </w:p>
    <w:p w14:paraId="6D9FE820" w14:textId="77777777" w:rsidR="00646EDA" w:rsidRPr="00BC4DCB" w:rsidRDefault="00646EDA" w:rsidP="00646EDA">
      <w:pPr>
        <w:pStyle w:val="Puesto"/>
        <w:rPr>
          <w:b/>
          <w:lang w:val="es-ES_tradnl" w:eastAsia="es-MX"/>
        </w:rPr>
      </w:pPr>
      <w:r w:rsidRPr="00BC4DCB">
        <w:rPr>
          <w:b/>
          <w:lang w:val="es-ES_tradnl" w:eastAsia="es-MX"/>
        </w:rPr>
        <w:t xml:space="preserve">Lineamientos Generales en materia de Clasificación y Desclasificación de la </w:t>
      </w:r>
      <w:r w:rsidRPr="00BC4DCB">
        <w:rPr>
          <w:b/>
          <w:lang w:val="es-ES_tradnl"/>
        </w:rPr>
        <w:t>Información</w:t>
      </w:r>
    </w:p>
    <w:p w14:paraId="2A98FE2D" w14:textId="77777777" w:rsidR="00646EDA" w:rsidRPr="00BC4DCB" w:rsidRDefault="00646EDA" w:rsidP="00646EDA">
      <w:pPr>
        <w:pStyle w:val="Puesto"/>
      </w:pPr>
    </w:p>
    <w:p w14:paraId="4A5BC336" w14:textId="77777777" w:rsidR="00646EDA" w:rsidRPr="00BC4DCB" w:rsidRDefault="00646EDA" w:rsidP="00646EDA">
      <w:pPr>
        <w:pStyle w:val="Puesto"/>
      </w:pPr>
      <w:r w:rsidRPr="00BC4DCB">
        <w:rPr>
          <w:b/>
        </w:rPr>
        <w:t>Cuarto.</w:t>
      </w:r>
      <w:r w:rsidRPr="00BC4DCB">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D5CD7AB" w14:textId="77777777" w:rsidR="00646EDA" w:rsidRPr="00BC4DCB" w:rsidRDefault="00646EDA" w:rsidP="00646EDA">
      <w:pPr>
        <w:pStyle w:val="Puesto"/>
      </w:pPr>
      <w:r w:rsidRPr="00BC4DCB">
        <w:t>Los sujetos obligados deberán aplicar, de manera estricta, las excepciones al derecho de acceso a la información y sólo podrán invocarlas cuando acrediten su procedencia.</w:t>
      </w:r>
    </w:p>
    <w:p w14:paraId="2DCA87ED" w14:textId="77777777" w:rsidR="00646EDA" w:rsidRPr="00BC4DCB" w:rsidRDefault="00646EDA" w:rsidP="00646EDA"/>
    <w:p w14:paraId="4DCD498B" w14:textId="77777777" w:rsidR="00646EDA" w:rsidRPr="00BC4DCB" w:rsidRDefault="00646EDA" w:rsidP="00646EDA">
      <w:pPr>
        <w:pStyle w:val="Puesto"/>
      </w:pPr>
      <w:r w:rsidRPr="00BC4DCB">
        <w:rPr>
          <w:b/>
        </w:rPr>
        <w:t>Quinto.</w:t>
      </w:r>
      <w:r w:rsidRPr="00BC4DCB">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78B270C" w14:textId="77777777" w:rsidR="00646EDA" w:rsidRPr="00BC4DCB" w:rsidRDefault="00646EDA" w:rsidP="00646EDA"/>
    <w:p w14:paraId="1065D120" w14:textId="77777777" w:rsidR="00646EDA" w:rsidRPr="00BC4DCB" w:rsidRDefault="00646EDA" w:rsidP="00646EDA">
      <w:pPr>
        <w:pStyle w:val="Puesto"/>
      </w:pPr>
      <w:r w:rsidRPr="00BC4DCB">
        <w:rPr>
          <w:b/>
        </w:rPr>
        <w:t>Sexto.</w:t>
      </w:r>
      <w:r w:rsidRPr="00BC4DCB">
        <w:t xml:space="preserve"> Se deroga.</w:t>
      </w:r>
    </w:p>
    <w:p w14:paraId="2D148354" w14:textId="77777777" w:rsidR="00646EDA" w:rsidRPr="00BC4DCB" w:rsidRDefault="00646EDA" w:rsidP="00646EDA"/>
    <w:p w14:paraId="06FF0B08" w14:textId="77777777" w:rsidR="00646EDA" w:rsidRPr="00BC4DCB" w:rsidRDefault="00646EDA" w:rsidP="00646EDA">
      <w:pPr>
        <w:pStyle w:val="Puesto"/>
      </w:pPr>
      <w:r w:rsidRPr="00BC4DCB">
        <w:rPr>
          <w:b/>
        </w:rPr>
        <w:lastRenderedPageBreak/>
        <w:t>Séptimo.</w:t>
      </w:r>
      <w:r w:rsidRPr="00BC4DCB">
        <w:t xml:space="preserve"> La clasificación de la información se llevará a cabo en el momento en que:</w:t>
      </w:r>
    </w:p>
    <w:p w14:paraId="0156D966" w14:textId="77777777" w:rsidR="00646EDA" w:rsidRPr="00BC4DCB" w:rsidRDefault="00646EDA" w:rsidP="00646EDA">
      <w:pPr>
        <w:pStyle w:val="Puesto"/>
      </w:pPr>
      <w:r w:rsidRPr="00BC4DCB">
        <w:rPr>
          <w:b/>
        </w:rPr>
        <w:t>I.</w:t>
      </w:r>
      <w:r w:rsidRPr="00BC4DCB">
        <w:t xml:space="preserve">        Se reciba una solicitud de acceso a la información;</w:t>
      </w:r>
    </w:p>
    <w:p w14:paraId="7BDEC6F6" w14:textId="77777777" w:rsidR="00646EDA" w:rsidRPr="00BC4DCB" w:rsidRDefault="00646EDA" w:rsidP="00646EDA">
      <w:pPr>
        <w:pStyle w:val="Puesto"/>
      </w:pPr>
      <w:r w:rsidRPr="00BC4DCB">
        <w:rPr>
          <w:b/>
        </w:rPr>
        <w:t>II.</w:t>
      </w:r>
      <w:r w:rsidRPr="00BC4DCB">
        <w:t xml:space="preserve">       Se determine mediante resolución del Comité de Transparencia, el órgano garante competente, o en cumplimiento a una sentencia del Poder Judicial; o</w:t>
      </w:r>
    </w:p>
    <w:p w14:paraId="2C83D251" w14:textId="77777777" w:rsidR="00646EDA" w:rsidRPr="00BC4DCB" w:rsidRDefault="00646EDA" w:rsidP="00646EDA">
      <w:pPr>
        <w:pStyle w:val="Puesto"/>
      </w:pPr>
      <w:r w:rsidRPr="00BC4DCB">
        <w:rPr>
          <w:b/>
        </w:rPr>
        <w:t>III.</w:t>
      </w:r>
      <w:r w:rsidRPr="00BC4DCB">
        <w:t xml:space="preserve">      Se generen versiones públicas para dar cumplimiento a las obligaciones de transparencia previstas en la Ley General, la Ley Federal y las correspondientes de las entidades federativas.</w:t>
      </w:r>
    </w:p>
    <w:p w14:paraId="582831AF" w14:textId="77777777" w:rsidR="00646EDA" w:rsidRPr="00BC4DCB" w:rsidRDefault="00646EDA" w:rsidP="00646EDA">
      <w:pPr>
        <w:pStyle w:val="Puesto"/>
      </w:pPr>
      <w:r w:rsidRPr="00BC4DCB">
        <w:t xml:space="preserve">Los titulares de las áreas deberán revisar la información requerida al momento de la recepción de una solicitud de acceso, para verificar, conforme a su naturaleza, si encuadra en una causal de reserva o de confidencialidad. </w:t>
      </w:r>
    </w:p>
    <w:p w14:paraId="1906F2A0" w14:textId="77777777" w:rsidR="00646EDA" w:rsidRPr="00BC4DCB" w:rsidRDefault="00646EDA" w:rsidP="00646EDA"/>
    <w:p w14:paraId="3A9694C1" w14:textId="77777777" w:rsidR="00646EDA" w:rsidRPr="00BC4DCB" w:rsidRDefault="00646EDA" w:rsidP="00646EDA">
      <w:pPr>
        <w:pStyle w:val="Puesto"/>
      </w:pPr>
      <w:r w:rsidRPr="00BC4DCB">
        <w:rPr>
          <w:b/>
        </w:rPr>
        <w:t>Octavo.</w:t>
      </w:r>
      <w:r w:rsidRPr="00BC4DCB">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DD58588" w14:textId="77777777" w:rsidR="00646EDA" w:rsidRPr="00BC4DCB" w:rsidRDefault="00646EDA" w:rsidP="00646EDA">
      <w:pPr>
        <w:pStyle w:val="Puesto"/>
      </w:pPr>
      <w:r w:rsidRPr="00BC4DCB">
        <w:t>Para motivar la clasificación se deberán señalar las razones o circunstancias especiales que lo llevaron a concluir que el caso particular se ajusta al supuesto previsto por la norma legal invocada como fundamento.</w:t>
      </w:r>
    </w:p>
    <w:p w14:paraId="43708EF1" w14:textId="77777777" w:rsidR="00646EDA" w:rsidRPr="00BC4DCB" w:rsidRDefault="00646EDA" w:rsidP="00646EDA">
      <w:pPr>
        <w:pStyle w:val="Puesto"/>
      </w:pPr>
      <w:r w:rsidRPr="00BC4DCB">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502899E7" w14:textId="77777777" w:rsidR="00646EDA" w:rsidRPr="00BC4DCB" w:rsidRDefault="00646EDA" w:rsidP="00646EDA"/>
    <w:p w14:paraId="40A51167" w14:textId="77777777" w:rsidR="00646EDA" w:rsidRPr="00BC4DCB" w:rsidRDefault="00646EDA" w:rsidP="00646EDA">
      <w:pPr>
        <w:pStyle w:val="Puesto"/>
      </w:pPr>
      <w:r w:rsidRPr="00BC4DCB">
        <w:rPr>
          <w:b/>
        </w:rPr>
        <w:t>Noveno.</w:t>
      </w:r>
      <w:r w:rsidRPr="00BC4DCB">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7997822" w14:textId="77777777" w:rsidR="00646EDA" w:rsidRPr="00BC4DCB" w:rsidRDefault="00646EDA" w:rsidP="00646EDA"/>
    <w:p w14:paraId="75A2706A" w14:textId="77777777" w:rsidR="00646EDA" w:rsidRPr="00BC4DCB" w:rsidRDefault="00646EDA" w:rsidP="00646EDA">
      <w:pPr>
        <w:pStyle w:val="Puesto"/>
      </w:pPr>
      <w:r w:rsidRPr="00BC4DCB">
        <w:rPr>
          <w:b/>
        </w:rPr>
        <w:t>Décimo.</w:t>
      </w:r>
      <w:r w:rsidRPr="00BC4DCB">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73BF77F5" w14:textId="77777777" w:rsidR="00646EDA" w:rsidRPr="00BC4DCB" w:rsidRDefault="00646EDA" w:rsidP="00646EDA">
      <w:pPr>
        <w:pStyle w:val="Puesto"/>
      </w:pPr>
      <w:r w:rsidRPr="00BC4DCB">
        <w:t>En ausencia de los titulares de las áreas, la información será clasificada o desclasificada por la persona que lo supla, en términos de la normativa que rija la actuación del sujeto obligado.</w:t>
      </w:r>
    </w:p>
    <w:p w14:paraId="1369F01C" w14:textId="77777777" w:rsidR="00646EDA" w:rsidRPr="00BC4DCB" w:rsidRDefault="00646EDA" w:rsidP="00646EDA">
      <w:pPr>
        <w:pStyle w:val="Puesto"/>
        <w:rPr>
          <w:b/>
        </w:rPr>
      </w:pPr>
      <w:r w:rsidRPr="00BC4DCB">
        <w:rPr>
          <w:b/>
        </w:rPr>
        <w:lastRenderedPageBreak/>
        <w:t>Décimo primero.</w:t>
      </w:r>
      <w:r w:rsidRPr="00BC4DCB">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BC4DCB">
        <w:rPr>
          <w:b/>
        </w:rPr>
        <w:t>”</w:t>
      </w:r>
    </w:p>
    <w:p w14:paraId="622D309F" w14:textId="77777777" w:rsidR="00646EDA" w:rsidRPr="00BC4DCB" w:rsidRDefault="00646EDA" w:rsidP="00646EDA"/>
    <w:p w14:paraId="7AAF246A" w14:textId="77777777" w:rsidR="00646EDA" w:rsidRPr="00BC4DCB" w:rsidRDefault="00646EDA" w:rsidP="00646EDA">
      <w:pPr>
        <w:rPr>
          <w:lang w:eastAsia="es-CO"/>
        </w:rPr>
      </w:pPr>
      <w:r w:rsidRPr="00BC4DCB">
        <w:t xml:space="preserve">Consecuentemente, se destaca que la versión pública que elabore </w:t>
      </w:r>
      <w:r w:rsidRPr="00BC4DCB">
        <w:rPr>
          <w:b/>
        </w:rPr>
        <w:t>EL SUJETO OBLIGADO</w:t>
      </w:r>
      <w:r w:rsidRPr="00BC4DCB">
        <w:t xml:space="preserve"> debe cumplir con las formalidades exigidas en la Ley, por lo que para tal efecto emitirá el </w:t>
      </w:r>
      <w:r w:rsidRPr="00BC4DCB">
        <w:rPr>
          <w:b/>
        </w:rPr>
        <w:t>Acuerdo del Comité de Transparencia</w:t>
      </w:r>
      <w:r w:rsidRPr="00BC4DCB">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BC4DCB">
        <w:rPr>
          <w:lang w:eastAsia="es-CO"/>
        </w:rPr>
        <w:t>,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C1502DA" w14:textId="77777777" w:rsidR="00646EDA" w:rsidRPr="00BC4DCB" w:rsidRDefault="00646EDA" w:rsidP="00646EDA">
      <w:pPr>
        <w:rPr>
          <w:lang w:eastAsia="es-CO"/>
        </w:rPr>
      </w:pPr>
    </w:p>
    <w:p w14:paraId="3D1B20EA" w14:textId="77777777" w:rsidR="00646EDA" w:rsidRPr="00BC4DCB" w:rsidRDefault="00646EDA" w:rsidP="00646EDA">
      <w:r w:rsidRPr="00BC4DCB">
        <w:t>Es importante señalar que, para el caso en concreto, se deben tomar en consideración los siguientes datos que de manera enunciativa más no limitativa se pudieran clasificar como confidenciales:</w:t>
      </w:r>
    </w:p>
    <w:p w14:paraId="54CA81EE" w14:textId="77777777" w:rsidR="00646EDA" w:rsidRPr="00BC4DCB" w:rsidRDefault="00646EDA" w:rsidP="00646EDA">
      <w:pPr>
        <w:rPr>
          <w:lang w:eastAsia="es-CO"/>
        </w:rPr>
      </w:pPr>
    </w:p>
    <w:p w14:paraId="77E767E4" w14:textId="77777777" w:rsidR="00646EDA" w:rsidRPr="00BC4DCB" w:rsidRDefault="00646EDA" w:rsidP="00646EDA">
      <w:pPr>
        <w:numPr>
          <w:ilvl w:val="0"/>
          <w:numId w:val="35"/>
        </w:numPr>
        <w:contextualSpacing/>
      </w:pPr>
      <w:r w:rsidRPr="00BC4DCB">
        <w:rPr>
          <w:rFonts w:cs="Arial"/>
          <w:b/>
          <w:lang w:val="es-ES_tradnl" w:eastAsia="es-MX"/>
        </w:rPr>
        <w:t>Registro Federal de Contribuyentes</w:t>
      </w:r>
      <w:r w:rsidRPr="00BC4DCB">
        <w:rPr>
          <w:rFonts w:cs="Arial"/>
          <w:lang w:val="es-ES_tradnl" w:eastAsia="es-MX"/>
        </w:rPr>
        <w:t xml:space="preserve"> </w:t>
      </w:r>
      <w:r w:rsidRPr="00BC4DCB">
        <w:rPr>
          <w:rFonts w:cs="Arial"/>
          <w:b/>
          <w:lang w:val="es-ES_tradnl" w:eastAsia="es-MX"/>
        </w:rPr>
        <w:t>de las personas físicas</w:t>
      </w:r>
    </w:p>
    <w:p w14:paraId="03898D45" w14:textId="77777777" w:rsidR="00646EDA" w:rsidRPr="00BC4DCB" w:rsidRDefault="00646EDA" w:rsidP="00646EDA">
      <w:pPr>
        <w:ind w:left="720"/>
        <w:contextualSpacing/>
      </w:pPr>
    </w:p>
    <w:p w14:paraId="4EFD31DC" w14:textId="77777777" w:rsidR="00646EDA" w:rsidRPr="00BC4DCB" w:rsidRDefault="00646EDA" w:rsidP="00646EDA">
      <w:pPr>
        <w:rPr>
          <w:lang w:val="es-ES_tradnl"/>
        </w:rPr>
      </w:pPr>
      <w:r w:rsidRPr="00BC4DCB">
        <w:rPr>
          <w:rFonts w:cs="Arial"/>
          <w:lang w:val="es-ES_tradnl" w:eastAsia="es-MX"/>
        </w:rPr>
        <w:t xml:space="preserve">Constituye un dato personal, ya que se genera con caracteres alfanuméricos obtenidos a partir del nombre en mayúsculas sin acentos ni diéresis y la fecha de nacimiento de cada persona; es decir la primera letra </w:t>
      </w:r>
      <w:r w:rsidRPr="00BC4DCB">
        <w:rPr>
          <w:rFonts w:cs="Arial"/>
          <w:lang w:val="es-ES_tradnl"/>
        </w:rPr>
        <w:t>del</w:t>
      </w:r>
      <w:r w:rsidRPr="00BC4DCB">
        <w:rPr>
          <w:rFonts w:cs="Arial"/>
          <w:lang w:val="es-ES_tradnl" w:eastAsia="es-MX"/>
        </w:rPr>
        <w:t xml:space="preserve"> apellido paterno; seguida de la primera letra Vocal del primer </w:t>
      </w:r>
      <w:r w:rsidRPr="00BC4DCB">
        <w:rPr>
          <w:rFonts w:cs="Arial"/>
          <w:lang w:val="es-ES_tradnl" w:eastAsia="es-MX"/>
        </w:rPr>
        <w:lastRenderedPageBreak/>
        <w:t xml:space="preserve">apellido; </w:t>
      </w:r>
      <w:r w:rsidRPr="00BC4DCB">
        <w:rPr>
          <w:rFonts w:eastAsia="Arial Unicode MS" w:cs="Arial"/>
          <w:color w:val="000000"/>
          <w:lang w:val="es-ES_tradnl"/>
        </w:rPr>
        <w:t>seguida</w:t>
      </w:r>
      <w:r w:rsidRPr="00BC4DCB">
        <w:rPr>
          <w:rFonts w:cs="Arial"/>
          <w:lang w:val="es-ES_tradnl" w:eastAsia="es-MX"/>
        </w:rPr>
        <w:t xml:space="preserve"> de la primera letra del segundo apellido y por último la primera letra del nombre, posterior la fecha de nacimiento año/mes/día</w:t>
      </w:r>
      <w:r w:rsidRPr="00BC4DCB">
        <w:rPr>
          <w:lang w:val="es-ES_tradnl"/>
        </w:rPr>
        <w:t xml:space="preserve"> y finalmente la homoclave; la cual, para su obtención es necesario acreditar personalidad, fecha de nacimiento entre otros con documentos oficiales.</w:t>
      </w:r>
    </w:p>
    <w:p w14:paraId="626E9BB0" w14:textId="77777777" w:rsidR="00646EDA" w:rsidRPr="00BC4DCB" w:rsidRDefault="00646EDA" w:rsidP="00646EDA">
      <w:pPr>
        <w:rPr>
          <w:lang w:val="es-ES_tradnl"/>
        </w:rPr>
      </w:pPr>
    </w:p>
    <w:p w14:paraId="485795D0" w14:textId="77777777" w:rsidR="00646EDA" w:rsidRPr="00BC4DCB" w:rsidRDefault="00646EDA" w:rsidP="00646EDA">
      <w:pPr>
        <w:rPr>
          <w:b/>
          <w:bCs/>
          <w:color w:val="000000"/>
          <w:lang w:val="es-ES_tradnl"/>
        </w:rPr>
      </w:pPr>
      <w:r w:rsidRPr="00BC4DCB">
        <w:rPr>
          <w:rFonts w:cs="Arial"/>
          <w:lang w:val="es-ES_tradnl" w:eastAsia="es-MX"/>
        </w:rPr>
        <w:t xml:space="preserve">Al respecto, </w:t>
      </w:r>
      <w:r w:rsidRPr="00BC4DCB">
        <w:rPr>
          <w:rFonts w:cs="Arial"/>
          <w:color w:val="000000"/>
          <w:lang w:val="es-ES_tradnl"/>
        </w:rPr>
        <w:t xml:space="preserve">es aplicable el Criterio 19/17 de la Segunda Época, emitido por </w:t>
      </w:r>
      <w:r w:rsidRPr="00BC4DCB">
        <w:rPr>
          <w:rFonts w:eastAsia="Arial Unicode MS" w:cs="Arial"/>
          <w:color w:val="000000"/>
          <w:lang w:val="es-ES_tradnl"/>
        </w:rPr>
        <w:t xml:space="preserve">el Instituto Nacional de </w:t>
      </w:r>
      <w:r w:rsidRPr="00BC4DCB">
        <w:rPr>
          <w:bCs/>
          <w:lang w:val="es-ES_tradnl"/>
        </w:rPr>
        <w:t>Transparencia</w:t>
      </w:r>
      <w:r w:rsidRPr="00BC4DCB">
        <w:rPr>
          <w:rFonts w:eastAsia="Arial Unicode MS" w:cs="Arial"/>
          <w:color w:val="000000"/>
          <w:lang w:val="es-ES_tradnl"/>
        </w:rPr>
        <w:t xml:space="preserve">, Acceso a la </w:t>
      </w:r>
      <w:r w:rsidRPr="00BC4DCB">
        <w:rPr>
          <w:rFonts w:cs="Arial"/>
          <w:lang w:val="es-ES_tradnl"/>
        </w:rPr>
        <w:t>Información</w:t>
      </w:r>
      <w:r w:rsidRPr="00BC4DCB">
        <w:rPr>
          <w:rFonts w:eastAsia="Arial Unicode MS" w:cs="Arial"/>
          <w:color w:val="000000"/>
          <w:lang w:val="es-ES_tradnl"/>
        </w:rPr>
        <w:t xml:space="preserve"> y Protección de Datos Personales,</w:t>
      </w:r>
      <w:r w:rsidRPr="00BC4DCB">
        <w:rPr>
          <w:bCs/>
          <w:color w:val="000000"/>
          <w:lang w:val="es-ES_tradnl"/>
        </w:rPr>
        <w:t xml:space="preserve"> que dice:</w:t>
      </w:r>
      <w:r w:rsidRPr="00BC4DCB">
        <w:rPr>
          <w:b/>
          <w:bCs/>
          <w:color w:val="000000"/>
          <w:lang w:val="es-ES_tradnl"/>
        </w:rPr>
        <w:t xml:space="preserve"> </w:t>
      </w:r>
    </w:p>
    <w:p w14:paraId="631B3576" w14:textId="77777777" w:rsidR="00646EDA" w:rsidRPr="00BC4DCB" w:rsidRDefault="00646EDA" w:rsidP="00646EDA">
      <w:pPr>
        <w:rPr>
          <w:b/>
          <w:bCs/>
          <w:color w:val="000000"/>
          <w:lang w:val="es-ES_tradnl"/>
        </w:rPr>
      </w:pPr>
    </w:p>
    <w:p w14:paraId="25DED519" w14:textId="77777777" w:rsidR="00646EDA" w:rsidRPr="00BC4DCB" w:rsidRDefault="00646EDA" w:rsidP="00646EDA">
      <w:pPr>
        <w:spacing w:line="240" w:lineRule="auto"/>
        <w:ind w:left="567" w:right="567"/>
        <w:contextualSpacing/>
        <w:rPr>
          <w:i/>
          <w:kern w:val="28"/>
          <w:szCs w:val="56"/>
          <w:lang w:val="es-ES_tradnl"/>
        </w:rPr>
      </w:pPr>
      <w:r w:rsidRPr="00BC4DCB">
        <w:rPr>
          <w:i/>
          <w:kern w:val="28"/>
          <w:szCs w:val="56"/>
          <w:lang w:val="es-ES_tradnl"/>
        </w:rPr>
        <w:t>“</w:t>
      </w:r>
      <w:r w:rsidRPr="00BC4DCB">
        <w:rPr>
          <w:b/>
          <w:i/>
          <w:kern w:val="28"/>
          <w:szCs w:val="56"/>
          <w:lang w:val="es-ES_tradnl"/>
        </w:rPr>
        <w:t>Registro Federal de Contribuyentes (RFC) de personas físicas.</w:t>
      </w:r>
      <w:r w:rsidRPr="00BC4DCB">
        <w:rPr>
          <w:i/>
          <w:kern w:val="28"/>
          <w:szCs w:val="56"/>
          <w:lang w:val="es-ES_tradnl"/>
        </w:rPr>
        <w:t xml:space="preserve"> El RFC es una clave de carácter fiscal, única e irrepetible, que permite identificar al titular, su edad y fecha de nacimiento, </w:t>
      </w:r>
      <w:r w:rsidRPr="00BC4DCB">
        <w:rPr>
          <w:i/>
          <w:kern w:val="28"/>
          <w:szCs w:val="56"/>
          <w:lang w:val="es-ES_tradnl" w:eastAsia="es-MX"/>
        </w:rPr>
        <w:t>por</w:t>
      </w:r>
      <w:r w:rsidRPr="00BC4DCB">
        <w:rPr>
          <w:i/>
          <w:kern w:val="28"/>
          <w:szCs w:val="56"/>
          <w:lang w:val="es-ES_tradnl"/>
        </w:rPr>
        <w:t xml:space="preserve"> lo que es un dato personal de carácter confidencial.</w:t>
      </w:r>
    </w:p>
    <w:p w14:paraId="70A1E2C4" w14:textId="77777777" w:rsidR="00646EDA" w:rsidRPr="00BC4DCB" w:rsidRDefault="00646EDA" w:rsidP="00646EDA">
      <w:pPr>
        <w:spacing w:line="240" w:lineRule="auto"/>
        <w:ind w:left="567" w:right="567"/>
        <w:contextualSpacing/>
        <w:rPr>
          <w:i/>
          <w:kern w:val="28"/>
          <w:szCs w:val="56"/>
          <w:lang w:val="es-ES_tradnl"/>
        </w:rPr>
      </w:pPr>
      <w:r w:rsidRPr="00BC4DCB">
        <w:rPr>
          <w:i/>
          <w:kern w:val="28"/>
          <w:szCs w:val="56"/>
          <w:lang w:val="es-ES_tradnl"/>
        </w:rPr>
        <w:t xml:space="preserve"> (Énfasis añadido)</w:t>
      </w:r>
    </w:p>
    <w:p w14:paraId="0D856C5F" w14:textId="77777777" w:rsidR="00646EDA" w:rsidRPr="00BC4DCB" w:rsidRDefault="00646EDA" w:rsidP="00646EDA">
      <w:pPr>
        <w:autoSpaceDE w:val="0"/>
        <w:autoSpaceDN w:val="0"/>
        <w:adjustRightInd w:val="0"/>
        <w:ind w:left="851" w:right="899"/>
        <w:rPr>
          <w:rFonts w:cs="Arial"/>
          <w:lang w:val="es-ES_tradnl"/>
        </w:rPr>
      </w:pPr>
    </w:p>
    <w:p w14:paraId="529B3308" w14:textId="77777777" w:rsidR="00646EDA" w:rsidRPr="00BC4DCB" w:rsidRDefault="00646EDA" w:rsidP="00646EDA">
      <w:pPr>
        <w:rPr>
          <w:rFonts w:cs="Arial"/>
          <w:lang w:val="es-ES_tradnl"/>
        </w:rPr>
      </w:pPr>
      <w:r w:rsidRPr="00BC4DCB">
        <w:rPr>
          <w:rFonts w:cs="Arial"/>
          <w:lang w:val="es-ES_tradnl" w:eastAsia="es-MX"/>
        </w:rPr>
        <w:t xml:space="preserve">De lo anterior, se desprende que el Registro Federal de Contribuyentes se vincula al nombre de su </w:t>
      </w:r>
      <w:r w:rsidRPr="00BC4DCB">
        <w:rPr>
          <w:bCs/>
          <w:lang w:val="es-ES_tradnl"/>
        </w:rPr>
        <w:t>titular</w:t>
      </w:r>
      <w:r w:rsidRPr="00BC4DCB">
        <w:rPr>
          <w:rFonts w:cs="Arial"/>
          <w:lang w:val="es-ES_tradnl" w:eastAsia="es-MX"/>
        </w:rPr>
        <w:t xml:space="preserve">, permitiendo identificar la edad de la persona y fecha de nacimiento, determinando </w:t>
      </w:r>
      <w:r w:rsidRPr="00BC4DCB">
        <w:rPr>
          <w:rFonts w:cs="Arial"/>
          <w:lang w:val="es-ES_tradnl"/>
        </w:rPr>
        <w:t>l</w:t>
      </w:r>
      <w:r w:rsidRPr="00BC4DCB">
        <w:rPr>
          <w:rFonts w:cs="Arial"/>
          <w:lang w:val="es-ES_tradnl" w:eastAsia="es-MX"/>
        </w:rPr>
        <w:t xml:space="preserve">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w:t>
      </w:r>
      <w:r w:rsidRPr="00BC4DCB">
        <w:rPr>
          <w:lang w:val="es-ES_tradnl" w:eastAsia="es-MX"/>
        </w:rPr>
        <w:t>Municipios</w:t>
      </w:r>
      <w:r w:rsidRPr="00BC4DCB">
        <w:rPr>
          <w:rFonts w:cs="Arial"/>
          <w:lang w:val="es-ES_tradnl" w:eastAsia="es-MX"/>
        </w:rPr>
        <w:t xml:space="preserve"> y </w:t>
      </w:r>
      <w:r w:rsidRPr="00BC4DCB">
        <w:rPr>
          <w:rFonts w:cs="Arial"/>
          <w:lang w:val="es-ES_tradnl"/>
        </w:rPr>
        <w:t>4 fracción XI</w:t>
      </w:r>
      <w:r w:rsidRPr="00BC4DCB">
        <w:rPr>
          <w:rFonts w:cs="Arial"/>
          <w:lang w:val="es-ES_tradnl" w:eastAsia="es-MX"/>
        </w:rPr>
        <w:t xml:space="preserve"> </w:t>
      </w:r>
      <w:r w:rsidRPr="00BC4DCB">
        <w:rPr>
          <w:rFonts w:cs="Arial"/>
          <w:lang w:val="es-ES_tradnl"/>
        </w:rPr>
        <w:t>de la Ley de Protección de Datos Personales en Posesión de Sujetos Obligados del Estado de México y Municipios.</w:t>
      </w:r>
    </w:p>
    <w:p w14:paraId="27018E6D" w14:textId="77777777" w:rsidR="00646EDA" w:rsidRPr="00BC4DCB" w:rsidRDefault="00646EDA" w:rsidP="00646EDA">
      <w:pPr>
        <w:rPr>
          <w:rFonts w:cs="Arial"/>
          <w:lang w:val="es-ES_tradnl" w:eastAsia="es-MX"/>
        </w:rPr>
      </w:pPr>
    </w:p>
    <w:p w14:paraId="01C1C13F" w14:textId="77777777" w:rsidR="00646EDA" w:rsidRPr="00BC4DCB" w:rsidRDefault="00646EDA" w:rsidP="00646EDA">
      <w:pPr>
        <w:numPr>
          <w:ilvl w:val="0"/>
          <w:numId w:val="35"/>
        </w:numPr>
        <w:contextualSpacing/>
        <w:rPr>
          <w:rFonts w:cs="Arial"/>
          <w:lang w:val="es-ES_tradnl" w:eastAsia="es-MX"/>
        </w:rPr>
      </w:pPr>
      <w:r w:rsidRPr="00BC4DCB">
        <w:rPr>
          <w:rFonts w:cs="Arial"/>
          <w:b/>
          <w:lang w:val="es-ES_tradnl"/>
        </w:rPr>
        <w:t>Clave Única de Registro de Población</w:t>
      </w:r>
    </w:p>
    <w:p w14:paraId="011F329B" w14:textId="77777777" w:rsidR="00646EDA" w:rsidRPr="00BC4DCB" w:rsidRDefault="00646EDA" w:rsidP="00646EDA">
      <w:pPr>
        <w:ind w:left="720"/>
        <w:contextualSpacing/>
        <w:rPr>
          <w:rFonts w:cs="Arial"/>
          <w:lang w:val="es-ES_tradnl" w:eastAsia="es-MX"/>
        </w:rPr>
      </w:pPr>
    </w:p>
    <w:p w14:paraId="24E517F0" w14:textId="77777777" w:rsidR="00646EDA" w:rsidRPr="00BC4DCB" w:rsidRDefault="00646EDA" w:rsidP="00646EDA">
      <w:pPr>
        <w:rPr>
          <w:rFonts w:cs="Arial"/>
          <w:lang w:val="es-ES_tradnl" w:eastAsia="es-MX"/>
        </w:rPr>
      </w:pPr>
      <w:r w:rsidRPr="00BC4DCB">
        <w:rPr>
          <w:rFonts w:cs="Arial"/>
          <w:lang w:val="es-ES_tradnl" w:eastAsia="es-MX"/>
        </w:rPr>
        <w:t xml:space="preserve">Constituye un dato personal ya que </w:t>
      </w:r>
      <w:r w:rsidRPr="00BC4DCB">
        <w:rPr>
          <w:lang w:val="es-ES_tradnl" w:eastAsia="es-MX"/>
        </w:rPr>
        <w:t>tiene</w:t>
      </w:r>
      <w:r w:rsidRPr="00BC4DCB">
        <w:rPr>
          <w:rFonts w:cs="Arial"/>
          <w:lang w:val="es-ES_tradnl" w:eastAsia="es-MX"/>
        </w:rPr>
        <w:t xml:space="preserve"> como finalidad registrar a cada una de las personas que integran la población del país, con los datos que permitan certificar y acreditar fehacientemente su identidad, la cual servirá para identificarla de manera individual.</w:t>
      </w:r>
    </w:p>
    <w:p w14:paraId="03D4226F" w14:textId="77777777" w:rsidR="00646EDA" w:rsidRPr="00BC4DCB" w:rsidRDefault="00646EDA" w:rsidP="00646EDA">
      <w:pPr>
        <w:rPr>
          <w:rFonts w:cs="Arial"/>
          <w:lang w:val="es-ES_tradnl" w:eastAsia="es-MX"/>
        </w:rPr>
      </w:pPr>
    </w:p>
    <w:p w14:paraId="7C39B142" w14:textId="77777777" w:rsidR="00646EDA" w:rsidRPr="00BC4DCB" w:rsidRDefault="00646EDA" w:rsidP="00646EDA">
      <w:pPr>
        <w:rPr>
          <w:rFonts w:cs="Arial"/>
          <w:lang w:val="es-ES_tradnl" w:eastAsia="es-MX"/>
        </w:rPr>
      </w:pPr>
      <w:r w:rsidRPr="00BC4DCB">
        <w:rPr>
          <w:rFonts w:cs="Arial"/>
          <w:lang w:val="es-ES_tradnl" w:eastAsia="es-MX"/>
        </w:rPr>
        <w:t xml:space="preserve">Lo </w:t>
      </w:r>
      <w:r w:rsidRPr="00BC4DCB">
        <w:rPr>
          <w:lang w:val="es-ES_tradnl" w:eastAsia="es-MX"/>
        </w:rPr>
        <w:t>anterior</w:t>
      </w:r>
      <w:r w:rsidRPr="00BC4DCB">
        <w:rPr>
          <w:rFonts w:cs="Arial"/>
          <w:lang w:val="es-ES_tradnl" w:eastAsia="es-MX"/>
        </w:rPr>
        <w:t xml:space="preserve">, </w:t>
      </w:r>
      <w:r w:rsidRPr="00BC4DCB">
        <w:rPr>
          <w:rFonts w:cs="Arial"/>
          <w:lang w:val="es-ES_tradnl"/>
        </w:rPr>
        <w:t>tiene</w:t>
      </w:r>
      <w:r w:rsidRPr="00BC4DCB">
        <w:rPr>
          <w:rFonts w:cs="Arial"/>
          <w:lang w:val="es-ES_tradnl" w:eastAsia="es-MX"/>
        </w:rPr>
        <w:t xml:space="preserve"> sustento en los artículos 86 y 91 de la Ley General de Población, la cual señala lo siguiente:</w:t>
      </w:r>
    </w:p>
    <w:p w14:paraId="4C522A9F" w14:textId="77777777" w:rsidR="00646EDA" w:rsidRPr="00BC4DCB" w:rsidRDefault="00646EDA" w:rsidP="00646EDA">
      <w:pPr>
        <w:rPr>
          <w:rFonts w:cs="Arial"/>
          <w:lang w:val="es-ES_tradnl" w:eastAsia="es-MX"/>
        </w:rPr>
      </w:pPr>
    </w:p>
    <w:p w14:paraId="0739FEBD" w14:textId="77777777" w:rsidR="00646EDA" w:rsidRPr="00BC4DCB" w:rsidRDefault="00646EDA" w:rsidP="00646EDA">
      <w:pPr>
        <w:spacing w:line="240" w:lineRule="auto"/>
        <w:ind w:left="567" w:right="567"/>
        <w:contextualSpacing/>
        <w:rPr>
          <w:i/>
          <w:kern w:val="28"/>
          <w:szCs w:val="56"/>
          <w:lang w:val="es-ES_tradnl" w:eastAsia="es-MX"/>
        </w:rPr>
      </w:pPr>
      <w:r w:rsidRPr="00BC4DCB">
        <w:rPr>
          <w:rFonts w:cs="Arial,Bold"/>
          <w:bCs/>
          <w:i/>
          <w:kern w:val="28"/>
          <w:szCs w:val="56"/>
          <w:lang w:val="es-ES_tradnl" w:eastAsia="es-MX"/>
        </w:rPr>
        <w:t>“</w:t>
      </w:r>
      <w:r w:rsidRPr="00BC4DCB">
        <w:rPr>
          <w:rFonts w:cs="Arial,Bold"/>
          <w:b/>
          <w:bCs/>
          <w:i/>
          <w:kern w:val="28"/>
          <w:szCs w:val="56"/>
          <w:lang w:val="es-ES_tradnl" w:eastAsia="es-MX"/>
        </w:rPr>
        <w:t xml:space="preserve">Artículo 86. </w:t>
      </w:r>
      <w:r w:rsidRPr="00BC4DCB">
        <w:rPr>
          <w:i/>
          <w:kern w:val="28"/>
          <w:szCs w:val="56"/>
          <w:lang w:val="es-ES_tradnl" w:eastAsia="es-MX"/>
        </w:rPr>
        <w:t>El Registro Nacional de Población tiene como finalidad registrar a cada una de las personas que integran la población del país, con los datos que permitan certificar y acreditar fehacientemente su identidad.</w:t>
      </w:r>
    </w:p>
    <w:p w14:paraId="56EE5E7E" w14:textId="77777777" w:rsidR="00646EDA" w:rsidRPr="00BC4DCB" w:rsidRDefault="00646EDA" w:rsidP="00646EDA">
      <w:pPr>
        <w:spacing w:line="240" w:lineRule="auto"/>
        <w:ind w:left="567" w:right="567"/>
        <w:contextualSpacing/>
        <w:rPr>
          <w:i/>
          <w:kern w:val="28"/>
          <w:szCs w:val="56"/>
          <w:lang w:val="es-ES_tradnl" w:eastAsia="es-MX"/>
        </w:rPr>
      </w:pPr>
      <w:r w:rsidRPr="00BC4DCB">
        <w:rPr>
          <w:rFonts w:cs="Arial,Bold"/>
          <w:b/>
          <w:bCs/>
          <w:i/>
          <w:kern w:val="28"/>
          <w:szCs w:val="56"/>
          <w:lang w:val="es-ES_tradnl" w:eastAsia="es-MX"/>
        </w:rPr>
        <w:t xml:space="preserve">Artículo 91. </w:t>
      </w:r>
      <w:r w:rsidRPr="00BC4DCB">
        <w:rPr>
          <w:b/>
          <w:i/>
          <w:kern w:val="28"/>
          <w:szCs w:val="56"/>
          <w:u w:val="single"/>
          <w:lang w:val="es-ES_tradnl" w:eastAsia="es-MX"/>
        </w:rPr>
        <w:t>Al incorporar a una persona en el Registro Nacional de Población</w:t>
      </w:r>
      <w:r w:rsidRPr="00BC4DCB">
        <w:rPr>
          <w:i/>
          <w:kern w:val="28"/>
          <w:szCs w:val="56"/>
          <w:lang w:val="es-ES_tradnl" w:eastAsia="es-MX"/>
        </w:rPr>
        <w:t xml:space="preserve">, se le asignará una clave </w:t>
      </w:r>
      <w:r w:rsidRPr="00BC4DCB">
        <w:rPr>
          <w:b/>
          <w:i/>
          <w:kern w:val="28"/>
          <w:szCs w:val="56"/>
          <w:u w:val="single"/>
          <w:lang w:val="es-ES_tradnl" w:eastAsia="es-MX"/>
        </w:rPr>
        <w:t>que se denominará Clave Única de Registro de Población</w:t>
      </w:r>
      <w:r w:rsidRPr="00BC4DCB">
        <w:rPr>
          <w:i/>
          <w:kern w:val="28"/>
          <w:szCs w:val="56"/>
          <w:lang w:val="es-ES_tradnl" w:eastAsia="es-MX"/>
        </w:rPr>
        <w:t xml:space="preserve">. </w:t>
      </w:r>
      <w:r w:rsidRPr="00BC4DCB">
        <w:rPr>
          <w:b/>
          <w:i/>
          <w:kern w:val="28"/>
          <w:szCs w:val="56"/>
          <w:u w:val="single"/>
          <w:lang w:val="es-ES_tradnl" w:eastAsia="es-MX"/>
        </w:rPr>
        <w:t>Esta servirá para</w:t>
      </w:r>
      <w:r w:rsidRPr="00BC4DCB">
        <w:rPr>
          <w:i/>
          <w:kern w:val="28"/>
          <w:szCs w:val="56"/>
          <w:lang w:val="es-ES_tradnl" w:eastAsia="es-MX"/>
        </w:rPr>
        <w:t xml:space="preserve"> registrarla e </w:t>
      </w:r>
      <w:r w:rsidRPr="00BC4DCB">
        <w:rPr>
          <w:b/>
          <w:i/>
          <w:kern w:val="28"/>
          <w:szCs w:val="56"/>
          <w:u w:val="single"/>
          <w:lang w:val="es-ES_tradnl" w:eastAsia="es-MX"/>
        </w:rPr>
        <w:t>identificarla en forma individual</w:t>
      </w:r>
      <w:r w:rsidRPr="00BC4DCB">
        <w:rPr>
          <w:i/>
          <w:kern w:val="28"/>
          <w:szCs w:val="56"/>
          <w:lang w:val="es-ES_tradnl" w:eastAsia="es-MX"/>
        </w:rPr>
        <w:t xml:space="preserve">.” </w:t>
      </w:r>
    </w:p>
    <w:p w14:paraId="11ABECB4" w14:textId="77777777" w:rsidR="00646EDA" w:rsidRPr="00BC4DCB" w:rsidRDefault="00646EDA" w:rsidP="00646EDA">
      <w:pPr>
        <w:spacing w:line="240" w:lineRule="auto"/>
        <w:ind w:left="567" w:right="567"/>
        <w:contextualSpacing/>
        <w:rPr>
          <w:i/>
          <w:kern w:val="28"/>
          <w:szCs w:val="56"/>
          <w:lang w:val="es-ES_tradnl" w:eastAsia="es-MX"/>
        </w:rPr>
      </w:pPr>
      <w:r w:rsidRPr="00BC4DCB">
        <w:rPr>
          <w:i/>
          <w:kern w:val="28"/>
          <w:szCs w:val="56"/>
          <w:lang w:val="es-ES_tradnl" w:eastAsia="es-MX"/>
        </w:rPr>
        <w:t>(Énfasis añadido)</w:t>
      </w:r>
    </w:p>
    <w:p w14:paraId="0BA48292" w14:textId="77777777" w:rsidR="00646EDA" w:rsidRPr="00BC4DCB" w:rsidRDefault="00646EDA" w:rsidP="00646EDA">
      <w:pPr>
        <w:rPr>
          <w:lang w:val="es-ES_tradnl" w:eastAsia="es-MX"/>
        </w:rPr>
      </w:pPr>
    </w:p>
    <w:p w14:paraId="4131D1F6" w14:textId="77777777" w:rsidR="00646EDA" w:rsidRPr="00BC4DCB" w:rsidRDefault="00646EDA" w:rsidP="00646EDA">
      <w:pPr>
        <w:rPr>
          <w:lang w:val="es-ES_tradnl" w:eastAsia="es-MX"/>
        </w:rPr>
      </w:pPr>
      <w:r w:rsidRPr="00BC4DCB">
        <w:rPr>
          <w:lang w:val="es-ES_tradnl" w:eastAsia="es-MX"/>
        </w:rPr>
        <w:t xml:space="preserve">Ahora bien, la Clave Única de Registro de Población, está integrada de 18 elementos representados por letras y números, que se generan a partir de los datos contenidos en un documento probatorio de </w:t>
      </w:r>
      <w:r w:rsidRPr="00BC4DCB">
        <w:rPr>
          <w:bCs/>
          <w:lang w:val="es-ES_tradnl"/>
        </w:rPr>
        <w:t>identidad</w:t>
      </w:r>
      <w:r w:rsidRPr="00BC4DCB">
        <w:rPr>
          <w:lang w:val="es-ES_tradnl" w:eastAsia="es-MX"/>
        </w:rPr>
        <w:t xml:space="preserve"> (acta de nacimiento, carta de naturalización o documento migratorio), la </w:t>
      </w:r>
      <w:r w:rsidRPr="00BC4DCB">
        <w:rPr>
          <w:rFonts w:cs="Arial"/>
          <w:lang w:val="es-ES_tradnl"/>
        </w:rPr>
        <w:t>cual</w:t>
      </w:r>
      <w:r w:rsidRPr="00BC4DCB">
        <w:rPr>
          <w:lang w:val="es-ES_tradnl" w:eastAsia="es-MX"/>
        </w:rPr>
        <w:t xml:space="preserve"> se integra de</w:t>
      </w:r>
      <w:r w:rsidRPr="00BC4DCB">
        <w:rPr>
          <w:rFonts w:cs="Arial"/>
          <w:lang w:val="es-ES_tradnl" w:eastAsia="es-MX"/>
        </w:rPr>
        <w:t xml:space="preserve"> la primera letra del apellido paterno; seguida de la primera letra Vocal del primer apellido; seguida de la primera letra del segundo apellido y por último la primera letra del nombre; fecha de nacimiento año/mes/día</w:t>
      </w:r>
      <w:r w:rsidRPr="00BC4DCB">
        <w:rPr>
          <w:lang w:val="es-ES_tradnl" w:eastAsia="es-MX"/>
        </w:rPr>
        <w:t xml:space="preserve">; sexo; Entidad Federativa de nacimiento; consonantes internas del nombre y apellidos; un diferenciador de homonimia y siglo; y un digito verificador, que garantizan la correcta integración. </w:t>
      </w:r>
    </w:p>
    <w:p w14:paraId="2F50A9AD" w14:textId="77777777" w:rsidR="00646EDA" w:rsidRPr="00BC4DCB" w:rsidRDefault="00646EDA" w:rsidP="00646EDA">
      <w:pPr>
        <w:rPr>
          <w:lang w:val="es-ES_tradnl" w:eastAsia="es-MX"/>
        </w:rPr>
      </w:pPr>
    </w:p>
    <w:p w14:paraId="448A2D7C" w14:textId="77777777" w:rsidR="00646EDA" w:rsidRPr="00BC4DCB" w:rsidRDefault="00646EDA" w:rsidP="00646EDA">
      <w:pPr>
        <w:rPr>
          <w:rFonts w:cs="Arial"/>
          <w:lang w:val="es-ES_tradnl" w:eastAsia="es-MX"/>
        </w:rPr>
      </w:pPr>
      <w:r w:rsidRPr="00BC4DCB">
        <w:rPr>
          <w:rFonts w:cs="Arial"/>
          <w:lang w:val="es-ES_tradnl" w:eastAsia="es-MX"/>
        </w:rPr>
        <w:t xml:space="preserve">Al respecto, el </w:t>
      </w:r>
      <w:r w:rsidRPr="00BC4DCB">
        <w:rPr>
          <w:rFonts w:eastAsia="Arial Unicode MS" w:cs="Arial"/>
          <w:lang w:val="es-ES_tradnl"/>
        </w:rPr>
        <w:t>Instituto Nacional de Transparencia, Acceso a la Información y Protección de Datos Personales (INAI),</w:t>
      </w:r>
      <w:r w:rsidRPr="00BC4DCB">
        <w:rPr>
          <w:rFonts w:cs="Arial"/>
          <w:lang w:val="es-ES_tradnl" w:eastAsia="es-MX"/>
        </w:rPr>
        <w:t xml:space="preserve"> a través del Criterio 18/17 de la Segunda Época, señala literalmente lo siguiente:</w:t>
      </w:r>
    </w:p>
    <w:p w14:paraId="03FFCD82" w14:textId="77777777" w:rsidR="00646EDA" w:rsidRPr="00BC4DCB" w:rsidRDefault="00646EDA" w:rsidP="00646EDA">
      <w:pPr>
        <w:rPr>
          <w:rFonts w:cs="Arial"/>
          <w:lang w:val="es-ES_tradnl" w:eastAsia="es-MX"/>
        </w:rPr>
      </w:pPr>
    </w:p>
    <w:p w14:paraId="077BB771" w14:textId="77777777" w:rsidR="00646EDA" w:rsidRPr="00BC4DCB" w:rsidRDefault="00646EDA" w:rsidP="00646EDA">
      <w:pPr>
        <w:spacing w:line="240" w:lineRule="auto"/>
        <w:ind w:left="567" w:right="567"/>
        <w:contextualSpacing/>
        <w:rPr>
          <w:i/>
          <w:kern w:val="28"/>
          <w:szCs w:val="56"/>
          <w:lang w:val="es-ES_tradnl" w:eastAsia="es-MX"/>
        </w:rPr>
      </w:pPr>
      <w:r w:rsidRPr="00BC4DCB">
        <w:rPr>
          <w:i/>
          <w:kern w:val="28"/>
          <w:szCs w:val="56"/>
          <w:lang w:val="es-ES_tradnl" w:eastAsia="es-MX"/>
        </w:rPr>
        <w:t>“</w:t>
      </w:r>
      <w:r w:rsidRPr="00BC4DCB">
        <w:rPr>
          <w:b/>
          <w:i/>
          <w:kern w:val="28"/>
          <w:szCs w:val="56"/>
          <w:lang w:val="es-ES_tradnl" w:eastAsia="es-MX"/>
        </w:rPr>
        <w:t>Clave Única de Registro de Población (CURP). La Clave Única de Registro de Población</w:t>
      </w:r>
      <w:r w:rsidRPr="00BC4DCB">
        <w:rPr>
          <w:i/>
          <w:kern w:val="28"/>
          <w:szCs w:val="56"/>
          <w:lang w:val="es-ES_tradnl" w:eastAsia="es-MX"/>
        </w:rPr>
        <w:t xml:space="preserve"> se integra por datos personales que sólo conciernen al particular titular de la misma, como lo son su nombre, apellidos, fecha de nacimiento, lugar de nacimiento y sexo. Dichos datos, constituyen información que distingue plenamente a una persona física del </w:t>
      </w:r>
      <w:r w:rsidRPr="00BC4DCB">
        <w:rPr>
          <w:i/>
          <w:kern w:val="28"/>
          <w:szCs w:val="56"/>
          <w:lang w:val="es-ES_tradnl" w:eastAsia="es-MX"/>
        </w:rPr>
        <w:lastRenderedPageBreak/>
        <w:t xml:space="preserve">resto de los habitantes del país, por lo que la CURP está considerada como información confidencial. </w:t>
      </w:r>
    </w:p>
    <w:p w14:paraId="30391AE8" w14:textId="77777777" w:rsidR="00646EDA" w:rsidRPr="00BC4DCB" w:rsidRDefault="00646EDA" w:rsidP="00646EDA">
      <w:pPr>
        <w:spacing w:line="240" w:lineRule="auto"/>
        <w:ind w:left="567" w:right="567"/>
        <w:contextualSpacing/>
        <w:rPr>
          <w:i/>
          <w:kern w:val="28"/>
          <w:szCs w:val="56"/>
          <w:lang w:val="es-ES_tradnl" w:eastAsia="es-MX"/>
        </w:rPr>
      </w:pPr>
      <w:r w:rsidRPr="00BC4DCB">
        <w:rPr>
          <w:i/>
          <w:kern w:val="28"/>
          <w:szCs w:val="56"/>
          <w:lang w:val="es-ES_tradnl" w:eastAsia="es-MX"/>
        </w:rPr>
        <w:t xml:space="preserve"> (Énfasis añadido)</w:t>
      </w:r>
    </w:p>
    <w:p w14:paraId="19C9FA3E" w14:textId="77777777" w:rsidR="00646EDA" w:rsidRPr="00BC4DCB" w:rsidRDefault="00646EDA" w:rsidP="00646EDA">
      <w:pPr>
        <w:autoSpaceDE w:val="0"/>
        <w:autoSpaceDN w:val="0"/>
        <w:adjustRightInd w:val="0"/>
        <w:ind w:left="851" w:right="902"/>
        <w:rPr>
          <w:rFonts w:cs="Arial"/>
          <w:lang w:val="es-ES_tradnl"/>
        </w:rPr>
      </w:pPr>
    </w:p>
    <w:p w14:paraId="7491ECB2" w14:textId="77777777" w:rsidR="00646EDA" w:rsidRPr="00BC4DCB" w:rsidRDefault="00646EDA" w:rsidP="00646EDA">
      <w:pPr>
        <w:rPr>
          <w:rFonts w:cs="Arial"/>
          <w:lang w:val="es-ES_tradnl" w:eastAsia="es-MX"/>
        </w:rPr>
      </w:pPr>
      <w:r w:rsidRPr="00BC4DCB">
        <w:rPr>
          <w:rFonts w:cs="Arial"/>
          <w:lang w:val="es-ES_tradnl" w:eastAsia="es-MX"/>
        </w:rPr>
        <w:t xml:space="preserve">De lo anterior, se desprende que la </w:t>
      </w:r>
      <w:r w:rsidRPr="00BC4DCB">
        <w:rPr>
          <w:lang w:val="es-ES_tradnl" w:eastAsia="es-MX"/>
        </w:rPr>
        <w:t xml:space="preserve">Clave Única de Registro de Población, </w:t>
      </w:r>
      <w:r w:rsidRPr="00BC4DCB">
        <w:rPr>
          <w:rFonts w:cs="Arial"/>
          <w:lang w:val="es-ES_tradnl" w:eastAsia="es-MX"/>
        </w:rPr>
        <w:t xml:space="preserve">se encuentra vinculada al nombre y apellidos de la persona, permitiendo identificar fecha y lugar de nacimiento, así como el sexo; datos que únicamente le atañen a su titular, por lo que, ésta constituye un dato </w:t>
      </w:r>
      <w:r w:rsidRPr="00BC4DCB">
        <w:rPr>
          <w:bCs/>
          <w:lang w:val="es-ES_tradnl"/>
        </w:rPr>
        <w:t>personal</w:t>
      </w:r>
      <w:r w:rsidRPr="00BC4DCB">
        <w:rPr>
          <w:rFonts w:cs="Arial"/>
          <w:lang w:val="es-ES_tradnl" w:eastAsia="es-MX"/>
        </w:rPr>
        <w:t xml:space="preserve"> que concierne a una persona física identificada e identificable en términos de los artículos 2, fracción II de la Ley de Transparencia y Acceso a la Información Pública del Estado de México y Municipios y </w:t>
      </w:r>
      <w:r w:rsidRPr="00BC4DCB">
        <w:rPr>
          <w:rFonts w:cs="Arial"/>
          <w:lang w:val="es-ES_tradnl"/>
        </w:rPr>
        <w:t>4, fracción XI</w:t>
      </w:r>
      <w:r w:rsidRPr="00BC4DCB">
        <w:rPr>
          <w:rFonts w:cs="Arial"/>
          <w:lang w:val="es-ES_tradnl" w:eastAsia="es-MX"/>
        </w:rPr>
        <w:t xml:space="preserve"> </w:t>
      </w:r>
      <w:r w:rsidRPr="00BC4DCB">
        <w:rPr>
          <w:rFonts w:cs="Arial"/>
          <w:lang w:val="es-ES_tradnl"/>
        </w:rPr>
        <w:t>de la Ley de Protección de Datos Personales en Posesión de Sujetos Obligados del Estado de México y Municipios</w:t>
      </w:r>
      <w:r w:rsidRPr="00BC4DCB">
        <w:rPr>
          <w:rFonts w:cs="Arial"/>
          <w:lang w:val="es-ES_tradnl" w:eastAsia="es-MX"/>
        </w:rPr>
        <w:t>.</w:t>
      </w:r>
    </w:p>
    <w:p w14:paraId="1D325024" w14:textId="77777777" w:rsidR="00646EDA" w:rsidRPr="00BC4DCB" w:rsidRDefault="00646EDA" w:rsidP="00646EDA">
      <w:pPr>
        <w:ind w:left="720" w:hanging="360"/>
      </w:pPr>
    </w:p>
    <w:p w14:paraId="2E394913" w14:textId="77777777" w:rsidR="00646EDA" w:rsidRPr="00BC4DCB" w:rsidRDefault="00646EDA" w:rsidP="00646EDA">
      <w:pPr>
        <w:numPr>
          <w:ilvl w:val="0"/>
          <w:numId w:val="35"/>
        </w:numPr>
        <w:contextualSpacing/>
        <w:rPr>
          <w:rFonts w:cs="Arial"/>
          <w:b/>
          <w:lang w:val="es-ES_tradnl"/>
        </w:rPr>
      </w:pPr>
      <w:r w:rsidRPr="00BC4DCB">
        <w:rPr>
          <w:rFonts w:cs="Arial"/>
          <w:b/>
          <w:lang w:val="es-ES_tradnl"/>
        </w:rPr>
        <w:t>Nombre de particulares</w:t>
      </w:r>
    </w:p>
    <w:p w14:paraId="66B52921" w14:textId="77777777" w:rsidR="00646EDA" w:rsidRPr="00BC4DCB" w:rsidRDefault="00646EDA" w:rsidP="00646EDA">
      <w:pPr>
        <w:pStyle w:val="Prrafodelista"/>
        <w:rPr>
          <w:rFonts w:eastAsia="Palatino Linotype" w:cs="Palatino Linotype"/>
          <w:b/>
          <w:bCs/>
        </w:rPr>
      </w:pPr>
    </w:p>
    <w:p w14:paraId="4EF7BEEA" w14:textId="77777777" w:rsidR="00646EDA" w:rsidRPr="00BC4DCB" w:rsidRDefault="00646EDA" w:rsidP="00646EDA">
      <w:pPr>
        <w:widowControl w:val="0"/>
        <w:autoSpaceDE w:val="0"/>
        <w:autoSpaceDN w:val="0"/>
        <w:adjustRightInd w:val="0"/>
        <w:rPr>
          <w:rFonts w:eastAsia="Arial Unicode MS" w:cs="Arial"/>
          <w:lang w:eastAsia="es-MX"/>
        </w:rPr>
      </w:pPr>
      <w:r w:rsidRPr="00BC4DCB">
        <w:rPr>
          <w:color w:val="000000"/>
          <w:lang w:val="es-ES"/>
        </w:rPr>
        <w:t xml:space="preserve">Al respecto, es </w:t>
      </w:r>
      <w:r w:rsidRPr="00BC4DCB">
        <w:rPr>
          <w:rFonts w:eastAsia="Arial Unicode MS" w:cs="Arial"/>
          <w:lang w:eastAsia="es-MX"/>
        </w:rPr>
        <w:t>dable mencionar que el Código Civil del Estado de México vigente señala en su TITULO CUARTO denominado “DEL NOMBRE DE LAS PERSONAS” específicamente en los artículos 2.13 y 2.14 el concepto de “nombre” y la composición de este detalladamente, mismos que se insertan a continuación:</w:t>
      </w:r>
    </w:p>
    <w:p w14:paraId="1163EE61" w14:textId="77777777" w:rsidR="00646EDA" w:rsidRPr="00BC4DCB" w:rsidRDefault="00646EDA" w:rsidP="00646EDA">
      <w:pPr>
        <w:widowControl w:val="0"/>
        <w:autoSpaceDE w:val="0"/>
        <w:autoSpaceDN w:val="0"/>
        <w:adjustRightInd w:val="0"/>
        <w:rPr>
          <w:rFonts w:eastAsia="Arial Unicode MS" w:cs="Arial"/>
          <w:lang w:eastAsia="es-MX"/>
        </w:rPr>
      </w:pPr>
    </w:p>
    <w:p w14:paraId="41BCAAC6" w14:textId="77777777" w:rsidR="00646EDA" w:rsidRPr="00BC4DCB" w:rsidRDefault="00646EDA" w:rsidP="00646EDA">
      <w:pPr>
        <w:spacing w:line="240" w:lineRule="auto"/>
        <w:ind w:left="567" w:right="567"/>
        <w:contextualSpacing/>
        <w:rPr>
          <w:b/>
          <w:i/>
          <w:kern w:val="28"/>
          <w:szCs w:val="56"/>
        </w:rPr>
      </w:pPr>
      <w:r w:rsidRPr="00BC4DCB">
        <w:rPr>
          <w:i/>
          <w:kern w:val="28"/>
          <w:szCs w:val="56"/>
        </w:rPr>
        <w:t>“</w:t>
      </w:r>
      <w:r w:rsidRPr="00BC4DCB">
        <w:rPr>
          <w:b/>
          <w:i/>
          <w:kern w:val="28"/>
          <w:szCs w:val="56"/>
        </w:rPr>
        <w:t xml:space="preserve">Concepto del nombre de las personas </w:t>
      </w:r>
    </w:p>
    <w:p w14:paraId="7DF035DB" w14:textId="77777777" w:rsidR="00646EDA" w:rsidRPr="00BC4DCB" w:rsidRDefault="00646EDA" w:rsidP="00646EDA">
      <w:pPr>
        <w:spacing w:line="240" w:lineRule="auto"/>
        <w:ind w:left="567" w:right="567"/>
        <w:contextualSpacing/>
        <w:rPr>
          <w:i/>
          <w:kern w:val="28"/>
          <w:szCs w:val="56"/>
        </w:rPr>
      </w:pPr>
      <w:r w:rsidRPr="00BC4DCB">
        <w:rPr>
          <w:b/>
          <w:i/>
          <w:kern w:val="28"/>
          <w:szCs w:val="56"/>
        </w:rPr>
        <w:t>Artículo 2.13</w:t>
      </w:r>
      <w:r w:rsidRPr="00BC4DCB">
        <w:rPr>
          <w:i/>
          <w:kern w:val="28"/>
          <w:szCs w:val="56"/>
        </w:rPr>
        <w:t xml:space="preserve">.- El nombre designa e individualiza a una persona. </w:t>
      </w:r>
    </w:p>
    <w:p w14:paraId="034F2127" w14:textId="77777777" w:rsidR="00646EDA" w:rsidRPr="00BC4DCB" w:rsidRDefault="00646EDA" w:rsidP="00646EDA">
      <w:pPr>
        <w:spacing w:line="240" w:lineRule="auto"/>
        <w:ind w:left="567" w:right="567"/>
        <w:contextualSpacing/>
        <w:rPr>
          <w:b/>
          <w:i/>
          <w:kern w:val="28"/>
          <w:szCs w:val="56"/>
        </w:rPr>
      </w:pPr>
      <w:r w:rsidRPr="00BC4DCB">
        <w:rPr>
          <w:b/>
          <w:i/>
          <w:kern w:val="28"/>
          <w:szCs w:val="56"/>
        </w:rPr>
        <w:t xml:space="preserve">Composición del nombre de las personas físicas </w:t>
      </w:r>
    </w:p>
    <w:p w14:paraId="0DB77BC2" w14:textId="77777777" w:rsidR="00646EDA" w:rsidRPr="00BC4DCB" w:rsidRDefault="00646EDA" w:rsidP="00646EDA">
      <w:pPr>
        <w:spacing w:line="240" w:lineRule="auto"/>
        <w:ind w:left="567" w:right="567"/>
        <w:contextualSpacing/>
        <w:rPr>
          <w:i/>
          <w:kern w:val="28"/>
          <w:szCs w:val="56"/>
        </w:rPr>
      </w:pPr>
      <w:r w:rsidRPr="00BC4DCB">
        <w:rPr>
          <w:b/>
          <w:i/>
          <w:kern w:val="28"/>
          <w:szCs w:val="56"/>
        </w:rPr>
        <w:t>Artículo 2.14</w:t>
      </w:r>
      <w:r w:rsidRPr="00BC4DCB">
        <w:rPr>
          <w:i/>
          <w:kern w:val="28"/>
          <w:szCs w:val="56"/>
        </w:rPr>
        <w:t xml:space="preserve">. El nombre de las personas físicas </w:t>
      </w:r>
      <w:r w:rsidRPr="00BC4DCB">
        <w:rPr>
          <w:b/>
          <w:i/>
          <w:kern w:val="28"/>
          <w:szCs w:val="56"/>
        </w:rPr>
        <w:t>se forma con el sustantivo propio y el primer apellido del padre y el primer apellido de la madre</w:t>
      </w:r>
      <w:r w:rsidRPr="00BC4DCB">
        <w:rPr>
          <w:i/>
          <w:kern w:val="28"/>
          <w:szCs w:val="56"/>
        </w:rPr>
        <w:t xml:space="preserve">, en el orden que, de común acuerdo determinen. En el caso de que el padre y la madre no lleguen a un acuerdo respecto del orden que deben seguir los apellidos del hijo o hija, </w:t>
      </w:r>
      <w:r w:rsidRPr="00BC4DCB">
        <w:rPr>
          <w:b/>
          <w:i/>
          <w:kern w:val="28"/>
          <w:szCs w:val="56"/>
        </w:rPr>
        <w:t>el apellido paterno aparecerá en primer lugar y el apellido materno en segundo lugar</w:t>
      </w:r>
      <w:r w:rsidRPr="00BC4DCB">
        <w:rPr>
          <w:i/>
          <w:kern w:val="28"/>
          <w:szCs w:val="56"/>
        </w:rPr>
        <w:t>. El orden de los apellidos acordado entre padre y madre se considerará preferentemente para los demás hijos e hijas del mismo vínculo. Cuando solo lo reconozca uno de ellos se formará con los apellidos de este, en el mismo orden, con las salvedades que establece el Libro Tercero de este Código.” (Sic)</w:t>
      </w:r>
    </w:p>
    <w:p w14:paraId="531389DC" w14:textId="77777777" w:rsidR="00646EDA" w:rsidRPr="00BC4DCB" w:rsidRDefault="00646EDA" w:rsidP="00646EDA">
      <w:pPr>
        <w:widowControl w:val="0"/>
        <w:autoSpaceDE w:val="0"/>
        <w:autoSpaceDN w:val="0"/>
        <w:adjustRightInd w:val="0"/>
        <w:ind w:right="899"/>
        <w:rPr>
          <w:i/>
        </w:rPr>
      </w:pPr>
    </w:p>
    <w:p w14:paraId="2F9C993C" w14:textId="77777777" w:rsidR="00646EDA" w:rsidRPr="00BC4DCB" w:rsidRDefault="00646EDA" w:rsidP="00646EDA">
      <w:pPr>
        <w:ind w:right="-93"/>
        <w:rPr>
          <w:rFonts w:eastAsia="Calibri" w:cs="Tahoma"/>
          <w:b/>
          <w:bCs/>
          <w:lang w:val="es-ES_tradnl"/>
        </w:rPr>
      </w:pPr>
      <w:r w:rsidRPr="00BC4DCB">
        <w:rPr>
          <w:rFonts w:eastAsia="Calibri" w:cs="Tahoma"/>
          <w:bCs/>
        </w:rPr>
        <w:t xml:space="preserve">Es así que, el nombre de una persona se integra </w:t>
      </w:r>
      <w:r w:rsidRPr="00BC4DCB">
        <w:rPr>
          <w:rFonts w:eastAsia="Calibri" w:cs="Tahoma"/>
          <w:bCs/>
          <w:lang w:val="es-ES_tradnl"/>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BC4DCB">
        <w:rPr>
          <w:rFonts w:eastAsia="Calibri" w:cs="Tahoma"/>
          <w:bCs/>
          <w:i/>
          <w:lang w:val="es-ES_tradnl"/>
        </w:rPr>
        <w:t>per se</w:t>
      </w:r>
      <w:r w:rsidRPr="00BC4DCB">
        <w:rPr>
          <w:rFonts w:eastAsia="Calibri" w:cs="Tahoma"/>
          <w:bCs/>
          <w:lang w:val="es-ES_tradnl"/>
        </w:rPr>
        <w:t xml:space="preserve"> es un elemento que hace a una persona física identificada o identificable, por lo que, </w:t>
      </w:r>
      <w:r w:rsidRPr="00BC4DCB">
        <w:rPr>
          <w:rFonts w:eastAsia="Calibri" w:cs="Tahoma"/>
          <w:b/>
          <w:bCs/>
          <w:lang w:val="es-ES_tradnl"/>
        </w:rPr>
        <w:t>se considera un dato personal.</w:t>
      </w:r>
    </w:p>
    <w:p w14:paraId="25AF643F" w14:textId="77777777" w:rsidR="00646EDA" w:rsidRPr="00BC4DCB" w:rsidRDefault="00646EDA" w:rsidP="00646EDA">
      <w:pPr>
        <w:ind w:left="720" w:hanging="360"/>
      </w:pPr>
    </w:p>
    <w:p w14:paraId="54A5895F" w14:textId="77777777" w:rsidR="00646EDA" w:rsidRPr="00BC4DCB" w:rsidRDefault="00646EDA" w:rsidP="00646EDA">
      <w:pPr>
        <w:numPr>
          <w:ilvl w:val="0"/>
          <w:numId w:val="35"/>
        </w:numPr>
        <w:contextualSpacing/>
        <w:rPr>
          <w:rFonts w:cs="Arial"/>
          <w:b/>
          <w:lang w:val="es-ES_tradnl"/>
        </w:rPr>
      </w:pPr>
      <w:r w:rsidRPr="00BC4DCB">
        <w:rPr>
          <w:rFonts w:cs="Arial"/>
          <w:b/>
          <w:lang w:val="es-ES_tradnl"/>
        </w:rPr>
        <w:t>Domicilios de particulares</w:t>
      </w:r>
    </w:p>
    <w:p w14:paraId="6D93DC19" w14:textId="77777777" w:rsidR="00646EDA" w:rsidRPr="00BC4DCB" w:rsidRDefault="00646EDA" w:rsidP="00646EDA">
      <w:pPr>
        <w:ind w:right="51"/>
        <w:rPr>
          <w:rFonts w:eastAsia="Palatino Linotype" w:cs="Palatino Linotype"/>
        </w:rPr>
      </w:pPr>
    </w:p>
    <w:p w14:paraId="5C6F9C13" w14:textId="77777777" w:rsidR="00646EDA" w:rsidRPr="00BC4DCB" w:rsidRDefault="00646EDA" w:rsidP="00646EDA">
      <w:pPr>
        <w:rPr>
          <w:rFonts w:cs="Tahoma"/>
          <w:lang w:val="es-ES"/>
        </w:rPr>
      </w:pPr>
      <w:r w:rsidRPr="00BC4DCB">
        <w:rPr>
          <w:rFonts w:cs="Tahoma"/>
          <w:lang w:val="es-ES"/>
        </w:rPr>
        <w:t>De acuerdo con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De la misma manera, lo establece el artículo 29 del Código Civil Federal, al precisar que el domicilio de personas físicas</w:t>
      </w:r>
      <w:r w:rsidRPr="00BC4DCB">
        <w:rPr>
          <w:rFonts w:cs="Tahoma"/>
          <w:b/>
          <w:lang w:val="es-ES"/>
        </w:rPr>
        <w:t>, e</w:t>
      </w:r>
      <w:r w:rsidRPr="00BC4DCB">
        <w:rPr>
          <w:rFonts w:cs="Tahoma"/>
          <w:lang w:val="es-ES"/>
        </w:rPr>
        <w:t>s el lugar donde residen habitualmente, el lugar del centro principal de sus negocios, donde residan o el lugar donde se encuentren.</w:t>
      </w:r>
    </w:p>
    <w:p w14:paraId="40C35B72" w14:textId="77777777" w:rsidR="00646EDA" w:rsidRPr="00BC4DCB" w:rsidRDefault="00646EDA" w:rsidP="00646EDA">
      <w:pPr>
        <w:rPr>
          <w:rFonts w:cs="Tahoma"/>
          <w:b/>
          <w:lang w:val="es-ES"/>
        </w:rPr>
      </w:pPr>
    </w:p>
    <w:p w14:paraId="2197F663" w14:textId="77777777" w:rsidR="00646EDA" w:rsidRPr="00BC4DCB" w:rsidRDefault="00646EDA" w:rsidP="00646EDA">
      <w:pPr>
        <w:rPr>
          <w:rFonts w:cs="Tahoma"/>
          <w:lang w:val="es-ES"/>
        </w:rPr>
      </w:pPr>
      <w:r w:rsidRPr="00BC4DCB">
        <w:rPr>
          <w:rFonts w:cs="Tahoma"/>
          <w:lang w:val="es-ES"/>
        </w:rPr>
        <w:t>Además, respecto al domicilio particular se presume que corresponde al lugar donde reside habitualmente</w:t>
      </w:r>
      <w:r w:rsidRPr="00BC4DCB">
        <w:rPr>
          <w:rFonts w:cs="Tahoma"/>
          <w:b/>
          <w:lang w:val="es-ES"/>
        </w:rPr>
        <w:t>.</w:t>
      </w:r>
      <w:r w:rsidRPr="00BC4DCB">
        <w:rPr>
          <w:rFonts w:cs="Tahoma"/>
          <w:lang w:val="es-ES"/>
        </w:rPr>
        <w:t xml:space="preserve"> 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w:t>
      </w:r>
      <w:r w:rsidRPr="00BC4DCB">
        <w:rPr>
          <w:rFonts w:cs="Tahoma"/>
          <w:lang w:val="es-ES"/>
        </w:rPr>
        <w:lastRenderedPageBreak/>
        <w:t>artículo 143 de la Ley de Transparencia y Acceso a la Información Pública del Estado de México y Municipios.</w:t>
      </w:r>
    </w:p>
    <w:p w14:paraId="5DD402DD" w14:textId="77777777" w:rsidR="00646EDA" w:rsidRPr="00BC4DCB" w:rsidRDefault="00646EDA" w:rsidP="00646EDA">
      <w:pPr>
        <w:ind w:left="720"/>
        <w:contextualSpacing/>
        <w:rPr>
          <w:rFonts w:eastAsia="Palatino Linotype" w:cs="Palatino Linotype"/>
          <w:b/>
        </w:rPr>
      </w:pPr>
    </w:p>
    <w:p w14:paraId="297EBC64" w14:textId="77777777" w:rsidR="00646EDA" w:rsidRPr="00BC4DCB" w:rsidRDefault="00646EDA" w:rsidP="00646EDA">
      <w:pPr>
        <w:numPr>
          <w:ilvl w:val="0"/>
          <w:numId w:val="35"/>
        </w:numPr>
        <w:contextualSpacing/>
        <w:rPr>
          <w:rFonts w:cs="Arial"/>
          <w:b/>
          <w:lang w:val="es-ES_tradnl"/>
        </w:rPr>
      </w:pPr>
      <w:bookmarkStart w:id="46" w:name="_Hlk200528966"/>
      <w:r w:rsidRPr="00BC4DCB">
        <w:rPr>
          <w:rFonts w:cs="Arial"/>
          <w:b/>
          <w:lang w:val="es-ES_tradnl"/>
        </w:rPr>
        <w:t>Teléfono de particulares</w:t>
      </w:r>
    </w:p>
    <w:p w14:paraId="7E0E1593" w14:textId="77777777" w:rsidR="00646EDA" w:rsidRPr="00BC4DCB" w:rsidRDefault="00646EDA" w:rsidP="00646EDA">
      <w:pPr>
        <w:ind w:left="720"/>
        <w:contextualSpacing/>
        <w:rPr>
          <w:rFonts w:cs="Arial"/>
          <w:b/>
          <w:lang w:val="es-ES_tradnl"/>
        </w:rPr>
      </w:pPr>
    </w:p>
    <w:p w14:paraId="7D5EB304" w14:textId="77777777" w:rsidR="00646EDA" w:rsidRPr="00BC4DCB" w:rsidRDefault="00646EDA" w:rsidP="00646EDA">
      <w:pPr>
        <w:rPr>
          <w:rFonts w:cs="Tahoma"/>
          <w:lang w:val="es-ES"/>
        </w:rPr>
      </w:pPr>
      <w:r w:rsidRPr="00BC4DCB">
        <w:rPr>
          <w:rFonts w:eastAsia="Palatino Linotype" w:cs="Palatino Linotype"/>
        </w:rPr>
        <w:t xml:space="preserve">El número de teléfono permite localizar a una persona física identificada o identificable, por lo que se considera dato personal confidencial, conforme a lo dispuesto en </w:t>
      </w:r>
      <w:r w:rsidRPr="00BC4DCB">
        <w:rPr>
          <w:rFonts w:cs="Tahoma"/>
          <w:lang w:val="es-ES"/>
        </w:rPr>
        <w:t xml:space="preserve">la fracción I, del artículo 143 de la Ley de Transparencia y Acceso a la Información Pública del Estado de México y Municipios, </w:t>
      </w:r>
      <w:r w:rsidRPr="00BC4DCB">
        <w:rPr>
          <w:rFonts w:cs="Tahoma"/>
        </w:rPr>
        <w:t>ya que solo podrá otorgarse mediante el consentimiento de su titular.</w:t>
      </w:r>
    </w:p>
    <w:bookmarkEnd w:id="46"/>
    <w:p w14:paraId="3506A228" w14:textId="77777777" w:rsidR="00646EDA" w:rsidRPr="00BC4DCB" w:rsidRDefault="00646EDA" w:rsidP="00646EDA">
      <w:pPr>
        <w:rPr>
          <w:rFonts w:eastAsia="Palatino Linotype" w:cs="Palatino Linotype"/>
          <w:lang w:val="es-ES"/>
        </w:rPr>
      </w:pPr>
    </w:p>
    <w:p w14:paraId="5A879C31" w14:textId="77777777" w:rsidR="00646EDA" w:rsidRPr="00BC4DCB" w:rsidRDefault="00646EDA" w:rsidP="00646EDA">
      <w:pPr>
        <w:numPr>
          <w:ilvl w:val="0"/>
          <w:numId w:val="35"/>
        </w:numPr>
        <w:contextualSpacing/>
        <w:rPr>
          <w:rFonts w:cs="Arial"/>
          <w:b/>
          <w:lang w:val="es-ES_tradnl"/>
        </w:rPr>
      </w:pPr>
      <w:r w:rsidRPr="00BC4DCB">
        <w:rPr>
          <w:rFonts w:cs="Arial"/>
          <w:b/>
          <w:lang w:val="es-ES_tradnl"/>
        </w:rPr>
        <w:t xml:space="preserve">Correo electrónico </w:t>
      </w:r>
    </w:p>
    <w:p w14:paraId="1F7FDE77" w14:textId="77777777" w:rsidR="00646EDA" w:rsidRPr="00BC4DCB" w:rsidRDefault="00646EDA" w:rsidP="00646EDA">
      <w:pPr>
        <w:rPr>
          <w:rFonts w:eastAsia="Palatino Linotype" w:cs="Palatino Linotype"/>
          <w:lang w:val="es-ES"/>
        </w:rPr>
      </w:pPr>
    </w:p>
    <w:p w14:paraId="07864CD5" w14:textId="77777777" w:rsidR="00646EDA" w:rsidRPr="00BC4DCB" w:rsidRDefault="00646EDA" w:rsidP="00646EDA">
      <w:r w:rsidRPr="00BC4DCB">
        <w:t xml:space="preserve">El </w:t>
      </w:r>
      <w:r w:rsidRPr="00BC4DCB">
        <w:rPr>
          <w:b/>
        </w:rPr>
        <w:t>correo electrónico</w:t>
      </w:r>
      <w:r w:rsidRPr="00BC4DCB">
        <w:t xml:space="preserve"> debe entenderse como el sistema de comunicación y transmisión de mensajes por computadora u otro dispositivo electrónico a través de redes informáticas, para fines personales o bien constituye una herramienta de trabajo para el desempeño de las facultades, competencias o funciones de las personas usuarias y unidades administrativas en la relación laboral.</w:t>
      </w:r>
    </w:p>
    <w:p w14:paraId="463E3370" w14:textId="77777777" w:rsidR="00646EDA" w:rsidRPr="00BC4DCB" w:rsidRDefault="00646EDA" w:rsidP="00646EDA"/>
    <w:p w14:paraId="5B482208" w14:textId="77777777" w:rsidR="00646EDA" w:rsidRPr="00BC4DCB" w:rsidRDefault="00646EDA" w:rsidP="00646EDA">
      <w:r w:rsidRPr="00BC4DCB">
        <w:t>En ese sentido, si el correo electrónico es de carácter institucional, el mismo deberá de entregarse al considerarse de carácter público, para tal efecto, se cita el criterio</w:t>
      </w:r>
    </w:p>
    <w:p w14:paraId="794E7EA5" w14:textId="77777777" w:rsidR="00646EDA" w:rsidRPr="00BC4DCB" w:rsidRDefault="00646EDA" w:rsidP="00646EDA"/>
    <w:p w14:paraId="535D75CE" w14:textId="77777777" w:rsidR="00646EDA" w:rsidRPr="00BC4DCB" w:rsidRDefault="00646EDA" w:rsidP="00646EDA">
      <w:pPr>
        <w:pStyle w:val="Puesto"/>
      </w:pPr>
      <w:r w:rsidRPr="00BC4DCB">
        <w:t>“</w:t>
      </w:r>
      <w:r w:rsidRPr="00BC4DCB">
        <w:rPr>
          <w:b/>
          <w:bCs/>
        </w:rPr>
        <w:t>CORREO ELECTRÓNICO INSTITUCIONAL. LA INFORMACIÓN GENERADA, POSEÍDA O ADMINISTRADA, A TRAVÉS DE AQUÉL POR EL SERVIDOR PÚBLICO TITULAR DE LA CUENTA, ES DE CARÁCTER PÚBLICO</w:t>
      </w:r>
      <w:r w:rsidRPr="00BC4DCB">
        <w:t xml:space="preserve">. De conformidad con los artículos 6, apartado A, fracción I de la Constitución Política de los Estados Unidos Mexicanos; 4, párrafo segundo y 9, fracción VII de la Ley de Transparencia y Acceso a la Información Pública del Estado de México y Municipios, toda la información en posesión de cualquier Sujeto Obligado es pública y sólo podrá ser </w:t>
      </w:r>
      <w:r w:rsidRPr="00BC4DCB">
        <w:lastRenderedPageBreak/>
        <w:t>reservada temporalmente por razones de interés público y seguridad nacional, mandatando el deber de documentar todo acto que derive del ejercicio de sus facultades, competencias o funciones. Asimismo, el diverso numeral 3, fracción XI, de la Ley de Transparencia de la Entidad, señala que por documento público se entiende para efectos de esta materia, entre otros, a cualquier registro que dé cuenta del ejercicio de las facultades, funciones y competencias de los sujetos obligados y sus servidores públicos sin importar su fuente o fecha de elaboración y que se encuentra contenida en cualquier medio, sea escrito, impreso, sonoro, visual, electrónico, informático u holográfico; de igual manera, el numeral quincuagésimo sexto de los Lineamientos para la organización y conservación de los Archivos emitidos por el Consejo Nacional del Sistema Nacional de Transparencia, Acceso a la información Pública y Protección de Datos Personales, esencialmente señala que, los correos electrónicos que deriven del ejercicio de las facultades, competencias o funciones de los Sujetos Obligados deberán organizarse y conservarse. Bajo ese orden de ideas, de la interpretación sistémica de los ordenamientos normativos en cita, se desprende que la información generada, poseída o administrada, a través del correo electrónico institucional, es de carácter público, en virtud de que dicho medio, es una herramienta de trabajo de los servidores públicos para la comunicación, intercambio o recepción de información derivada del ejercicio de sus atribuciones legales y registrada en medios electrónicos o informáticos, que los Sujetos Obligados generaron, obtuvieron, adquirieron, transformaron o conservaron por cualquier título. Por tanto, la información inmersa en los correos electrónicos institucionales es susceptible de entregarse para colmar una solicitud de información, sin pasar por alto que, si de aquella se desprenden datos considerados como confidenciales o reservados, el Sujeto Obligado se someterá a los procedimientos establecidos para efecto de la clasificación correspondiente.”</w:t>
      </w:r>
    </w:p>
    <w:p w14:paraId="437D2F09" w14:textId="77777777" w:rsidR="00646EDA" w:rsidRPr="00BC4DCB" w:rsidRDefault="00646EDA" w:rsidP="00646EDA">
      <w:pPr>
        <w:rPr>
          <w:i/>
        </w:rPr>
      </w:pPr>
    </w:p>
    <w:p w14:paraId="348245E3" w14:textId="77777777" w:rsidR="00646EDA" w:rsidRPr="00BC4DCB" w:rsidRDefault="00646EDA" w:rsidP="00646EDA">
      <w:r w:rsidRPr="00BC4DCB">
        <w:t>Así, si es de carácter personal, el mismo deberá de clasificarse como confidencial actualizarse la causal de clasificación establecida en el artículo 143, fracción I, de la Ley de Transparencia y Acceso a la Información Pública del Estado de México y Municipios.</w:t>
      </w:r>
    </w:p>
    <w:p w14:paraId="04BFD23C" w14:textId="77777777" w:rsidR="00646EDA" w:rsidRPr="00BC4DCB" w:rsidRDefault="00646EDA" w:rsidP="00646EDA">
      <w:pPr>
        <w:rPr>
          <w:rFonts w:eastAsia="Palatino Linotype" w:cs="Palatino Linotype"/>
        </w:rPr>
      </w:pPr>
    </w:p>
    <w:p w14:paraId="4DF10730" w14:textId="77777777" w:rsidR="00646EDA" w:rsidRPr="00BC4DCB" w:rsidRDefault="00646EDA" w:rsidP="00646EDA">
      <w:pPr>
        <w:numPr>
          <w:ilvl w:val="0"/>
          <w:numId w:val="35"/>
        </w:numPr>
        <w:contextualSpacing/>
        <w:rPr>
          <w:rFonts w:cs="Arial"/>
          <w:b/>
          <w:lang w:val="es-ES_tradnl"/>
        </w:rPr>
      </w:pPr>
      <w:r w:rsidRPr="00BC4DCB">
        <w:rPr>
          <w:rFonts w:cs="Arial"/>
          <w:b/>
          <w:lang w:val="es-ES_tradnl"/>
        </w:rPr>
        <w:t>Teléfono de particulares</w:t>
      </w:r>
    </w:p>
    <w:p w14:paraId="32AD898A" w14:textId="77777777" w:rsidR="00646EDA" w:rsidRPr="00BC4DCB" w:rsidRDefault="00646EDA" w:rsidP="00646EDA">
      <w:pPr>
        <w:rPr>
          <w:rFonts w:eastAsia="Palatino Linotype" w:cs="Palatino Linotype"/>
        </w:rPr>
      </w:pPr>
    </w:p>
    <w:p w14:paraId="46824973" w14:textId="77777777" w:rsidR="00646EDA" w:rsidRPr="00BC4DCB" w:rsidRDefault="00646EDA" w:rsidP="00646EDA">
      <w:r w:rsidRPr="00BC4DCB">
        <w:t xml:space="preserve">El número asignado a un </w:t>
      </w:r>
      <w:r w:rsidRPr="00BC4DCB">
        <w:rPr>
          <w:b/>
        </w:rPr>
        <w:t>teléfono particular</w:t>
      </w:r>
      <w:r w:rsidRPr="00BC4DCB">
        <w:t xml:space="preserve"> permite localizar a una persona física identificada o identificable, ya sea a través de un dispositivo móvil o bien, en un lugar como el domicilio; en ese sentido, el número contacto, permite localizar de manera privada a las </w:t>
      </w:r>
      <w:r w:rsidRPr="00BC4DCB">
        <w:lastRenderedPageBreak/>
        <w:t>personas físicas o servidores públicos; por lo que, la titularidad corresponde a la persona física en su calidad de particular y no como servidor público. En tales consideraciones, dicho dato personal es susceptible de ser clasificado como confidencial, con fundamento en el artículo 143, fracción I de la Ley de Transparencia y Acceso a la Información Pública.</w:t>
      </w:r>
    </w:p>
    <w:p w14:paraId="0F48A436" w14:textId="77777777" w:rsidR="00646EDA" w:rsidRPr="00BC4DCB" w:rsidRDefault="00646EDA" w:rsidP="00646EDA">
      <w:pPr>
        <w:rPr>
          <w:rFonts w:eastAsia="Palatino Linotype" w:cs="Palatino Linotype"/>
        </w:rPr>
      </w:pPr>
    </w:p>
    <w:p w14:paraId="70D06084" w14:textId="77777777" w:rsidR="00646EDA" w:rsidRPr="00BC4DCB" w:rsidRDefault="00646EDA" w:rsidP="00646EDA">
      <w:pPr>
        <w:numPr>
          <w:ilvl w:val="0"/>
          <w:numId w:val="35"/>
        </w:numPr>
        <w:contextualSpacing/>
        <w:rPr>
          <w:rFonts w:cs="Arial"/>
          <w:b/>
          <w:lang w:val="es-ES_tradnl"/>
        </w:rPr>
      </w:pPr>
      <w:r w:rsidRPr="00BC4DCB">
        <w:rPr>
          <w:rFonts w:cs="Arial"/>
          <w:b/>
          <w:lang w:val="es-ES_tradnl"/>
        </w:rPr>
        <w:t>Firma de particulares</w:t>
      </w:r>
    </w:p>
    <w:p w14:paraId="05138AF0" w14:textId="77777777" w:rsidR="00646EDA" w:rsidRPr="00BC4DCB" w:rsidRDefault="00646EDA" w:rsidP="00646EDA">
      <w:pPr>
        <w:ind w:left="720"/>
        <w:contextualSpacing/>
        <w:rPr>
          <w:rFonts w:cs="Arial"/>
          <w:b/>
          <w:lang w:val="es-ES_tradnl"/>
        </w:rPr>
      </w:pPr>
    </w:p>
    <w:p w14:paraId="59C5CAB7" w14:textId="77777777" w:rsidR="00646EDA" w:rsidRPr="00BC4DCB" w:rsidRDefault="00646EDA" w:rsidP="00646EDA">
      <w:pPr>
        <w:rPr>
          <w:rFonts w:eastAsia="Palatino Linotype" w:cs="Palatino Linotype"/>
        </w:rPr>
      </w:pPr>
      <w:r w:rsidRPr="00BC4DCB">
        <w:rPr>
          <w:rFonts w:eastAsia="Palatino Linotype" w:cs="Palatino Linotype"/>
        </w:rPr>
        <w:t xml:space="preserve">Por otro lado, respecto a la </w:t>
      </w:r>
      <w:r w:rsidRPr="00BC4DCB">
        <w:rPr>
          <w:rFonts w:eastAsia="Palatino Linotype" w:cs="Palatino Linotype"/>
          <w:b/>
        </w:rPr>
        <w:t xml:space="preserve">firma, </w:t>
      </w:r>
      <w:r w:rsidRPr="00BC4DCB">
        <w:rPr>
          <w:rFonts w:eastAsia="Palatino Linotype" w:cs="Palatino Linotype"/>
        </w:rPr>
        <w:t xml:space="preserve">es necesario precisar que ésta es considerada un dato personal concerniente a una persona física identificada o identificable, al tratarse de información gráfica a través de la cual su titular exterioriza su voluntad en actos públicos y privados.   </w:t>
      </w:r>
    </w:p>
    <w:p w14:paraId="13FEAACC" w14:textId="77777777" w:rsidR="00646EDA" w:rsidRPr="00BC4DCB" w:rsidRDefault="00646EDA" w:rsidP="00646EDA">
      <w:pPr>
        <w:rPr>
          <w:rFonts w:eastAsia="Palatino Linotype" w:cs="Palatino Linotype"/>
        </w:rPr>
      </w:pPr>
    </w:p>
    <w:p w14:paraId="2BEAFF32" w14:textId="77777777" w:rsidR="00646EDA" w:rsidRPr="00BC4DCB" w:rsidRDefault="00646EDA" w:rsidP="00646EDA">
      <w:pPr>
        <w:rPr>
          <w:rFonts w:cs="Tahoma"/>
          <w:lang w:val="es-ES"/>
        </w:rPr>
      </w:pPr>
      <w:r w:rsidRPr="00BC4DCB">
        <w:rPr>
          <w:rFonts w:cs="Tahoma"/>
          <w:lang w:val="es-ES"/>
        </w:rPr>
        <w:t>Por lo tanto, se actualiza la clasificación, de conformidad con la fracción I, del artículo 143 de la Ley de Transparencia y Acceso a la Información Pública del Estado de México y Municipios.</w:t>
      </w:r>
    </w:p>
    <w:p w14:paraId="714CE5A5" w14:textId="77777777" w:rsidR="00646EDA" w:rsidRPr="00BC4DCB" w:rsidRDefault="00646EDA" w:rsidP="00646EDA">
      <w:pPr>
        <w:rPr>
          <w:rFonts w:eastAsia="Palatino Linotype" w:cs="Palatino Linotype"/>
          <w:lang w:val="es-ES"/>
        </w:rPr>
      </w:pPr>
    </w:p>
    <w:p w14:paraId="2E12EBE5" w14:textId="77777777" w:rsidR="00646EDA" w:rsidRPr="00BC4DCB" w:rsidRDefault="00646EDA" w:rsidP="00646EDA">
      <w:pPr>
        <w:numPr>
          <w:ilvl w:val="0"/>
          <w:numId w:val="36"/>
        </w:numPr>
        <w:contextualSpacing/>
        <w:rPr>
          <w:lang w:eastAsia="es-CO"/>
        </w:rPr>
      </w:pPr>
      <w:r w:rsidRPr="00BC4DCB">
        <w:rPr>
          <w:rFonts w:eastAsia="Palatino Linotype" w:cs="Palatino Linotype"/>
          <w:b/>
          <w:bCs/>
        </w:rPr>
        <w:t>Número de folio de identificación oficial</w:t>
      </w:r>
    </w:p>
    <w:p w14:paraId="26F07AE6" w14:textId="77777777" w:rsidR="00646EDA" w:rsidRPr="00BC4DCB" w:rsidRDefault="00646EDA" w:rsidP="00646EDA">
      <w:pPr>
        <w:ind w:left="720"/>
        <w:contextualSpacing/>
        <w:rPr>
          <w:lang w:eastAsia="es-CO"/>
        </w:rPr>
      </w:pPr>
    </w:p>
    <w:p w14:paraId="72A780B3" w14:textId="77777777" w:rsidR="00646EDA" w:rsidRPr="00BC4DCB" w:rsidRDefault="00646EDA" w:rsidP="00646EDA">
      <w:pPr>
        <w:rPr>
          <w:rFonts w:cs="Tahoma"/>
          <w:lang w:val="es-ES"/>
        </w:rPr>
      </w:pPr>
      <w:r w:rsidRPr="00BC4DCB">
        <w:rPr>
          <w:lang w:eastAsia="es-CO"/>
        </w:rPr>
        <w:t xml:space="preserve">El número de folio de identificación oficial del INE, es el código único y personal que se entrega con cada credencial y permite ubicar eficientemente los datos en el Sistema del Instituto Nacional Electoral, </w:t>
      </w:r>
      <w:r w:rsidRPr="00BC4DCB">
        <w:rPr>
          <w:rFonts w:eastAsia="Palatino Linotype" w:cs="Palatino Linotype"/>
        </w:rPr>
        <w:t xml:space="preserve">por lo que se considera dato personal confidencial, conforme a lo dispuesto en </w:t>
      </w:r>
      <w:r w:rsidRPr="00BC4DCB">
        <w:rPr>
          <w:rFonts w:cs="Tahoma"/>
          <w:lang w:val="es-ES"/>
        </w:rPr>
        <w:t>la fracción I, del artículo 143 de la Ley de Transparencia y Acceso a la Información Pública del Estado de México y Municipios</w:t>
      </w:r>
      <w:r w:rsidRPr="00BC4DCB">
        <w:rPr>
          <w:rFonts w:cs="Tahoma"/>
        </w:rPr>
        <w:t>.</w:t>
      </w:r>
    </w:p>
    <w:p w14:paraId="1F01473E" w14:textId="77777777" w:rsidR="00646EDA" w:rsidRPr="00BC4DCB" w:rsidRDefault="00646EDA" w:rsidP="00646EDA">
      <w:pPr>
        <w:rPr>
          <w:rFonts w:eastAsia="Palatino Linotype" w:cs="Palatino Linotype"/>
          <w:lang w:val="es-ES"/>
        </w:rPr>
      </w:pPr>
    </w:p>
    <w:p w14:paraId="0F16E4E0" w14:textId="77777777" w:rsidR="00646EDA" w:rsidRPr="00BC4DCB" w:rsidRDefault="00646EDA" w:rsidP="00646EDA">
      <w:pPr>
        <w:rPr>
          <w:rFonts w:eastAsia="Palatino Linotype" w:cs="Palatino Linotype"/>
          <w:szCs w:val="22"/>
          <w:lang w:eastAsia="es-MX"/>
        </w:rPr>
      </w:pPr>
      <w:r w:rsidRPr="00BC4DCB">
        <w:rPr>
          <w:rFonts w:eastAsia="Palatino Linotype" w:cs="Palatino Linotype"/>
          <w:szCs w:val="22"/>
          <w:lang w:eastAsia="es-MX"/>
        </w:rPr>
        <w:t xml:space="preserve">Por otra parte, si </w:t>
      </w:r>
      <w:r w:rsidRPr="00BC4DCB">
        <w:rPr>
          <w:rFonts w:eastAsia="Palatino Linotype" w:cs="Palatino Linotype"/>
          <w:b/>
          <w:szCs w:val="22"/>
          <w:lang w:eastAsia="es-MX"/>
        </w:rPr>
        <w:t>EL SUJETO OBLIGADO</w:t>
      </w:r>
      <w:r w:rsidRPr="00BC4DCB">
        <w:rPr>
          <w:rFonts w:eastAsia="Palatino Linotype" w:cs="Palatino Linotype"/>
          <w:szCs w:val="22"/>
          <w:lang w:eastAsia="es-MX"/>
        </w:rPr>
        <w:t xml:space="preserve"> </w:t>
      </w:r>
      <w:r w:rsidRPr="00BC4DCB">
        <w:rPr>
          <w:rFonts w:eastAsia="Palatino Linotype" w:cs="Palatino Linotype"/>
          <w:b/>
          <w:bCs/>
          <w:szCs w:val="22"/>
          <w:lang w:eastAsia="es-MX"/>
        </w:rPr>
        <w:t>advierte información</w:t>
      </w:r>
      <w:r w:rsidRPr="00BC4DCB">
        <w:rPr>
          <w:rFonts w:eastAsia="Palatino Linotype" w:cs="Palatino Linotype"/>
          <w:szCs w:val="22"/>
          <w:lang w:eastAsia="es-MX"/>
        </w:rPr>
        <w:t xml:space="preserve"> que, por su propia y especial naturaleza, </w:t>
      </w:r>
      <w:r w:rsidRPr="00BC4DCB">
        <w:rPr>
          <w:rFonts w:eastAsia="Palatino Linotype" w:cs="Palatino Linotype"/>
          <w:b/>
          <w:bCs/>
          <w:szCs w:val="22"/>
          <w:lang w:eastAsia="es-MX"/>
        </w:rPr>
        <w:t>encuadre en alguno de los supuestos de reserva</w:t>
      </w:r>
      <w:r w:rsidRPr="00BC4DCB">
        <w:rPr>
          <w:rFonts w:eastAsia="Palatino Linotype" w:cs="Palatino Linotype"/>
          <w:szCs w:val="22"/>
          <w:lang w:eastAsia="es-MX"/>
        </w:rPr>
        <w:t xml:space="preserve"> que enmarca la Ley de Transparencia y Acceso a la Información Pública del Estado de México y Municipios deberá </w:t>
      </w:r>
      <w:r w:rsidRPr="00BC4DCB">
        <w:rPr>
          <w:rFonts w:eastAsia="Palatino Linotype" w:cs="Palatino Linotype"/>
          <w:szCs w:val="22"/>
          <w:lang w:eastAsia="es-MX"/>
        </w:rPr>
        <w:lastRenderedPageBreak/>
        <w:t>efectuar la clasificación correspondiente, debidamente fundada y motivada. En términos de las hipótesis previstas en el ordinal 140 de la Ley de Transparencia y Acceso a la Información Pública del Estado de México y Municipios; así como, en términos de lo dispuesto por los Lineamientos Generales en materia de Clasificación y Desclasificación de la Información, así como para la elaboración de Versiones Públicas.</w:t>
      </w:r>
    </w:p>
    <w:p w14:paraId="7C57268F" w14:textId="77777777" w:rsidR="00646EDA" w:rsidRPr="00BC4DCB" w:rsidRDefault="00646EDA" w:rsidP="00646EDA">
      <w:pPr>
        <w:rPr>
          <w:rFonts w:eastAsia="Palatino Linotype" w:cs="Palatino Linotype"/>
          <w:szCs w:val="22"/>
          <w:lang w:eastAsia="es-MX"/>
        </w:rPr>
      </w:pPr>
    </w:p>
    <w:p w14:paraId="366F3D34" w14:textId="77777777" w:rsidR="00646EDA" w:rsidRPr="00BC4DCB" w:rsidRDefault="00646EDA" w:rsidP="00646EDA">
      <w:pPr>
        <w:rPr>
          <w:rFonts w:eastAsia="Palatino Linotype" w:cs="Palatino Linotype"/>
          <w:szCs w:val="22"/>
          <w:lang w:eastAsia="es-MX"/>
        </w:rPr>
      </w:pPr>
      <w:r w:rsidRPr="00BC4DCB">
        <w:rPr>
          <w:rFonts w:eastAsia="Palatino Linotype" w:cs="Palatino Linotype"/>
          <w:szCs w:val="22"/>
          <w:lang w:eastAsia="es-MX"/>
        </w:rPr>
        <w:t xml:space="preserve">Lo anterior, sin perder de vista que la Constitución Política de los Estados Unidos Mexicanos le otorga a </w:t>
      </w:r>
      <w:r w:rsidRPr="00BC4DCB">
        <w:rPr>
          <w:rFonts w:eastAsia="Palatino Linotype" w:cs="Palatino Linotype"/>
          <w:b/>
          <w:szCs w:val="22"/>
          <w:lang w:eastAsia="es-MX"/>
        </w:rPr>
        <w:t>todos los documentos</w:t>
      </w:r>
      <w:r w:rsidRPr="00BC4DCB">
        <w:rPr>
          <w:rFonts w:eastAsia="Palatino Linotype" w:cs="Palatino Linotype"/>
          <w:szCs w:val="22"/>
          <w:lang w:eastAsia="es-MX"/>
        </w:rPr>
        <w:t xml:space="preserve"> en posesión de las autoridades </w:t>
      </w:r>
      <w:r w:rsidRPr="00BC4DCB">
        <w:rPr>
          <w:rFonts w:eastAsia="Palatino Linotype" w:cs="Palatino Linotype"/>
          <w:b/>
          <w:szCs w:val="22"/>
          <w:lang w:eastAsia="es-MX"/>
        </w:rPr>
        <w:t>la calidad de públicos</w:t>
      </w:r>
      <w:r w:rsidRPr="00BC4DCB">
        <w:rPr>
          <w:rFonts w:eastAsia="Palatino Linotype" w:cs="Palatino Linotype"/>
          <w:szCs w:val="22"/>
          <w:lang w:eastAsia="es-MX"/>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648BB41A" w14:textId="77777777" w:rsidR="00646EDA" w:rsidRPr="00BC4DCB" w:rsidRDefault="00646EDA" w:rsidP="00646EDA">
      <w:pPr>
        <w:rPr>
          <w:rFonts w:eastAsia="Palatino Linotype" w:cs="Palatino Linotype"/>
          <w:szCs w:val="22"/>
          <w:lang w:eastAsia="es-MX"/>
        </w:rPr>
      </w:pPr>
    </w:p>
    <w:p w14:paraId="5E893CD5" w14:textId="77777777" w:rsidR="00646EDA" w:rsidRPr="00BC4DCB" w:rsidRDefault="00646EDA" w:rsidP="00646EDA">
      <w:pPr>
        <w:rPr>
          <w:rFonts w:eastAsia="Palatino Linotype" w:cs="Palatino Linotype"/>
          <w:szCs w:val="22"/>
          <w:lang w:eastAsia="es-MX"/>
        </w:rPr>
      </w:pPr>
      <w:r w:rsidRPr="00BC4DCB">
        <w:rPr>
          <w:rFonts w:eastAsia="Palatino Linotype" w:cs="Palatino Linotype"/>
          <w:szCs w:val="22"/>
          <w:lang w:eastAsia="es-MX"/>
        </w:rPr>
        <w:t xml:space="preserve">Siendo pertinente aclarar que, la información que se clasifica bajo la premisa de reservada </w:t>
      </w:r>
      <w:r w:rsidRPr="00BC4DCB">
        <w:rPr>
          <w:rFonts w:eastAsia="Palatino Linotype" w:cs="Palatino Linotype"/>
          <w:b/>
          <w:szCs w:val="22"/>
          <w:lang w:eastAsia="es-MX"/>
        </w:rPr>
        <w:t>no pierde el carácter de pública</w:t>
      </w:r>
      <w:r w:rsidRPr="00BC4DCB">
        <w:rPr>
          <w:rFonts w:eastAsia="Palatino Linotype" w:cs="Palatino Linotype"/>
          <w:szCs w:val="22"/>
          <w:lang w:eastAsia="es-MX"/>
        </w:rPr>
        <w:t xml:space="preserve">, sino que </w:t>
      </w:r>
      <w:r w:rsidRPr="00BC4DCB">
        <w:rPr>
          <w:rFonts w:eastAsia="Palatino Linotype" w:cs="Palatino Linotype"/>
          <w:b/>
          <w:szCs w:val="22"/>
          <w:lang w:eastAsia="es-MX"/>
        </w:rPr>
        <w:t>se reserva temporalmente</w:t>
      </w:r>
      <w:r w:rsidRPr="00BC4DCB">
        <w:rPr>
          <w:rFonts w:eastAsia="Palatino Linotype" w:cs="Palatino Linotype"/>
          <w:szCs w:val="22"/>
          <w:lang w:eastAsia="es-MX"/>
        </w:rPr>
        <w:t xml:space="preserve"> </w:t>
      </w:r>
      <w:r w:rsidRPr="00BC4DCB">
        <w:rPr>
          <w:rFonts w:eastAsia="Palatino Linotype" w:cs="Palatino Linotype"/>
          <w:b/>
          <w:szCs w:val="22"/>
          <w:lang w:eastAsia="es-MX"/>
        </w:rPr>
        <w:t>del conocimiento público</w:t>
      </w:r>
      <w:r w:rsidRPr="00BC4DCB">
        <w:rPr>
          <w:rFonts w:eastAsia="Palatino Linotype" w:cs="Palatino Linotype"/>
          <w:szCs w:val="22"/>
          <w:lang w:eastAsia="es-MX"/>
        </w:rPr>
        <w:t xml:space="preserve">, es decir, que, </w:t>
      </w:r>
      <w:r w:rsidRPr="00BC4DCB">
        <w:rPr>
          <w:rFonts w:eastAsia="Palatino Linotype" w:cs="Palatino Linotype"/>
          <w:b/>
          <w:szCs w:val="22"/>
          <w:lang w:eastAsia="es-MX"/>
        </w:rPr>
        <w:t>por un tiempo determinado</w:t>
      </w:r>
      <w:r w:rsidRPr="00BC4DCB">
        <w:rPr>
          <w:rFonts w:eastAsia="Palatino Linotype" w:cs="Palatino Linotype"/>
          <w:szCs w:val="22"/>
          <w:lang w:eastAsia="es-MX"/>
        </w:rPr>
        <w:t>, se conservará y custodiará la información de manera especial, y una vez transcurrido el plazo de reserva, el documento podrá divulgarse.</w:t>
      </w:r>
    </w:p>
    <w:p w14:paraId="51EFAD17" w14:textId="77777777" w:rsidR="00646EDA" w:rsidRPr="00BC4DCB" w:rsidRDefault="00646EDA" w:rsidP="00646EDA">
      <w:pPr>
        <w:rPr>
          <w:rFonts w:eastAsia="Palatino Linotype" w:cs="Palatino Linotype"/>
          <w:szCs w:val="22"/>
          <w:lang w:eastAsia="es-MX"/>
        </w:rPr>
      </w:pPr>
    </w:p>
    <w:p w14:paraId="72D032E7" w14:textId="77777777" w:rsidR="00646EDA" w:rsidRPr="00BC4DCB" w:rsidRDefault="00646EDA" w:rsidP="00646EDA">
      <w:pPr>
        <w:rPr>
          <w:rFonts w:eastAsia="Palatino Linotype" w:cs="Palatino Linotype"/>
          <w:szCs w:val="22"/>
          <w:lang w:eastAsia="es-MX"/>
        </w:rPr>
      </w:pPr>
      <w:r w:rsidRPr="00BC4DCB">
        <w:rPr>
          <w:rFonts w:eastAsia="Palatino Linotype" w:cs="Palatino Linotype"/>
          <w:szCs w:val="22"/>
          <w:lang w:eastAsia="es-MX"/>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383DC92C" w14:textId="77777777" w:rsidR="00646EDA" w:rsidRPr="00BC4DCB" w:rsidRDefault="00646EDA" w:rsidP="00646EDA">
      <w:pPr>
        <w:rPr>
          <w:rFonts w:eastAsia="Palatino Linotype" w:cs="Palatino Linotype"/>
          <w:szCs w:val="22"/>
          <w:lang w:eastAsia="es-MX"/>
        </w:rPr>
      </w:pPr>
    </w:p>
    <w:p w14:paraId="355B5D33" w14:textId="77777777" w:rsidR="00646EDA" w:rsidRPr="00BC4DCB" w:rsidRDefault="00646EDA" w:rsidP="00646EDA">
      <w:pPr>
        <w:rPr>
          <w:rFonts w:eastAsia="Palatino Linotype" w:cs="Palatino Linotype"/>
          <w:color w:val="000000"/>
          <w:szCs w:val="22"/>
          <w:lang w:eastAsia="es-MX"/>
        </w:rPr>
      </w:pPr>
      <w:r w:rsidRPr="00BC4DCB">
        <w:rPr>
          <w:rFonts w:eastAsia="Palatino Linotype" w:cs="Palatino Linotype"/>
          <w:szCs w:val="22"/>
          <w:lang w:eastAsia="es-MX"/>
        </w:rPr>
        <w:lastRenderedPageBreak/>
        <w:t>Lo anterior encuentra sustento en la Tesis de la Décima Época, publicada en la Gaceta del Semanario Judicial de la Federación, sección Tribunales Colegiados de Circuito, Libro 5, de fecha abril de 2014, pág. 1523, Registro, 2,006,299. I.1o.A.E.3 K (10a.)</w:t>
      </w:r>
      <w:r w:rsidRPr="00BC4DCB">
        <w:rPr>
          <w:rFonts w:eastAsia="Palatino Linotype" w:cs="Palatino Linotype"/>
          <w:color w:val="000000"/>
          <w:szCs w:val="22"/>
          <w:lang w:eastAsia="es-MX"/>
        </w:rPr>
        <w:t>, que literalmente señala:</w:t>
      </w:r>
    </w:p>
    <w:p w14:paraId="0D133A8F" w14:textId="77777777" w:rsidR="00646EDA" w:rsidRPr="00BC4DCB" w:rsidRDefault="00646EDA" w:rsidP="00646EDA">
      <w:pPr>
        <w:rPr>
          <w:rFonts w:eastAsia="Palatino Linotype" w:cs="Palatino Linotype"/>
          <w:color w:val="000000"/>
          <w:szCs w:val="22"/>
          <w:lang w:eastAsia="es-MX"/>
        </w:rPr>
      </w:pPr>
    </w:p>
    <w:p w14:paraId="35BA28F0" w14:textId="77777777" w:rsidR="00646EDA" w:rsidRPr="00BC4DCB" w:rsidRDefault="00646EDA" w:rsidP="00646EDA">
      <w:pPr>
        <w:pStyle w:val="Puesto"/>
        <w:rPr>
          <w:rFonts w:eastAsia="Palatino Linotype"/>
          <w:lang w:eastAsia="es-MX"/>
        </w:rPr>
      </w:pPr>
      <w:r w:rsidRPr="00BC4DCB">
        <w:rPr>
          <w:rFonts w:eastAsia="Palatino Linotype"/>
          <w:lang w:eastAsia="es-MX"/>
        </w:rPr>
        <w:t>“</w:t>
      </w:r>
      <w:r w:rsidRPr="00BC4DCB">
        <w:rPr>
          <w:rFonts w:eastAsia="Palatino Linotype"/>
          <w:b/>
          <w:bCs/>
          <w:lang w:eastAsia="es-MX"/>
        </w:rPr>
        <w:t>INFORMACIÓN RESERVADA. APLICACIÓN DE LA "PRUEBA DE DAÑO E INTERÉS PÚBLICO" PARA DETERMINAR LO ADECUADO DE LA APORTADA CON ESA CLASIFICACIÓN EN EL JUICIO DE AMPARO POR LA AUTORIDAD RESPONSABLE, A EFECTO DE HACER VIABLE LA DEFENSA EFECTIVA DEL QUEJOSO.</w:t>
      </w:r>
      <w:r w:rsidRPr="00BC4DCB">
        <w:rPr>
          <w:rFonts w:eastAsia="Palatino Linotype"/>
          <w:lang w:eastAsia="es-MX"/>
        </w:rPr>
        <w:t xml:space="preserve"> 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41C14060" w14:textId="77777777" w:rsidR="00646EDA" w:rsidRPr="00BC4DCB" w:rsidRDefault="00646EDA" w:rsidP="00646EDA">
      <w:pPr>
        <w:ind w:left="851" w:right="902"/>
        <w:rPr>
          <w:rFonts w:eastAsia="Palatino Linotype" w:cs="Palatino Linotype"/>
          <w:i/>
          <w:szCs w:val="22"/>
          <w:lang w:eastAsia="es-MX"/>
        </w:rPr>
      </w:pPr>
    </w:p>
    <w:p w14:paraId="2DCF7DC4" w14:textId="77777777" w:rsidR="00646EDA" w:rsidRPr="00BC4DCB" w:rsidRDefault="00646EDA" w:rsidP="00646EDA">
      <w:pPr>
        <w:rPr>
          <w:rFonts w:eastAsia="Palatino Linotype" w:cs="Palatino Linotype"/>
          <w:szCs w:val="22"/>
          <w:lang w:eastAsia="es-MX"/>
        </w:rPr>
      </w:pPr>
      <w:r w:rsidRPr="00BC4DCB">
        <w:rPr>
          <w:rFonts w:eastAsia="Palatino Linotype" w:cs="Palatino Linotype"/>
          <w:szCs w:val="22"/>
          <w:lang w:eastAsia="es-MX"/>
        </w:rPr>
        <w:t xml:space="preserve">Por todo lo anterior, la reserva de la información implica una clasificación, la cual debe entenderse como el proceso mediante el cual </w:t>
      </w:r>
      <w:r w:rsidRPr="00BC4DCB">
        <w:rPr>
          <w:rFonts w:eastAsia="Palatino Linotype" w:cs="Palatino Linotype"/>
          <w:b/>
          <w:szCs w:val="22"/>
          <w:lang w:eastAsia="es-MX"/>
        </w:rPr>
        <w:t>EL SUJETO OBLIGADO</w:t>
      </w:r>
      <w:r w:rsidRPr="00BC4DCB">
        <w:rPr>
          <w:rFonts w:eastAsia="Palatino Linotype" w:cs="Palatino Linotype"/>
          <w:szCs w:val="22"/>
          <w:lang w:eastAsia="es-MX"/>
        </w:rPr>
        <w:t xml:space="preserve"> determina que la información en su poder actualiza alguno de los supuestos conforme a las normas aplicables.</w:t>
      </w:r>
    </w:p>
    <w:p w14:paraId="0C188858" w14:textId="77777777" w:rsidR="00646EDA" w:rsidRPr="00BC4DCB" w:rsidRDefault="00646EDA" w:rsidP="00646EDA">
      <w:pPr>
        <w:rPr>
          <w:rFonts w:eastAsia="Palatino Linotype" w:cs="Palatino Linotype"/>
          <w:szCs w:val="22"/>
          <w:lang w:eastAsia="es-MX"/>
        </w:rPr>
      </w:pPr>
    </w:p>
    <w:p w14:paraId="24335E07" w14:textId="77777777" w:rsidR="00646EDA" w:rsidRPr="00BC4DCB" w:rsidRDefault="00646EDA" w:rsidP="00646EDA">
      <w:pPr>
        <w:rPr>
          <w:rFonts w:eastAsia="Palatino Linotype" w:cs="Palatino Linotype"/>
          <w:szCs w:val="22"/>
          <w:lang w:eastAsia="es-MX"/>
        </w:rPr>
      </w:pPr>
      <w:r w:rsidRPr="00BC4DCB">
        <w:rPr>
          <w:rFonts w:eastAsia="Palatino Linotype" w:cs="Palatino Linotype"/>
          <w:szCs w:val="22"/>
          <w:lang w:eastAsia="es-MX"/>
        </w:rPr>
        <w:t xml:space="preserve">En tal virtud, conforme al artículo 49, fracción VIII de la Ley de Transparencia y Acceso a la Información Pública del Estado de México y Municipios,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debe confirmar, modificar o revocar la decisión, que para motivar la </w:t>
      </w:r>
      <w:r w:rsidRPr="00BC4DCB">
        <w:rPr>
          <w:rFonts w:eastAsia="Palatino Linotype" w:cs="Palatino Linotype"/>
          <w:szCs w:val="22"/>
          <w:lang w:eastAsia="es-MX"/>
        </w:rPr>
        <w:lastRenderedPageBreak/>
        <w:t xml:space="preserve">clasificación de la información y la ampliación del plazo de reserva, se deberán de señalar las razones, motivos o circunstancias especiales que llevaron al </w:t>
      </w:r>
      <w:r w:rsidRPr="00BC4DCB">
        <w:rPr>
          <w:rFonts w:eastAsia="Palatino Linotype" w:cs="Palatino Linotype"/>
          <w:b/>
          <w:szCs w:val="22"/>
          <w:lang w:eastAsia="es-MX"/>
        </w:rPr>
        <w:t>SUJETO OBLIGADO</w:t>
      </w:r>
      <w:r w:rsidRPr="00BC4DCB">
        <w:rPr>
          <w:rFonts w:eastAsia="Palatino Linotype" w:cs="Palatino Linotype"/>
          <w:szCs w:val="22"/>
          <w:lang w:eastAsia="es-MX"/>
        </w:rPr>
        <w:t xml:space="preserve"> a concluir que el caso particular se ajusta al supuesto previsto por la norma legal invocada como fundamento; siendo que, además, </w:t>
      </w:r>
      <w:r w:rsidRPr="00BC4DCB">
        <w:rPr>
          <w:rFonts w:eastAsia="Palatino Linotype" w:cs="Palatino Linotype"/>
          <w:b/>
          <w:szCs w:val="22"/>
          <w:lang w:eastAsia="es-MX"/>
        </w:rPr>
        <w:t>EL SUJETO OBLIGADO</w:t>
      </w:r>
      <w:r w:rsidRPr="00BC4DCB">
        <w:rPr>
          <w:rFonts w:eastAsia="Palatino Linotype" w:cs="Palatino Linotype"/>
          <w:szCs w:val="22"/>
          <w:lang w:eastAsia="es-MX"/>
        </w:rPr>
        <w:t xml:space="preserve"> debe, en todo momento, aplicar una prueba de daño.</w:t>
      </w:r>
    </w:p>
    <w:p w14:paraId="61AB0603" w14:textId="77777777" w:rsidR="00646EDA" w:rsidRPr="00BC4DCB" w:rsidRDefault="00646EDA" w:rsidP="00646EDA">
      <w:pPr>
        <w:rPr>
          <w:rFonts w:eastAsia="Palatino Linotype" w:cs="Palatino Linotype"/>
          <w:szCs w:val="22"/>
          <w:lang w:eastAsia="es-MX"/>
        </w:rPr>
      </w:pPr>
    </w:p>
    <w:p w14:paraId="79128843" w14:textId="77777777" w:rsidR="00646EDA" w:rsidRPr="00BC4DCB" w:rsidRDefault="00646EDA" w:rsidP="00646EDA">
      <w:pPr>
        <w:rPr>
          <w:rFonts w:eastAsia="Palatino Linotype" w:cs="Palatino Linotype"/>
          <w:szCs w:val="22"/>
          <w:lang w:eastAsia="es-MX"/>
        </w:rPr>
      </w:pPr>
      <w:r w:rsidRPr="00BC4DCB">
        <w:rPr>
          <w:rFonts w:eastAsia="Palatino Linotype" w:cs="Palatino Linotype"/>
          <w:szCs w:val="22"/>
          <w:lang w:eastAsia="es-MX"/>
        </w:rPr>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702771D" w14:textId="77777777" w:rsidR="00646EDA" w:rsidRPr="00BC4DCB" w:rsidRDefault="00646EDA" w:rsidP="00646EDA">
      <w:pPr>
        <w:rPr>
          <w:rFonts w:eastAsia="Palatino Linotype" w:cs="Palatino Linotype"/>
          <w:szCs w:val="22"/>
          <w:lang w:eastAsia="es-MX"/>
        </w:rPr>
      </w:pPr>
    </w:p>
    <w:p w14:paraId="14A06848" w14:textId="77777777" w:rsidR="00646EDA" w:rsidRPr="00BC4DCB" w:rsidRDefault="00646EDA" w:rsidP="00646EDA">
      <w:pPr>
        <w:rPr>
          <w:rFonts w:eastAsia="Palatino Linotype" w:cs="Palatino Linotype"/>
          <w:szCs w:val="22"/>
          <w:lang w:eastAsia="es-MX"/>
        </w:rPr>
      </w:pPr>
      <w:r w:rsidRPr="00BC4DCB">
        <w:rPr>
          <w:rFonts w:eastAsia="Palatino Linotype" w:cs="Palatino Linotype"/>
          <w:szCs w:val="22"/>
          <w:lang w:eastAsia="es-MX"/>
        </w:rPr>
        <w:t>De este modo, conforme al artículo 132 en correlación con el 49, fracción II de la Ley de Transparencia y Acceso a la Información Pública del Estado de México y Municipios,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68CD5657" w14:textId="77777777" w:rsidR="00646EDA" w:rsidRPr="00BC4DCB" w:rsidRDefault="00646EDA" w:rsidP="00646EDA">
      <w:pPr>
        <w:rPr>
          <w:rFonts w:eastAsia="Palatino Linotype" w:cs="Palatino Linotype"/>
          <w:szCs w:val="22"/>
          <w:lang w:eastAsia="es-MX"/>
        </w:rPr>
      </w:pPr>
    </w:p>
    <w:p w14:paraId="28762CAF" w14:textId="77777777" w:rsidR="00646EDA" w:rsidRPr="00BC4DCB" w:rsidRDefault="00646EDA" w:rsidP="00646EDA">
      <w:pPr>
        <w:numPr>
          <w:ilvl w:val="0"/>
          <w:numId w:val="39"/>
        </w:numPr>
        <w:ind w:left="1276" w:hanging="425"/>
        <w:rPr>
          <w:rFonts w:eastAsia="Palatino Linotype" w:cs="Palatino Linotype"/>
          <w:szCs w:val="22"/>
          <w:lang w:eastAsia="es-MX"/>
        </w:rPr>
      </w:pPr>
      <w:r w:rsidRPr="00BC4DCB">
        <w:rPr>
          <w:rFonts w:eastAsia="Palatino Linotype" w:cs="Palatino Linotype"/>
          <w:szCs w:val="22"/>
          <w:lang w:eastAsia="es-MX"/>
        </w:rPr>
        <w:t>Se reciba una solicitud de acceso a la información;</w:t>
      </w:r>
    </w:p>
    <w:p w14:paraId="589D10B0" w14:textId="77777777" w:rsidR="00646EDA" w:rsidRPr="00BC4DCB" w:rsidRDefault="00646EDA" w:rsidP="00646EDA">
      <w:pPr>
        <w:numPr>
          <w:ilvl w:val="0"/>
          <w:numId w:val="39"/>
        </w:numPr>
        <w:ind w:left="1276" w:hanging="425"/>
        <w:rPr>
          <w:rFonts w:eastAsia="Palatino Linotype" w:cs="Palatino Linotype"/>
          <w:szCs w:val="22"/>
          <w:lang w:eastAsia="es-MX"/>
        </w:rPr>
      </w:pPr>
      <w:r w:rsidRPr="00BC4DCB">
        <w:rPr>
          <w:rFonts w:eastAsia="Palatino Linotype" w:cs="Palatino Linotype"/>
          <w:szCs w:val="22"/>
          <w:lang w:eastAsia="es-MX"/>
        </w:rPr>
        <w:t>Se determine mediante resolución de autoridad competente; y/o</w:t>
      </w:r>
    </w:p>
    <w:p w14:paraId="1C9604FC" w14:textId="77777777" w:rsidR="00646EDA" w:rsidRPr="00BC4DCB" w:rsidRDefault="00646EDA" w:rsidP="00646EDA">
      <w:pPr>
        <w:numPr>
          <w:ilvl w:val="0"/>
          <w:numId w:val="39"/>
        </w:numPr>
        <w:ind w:left="1276" w:hanging="425"/>
        <w:rPr>
          <w:rFonts w:eastAsia="Palatino Linotype" w:cs="Palatino Linotype"/>
          <w:szCs w:val="22"/>
          <w:lang w:eastAsia="es-MX"/>
        </w:rPr>
      </w:pPr>
      <w:r w:rsidRPr="00BC4DCB">
        <w:rPr>
          <w:rFonts w:eastAsia="Palatino Linotype" w:cs="Palatino Linotype"/>
          <w:szCs w:val="22"/>
          <w:lang w:eastAsia="es-MX"/>
        </w:rPr>
        <w:t>Se generen versiones públicas para dar cumplimiento a las obligaciones de transparencia previstas en la Ley.</w:t>
      </w:r>
    </w:p>
    <w:p w14:paraId="4249F13E" w14:textId="77777777" w:rsidR="00646EDA" w:rsidRPr="00BC4DCB" w:rsidRDefault="00646EDA" w:rsidP="00646EDA">
      <w:pPr>
        <w:ind w:left="1276"/>
        <w:rPr>
          <w:rFonts w:eastAsia="Palatino Linotype" w:cs="Palatino Linotype"/>
          <w:szCs w:val="22"/>
          <w:lang w:eastAsia="es-MX"/>
        </w:rPr>
      </w:pPr>
    </w:p>
    <w:p w14:paraId="29B8AC1F" w14:textId="77777777" w:rsidR="00646EDA" w:rsidRPr="00BC4DCB" w:rsidRDefault="00646EDA" w:rsidP="00646EDA">
      <w:pPr>
        <w:rPr>
          <w:rFonts w:eastAsia="Palatino Linotype" w:cs="Palatino Linotype"/>
          <w:szCs w:val="22"/>
          <w:lang w:eastAsia="es-MX"/>
        </w:rPr>
      </w:pPr>
      <w:r w:rsidRPr="00BC4DCB">
        <w:rPr>
          <w:rFonts w:eastAsia="Palatino Linotype" w:cs="Palatino Linotype"/>
          <w:szCs w:val="22"/>
          <w:lang w:eastAsia="es-MX"/>
        </w:rPr>
        <w:t>Situación que se robustece con el artículo 141 de la misma Ley, que señala que las causales de reserva previstas se deberán fundar y motivar, a través de la aplicación de la prueba de daño.</w:t>
      </w:r>
    </w:p>
    <w:p w14:paraId="2CAFD783" w14:textId="77777777" w:rsidR="00646EDA" w:rsidRPr="00BC4DCB" w:rsidRDefault="00646EDA" w:rsidP="00646EDA">
      <w:pPr>
        <w:rPr>
          <w:rFonts w:eastAsia="Palatino Linotype" w:cs="Palatino Linotype"/>
          <w:szCs w:val="22"/>
          <w:lang w:eastAsia="es-MX"/>
        </w:rPr>
      </w:pPr>
    </w:p>
    <w:p w14:paraId="70EB838B" w14:textId="77777777" w:rsidR="00646EDA" w:rsidRPr="00BC4DCB" w:rsidRDefault="00646EDA" w:rsidP="00646EDA">
      <w:pPr>
        <w:rPr>
          <w:rFonts w:eastAsia="Palatino Linotype" w:cs="Palatino Linotype"/>
          <w:szCs w:val="22"/>
          <w:lang w:eastAsia="es-MX"/>
        </w:rPr>
      </w:pPr>
      <w:r w:rsidRPr="00BC4DCB">
        <w:rPr>
          <w:rFonts w:eastAsia="Palatino Linotype" w:cs="Palatino Linotype"/>
          <w:szCs w:val="22"/>
          <w:lang w:eastAsia="es-MX"/>
        </w:rPr>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de mérito, para lo cual, los Sujetos Obligados deberán considerar que: </w:t>
      </w:r>
    </w:p>
    <w:p w14:paraId="16226C3A" w14:textId="77777777" w:rsidR="00646EDA" w:rsidRPr="00BC4DCB" w:rsidRDefault="00646EDA" w:rsidP="00646EDA">
      <w:pPr>
        <w:rPr>
          <w:rFonts w:eastAsia="Palatino Linotype" w:cs="Palatino Linotype"/>
          <w:szCs w:val="22"/>
          <w:lang w:eastAsia="es-MX"/>
        </w:rPr>
      </w:pPr>
    </w:p>
    <w:p w14:paraId="419EA2F2" w14:textId="77777777" w:rsidR="00646EDA" w:rsidRPr="00BC4DCB" w:rsidRDefault="00646EDA" w:rsidP="00646EDA">
      <w:pPr>
        <w:numPr>
          <w:ilvl w:val="0"/>
          <w:numId w:val="40"/>
        </w:numPr>
        <w:ind w:left="1134" w:hanging="283"/>
        <w:rPr>
          <w:rFonts w:eastAsia="Palatino Linotype" w:cs="Palatino Linotype"/>
          <w:szCs w:val="22"/>
          <w:lang w:eastAsia="es-MX"/>
        </w:rPr>
      </w:pPr>
      <w:r w:rsidRPr="00BC4DCB">
        <w:rPr>
          <w:rFonts w:eastAsia="Palatino Linotype" w:cs="Palatino Linotype"/>
          <w:szCs w:val="22"/>
          <w:lang w:eastAsia="es-MX"/>
        </w:rPr>
        <w:t xml:space="preserve">La divulgación de la información representa un </w:t>
      </w:r>
      <w:r w:rsidRPr="00BC4DCB">
        <w:rPr>
          <w:rFonts w:eastAsia="Palatino Linotype" w:cs="Palatino Linotype"/>
          <w:b/>
          <w:szCs w:val="22"/>
          <w:lang w:eastAsia="es-MX"/>
        </w:rPr>
        <w:t>riesgo real, demostrable e identificable del perjuicio significativo al interés público o a la seguridad pública</w:t>
      </w:r>
      <w:r w:rsidRPr="00BC4DCB">
        <w:rPr>
          <w:rFonts w:eastAsia="Palatino Linotype" w:cs="Palatino Linotype"/>
          <w:szCs w:val="22"/>
          <w:lang w:eastAsia="es-MX"/>
        </w:rPr>
        <w:t>;</w:t>
      </w:r>
    </w:p>
    <w:p w14:paraId="7DDDE864" w14:textId="77777777" w:rsidR="00646EDA" w:rsidRPr="00BC4DCB" w:rsidRDefault="00646EDA" w:rsidP="00646EDA">
      <w:pPr>
        <w:numPr>
          <w:ilvl w:val="0"/>
          <w:numId w:val="40"/>
        </w:numPr>
        <w:ind w:left="1134" w:hanging="283"/>
        <w:rPr>
          <w:rFonts w:eastAsia="Palatino Linotype" w:cs="Palatino Linotype"/>
          <w:szCs w:val="22"/>
          <w:lang w:eastAsia="es-MX"/>
        </w:rPr>
      </w:pPr>
      <w:r w:rsidRPr="00BC4DCB">
        <w:rPr>
          <w:rFonts w:eastAsia="Palatino Linotype" w:cs="Palatino Linotype"/>
          <w:szCs w:val="22"/>
          <w:lang w:eastAsia="es-MX"/>
        </w:rPr>
        <w:t>El riesgo de perjuicio que supondría la divulgación supera el interés público general de que se difunda; y,</w:t>
      </w:r>
    </w:p>
    <w:p w14:paraId="4529334C" w14:textId="77777777" w:rsidR="00646EDA" w:rsidRPr="00BC4DCB" w:rsidRDefault="00646EDA" w:rsidP="00646EDA">
      <w:pPr>
        <w:numPr>
          <w:ilvl w:val="0"/>
          <w:numId w:val="40"/>
        </w:numPr>
        <w:ind w:left="1134" w:hanging="283"/>
        <w:rPr>
          <w:rFonts w:eastAsia="Palatino Linotype" w:cs="Palatino Linotype"/>
          <w:szCs w:val="22"/>
          <w:lang w:eastAsia="es-MX"/>
        </w:rPr>
      </w:pPr>
      <w:r w:rsidRPr="00BC4DCB">
        <w:rPr>
          <w:rFonts w:eastAsia="Palatino Linotype" w:cs="Palatino Linotype"/>
          <w:szCs w:val="22"/>
          <w:lang w:eastAsia="es-MX"/>
        </w:rPr>
        <w:t xml:space="preserve">La limitación se adecua al principio de proporcionalidad y representa el medio menos restrictivo disponible para evitar el perjuicio. </w:t>
      </w:r>
    </w:p>
    <w:p w14:paraId="58A1C4E6" w14:textId="77777777" w:rsidR="00646EDA" w:rsidRPr="00BC4DCB" w:rsidRDefault="00646EDA" w:rsidP="00646EDA">
      <w:pPr>
        <w:ind w:left="1134"/>
        <w:rPr>
          <w:rFonts w:eastAsia="Palatino Linotype" w:cs="Palatino Linotype"/>
          <w:szCs w:val="22"/>
          <w:lang w:eastAsia="es-MX"/>
        </w:rPr>
      </w:pPr>
    </w:p>
    <w:p w14:paraId="510B80AC" w14:textId="77777777" w:rsidR="00646EDA" w:rsidRPr="00BC4DCB" w:rsidRDefault="00646EDA" w:rsidP="00646EDA">
      <w:pPr>
        <w:rPr>
          <w:rFonts w:eastAsia="Palatino Linotype" w:cs="Palatino Linotype"/>
          <w:lang w:val="es-ES"/>
        </w:rPr>
      </w:pPr>
      <w:r w:rsidRPr="00BC4DCB">
        <w:rPr>
          <w:rFonts w:eastAsia="Palatino Linotype" w:cs="Palatino Linotype"/>
          <w:szCs w:val="22"/>
          <w:lang w:eastAsia="es-MX"/>
        </w:rPr>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7416EF7A" w14:textId="77777777" w:rsidR="00646EDA" w:rsidRPr="00BC4DCB" w:rsidRDefault="00646EDA" w:rsidP="00310720">
      <w:pPr>
        <w:widowControl w:val="0"/>
        <w:tabs>
          <w:tab w:val="left" w:pos="1418"/>
        </w:tabs>
        <w:rPr>
          <w:rFonts w:eastAsia="Palatino Linotype" w:cs="Palatino Linotype"/>
          <w:color w:val="222222"/>
          <w:lang w:val="es-ES"/>
        </w:rPr>
      </w:pPr>
    </w:p>
    <w:p w14:paraId="1315D668" w14:textId="77777777" w:rsidR="00BD67FB" w:rsidRPr="00BC4DCB" w:rsidRDefault="00BD67FB" w:rsidP="00877643">
      <w:pPr>
        <w:pStyle w:val="Ttulo3"/>
      </w:pPr>
      <w:bookmarkStart w:id="47" w:name="_Toc170932829"/>
      <w:bookmarkStart w:id="48" w:name="_Toc213867997"/>
      <w:bookmarkEnd w:id="44"/>
      <w:r w:rsidRPr="00BC4DCB">
        <w:t>f) Conclusión</w:t>
      </w:r>
      <w:bookmarkEnd w:id="47"/>
      <w:bookmarkEnd w:id="48"/>
    </w:p>
    <w:p w14:paraId="47CF17D1" w14:textId="50E622B1" w:rsidR="00BD67FB" w:rsidRPr="00BC4DCB" w:rsidRDefault="000E3AC8" w:rsidP="00BD67FB">
      <w:pPr>
        <w:widowControl w:val="0"/>
        <w:tabs>
          <w:tab w:val="left" w:pos="1701"/>
          <w:tab w:val="left" w:pos="1843"/>
        </w:tabs>
        <w:rPr>
          <w:rFonts w:eastAsia="Palatino Linotype" w:cs="Palatino Linotype"/>
          <w:color w:val="000000"/>
        </w:rPr>
      </w:pPr>
      <w:r w:rsidRPr="00BC4DCB">
        <w:rPr>
          <w:rFonts w:eastAsia="Palatino Linotype" w:cs="Palatino Linotype"/>
          <w:color w:val="000000"/>
        </w:rPr>
        <w:t>Debido a</w:t>
      </w:r>
      <w:r w:rsidR="00BD67FB" w:rsidRPr="00BC4DCB">
        <w:rPr>
          <w:rFonts w:eastAsia="Palatino Linotype" w:cs="Palatino Linotype"/>
          <w:color w:val="000000"/>
        </w:rPr>
        <w:t xml:space="preserve"> lo anteriormente expuesto, este Instituto estima que las razones o motivos de inconformidad hechos valer por </w:t>
      </w:r>
      <w:r w:rsidR="00BD67FB" w:rsidRPr="00BC4DCB">
        <w:rPr>
          <w:rFonts w:eastAsia="Aptos" w:cs="Tahoma"/>
          <w:b/>
          <w:iCs/>
          <w:color w:val="000000" w:themeColor="text1"/>
          <w:szCs w:val="22"/>
          <w:lang w:eastAsia="en-US"/>
        </w:rPr>
        <w:t>LA PARTE RECURRENTE</w:t>
      </w:r>
      <w:r w:rsidR="00BD67FB" w:rsidRPr="00BC4DCB">
        <w:rPr>
          <w:rFonts w:eastAsia="Aptos" w:cs="Tahoma"/>
          <w:bCs/>
          <w:iCs/>
          <w:color w:val="000000" w:themeColor="text1"/>
          <w:szCs w:val="22"/>
          <w:lang w:eastAsia="en-US"/>
        </w:rPr>
        <w:t xml:space="preserve"> </w:t>
      </w:r>
      <w:r w:rsidR="00BD67FB" w:rsidRPr="00BC4DCB">
        <w:rPr>
          <w:rFonts w:eastAsia="Palatino Linotype" w:cs="Palatino Linotype"/>
          <w:color w:val="000000"/>
        </w:rPr>
        <w:t xml:space="preserve">devienen </w:t>
      </w:r>
      <w:r w:rsidR="00BD67FB" w:rsidRPr="00BC4DCB">
        <w:rPr>
          <w:rFonts w:eastAsia="Palatino Linotype" w:cs="Palatino Linotype"/>
          <w:b/>
          <w:color w:val="000000"/>
        </w:rPr>
        <w:t>fundadas</w:t>
      </w:r>
      <w:r w:rsidR="00BD67FB" w:rsidRPr="00BC4DCB">
        <w:rPr>
          <w:rFonts w:eastAsia="Palatino Linotype" w:cs="Palatino Linotype"/>
          <w:color w:val="000000"/>
        </w:rPr>
        <w:t xml:space="preserve"> y suficientes para </w:t>
      </w:r>
      <w:r w:rsidR="00646EDA" w:rsidRPr="00BC4DCB">
        <w:rPr>
          <w:rFonts w:eastAsia="Palatino Linotype" w:cs="Palatino Linotype"/>
          <w:b/>
          <w:color w:val="000000"/>
        </w:rPr>
        <w:t>REVOCA</w:t>
      </w:r>
      <w:r w:rsidR="00BD67FB" w:rsidRPr="00BC4DCB">
        <w:rPr>
          <w:rFonts w:eastAsia="Palatino Linotype" w:cs="Palatino Linotype"/>
          <w:color w:val="000000"/>
        </w:rPr>
        <w:t xml:space="preserve"> la respuesta del </w:t>
      </w:r>
      <w:r w:rsidR="00BD67FB" w:rsidRPr="00BC4DCB">
        <w:rPr>
          <w:rFonts w:eastAsia="Palatino Linotype" w:cs="Palatino Linotype"/>
          <w:b/>
          <w:color w:val="000000"/>
        </w:rPr>
        <w:t>SUJETO OBLIGADO</w:t>
      </w:r>
      <w:r w:rsidR="00BD67FB" w:rsidRPr="00BC4DCB">
        <w:rPr>
          <w:rFonts w:eastAsia="Palatino Linotype" w:cs="Palatino Linotype"/>
          <w:color w:val="000000"/>
        </w:rPr>
        <w:t xml:space="preserve"> y ordenarle haga entrega de la </w:t>
      </w:r>
      <w:r w:rsidR="00BD67FB" w:rsidRPr="00BC4DCB">
        <w:rPr>
          <w:rFonts w:eastAsia="Palatino Linotype" w:cs="Palatino Linotype"/>
          <w:color w:val="000000"/>
        </w:rPr>
        <w:lastRenderedPageBreak/>
        <w:t>información descrita en el presente Considerando.</w:t>
      </w:r>
    </w:p>
    <w:p w14:paraId="1A7E2143" w14:textId="77777777" w:rsidR="00BD67FB" w:rsidRPr="00BC4DCB" w:rsidRDefault="00BD67FB" w:rsidP="00BF4A10">
      <w:pPr>
        <w:rPr>
          <w:rFonts w:cs="Tahoma"/>
          <w:szCs w:val="24"/>
        </w:rPr>
      </w:pPr>
    </w:p>
    <w:bookmarkEnd w:id="45"/>
    <w:p w14:paraId="66C269F2" w14:textId="00F9EB65" w:rsidR="002207C2" w:rsidRPr="00BC4DCB" w:rsidRDefault="002207C2" w:rsidP="002207C2">
      <w:pPr>
        <w:ind w:right="-93"/>
        <w:rPr>
          <w:rFonts w:cs="Tahoma"/>
          <w:bCs/>
          <w:szCs w:val="22"/>
        </w:rPr>
      </w:pPr>
      <w:r w:rsidRPr="00BC4DCB">
        <w:rPr>
          <w:rFonts w:cs="Tahoma"/>
          <w:bCs/>
          <w:szCs w:val="22"/>
        </w:rPr>
        <w:t xml:space="preserve">Así, con fundamento en lo establecido en los artículos 5, </w:t>
      </w:r>
      <w:r w:rsidR="00674AB3" w:rsidRPr="00BC4DCB">
        <w:rPr>
          <w:rFonts w:cs="Tahoma"/>
          <w:bCs/>
          <w:szCs w:val="22"/>
        </w:rPr>
        <w:t xml:space="preserve">párrafos trigésimo noveno, cuadragésimo y cuadragésimo primero, fracciones IV y V, </w:t>
      </w:r>
      <w:r w:rsidRPr="00BC4DCB">
        <w:rPr>
          <w:rFonts w:cs="Tahoma"/>
          <w:bCs/>
          <w:szCs w:val="22"/>
        </w:rPr>
        <w:t>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B675FAD" w14:textId="77777777" w:rsidR="002207C2" w:rsidRPr="00BC4DCB" w:rsidRDefault="002207C2" w:rsidP="002207C2"/>
    <w:p w14:paraId="57CE45DD" w14:textId="77777777" w:rsidR="002207C2" w:rsidRPr="00BC4DCB" w:rsidRDefault="002207C2" w:rsidP="002207C2">
      <w:pPr>
        <w:pStyle w:val="Ttulo1"/>
      </w:pPr>
      <w:bookmarkStart w:id="49" w:name="_Toc204205573"/>
      <w:bookmarkStart w:id="50" w:name="_Toc213867998"/>
      <w:r w:rsidRPr="00BC4DCB">
        <w:t>RESUELVE</w:t>
      </w:r>
      <w:bookmarkEnd w:id="49"/>
      <w:bookmarkEnd w:id="50"/>
    </w:p>
    <w:p w14:paraId="1F5B1D35" w14:textId="77777777" w:rsidR="002207C2" w:rsidRPr="00BC4DCB" w:rsidRDefault="002207C2" w:rsidP="002207C2">
      <w:pPr>
        <w:ind w:right="113"/>
        <w:rPr>
          <w:rFonts w:cs="Arial"/>
          <w:b/>
          <w:szCs w:val="22"/>
        </w:rPr>
      </w:pPr>
    </w:p>
    <w:p w14:paraId="057C3FA4" w14:textId="4E9B2387" w:rsidR="002207C2" w:rsidRPr="00BC4DCB" w:rsidRDefault="002207C2" w:rsidP="002207C2">
      <w:pPr>
        <w:widowControl w:val="0"/>
        <w:rPr>
          <w:rFonts w:eastAsia="Calibri" w:cs="Tahoma"/>
          <w:bCs/>
          <w:szCs w:val="22"/>
          <w:lang w:eastAsia="en-US"/>
        </w:rPr>
      </w:pPr>
      <w:r w:rsidRPr="00BC4DCB">
        <w:rPr>
          <w:b/>
          <w:bCs/>
        </w:rPr>
        <w:t>PRIMERO.</w:t>
      </w:r>
      <w:r w:rsidRPr="00BC4DCB">
        <w:t xml:space="preserve"> </w:t>
      </w:r>
      <w:r w:rsidRPr="00BC4DCB">
        <w:rPr>
          <w:rFonts w:cs="Tahoma"/>
          <w:szCs w:val="22"/>
        </w:rPr>
        <w:t xml:space="preserve">Se </w:t>
      </w:r>
      <w:r w:rsidR="00646EDA" w:rsidRPr="00BC4DCB">
        <w:rPr>
          <w:rFonts w:cs="Tahoma"/>
          <w:b/>
          <w:bCs/>
          <w:szCs w:val="22"/>
        </w:rPr>
        <w:t>REVOCA</w:t>
      </w:r>
      <w:r w:rsidRPr="00BC4DCB">
        <w:rPr>
          <w:rFonts w:cs="Tahoma"/>
          <w:szCs w:val="22"/>
        </w:rPr>
        <w:t xml:space="preserve"> la respuesta entregada por el </w:t>
      </w:r>
      <w:r w:rsidRPr="00BC4DCB">
        <w:rPr>
          <w:rFonts w:cs="Tahoma"/>
          <w:b/>
          <w:bCs/>
          <w:szCs w:val="22"/>
        </w:rPr>
        <w:t>SUJETO OBLIGADO</w:t>
      </w:r>
      <w:r w:rsidRPr="00BC4DCB">
        <w:rPr>
          <w:rFonts w:cs="Tahoma"/>
          <w:szCs w:val="22"/>
        </w:rPr>
        <w:t xml:space="preserve"> en la solicitud de información </w:t>
      </w:r>
      <w:r w:rsidR="00646EDA" w:rsidRPr="00BC4DCB">
        <w:rPr>
          <w:rFonts w:eastAsia="Calibri"/>
          <w:b/>
          <w:bCs/>
          <w:lang w:eastAsia="en-US"/>
        </w:rPr>
        <w:t>00171/HRZUM/IP/2025</w:t>
      </w:r>
      <w:r w:rsidRPr="00BC4DCB">
        <w:rPr>
          <w:rFonts w:eastAsia="Palatino Linotype"/>
          <w:b/>
          <w:szCs w:val="22"/>
        </w:rPr>
        <w:t>,</w:t>
      </w:r>
      <w:r w:rsidRPr="00BC4DCB">
        <w:rPr>
          <w:rFonts w:cs="Tahoma"/>
          <w:bCs/>
          <w:szCs w:val="22"/>
        </w:rPr>
        <w:t xml:space="preserve"> </w:t>
      </w:r>
      <w:r w:rsidRPr="00BC4DCB">
        <w:rPr>
          <w:rFonts w:eastAsia="Calibri" w:cs="Tahoma"/>
          <w:bCs/>
          <w:szCs w:val="22"/>
          <w:lang w:eastAsia="en-US"/>
        </w:rPr>
        <w:t xml:space="preserve">por resultar </w:t>
      </w:r>
      <w:r w:rsidRPr="00BC4DCB">
        <w:rPr>
          <w:rFonts w:eastAsia="Calibri" w:cs="Tahoma"/>
          <w:b/>
          <w:bCs/>
          <w:szCs w:val="22"/>
          <w:lang w:eastAsia="en-US"/>
        </w:rPr>
        <w:t>FUNDADAS</w:t>
      </w:r>
      <w:r w:rsidRPr="00BC4DCB">
        <w:rPr>
          <w:rFonts w:eastAsia="Calibri" w:cs="Tahoma"/>
          <w:bCs/>
          <w:szCs w:val="22"/>
          <w:lang w:eastAsia="en-US"/>
        </w:rPr>
        <w:t xml:space="preserve"> las razones o motivos de inconformidad hechos valer por </w:t>
      </w:r>
      <w:r w:rsidRPr="00BC4DCB">
        <w:rPr>
          <w:rFonts w:eastAsia="Calibri" w:cs="Tahoma"/>
          <w:b/>
          <w:szCs w:val="22"/>
          <w:lang w:eastAsia="en-US"/>
        </w:rPr>
        <w:t>LA PARTE RECURRENTE</w:t>
      </w:r>
      <w:r w:rsidRPr="00BC4DCB">
        <w:rPr>
          <w:rFonts w:eastAsia="Calibri" w:cs="Tahoma"/>
          <w:bCs/>
          <w:szCs w:val="22"/>
          <w:lang w:eastAsia="en-US"/>
        </w:rPr>
        <w:t xml:space="preserve"> en el Recurso de Revisión </w:t>
      </w:r>
      <w:r w:rsidR="00646EDA" w:rsidRPr="00BC4DCB">
        <w:rPr>
          <w:rFonts w:eastAsia="Calibri"/>
          <w:b/>
          <w:lang w:eastAsia="en-US"/>
        </w:rPr>
        <w:t>12092</w:t>
      </w:r>
      <w:r w:rsidRPr="00BC4DCB">
        <w:rPr>
          <w:rFonts w:eastAsia="Calibri"/>
          <w:b/>
          <w:lang w:eastAsia="en-US"/>
        </w:rPr>
        <w:t>/INFOEM/IP/RR/2025</w:t>
      </w:r>
      <w:r w:rsidRPr="00BC4DCB">
        <w:rPr>
          <w:rFonts w:eastAsiaTheme="minorHAnsi" w:cstheme="minorBidi"/>
          <w:color w:val="000000" w:themeColor="text1"/>
          <w:szCs w:val="22"/>
          <w:lang w:eastAsia="en-US"/>
        </w:rPr>
        <w:t>,</w:t>
      </w:r>
      <w:r w:rsidRPr="00BC4DCB">
        <w:rPr>
          <w:rFonts w:cs="Tahoma"/>
          <w:b/>
          <w:color w:val="0D0D0D"/>
          <w:szCs w:val="22"/>
        </w:rPr>
        <w:t xml:space="preserve"> </w:t>
      </w:r>
      <w:r w:rsidRPr="00BC4DCB">
        <w:rPr>
          <w:rFonts w:eastAsia="Calibri" w:cs="Tahoma"/>
          <w:bCs/>
          <w:szCs w:val="22"/>
          <w:lang w:eastAsia="en-US"/>
        </w:rPr>
        <w:t xml:space="preserve">en términos del considerando </w:t>
      </w:r>
      <w:r w:rsidRPr="00BC4DCB">
        <w:rPr>
          <w:rFonts w:eastAsia="Calibri" w:cs="Tahoma"/>
          <w:b/>
          <w:szCs w:val="22"/>
          <w:lang w:eastAsia="en-US"/>
        </w:rPr>
        <w:t>SEGUNDO</w:t>
      </w:r>
      <w:r w:rsidRPr="00BC4DCB">
        <w:rPr>
          <w:rFonts w:eastAsia="Calibri" w:cs="Tahoma"/>
          <w:bCs/>
          <w:szCs w:val="22"/>
          <w:lang w:eastAsia="en-US"/>
        </w:rPr>
        <w:t xml:space="preserve"> de la presente Resolución.</w:t>
      </w:r>
    </w:p>
    <w:p w14:paraId="0AA231B3" w14:textId="77777777" w:rsidR="002207C2" w:rsidRPr="00BC4DCB" w:rsidRDefault="002207C2" w:rsidP="002207C2">
      <w:pPr>
        <w:rPr>
          <w:rFonts w:eastAsia="Palatino Linotype"/>
          <w:b/>
          <w:szCs w:val="22"/>
        </w:rPr>
      </w:pPr>
    </w:p>
    <w:p w14:paraId="0B595F92" w14:textId="30AED77F" w:rsidR="002207C2" w:rsidRPr="00BC4DCB" w:rsidRDefault="002207C2" w:rsidP="002207C2">
      <w:pPr>
        <w:ind w:right="-93"/>
        <w:rPr>
          <w:rFonts w:eastAsia="Calibri" w:cs="Tahoma"/>
          <w:bCs/>
          <w:szCs w:val="22"/>
          <w:lang w:eastAsia="en-US"/>
        </w:rPr>
      </w:pPr>
      <w:r w:rsidRPr="00BC4DCB">
        <w:rPr>
          <w:rFonts w:eastAsia="Calibri" w:cs="Tahoma"/>
          <w:b/>
          <w:bCs/>
          <w:szCs w:val="22"/>
          <w:lang w:eastAsia="en-US"/>
        </w:rPr>
        <w:t>SEGUNDO.</w:t>
      </w:r>
      <w:r w:rsidRPr="00BC4DCB">
        <w:rPr>
          <w:rFonts w:eastAsia="Calibri" w:cs="Tahoma"/>
          <w:szCs w:val="22"/>
          <w:lang w:eastAsia="es-MX"/>
        </w:rPr>
        <w:t xml:space="preserve"> Se </w:t>
      </w:r>
      <w:r w:rsidRPr="00BC4DCB">
        <w:rPr>
          <w:rFonts w:eastAsia="Calibri" w:cs="Tahoma"/>
          <w:b/>
          <w:szCs w:val="22"/>
          <w:lang w:eastAsia="es-MX"/>
        </w:rPr>
        <w:t xml:space="preserve">ORDENA </w:t>
      </w:r>
      <w:r w:rsidRPr="00BC4DCB">
        <w:rPr>
          <w:rFonts w:eastAsia="Calibri" w:cs="Tahoma"/>
          <w:szCs w:val="22"/>
          <w:lang w:eastAsia="es-MX"/>
        </w:rPr>
        <w:t xml:space="preserve">al </w:t>
      </w:r>
      <w:r w:rsidRPr="00BC4DCB">
        <w:rPr>
          <w:rFonts w:eastAsia="Calibri" w:cs="Tahoma"/>
          <w:b/>
          <w:bCs/>
          <w:szCs w:val="22"/>
          <w:lang w:eastAsia="es-MX"/>
        </w:rPr>
        <w:t>SUJETO OBLIGADO</w:t>
      </w:r>
      <w:r w:rsidRPr="00BC4DCB">
        <w:rPr>
          <w:rFonts w:eastAsia="Calibri" w:cs="Tahoma"/>
          <w:szCs w:val="22"/>
          <w:lang w:eastAsia="es-MX"/>
        </w:rPr>
        <w:t xml:space="preserve">, </w:t>
      </w:r>
      <w:r w:rsidR="000E2694" w:rsidRPr="00BC4DCB">
        <w:rPr>
          <w:rFonts w:eastAsia="Calibri" w:cs="Tahoma"/>
          <w:bCs/>
          <w:szCs w:val="22"/>
          <w:lang w:eastAsia="en-US"/>
        </w:rPr>
        <w:t xml:space="preserve">a efecto de que entregue a través del </w:t>
      </w:r>
      <w:r w:rsidR="000E2694" w:rsidRPr="00BC4DCB">
        <w:rPr>
          <w:rFonts w:eastAsia="Calibri" w:cs="Tahoma"/>
          <w:b/>
          <w:bCs/>
          <w:szCs w:val="22"/>
          <w:lang w:eastAsia="en-US"/>
        </w:rPr>
        <w:t>SAIMEX</w:t>
      </w:r>
      <w:r w:rsidR="000E2694" w:rsidRPr="00BC4DCB">
        <w:rPr>
          <w:rFonts w:eastAsia="Calibri" w:cs="Tahoma"/>
          <w:bCs/>
          <w:szCs w:val="22"/>
          <w:lang w:eastAsia="en-US"/>
        </w:rPr>
        <w:t xml:space="preserve">, de ser procedente </w:t>
      </w:r>
      <w:r w:rsidR="004B216A" w:rsidRPr="00BC4DCB">
        <w:rPr>
          <w:rFonts w:eastAsia="Calibri"/>
        </w:rPr>
        <w:t xml:space="preserve">en </w:t>
      </w:r>
      <w:r w:rsidR="004B216A" w:rsidRPr="00BC4DCB">
        <w:rPr>
          <w:rFonts w:eastAsia="Calibri"/>
          <w:b/>
        </w:rPr>
        <w:t>versión pública</w:t>
      </w:r>
      <w:r w:rsidR="008B508D" w:rsidRPr="00BC4DCB">
        <w:rPr>
          <w:rFonts w:eastAsia="Calibri"/>
          <w:b/>
        </w:rPr>
        <w:t xml:space="preserve">, </w:t>
      </w:r>
      <w:r w:rsidR="000E2694" w:rsidRPr="00BC4DCB">
        <w:rPr>
          <w:rFonts w:eastAsia="Calibri" w:cs="Tahoma"/>
          <w:bCs/>
          <w:szCs w:val="22"/>
          <w:lang w:eastAsia="en-US"/>
        </w:rPr>
        <w:t>lo</w:t>
      </w:r>
      <w:r w:rsidRPr="00BC4DCB">
        <w:rPr>
          <w:rFonts w:eastAsia="Calibri" w:cs="Tahoma"/>
          <w:bCs/>
          <w:szCs w:val="22"/>
          <w:lang w:eastAsia="en-US"/>
        </w:rPr>
        <w:t xml:space="preserve"> siguiente:</w:t>
      </w:r>
    </w:p>
    <w:p w14:paraId="7E58A8E1" w14:textId="77777777" w:rsidR="004B216A" w:rsidRPr="00BC4DCB" w:rsidRDefault="004B216A" w:rsidP="002207C2">
      <w:pPr>
        <w:ind w:right="-93"/>
        <w:rPr>
          <w:rFonts w:eastAsia="Calibri" w:cs="Tahoma"/>
          <w:bCs/>
          <w:szCs w:val="22"/>
          <w:lang w:eastAsia="en-US"/>
        </w:rPr>
      </w:pPr>
    </w:p>
    <w:p w14:paraId="457D1E65" w14:textId="71EF2500" w:rsidR="00646EDA" w:rsidRPr="00BC4DCB" w:rsidRDefault="00646EDA" w:rsidP="00646EDA">
      <w:pPr>
        <w:pStyle w:val="Puesto"/>
        <w:rPr>
          <w:b/>
        </w:rPr>
      </w:pPr>
      <w:r w:rsidRPr="00BC4DCB">
        <w:rPr>
          <w:b/>
        </w:rPr>
        <w:t>Los acuses de oficios y los oficios recibidos por la Unidad de Información, Planeación, Programación y Evaluación correspondientes a enero y febrero de dos mil veinticinco; así como</w:t>
      </w:r>
      <w:r w:rsidR="00E12F50" w:rsidRPr="00BC4DCB">
        <w:rPr>
          <w:b/>
        </w:rPr>
        <w:t xml:space="preserve">, el documento donde conste </w:t>
      </w:r>
      <w:r w:rsidRPr="00BC4DCB">
        <w:rPr>
          <w:b/>
        </w:rPr>
        <w:t xml:space="preserve">el </w:t>
      </w:r>
      <w:r w:rsidR="00E12F50" w:rsidRPr="00BC4DCB">
        <w:rPr>
          <w:b/>
        </w:rPr>
        <w:t xml:space="preserve">listado </w:t>
      </w:r>
      <w:r w:rsidRPr="00BC4DCB">
        <w:rPr>
          <w:b/>
        </w:rPr>
        <w:t xml:space="preserve">de los números de oficio emitidos de manera consecutiva. </w:t>
      </w:r>
    </w:p>
    <w:p w14:paraId="77C46C56" w14:textId="77777777" w:rsidR="00646EDA" w:rsidRPr="00BC4DCB" w:rsidRDefault="00646EDA" w:rsidP="007B745A"/>
    <w:p w14:paraId="73DDFCE0" w14:textId="0CE7F93A" w:rsidR="004B216A" w:rsidRPr="00BC4DCB" w:rsidRDefault="000E2694" w:rsidP="004B216A">
      <w:pPr>
        <w:rPr>
          <w:bCs/>
        </w:rPr>
      </w:pPr>
      <w:r w:rsidRPr="00BC4DCB">
        <w:rPr>
          <w:rFonts w:eastAsia="Calibri" w:cs="Tahoma"/>
          <w:bCs/>
          <w:szCs w:val="22"/>
          <w:lang w:eastAsia="en-US"/>
        </w:rPr>
        <w:t xml:space="preserve">De ser necesarias </w:t>
      </w:r>
      <w:r w:rsidR="004B216A" w:rsidRPr="00BC4DCB">
        <w:rPr>
          <w:rFonts w:eastAsia="Calibri" w:cs="Tahoma"/>
          <w:bCs/>
          <w:szCs w:val="22"/>
          <w:lang w:eastAsia="en-US"/>
        </w:rPr>
        <w:t xml:space="preserve">las </w:t>
      </w:r>
      <w:r w:rsidR="004B216A" w:rsidRPr="00BC4DCB">
        <w:rPr>
          <w:rFonts w:eastAsia="Palatino Linotype" w:cs="Palatino Linotype"/>
          <w:szCs w:val="22"/>
        </w:rPr>
        <w:t>versiones</w:t>
      </w:r>
      <w:r w:rsidR="004B216A" w:rsidRPr="00BC4DCB">
        <w:rPr>
          <w:rFonts w:eastAsia="Calibri" w:cs="Tahoma"/>
          <w:bCs/>
          <w:szCs w:val="22"/>
          <w:lang w:eastAsia="en-US"/>
        </w:rPr>
        <w:t xml:space="preserve"> públicas</w:t>
      </w:r>
      <w:r w:rsidR="004B216A" w:rsidRPr="00BC4DCB">
        <w:rPr>
          <w:bCs/>
        </w:rPr>
        <w:t xml:space="preserve">, se deberá entregar el Acuerdo del Comité de Transparencia mediante el cual se apruebe la clasificación de información, en términos del </w:t>
      </w:r>
      <w:r w:rsidR="004B216A" w:rsidRPr="00BC4DCB">
        <w:rPr>
          <w:bCs/>
        </w:rPr>
        <w:lastRenderedPageBreak/>
        <w:t>artículo 49, fracción VIII de la Ley de Transparencia y Acceso a la Información Pública del Estado de México y Municipios.</w:t>
      </w:r>
    </w:p>
    <w:p w14:paraId="168FDA0A" w14:textId="77777777" w:rsidR="007B745A" w:rsidRPr="00BC4DCB" w:rsidRDefault="007B745A" w:rsidP="002207C2">
      <w:pPr>
        <w:rPr>
          <w:b/>
          <w:bCs/>
        </w:rPr>
      </w:pPr>
    </w:p>
    <w:p w14:paraId="780F791D" w14:textId="77777777" w:rsidR="002207C2" w:rsidRPr="00BC4DCB" w:rsidRDefault="002207C2" w:rsidP="002207C2">
      <w:r w:rsidRPr="00BC4DCB">
        <w:rPr>
          <w:b/>
          <w:bCs/>
        </w:rPr>
        <w:t>TERCERO.</w:t>
      </w:r>
      <w:r w:rsidRPr="00BC4DCB">
        <w:t xml:space="preserve"> </w:t>
      </w:r>
      <w:r w:rsidRPr="00BC4DCB">
        <w:rPr>
          <w:rFonts w:eastAsia="Palatino Linotype" w:cs="Palatino Linotype"/>
          <w:b/>
          <w:color w:val="000000" w:themeColor="text1"/>
          <w:lang w:eastAsia="es-MX"/>
        </w:rPr>
        <w:t xml:space="preserve">Notifíquese </w:t>
      </w:r>
      <w:r w:rsidRPr="00BC4DCB">
        <w:rPr>
          <w:color w:val="000000" w:themeColor="text1"/>
          <w:szCs w:val="17"/>
          <w:lang w:eastAsia="es-ES_tradnl"/>
        </w:rPr>
        <w:t xml:space="preserve">vía </w:t>
      </w:r>
      <w:r w:rsidRPr="00BC4DCB">
        <w:rPr>
          <w:rFonts w:cs="Arial"/>
          <w:color w:val="000000" w:themeColor="text1"/>
        </w:rPr>
        <w:t>Sistema de Acceso a la Información Mexiquense (</w:t>
      </w:r>
      <w:r w:rsidRPr="00BC4DCB">
        <w:rPr>
          <w:rFonts w:cs="Arial"/>
          <w:b/>
          <w:bCs/>
          <w:color w:val="000000" w:themeColor="text1"/>
        </w:rPr>
        <w:t>SAIMEX)</w:t>
      </w:r>
      <w:r w:rsidRPr="00BC4DCB">
        <w:rPr>
          <w:color w:val="000000" w:themeColor="text1"/>
          <w:shd w:val="clear" w:color="auto" w:fill="FFFFFF"/>
        </w:rPr>
        <w:t xml:space="preserve"> la presente resolución al Titular de la Unidad de Transparencia del Sujeto Obligado</w:t>
      </w:r>
      <w:r w:rsidRPr="00BC4DCB">
        <w:t xml:space="preserve">, para que conforme al artículo 186 último párrafo, 189 segundo párrafo y 194 de la Ley de Transparencia y Acceso a la Información Pública del Estado de México y Municipios, dé cumplimiento a lo ordenado dentro del plazo de </w:t>
      </w:r>
      <w:r w:rsidRPr="00BC4DCB">
        <w:rPr>
          <w:b/>
          <w:bCs/>
        </w:rPr>
        <w:t>diez días hábiles</w:t>
      </w:r>
      <w:r w:rsidRPr="00BC4DCB">
        <w:t xml:space="preserve">, e informe a este Instituto en un plazo de </w:t>
      </w:r>
      <w:r w:rsidRPr="00BC4DCB">
        <w:rPr>
          <w:b/>
          <w:bCs/>
        </w:rPr>
        <w:t>tres días hábiles</w:t>
      </w:r>
      <w:r w:rsidRPr="00BC4DCB">
        <w:t xml:space="preserve"> siguientes, sobre el cumplimiento dado a la presente. Asimismo,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4A64559" w14:textId="77777777" w:rsidR="002207C2" w:rsidRPr="00BC4DCB" w:rsidRDefault="002207C2" w:rsidP="002207C2"/>
    <w:p w14:paraId="79BF2BE3" w14:textId="77777777" w:rsidR="002207C2" w:rsidRPr="00BC4DCB" w:rsidRDefault="002207C2" w:rsidP="002207C2">
      <w:r w:rsidRPr="00BC4DCB">
        <w:rPr>
          <w:b/>
          <w:bCs/>
        </w:rPr>
        <w:t>CUARTO.</w:t>
      </w:r>
      <w:r w:rsidRPr="00BC4DCB">
        <w:t xml:space="preserve"> Notifíquese a </w:t>
      </w:r>
      <w:r w:rsidRPr="00BC4DCB">
        <w:rPr>
          <w:b/>
          <w:bCs/>
        </w:rPr>
        <w:t>LA PARTE RECURRENTE</w:t>
      </w:r>
      <w:r w:rsidRPr="00BC4DCB">
        <w:t xml:space="preserve"> la presente resolución vía Sistema de Acceso a la Información Mexiquense (SAIMEX).</w:t>
      </w:r>
    </w:p>
    <w:p w14:paraId="3603AB63" w14:textId="77777777" w:rsidR="002207C2" w:rsidRPr="00BC4DCB" w:rsidRDefault="002207C2" w:rsidP="002207C2"/>
    <w:p w14:paraId="45D2BB9F" w14:textId="77777777" w:rsidR="002207C2" w:rsidRPr="00BC4DCB" w:rsidRDefault="002207C2" w:rsidP="002207C2">
      <w:r w:rsidRPr="00BC4DCB">
        <w:rPr>
          <w:b/>
          <w:bCs/>
        </w:rPr>
        <w:t>QUINTO</w:t>
      </w:r>
      <w:r w:rsidRPr="00BC4DCB">
        <w:t xml:space="preserve">. Hágase del conocimiento a </w:t>
      </w:r>
      <w:r w:rsidRPr="00BC4DCB">
        <w:rPr>
          <w:b/>
          <w:bCs/>
        </w:rPr>
        <w:t>LA PARTE RECURRENTE</w:t>
      </w:r>
      <w:r w:rsidRPr="00BC4DCB">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074A79E" w14:textId="77777777" w:rsidR="002207C2" w:rsidRPr="00BC4DCB" w:rsidRDefault="002207C2" w:rsidP="002207C2">
      <w:pPr>
        <w:widowControl w:val="0"/>
        <w:autoSpaceDE w:val="0"/>
        <w:autoSpaceDN w:val="0"/>
        <w:adjustRightInd w:val="0"/>
      </w:pPr>
    </w:p>
    <w:p w14:paraId="564F1E9B" w14:textId="77777777" w:rsidR="002207C2" w:rsidRPr="00BC4DCB" w:rsidRDefault="002207C2" w:rsidP="002207C2">
      <w:r w:rsidRPr="00BC4DCB">
        <w:rPr>
          <w:b/>
          <w:bCs/>
        </w:rPr>
        <w:t>SEXTO.</w:t>
      </w:r>
      <w:r w:rsidRPr="00BC4DCB">
        <w:t xml:space="preserve"> De conformidad con el artículo 198 de la Ley de Transparencia y Acceso a la Información Pública del Estado de México y Municipios, el </w:t>
      </w:r>
      <w:r w:rsidRPr="00BC4DCB">
        <w:rPr>
          <w:b/>
          <w:bCs/>
        </w:rPr>
        <w:t>SUJETO OBLIGADO</w:t>
      </w:r>
      <w:r w:rsidRPr="00BC4DCB">
        <w:t xml:space="preserve"> podrá solicitar una ampliación de plazo de manera fundada y motivada, para el cumplimiento de la presente resolución.</w:t>
      </w:r>
    </w:p>
    <w:p w14:paraId="345601B7" w14:textId="77777777" w:rsidR="002207C2" w:rsidRPr="00BC4DCB" w:rsidRDefault="002207C2" w:rsidP="002207C2">
      <w:pPr>
        <w:pStyle w:val="Prrafodelista"/>
        <w:widowControl w:val="0"/>
        <w:autoSpaceDE w:val="0"/>
        <w:autoSpaceDN w:val="0"/>
        <w:adjustRightInd w:val="0"/>
        <w:ind w:left="0"/>
      </w:pPr>
    </w:p>
    <w:p w14:paraId="76B640E9" w14:textId="77777777" w:rsidR="00646EDA" w:rsidRPr="00BC4DCB" w:rsidRDefault="00646EDA" w:rsidP="00646EDA">
      <w:pPr>
        <w:rPr>
          <w:rFonts w:eastAsia="Palatino Linotype" w:cs="Palatino Linotype"/>
          <w:color w:val="000000"/>
          <w:szCs w:val="22"/>
        </w:rPr>
      </w:pPr>
      <w:r w:rsidRPr="00BC4DCB">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PRIMERA SESIÓN ORDINARIA, CELEBRADA EL VEINTE DE NOVIEMBRE DE DOS MIL VENTICINCO, ANTE EL SECRETARIO TÉCNICO DEL PLENO, ALEXIS TAPIA RAMÍREZ.</w:t>
      </w:r>
    </w:p>
    <w:p w14:paraId="4925C9AB" w14:textId="77777777" w:rsidR="002207C2" w:rsidRPr="00B700E6" w:rsidRDefault="002207C2" w:rsidP="002207C2">
      <w:pPr>
        <w:ind w:right="-93"/>
        <w:rPr>
          <w:rFonts w:eastAsia="Palatino Linotype" w:cs="Palatino Linotype"/>
          <w:color w:val="000000"/>
          <w:sz w:val="20"/>
        </w:rPr>
      </w:pPr>
      <w:r w:rsidRPr="00BC4DCB">
        <w:rPr>
          <w:rFonts w:eastAsia="Palatino Linotype" w:cs="Palatino Linotype"/>
          <w:color w:val="000000"/>
          <w:sz w:val="20"/>
        </w:rPr>
        <w:t>SCMM/AGZ/DEMF/RPG</w:t>
      </w:r>
      <w:bookmarkStart w:id="51" w:name="_GoBack"/>
      <w:bookmarkEnd w:id="51"/>
    </w:p>
    <w:p w14:paraId="5BF3172C" w14:textId="77777777" w:rsidR="00B822AE" w:rsidRPr="00B700E6" w:rsidRDefault="00B822AE">
      <w:pPr>
        <w:spacing w:after="160" w:line="259" w:lineRule="auto"/>
        <w:jc w:val="left"/>
        <w:rPr>
          <w:rFonts w:eastAsia="Palatino Linotype" w:cs="Palatino Linotype"/>
          <w:color w:val="000000"/>
          <w:sz w:val="20"/>
        </w:rPr>
      </w:pPr>
      <w:r w:rsidRPr="00B700E6">
        <w:rPr>
          <w:rFonts w:eastAsia="Palatino Linotype" w:cs="Palatino Linotype"/>
          <w:color w:val="000000"/>
          <w:sz w:val="20"/>
        </w:rPr>
        <w:br w:type="page"/>
      </w:r>
    </w:p>
    <w:p w14:paraId="1A2522A6" w14:textId="77777777" w:rsidR="009C04A8" w:rsidRPr="00B700E6" w:rsidRDefault="009C04A8" w:rsidP="009C04A8">
      <w:pPr>
        <w:ind w:right="-93"/>
        <w:rPr>
          <w:rFonts w:eastAsia="Calibri" w:cs="Tahoma"/>
          <w:szCs w:val="22"/>
          <w:lang w:val="es-ES"/>
        </w:rPr>
      </w:pPr>
    </w:p>
    <w:p w14:paraId="696BC976" w14:textId="77777777" w:rsidR="00664420" w:rsidRPr="00B700E6" w:rsidRDefault="00664420" w:rsidP="00664420">
      <w:pPr>
        <w:ind w:right="-93"/>
        <w:rPr>
          <w:rFonts w:eastAsia="Calibri" w:cs="Tahoma"/>
          <w:bCs/>
          <w:szCs w:val="22"/>
          <w:lang w:val="es-ES" w:eastAsia="en-US"/>
        </w:rPr>
      </w:pPr>
    </w:p>
    <w:p w14:paraId="671CB0C5" w14:textId="77777777" w:rsidR="00664420" w:rsidRPr="00B700E6" w:rsidRDefault="00664420" w:rsidP="00664420">
      <w:pPr>
        <w:ind w:right="-93"/>
        <w:rPr>
          <w:rFonts w:eastAsia="Calibri" w:cs="Tahoma"/>
          <w:bCs/>
          <w:szCs w:val="22"/>
          <w:lang w:val="es-ES_tradnl" w:eastAsia="en-US"/>
        </w:rPr>
      </w:pPr>
    </w:p>
    <w:p w14:paraId="6FDF3D7E" w14:textId="77777777" w:rsidR="00664420" w:rsidRPr="00B700E6" w:rsidRDefault="00664420" w:rsidP="00664420">
      <w:pPr>
        <w:tabs>
          <w:tab w:val="center" w:pos="4568"/>
        </w:tabs>
        <w:ind w:right="-93"/>
        <w:rPr>
          <w:rFonts w:eastAsia="Calibri" w:cs="Tahoma"/>
          <w:bCs/>
          <w:szCs w:val="22"/>
          <w:lang w:eastAsia="en-US"/>
        </w:rPr>
      </w:pPr>
    </w:p>
    <w:p w14:paraId="6246F818" w14:textId="77777777" w:rsidR="00664420" w:rsidRPr="00B700E6" w:rsidRDefault="00664420" w:rsidP="00664420">
      <w:pPr>
        <w:tabs>
          <w:tab w:val="center" w:pos="4568"/>
        </w:tabs>
        <w:ind w:right="-93"/>
        <w:rPr>
          <w:rFonts w:eastAsia="Calibri" w:cs="Tahoma"/>
          <w:bCs/>
          <w:szCs w:val="22"/>
          <w:lang w:eastAsia="en-US"/>
        </w:rPr>
      </w:pPr>
    </w:p>
    <w:p w14:paraId="57A88B28" w14:textId="77777777" w:rsidR="00664420" w:rsidRPr="00B700E6" w:rsidRDefault="00664420" w:rsidP="00664420">
      <w:pPr>
        <w:tabs>
          <w:tab w:val="center" w:pos="4568"/>
        </w:tabs>
        <w:ind w:right="-93"/>
        <w:rPr>
          <w:rFonts w:eastAsia="Calibri" w:cs="Tahoma"/>
          <w:bCs/>
          <w:szCs w:val="22"/>
          <w:lang w:eastAsia="en-US"/>
        </w:rPr>
      </w:pPr>
    </w:p>
    <w:p w14:paraId="77EF6095" w14:textId="77777777" w:rsidR="00664420" w:rsidRPr="00B700E6" w:rsidRDefault="00664420" w:rsidP="00664420">
      <w:pPr>
        <w:tabs>
          <w:tab w:val="center" w:pos="4568"/>
        </w:tabs>
        <w:ind w:right="-93"/>
        <w:rPr>
          <w:rFonts w:eastAsia="Calibri" w:cs="Tahoma"/>
          <w:bCs/>
          <w:szCs w:val="22"/>
          <w:lang w:eastAsia="en-US"/>
        </w:rPr>
      </w:pPr>
    </w:p>
    <w:p w14:paraId="35593947" w14:textId="77777777" w:rsidR="00664420" w:rsidRPr="00B700E6" w:rsidRDefault="00664420" w:rsidP="00664420">
      <w:pPr>
        <w:tabs>
          <w:tab w:val="center" w:pos="4568"/>
        </w:tabs>
        <w:ind w:right="-93"/>
        <w:rPr>
          <w:rFonts w:eastAsia="Calibri" w:cs="Tahoma"/>
          <w:bCs/>
          <w:szCs w:val="22"/>
          <w:lang w:eastAsia="en-US"/>
        </w:rPr>
      </w:pPr>
    </w:p>
    <w:p w14:paraId="3AF72A17" w14:textId="77777777" w:rsidR="00664420" w:rsidRPr="00B700E6" w:rsidRDefault="00664420" w:rsidP="00664420">
      <w:pPr>
        <w:tabs>
          <w:tab w:val="center" w:pos="4568"/>
        </w:tabs>
        <w:ind w:right="-93"/>
        <w:rPr>
          <w:rFonts w:eastAsia="Calibri" w:cs="Tahoma"/>
          <w:bCs/>
          <w:szCs w:val="22"/>
          <w:lang w:eastAsia="en-US"/>
        </w:rPr>
      </w:pPr>
    </w:p>
    <w:p w14:paraId="37169144" w14:textId="77777777" w:rsidR="00664420" w:rsidRPr="00B700E6" w:rsidRDefault="00664420" w:rsidP="00664420">
      <w:pPr>
        <w:tabs>
          <w:tab w:val="center" w:pos="4568"/>
        </w:tabs>
        <w:ind w:right="-93"/>
        <w:rPr>
          <w:rFonts w:eastAsia="Calibri" w:cs="Tahoma"/>
          <w:bCs/>
          <w:szCs w:val="22"/>
          <w:lang w:eastAsia="en-US"/>
        </w:rPr>
      </w:pPr>
    </w:p>
    <w:p w14:paraId="77CFC088" w14:textId="77777777" w:rsidR="00664420" w:rsidRPr="00B700E6" w:rsidRDefault="00664420" w:rsidP="00664420">
      <w:pPr>
        <w:tabs>
          <w:tab w:val="center" w:pos="4568"/>
        </w:tabs>
        <w:ind w:right="-93"/>
        <w:rPr>
          <w:rFonts w:eastAsia="Calibri" w:cs="Tahoma"/>
          <w:bCs/>
          <w:szCs w:val="22"/>
          <w:lang w:eastAsia="en-US"/>
        </w:rPr>
      </w:pPr>
    </w:p>
    <w:p w14:paraId="781A11A5" w14:textId="77777777" w:rsidR="00664420" w:rsidRPr="00B700E6" w:rsidRDefault="00664420" w:rsidP="00664420">
      <w:pPr>
        <w:tabs>
          <w:tab w:val="center" w:pos="4568"/>
        </w:tabs>
        <w:ind w:right="-93"/>
        <w:rPr>
          <w:rFonts w:eastAsia="Calibri" w:cs="Tahoma"/>
          <w:bCs/>
          <w:szCs w:val="22"/>
          <w:lang w:eastAsia="en-US"/>
        </w:rPr>
      </w:pPr>
    </w:p>
    <w:p w14:paraId="5B4ADFF3" w14:textId="77777777" w:rsidR="00A131AC" w:rsidRPr="00B700E6" w:rsidRDefault="00A131AC"/>
    <w:sectPr w:rsidR="00A131AC" w:rsidRPr="00B700E6" w:rsidSect="00EE2AF2">
      <w:footerReference w:type="default" r:id="rId15"/>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AA30F" w14:textId="77777777" w:rsidR="0079416B" w:rsidRDefault="0079416B" w:rsidP="00664420">
      <w:pPr>
        <w:spacing w:line="240" w:lineRule="auto"/>
      </w:pPr>
      <w:r>
        <w:separator/>
      </w:r>
    </w:p>
  </w:endnote>
  <w:endnote w:type="continuationSeparator" w:id="0">
    <w:p w14:paraId="3C0A675F" w14:textId="77777777" w:rsidR="0079416B" w:rsidRDefault="0079416B"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ItalicMT">
    <w:panose1 w:val="00000000000000000000"/>
    <w:charset w:val="00"/>
    <w:family w:val="auto"/>
    <w:notTrueType/>
    <w:pitch w:val="default"/>
    <w:sig w:usb0="00000003" w:usb1="00000000" w:usb2="00000000" w:usb3="00000000" w:csb0="00000001"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204C5A" w:rsidRDefault="00204C5A">
    <w:pPr>
      <w:tabs>
        <w:tab w:val="center" w:pos="4550"/>
        <w:tab w:val="left" w:pos="5818"/>
      </w:tabs>
      <w:ind w:right="260"/>
      <w:jc w:val="right"/>
      <w:rPr>
        <w:color w:val="071320" w:themeColor="text2" w:themeShade="80"/>
        <w:sz w:val="24"/>
        <w:szCs w:val="24"/>
      </w:rPr>
    </w:pPr>
  </w:p>
  <w:p w14:paraId="1BCA7F23" w14:textId="77777777" w:rsidR="00204C5A" w:rsidRDefault="00204C5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204C5A" w:rsidRDefault="00204C5A">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BC4DCB" w:rsidRPr="00BC4DCB">
      <w:rPr>
        <w:noProof/>
        <w:color w:val="0A1D30" w:themeColor="text2" w:themeShade="BF"/>
        <w:sz w:val="24"/>
        <w:szCs w:val="24"/>
        <w:lang w:val="es-ES"/>
      </w:rPr>
      <w:t>42</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BC4DCB" w:rsidRPr="00BC4DCB">
      <w:rPr>
        <w:noProof/>
        <w:color w:val="0A1D30" w:themeColor="text2" w:themeShade="BF"/>
        <w:sz w:val="24"/>
        <w:szCs w:val="24"/>
        <w:lang w:val="es-ES"/>
      </w:rPr>
      <w:t>46</w:t>
    </w:r>
    <w:r>
      <w:rPr>
        <w:color w:val="0A1D30" w:themeColor="text2" w:themeShade="BF"/>
        <w:sz w:val="24"/>
        <w:szCs w:val="24"/>
      </w:rPr>
      <w:fldChar w:fldCharType="end"/>
    </w:r>
  </w:p>
  <w:p w14:paraId="310E15C0" w14:textId="77777777" w:rsidR="00204C5A" w:rsidRDefault="00204C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19C0A" w14:textId="77777777" w:rsidR="0079416B" w:rsidRDefault="0079416B" w:rsidP="00664420">
      <w:pPr>
        <w:spacing w:line="240" w:lineRule="auto"/>
      </w:pPr>
      <w:r>
        <w:separator/>
      </w:r>
    </w:p>
  </w:footnote>
  <w:footnote w:type="continuationSeparator" w:id="0">
    <w:p w14:paraId="2A6A6D9C" w14:textId="77777777" w:rsidR="0079416B" w:rsidRDefault="0079416B" w:rsidP="00664420">
      <w:pPr>
        <w:spacing w:line="240" w:lineRule="auto"/>
      </w:pPr>
      <w:r>
        <w:continuationSeparator/>
      </w:r>
    </w:p>
  </w:footnote>
  <w:footnote w:id="1">
    <w:p w14:paraId="5B5BF239" w14:textId="77777777" w:rsidR="00310720" w:rsidRDefault="00310720" w:rsidP="00310720">
      <w:pPr>
        <w:pStyle w:val="Textonotapie"/>
        <w:rPr>
          <w:b/>
          <w:i/>
        </w:rPr>
      </w:pPr>
      <w:r>
        <w:rPr>
          <w:rStyle w:val="Refdenotaalpie"/>
        </w:rPr>
        <w:footnoteRef/>
      </w:r>
      <w:r>
        <w:t xml:space="preserve"> “</w:t>
      </w:r>
      <w:r>
        <w:rPr>
          <w:b/>
          <w:i/>
        </w:rPr>
        <w:t>Código de Procedimientos Administrativos del Estado De México</w:t>
      </w:r>
    </w:p>
    <w:p w14:paraId="71686120" w14:textId="77777777" w:rsidR="00310720" w:rsidRDefault="00310720" w:rsidP="00310720">
      <w:pPr>
        <w:pStyle w:val="Textonotapie"/>
        <w:rPr>
          <w:i/>
          <w:sz w:val="10"/>
          <w:szCs w:val="10"/>
        </w:rPr>
      </w:pPr>
    </w:p>
    <w:p w14:paraId="4C630275" w14:textId="77777777" w:rsidR="00310720" w:rsidRDefault="00310720" w:rsidP="00310720">
      <w:pPr>
        <w:pStyle w:val="Textonotapie"/>
      </w:pPr>
      <w:r>
        <w:rPr>
          <w:b/>
          <w:i/>
        </w:rPr>
        <w:t>Artículo 124.-</w:t>
      </w:r>
      <w:r>
        <w:rPr>
          <w:i/>
        </w:rPr>
        <w:t xml:space="preserve"> La autoridad administrativa llevará a cabo, de oficio o a petición de particulares, los actos de tramitación adecuados para la determinación, conocimiento y comprobación de los datos sobre los que deba basarse la resolución del procedimiento.”</w:t>
      </w:r>
    </w:p>
  </w:footnote>
  <w:footnote w:id="2">
    <w:p w14:paraId="0D6229D5" w14:textId="77777777" w:rsidR="00310720" w:rsidRDefault="00310720" w:rsidP="00310720">
      <w:pPr>
        <w:pStyle w:val="Textonotapie"/>
        <w:rPr>
          <w:sz w:val="18"/>
        </w:rPr>
      </w:pPr>
      <w:r>
        <w:rPr>
          <w:rStyle w:val="Refdenotaalpie"/>
        </w:rPr>
        <w:footnoteRef/>
      </w:r>
      <w:r>
        <w:t xml:space="preserve"> </w:t>
      </w:r>
      <w:r>
        <w:rPr>
          <w:sz w:val="18"/>
        </w:rPr>
        <w:t xml:space="preserve">Políticas Públicas y Cambio Climático. Angélica Rosas Huerta. Profesora- investigadora. Departamento Política y Cultura. División de Ciencias Sociales y Humanidades.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204C5A" w:rsidRPr="00330DA7" w14:paraId="070A4B18" w14:textId="77777777" w:rsidTr="003F35FD">
      <w:trPr>
        <w:trHeight w:val="144"/>
        <w:jc w:val="right"/>
      </w:trPr>
      <w:tc>
        <w:tcPr>
          <w:tcW w:w="2727" w:type="dxa"/>
        </w:tcPr>
        <w:p w14:paraId="62B7493A"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6A7A3A6B" w:rsidR="00204C5A" w:rsidRPr="00A90C72" w:rsidRDefault="00BF6114" w:rsidP="0058317C">
          <w:pPr>
            <w:tabs>
              <w:tab w:val="right" w:pos="8838"/>
            </w:tabs>
            <w:spacing w:line="240" w:lineRule="auto"/>
            <w:ind w:left="-74" w:right="-105"/>
            <w:rPr>
              <w:rFonts w:eastAsia="Calibri" w:cs="Tahoma"/>
              <w:szCs w:val="22"/>
              <w:lang w:eastAsia="en-US"/>
            </w:rPr>
          </w:pPr>
          <w:r>
            <w:rPr>
              <w:rFonts w:eastAsia="Calibri" w:cs="Tahoma"/>
              <w:szCs w:val="22"/>
              <w:lang w:eastAsia="en-US"/>
            </w:rPr>
            <w:t>12092</w:t>
          </w:r>
          <w:r w:rsidR="00204C5A" w:rsidRPr="006E7E69">
            <w:rPr>
              <w:rFonts w:eastAsia="Calibri" w:cs="Tahoma"/>
              <w:szCs w:val="22"/>
              <w:lang w:eastAsia="en-US"/>
            </w:rPr>
            <w:t>/INFOEM/IP/RR/2025</w:t>
          </w:r>
        </w:p>
      </w:tc>
    </w:tr>
    <w:tr w:rsidR="00204C5A" w:rsidRPr="00330DA7" w14:paraId="4521E058" w14:textId="77777777" w:rsidTr="003F35FD">
      <w:trPr>
        <w:trHeight w:val="283"/>
        <w:jc w:val="right"/>
      </w:trPr>
      <w:tc>
        <w:tcPr>
          <w:tcW w:w="2727" w:type="dxa"/>
        </w:tcPr>
        <w:p w14:paraId="0B68C086"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4ABF7DA0" w:rsidR="00204C5A" w:rsidRPr="009233A1" w:rsidRDefault="00BF6114" w:rsidP="004F6D6C">
          <w:pPr>
            <w:tabs>
              <w:tab w:val="right" w:pos="8838"/>
            </w:tabs>
            <w:spacing w:line="240" w:lineRule="auto"/>
            <w:ind w:left="-74" w:right="-105"/>
            <w:rPr>
              <w:rFonts w:eastAsia="Calibri" w:cs="Tahoma"/>
              <w:szCs w:val="22"/>
              <w:lang w:val="es-MX" w:eastAsia="en-US"/>
            </w:rPr>
          </w:pPr>
          <w:r w:rsidRPr="00BF6114">
            <w:rPr>
              <w:rFonts w:eastAsia="Calibri" w:cs="Tahoma"/>
              <w:szCs w:val="22"/>
              <w:lang w:eastAsia="en-US"/>
            </w:rPr>
            <w:t>Hospital Regional de Alta Especialidad de Zumpango</w:t>
          </w:r>
        </w:p>
      </w:tc>
    </w:tr>
    <w:tr w:rsidR="00204C5A" w:rsidRPr="00330DA7" w14:paraId="6331D9B6" w14:textId="77777777" w:rsidTr="003F35FD">
      <w:trPr>
        <w:trHeight w:val="283"/>
        <w:jc w:val="right"/>
      </w:trPr>
      <w:tc>
        <w:tcPr>
          <w:tcW w:w="2727" w:type="dxa"/>
        </w:tcPr>
        <w:p w14:paraId="3FA86BAE" w14:textId="6568823B"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204C5A" w:rsidRPr="00443C6B" w:rsidRDefault="00204C5A"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204C5A" w:rsidRPr="00330DA7" w14:paraId="29CFF901" w14:textId="77777777" w:rsidTr="004D0573">
      <w:trPr>
        <w:trHeight w:val="1435"/>
      </w:trPr>
      <w:tc>
        <w:tcPr>
          <w:tcW w:w="283" w:type="dxa"/>
        </w:tcPr>
        <w:p w14:paraId="046B9F8F" w14:textId="77777777" w:rsidR="00204C5A" w:rsidRPr="00330DA7" w:rsidRDefault="00204C5A"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204C5A" w:rsidRPr="00330DA7" w14:paraId="04F272D2" w14:textId="77777777" w:rsidTr="004D0573">
            <w:trPr>
              <w:trHeight w:val="144"/>
            </w:trPr>
            <w:tc>
              <w:tcPr>
                <w:tcW w:w="2727" w:type="dxa"/>
              </w:tcPr>
              <w:p w14:paraId="2FD4DBF6"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68AB2179" w:rsidR="00204C5A" w:rsidRPr="004D0573" w:rsidRDefault="00EA53F7" w:rsidP="001F6830">
                <w:pPr>
                  <w:tabs>
                    <w:tab w:val="right" w:pos="8838"/>
                  </w:tabs>
                  <w:spacing w:line="240" w:lineRule="auto"/>
                  <w:ind w:left="-74" w:right="-105"/>
                  <w:rPr>
                    <w:rFonts w:eastAsia="Calibri" w:cs="Tahoma"/>
                    <w:szCs w:val="22"/>
                    <w:lang w:eastAsia="en-US"/>
                  </w:rPr>
                </w:pPr>
                <w:r>
                  <w:rPr>
                    <w:rFonts w:eastAsia="Calibri" w:cs="Tahoma"/>
                    <w:szCs w:val="22"/>
                    <w:lang w:eastAsia="en-US"/>
                  </w:rPr>
                  <w:t>1</w:t>
                </w:r>
                <w:r w:rsidR="00BF6114">
                  <w:rPr>
                    <w:rFonts w:eastAsia="Calibri" w:cs="Tahoma"/>
                    <w:szCs w:val="22"/>
                    <w:lang w:eastAsia="en-US"/>
                  </w:rPr>
                  <w:t>2092</w:t>
                </w:r>
                <w:r w:rsidR="00204C5A" w:rsidRPr="006E7E69">
                  <w:rPr>
                    <w:rFonts w:eastAsia="Calibri" w:cs="Tahoma"/>
                    <w:szCs w:val="22"/>
                    <w:lang w:eastAsia="en-US"/>
                  </w:rPr>
                  <w:t>/INFOEM/IP/RR/2025</w:t>
                </w:r>
              </w:p>
            </w:tc>
            <w:tc>
              <w:tcPr>
                <w:tcW w:w="3402" w:type="dxa"/>
              </w:tcPr>
              <w:p w14:paraId="71DEA1CF" w14:textId="77777777" w:rsidR="00204C5A" w:rsidRDefault="00204C5A" w:rsidP="004D0573">
                <w:pPr>
                  <w:tabs>
                    <w:tab w:val="right" w:pos="8838"/>
                  </w:tabs>
                  <w:spacing w:line="240" w:lineRule="auto"/>
                  <w:ind w:left="-74" w:right="-105"/>
                  <w:rPr>
                    <w:rFonts w:eastAsia="Calibri" w:cs="Tahoma"/>
                    <w:szCs w:val="22"/>
                    <w:lang w:eastAsia="en-US"/>
                  </w:rPr>
                </w:pPr>
              </w:p>
            </w:tc>
          </w:tr>
          <w:tr w:rsidR="00204C5A" w:rsidRPr="00330DA7" w14:paraId="05C58951" w14:textId="77777777" w:rsidTr="004D0573">
            <w:trPr>
              <w:trHeight w:val="144"/>
            </w:trPr>
            <w:tc>
              <w:tcPr>
                <w:tcW w:w="2727" w:type="dxa"/>
              </w:tcPr>
              <w:p w14:paraId="642B9610" w14:textId="77777777" w:rsidR="00204C5A" w:rsidRPr="00330DA7" w:rsidRDefault="00204C5A" w:rsidP="004D0573">
                <w:pPr>
                  <w:tabs>
                    <w:tab w:val="right" w:pos="8838"/>
                  </w:tabs>
                  <w:spacing w:line="240" w:lineRule="auto"/>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778BF9F5" w:rsidR="00204C5A" w:rsidRPr="004D0573" w:rsidRDefault="00204C5A" w:rsidP="00F8365A">
                <w:pPr>
                  <w:tabs>
                    <w:tab w:val="right" w:pos="8838"/>
                  </w:tabs>
                  <w:spacing w:line="240" w:lineRule="auto"/>
                  <w:ind w:left="-74" w:right="-105"/>
                  <w:rPr>
                    <w:rFonts w:eastAsia="Calibri" w:cs="Tahoma"/>
                    <w:szCs w:val="22"/>
                    <w:lang w:eastAsia="en-US"/>
                  </w:rPr>
                </w:pPr>
              </w:p>
            </w:tc>
            <w:tc>
              <w:tcPr>
                <w:tcW w:w="3402" w:type="dxa"/>
              </w:tcPr>
              <w:p w14:paraId="73F47F53" w14:textId="77777777" w:rsidR="00204C5A" w:rsidRPr="005F19B1" w:rsidRDefault="00204C5A" w:rsidP="004D0573">
                <w:pPr>
                  <w:tabs>
                    <w:tab w:val="left" w:pos="3122"/>
                    <w:tab w:val="right" w:pos="8838"/>
                  </w:tabs>
                  <w:spacing w:line="240" w:lineRule="auto"/>
                  <w:ind w:left="-105" w:right="-105"/>
                  <w:rPr>
                    <w:rFonts w:eastAsia="Calibri" w:cs="Tahoma"/>
                    <w:szCs w:val="22"/>
                    <w:lang w:eastAsia="en-US"/>
                  </w:rPr>
                </w:pPr>
              </w:p>
            </w:tc>
          </w:tr>
          <w:bookmarkEnd w:id="1"/>
          <w:tr w:rsidR="00204C5A" w:rsidRPr="00330DA7" w14:paraId="00E6CDC1" w14:textId="77777777" w:rsidTr="004D0573">
            <w:trPr>
              <w:trHeight w:val="283"/>
            </w:trPr>
            <w:tc>
              <w:tcPr>
                <w:tcW w:w="2727" w:type="dxa"/>
              </w:tcPr>
              <w:p w14:paraId="0631AD24" w14:textId="77777777" w:rsidR="00204C5A" w:rsidRPr="00330DA7" w:rsidRDefault="00204C5A"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0F5554AE" w:rsidR="00204C5A" w:rsidRPr="004D0573" w:rsidRDefault="00B700E6" w:rsidP="004F6D6C">
                <w:pPr>
                  <w:tabs>
                    <w:tab w:val="right" w:pos="8838"/>
                  </w:tabs>
                  <w:spacing w:line="240" w:lineRule="auto"/>
                  <w:ind w:left="-74" w:right="-105"/>
                  <w:rPr>
                    <w:rFonts w:eastAsia="Calibri" w:cs="Tahoma"/>
                    <w:szCs w:val="22"/>
                    <w:lang w:eastAsia="en-US"/>
                  </w:rPr>
                </w:pPr>
                <w:r w:rsidRPr="00BF6114">
                  <w:rPr>
                    <w:rFonts w:eastAsia="Calibri" w:cs="Tahoma"/>
                    <w:szCs w:val="22"/>
                    <w:lang w:eastAsia="en-US"/>
                  </w:rPr>
                  <w:t>Hospital Regional de Alta Especialidad de Zumpango</w:t>
                </w:r>
              </w:p>
            </w:tc>
            <w:tc>
              <w:tcPr>
                <w:tcW w:w="3402" w:type="dxa"/>
              </w:tcPr>
              <w:p w14:paraId="3A7DA319" w14:textId="77777777" w:rsidR="00204C5A" w:rsidRPr="00A90C72" w:rsidRDefault="00204C5A" w:rsidP="004D0573">
                <w:pPr>
                  <w:tabs>
                    <w:tab w:val="left" w:pos="2834"/>
                    <w:tab w:val="right" w:pos="8838"/>
                  </w:tabs>
                  <w:spacing w:line="240" w:lineRule="auto"/>
                  <w:ind w:left="-108" w:right="-105"/>
                  <w:rPr>
                    <w:rFonts w:eastAsia="Calibri" w:cs="Tahoma"/>
                    <w:szCs w:val="22"/>
                    <w:lang w:eastAsia="en-US"/>
                  </w:rPr>
                </w:pPr>
              </w:p>
            </w:tc>
          </w:tr>
          <w:tr w:rsidR="00204C5A" w:rsidRPr="00330DA7" w14:paraId="0F6CD8D2" w14:textId="77777777" w:rsidTr="004D0573">
            <w:trPr>
              <w:trHeight w:val="283"/>
            </w:trPr>
            <w:tc>
              <w:tcPr>
                <w:tcW w:w="2727" w:type="dxa"/>
              </w:tcPr>
              <w:p w14:paraId="31700628" w14:textId="0565A62A" w:rsidR="00204C5A" w:rsidRPr="00330DA7" w:rsidRDefault="00204C5A"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204C5A" w:rsidRPr="00EA66FC" w:rsidRDefault="00204C5A"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204C5A" w:rsidRPr="00330DA7" w:rsidRDefault="00204C5A" w:rsidP="004D0573">
                <w:pPr>
                  <w:tabs>
                    <w:tab w:val="right" w:pos="8838"/>
                  </w:tabs>
                  <w:spacing w:line="240" w:lineRule="auto"/>
                  <w:ind w:left="-108" w:right="-105"/>
                  <w:rPr>
                    <w:rFonts w:eastAsia="Calibri" w:cs="Tahoma"/>
                    <w:szCs w:val="22"/>
                    <w:lang w:eastAsia="en-US"/>
                  </w:rPr>
                </w:pPr>
              </w:p>
            </w:tc>
          </w:tr>
        </w:tbl>
        <w:p w14:paraId="5DC6AC61" w14:textId="77777777" w:rsidR="00204C5A" w:rsidRPr="00330DA7" w:rsidRDefault="00204C5A" w:rsidP="004D0573">
          <w:pPr>
            <w:tabs>
              <w:tab w:val="right" w:pos="8838"/>
            </w:tabs>
            <w:ind w:left="-28"/>
            <w:rPr>
              <w:rFonts w:ascii="Arial" w:eastAsia="Calibri" w:hAnsi="Arial" w:cs="Arial"/>
              <w:b/>
              <w:szCs w:val="22"/>
              <w:lang w:eastAsia="en-US"/>
            </w:rPr>
          </w:pPr>
        </w:p>
      </w:tc>
    </w:tr>
  </w:tbl>
  <w:p w14:paraId="2A906731" w14:textId="77777777" w:rsidR="00204C5A" w:rsidRPr="00765661" w:rsidRDefault="0079416B"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4511CC"/>
    <w:multiLevelType w:val="hybridMultilevel"/>
    <w:tmpl w:val="B9B0E01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47DB95"/>
    <w:multiLevelType w:val="hybridMultilevel"/>
    <w:tmpl w:val="1B7EC93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334932"/>
    <w:multiLevelType w:val="hybridMultilevel"/>
    <w:tmpl w:val="B31E28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0E7539D"/>
    <w:multiLevelType w:val="hybridMultilevel"/>
    <w:tmpl w:val="101EA558"/>
    <w:lvl w:ilvl="0" w:tplc="695A061E">
      <w:start w:val="1198"/>
      <w:numFmt w:val="bullet"/>
      <w:lvlText w:val="•"/>
      <w:lvlJc w:val="left"/>
      <w:pPr>
        <w:ind w:left="644" w:hanging="360"/>
      </w:pPr>
      <w:rPr>
        <w:rFonts w:ascii="Palatino Linotype" w:eastAsia="Palatino Linotype" w:hAnsi="Palatino Linotype" w:cs="Palatino Linotype" w:hint="default"/>
      </w:rPr>
    </w:lvl>
    <w:lvl w:ilvl="1" w:tplc="080A0003">
      <w:start w:val="1"/>
      <w:numFmt w:val="bullet"/>
      <w:lvlText w:val="o"/>
      <w:lvlJc w:val="left"/>
      <w:pPr>
        <w:ind w:left="1364" w:hanging="360"/>
      </w:pPr>
      <w:rPr>
        <w:rFonts w:ascii="Courier New" w:hAnsi="Courier New" w:cs="Courier New" w:hint="default"/>
      </w:rPr>
    </w:lvl>
    <w:lvl w:ilvl="2" w:tplc="080A0005">
      <w:start w:val="1"/>
      <w:numFmt w:val="bullet"/>
      <w:lvlText w:val=""/>
      <w:lvlJc w:val="left"/>
      <w:pPr>
        <w:ind w:left="2084" w:hanging="360"/>
      </w:pPr>
      <w:rPr>
        <w:rFonts w:ascii="Wingdings" w:hAnsi="Wingdings" w:hint="default"/>
      </w:rPr>
    </w:lvl>
    <w:lvl w:ilvl="3" w:tplc="080A0001">
      <w:start w:val="1"/>
      <w:numFmt w:val="bullet"/>
      <w:lvlText w:val=""/>
      <w:lvlJc w:val="left"/>
      <w:pPr>
        <w:ind w:left="2804" w:hanging="360"/>
      </w:pPr>
      <w:rPr>
        <w:rFonts w:ascii="Symbol" w:hAnsi="Symbol" w:hint="default"/>
      </w:rPr>
    </w:lvl>
    <w:lvl w:ilvl="4" w:tplc="080A0003">
      <w:start w:val="1"/>
      <w:numFmt w:val="bullet"/>
      <w:lvlText w:val="o"/>
      <w:lvlJc w:val="left"/>
      <w:pPr>
        <w:ind w:left="3524" w:hanging="360"/>
      </w:pPr>
      <w:rPr>
        <w:rFonts w:ascii="Courier New" w:hAnsi="Courier New" w:cs="Courier New" w:hint="default"/>
      </w:rPr>
    </w:lvl>
    <w:lvl w:ilvl="5" w:tplc="080A0005">
      <w:start w:val="1"/>
      <w:numFmt w:val="bullet"/>
      <w:lvlText w:val=""/>
      <w:lvlJc w:val="left"/>
      <w:pPr>
        <w:ind w:left="4244" w:hanging="360"/>
      </w:pPr>
      <w:rPr>
        <w:rFonts w:ascii="Wingdings" w:hAnsi="Wingdings" w:hint="default"/>
      </w:rPr>
    </w:lvl>
    <w:lvl w:ilvl="6" w:tplc="080A0001">
      <w:start w:val="1"/>
      <w:numFmt w:val="bullet"/>
      <w:lvlText w:val=""/>
      <w:lvlJc w:val="left"/>
      <w:pPr>
        <w:ind w:left="4964" w:hanging="360"/>
      </w:pPr>
      <w:rPr>
        <w:rFonts w:ascii="Symbol" w:hAnsi="Symbol" w:hint="default"/>
      </w:rPr>
    </w:lvl>
    <w:lvl w:ilvl="7" w:tplc="080A0003">
      <w:start w:val="1"/>
      <w:numFmt w:val="bullet"/>
      <w:lvlText w:val="o"/>
      <w:lvlJc w:val="left"/>
      <w:pPr>
        <w:ind w:left="5684" w:hanging="360"/>
      </w:pPr>
      <w:rPr>
        <w:rFonts w:ascii="Courier New" w:hAnsi="Courier New" w:cs="Courier New" w:hint="default"/>
      </w:rPr>
    </w:lvl>
    <w:lvl w:ilvl="8" w:tplc="080A0005">
      <w:start w:val="1"/>
      <w:numFmt w:val="bullet"/>
      <w:lvlText w:val=""/>
      <w:lvlJc w:val="left"/>
      <w:pPr>
        <w:ind w:left="6404" w:hanging="360"/>
      </w:pPr>
      <w:rPr>
        <w:rFonts w:ascii="Wingdings" w:hAnsi="Wingdings" w:hint="default"/>
      </w:rPr>
    </w:lvl>
  </w:abstractNum>
  <w:abstractNum w:abstractNumId="4" w15:restartNumberingAfterBreak="0">
    <w:nsid w:val="04D04706"/>
    <w:multiLevelType w:val="multilevel"/>
    <w:tmpl w:val="EF6E18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6B9299F"/>
    <w:multiLevelType w:val="hybridMultilevel"/>
    <w:tmpl w:val="E7FAF2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15:restartNumberingAfterBreak="0">
    <w:nsid w:val="0CC35331"/>
    <w:multiLevelType w:val="hybridMultilevel"/>
    <w:tmpl w:val="B0121B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61E354D"/>
    <w:multiLevelType w:val="hybridMultilevel"/>
    <w:tmpl w:val="1DD27C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9" w15:restartNumberingAfterBreak="0">
    <w:nsid w:val="1CE53620"/>
    <w:multiLevelType w:val="hybridMultilevel"/>
    <w:tmpl w:val="31A275B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207563A2"/>
    <w:multiLevelType w:val="hybridMultilevel"/>
    <w:tmpl w:val="0D2C953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2076071C"/>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306E45"/>
    <w:multiLevelType w:val="multilevel"/>
    <w:tmpl w:val="194242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1817A3"/>
    <w:multiLevelType w:val="multilevel"/>
    <w:tmpl w:val="2114605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5" w15:restartNumberingAfterBreak="0">
    <w:nsid w:val="362973FB"/>
    <w:multiLevelType w:val="multilevel"/>
    <w:tmpl w:val="5788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0569E0"/>
    <w:multiLevelType w:val="hybridMultilevel"/>
    <w:tmpl w:val="87B00F72"/>
    <w:lvl w:ilvl="0" w:tplc="4EC8B572">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7" w15:restartNumberingAfterBreak="0">
    <w:nsid w:val="3BAD2964"/>
    <w:multiLevelType w:val="hybridMultilevel"/>
    <w:tmpl w:val="5150DC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41D664C1"/>
    <w:multiLevelType w:val="hybridMultilevel"/>
    <w:tmpl w:val="07325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1D95FED"/>
    <w:multiLevelType w:val="hybridMultilevel"/>
    <w:tmpl w:val="A44468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2C30711"/>
    <w:multiLevelType w:val="hybridMultilevel"/>
    <w:tmpl w:val="34286D2C"/>
    <w:lvl w:ilvl="0" w:tplc="76366F6E">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2" w15:restartNumberingAfterBreak="0">
    <w:nsid w:val="45B72DB8"/>
    <w:multiLevelType w:val="hybridMultilevel"/>
    <w:tmpl w:val="43DE1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EBB1236"/>
    <w:multiLevelType w:val="hybridMultilevel"/>
    <w:tmpl w:val="FB1C1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3E7094D"/>
    <w:multiLevelType w:val="hybridMultilevel"/>
    <w:tmpl w:val="16925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6C9B1D2"/>
    <w:multiLevelType w:val="hybridMultilevel"/>
    <w:tmpl w:val="22AB6A0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E785BEF"/>
    <w:multiLevelType w:val="hybridMultilevel"/>
    <w:tmpl w:val="6CCEAD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000374B"/>
    <w:multiLevelType w:val="hybridMultilevel"/>
    <w:tmpl w:val="5C4E7F4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65927132"/>
    <w:multiLevelType w:val="hybridMultilevel"/>
    <w:tmpl w:val="5D0AC7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77241F6"/>
    <w:multiLevelType w:val="hybridMultilevel"/>
    <w:tmpl w:val="53DEB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8D17284"/>
    <w:multiLevelType w:val="multilevel"/>
    <w:tmpl w:val="FBD013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D203D18"/>
    <w:multiLevelType w:val="hybridMultilevel"/>
    <w:tmpl w:val="1DBAB488"/>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3" w15:restartNumberingAfterBreak="0">
    <w:nsid w:val="6DD72CCA"/>
    <w:multiLevelType w:val="hybridMultilevel"/>
    <w:tmpl w:val="0F883F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9114F78"/>
    <w:multiLevelType w:val="hybridMultilevel"/>
    <w:tmpl w:val="67C0B582"/>
    <w:lvl w:ilvl="0" w:tplc="6F12A66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6"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7" w15:restartNumberingAfterBreak="0">
    <w:nsid w:val="7C6F7A01"/>
    <w:multiLevelType w:val="hybridMultilevel"/>
    <w:tmpl w:val="A2EA83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
  </w:num>
  <w:num w:numId="2">
    <w:abstractNumId w:val="31"/>
  </w:num>
  <w:num w:numId="3">
    <w:abstractNumId w:val="10"/>
  </w:num>
  <w:num w:numId="4">
    <w:abstractNumId w:val="24"/>
  </w:num>
  <w:num w:numId="5">
    <w:abstractNumId w:val="35"/>
  </w:num>
  <w:num w:numId="6">
    <w:abstractNumId w:val="26"/>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8"/>
  </w:num>
  <w:num w:numId="10">
    <w:abstractNumId w:val="33"/>
  </w:num>
  <w:num w:numId="11">
    <w:abstractNumId w:val="22"/>
  </w:num>
  <w:num w:numId="12">
    <w:abstractNumId w:val="5"/>
  </w:num>
  <w:num w:numId="13">
    <w:abstractNumId w:val="17"/>
  </w:num>
  <w:num w:numId="14">
    <w:abstractNumId w:val="11"/>
  </w:num>
  <w:num w:numId="15">
    <w:abstractNumId w:val="34"/>
  </w:num>
  <w:num w:numId="16">
    <w:abstractNumId w:val="29"/>
  </w:num>
  <w:num w:numId="17">
    <w:abstractNumId w:val="7"/>
  </w:num>
  <w:num w:numId="18">
    <w:abstractNumId w:val="28"/>
  </w:num>
  <w:num w:numId="19">
    <w:abstractNumId w:val="32"/>
  </w:num>
  <w:num w:numId="20">
    <w:abstractNumId w:val="15"/>
  </w:num>
  <w:num w:numId="21">
    <w:abstractNumId w:val="20"/>
  </w:num>
  <w:num w:numId="22">
    <w:abstractNumId w:val="3"/>
  </w:num>
  <w:num w:numId="23">
    <w:abstractNumId w:val="0"/>
  </w:num>
  <w:num w:numId="24">
    <w:abstractNumId w:val="1"/>
  </w:num>
  <w:num w:numId="25">
    <w:abstractNumId w:val="25"/>
  </w:num>
  <w:num w:numId="26">
    <w:abstractNumId w:val="12"/>
  </w:num>
  <w:num w:numId="27">
    <w:abstractNumId w:val="16"/>
  </w:num>
  <w:num w:numId="28">
    <w:abstractNumId w:val="21"/>
  </w:num>
  <w:num w:numId="29">
    <w:abstractNumId w:val="19"/>
  </w:num>
  <w:num w:numId="30">
    <w:abstractNumId w:val="30"/>
  </w:num>
  <w:num w:numId="31">
    <w:abstractNumId w:val="36"/>
  </w:num>
  <w:num w:numId="32">
    <w:abstractNumId w:val="10"/>
  </w:num>
  <w:num w:numId="33">
    <w:abstractNumId w:val="14"/>
  </w:num>
  <w:num w:numId="34">
    <w:abstractNumId w:val="9"/>
  </w:num>
  <w:num w:numId="35">
    <w:abstractNumId w:val="27"/>
  </w:num>
  <w:num w:numId="36">
    <w:abstractNumId w:val="8"/>
  </w:num>
  <w:num w:numId="37">
    <w:abstractNumId w:val="37"/>
  </w:num>
  <w:num w:numId="38">
    <w:abstractNumId w:val="23"/>
  </w:num>
  <w:num w:numId="39">
    <w:abstractNumId w:val="13"/>
  </w:num>
  <w:num w:numId="4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E4A"/>
    <w:rsid w:val="0000629A"/>
    <w:rsid w:val="00011232"/>
    <w:rsid w:val="0001744F"/>
    <w:rsid w:val="0002630F"/>
    <w:rsid w:val="000318BC"/>
    <w:rsid w:val="00033156"/>
    <w:rsid w:val="00034489"/>
    <w:rsid w:val="0003632A"/>
    <w:rsid w:val="0004144F"/>
    <w:rsid w:val="00042FBB"/>
    <w:rsid w:val="00050AC3"/>
    <w:rsid w:val="0005470C"/>
    <w:rsid w:val="00057B2D"/>
    <w:rsid w:val="00065518"/>
    <w:rsid w:val="000727A6"/>
    <w:rsid w:val="000777E2"/>
    <w:rsid w:val="00080071"/>
    <w:rsid w:val="000954C3"/>
    <w:rsid w:val="000A0798"/>
    <w:rsid w:val="000A509B"/>
    <w:rsid w:val="000C2D03"/>
    <w:rsid w:val="000C3ACB"/>
    <w:rsid w:val="000C3BBA"/>
    <w:rsid w:val="000C5095"/>
    <w:rsid w:val="000C79B2"/>
    <w:rsid w:val="000D0D67"/>
    <w:rsid w:val="000E0131"/>
    <w:rsid w:val="000E0258"/>
    <w:rsid w:val="000E09C4"/>
    <w:rsid w:val="000E1C40"/>
    <w:rsid w:val="000E23B9"/>
    <w:rsid w:val="000E2694"/>
    <w:rsid w:val="000E3AC8"/>
    <w:rsid w:val="000F32E8"/>
    <w:rsid w:val="000F361A"/>
    <w:rsid w:val="000F373C"/>
    <w:rsid w:val="000F46F7"/>
    <w:rsid w:val="00103C8A"/>
    <w:rsid w:val="00107F71"/>
    <w:rsid w:val="0011350D"/>
    <w:rsid w:val="001144FB"/>
    <w:rsid w:val="00117DDB"/>
    <w:rsid w:val="00127130"/>
    <w:rsid w:val="00135056"/>
    <w:rsid w:val="00141876"/>
    <w:rsid w:val="0014207B"/>
    <w:rsid w:val="00150C49"/>
    <w:rsid w:val="00151112"/>
    <w:rsid w:val="0015374C"/>
    <w:rsid w:val="001544A1"/>
    <w:rsid w:val="00160605"/>
    <w:rsid w:val="001734D5"/>
    <w:rsid w:val="001803A1"/>
    <w:rsid w:val="001817F9"/>
    <w:rsid w:val="00185C7C"/>
    <w:rsid w:val="001878E5"/>
    <w:rsid w:val="001A2CB5"/>
    <w:rsid w:val="001A58B3"/>
    <w:rsid w:val="001A6A2C"/>
    <w:rsid w:val="001C0B54"/>
    <w:rsid w:val="001C555C"/>
    <w:rsid w:val="001C6BE2"/>
    <w:rsid w:val="001C7688"/>
    <w:rsid w:val="001D0E93"/>
    <w:rsid w:val="001D2464"/>
    <w:rsid w:val="001D5BAD"/>
    <w:rsid w:val="001D7192"/>
    <w:rsid w:val="001E0CFD"/>
    <w:rsid w:val="001E21EE"/>
    <w:rsid w:val="001E7615"/>
    <w:rsid w:val="001F0118"/>
    <w:rsid w:val="001F329F"/>
    <w:rsid w:val="001F3515"/>
    <w:rsid w:val="001F6830"/>
    <w:rsid w:val="002015AE"/>
    <w:rsid w:val="00204C5A"/>
    <w:rsid w:val="00211F42"/>
    <w:rsid w:val="002207C2"/>
    <w:rsid w:val="00221455"/>
    <w:rsid w:val="00232E0B"/>
    <w:rsid w:val="00233005"/>
    <w:rsid w:val="00233F17"/>
    <w:rsid w:val="00237120"/>
    <w:rsid w:val="00240234"/>
    <w:rsid w:val="00240EF0"/>
    <w:rsid w:val="00245D19"/>
    <w:rsid w:val="002546A3"/>
    <w:rsid w:val="002553CD"/>
    <w:rsid w:val="00293D29"/>
    <w:rsid w:val="002958FA"/>
    <w:rsid w:val="002961A6"/>
    <w:rsid w:val="002961B5"/>
    <w:rsid w:val="0029641C"/>
    <w:rsid w:val="002A3601"/>
    <w:rsid w:val="002B0493"/>
    <w:rsid w:val="002B1D44"/>
    <w:rsid w:val="002B3715"/>
    <w:rsid w:val="002B4ED6"/>
    <w:rsid w:val="002B7C6F"/>
    <w:rsid w:val="002C0029"/>
    <w:rsid w:val="002C7BF8"/>
    <w:rsid w:val="002D111C"/>
    <w:rsid w:val="002E18F0"/>
    <w:rsid w:val="002E3E00"/>
    <w:rsid w:val="002F6393"/>
    <w:rsid w:val="002F676B"/>
    <w:rsid w:val="00302476"/>
    <w:rsid w:val="00303004"/>
    <w:rsid w:val="00304A56"/>
    <w:rsid w:val="00304C8C"/>
    <w:rsid w:val="00306752"/>
    <w:rsid w:val="00306C07"/>
    <w:rsid w:val="00310720"/>
    <w:rsid w:val="00327203"/>
    <w:rsid w:val="00331106"/>
    <w:rsid w:val="00331F35"/>
    <w:rsid w:val="00335CDF"/>
    <w:rsid w:val="00341E94"/>
    <w:rsid w:val="00346BC2"/>
    <w:rsid w:val="00353A30"/>
    <w:rsid w:val="00362A11"/>
    <w:rsid w:val="00365F09"/>
    <w:rsid w:val="00386CD1"/>
    <w:rsid w:val="00386DD1"/>
    <w:rsid w:val="003A020A"/>
    <w:rsid w:val="003A3A7E"/>
    <w:rsid w:val="003A40C1"/>
    <w:rsid w:val="003A67CC"/>
    <w:rsid w:val="003A6E31"/>
    <w:rsid w:val="003B0255"/>
    <w:rsid w:val="003B0AEC"/>
    <w:rsid w:val="003B2486"/>
    <w:rsid w:val="003B5D3E"/>
    <w:rsid w:val="003B66AA"/>
    <w:rsid w:val="003E1D16"/>
    <w:rsid w:val="003E51E0"/>
    <w:rsid w:val="003E78B4"/>
    <w:rsid w:val="003F28CD"/>
    <w:rsid w:val="003F35FD"/>
    <w:rsid w:val="003F3B84"/>
    <w:rsid w:val="0041385B"/>
    <w:rsid w:val="00416357"/>
    <w:rsid w:val="00430170"/>
    <w:rsid w:val="00433C6C"/>
    <w:rsid w:val="004419D4"/>
    <w:rsid w:val="00441BFA"/>
    <w:rsid w:val="00450913"/>
    <w:rsid w:val="00454FBD"/>
    <w:rsid w:val="004565C2"/>
    <w:rsid w:val="00473225"/>
    <w:rsid w:val="00475FF6"/>
    <w:rsid w:val="00481B94"/>
    <w:rsid w:val="004832E4"/>
    <w:rsid w:val="004836B2"/>
    <w:rsid w:val="004922FB"/>
    <w:rsid w:val="00497214"/>
    <w:rsid w:val="004A4241"/>
    <w:rsid w:val="004B001B"/>
    <w:rsid w:val="004B216A"/>
    <w:rsid w:val="004B287B"/>
    <w:rsid w:val="004C1963"/>
    <w:rsid w:val="004C43D3"/>
    <w:rsid w:val="004C6172"/>
    <w:rsid w:val="004D0573"/>
    <w:rsid w:val="004D7CD8"/>
    <w:rsid w:val="004E2939"/>
    <w:rsid w:val="004E5068"/>
    <w:rsid w:val="004F165A"/>
    <w:rsid w:val="004F6D6C"/>
    <w:rsid w:val="004F7A00"/>
    <w:rsid w:val="005122DD"/>
    <w:rsid w:val="00522385"/>
    <w:rsid w:val="00523E60"/>
    <w:rsid w:val="00523F48"/>
    <w:rsid w:val="005302DC"/>
    <w:rsid w:val="00531C64"/>
    <w:rsid w:val="005365FA"/>
    <w:rsid w:val="00536C50"/>
    <w:rsid w:val="005432B1"/>
    <w:rsid w:val="00550AB5"/>
    <w:rsid w:val="0055624C"/>
    <w:rsid w:val="0056448D"/>
    <w:rsid w:val="005708AD"/>
    <w:rsid w:val="005723CB"/>
    <w:rsid w:val="0057419A"/>
    <w:rsid w:val="00575400"/>
    <w:rsid w:val="0058317C"/>
    <w:rsid w:val="005855FC"/>
    <w:rsid w:val="0058676B"/>
    <w:rsid w:val="00590E23"/>
    <w:rsid w:val="00591A20"/>
    <w:rsid w:val="005957E6"/>
    <w:rsid w:val="005A468E"/>
    <w:rsid w:val="005A5BF2"/>
    <w:rsid w:val="005B18AF"/>
    <w:rsid w:val="005B45A1"/>
    <w:rsid w:val="005B551A"/>
    <w:rsid w:val="005D5A50"/>
    <w:rsid w:val="005D7913"/>
    <w:rsid w:val="005F5301"/>
    <w:rsid w:val="005F65B7"/>
    <w:rsid w:val="006067C7"/>
    <w:rsid w:val="006159AD"/>
    <w:rsid w:val="006237BC"/>
    <w:rsid w:val="00646436"/>
    <w:rsid w:val="00646EDA"/>
    <w:rsid w:val="00657603"/>
    <w:rsid w:val="00664420"/>
    <w:rsid w:val="00674AB3"/>
    <w:rsid w:val="006830BA"/>
    <w:rsid w:val="00683B21"/>
    <w:rsid w:val="006A21FC"/>
    <w:rsid w:val="006A646A"/>
    <w:rsid w:val="006B10B0"/>
    <w:rsid w:val="006C1A53"/>
    <w:rsid w:val="006C4362"/>
    <w:rsid w:val="006C7EF6"/>
    <w:rsid w:val="006D3237"/>
    <w:rsid w:val="006D4588"/>
    <w:rsid w:val="006E06F8"/>
    <w:rsid w:val="006E13CF"/>
    <w:rsid w:val="006E25BC"/>
    <w:rsid w:val="006E6BBC"/>
    <w:rsid w:val="006E7E69"/>
    <w:rsid w:val="006F07BB"/>
    <w:rsid w:val="006F7768"/>
    <w:rsid w:val="00717E59"/>
    <w:rsid w:val="00724F22"/>
    <w:rsid w:val="0073203E"/>
    <w:rsid w:val="0074510E"/>
    <w:rsid w:val="007517BD"/>
    <w:rsid w:val="0075751F"/>
    <w:rsid w:val="0076337C"/>
    <w:rsid w:val="007667E1"/>
    <w:rsid w:val="00773DD6"/>
    <w:rsid w:val="00773EAB"/>
    <w:rsid w:val="00774516"/>
    <w:rsid w:val="00775BFC"/>
    <w:rsid w:val="007770D8"/>
    <w:rsid w:val="00785289"/>
    <w:rsid w:val="00792B02"/>
    <w:rsid w:val="0079416B"/>
    <w:rsid w:val="00794BA5"/>
    <w:rsid w:val="007A095C"/>
    <w:rsid w:val="007A2B8D"/>
    <w:rsid w:val="007A3459"/>
    <w:rsid w:val="007A55D2"/>
    <w:rsid w:val="007B6074"/>
    <w:rsid w:val="007B6F7B"/>
    <w:rsid w:val="007B745A"/>
    <w:rsid w:val="007B7AFB"/>
    <w:rsid w:val="007C7C47"/>
    <w:rsid w:val="007D1C55"/>
    <w:rsid w:val="007D1C84"/>
    <w:rsid w:val="007D317F"/>
    <w:rsid w:val="007E07E1"/>
    <w:rsid w:val="007E55FC"/>
    <w:rsid w:val="007F5D06"/>
    <w:rsid w:val="00805A6E"/>
    <w:rsid w:val="00811211"/>
    <w:rsid w:val="008119A7"/>
    <w:rsid w:val="00811AFE"/>
    <w:rsid w:val="00811F75"/>
    <w:rsid w:val="00813497"/>
    <w:rsid w:val="00823BA5"/>
    <w:rsid w:val="00826C28"/>
    <w:rsid w:val="00831728"/>
    <w:rsid w:val="00842C80"/>
    <w:rsid w:val="008530DB"/>
    <w:rsid w:val="00860F56"/>
    <w:rsid w:val="00864CC1"/>
    <w:rsid w:val="00865CF4"/>
    <w:rsid w:val="0087183B"/>
    <w:rsid w:val="00876DBC"/>
    <w:rsid w:val="00877643"/>
    <w:rsid w:val="008950DC"/>
    <w:rsid w:val="008A427E"/>
    <w:rsid w:val="008A6003"/>
    <w:rsid w:val="008A6F88"/>
    <w:rsid w:val="008A790F"/>
    <w:rsid w:val="008B1E16"/>
    <w:rsid w:val="008B508D"/>
    <w:rsid w:val="008C1A5C"/>
    <w:rsid w:val="008D66A9"/>
    <w:rsid w:val="008D6F24"/>
    <w:rsid w:val="008E1316"/>
    <w:rsid w:val="008E6224"/>
    <w:rsid w:val="008F28F9"/>
    <w:rsid w:val="00903DBE"/>
    <w:rsid w:val="00910FD2"/>
    <w:rsid w:val="00911079"/>
    <w:rsid w:val="0091492C"/>
    <w:rsid w:val="009233A1"/>
    <w:rsid w:val="00925ECA"/>
    <w:rsid w:val="00930F2D"/>
    <w:rsid w:val="00931437"/>
    <w:rsid w:val="00936B5A"/>
    <w:rsid w:val="00952651"/>
    <w:rsid w:val="00953212"/>
    <w:rsid w:val="00953430"/>
    <w:rsid w:val="00962787"/>
    <w:rsid w:val="00965890"/>
    <w:rsid w:val="00970EB3"/>
    <w:rsid w:val="00971586"/>
    <w:rsid w:val="0097369C"/>
    <w:rsid w:val="00976247"/>
    <w:rsid w:val="00982877"/>
    <w:rsid w:val="00985840"/>
    <w:rsid w:val="0098693C"/>
    <w:rsid w:val="00986E43"/>
    <w:rsid w:val="00993ED0"/>
    <w:rsid w:val="009A1340"/>
    <w:rsid w:val="009A2D78"/>
    <w:rsid w:val="009A2EDE"/>
    <w:rsid w:val="009A7C10"/>
    <w:rsid w:val="009B2945"/>
    <w:rsid w:val="009B4AA1"/>
    <w:rsid w:val="009B6C53"/>
    <w:rsid w:val="009C04A8"/>
    <w:rsid w:val="009D2DF4"/>
    <w:rsid w:val="009E0652"/>
    <w:rsid w:val="009E2DEE"/>
    <w:rsid w:val="009E45F2"/>
    <w:rsid w:val="009E4644"/>
    <w:rsid w:val="009E6B1C"/>
    <w:rsid w:val="009F09BF"/>
    <w:rsid w:val="009F797C"/>
    <w:rsid w:val="00A047F0"/>
    <w:rsid w:val="00A11242"/>
    <w:rsid w:val="00A12108"/>
    <w:rsid w:val="00A12AFA"/>
    <w:rsid w:val="00A131AC"/>
    <w:rsid w:val="00A16D85"/>
    <w:rsid w:val="00A21A20"/>
    <w:rsid w:val="00A25F1A"/>
    <w:rsid w:val="00A35DA7"/>
    <w:rsid w:val="00A36A99"/>
    <w:rsid w:val="00A41792"/>
    <w:rsid w:val="00A53315"/>
    <w:rsid w:val="00A56D41"/>
    <w:rsid w:val="00A6091A"/>
    <w:rsid w:val="00A63966"/>
    <w:rsid w:val="00A6415E"/>
    <w:rsid w:val="00A70EF0"/>
    <w:rsid w:val="00A76102"/>
    <w:rsid w:val="00A815EA"/>
    <w:rsid w:val="00A9208D"/>
    <w:rsid w:val="00A92D12"/>
    <w:rsid w:val="00A964CC"/>
    <w:rsid w:val="00AA3AE9"/>
    <w:rsid w:val="00AA6EA9"/>
    <w:rsid w:val="00AB44A7"/>
    <w:rsid w:val="00AB6BBD"/>
    <w:rsid w:val="00AC2DB8"/>
    <w:rsid w:val="00AC3CA0"/>
    <w:rsid w:val="00AC5BC1"/>
    <w:rsid w:val="00AD4855"/>
    <w:rsid w:val="00AE3DA7"/>
    <w:rsid w:val="00AE48B8"/>
    <w:rsid w:val="00AE5AEF"/>
    <w:rsid w:val="00AF03C4"/>
    <w:rsid w:val="00AF7696"/>
    <w:rsid w:val="00B137E8"/>
    <w:rsid w:val="00B169A2"/>
    <w:rsid w:val="00B2134F"/>
    <w:rsid w:val="00B22A80"/>
    <w:rsid w:val="00B271B8"/>
    <w:rsid w:val="00B348A2"/>
    <w:rsid w:val="00B36848"/>
    <w:rsid w:val="00B373AF"/>
    <w:rsid w:val="00B47DF0"/>
    <w:rsid w:val="00B56734"/>
    <w:rsid w:val="00B57397"/>
    <w:rsid w:val="00B61BCE"/>
    <w:rsid w:val="00B65555"/>
    <w:rsid w:val="00B700E6"/>
    <w:rsid w:val="00B75BA6"/>
    <w:rsid w:val="00B80A20"/>
    <w:rsid w:val="00B822AE"/>
    <w:rsid w:val="00B85975"/>
    <w:rsid w:val="00B85E5A"/>
    <w:rsid w:val="00BA08F8"/>
    <w:rsid w:val="00BA1AB6"/>
    <w:rsid w:val="00BA27B5"/>
    <w:rsid w:val="00BA2B6C"/>
    <w:rsid w:val="00BA3E69"/>
    <w:rsid w:val="00BA55A8"/>
    <w:rsid w:val="00BA6767"/>
    <w:rsid w:val="00BB2ABF"/>
    <w:rsid w:val="00BB64F4"/>
    <w:rsid w:val="00BB702C"/>
    <w:rsid w:val="00BB76C9"/>
    <w:rsid w:val="00BC1202"/>
    <w:rsid w:val="00BC4DCB"/>
    <w:rsid w:val="00BD13C0"/>
    <w:rsid w:val="00BD2738"/>
    <w:rsid w:val="00BD3127"/>
    <w:rsid w:val="00BD3F4F"/>
    <w:rsid w:val="00BD5A7C"/>
    <w:rsid w:val="00BD67FB"/>
    <w:rsid w:val="00BE7A1B"/>
    <w:rsid w:val="00BF0221"/>
    <w:rsid w:val="00BF091A"/>
    <w:rsid w:val="00BF4A10"/>
    <w:rsid w:val="00BF4EAD"/>
    <w:rsid w:val="00BF4F76"/>
    <w:rsid w:val="00BF51BF"/>
    <w:rsid w:val="00BF568A"/>
    <w:rsid w:val="00BF5883"/>
    <w:rsid w:val="00BF6114"/>
    <w:rsid w:val="00BF7DCC"/>
    <w:rsid w:val="00C00D03"/>
    <w:rsid w:val="00C049E2"/>
    <w:rsid w:val="00C10D59"/>
    <w:rsid w:val="00C15087"/>
    <w:rsid w:val="00C15830"/>
    <w:rsid w:val="00C229BF"/>
    <w:rsid w:val="00C30616"/>
    <w:rsid w:val="00C30E1F"/>
    <w:rsid w:val="00C351EC"/>
    <w:rsid w:val="00C36795"/>
    <w:rsid w:val="00C42CA7"/>
    <w:rsid w:val="00C45145"/>
    <w:rsid w:val="00C461EC"/>
    <w:rsid w:val="00C507D4"/>
    <w:rsid w:val="00C518E1"/>
    <w:rsid w:val="00C71CEF"/>
    <w:rsid w:val="00C72DAA"/>
    <w:rsid w:val="00C73A98"/>
    <w:rsid w:val="00C7571D"/>
    <w:rsid w:val="00C80359"/>
    <w:rsid w:val="00C80B14"/>
    <w:rsid w:val="00C87502"/>
    <w:rsid w:val="00CA0628"/>
    <w:rsid w:val="00CA177B"/>
    <w:rsid w:val="00CA1D89"/>
    <w:rsid w:val="00CA50B3"/>
    <w:rsid w:val="00CB306E"/>
    <w:rsid w:val="00CB5094"/>
    <w:rsid w:val="00CB6331"/>
    <w:rsid w:val="00CB7C31"/>
    <w:rsid w:val="00CB7E9A"/>
    <w:rsid w:val="00CC4DB3"/>
    <w:rsid w:val="00CD0B92"/>
    <w:rsid w:val="00CD3244"/>
    <w:rsid w:val="00CE1DFB"/>
    <w:rsid w:val="00CE29D3"/>
    <w:rsid w:val="00CE3DBD"/>
    <w:rsid w:val="00CE4C7D"/>
    <w:rsid w:val="00CE58F2"/>
    <w:rsid w:val="00CF2D8B"/>
    <w:rsid w:val="00CF7586"/>
    <w:rsid w:val="00CF7F0C"/>
    <w:rsid w:val="00D036D3"/>
    <w:rsid w:val="00D07C17"/>
    <w:rsid w:val="00D161C4"/>
    <w:rsid w:val="00D20F37"/>
    <w:rsid w:val="00D228A6"/>
    <w:rsid w:val="00D2790D"/>
    <w:rsid w:val="00D44B43"/>
    <w:rsid w:val="00D51ECD"/>
    <w:rsid w:val="00D52962"/>
    <w:rsid w:val="00D53CE6"/>
    <w:rsid w:val="00D5461D"/>
    <w:rsid w:val="00D55FDA"/>
    <w:rsid w:val="00D6170E"/>
    <w:rsid w:val="00D639D8"/>
    <w:rsid w:val="00D91CB4"/>
    <w:rsid w:val="00DA3CF6"/>
    <w:rsid w:val="00DA45E2"/>
    <w:rsid w:val="00DA54C1"/>
    <w:rsid w:val="00DA57D2"/>
    <w:rsid w:val="00DA77BA"/>
    <w:rsid w:val="00DB1C09"/>
    <w:rsid w:val="00DC11A3"/>
    <w:rsid w:val="00DC30FA"/>
    <w:rsid w:val="00DC669D"/>
    <w:rsid w:val="00DD1939"/>
    <w:rsid w:val="00DD22A2"/>
    <w:rsid w:val="00DE1133"/>
    <w:rsid w:val="00DE5DCF"/>
    <w:rsid w:val="00E11AA0"/>
    <w:rsid w:val="00E12F50"/>
    <w:rsid w:val="00E13E4C"/>
    <w:rsid w:val="00E16BF5"/>
    <w:rsid w:val="00E27023"/>
    <w:rsid w:val="00E30FEC"/>
    <w:rsid w:val="00E33233"/>
    <w:rsid w:val="00E37496"/>
    <w:rsid w:val="00E37A3F"/>
    <w:rsid w:val="00E37D3C"/>
    <w:rsid w:val="00E47A6C"/>
    <w:rsid w:val="00E615B5"/>
    <w:rsid w:val="00E617DF"/>
    <w:rsid w:val="00E62DFF"/>
    <w:rsid w:val="00E62E6A"/>
    <w:rsid w:val="00E73A29"/>
    <w:rsid w:val="00E7748D"/>
    <w:rsid w:val="00E83EF5"/>
    <w:rsid w:val="00E8758B"/>
    <w:rsid w:val="00E929C6"/>
    <w:rsid w:val="00E9335C"/>
    <w:rsid w:val="00EA41DC"/>
    <w:rsid w:val="00EA53F7"/>
    <w:rsid w:val="00EA7218"/>
    <w:rsid w:val="00ED1C1E"/>
    <w:rsid w:val="00EE0860"/>
    <w:rsid w:val="00EE1CF5"/>
    <w:rsid w:val="00EE2AF2"/>
    <w:rsid w:val="00EE7028"/>
    <w:rsid w:val="00EE77E9"/>
    <w:rsid w:val="00EF6D46"/>
    <w:rsid w:val="00F06548"/>
    <w:rsid w:val="00F07EE6"/>
    <w:rsid w:val="00F25625"/>
    <w:rsid w:val="00F2624D"/>
    <w:rsid w:val="00F32348"/>
    <w:rsid w:val="00F33CC8"/>
    <w:rsid w:val="00F36EF8"/>
    <w:rsid w:val="00F4481C"/>
    <w:rsid w:val="00F45902"/>
    <w:rsid w:val="00F52005"/>
    <w:rsid w:val="00F52089"/>
    <w:rsid w:val="00F54FC9"/>
    <w:rsid w:val="00F75D23"/>
    <w:rsid w:val="00F8112B"/>
    <w:rsid w:val="00F81946"/>
    <w:rsid w:val="00F8365A"/>
    <w:rsid w:val="00F8547A"/>
    <w:rsid w:val="00F86DF5"/>
    <w:rsid w:val="00F93742"/>
    <w:rsid w:val="00FA5957"/>
    <w:rsid w:val="00FC3CE0"/>
    <w:rsid w:val="00FC7090"/>
    <w:rsid w:val="00FD06A8"/>
    <w:rsid w:val="00FF30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8259D297-5E53-4766-9F7C-419A5302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EDA"/>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1544A1"/>
    <w:rPr>
      <w:color w:val="605E5C"/>
      <w:shd w:val="clear" w:color="auto" w:fill="E1DFDD"/>
    </w:rPr>
  </w:style>
  <w:style w:type="character" w:customStyle="1" w:styleId="Mencinsinresolver2">
    <w:name w:val="Mención sin resolver2"/>
    <w:basedOn w:val="Fuentedeprrafopredeter"/>
    <w:uiPriority w:val="99"/>
    <w:semiHidden/>
    <w:unhideWhenUsed/>
    <w:rsid w:val="00CA0628"/>
    <w:rPr>
      <w:color w:val="605E5C"/>
      <w:shd w:val="clear" w:color="auto" w:fill="E1DFDD"/>
    </w:rPr>
  </w:style>
  <w:style w:type="character" w:customStyle="1" w:styleId="Mencinsinresolver3">
    <w:name w:val="Mención sin resolver3"/>
    <w:basedOn w:val="Fuentedeprrafopredeter"/>
    <w:uiPriority w:val="99"/>
    <w:semiHidden/>
    <w:unhideWhenUsed/>
    <w:rsid w:val="00DA3CF6"/>
    <w:rPr>
      <w:color w:val="605E5C"/>
      <w:shd w:val="clear" w:color="auto" w:fill="E1DFDD"/>
    </w:rPr>
  </w:style>
  <w:style w:type="paragraph" w:styleId="NormalWeb">
    <w:name w:val="Normal (Web)"/>
    <w:basedOn w:val="Normal"/>
    <w:uiPriority w:val="99"/>
    <w:rsid w:val="00811AFE"/>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Hipervnculo151">
    <w:name w:val="Hipervínculo151"/>
    <w:basedOn w:val="Fuentedeprrafopredeter"/>
    <w:uiPriority w:val="99"/>
    <w:rsid w:val="00B57397"/>
    <w:rPr>
      <w:color w:val="467886"/>
      <w:u w:val="single"/>
    </w:rPr>
  </w:style>
  <w:style w:type="character" w:customStyle="1" w:styleId="UnresolvedMention">
    <w:name w:val="Unresolved Mention"/>
    <w:basedOn w:val="Fuentedeprrafopredeter"/>
    <w:uiPriority w:val="99"/>
    <w:semiHidden/>
    <w:unhideWhenUsed/>
    <w:rsid w:val="007A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8879">
      <w:bodyDiv w:val="1"/>
      <w:marLeft w:val="0"/>
      <w:marRight w:val="0"/>
      <w:marTop w:val="0"/>
      <w:marBottom w:val="0"/>
      <w:divBdr>
        <w:top w:val="none" w:sz="0" w:space="0" w:color="auto"/>
        <w:left w:val="none" w:sz="0" w:space="0" w:color="auto"/>
        <w:bottom w:val="none" w:sz="0" w:space="0" w:color="auto"/>
        <w:right w:val="none" w:sz="0" w:space="0" w:color="auto"/>
      </w:divBdr>
    </w:div>
    <w:div w:id="64841333">
      <w:bodyDiv w:val="1"/>
      <w:marLeft w:val="0"/>
      <w:marRight w:val="0"/>
      <w:marTop w:val="0"/>
      <w:marBottom w:val="0"/>
      <w:divBdr>
        <w:top w:val="none" w:sz="0" w:space="0" w:color="auto"/>
        <w:left w:val="none" w:sz="0" w:space="0" w:color="auto"/>
        <w:bottom w:val="none" w:sz="0" w:space="0" w:color="auto"/>
        <w:right w:val="none" w:sz="0" w:space="0" w:color="auto"/>
      </w:divBdr>
    </w:div>
    <w:div w:id="160201178">
      <w:bodyDiv w:val="1"/>
      <w:marLeft w:val="0"/>
      <w:marRight w:val="0"/>
      <w:marTop w:val="0"/>
      <w:marBottom w:val="0"/>
      <w:divBdr>
        <w:top w:val="none" w:sz="0" w:space="0" w:color="auto"/>
        <w:left w:val="none" w:sz="0" w:space="0" w:color="auto"/>
        <w:bottom w:val="none" w:sz="0" w:space="0" w:color="auto"/>
        <w:right w:val="none" w:sz="0" w:space="0" w:color="auto"/>
      </w:divBdr>
    </w:div>
    <w:div w:id="285428060">
      <w:bodyDiv w:val="1"/>
      <w:marLeft w:val="0"/>
      <w:marRight w:val="0"/>
      <w:marTop w:val="0"/>
      <w:marBottom w:val="0"/>
      <w:divBdr>
        <w:top w:val="none" w:sz="0" w:space="0" w:color="auto"/>
        <w:left w:val="none" w:sz="0" w:space="0" w:color="auto"/>
        <w:bottom w:val="none" w:sz="0" w:space="0" w:color="auto"/>
        <w:right w:val="none" w:sz="0" w:space="0" w:color="auto"/>
      </w:divBdr>
    </w:div>
    <w:div w:id="328947305">
      <w:bodyDiv w:val="1"/>
      <w:marLeft w:val="0"/>
      <w:marRight w:val="0"/>
      <w:marTop w:val="0"/>
      <w:marBottom w:val="0"/>
      <w:divBdr>
        <w:top w:val="none" w:sz="0" w:space="0" w:color="auto"/>
        <w:left w:val="none" w:sz="0" w:space="0" w:color="auto"/>
        <w:bottom w:val="none" w:sz="0" w:space="0" w:color="auto"/>
        <w:right w:val="none" w:sz="0" w:space="0" w:color="auto"/>
      </w:divBdr>
    </w:div>
    <w:div w:id="333533794">
      <w:bodyDiv w:val="1"/>
      <w:marLeft w:val="0"/>
      <w:marRight w:val="0"/>
      <w:marTop w:val="0"/>
      <w:marBottom w:val="0"/>
      <w:divBdr>
        <w:top w:val="none" w:sz="0" w:space="0" w:color="auto"/>
        <w:left w:val="none" w:sz="0" w:space="0" w:color="auto"/>
        <w:bottom w:val="none" w:sz="0" w:space="0" w:color="auto"/>
        <w:right w:val="none" w:sz="0" w:space="0" w:color="auto"/>
      </w:divBdr>
    </w:div>
    <w:div w:id="426001488">
      <w:bodyDiv w:val="1"/>
      <w:marLeft w:val="0"/>
      <w:marRight w:val="0"/>
      <w:marTop w:val="0"/>
      <w:marBottom w:val="0"/>
      <w:divBdr>
        <w:top w:val="none" w:sz="0" w:space="0" w:color="auto"/>
        <w:left w:val="none" w:sz="0" w:space="0" w:color="auto"/>
        <w:bottom w:val="none" w:sz="0" w:space="0" w:color="auto"/>
        <w:right w:val="none" w:sz="0" w:space="0" w:color="auto"/>
      </w:divBdr>
    </w:div>
    <w:div w:id="44226121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533004562">
      <w:bodyDiv w:val="1"/>
      <w:marLeft w:val="0"/>
      <w:marRight w:val="0"/>
      <w:marTop w:val="0"/>
      <w:marBottom w:val="0"/>
      <w:divBdr>
        <w:top w:val="none" w:sz="0" w:space="0" w:color="auto"/>
        <w:left w:val="none" w:sz="0" w:space="0" w:color="auto"/>
        <w:bottom w:val="none" w:sz="0" w:space="0" w:color="auto"/>
        <w:right w:val="none" w:sz="0" w:space="0" w:color="auto"/>
      </w:divBdr>
    </w:div>
    <w:div w:id="576014576">
      <w:bodyDiv w:val="1"/>
      <w:marLeft w:val="0"/>
      <w:marRight w:val="0"/>
      <w:marTop w:val="0"/>
      <w:marBottom w:val="0"/>
      <w:divBdr>
        <w:top w:val="none" w:sz="0" w:space="0" w:color="auto"/>
        <w:left w:val="none" w:sz="0" w:space="0" w:color="auto"/>
        <w:bottom w:val="none" w:sz="0" w:space="0" w:color="auto"/>
        <w:right w:val="none" w:sz="0" w:space="0" w:color="auto"/>
      </w:divBdr>
    </w:div>
    <w:div w:id="651759630">
      <w:bodyDiv w:val="1"/>
      <w:marLeft w:val="0"/>
      <w:marRight w:val="0"/>
      <w:marTop w:val="0"/>
      <w:marBottom w:val="0"/>
      <w:divBdr>
        <w:top w:val="none" w:sz="0" w:space="0" w:color="auto"/>
        <w:left w:val="none" w:sz="0" w:space="0" w:color="auto"/>
        <w:bottom w:val="none" w:sz="0" w:space="0" w:color="auto"/>
        <w:right w:val="none" w:sz="0" w:space="0" w:color="auto"/>
      </w:divBdr>
    </w:div>
    <w:div w:id="681782180">
      <w:bodyDiv w:val="1"/>
      <w:marLeft w:val="0"/>
      <w:marRight w:val="0"/>
      <w:marTop w:val="0"/>
      <w:marBottom w:val="0"/>
      <w:divBdr>
        <w:top w:val="none" w:sz="0" w:space="0" w:color="auto"/>
        <w:left w:val="none" w:sz="0" w:space="0" w:color="auto"/>
        <w:bottom w:val="none" w:sz="0" w:space="0" w:color="auto"/>
        <w:right w:val="none" w:sz="0" w:space="0" w:color="auto"/>
      </w:divBdr>
    </w:div>
    <w:div w:id="691802601">
      <w:bodyDiv w:val="1"/>
      <w:marLeft w:val="0"/>
      <w:marRight w:val="0"/>
      <w:marTop w:val="0"/>
      <w:marBottom w:val="0"/>
      <w:divBdr>
        <w:top w:val="none" w:sz="0" w:space="0" w:color="auto"/>
        <w:left w:val="none" w:sz="0" w:space="0" w:color="auto"/>
        <w:bottom w:val="none" w:sz="0" w:space="0" w:color="auto"/>
        <w:right w:val="none" w:sz="0" w:space="0" w:color="auto"/>
      </w:divBdr>
    </w:div>
    <w:div w:id="736050479">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26634921">
      <w:bodyDiv w:val="1"/>
      <w:marLeft w:val="0"/>
      <w:marRight w:val="0"/>
      <w:marTop w:val="0"/>
      <w:marBottom w:val="0"/>
      <w:divBdr>
        <w:top w:val="none" w:sz="0" w:space="0" w:color="auto"/>
        <w:left w:val="none" w:sz="0" w:space="0" w:color="auto"/>
        <w:bottom w:val="none" w:sz="0" w:space="0" w:color="auto"/>
        <w:right w:val="none" w:sz="0" w:space="0" w:color="auto"/>
      </w:divBdr>
    </w:div>
    <w:div w:id="849641196">
      <w:bodyDiv w:val="1"/>
      <w:marLeft w:val="0"/>
      <w:marRight w:val="0"/>
      <w:marTop w:val="0"/>
      <w:marBottom w:val="0"/>
      <w:divBdr>
        <w:top w:val="none" w:sz="0" w:space="0" w:color="auto"/>
        <w:left w:val="none" w:sz="0" w:space="0" w:color="auto"/>
        <w:bottom w:val="none" w:sz="0" w:space="0" w:color="auto"/>
        <w:right w:val="none" w:sz="0" w:space="0" w:color="auto"/>
      </w:divBdr>
    </w:div>
    <w:div w:id="889998922">
      <w:bodyDiv w:val="1"/>
      <w:marLeft w:val="0"/>
      <w:marRight w:val="0"/>
      <w:marTop w:val="0"/>
      <w:marBottom w:val="0"/>
      <w:divBdr>
        <w:top w:val="none" w:sz="0" w:space="0" w:color="auto"/>
        <w:left w:val="none" w:sz="0" w:space="0" w:color="auto"/>
        <w:bottom w:val="none" w:sz="0" w:space="0" w:color="auto"/>
        <w:right w:val="none" w:sz="0" w:space="0" w:color="auto"/>
      </w:divBdr>
    </w:div>
    <w:div w:id="958145649">
      <w:bodyDiv w:val="1"/>
      <w:marLeft w:val="0"/>
      <w:marRight w:val="0"/>
      <w:marTop w:val="0"/>
      <w:marBottom w:val="0"/>
      <w:divBdr>
        <w:top w:val="none" w:sz="0" w:space="0" w:color="auto"/>
        <w:left w:val="none" w:sz="0" w:space="0" w:color="auto"/>
        <w:bottom w:val="none" w:sz="0" w:space="0" w:color="auto"/>
        <w:right w:val="none" w:sz="0" w:space="0" w:color="auto"/>
      </w:divBdr>
    </w:div>
    <w:div w:id="1052076460">
      <w:bodyDiv w:val="1"/>
      <w:marLeft w:val="0"/>
      <w:marRight w:val="0"/>
      <w:marTop w:val="0"/>
      <w:marBottom w:val="0"/>
      <w:divBdr>
        <w:top w:val="none" w:sz="0" w:space="0" w:color="auto"/>
        <w:left w:val="none" w:sz="0" w:space="0" w:color="auto"/>
        <w:bottom w:val="none" w:sz="0" w:space="0" w:color="auto"/>
        <w:right w:val="none" w:sz="0" w:space="0" w:color="auto"/>
      </w:divBdr>
    </w:div>
    <w:div w:id="1105231048">
      <w:bodyDiv w:val="1"/>
      <w:marLeft w:val="0"/>
      <w:marRight w:val="0"/>
      <w:marTop w:val="0"/>
      <w:marBottom w:val="0"/>
      <w:divBdr>
        <w:top w:val="none" w:sz="0" w:space="0" w:color="auto"/>
        <w:left w:val="none" w:sz="0" w:space="0" w:color="auto"/>
        <w:bottom w:val="none" w:sz="0" w:space="0" w:color="auto"/>
        <w:right w:val="none" w:sz="0" w:space="0" w:color="auto"/>
      </w:divBdr>
    </w:div>
    <w:div w:id="1161576796">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193029831">
      <w:bodyDiv w:val="1"/>
      <w:marLeft w:val="0"/>
      <w:marRight w:val="0"/>
      <w:marTop w:val="0"/>
      <w:marBottom w:val="0"/>
      <w:divBdr>
        <w:top w:val="none" w:sz="0" w:space="0" w:color="auto"/>
        <w:left w:val="none" w:sz="0" w:space="0" w:color="auto"/>
        <w:bottom w:val="none" w:sz="0" w:space="0" w:color="auto"/>
        <w:right w:val="none" w:sz="0" w:space="0" w:color="auto"/>
      </w:divBdr>
    </w:div>
    <w:div w:id="1197425498">
      <w:bodyDiv w:val="1"/>
      <w:marLeft w:val="0"/>
      <w:marRight w:val="0"/>
      <w:marTop w:val="0"/>
      <w:marBottom w:val="0"/>
      <w:divBdr>
        <w:top w:val="none" w:sz="0" w:space="0" w:color="auto"/>
        <w:left w:val="none" w:sz="0" w:space="0" w:color="auto"/>
        <w:bottom w:val="none" w:sz="0" w:space="0" w:color="auto"/>
        <w:right w:val="none" w:sz="0" w:space="0" w:color="auto"/>
      </w:divBdr>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37204418">
      <w:bodyDiv w:val="1"/>
      <w:marLeft w:val="0"/>
      <w:marRight w:val="0"/>
      <w:marTop w:val="0"/>
      <w:marBottom w:val="0"/>
      <w:divBdr>
        <w:top w:val="none" w:sz="0" w:space="0" w:color="auto"/>
        <w:left w:val="none" w:sz="0" w:space="0" w:color="auto"/>
        <w:bottom w:val="none" w:sz="0" w:space="0" w:color="auto"/>
        <w:right w:val="none" w:sz="0" w:space="0" w:color="auto"/>
      </w:divBdr>
    </w:div>
    <w:div w:id="1327199999">
      <w:bodyDiv w:val="1"/>
      <w:marLeft w:val="0"/>
      <w:marRight w:val="0"/>
      <w:marTop w:val="0"/>
      <w:marBottom w:val="0"/>
      <w:divBdr>
        <w:top w:val="none" w:sz="0" w:space="0" w:color="auto"/>
        <w:left w:val="none" w:sz="0" w:space="0" w:color="auto"/>
        <w:bottom w:val="none" w:sz="0" w:space="0" w:color="auto"/>
        <w:right w:val="none" w:sz="0" w:space="0" w:color="auto"/>
      </w:divBdr>
    </w:div>
    <w:div w:id="1413087626">
      <w:bodyDiv w:val="1"/>
      <w:marLeft w:val="0"/>
      <w:marRight w:val="0"/>
      <w:marTop w:val="0"/>
      <w:marBottom w:val="0"/>
      <w:divBdr>
        <w:top w:val="none" w:sz="0" w:space="0" w:color="auto"/>
        <w:left w:val="none" w:sz="0" w:space="0" w:color="auto"/>
        <w:bottom w:val="none" w:sz="0" w:space="0" w:color="auto"/>
        <w:right w:val="none" w:sz="0" w:space="0" w:color="auto"/>
      </w:divBdr>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19864680">
      <w:bodyDiv w:val="1"/>
      <w:marLeft w:val="0"/>
      <w:marRight w:val="0"/>
      <w:marTop w:val="0"/>
      <w:marBottom w:val="0"/>
      <w:divBdr>
        <w:top w:val="none" w:sz="0" w:space="0" w:color="auto"/>
        <w:left w:val="none" w:sz="0" w:space="0" w:color="auto"/>
        <w:bottom w:val="none" w:sz="0" w:space="0" w:color="auto"/>
        <w:right w:val="none" w:sz="0" w:space="0" w:color="auto"/>
      </w:divBdr>
    </w:div>
    <w:div w:id="1459952135">
      <w:bodyDiv w:val="1"/>
      <w:marLeft w:val="0"/>
      <w:marRight w:val="0"/>
      <w:marTop w:val="0"/>
      <w:marBottom w:val="0"/>
      <w:divBdr>
        <w:top w:val="none" w:sz="0" w:space="0" w:color="auto"/>
        <w:left w:val="none" w:sz="0" w:space="0" w:color="auto"/>
        <w:bottom w:val="none" w:sz="0" w:space="0" w:color="auto"/>
        <w:right w:val="none" w:sz="0" w:space="0" w:color="auto"/>
      </w:divBdr>
    </w:div>
    <w:div w:id="1467433191">
      <w:bodyDiv w:val="1"/>
      <w:marLeft w:val="0"/>
      <w:marRight w:val="0"/>
      <w:marTop w:val="0"/>
      <w:marBottom w:val="0"/>
      <w:divBdr>
        <w:top w:val="none" w:sz="0" w:space="0" w:color="auto"/>
        <w:left w:val="none" w:sz="0" w:space="0" w:color="auto"/>
        <w:bottom w:val="none" w:sz="0" w:space="0" w:color="auto"/>
        <w:right w:val="none" w:sz="0" w:space="0" w:color="auto"/>
      </w:divBdr>
    </w:div>
    <w:div w:id="1527331856">
      <w:bodyDiv w:val="1"/>
      <w:marLeft w:val="0"/>
      <w:marRight w:val="0"/>
      <w:marTop w:val="0"/>
      <w:marBottom w:val="0"/>
      <w:divBdr>
        <w:top w:val="none" w:sz="0" w:space="0" w:color="auto"/>
        <w:left w:val="none" w:sz="0" w:space="0" w:color="auto"/>
        <w:bottom w:val="none" w:sz="0" w:space="0" w:color="auto"/>
        <w:right w:val="none" w:sz="0" w:space="0" w:color="auto"/>
      </w:divBdr>
    </w:div>
    <w:div w:id="1563560149">
      <w:bodyDiv w:val="1"/>
      <w:marLeft w:val="0"/>
      <w:marRight w:val="0"/>
      <w:marTop w:val="0"/>
      <w:marBottom w:val="0"/>
      <w:divBdr>
        <w:top w:val="none" w:sz="0" w:space="0" w:color="auto"/>
        <w:left w:val="none" w:sz="0" w:space="0" w:color="auto"/>
        <w:bottom w:val="none" w:sz="0" w:space="0" w:color="auto"/>
        <w:right w:val="none" w:sz="0" w:space="0" w:color="auto"/>
      </w:divBdr>
    </w:div>
    <w:div w:id="1583876114">
      <w:bodyDiv w:val="1"/>
      <w:marLeft w:val="0"/>
      <w:marRight w:val="0"/>
      <w:marTop w:val="0"/>
      <w:marBottom w:val="0"/>
      <w:divBdr>
        <w:top w:val="none" w:sz="0" w:space="0" w:color="auto"/>
        <w:left w:val="none" w:sz="0" w:space="0" w:color="auto"/>
        <w:bottom w:val="none" w:sz="0" w:space="0" w:color="auto"/>
        <w:right w:val="none" w:sz="0" w:space="0" w:color="auto"/>
      </w:divBdr>
    </w:div>
    <w:div w:id="1624843862">
      <w:bodyDiv w:val="1"/>
      <w:marLeft w:val="0"/>
      <w:marRight w:val="0"/>
      <w:marTop w:val="0"/>
      <w:marBottom w:val="0"/>
      <w:divBdr>
        <w:top w:val="none" w:sz="0" w:space="0" w:color="auto"/>
        <w:left w:val="none" w:sz="0" w:space="0" w:color="auto"/>
        <w:bottom w:val="none" w:sz="0" w:space="0" w:color="auto"/>
        <w:right w:val="none" w:sz="0" w:space="0" w:color="auto"/>
      </w:divBdr>
    </w:div>
    <w:div w:id="1657686951">
      <w:bodyDiv w:val="1"/>
      <w:marLeft w:val="0"/>
      <w:marRight w:val="0"/>
      <w:marTop w:val="0"/>
      <w:marBottom w:val="0"/>
      <w:divBdr>
        <w:top w:val="none" w:sz="0" w:space="0" w:color="auto"/>
        <w:left w:val="none" w:sz="0" w:space="0" w:color="auto"/>
        <w:bottom w:val="none" w:sz="0" w:space="0" w:color="auto"/>
        <w:right w:val="none" w:sz="0" w:space="0" w:color="auto"/>
      </w:divBdr>
    </w:div>
    <w:div w:id="1692419067">
      <w:bodyDiv w:val="1"/>
      <w:marLeft w:val="0"/>
      <w:marRight w:val="0"/>
      <w:marTop w:val="0"/>
      <w:marBottom w:val="0"/>
      <w:divBdr>
        <w:top w:val="none" w:sz="0" w:space="0" w:color="auto"/>
        <w:left w:val="none" w:sz="0" w:space="0" w:color="auto"/>
        <w:bottom w:val="none" w:sz="0" w:space="0" w:color="auto"/>
        <w:right w:val="none" w:sz="0" w:space="0" w:color="auto"/>
      </w:divBdr>
    </w:div>
    <w:div w:id="1712195326">
      <w:bodyDiv w:val="1"/>
      <w:marLeft w:val="0"/>
      <w:marRight w:val="0"/>
      <w:marTop w:val="0"/>
      <w:marBottom w:val="0"/>
      <w:divBdr>
        <w:top w:val="none" w:sz="0" w:space="0" w:color="auto"/>
        <w:left w:val="none" w:sz="0" w:space="0" w:color="auto"/>
        <w:bottom w:val="none" w:sz="0" w:space="0" w:color="auto"/>
        <w:right w:val="none" w:sz="0" w:space="0" w:color="auto"/>
      </w:divBdr>
    </w:div>
    <w:div w:id="1803883569">
      <w:bodyDiv w:val="1"/>
      <w:marLeft w:val="0"/>
      <w:marRight w:val="0"/>
      <w:marTop w:val="0"/>
      <w:marBottom w:val="0"/>
      <w:divBdr>
        <w:top w:val="none" w:sz="0" w:space="0" w:color="auto"/>
        <w:left w:val="none" w:sz="0" w:space="0" w:color="auto"/>
        <w:bottom w:val="none" w:sz="0" w:space="0" w:color="auto"/>
        <w:right w:val="none" w:sz="0" w:space="0" w:color="auto"/>
      </w:divBdr>
    </w:div>
    <w:div w:id="1813013096">
      <w:bodyDiv w:val="1"/>
      <w:marLeft w:val="0"/>
      <w:marRight w:val="0"/>
      <w:marTop w:val="0"/>
      <w:marBottom w:val="0"/>
      <w:divBdr>
        <w:top w:val="none" w:sz="0" w:space="0" w:color="auto"/>
        <w:left w:val="none" w:sz="0" w:space="0" w:color="auto"/>
        <w:bottom w:val="none" w:sz="0" w:space="0" w:color="auto"/>
        <w:right w:val="none" w:sz="0" w:space="0" w:color="auto"/>
      </w:divBdr>
    </w:div>
    <w:div w:id="1820534016">
      <w:bodyDiv w:val="1"/>
      <w:marLeft w:val="0"/>
      <w:marRight w:val="0"/>
      <w:marTop w:val="0"/>
      <w:marBottom w:val="0"/>
      <w:divBdr>
        <w:top w:val="none" w:sz="0" w:space="0" w:color="auto"/>
        <w:left w:val="none" w:sz="0" w:space="0" w:color="auto"/>
        <w:bottom w:val="none" w:sz="0" w:space="0" w:color="auto"/>
        <w:right w:val="none" w:sz="0" w:space="0" w:color="auto"/>
      </w:divBdr>
    </w:div>
    <w:div w:id="1834829645">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838839345">
      <w:bodyDiv w:val="1"/>
      <w:marLeft w:val="0"/>
      <w:marRight w:val="0"/>
      <w:marTop w:val="0"/>
      <w:marBottom w:val="0"/>
      <w:divBdr>
        <w:top w:val="none" w:sz="0" w:space="0" w:color="auto"/>
        <w:left w:val="none" w:sz="0" w:space="0" w:color="auto"/>
        <w:bottom w:val="none" w:sz="0" w:space="0" w:color="auto"/>
        <w:right w:val="none" w:sz="0" w:space="0" w:color="auto"/>
      </w:divBdr>
    </w:div>
    <w:div w:id="2075811785">
      <w:bodyDiv w:val="1"/>
      <w:marLeft w:val="0"/>
      <w:marRight w:val="0"/>
      <w:marTop w:val="0"/>
      <w:marBottom w:val="0"/>
      <w:divBdr>
        <w:top w:val="none" w:sz="0" w:space="0" w:color="auto"/>
        <w:left w:val="none" w:sz="0" w:space="0" w:color="auto"/>
        <w:bottom w:val="none" w:sz="0" w:space="0" w:color="auto"/>
        <w:right w:val="none" w:sz="0" w:space="0" w:color="auto"/>
      </w:divBdr>
    </w:div>
    <w:div w:id="2097898446">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1C6A25F2-7AC6-4647-87C6-68D1A0D82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12334</Words>
  <Characters>67843</Characters>
  <Application>Microsoft Office Word</Application>
  <DocSecurity>0</DocSecurity>
  <Lines>565</Lines>
  <Paragraphs>160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6</cp:revision>
  <cp:lastPrinted>2025-11-21T19:41:00Z</cp:lastPrinted>
  <dcterms:created xsi:type="dcterms:W3CDTF">2025-11-18T18:25:00Z</dcterms:created>
  <dcterms:modified xsi:type="dcterms:W3CDTF">2025-11-21T19:41:00Z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