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C75C" w14:textId="77777777" w:rsidR="00B51F42" w:rsidRDefault="00B51F42" w:rsidP="00796F84">
      <w:pPr>
        <w:tabs>
          <w:tab w:val="left" w:pos="8931"/>
        </w:tabs>
        <w:spacing w:after="0" w:line="360" w:lineRule="auto"/>
        <w:rPr>
          <w:rFonts w:cs="Tahoma"/>
          <w:b/>
        </w:rPr>
      </w:pPr>
    </w:p>
    <w:sdt>
      <w:sdtPr>
        <w:rPr>
          <w:rFonts w:ascii="Palatino Linotype" w:eastAsiaTheme="minorHAnsi" w:hAnsi="Palatino Linotype" w:cstheme="minorBidi"/>
          <w:color w:val="000000" w:themeColor="text1"/>
          <w:sz w:val="22"/>
          <w:szCs w:val="22"/>
          <w:lang w:val="es-ES" w:eastAsia="en-US"/>
        </w:rPr>
        <w:id w:val="1157799735"/>
        <w:docPartObj>
          <w:docPartGallery w:val="Table of Contents"/>
          <w:docPartUnique/>
        </w:docPartObj>
      </w:sdtPr>
      <w:sdtEndPr>
        <w:rPr>
          <w:b/>
          <w:bCs/>
        </w:rPr>
      </w:sdtEndPr>
      <w:sdtContent>
        <w:p w14:paraId="619F67CB" w14:textId="2BE6BE49" w:rsidR="004A40F2" w:rsidRPr="00D4248A" w:rsidRDefault="004A40F2" w:rsidP="00796F84">
          <w:pPr>
            <w:pStyle w:val="TtulodeTDC"/>
            <w:spacing w:before="0" w:line="360" w:lineRule="auto"/>
            <w:jc w:val="center"/>
            <w:rPr>
              <w:rFonts w:ascii="Palatino Linotype" w:eastAsia="Calibri" w:hAnsi="Palatino Linotype" w:cs="Tahoma"/>
              <w:color w:val="auto"/>
              <w:sz w:val="22"/>
              <w:szCs w:val="22"/>
            </w:rPr>
          </w:pPr>
          <w:r w:rsidRPr="00D4248A">
            <w:rPr>
              <w:rFonts w:ascii="Palatino Linotype" w:hAnsi="Palatino Linotype"/>
              <w:color w:val="auto"/>
              <w:sz w:val="22"/>
              <w:szCs w:val="22"/>
              <w:lang w:val="es-ES"/>
            </w:rPr>
            <w:t xml:space="preserve">RESOLUCIÓN DEL RECURSO DE REVISIÓN </w:t>
          </w:r>
          <w:r w:rsidR="00CF350A" w:rsidRPr="00D4248A">
            <w:rPr>
              <w:rFonts w:ascii="Palatino Linotype" w:eastAsia="Calibri" w:hAnsi="Palatino Linotype" w:cs="Tahoma"/>
              <w:color w:val="auto"/>
              <w:sz w:val="22"/>
              <w:szCs w:val="22"/>
            </w:rPr>
            <w:t>02006/INFOEM/IP/RR/2025</w:t>
          </w:r>
        </w:p>
        <w:p w14:paraId="0224FE39" w14:textId="77777777" w:rsidR="004A40F2" w:rsidRPr="00D4248A" w:rsidRDefault="004A40F2" w:rsidP="00796F84">
          <w:pPr>
            <w:spacing w:after="0" w:line="360" w:lineRule="auto"/>
            <w:rPr>
              <w:lang w:eastAsia="es-MX"/>
            </w:rPr>
          </w:pPr>
        </w:p>
        <w:p w14:paraId="799928D8" w14:textId="77777777" w:rsidR="00597728" w:rsidRPr="00D4248A" w:rsidRDefault="004A40F2" w:rsidP="00597728">
          <w:pPr>
            <w:pStyle w:val="TDC1"/>
            <w:tabs>
              <w:tab w:val="right" w:leader="dot" w:pos="8921"/>
            </w:tabs>
            <w:spacing w:line="360" w:lineRule="auto"/>
            <w:rPr>
              <w:rFonts w:asciiTheme="minorHAnsi" w:eastAsiaTheme="minorEastAsia" w:hAnsiTheme="minorHAnsi"/>
              <w:noProof/>
              <w:color w:val="auto"/>
              <w:lang w:eastAsia="es-MX"/>
            </w:rPr>
          </w:pPr>
          <w:r w:rsidRPr="00D4248A">
            <w:fldChar w:fldCharType="begin"/>
          </w:r>
          <w:r w:rsidRPr="00D4248A">
            <w:instrText xml:space="preserve"> TOC \o "1-3" \h \z \u </w:instrText>
          </w:r>
          <w:r w:rsidRPr="00D4248A">
            <w:fldChar w:fldCharType="separate"/>
          </w:r>
          <w:hyperlink w:anchor="_Toc195190503" w:history="1">
            <w:r w:rsidR="00597728" w:rsidRPr="00D4248A">
              <w:rPr>
                <w:rStyle w:val="Hipervnculo"/>
                <w:rFonts w:eastAsia="Calibri"/>
                <w:bCs/>
                <w:noProof/>
                <w:lang w:val="es-ES"/>
              </w:rPr>
              <w:t>A N T E C E D E N T E S</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_Toc195190503 \h </w:instrText>
            </w:r>
            <w:r w:rsidR="00597728" w:rsidRPr="00D4248A">
              <w:rPr>
                <w:noProof/>
                <w:webHidden/>
              </w:rPr>
            </w:r>
            <w:r w:rsidR="00597728" w:rsidRPr="00D4248A">
              <w:rPr>
                <w:noProof/>
                <w:webHidden/>
              </w:rPr>
              <w:fldChar w:fldCharType="separate"/>
            </w:r>
            <w:r w:rsidR="000713B4">
              <w:rPr>
                <w:noProof/>
                <w:webHidden/>
              </w:rPr>
              <w:t>2</w:t>
            </w:r>
            <w:r w:rsidR="00597728" w:rsidRPr="00D4248A">
              <w:rPr>
                <w:noProof/>
                <w:webHidden/>
              </w:rPr>
              <w:fldChar w:fldCharType="end"/>
            </w:r>
          </w:hyperlink>
        </w:p>
        <w:p w14:paraId="03C0E447" w14:textId="77777777" w:rsidR="00597728" w:rsidRPr="00D4248A" w:rsidRDefault="001A3887" w:rsidP="00597728">
          <w:pPr>
            <w:pStyle w:val="TDC2"/>
            <w:tabs>
              <w:tab w:val="right" w:leader="dot" w:pos="8921"/>
            </w:tabs>
            <w:spacing w:line="360" w:lineRule="auto"/>
            <w:rPr>
              <w:rFonts w:asciiTheme="minorHAnsi" w:eastAsiaTheme="minorEastAsia" w:hAnsiTheme="minorHAnsi"/>
              <w:noProof/>
              <w:color w:val="auto"/>
              <w:lang w:eastAsia="es-MX"/>
            </w:rPr>
          </w:pPr>
          <w:hyperlink w:anchor="_Toc195190504" w:history="1">
            <w:r w:rsidR="00597728" w:rsidRPr="00D4248A">
              <w:rPr>
                <w:rStyle w:val="Hipervnculo"/>
                <w:rFonts w:eastAsia="Calibri"/>
                <w:bCs/>
                <w:noProof/>
                <w:lang w:val="es-ES"/>
              </w:rPr>
              <w:t>I. Presentación de la solicitud de información</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_Toc195190504 \h </w:instrText>
            </w:r>
            <w:r w:rsidR="00597728" w:rsidRPr="00D4248A">
              <w:rPr>
                <w:noProof/>
                <w:webHidden/>
              </w:rPr>
            </w:r>
            <w:r w:rsidR="00597728" w:rsidRPr="00D4248A">
              <w:rPr>
                <w:noProof/>
                <w:webHidden/>
              </w:rPr>
              <w:fldChar w:fldCharType="separate"/>
            </w:r>
            <w:r w:rsidR="000713B4">
              <w:rPr>
                <w:noProof/>
                <w:webHidden/>
              </w:rPr>
              <w:t>2</w:t>
            </w:r>
            <w:r w:rsidR="00597728" w:rsidRPr="00D4248A">
              <w:rPr>
                <w:noProof/>
                <w:webHidden/>
              </w:rPr>
              <w:fldChar w:fldCharType="end"/>
            </w:r>
          </w:hyperlink>
        </w:p>
        <w:p w14:paraId="1A022A5F" w14:textId="77777777" w:rsidR="00597728" w:rsidRPr="00D4248A" w:rsidRDefault="001A3887" w:rsidP="00597728">
          <w:pPr>
            <w:pStyle w:val="TDC2"/>
            <w:tabs>
              <w:tab w:val="right" w:leader="dot" w:pos="8921"/>
            </w:tabs>
            <w:spacing w:line="360" w:lineRule="auto"/>
            <w:rPr>
              <w:rFonts w:asciiTheme="minorHAnsi" w:eastAsiaTheme="minorEastAsia" w:hAnsiTheme="minorHAnsi"/>
              <w:noProof/>
              <w:color w:val="auto"/>
              <w:lang w:eastAsia="es-MX"/>
            </w:rPr>
          </w:pPr>
          <w:hyperlink w:anchor="_Toc195190505" w:history="1">
            <w:r w:rsidR="00597728" w:rsidRPr="00D4248A">
              <w:rPr>
                <w:rStyle w:val="Hipervnculo"/>
                <w:rFonts w:eastAsia="Times New Roman"/>
                <w:bCs/>
                <w:noProof/>
                <w:lang w:eastAsia="es-ES"/>
              </w:rPr>
              <w:t>II. Respuesta del Sujeto Obligado</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_Toc195190505 \h </w:instrText>
            </w:r>
            <w:r w:rsidR="00597728" w:rsidRPr="00D4248A">
              <w:rPr>
                <w:noProof/>
                <w:webHidden/>
              </w:rPr>
            </w:r>
            <w:r w:rsidR="00597728" w:rsidRPr="00D4248A">
              <w:rPr>
                <w:noProof/>
                <w:webHidden/>
              </w:rPr>
              <w:fldChar w:fldCharType="separate"/>
            </w:r>
            <w:r w:rsidR="000713B4">
              <w:rPr>
                <w:noProof/>
                <w:webHidden/>
              </w:rPr>
              <w:t>3</w:t>
            </w:r>
            <w:r w:rsidR="00597728" w:rsidRPr="00D4248A">
              <w:rPr>
                <w:noProof/>
                <w:webHidden/>
              </w:rPr>
              <w:fldChar w:fldCharType="end"/>
            </w:r>
          </w:hyperlink>
        </w:p>
        <w:p w14:paraId="6020494A" w14:textId="77777777" w:rsidR="00597728" w:rsidRPr="00D4248A" w:rsidRDefault="001A3887" w:rsidP="00597728">
          <w:pPr>
            <w:pStyle w:val="TDC2"/>
            <w:tabs>
              <w:tab w:val="right" w:leader="dot" w:pos="8921"/>
            </w:tabs>
            <w:spacing w:line="360" w:lineRule="auto"/>
            <w:rPr>
              <w:rFonts w:asciiTheme="minorHAnsi" w:eastAsiaTheme="minorEastAsia" w:hAnsiTheme="minorHAnsi"/>
              <w:noProof/>
              <w:color w:val="auto"/>
              <w:lang w:eastAsia="es-MX"/>
            </w:rPr>
          </w:pPr>
          <w:hyperlink w:anchor="_Toc195190506" w:history="1">
            <w:r w:rsidR="00597728" w:rsidRPr="00D4248A">
              <w:rPr>
                <w:rStyle w:val="Hipervnculo"/>
                <w:rFonts w:eastAsia="Calibri"/>
                <w:bCs/>
                <w:noProof/>
              </w:rPr>
              <w:t>III. Interposición del Recurso de Revisión</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_Toc195190506 \h </w:instrText>
            </w:r>
            <w:r w:rsidR="00597728" w:rsidRPr="00D4248A">
              <w:rPr>
                <w:noProof/>
                <w:webHidden/>
              </w:rPr>
            </w:r>
            <w:r w:rsidR="00597728" w:rsidRPr="00D4248A">
              <w:rPr>
                <w:noProof/>
                <w:webHidden/>
              </w:rPr>
              <w:fldChar w:fldCharType="separate"/>
            </w:r>
            <w:r w:rsidR="000713B4">
              <w:rPr>
                <w:noProof/>
                <w:webHidden/>
              </w:rPr>
              <w:t>4</w:t>
            </w:r>
            <w:r w:rsidR="00597728" w:rsidRPr="00D4248A">
              <w:rPr>
                <w:noProof/>
                <w:webHidden/>
              </w:rPr>
              <w:fldChar w:fldCharType="end"/>
            </w:r>
          </w:hyperlink>
        </w:p>
        <w:p w14:paraId="51A8805C" w14:textId="77777777" w:rsidR="00597728" w:rsidRPr="00D4248A" w:rsidRDefault="001A3887" w:rsidP="00597728">
          <w:pPr>
            <w:pStyle w:val="TDC2"/>
            <w:tabs>
              <w:tab w:val="right" w:leader="dot" w:pos="8921"/>
            </w:tabs>
            <w:spacing w:line="360" w:lineRule="auto"/>
            <w:rPr>
              <w:rFonts w:asciiTheme="minorHAnsi" w:eastAsiaTheme="minorEastAsia" w:hAnsiTheme="minorHAnsi"/>
              <w:noProof/>
              <w:color w:val="auto"/>
              <w:lang w:eastAsia="es-MX"/>
            </w:rPr>
          </w:pPr>
          <w:hyperlink w:anchor="_Toc195190507" w:history="1">
            <w:r w:rsidR="00597728" w:rsidRPr="00D4248A">
              <w:rPr>
                <w:rStyle w:val="Hipervnculo"/>
                <w:rFonts w:eastAsia="Calibri"/>
                <w:bCs/>
                <w:noProof/>
              </w:rPr>
              <w:t xml:space="preserve">IV. </w:t>
            </w:r>
            <w:r w:rsidR="00597728" w:rsidRPr="00D4248A">
              <w:rPr>
                <w:rStyle w:val="Hipervnculo"/>
                <w:rFonts w:eastAsia="Batang"/>
                <w:bCs/>
                <w:noProof/>
              </w:rPr>
              <w:t>Trámite del Recurso de Revisión</w:t>
            </w:r>
            <w:r w:rsidR="00597728" w:rsidRPr="00D4248A">
              <w:rPr>
                <w:rStyle w:val="Hipervnculo"/>
                <w:rFonts w:eastAsia="Calibri"/>
                <w:bCs/>
                <w:noProof/>
              </w:rPr>
              <w:t xml:space="preserve"> </w:t>
            </w:r>
            <w:r w:rsidR="00597728" w:rsidRPr="00D4248A">
              <w:rPr>
                <w:rStyle w:val="Hipervnculo"/>
                <w:rFonts w:eastAsia="Batang"/>
                <w:bCs/>
                <w:noProof/>
              </w:rPr>
              <w:t>ante este Instituto</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_Toc195190507 \h </w:instrText>
            </w:r>
            <w:r w:rsidR="00597728" w:rsidRPr="00D4248A">
              <w:rPr>
                <w:noProof/>
                <w:webHidden/>
              </w:rPr>
            </w:r>
            <w:r w:rsidR="00597728" w:rsidRPr="00D4248A">
              <w:rPr>
                <w:noProof/>
                <w:webHidden/>
              </w:rPr>
              <w:fldChar w:fldCharType="separate"/>
            </w:r>
            <w:r w:rsidR="000713B4">
              <w:rPr>
                <w:noProof/>
                <w:webHidden/>
              </w:rPr>
              <w:t>4</w:t>
            </w:r>
            <w:r w:rsidR="00597728" w:rsidRPr="00D4248A">
              <w:rPr>
                <w:noProof/>
                <w:webHidden/>
              </w:rPr>
              <w:fldChar w:fldCharType="end"/>
            </w:r>
          </w:hyperlink>
        </w:p>
        <w:p w14:paraId="48513984" w14:textId="77777777" w:rsidR="00597728" w:rsidRPr="00D4248A" w:rsidRDefault="001A3887" w:rsidP="00597728">
          <w:pPr>
            <w:pStyle w:val="TDC1"/>
            <w:tabs>
              <w:tab w:val="right" w:leader="dot" w:pos="8921"/>
            </w:tabs>
            <w:spacing w:line="360" w:lineRule="auto"/>
            <w:rPr>
              <w:rFonts w:asciiTheme="minorHAnsi" w:eastAsiaTheme="minorEastAsia" w:hAnsiTheme="minorHAnsi"/>
              <w:noProof/>
              <w:color w:val="auto"/>
              <w:lang w:eastAsia="es-MX"/>
            </w:rPr>
          </w:pPr>
          <w:hyperlink w:anchor="_Toc195190508" w:history="1">
            <w:r w:rsidR="00597728" w:rsidRPr="00D4248A">
              <w:rPr>
                <w:rStyle w:val="Hipervnculo"/>
                <w:rFonts w:eastAsia="Times New Roman"/>
                <w:bCs/>
                <w:noProof/>
                <w:lang w:val="es-ES" w:eastAsia="es-ES"/>
              </w:rPr>
              <w:t>C O N S I D E R A N D O S</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_Toc195190508 \h </w:instrText>
            </w:r>
            <w:r w:rsidR="00597728" w:rsidRPr="00D4248A">
              <w:rPr>
                <w:noProof/>
                <w:webHidden/>
              </w:rPr>
            </w:r>
            <w:r w:rsidR="00597728" w:rsidRPr="00D4248A">
              <w:rPr>
                <w:noProof/>
                <w:webHidden/>
              </w:rPr>
              <w:fldChar w:fldCharType="separate"/>
            </w:r>
            <w:r w:rsidR="000713B4">
              <w:rPr>
                <w:noProof/>
                <w:webHidden/>
              </w:rPr>
              <w:t>6</w:t>
            </w:r>
            <w:r w:rsidR="00597728" w:rsidRPr="00D4248A">
              <w:rPr>
                <w:noProof/>
                <w:webHidden/>
              </w:rPr>
              <w:fldChar w:fldCharType="end"/>
            </w:r>
          </w:hyperlink>
        </w:p>
        <w:p w14:paraId="6F184C99" w14:textId="77777777" w:rsidR="00597728" w:rsidRPr="00D4248A" w:rsidRDefault="001A3887" w:rsidP="00597728">
          <w:pPr>
            <w:pStyle w:val="TDC2"/>
            <w:tabs>
              <w:tab w:val="right" w:leader="dot" w:pos="8921"/>
            </w:tabs>
            <w:spacing w:line="360" w:lineRule="auto"/>
            <w:rPr>
              <w:rFonts w:asciiTheme="minorHAnsi" w:eastAsiaTheme="minorEastAsia" w:hAnsiTheme="minorHAnsi"/>
              <w:noProof/>
              <w:color w:val="auto"/>
              <w:lang w:eastAsia="es-MX"/>
            </w:rPr>
          </w:pPr>
          <w:hyperlink w:anchor="_Toc195190509" w:history="1">
            <w:r w:rsidR="00597728" w:rsidRPr="00D4248A">
              <w:rPr>
                <w:rStyle w:val="Hipervnculo"/>
                <w:rFonts w:eastAsia="Calibri"/>
                <w:bCs/>
                <w:noProof/>
                <w:lang w:val="es-ES" w:eastAsia="es-MX"/>
              </w:rPr>
              <w:t xml:space="preserve">PRIMERO. </w:t>
            </w:r>
            <w:r w:rsidR="00597728" w:rsidRPr="00D4248A">
              <w:rPr>
                <w:rStyle w:val="Hipervnculo"/>
                <w:rFonts w:eastAsia="Times New Roman"/>
                <w:bCs/>
                <w:noProof/>
                <w:lang w:val="es-ES" w:eastAsia="es-ES"/>
              </w:rPr>
              <w:t>Competencia</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_Toc195190509 \h </w:instrText>
            </w:r>
            <w:r w:rsidR="00597728" w:rsidRPr="00D4248A">
              <w:rPr>
                <w:noProof/>
                <w:webHidden/>
              </w:rPr>
            </w:r>
            <w:r w:rsidR="00597728" w:rsidRPr="00D4248A">
              <w:rPr>
                <w:noProof/>
                <w:webHidden/>
              </w:rPr>
              <w:fldChar w:fldCharType="separate"/>
            </w:r>
            <w:r w:rsidR="000713B4">
              <w:rPr>
                <w:noProof/>
                <w:webHidden/>
              </w:rPr>
              <w:t>6</w:t>
            </w:r>
            <w:r w:rsidR="00597728" w:rsidRPr="00D4248A">
              <w:rPr>
                <w:noProof/>
                <w:webHidden/>
              </w:rPr>
              <w:fldChar w:fldCharType="end"/>
            </w:r>
          </w:hyperlink>
        </w:p>
        <w:p w14:paraId="123F8D02" w14:textId="77777777" w:rsidR="00597728" w:rsidRPr="00D4248A" w:rsidRDefault="001A3887" w:rsidP="00597728">
          <w:pPr>
            <w:pStyle w:val="TDC2"/>
            <w:tabs>
              <w:tab w:val="right" w:leader="dot" w:pos="8921"/>
            </w:tabs>
            <w:spacing w:line="360" w:lineRule="auto"/>
            <w:rPr>
              <w:rFonts w:asciiTheme="minorHAnsi" w:eastAsiaTheme="minorEastAsia" w:hAnsiTheme="minorHAnsi"/>
              <w:noProof/>
              <w:color w:val="auto"/>
              <w:lang w:eastAsia="es-MX"/>
            </w:rPr>
          </w:pPr>
          <w:hyperlink w:anchor="_Toc195190510" w:history="1">
            <w:r w:rsidR="00597728" w:rsidRPr="00D4248A">
              <w:rPr>
                <w:rStyle w:val="Hipervnculo"/>
                <w:bCs/>
                <w:noProof/>
              </w:rPr>
              <w:t>SEGUNDO. Causales de improcedencia</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_Toc195190510 \h </w:instrText>
            </w:r>
            <w:r w:rsidR="00597728" w:rsidRPr="00D4248A">
              <w:rPr>
                <w:noProof/>
                <w:webHidden/>
              </w:rPr>
            </w:r>
            <w:r w:rsidR="00597728" w:rsidRPr="00D4248A">
              <w:rPr>
                <w:noProof/>
                <w:webHidden/>
              </w:rPr>
              <w:fldChar w:fldCharType="separate"/>
            </w:r>
            <w:r w:rsidR="000713B4">
              <w:rPr>
                <w:noProof/>
                <w:webHidden/>
              </w:rPr>
              <w:t>6</w:t>
            </w:r>
            <w:r w:rsidR="00597728" w:rsidRPr="00D4248A">
              <w:rPr>
                <w:noProof/>
                <w:webHidden/>
              </w:rPr>
              <w:fldChar w:fldCharType="end"/>
            </w:r>
          </w:hyperlink>
        </w:p>
        <w:p w14:paraId="2B115048" w14:textId="77777777" w:rsidR="00597728" w:rsidRPr="00D4248A" w:rsidRDefault="001A3887" w:rsidP="00597728">
          <w:pPr>
            <w:pStyle w:val="TDC2"/>
            <w:tabs>
              <w:tab w:val="right" w:leader="dot" w:pos="8921"/>
            </w:tabs>
            <w:spacing w:line="360" w:lineRule="auto"/>
            <w:rPr>
              <w:rFonts w:asciiTheme="minorHAnsi" w:eastAsiaTheme="minorEastAsia" w:hAnsiTheme="minorHAnsi"/>
              <w:noProof/>
              <w:color w:val="auto"/>
              <w:lang w:eastAsia="es-MX"/>
            </w:rPr>
          </w:pPr>
          <w:hyperlink w:anchor="_Toc195190511" w:history="1">
            <w:r w:rsidR="00597728" w:rsidRPr="00D4248A">
              <w:rPr>
                <w:rStyle w:val="Hipervnculo"/>
                <w:noProof/>
              </w:rPr>
              <w:t>TERCERO. Causales de sobreseimiento</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_Toc195190511 \h </w:instrText>
            </w:r>
            <w:r w:rsidR="00597728" w:rsidRPr="00D4248A">
              <w:rPr>
                <w:noProof/>
                <w:webHidden/>
              </w:rPr>
            </w:r>
            <w:r w:rsidR="00597728" w:rsidRPr="00D4248A">
              <w:rPr>
                <w:noProof/>
                <w:webHidden/>
              </w:rPr>
              <w:fldChar w:fldCharType="separate"/>
            </w:r>
            <w:r w:rsidR="000713B4">
              <w:rPr>
                <w:noProof/>
                <w:webHidden/>
              </w:rPr>
              <w:t>8</w:t>
            </w:r>
            <w:r w:rsidR="00597728" w:rsidRPr="00D4248A">
              <w:rPr>
                <w:noProof/>
                <w:webHidden/>
              </w:rPr>
              <w:fldChar w:fldCharType="end"/>
            </w:r>
          </w:hyperlink>
        </w:p>
        <w:p w14:paraId="5241A9BB" w14:textId="77777777" w:rsidR="00597728" w:rsidRPr="00D4248A" w:rsidRDefault="001A3887" w:rsidP="00597728">
          <w:pPr>
            <w:pStyle w:val="TDC2"/>
            <w:tabs>
              <w:tab w:val="right" w:leader="dot" w:pos="8921"/>
            </w:tabs>
            <w:spacing w:line="360" w:lineRule="auto"/>
            <w:rPr>
              <w:rFonts w:asciiTheme="minorHAnsi" w:eastAsiaTheme="minorEastAsia" w:hAnsiTheme="minorHAnsi"/>
              <w:noProof/>
              <w:color w:val="auto"/>
              <w:lang w:eastAsia="es-MX"/>
            </w:rPr>
          </w:pPr>
          <w:hyperlink w:anchor="_Toc195190512" w:history="1">
            <w:r w:rsidR="00597728" w:rsidRPr="00D4248A">
              <w:rPr>
                <w:rStyle w:val="Hipervnculo"/>
                <w:rFonts w:eastAsia="Times New Roman"/>
                <w:noProof/>
                <w:lang w:val="es-ES" w:eastAsia="es-ES"/>
              </w:rPr>
              <w:t>CUARTO. Decisión</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_Toc195190512 \h </w:instrText>
            </w:r>
            <w:r w:rsidR="00597728" w:rsidRPr="00D4248A">
              <w:rPr>
                <w:noProof/>
                <w:webHidden/>
              </w:rPr>
            </w:r>
            <w:r w:rsidR="00597728" w:rsidRPr="00D4248A">
              <w:rPr>
                <w:noProof/>
                <w:webHidden/>
              </w:rPr>
              <w:fldChar w:fldCharType="separate"/>
            </w:r>
            <w:r w:rsidR="000713B4">
              <w:rPr>
                <w:noProof/>
                <w:webHidden/>
              </w:rPr>
              <w:t>12</w:t>
            </w:r>
            <w:r w:rsidR="00597728" w:rsidRPr="00D4248A">
              <w:rPr>
                <w:noProof/>
                <w:webHidden/>
              </w:rPr>
              <w:fldChar w:fldCharType="end"/>
            </w:r>
          </w:hyperlink>
        </w:p>
        <w:p w14:paraId="3C194107" w14:textId="77777777" w:rsidR="00597728" w:rsidRPr="00D4248A" w:rsidRDefault="001A3887" w:rsidP="00597728">
          <w:pPr>
            <w:pStyle w:val="TDC1"/>
            <w:tabs>
              <w:tab w:val="right" w:leader="dot" w:pos="8921"/>
            </w:tabs>
            <w:spacing w:line="360" w:lineRule="auto"/>
            <w:rPr>
              <w:rFonts w:asciiTheme="minorHAnsi" w:eastAsiaTheme="minorEastAsia" w:hAnsiTheme="minorHAnsi"/>
              <w:noProof/>
              <w:color w:val="auto"/>
              <w:lang w:eastAsia="es-MX"/>
            </w:rPr>
          </w:pPr>
          <w:hyperlink w:anchor="_Toc195190513" w:history="1">
            <w:r w:rsidR="00597728" w:rsidRPr="00D4248A">
              <w:rPr>
                <w:rStyle w:val="Hipervnculo"/>
                <w:bCs/>
                <w:noProof/>
              </w:rPr>
              <w:t>R E S U E L V E</w:t>
            </w:r>
            <w:r w:rsidR="00597728" w:rsidRPr="00D4248A">
              <w:rPr>
                <w:noProof/>
                <w:webHidden/>
              </w:rPr>
              <w:tab/>
            </w:r>
            <w:r w:rsidR="00597728" w:rsidRPr="00D4248A">
              <w:rPr>
                <w:noProof/>
                <w:webHidden/>
              </w:rPr>
              <w:fldChar w:fldCharType="begin"/>
            </w:r>
            <w:r w:rsidR="00597728" w:rsidRPr="00D4248A">
              <w:rPr>
                <w:noProof/>
                <w:webHidden/>
              </w:rPr>
              <w:instrText xml:space="preserve"> PAGEREF _Toc195190513 \h </w:instrText>
            </w:r>
            <w:r w:rsidR="00597728" w:rsidRPr="00D4248A">
              <w:rPr>
                <w:noProof/>
                <w:webHidden/>
              </w:rPr>
            </w:r>
            <w:r w:rsidR="00597728" w:rsidRPr="00D4248A">
              <w:rPr>
                <w:noProof/>
                <w:webHidden/>
              </w:rPr>
              <w:fldChar w:fldCharType="separate"/>
            </w:r>
            <w:r w:rsidR="000713B4">
              <w:rPr>
                <w:noProof/>
                <w:webHidden/>
              </w:rPr>
              <w:t>13</w:t>
            </w:r>
            <w:r w:rsidR="00597728" w:rsidRPr="00D4248A">
              <w:rPr>
                <w:noProof/>
                <w:webHidden/>
              </w:rPr>
              <w:fldChar w:fldCharType="end"/>
            </w:r>
          </w:hyperlink>
        </w:p>
        <w:p w14:paraId="3B5DD17B" w14:textId="2054E2C6" w:rsidR="004A40F2" w:rsidRPr="00D4248A" w:rsidRDefault="004A40F2" w:rsidP="00796F84">
          <w:pPr>
            <w:spacing w:after="0" w:line="360" w:lineRule="auto"/>
          </w:pPr>
          <w:r w:rsidRPr="00D4248A">
            <w:rPr>
              <w:lang w:val="es-ES"/>
            </w:rPr>
            <w:fldChar w:fldCharType="end"/>
          </w:r>
        </w:p>
      </w:sdtContent>
    </w:sdt>
    <w:p w14:paraId="616EEE93" w14:textId="77777777" w:rsidR="004A40F2" w:rsidRPr="00D4248A" w:rsidRDefault="004A40F2" w:rsidP="00796F84">
      <w:pPr>
        <w:tabs>
          <w:tab w:val="left" w:pos="8931"/>
        </w:tabs>
        <w:spacing w:after="0" w:line="360" w:lineRule="auto"/>
        <w:rPr>
          <w:rFonts w:cs="Tahoma"/>
          <w:b/>
        </w:rPr>
      </w:pPr>
    </w:p>
    <w:p w14:paraId="20CABF96" w14:textId="77777777" w:rsidR="004A40F2" w:rsidRPr="00D4248A" w:rsidRDefault="004A40F2" w:rsidP="00796F84">
      <w:pPr>
        <w:tabs>
          <w:tab w:val="left" w:pos="8931"/>
        </w:tabs>
        <w:spacing w:after="0" w:line="360" w:lineRule="auto"/>
        <w:rPr>
          <w:rFonts w:cs="Tahoma"/>
          <w:b/>
        </w:rPr>
      </w:pPr>
    </w:p>
    <w:p w14:paraId="236F1701" w14:textId="77777777" w:rsidR="004A40F2" w:rsidRPr="00D4248A" w:rsidRDefault="004A40F2" w:rsidP="00796F84">
      <w:pPr>
        <w:tabs>
          <w:tab w:val="left" w:pos="8931"/>
        </w:tabs>
        <w:spacing w:after="0" w:line="360" w:lineRule="auto"/>
        <w:rPr>
          <w:rFonts w:cs="Tahoma"/>
          <w:b/>
        </w:rPr>
      </w:pPr>
    </w:p>
    <w:p w14:paraId="572DA32C" w14:textId="77777777" w:rsidR="004A40F2" w:rsidRPr="00D4248A" w:rsidRDefault="004A40F2" w:rsidP="00796F84">
      <w:pPr>
        <w:tabs>
          <w:tab w:val="left" w:pos="8931"/>
        </w:tabs>
        <w:spacing w:after="0" w:line="360" w:lineRule="auto"/>
        <w:rPr>
          <w:rFonts w:cs="Tahoma"/>
          <w:b/>
        </w:rPr>
      </w:pPr>
    </w:p>
    <w:p w14:paraId="1636EC6E" w14:textId="77777777" w:rsidR="004A40F2" w:rsidRPr="00D4248A" w:rsidRDefault="004A40F2" w:rsidP="00796F84">
      <w:pPr>
        <w:tabs>
          <w:tab w:val="left" w:pos="8931"/>
        </w:tabs>
        <w:spacing w:after="0" w:line="360" w:lineRule="auto"/>
        <w:rPr>
          <w:rFonts w:cs="Tahoma"/>
          <w:b/>
        </w:rPr>
      </w:pPr>
    </w:p>
    <w:p w14:paraId="5BA83260" w14:textId="77777777" w:rsidR="004A40F2" w:rsidRPr="00D4248A" w:rsidRDefault="004A40F2" w:rsidP="00796F84">
      <w:pPr>
        <w:tabs>
          <w:tab w:val="left" w:pos="8931"/>
        </w:tabs>
        <w:spacing w:after="0" w:line="360" w:lineRule="auto"/>
        <w:rPr>
          <w:rFonts w:cs="Tahoma"/>
          <w:b/>
        </w:rPr>
      </w:pPr>
    </w:p>
    <w:p w14:paraId="72023FBC" w14:textId="77777777" w:rsidR="004A40F2" w:rsidRPr="00D4248A" w:rsidRDefault="004A40F2" w:rsidP="00796F84">
      <w:pPr>
        <w:tabs>
          <w:tab w:val="left" w:pos="8931"/>
        </w:tabs>
        <w:spacing w:after="0" w:line="360" w:lineRule="auto"/>
        <w:rPr>
          <w:rFonts w:cs="Tahoma"/>
          <w:b/>
        </w:rPr>
      </w:pPr>
    </w:p>
    <w:p w14:paraId="410648B7" w14:textId="77777777" w:rsidR="004A40F2" w:rsidRPr="00D4248A" w:rsidRDefault="004A40F2" w:rsidP="00796F84">
      <w:pPr>
        <w:tabs>
          <w:tab w:val="left" w:pos="8931"/>
        </w:tabs>
        <w:spacing w:after="0" w:line="360" w:lineRule="auto"/>
        <w:rPr>
          <w:rFonts w:cs="Tahoma"/>
          <w:b/>
        </w:rPr>
      </w:pPr>
    </w:p>
    <w:p w14:paraId="5C37F155" w14:textId="77777777" w:rsidR="004A40F2" w:rsidRPr="00D4248A" w:rsidRDefault="004A40F2" w:rsidP="00796F84">
      <w:pPr>
        <w:tabs>
          <w:tab w:val="left" w:pos="8931"/>
        </w:tabs>
        <w:spacing w:after="0" w:line="360" w:lineRule="auto"/>
        <w:rPr>
          <w:rFonts w:cs="Tahoma"/>
          <w:b/>
        </w:rPr>
      </w:pPr>
    </w:p>
    <w:p w14:paraId="42E1C368" w14:textId="77777777" w:rsidR="004A40F2" w:rsidRPr="00D4248A" w:rsidRDefault="004A40F2" w:rsidP="00796F84">
      <w:pPr>
        <w:tabs>
          <w:tab w:val="left" w:pos="8931"/>
        </w:tabs>
        <w:spacing w:after="0" w:line="360" w:lineRule="auto"/>
        <w:rPr>
          <w:rFonts w:cs="Tahoma"/>
          <w:b/>
        </w:rPr>
      </w:pPr>
    </w:p>
    <w:p w14:paraId="22805746" w14:textId="77777777" w:rsidR="004A40F2" w:rsidRPr="00D4248A" w:rsidRDefault="004A40F2" w:rsidP="00796F84">
      <w:pPr>
        <w:tabs>
          <w:tab w:val="left" w:pos="8931"/>
        </w:tabs>
        <w:spacing w:after="0" w:line="360" w:lineRule="auto"/>
        <w:rPr>
          <w:rFonts w:cs="Tahoma"/>
          <w:b/>
        </w:rPr>
      </w:pPr>
    </w:p>
    <w:p w14:paraId="63E834DF" w14:textId="484D27AB" w:rsidR="00EC77D9" w:rsidRPr="00D4248A" w:rsidRDefault="00EC77D9" w:rsidP="00796F84">
      <w:pPr>
        <w:tabs>
          <w:tab w:val="left" w:pos="8931"/>
        </w:tabs>
        <w:spacing w:after="0" w:line="360" w:lineRule="auto"/>
        <w:rPr>
          <w:rFonts w:eastAsia="Calibri" w:cs="Tahoma"/>
          <w:lang w:val="es-ES"/>
        </w:rPr>
      </w:pPr>
      <w:r w:rsidRPr="00D4248A">
        <w:rPr>
          <w:rFonts w:cs="Tahoma"/>
          <w:bCs/>
        </w:rPr>
        <w:t xml:space="preserve">Resolución del Pleno del Instituto de Transparencia, Acceso a la Información Pública y Protección de Datos Personales del Estado de México y Municipios, con domicilio en Metepec, </w:t>
      </w:r>
      <w:r w:rsidRPr="00D4248A">
        <w:rPr>
          <w:rFonts w:eastAsia="Calibri" w:cs="Tahoma"/>
          <w:lang w:val="es-ES"/>
        </w:rPr>
        <w:t xml:space="preserve">Estado de México, de </w:t>
      </w:r>
      <w:r w:rsidR="00CF350A" w:rsidRPr="00D4248A">
        <w:rPr>
          <w:rFonts w:eastAsia="Calibri" w:cs="Tahoma"/>
          <w:lang w:val="es-ES"/>
        </w:rPr>
        <w:t xml:space="preserve">fecha </w:t>
      </w:r>
      <w:r w:rsidR="00806A3C" w:rsidRPr="00D4248A">
        <w:rPr>
          <w:rFonts w:eastAsia="Calibri" w:cs="Tahoma"/>
          <w:lang w:val="es-ES"/>
        </w:rPr>
        <w:t>nueve</w:t>
      </w:r>
      <w:r w:rsidR="00CF350A" w:rsidRPr="00D4248A">
        <w:rPr>
          <w:rFonts w:eastAsia="Calibri" w:cs="Tahoma"/>
          <w:lang w:val="es-ES"/>
        </w:rPr>
        <w:t xml:space="preserve"> de abril </w:t>
      </w:r>
      <w:r w:rsidRPr="00D4248A">
        <w:rPr>
          <w:rFonts w:eastAsia="Calibri" w:cs="Tahoma"/>
          <w:lang w:val="es-ES"/>
        </w:rPr>
        <w:t>de dos mil veint</w:t>
      </w:r>
      <w:r w:rsidR="001E478B" w:rsidRPr="00D4248A">
        <w:rPr>
          <w:rFonts w:eastAsia="Calibri" w:cs="Tahoma"/>
          <w:lang w:val="es-ES"/>
        </w:rPr>
        <w:t>i</w:t>
      </w:r>
      <w:r w:rsidR="00DB31D6" w:rsidRPr="00D4248A">
        <w:rPr>
          <w:rFonts w:eastAsia="Calibri" w:cs="Tahoma"/>
          <w:lang w:val="es-ES"/>
        </w:rPr>
        <w:t>c</w:t>
      </w:r>
      <w:r w:rsidR="003D261A" w:rsidRPr="00D4248A">
        <w:rPr>
          <w:rFonts w:eastAsia="Calibri" w:cs="Tahoma"/>
          <w:lang w:val="es-ES"/>
        </w:rPr>
        <w:t>inco</w:t>
      </w:r>
      <w:r w:rsidRPr="00D4248A">
        <w:rPr>
          <w:rFonts w:eastAsia="Calibri" w:cs="Tahoma"/>
          <w:lang w:val="es-ES"/>
        </w:rPr>
        <w:t xml:space="preserve">. </w:t>
      </w:r>
    </w:p>
    <w:p w14:paraId="5E4128C6" w14:textId="77777777" w:rsidR="00EC77D9" w:rsidRPr="00D4248A" w:rsidRDefault="00EC77D9" w:rsidP="00796F84">
      <w:pPr>
        <w:spacing w:after="0" w:line="360" w:lineRule="auto"/>
        <w:rPr>
          <w:rFonts w:eastAsia="Calibri" w:cs="Tahoma"/>
          <w:b/>
          <w:bCs/>
          <w:lang w:val="es-ES"/>
        </w:rPr>
      </w:pPr>
    </w:p>
    <w:p w14:paraId="04C62500" w14:textId="3C93B737" w:rsidR="00EC77D9" w:rsidRPr="00D4248A" w:rsidRDefault="00EC77D9" w:rsidP="00796F84">
      <w:pPr>
        <w:spacing w:after="0" w:line="360" w:lineRule="auto"/>
        <w:rPr>
          <w:rFonts w:cs="Tahoma"/>
          <w:color w:val="0D0D0D" w:themeColor="text1" w:themeTint="F2"/>
        </w:rPr>
      </w:pPr>
      <w:r w:rsidRPr="00D4248A">
        <w:rPr>
          <w:rFonts w:eastAsia="Calibri" w:cs="Tahoma"/>
          <w:b/>
          <w:bCs/>
          <w:lang w:val="es-ES"/>
        </w:rPr>
        <w:t xml:space="preserve">VISTO </w:t>
      </w:r>
      <w:r w:rsidRPr="00D4248A">
        <w:rPr>
          <w:rFonts w:eastAsia="Calibri" w:cs="Tahoma"/>
          <w:lang w:val="es-ES"/>
        </w:rPr>
        <w:t xml:space="preserve">el expediente conformado con motivo del Recurso de Revisión </w:t>
      </w:r>
      <w:r w:rsidR="00CF350A" w:rsidRPr="006543F1">
        <w:rPr>
          <w:rFonts w:eastAsia="Calibri" w:cs="Tahoma"/>
          <w:b/>
        </w:rPr>
        <w:t>02006/INFOEM/IP/RR/2025</w:t>
      </w:r>
      <w:r w:rsidRPr="00D4248A">
        <w:rPr>
          <w:rFonts w:eastAsia="Calibri" w:cs="Tahoma"/>
        </w:rPr>
        <w:t>, interpuesto</w:t>
      </w:r>
      <w:r w:rsidR="00780B8A" w:rsidRPr="00D4248A">
        <w:rPr>
          <w:rFonts w:eastAsia="Calibri" w:cs="Tahoma"/>
        </w:rPr>
        <w:t xml:space="preserve"> po</w:t>
      </w:r>
      <w:r w:rsidR="006B71D7" w:rsidRPr="00D4248A">
        <w:rPr>
          <w:rFonts w:eastAsia="Calibri" w:cs="Tahoma"/>
        </w:rPr>
        <w:t>r</w:t>
      </w:r>
      <w:r w:rsidR="00CF350A" w:rsidRPr="00D4248A">
        <w:rPr>
          <w:rFonts w:eastAsia="Calibri" w:cs="Tahoma"/>
        </w:rPr>
        <w:t xml:space="preserve"> </w:t>
      </w:r>
      <w:r w:rsidR="00126EE7" w:rsidRPr="00126EE7">
        <w:rPr>
          <w:rFonts w:eastAsia="Calibri" w:cs="Tahoma"/>
          <w:highlight w:val="black"/>
        </w:rPr>
        <w:t>XXXXXXXXXXXXXX</w:t>
      </w:r>
      <w:bookmarkStart w:id="0" w:name="_GoBack"/>
      <w:bookmarkEnd w:id="0"/>
      <w:r w:rsidR="00CF350A" w:rsidRPr="006543F1">
        <w:rPr>
          <w:rFonts w:eastAsia="Calibri" w:cs="Tahoma"/>
          <w:b/>
        </w:rPr>
        <w:t xml:space="preserve">, </w:t>
      </w:r>
      <w:r w:rsidR="00CF350A" w:rsidRPr="00D4248A">
        <w:rPr>
          <w:rFonts w:eastAsia="Calibri" w:cs="Tahoma"/>
        </w:rPr>
        <w:t>en lo sucesivo</w:t>
      </w:r>
      <w:r w:rsidR="008F14AD" w:rsidRPr="00D4248A">
        <w:rPr>
          <w:rFonts w:eastAsia="Calibri" w:cs="Tahoma"/>
        </w:rPr>
        <w:t xml:space="preserve"> </w:t>
      </w:r>
      <w:r w:rsidR="00C67EF9" w:rsidRPr="00D4248A">
        <w:rPr>
          <w:rFonts w:eastAsia="Calibri" w:cs="Tahoma"/>
        </w:rPr>
        <w:t>la persona</w:t>
      </w:r>
      <w:r w:rsidRPr="00D4248A">
        <w:rPr>
          <w:rFonts w:cs="Tahoma"/>
          <w:color w:val="0D0D0D" w:themeColor="text1" w:themeTint="F2"/>
        </w:rPr>
        <w:t xml:space="preserve"> Recurrente o Particular, en contra</w:t>
      </w:r>
      <w:r w:rsidR="00C67EF9" w:rsidRPr="00D4248A">
        <w:rPr>
          <w:rFonts w:cs="Tahoma"/>
          <w:color w:val="0D0D0D" w:themeColor="text1" w:themeTint="F2"/>
        </w:rPr>
        <w:t xml:space="preserve"> </w:t>
      </w:r>
      <w:r w:rsidRPr="00D4248A">
        <w:rPr>
          <w:rFonts w:cs="Tahoma"/>
          <w:color w:val="0D0D0D" w:themeColor="text1" w:themeTint="F2"/>
        </w:rPr>
        <w:t xml:space="preserve">de </w:t>
      </w:r>
      <w:r w:rsidR="00C67EF9" w:rsidRPr="00D4248A">
        <w:rPr>
          <w:rFonts w:cs="Tahoma"/>
          <w:color w:val="0D0D0D" w:themeColor="text1" w:themeTint="F2"/>
        </w:rPr>
        <w:t xml:space="preserve">la </w:t>
      </w:r>
      <w:r w:rsidRPr="00D4248A">
        <w:rPr>
          <w:rFonts w:cs="Tahoma"/>
          <w:color w:val="0D0D0D" w:themeColor="text1" w:themeTint="F2"/>
        </w:rPr>
        <w:t xml:space="preserve">respuesta del Sujeto Obligado, </w:t>
      </w:r>
      <w:r w:rsidR="00CF350A" w:rsidRPr="006543F1">
        <w:rPr>
          <w:b/>
        </w:rPr>
        <w:t>Ayuntamiento de Toluca</w:t>
      </w:r>
      <w:r w:rsidRPr="00D4248A">
        <w:rPr>
          <w:rFonts w:cs="Tahoma"/>
          <w:color w:val="0D0D0D" w:themeColor="text1" w:themeTint="F2"/>
        </w:rPr>
        <w:t>, a la solicitud de acceso a la información pública</w:t>
      </w:r>
      <w:r w:rsidRPr="00D4248A">
        <w:rPr>
          <w:color w:val="FF0000"/>
        </w:rPr>
        <w:t> </w:t>
      </w:r>
      <w:r w:rsidR="00CF350A" w:rsidRPr="00D4248A">
        <w:t>00557/TOLUCA/IP/2025</w:t>
      </w:r>
      <w:r w:rsidRPr="00D4248A">
        <w:rPr>
          <w:rFonts w:cs="Tahoma"/>
          <w:iCs/>
          <w:color w:val="0D0D0D" w:themeColor="text1" w:themeTint="F2"/>
        </w:rPr>
        <w:t>,</w:t>
      </w:r>
      <w:r w:rsidRPr="00D4248A">
        <w:rPr>
          <w:rFonts w:cs="Tahoma"/>
          <w:color w:val="0D0D0D" w:themeColor="text1" w:themeTint="F2"/>
        </w:rPr>
        <w:t xml:space="preserve"> se emite la presente Resolución, con base en los Antecedentes y Considerandos</w:t>
      </w:r>
      <w:r w:rsidRPr="00D4248A">
        <w:rPr>
          <w:rFonts w:cs="Tahoma"/>
          <w:bCs/>
          <w:color w:val="0D0D0D" w:themeColor="text1" w:themeTint="F2"/>
        </w:rPr>
        <w:t xml:space="preserve"> que se exponen a continuación:</w:t>
      </w:r>
    </w:p>
    <w:p w14:paraId="40862826" w14:textId="77777777" w:rsidR="00EC77D9" w:rsidRPr="00D4248A" w:rsidRDefault="00EC77D9" w:rsidP="00796F84">
      <w:pPr>
        <w:spacing w:after="0" w:line="360" w:lineRule="auto"/>
        <w:rPr>
          <w:rFonts w:eastAsia="Calibri" w:cs="Tahoma"/>
          <w:b/>
          <w:bCs/>
          <w:lang w:val="es-ES"/>
        </w:rPr>
      </w:pPr>
    </w:p>
    <w:p w14:paraId="75BF07A7" w14:textId="64229D8F" w:rsidR="00EC77D9" w:rsidRPr="00D4248A" w:rsidRDefault="00EC77D9" w:rsidP="00796F84">
      <w:pPr>
        <w:pStyle w:val="Ttulo1"/>
        <w:spacing w:before="0" w:line="360" w:lineRule="auto"/>
        <w:jc w:val="center"/>
        <w:rPr>
          <w:rFonts w:ascii="Palatino Linotype" w:eastAsia="Calibri" w:hAnsi="Palatino Linotype"/>
          <w:b/>
          <w:bCs/>
          <w:color w:val="auto"/>
          <w:sz w:val="22"/>
          <w:szCs w:val="22"/>
          <w:lang w:val="es-ES"/>
        </w:rPr>
      </w:pPr>
      <w:bookmarkStart w:id="1" w:name="_Toc195190503"/>
      <w:r w:rsidRPr="00D4248A">
        <w:rPr>
          <w:rFonts w:ascii="Palatino Linotype" w:eastAsia="Calibri" w:hAnsi="Palatino Linotype"/>
          <w:b/>
          <w:bCs/>
          <w:color w:val="auto"/>
          <w:sz w:val="22"/>
          <w:szCs w:val="22"/>
          <w:lang w:val="es-ES"/>
        </w:rPr>
        <w:t>A N T E C E D E N T E S</w:t>
      </w:r>
      <w:bookmarkEnd w:id="1"/>
    </w:p>
    <w:p w14:paraId="3C95874E" w14:textId="77777777" w:rsidR="00EC77D9" w:rsidRPr="00D4248A" w:rsidRDefault="00EC77D9" w:rsidP="00796F84">
      <w:pPr>
        <w:spacing w:after="0" w:line="360" w:lineRule="auto"/>
        <w:rPr>
          <w:lang w:val="es-ES"/>
        </w:rPr>
      </w:pPr>
    </w:p>
    <w:p w14:paraId="4F749C11" w14:textId="1F037475" w:rsidR="00EC77D9" w:rsidRPr="00D4248A" w:rsidRDefault="00EC77D9" w:rsidP="00796F84">
      <w:pPr>
        <w:pStyle w:val="Ttulo2"/>
        <w:spacing w:before="0" w:line="360" w:lineRule="auto"/>
        <w:rPr>
          <w:rFonts w:ascii="Palatino Linotype" w:eastAsia="Calibri" w:hAnsi="Palatino Linotype"/>
          <w:b/>
          <w:bCs/>
          <w:color w:val="auto"/>
          <w:sz w:val="22"/>
          <w:szCs w:val="22"/>
          <w:lang w:val="es-ES"/>
        </w:rPr>
      </w:pPr>
      <w:bookmarkStart w:id="2" w:name="_Toc195190504"/>
      <w:r w:rsidRPr="00D4248A">
        <w:rPr>
          <w:rFonts w:ascii="Palatino Linotype" w:eastAsia="Calibri" w:hAnsi="Palatino Linotype"/>
          <w:b/>
          <w:bCs/>
          <w:color w:val="auto"/>
          <w:sz w:val="22"/>
          <w:szCs w:val="22"/>
          <w:lang w:val="es-ES"/>
        </w:rPr>
        <w:t>I. Presentación de la solicitud de información</w:t>
      </w:r>
      <w:bookmarkEnd w:id="2"/>
    </w:p>
    <w:p w14:paraId="2856D2CB" w14:textId="77777777" w:rsidR="000F08D4" w:rsidRPr="00D4248A" w:rsidRDefault="000F08D4" w:rsidP="00796F84">
      <w:pPr>
        <w:spacing w:after="0" w:line="360" w:lineRule="auto"/>
        <w:rPr>
          <w:rFonts w:cs="Tahoma"/>
        </w:rPr>
      </w:pPr>
    </w:p>
    <w:p w14:paraId="46A55CEB" w14:textId="3B18D225" w:rsidR="00D17D14" w:rsidRPr="00D4248A" w:rsidRDefault="00EA79A8" w:rsidP="00796F84">
      <w:pPr>
        <w:spacing w:after="0" w:line="360" w:lineRule="auto"/>
        <w:rPr>
          <w:rFonts w:cs="Tahoma"/>
        </w:rPr>
      </w:pPr>
      <w:r w:rsidRPr="00D4248A">
        <w:rPr>
          <w:rFonts w:eastAsia="Calibri" w:cs="Tahoma"/>
        </w:rPr>
        <w:t>El</w:t>
      </w:r>
      <w:r w:rsidR="000F08D4" w:rsidRPr="00D4248A">
        <w:rPr>
          <w:rFonts w:eastAsia="Calibri" w:cs="Tahoma"/>
          <w:lang w:val="es-ES"/>
        </w:rPr>
        <w:t xml:space="preserve"> </w:t>
      </w:r>
      <w:r w:rsidR="00CF350A" w:rsidRPr="00D4248A">
        <w:rPr>
          <w:rFonts w:eastAsia="Calibri" w:cs="Tahoma"/>
          <w:lang w:val="es-ES"/>
        </w:rPr>
        <w:t>veintinueve</w:t>
      </w:r>
      <w:r w:rsidR="00DB77CC" w:rsidRPr="00D4248A">
        <w:rPr>
          <w:rFonts w:eastAsia="Calibri" w:cs="Tahoma"/>
          <w:lang w:val="es-ES"/>
        </w:rPr>
        <w:t xml:space="preserve"> de enero</w:t>
      </w:r>
      <w:r w:rsidR="008E1582" w:rsidRPr="00D4248A">
        <w:rPr>
          <w:rFonts w:eastAsia="Calibri" w:cs="Tahoma"/>
          <w:lang w:val="es-ES"/>
        </w:rPr>
        <w:t xml:space="preserve"> </w:t>
      </w:r>
      <w:r w:rsidR="000F08D4" w:rsidRPr="00D4248A">
        <w:rPr>
          <w:rFonts w:eastAsia="Calibri" w:cs="Tahoma"/>
          <w:lang w:val="es-ES"/>
        </w:rPr>
        <w:t>de dos mil veinti</w:t>
      </w:r>
      <w:r w:rsidR="00C67EF9" w:rsidRPr="00D4248A">
        <w:rPr>
          <w:rFonts w:eastAsia="Calibri" w:cs="Tahoma"/>
          <w:lang w:val="es-ES"/>
        </w:rPr>
        <w:t>c</w:t>
      </w:r>
      <w:r w:rsidR="00DB77CC" w:rsidRPr="00D4248A">
        <w:rPr>
          <w:rFonts w:eastAsia="Calibri" w:cs="Tahoma"/>
          <w:lang w:val="es-ES"/>
        </w:rPr>
        <w:t>inco</w:t>
      </w:r>
      <w:r w:rsidR="000F08D4" w:rsidRPr="00D4248A">
        <w:rPr>
          <w:rFonts w:eastAsia="Calibri" w:cs="Tahoma"/>
          <w:lang w:val="es-ES"/>
        </w:rPr>
        <w:t xml:space="preserve">, se presentó una solicitud de información </w:t>
      </w:r>
      <w:r w:rsidR="009C1D2E" w:rsidRPr="00D4248A">
        <w:rPr>
          <w:rFonts w:eastAsia="Calibri" w:cs="Tahoma"/>
          <w:lang w:val="es-ES"/>
        </w:rPr>
        <w:t>por la persona Recurrente</w:t>
      </w:r>
      <w:r w:rsidR="000F08D4" w:rsidRPr="00D4248A">
        <w:rPr>
          <w:rFonts w:eastAsia="Calibri" w:cs="Tahoma"/>
          <w:lang w:val="es-ES"/>
        </w:rPr>
        <w:t>, a través del Sistema de Acceso a la Información Mexiquense (SAIMEX),</w:t>
      </w:r>
      <w:r w:rsidR="000F08D4" w:rsidRPr="00D4248A">
        <w:rPr>
          <w:rFonts w:eastAsia="Calibri" w:cs="Times New Roman"/>
          <w:b/>
          <w:bCs/>
        </w:rPr>
        <w:t xml:space="preserve"> </w:t>
      </w:r>
      <w:r w:rsidR="000F08D4" w:rsidRPr="00D4248A">
        <w:rPr>
          <w:rFonts w:eastAsia="Calibri" w:cs="Tahoma"/>
          <w:lang w:val="es-ES"/>
        </w:rPr>
        <w:t>ante</w:t>
      </w:r>
      <w:r w:rsidR="0031460E" w:rsidRPr="00D4248A">
        <w:rPr>
          <w:rFonts w:eastAsia="Calibri" w:cs="Tahoma"/>
          <w:lang w:val="es-ES"/>
        </w:rPr>
        <w:t xml:space="preserve"> </w:t>
      </w:r>
      <w:r w:rsidR="003D261A" w:rsidRPr="00D4248A">
        <w:rPr>
          <w:rFonts w:eastAsia="Calibri" w:cs="Tahoma"/>
          <w:lang w:val="es-ES"/>
        </w:rPr>
        <w:t xml:space="preserve">el </w:t>
      </w:r>
      <w:r w:rsidR="00CF350A" w:rsidRPr="00D4248A">
        <w:t>Ayuntamiento de Toluca</w:t>
      </w:r>
      <w:r w:rsidR="00851291" w:rsidRPr="00D4248A">
        <w:rPr>
          <w:rFonts w:eastAsia="Calibri" w:cs="Tahoma"/>
        </w:rPr>
        <w:t xml:space="preserve">, </w:t>
      </w:r>
      <w:r w:rsidR="000F08D4" w:rsidRPr="00D4248A">
        <w:rPr>
          <w:rFonts w:cs="Tahoma"/>
        </w:rPr>
        <w:t xml:space="preserve">en los </w:t>
      </w:r>
      <w:r w:rsidR="008F14AD" w:rsidRPr="00D4248A">
        <w:rPr>
          <w:rFonts w:cs="Tahoma"/>
        </w:rPr>
        <w:t>términos siguientes:</w:t>
      </w:r>
    </w:p>
    <w:p w14:paraId="50EA853A" w14:textId="77777777" w:rsidR="00D17D14" w:rsidRPr="00D4248A" w:rsidRDefault="00D17D14" w:rsidP="00796F84">
      <w:pPr>
        <w:spacing w:after="0" w:line="360" w:lineRule="auto"/>
        <w:rPr>
          <w:rFonts w:cs="Tahoma"/>
        </w:rPr>
      </w:pPr>
    </w:p>
    <w:p w14:paraId="3C749962" w14:textId="4A7F5858" w:rsidR="00EC77D9" w:rsidRPr="00D4248A" w:rsidRDefault="00EC77D9" w:rsidP="00796F84">
      <w:pPr>
        <w:tabs>
          <w:tab w:val="left" w:pos="4667"/>
        </w:tabs>
        <w:spacing w:after="0" w:line="360" w:lineRule="auto"/>
        <w:ind w:left="567" w:right="567"/>
        <w:rPr>
          <w:rFonts w:cs="Tahoma"/>
          <w:b/>
          <w:bCs/>
          <w:i/>
          <w:sz w:val="20"/>
          <w:szCs w:val="20"/>
        </w:rPr>
      </w:pPr>
      <w:r w:rsidRPr="00D4248A">
        <w:rPr>
          <w:rFonts w:cs="Tahoma"/>
          <w:b/>
          <w:bCs/>
          <w:i/>
          <w:sz w:val="20"/>
          <w:szCs w:val="20"/>
        </w:rPr>
        <w:t>DESCRIPCIÓN CLARA Y PRECISA DE LA INFORMACIÓN SOLICITADA</w:t>
      </w:r>
    </w:p>
    <w:p w14:paraId="58218D87" w14:textId="57ECBE44" w:rsidR="00E90E82" w:rsidRPr="00D4248A" w:rsidRDefault="00CF350A" w:rsidP="00796F84">
      <w:pPr>
        <w:spacing w:after="0" w:line="360" w:lineRule="auto"/>
        <w:ind w:left="567" w:right="567"/>
        <w:rPr>
          <w:i/>
          <w:iCs/>
          <w:color w:val="000000"/>
          <w:sz w:val="20"/>
          <w:szCs w:val="20"/>
        </w:rPr>
      </w:pPr>
      <w:r w:rsidRPr="00D4248A">
        <w:rPr>
          <w:rFonts w:cs="Tahoma"/>
          <w:bCs/>
          <w:i/>
          <w:iCs/>
          <w:sz w:val="20"/>
          <w:szCs w:val="20"/>
        </w:rPr>
        <w:t>Monto de las percepciones mensuales del presidente (a) municipal, síndico (a) y regidores del ayuntamiento, además del tesorero (desglosado por sueldo bruto, gratificaciones, bonos, primas, deducciones, sueldo neto). Copia del talón de pago o recibo de pago al presidente o presidenta municipal.</w:t>
      </w:r>
      <w:r w:rsidR="006B71D7" w:rsidRPr="00D4248A">
        <w:rPr>
          <w:rFonts w:cs="Tahoma"/>
          <w:bCs/>
          <w:i/>
          <w:iCs/>
          <w:sz w:val="20"/>
          <w:szCs w:val="20"/>
        </w:rPr>
        <w:t>”</w:t>
      </w:r>
      <w:r w:rsidR="00EC77D9" w:rsidRPr="00D4248A">
        <w:rPr>
          <w:rFonts w:cs="Tahoma"/>
          <w:bCs/>
          <w:i/>
          <w:iCs/>
          <w:sz w:val="20"/>
          <w:szCs w:val="20"/>
        </w:rPr>
        <w:t xml:space="preserve"> </w:t>
      </w:r>
      <w:r w:rsidR="008C3EE9" w:rsidRPr="00D4248A">
        <w:rPr>
          <w:rFonts w:cs="Tahoma"/>
          <w:bCs/>
          <w:i/>
          <w:iCs/>
          <w:sz w:val="20"/>
          <w:szCs w:val="20"/>
        </w:rPr>
        <w:t>(Sic.)</w:t>
      </w:r>
    </w:p>
    <w:p w14:paraId="3DC5A22B" w14:textId="77777777" w:rsidR="00A54130" w:rsidRPr="00D4248A" w:rsidRDefault="00A54130" w:rsidP="00796F84">
      <w:pPr>
        <w:tabs>
          <w:tab w:val="left" w:pos="4667"/>
        </w:tabs>
        <w:spacing w:after="0" w:line="360" w:lineRule="auto"/>
        <w:ind w:right="567"/>
        <w:rPr>
          <w:rFonts w:cs="Tahoma"/>
          <w:bCs/>
          <w:i/>
          <w:sz w:val="20"/>
          <w:szCs w:val="20"/>
        </w:rPr>
      </w:pPr>
      <w:bookmarkStart w:id="3" w:name="_Hlk168055945"/>
    </w:p>
    <w:p w14:paraId="539F0C2B" w14:textId="77777777" w:rsidR="00BC5638" w:rsidRPr="00D4248A" w:rsidRDefault="00BC5638" w:rsidP="00796F84">
      <w:pPr>
        <w:tabs>
          <w:tab w:val="left" w:pos="4667"/>
        </w:tabs>
        <w:spacing w:after="0" w:line="360" w:lineRule="auto"/>
        <w:ind w:right="567"/>
        <w:rPr>
          <w:rFonts w:cs="Tahoma"/>
          <w:bCs/>
          <w:i/>
          <w:sz w:val="20"/>
          <w:szCs w:val="20"/>
        </w:rPr>
      </w:pPr>
    </w:p>
    <w:p w14:paraId="672D7CA3" w14:textId="126CF24D" w:rsidR="00993524" w:rsidRPr="00D4248A" w:rsidRDefault="00EC77D9" w:rsidP="00796F84">
      <w:pPr>
        <w:tabs>
          <w:tab w:val="left" w:pos="4667"/>
        </w:tabs>
        <w:spacing w:after="0" w:line="360" w:lineRule="auto"/>
        <w:ind w:left="567" w:right="567"/>
        <w:rPr>
          <w:rFonts w:eastAsia="Times New Roman" w:cs="Tahoma"/>
          <w:b/>
          <w:bCs/>
          <w:i/>
          <w:iCs/>
          <w:color w:val="auto"/>
          <w:sz w:val="20"/>
          <w:szCs w:val="20"/>
          <w:lang w:eastAsia="es-ES"/>
        </w:rPr>
      </w:pPr>
      <w:r w:rsidRPr="00D4248A">
        <w:rPr>
          <w:rFonts w:eastAsia="Times New Roman" w:cs="Tahoma"/>
          <w:b/>
          <w:bCs/>
          <w:i/>
          <w:iCs/>
          <w:color w:val="auto"/>
          <w:sz w:val="20"/>
          <w:szCs w:val="20"/>
          <w:lang w:eastAsia="es-ES"/>
        </w:rPr>
        <w:lastRenderedPageBreak/>
        <w:t>MODALIDAD DE ENTREGA</w:t>
      </w:r>
    </w:p>
    <w:p w14:paraId="7ABF991B" w14:textId="100E1A1F" w:rsidR="00C67EF9" w:rsidRPr="00D4248A" w:rsidRDefault="00EC77D9" w:rsidP="00796F84">
      <w:pPr>
        <w:tabs>
          <w:tab w:val="left" w:pos="4667"/>
        </w:tabs>
        <w:spacing w:after="0" w:line="360" w:lineRule="auto"/>
        <w:ind w:left="567" w:right="567"/>
        <w:rPr>
          <w:rFonts w:eastAsia="Times New Roman" w:cs="Arial"/>
          <w:bCs/>
          <w:i/>
          <w:iCs/>
          <w:color w:val="auto"/>
          <w:sz w:val="20"/>
          <w:szCs w:val="20"/>
          <w:lang w:eastAsia="es-ES"/>
        </w:rPr>
      </w:pPr>
      <w:r w:rsidRPr="00D4248A">
        <w:rPr>
          <w:rFonts w:eastAsia="Times New Roman" w:cs="Arial"/>
          <w:bCs/>
          <w:i/>
          <w:iCs/>
          <w:color w:val="auto"/>
          <w:sz w:val="20"/>
          <w:szCs w:val="20"/>
          <w:lang w:eastAsia="es-ES"/>
        </w:rPr>
        <w:t>A través del SAIMEX</w:t>
      </w:r>
      <w:bookmarkEnd w:id="3"/>
      <w:r w:rsidR="00D35EF9" w:rsidRPr="00D4248A">
        <w:rPr>
          <w:rFonts w:eastAsia="Times New Roman" w:cs="Arial"/>
          <w:bCs/>
          <w:i/>
          <w:iCs/>
          <w:color w:val="auto"/>
          <w:sz w:val="20"/>
          <w:szCs w:val="20"/>
          <w:lang w:eastAsia="es-ES"/>
        </w:rPr>
        <w:t>”</w:t>
      </w:r>
    </w:p>
    <w:p w14:paraId="4F321C8A" w14:textId="77777777" w:rsidR="003D261A" w:rsidRPr="00D4248A" w:rsidRDefault="003D261A" w:rsidP="00796F84">
      <w:pPr>
        <w:tabs>
          <w:tab w:val="left" w:pos="4667"/>
        </w:tabs>
        <w:spacing w:after="0" w:line="360" w:lineRule="auto"/>
        <w:ind w:right="567"/>
        <w:rPr>
          <w:rFonts w:eastAsia="Times New Roman" w:cs="Tahoma"/>
          <w:b/>
          <w:bCs/>
          <w:color w:val="auto"/>
          <w:szCs w:val="24"/>
          <w:lang w:eastAsia="es-ES"/>
        </w:rPr>
      </w:pPr>
    </w:p>
    <w:p w14:paraId="34F9ADE6" w14:textId="42F86B1D" w:rsidR="001756F2" w:rsidRPr="00D4248A" w:rsidRDefault="001756F2" w:rsidP="00796F84">
      <w:pPr>
        <w:pStyle w:val="Ttulo2"/>
        <w:spacing w:before="0" w:line="360" w:lineRule="auto"/>
        <w:rPr>
          <w:rFonts w:ascii="Palatino Linotype" w:eastAsia="Times New Roman" w:hAnsi="Palatino Linotype"/>
          <w:b/>
          <w:bCs/>
          <w:color w:val="auto"/>
          <w:sz w:val="22"/>
          <w:szCs w:val="22"/>
          <w:lang w:eastAsia="es-ES"/>
        </w:rPr>
      </w:pPr>
      <w:bookmarkStart w:id="4" w:name="_Toc195190505"/>
      <w:r w:rsidRPr="00D4248A">
        <w:rPr>
          <w:rFonts w:ascii="Palatino Linotype" w:eastAsia="Times New Roman" w:hAnsi="Palatino Linotype"/>
          <w:b/>
          <w:bCs/>
          <w:color w:val="auto"/>
          <w:sz w:val="22"/>
          <w:szCs w:val="22"/>
          <w:lang w:eastAsia="es-ES"/>
        </w:rPr>
        <w:t>I</w:t>
      </w:r>
      <w:r w:rsidR="00265193" w:rsidRPr="00D4248A">
        <w:rPr>
          <w:rFonts w:ascii="Palatino Linotype" w:eastAsia="Times New Roman" w:hAnsi="Palatino Linotype"/>
          <w:b/>
          <w:bCs/>
          <w:color w:val="auto"/>
          <w:sz w:val="22"/>
          <w:szCs w:val="22"/>
          <w:lang w:eastAsia="es-ES"/>
        </w:rPr>
        <w:t>I</w:t>
      </w:r>
      <w:r w:rsidRPr="00D4248A">
        <w:rPr>
          <w:rFonts w:ascii="Palatino Linotype" w:eastAsia="Times New Roman" w:hAnsi="Palatino Linotype"/>
          <w:b/>
          <w:bCs/>
          <w:color w:val="auto"/>
          <w:sz w:val="22"/>
          <w:szCs w:val="22"/>
          <w:lang w:eastAsia="es-ES"/>
        </w:rPr>
        <w:t>. Respuesta del Sujeto Obligado</w:t>
      </w:r>
      <w:bookmarkEnd w:id="4"/>
    </w:p>
    <w:p w14:paraId="748F9C73" w14:textId="77777777" w:rsidR="004B786D" w:rsidRPr="00D4248A" w:rsidRDefault="004B786D" w:rsidP="00796F84">
      <w:pPr>
        <w:tabs>
          <w:tab w:val="left" w:pos="4667"/>
        </w:tabs>
        <w:spacing w:after="0" w:line="360" w:lineRule="auto"/>
        <w:ind w:right="567"/>
        <w:rPr>
          <w:rFonts w:eastAsia="Times New Roman" w:cs="Tahoma"/>
          <w:b/>
          <w:bCs/>
          <w:color w:val="auto"/>
          <w:szCs w:val="24"/>
          <w:lang w:eastAsia="es-ES"/>
        </w:rPr>
      </w:pPr>
    </w:p>
    <w:p w14:paraId="61B5EDD6" w14:textId="493F9C3E" w:rsidR="009359A0" w:rsidRPr="00D4248A" w:rsidRDefault="00E6783D" w:rsidP="00796F84">
      <w:pPr>
        <w:autoSpaceDE w:val="0"/>
        <w:autoSpaceDN w:val="0"/>
        <w:adjustRightInd w:val="0"/>
        <w:spacing w:after="0" w:line="360" w:lineRule="auto"/>
        <w:contextualSpacing/>
        <w:rPr>
          <w:rFonts w:eastAsia="Times New Roman" w:cs="Tahoma"/>
          <w:color w:val="auto"/>
          <w:lang w:eastAsia="es-ES"/>
        </w:rPr>
      </w:pPr>
      <w:bookmarkStart w:id="5" w:name="_Hlk170906280"/>
      <w:r w:rsidRPr="00D4248A">
        <w:rPr>
          <w:rFonts w:eastAsia="Calibri" w:cs="Tahoma"/>
          <w:color w:val="000000"/>
        </w:rPr>
        <w:t>El</w:t>
      </w:r>
      <w:r w:rsidR="006B71D7" w:rsidRPr="00D4248A">
        <w:rPr>
          <w:rFonts w:eastAsia="Calibri" w:cs="Tahoma"/>
          <w:color w:val="000000"/>
        </w:rPr>
        <w:t xml:space="preserve"> </w:t>
      </w:r>
      <w:r w:rsidR="00CF350A" w:rsidRPr="00D4248A">
        <w:rPr>
          <w:rFonts w:eastAsia="Calibri" w:cs="Tahoma"/>
          <w:color w:val="000000"/>
        </w:rPr>
        <w:t xml:space="preserve">veinte de febrero </w:t>
      </w:r>
      <w:r w:rsidRPr="00D4248A">
        <w:rPr>
          <w:rFonts w:eastAsia="Calibri" w:cs="Tahoma"/>
          <w:color w:val="000000"/>
        </w:rPr>
        <w:t>de dos mil veinti</w:t>
      </w:r>
      <w:r w:rsidR="0091577C" w:rsidRPr="00D4248A">
        <w:rPr>
          <w:rFonts w:eastAsia="Calibri" w:cs="Tahoma"/>
          <w:color w:val="000000"/>
        </w:rPr>
        <w:t>c</w:t>
      </w:r>
      <w:r w:rsidR="00851291" w:rsidRPr="00D4248A">
        <w:rPr>
          <w:rFonts w:eastAsia="Calibri" w:cs="Tahoma"/>
          <w:color w:val="000000"/>
        </w:rPr>
        <w:t>inco</w:t>
      </w:r>
      <w:r w:rsidRPr="00D4248A">
        <w:rPr>
          <w:rFonts w:eastAsia="Calibri" w:cs="Tahoma"/>
          <w:color w:val="000000"/>
        </w:rPr>
        <w:t xml:space="preserve">, el Sujeto Obligado notificó al Particular, mediante el </w:t>
      </w:r>
      <w:r w:rsidRPr="00D4248A">
        <w:rPr>
          <w:rFonts w:eastAsia="Times New Roman" w:cs="Tahoma"/>
          <w:color w:val="auto"/>
          <w:lang w:eastAsia="es-ES"/>
        </w:rPr>
        <w:t xml:space="preserve">Sistema de Acceso a la Información Mexiquense (SAIMEX), la respuesta a la solicitud de acceso a la información, </w:t>
      </w:r>
      <w:r w:rsidR="001C21EE" w:rsidRPr="00D4248A">
        <w:rPr>
          <w:rFonts w:eastAsia="Times New Roman" w:cs="Tahoma"/>
          <w:color w:val="auto"/>
          <w:lang w:eastAsia="es-ES"/>
        </w:rPr>
        <w:t>a través de</w:t>
      </w:r>
      <w:r w:rsidR="000D1DE0" w:rsidRPr="00D4248A">
        <w:rPr>
          <w:rFonts w:eastAsia="Times New Roman" w:cs="Tahoma"/>
          <w:color w:val="auto"/>
          <w:lang w:eastAsia="es-ES"/>
        </w:rPr>
        <w:t xml:space="preserve"> los documentos siguientes:</w:t>
      </w:r>
    </w:p>
    <w:p w14:paraId="04178C69" w14:textId="77777777" w:rsidR="009359A0" w:rsidRPr="00D4248A" w:rsidRDefault="009359A0" w:rsidP="00796F84">
      <w:pPr>
        <w:autoSpaceDE w:val="0"/>
        <w:autoSpaceDN w:val="0"/>
        <w:adjustRightInd w:val="0"/>
        <w:spacing w:after="0" w:line="360" w:lineRule="auto"/>
        <w:contextualSpacing/>
        <w:rPr>
          <w:rFonts w:eastAsia="Times New Roman" w:cs="Tahoma"/>
          <w:color w:val="auto"/>
          <w:lang w:eastAsia="es-ES"/>
        </w:rPr>
      </w:pPr>
    </w:p>
    <w:p w14:paraId="39D84CE0" w14:textId="40F51715" w:rsidR="00851291" w:rsidRPr="00D4248A" w:rsidRDefault="000D1DE0" w:rsidP="00796F84">
      <w:pPr>
        <w:autoSpaceDE w:val="0"/>
        <w:autoSpaceDN w:val="0"/>
        <w:adjustRightInd w:val="0"/>
        <w:spacing w:after="0" w:line="360" w:lineRule="auto"/>
        <w:contextualSpacing/>
        <w:rPr>
          <w:rFonts w:eastAsia="Times New Roman" w:cs="Tahoma"/>
          <w:color w:val="auto"/>
          <w:lang w:eastAsia="es-ES"/>
        </w:rPr>
      </w:pPr>
      <w:r w:rsidRPr="00D4248A">
        <w:rPr>
          <w:rFonts w:eastAsia="Times New Roman" w:cs="Tahoma"/>
          <w:color w:val="auto"/>
          <w:lang w:eastAsia="es-ES"/>
        </w:rPr>
        <w:t xml:space="preserve">i. </w:t>
      </w:r>
      <w:r w:rsidR="006B71D7" w:rsidRPr="00D4248A">
        <w:rPr>
          <w:rFonts w:eastAsia="Times New Roman" w:cs="Tahoma"/>
          <w:color w:val="auto"/>
          <w:lang w:eastAsia="es-ES"/>
        </w:rPr>
        <w:t>Oficio</w:t>
      </w:r>
      <w:r w:rsidR="00CF350A" w:rsidRPr="00D4248A">
        <w:rPr>
          <w:rFonts w:eastAsia="Times New Roman" w:cs="Tahoma"/>
          <w:color w:val="auto"/>
          <w:lang w:eastAsia="es-ES"/>
        </w:rPr>
        <w:t xml:space="preserve"> sin</w:t>
      </w:r>
      <w:r w:rsidR="006B71D7" w:rsidRPr="00D4248A">
        <w:rPr>
          <w:rFonts w:eastAsia="Times New Roman" w:cs="Tahoma"/>
          <w:color w:val="auto"/>
          <w:lang w:eastAsia="es-ES"/>
        </w:rPr>
        <w:t xml:space="preserve"> </w:t>
      </w:r>
      <w:r w:rsidR="00C04DDC" w:rsidRPr="00D4248A">
        <w:rPr>
          <w:rFonts w:eastAsia="Times New Roman" w:cs="Tahoma"/>
          <w:color w:val="auto"/>
          <w:lang w:eastAsia="es-ES"/>
        </w:rPr>
        <w:t>número</w:t>
      </w:r>
      <w:r w:rsidR="00851291" w:rsidRPr="00D4248A">
        <w:rPr>
          <w:rFonts w:eastAsia="Times New Roman" w:cs="Tahoma"/>
          <w:color w:val="auto"/>
          <w:lang w:eastAsia="es-ES"/>
        </w:rPr>
        <w:t>, del vein</w:t>
      </w:r>
      <w:r w:rsidR="00CF350A" w:rsidRPr="00D4248A">
        <w:rPr>
          <w:rFonts w:eastAsia="Times New Roman" w:cs="Tahoma"/>
          <w:color w:val="auto"/>
          <w:lang w:eastAsia="es-ES"/>
        </w:rPr>
        <w:t>te de febrero</w:t>
      </w:r>
      <w:r w:rsidR="00851291" w:rsidRPr="00D4248A">
        <w:rPr>
          <w:rFonts w:eastAsia="Times New Roman" w:cs="Tahoma"/>
          <w:color w:val="auto"/>
          <w:lang w:eastAsia="es-ES"/>
        </w:rPr>
        <w:t xml:space="preserve"> de dos mil veinticinco, suscrito por </w:t>
      </w:r>
      <w:r w:rsidR="00CF350A" w:rsidRPr="00D4248A">
        <w:rPr>
          <w:rFonts w:eastAsia="Times New Roman" w:cs="Tahoma"/>
          <w:color w:val="auto"/>
          <w:lang w:eastAsia="es-ES"/>
        </w:rPr>
        <w:t xml:space="preserve">el Titular de la Unidad de Transparencia </w:t>
      </w:r>
      <w:r w:rsidR="00851291" w:rsidRPr="00D4248A">
        <w:rPr>
          <w:rFonts w:eastAsia="Times New Roman" w:cs="Tahoma"/>
          <w:color w:val="auto"/>
          <w:lang w:eastAsia="es-ES"/>
        </w:rPr>
        <w:t>y dirigido al</w:t>
      </w:r>
      <w:r w:rsidR="006738C5" w:rsidRPr="00D4248A">
        <w:rPr>
          <w:rFonts w:eastAsia="Times New Roman" w:cs="Tahoma"/>
          <w:color w:val="auto"/>
          <w:lang w:eastAsia="es-ES"/>
        </w:rPr>
        <w:t xml:space="preserve"> Solicitante</w:t>
      </w:r>
      <w:r w:rsidR="00851291" w:rsidRPr="00D4248A">
        <w:rPr>
          <w:rFonts w:eastAsia="Times New Roman" w:cs="Tahoma"/>
          <w:color w:val="auto"/>
          <w:lang w:eastAsia="es-ES"/>
        </w:rPr>
        <w:t>, por medio del cual mencionó lo siguiente:</w:t>
      </w:r>
    </w:p>
    <w:p w14:paraId="1D638A20" w14:textId="77777777" w:rsidR="00851291" w:rsidRPr="00D4248A" w:rsidRDefault="00851291" w:rsidP="00796F84">
      <w:pPr>
        <w:autoSpaceDE w:val="0"/>
        <w:autoSpaceDN w:val="0"/>
        <w:adjustRightInd w:val="0"/>
        <w:spacing w:after="0" w:line="360" w:lineRule="auto"/>
        <w:contextualSpacing/>
        <w:rPr>
          <w:rFonts w:eastAsia="Times New Roman" w:cs="Tahoma"/>
          <w:color w:val="auto"/>
          <w:lang w:eastAsia="es-ES"/>
        </w:rPr>
      </w:pPr>
    </w:p>
    <w:p w14:paraId="11601C53" w14:textId="4FF586CB" w:rsidR="00851291" w:rsidRPr="00D4248A" w:rsidRDefault="00851291" w:rsidP="00BC5638">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D4248A">
        <w:rPr>
          <w:rFonts w:eastAsia="Times New Roman" w:cs="Tahoma"/>
          <w:i/>
          <w:iCs/>
          <w:color w:val="auto"/>
          <w:sz w:val="20"/>
          <w:szCs w:val="20"/>
          <w:lang w:eastAsia="es-ES"/>
        </w:rPr>
        <w:t>“…</w:t>
      </w:r>
      <w:r w:rsidR="006738C5" w:rsidRPr="00D4248A">
        <w:rPr>
          <w:rFonts w:eastAsia="Times New Roman" w:cs="Tahoma"/>
          <w:i/>
          <w:iCs/>
          <w:color w:val="auto"/>
          <w:sz w:val="20"/>
          <w:szCs w:val="20"/>
          <w:lang w:eastAsia="es-ES"/>
        </w:rPr>
        <w:t xml:space="preserve"> se hace de su conocimiento que la Dirección General de Administración y Servidora Pública Habilitada, informó que la Dirección de Recursos Humanos, después de una búsqueda exhaustiva y razonable ten los archivos físicos y electrónicos que obran en el Departamento de Nóminas, se remite la información solicitada.</w:t>
      </w:r>
    </w:p>
    <w:p w14:paraId="4D084196" w14:textId="77777777" w:rsidR="006738C5" w:rsidRPr="00D4248A" w:rsidRDefault="006738C5" w:rsidP="00BC5638">
      <w:pPr>
        <w:autoSpaceDE w:val="0"/>
        <w:autoSpaceDN w:val="0"/>
        <w:adjustRightInd w:val="0"/>
        <w:spacing w:after="0" w:line="360" w:lineRule="auto"/>
        <w:ind w:left="567" w:right="567"/>
        <w:contextualSpacing/>
        <w:rPr>
          <w:rFonts w:eastAsia="Times New Roman" w:cs="Tahoma"/>
          <w:i/>
          <w:iCs/>
          <w:color w:val="auto"/>
          <w:sz w:val="20"/>
          <w:szCs w:val="20"/>
          <w:lang w:eastAsia="es-ES"/>
        </w:rPr>
      </w:pPr>
    </w:p>
    <w:p w14:paraId="50BBB705" w14:textId="6B37CAF5" w:rsidR="006738C5" w:rsidRPr="00D4248A" w:rsidRDefault="005D09EA" w:rsidP="00BC5638">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D4248A">
        <w:rPr>
          <w:i/>
          <w:sz w:val="20"/>
        </w:rPr>
        <w:t>No omito mencionar que en términos del artículo 143 fracción I de la Ley de Transparencia y Acceso a la Información Pública del Estado de México y Municipios</w:t>
      </w:r>
      <w:r w:rsidRPr="00D4248A">
        <w:rPr>
          <w:rFonts w:eastAsia="Times New Roman" w:cs="Tahoma"/>
          <w:i/>
          <w:iCs/>
          <w:color w:val="auto"/>
          <w:sz w:val="20"/>
          <w:szCs w:val="20"/>
          <w:lang w:eastAsia="es-ES"/>
        </w:rPr>
        <w:t>,</w:t>
      </w:r>
      <w:r w:rsidR="006738C5" w:rsidRPr="00D4248A">
        <w:rPr>
          <w:rFonts w:eastAsia="Times New Roman" w:cs="Tahoma"/>
          <w:i/>
          <w:iCs/>
          <w:color w:val="auto"/>
          <w:sz w:val="20"/>
          <w:szCs w:val="20"/>
          <w:lang w:eastAsia="es-ES"/>
        </w:rPr>
        <w:t xml:space="preserve"> la información personal contenida en el comprobante de estudios ha sido considerada como confidencial de forma parcial ·mediante acuerdo número CT/SE/144/01/2025, aprobado por el Comité de Transparencia en la Centésima Cuadragésima Cuarta Sesión Extraordinaria 2025.</w:t>
      </w:r>
    </w:p>
    <w:p w14:paraId="7F751520" w14:textId="77777777" w:rsidR="006738C5" w:rsidRPr="00D4248A" w:rsidRDefault="006738C5" w:rsidP="00BC5638">
      <w:pPr>
        <w:autoSpaceDE w:val="0"/>
        <w:autoSpaceDN w:val="0"/>
        <w:adjustRightInd w:val="0"/>
        <w:spacing w:after="0" w:line="360" w:lineRule="auto"/>
        <w:ind w:left="567" w:right="567"/>
        <w:contextualSpacing/>
        <w:rPr>
          <w:rFonts w:eastAsia="Times New Roman" w:cs="Tahoma"/>
          <w:i/>
          <w:iCs/>
          <w:color w:val="auto"/>
          <w:sz w:val="20"/>
          <w:szCs w:val="20"/>
          <w:lang w:eastAsia="es-ES"/>
        </w:rPr>
      </w:pPr>
    </w:p>
    <w:p w14:paraId="41ACE45A" w14:textId="3B263EF6" w:rsidR="006738C5" w:rsidRPr="00D4248A" w:rsidRDefault="006738C5" w:rsidP="00BC5638">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D4248A">
        <w:rPr>
          <w:rFonts w:eastAsia="Times New Roman" w:cs="Tahoma"/>
          <w:i/>
          <w:iCs/>
          <w:color w:val="auto"/>
          <w:sz w:val="20"/>
          <w:szCs w:val="20"/>
          <w:lang w:eastAsia="es-ES"/>
        </w:rPr>
        <w:t xml:space="preserve">Así mismo la Tesorería Municipal y Servidor Público Habilitado, informó que después de una búsqueda exhaustiva y razonable en los archivos que obran en la tesorería, se informa que no se localizó documento alguno que </w:t>
      </w:r>
      <w:proofErr w:type="spellStart"/>
      <w:r w:rsidRPr="00D4248A">
        <w:rPr>
          <w:rFonts w:eastAsia="Times New Roman" w:cs="Tahoma"/>
          <w:i/>
          <w:iCs/>
          <w:color w:val="auto"/>
          <w:sz w:val="20"/>
          <w:szCs w:val="20"/>
          <w:lang w:eastAsia="es-ES"/>
        </w:rPr>
        <w:t>de</w:t>
      </w:r>
      <w:proofErr w:type="spellEnd"/>
      <w:r w:rsidRPr="00D4248A">
        <w:rPr>
          <w:rFonts w:eastAsia="Times New Roman" w:cs="Tahoma"/>
          <w:i/>
          <w:iCs/>
          <w:color w:val="auto"/>
          <w:sz w:val="20"/>
          <w:szCs w:val="20"/>
          <w:lang w:eastAsia="es-ES"/>
        </w:rPr>
        <w:t xml:space="preserve"> respuesta de lo solicitado por no formar parte de las atribuciones que confieren a la tesorería.</w:t>
      </w:r>
    </w:p>
    <w:p w14:paraId="43CAEC50" w14:textId="454A2C7F" w:rsidR="00851291" w:rsidRPr="00D4248A" w:rsidRDefault="00851291" w:rsidP="00BC5638">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D4248A">
        <w:rPr>
          <w:rFonts w:eastAsia="Times New Roman" w:cs="Tahoma"/>
          <w:i/>
          <w:iCs/>
          <w:color w:val="auto"/>
          <w:sz w:val="20"/>
          <w:szCs w:val="20"/>
          <w:lang w:eastAsia="es-ES"/>
        </w:rPr>
        <w:t>…”</w:t>
      </w:r>
    </w:p>
    <w:p w14:paraId="3F96B905" w14:textId="77777777" w:rsidR="00851291" w:rsidRPr="00D4248A" w:rsidRDefault="00851291" w:rsidP="00796F84">
      <w:pPr>
        <w:autoSpaceDE w:val="0"/>
        <w:autoSpaceDN w:val="0"/>
        <w:adjustRightInd w:val="0"/>
        <w:spacing w:after="0" w:line="360" w:lineRule="auto"/>
        <w:contextualSpacing/>
        <w:rPr>
          <w:rFonts w:eastAsia="Times New Roman" w:cs="Tahoma"/>
          <w:color w:val="auto"/>
          <w:lang w:eastAsia="es-ES"/>
        </w:rPr>
      </w:pPr>
    </w:p>
    <w:p w14:paraId="2D9681C4" w14:textId="6562378A" w:rsidR="00851291" w:rsidRPr="00D4248A" w:rsidRDefault="00851291" w:rsidP="00796F84">
      <w:pPr>
        <w:autoSpaceDE w:val="0"/>
        <w:autoSpaceDN w:val="0"/>
        <w:adjustRightInd w:val="0"/>
        <w:spacing w:after="0" w:line="360" w:lineRule="auto"/>
        <w:contextualSpacing/>
        <w:rPr>
          <w:rFonts w:eastAsia="Times New Roman" w:cs="Tahoma"/>
          <w:color w:val="auto"/>
          <w:lang w:eastAsia="es-ES"/>
        </w:rPr>
      </w:pPr>
      <w:r w:rsidRPr="00D4248A">
        <w:rPr>
          <w:rFonts w:eastAsia="Times New Roman" w:cs="Tahoma"/>
          <w:color w:val="auto"/>
          <w:lang w:eastAsia="es-ES"/>
        </w:rPr>
        <w:t xml:space="preserve">ii. </w:t>
      </w:r>
      <w:r w:rsidR="005D09EA" w:rsidRPr="00D4248A">
        <w:rPr>
          <w:rFonts w:eastAsia="Times New Roman" w:cs="Tahoma"/>
          <w:color w:val="auto"/>
          <w:lang w:eastAsia="es-ES"/>
        </w:rPr>
        <w:t>R</w:t>
      </w:r>
      <w:r w:rsidR="006738C5" w:rsidRPr="00D4248A">
        <w:rPr>
          <w:rFonts w:eastAsia="Times New Roman" w:cs="Tahoma"/>
          <w:color w:val="auto"/>
          <w:lang w:eastAsia="es-ES"/>
        </w:rPr>
        <w:t>ec</w:t>
      </w:r>
      <w:r w:rsidR="005D09EA" w:rsidRPr="00D4248A">
        <w:rPr>
          <w:rFonts w:eastAsia="Times New Roman" w:cs="Tahoma"/>
          <w:color w:val="auto"/>
          <w:lang w:eastAsia="es-ES"/>
        </w:rPr>
        <w:t>ibo de nómina del</w:t>
      </w:r>
      <w:r w:rsidR="006738C5" w:rsidRPr="00D4248A">
        <w:rPr>
          <w:rFonts w:eastAsia="Times New Roman" w:cs="Tahoma"/>
          <w:color w:val="auto"/>
          <w:lang w:eastAsia="es-ES"/>
        </w:rPr>
        <w:t xml:space="preserve"> Presidente Municipal, de</w:t>
      </w:r>
      <w:r w:rsidR="005516AE" w:rsidRPr="00D4248A">
        <w:rPr>
          <w:rFonts w:eastAsia="Times New Roman" w:cs="Tahoma"/>
          <w:color w:val="auto"/>
          <w:lang w:eastAsia="es-ES"/>
        </w:rPr>
        <w:t>l primero al quince de enero de dos mil veinticinco, en versión pública.</w:t>
      </w:r>
    </w:p>
    <w:p w14:paraId="65FE5DF9" w14:textId="77777777" w:rsidR="006738C5" w:rsidRPr="00D4248A" w:rsidRDefault="006738C5" w:rsidP="00796F84">
      <w:pPr>
        <w:autoSpaceDE w:val="0"/>
        <w:autoSpaceDN w:val="0"/>
        <w:adjustRightInd w:val="0"/>
        <w:spacing w:after="0" w:line="360" w:lineRule="auto"/>
        <w:contextualSpacing/>
        <w:rPr>
          <w:rFonts w:eastAsia="Times New Roman" w:cs="Tahoma"/>
          <w:color w:val="auto"/>
          <w:lang w:eastAsia="es-ES"/>
        </w:rPr>
      </w:pPr>
    </w:p>
    <w:bookmarkEnd w:id="5"/>
    <w:p w14:paraId="2B293CBC" w14:textId="731B4D40" w:rsidR="00236B98" w:rsidRPr="00D4248A" w:rsidRDefault="006738C5" w:rsidP="00796F84">
      <w:pPr>
        <w:autoSpaceDE w:val="0"/>
        <w:autoSpaceDN w:val="0"/>
        <w:adjustRightInd w:val="0"/>
        <w:spacing w:after="0" w:line="360" w:lineRule="auto"/>
        <w:rPr>
          <w:rFonts w:eastAsia="Calibri" w:cs="Tahoma"/>
          <w:color w:val="000000"/>
          <w:lang w:val="es-ES"/>
        </w:rPr>
      </w:pPr>
      <w:r w:rsidRPr="00D4248A">
        <w:rPr>
          <w:rFonts w:eastAsia="Calibri" w:cs="Tahoma"/>
          <w:color w:val="000000"/>
          <w:lang w:val="es-ES"/>
        </w:rPr>
        <w:t>iii</w:t>
      </w:r>
      <w:r w:rsidR="00236B98" w:rsidRPr="00D4248A">
        <w:rPr>
          <w:rFonts w:eastAsia="Calibri" w:cs="Tahoma"/>
          <w:color w:val="000000"/>
          <w:lang w:val="es-ES"/>
        </w:rPr>
        <w:t xml:space="preserve">. Relación del monto de percepciones de Funcionarios del </w:t>
      </w:r>
      <w:r w:rsidRPr="00D4248A">
        <w:rPr>
          <w:rFonts w:eastAsia="Calibri" w:cs="Tahoma"/>
          <w:color w:val="000000"/>
          <w:lang w:val="es-ES"/>
        </w:rPr>
        <w:t xml:space="preserve">Ayuntamiento de Toluca, </w:t>
      </w:r>
      <w:r w:rsidR="00236B98" w:rsidRPr="00D4248A">
        <w:rPr>
          <w:rFonts w:eastAsia="Calibri" w:cs="Tahoma"/>
          <w:color w:val="000000"/>
          <w:lang w:val="es-ES"/>
        </w:rPr>
        <w:t xml:space="preserve">que contiene nombre, categoría, sueldo bruto y neto, percepciones y deducciones, del Presidente Municipal, Síndicos, Regidores y Tesorero. </w:t>
      </w:r>
    </w:p>
    <w:p w14:paraId="4DFED95B" w14:textId="77777777" w:rsidR="006738C5" w:rsidRPr="00D4248A" w:rsidRDefault="006738C5" w:rsidP="00796F84">
      <w:pPr>
        <w:autoSpaceDE w:val="0"/>
        <w:autoSpaceDN w:val="0"/>
        <w:adjustRightInd w:val="0"/>
        <w:spacing w:after="0" w:line="360" w:lineRule="auto"/>
        <w:rPr>
          <w:rFonts w:eastAsia="Calibri" w:cs="Tahoma"/>
          <w:color w:val="000000"/>
          <w:lang w:val="es-ES"/>
        </w:rPr>
      </w:pPr>
    </w:p>
    <w:p w14:paraId="56912486" w14:textId="78468F16" w:rsidR="00EC77D9" w:rsidRPr="00D4248A" w:rsidRDefault="00EC77D9" w:rsidP="00796F84">
      <w:pPr>
        <w:pStyle w:val="Ttulo2"/>
        <w:spacing w:before="0" w:line="360" w:lineRule="auto"/>
        <w:rPr>
          <w:rFonts w:ascii="Palatino Linotype" w:eastAsia="Calibri" w:hAnsi="Palatino Linotype"/>
          <w:b/>
          <w:bCs/>
          <w:color w:val="auto"/>
          <w:sz w:val="22"/>
          <w:szCs w:val="22"/>
        </w:rPr>
      </w:pPr>
      <w:bookmarkStart w:id="6" w:name="_Toc195190506"/>
      <w:r w:rsidRPr="00D4248A">
        <w:rPr>
          <w:rFonts w:ascii="Palatino Linotype" w:eastAsia="Calibri" w:hAnsi="Palatino Linotype"/>
          <w:b/>
          <w:bCs/>
          <w:color w:val="auto"/>
          <w:sz w:val="22"/>
          <w:szCs w:val="22"/>
        </w:rPr>
        <w:t>I</w:t>
      </w:r>
      <w:r w:rsidR="0031460E" w:rsidRPr="00D4248A">
        <w:rPr>
          <w:rFonts w:ascii="Palatino Linotype" w:eastAsia="Calibri" w:hAnsi="Palatino Linotype"/>
          <w:b/>
          <w:bCs/>
          <w:color w:val="auto"/>
          <w:sz w:val="22"/>
          <w:szCs w:val="22"/>
        </w:rPr>
        <w:t>II</w:t>
      </w:r>
      <w:r w:rsidRPr="00D4248A">
        <w:rPr>
          <w:rFonts w:ascii="Palatino Linotype" w:eastAsia="Calibri" w:hAnsi="Palatino Linotype"/>
          <w:b/>
          <w:bCs/>
          <w:color w:val="auto"/>
          <w:sz w:val="22"/>
          <w:szCs w:val="22"/>
        </w:rPr>
        <w:t>. Interposición del Recurso de Revisión</w:t>
      </w:r>
      <w:bookmarkEnd w:id="6"/>
    </w:p>
    <w:p w14:paraId="193305E5" w14:textId="77777777" w:rsidR="00EC77D9" w:rsidRPr="00D4248A" w:rsidRDefault="00EC77D9" w:rsidP="00796F84">
      <w:pPr>
        <w:spacing w:after="0" w:line="360" w:lineRule="auto"/>
        <w:rPr>
          <w:rFonts w:eastAsia="Times New Roman" w:cs="Tahoma"/>
          <w:bCs/>
          <w:color w:val="auto"/>
          <w:lang w:eastAsia="es-ES"/>
        </w:rPr>
      </w:pPr>
    </w:p>
    <w:p w14:paraId="24595562" w14:textId="400F0657" w:rsidR="00EC77D9" w:rsidRPr="00D4248A" w:rsidRDefault="00F1768D" w:rsidP="00796F84">
      <w:pPr>
        <w:spacing w:after="0" w:line="360" w:lineRule="auto"/>
        <w:rPr>
          <w:rFonts w:eastAsia="Times New Roman" w:cs="Tahoma"/>
          <w:bCs/>
          <w:color w:val="auto"/>
          <w:lang w:eastAsia="es-ES"/>
        </w:rPr>
      </w:pPr>
      <w:r w:rsidRPr="00D4248A">
        <w:rPr>
          <w:rFonts w:eastAsia="Times New Roman" w:cs="Tahoma"/>
          <w:bCs/>
          <w:color w:val="auto"/>
          <w:lang w:val="es-ES" w:eastAsia="es-ES"/>
        </w:rPr>
        <w:t xml:space="preserve">El </w:t>
      </w:r>
      <w:r w:rsidR="006738C5" w:rsidRPr="00D4248A">
        <w:rPr>
          <w:rFonts w:eastAsia="Times New Roman" w:cs="Tahoma"/>
          <w:bCs/>
          <w:color w:val="auto"/>
          <w:lang w:val="es-ES" w:eastAsia="es-ES"/>
        </w:rPr>
        <w:t>veinticinco</w:t>
      </w:r>
      <w:r w:rsidR="00851291" w:rsidRPr="00D4248A">
        <w:rPr>
          <w:rFonts w:eastAsia="Times New Roman" w:cs="Tahoma"/>
          <w:bCs/>
          <w:color w:val="auto"/>
          <w:lang w:val="es-ES" w:eastAsia="es-ES"/>
        </w:rPr>
        <w:t xml:space="preserve"> de febrero de dos mil veinticinco</w:t>
      </w:r>
      <w:r w:rsidR="00EE6AAF" w:rsidRPr="00D4248A">
        <w:rPr>
          <w:rFonts w:eastAsia="Times New Roman" w:cs="Tahoma"/>
          <w:bCs/>
          <w:color w:val="auto"/>
          <w:lang w:val="es-ES" w:eastAsia="es-ES"/>
        </w:rPr>
        <w:t xml:space="preserve">, </w:t>
      </w:r>
      <w:r w:rsidR="00EE6AAF" w:rsidRPr="00D4248A">
        <w:rPr>
          <w:rFonts w:eastAsia="Times New Roman" w:cs="Tahoma"/>
          <w:bCs/>
          <w:color w:val="auto"/>
          <w:lang w:eastAsia="es-ES"/>
        </w:rPr>
        <w:t xml:space="preserve">se recibió en este Instituto, a través del </w:t>
      </w:r>
      <w:r w:rsidR="00EE6AAF" w:rsidRPr="00D4248A">
        <w:rPr>
          <w:rFonts w:eastAsia="Times New Roman" w:cs="Tahoma"/>
          <w:bCs/>
          <w:color w:val="auto"/>
          <w:lang w:val="es-ES" w:eastAsia="es-ES"/>
        </w:rPr>
        <w:t>Sistema de Acceso a la Información Mexiquense (SAIMEX)</w:t>
      </w:r>
      <w:r w:rsidR="00EE6AAF" w:rsidRPr="00D4248A">
        <w:rPr>
          <w:rFonts w:eastAsia="Times New Roman" w:cs="Tahoma"/>
          <w:bCs/>
          <w:color w:val="auto"/>
          <w:lang w:eastAsia="es-ES"/>
        </w:rPr>
        <w:t>, el Recurso de Revisión interpuesto por la p</w:t>
      </w:r>
      <w:r w:rsidR="00D55E2F" w:rsidRPr="00D4248A">
        <w:rPr>
          <w:rFonts w:eastAsia="Times New Roman" w:cs="Tahoma"/>
          <w:bCs/>
          <w:color w:val="auto"/>
          <w:lang w:eastAsia="es-ES"/>
        </w:rPr>
        <w:t>ersona</w:t>
      </w:r>
      <w:r w:rsidR="00EE6AAF" w:rsidRPr="00D4248A">
        <w:rPr>
          <w:rFonts w:eastAsia="Times New Roman" w:cs="Tahoma"/>
          <w:bCs/>
          <w:color w:val="auto"/>
          <w:lang w:eastAsia="es-ES"/>
        </w:rPr>
        <w:t xml:space="preserve"> Recurrente, en contra</w:t>
      </w:r>
      <w:r w:rsidR="0068447E" w:rsidRPr="00D4248A">
        <w:rPr>
          <w:rFonts w:eastAsia="Times New Roman" w:cs="Tahoma"/>
          <w:bCs/>
          <w:color w:val="auto"/>
          <w:lang w:eastAsia="es-ES"/>
        </w:rPr>
        <w:t xml:space="preserve"> </w:t>
      </w:r>
      <w:r w:rsidR="00EE6AAF" w:rsidRPr="00D4248A">
        <w:rPr>
          <w:rFonts w:eastAsia="Times New Roman" w:cs="Tahoma"/>
          <w:bCs/>
          <w:color w:val="auto"/>
          <w:lang w:eastAsia="es-ES"/>
        </w:rPr>
        <w:t>de</w:t>
      </w:r>
      <w:r w:rsidR="0068447E" w:rsidRPr="00D4248A">
        <w:rPr>
          <w:rFonts w:eastAsia="Times New Roman" w:cs="Tahoma"/>
          <w:bCs/>
          <w:color w:val="auto"/>
          <w:lang w:eastAsia="es-ES"/>
        </w:rPr>
        <w:t xml:space="preserve"> la</w:t>
      </w:r>
      <w:r w:rsidR="00EE6AAF" w:rsidRPr="00D4248A">
        <w:rPr>
          <w:rFonts w:eastAsia="Times New Roman" w:cs="Tahoma"/>
          <w:bCs/>
          <w:color w:val="auto"/>
          <w:lang w:eastAsia="es-ES"/>
        </w:rPr>
        <w:t xml:space="preserve"> respuesta del Sujeto Obligado</w:t>
      </w:r>
      <w:r w:rsidR="00670893" w:rsidRPr="00D4248A">
        <w:rPr>
          <w:rFonts w:eastAsia="Times New Roman" w:cs="Tahoma"/>
          <w:bCs/>
          <w:color w:val="auto"/>
          <w:lang w:eastAsia="es-ES"/>
        </w:rPr>
        <w:t>,</w:t>
      </w:r>
      <w:r w:rsidR="00EE6AAF" w:rsidRPr="00D4248A">
        <w:rPr>
          <w:rFonts w:eastAsia="Calibri" w:cs="Times New Roman"/>
          <w:b/>
          <w:bCs/>
        </w:rPr>
        <w:t xml:space="preserve"> </w:t>
      </w:r>
      <w:r w:rsidR="00EE6AAF" w:rsidRPr="00D4248A">
        <w:rPr>
          <w:rFonts w:eastAsia="Times New Roman" w:cs="Tahoma"/>
          <w:bCs/>
          <w:color w:val="auto"/>
          <w:lang w:eastAsia="es-ES"/>
        </w:rPr>
        <w:t>en los siguientes términos:</w:t>
      </w:r>
    </w:p>
    <w:p w14:paraId="6E6C98B4" w14:textId="77777777" w:rsidR="00EE6AAF" w:rsidRPr="00D4248A" w:rsidRDefault="00EE6AAF" w:rsidP="00796F84">
      <w:pPr>
        <w:spacing w:after="0" w:line="360" w:lineRule="auto"/>
        <w:rPr>
          <w:rFonts w:eastAsia="Times New Roman" w:cs="Tahoma"/>
          <w:bCs/>
          <w:color w:val="auto"/>
          <w:lang w:eastAsia="es-ES"/>
        </w:rPr>
      </w:pPr>
    </w:p>
    <w:p w14:paraId="122D4953" w14:textId="53AD726C" w:rsidR="00EC77D9" w:rsidRPr="00D4248A" w:rsidRDefault="00EC77D9" w:rsidP="00796F84">
      <w:pPr>
        <w:spacing w:after="0" w:line="360" w:lineRule="auto"/>
        <w:ind w:left="567" w:right="567"/>
        <w:rPr>
          <w:rFonts w:eastAsia="Times New Roman" w:cs="Tahoma"/>
          <w:b/>
          <w:bCs/>
          <w:i/>
          <w:color w:val="auto"/>
          <w:sz w:val="20"/>
          <w:szCs w:val="20"/>
          <w:lang w:eastAsia="es-ES"/>
        </w:rPr>
      </w:pPr>
      <w:r w:rsidRPr="00D4248A">
        <w:rPr>
          <w:rFonts w:eastAsia="Times New Roman" w:cs="Tahoma"/>
          <w:b/>
          <w:bCs/>
          <w:i/>
          <w:color w:val="auto"/>
          <w:sz w:val="20"/>
          <w:szCs w:val="20"/>
          <w:lang w:eastAsia="es-ES"/>
        </w:rPr>
        <w:t>ACTO IMPUGNADO</w:t>
      </w:r>
    </w:p>
    <w:p w14:paraId="5CCEB8EC" w14:textId="6DF4054B" w:rsidR="00EC77D9" w:rsidRPr="00D4248A" w:rsidRDefault="006738C5" w:rsidP="00796F84">
      <w:pPr>
        <w:spacing w:after="0" w:line="360" w:lineRule="auto"/>
        <w:ind w:left="567" w:right="567"/>
        <w:rPr>
          <w:i/>
          <w:iCs/>
          <w:color w:val="000000"/>
          <w:sz w:val="20"/>
          <w:szCs w:val="20"/>
        </w:rPr>
      </w:pPr>
      <w:r w:rsidRPr="00D4248A">
        <w:rPr>
          <w:i/>
          <w:iCs/>
          <w:color w:val="000000"/>
          <w:sz w:val="20"/>
          <w:szCs w:val="20"/>
        </w:rPr>
        <w:t>Falta recibos de los regidores y síndicos</w:t>
      </w:r>
      <w:r w:rsidR="0024218A" w:rsidRPr="00D4248A">
        <w:rPr>
          <w:i/>
          <w:iCs/>
          <w:color w:val="000000"/>
          <w:sz w:val="20"/>
          <w:szCs w:val="20"/>
        </w:rPr>
        <w:t xml:space="preserve">” </w:t>
      </w:r>
      <w:r w:rsidR="00236B98" w:rsidRPr="00D4248A">
        <w:rPr>
          <w:i/>
          <w:iCs/>
          <w:color w:val="000000"/>
          <w:sz w:val="20"/>
          <w:szCs w:val="20"/>
        </w:rPr>
        <w:t>(Sic.)</w:t>
      </w:r>
    </w:p>
    <w:p w14:paraId="55C87C9D" w14:textId="77777777" w:rsidR="0024218A" w:rsidRPr="00D4248A" w:rsidRDefault="0024218A" w:rsidP="00796F84">
      <w:pPr>
        <w:spacing w:after="0" w:line="360" w:lineRule="auto"/>
        <w:ind w:left="567" w:right="567"/>
        <w:rPr>
          <w:rFonts w:eastAsia="Times New Roman" w:cs="Tahoma"/>
          <w:bCs/>
          <w:i/>
          <w:color w:val="auto"/>
          <w:sz w:val="20"/>
          <w:szCs w:val="20"/>
          <w:lang w:eastAsia="es-ES"/>
        </w:rPr>
      </w:pPr>
    </w:p>
    <w:p w14:paraId="01991E43" w14:textId="083793C6" w:rsidR="00EC77D9" w:rsidRPr="00D4248A" w:rsidRDefault="00EC77D9" w:rsidP="00796F84">
      <w:pPr>
        <w:spacing w:after="0" w:line="360" w:lineRule="auto"/>
        <w:ind w:left="567" w:right="567"/>
        <w:rPr>
          <w:rFonts w:eastAsia="Times New Roman" w:cs="Tahoma"/>
          <w:b/>
          <w:bCs/>
          <w:i/>
          <w:color w:val="auto"/>
          <w:sz w:val="20"/>
          <w:szCs w:val="20"/>
          <w:lang w:eastAsia="es-ES"/>
        </w:rPr>
      </w:pPr>
      <w:r w:rsidRPr="00D4248A">
        <w:rPr>
          <w:rFonts w:eastAsia="Times New Roman" w:cs="Tahoma"/>
          <w:b/>
          <w:bCs/>
          <w:i/>
          <w:color w:val="auto"/>
          <w:sz w:val="20"/>
          <w:szCs w:val="20"/>
          <w:lang w:eastAsia="es-ES"/>
        </w:rPr>
        <w:t>RAZONES O MOTIVOS DE LA INCONFORMIDAD</w:t>
      </w:r>
    </w:p>
    <w:p w14:paraId="6A2AB2B9" w14:textId="2B385165" w:rsidR="00EC77D9" w:rsidRPr="00D4248A" w:rsidRDefault="00B44404" w:rsidP="00796F84">
      <w:pPr>
        <w:spacing w:after="0" w:line="360" w:lineRule="auto"/>
        <w:ind w:left="567" w:right="567"/>
        <w:rPr>
          <w:rFonts w:eastAsia="Times New Roman" w:cs="Tahoma"/>
          <w:bCs/>
          <w:i/>
          <w:color w:val="auto"/>
          <w:sz w:val="20"/>
          <w:szCs w:val="20"/>
          <w:lang w:eastAsia="es-ES"/>
        </w:rPr>
      </w:pPr>
      <w:r w:rsidRPr="00D4248A">
        <w:rPr>
          <w:i/>
          <w:color w:val="000000"/>
          <w:sz w:val="20"/>
          <w:szCs w:val="20"/>
        </w:rPr>
        <w:t>No entregan todo lo que se pide</w:t>
      </w:r>
      <w:r w:rsidR="00EC77D9" w:rsidRPr="00D4248A">
        <w:rPr>
          <w:i/>
          <w:color w:val="000000"/>
          <w:sz w:val="20"/>
          <w:szCs w:val="20"/>
        </w:rPr>
        <w:t>”</w:t>
      </w:r>
      <w:r w:rsidR="0024218A" w:rsidRPr="00D4248A">
        <w:rPr>
          <w:i/>
          <w:color w:val="000000"/>
          <w:sz w:val="20"/>
          <w:szCs w:val="20"/>
        </w:rPr>
        <w:t xml:space="preserve"> </w:t>
      </w:r>
    </w:p>
    <w:p w14:paraId="417EBFB0" w14:textId="77777777" w:rsidR="00943C49" w:rsidRPr="00D4248A" w:rsidRDefault="00943C49" w:rsidP="00796F84">
      <w:pPr>
        <w:spacing w:after="0" w:line="360" w:lineRule="auto"/>
        <w:rPr>
          <w:rFonts w:eastAsia="Calibri" w:cs="Tahoma"/>
          <w:b/>
          <w:color w:val="000000"/>
        </w:rPr>
      </w:pPr>
    </w:p>
    <w:p w14:paraId="32EBD4AE" w14:textId="45EC4018" w:rsidR="00EC77D9" w:rsidRPr="00D4248A" w:rsidRDefault="0031460E" w:rsidP="00796F84">
      <w:pPr>
        <w:pStyle w:val="Ttulo2"/>
        <w:spacing w:before="0" w:line="360" w:lineRule="auto"/>
        <w:rPr>
          <w:rFonts w:ascii="Palatino Linotype" w:eastAsia="Batang" w:hAnsi="Palatino Linotype"/>
          <w:b/>
          <w:bCs/>
          <w:color w:val="auto"/>
          <w:sz w:val="22"/>
          <w:szCs w:val="22"/>
        </w:rPr>
      </w:pPr>
      <w:bookmarkStart w:id="7" w:name="_Toc195190507"/>
      <w:r w:rsidRPr="00D4248A">
        <w:rPr>
          <w:rFonts w:ascii="Palatino Linotype" w:eastAsia="Calibri" w:hAnsi="Palatino Linotype"/>
          <w:b/>
          <w:bCs/>
          <w:color w:val="auto"/>
          <w:sz w:val="22"/>
          <w:szCs w:val="22"/>
        </w:rPr>
        <w:t>I</w:t>
      </w:r>
      <w:r w:rsidR="00EC77D9" w:rsidRPr="00D4248A">
        <w:rPr>
          <w:rFonts w:ascii="Palatino Linotype" w:eastAsia="Calibri" w:hAnsi="Palatino Linotype"/>
          <w:b/>
          <w:bCs/>
          <w:color w:val="auto"/>
          <w:sz w:val="22"/>
          <w:szCs w:val="22"/>
        </w:rPr>
        <w:t xml:space="preserve">V. </w:t>
      </w:r>
      <w:r w:rsidR="00EC77D9" w:rsidRPr="00D4248A">
        <w:rPr>
          <w:rFonts w:ascii="Palatino Linotype" w:eastAsia="Batang" w:hAnsi="Palatino Linotype"/>
          <w:b/>
          <w:bCs/>
          <w:color w:val="auto"/>
          <w:sz w:val="22"/>
          <w:szCs w:val="22"/>
        </w:rPr>
        <w:t>Trámite del Recurso de Revisión</w:t>
      </w:r>
      <w:r w:rsidR="00EC77D9" w:rsidRPr="00D4248A">
        <w:rPr>
          <w:rFonts w:ascii="Palatino Linotype" w:eastAsia="Calibri" w:hAnsi="Palatino Linotype"/>
          <w:b/>
          <w:bCs/>
          <w:color w:val="auto"/>
          <w:sz w:val="22"/>
          <w:szCs w:val="22"/>
        </w:rPr>
        <w:t xml:space="preserve"> </w:t>
      </w:r>
      <w:r w:rsidR="00EC77D9" w:rsidRPr="00D4248A">
        <w:rPr>
          <w:rFonts w:ascii="Palatino Linotype" w:eastAsia="Batang" w:hAnsi="Palatino Linotype"/>
          <w:b/>
          <w:bCs/>
          <w:color w:val="auto"/>
          <w:sz w:val="22"/>
          <w:szCs w:val="22"/>
        </w:rPr>
        <w:t>ante este Instituto</w:t>
      </w:r>
      <w:bookmarkEnd w:id="7"/>
    </w:p>
    <w:p w14:paraId="1C4ADB40" w14:textId="77777777" w:rsidR="00EC77D9" w:rsidRPr="00D4248A" w:rsidRDefault="00EC77D9" w:rsidP="00796F84">
      <w:pPr>
        <w:spacing w:after="0" w:line="360" w:lineRule="auto"/>
        <w:rPr>
          <w:rFonts w:eastAsia="Batang" w:cs="Tahoma"/>
          <w:bCs/>
          <w:color w:val="000000"/>
        </w:rPr>
      </w:pPr>
    </w:p>
    <w:p w14:paraId="7EC9EE07" w14:textId="0FB580AC" w:rsidR="00EC77D9" w:rsidRPr="00D4248A" w:rsidRDefault="00EC77D9" w:rsidP="00796F84">
      <w:pPr>
        <w:spacing w:after="0" w:line="360" w:lineRule="auto"/>
        <w:rPr>
          <w:rFonts w:eastAsia="Batang" w:cs="Tahoma"/>
          <w:b/>
          <w:bCs/>
          <w:color w:val="000000"/>
        </w:rPr>
      </w:pPr>
      <w:r w:rsidRPr="00D4248A">
        <w:rPr>
          <w:rFonts w:eastAsia="Batang" w:cs="Tahoma"/>
          <w:b/>
          <w:bCs/>
          <w:color w:val="000000"/>
        </w:rPr>
        <w:t xml:space="preserve">a) Turno del Medio de Impugnación. </w:t>
      </w:r>
      <w:r w:rsidR="006E0839" w:rsidRPr="00D4248A">
        <w:rPr>
          <w:rFonts w:eastAsia="Times New Roman" w:cs="Tahoma"/>
          <w:bCs/>
          <w:color w:val="auto"/>
          <w:lang w:val="es-ES" w:eastAsia="es-ES"/>
        </w:rPr>
        <w:t xml:space="preserve">El </w:t>
      </w:r>
      <w:r w:rsidR="00B44404" w:rsidRPr="00D4248A">
        <w:rPr>
          <w:rFonts w:eastAsia="Times New Roman" w:cs="Tahoma"/>
          <w:bCs/>
          <w:color w:val="auto"/>
          <w:lang w:val="es-ES" w:eastAsia="es-ES"/>
        </w:rPr>
        <w:t>veinticinco</w:t>
      </w:r>
      <w:r w:rsidR="006E0839" w:rsidRPr="00D4248A">
        <w:rPr>
          <w:rFonts w:eastAsia="Times New Roman" w:cs="Tahoma"/>
          <w:bCs/>
          <w:color w:val="auto"/>
          <w:lang w:val="es-ES" w:eastAsia="es-ES"/>
        </w:rPr>
        <w:t xml:space="preserve"> de febrero de dos mil veinticinco</w:t>
      </w:r>
      <w:r w:rsidRPr="00D4248A">
        <w:rPr>
          <w:rFonts w:eastAsia="Batang" w:cs="Tahoma"/>
          <w:bCs/>
          <w:color w:val="000000"/>
        </w:rPr>
        <w:t xml:space="preserve">, el </w:t>
      </w:r>
      <w:r w:rsidRPr="00D4248A">
        <w:rPr>
          <w:rFonts w:eastAsia="Calibri" w:cs="Tahoma"/>
          <w:color w:val="000000"/>
          <w:lang w:val="es-ES"/>
        </w:rPr>
        <w:t>Sistema de Acceso a la Información Mexiquense (SAIMEX),</w:t>
      </w:r>
      <w:r w:rsidRPr="00D4248A">
        <w:rPr>
          <w:rFonts w:eastAsia="Batang" w:cs="Tahoma"/>
          <w:bCs/>
          <w:color w:val="000000"/>
        </w:rPr>
        <w:t xml:space="preserve"> asignó el número de expediente</w:t>
      </w:r>
      <w:r w:rsidR="00394EBC" w:rsidRPr="00D4248A">
        <w:t xml:space="preserve"> </w:t>
      </w:r>
      <w:r w:rsidR="00CF350A" w:rsidRPr="00D4248A">
        <w:rPr>
          <w:rFonts w:eastAsia="Calibri" w:cs="Tahoma"/>
          <w:b/>
          <w:bCs/>
        </w:rPr>
        <w:t>02006/INFOEM/IP/RR/2025</w:t>
      </w:r>
      <w:r w:rsidRPr="00D4248A">
        <w:rPr>
          <w:rFonts w:eastAsia="Batang" w:cs="Tahoma"/>
          <w:bCs/>
          <w:color w:val="000000"/>
        </w:rPr>
        <w:t xml:space="preserve">, al Medio de Impugnación que nos ocupa, con base en el sistema aprobado por el Pleno de este </w:t>
      </w:r>
      <w:r w:rsidR="00394EBC" w:rsidRPr="00D4248A">
        <w:rPr>
          <w:rFonts w:eastAsia="Batang" w:cs="Tahoma"/>
          <w:bCs/>
          <w:color w:val="000000"/>
        </w:rPr>
        <w:t>Organismo</w:t>
      </w:r>
      <w:r w:rsidRPr="00D4248A">
        <w:rPr>
          <w:rFonts w:eastAsia="Batang" w:cs="Tahoma"/>
          <w:bCs/>
          <w:color w:val="000000"/>
        </w:rPr>
        <w:t xml:space="preserve"> Garante y lo turnó al Comisionado Ponente Luis </w:t>
      </w:r>
      <w:r w:rsidRPr="00D4248A">
        <w:rPr>
          <w:rFonts w:eastAsia="Batang" w:cs="Tahoma"/>
          <w:bCs/>
          <w:color w:val="000000"/>
        </w:rPr>
        <w:lastRenderedPageBreak/>
        <w:t>Gustavo Parra Noriega, para los efectos del artículo 185, fracción I de la Ley de Transparencia y Acceso a la Información Pública del Estado de México y Municipios.</w:t>
      </w:r>
    </w:p>
    <w:p w14:paraId="23BD8332" w14:textId="77777777" w:rsidR="00EC77D9" w:rsidRPr="00D4248A" w:rsidRDefault="00EC77D9" w:rsidP="00796F84">
      <w:pPr>
        <w:spacing w:after="0" w:line="360" w:lineRule="auto"/>
        <w:rPr>
          <w:rFonts w:eastAsia="Batang" w:cs="Tahoma"/>
          <w:bCs/>
          <w:color w:val="000000"/>
        </w:rPr>
      </w:pPr>
    </w:p>
    <w:p w14:paraId="385EEA5C" w14:textId="543BC068" w:rsidR="00EC77D9" w:rsidRPr="00D4248A" w:rsidRDefault="00EC77D9" w:rsidP="00796F84">
      <w:pPr>
        <w:spacing w:after="0" w:line="360" w:lineRule="auto"/>
        <w:rPr>
          <w:rFonts w:eastAsia="Times New Roman" w:cs="Tahoma"/>
          <w:bCs/>
          <w:color w:val="auto"/>
          <w:lang w:val="es-ES_tradnl" w:eastAsia="es-ES"/>
        </w:rPr>
      </w:pPr>
      <w:r w:rsidRPr="00D4248A">
        <w:rPr>
          <w:rFonts w:eastAsia="Times New Roman" w:cs="Tahoma"/>
          <w:b/>
          <w:bCs/>
          <w:color w:val="auto"/>
          <w:lang w:eastAsia="es-ES"/>
        </w:rPr>
        <w:t>b) Admisión del Recurso de Revisión</w:t>
      </w:r>
      <w:r w:rsidRPr="00D4248A">
        <w:rPr>
          <w:rFonts w:eastAsia="Times New Roman" w:cs="Tahoma"/>
          <w:b/>
          <w:bCs/>
          <w:color w:val="auto"/>
          <w:lang w:val="es-ES_tradnl" w:eastAsia="es-ES"/>
        </w:rPr>
        <w:t xml:space="preserve">. </w:t>
      </w:r>
      <w:r w:rsidR="006E0839" w:rsidRPr="00D4248A">
        <w:rPr>
          <w:rFonts w:eastAsia="Times New Roman" w:cs="Tahoma"/>
          <w:bCs/>
          <w:color w:val="auto"/>
          <w:lang w:val="es-ES" w:eastAsia="es-ES"/>
        </w:rPr>
        <w:t xml:space="preserve">El </w:t>
      </w:r>
      <w:r w:rsidR="00B44404" w:rsidRPr="00D4248A">
        <w:rPr>
          <w:rFonts w:eastAsia="Times New Roman" w:cs="Tahoma"/>
          <w:bCs/>
          <w:color w:val="auto"/>
          <w:lang w:val="es-ES" w:eastAsia="es-ES"/>
        </w:rPr>
        <w:t>veintiocho</w:t>
      </w:r>
      <w:r w:rsidR="006E0839" w:rsidRPr="00D4248A">
        <w:rPr>
          <w:rFonts w:eastAsia="Times New Roman" w:cs="Tahoma"/>
          <w:bCs/>
          <w:color w:val="auto"/>
          <w:lang w:val="es-ES" w:eastAsia="es-ES"/>
        </w:rPr>
        <w:t xml:space="preserve"> de febrero de dos mil veinticinco</w:t>
      </w:r>
      <w:r w:rsidRPr="00D4248A">
        <w:rPr>
          <w:rFonts w:eastAsia="Times New Roman" w:cs="Tahoma"/>
          <w:bCs/>
          <w:color w:val="auto"/>
          <w:lang w:val="es-ES_tradnl" w:eastAsia="es-ES"/>
        </w:rPr>
        <w:t xml:space="preserve">, se acordó la admisión del Recurso de Revisión interpuesto por </w:t>
      </w:r>
      <w:r w:rsidR="00B064A4" w:rsidRPr="00D4248A">
        <w:rPr>
          <w:rFonts w:eastAsia="Times New Roman" w:cs="Tahoma"/>
          <w:bCs/>
          <w:color w:val="auto"/>
          <w:lang w:val="es-ES_tradnl" w:eastAsia="es-ES"/>
        </w:rPr>
        <w:t>la persona</w:t>
      </w:r>
      <w:r w:rsidRPr="00D4248A">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D4248A">
        <w:rPr>
          <w:rFonts w:eastAsia="Times New Roman" w:cs="Tahoma"/>
          <w:bCs/>
          <w:color w:val="auto"/>
          <w:lang w:val="es-ES_tradnl" w:eastAsia="es-ES"/>
        </w:rPr>
        <w:t xml:space="preserve"> </w:t>
      </w:r>
      <w:r w:rsidR="001756F2" w:rsidRPr="00D4248A">
        <w:rPr>
          <w:rFonts w:eastAsia="Times New Roman" w:cs="Tahoma"/>
          <w:bCs/>
          <w:color w:val="auto"/>
          <w:lang w:val="es-ES_tradnl" w:eastAsia="es-ES"/>
        </w:rPr>
        <w:t>el</w:t>
      </w:r>
      <w:r w:rsidR="00AB3BAD" w:rsidRPr="00D4248A">
        <w:rPr>
          <w:rFonts w:eastAsia="Times New Roman" w:cs="Tahoma"/>
          <w:bCs/>
          <w:color w:val="auto"/>
          <w:lang w:val="es-ES_tradnl" w:eastAsia="es-ES"/>
        </w:rPr>
        <w:t xml:space="preserve"> mismo día</w:t>
      </w:r>
      <w:r w:rsidR="00CB7980" w:rsidRPr="00D4248A">
        <w:rPr>
          <w:rFonts w:eastAsia="Times New Roman" w:cs="Tahoma"/>
          <w:bCs/>
          <w:color w:val="auto"/>
          <w:lang w:val="es-ES_tradnl" w:eastAsia="es-ES"/>
        </w:rPr>
        <w:t xml:space="preserve">, </w:t>
      </w:r>
      <w:r w:rsidRPr="00D4248A">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6FBF35CB" w14:textId="77777777" w:rsidR="005859C8" w:rsidRPr="00D4248A" w:rsidRDefault="005859C8" w:rsidP="00796F84">
      <w:pPr>
        <w:spacing w:after="0" w:line="360" w:lineRule="auto"/>
        <w:rPr>
          <w:rFonts w:eastAsia="Times New Roman" w:cs="Tahoma"/>
          <w:bCs/>
          <w:color w:val="auto"/>
          <w:lang w:val="es-ES_tradnl" w:eastAsia="es-ES"/>
        </w:rPr>
      </w:pPr>
    </w:p>
    <w:p w14:paraId="671D2C61" w14:textId="3CE8BC26" w:rsidR="00B44404" w:rsidRPr="00D4248A" w:rsidRDefault="000D29CD" w:rsidP="00B44404">
      <w:pPr>
        <w:spacing w:after="0" w:line="360" w:lineRule="auto"/>
      </w:pPr>
      <w:r w:rsidRPr="00D4248A">
        <w:rPr>
          <w:rFonts w:eastAsia="Times New Roman" w:cs="Tahoma"/>
          <w:b/>
          <w:color w:val="auto"/>
          <w:lang w:eastAsia="es-ES"/>
        </w:rPr>
        <w:t>c</w:t>
      </w:r>
      <w:r w:rsidR="000F2142" w:rsidRPr="00D4248A">
        <w:rPr>
          <w:rFonts w:eastAsia="Times New Roman" w:cs="Tahoma"/>
          <w:b/>
          <w:color w:val="auto"/>
          <w:lang w:eastAsia="es-ES"/>
        </w:rPr>
        <w:t xml:space="preserve">) </w:t>
      </w:r>
      <w:r w:rsidR="00B44404" w:rsidRPr="00D4248A">
        <w:rPr>
          <w:b/>
        </w:rPr>
        <w:t xml:space="preserve">Informe Justificado. </w:t>
      </w:r>
      <w:r w:rsidR="00B44404" w:rsidRPr="00D4248A">
        <w:t>El doce de marzo de dos mil veinticinco, a través del Sistema de Acceso a la Información Mexiquense (SAIMEX), se recibió en este Instituto el informe justificado por parte del Sujeto Obligado, a través del oficio sin número, del</w:t>
      </w:r>
      <w:r w:rsidR="006514E7" w:rsidRPr="00D4248A">
        <w:t xml:space="preserve"> doce de marzo</w:t>
      </w:r>
      <w:r w:rsidR="00B44404" w:rsidRPr="00D4248A">
        <w:t xml:space="preserve"> de dos mil veinticinco, suscrito por el Titular de la Unidad de Transparencia y dirigido al </w:t>
      </w:r>
      <w:r w:rsidR="006514E7" w:rsidRPr="00D4248A">
        <w:t>Comisionado Ponente</w:t>
      </w:r>
      <w:r w:rsidR="00B44404" w:rsidRPr="00D4248A">
        <w:t>, por medio del cual ratificó su respuesta.</w:t>
      </w:r>
    </w:p>
    <w:p w14:paraId="653C619F" w14:textId="77777777" w:rsidR="00B44404" w:rsidRPr="00D4248A" w:rsidRDefault="00B44404" w:rsidP="00B44404">
      <w:pPr>
        <w:spacing w:after="0" w:line="360" w:lineRule="auto"/>
      </w:pPr>
    </w:p>
    <w:p w14:paraId="587A0F8A" w14:textId="1DCA47A7" w:rsidR="00B44404" w:rsidRPr="00D4248A" w:rsidRDefault="00B44404" w:rsidP="00B44404">
      <w:pPr>
        <w:spacing w:after="0" w:line="360" w:lineRule="auto"/>
        <w:rPr>
          <w:b/>
          <w:color w:val="000000"/>
        </w:rPr>
      </w:pPr>
      <w:bookmarkStart w:id="8" w:name="_Hlk182976945"/>
      <w:r w:rsidRPr="00D4248A">
        <w:rPr>
          <w:b/>
        </w:rPr>
        <w:t xml:space="preserve">d) Vista del Informe Justificado. </w:t>
      </w:r>
      <w:r w:rsidRPr="00D4248A">
        <w:rPr>
          <w:color w:val="000000"/>
        </w:rPr>
        <w:t xml:space="preserve">El veintiséis de marzo de dos mil veinticinco, se dictó acuerdo por medio del cual se puso a la vista de la persona Recurrente el Informe Justificado entregado por el Sujeto Obligado, el cual fue notificado a las partes, el mismo día, a través del Sistema de Acceso a la Información Mexiquense (SAIMEX). </w:t>
      </w:r>
      <w:r w:rsidRPr="00D4248A">
        <w:rPr>
          <w:b/>
          <w:color w:val="000000"/>
        </w:rPr>
        <w:t>Cabe señalar que el Particular fue omiso en realizar manifestación alguna.</w:t>
      </w:r>
    </w:p>
    <w:bookmarkEnd w:id="8"/>
    <w:p w14:paraId="2B3886C5" w14:textId="56D06798" w:rsidR="007E75EF" w:rsidRPr="00D4248A" w:rsidRDefault="007E75EF" w:rsidP="00796F84">
      <w:pPr>
        <w:spacing w:after="0" w:line="360" w:lineRule="auto"/>
        <w:rPr>
          <w:rFonts w:eastAsia="Times New Roman" w:cs="Tahoma"/>
          <w:bCs/>
          <w:lang w:val="es-ES" w:eastAsia="es-ES"/>
        </w:rPr>
      </w:pPr>
    </w:p>
    <w:p w14:paraId="35AAACA3" w14:textId="54F2C212" w:rsidR="00EC77D9" w:rsidRPr="00D4248A" w:rsidRDefault="00B44404" w:rsidP="00796F84">
      <w:pPr>
        <w:widowControl w:val="0"/>
        <w:spacing w:after="0" w:line="360" w:lineRule="auto"/>
        <w:rPr>
          <w:rFonts w:eastAsia="Times New Roman" w:cs="Tahoma"/>
          <w:color w:val="auto"/>
          <w:lang w:val="es-ES" w:eastAsia="es-ES"/>
        </w:rPr>
      </w:pPr>
      <w:r w:rsidRPr="00D4248A">
        <w:rPr>
          <w:rFonts w:eastAsia="Times New Roman" w:cs="Tahoma"/>
          <w:b/>
          <w:color w:val="auto"/>
          <w:lang w:eastAsia="es-ES"/>
        </w:rPr>
        <w:t>e</w:t>
      </w:r>
      <w:r w:rsidR="00EC77D9" w:rsidRPr="00D4248A">
        <w:rPr>
          <w:rFonts w:eastAsia="Times New Roman" w:cs="Tahoma"/>
          <w:b/>
          <w:color w:val="auto"/>
          <w:lang w:eastAsia="es-ES"/>
        </w:rPr>
        <w:t>) Cierre de instrucción.</w:t>
      </w:r>
      <w:r w:rsidR="00EC77D9" w:rsidRPr="00D4248A">
        <w:rPr>
          <w:rFonts w:eastAsia="Times New Roman" w:cs="Tahoma"/>
          <w:color w:val="auto"/>
          <w:lang w:eastAsia="es-ES"/>
        </w:rPr>
        <w:t xml:space="preserve"> El</w:t>
      </w:r>
      <w:r w:rsidR="006514E7" w:rsidRPr="00D4248A">
        <w:rPr>
          <w:rFonts w:eastAsia="Times New Roman" w:cs="Tahoma"/>
          <w:color w:val="auto"/>
          <w:lang w:eastAsia="es-ES"/>
        </w:rPr>
        <w:t xml:space="preserve"> tres</w:t>
      </w:r>
      <w:r w:rsidRPr="00D4248A">
        <w:rPr>
          <w:rFonts w:eastAsia="Times New Roman" w:cs="Tahoma"/>
          <w:color w:val="auto"/>
          <w:lang w:eastAsia="es-ES"/>
        </w:rPr>
        <w:t xml:space="preserve"> de abril </w:t>
      </w:r>
      <w:r w:rsidR="00EC77D9" w:rsidRPr="00D4248A">
        <w:rPr>
          <w:rFonts w:eastAsia="Times New Roman" w:cs="Tahoma"/>
          <w:color w:val="auto"/>
          <w:lang w:eastAsia="es-ES"/>
        </w:rPr>
        <w:t>de dos mil veinti</w:t>
      </w:r>
      <w:r w:rsidR="006514E7" w:rsidRPr="00D4248A">
        <w:rPr>
          <w:rFonts w:eastAsia="Times New Roman" w:cs="Tahoma"/>
          <w:color w:val="auto"/>
          <w:lang w:eastAsia="es-ES"/>
        </w:rPr>
        <w:t>cinco</w:t>
      </w:r>
      <w:r w:rsidR="00EC77D9" w:rsidRPr="00D4248A">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w:t>
      </w:r>
      <w:r w:rsidR="00EC77D9" w:rsidRPr="00D4248A">
        <w:rPr>
          <w:rFonts w:eastAsia="Times New Roman" w:cs="Tahoma"/>
          <w:color w:val="auto"/>
          <w:lang w:eastAsia="es-ES"/>
        </w:rPr>
        <w:lastRenderedPageBreak/>
        <w:t>en los artículos 185, fracciones VI y VIII, de la Ley de Transparencia y Acceso a la Información Pública del Estado de México y Municipios, mismo que fue notificado a las partes el</w:t>
      </w:r>
      <w:r w:rsidR="00597728" w:rsidRPr="00D4248A">
        <w:rPr>
          <w:rFonts w:eastAsia="Times New Roman" w:cs="Tahoma"/>
          <w:color w:val="auto"/>
          <w:lang w:eastAsia="es-ES"/>
        </w:rPr>
        <w:t xml:space="preserve">  diez del mismo mes y año</w:t>
      </w:r>
      <w:r w:rsidR="00EC77D9" w:rsidRPr="00D4248A">
        <w:rPr>
          <w:rFonts w:eastAsia="Times New Roman" w:cs="Tahoma"/>
          <w:color w:val="auto"/>
          <w:lang w:eastAsia="es-ES"/>
        </w:rPr>
        <w:t xml:space="preserve">, a través del </w:t>
      </w:r>
      <w:r w:rsidR="00EC77D9" w:rsidRPr="00D4248A">
        <w:rPr>
          <w:rFonts w:eastAsia="Times New Roman" w:cs="Tahoma"/>
          <w:color w:val="auto"/>
          <w:lang w:val="es-ES" w:eastAsia="es-ES"/>
        </w:rPr>
        <w:t>Sistema de Acceso a la Información Mexiquense (SAIMEX)</w:t>
      </w:r>
      <w:r w:rsidR="00EC77D9" w:rsidRPr="00D4248A">
        <w:rPr>
          <w:rFonts w:eastAsia="Times New Roman" w:cs="Tahoma"/>
          <w:color w:val="auto"/>
          <w:lang w:eastAsia="es-ES"/>
        </w:rPr>
        <w:t xml:space="preserve">. </w:t>
      </w:r>
    </w:p>
    <w:p w14:paraId="5AB5C251" w14:textId="77777777" w:rsidR="00232DCC" w:rsidRPr="00D4248A" w:rsidRDefault="00232DCC" w:rsidP="00796F84">
      <w:pPr>
        <w:spacing w:after="0" w:line="360" w:lineRule="auto"/>
        <w:rPr>
          <w:rFonts w:eastAsia="Times New Roman" w:cs="Tahoma"/>
          <w:color w:val="000000"/>
          <w:lang w:eastAsia="es-ES"/>
        </w:rPr>
      </w:pPr>
    </w:p>
    <w:p w14:paraId="77C7A5C4" w14:textId="77777777" w:rsidR="00EC77D9" w:rsidRPr="00D4248A" w:rsidRDefault="00EC77D9" w:rsidP="00796F84">
      <w:pPr>
        <w:spacing w:after="0" w:line="360" w:lineRule="auto"/>
        <w:rPr>
          <w:rFonts w:eastAsia="Times New Roman" w:cs="Tahoma"/>
          <w:color w:val="000000"/>
          <w:lang w:eastAsia="es-ES"/>
        </w:rPr>
      </w:pPr>
      <w:r w:rsidRPr="00D4248A">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D4248A" w:rsidRDefault="008E4F87" w:rsidP="00796F84">
      <w:pPr>
        <w:spacing w:after="0" w:line="360" w:lineRule="auto"/>
        <w:rPr>
          <w:rFonts w:eastAsia="Times New Roman" w:cs="Tahoma"/>
          <w:bCs/>
          <w:iCs/>
          <w:color w:val="auto"/>
          <w:lang w:val="es-ES" w:eastAsia="es-ES"/>
        </w:rPr>
      </w:pPr>
    </w:p>
    <w:p w14:paraId="4B442488" w14:textId="0C901BCB" w:rsidR="00EC77D9" w:rsidRPr="00D4248A" w:rsidRDefault="00EC77D9" w:rsidP="00796F84">
      <w:pPr>
        <w:pStyle w:val="Ttulo1"/>
        <w:spacing w:before="0" w:line="360" w:lineRule="auto"/>
        <w:jc w:val="center"/>
        <w:rPr>
          <w:rFonts w:ascii="Palatino Linotype" w:eastAsia="Times New Roman" w:hAnsi="Palatino Linotype"/>
          <w:b/>
          <w:bCs/>
          <w:color w:val="auto"/>
          <w:sz w:val="22"/>
          <w:szCs w:val="22"/>
          <w:lang w:val="es-ES" w:eastAsia="es-ES"/>
        </w:rPr>
      </w:pPr>
      <w:bookmarkStart w:id="9" w:name="_Toc195190508"/>
      <w:r w:rsidRPr="00D4248A">
        <w:rPr>
          <w:rFonts w:ascii="Palatino Linotype" w:eastAsia="Times New Roman" w:hAnsi="Palatino Linotype"/>
          <w:b/>
          <w:bCs/>
          <w:color w:val="auto"/>
          <w:sz w:val="22"/>
          <w:szCs w:val="22"/>
          <w:lang w:val="es-ES" w:eastAsia="es-ES"/>
        </w:rPr>
        <w:t>C O N S I D E R A N D O S</w:t>
      </w:r>
      <w:bookmarkEnd w:id="9"/>
    </w:p>
    <w:p w14:paraId="7A8CFE1B" w14:textId="77777777" w:rsidR="008E4F87" w:rsidRPr="00D4248A" w:rsidRDefault="008E4F87" w:rsidP="00796F84">
      <w:pPr>
        <w:spacing w:after="0" w:line="360" w:lineRule="auto"/>
        <w:jc w:val="center"/>
        <w:rPr>
          <w:rFonts w:eastAsia="Times New Roman" w:cs="Tahoma"/>
          <w:b/>
          <w:color w:val="auto"/>
          <w:lang w:val="es-ES" w:eastAsia="es-ES"/>
        </w:rPr>
      </w:pPr>
    </w:p>
    <w:p w14:paraId="2B2C70F6" w14:textId="0F870142" w:rsidR="00EC77D9" w:rsidRPr="00D4248A" w:rsidRDefault="00EC77D9" w:rsidP="00796F84">
      <w:pPr>
        <w:pStyle w:val="Ttulo2"/>
        <w:spacing w:before="0" w:line="360" w:lineRule="auto"/>
        <w:rPr>
          <w:rFonts w:ascii="Palatino Linotype" w:eastAsia="Times New Roman" w:hAnsi="Palatino Linotype"/>
          <w:b/>
          <w:bCs/>
          <w:color w:val="auto"/>
          <w:sz w:val="22"/>
          <w:szCs w:val="22"/>
          <w:lang w:val="es-ES" w:eastAsia="es-ES"/>
        </w:rPr>
      </w:pPr>
      <w:bookmarkStart w:id="10" w:name="_Toc195190509"/>
      <w:r w:rsidRPr="00D4248A">
        <w:rPr>
          <w:rFonts w:ascii="Palatino Linotype" w:eastAsia="Calibri" w:hAnsi="Palatino Linotype"/>
          <w:b/>
          <w:bCs/>
          <w:color w:val="auto"/>
          <w:sz w:val="22"/>
          <w:szCs w:val="22"/>
          <w:lang w:val="es-ES" w:eastAsia="es-MX"/>
        </w:rPr>
        <w:t xml:space="preserve">PRIMERO. </w:t>
      </w:r>
      <w:r w:rsidRPr="00D4248A">
        <w:rPr>
          <w:rFonts w:ascii="Palatino Linotype" w:eastAsia="Times New Roman" w:hAnsi="Palatino Linotype"/>
          <w:b/>
          <w:bCs/>
          <w:color w:val="auto"/>
          <w:sz w:val="22"/>
          <w:szCs w:val="22"/>
          <w:lang w:val="es-ES" w:eastAsia="es-ES"/>
        </w:rPr>
        <w:t>Competencia</w:t>
      </w:r>
      <w:bookmarkEnd w:id="10"/>
    </w:p>
    <w:p w14:paraId="62F65765" w14:textId="77777777" w:rsidR="00EC77D9" w:rsidRPr="00D4248A" w:rsidRDefault="00EC77D9" w:rsidP="00796F84">
      <w:pPr>
        <w:autoSpaceDE w:val="0"/>
        <w:autoSpaceDN w:val="0"/>
        <w:adjustRightInd w:val="0"/>
        <w:spacing w:after="0" w:line="360" w:lineRule="auto"/>
        <w:rPr>
          <w:rFonts w:eastAsia="Times New Roman" w:cs="Tahoma"/>
          <w:b/>
          <w:color w:val="auto"/>
          <w:lang w:val="es-ES" w:eastAsia="es-ES"/>
        </w:rPr>
      </w:pPr>
    </w:p>
    <w:p w14:paraId="6BB452E0" w14:textId="13B5588E" w:rsidR="006514E7" w:rsidRPr="00D4248A" w:rsidRDefault="006514E7" w:rsidP="006514E7">
      <w:pPr>
        <w:spacing w:after="0" w:line="360" w:lineRule="auto"/>
        <w:rPr>
          <w:rFonts w:eastAsia="Times New Roman" w:cs="Tahoma"/>
          <w:bCs/>
          <w:color w:val="auto"/>
          <w:lang w:eastAsia="es-ES"/>
        </w:rPr>
      </w:pPr>
      <w:bookmarkStart w:id="11" w:name="_Hlk63334754"/>
      <w:r w:rsidRPr="00D4248A">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043C0416" w14:textId="7FDC43D2" w:rsidR="006514E7" w:rsidRPr="00D4248A" w:rsidRDefault="006514E7" w:rsidP="006514E7">
      <w:pPr>
        <w:spacing w:after="0" w:line="360" w:lineRule="auto"/>
        <w:rPr>
          <w:rFonts w:eastAsia="Times New Roman" w:cs="Tahoma"/>
          <w:bCs/>
          <w:color w:val="auto"/>
          <w:lang w:eastAsia="es-ES"/>
        </w:rPr>
      </w:pPr>
      <w:r w:rsidRPr="00D4248A">
        <w:rPr>
          <w:rFonts w:eastAsia="Times New Roman" w:cs="Tahoma"/>
          <w:bCs/>
          <w:color w:val="auto"/>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bookmarkEnd w:id="11"/>
    <w:p w14:paraId="0C427DA9" w14:textId="77777777" w:rsidR="003111A9" w:rsidRPr="00D4248A" w:rsidRDefault="003111A9" w:rsidP="00796F84">
      <w:pPr>
        <w:spacing w:after="0" w:line="360" w:lineRule="auto"/>
        <w:rPr>
          <w:rFonts w:eastAsia="Times New Roman" w:cs="Tahoma"/>
          <w:bCs/>
          <w:color w:val="auto"/>
          <w:lang w:eastAsia="es-ES"/>
        </w:rPr>
      </w:pPr>
    </w:p>
    <w:p w14:paraId="186067FF" w14:textId="5518908B" w:rsidR="003111A9" w:rsidRPr="00D4248A" w:rsidRDefault="003111A9" w:rsidP="00796F84">
      <w:pPr>
        <w:pStyle w:val="Ttulo2"/>
        <w:spacing w:before="0" w:line="360" w:lineRule="auto"/>
        <w:rPr>
          <w:rFonts w:ascii="Palatino Linotype" w:hAnsi="Palatino Linotype"/>
          <w:b/>
          <w:bCs/>
          <w:color w:val="auto"/>
          <w:sz w:val="22"/>
          <w:szCs w:val="22"/>
        </w:rPr>
      </w:pPr>
      <w:bookmarkStart w:id="12" w:name="_Toc195190510"/>
      <w:r w:rsidRPr="00D4248A">
        <w:rPr>
          <w:rFonts w:ascii="Palatino Linotype" w:hAnsi="Palatino Linotype"/>
          <w:b/>
          <w:bCs/>
          <w:color w:val="auto"/>
          <w:sz w:val="22"/>
          <w:szCs w:val="22"/>
        </w:rPr>
        <w:t>SEGUNDO. Causales de improcedencia</w:t>
      </w:r>
      <w:bookmarkEnd w:id="12"/>
      <w:r w:rsidRPr="00D4248A">
        <w:rPr>
          <w:rFonts w:ascii="Palatino Linotype" w:hAnsi="Palatino Linotype"/>
          <w:b/>
          <w:bCs/>
          <w:color w:val="auto"/>
          <w:sz w:val="22"/>
          <w:szCs w:val="22"/>
        </w:rPr>
        <w:t xml:space="preserve"> </w:t>
      </w:r>
    </w:p>
    <w:p w14:paraId="45826466" w14:textId="77777777" w:rsidR="003111A9" w:rsidRPr="00D4248A" w:rsidRDefault="003111A9" w:rsidP="00796F84">
      <w:pPr>
        <w:spacing w:after="0" w:line="360" w:lineRule="auto"/>
        <w:rPr>
          <w:color w:val="000000"/>
        </w:rPr>
      </w:pPr>
    </w:p>
    <w:p w14:paraId="365270D3" w14:textId="77777777" w:rsidR="003111A9" w:rsidRPr="00D4248A" w:rsidRDefault="003111A9" w:rsidP="00796F84">
      <w:pPr>
        <w:spacing w:after="0" w:line="360" w:lineRule="auto"/>
        <w:rPr>
          <w:color w:val="000000"/>
        </w:rPr>
      </w:pPr>
      <w:r w:rsidRPr="00D4248A">
        <w:rPr>
          <w:color w:val="000000"/>
        </w:rPr>
        <w:lastRenderedPageBreak/>
        <w:t xml:space="preserve">De las constancias que forma parte del Recurso de Revisión que se analiza, se advierte que previo al estudio del fondo de la </w:t>
      </w:r>
      <w:r w:rsidRPr="00D4248A">
        <w:rPr>
          <w:i/>
          <w:color w:val="000000"/>
        </w:rPr>
        <w:t>litis</w:t>
      </w:r>
      <w:r w:rsidRPr="00D4248A">
        <w:rPr>
          <w:color w:val="000000"/>
        </w:rPr>
        <w:t>, es necesario estudiar las causales de improcedencia y sobreseimiento que se adviertan, para determinar lo que en Derecho proceda.</w:t>
      </w:r>
    </w:p>
    <w:p w14:paraId="13BF2B57" w14:textId="77777777" w:rsidR="003111A9" w:rsidRPr="00D4248A" w:rsidRDefault="003111A9" w:rsidP="00796F84">
      <w:pPr>
        <w:spacing w:after="0" w:line="360" w:lineRule="auto"/>
        <w:rPr>
          <w:color w:val="000000"/>
        </w:rPr>
      </w:pPr>
    </w:p>
    <w:p w14:paraId="27EE7688" w14:textId="77777777" w:rsidR="003111A9" w:rsidRPr="00D4248A" w:rsidRDefault="003111A9" w:rsidP="00796F84">
      <w:pPr>
        <w:spacing w:after="0" w:line="360" w:lineRule="auto"/>
        <w:rPr>
          <w:b/>
          <w:color w:val="auto"/>
        </w:rPr>
      </w:pPr>
      <w:r w:rsidRPr="00D4248A">
        <w:rPr>
          <w:b/>
        </w:rPr>
        <w:t>Causales de improcedencia</w:t>
      </w:r>
    </w:p>
    <w:p w14:paraId="024615A7" w14:textId="77777777" w:rsidR="003111A9" w:rsidRPr="00D4248A" w:rsidRDefault="003111A9" w:rsidP="00796F84">
      <w:pPr>
        <w:spacing w:after="0" w:line="360" w:lineRule="auto"/>
      </w:pPr>
    </w:p>
    <w:p w14:paraId="55B95DC4" w14:textId="77777777" w:rsidR="003111A9" w:rsidRPr="00D4248A" w:rsidRDefault="003111A9" w:rsidP="00796F84">
      <w:pPr>
        <w:spacing w:after="0" w:line="360" w:lineRule="auto"/>
        <w:rPr>
          <w:color w:val="000000"/>
        </w:rPr>
      </w:pPr>
      <w:r w:rsidRPr="00D4248A">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D4248A" w:rsidRDefault="003111A9" w:rsidP="00796F84">
      <w:pPr>
        <w:spacing w:after="0" w:line="360" w:lineRule="auto"/>
        <w:rPr>
          <w:color w:val="000000"/>
        </w:rPr>
      </w:pPr>
    </w:p>
    <w:p w14:paraId="628B3915" w14:textId="77497199" w:rsidR="00BC5638" w:rsidRPr="00D4248A" w:rsidRDefault="00BC5638" w:rsidP="00BC5638">
      <w:pPr>
        <w:spacing w:line="360" w:lineRule="auto"/>
        <w:rPr>
          <w:rFonts w:cs="Tahoma"/>
          <w:color w:val="auto"/>
          <w:szCs w:val="24"/>
        </w:rPr>
      </w:pPr>
      <w:r w:rsidRPr="00D4248A">
        <w:rPr>
          <w:rFonts w:cs="Tahoma"/>
          <w:szCs w:val="24"/>
        </w:rPr>
        <w:t>En el presente caso, no se actualizan las causales de improcedencia establecidas en el artículo 191, fracciones I a la VI,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w:t>
      </w:r>
    </w:p>
    <w:p w14:paraId="5538D476" w14:textId="77777777" w:rsidR="00BC5638" w:rsidRPr="00D4248A" w:rsidRDefault="00BC5638" w:rsidP="00796F84">
      <w:pPr>
        <w:spacing w:after="0" w:line="360" w:lineRule="auto"/>
        <w:rPr>
          <w:color w:val="000000"/>
        </w:rPr>
      </w:pPr>
    </w:p>
    <w:p w14:paraId="45E20941" w14:textId="5BFA4AE5" w:rsidR="003111A9" w:rsidRPr="00D4248A" w:rsidRDefault="003111A9" w:rsidP="00796F84">
      <w:pPr>
        <w:spacing w:after="0" w:line="360" w:lineRule="auto"/>
      </w:pPr>
      <w:r w:rsidRPr="00D4248A">
        <w:t>Por lo cual, se actualiza la causal de procedencia del Recurso de Revisión señalada en el artículo 179, fracción V, de la Ley en cita, pues la persona Recurrente se inconf</w:t>
      </w:r>
      <w:r w:rsidR="006514E7" w:rsidRPr="00D4248A">
        <w:t xml:space="preserve">ormó de la </w:t>
      </w:r>
      <w:r w:rsidRPr="00D4248A">
        <w:t>entrega de información incompleta.</w:t>
      </w:r>
    </w:p>
    <w:p w14:paraId="0B89D63D" w14:textId="77777777" w:rsidR="003111A9" w:rsidRPr="00D4248A" w:rsidRDefault="003111A9" w:rsidP="00796F84">
      <w:pPr>
        <w:spacing w:after="0" w:line="360" w:lineRule="auto"/>
      </w:pPr>
    </w:p>
    <w:p w14:paraId="41EC8A8C" w14:textId="5A235C6B" w:rsidR="003111A9" w:rsidRPr="00D4248A" w:rsidRDefault="001D1CD1" w:rsidP="001D1CD1">
      <w:pPr>
        <w:pStyle w:val="Ttulo2"/>
        <w:spacing w:line="360" w:lineRule="auto"/>
        <w:rPr>
          <w:rFonts w:ascii="Palatino Linotype" w:hAnsi="Palatino Linotype"/>
          <w:b/>
          <w:color w:val="auto"/>
          <w:sz w:val="22"/>
          <w:szCs w:val="22"/>
        </w:rPr>
      </w:pPr>
      <w:bookmarkStart w:id="13" w:name="_Toc195190511"/>
      <w:r w:rsidRPr="00D4248A">
        <w:rPr>
          <w:rFonts w:ascii="Palatino Linotype" w:hAnsi="Palatino Linotype"/>
          <w:b/>
          <w:color w:val="auto"/>
          <w:sz w:val="22"/>
          <w:szCs w:val="22"/>
        </w:rPr>
        <w:lastRenderedPageBreak/>
        <w:t xml:space="preserve">TERCERO. </w:t>
      </w:r>
      <w:r w:rsidR="003111A9" w:rsidRPr="00D4248A">
        <w:rPr>
          <w:rFonts w:ascii="Palatino Linotype" w:hAnsi="Palatino Linotype"/>
          <w:b/>
          <w:color w:val="auto"/>
          <w:sz w:val="22"/>
          <w:szCs w:val="22"/>
        </w:rPr>
        <w:t>Causales de sobreseimiento</w:t>
      </w:r>
      <w:bookmarkEnd w:id="13"/>
    </w:p>
    <w:p w14:paraId="2A8BF307" w14:textId="77777777" w:rsidR="003111A9" w:rsidRPr="00D4248A" w:rsidRDefault="003111A9" w:rsidP="00796F84">
      <w:pPr>
        <w:spacing w:after="0" w:line="360" w:lineRule="auto"/>
        <w:rPr>
          <w:color w:val="0D0D0D"/>
        </w:rPr>
      </w:pPr>
    </w:p>
    <w:p w14:paraId="55F72909" w14:textId="77777777" w:rsidR="003111A9" w:rsidRPr="00D4248A" w:rsidRDefault="003111A9" w:rsidP="00796F84">
      <w:pPr>
        <w:spacing w:after="0" w:line="360" w:lineRule="auto"/>
        <w:rPr>
          <w:color w:val="0D0D0D"/>
        </w:rPr>
      </w:pPr>
      <w:r w:rsidRPr="00D4248A">
        <w:rPr>
          <w:color w:val="0D0D0D"/>
        </w:rPr>
        <w:t>Por ser de previo y especial pronunciamiento, este Instituto analiza si se actualiza alguna causal de sobreseimiento.</w:t>
      </w:r>
    </w:p>
    <w:p w14:paraId="7E6D4851" w14:textId="77777777" w:rsidR="00557A00" w:rsidRPr="00D4248A" w:rsidRDefault="00557A00" w:rsidP="00557A00">
      <w:pPr>
        <w:spacing w:after="0"/>
        <w:rPr>
          <w:rFonts w:eastAsia="Times New Roman" w:cs="Tahoma"/>
          <w:color w:val="auto"/>
          <w:lang w:eastAsia="es-ES"/>
        </w:rPr>
      </w:pPr>
    </w:p>
    <w:p w14:paraId="417C426A" w14:textId="77777777" w:rsidR="00557A00" w:rsidRPr="00D4248A" w:rsidRDefault="00557A00" w:rsidP="00557A00">
      <w:pPr>
        <w:spacing w:after="0" w:line="360" w:lineRule="auto"/>
        <w:rPr>
          <w:rFonts w:eastAsia="Calibri" w:cs="Tahoma"/>
          <w:color w:val="auto"/>
          <w:lang w:eastAsia="es-ES_tradnl"/>
        </w:rPr>
      </w:pPr>
      <w:r w:rsidRPr="00D4248A">
        <w:rPr>
          <w:rFonts w:eastAsia="Times New Roman" w:cs="Tahoma"/>
          <w:color w:val="auto"/>
          <w:lang w:eastAsia="es-ES"/>
        </w:rPr>
        <w:t xml:space="preserve"> El artículo 192 de la </w:t>
      </w:r>
      <w:r w:rsidRPr="00D4248A">
        <w:rPr>
          <w:rFonts w:eastAsia="Calibri" w:cs="Tahoma"/>
          <w:bCs/>
          <w:color w:val="000000"/>
          <w:lang w:eastAsia="es-ES_tradnl"/>
        </w:rPr>
        <w:t xml:space="preserve">Ley Transparencia y Acceso a la Información Pública del Estado de México y Municipios, señala las causales por las cuales se puede sobreseer en todo o en parte el Recurso de Revisión; así, </w:t>
      </w:r>
      <w:r w:rsidRPr="00D4248A">
        <w:rPr>
          <w:rFonts w:eastAsia="Calibri" w:cs="Tahoma"/>
          <w:color w:val="auto"/>
          <w:lang w:eastAsia="es-ES_tradnl"/>
        </w:rPr>
        <w:t>del análisis realizado por este Instituto, se advierte que</w:t>
      </w:r>
      <w:r w:rsidRPr="00D4248A">
        <w:rPr>
          <w:rFonts w:eastAsia="Calibri" w:cs="Tahoma"/>
          <w:b/>
          <w:color w:val="auto"/>
          <w:lang w:eastAsia="es-ES_tradnl"/>
        </w:rPr>
        <w:t xml:space="preserve"> no se configuran las causales establecidas en las fracciones I, II, III, y V, </w:t>
      </w:r>
      <w:r w:rsidRPr="00D4248A">
        <w:rPr>
          <w:rFonts w:eastAsia="Calibri" w:cs="Tahoma"/>
          <w:color w:val="auto"/>
          <w:lang w:eastAsia="es-ES_tradnl"/>
        </w:rPr>
        <w:t>toda vez que no hay constancias en el expediente en que se actúa, de que el Recurrente se haya desistido, fallecido, que el Sujeto Obligado hubiese modificado o revocado el acto impugnado o bien, haya quedado sin materia.</w:t>
      </w:r>
    </w:p>
    <w:p w14:paraId="570CA111" w14:textId="77777777" w:rsidR="00557A00" w:rsidRPr="00D4248A" w:rsidRDefault="00557A00" w:rsidP="00557A00">
      <w:pPr>
        <w:spacing w:after="0" w:line="360" w:lineRule="auto"/>
        <w:rPr>
          <w:rFonts w:eastAsia="Calibri" w:cs="Tahoma"/>
          <w:b/>
          <w:color w:val="auto"/>
          <w:lang w:eastAsia="es-ES_tradnl"/>
        </w:rPr>
      </w:pPr>
    </w:p>
    <w:p w14:paraId="1A8BEABC" w14:textId="77777777" w:rsidR="00557A00" w:rsidRPr="00D4248A" w:rsidRDefault="00557A00" w:rsidP="00557A00">
      <w:pPr>
        <w:spacing w:after="0" w:line="360" w:lineRule="auto"/>
        <w:rPr>
          <w:rFonts w:eastAsia="Calibri" w:cs="Tahoma"/>
          <w:bCs/>
          <w:color w:val="auto"/>
          <w:lang w:val="es-ES" w:eastAsia="es-ES_tradnl"/>
        </w:rPr>
      </w:pPr>
      <w:r w:rsidRPr="00D4248A">
        <w:rPr>
          <w:rFonts w:eastAsia="Calibri" w:cs="Tahoma"/>
          <w:color w:val="auto"/>
          <w:lang w:eastAsia="es-ES_tradnl"/>
        </w:rPr>
        <w:t>No obstante, por lo que hace a la hipótesis prevista en la fracción IV</w:t>
      </w:r>
      <w:r w:rsidRPr="00D4248A">
        <w:rPr>
          <w:rFonts w:eastAsia="Calibri" w:cs="Tahoma"/>
          <w:b/>
          <w:bCs/>
          <w:color w:val="auto"/>
          <w:lang w:eastAsia="es-ES_tradnl"/>
        </w:rPr>
        <w:t>,</w:t>
      </w:r>
      <w:r w:rsidRPr="00D4248A">
        <w:rPr>
          <w:rFonts w:eastAsia="Calibri" w:cs="Tahoma"/>
          <w:color w:val="auto"/>
          <w:lang w:eastAsia="es-ES_tradnl"/>
        </w:rPr>
        <w:t xml:space="preserve"> a saber, que, una vez admitido el Recurso de Revisión, aparezca alguna causal de improcedencia en términos de la presente Ley, </w:t>
      </w:r>
      <w:r w:rsidRPr="00D4248A">
        <w:rPr>
          <w:rFonts w:eastAsia="Calibri" w:cs="Tahoma"/>
          <w:bCs/>
          <w:color w:val="auto"/>
          <w:lang w:eastAsia="es-ES_tradnl"/>
        </w:rPr>
        <w:t>resulta necesario traer a colación</w:t>
      </w:r>
      <w:r w:rsidRPr="00D4248A">
        <w:rPr>
          <w:rFonts w:eastAsia="Calibri" w:cs="Tahoma"/>
          <w:bCs/>
          <w:color w:val="auto"/>
          <w:lang w:val="es-ES" w:eastAsia="es-ES_tradnl"/>
        </w:rPr>
        <w:t xml:space="preserve"> el artículo 191, fracción VII, del ordenamiento jurídico referido, que establecen lo siguiente:</w:t>
      </w:r>
    </w:p>
    <w:p w14:paraId="04B8F4CF" w14:textId="77777777" w:rsidR="00557A00" w:rsidRPr="00D4248A" w:rsidRDefault="00557A00" w:rsidP="00557A00">
      <w:pPr>
        <w:spacing w:after="0" w:line="360" w:lineRule="auto"/>
        <w:rPr>
          <w:rFonts w:eastAsia="Calibri" w:cs="Tahoma"/>
          <w:bCs/>
          <w:color w:val="auto"/>
          <w:lang w:val="es-ES" w:eastAsia="es-ES_tradnl"/>
        </w:rPr>
      </w:pPr>
    </w:p>
    <w:p w14:paraId="469459C1" w14:textId="77777777" w:rsidR="00557A00" w:rsidRPr="00D4248A" w:rsidRDefault="00557A00" w:rsidP="00BC5638">
      <w:pPr>
        <w:spacing w:after="0" w:line="360" w:lineRule="auto"/>
        <w:ind w:left="567" w:right="567"/>
        <w:rPr>
          <w:rFonts w:eastAsia="Calibri" w:cs="Tahoma"/>
          <w:bCs/>
          <w:i/>
          <w:iCs/>
          <w:color w:val="auto"/>
          <w:sz w:val="20"/>
          <w:szCs w:val="20"/>
          <w:lang w:eastAsia="es-ES_tradnl"/>
        </w:rPr>
      </w:pPr>
      <w:r w:rsidRPr="00D4248A">
        <w:rPr>
          <w:rFonts w:eastAsia="Calibri" w:cs="Tahoma"/>
          <w:b/>
          <w:i/>
          <w:iCs/>
          <w:color w:val="auto"/>
          <w:sz w:val="20"/>
          <w:szCs w:val="20"/>
          <w:lang w:val="es-ES" w:eastAsia="es-ES_tradnl"/>
        </w:rPr>
        <w:t>“</w:t>
      </w:r>
      <w:r w:rsidRPr="00D4248A">
        <w:rPr>
          <w:rFonts w:eastAsia="Calibri" w:cs="Tahoma"/>
          <w:b/>
          <w:i/>
          <w:iCs/>
          <w:color w:val="auto"/>
          <w:sz w:val="20"/>
          <w:szCs w:val="20"/>
          <w:lang w:eastAsia="es-ES_tradnl"/>
        </w:rPr>
        <w:t>Artículo 191.</w:t>
      </w:r>
      <w:r w:rsidRPr="00D4248A">
        <w:rPr>
          <w:rFonts w:eastAsia="Calibri" w:cs="Tahoma"/>
          <w:bCs/>
          <w:i/>
          <w:iCs/>
          <w:color w:val="auto"/>
          <w:sz w:val="20"/>
          <w:szCs w:val="20"/>
          <w:lang w:eastAsia="es-ES_tradnl"/>
        </w:rPr>
        <w:t xml:space="preserve"> El recurso será desechado por improcedente cuando:</w:t>
      </w:r>
    </w:p>
    <w:p w14:paraId="44440F90" w14:textId="77777777" w:rsidR="00557A00" w:rsidRPr="00D4248A" w:rsidRDefault="00557A00" w:rsidP="00BC5638">
      <w:pPr>
        <w:spacing w:after="0" w:line="360" w:lineRule="auto"/>
        <w:ind w:left="567" w:right="567"/>
        <w:rPr>
          <w:rFonts w:eastAsia="Calibri" w:cs="Tahoma"/>
          <w:bCs/>
          <w:i/>
          <w:iCs/>
          <w:color w:val="auto"/>
          <w:sz w:val="20"/>
          <w:szCs w:val="20"/>
          <w:lang w:eastAsia="es-ES_tradnl"/>
        </w:rPr>
      </w:pPr>
      <w:r w:rsidRPr="00D4248A">
        <w:rPr>
          <w:rFonts w:eastAsia="Calibri" w:cs="Tahoma"/>
          <w:bCs/>
          <w:i/>
          <w:iCs/>
          <w:color w:val="auto"/>
          <w:sz w:val="20"/>
          <w:szCs w:val="20"/>
          <w:lang w:val="es-ES" w:eastAsia="es-ES_tradnl"/>
        </w:rPr>
        <w:t>…</w:t>
      </w:r>
    </w:p>
    <w:p w14:paraId="0215E7F9" w14:textId="77777777" w:rsidR="00557A00" w:rsidRPr="00D4248A" w:rsidRDefault="00557A00" w:rsidP="00BC5638">
      <w:pPr>
        <w:spacing w:after="0" w:line="360" w:lineRule="auto"/>
        <w:ind w:left="567" w:right="567"/>
        <w:rPr>
          <w:rFonts w:eastAsia="Calibri" w:cs="Tahoma"/>
          <w:bCs/>
          <w:i/>
          <w:iCs/>
          <w:color w:val="auto"/>
          <w:sz w:val="20"/>
          <w:szCs w:val="20"/>
          <w:lang w:val="es-ES" w:eastAsia="es-ES_tradnl"/>
        </w:rPr>
      </w:pPr>
      <w:r w:rsidRPr="00D4248A">
        <w:rPr>
          <w:rFonts w:eastAsia="Calibri" w:cs="Tahoma"/>
          <w:bCs/>
          <w:i/>
          <w:iCs/>
          <w:color w:val="auto"/>
          <w:sz w:val="20"/>
          <w:szCs w:val="20"/>
          <w:lang w:eastAsia="es-ES_tradnl"/>
        </w:rPr>
        <w:t>VII. El recurrente amplíe su solicitud en el recurso de revisión, únicamente respecto de los nuevos contenidos.”</w:t>
      </w:r>
    </w:p>
    <w:p w14:paraId="1D70FB13" w14:textId="77777777" w:rsidR="00557A00" w:rsidRPr="00D4248A" w:rsidRDefault="00557A00" w:rsidP="00557A00">
      <w:pPr>
        <w:spacing w:after="0" w:line="360" w:lineRule="auto"/>
        <w:rPr>
          <w:rFonts w:eastAsia="Calibri" w:cs="Tahoma"/>
          <w:bCs/>
          <w:color w:val="auto"/>
          <w:lang w:val="es-ES" w:eastAsia="es-ES_tradnl"/>
        </w:rPr>
      </w:pPr>
    </w:p>
    <w:p w14:paraId="125CC38D" w14:textId="77777777" w:rsidR="00557A00" w:rsidRPr="00D4248A" w:rsidRDefault="00557A00" w:rsidP="00557A00">
      <w:pPr>
        <w:spacing w:after="0" w:line="360" w:lineRule="auto"/>
        <w:rPr>
          <w:rFonts w:eastAsia="Calibri" w:cs="Tahoma"/>
          <w:bCs/>
          <w:color w:val="auto"/>
          <w:lang w:val="es-ES" w:eastAsia="es-ES_tradnl"/>
        </w:rPr>
      </w:pPr>
      <w:r w:rsidRPr="00D4248A">
        <w:rPr>
          <w:rFonts w:eastAsia="Calibri" w:cs="Tahoma"/>
          <w:bCs/>
          <w:color w:val="auto"/>
          <w:lang w:val="es-ES" w:eastAsia="es-ES_tradnl"/>
        </w:rPr>
        <w:t>Conforme a lo anterior, se logra vislumbrar que la fracción VII, del artículo 191, de la Ley de Transparencia y Acceso a la Información Pública del Estado de México y Municipios, precisa que el Recurso de Revisión será desechado por improcedente, cuando la parte Recurrente amplíe su solicitud en el Medio de Impugnación.</w:t>
      </w:r>
    </w:p>
    <w:p w14:paraId="0BC6B2D2" w14:textId="77777777" w:rsidR="00557A00" w:rsidRPr="00D4248A" w:rsidRDefault="00557A00" w:rsidP="00557A00">
      <w:pPr>
        <w:spacing w:after="0" w:line="360" w:lineRule="auto"/>
        <w:rPr>
          <w:rFonts w:eastAsia="Calibri" w:cs="Tahoma"/>
          <w:bCs/>
          <w:color w:val="auto"/>
          <w:lang w:val="es-ES" w:eastAsia="es-ES_tradnl"/>
        </w:rPr>
      </w:pPr>
    </w:p>
    <w:p w14:paraId="40267EF0" w14:textId="77777777" w:rsidR="00557A00" w:rsidRPr="00D4248A" w:rsidRDefault="00557A00" w:rsidP="00557A00">
      <w:pPr>
        <w:spacing w:after="0" w:line="360" w:lineRule="auto"/>
        <w:rPr>
          <w:color w:val="000000"/>
        </w:rPr>
      </w:pPr>
      <w:r w:rsidRPr="00D4248A">
        <w:rPr>
          <w:rFonts w:eastAsia="Calibri" w:cs="Tahoma"/>
          <w:bCs/>
          <w:color w:val="auto"/>
          <w:lang w:val="es-ES" w:eastAsia="es-ES_tradnl"/>
        </w:rPr>
        <w:t xml:space="preserve">En ese orden de ideas, de las constancias que obran en el expediente respectivo, se colige que el Particular requirió </w:t>
      </w:r>
      <w:r w:rsidRPr="00D4248A">
        <w:rPr>
          <w:color w:val="000000"/>
        </w:rPr>
        <w:t>lo siguiente:</w:t>
      </w:r>
    </w:p>
    <w:p w14:paraId="1FE08472" w14:textId="77777777" w:rsidR="00557A00" w:rsidRPr="00D4248A" w:rsidRDefault="00557A00" w:rsidP="00557A00">
      <w:pPr>
        <w:spacing w:after="0" w:line="360" w:lineRule="auto"/>
        <w:rPr>
          <w:color w:val="000000"/>
        </w:rPr>
      </w:pPr>
    </w:p>
    <w:p w14:paraId="0345D94B" w14:textId="77777777" w:rsidR="00557A00" w:rsidRPr="00D4248A" w:rsidRDefault="00557A00" w:rsidP="00557A00">
      <w:pPr>
        <w:pStyle w:val="Prrafodelista"/>
        <w:numPr>
          <w:ilvl w:val="0"/>
          <w:numId w:val="24"/>
        </w:numPr>
        <w:spacing w:after="0" w:line="360" w:lineRule="auto"/>
        <w:rPr>
          <w:color w:val="000000"/>
        </w:rPr>
      </w:pPr>
      <w:r w:rsidRPr="00D4248A">
        <w:rPr>
          <w:color w:val="000000"/>
        </w:rPr>
        <w:t>El monto de las percepciones mensuales, desglosado por sueldo bruto, gratificaciones, bonos, primas, deducciones y sueldo neto, del Presidente Municipal, Síndicos, Regidores y Tesorero Municipal, y</w:t>
      </w:r>
    </w:p>
    <w:p w14:paraId="29ADB77D" w14:textId="77777777" w:rsidR="00557A00" w:rsidRPr="00D4248A" w:rsidRDefault="00557A00" w:rsidP="00557A00">
      <w:pPr>
        <w:pStyle w:val="Prrafodelista"/>
        <w:spacing w:after="0" w:line="360" w:lineRule="auto"/>
        <w:rPr>
          <w:color w:val="000000"/>
        </w:rPr>
      </w:pPr>
    </w:p>
    <w:p w14:paraId="2EFD31D5" w14:textId="4A864452" w:rsidR="00557A00" w:rsidRPr="00D4248A" w:rsidRDefault="00557A00" w:rsidP="00557A00">
      <w:pPr>
        <w:pStyle w:val="Prrafodelista"/>
        <w:numPr>
          <w:ilvl w:val="0"/>
          <w:numId w:val="24"/>
        </w:numPr>
        <w:spacing w:after="0" w:line="360" w:lineRule="auto"/>
        <w:rPr>
          <w:color w:val="000000"/>
        </w:rPr>
      </w:pPr>
      <w:r w:rsidRPr="00D4248A">
        <w:rPr>
          <w:color w:val="000000"/>
        </w:rPr>
        <w:t xml:space="preserve">El recibo de pago </w:t>
      </w:r>
      <w:r w:rsidR="00BC5638" w:rsidRPr="00D4248A">
        <w:rPr>
          <w:color w:val="000000"/>
        </w:rPr>
        <w:t xml:space="preserve">de nómina </w:t>
      </w:r>
      <w:r w:rsidRPr="00D4248A">
        <w:rPr>
          <w:color w:val="000000"/>
        </w:rPr>
        <w:t>del Presidente Municipal.</w:t>
      </w:r>
    </w:p>
    <w:p w14:paraId="426D8B66" w14:textId="77777777" w:rsidR="00557A00" w:rsidRPr="00D4248A" w:rsidRDefault="00557A00" w:rsidP="00557A00">
      <w:pPr>
        <w:spacing w:after="0" w:line="360" w:lineRule="auto"/>
        <w:rPr>
          <w:rFonts w:eastAsia="Calibri" w:cs="Tahoma"/>
          <w:bCs/>
          <w:color w:val="auto"/>
          <w:lang w:val="es-ES" w:eastAsia="es-ES_tradnl"/>
        </w:rPr>
      </w:pPr>
    </w:p>
    <w:p w14:paraId="04571A97" w14:textId="676CBBE7" w:rsidR="00557A00" w:rsidRPr="00D4248A" w:rsidRDefault="00557A00" w:rsidP="00557A00">
      <w:pPr>
        <w:pStyle w:val="NormalWeb"/>
        <w:spacing w:after="0" w:line="360" w:lineRule="auto"/>
        <w:ind w:right="-28"/>
        <w:rPr>
          <w:rFonts w:ascii="Palatino Linotype" w:hAnsi="Palatino Linotype"/>
          <w:color w:val="0D0D0D"/>
          <w:sz w:val="22"/>
          <w:szCs w:val="22"/>
        </w:rPr>
      </w:pPr>
      <w:r w:rsidRPr="00D4248A">
        <w:rPr>
          <w:rFonts w:ascii="Palatino Linotype" w:hAnsi="Palatino Linotype"/>
          <w:color w:val="000000"/>
          <w:sz w:val="22"/>
          <w:szCs w:val="22"/>
        </w:rPr>
        <w:t xml:space="preserve">En respuesta, el Sujeto Obligado, a través de la Dirección General de Administración y Departamento de Nóminas adjuntó </w:t>
      </w:r>
      <w:r w:rsidRPr="00D4248A">
        <w:rPr>
          <w:rFonts w:ascii="Palatino Linotype" w:eastAsia="Calibri" w:hAnsi="Palatino Linotype" w:cs="Tahoma"/>
          <w:color w:val="000000"/>
          <w:sz w:val="22"/>
          <w:szCs w:val="22"/>
          <w:lang w:val="es-ES"/>
        </w:rPr>
        <w:t xml:space="preserve"> una relación del monto de percepciones de Funcionarios del Ayuntamiento de Toluca, que contiene nombre, categoría, sueldo bruto y neto, percepciones y deducciones, del Presidente Municipal, Síndicos, Regidores y Tesorero, y el </w:t>
      </w:r>
      <w:r w:rsidRPr="00D4248A">
        <w:rPr>
          <w:rFonts w:ascii="Palatino Linotype" w:eastAsia="Times New Roman" w:hAnsi="Palatino Linotype" w:cs="Tahoma"/>
          <w:color w:val="auto"/>
          <w:sz w:val="22"/>
          <w:szCs w:val="22"/>
          <w:lang w:eastAsia="es-ES"/>
        </w:rPr>
        <w:t>recibo de nómina del Presidente Municipal, del primero al quince de enero de dos mil veinticinco, en versión pública; a</w:t>
      </w:r>
      <w:proofErr w:type="spellStart"/>
      <w:r w:rsidRPr="00D4248A">
        <w:rPr>
          <w:rFonts w:ascii="Palatino Linotype" w:hAnsi="Palatino Linotype" w:cs="Tahoma"/>
          <w:sz w:val="22"/>
          <w:szCs w:val="22"/>
          <w:lang w:val="es-ES"/>
        </w:rPr>
        <w:t>nte</w:t>
      </w:r>
      <w:proofErr w:type="spellEnd"/>
      <w:r w:rsidRPr="00D4248A">
        <w:rPr>
          <w:rFonts w:ascii="Palatino Linotype" w:hAnsi="Palatino Linotype" w:cs="Tahoma"/>
          <w:sz w:val="22"/>
          <w:szCs w:val="22"/>
          <w:lang w:val="es-ES"/>
        </w:rPr>
        <w:t xml:space="preserve"> dicha circunstancia, el Particular se inconformó que </w:t>
      </w:r>
      <w:r w:rsidR="00BD0C02" w:rsidRPr="00D4248A">
        <w:rPr>
          <w:rFonts w:ascii="Palatino Linotype" w:hAnsi="Palatino Linotype" w:cs="Tahoma"/>
          <w:sz w:val="22"/>
          <w:szCs w:val="22"/>
          <w:lang w:val="es-ES"/>
        </w:rPr>
        <w:t>no le entregaron</w:t>
      </w:r>
      <w:r w:rsidRPr="00D4248A">
        <w:rPr>
          <w:rFonts w:ascii="Palatino Linotype" w:hAnsi="Palatino Linotype" w:cs="Tahoma"/>
          <w:sz w:val="22"/>
          <w:szCs w:val="22"/>
          <w:lang w:val="es-ES"/>
        </w:rPr>
        <w:t xml:space="preserve"> los recibos </w:t>
      </w:r>
      <w:r w:rsidR="00BD0C02" w:rsidRPr="00D4248A">
        <w:rPr>
          <w:rFonts w:ascii="Palatino Linotype" w:hAnsi="Palatino Linotype" w:cs="Tahoma"/>
          <w:sz w:val="22"/>
          <w:szCs w:val="22"/>
          <w:lang w:val="es-ES"/>
        </w:rPr>
        <w:t xml:space="preserve">de nómina </w:t>
      </w:r>
      <w:r w:rsidRPr="00D4248A">
        <w:rPr>
          <w:rFonts w:ascii="Palatino Linotype" w:hAnsi="Palatino Linotype" w:cs="Tahoma"/>
          <w:sz w:val="22"/>
          <w:szCs w:val="22"/>
          <w:lang w:val="es-ES"/>
        </w:rPr>
        <w:t>de los Regidores y Síndicos</w:t>
      </w:r>
      <w:r w:rsidR="00BD0C02" w:rsidRPr="00D4248A">
        <w:rPr>
          <w:rFonts w:ascii="Palatino Linotype" w:hAnsi="Palatino Linotype" w:cs="Tahoma"/>
          <w:sz w:val="22"/>
          <w:szCs w:val="22"/>
          <w:lang w:val="es-ES"/>
        </w:rPr>
        <w:t>.</w:t>
      </w:r>
    </w:p>
    <w:p w14:paraId="1CA3C1C3" w14:textId="77777777" w:rsidR="00557A00" w:rsidRPr="00D4248A" w:rsidRDefault="00557A00" w:rsidP="00557A00">
      <w:pPr>
        <w:pStyle w:val="NormalWeb"/>
        <w:spacing w:after="0" w:line="360" w:lineRule="auto"/>
        <w:ind w:right="-28"/>
        <w:rPr>
          <w:rFonts w:ascii="Palatino Linotype" w:hAnsi="Palatino Linotype"/>
          <w:color w:val="0D0D0D"/>
          <w:sz w:val="22"/>
          <w:szCs w:val="22"/>
        </w:rPr>
      </w:pPr>
    </w:p>
    <w:p w14:paraId="514D2470" w14:textId="77777777" w:rsidR="00557A00" w:rsidRPr="00D4248A" w:rsidRDefault="00557A00" w:rsidP="00557A00">
      <w:pPr>
        <w:spacing w:after="0" w:line="360" w:lineRule="auto"/>
        <w:rPr>
          <w:color w:val="000000"/>
          <w:lang w:eastAsia="es-ES_tradnl"/>
        </w:rPr>
      </w:pPr>
      <w:r w:rsidRPr="00D4248A">
        <w:rPr>
          <w:color w:val="000000"/>
          <w:lang w:eastAsia="es-ES_tradnl"/>
        </w:rPr>
        <w:t xml:space="preserve">Conforme a lo anterior, se logra vislumbrar que </w:t>
      </w:r>
      <w:r w:rsidRPr="00D4248A">
        <w:rPr>
          <w:rFonts w:eastAsia="Calibri" w:cs="Tahoma"/>
          <w:bCs/>
          <w:iCs/>
        </w:rPr>
        <w:t>la persona</w:t>
      </w:r>
      <w:r w:rsidRPr="00D4248A">
        <w:rPr>
          <w:color w:val="000000"/>
          <w:lang w:eastAsia="es-ES_tradnl"/>
        </w:rPr>
        <w:t xml:space="preserve"> Recurrente no se agravió del punto 1 y 2, sino de que no le entregaron los recibos de nómina de Regidores y Síndicos,</w:t>
      </w:r>
      <w:r w:rsidRPr="00D4248A">
        <w:rPr>
          <w:rFonts w:eastAsia="Calibri" w:cs="Tahoma"/>
          <w:color w:val="000000"/>
          <w:lang w:val="es-ES"/>
        </w:rPr>
        <w:t xml:space="preserve"> p</w:t>
      </w:r>
      <w:r w:rsidRPr="00D4248A">
        <w:rPr>
          <w:color w:val="000000"/>
          <w:lang w:eastAsia="es-ES_tradnl"/>
        </w:rPr>
        <w:t>or lo que, no se hará pronunciamiento alguno, respecto a dicha información,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w:t>
      </w:r>
      <w:r w:rsidRPr="00D4248A">
        <w:rPr>
          <w:b/>
          <w:bCs/>
          <w:color w:val="000000"/>
          <w:lang w:eastAsia="es-ES_tradnl"/>
        </w:rPr>
        <w:t>los actos que se hayan consentido tácitamente,</w:t>
      </w:r>
      <w:r w:rsidRPr="00D4248A">
        <w:rPr>
          <w:color w:val="000000"/>
          <w:lang w:eastAsia="es-ES_tradnl"/>
        </w:rPr>
        <w:t> entendiéndose por estos cuando el agravio no se haya promovido en el plazo señalado para el efecto.</w:t>
      </w:r>
    </w:p>
    <w:p w14:paraId="177BCB49" w14:textId="77777777" w:rsidR="00557A00" w:rsidRPr="00D4248A" w:rsidRDefault="00557A00" w:rsidP="00557A00">
      <w:pPr>
        <w:spacing w:after="0" w:line="360" w:lineRule="auto"/>
        <w:rPr>
          <w:rFonts w:cs="Times New Roman"/>
          <w:color w:val="000000"/>
          <w:lang w:eastAsia="es-ES_tradnl"/>
        </w:rPr>
      </w:pPr>
      <w:r w:rsidRPr="00D4248A">
        <w:rPr>
          <w:color w:val="000000"/>
          <w:lang w:eastAsia="es-ES_tradnl"/>
        </w:rPr>
        <w:lastRenderedPageBreak/>
        <w:t> </w:t>
      </w:r>
    </w:p>
    <w:p w14:paraId="033266E5" w14:textId="77777777" w:rsidR="00557A00" w:rsidRPr="00D4248A" w:rsidRDefault="00557A00" w:rsidP="00557A00">
      <w:pPr>
        <w:spacing w:after="0" w:line="360" w:lineRule="auto"/>
        <w:rPr>
          <w:color w:val="000000"/>
          <w:lang w:eastAsia="es-ES_tradnl"/>
        </w:rPr>
      </w:pPr>
      <w:r w:rsidRPr="00D4248A">
        <w:rPr>
          <w:color w:val="000000"/>
          <w:lang w:eastAsia="es-ES_tradnl"/>
        </w:rPr>
        <w:t>De la misma manera resulta aplicable el criterio sostenido por el Poder Judicial de la Federación de rubro </w:t>
      </w:r>
      <w:r w:rsidRPr="00D4248A">
        <w:rPr>
          <w:b/>
          <w:bCs/>
          <w:color w:val="000000"/>
          <w:lang w:eastAsia="es-ES_tradnl"/>
        </w:rPr>
        <w:t>ACTOS CONSENTIDOS TÁCITAMENTE</w:t>
      </w:r>
      <w:r w:rsidRPr="00D4248A">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FA21B95" w14:textId="77777777" w:rsidR="00557A00" w:rsidRPr="00D4248A" w:rsidRDefault="00557A00" w:rsidP="00557A00">
      <w:pPr>
        <w:spacing w:after="0" w:line="360" w:lineRule="auto"/>
        <w:rPr>
          <w:color w:val="000000"/>
          <w:lang w:eastAsia="es-ES_tradnl"/>
        </w:rPr>
      </w:pPr>
      <w:r w:rsidRPr="00D4248A">
        <w:rPr>
          <w:color w:val="000000"/>
          <w:lang w:eastAsia="es-ES_tradnl"/>
        </w:rPr>
        <w:t> </w:t>
      </w:r>
    </w:p>
    <w:p w14:paraId="49090C68" w14:textId="77777777" w:rsidR="00557A00" w:rsidRPr="00D4248A" w:rsidRDefault="00557A00" w:rsidP="00557A00">
      <w:pPr>
        <w:spacing w:after="0" w:line="360" w:lineRule="auto"/>
        <w:rPr>
          <w:color w:val="000000"/>
          <w:lang w:eastAsia="es-ES_tradnl"/>
        </w:rPr>
      </w:pPr>
      <w:r w:rsidRPr="00D4248A">
        <w:rPr>
          <w:color w:val="000000"/>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7B2DC420" w14:textId="77777777" w:rsidR="00557A00" w:rsidRPr="00D4248A" w:rsidRDefault="00557A00" w:rsidP="00557A00">
      <w:pPr>
        <w:spacing w:after="0" w:line="360" w:lineRule="auto"/>
        <w:rPr>
          <w:color w:val="000000"/>
          <w:lang w:eastAsia="es-ES_tradnl"/>
        </w:rPr>
      </w:pPr>
      <w:r w:rsidRPr="00D4248A">
        <w:rPr>
          <w:color w:val="000000"/>
          <w:lang w:eastAsia="es-ES_tradnl"/>
        </w:rPr>
        <w:t> </w:t>
      </w:r>
    </w:p>
    <w:p w14:paraId="25C9F15E" w14:textId="77777777" w:rsidR="00557A00" w:rsidRPr="00D4248A" w:rsidRDefault="00557A00" w:rsidP="00557A00">
      <w:pPr>
        <w:pStyle w:val="NormalWeb"/>
        <w:spacing w:after="0" w:line="360" w:lineRule="auto"/>
        <w:ind w:right="-28"/>
        <w:rPr>
          <w:rFonts w:ascii="Palatino Linotype" w:hAnsi="Palatino Linotype"/>
          <w:color w:val="0D0D0D"/>
          <w:sz w:val="22"/>
          <w:szCs w:val="22"/>
        </w:rPr>
      </w:pPr>
      <w:r w:rsidRPr="00D4248A">
        <w:rPr>
          <w:rFonts w:ascii="Palatino Linotype" w:hAnsi="Palatino Linotype"/>
          <w:color w:val="000000"/>
          <w:sz w:val="22"/>
          <w:szCs w:val="22"/>
          <w:lang w:eastAsia="es-ES_tradnl"/>
        </w:rPr>
        <w:t xml:space="preserve">Asimismo, resulta relevante traer a colación el Criterio Orientador, de la Segunda Época, con número de registro SO/001/2020, emitido por el entonces Instituto Nacional de Transparencia, Acceso a la Información y Protección de Datos Personales </w:t>
      </w:r>
      <w:r w:rsidRPr="00D4248A">
        <w:rPr>
          <w:rFonts w:ascii="Palatino Linotype" w:hAnsi="Palatino Linotype"/>
          <w:bCs/>
          <w:iCs/>
          <w:color w:val="000000"/>
          <w:sz w:val="22"/>
          <w:szCs w:val="22"/>
          <w:lang w:eastAsia="es-ES_tradnl"/>
        </w:rPr>
        <w:t>vigente a la fecha de la solicitud</w:t>
      </w:r>
      <w:r w:rsidRPr="00D4248A">
        <w:rPr>
          <w:rFonts w:ascii="Palatino Linotype" w:hAnsi="Palatino Linotype"/>
          <w:color w:val="000000"/>
          <w:sz w:val="22"/>
          <w:szCs w:val="22"/>
          <w:lang w:eastAsia="es-ES_tradnl"/>
        </w:rPr>
        <w:t xml:space="preserve">, el cual establece que es improcedente entrar al análisis de las partes de la respuesta del Sujeto Obligado que no fueron impugnadas por </w:t>
      </w:r>
      <w:r w:rsidRPr="00D4248A">
        <w:rPr>
          <w:rFonts w:ascii="Palatino Linotype" w:eastAsia="Calibri" w:hAnsi="Palatino Linotype" w:cs="Tahoma"/>
          <w:bCs/>
          <w:iCs/>
          <w:sz w:val="22"/>
          <w:szCs w:val="22"/>
        </w:rPr>
        <w:t>la persona</w:t>
      </w:r>
      <w:r w:rsidRPr="00D4248A">
        <w:rPr>
          <w:rFonts w:ascii="Palatino Linotype" w:hAnsi="Palatino Linotype"/>
          <w:color w:val="000000"/>
          <w:sz w:val="22"/>
          <w:szCs w:val="22"/>
          <w:lang w:eastAsia="es-ES_tradnl"/>
        </w:rPr>
        <w:t xml:space="preserve"> Recurrente; por lo que, en el presente caso, se tienen por consentidos los puntos 1 y 2, y únicamente se entrará al análisis de los recibos de nómina de Regidores y Síndicos.</w:t>
      </w:r>
      <w:r w:rsidRPr="00D4248A">
        <w:rPr>
          <w:rFonts w:ascii="Palatino Linotype" w:hAnsi="Palatino Linotype"/>
          <w:color w:val="0D0D0D"/>
          <w:sz w:val="22"/>
          <w:szCs w:val="22"/>
        </w:rPr>
        <w:t xml:space="preserve"> </w:t>
      </w:r>
      <w:r w:rsidRPr="00D4248A">
        <w:rPr>
          <w:rFonts w:ascii="Palatino Linotype" w:hAnsi="Palatino Linotype"/>
          <w:color w:val="000000"/>
          <w:sz w:val="22"/>
          <w:szCs w:val="22"/>
        </w:rPr>
        <w:t xml:space="preserve">Así las cosas, una vez admitido y notificado el Recurso a las partes, </w:t>
      </w:r>
      <w:r w:rsidRPr="00D4248A">
        <w:rPr>
          <w:rFonts w:ascii="Palatino Linotype" w:hAnsi="Palatino Linotype" w:cs="Tahoma"/>
          <w:sz w:val="22"/>
          <w:szCs w:val="22"/>
          <w:lang w:val="es-ES"/>
        </w:rPr>
        <w:t>el Sujeto Obligado ratificó su respuesta.</w:t>
      </w:r>
    </w:p>
    <w:p w14:paraId="1D7E2218" w14:textId="77777777" w:rsidR="00557A00" w:rsidRPr="00D4248A" w:rsidRDefault="00557A00" w:rsidP="00557A00">
      <w:pPr>
        <w:spacing w:after="0" w:line="360" w:lineRule="auto"/>
        <w:rPr>
          <w:rFonts w:eastAsia="Calibri" w:cs="Tahoma"/>
          <w:bCs/>
          <w:color w:val="auto"/>
          <w:lang w:val="es-ES" w:eastAsia="es-ES_tradnl"/>
        </w:rPr>
      </w:pPr>
    </w:p>
    <w:p w14:paraId="2494FAE0" w14:textId="433F953C" w:rsidR="00AA68FC" w:rsidRPr="00D4248A" w:rsidRDefault="00557A00" w:rsidP="00557A00">
      <w:pPr>
        <w:spacing w:after="0" w:line="360" w:lineRule="auto"/>
        <w:rPr>
          <w:rFonts w:eastAsia="Calibri" w:cs="Tahoma"/>
          <w:color w:val="auto"/>
          <w:lang w:eastAsia="es-ES_tradnl"/>
        </w:rPr>
      </w:pPr>
      <w:r w:rsidRPr="00D4248A">
        <w:rPr>
          <w:rFonts w:eastAsia="Calibri" w:cs="Tahoma"/>
          <w:color w:val="auto"/>
          <w:lang w:eastAsia="es-ES_tradnl"/>
        </w:rPr>
        <w:t xml:space="preserve">En ese sentido y conforme a lo expuesto, se logra vislumbrar que, del contraste entre el planteamiento formulado en la solicitud de información y las manifestaciones vertidas en el </w:t>
      </w:r>
      <w:r w:rsidRPr="00D4248A">
        <w:rPr>
          <w:rFonts w:eastAsia="Calibri" w:cs="Tahoma"/>
          <w:color w:val="auto"/>
          <w:lang w:eastAsia="es-ES_tradnl"/>
        </w:rPr>
        <w:lastRenderedPageBreak/>
        <w:t xml:space="preserve">Medio de Impugnación, que el Particular, a través del Recurso pretende obtener información diversa a la inicialmente requerida, pues inicialmente requirió únicamente </w:t>
      </w:r>
      <w:r w:rsidR="00AA68FC" w:rsidRPr="00D4248A">
        <w:rPr>
          <w:rFonts w:eastAsia="Calibri" w:cs="Tahoma"/>
          <w:color w:val="auto"/>
          <w:lang w:eastAsia="es-ES_tradnl"/>
        </w:rPr>
        <w:t>el recibo de nómina del Presidente Municipal y posteriormente solicitó los recibos de nómina de los Regidores y Síndicos.</w:t>
      </w:r>
    </w:p>
    <w:p w14:paraId="794CF5EF" w14:textId="77777777" w:rsidR="00AA68FC" w:rsidRPr="00D4248A" w:rsidRDefault="00AA68FC" w:rsidP="00557A00">
      <w:pPr>
        <w:spacing w:after="0" w:line="360" w:lineRule="auto"/>
        <w:rPr>
          <w:rFonts w:eastAsia="Calibri" w:cs="Tahoma"/>
          <w:color w:val="auto"/>
          <w:lang w:eastAsia="es-ES_tradnl"/>
        </w:rPr>
      </w:pPr>
    </w:p>
    <w:p w14:paraId="0C0CE4B3" w14:textId="77777777" w:rsidR="00BC5638" w:rsidRPr="00D4248A" w:rsidRDefault="00557A00" w:rsidP="00557A00">
      <w:pPr>
        <w:spacing w:after="0" w:line="360" w:lineRule="auto"/>
        <w:rPr>
          <w:rFonts w:eastAsia="Times New Roman" w:cs="Tahoma"/>
          <w:b/>
          <w:color w:val="auto"/>
          <w:lang w:val="es-ES" w:eastAsia="es-ES"/>
        </w:rPr>
      </w:pPr>
      <w:r w:rsidRPr="00D4248A">
        <w:rPr>
          <w:rFonts w:eastAsia="Times New Roman" w:cs="Tahoma"/>
          <w:color w:val="auto"/>
          <w:lang w:val="es-ES" w:eastAsia="es-ES"/>
        </w:rPr>
        <w:t>Por tal circunstancia, dicha situación no puede constituir materia de estudio del presente Recurso de Revisión, debido a que la solicitud de información debe ser apreciada en los términos en que fue planteada originalmente ante el Sujeto Obligado,</w:t>
      </w:r>
      <w:r w:rsidRPr="00D4248A">
        <w:rPr>
          <w:rFonts w:eastAsia="Times New Roman" w:cs="Tahoma"/>
          <w:b/>
          <w:color w:val="auto"/>
          <w:lang w:val="es-ES" w:eastAsia="es-ES"/>
        </w:rPr>
        <w:t xml:space="preserve"> sin variar en el fondo la controversia, ni constituir un nuevo requerimiento informativo. </w:t>
      </w:r>
    </w:p>
    <w:p w14:paraId="6FEC34D7" w14:textId="77777777" w:rsidR="00BC5638" w:rsidRPr="00D4248A" w:rsidRDefault="00BC5638" w:rsidP="00557A00">
      <w:pPr>
        <w:spacing w:after="0" w:line="360" w:lineRule="auto"/>
        <w:rPr>
          <w:rFonts w:eastAsia="Times New Roman" w:cs="Tahoma"/>
          <w:b/>
          <w:color w:val="auto"/>
          <w:lang w:val="es-ES" w:eastAsia="es-ES"/>
        </w:rPr>
      </w:pPr>
    </w:p>
    <w:p w14:paraId="283ADCC6" w14:textId="65AE6F2E" w:rsidR="00557A00" w:rsidRPr="00D4248A" w:rsidRDefault="00557A00" w:rsidP="00557A00">
      <w:pPr>
        <w:spacing w:after="0" w:line="360" w:lineRule="auto"/>
        <w:rPr>
          <w:rFonts w:eastAsia="Times New Roman" w:cs="Times New Roman"/>
          <w:color w:val="auto"/>
          <w:lang w:eastAsia="es-MX"/>
        </w:rPr>
      </w:pPr>
      <w:r w:rsidRPr="00D4248A">
        <w:rPr>
          <w:rFonts w:eastAsia="Times New Roman" w:cs="Times New Roman"/>
          <w:color w:val="auto"/>
          <w:lang w:eastAsia="es-MX"/>
        </w:rPr>
        <w:t xml:space="preserve">Al respecto, resulta pertinente traer a colación el </w:t>
      </w:r>
      <w:r w:rsidRPr="00D4248A">
        <w:rPr>
          <w:rFonts w:eastAsia="Calibri" w:cs="Tahoma"/>
          <w:bCs/>
          <w:lang w:val="es-ES"/>
        </w:rPr>
        <w:t>Criteri</w:t>
      </w:r>
      <w:r w:rsidR="00EE0939" w:rsidRPr="00D4248A">
        <w:rPr>
          <w:rFonts w:eastAsia="Calibri" w:cs="Tahoma"/>
          <w:bCs/>
          <w:lang w:val="es-ES"/>
        </w:rPr>
        <w:t>o Orientador</w:t>
      </w:r>
      <w:r w:rsidRPr="00D4248A">
        <w:rPr>
          <w:rFonts w:eastAsia="Calibri" w:cs="Tahoma"/>
          <w:bCs/>
          <w:lang w:val="es-ES"/>
        </w:rPr>
        <w:t xml:space="preserve">, de la Segunda Época, con clave de control </w:t>
      </w:r>
      <w:r w:rsidRPr="00D4248A">
        <w:rPr>
          <w:rFonts w:eastAsia="Calibri" w:cs="Tahoma"/>
          <w:bCs/>
        </w:rPr>
        <w:t>SO/001/2017,</w:t>
      </w:r>
      <w:r w:rsidRPr="00D4248A">
        <w:rPr>
          <w:rFonts w:eastAsia="Times New Roman" w:cs="Times New Roman"/>
          <w:color w:val="auto"/>
          <w:lang w:eastAsia="es-MX"/>
        </w:rPr>
        <w:t xml:space="preserve"> emitido por el </w:t>
      </w:r>
      <w:r w:rsidR="00EE0939" w:rsidRPr="00D4248A">
        <w:rPr>
          <w:rFonts w:eastAsia="Times New Roman" w:cs="Times New Roman"/>
          <w:color w:val="auto"/>
          <w:lang w:eastAsia="es-MX"/>
        </w:rPr>
        <w:t xml:space="preserve">entonces </w:t>
      </w:r>
      <w:r w:rsidRPr="00D4248A">
        <w:rPr>
          <w:rFonts w:eastAsia="Times New Roman" w:cs="Times New Roman"/>
          <w:color w:val="auto"/>
          <w:lang w:eastAsia="es-MX"/>
        </w:rPr>
        <w:t>Instituto Nacional de Transparencia, Acceso a la Información y Protección de Datos Personales</w:t>
      </w:r>
      <w:r w:rsidR="00EE0939" w:rsidRPr="00D4248A">
        <w:rPr>
          <w:rFonts w:eastAsia="Times New Roman" w:cs="Times New Roman"/>
          <w:color w:val="auto"/>
          <w:lang w:eastAsia="es-MX"/>
        </w:rPr>
        <w:t xml:space="preserve"> vigente a la fecha de la solicitud</w:t>
      </w:r>
      <w:r w:rsidRPr="00D4248A">
        <w:rPr>
          <w:rFonts w:eastAsia="Times New Roman" w:cs="Times New Roman"/>
          <w:color w:val="auto"/>
          <w:lang w:eastAsia="es-MX"/>
        </w:rPr>
        <w:t>, el cual indica que no resulta procedente ampliar vía recurso de revisión, las solicitudes de información:</w:t>
      </w:r>
    </w:p>
    <w:p w14:paraId="75345392" w14:textId="77777777" w:rsidR="00557A00" w:rsidRPr="00D4248A" w:rsidRDefault="00557A00" w:rsidP="00BC5638">
      <w:pPr>
        <w:spacing w:after="0" w:line="360" w:lineRule="auto"/>
        <w:rPr>
          <w:rFonts w:eastAsia="Times New Roman" w:cs="Times New Roman"/>
          <w:color w:val="auto"/>
          <w:lang w:eastAsia="es-MX"/>
        </w:rPr>
      </w:pPr>
    </w:p>
    <w:p w14:paraId="7376F85B" w14:textId="44C9B57F" w:rsidR="00557A00" w:rsidRPr="00D4248A" w:rsidRDefault="00557A00" w:rsidP="00BC5638">
      <w:pPr>
        <w:spacing w:after="0" w:line="360" w:lineRule="auto"/>
        <w:ind w:left="567" w:right="567"/>
        <w:rPr>
          <w:rFonts w:eastAsia="Times New Roman" w:cs="Times New Roman"/>
          <w:i/>
          <w:iCs/>
          <w:color w:val="auto"/>
          <w:sz w:val="20"/>
          <w:szCs w:val="20"/>
          <w:lang w:eastAsia="es-MX"/>
        </w:rPr>
      </w:pPr>
      <w:r w:rsidRPr="00D4248A">
        <w:rPr>
          <w:rFonts w:eastAsia="Times New Roman" w:cs="Times New Roman"/>
          <w:b/>
          <w:bCs/>
          <w:i/>
          <w:iCs/>
          <w:color w:val="auto"/>
          <w:sz w:val="20"/>
          <w:szCs w:val="20"/>
          <w:lang w:eastAsia="es-MX"/>
        </w:rPr>
        <w:t>“Es improcedente ampliar las solicitudes de acceso a información, a través de la interposición del recurso de revisión.</w:t>
      </w:r>
      <w:r w:rsidRPr="00D4248A">
        <w:rPr>
          <w:rFonts w:eastAsia="Times New Roman" w:cs="Times New Roman"/>
          <w:i/>
          <w:iCs/>
          <w:color w:val="auto"/>
          <w:sz w:val="20"/>
          <w:szCs w:val="20"/>
          <w:lang w:eastAsia="es-MX"/>
        </w:rPr>
        <w:t xml:space="preserve"> En términos de los artículos 155, fracción VII de la Ley General de Transparencia y Acceso a la Información Pública, y 161, fracción VII de la Ley Federal de Transparencia y Acceso a la Información Pública</w:t>
      </w:r>
      <w:r w:rsidR="006759BF" w:rsidRPr="00D4248A">
        <w:rPr>
          <w:rFonts w:eastAsia="Times New Roman" w:cs="Times New Roman"/>
          <w:i/>
          <w:iCs/>
          <w:color w:val="auto"/>
          <w:sz w:val="20"/>
          <w:szCs w:val="20"/>
          <w:lang w:eastAsia="es-MX"/>
        </w:rPr>
        <w:t xml:space="preserve"> vigentes a la fecha de la solicitud,</w:t>
      </w:r>
      <w:r w:rsidRPr="00D4248A">
        <w:rPr>
          <w:rFonts w:eastAsia="Times New Roman" w:cs="Times New Roman"/>
          <w:i/>
          <w:iCs/>
          <w:color w:val="auto"/>
          <w:sz w:val="20"/>
          <w:szCs w:val="20"/>
          <w:lang w:eastAsia="es-MX"/>
        </w:rPr>
        <w:t>,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36229FB0" w14:textId="77777777" w:rsidR="00557A00" w:rsidRPr="00D4248A" w:rsidRDefault="00557A00" w:rsidP="00557A00">
      <w:pPr>
        <w:shd w:val="clear" w:color="auto" w:fill="FFFFFF"/>
        <w:spacing w:after="0" w:line="360" w:lineRule="auto"/>
        <w:ind w:left="567" w:right="567"/>
        <w:rPr>
          <w:rFonts w:eastAsia="Times New Roman" w:cs="Times New Roman"/>
          <w:color w:val="auto"/>
          <w:lang w:eastAsia="es-MX"/>
        </w:rPr>
      </w:pPr>
    </w:p>
    <w:p w14:paraId="7C21B395" w14:textId="6A370FC1" w:rsidR="00557A00" w:rsidRPr="00D4248A" w:rsidRDefault="00557A00" w:rsidP="00557A00">
      <w:pPr>
        <w:shd w:val="clear" w:color="auto" w:fill="FFFFFF"/>
        <w:spacing w:after="0" w:line="360" w:lineRule="auto"/>
        <w:rPr>
          <w:rFonts w:eastAsia="Times New Roman" w:cs="Times New Roman"/>
          <w:color w:val="auto"/>
          <w:lang w:eastAsia="es-MX"/>
        </w:rPr>
      </w:pPr>
      <w:r w:rsidRPr="00D4248A">
        <w:rPr>
          <w:rFonts w:eastAsia="Times New Roman" w:cs="Times New Roman"/>
          <w:color w:val="auto"/>
          <w:lang w:eastAsia="es-MX"/>
        </w:rPr>
        <w:t xml:space="preserve">Además, es importante señalar que el Recurso de Revisión no fue diseñado para impugnar cuestiones que no fueron objeto de la solicitud de información presentada inicialmente, pues </w:t>
      </w:r>
      <w:r w:rsidRPr="00D4248A">
        <w:rPr>
          <w:rFonts w:eastAsia="Times New Roman" w:cs="Times New Roman"/>
          <w:color w:val="auto"/>
          <w:lang w:eastAsia="es-MX"/>
        </w:rPr>
        <w:lastRenderedPageBreak/>
        <w:t xml:space="preserve">de lo contrario tendría que analizarse dicho recurso a la luz de argumentos que no fueron del conocimiento del Sujeto Obligado y, en consecuencia, no fueron comprendidos en la respuesta que se impugna. </w:t>
      </w:r>
    </w:p>
    <w:p w14:paraId="33F35B2F" w14:textId="77777777" w:rsidR="00557A00" w:rsidRPr="00D4248A" w:rsidRDefault="00557A00" w:rsidP="00557A00">
      <w:pPr>
        <w:shd w:val="clear" w:color="auto" w:fill="FFFFFF"/>
        <w:spacing w:after="0" w:line="360" w:lineRule="auto"/>
        <w:rPr>
          <w:rFonts w:eastAsia="Times New Roman" w:cs="Times New Roman"/>
          <w:color w:val="auto"/>
          <w:lang w:eastAsia="es-MX"/>
        </w:rPr>
      </w:pPr>
    </w:p>
    <w:p w14:paraId="19FDDDE3" w14:textId="77777777" w:rsidR="00557A00" w:rsidRPr="00D4248A" w:rsidRDefault="00557A00" w:rsidP="00557A00">
      <w:pPr>
        <w:spacing w:after="0" w:line="360" w:lineRule="auto"/>
        <w:rPr>
          <w:rFonts w:cs="Tahoma"/>
          <w:bCs/>
          <w:color w:val="0D0D0D" w:themeColor="text1" w:themeTint="F2"/>
        </w:rPr>
      </w:pPr>
      <w:r w:rsidRPr="00D4248A">
        <w:rPr>
          <w:rFonts w:cs="Tahoma"/>
          <w:bCs/>
          <w:color w:val="000000"/>
        </w:rPr>
        <w:t xml:space="preserve">En ese sentido, toda vez que el Solicitante al interponer el Recurso de Revisión, amplió su solicitud de información, al requerir datos no solicitados inicialmente, se actualiza la causal de desechamiento establecida en el diverso 191, fracción VII, </w:t>
      </w:r>
      <w:r w:rsidRPr="00D4248A">
        <w:rPr>
          <w:rFonts w:cs="Tahoma"/>
          <w:bCs/>
          <w:color w:val="000000"/>
          <w:lang w:val="es-ES"/>
        </w:rPr>
        <w:t>de la Ley de la materia; no obstante, toda vez que fue necesario admitir el Medio de Impugnación, para verificar dicha circunstancia</w:t>
      </w:r>
      <w:r w:rsidRPr="00D4248A">
        <w:rPr>
          <w:rFonts w:cs="Tahoma"/>
          <w:bCs/>
          <w:color w:val="0D0D0D" w:themeColor="text1" w:themeTint="F2"/>
        </w:rPr>
        <w:t xml:space="preserve">, lo procedente es </w:t>
      </w:r>
      <w:r w:rsidRPr="00D4248A">
        <w:rPr>
          <w:rFonts w:cs="Tahoma"/>
          <w:b/>
          <w:bCs/>
          <w:color w:val="0D0D0D" w:themeColor="text1" w:themeTint="F2"/>
        </w:rPr>
        <w:t xml:space="preserve">SOBRESEER </w:t>
      </w:r>
      <w:r w:rsidRPr="00D4248A">
        <w:rPr>
          <w:rFonts w:cs="Tahoma"/>
          <w:bCs/>
          <w:color w:val="0D0D0D" w:themeColor="text1" w:themeTint="F2"/>
        </w:rPr>
        <w:t>el mismo.</w:t>
      </w:r>
    </w:p>
    <w:p w14:paraId="3761C3E2" w14:textId="77777777" w:rsidR="00903C02" w:rsidRPr="00D4248A" w:rsidRDefault="00903C02" w:rsidP="00557A00">
      <w:pPr>
        <w:spacing w:after="0" w:line="360" w:lineRule="auto"/>
        <w:rPr>
          <w:rFonts w:cs="Tahoma"/>
          <w:bCs/>
          <w:color w:val="0D0D0D" w:themeColor="text1" w:themeTint="F2"/>
        </w:rPr>
      </w:pPr>
    </w:p>
    <w:p w14:paraId="0F8E0AEB" w14:textId="7C24AD4A" w:rsidR="00903C02" w:rsidRPr="00D4248A" w:rsidRDefault="00903C02" w:rsidP="00903C02">
      <w:pPr>
        <w:pStyle w:val="Ttulo2"/>
        <w:spacing w:line="360" w:lineRule="auto"/>
        <w:rPr>
          <w:rFonts w:ascii="Palatino Linotype" w:eastAsia="Times New Roman" w:hAnsi="Palatino Linotype"/>
          <w:b/>
          <w:color w:val="auto"/>
          <w:sz w:val="22"/>
          <w:lang w:val="es-ES" w:eastAsia="es-ES"/>
        </w:rPr>
      </w:pPr>
      <w:bookmarkStart w:id="14" w:name="_Toc195190512"/>
      <w:r w:rsidRPr="00D4248A">
        <w:rPr>
          <w:rFonts w:ascii="Palatino Linotype" w:eastAsia="Times New Roman" w:hAnsi="Palatino Linotype"/>
          <w:b/>
          <w:color w:val="auto"/>
          <w:sz w:val="22"/>
          <w:lang w:val="es-ES" w:eastAsia="es-ES"/>
        </w:rPr>
        <w:t>CUARTO. Decisión</w:t>
      </w:r>
      <w:bookmarkEnd w:id="14"/>
    </w:p>
    <w:p w14:paraId="574581E8" w14:textId="77777777" w:rsidR="00903C02" w:rsidRPr="00D4248A" w:rsidRDefault="00903C02" w:rsidP="00903C02">
      <w:pPr>
        <w:spacing w:after="0" w:line="360" w:lineRule="auto"/>
        <w:rPr>
          <w:rFonts w:eastAsia="Times New Roman" w:cs="Tahoma"/>
          <w:b/>
          <w:color w:val="auto"/>
          <w:lang w:val="es-ES" w:eastAsia="es-ES"/>
        </w:rPr>
      </w:pPr>
    </w:p>
    <w:p w14:paraId="20958563" w14:textId="77777777" w:rsidR="00903C02" w:rsidRPr="00D4248A" w:rsidRDefault="00903C02" w:rsidP="00903C02">
      <w:pPr>
        <w:spacing w:after="0" w:line="360" w:lineRule="auto"/>
        <w:rPr>
          <w:rFonts w:eastAsia="Times New Roman" w:cs="Tahoma"/>
          <w:color w:val="auto"/>
          <w:lang w:val="es-ES" w:eastAsia="es-ES"/>
        </w:rPr>
      </w:pPr>
      <w:r w:rsidRPr="00D4248A">
        <w:rPr>
          <w:rFonts w:eastAsia="Times New Roman" w:cs="Tahoma"/>
          <w:color w:val="auto"/>
          <w:lang w:val="es-ES" w:eastAsia="es-ES"/>
        </w:rPr>
        <w:t xml:space="preserve">Con fundamento en lo dispuesto en el artículo 186, fracción I de la Ley de Transparencia y Acceso a la Información Pública del Estado de México y Municipios, se considera procedente </w:t>
      </w:r>
      <w:r w:rsidRPr="00D4248A">
        <w:rPr>
          <w:rFonts w:eastAsia="Times New Roman" w:cs="Tahoma"/>
          <w:b/>
          <w:color w:val="auto"/>
          <w:lang w:val="es-ES" w:eastAsia="es-ES"/>
        </w:rPr>
        <w:t xml:space="preserve">SOBRESEER </w:t>
      </w:r>
      <w:r w:rsidRPr="00D4248A">
        <w:rPr>
          <w:rFonts w:eastAsia="Times New Roman" w:cs="Tahoma"/>
          <w:color w:val="auto"/>
          <w:lang w:val="es-ES" w:eastAsia="es-ES"/>
        </w:rPr>
        <w:t>el Recurso de Revisión, en virtud de que se actualiza la hipótesis normativa prevista en la fracción IV, del diverso 192, en relación, con el 191, fracción VII, ambos del citado ordenamiento legal.</w:t>
      </w:r>
    </w:p>
    <w:p w14:paraId="232AF438" w14:textId="77777777" w:rsidR="00903C02" w:rsidRPr="00D4248A" w:rsidRDefault="00903C02" w:rsidP="00903C02">
      <w:pPr>
        <w:spacing w:after="0" w:line="360" w:lineRule="auto"/>
        <w:rPr>
          <w:rFonts w:eastAsia="Calibri" w:cs="Tahoma"/>
          <w:color w:val="auto"/>
          <w:lang w:eastAsia="es-ES_tradnl"/>
        </w:rPr>
      </w:pPr>
    </w:p>
    <w:p w14:paraId="41E7C63C" w14:textId="09F5BA26" w:rsidR="00903C02" w:rsidRPr="00D4248A" w:rsidRDefault="00903C02" w:rsidP="00903C02">
      <w:pPr>
        <w:spacing w:after="0" w:line="360" w:lineRule="auto"/>
        <w:rPr>
          <w:rFonts w:eastAsia="Times New Roman" w:cs="Tahoma"/>
          <w:b/>
          <w:color w:val="auto"/>
          <w:lang w:eastAsia="es-ES"/>
        </w:rPr>
      </w:pPr>
      <w:r w:rsidRPr="00D4248A">
        <w:rPr>
          <w:rFonts w:eastAsia="Times New Roman" w:cs="Tahoma"/>
          <w:b/>
          <w:color w:val="auto"/>
          <w:lang w:eastAsia="es-ES"/>
        </w:rPr>
        <w:t>Términos de la Resolución p</w:t>
      </w:r>
      <w:r w:rsidR="00E226B2" w:rsidRPr="00D4248A">
        <w:rPr>
          <w:rFonts w:eastAsia="Times New Roman" w:cs="Tahoma"/>
          <w:b/>
          <w:color w:val="auto"/>
          <w:lang w:eastAsia="es-ES"/>
        </w:rPr>
        <w:t>ara conocimiento del Particular</w:t>
      </w:r>
    </w:p>
    <w:p w14:paraId="73ACC6FB" w14:textId="77777777" w:rsidR="00903C02" w:rsidRPr="00D4248A" w:rsidRDefault="00903C02" w:rsidP="00903C02">
      <w:pPr>
        <w:spacing w:after="0" w:line="360" w:lineRule="auto"/>
        <w:rPr>
          <w:rFonts w:eastAsia="Times New Roman" w:cs="Tahoma"/>
          <w:b/>
          <w:color w:val="auto"/>
          <w:lang w:eastAsia="es-ES"/>
        </w:rPr>
      </w:pPr>
    </w:p>
    <w:p w14:paraId="57AB136F" w14:textId="2597190E" w:rsidR="00903C02" w:rsidRPr="00D4248A" w:rsidRDefault="00903C02" w:rsidP="00903C02">
      <w:pPr>
        <w:spacing w:after="0" w:line="360" w:lineRule="auto"/>
        <w:rPr>
          <w:rFonts w:eastAsia="Calibri" w:cs="Tahoma"/>
          <w:bCs/>
          <w:iCs/>
          <w:lang w:val="es-ES_tradnl"/>
        </w:rPr>
      </w:pPr>
      <w:r w:rsidRPr="00D4248A">
        <w:rPr>
          <w:rFonts w:eastAsia="Times New Roman" w:cs="Tahoma"/>
          <w:bCs/>
          <w:color w:val="auto"/>
          <w:lang w:eastAsia="es-ES"/>
        </w:rPr>
        <w:t>Se le hace del conocimiento al Particular, que, en el presente caso, mediante el Recurso de Revisión, pretende acceder a información que no fue solicitada inicialmente, en su requerimiento primigenio, lo cual resulta improcedente; por lo que, se le dejan a salvo sus derechos para que, si es de su interés presente una nueva solicitud de información.</w:t>
      </w:r>
      <w:r w:rsidR="00BC5638" w:rsidRPr="00D4248A">
        <w:rPr>
          <w:rFonts w:eastAsia="Times New Roman" w:cs="Tahoma"/>
          <w:bCs/>
          <w:color w:val="auto"/>
          <w:lang w:eastAsia="es-ES"/>
        </w:rPr>
        <w:t xml:space="preserve"> </w:t>
      </w:r>
      <w:r w:rsidRPr="00D4248A">
        <w:rPr>
          <w:rFonts w:eastAsia="Times New Roman" w:cs="Tahoma"/>
          <w:bCs/>
          <w:color w:val="auto"/>
          <w:lang w:eastAsia="es-ES"/>
        </w:rPr>
        <w:t>Finalmente, la</w:t>
      </w:r>
      <w:r w:rsidRPr="00D4248A">
        <w:rPr>
          <w:rFonts w:eastAsia="Calibri" w:cs="Tahoma"/>
          <w:bCs/>
          <w:iCs/>
          <w:lang w:val="es-ES_tradnl"/>
        </w:rPr>
        <w:t xml:space="preserve"> labor del Instituto, es apoyar a la población a acceder a la información pública y garantizar la protección de los datos personales.</w:t>
      </w:r>
    </w:p>
    <w:p w14:paraId="246D553A" w14:textId="77777777" w:rsidR="00903C02" w:rsidRPr="00D4248A" w:rsidRDefault="00903C02" w:rsidP="00903C02">
      <w:pPr>
        <w:spacing w:after="0" w:line="360" w:lineRule="auto"/>
        <w:rPr>
          <w:rFonts w:eastAsia="Times New Roman" w:cs="Tahoma"/>
          <w:bCs/>
          <w:color w:val="auto"/>
          <w:lang w:eastAsia="es-ES"/>
        </w:rPr>
      </w:pPr>
      <w:r w:rsidRPr="00D4248A">
        <w:rPr>
          <w:rFonts w:eastAsia="Times New Roman" w:cs="Tahoma"/>
          <w:bCs/>
          <w:color w:val="auto"/>
          <w:lang w:eastAsia="es-ES"/>
        </w:rPr>
        <w:lastRenderedPageBreak/>
        <w:t>Por lo expuesto y fundado, este Pleno:</w:t>
      </w:r>
    </w:p>
    <w:p w14:paraId="13451706" w14:textId="77777777" w:rsidR="005516AE" w:rsidRPr="00D4248A" w:rsidRDefault="005516AE" w:rsidP="00796F84">
      <w:pPr>
        <w:spacing w:after="0" w:line="360" w:lineRule="auto"/>
      </w:pPr>
    </w:p>
    <w:p w14:paraId="492ACF69" w14:textId="77777777" w:rsidR="00464B3F" w:rsidRPr="00D4248A" w:rsidRDefault="00464B3F" w:rsidP="00796F84">
      <w:pPr>
        <w:pStyle w:val="Ttulo1"/>
        <w:spacing w:before="0" w:line="360" w:lineRule="auto"/>
        <w:jc w:val="center"/>
        <w:rPr>
          <w:rFonts w:ascii="Palatino Linotype" w:hAnsi="Palatino Linotype"/>
          <w:b/>
          <w:bCs/>
          <w:color w:val="auto"/>
          <w:sz w:val="22"/>
          <w:szCs w:val="22"/>
        </w:rPr>
      </w:pPr>
      <w:bookmarkStart w:id="15" w:name="_Toc195190513"/>
      <w:r w:rsidRPr="00D4248A">
        <w:rPr>
          <w:rFonts w:ascii="Palatino Linotype" w:hAnsi="Palatino Linotype"/>
          <w:b/>
          <w:bCs/>
          <w:color w:val="auto"/>
          <w:sz w:val="22"/>
          <w:szCs w:val="22"/>
        </w:rPr>
        <w:t>R E S U E L V E</w:t>
      </w:r>
      <w:bookmarkEnd w:id="15"/>
    </w:p>
    <w:p w14:paraId="4117F479" w14:textId="77777777" w:rsidR="008F20D4" w:rsidRPr="00D4248A" w:rsidRDefault="008F20D4" w:rsidP="00796F84">
      <w:pPr>
        <w:spacing w:after="0" w:line="360" w:lineRule="auto"/>
      </w:pPr>
    </w:p>
    <w:p w14:paraId="0677AD76" w14:textId="3484AF0A" w:rsidR="00BA693D" w:rsidRPr="00D4248A" w:rsidRDefault="00BA693D" w:rsidP="00BA693D">
      <w:pPr>
        <w:spacing w:after="0" w:line="360" w:lineRule="auto"/>
        <w:rPr>
          <w:rFonts w:eastAsia="Times New Roman" w:cs="Tahoma"/>
          <w:bCs/>
          <w:color w:val="auto"/>
          <w:lang w:val="es-ES" w:eastAsia="es-ES"/>
        </w:rPr>
      </w:pPr>
      <w:r w:rsidRPr="00D4248A">
        <w:rPr>
          <w:rFonts w:eastAsia="Times New Roman" w:cs="Tahoma"/>
          <w:b/>
          <w:color w:val="auto"/>
          <w:lang w:eastAsia="es-ES"/>
        </w:rPr>
        <w:t>PRIMERO</w:t>
      </w:r>
      <w:r w:rsidRPr="00D4248A">
        <w:rPr>
          <w:rFonts w:eastAsia="Times New Roman" w:cs="Tahoma"/>
          <w:bCs/>
          <w:color w:val="auto"/>
          <w:lang w:eastAsia="es-ES"/>
        </w:rPr>
        <w:t xml:space="preserve">. </w:t>
      </w:r>
      <w:r w:rsidRPr="00D4248A">
        <w:rPr>
          <w:rFonts w:eastAsia="Times New Roman" w:cs="Tahoma"/>
          <w:bCs/>
          <w:color w:val="auto"/>
          <w:lang w:val="es-ES" w:eastAsia="es-ES"/>
        </w:rPr>
        <w:t xml:space="preserve">Se </w:t>
      </w:r>
      <w:r w:rsidRPr="00D4248A">
        <w:rPr>
          <w:rFonts w:eastAsia="Times New Roman" w:cs="Tahoma"/>
          <w:b/>
          <w:bCs/>
          <w:color w:val="auto"/>
          <w:lang w:val="es-ES" w:eastAsia="es-ES"/>
        </w:rPr>
        <w:t>SOBRESEE</w:t>
      </w:r>
      <w:r w:rsidRPr="00D4248A">
        <w:rPr>
          <w:rFonts w:eastAsia="Times New Roman" w:cs="Tahoma"/>
          <w:bCs/>
          <w:color w:val="auto"/>
          <w:lang w:val="es-ES" w:eastAsia="es-ES"/>
        </w:rPr>
        <w:t xml:space="preserve"> el Recurso de Revisión número </w:t>
      </w:r>
      <w:r w:rsidRPr="00D4248A">
        <w:rPr>
          <w:rFonts w:eastAsia="Calibri" w:cs="Tahoma"/>
        </w:rPr>
        <w:t>02006/INFOEM/IP/RR/2025</w:t>
      </w:r>
      <w:r w:rsidRPr="00D4248A">
        <w:rPr>
          <w:rFonts w:eastAsia="Times New Roman" w:cs="Tahoma"/>
          <w:bCs/>
          <w:color w:val="auto"/>
          <w:lang w:val="es-ES" w:eastAsia="es-ES"/>
        </w:rPr>
        <w:t>,</w:t>
      </w:r>
      <w:r w:rsidRPr="00D4248A">
        <w:t xml:space="preserve"> </w:t>
      </w:r>
      <w:r w:rsidRPr="00D4248A">
        <w:rPr>
          <w:rFonts w:eastAsia="Times New Roman" w:cs="Tahoma"/>
          <w:bCs/>
          <w:color w:val="auto"/>
          <w:lang w:val="es-ES" w:eastAsia="es-ES"/>
        </w:rPr>
        <w:t xml:space="preserve">en términos del artículo 192, fracción IV, de la Ley de Transparencia y Acceso a la Información Pública del Estado de México y Municipios, </w:t>
      </w:r>
      <w:r w:rsidRPr="00D4248A">
        <w:rPr>
          <w:rFonts w:eastAsia="Times New Roman" w:cs="Tahoma"/>
          <w:color w:val="auto"/>
          <w:lang w:val="es-ES" w:eastAsia="es-ES"/>
        </w:rPr>
        <w:t>por actualizarse la causal de improcedencia establecida en la fracción VII, del diverso 191 de dicho ordenamiento jurídico</w:t>
      </w:r>
      <w:r w:rsidRPr="00D4248A">
        <w:rPr>
          <w:rFonts w:eastAsia="Times New Roman" w:cs="Tahoma"/>
          <w:bCs/>
          <w:color w:val="auto"/>
          <w:lang w:val="es-ES" w:eastAsia="es-ES"/>
        </w:rPr>
        <w:t>, de conformidad con los Considerandos TERCERO y CUARTO de la presente Resolución.</w:t>
      </w:r>
    </w:p>
    <w:p w14:paraId="38464B14" w14:textId="77777777" w:rsidR="00BA693D" w:rsidRPr="00D4248A" w:rsidRDefault="00BA693D" w:rsidP="00BA693D">
      <w:pPr>
        <w:spacing w:after="0" w:line="360" w:lineRule="auto"/>
        <w:rPr>
          <w:rFonts w:eastAsia="Times New Roman" w:cs="Tahoma"/>
          <w:bCs/>
          <w:color w:val="auto"/>
          <w:lang w:eastAsia="es-ES"/>
        </w:rPr>
      </w:pPr>
    </w:p>
    <w:p w14:paraId="7BBB157B" w14:textId="26314D6E" w:rsidR="00BA693D" w:rsidRPr="00D4248A" w:rsidRDefault="00BA693D" w:rsidP="00BA693D">
      <w:pPr>
        <w:spacing w:after="0" w:line="360" w:lineRule="auto"/>
        <w:rPr>
          <w:rFonts w:eastAsia="Times New Roman" w:cs="Tahoma"/>
          <w:bCs/>
          <w:color w:val="auto"/>
          <w:lang w:eastAsia="es-ES"/>
        </w:rPr>
      </w:pPr>
      <w:r w:rsidRPr="00D4248A">
        <w:rPr>
          <w:rFonts w:eastAsia="Times New Roman" w:cs="Tahoma"/>
          <w:b/>
          <w:color w:val="auto"/>
          <w:lang w:eastAsia="es-ES"/>
        </w:rPr>
        <w:t>SEGUNDO. NOTIFÍQUESE POR SAIMEX</w:t>
      </w:r>
      <w:r w:rsidRPr="00D4248A">
        <w:rPr>
          <w:rFonts w:eastAsia="Times New Roman" w:cs="Tahoma"/>
          <w:bCs/>
          <w:color w:val="auto"/>
          <w:lang w:eastAsia="es-ES"/>
        </w:rPr>
        <w:t xml:space="preserve"> la presente resolución al Titular de la Unidad de Transparencia del Sujeto Obligado.</w:t>
      </w:r>
    </w:p>
    <w:p w14:paraId="5333FA02" w14:textId="77777777" w:rsidR="00BA693D" w:rsidRPr="00D4248A" w:rsidRDefault="00BA693D" w:rsidP="00BA693D">
      <w:pPr>
        <w:spacing w:after="0" w:line="360" w:lineRule="auto"/>
        <w:rPr>
          <w:rFonts w:eastAsia="Times New Roman" w:cs="Tahoma"/>
          <w:bCs/>
          <w:color w:val="auto"/>
          <w:lang w:eastAsia="es-ES"/>
        </w:rPr>
      </w:pPr>
    </w:p>
    <w:p w14:paraId="0C0AEEFA" w14:textId="3F5BC462" w:rsidR="00BA693D" w:rsidRPr="00D4248A" w:rsidRDefault="00BA693D" w:rsidP="00BA693D">
      <w:pPr>
        <w:spacing w:after="0" w:line="360" w:lineRule="auto"/>
        <w:rPr>
          <w:rFonts w:eastAsia="Times New Roman" w:cs="Tahoma"/>
          <w:bCs/>
          <w:color w:val="auto"/>
          <w:lang w:eastAsia="es-ES"/>
        </w:rPr>
      </w:pPr>
      <w:r w:rsidRPr="00D4248A">
        <w:rPr>
          <w:rFonts w:eastAsia="Times New Roman" w:cs="Tahoma"/>
          <w:b/>
          <w:color w:val="auto"/>
          <w:lang w:eastAsia="es-ES"/>
        </w:rPr>
        <w:t>TERCERO. NOTIFÍQUESE POR SAIMEX</w:t>
      </w:r>
      <w:r w:rsidRPr="00D4248A">
        <w:rPr>
          <w:rFonts w:eastAsia="Times New Roman" w:cs="Tahoma"/>
          <w:bCs/>
          <w:color w:val="auto"/>
          <w:lang w:eastAsia="es-ES"/>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8E51C96" w14:textId="77777777" w:rsidR="00464B3F" w:rsidRPr="00D4248A" w:rsidRDefault="00464B3F" w:rsidP="00796F84">
      <w:pPr>
        <w:spacing w:after="0" w:line="360" w:lineRule="auto"/>
        <w:rPr>
          <w:rFonts w:eastAsia="Calibri" w:cs="Tahoma"/>
          <w:bCs/>
        </w:rPr>
      </w:pPr>
    </w:p>
    <w:p w14:paraId="58865446" w14:textId="274B2C26" w:rsidR="00464B3F" w:rsidRPr="001F4A28" w:rsidRDefault="00464B3F" w:rsidP="00796F84">
      <w:pPr>
        <w:spacing w:after="0" w:line="360" w:lineRule="auto"/>
        <w:rPr>
          <w:rFonts w:eastAsia="Calibri" w:cs="Tahoma"/>
          <w:bCs/>
        </w:rPr>
      </w:pPr>
      <w:r w:rsidRPr="00D4248A">
        <w:rPr>
          <w:rFonts w:eastAsia="Calibri" w:cs="Tahoma"/>
          <w:bCs/>
        </w:rPr>
        <w:t xml:space="preserve">ASÍ LO RESUELVE, POR </w:t>
      </w:r>
      <w:r w:rsidRPr="00D4248A">
        <w:rPr>
          <w:rFonts w:eastAsia="Calibri" w:cs="Tahoma"/>
          <w:b/>
        </w:rPr>
        <w:t>UNANIMIDAD</w:t>
      </w:r>
      <w:r w:rsidRPr="00D4248A">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A693D" w:rsidRPr="00D4248A">
        <w:rPr>
          <w:rFonts w:eastAsia="Calibri" w:cs="Tahoma"/>
          <w:bCs/>
        </w:rPr>
        <w:t>DÉCIMA TERCERA</w:t>
      </w:r>
      <w:r w:rsidR="005516AE" w:rsidRPr="00D4248A">
        <w:rPr>
          <w:rFonts w:eastAsia="Calibri" w:cs="Tahoma"/>
          <w:bCs/>
        </w:rPr>
        <w:t xml:space="preserve"> SESIÓN </w:t>
      </w:r>
      <w:r w:rsidRPr="00D4248A">
        <w:rPr>
          <w:rFonts w:eastAsia="Calibri" w:cs="Tahoma"/>
          <w:bCs/>
        </w:rPr>
        <w:t xml:space="preserve">ORDINARIA, CELEBRADA EL </w:t>
      </w:r>
      <w:r w:rsidR="00BA693D" w:rsidRPr="00D4248A">
        <w:rPr>
          <w:rFonts w:eastAsia="Calibri" w:cs="Tahoma"/>
          <w:bCs/>
        </w:rPr>
        <w:t>NUEVE</w:t>
      </w:r>
      <w:r w:rsidR="005516AE" w:rsidRPr="00D4248A">
        <w:rPr>
          <w:rFonts w:eastAsia="Calibri" w:cs="Tahoma"/>
          <w:bCs/>
        </w:rPr>
        <w:t xml:space="preserve"> DE ABRIL</w:t>
      </w:r>
      <w:r w:rsidR="00CF408F" w:rsidRPr="00D4248A">
        <w:rPr>
          <w:rFonts w:eastAsia="Calibri" w:cs="Tahoma"/>
          <w:bCs/>
        </w:rPr>
        <w:t xml:space="preserve"> </w:t>
      </w:r>
      <w:r w:rsidRPr="00D4248A">
        <w:rPr>
          <w:rFonts w:eastAsia="Calibri" w:cs="Tahoma"/>
          <w:bCs/>
        </w:rPr>
        <w:t>DE DOS MIL VEINTIC</w:t>
      </w:r>
      <w:r w:rsidR="0034471C" w:rsidRPr="00D4248A">
        <w:rPr>
          <w:rFonts w:eastAsia="Calibri" w:cs="Tahoma"/>
          <w:bCs/>
        </w:rPr>
        <w:t>INCO</w:t>
      </w:r>
      <w:r w:rsidRPr="00D4248A">
        <w:rPr>
          <w:rFonts w:eastAsia="Calibri" w:cs="Tahoma"/>
          <w:bCs/>
        </w:rPr>
        <w:t>, ANTE EL SECRETARIO TÉCNICO DEL PLENO, ALEXIS TAPIA RAMÍREZ.</w:t>
      </w:r>
    </w:p>
    <w:p w14:paraId="0C467806" w14:textId="77777777" w:rsidR="00464B3F" w:rsidRPr="000B037E" w:rsidRDefault="00464B3F" w:rsidP="00796F84">
      <w:pPr>
        <w:spacing w:after="0" w:line="360" w:lineRule="auto"/>
        <w:rPr>
          <w:rFonts w:eastAsia="Calibri" w:cs="Times New Roman"/>
          <w:bCs/>
          <w:iCs/>
          <w:color w:val="000000"/>
          <w:lang w:val="es-ES"/>
        </w:rPr>
      </w:pPr>
    </w:p>
    <w:p w14:paraId="7F6EC1DB" w14:textId="77777777" w:rsidR="00780B70" w:rsidRDefault="00780B70" w:rsidP="00796F84">
      <w:pPr>
        <w:autoSpaceDE w:val="0"/>
        <w:autoSpaceDN w:val="0"/>
        <w:adjustRightInd w:val="0"/>
        <w:spacing w:after="0" w:line="360" w:lineRule="auto"/>
        <w:contextualSpacing/>
        <w:rPr>
          <w:rFonts w:eastAsia="Times New Roman" w:cs="Times New Roman"/>
          <w:color w:val="auto"/>
          <w:lang w:eastAsia="es-ES"/>
        </w:rPr>
      </w:pPr>
    </w:p>
    <w:p w14:paraId="28344AE8" w14:textId="77777777" w:rsidR="00DD35C4" w:rsidRDefault="00DD35C4" w:rsidP="00796F84">
      <w:pPr>
        <w:autoSpaceDE w:val="0"/>
        <w:autoSpaceDN w:val="0"/>
        <w:adjustRightInd w:val="0"/>
        <w:spacing w:after="0" w:line="360" w:lineRule="auto"/>
        <w:contextualSpacing/>
        <w:rPr>
          <w:rFonts w:eastAsia="Times New Roman" w:cs="Times New Roman"/>
          <w:color w:val="auto"/>
          <w:lang w:eastAsia="es-ES"/>
        </w:rPr>
      </w:pPr>
    </w:p>
    <w:p w14:paraId="309ED914" w14:textId="77777777" w:rsidR="003F0611" w:rsidRPr="000B037E" w:rsidRDefault="003F0611" w:rsidP="00796F84">
      <w:pPr>
        <w:widowControl w:val="0"/>
        <w:autoSpaceDE w:val="0"/>
        <w:autoSpaceDN w:val="0"/>
        <w:adjustRightInd w:val="0"/>
        <w:spacing w:after="0" w:line="360" w:lineRule="auto"/>
        <w:contextualSpacing/>
        <w:rPr>
          <w:rFonts w:eastAsia="Times New Roman" w:cs="Times New Roman"/>
          <w:color w:val="auto"/>
          <w:lang w:eastAsia="es-ES"/>
        </w:rPr>
      </w:pPr>
    </w:p>
    <w:p w14:paraId="1CA8784B" w14:textId="77777777" w:rsidR="00A44C6F" w:rsidRDefault="00A44C6F" w:rsidP="00796F84">
      <w:pPr>
        <w:autoSpaceDE w:val="0"/>
        <w:autoSpaceDN w:val="0"/>
        <w:adjustRightInd w:val="0"/>
        <w:spacing w:after="0" w:line="360" w:lineRule="auto"/>
      </w:pPr>
    </w:p>
    <w:p w14:paraId="02CC1601" w14:textId="77777777" w:rsidR="00A44C6F" w:rsidRDefault="00A44C6F" w:rsidP="00796F84">
      <w:pPr>
        <w:autoSpaceDE w:val="0"/>
        <w:autoSpaceDN w:val="0"/>
        <w:adjustRightInd w:val="0"/>
        <w:spacing w:after="0" w:line="360" w:lineRule="auto"/>
      </w:pPr>
    </w:p>
    <w:p w14:paraId="1D361F8D" w14:textId="77777777" w:rsidR="00A44C6F" w:rsidRDefault="00A44C6F" w:rsidP="00796F84">
      <w:pPr>
        <w:autoSpaceDE w:val="0"/>
        <w:autoSpaceDN w:val="0"/>
        <w:adjustRightInd w:val="0"/>
        <w:spacing w:after="0" w:line="360" w:lineRule="auto"/>
      </w:pPr>
    </w:p>
    <w:p w14:paraId="06080921" w14:textId="77777777" w:rsidR="00A44C6F" w:rsidRDefault="00A44C6F" w:rsidP="00796F84">
      <w:pPr>
        <w:autoSpaceDE w:val="0"/>
        <w:autoSpaceDN w:val="0"/>
        <w:adjustRightInd w:val="0"/>
        <w:spacing w:after="0" w:line="360" w:lineRule="auto"/>
      </w:pPr>
    </w:p>
    <w:p w14:paraId="6EFFBFA9" w14:textId="77777777" w:rsidR="00A44C6F" w:rsidRDefault="00A44C6F" w:rsidP="00796F84">
      <w:pPr>
        <w:autoSpaceDE w:val="0"/>
        <w:autoSpaceDN w:val="0"/>
        <w:adjustRightInd w:val="0"/>
        <w:spacing w:after="0" w:line="360" w:lineRule="auto"/>
      </w:pPr>
    </w:p>
    <w:p w14:paraId="1F9C640E" w14:textId="77777777" w:rsidR="00A44C6F" w:rsidRDefault="00A44C6F" w:rsidP="00796F84">
      <w:pPr>
        <w:autoSpaceDE w:val="0"/>
        <w:autoSpaceDN w:val="0"/>
        <w:adjustRightInd w:val="0"/>
        <w:spacing w:after="0" w:line="360" w:lineRule="auto"/>
      </w:pPr>
    </w:p>
    <w:p w14:paraId="09C173F0" w14:textId="77777777" w:rsidR="00A44C6F" w:rsidRDefault="00A44C6F" w:rsidP="00796F84">
      <w:pPr>
        <w:autoSpaceDE w:val="0"/>
        <w:autoSpaceDN w:val="0"/>
        <w:adjustRightInd w:val="0"/>
        <w:spacing w:after="0" w:line="360" w:lineRule="auto"/>
      </w:pPr>
    </w:p>
    <w:p w14:paraId="7F3E9CE1" w14:textId="77777777" w:rsidR="00A44C6F" w:rsidRDefault="00A44C6F" w:rsidP="00796F84">
      <w:pPr>
        <w:autoSpaceDE w:val="0"/>
        <w:autoSpaceDN w:val="0"/>
        <w:adjustRightInd w:val="0"/>
        <w:spacing w:after="0" w:line="360" w:lineRule="auto"/>
      </w:pPr>
    </w:p>
    <w:p w14:paraId="7045FF42" w14:textId="77777777" w:rsidR="00A44C6F" w:rsidRDefault="00A44C6F" w:rsidP="00796F84">
      <w:pPr>
        <w:autoSpaceDE w:val="0"/>
        <w:autoSpaceDN w:val="0"/>
        <w:adjustRightInd w:val="0"/>
        <w:spacing w:after="0" w:line="360" w:lineRule="auto"/>
      </w:pPr>
    </w:p>
    <w:p w14:paraId="18A43590" w14:textId="77777777" w:rsidR="003111A9" w:rsidRPr="00BD0067" w:rsidRDefault="003111A9" w:rsidP="00796F84">
      <w:pPr>
        <w:spacing w:after="0" w:line="360" w:lineRule="auto"/>
        <w:rPr>
          <w:rFonts w:eastAsia="Times New Roman" w:cs="Tahoma"/>
          <w:bCs/>
          <w:color w:val="auto"/>
          <w:lang w:eastAsia="es-ES"/>
        </w:rPr>
      </w:pPr>
    </w:p>
    <w:p w14:paraId="220B445F" w14:textId="77777777" w:rsidR="009D74BC" w:rsidRDefault="009D74BC" w:rsidP="00796F84">
      <w:pPr>
        <w:spacing w:after="0" w:line="360" w:lineRule="auto"/>
        <w:rPr>
          <w:b/>
        </w:rPr>
      </w:pPr>
    </w:p>
    <w:p w14:paraId="096E1AE8"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4AAC94A0" w14:textId="77777777" w:rsidR="000D3754" w:rsidRDefault="000D3754" w:rsidP="00796F84">
      <w:pPr>
        <w:spacing w:after="0" w:line="360" w:lineRule="auto"/>
        <w:rPr>
          <w:rFonts w:cs="Tahoma"/>
        </w:rPr>
      </w:pPr>
    </w:p>
    <w:p w14:paraId="1950A4FE" w14:textId="145680F6" w:rsidR="00C50842" w:rsidRDefault="00C50842" w:rsidP="00796F84">
      <w:pPr>
        <w:spacing w:after="0" w:line="360" w:lineRule="auto"/>
      </w:pPr>
    </w:p>
    <w:sectPr w:rsidR="00C50842" w:rsidSect="009B3229">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20A0C" w14:textId="77777777" w:rsidR="001A3887" w:rsidRDefault="001A3887" w:rsidP="00EC77D9">
      <w:pPr>
        <w:spacing w:after="0" w:line="240" w:lineRule="auto"/>
      </w:pPr>
      <w:r>
        <w:separator/>
      </w:r>
    </w:p>
  </w:endnote>
  <w:endnote w:type="continuationSeparator" w:id="0">
    <w:p w14:paraId="2368A499" w14:textId="77777777" w:rsidR="001A3887" w:rsidRDefault="001A3887"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6514E7" w:rsidRDefault="006514E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713B4">
              <w:rPr>
                <w:b/>
                <w:bCs/>
                <w:noProof/>
              </w:rPr>
              <w:t>14</w:t>
            </w:r>
            <w:r>
              <w:rPr>
                <w:b/>
                <w:bCs/>
                <w:sz w:val="24"/>
                <w:szCs w:val="24"/>
              </w:rPr>
              <w:fldChar w:fldCharType="end"/>
            </w:r>
          </w:p>
        </w:sdtContent>
      </w:sdt>
    </w:sdtContent>
  </w:sdt>
  <w:p w14:paraId="16BDDDFD" w14:textId="77777777" w:rsidR="006514E7" w:rsidRDefault="006514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6514E7" w:rsidRDefault="006514E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26EE7">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6EE7">
              <w:rPr>
                <w:b/>
                <w:bCs/>
                <w:noProof/>
              </w:rPr>
              <w:t>14</w:t>
            </w:r>
            <w:r>
              <w:rPr>
                <w:b/>
                <w:bCs/>
                <w:sz w:val="24"/>
                <w:szCs w:val="24"/>
              </w:rPr>
              <w:fldChar w:fldCharType="end"/>
            </w:r>
          </w:p>
        </w:sdtContent>
      </w:sdt>
    </w:sdtContent>
  </w:sdt>
  <w:p w14:paraId="480CB874" w14:textId="77777777" w:rsidR="006514E7" w:rsidRDefault="006514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6514E7" w:rsidRDefault="006514E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26EE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6EE7">
              <w:rPr>
                <w:b/>
                <w:bCs/>
                <w:noProof/>
              </w:rPr>
              <w:t>14</w:t>
            </w:r>
            <w:r>
              <w:rPr>
                <w:b/>
                <w:bCs/>
                <w:sz w:val="24"/>
                <w:szCs w:val="24"/>
              </w:rPr>
              <w:fldChar w:fldCharType="end"/>
            </w:r>
          </w:p>
        </w:sdtContent>
      </w:sdt>
    </w:sdtContent>
  </w:sdt>
  <w:p w14:paraId="604FB1E6" w14:textId="77777777" w:rsidR="006514E7" w:rsidRDefault="006514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219F0" w14:textId="77777777" w:rsidR="001A3887" w:rsidRDefault="001A3887" w:rsidP="00EC77D9">
      <w:pPr>
        <w:spacing w:after="0" w:line="240" w:lineRule="auto"/>
      </w:pPr>
      <w:r>
        <w:separator/>
      </w:r>
    </w:p>
  </w:footnote>
  <w:footnote w:type="continuationSeparator" w:id="0">
    <w:p w14:paraId="1E1046EA" w14:textId="77777777" w:rsidR="001A3887" w:rsidRDefault="001A3887"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6514E7" w:rsidRPr="00E152D8" w14:paraId="4A0009A6" w14:textId="77777777" w:rsidTr="006514E7">
      <w:trPr>
        <w:trHeight w:val="132"/>
      </w:trPr>
      <w:tc>
        <w:tcPr>
          <w:tcW w:w="2691" w:type="dxa"/>
        </w:tcPr>
        <w:p w14:paraId="76E98208" w14:textId="77777777" w:rsidR="006514E7" w:rsidRPr="00E152D8" w:rsidRDefault="006514E7" w:rsidP="006514E7">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6514E7" w:rsidRPr="00EE1572" w:rsidRDefault="006514E7" w:rsidP="006514E7">
          <w:pPr>
            <w:tabs>
              <w:tab w:val="right" w:pos="8838"/>
            </w:tabs>
            <w:ind w:left="-28" w:right="-32"/>
            <w:rPr>
              <w:rFonts w:eastAsia="Calibri" w:cs="Tahoma"/>
            </w:rPr>
          </w:pPr>
          <w:r w:rsidRPr="00EE1572">
            <w:rPr>
              <w:rFonts w:eastAsia="Calibri" w:cs="Tahoma"/>
            </w:rPr>
            <w:t>03846/INFOEM/IP/RR/2020</w:t>
          </w:r>
        </w:p>
      </w:tc>
    </w:tr>
    <w:tr w:rsidR="006514E7" w:rsidRPr="00E152D8" w14:paraId="4AB4C711" w14:textId="77777777" w:rsidTr="006514E7">
      <w:trPr>
        <w:trHeight w:val="261"/>
      </w:trPr>
      <w:tc>
        <w:tcPr>
          <w:tcW w:w="2691" w:type="dxa"/>
        </w:tcPr>
        <w:p w14:paraId="7E7EF0C1" w14:textId="77777777" w:rsidR="006514E7" w:rsidRPr="00E152D8" w:rsidRDefault="006514E7" w:rsidP="006514E7">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6514E7" w:rsidRPr="00EE1572" w:rsidRDefault="006514E7" w:rsidP="006514E7">
          <w:pPr>
            <w:tabs>
              <w:tab w:val="right" w:pos="8838"/>
            </w:tabs>
            <w:ind w:right="-32"/>
            <w:rPr>
              <w:rFonts w:eastAsia="Calibri" w:cs="Tahoma"/>
              <w:lang w:val="es-MX"/>
            </w:rPr>
          </w:pPr>
          <w:r>
            <w:rPr>
              <w:rFonts w:eastAsia="Calibri" w:cs="Tahoma"/>
              <w:lang w:val="es-MX"/>
            </w:rPr>
            <w:t>Ayuntamiento de Valle de Chalco Solidaridad</w:t>
          </w:r>
        </w:p>
      </w:tc>
    </w:tr>
    <w:tr w:rsidR="006514E7" w:rsidRPr="00E152D8" w14:paraId="4659C8A1" w14:textId="77777777" w:rsidTr="006514E7">
      <w:trPr>
        <w:trHeight w:val="261"/>
      </w:trPr>
      <w:tc>
        <w:tcPr>
          <w:tcW w:w="2691" w:type="dxa"/>
        </w:tcPr>
        <w:p w14:paraId="1445B823" w14:textId="77777777" w:rsidR="006514E7" w:rsidRPr="00E152D8" w:rsidRDefault="006514E7" w:rsidP="006514E7">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6514E7" w:rsidRPr="00E152D8" w:rsidRDefault="006514E7" w:rsidP="006514E7">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6514E7" w:rsidRDefault="001A3887">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BA3E" w14:textId="75E6A402" w:rsidR="006514E7" w:rsidRDefault="001A3887">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6.05pt;margin-top:-120.8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722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828"/>
    </w:tblGrid>
    <w:tr w:rsidR="006514E7" w:rsidRPr="00E152D8" w14:paraId="62A5EE36" w14:textId="77777777" w:rsidTr="00E106E7">
      <w:trPr>
        <w:trHeight w:val="138"/>
      </w:trPr>
      <w:tc>
        <w:tcPr>
          <w:tcW w:w="2401" w:type="dxa"/>
          <w:vAlign w:val="center"/>
        </w:tcPr>
        <w:p w14:paraId="4BDC24B8" w14:textId="77777777" w:rsidR="006514E7" w:rsidRDefault="006514E7" w:rsidP="006514E7">
          <w:pPr>
            <w:tabs>
              <w:tab w:val="right" w:pos="8838"/>
            </w:tabs>
            <w:ind w:right="-105"/>
            <w:jc w:val="left"/>
            <w:rPr>
              <w:rFonts w:eastAsia="Calibri" w:cs="Tahoma"/>
              <w:b/>
              <w:lang w:val="es-MX"/>
            </w:rPr>
          </w:pPr>
        </w:p>
        <w:p w14:paraId="028A99F9" w14:textId="73A63F6D" w:rsidR="006514E7" w:rsidRPr="00E152D8" w:rsidRDefault="006514E7" w:rsidP="006514E7">
          <w:pPr>
            <w:tabs>
              <w:tab w:val="right" w:pos="8838"/>
            </w:tabs>
            <w:ind w:right="-105"/>
            <w:jc w:val="left"/>
            <w:rPr>
              <w:rFonts w:eastAsia="Calibri" w:cs="Tahoma"/>
              <w:b/>
              <w:lang w:val="es-MX"/>
            </w:rPr>
          </w:pPr>
          <w:r w:rsidRPr="00E152D8">
            <w:rPr>
              <w:rFonts w:eastAsia="Calibri" w:cs="Tahoma"/>
              <w:b/>
              <w:lang w:val="es-MX"/>
            </w:rPr>
            <w:t>Recurso de Revisión:</w:t>
          </w:r>
        </w:p>
      </w:tc>
      <w:tc>
        <w:tcPr>
          <w:tcW w:w="4828" w:type="dxa"/>
        </w:tcPr>
        <w:p w14:paraId="6BEB8400" w14:textId="77777777" w:rsidR="006514E7" w:rsidRDefault="006514E7" w:rsidP="006514E7">
          <w:pPr>
            <w:tabs>
              <w:tab w:val="right" w:pos="8838"/>
            </w:tabs>
            <w:ind w:right="-32"/>
            <w:rPr>
              <w:rFonts w:eastAsia="Calibri" w:cs="Tahoma"/>
              <w:lang w:val="es-MX"/>
            </w:rPr>
          </w:pPr>
        </w:p>
        <w:p w14:paraId="1A41A00E" w14:textId="36B2EF58" w:rsidR="006514E7" w:rsidRPr="00051642" w:rsidRDefault="006514E7" w:rsidP="006514E7">
          <w:pPr>
            <w:tabs>
              <w:tab w:val="right" w:pos="8838"/>
            </w:tabs>
            <w:ind w:right="-32"/>
            <w:rPr>
              <w:rFonts w:eastAsia="Calibri" w:cs="Tahoma"/>
            </w:rPr>
          </w:pPr>
          <w:r>
            <w:rPr>
              <w:rFonts w:eastAsia="Calibri" w:cs="Tahoma"/>
              <w:lang w:val="es-MX"/>
            </w:rPr>
            <w:t>02006/INFOEM/IP/RR/2025</w:t>
          </w:r>
        </w:p>
      </w:tc>
    </w:tr>
    <w:tr w:rsidR="006514E7" w:rsidRPr="00E152D8" w14:paraId="25EB3B4F" w14:textId="77777777" w:rsidTr="00E106E7">
      <w:trPr>
        <w:trHeight w:val="273"/>
      </w:trPr>
      <w:tc>
        <w:tcPr>
          <w:tcW w:w="2401" w:type="dxa"/>
        </w:tcPr>
        <w:p w14:paraId="12B07625" w14:textId="77777777" w:rsidR="006514E7" w:rsidRPr="00E152D8" w:rsidRDefault="006514E7"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828" w:type="dxa"/>
        </w:tcPr>
        <w:p w14:paraId="16B12BD5" w14:textId="4727EC1C" w:rsidR="006514E7" w:rsidRPr="00051642" w:rsidRDefault="006514E7" w:rsidP="003D261A">
          <w:pPr>
            <w:tabs>
              <w:tab w:val="left" w:pos="3730"/>
              <w:tab w:val="right" w:pos="8838"/>
            </w:tabs>
            <w:ind w:right="597"/>
            <w:rPr>
              <w:rFonts w:eastAsia="Calibri" w:cs="Tahoma"/>
              <w:lang w:val="es-MX"/>
            </w:rPr>
          </w:pPr>
          <w:r>
            <w:t>Ayuntamiento de Toluca</w:t>
          </w:r>
        </w:p>
      </w:tc>
    </w:tr>
    <w:tr w:rsidR="006514E7" w:rsidRPr="00E152D8" w14:paraId="2B76E1FC" w14:textId="77777777" w:rsidTr="00E106E7">
      <w:trPr>
        <w:trHeight w:val="273"/>
      </w:trPr>
      <w:tc>
        <w:tcPr>
          <w:tcW w:w="2401" w:type="dxa"/>
        </w:tcPr>
        <w:p w14:paraId="4C4F10A1" w14:textId="77777777" w:rsidR="006514E7" w:rsidRPr="00E152D8" w:rsidRDefault="006514E7" w:rsidP="009E6F8A">
          <w:pPr>
            <w:tabs>
              <w:tab w:val="right" w:pos="8838"/>
            </w:tabs>
            <w:ind w:right="-105"/>
            <w:rPr>
              <w:rFonts w:eastAsia="Calibri" w:cs="Tahoma"/>
              <w:b/>
              <w:lang w:val="es-MX"/>
            </w:rPr>
          </w:pPr>
          <w:r w:rsidRPr="00E152D8">
            <w:rPr>
              <w:rFonts w:eastAsia="Calibri" w:cs="Tahoma"/>
              <w:b/>
              <w:lang w:val="es-MX"/>
            </w:rPr>
            <w:t>Comisionado Ponente:</w:t>
          </w:r>
        </w:p>
      </w:tc>
      <w:tc>
        <w:tcPr>
          <w:tcW w:w="4828" w:type="dxa"/>
        </w:tcPr>
        <w:p w14:paraId="103DBC8B" w14:textId="2FCF654F" w:rsidR="006514E7" w:rsidRPr="006B1EF4" w:rsidRDefault="006514E7" w:rsidP="006B1EF4">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6514E7" w:rsidRDefault="006514E7" w:rsidP="006514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2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425"/>
    </w:tblGrid>
    <w:tr w:rsidR="006514E7" w:rsidRPr="00E152D8" w14:paraId="03E85E0E" w14:textId="77777777" w:rsidTr="00F02FFB">
      <w:trPr>
        <w:trHeight w:val="132"/>
      </w:trPr>
      <w:tc>
        <w:tcPr>
          <w:tcW w:w="2410" w:type="dxa"/>
        </w:tcPr>
        <w:p w14:paraId="67360501" w14:textId="1B94502D" w:rsidR="006514E7" w:rsidRPr="00E152D8" w:rsidRDefault="006514E7" w:rsidP="006514E7">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819" w:type="dxa"/>
          <w:gridSpan w:val="2"/>
        </w:tcPr>
        <w:p w14:paraId="1E6AD7E0" w14:textId="302C9442" w:rsidR="006514E7" w:rsidRPr="00051642" w:rsidRDefault="006514E7" w:rsidP="009B3229">
          <w:pPr>
            <w:tabs>
              <w:tab w:val="right" w:pos="8838"/>
            </w:tabs>
            <w:ind w:right="-32"/>
            <w:rPr>
              <w:rFonts w:eastAsia="Calibri" w:cs="Tahoma"/>
            </w:rPr>
          </w:pPr>
          <w:r>
            <w:rPr>
              <w:rFonts w:eastAsia="Calibri" w:cs="Tahoma"/>
              <w:lang w:val="es-MX"/>
            </w:rPr>
            <w:t>02006/INFOEM/IP/RR/2025</w:t>
          </w:r>
        </w:p>
      </w:tc>
    </w:tr>
    <w:tr w:rsidR="006514E7" w:rsidRPr="00E152D8" w14:paraId="5E1FE5FD" w14:textId="77777777" w:rsidTr="00F02FFB">
      <w:trPr>
        <w:trHeight w:val="132"/>
      </w:trPr>
      <w:tc>
        <w:tcPr>
          <w:tcW w:w="2410" w:type="dxa"/>
        </w:tcPr>
        <w:p w14:paraId="046D02FA" w14:textId="77777777" w:rsidR="006514E7" w:rsidRPr="00E152D8" w:rsidRDefault="006514E7" w:rsidP="006514E7">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gridSpan w:val="2"/>
        </w:tcPr>
        <w:p w14:paraId="6517D3A9" w14:textId="70A7F014" w:rsidR="006514E7" w:rsidRPr="00E152D8" w:rsidRDefault="00126EE7" w:rsidP="009B3229">
          <w:pPr>
            <w:tabs>
              <w:tab w:val="right" w:pos="8838"/>
            </w:tabs>
            <w:ind w:right="-48"/>
            <w:rPr>
              <w:rFonts w:eastAsia="Calibri" w:cs="Tahoma"/>
              <w:lang w:val="es-MX"/>
            </w:rPr>
          </w:pPr>
          <w:r w:rsidRPr="00126EE7">
            <w:rPr>
              <w:rFonts w:eastAsia="Calibri" w:cs="Tahoma"/>
              <w:highlight w:val="black"/>
              <w:lang w:val="es-MX"/>
            </w:rPr>
            <w:t>XXXXXXXXXXXXXXX</w:t>
          </w:r>
        </w:p>
      </w:tc>
    </w:tr>
    <w:tr w:rsidR="006514E7" w:rsidRPr="00E152D8" w14:paraId="55B580D4" w14:textId="77777777" w:rsidTr="00F02FFB">
      <w:trPr>
        <w:gridAfter w:val="1"/>
        <w:wAfter w:w="425" w:type="dxa"/>
        <w:trHeight w:val="261"/>
      </w:trPr>
      <w:tc>
        <w:tcPr>
          <w:tcW w:w="2410" w:type="dxa"/>
        </w:tcPr>
        <w:p w14:paraId="08C714D2" w14:textId="77777777" w:rsidR="006514E7" w:rsidRPr="00E152D8" w:rsidRDefault="006514E7" w:rsidP="006514E7">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4" w:type="dxa"/>
        </w:tcPr>
        <w:p w14:paraId="58768412" w14:textId="43B57FB2" w:rsidR="006514E7" w:rsidRPr="00C67EF9" w:rsidRDefault="006514E7" w:rsidP="00587D77">
          <w:pPr>
            <w:ind w:right="178"/>
          </w:pPr>
          <w:r>
            <w:t>Ayuntamiento de Toluca</w:t>
          </w:r>
        </w:p>
      </w:tc>
    </w:tr>
    <w:tr w:rsidR="006514E7" w:rsidRPr="00E152D8" w14:paraId="3EC166B6" w14:textId="77777777" w:rsidTr="00F02FFB">
      <w:trPr>
        <w:trHeight w:val="261"/>
      </w:trPr>
      <w:tc>
        <w:tcPr>
          <w:tcW w:w="2410" w:type="dxa"/>
        </w:tcPr>
        <w:p w14:paraId="2F1C1A23" w14:textId="77777777" w:rsidR="006514E7" w:rsidRPr="00E152D8" w:rsidRDefault="006514E7" w:rsidP="006514E7">
          <w:pPr>
            <w:tabs>
              <w:tab w:val="right" w:pos="8838"/>
            </w:tabs>
            <w:ind w:right="-105"/>
            <w:rPr>
              <w:rFonts w:eastAsia="Calibri" w:cs="Tahoma"/>
              <w:b/>
              <w:lang w:val="es-MX"/>
            </w:rPr>
          </w:pPr>
          <w:r w:rsidRPr="00E152D8">
            <w:rPr>
              <w:rFonts w:eastAsia="Calibri" w:cs="Tahoma"/>
              <w:b/>
              <w:lang w:val="es-MX"/>
            </w:rPr>
            <w:t>Comisionado Ponente:</w:t>
          </w:r>
        </w:p>
      </w:tc>
      <w:tc>
        <w:tcPr>
          <w:tcW w:w="4819" w:type="dxa"/>
          <w:gridSpan w:val="2"/>
        </w:tcPr>
        <w:p w14:paraId="64237160" w14:textId="77777777" w:rsidR="006514E7" w:rsidRPr="00E152D8" w:rsidRDefault="006514E7"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6514E7" w:rsidRDefault="001A3887" w:rsidP="006514E7">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8.95pt;margin-top:-117.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1508C"/>
    <w:multiLevelType w:val="hybridMultilevel"/>
    <w:tmpl w:val="DAC09258"/>
    <w:lvl w:ilvl="0" w:tplc="598A5A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52F6D"/>
    <w:multiLevelType w:val="hybridMultilevel"/>
    <w:tmpl w:val="50645AAA"/>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D30FDD"/>
    <w:multiLevelType w:val="hybridMultilevel"/>
    <w:tmpl w:val="98AA4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9F011C"/>
    <w:multiLevelType w:val="hybridMultilevel"/>
    <w:tmpl w:val="9A820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E1103D"/>
    <w:multiLevelType w:val="hybridMultilevel"/>
    <w:tmpl w:val="F9B6444C"/>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422B8C"/>
    <w:multiLevelType w:val="hybridMultilevel"/>
    <w:tmpl w:val="C41862E6"/>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164ED0"/>
    <w:multiLevelType w:val="hybridMultilevel"/>
    <w:tmpl w:val="9E0835D8"/>
    <w:lvl w:ilvl="0" w:tplc="66740F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6BDC2AA7"/>
    <w:multiLevelType w:val="hybridMultilevel"/>
    <w:tmpl w:val="0A584E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FD39A1"/>
    <w:multiLevelType w:val="hybridMultilevel"/>
    <w:tmpl w:val="104A4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18"/>
  </w:num>
  <w:num w:numId="12">
    <w:abstractNumId w:val="2"/>
  </w:num>
  <w:num w:numId="13">
    <w:abstractNumId w:val="16"/>
  </w:num>
  <w:num w:numId="14">
    <w:abstractNumId w:val="9"/>
  </w:num>
  <w:num w:numId="15">
    <w:abstractNumId w:val="20"/>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7"/>
  </w:num>
  <w:num w:numId="21">
    <w:abstractNumId w:val="6"/>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077E"/>
    <w:rsid w:val="00002B99"/>
    <w:rsid w:val="00002FEC"/>
    <w:rsid w:val="000069C8"/>
    <w:rsid w:val="00006EA2"/>
    <w:rsid w:val="0001164A"/>
    <w:rsid w:val="00011D20"/>
    <w:rsid w:val="0001218F"/>
    <w:rsid w:val="00012400"/>
    <w:rsid w:val="000124F5"/>
    <w:rsid w:val="00013F59"/>
    <w:rsid w:val="000144E2"/>
    <w:rsid w:val="00016654"/>
    <w:rsid w:val="000177C9"/>
    <w:rsid w:val="0002032C"/>
    <w:rsid w:val="00020AB8"/>
    <w:rsid w:val="00024850"/>
    <w:rsid w:val="00025B2A"/>
    <w:rsid w:val="00026163"/>
    <w:rsid w:val="00030FFF"/>
    <w:rsid w:val="0003170C"/>
    <w:rsid w:val="000355E1"/>
    <w:rsid w:val="00035DBD"/>
    <w:rsid w:val="000374E9"/>
    <w:rsid w:val="000401D5"/>
    <w:rsid w:val="0004033B"/>
    <w:rsid w:val="00040DF8"/>
    <w:rsid w:val="00043095"/>
    <w:rsid w:val="00044BDD"/>
    <w:rsid w:val="00047686"/>
    <w:rsid w:val="0005005E"/>
    <w:rsid w:val="000513A9"/>
    <w:rsid w:val="00051EE6"/>
    <w:rsid w:val="00053FF2"/>
    <w:rsid w:val="00054D31"/>
    <w:rsid w:val="00055ECC"/>
    <w:rsid w:val="00056E06"/>
    <w:rsid w:val="000577CB"/>
    <w:rsid w:val="00060459"/>
    <w:rsid w:val="00061DFC"/>
    <w:rsid w:val="00061E08"/>
    <w:rsid w:val="00063582"/>
    <w:rsid w:val="0006411D"/>
    <w:rsid w:val="00065494"/>
    <w:rsid w:val="00066FDF"/>
    <w:rsid w:val="00070CB0"/>
    <w:rsid w:val="000713B4"/>
    <w:rsid w:val="00075ED6"/>
    <w:rsid w:val="00077B14"/>
    <w:rsid w:val="00081C90"/>
    <w:rsid w:val="000823E5"/>
    <w:rsid w:val="000834BE"/>
    <w:rsid w:val="00083DAC"/>
    <w:rsid w:val="00084522"/>
    <w:rsid w:val="00084933"/>
    <w:rsid w:val="0008575F"/>
    <w:rsid w:val="00086009"/>
    <w:rsid w:val="00092121"/>
    <w:rsid w:val="000927A3"/>
    <w:rsid w:val="0009338B"/>
    <w:rsid w:val="00093585"/>
    <w:rsid w:val="00094453"/>
    <w:rsid w:val="000950A5"/>
    <w:rsid w:val="000964A3"/>
    <w:rsid w:val="00096C42"/>
    <w:rsid w:val="000A0336"/>
    <w:rsid w:val="000A0911"/>
    <w:rsid w:val="000A15B4"/>
    <w:rsid w:val="000A3945"/>
    <w:rsid w:val="000A3A28"/>
    <w:rsid w:val="000A476C"/>
    <w:rsid w:val="000A54AC"/>
    <w:rsid w:val="000A5651"/>
    <w:rsid w:val="000B5550"/>
    <w:rsid w:val="000B5C9F"/>
    <w:rsid w:val="000B6867"/>
    <w:rsid w:val="000C006D"/>
    <w:rsid w:val="000C00CC"/>
    <w:rsid w:val="000C071B"/>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2142"/>
    <w:rsid w:val="000F3E39"/>
    <w:rsid w:val="000F4019"/>
    <w:rsid w:val="000F4364"/>
    <w:rsid w:val="000F5705"/>
    <w:rsid w:val="000F62E3"/>
    <w:rsid w:val="000F6396"/>
    <w:rsid w:val="000F649F"/>
    <w:rsid w:val="000F67B1"/>
    <w:rsid w:val="000F6C3B"/>
    <w:rsid w:val="000F7477"/>
    <w:rsid w:val="000F7709"/>
    <w:rsid w:val="00100424"/>
    <w:rsid w:val="00104B20"/>
    <w:rsid w:val="00107737"/>
    <w:rsid w:val="00110C27"/>
    <w:rsid w:val="0011206C"/>
    <w:rsid w:val="001132A0"/>
    <w:rsid w:val="001159E2"/>
    <w:rsid w:val="00116AD6"/>
    <w:rsid w:val="00121A03"/>
    <w:rsid w:val="00122140"/>
    <w:rsid w:val="00126EE7"/>
    <w:rsid w:val="0013258E"/>
    <w:rsid w:val="001327F2"/>
    <w:rsid w:val="00135EF9"/>
    <w:rsid w:val="00136563"/>
    <w:rsid w:val="00137CDF"/>
    <w:rsid w:val="00140769"/>
    <w:rsid w:val="00143719"/>
    <w:rsid w:val="001446B7"/>
    <w:rsid w:val="001448D9"/>
    <w:rsid w:val="001459FA"/>
    <w:rsid w:val="001570AC"/>
    <w:rsid w:val="001613C8"/>
    <w:rsid w:val="001645ED"/>
    <w:rsid w:val="00165240"/>
    <w:rsid w:val="00165CC4"/>
    <w:rsid w:val="00167B81"/>
    <w:rsid w:val="001700C7"/>
    <w:rsid w:val="00172038"/>
    <w:rsid w:val="0017380B"/>
    <w:rsid w:val="00173914"/>
    <w:rsid w:val="00174983"/>
    <w:rsid w:val="001756F2"/>
    <w:rsid w:val="00175A9E"/>
    <w:rsid w:val="00180A6A"/>
    <w:rsid w:val="00182C11"/>
    <w:rsid w:val="00183338"/>
    <w:rsid w:val="00183B12"/>
    <w:rsid w:val="001861C3"/>
    <w:rsid w:val="001879FA"/>
    <w:rsid w:val="00187F73"/>
    <w:rsid w:val="0019157A"/>
    <w:rsid w:val="00191FDE"/>
    <w:rsid w:val="001928BD"/>
    <w:rsid w:val="001952CF"/>
    <w:rsid w:val="00196794"/>
    <w:rsid w:val="00196CF5"/>
    <w:rsid w:val="00197E2A"/>
    <w:rsid w:val="001A15AA"/>
    <w:rsid w:val="001A3887"/>
    <w:rsid w:val="001A6395"/>
    <w:rsid w:val="001A7755"/>
    <w:rsid w:val="001B0790"/>
    <w:rsid w:val="001B6A39"/>
    <w:rsid w:val="001C21EE"/>
    <w:rsid w:val="001C2619"/>
    <w:rsid w:val="001C709D"/>
    <w:rsid w:val="001D0453"/>
    <w:rsid w:val="001D0BC1"/>
    <w:rsid w:val="001D1CD1"/>
    <w:rsid w:val="001D1FB3"/>
    <w:rsid w:val="001D3031"/>
    <w:rsid w:val="001D5D42"/>
    <w:rsid w:val="001D7434"/>
    <w:rsid w:val="001E01FD"/>
    <w:rsid w:val="001E0CFE"/>
    <w:rsid w:val="001E0DA3"/>
    <w:rsid w:val="001E2DF7"/>
    <w:rsid w:val="001E478B"/>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3B19"/>
    <w:rsid w:val="00216A85"/>
    <w:rsid w:val="00220AF5"/>
    <w:rsid w:val="00220B1D"/>
    <w:rsid w:val="002245BC"/>
    <w:rsid w:val="00232DCC"/>
    <w:rsid w:val="00236931"/>
    <w:rsid w:val="00236B98"/>
    <w:rsid w:val="0024218A"/>
    <w:rsid w:val="00242400"/>
    <w:rsid w:val="0024566F"/>
    <w:rsid w:val="00246785"/>
    <w:rsid w:val="00254430"/>
    <w:rsid w:val="0025508B"/>
    <w:rsid w:val="002552D9"/>
    <w:rsid w:val="00255743"/>
    <w:rsid w:val="00255DE0"/>
    <w:rsid w:val="00264585"/>
    <w:rsid w:val="00265193"/>
    <w:rsid w:val="00265B53"/>
    <w:rsid w:val="00266048"/>
    <w:rsid w:val="00266260"/>
    <w:rsid w:val="00270575"/>
    <w:rsid w:val="002711D3"/>
    <w:rsid w:val="00271C85"/>
    <w:rsid w:val="00272819"/>
    <w:rsid w:val="002762F3"/>
    <w:rsid w:val="00276392"/>
    <w:rsid w:val="00277C3B"/>
    <w:rsid w:val="00280103"/>
    <w:rsid w:val="00281566"/>
    <w:rsid w:val="0028160B"/>
    <w:rsid w:val="00281897"/>
    <w:rsid w:val="0028211E"/>
    <w:rsid w:val="00282253"/>
    <w:rsid w:val="0029016A"/>
    <w:rsid w:val="002912C0"/>
    <w:rsid w:val="00291A70"/>
    <w:rsid w:val="00291F68"/>
    <w:rsid w:val="00292591"/>
    <w:rsid w:val="002945EF"/>
    <w:rsid w:val="0029541E"/>
    <w:rsid w:val="0029791B"/>
    <w:rsid w:val="002A0750"/>
    <w:rsid w:val="002A1009"/>
    <w:rsid w:val="002A5660"/>
    <w:rsid w:val="002A5EEC"/>
    <w:rsid w:val="002A7380"/>
    <w:rsid w:val="002B1265"/>
    <w:rsid w:val="002B2DFE"/>
    <w:rsid w:val="002B67F9"/>
    <w:rsid w:val="002B7065"/>
    <w:rsid w:val="002B7C20"/>
    <w:rsid w:val="002C0F71"/>
    <w:rsid w:val="002C20BA"/>
    <w:rsid w:val="002C37E5"/>
    <w:rsid w:val="002C3C1A"/>
    <w:rsid w:val="002C56CE"/>
    <w:rsid w:val="002D04DE"/>
    <w:rsid w:val="002D2283"/>
    <w:rsid w:val="002D2956"/>
    <w:rsid w:val="002D4674"/>
    <w:rsid w:val="002E1101"/>
    <w:rsid w:val="002E19CF"/>
    <w:rsid w:val="002E44C3"/>
    <w:rsid w:val="002E4B22"/>
    <w:rsid w:val="002E59B2"/>
    <w:rsid w:val="002E6038"/>
    <w:rsid w:val="002F3DE4"/>
    <w:rsid w:val="0030126D"/>
    <w:rsid w:val="003044BA"/>
    <w:rsid w:val="00304AD6"/>
    <w:rsid w:val="00305F31"/>
    <w:rsid w:val="00306E6A"/>
    <w:rsid w:val="003111A9"/>
    <w:rsid w:val="00311C91"/>
    <w:rsid w:val="00313A34"/>
    <w:rsid w:val="0031460E"/>
    <w:rsid w:val="00315248"/>
    <w:rsid w:val="00320553"/>
    <w:rsid w:val="0032206B"/>
    <w:rsid w:val="003236ED"/>
    <w:rsid w:val="00324215"/>
    <w:rsid w:val="00324F7C"/>
    <w:rsid w:val="00327B78"/>
    <w:rsid w:val="003318DB"/>
    <w:rsid w:val="00335A77"/>
    <w:rsid w:val="00336472"/>
    <w:rsid w:val="003411EE"/>
    <w:rsid w:val="00341434"/>
    <w:rsid w:val="00341982"/>
    <w:rsid w:val="00343243"/>
    <w:rsid w:val="0034471C"/>
    <w:rsid w:val="0034595E"/>
    <w:rsid w:val="003459B3"/>
    <w:rsid w:val="00351494"/>
    <w:rsid w:val="00351F38"/>
    <w:rsid w:val="003528D4"/>
    <w:rsid w:val="00353C72"/>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1579"/>
    <w:rsid w:val="00372CF6"/>
    <w:rsid w:val="00373E54"/>
    <w:rsid w:val="00375AEB"/>
    <w:rsid w:val="00377F05"/>
    <w:rsid w:val="00381944"/>
    <w:rsid w:val="00382169"/>
    <w:rsid w:val="00382C6A"/>
    <w:rsid w:val="00383B50"/>
    <w:rsid w:val="00383F4C"/>
    <w:rsid w:val="00384BAB"/>
    <w:rsid w:val="003857BE"/>
    <w:rsid w:val="00392B31"/>
    <w:rsid w:val="0039476D"/>
    <w:rsid w:val="00394EBC"/>
    <w:rsid w:val="003953CB"/>
    <w:rsid w:val="0039631B"/>
    <w:rsid w:val="00397B16"/>
    <w:rsid w:val="003A1D06"/>
    <w:rsid w:val="003A280A"/>
    <w:rsid w:val="003A2DD8"/>
    <w:rsid w:val="003A5FAE"/>
    <w:rsid w:val="003A71BC"/>
    <w:rsid w:val="003B121B"/>
    <w:rsid w:val="003B1CBE"/>
    <w:rsid w:val="003B444F"/>
    <w:rsid w:val="003B66D4"/>
    <w:rsid w:val="003B7CF1"/>
    <w:rsid w:val="003B7EAA"/>
    <w:rsid w:val="003C2F7C"/>
    <w:rsid w:val="003C39F9"/>
    <w:rsid w:val="003C62AD"/>
    <w:rsid w:val="003C7592"/>
    <w:rsid w:val="003D0090"/>
    <w:rsid w:val="003D01F0"/>
    <w:rsid w:val="003D0737"/>
    <w:rsid w:val="003D1078"/>
    <w:rsid w:val="003D130A"/>
    <w:rsid w:val="003D150E"/>
    <w:rsid w:val="003D261A"/>
    <w:rsid w:val="003D2BB1"/>
    <w:rsid w:val="003D3AD3"/>
    <w:rsid w:val="003D4253"/>
    <w:rsid w:val="003D4DFE"/>
    <w:rsid w:val="003D7C2C"/>
    <w:rsid w:val="003E3B2A"/>
    <w:rsid w:val="003E70D3"/>
    <w:rsid w:val="003F0611"/>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452"/>
    <w:rsid w:val="00431D14"/>
    <w:rsid w:val="00436AE5"/>
    <w:rsid w:val="00437156"/>
    <w:rsid w:val="00437331"/>
    <w:rsid w:val="004378D0"/>
    <w:rsid w:val="00443071"/>
    <w:rsid w:val="00443F0D"/>
    <w:rsid w:val="00444713"/>
    <w:rsid w:val="0044639B"/>
    <w:rsid w:val="004508EF"/>
    <w:rsid w:val="00451C54"/>
    <w:rsid w:val="0045297C"/>
    <w:rsid w:val="00454CCA"/>
    <w:rsid w:val="00460CA9"/>
    <w:rsid w:val="004615AF"/>
    <w:rsid w:val="00461714"/>
    <w:rsid w:val="004631EF"/>
    <w:rsid w:val="004632B2"/>
    <w:rsid w:val="00463532"/>
    <w:rsid w:val="00464B3F"/>
    <w:rsid w:val="004655A7"/>
    <w:rsid w:val="00467E3F"/>
    <w:rsid w:val="00470E8C"/>
    <w:rsid w:val="00470FD1"/>
    <w:rsid w:val="00471720"/>
    <w:rsid w:val="004729F0"/>
    <w:rsid w:val="004732B4"/>
    <w:rsid w:val="0048199E"/>
    <w:rsid w:val="00483EE1"/>
    <w:rsid w:val="00484AAF"/>
    <w:rsid w:val="00487553"/>
    <w:rsid w:val="0049048A"/>
    <w:rsid w:val="00490E0C"/>
    <w:rsid w:val="00492661"/>
    <w:rsid w:val="0049294E"/>
    <w:rsid w:val="00494A1F"/>
    <w:rsid w:val="00494ADB"/>
    <w:rsid w:val="004A38DC"/>
    <w:rsid w:val="004A40F2"/>
    <w:rsid w:val="004A5EC7"/>
    <w:rsid w:val="004B20E0"/>
    <w:rsid w:val="004B3B6F"/>
    <w:rsid w:val="004B3FE5"/>
    <w:rsid w:val="004B54D0"/>
    <w:rsid w:val="004B7612"/>
    <w:rsid w:val="004B786D"/>
    <w:rsid w:val="004C0F26"/>
    <w:rsid w:val="004C1377"/>
    <w:rsid w:val="004C2175"/>
    <w:rsid w:val="004C7BF8"/>
    <w:rsid w:val="004D029F"/>
    <w:rsid w:val="004D1B09"/>
    <w:rsid w:val="004D49F9"/>
    <w:rsid w:val="004D7869"/>
    <w:rsid w:val="004E27EA"/>
    <w:rsid w:val="004E2A97"/>
    <w:rsid w:val="004E3876"/>
    <w:rsid w:val="004E44D2"/>
    <w:rsid w:val="004E5AED"/>
    <w:rsid w:val="00500370"/>
    <w:rsid w:val="00502FA9"/>
    <w:rsid w:val="00503573"/>
    <w:rsid w:val="00504378"/>
    <w:rsid w:val="00505972"/>
    <w:rsid w:val="00505B8D"/>
    <w:rsid w:val="0050747C"/>
    <w:rsid w:val="00507B3B"/>
    <w:rsid w:val="00515860"/>
    <w:rsid w:val="00520569"/>
    <w:rsid w:val="00522570"/>
    <w:rsid w:val="00524C92"/>
    <w:rsid w:val="00526532"/>
    <w:rsid w:val="00533430"/>
    <w:rsid w:val="0053447C"/>
    <w:rsid w:val="0053490D"/>
    <w:rsid w:val="00535D9C"/>
    <w:rsid w:val="00537318"/>
    <w:rsid w:val="00537422"/>
    <w:rsid w:val="00537966"/>
    <w:rsid w:val="0054037C"/>
    <w:rsid w:val="00541CD3"/>
    <w:rsid w:val="005423DE"/>
    <w:rsid w:val="00543143"/>
    <w:rsid w:val="005439B3"/>
    <w:rsid w:val="0054421E"/>
    <w:rsid w:val="0054509E"/>
    <w:rsid w:val="00551348"/>
    <w:rsid w:val="005516AE"/>
    <w:rsid w:val="00554349"/>
    <w:rsid w:val="005545A5"/>
    <w:rsid w:val="0055491F"/>
    <w:rsid w:val="00555330"/>
    <w:rsid w:val="00557A00"/>
    <w:rsid w:val="00560A0D"/>
    <w:rsid w:val="00563865"/>
    <w:rsid w:val="005705A9"/>
    <w:rsid w:val="00571D4E"/>
    <w:rsid w:val="005741C5"/>
    <w:rsid w:val="00576121"/>
    <w:rsid w:val="00576451"/>
    <w:rsid w:val="005827CF"/>
    <w:rsid w:val="00582F2A"/>
    <w:rsid w:val="005832C9"/>
    <w:rsid w:val="00583737"/>
    <w:rsid w:val="00584B67"/>
    <w:rsid w:val="00585111"/>
    <w:rsid w:val="0058579C"/>
    <w:rsid w:val="005859C8"/>
    <w:rsid w:val="00587778"/>
    <w:rsid w:val="00587D77"/>
    <w:rsid w:val="00593B78"/>
    <w:rsid w:val="00597728"/>
    <w:rsid w:val="00597DBB"/>
    <w:rsid w:val="005A0B5F"/>
    <w:rsid w:val="005A0CE3"/>
    <w:rsid w:val="005A1082"/>
    <w:rsid w:val="005A151C"/>
    <w:rsid w:val="005A27A6"/>
    <w:rsid w:val="005A2DBB"/>
    <w:rsid w:val="005A4E28"/>
    <w:rsid w:val="005B14D2"/>
    <w:rsid w:val="005B2800"/>
    <w:rsid w:val="005B3C2F"/>
    <w:rsid w:val="005B6073"/>
    <w:rsid w:val="005B6354"/>
    <w:rsid w:val="005B709F"/>
    <w:rsid w:val="005B78CE"/>
    <w:rsid w:val="005C1960"/>
    <w:rsid w:val="005D09EA"/>
    <w:rsid w:val="005D1AB8"/>
    <w:rsid w:val="005D3BC9"/>
    <w:rsid w:val="005D6A89"/>
    <w:rsid w:val="005E1808"/>
    <w:rsid w:val="005E226B"/>
    <w:rsid w:val="005E249D"/>
    <w:rsid w:val="005E24F8"/>
    <w:rsid w:val="005E310D"/>
    <w:rsid w:val="005E3D5A"/>
    <w:rsid w:val="005E5E47"/>
    <w:rsid w:val="005E6021"/>
    <w:rsid w:val="005E6581"/>
    <w:rsid w:val="005E6CC6"/>
    <w:rsid w:val="005F0827"/>
    <w:rsid w:val="005F4789"/>
    <w:rsid w:val="005F5459"/>
    <w:rsid w:val="005F71FE"/>
    <w:rsid w:val="005F7AB9"/>
    <w:rsid w:val="00601AF0"/>
    <w:rsid w:val="0060301A"/>
    <w:rsid w:val="00605C2A"/>
    <w:rsid w:val="00607497"/>
    <w:rsid w:val="00610BB9"/>
    <w:rsid w:val="00611306"/>
    <w:rsid w:val="00612DBD"/>
    <w:rsid w:val="006141F8"/>
    <w:rsid w:val="0061788A"/>
    <w:rsid w:val="00617C09"/>
    <w:rsid w:val="00617C0F"/>
    <w:rsid w:val="006205F1"/>
    <w:rsid w:val="006229B3"/>
    <w:rsid w:val="006248A3"/>
    <w:rsid w:val="006301F7"/>
    <w:rsid w:val="0063409C"/>
    <w:rsid w:val="00634B59"/>
    <w:rsid w:val="00636809"/>
    <w:rsid w:val="00644EA5"/>
    <w:rsid w:val="006502FE"/>
    <w:rsid w:val="006514E7"/>
    <w:rsid w:val="006543F1"/>
    <w:rsid w:val="00657F1C"/>
    <w:rsid w:val="006607EA"/>
    <w:rsid w:val="00660B04"/>
    <w:rsid w:val="00661AB8"/>
    <w:rsid w:val="006654FC"/>
    <w:rsid w:val="00666AA9"/>
    <w:rsid w:val="00666F88"/>
    <w:rsid w:val="00667419"/>
    <w:rsid w:val="006674AE"/>
    <w:rsid w:val="00667F19"/>
    <w:rsid w:val="00670893"/>
    <w:rsid w:val="00670BBA"/>
    <w:rsid w:val="0067100D"/>
    <w:rsid w:val="0067215D"/>
    <w:rsid w:val="006724BD"/>
    <w:rsid w:val="006738C5"/>
    <w:rsid w:val="00673F53"/>
    <w:rsid w:val="006759BF"/>
    <w:rsid w:val="00676AEC"/>
    <w:rsid w:val="00676EE7"/>
    <w:rsid w:val="00681069"/>
    <w:rsid w:val="00683B95"/>
    <w:rsid w:val="00683E00"/>
    <w:rsid w:val="0068447E"/>
    <w:rsid w:val="00684F41"/>
    <w:rsid w:val="00686C69"/>
    <w:rsid w:val="00686EEB"/>
    <w:rsid w:val="00687A5B"/>
    <w:rsid w:val="00691C22"/>
    <w:rsid w:val="00694AAD"/>
    <w:rsid w:val="00695D3F"/>
    <w:rsid w:val="00696E0D"/>
    <w:rsid w:val="006A117F"/>
    <w:rsid w:val="006A19B1"/>
    <w:rsid w:val="006A271A"/>
    <w:rsid w:val="006A4ABF"/>
    <w:rsid w:val="006A52AF"/>
    <w:rsid w:val="006A7D41"/>
    <w:rsid w:val="006B1EF4"/>
    <w:rsid w:val="006B2DBE"/>
    <w:rsid w:val="006B4EBF"/>
    <w:rsid w:val="006B5BD0"/>
    <w:rsid w:val="006B71D7"/>
    <w:rsid w:val="006B7303"/>
    <w:rsid w:val="006C2718"/>
    <w:rsid w:val="006C291D"/>
    <w:rsid w:val="006C35BB"/>
    <w:rsid w:val="006C4C51"/>
    <w:rsid w:val="006C5476"/>
    <w:rsid w:val="006C6ED6"/>
    <w:rsid w:val="006C7C5B"/>
    <w:rsid w:val="006D2D13"/>
    <w:rsid w:val="006D5060"/>
    <w:rsid w:val="006D607E"/>
    <w:rsid w:val="006D72E9"/>
    <w:rsid w:val="006E0839"/>
    <w:rsid w:val="006E0844"/>
    <w:rsid w:val="006E0D31"/>
    <w:rsid w:val="006E3649"/>
    <w:rsid w:val="006E37B1"/>
    <w:rsid w:val="006E3C98"/>
    <w:rsid w:val="006E4169"/>
    <w:rsid w:val="006E4CE6"/>
    <w:rsid w:val="006E501E"/>
    <w:rsid w:val="006E69FC"/>
    <w:rsid w:val="006F011A"/>
    <w:rsid w:val="006F0B2A"/>
    <w:rsid w:val="006F261C"/>
    <w:rsid w:val="006F2667"/>
    <w:rsid w:val="006F3D78"/>
    <w:rsid w:val="006F51AE"/>
    <w:rsid w:val="006F6518"/>
    <w:rsid w:val="00700FFB"/>
    <w:rsid w:val="00703C07"/>
    <w:rsid w:val="007054E6"/>
    <w:rsid w:val="00705DBB"/>
    <w:rsid w:val="00714CEF"/>
    <w:rsid w:val="007173BE"/>
    <w:rsid w:val="007202EE"/>
    <w:rsid w:val="007221BA"/>
    <w:rsid w:val="00723255"/>
    <w:rsid w:val="00723C4B"/>
    <w:rsid w:val="0072796F"/>
    <w:rsid w:val="0073646F"/>
    <w:rsid w:val="00736B7A"/>
    <w:rsid w:val="00737A6B"/>
    <w:rsid w:val="0074310A"/>
    <w:rsid w:val="00743DE4"/>
    <w:rsid w:val="00750514"/>
    <w:rsid w:val="007505E8"/>
    <w:rsid w:val="0075641E"/>
    <w:rsid w:val="00756B42"/>
    <w:rsid w:val="007643D6"/>
    <w:rsid w:val="007654D0"/>
    <w:rsid w:val="0076755B"/>
    <w:rsid w:val="007727DE"/>
    <w:rsid w:val="00773098"/>
    <w:rsid w:val="00773C5B"/>
    <w:rsid w:val="00775A95"/>
    <w:rsid w:val="00775DBC"/>
    <w:rsid w:val="00780243"/>
    <w:rsid w:val="00780B70"/>
    <w:rsid w:val="00780B8A"/>
    <w:rsid w:val="00782DF8"/>
    <w:rsid w:val="00783BEF"/>
    <w:rsid w:val="00784AFE"/>
    <w:rsid w:val="007853AB"/>
    <w:rsid w:val="00786A7B"/>
    <w:rsid w:val="00792129"/>
    <w:rsid w:val="0079292C"/>
    <w:rsid w:val="00792D79"/>
    <w:rsid w:val="00793831"/>
    <w:rsid w:val="00796F84"/>
    <w:rsid w:val="00797DBB"/>
    <w:rsid w:val="00797EAD"/>
    <w:rsid w:val="007A0DC6"/>
    <w:rsid w:val="007A3067"/>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323"/>
    <w:rsid w:val="007E2659"/>
    <w:rsid w:val="007E4AAE"/>
    <w:rsid w:val="007E61C9"/>
    <w:rsid w:val="007E75EF"/>
    <w:rsid w:val="007F1A43"/>
    <w:rsid w:val="007F1E03"/>
    <w:rsid w:val="007F20F1"/>
    <w:rsid w:val="007F246F"/>
    <w:rsid w:val="007F316A"/>
    <w:rsid w:val="007F5ABF"/>
    <w:rsid w:val="00800152"/>
    <w:rsid w:val="008040E1"/>
    <w:rsid w:val="00804735"/>
    <w:rsid w:val="00806A3C"/>
    <w:rsid w:val="00806DB3"/>
    <w:rsid w:val="00807E43"/>
    <w:rsid w:val="008101E4"/>
    <w:rsid w:val="00810AC0"/>
    <w:rsid w:val="00815329"/>
    <w:rsid w:val="008175CD"/>
    <w:rsid w:val="008179D8"/>
    <w:rsid w:val="00817C75"/>
    <w:rsid w:val="00822B62"/>
    <w:rsid w:val="00822D03"/>
    <w:rsid w:val="00823825"/>
    <w:rsid w:val="008241CC"/>
    <w:rsid w:val="008263E3"/>
    <w:rsid w:val="008273DC"/>
    <w:rsid w:val="00827674"/>
    <w:rsid w:val="0083409B"/>
    <w:rsid w:val="00837814"/>
    <w:rsid w:val="00837AAF"/>
    <w:rsid w:val="00840587"/>
    <w:rsid w:val="00842C30"/>
    <w:rsid w:val="00843D9E"/>
    <w:rsid w:val="00844441"/>
    <w:rsid w:val="00844D0F"/>
    <w:rsid w:val="00845102"/>
    <w:rsid w:val="008462E0"/>
    <w:rsid w:val="008470B0"/>
    <w:rsid w:val="00847C47"/>
    <w:rsid w:val="00850E31"/>
    <w:rsid w:val="00851291"/>
    <w:rsid w:val="0085133C"/>
    <w:rsid w:val="00851708"/>
    <w:rsid w:val="00852FA9"/>
    <w:rsid w:val="0085415A"/>
    <w:rsid w:val="00855548"/>
    <w:rsid w:val="00855CF6"/>
    <w:rsid w:val="00860287"/>
    <w:rsid w:val="00860957"/>
    <w:rsid w:val="0086489A"/>
    <w:rsid w:val="00871A8D"/>
    <w:rsid w:val="00872485"/>
    <w:rsid w:val="00872602"/>
    <w:rsid w:val="00880895"/>
    <w:rsid w:val="00882BA2"/>
    <w:rsid w:val="008851B3"/>
    <w:rsid w:val="008866A4"/>
    <w:rsid w:val="00886CD4"/>
    <w:rsid w:val="00890243"/>
    <w:rsid w:val="00890FE5"/>
    <w:rsid w:val="008942CE"/>
    <w:rsid w:val="00894760"/>
    <w:rsid w:val="00894B74"/>
    <w:rsid w:val="0089507B"/>
    <w:rsid w:val="00895262"/>
    <w:rsid w:val="00895475"/>
    <w:rsid w:val="008A1159"/>
    <w:rsid w:val="008A3936"/>
    <w:rsid w:val="008A558B"/>
    <w:rsid w:val="008A6110"/>
    <w:rsid w:val="008A6E52"/>
    <w:rsid w:val="008B4387"/>
    <w:rsid w:val="008B5E53"/>
    <w:rsid w:val="008B60E3"/>
    <w:rsid w:val="008C1A3E"/>
    <w:rsid w:val="008C3EE9"/>
    <w:rsid w:val="008C576A"/>
    <w:rsid w:val="008C7A9D"/>
    <w:rsid w:val="008D03B8"/>
    <w:rsid w:val="008D5F0C"/>
    <w:rsid w:val="008E0E17"/>
    <w:rsid w:val="008E1582"/>
    <w:rsid w:val="008E1D1D"/>
    <w:rsid w:val="008E4F87"/>
    <w:rsid w:val="008E558B"/>
    <w:rsid w:val="008E5F4B"/>
    <w:rsid w:val="008E6BC7"/>
    <w:rsid w:val="008E79BB"/>
    <w:rsid w:val="008F14AD"/>
    <w:rsid w:val="008F190F"/>
    <w:rsid w:val="008F1933"/>
    <w:rsid w:val="008F1D8B"/>
    <w:rsid w:val="008F20D4"/>
    <w:rsid w:val="008F2AA8"/>
    <w:rsid w:val="008F3FF1"/>
    <w:rsid w:val="008F5178"/>
    <w:rsid w:val="008F5369"/>
    <w:rsid w:val="00903A8B"/>
    <w:rsid w:val="00903C02"/>
    <w:rsid w:val="00904745"/>
    <w:rsid w:val="00905EF3"/>
    <w:rsid w:val="00906C34"/>
    <w:rsid w:val="00910469"/>
    <w:rsid w:val="00911580"/>
    <w:rsid w:val="0091577C"/>
    <w:rsid w:val="00915FA4"/>
    <w:rsid w:val="00916765"/>
    <w:rsid w:val="009226C0"/>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603B7"/>
    <w:rsid w:val="00962722"/>
    <w:rsid w:val="00963B00"/>
    <w:rsid w:val="0096478B"/>
    <w:rsid w:val="00966C3B"/>
    <w:rsid w:val="009711D8"/>
    <w:rsid w:val="0097492D"/>
    <w:rsid w:val="00974B54"/>
    <w:rsid w:val="00975E93"/>
    <w:rsid w:val="00984FF8"/>
    <w:rsid w:val="009851FE"/>
    <w:rsid w:val="00985DE1"/>
    <w:rsid w:val="009876BA"/>
    <w:rsid w:val="00987BC4"/>
    <w:rsid w:val="00987E94"/>
    <w:rsid w:val="009933C5"/>
    <w:rsid w:val="00993524"/>
    <w:rsid w:val="00993AE7"/>
    <w:rsid w:val="00993D57"/>
    <w:rsid w:val="009955C1"/>
    <w:rsid w:val="009A07AE"/>
    <w:rsid w:val="009A184A"/>
    <w:rsid w:val="009A1C49"/>
    <w:rsid w:val="009A3066"/>
    <w:rsid w:val="009A48BE"/>
    <w:rsid w:val="009B0D9E"/>
    <w:rsid w:val="009B12F7"/>
    <w:rsid w:val="009B1C0B"/>
    <w:rsid w:val="009B1CFF"/>
    <w:rsid w:val="009B3229"/>
    <w:rsid w:val="009B4447"/>
    <w:rsid w:val="009B4AE7"/>
    <w:rsid w:val="009B4F07"/>
    <w:rsid w:val="009B4F28"/>
    <w:rsid w:val="009B568A"/>
    <w:rsid w:val="009B5FF8"/>
    <w:rsid w:val="009B6746"/>
    <w:rsid w:val="009B7C96"/>
    <w:rsid w:val="009C16A7"/>
    <w:rsid w:val="009C1876"/>
    <w:rsid w:val="009C1D2E"/>
    <w:rsid w:val="009C2632"/>
    <w:rsid w:val="009C2E13"/>
    <w:rsid w:val="009C3138"/>
    <w:rsid w:val="009C7E87"/>
    <w:rsid w:val="009D0C38"/>
    <w:rsid w:val="009D1FD5"/>
    <w:rsid w:val="009D3479"/>
    <w:rsid w:val="009D39EF"/>
    <w:rsid w:val="009D73B0"/>
    <w:rsid w:val="009D74BC"/>
    <w:rsid w:val="009E0B3B"/>
    <w:rsid w:val="009E1582"/>
    <w:rsid w:val="009E1FAE"/>
    <w:rsid w:val="009E2671"/>
    <w:rsid w:val="009E5ADD"/>
    <w:rsid w:val="009E6F8A"/>
    <w:rsid w:val="009E7021"/>
    <w:rsid w:val="009F0623"/>
    <w:rsid w:val="009F2BE0"/>
    <w:rsid w:val="009F4042"/>
    <w:rsid w:val="009F51BE"/>
    <w:rsid w:val="009F63FB"/>
    <w:rsid w:val="00A01721"/>
    <w:rsid w:val="00A0338D"/>
    <w:rsid w:val="00A0396E"/>
    <w:rsid w:val="00A0453B"/>
    <w:rsid w:val="00A06A49"/>
    <w:rsid w:val="00A06EDC"/>
    <w:rsid w:val="00A10255"/>
    <w:rsid w:val="00A1585B"/>
    <w:rsid w:val="00A17D4E"/>
    <w:rsid w:val="00A2046B"/>
    <w:rsid w:val="00A2050F"/>
    <w:rsid w:val="00A20C59"/>
    <w:rsid w:val="00A21466"/>
    <w:rsid w:val="00A235FA"/>
    <w:rsid w:val="00A23EA9"/>
    <w:rsid w:val="00A24F62"/>
    <w:rsid w:val="00A25403"/>
    <w:rsid w:val="00A306F3"/>
    <w:rsid w:val="00A3154E"/>
    <w:rsid w:val="00A3160A"/>
    <w:rsid w:val="00A329C5"/>
    <w:rsid w:val="00A336F1"/>
    <w:rsid w:val="00A33BF8"/>
    <w:rsid w:val="00A361ED"/>
    <w:rsid w:val="00A36BFC"/>
    <w:rsid w:val="00A37D74"/>
    <w:rsid w:val="00A44741"/>
    <w:rsid w:val="00A44C6F"/>
    <w:rsid w:val="00A47197"/>
    <w:rsid w:val="00A500EE"/>
    <w:rsid w:val="00A502CA"/>
    <w:rsid w:val="00A505EA"/>
    <w:rsid w:val="00A52B00"/>
    <w:rsid w:val="00A54130"/>
    <w:rsid w:val="00A54574"/>
    <w:rsid w:val="00A54976"/>
    <w:rsid w:val="00A56556"/>
    <w:rsid w:val="00A568F2"/>
    <w:rsid w:val="00A62376"/>
    <w:rsid w:val="00A63778"/>
    <w:rsid w:val="00A63DEB"/>
    <w:rsid w:val="00A64BAC"/>
    <w:rsid w:val="00A66E98"/>
    <w:rsid w:val="00A66FA9"/>
    <w:rsid w:val="00A67272"/>
    <w:rsid w:val="00A7555F"/>
    <w:rsid w:val="00A7744F"/>
    <w:rsid w:val="00A7785B"/>
    <w:rsid w:val="00A813F1"/>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2E44"/>
    <w:rsid w:val="00AA3EC4"/>
    <w:rsid w:val="00AA4CB6"/>
    <w:rsid w:val="00AA4DA6"/>
    <w:rsid w:val="00AA4DCE"/>
    <w:rsid w:val="00AA68FC"/>
    <w:rsid w:val="00AA775E"/>
    <w:rsid w:val="00AB0C30"/>
    <w:rsid w:val="00AB26EC"/>
    <w:rsid w:val="00AB2B19"/>
    <w:rsid w:val="00AB3942"/>
    <w:rsid w:val="00AB3BAD"/>
    <w:rsid w:val="00AB3E79"/>
    <w:rsid w:val="00AB5E61"/>
    <w:rsid w:val="00AB6E48"/>
    <w:rsid w:val="00AC1722"/>
    <w:rsid w:val="00AC2B06"/>
    <w:rsid w:val="00AC5E21"/>
    <w:rsid w:val="00AC606E"/>
    <w:rsid w:val="00AC66FF"/>
    <w:rsid w:val="00AD294A"/>
    <w:rsid w:val="00AD3F22"/>
    <w:rsid w:val="00AD4417"/>
    <w:rsid w:val="00AD527F"/>
    <w:rsid w:val="00AD7BB9"/>
    <w:rsid w:val="00AE0043"/>
    <w:rsid w:val="00AE0541"/>
    <w:rsid w:val="00AE14D4"/>
    <w:rsid w:val="00AE26CA"/>
    <w:rsid w:val="00AE3DD1"/>
    <w:rsid w:val="00AE496C"/>
    <w:rsid w:val="00AE68A4"/>
    <w:rsid w:val="00AF1426"/>
    <w:rsid w:val="00AF2DBE"/>
    <w:rsid w:val="00AF3F74"/>
    <w:rsid w:val="00AF590D"/>
    <w:rsid w:val="00B0253B"/>
    <w:rsid w:val="00B03065"/>
    <w:rsid w:val="00B04C84"/>
    <w:rsid w:val="00B04E07"/>
    <w:rsid w:val="00B0598B"/>
    <w:rsid w:val="00B05D17"/>
    <w:rsid w:val="00B064A4"/>
    <w:rsid w:val="00B06CCC"/>
    <w:rsid w:val="00B11CEA"/>
    <w:rsid w:val="00B12193"/>
    <w:rsid w:val="00B12386"/>
    <w:rsid w:val="00B14BAE"/>
    <w:rsid w:val="00B2000B"/>
    <w:rsid w:val="00B209A1"/>
    <w:rsid w:val="00B21155"/>
    <w:rsid w:val="00B2169F"/>
    <w:rsid w:val="00B2451A"/>
    <w:rsid w:val="00B24607"/>
    <w:rsid w:val="00B2547F"/>
    <w:rsid w:val="00B37005"/>
    <w:rsid w:val="00B43386"/>
    <w:rsid w:val="00B435CB"/>
    <w:rsid w:val="00B44404"/>
    <w:rsid w:val="00B45F00"/>
    <w:rsid w:val="00B470E8"/>
    <w:rsid w:val="00B5069D"/>
    <w:rsid w:val="00B51F42"/>
    <w:rsid w:val="00B529ED"/>
    <w:rsid w:val="00B53856"/>
    <w:rsid w:val="00B54B99"/>
    <w:rsid w:val="00B572BB"/>
    <w:rsid w:val="00B5790E"/>
    <w:rsid w:val="00B614AA"/>
    <w:rsid w:val="00B616E6"/>
    <w:rsid w:val="00B617E5"/>
    <w:rsid w:val="00B619FA"/>
    <w:rsid w:val="00B61BF0"/>
    <w:rsid w:val="00B64F86"/>
    <w:rsid w:val="00B65594"/>
    <w:rsid w:val="00B66997"/>
    <w:rsid w:val="00B7100A"/>
    <w:rsid w:val="00B722B3"/>
    <w:rsid w:val="00B75C40"/>
    <w:rsid w:val="00B75F21"/>
    <w:rsid w:val="00B7663A"/>
    <w:rsid w:val="00B77000"/>
    <w:rsid w:val="00B77668"/>
    <w:rsid w:val="00B817BD"/>
    <w:rsid w:val="00B8289E"/>
    <w:rsid w:val="00B82DD0"/>
    <w:rsid w:val="00B904E8"/>
    <w:rsid w:val="00B912D2"/>
    <w:rsid w:val="00B92607"/>
    <w:rsid w:val="00B936C7"/>
    <w:rsid w:val="00B956E6"/>
    <w:rsid w:val="00B95F59"/>
    <w:rsid w:val="00B96B96"/>
    <w:rsid w:val="00BA18AB"/>
    <w:rsid w:val="00BA3D61"/>
    <w:rsid w:val="00BA5990"/>
    <w:rsid w:val="00BA5C25"/>
    <w:rsid w:val="00BA693D"/>
    <w:rsid w:val="00BA7602"/>
    <w:rsid w:val="00BB2153"/>
    <w:rsid w:val="00BB3910"/>
    <w:rsid w:val="00BB670F"/>
    <w:rsid w:val="00BB7194"/>
    <w:rsid w:val="00BB7A3E"/>
    <w:rsid w:val="00BC30E5"/>
    <w:rsid w:val="00BC3E00"/>
    <w:rsid w:val="00BC5638"/>
    <w:rsid w:val="00BC6FF1"/>
    <w:rsid w:val="00BD0067"/>
    <w:rsid w:val="00BD0C02"/>
    <w:rsid w:val="00BD5986"/>
    <w:rsid w:val="00BD7F30"/>
    <w:rsid w:val="00BE08DA"/>
    <w:rsid w:val="00BE0A64"/>
    <w:rsid w:val="00BE0AF1"/>
    <w:rsid w:val="00BE3B2E"/>
    <w:rsid w:val="00BE44F4"/>
    <w:rsid w:val="00BE5C97"/>
    <w:rsid w:val="00BE75BB"/>
    <w:rsid w:val="00BF0FE5"/>
    <w:rsid w:val="00BF1227"/>
    <w:rsid w:val="00BF3376"/>
    <w:rsid w:val="00C01EDB"/>
    <w:rsid w:val="00C03D4D"/>
    <w:rsid w:val="00C0402C"/>
    <w:rsid w:val="00C04DDC"/>
    <w:rsid w:val="00C05247"/>
    <w:rsid w:val="00C11710"/>
    <w:rsid w:val="00C11D49"/>
    <w:rsid w:val="00C12448"/>
    <w:rsid w:val="00C13E00"/>
    <w:rsid w:val="00C140F1"/>
    <w:rsid w:val="00C147F9"/>
    <w:rsid w:val="00C1531D"/>
    <w:rsid w:val="00C17EA1"/>
    <w:rsid w:val="00C20BF0"/>
    <w:rsid w:val="00C22F0F"/>
    <w:rsid w:val="00C238BB"/>
    <w:rsid w:val="00C23DC4"/>
    <w:rsid w:val="00C24242"/>
    <w:rsid w:val="00C247B6"/>
    <w:rsid w:val="00C27F4A"/>
    <w:rsid w:val="00C31A4B"/>
    <w:rsid w:val="00C36D41"/>
    <w:rsid w:val="00C40943"/>
    <w:rsid w:val="00C478B8"/>
    <w:rsid w:val="00C47955"/>
    <w:rsid w:val="00C47D7B"/>
    <w:rsid w:val="00C50335"/>
    <w:rsid w:val="00C50842"/>
    <w:rsid w:val="00C53C2B"/>
    <w:rsid w:val="00C555B3"/>
    <w:rsid w:val="00C5585E"/>
    <w:rsid w:val="00C5690A"/>
    <w:rsid w:val="00C56B8B"/>
    <w:rsid w:val="00C576F4"/>
    <w:rsid w:val="00C60547"/>
    <w:rsid w:val="00C62714"/>
    <w:rsid w:val="00C67EF9"/>
    <w:rsid w:val="00C70B29"/>
    <w:rsid w:val="00C71C92"/>
    <w:rsid w:val="00C72E9C"/>
    <w:rsid w:val="00C759A7"/>
    <w:rsid w:val="00C77736"/>
    <w:rsid w:val="00C8252F"/>
    <w:rsid w:val="00C84EBF"/>
    <w:rsid w:val="00C867B6"/>
    <w:rsid w:val="00C87D0E"/>
    <w:rsid w:val="00C90653"/>
    <w:rsid w:val="00C91F61"/>
    <w:rsid w:val="00C92269"/>
    <w:rsid w:val="00C954E3"/>
    <w:rsid w:val="00C958AB"/>
    <w:rsid w:val="00C95B28"/>
    <w:rsid w:val="00C97CAB"/>
    <w:rsid w:val="00CA0F19"/>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D02A6"/>
    <w:rsid w:val="00CD2BE3"/>
    <w:rsid w:val="00CD55EC"/>
    <w:rsid w:val="00CD69E9"/>
    <w:rsid w:val="00CE0477"/>
    <w:rsid w:val="00CE54F7"/>
    <w:rsid w:val="00CE5773"/>
    <w:rsid w:val="00CE5A1B"/>
    <w:rsid w:val="00CE6D4F"/>
    <w:rsid w:val="00CE6E93"/>
    <w:rsid w:val="00CE7B1D"/>
    <w:rsid w:val="00CF003E"/>
    <w:rsid w:val="00CF1BB1"/>
    <w:rsid w:val="00CF28DD"/>
    <w:rsid w:val="00CF2DFB"/>
    <w:rsid w:val="00CF350A"/>
    <w:rsid w:val="00CF3906"/>
    <w:rsid w:val="00CF408F"/>
    <w:rsid w:val="00CF5BEA"/>
    <w:rsid w:val="00CF7F92"/>
    <w:rsid w:val="00D0040E"/>
    <w:rsid w:val="00D00B0E"/>
    <w:rsid w:val="00D00B31"/>
    <w:rsid w:val="00D00C3E"/>
    <w:rsid w:val="00D01379"/>
    <w:rsid w:val="00D030A8"/>
    <w:rsid w:val="00D06A1A"/>
    <w:rsid w:val="00D132E9"/>
    <w:rsid w:val="00D1670B"/>
    <w:rsid w:val="00D16E46"/>
    <w:rsid w:val="00D17D14"/>
    <w:rsid w:val="00D22332"/>
    <w:rsid w:val="00D223E9"/>
    <w:rsid w:val="00D24FB2"/>
    <w:rsid w:val="00D25560"/>
    <w:rsid w:val="00D26876"/>
    <w:rsid w:val="00D303BA"/>
    <w:rsid w:val="00D30B5F"/>
    <w:rsid w:val="00D30E70"/>
    <w:rsid w:val="00D30F6C"/>
    <w:rsid w:val="00D3330B"/>
    <w:rsid w:val="00D35EF9"/>
    <w:rsid w:val="00D376D0"/>
    <w:rsid w:val="00D41996"/>
    <w:rsid w:val="00D4248A"/>
    <w:rsid w:val="00D4257C"/>
    <w:rsid w:val="00D47421"/>
    <w:rsid w:val="00D501AB"/>
    <w:rsid w:val="00D502AB"/>
    <w:rsid w:val="00D506A8"/>
    <w:rsid w:val="00D55604"/>
    <w:rsid w:val="00D55E2F"/>
    <w:rsid w:val="00D561A5"/>
    <w:rsid w:val="00D569D4"/>
    <w:rsid w:val="00D56F7F"/>
    <w:rsid w:val="00D573E9"/>
    <w:rsid w:val="00D60896"/>
    <w:rsid w:val="00D61C83"/>
    <w:rsid w:val="00D646C1"/>
    <w:rsid w:val="00D70CD2"/>
    <w:rsid w:val="00D72BAA"/>
    <w:rsid w:val="00D73B8B"/>
    <w:rsid w:val="00D76184"/>
    <w:rsid w:val="00D76E10"/>
    <w:rsid w:val="00D7724F"/>
    <w:rsid w:val="00D81E78"/>
    <w:rsid w:val="00D84796"/>
    <w:rsid w:val="00D86083"/>
    <w:rsid w:val="00D86802"/>
    <w:rsid w:val="00D940FD"/>
    <w:rsid w:val="00D96589"/>
    <w:rsid w:val="00D97102"/>
    <w:rsid w:val="00DA3B31"/>
    <w:rsid w:val="00DA4C87"/>
    <w:rsid w:val="00DA5EB7"/>
    <w:rsid w:val="00DA613F"/>
    <w:rsid w:val="00DA74FF"/>
    <w:rsid w:val="00DB31D6"/>
    <w:rsid w:val="00DB3942"/>
    <w:rsid w:val="00DB563C"/>
    <w:rsid w:val="00DB5C3E"/>
    <w:rsid w:val="00DB5E7C"/>
    <w:rsid w:val="00DB77CC"/>
    <w:rsid w:val="00DC024D"/>
    <w:rsid w:val="00DC3320"/>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2680"/>
    <w:rsid w:val="00DE2850"/>
    <w:rsid w:val="00DE286E"/>
    <w:rsid w:val="00E000AA"/>
    <w:rsid w:val="00E003E9"/>
    <w:rsid w:val="00E0261D"/>
    <w:rsid w:val="00E03699"/>
    <w:rsid w:val="00E0386E"/>
    <w:rsid w:val="00E03F83"/>
    <w:rsid w:val="00E03FA3"/>
    <w:rsid w:val="00E0422B"/>
    <w:rsid w:val="00E075E2"/>
    <w:rsid w:val="00E0776D"/>
    <w:rsid w:val="00E07863"/>
    <w:rsid w:val="00E10653"/>
    <w:rsid w:val="00E106E7"/>
    <w:rsid w:val="00E14EDC"/>
    <w:rsid w:val="00E15450"/>
    <w:rsid w:val="00E156EB"/>
    <w:rsid w:val="00E16503"/>
    <w:rsid w:val="00E17875"/>
    <w:rsid w:val="00E1793E"/>
    <w:rsid w:val="00E20E13"/>
    <w:rsid w:val="00E21501"/>
    <w:rsid w:val="00E21940"/>
    <w:rsid w:val="00E226B2"/>
    <w:rsid w:val="00E22B52"/>
    <w:rsid w:val="00E24DEA"/>
    <w:rsid w:val="00E25189"/>
    <w:rsid w:val="00E268C2"/>
    <w:rsid w:val="00E34263"/>
    <w:rsid w:val="00E35735"/>
    <w:rsid w:val="00E36E12"/>
    <w:rsid w:val="00E40057"/>
    <w:rsid w:val="00E406DD"/>
    <w:rsid w:val="00E40738"/>
    <w:rsid w:val="00E41269"/>
    <w:rsid w:val="00E416CC"/>
    <w:rsid w:val="00E4507A"/>
    <w:rsid w:val="00E47381"/>
    <w:rsid w:val="00E5008F"/>
    <w:rsid w:val="00E511FA"/>
    <w:rsid w:val="00E522C0"/>
    <w:rsid w:val="00E529BB"/>
    <w:rsid w:val="00E53809"/>
    <w:rsid w:val="00E561B1"/>
    <w:rsid w:val="00E56A7A"/>
    <w:rsid w:val="00E57A08"/>
    <w:rsid w:val="00E57B99"/>
    <w:rsid w:val="00E61226"/>
    <w:rsid w:val="00E61B48"/>
    <w:rsid w:val="00E6319B"/>
    <w:rsid w:val="00E635B7"/>
    <w:rsid w:val="00E6783D"/>
    <w:rsid w:val="00E70445"/>
    <w:rsid w:val="00E70F0F"/>
    <w:rsid w:val="00E713A4"/>
    <w:rsid w:val="00E7353C"/>
    <w:rsid w:val="00E76F41"/>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E69"/>
    <w:rsid w:val="00EA354B"/>
    <w:rsid w:val="00EA35D9"/>
    <w:rsid w:val="00EA5E31"/>
    <w:rsid w:val="00EA79A8"/>
    <w:rsid w:val="00EB3DC8"/>
    <w:rsid w:val="00EB466E"/>
    <w:rsid w:val="00EB495E"/>
    <w:rsid w:val="00EB6538"/>
    <w:rsid w:val="00EB7F5A"/>
    <w:rsid w:val="00EC1244"/>
    <w:rsid w:val="00EC1C03"/>
    <w:rsid w:val="00EC31F6"/>
    <w:rsid w:val="00EC3326"/>
    <w:rsid w:val="00EC45D8"/>
    <w:rsid w:val="00EC4A2E"/>
    <w:rsid w:val="00EC612F"/>
    <w:rsid w:val="00EC77D9"/>
    <w:rsid w:val="00ED3762"/>
    <w:rsid w:val="00ED609B"/>
    <w:rsid w:val="00EE0939"/>
    <w:rsid w:val="00EE1918"/>
    <w:rsid w:val="00EE2CD7"/>
    <w:rsid w:val="00EE5D64"/>
    <w:rsid w:val="00EE6AAF"/>
    <w:rsid w:val="00EF077C"/>
    <w:rsid w:val="00EF08F3"/>
    <w:rsid w:val="00EF2DE1"/>
    <w:rsid w:val="00EF5303"/>
    <w:rsid w:val="00EF7330"/>
    <w:rsid w:val="00F0085C"/>
    <w:rsid w:val="00F02FFB"/>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667C"/>
    <w:rsid w:val="00F26B18"/>
    <w:rsid w:val="00F27576"/>
    <w:rsid w:val="00F27E6C"/>
    <w:rsid w:val="00F316E5"/>
    <w:rsid w:val="00F33D97"/>
    <w:rsid w:val="00F35DD3"/>
    <w:rsid w:val="00F36F8C"/>
    <w:rsid w:val="00F37243"/>
    <w:rsid w:val="00F408C8"/>
    <w:rsid w:val="00F4092B"/>
    <w:rsid w:val="00F41B18"/>
    <w:rsid w:val="00F528ED"/>
    <w:rsid w:val="00F53AEA"/>
    <w:rsid w:val="00F542A2"/>
    <w:rsid w:val="00F545C5"/>
    <w:rsid w:val="00F55107"/>
    <w:rsid w:val="00F56C0B"/>
    <w:rsid w:val="00F60083"/>
    <w:rsid w:val="00F6294E"/>
    <w:rsid w:val="00F632F8"/>
    <w:rsid w:val="00F668BE"/>
    <w:rsid w:val="00F66B74"/>
    <w:rsid w:val="00F67477"/>
    <w:rsid w:val="00F67887"/>
    <w:rsid w:val="00F70988"/>
    <w:rsid w:val="00F73369"/>
    <w:rsid w:val="00F737E4"/>
    <w:rsid w:val="00F75F69"/>
    <w:rsid w:val="00F80DE6"/>
    <w:rsid w:val="00F84001"/>
    <w:rsid w:val="00F84FF3"/>
    <w:rsid w:val="00F87C9E"/>
    <w:rsid w:val="00F90D98"/>
    <w:rsid w:val="00F931F8"/>
    <w:rsid w:val="00F93351"/>
    <w:rsid w:val="00F9344F"/>
    <w:rsid w:val="00F967B1"/>
    <w:rsid w:val="00FA1E5E"/>
    <w:rsid w:val="00FA25B7"/>
    <w:rsid w:val="00FA29C4"/>
    <w:rsid w:val="00FA4DE2"/>
    <w:rsid w:val="00FA61ED"/>
    <w:rsid w:val="00FA65FF"/>
    <w:rsid w:val="00FA701C"/>
    <w:rsid w:val="00FA7798"/>
    <w:rsid w:val="00FA7FF2"/>
    <w:rsid w:val="00FB019C"/>
    <w:rsid w:val="00FB0990"/>
    <w:rsid w:val="00FB0E97"/>
    <w:rsid w:val="00FB1152"/>
    <w:rsid w:val="00FB4E84"/>
    <w:rsid w:val="00FB5AA1"/>
    <w:rsid w:val="00FB640E"/>
    <w:rsid w:val="00FB7122"/>
    <w:rsid w:val="00FB72DE"/>
    <w:rsid w:val="00FB7385"/>
    <w:rsid w:val="00FB77B9"/>
    <w:rsid w:val="00FC1264"/>
    <w:rsid w:val="00FC1A33"/>
    <w:rsid w:val="00FC21EB"/>
    <w:rsid w:val="00FC4DA9"/>
    <w:rsid w:val="00FC5313"/>
    <w:rsid w:val="00FD11C2"/>
    <w:rsid w:val="00FD2D2D"/>
    <w:rsid w:val="00FD569A"/>
    <w:rsid w:val="00FE00F5"/>
    <w:rsid w:val="00FE3505"/>
    <w:rsid w:val="00FE37D8"/>
    <w:rsid w:val="00FE4AB3"/>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1C"/>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4A4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A4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qFormat/>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customStyle="1" w:styleId="Ttulo2Car">
    <w:name w:val="Título 2 Car"/>
    <w:basedOn w:val="Fuentedeprrafopredeter"/>
    <w:link w:val="Ttulo2"/>
    <w:uiPriority w:val="9"/>
    <w:rsid w:val="004A40F2"/>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A40F2"/>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4A40F2"/>
    <w:pPr>
      <w:jc w:val="left"/>
      <w:outlineLvl w:val="9"/>
    </w:pPr>
    <w:rPr>
      <w:lang w:eastAsia="es-MX"/>
    </w:rPr>
  </w:style>
  <w:style w:type="paragraph" w:styleId="TDC1">
    <w:name w:val="toc 1"/>
    <w:basedOn w:val="Normal"/>
    <w:next w:val="Normal"/>
    <w:autoRedefine/>
    <w:uiPriority w:val="39"/>
    <w:unhideWhenUsed/>
    <w:rsid w:val="004A40F2"/>
    <w:pPr>
      <w:spacing w:after="100"/>
    </w:pPr>
  </w:style>
  <w:style w:type="paragraph" w:styleId="TDC2">
    <w:name w:val="toc 2"/>
    <w:basedOn w:val="Normal"/>
    <w:next w:val="Normal"/>
    <w:autoRedefine/>
    <w:uiPriority w:val="39"/>
    <w:unhideWhenUsed/>
    <w:rsid w:val="004A40F2"/>
    <w:pPr>
      <w:spacing w:after="100"/>
      <w:ind w:left="220"/>
    </w:pPr>
  </w:style>
  <w:style w:type="table" w:customStyle="1" w:styleId="2">
    <w:name w:val="2"/>
    <w:basedOn w:val="Tablanormal"/>
    <w:rsid w:val="0006411D"/>
    <w:pPr>
      <w:spacing w:after="0" w:line="240" w:lineRule="auto"/>
      <w:jc w:val="both"/>
    </w:pPr>
    <w:rPr>
      <w:rFonts w:ascii="Palatino Linotype" w:eastAsia="Palatino Linotype" w:hAnsi="Palatino Linotype" w:cs="Palatino Linotype"/>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152986664">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72328983">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799498461">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3899703">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31376605">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60D4-CD4B-473A-BAD2-FFEE31DC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3149</Words>
  <Characters>17321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INFOEM500</cp:lastModifiedBy>
  <cp:revision>4</cp:revision>
  <cp:lastPrinted>2025-04-11T16:11:00Z</cp:lastPrinted>
  <dcterms:created xsi:type="dcterms:W3CDTF">2025-04-11T16:11:00Z</dcterms:created>
  <dcterms:modified xsi:type="dcterms:W3CDTF">2025-06-02T16:55:00Z</dcterms:modified>
</cp:coreProperties>
</file>