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DED5" w14:textId="77777777" w:rsidR="0003400C" w:rsidRPr="00141DF7" w:rsidRDefault="002D6F4E">
      <w:pPr>
        <w:spacing w:line="360" w:lineRule="auto"/>
        <w:ind w:left="-142"/>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catorce de mayo de dos mil veinticinco. </w:t>
      </w:r>
    </w:p>
    <w:p w14:paraId="3E073DBD" w14:textId="77777777" w:rsidR="0003400C" w:rsidRPr="00141DF7" w:rsidRDefault="0003400C">
      <w:pPr>
        <w:spacing w:line="360" w:lineRule="auto"/>
        <w:ind w:left="-142"/>
        <w:jc w:val="both"/>
        <w:rPr>
          <w:rFonts w:ascii="Palatino Linotype" w:eastAsia="Palatino Linotype" w:hAnsi="Palatino Linotype" w:cs="Palatino Linotype"/>
          <w:sz w:val="22"/>
          <w:szCs w:val="22"/>
        </w:rPr>
      </w:pPr>
    </w:p>
    <w:p w14:paraId="36D84385" w14:textId="40C1B9F1" w:rsidR="0003400C" w:rsidRPr="00141DF7" w:rsidRDefault="002D6F4E">
      <w:pPr>
        <w:spacing w:line="360" w:lineRule="auto"/>
        <w:ind w:left="-142"/>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t>Visto</w:t>
      </w:r>
      <w:r w:rsidRPr="00141DF7">
        <w:rPr>
          <w:rFonts w:ascii="Palatino Linotype" w:eastAsia="Palatino Linotype" w:hAnsi="Palatino Linotype" w:cs="Palatino Linotype"/>
          <w:sz w:val="22"/>
          <w:szCs w:val="22"/>
        </w:rPr>
        <w:t xml:space="preserve"> el expediente relativo al recurso de revisión </w:t>
      </w:r>
      <w:r w:rsidRPr="00141DF7">
        <w:rPr>
          <w:rFonts w:ascii="Palatino Linotype" w:eastAsia="Palatino Linotype" w:hAnsi="Palatino Linotype" w:cs="Palatino Linotype"/>
          <w:b/>
          <w:sz w:val="22"/>
          <w:szCs w:val="22"/>
        </w:rPr>
        <w:t>02189/INFOEM/IP/RR/2025</w:t>
      </w:r>
      <w:r w:rsidRPr="00141DF7">
        <w:rPr>
          <w:rFonts w:ascii="Palatino Linotype" w:eastAsia="Palatino Linotype" w:hAnsi="Palatino Linotype" w:cs="Palatino Linotype"/>
          <w:sz w:val="22"/>
          <w:szCs w:val="22"/>
        </w:rPr>
        <w:t xml:space="preserve">, interpuesto </w:t>
      </w:r>
      <w:r w:rsidR="0035272A">
        <w:rPr>
          <w:rFonts w:ascii="Palatino Linotype" w:eastAsia="Palatino Linotype" w:hAnsi="Palatino Linotype" w:cs="Palatino Linotype"/>
          <w:b/>
          <w:sz w:val="22"/>
          <w:szCs w:val="22"/>
        </w:rPr>
        <w:t>XXXXXXX</w:t>
      </w:r>
      <w:r w:rsidRPr="00141DF7">
        <w:rPr>
          <w:rFonts w:ascii="Palatino Linotype" w:eastAsia="Palatino Linotype" w:hAnsi="Palatino Linotype" w:cs="Palatino Linotype"/>
          <w:sz w:val="22"/>
          <w:szCs w:val="22"/>
        </w:rPr>
        <w:t xml:space="preserve"> en lo sucesivo se le denominará la persona</w:t>
      </w:r>
      <w:r w:rsidRPr="00141DF7">
        <w:rPr>
          <w:rFonts w:ascii="Palatino Linotype" w:eastAsia="Palatino Linotype" w:hAnsi="Palatino Linotype" w:cs="Palatino Linotype"/>
          <w:b/>
          <w:sz w:val="22"/>
          <w:szCs w:val="22"/>
        </w:rPr>
        <w:t xml:space="preserve"> RECURRENTE</w:t>
      </w:r>
      <w:r w:rsidRPr="00141DF7">
        <w:rPr>
          <w:rFonts w:ascii="Palatino Linotype" w:eastAsia="Palatino Linotype" w:hAnsi="Palatino Linotype" w:cs="Palatino Linotype"/>
          <w:sz w:val="22"/>
          <w:szCs w:val="22"/>
        </w:rPr>
        <w:t>, en contra de la respuesta a su solicitud de información con número de folio</w:t>
      </w:r>
      <w:r w:rsidRPr="00141DF7">
        <w:rPr>
          <w:rFonts w:ascii="Palatino Linotype" w:eastAsia="Palatino Linotype" w:hAnsi="Palatino Linotype" w:cs="Palatino Linotype"/>
          <w:b/>
          <w:sz w:val="22"/>
          <w:szCs w:val="22"/>
        </w:rPr>
        <w:t xml:space="preserve"> 00040/TECAMAC/IP/2025</w:t>
      </w:r>
      <w:r w:rsidRPr="00141DF7">
        <w:rPr>
          <w:rFonts w:ascii="Palatino Linotype" w:eastAsia="Palatino Linotype" w:hAnsi="Palatino Linotype" w:cs="Palatino Linotype"/>
          <w:sz w:val="22"/>
          <w:szCs w:val="22"/>
        </w:rPr>
        <w:t xml:space="preserve">, por parte del </w:t>
      </w:r>
      <w:r w:rsidRPr="00141DF7">
        <w:rPr>
          <w:rFonts w:ascii="Palatino Linotype" w:eastAsia="Palatino Linotype" w:hAnsi="Palatino Linotype" w:cs="Palatino Linotype"/>
          <w:b/>
          <w:sz w:val="22"/>
          <w:szCs w:val="22"/>
        </w:rPr>
        <w:t xml:space="preserve">Ayuntamiento de Tecámac </w:t>
      </w:r>
      <w:r w:rsidRPr="00141DF7">
        <w:rPr>
          <w:rFonts w:ascii="Palatino Linotype" w:eastAsia="Palatino Linotype" w:hAnsi="Palatino Linotype" w:cs="Palatino Linotype"/>
          <w:sz w:val="22"/>
          <w:szCs w:val="22"/>
        </w:rPr>
        <w:t xml:space="preserve">en lo sucesivo el </w:t>
      </w:r>
      <w:r w:rsidRPr="00141DF7">
        <w:rPr>
          <w:rFonts w:ascii="Palatino Linotype" w:eastAsia="Palatino Linotype" w:hAnsi="Palatino Linotype" w:cs="Palatino Linotype"/>
          <w:b/>
          <w:sz w:val="22"/>
          <w:szCs w:val="22"/>
        </w:rPr>
        <w:t>SUJETO OBLIGADO</w:t>
      </w:r>
      <w:r w:rsidRPr="00141DF7">
        <w:rPr>
          <w:rFonts w:ascii="Palatino Linotype" w:eastAsia="Palatino Linotype" w:hAnsi="Palatino Linotype" w:cs="Palatino Linotype"/>
          <w:sz w:val="22"/>
          <w:szCs w:val="22"/>
        </w:rPr>
        <w:t>;</w:t>
      </w:r>
      <w:r w:rsidRPr="00141DF7">
        <w:rPr>
          <w:rFonts w:ascii="Palatino Linotype" w:eastAsia="Palatino Linotype" w:hAnsi="Palatino Linotype" w:cs="Palatino Linotype"/>
          <w:b/>
          <w:sz w:val="22"/>
          <w:szCs w:val="22"/>
        </w:rPr>
        <w:t xml:space="preserve"> </w:t>
      </w:r>
      <w:r w:rsidRPr="00141DF7">
        <w:rPr>
          <w:rFonts w:ascii="Palatino Linotype" w:eastAsia="Palatino Linotype" w:hAnsi="Palatino Linotype" w:cs="Palatino Linotype"/>
          <w:sz w:val="22"/>
          <w:szCs w:val="22"/>
        </w:rPr>
        <w:t>se procede a dictar la presente resolución, con base en los siguientes:</w:t>
      </w:r>
    </w:p>
    <w:p w14:paraId="21A31737" w14:textId="77777777" w:rsidR="0003400C" w:rsidRPr="00141DF7" w:rsidRDefault="0003400C">
      <w:pPr>
        <w:spacing w:line="360" w:lineRule="auto"/>
        <w:ind w:left="-142"/>
        <w:jc w:val="both"/>
        <w:rPr>
          <w:rFonts w:ascii="Palatino Linotype" w:eastAsia="Palatino Linotype" w:hAnsi="Palatino Linotype" w:cs="Palatino Linotype"/>
          <w:sz w:val="22"/>
          <w:szCs w:val="22"/>
        </w:rPr>
      </w:pPr>
    </w:p>
    <w:p w14:paraId="08BE60EA" w14:textId="77777777" w:rsidR="0003400C" w:rsidRPr="00141DF7" w:rsidRDefault="002D6F4E">
      <w:pPr>
        <w:numPr>
          <w:ilvl w:val="0"/>
          <w:numId w:val="5"/>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141DF7">
        <w:rPr>
          <w:rFonts w:ascii="Palatino Linotype" w:eastAsia="Palatino Linotype" w:hAnsi="Palatino Linotype" w:cs="Palatino Linotype"/>
          <w:b/>
          <w:sz w:val="22"/>
          <w:szCs w:val="22"/>
        </w:rPr>
        <w:t>A N T E C E D E N T E S:</w:t>
      </w:r>
    </w:p>
    <w:p w14:paraId="0A98B2E0" w14:textId="77777777" w:rsidR="0003400C" w:rsidRPr="00141DF7" w:rsidRDefault="0003400C">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1F12E1E4" w14:textId="77777777" w:rsidR="0003400C" w:rsidRPr="00141DF7" w:rsidRDefault="002D6F4E">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141DF7">
        <w:rPr>
          <w:rFonts w:ascii="Palatino Linotype" w:eastAsia="Palatino Linotype" w:hAnsi="Palatino Linotype" w:cs="Palatino Linotype"/>
          <w:b/>
          <w:sz w:val="22"/>
          <w:szCs w:val="22"/>
        </w:rPr>
        <w:t xml:space="preserve">Solicitud de acceso a la información. </w:t>
      </w:r>
      <w:r w:rsidRPr="00141DF7">
        <w:rPr>
          <w:rFonts w:ascii="Palatino Linotype" w:eastAsia="Palatino Linotype" w:hAnsi="Palatino Linotype" w:cs="Palatino Linotype"/>
          <w:sz w:val="22"/>
          <w:szCs w:val="22"/>
        </w:rPr>
        <w:t xml:space="preserve">Con fecha </w:t>
      </w:r>
      <w:r w:rsidRPr="00141DF7">
        <w:rPr>
          <w:rFonts w:ascii="Palatino Linotype" w:eastAsia="Palatino Linotype" w:hAnsi="Palatino Linotype" w:cs="Palatino Linotype"/>
          <w:b/>
          <w:sz w:val="22"/>
          <w:szCs w:val="22"/>
        </w:rPr>
        <w:t>cinco de febrero de dos mil veinticinco</w:t>
      </w:r>
      <w:r w:rsidRPr="00141DF7">
        <w:rPr>
          <w:rFonts w:ascii="Palatino Linotype" w:eastAsia="Palatino Linotype" w:hAnsi="Palatino Linotype" w:cs="Palatino Linotype"/>
          <w:sz w:val="22"/>
          <w:szCs w:val="22"/>
        </w:rPr>
        <w:t xml:space="preserve">, la parte </w:t>
      </w:r>
      <w:r w:rsidRPr="00141DF7">
        <w:rPr>
          <w:rFonts w:ascii="Palatino Linotype" w:eastAsia="Palatino Linotype" w:hAnsi="Palatino Linotype" w:cs="Palatino Linotype"/>
          <w:b/>
          <w:sz w:val="22"/>
          <w:szCs w:val="22"/>
        </w:rPr>
        <w:t>RECURRENTE</w:t>
      </w:r>
      <w:r w:rsidRPr="00141DF7">
        <w:rPr>
          <w:rFonts w:ascii="Palatino Linotype" w:eastAsia="Palatino Linotype" w:hAnsi="Palatino Linotype" w:cs="Palatino Linotype"/>
          <w:sz w:val="22"/>
          <w:szCs w:val="22"/>
        </w:rPr>
        <w:t xml:space="preserve"> formuló solicitud de acceso a información pública al </w:t>
      </w:r>
      <w:r w:rsidRPr="00141DF7">
        <w:rPr>
          <w:rFonts w:ascii="Palatino Linotype" w:eastAsia="Palatino Linotype" w:hAnsi="Palatino Linotype" w:cs="Palatino Linotype"/>
          <w:b/>
          <w:sz w:val="22"/>
          <w:szCs w:val="22"/>
        </w:rPr>
        <w:t>SUJETO OBLIGADO</w:t>
      </w:r>
      <w:r w:rsidRPr="00141DF7">
        <w:rPr>
          <w:rFonts w:ascii="Palatino Linotype" w:eastAsia="Palatino Linotype" w:hAnsi="Palatino Linotype" w:cs="Palatino Linotype"/>
          <w:sz w:val="22"/>
          <w:szCs w:val="22"/>
        </w:rPr>
        <w:t xml:space="preserve"> a través de la Plataforma Nacional de Transparencia y registrada en el Sistema de Acceso a la Información Mexiquense, en adelante </w:t>
      </w:r>
      <w:r w:rsidRPr="00141DF7">
        <w:rPr>
          <w:rFonts w:ascii="Palatino Linotype" w:eastAsia="Palatino Linotype" w:hAnsi="Palatino Linotype" w:cs="Palatino Linotype"/>
          <w:b/>
          <w:sz w:val="22"/>
          <w:szCs w:val="22"/>
        </w:rPr>
        <w:t>SAIMEX</w:t>
      </w:r>
      <w:r w:rsidRPr="00141DF7">
        <w:rPr>
          <w:rFonts w:ascii="Palatino Linotype" w:eastAsia="Palatino Linotype" w:hAnsi="Palatino Linotype" w:cs="Palatino Linotype"/>
          <w:sz w:val="22"/>
          <w:szCs w:val="22"/>
        </w:rPr>
        <w:t>, requiriéndole lo siguiente:</w:t>
      </w:r>
    </w:p>
    <w:p w14:paraId="3270A93E" w14:textId="77777777" w:rsidR="0003400C" w:rsidRPr="00141DF7" w:rsidRDefault="0003400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71978F4" w14:textId="77777777" w:rsidR="0003400C" w:rsidRPr="00141DF7" w:rsidRDefault="002D6F4E">
      <w:pPr>
        <w:spacing w:line="276" w:lineRule="auto"/>
        <w:ind w:left="567" w:right="900"/>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Buenas tardes, con relación a los videos de las siguientes ligas electrónicas </w:t>
      </w:r>
      <w:hyperlink r:id="rId8">
        <w:r w:rsidRPr="00141DF7">
          <w:rPr>
            <w:rFonts w:ascii="Palatino Linotype" w:eastAsia="Palatino Linotype" w:hAnsi="Palatino Linotype" w:cs="Palatino Linotype"/>
            <w:i/>
            <w:sz w:val="22"/>
            <w:szCs w:val="22"/>
            <w:u w:val="single"/>
          </w:rPr>
          <w:t>https://youtu.be/Oy56NpBLRQw</w:t>
        </w:r>
      </w:hyperlink>
      <w:r w:rsidRPr="00141DF7">
        <w:rPr>
          <w:rFonts w:ascii="Palatino Linotype" w:eastAsia="Palatino Linotype" w:hAnsi="Palatino Linotype" w:cs="Palatino Linotype"/>
          <w:i/>
          <w:sz w:val="22"/>
          <w:szCs w:val="22"/>
        </w:rPr>
        <w:t xml:space="preserve">  </w:t>
      </w:r>
      <w:hyperlink r:id="rId9">
        <w:r w:rsidRPr="00141DF7">
          <w:rPr>
            <w:rFonts w:ascii="Palatino Linotype" w:eastAsia="Palatino Linotype" w:hAnsi="Palatino Linotype" w:cs="Palatino Linotype"/>
            <w:i/>
            <w:sz w:val="22"/>
            <w:szCs w:val="22"/>
            <w:u w:val="single"/>
          </w:rPr>
          <w:t>https://youtu.be/AUsJIW0ra2Y</w:t>
        </w:r>
      </w:hyperlink>
      <w:r w:rsidRPr="00141DF7">
        <w:rPr>
          <w:rFonts w:ascii="Palatino Linotype" w:eastAsia="Palatino Linotype" w:hAnsi="Palatino Linotype" w:cs="Palatino Linotype"/>
          <w:i/>
          <w:sz w:val="22"/>
          <w:szCs w:val="22"/>
        </w:rPr>
        <w:t xml:space="preserve">  Solicito la siguiente información en la modalidad de versión publica: cuya hecho se realizó el 2024/09/10 a las 13:27 </w:t>
      </w:r>
      <w:proofErr w:type="spellStart"/>
      <w:r w:rsidRPr="00141DF7">
        <w:rPr>
          <w:rFonts w:ascii="Palatino Linotype" w:eastAsia="Palatino Linotype" w:hAnsi="Palatino Linotype" w:cs="Palatino Linotype"/>
          <w:i/>
          <w:sz w:val="22"/>
          <w:szCs w:val="22"/>
        </w:rPr>
        <w:t>hr</w:t>
      </w:r>
      <w:proofErr w:type="spellEnd"/>
      <w:r w:rsidRPr="00141DF7">
        <w:rPr>
          <w:rFonts w:ascii="Palatino Linotype" w:eastAsia="Palatino Linotype" w:hAnsi="Palatino Linotype" w:cs="Palatino Linotype"/>
          <w:i/>
          <w:sz w:val="22"/>
          <w:szCs w:val="22"/>
        </w:rPr>
        <w:t xml:space="preserve"> A) Fundamento administrativo y legal para que el personal de la Agencia de Movilidad, Verificación Administrativa más adelante AMVAR, retire un puesto de publicaciones periódicas en vía pública con apoyo de una grúa, la cual no tiene placas de circulación, permiso de circulación ni cromática de la empresa prestadora de servicio de grúa. B) Fundamento administrativo y legal para que una grúa sin placas, ni permiso de circular, ni cromática apoye al personal de la Agencia de Movilidad, Verificación Administrativa para retirar el puesto referido en los videos. C) Fundamento administrativo y legal para que una grúa sin placas, ni permiso de circular, ni pueda circular y prestar el servicio. D) El documento legal que avale el derecho de audiencia para el titular o dueño del puesto referido en los videos, en los términos que establecen las leyes para este caso, antes del retiro del puesto de publicaciones periódicas. E) Listado de grúas concesionadas para el apoyo en todas las áreas de su competencia. F) Motivo o fundamento jurídico para el personal de Seguridad Pública para que haya omitido el auxilio del ciudadano para </w:t>
      </w:r>
      <w:r w:rsidRPr="00141DF7">
        <w:rPr>
          <w:rFonts w:ascii="Palatino Linotype" w:eastAsia="Palatino Linotype" w:hAnsi="Palatino Linotype" w:cs="Palatino Linotype"/>
          <w:i/>
          <w:sz w:val="22"/>
          <w:szCs w:val="22"/>
        </w:rPr>
        <w:lastRenderedPageBreak/>
        <w:t xml:space="preserve">solicitar el apoyo de personal de Transito para validar si la grúa mencionada en el video, era apta para poder circular. G) Motivo o fundamento jurídico para el personal de asignado a los botones de pánico no haya prestado el auxilio oportuno al ciudadano para </w:t>
      </w:r>
      <w:proofErr w:type="spellStart"/>
      <w:r w:rsidRPr="00141DF7">
        <w:rPr>
          <w:rFonts w:ascii="Palatino Linotype" w:eastAsia="Palatino Linotype" w:hAnsi="Palatino Linotype" w:cs="Palatino Linotype"/>
          <w:i/>
          <w:sz w:val="22"/>
          <w:szCs w:val="22"/>
        </w:rPr>
        <w:t>llegara</w:t>
      </w:r>
      <w:proofErr w:type="spellEnd"/>
      <w:r w:rsidRPr="00141DF7">
        <w:rPr>
          <w:rFonts w:ascii="Palatino Linotype" w:eastAsia="Palatino Linotype" w:hAnsi="Palatino Linotype" w:cs="Palatino Linotype"/>
          <w:i/>
          <w:sz w:val="22"/>
          <w:szCs w:val="22"/>
        </w:rPr>
        <w:t xml:space="preserve"> una unidad de Tránsito. H) Motivo o fundamento jurídico para el personal de Tránsito asignado para el envío de una unidad de Tránsito no haya enviado el auxilio solicitado. Asimismo, aclaro que dichas ligas electrónicas solo tienen acceso quienes tiene la dirección, por ende no tienen acceso público y solicito los videos solo sean utilizados para su consulta, lo cual no autorizo su divulgación por cualquier medio, sin previo permiso por escrito del titular de los videos.</w:t>
      </w:r>
    </w:p>
    <w:p w14:paraId="174202C8" w14:textId="77777777" w:rsidR="0003400C" w:rsidRPr="00141DF7" w:rsidRDefault="0003400C">
      <w:pPr>
        <w:spacing w:line="360" w:lineRule="auto"/>
        <w:ind w:left="567" w:right="900"/>
        <w:jc w:val="both"/>
        <w:rPr>
          <w:rFonts w:ascii="Palatino Linotype" w:eastAsia="Palatino Linotype" w:hAnsi="Palatino Linotype" w:cs="Palatino Linotype"/>
          <w:b/>
          <w:i/>
          <w:sz w:val="22"/>
          <w:szCs w:val="22"/>
        </w:rPr>
      </w:pPr>
    </w:p>
    <w:p w14:paraId="5A7179D6"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t xml:space="preserve">Modalidad elegida para la entrega de la información: </w:t>
      </w:r>
      <w:r w:rsidRPr="00141DF7">
        <w:rPr>
          <w:rFonts w:ascii="Palatino Linotype" w:eastAsia="Palatino Linotype" w:hAnsi="Palatino Linotype" w:cs="Palatino Linotype"/>
          <w:sz w:val="22"/>
          <w:szCs w:val="22"/>
        </w:rPr>
        <w:t xml:space="preserve">a través del Sistema de Acceso a la Información Mexiquense y correo electrónico. </w:t>
      </w:r>
    </w:p>
    <w:p w14:paraId="4E5BF603" w14:textId="77777777" w:rsidR="0003400C" w:rsidRPr="00141DF7" w:rsidRDefault="0003400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8F9A0D0" w14:textId="77777777" w:rsidR="0003400C" w:rsidRPr="00141DF7" w:rsidRDefault="002D6F4E">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t xml:space="preserve">Respuesta. </w:t>
      </w:r>
      <w:r w:rsidRPr="00141DF7">
        <w:rPr>
          <w:rFonts w:ascii="Palatino Linotype" w:eastAsia="Palatino Linotype" w:hAnsi="Palatino Linotype" w:cs="Palatino Linotype"/>
          <w:sz w:val="22"/>
          <w:szCs w:val="22"/>
        </w:rPr>
        <w:t xml:space="preserve">Con fecha </w:t>
      </w:r>
      <w:r w:rsidRPr="00141DF7">
        <w:rPr>
          <w:rFonts w:ascii="Palatino Linotype" w:eastAsia="Palatino Linotype" w:hAnsi="Palatino Linotype" w:cs="Palatino Linotype"/>
          <w:b/>
          <w:sz w:val="22"/>
          <w:szCs w:val="22"/>
        </w:rPr>
        <w:t>veintiséis de febrero de dos mil veinticinco</w:t>
      </w:r>
      <w:r w:rsidRPr="00141DF7">
        <w:rPr>
          <w:rFonts w:ascii="Palatino Linotype" w:eastAsia="Palatino Linotype" w:hAnsi="Palatino Linotype" w:cs="Palatino Linotype"/>
          <w:sz w:val="22"/>
          <w:szCs w:val="22"/>
        </w:rPr>
        <w:t xml:space="preserve">, el </w:t>
      </w:r>
      <w:r w:rsidRPr="00141DF7">
        <w:rPr>
          <w:rFonts w:ascii="Palatino Linotype" w:eastAsia="Palatino Linotype" w:hAnsi="Palatino Linotype" w:cs="Palatino Linotype"/>
          <w:b/>
          <w:sz w:val="22"/>
          <w:szCs w:val="22"/>
        </w:rPr>
        <w:t>SUJETO OBLIGADO</w:t>
      </w:r>
      <w:r w:rsidRPr="00141DF7">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5B9B2F97" w14:textId="77777777" w:rsidR="0003400C" w:rsidRPr="00141DF7" w:rsidRDefault="0003400C">
      <w:pPr>
        <w:spacing w:line="276" w:lineRule="auto"/>
        <w:ind w:right="579"/>
        <w:jc w:val="both"/>
        <w:rPr>
          <w:rFonts w:ascii="Palatino Linotype" w:eastAsia="Palatino Linotype" w:hAnsi="Palatino Linotype" w:cs="Palatino Linotype"/>
          <w:i/>
          <w:sz w:val="22"/>
          <w:szCs w:val="22"/>
        </w:rPr>
      </w:pPr>
      <w:bookmarkStart w:id="0" w:name="_heading=h.3znysh7" w:colFirst="0" w:colLast="0"/>
      <w:bookmarkEnd w:id="0"/>
    </w:p>
    <w:p w14:paraId="6B7DA080"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8336E0"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CONTESTACION AL FOLIO 00040/TECAMAC/IP/2025</w:t>
      </w:r>
    </w:p>
    <w:p w14:paraId="3DDD0A43" w14:textId="77777777" w:rsidR="0003400C" w:rsidRPr="00141DF7" w:rsidRDefault="0003400C">
      <w:pPr>
        <w:spacing w:line="276" w:lineRule="auto"/>
        <w:ind w:left="567" w:right="579"/>
        <w:jc w:val="both"/>
        <w:rPr>
          <w:rFonts w:ascii="Palatino Linotype" w:eastAsia="Palatino Linotype" w:hAnsi="Palatino Linotype" w:cs="Palatino Linotype"/>
          <w:i/>
          <w:sz w:val="22"/>
          <w:szCs w:val="22"/>
        </w:rPr>
      </w:pPr>
    </w:p>
    <w:p w14:paraId="63DF92D7"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Del mismo modo, el Sujeto Obligado adjuntó a su respuesta lo siguiente: </w:t>
      </w:r>
    </w:p>
    <w:p w14:paraId="13112E88"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1532C484" w14:textId="77777777" w:rsidR="0003400C" w:rsidRPr="00141DF7" w:rsidRDefault="002D6F4E">
      <w:pPr>
        <w:numPr>
          <w:ilvl w:val="0"/>
          <w:numId w:val="4"/>
        </w:numPr>
        <w:pBdr>
          <w:top w:val="nil"/>
          <w:left w:val="nil"/>
          <w:bottom w:val="nil"/>
          <w:right w:val="nil"/>
          <w:between w:val="nil"/>
        </w:pBdr>
        <w:spacing w:line="360" w:lineRule="auto"/>
        <w:ind w:left="567" w:right="579" w:firstLine="0"/>
        <w:jc w:val="both"/>
        <w:rPr>
          <w:rFonts w:ascii="Palatino Linotype" w:eastAsia="Palatino Linotype" w:hAnsi="Palatino Linotype" w:cs="Palatino Linotype"/>
          <w:b/>
          <w:sz w:val="22"/>
          <w:szCs w:val="22"/>
        </w:rPr>
      </w:pPr>
      <w:r w:rsidRPr="00141DF7">
        <w:rPr>
          <w:rFonts w:ascii="Palatino Linotype" w:eastAsia="Palatino Linotype" w:hAnsi="Palatino Linotype" w:cs="Palatino Linotype"/>
          <w:sz w:val="22"/>
          <w:szCs w:val="22"/>
        </w:rPr>
        <w:t xml:space="preserve"> Oficio de fecha diecisiete de febrero de dos mil veinticinco, signado por el Director de la Agencia de Movilidad, mediante el cual informa textualmente lo siguiente: </w:t>
      </w:r>
    </w:p>
    <w:p w14:paraId="57A9BCC4" w14:textId="77777777" w:rsidR="0003400C" w:rsidRPr="00141DF7" w:rsidRDefault="0003400C">
      <w:pPr>
        <w:pBdr>
          <w:top w:val="nil"/>
          <w:left w:val="nil"/>
          <w:bottom w:val="nil"/>
          <w:right w:val="nil"/>
          <w:between w:val="nil"/>
        </w:pBdr>
        <w:spacing w:line="360" w:lineRule="auto"/>
        <w:ind w:right="579"/>
        <w:jc w:val="both"/>
        <w:rPr>
          <w:rFonts w:ascii="Palatino Linotype" w:eastAsia="Palatino Linotype" w:hAnsi="Palatino Linotype" w:cs="Palatino Linotype"/>
          <w:sz w:val="22"/>
          <w:szCs w:val="22"/>
        </w:rPr>
      </w:pPr>
    </w:p>
    <w:p w14:paraId="25BB899D"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b/>
          <w:i/>
          <w:sz w:val="20"/>
          <w:szCs w:val="20"/>
        </w:rPr>
      </w:pPr>
    </w:p>
    <w:p w14:paraId="269B20C8" w14:textId="77777777" w:rsidR="0003400C" w:rsidRPr="00141DF7" w:rsidRDefault="002D6F4E">
      <w:pPr>
        <w:pBdr>
          <w:top w:val="nil"/>
          <w:left w:val="nil"/>
          <w:bottom w:val="nil"/>
          <w:right w:val="nil"/>
          <w:between w:val="nil"/>
        </w:pBdr>
        <w:tabs>
          <w:tab w:val="left" w:pos="426"/>
        </w:tabs>
        <w:spacing w:line="276" w:lineRule="auto"/>
        <w:ind w:left="360"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a) fundamento administrativo y legal para que el personal de la Agencia de Movilidad, Verificación Administrativa más adelante AMVAR, retire un puesto de publicaciones periódicas en vía pública con apoyo de una grúa, la cual no tiene placas de circulación, permiso de circulación ni cromática de la empresa prestadora de servicio de grúa:</w:t>
      </w:r>
    </w:p>
    <w:p w14:paraId="28455CD8" w14:textId="77777777" w:rsidR="0003400C" w:rsidRPr="00141DF7" w:rsidRDefault="0003400C">
      <w:pPr>
        <w:pBdr>
          <w:top w:val="nil"/>
          <w:left w:val="nil"/>
          <w:bottom w:val="nil"/>
          <w:right w:val="nil"/>
          <w:between w:val="nil"/>
        </w:pBdr>
        <w:tabs>
          <w:tab w:val="left" w:pos="426"/>
        </w:tabs>
        <w:spacing w:line="276" w:lineRule="auto"/>
        <w:ind w:left="360" w:right="579"/>
        <w:jc w:val="both"/>
        <w:rPr>
          <w:rFonts w:ascii="Palatino Linotype" w:eastAsia="Palatino Linotype" w:hAnsi="Palatino Linotype" w:cs="Palatino Linotype"/>
          <w:i/>
          <w:sz w:val="22"/>
          <w:szCs w:val="22"/>
        </w:rPr>
      </w:pPr>
    </w:p>
    <w:p w14:paraId="08078930" w14:textId="77777777" w:rsidR="0003400C" w:rsidRPr="00141DF7" w:rsidRDefault="002D6F4E">
      <w:pPr>
        <w:pBdr>
          <w:top w:val="nil"/>
          <w:left w:val="nil"/>
          <w:bottom w:val="nil"/>
          <w:right w:val="nil"/>
          <w:between w:val="nil"/>
        </w:pBdr>
        <w:tabs>
          <w:tab w:val="left" w:pos="426"/>
        </w:tabs>
        <w:spacing w:line="276" w:lineRule="auto"/>
        <w:ind w:left="360"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lastRenderedPageBreak/>
        <w:t xml:space="preserve"> b) R= ART. 2.85 </w:t>
      </w:r>
      <w:proofErr w:type="spellStart"/>
      <w:r w:rsidRPr="00141DF7">
        <w:rPr>
          <w:rFonts w:ascii="Palatino Linotype" w:eastAsia="Palatino Linotype" w:hAnsi="Palatino Linotype" w:cs="Palatino Linotype"/>
          <w:i/>
          <w:sz w:val="22"/>
          <w:szCs w:val="22"/>
        </w:rPr>
        <w:t>fracc</w:t>
      </w:r>
      <w:proofErr w:type="spellEnd"/>
      <w:r w:rsidRPr="00141DF7">
        <w:rPr>
          <w:rFonts w:ascii="Palatino Linotype" w:eastAsia="Palatino Linotype" w:hAnsi="Palatino Linotype" w:cs="Palatino Linotype"/>
          <w:i/>
          <w:sz w:val="22"/>
          <w:szCs w:val="22"/>
        </w:rPr>
        <w:t xml:space="preserve"> XXVI, del Código Reglamentario del Municipio de Tecámac. XXVI Mantener la vialidad de cualquier tipo libre de obstáculos u </w:t>
      </w:r>
      <w:proofErr w:type="spellStart"/>
      <w:r w:rsidRPr="00141DF7">
        <w:rPr>
          <w:rFonts w:ascii="Palatino Linotype" w:eastAsia="Palatino Linotype" w:hAnsi="Palatino Linotype" w:cs="Palatino Linotype"/>
          <w:i/>
          <w:sz w:val="22"/>
          <w:szCs w:val="22"/>
        </w:rPr>
        <w:t>obietos</w:t>
      </w:r>
      <w:proofErr w:type="spellEnd"/>
      <w:r w:rsidRPr="00141DF7">
        <w:rPr>
          <w:rFonts w:ascii="Palatino Linotype" w:eastAsia="Palatino Linotype" w:hAnsi="Palatino Linotype" w:cs="Palatino Linotype"/>
          <w:i/>
          <w:sz w:val="22"/>
          <w:szCs w:val="22"/>
        </w:rPr>
        <w:t xml:space="preserve"> que impidan, dificulten u obstruyan el tránsito peatonal, ciclista o vehicular, excepto en aquellos casos debidamente autorizados </w:t>
      </w:r>
    </w:p>
    <w:p w14:paraId="2426AB30" w14:textId="77777777" w:rsidR="0003400C" w:rsidRPr="00141DF7" w:rsidRDefault="002D6F4E">
      <w:pPr>
        <w:pBdr>
          <w:top w:val="nil"/>
          <w:left w:val="nil"/>
          <w:bottom w:val="nil"/>
          <w:right w:val="nil"/>
          <w:between w:val="nil"/>
        </w:pBdr>
        <w:tabs>
          <w:tab w:val="left" w:pos="426"/>
        </w:tabs>
        <w:spacing w:line="276" w:lineRule="auto"/>
        <w:ind w:left="360"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ART. 9 FRACC XIX de la Ley General de Movilidad del Estado de México. XIX. Mantener la vialidad de cualquier tipo libre de obstáculos u objetos que impidan, dificulten u obstruyan el tránsito peatonal, ciclista o vehicular, excepto en aquellos casos debidamente autorizados. A</w:t>
      </w:r>
    </w:p>
    <w:p w14:paraId="7A82257A" w14:textId="77777777" w:rsidR="0003400C" w:rsidRPr="00141DF7" w:rsidRDefault="002D6F4E">
      <w:pPr>
        <w:pBdr>
          <w:top w:val="nil"/>
          <w:left w:val="nil"/>
          <w:bottom w:val="nil"/>
          <w:right w:val="nil"/>
          <w:between w:val="nil"/>
        </w:pBdr>
        <w:tabs>
          <w:tab w:val="left" w:pos="426"/>
        </w:tabs>
        <w:spacing w:line="276" w:lineRule="auto"/>
        <w:ind w:left="360"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RT. 128 DE LA LEY DE MOVILIDAD Y SEGURIDAD VIAL DEL ESTADO DE MÉXICO Y SUS MUNICIPIOS XIX. Mantener la vía de cualquier tipo, libre de obstáculos u objetos que impidan, dificulten u obstruyan el tránsito peatonal, ciclista o vehicular, excepto en aquellos casos debidamente autorizados y respetando la jerarquía de la movilidad: XXII. Trasladar a los depósitos vehiculares autorizados por la Secretaría. las </w:t>
      </w:r>
      <w:proofErr w:type="spellStart"/>
      <w:r w:rsidRPr="00141DF7">
        <w:rPr>
          <w:rFonts w:ascii="Palatino Linotype" w:eastAsia="Palatino Linotype" w:hAnsi="Palatino Linotype" w:cs="Palatino Linotype"/>
          <w:i/>
          <w:sz w:val="22"/>
          <w:szCs w:val="22"/>
        </w:rPr>
        <w:t>caias</w:t>
      </w:r>
      <w:proofErr w:type="spellEnd"/>
      <w:r w:rsidRPr="00141DF7">
        <w:rPr>
          <w:rFonts w:ascii="Palatino Linotype" w:eastAsia="Palatino Linotype" w:hAnsi="Palatino Linotype" w:cs="Palatino Linotype"/>
          <w:i/>
          <w:sz w:val="22"/>
          <w:szCs w:val="22"/>
        </w:rPr>
        <w:t xml:space="preserve">, </w:t>
      </w:r>
      <w:proofErr w:type="spellStart"/>
      <w:r w:rsidRPr="00141DF7">
        <w:rPr>
          <w:rFonts w:ascii="Palatino Linotype" w:eastAsia="Palatino Linotype" w:hAnsi="Palatino Linotype" w:cs="Palatino Linotype"/>
          <w:i/>
          <w:sz w:val="22"/>
          <w:szCs w:val="22"/>
        </w:rPr>
        <w:t>remolgues</w:t>
      </w:r>
      <w:proofErr w:type="spellEnd"/>
      <w:r w:rsidRPr="00141DF7">
        <w:rPr>
          <w:rFonts w:ascii="Palatino Linotype" w:eastAsia="Palatino Linotype" w:hAnsi="Palatino Linotype" w:cs="Palatino Linotype"/>
          <w:i/>
          <w:sz w:val="22"/>
          <w:szCs w:val="22"/>
        </w:rPr>
        <w:t xml:space="preserve">, tráileres y vehículos de carga, que obstaculicen, limiten o impidan el uso adecuado de las vías, en términos de la normatividad aplicable: </w:t>
      </w:r>
    </w:p>
    <w:p w14:paraId="6DE4BFBD" w14:textId="77777777" w:rsidR="0003400C" w:rsidRPr="00141DF7" w:rsidRDefault="0003400C">
      <w:pPr>
        <w:pBdr>
          <w:top w:val="nil"/>
          <w:left w:val="nil"/>
          <w:bottom w:val="nil"/>
          <w:right w:val="nil"/>
          <w:between w:val="nil"/>
        </w:pBdr>
        <w:tabs>
          <w:tab w:val="left" w:pos="426"/>
        </w:tabs>
        <w:spacing w:line="276" w:lineRule="auto"/>
        <w:ind w:left="360" w:right="579"/>
        <w:jc w:val="both"/>
        <w:rPr>
          <w:rFonts w:ascii="Palatino Linotype" w:eastAsia="Palatino Linotype" w:hAnsi="Palatino Linotype" w:cs="Palatino Linotype"/>
          <w:i/>
          <w:sz w:val="22"/>
          <w:szCs w:val="22"/>
        </w:rPr>
      </w:pPr>
    </w:p>
    <w:p w14:paraId="7B9CB0C4" w14:textId="77777777" w:rsidR="0003400C" w:rsidRPr="00141DF7" w:rsidRDefault="002D6F4E">
      <w:pPr>
        <w:pBdr>
          <w:top w:val="nil"/>
          <w:left w:val="nil"/>
          <w:bottom w:val="nil"/>
          <w:right w:val="nil"/>
          <w:between w:val="nil"/>
        </w:pBdr>
        <w:tabs>
          <w:tab w:val="left" w:pos="426"/>
        </w:tabs>
        <w:spacing w:line="276" w:lineRule="auto"/>
        <w:ind w:left="360"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b) Fundamento Administrativo y legal para que en una grúa sin placas, ni permiso de circular, ni cromática apoye al personal de la Agencia de Movilidad Verificación Administrativa para retirar el puesto referido en los videos</w:t>
      </w:r>
    </w:p>
    <w:p w14:paraId="453639D3" w14:textId="77777777" w:rsidR="0003400C" w:rsidRPr="00141DF7" w:rsidRDefault="0003400C">
      <w:pPr>
        <w:pBdr>
          <w:top w:val="nil"/>
          <w:left w:val="nil"/>
          <w:bottom w:val="nil"/>
          <w:right w:val="nil"/>
          <w:between w:val="nil"/>
        </w:pBdr>
        <w:tabs>
          <w:tab w:val="left" w:pos="426"/>
        </w:tabs>
        <w:spacing w:line="276" w:lineRule="auto"/>
        <w:ind w:left="360" w:right="579"/>
        <w:jc w:val="both"/>
        <w:rPr>
          <w:rFonts w:ascii="Palatino Linotype" w:eastAsia="Palatino Linotype" w:hAnsi="Palatino Linotype" w:cs="Palatino Linotype"/>
          <w:i/>
          <w:sz w:val="22"/>
          <w:szCs w:val="22"/>
        </w:rPr>
      </w:pPr>
    </w:p>
    <w:p w14:paraId="4C553FC6" w14:textId="77777777" w:rsidR="0003400C" w:rsidRPr="00141DF7" w:rsidRDefault="002D6F4E">
      <w:pPr>
        <w:pBdr>
          <w:top w:val="nil"/>
          <w:left w:val="nil"/>
          <w:bottom w:val="nil"/>
          <w:right w:val="nil"/>
          <w:between w:val="nil"/>
        </w:pBdr>
        <w:tabs>
          <w:tab w:val="left" w:pos="426"/>
        </w:tabs>
        <w:spacing w:line="276" w:lineRule="auto"/>
        <w:ind w:left="360"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 R= Esta Agencia de Movilidad, Verificación Administrativa y Regulación, no pide apoyo, solicita de manera formal a la Dirección General de Obras Públicas realice el retiro de los Bienes mostrencos, instalaciones, o enseres que se encuentren en la vía pública, previamente notificados </w:t>
      </w:r>
    </w:p>
    <w:p w14:paraId="7D7C6CE3" w14:textId="77777777" w:rsidR="0003400C" w:rsidRPr="00141DF7" w:rsidRDefault="0003400C">
      <w:pPr>
        <w:pBdr>
          <w:top w:val="nil"/>
          <w:left w:val="nil"/>
          <w:bottom w:val="nil"/>
          <w:right w:val="nil"/>
          <w:between w:val="nil"/>
        </w:pBdr>
        <w:tabs>
          <w:tab w:val="left" w:pos="426"/>
        </w:tabs>
        <w:spacing w:line="276" w:lineRule="auto"/>
        <w:ind w:left="360" w:right="579"/>
        <w:jc w:val="both"/>
        <w:rPr>
          <w:rFonts w:ascii="Palatino Linotype" w:eastAsia="Palatino Linotype" w:hAnsi="Palatino Linotype" w:cs="Palatino Linotype"/>
          <w:i/>
          <w:sz w:val="22"/>
          <w:szCs w:val="22"/>
        </w:rPr>
      </w:pPr>
    </w:p>
    <w:p w14:paraId="296A3821" w14:textId="77777777" w:rsidR="0003400C" w:rsidRPr="00141DF7" w:rsidRDefault="002D6F4E">
      <w:pPr>
        <w:pBdr>
          <w:top w:val="nil"/>
          <w:left w:val="nil"/>
          <w:bottom w:val="nil"/>
          <w:right w:val="nil"/>
          <w:between w:val="nil"/>
        </w:pBdr>
        <w:tabs>
          <w:tab w:val="left" w:pos="426"/>
        </w:tabs>
        <w:spacing w:line="276" w:lineRule="auto"/>
        <w:ind w:left="360"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d) El documento legal que avale el derecho de audiencia para el titular o dueño del puesto referido en los videos, en los términos que establezcan las leyes para este caso, antes del retiro del puesto de publicaciones periódicas. Se anexa documento legal que avala derecho de Garantía de Audiencia, como lo establece el Artículo 129. que a la letra dice: art. 129 "Tratándose de la aplicación de sanciones y de la emisión de otros actos administrativos que priven a los particulares de la libertad, propiedades, posesiones o derechos, se otorgará previamente a los mismos la garantía de </w:t>
      </w:r>
      <w:proofErr w:type="gramStart"/>
      <w:r w:rsidRPr="00141DF7">
        <w:rPr>
          <w:rFonts w:ascii="Palatino Linotype" w:eastAsia="Palatino Linotype" w:hAnsi="Palatino Linotype" w:cs="Palatino Linotype"/>
          <w:i/>
          <w:sz w:val="22"/>
          <w:szCs w:val="22"/>
        </w:rPr>
        <w:t>audiencia..</w:t>
      </w:r>
      <w:proofErr w:type="gramEnd"/>
      <w:r w:rsidRPr="00141DF7">
        <w:rPr>
          <w:rFonts w:ascii="Palatino Linotype" w:eastAsia="Palatino Linotype" w:hAnsi="Palatino Linotype" w:cs="Palatino Linotype"/>
          <w:i/>
          <w:sz w:val="22"/>
          <w:szCs w:val="22"/>
        </w:rPr>
        <w:t xml:space="preserve">" </w:t>
      </w:r>
    </w:p>
    <w:p w14:paraId="6AF8009C" w14:textId="77777777" w:rsidR="0003400C" w:rsidRPr="00141DF7" w:rsidRDefault="0003400C">
      <w:pPr>
        <w:pBdr>
          <w:top w:val="nil"/>
          <w:left w:val="nil"/>
          <w:bottom w:val="nil"/>
          <w:right w:val="nil"/>
          <w:between w:val="nil"/>
        </w:pBdr>
        <w:tabs>
          <w:tab w:val="left" w:pos="426"/>
        </w:tabs>
        <w:spacing w:line="276" w:lineRule="auto"/>
        <w:ind w:left="360" w:right="579"/>
        <w:jc w:val="both"/>
        <w:rPr>
          <w:rFonts w:ascii="Palatino Linotype" w:eastAsia="Palatino Linotype" w:hAnsi="Palatino Linotype" w:cs="Palatino Linotype"/>
          <w:i/>
          <w:sz w:val="22"/>
          <w:szCs w:val="22"/>
        </w:rPr>
      </w:pPr>
    </w:p>
    <w:p w14:paraId="473C4A78" w14:textId="77777777" w:rsidR="0003400C" w:rsidRPr="00141DF7" w:rsidRDefault="002D6F4E">
      <w:pPr>
        <w:pBdr>
          <w:top w:val="nil"/>
          <w:left w:val="nil"/>
          <w:bottom w:val="nil"/>
          <w:right w:val="nil"/>
          <w:between w:val="nil"/>
        </w:pBdr>
        <w:tabs>
          <w:tab w:val="left" w:pos="426"/>
        </w:tabs>
        <w:spacing w:line="276" w:lineRule="auto"/>
        <w:ind w:left="360" w:right="579"/>
        <w:jc w:val="both"/>
        <w:rPr>
          <w:rFonts w:ascii="Palatino Linotype" w:eastAsia="Palatino Linotype" w:hAnsi="Palatino Linotype" w:cs="Palatino Linotype"/>
          <w:i/>
          <w:sz w:val="20"/>
          <w:szCs w:val="20"/>
        </w:rPr>
      </w:pPr>
      <w:r w:rsidRPr="00141DF7">
        <w:rPr>
          <w:rFonts w:ascii="Palatino Linotype" w:eastAsia="Palatino Linotype" w:hAnsi="Palatino Linotype" w:cs="Palatino Linotype"/>
          <w:i/>
          <w:sz w:val="22"/>
          <w:szCs w:val="22"/>
        </w:rPr>
        <w:t>e) Listado de grúas concesionadas para el apoyo en todas las áreas de su competencia Esta Agencia de Movilidad, Verificación Administrativa y Regulación, solicita de manera formal a la Dirección General de Obras Públicas realice el retiro de los Bienes mostrencos, instalaciones, o enseres que se encuentren en la vía pública, previamente notificados.</w:t>
      </w:r>
    </w:p>
    <w:p w14:paraId="6F01C9B6" w14:textId="77777777" w:rsidR="0003400C" w:rsidRPr="00141DF7" w:rsidRDefault="0003400C">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32A44F71" w14:textId="77777777" w:rsidR="0003400C" w:rsidRPr="00141DF7" w:rsidRDefault="002D6F4E">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lastRenderedPageBreak/>
        <w:t xml:space="preserve">Interposición del recurso de revisión. </w:t>
      </w:r>
      <w:r w:rsidRPr="00141DF7">
        <w:rPr>
          <w:rFonts w:ascii="Palatino Linotype" w:eastAsia="Palatino Linotype" w:hAnsi="Palatino Linotype" w:cs="Palatino Linotype"/>
          <w:sz w:val="22"/>
          <w:szCs w:val="22"/>
        </w:rPr>
        <w:t xml:space="preserve">Inconforme con la respuesta del </w:t>
      </w:r>
      <w:r w:rsidRPr="00141DF7">
        <w:rPr>
          <w:rFonts w:ascii="Palatino Linotype" w:eastAsia="Palatino Linotype" w:hAnsi="Palatino Linotype" w:cs="Palatino Linotype"/>
          <w:b/>
          <w:sz w:val="22"/>
          <w:szCs w:val="22"/>
        </w:rPr>
        <w:t>SUJETO OBLIGADO</w:t>
      </w:r>
      <w:r w:rsidRPr="00141DF7">
        <w:rPr>
          <w:rFonts w:ascii="Palatino Linotype" w:eastAsia="Palatino Linotype" w:hAnsi="Palatino Linotype" w:cs="Palatino Linotype"/>
          <w:sz w:val="22"/>
          <w:szCs w:val="22"/>
        </w:rPr>
        <w:t>, la persona</w:t>
      </w:r>
      <w:r w:rsidRPr="00141DF7">
        <w:rPr>
          <w:rFonts w:ascii="Palatino Linotype" w:eastAsia="Palatino Linotype" w:hAnsi="Palatino Linotype" w:cs="Palatino Linotype"/>
          <w:b/>
          <w:sz w:val="22"/>
          <w:szCs w:val="22"/>
        </w:rPr>
        <w:t xml:space="preserve"> RECURRENTE</w:t>
      </w:r>
      <w:r w:rsidRPr="00141DF7">
        <w:rPr>
          <w:rFonts w:ascii="Palatino Linotype" w:eastAsia="Palatino Linotype" w:hAnsi="Palatino Linotype" w:cs="Palatino Linotype"/>
          <w:sz w:val="22"/>
          <w:szCs w:val="22"/>
        </w:rPr>
        <w:t xml:space="preserve"> interpuso recurso de revisión a través del Sistema de Acceso a la Información Mexiquense en fecha </w:t>
      </w:r>
      <w:r w:rsidRPr="00141DF7">
        <w:rPr>
          <w:rFonts w:ascii="Palatino Linotype" w:eastAsia="Palatino Linotype" w:hAnsi="Palatino Linotype" w:cs="Palatino Linotype"/>
          <w:b/>
          <w:sz w:val="22"/>
          <w:szCs w:val="22"/>
        </w:rPr>
        <w:t>veintisiete de febrero de dos mil veinticinco</w:t>
      </w:r>
      <w:r w:rsidRPr="00141DF7">
        <w:rPr>
          <w:rFonts w:ascii="Palatino Linotype" w:eastAsia="Palatino Linotype" w:hAnsi="Palatino Linotype" w:cs="Palatino Linotype"/>
          <w:sz w:val="22"/>
          <w:szCs w:val="22"/>
        </w:rPr>
        <w:t>, a través del cual expresó lo siguiente:</w:t>
      </w:r>
    </w:p>
    <w:p w14:paraId="6488737F" w14:textId="77777777" w:rsidR="0003400C" w:rsidRPr="00141DF7" w:rsidRDefault="0003400C">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61C3B9FC" w14:textId="77777777" w:rsidR="0003400C" w:rsidRPr="00141DF7" w:rsidRDefault="002D6F4E">
      <w:pPr>
        <w:spacing w:line="276" w:lineRule="auto"/>
        <w:ind w:left="567" w:right="693"/>
        <w:rPr>
          <w:rFonts w:ascii="Palatino Linotype" w:eastAsia="Palatino Linotype" w:hAnsi="Palatino Linotype" w:cs="Palatino Linotype"/>
          <w:i/>
          <w:sz w:val="22"/>
          <w:szCs w:val="22"/>
        </w:rPr>
      </w:pPr>
      <w:r w:rsidRPr="00141DF7">
        <w:rPr>
          <w:rFonts w:ascii="Palatino Linotype" w:eastAsia="Palatino Linotype" w:hAnsi="Palatino Linotype" w:cs="Palatino Linotype"/>
          <w:b/>
          <w:sz w:val="22"/>
          <w:szCs w:val="22"/>
        </w:rPr>
        <w:t xml:space="preserve">Acto impugnado. </w:t>
      </w:r>
      <w:r w:rsidRPr="00141DF7">
        <w:rPr>
          <w:rFonts w:ascii="Palatino Linotype" w:eastAsia="Palatino Linotype" w:hAnsi="Palatino Linotype" w:cs="Palatino Linotype"/>
          <w:i/>
          <w:sz w:val="22"/>
          <w:szCs w:val="22"/>
        </w:rPr>
        <w:t xml:space="preserve">“La respuesta otorgada por el sujeto obligado” </w:t>
      </w:r>
    </w:p>
    <w:p w14:paraId="2CC2D323" w14:textId="77777777" w:rsidR="0003400C" w:rsidRPr="00141DF7" w:rsidRDefault="0003400C">
      <w:pPr>
        <w:spacing w:line="276" w:lineRule="auto"/>
        <w:ind w:left="567" w:right="693"/>
        <w:rPr>
          <w:sz w:val="22"/>
          <w:szCs w:val="22"/>
        </w:rPr>
      </w:pPr>
    </w:p>
    <w:p w14:paraId="492AB058" w14:textId="77777777" w:rsidR="0003400C" w:rsidRPr="00141DF7" w:rsidRDefault="002D6F4E">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b/>
          <w:sz w:val="22"/>
          <w:szCs w:val="22"/>
        </w:rPr>
        <w:t xml:space="preserve">Motivos de inconformidad. </w:t>
      </w:r>
      <w:r w:rsidRPr="00141DF7">
        <w:rPr>
          <w:rFonts w:ascii="Palatino Linotype" w:eastAsia="Palatino Linotype" w:hAnsi="Palatino Linotype" w:cs="Palatino Linotype"/>
          <w:i/>
          <w:sz w:val="22"/>
          <w:szCs w:val="22"/>
        </w:rPr>
        <w:t xml:space="preserve">“Sobre respuestas y omisiones a las preguntas realizadas”. </w:t>
      </w:r>
    </w:p>
    <w:p w14:paraId="05BBF684" w14:textId="77777777" w:rsidR="0003400C" w:rsidRPr="00141DF7" w:rsidRDefault="0003400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6ECD190" w14:textId="77777777" w:rsidR="0003400C" w:rsidRPr="00141DF7" w:rsidRDefault="002D6F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Asimismo, adjuntó a su medio de impugnación un archivo que señala textualmente lo siguiente: </w:t>
      </w:r>
    </w:p>
    <w:p w14:paraId="16305037" w14:textId="77777777" w:rsidR="0003400C" w:rsidRPr="00141DF7" w:rsidRDefault="0003400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820BB8"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Por medio de este conducto manifiesto que la información entregada del folio 00040/TECAMAC/IP/2025 no corresponde a lo solicitado es imprecisa y no corresponde a lo solicitado además de omitir preguntas. </w:t>
      </w:r>
    </w:p>
    <w:p w14:paraId="56088575"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1FF4BDC3"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 las preguntas las cuales emite respuesta mi inconformidad es por los siguientes argumentos. </w:t>
      </w:r>
    </w:p>
    <w:p w14:paraId="0B2096AB"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7C40D3C4"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 Fundamento administrativo y legal para que el personal de la Agencia de Movilidad, Verificación Administrativa más adelante AMVAR, retire un puesto de publicaciones periódicas en vía pública con apoyo de una grúa, la cual no tiene placas de circulación, permiso de circulación ni cromática de la empresa prestadora de servicio de grúa. </w:t>
      </w:r>
    </w:p>
    <w:p w14:paraId="5E090880"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1B9811E9"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b/>
          <w:i/>
          <w:sz w:val="22"/>
          <w:szCs w:val="22"/>
          <w:u w:val="single"/>
        </w:rPr>
      </w:pPr>
      <w:r w:rsidRPr="00141DF7">
        <w:rPr>
          <w:rFonts w:ascii="Palatino Linotype" w:eastAsia="Palatino Linotype" w:hAnsi="Palatino Linotype" w:cs="Palatino Linotype"/>
          <w:i/>
          <w:sz w:val="22"/>
          <w:szCs w:val="22"/>
        </w:rPr>
        <w:t xml:space="preserve">En esta respuesta hace referencia de diferentes ordenamientos jurídicos, </w:t>
      </w:r>
      <w:r w:rsidRPr="00141DF7">
        <w:rPr>
          <w:rFonts w:ascii="Palatino Linotype" w:eastAsia="Palatino Linotype" w:hAnsi="Palatino Linotype" w:cs="Palatino Linotype"/>
          <w:b/>
          <w:i/>
          <w:sz w:val="22"/>
          <w:szCs w:val="22"/>
          <w:u w:val="single"/>
        </w:rPr>
        <w:t>solo que está individualizada sobre AMVAR</w:t>
      </w:r>
      <w:r w:rsidRPr="00141DF7">
        <w:rPr>
          <w:rFonts w:ascii="Palatino Linotype" w:eastAsia="Palatino Linotype" w:hAnsi="Palatino Linotype" w:cs="Palatino Linotype"/>
          <w:i/>
          <w:sz w:val="22"/>
          <w:szCs w:val="22"/>
        </w:rPr>
        <w:t xml:space="preserve"> y mi pregunta es sobre dos elementos actuando de manera conjunta en este caso AMVAR y una grúa</w:t>
      </w:r>
      <w:r w:rsidRPr="00141DF7">
        <w:rPr>
          <w:rFonts w:ascii="Palatino Linotype" w:eastAsia="Palatino Linotype" w:hAnsi="Palatino Linotype" w:cs="Palatino Linotype"/>
          <w:b/>
          <w:i/>
          <w:sz w:val="22"/>
          <w:szCs w:val="22"/>
          <w:u w:val="single"/>
        </w:rPr>
        <w:t xml:space="preserve">, por lo que considero no se hizo una búsqueda exhaustiva y razonable en los ordenamientos jurídicos aplicables en este caso, por ejemplo el Reglamento de Tránsito, o bien las normativas Estatales y Municipales para el uso de las grúas concesionadas. </w:t>
      </w:r>
    </w:p>
    <w:p w14:paraId="33F3D157"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2BB2CB33"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B) Fundamento administrativo y legal para que una grúa sin placas, ni permiso de circular, ni cromática apoye al personal de la Agencia de Movilidad, Verificación Administrativa para retirar el puesto referido en los videos. </w:t>
      </w:r>
    </w:p>
    <w:p w14:paraId="052A4025"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40EB6C09"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La respuesta del sujeto obligado es: </w:t>
      </w:r>
    </w:p>
    <w:p w14:paraId="229C6FA3"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667375F0"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lastRenderedPageBreak/>
        <w:t>R= Esta Agencia de Movilidad, Verificación Administrativa y Regulación, no pide apoyo, solicita de manera formal a la Dirección General de Obras Públicas realice el retiro de los Bienes mostrencos, instalaciones, o enseres que se encuentren en la vía pública, previamente notificados</w:t>
      </w:r>
    </w:p>
    <w:p w14:paraId="76805B17"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35337891"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b/>
          <w:i/>
          <w:sz w:val="22"/>
          <w:szCs w:val="22"/>
          <w:u w:val="single"/>
        </w:rPr>
      </w:pPr>
      <w:r w:rsidRPr="00141DF7">
        <w:rPr>
          <w:rFonts w:ascii="Palatino Linotype" w:eastAsia="Palatino Linotype" w:hAnsi="Palatino Linotype" w:cs="Palatino Linotype"/>
          <w:i/>
          <w:sz w:val="22"/>
          <w:szCs w:val="22"/>
        </w:rPr>
        <w:t xml:space="preserve"> Sobre la respuesta proporcionada </w:t>
      </w:r>
      <w:r w:rsidRPr="00141DF7">
        <w:rPr>
          <w:rFonts w:ascii="Palatino Linotype" w:eastAsia="Palatino Linotype" w:hAnsi="Palatino Linotype" w:cs="Palatino Linotype"/>
          <w:b/>
          <w:i/>
          <w:sz w:val="22"/>
          <w:szCs w:val="22"/>
          <w:u w:val="single"/>
        </w:rPr>
        <w:t xml:space="preserve">no corresponde a lo solicitado, y por consecuencia considero no se hizo una búsqueda exhaustiva y razonable en los ordenamientos jurídicos aplicables en este caso, por ejemplo el Reglamento de Tránsito, o bien las normativas Estatales y Municipales para el uso de las grúas concesionadas. </w:t>
      </w:r>
    </w:p>
    <w:p w14:paraId="12A52C38"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659E1624"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C) Fundamento administrativo y legal para que una grúa sin placas, ni permiso de circular, ni pueda circular y prestar el servicio. </w:t>
      </w:r>
    </w:p>
    <w:p w14:paraId="7CC44CF3"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11C8F95F"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b/>
          <w:i/>
          <w:sz w:val="22"/>
          <w:szCs w:val="22"/>
          <w:u w:val="single"/>
        </w:rPr>
      </w:pPr>
      <w:r w:rsidRPr="00141DF7">
        <w:rPr>
          <w:rFonts w:ascii="Palatino Linotype" w:eastAsia="Palatino Linotype" w:hAnsi="Palatino Linotype" w:cs="Palatino Linotype"/>
          <w:b/>
          <w:i/>
          <w:sz w:val="22"/>
          <w:szCs w:val="22"/>
          <w:u w:val="single"/>
        </w:rPr>
        <w:t xml:space="preserve">El sujeto obligado omitió esta respuesta en la contestación, por lo que solicito sea entregada la respuesta. </w:t>
      </w:r>
    </w:p>
    <w:p w14:paraId="661364FC"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11160F96"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D) El documento legal que avale el derecho de audiencia para el titular o dueño del puesto referido en los videos, en los términos que establecen las leyes para este caso, antes del retiro del puesto de publicaciones periódicas. </w:t>
      </w:r>
    </w:p>
    <w:p w14:paraId="1660A085"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13FADC8B"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b/>
          <w:i/>
          <w:sz w:val="22"/>
          <w:szCs w:val="22"/>
        </w:rPr>
      </w:pPr>
      <w:r w:rsidRPr="00141DF7">
        <w:rPr>
          <w:rFonts w:ascii="Palatino Linotype" w:eastAsia="Palatino Linotype" w:hAnsi="Palatino Linotype" w:cs="Palatino Linotype"/>
          <w:i/>
          <w:sz w:val="22"/>
          <w:szCs w:val="22"/>
        </w:rPr>
        <w:t xml:space="preserve">Sobe el documento anexado corresponde a lo solicitado </w:t>
      </w:r>
      <w:r w:rsidRPr="00141DF7">
        <w:rPr>
          <w:rFonts w:ascii="Palatino Linotype" w:eastAsia="Palatino Linotype" w:hAnsi="Palatino Linotype" w:cs="Palatino Linotype"/>
          <w:b/>
          <w:i/>
          <w:sz w:val="22"/>
          <w:szCs w:val="22"/>
        </w:rPr>
        <w:t>aunque incompleto porque no anexa en versión pública la credencial de elector o medio de identificación oficial para este caso en concreto de quién aparece como testigo en el día de la Audiencia referida.</w:t>
      </w:r>
    </w:p>
    <w:p w14:paraId="19EB8C40"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7C703F39"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e) Listado de grúas concesionadas para el apoyo en todas las áreas de su competencia </w:t>
      </w:r>
    </w:p>
    <w:p w14:paraId="793674F3"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3931893C"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La respuesta del sujeto obligado es: Esta Agencia de Movilidad, Verificación Administrativa y Regulación, solicita de manera formal a la Dirección General de Obras Públicas realice el retiro de los Bienes mostrencos, instalaciones, o enseres que se encuentren en la vía pública, previamente notificados </w:t>
      </w:r>
    </w:p>
    <w:p w14:paraId="3C6A9F7C"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617525F8"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b/>
          <w:i/>
          <w:sz w:val="22"/>
          <w:szCs w:val="22"/>
          <w:u w:val="single"/>
        </w:rPr>
      </w:pPr>
      <w:r w:rsidRPr="00141DF7">
        <w:rPr>
          <w:rFonts w:ascii="Palatino Linotype" w:eastAsia="Palatino Linotype" w:hAnsi="Palatino Linotype" w:cs="Palatino Linotype"/>
          <w:i/>
          <w:sz w:val="22"/>
          <w:szCs w:val="22"/>
        </w:rPr>
        <w:t xml:space="preserve">Sobre la respuesta proporcionada </w:t>
      </w:r>
      <w:r w:rsidRPr="00141DF7">
        <w:rPr>
          <w:rFonts w:ascii="Palatino Linotype" w:eastAsia="Palatino Linotype" w:hAnsi="Palatino Linotype" w:cs="Palatino Linotype"/>
          <w:b/>
          <w:i/>
          <w:sz w:val="22"/>
          <w:szCs w:val="22"/>
          <w:u w:val="single"/>
        </w:rPr>
        <w:t>no corresponde a lo solicitado</w:t>
      </w:r>
      <w:r w:rsidRPr="00141DF7">
        <w:rPr>
          <w:rFonts w:ascii="Palatino Linotype" w:eastAsia="Palatino Linotype" w:hAnsi="Palatino Linotype" w:cs="Palatino Linotype"/>
          <w:i/>
          <w:sz w:val="22"/>
          <w:szCs w:val="22"/>
        </w:rPr>
        <w:t xml:space="preserve">, y por consecuencia considero </w:t>
      </w:r>
      <w:r w:rsidRPr="00141DF7">
        <w:rPr>
          <w:rFonts w:ascii="Palatino Linotype" w:eastAsia="Palatino Linotype" w:hAnsi="Palatino Linotype" w:cs="Palatino Linotype"/>
          <w:b/>
          <w:i/>
          <w:sz w:val="22"/>
          <w:szCs w:val="22"/>
          <w:u w:val="single"/>
        </w:rPr>
        <w:t xml:space="preserve">no se hizo una búsqueda exhaustiva y razonable en los ordenamientos jurídicos aplicables en este caso, por ejemplo el Reglamento de Tránsito, o bien las normativas Estatales y Municipales para el uso de las grúas </w:t>
      </w:r>
      <w:proofErr w:type="gramStart"/>
      <w:r w:rsidRPr="00141DF7">
        <w:rPr>
          <w:rFonts w:ascii="Palatino Linotype" w:eastAsia="Palatino Linotype" w:hAnsi="Palatino Linotype" w:cs="Palatino Linotype"/>
          <w:b/>
          <w:i/>
          <w:sz w:val="22"/>
          <w:szCs w:val="22"/>
          <w:u w:val="single"/>
        </w:rPr>
        <w:t>concesionadas..</w:t>
      </w:r>
      <w:proofErr w:type="gramEnd"/>
    </w:p>
    <w:p w14:paraId="663E97B3"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0A4E8A7E"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lastRenderedPageBreak/>
        <w:t xml:space="preserve"> Lo cual no considero corresponde a lo solicitado, porque mi pregunta es clara y precisa sobre </w:t>
      </w:r>
      <w:r w:rsidRPr="00141DF7">
        <w:rPr>
          <w:rFonts w:ascii="Palatino Linotype" w:eastAsia="Palatino Linotype" w:hAnsi="Palatino Linotype" w:cs="Palatino Linotype"/>
          <w:b/>
          <w:i/>
          <w:sz w:val="22"/>
          <w:szCs w:val="22"/>
          <w:u w:val="single"/>
        </w:rPr>
        <w:t>el listado de grúas concesionadas y no entrega dicha información</w:t>
      </w:r>
      <w:r w:rsidRPr="00141DF7">
        <w:rPr>
          <w:rFonts w:ascii="Palatino Linotype" w:eastAsia="Palatino Linotype" w:hAnsi="Palatino Linotype" w:cs="Palatino Linotype"/>
          <w:i/>
          <w:sz w:val="22"/>
          <w:szCs w:val="22"/>
        </w:rPr>
        <w:t xml:space="preserve">, por lo que solicito sea entregada la respuesta. </w:t>
      </w:r>
    </w:p>
    <w:p w14:paraId="0223BCCC"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300E9A5A"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F) Motivo o fundamento jurídico para el personal de Seguridad Pública para que haya omitido el auxilio del ciudadano para solicitar el apoyo de personal de Transito para validar si la grúa mencionada en el video, era apta para poder circular. </w:t>
      </w:r>
    </w:p>
    <w:p w14:paraId="3B444A09"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45D915DC"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El sujeto obligado omitió esta respuesta en la contestación, por lo que solicito sea entregada la respuesta. </w:t>
      </w:r>
    </w:p>
    <w:p w14:paraId="3428638D"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0C7FEEC5"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G) Motivo o fundamento jurídico para el personal de asignado a los botones de pánico no haya prestado el auxilio oportuno al ciudadano para </w:t>
      </w:r>
      <w:proofErr w:type="spellStart"/>
      <w:r w:rsidRPr="00141DF7">
        <w:rPr>
          <w:rFonts w:ascii="Palatino Linotype" w:eastAsia="Palatino Linotype" w:hAnsi="Palatino Linotype" w:cs="Palatino Linotype"/>
          <w:i/>
          <w:sz w:val="22"/>
          <w:szCs w:val="22"/>
        </w:rPr>
        <w:t>llegara</w:t>
      </w:r>
      <w:proofErr w:type="spellEnd"/>
      <w:r w:rsidRPr="00141DF7">
        <w:rPr>
          <w:rFonts w:ascii="Palatino Linotype" w:eastAsia="Palatino Linotype" w:hAnsi="Palatino Linotype" w:cs="Palatino Linotype"/>
          <w:i/>
          <w:sz w:val="22"/>
          <w:szCs w:val="22"/>
        </w:rPr>
        <w:t xml:space="preserve"> una unidad de Tránsito. </w:t>
      </w:r>
    </w:p>
    <w:p w14:paraId="22F7A72D"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11D53840"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b/>
          <w:i/>
          <w:sz w:val="22"/>
          <w:szCs w:val="22"/>
        </w:rPr>
      </w:pPr>
      <w:r w:rsidRPr="00141DF7">
        <w:rPr>
          <w:rFonts w:ascii="Palatino Linotype" w:eastAsia="Palatino Linotype" w:hAnsi="Palatino Linotype" w:cs="Palatino Linotype"/>
          <w:i/>
          <w:sz w:val="22"/>
          <w:szCs w:val="22"/>
        </w:rPr>
        <w:t xml:space="preserve">El sujeto obligado </w:t>
      </w:r>
      <w:r w:rsidRPr="00141DF7">
        <w:rPr>
          <w:rFonts w:ascii="Palatino Linotype" w:eastAsia="Palatino Linotype" w:hAnsi="Palatino Linotype" w:cs="Palatino Linotype"/>
          <w:b/>
          <w:i/>
          <w:sz w:val="22"/>
          <w:szCs w:val="22"/>
        </w:rPr>
        <w:t xml:space="preserve">omitió esta respuesta en la contestación, por lo que solicito sea entregada la respuesta. </w:t>
      </w:r>
    </w:p>
    <w:p w14:paraId="3BDBACFE"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75885986"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H) Motivo o fundamento jurídico para el personal de Tránsito asignado para el envío de una unidad de Tránsito no haya enviado el auxilio solicitado. </w:t>
      </w:r>
    </w:p>
    <w:p w14:paraId="0ADF4DF0"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33BDA52A"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b/>
          <w:i/>
          <w:sz w:val="22"/>
          <w:szCs w:val="22"/>
        </w:rPr>
      </w:pPr>
      <w:r w:rsidRPr="00141DF7">
        <w:rPr>
          <w:rFonts w:ascii="Palatino Linotype" w:eastAsia="Palatino Linotype" w:hAnsi="Palatino Linotype" w:cs="Palatino Linotype"/>
          <w:i/>
          <w:sz w:val="22"/>
          <w:szCs w:val="22"/>
        </w:rPr>
        <w:t xml:space="preserve">El sujeto obligado </w:t>
      </w:r>
      <w:r w:rsidRPr="00141DF7">
        <w:rPr>
          <w:rFonts w:ascii="Palatino Linotype" w:eastAsia="Palatino Linotype" w:hAnsi="Palatino Linotype" w:cs="Palatino Linotype"/>
          <w:b/>
          <w:i/>
          <w:sz w:val="22"/>
          <w:szCs w:val="22"/>
        </w:rPr>
        <w:t xml:space="preserve">omitió esta respuesta en la contestación, por lo que solicito sea entregada la respuesta. </w:t>
      </w:r>
    </w:p>
    <w:p w14:paraId="0D75FFD9" w14:textId="77777777" w:rsidR="0003400C" w:rsidRPr="00141DF7" w:rsidRDefault="0003400C">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p>
    <w:p w14:paraId="02E4D52B" w14:textId="77777777" w:rsidR="0003400C" w:rsidRPr="00141DF7" w:rsidRDefault="002D6F4E">
      <w:pPr>
        <w:pBdr>
          <w:top w:val="nil"/>
          <w:left w:val="nil"/>
          <w:bottom w:val="nil"/>
          <w:right w:val="nil"/>
          <w:between w:val="nil"/>
        </w:pBdr>
        <w:spacing w:line="276" w:lineRule="auto"/>
        <w:ind w:left="567" w:right="579"/>
        <w:jc w:val="both"/>
        <w:rPr>
          <w:rFonts w:ascii="Palatino Linotype" w:eastAsia="Palatino Linotype" w:hAnsi="Palatino Linotype" w:cs="Palatino Linotype"/>
          <w:b/>
          <w:i/>
          <w:sz w:val="20"/>
          <w:szCs w:val="20"/>
          <w:u w:val="single"/>
        </w:rPr>
      </w:pPr>
      <w:r w:rsidRPr="00141DF7">
        <w:rPr>
          <w:rFonts w:ascii="Palatino Linotype" w:eastAsia="Palatino Linotype" w:hAnsi="Palatino Linotype" w:cs="Palatino Linotype"/>
          <w:i/>
          <w:sz w:val="22"/>
          <w:szCs w:val="22"/>
        </w:rPr>
        <w:t xml:space="preserve">Asimismo, aclaro que dichas </w:t>
      </w:r>
      <w:r w:rsidRPr="00141DF7">
        <w:rPr>
          <w:rFonts w:ascii="Palatino Linotype" w:eastAsia="Palatino Linotype" w:hAnsi="Palatino Linotype" w:cs="Palatino Linotype"/>
          <w:b/>
          <w:i/>
          <w:sz w:val="22"/>
          <w:szCs w:val="22"/>
          <w:u w:val="single"/>
        </w:rPr>
        <w:t>ligas electrónicas solo tienen acceso quienes tiene la dirección</w:t>
      </w:r>
      <w:r w:rsidRPr="00141DF7">
        <w:rPr>
          <w:rFonts w:ascii="Palatino Linotype" w:eastAsia="Palatino Linotype" w:hAnsi="Palatino Linotype" w:cs="Palatino Linotype"/>
          <w:i/>
          <w:sz w:val="22"/>
          <w:szCs w:val="22"/>
        </w:rPr>
        <w:t xml:space="preserve">, por ende </w:t>
      </w:r>
      <w:r w:rsidRPr="00141DF7">
        <w:rPr>
          <w:rFonts w:ascii="Palatino Linotype" w:eastAsia="Palatino Linotype" w:hAnsi="Palatino Linotype" w:cs="Palatino Linotype"/>
          <w:b/>
          <w:i/>
          <w:sz w:val="22"/>
          <w:szCs w:val="22"/>
          <w:u w:val="single"/>
        </w:rPr>
        <w:t>no tienen acceso público y solicito los videos solo sean utilizados para su consulta</w:t>
      </w:r>
      <w:r w:rsidRPr="00141DF7">
        <w:rPr>
          <w:rFonts w:ascii="Palatino Linotype" w:eastAsia="Palatino Linotype" w:hAnsi="Palatino Linotype" w:cs="Palatino Linotype"/>
          <w:b/>
          <w:i/>
          <w:sz w:val="22"/>
          <w:szCs w:val="22"/>
        </w:rPr>
        <w:t>,</w:t>
      </w:r>
      <w:r w:rsidRPr="00141DF7">
        <w:rPr>
          <w:rFonts w:ascii="Palatino Linotype" w:eastAsia="Palatino Linotype" w:hAnsi="Palatino Linotype" w:cs="Palatino Linotype"/>
          <w:i/>
          <w:sz w:val="22"/>
          <w:szCs w:val="22"/>
        </w:rPr>
        <w:t xml:space="preserve"> lo cual </w:t>
      </w:r>
      <w:r w:rsidRPr="00141DF7">
        <w:rPr>
          <w:rFonts w:ascii="Palatino Linotype" w:eastAsia="Palatino Linotype" w:hAnsi="Palatino Linotype" w:cs="Palatino Linotype"/>
          <w:b/>
          <w:i/>
          <w:sz w:val="22"/>
          <w:szCs w:val="22"/>
          <w:u w:val="single"/>
        </w:rPr>
        <w:t>no autorizo su divulgación por cualquier medio, sin previo permiso por escrito del titular de los videos.</w:t>
      </w:r>
    </w:p>
    <w:p w14:paraId="1FD281FA" w14:textId="77777777" w:rsidR="0003400C" w:rsidRPr="00141DF7" w:rsidRDefault="0003400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9D125DE" w14:textId="77777777" w:rsidR="0003400C" w:rsidRPr="00141DF7" w:rsidRDefault="002D6F4E">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ewvdwb4caf7d" w:colFirst="0" w:colLast="0"/>
      <w:bookmarkEnd w:id="1"/>
      <w:r w:rsidRPr="00141DF7">
        <w:rPr>
          <w:rFonts w:ascii="Palatino Linotype" w:eastAsia="Palatino Linotype" w:hAnsi="Palatino Linotype" w:cs="Palatino Linotype"/>
          <w:b/>
          <w:sz w:val="22"/>
          <w:szCs w:val="22"/>
        </w:rPr>
        <w:t xml:space="preserve">Turno. </w:t>
      </w:r>
      <w:r w:rsidRPr="00141DF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141DF7">
        <w:rPr>
          <w:rFonts w:ascii="Palatino Linotype" w:eastAsia="Palatino Linotype" w:hAnsi="Palatino Linotype" w:cs="Palatino Linotype"/>
          <w:b/>
          <w:sz w:val="22"/>
          <w:szCs w:val="22"/>
        </w:rPr>
        <w:t>02189/INFOEM/IP/RR/2025</w:t>
      </w:r>
      <w:r w:rsidRPr="00141DF7">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141DF7">
        <w:rPr>
          <w:rFonts w:ascii="Palatino Linotype" w:eastAsia="Palatino Linotype" w:hAnsi="Palatino Linotype" w:cs="Palatino Linotype"/>
          <w:b/>
          <w:sz w:val="22"/>
          <w:szCs w:val="22"/>
        </w:rPr>
        <w:t>Guadalupe Ramírez Peña</w:t>
      </w:r>
      <w:r w:rsidRPr="00141DF7">
        <w:rPr>
          <w:rFonts w:ascii="Palatino Linotype" w:eastAsia="Palatino Linotype" w:hAnsi="Palatino Linotype" w:cs="Palatino Linotype"/>
          <w:sz w:val="22"/>
          <w:szCs w:val="22"/>
        </w:rPr>
        <w:t>, para su análisis, estudio, elaboración del proyecto y presentación ante el Pleno de este Instituto.</w:t>
      </w:r>
    </w:p>
    <w:p w14:paraId="17A6A286" w14:textId="77777777" w:rsidR="0003400C" w:rsidRPr="00141DF7" w:rsidRDefault="0003400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EB59F3B" w14:textId="77777777" w:rsidR="0003400C" w:rsidRPr="00141DF7" w:rsidRDefault="002D6F4E">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141DF7">
        <w:rPr>
          <w:rFonts w:ascii="Palatino Linotype" w:eastAsia="Palatino Linotype" w:hAnsi="Palatino Linotype" w:cs="Palatino Linotype"/>
          <w:b/>
          <w:sz w:val="22"/>
          <w:szCs w:val="22"/>
        </w:rPr>
        <w:lastRenderedPageBreak/>
        <w:t xml:space="preserve">Admisión del recurso de revisión: </w:t>
      </w:r>
      <w:r w:rsidRPr="00141DF7">
        <w:rPr>
          <w:rFonts w:ascii="Palatino Linotype" w:eastAsia="Palatino Linotype" w:hAnsi="Palatino Linotype" w:cs="Palatino Linotype"/>
          <w:sz w:val="22"/>
          <w:szCs w:val="22"/>
        </w:rPr>
        <w:t xml:space="preserve">En fecha </w:t>
      </w:r>
      <w:r w:rsidRPr="00141DF7">
        <w:rPr>
          <w:rFonts w:ascii="Palatino Linotype" w:eastAsia="Palatino Linotype" w:hAnsi="Palatino Linotype" w:cs="Palatino Linotype"/>
          <w:b/>
          <w:sz w:val="22"/>
          <w:szCs w:val="22"/>
        </w:rPr>
        <w:t>cinco de marzo de dos mil veinticinco</w:t>
      </w:r>
      <w:r w:rsidRPr="00141DF7">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141DF7">
        <w:rPr>
          <w:rFonts w:ascii="Palatino Linotype" w:eastAsia="Palatino Linotype" w:hAnsi="Palatino Linotype" w:cs="Palatino Linotype"/>
          <w:b/>
          <w:sz w:val="22"/>
          <w:szCs w:val="22"/>
        </w:rPr>
        <w:t>SUJETO OBLIGADO</w:t>
      </w:r>
      <w:r w:rsidRPr="00141DF7">
        <w:rPr>
          <w:rFonts w:ascii="Palatino Linotype" w:eastAsia="Palatino Linotype" w:hAnsi="Palatino Linotype" w:cs="Palatino Linotype"/>
          <w:sz w:val="22"/>
          <w:szCs w:val="22"/>
        </w:rPr>
        <w:t xml:space="preserve"> presentara su informe justificado.</w:t>
      </w:r>
    </w:p>
    <w:p w14:paraId="48AA8F3F" w14:textId="77777777" w:rsidR="0003400C" w:rsidRPr="00141DF7" w:rsidRDefault="0003400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246449E" w14:textId="77777777" w:rsidR="0003400C" w:rsidRPr="00141DF7" w:rsidRDefault="002D6F4E">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t>Manifestaciones</w:t>
      </w:r>
      <w:r w:rsidRPr="00141DF7">
        <w:rPr>
          <w:rFonts w:ascii="Palatino Linotype" w:eastAsia="Palatino Linotype" w:hAnsi="Palatino Linotype" w:cs="Palatino Linotype"/>
          <w:sz w:val="22"/>
          <w:szCs w:val="22"/>
        </w:rPr>
        <w:t xml:space="preserve">. En fecha </w:t>
      </w:r>
      <w:r w:rsidRPr="00141DF7">
        <w:rPr>
          <w:rFonts w:ascii="Palatino Linotype" w:eastAsia="Palatino Linotype" w:hAnsi="Palatino Linotype" w:cs="Palatino Linotype"/>
          <w:b/>
          <w:sz w:val="22"/>
          <w:szCs w:val="22"/>
        </w:rPr>
        <w:t>veinticinco de marzo de dos mil veinticinco</w:t>
      </w:r>
      <w:r w:rsidRPr="00141DF7">
        <w:rPr>
          <w:rFonts w:ascii="Palatino Linotype" w:eastAsia="Palatino Linotype" w:hAnsi="Palatino Linotype" w:cs="Palatino Linotype"/>
          <w:sz w:val="22"/>
          <w:szCs w:val="22"/>
        </w:rPr>
        <w:t xml:space="preserve">, el </w:t>
      </w:r>
      <w:r w:rsidRPr="00141DF7">
        <w:rPr>
          <w:rFonts w:ascii="Palatino Linotype" w:eastAsia="Palatino Linotype" w:hAnsi="Palatino Linotype" w:cs="Palatino Linotype"/>
          <w:b/>
          <w:sz w:val="22"/>
          <w:szCs w:val="22"/>
        </w:rPr>
        <w:t xml:space="preserve">SUJETO OBLIGADO </w:t>
      </w:r>
      <w:r w:rsidRPr="00141DF7">
        <w:rPr>
          <w:rFonts w:ascii="Palatino Linotype" w:eastAsia="Palatino Linotype" w:hAnsi="Palatino Linotype" w:cs="Palatino Linotype"/>
          <w:sz w:val="22"/>
          <w:szCs w:val="22"/>
        </w:rPr>
        <w:t xml:space="preserve">rindió su informe justificado al tenor de lo siguiente: </w:t>
      </w:r>
    </w:p>
    <w:p w14:paraId="6CC34E57" w14:textId="77777777" w:rsidR="0003400C" w:rsidRPr="00141DF7" w:rsidRDefault="0003400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BA163DB" w14:textId="77777777" w:rsidR="0003400C" w:rsidRPr="00141DF7" w:rsidRDefault="002D6F4E">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Oficio de fecha once de marzo de dos mil veinticinco, signado por el Secretario del Ayuntamiento mediante el cual informa que, se adjuntan las manifestaciones a efecto de ofrecer pruebas, informe justificado o presentación de alegatos, emitido por el Titular de la Agencia de Movilidad, Verificación Administrativa y Regulación AMVAR.</w:t>
      </w:r>
    </w:p>
    <w:p w14:paraId="198092F7" w14:textId="77777777" w:rsidR="0003400C" w:rsidRPr="00141DF7" w:rsidRDefault="002D6F4E">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Oficio de fecha diez de marzo de dos mil veinticinco, signado por el Director de la Agencia de Movilidad, Verificación Administrativa y Regulación, mediante el cual informa medularmente lo siguiente: </w:t>
      </w:r>
    </w:p>
    <w:p w14:paraId="7492CF5D" w14:textId="77777777" w:rsidR="0003400C" w:rsidRPr="00141DF7" w:rsidRDefault="002D6F4E">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 a) fundamento administrativo y legal para que el personal de la Agencia de Movilidad, Verificación Administrativa más adelante AMVAR, retire un puesto de publicaciones periódicas en vía pública con apoyo de una grúa, la cual no tiene placas de circulación, permiso de circulación ni cromática de la empresa prestadora de servicio de grúa: b) R= ART. 2.85 </w:t>
      </w:r>
      <w:proofErr w:type="spellStart"/>
      <w:r w:rsidRPr="00141DF7">
        <w:rPr>
          <w:rFonts w:ascii="Palatino Linotype" w:eastAsia="Palatino Linotype" w:hAnsi="Palatino Linotype" w:cs="Palatino Linotype"/>
          <w:i/>
          <w:sz w:val="22"/>
          <w:szCs w:val="22"/>
        </w:rPr>
        <w:t>fracc</w:t>
      </w:r>
      <w:proofErr w:type="spellEnd"/>
      <w:r w:rsidRPr="00141DF7">
        <w:rPr>
          <w:rFonts w:ascii="Palatino Linotype" w:eastAsia="Palatino Linotype" w:hAnsi="Palatino Linotype" w:cs="Palatino Linotype"/>
          <w:i/>
          <w:sz w:val="22"/>
          <w:szCs w:val="22"/>
        </w:rPr>
        <w:t xml:space="preserve"> XXVI. del Código Reglamentario del Municipio de Tecámac. XXVI Mantener la vialidad de cualquier tipo libre de obstáculos u </w:t>
      </w:r>
      <w:proofErr w:type="spellStart"/>
      <w:r w:rsidRPr="00141DF7">
        <w:rPr>
          <w:rFonts w:ascii="Palatino Linotype" w:eastAsia="Palatino Linotype" w:hAnsi="Palatino Linotype" w:cs="Palatino Linotype"/>
          <w:i/>
          <w:sz w:val="22"/>
          <w:szCs w:val="22"/>
        </w:rPr>
        <w:t>obietos</w:t>
      </w:r>
      <w:proofErr w:type="spellEnd"/>
      <w:r w:rsidRPr="00141DF7">
        <w:rPr>
          <w:rFonts w:ascii="Palatino Linotype" w:eastAsia="Palatino Linotype" w:hAnsi="Palatino Linotype" w:cs="Palatino Linotype"/>
          <w:i/>
          <w:sz w:val="22"/>
          <w:szCs w:val="22"/>
        </w:rPr>
        <w:t xml:space="preserve"> que impidan, dificulten u obstruyan el tránsito peatonal, ciclista o vehicular, excepto en aquellos casos debidamente autorizados ART. 9 FRACC XIX de la Ley General de Movilidad del Estado de México. XIX. Mantener la vialidad de cualquier tipo libre de obstáculos u objetos que impidan, dificulten u obstruyan el tránsito peatonal, ciclista o vehicular, excepto en aquellos casos debidamente autorizados. ART. 128 DE LA LEY DE MOVILIDAD Y SEGURIDAD VIAL DEL ESTADO DE MÉXICO Y SUS MUNICIPIOS XIX. Mantener la vía de cualquier tipo, libre de obstáculos u objetos que impidan, dificulten u obstruyan el tránsito peatonal, ciclista o vehicular, excepto en aquellos casos debidamente autorizados y respetando la </w:t>
      </w:r>
      <w:r w:rsidRPr="00141DF7">
        <w:rPr>
          <w:rFonts w:ascii="Palatino Linotype" w:eastAsia="Palatino Linotype" w:hAnsi="Palatino Linotype" w:cs="Palatino Linotype"/>
          <w:i/>
          <w:sz w:val="22"/>
          <w:szCs w:val="22"/>
        </w:rPr>
        <w:lastRenderedPageBreak/>
        <w:t xml:space="preserve">jerarquía de la movilidad: XXII. Trasladar a los depósitos vehiculares autorizados por la Secretaría, las </w:t>
      </w:r>
      <w:proofErr w:type="spellStart"/>
      <w:r w:rsidRPr="00141DF7">
        <w:rPr>
          <w:rFonts w:ascii="Palatino Linotype" w:eastAsia="Palatino Linotype" w:hAnsi="Palatino Linotype" w:cs="Palatino Linotype"/>
          <w:i/>
          <w:sz w:val="22"/>
          <w:szCs w:val="22"/>
        </w:rPr>
        <w:t>caias</w:t>
      </w:r>
      <w:proofErr w:type="spellEnd"/>
      <w:r w:rsidRPr="00141DF7">
        <w:rPr>
          <w:rFonts w:ascii="Palatino Linotype" w:eastAsia="Palatino Linotype" w:hAnsi="Palatino Linotype" w:cs="Palatino Linotype"/>
          <w:i/>
          <w:sz w:val="22"/>
          <w:szCs w:val="22"/>
        </w:rPr>
        <w:t xml:space="preserve">, </w:t>
      </w:r>
      <w:proofErr w:type="spellStart"/>
      <w:r w:rsidRPr="00141DF7">
        <w:rPr>
          <w:rFonts w:ascii="Palatino Linotype" w:eastAsia="Palatino Linotype" w:hAnsi="Palatino Linotype" w:cs="Palatino Linotype"/>
          <w:i/>
          <w:sz w:val="22"/>
          <w:szCs w:val="22"/>
        </w:rPr>
        <w:t>remolaues</w:t>
      </w:r>
      <w:proofErr w:type="spellEnd"/>
      <w:r w:rsidRPr="00141DF7">
        <w:rPr>
          <w:rFonts w:ascii="Palatino Linotype" w:eastAsia="Palatino Linotype" w:hAnsi="Palatino Linotype" w:cs="Palatino Linotype"/>
          <w:i/>
          <w:sz w:val="22"/>
          <w:szCs w:val="22"/>
        </w:rPr>
        <w:t>, tráileres v vehículos de carga, que obstaculicen, limiten o impidan el uso adecuado de las vías, en términos de la normatividad aplicable: En referencia al tema de las grúas desconozco si la grúas contaba con placas, tarjeta de circular o algún permiso para poder circular. Fundamento Administrativo y legal para que en una grúa sin placas, ni permiso de circular, ni cromática apoye al personal de la Agencia de Movilidad Verificación Administrativa para retirar el puesto referido en los videos R= Esta Agencia de Movilidad, Verificación Administrativa y Regulación, solicita el apoyo a la Dirección General de Obras Públicas, quienes son los encargados de asignar los materiales, personal y vehículos para tal efecto. En relación al tema de las grúas sin placas, desconozco si contaba con placas, licencia o algún permiso, ya que dichas grúas no trabajan directamente para esta Agencia de Movilidad Verificación Administrativa y Regulación de AMVAR.</w:t>
      </w:r>
    </w:p>
    <w:p w14:paraId="3F2A277C" w14:textId="77777777" w:rsidR="0003400C" w:rsidRPr="00141DF7" w:rsidRDefault="002D6F4E">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Fundamento administrativo y legal para que una grúa sin placas, ni permiso de circular, ni pueda circular y prestar el servicio. </w:t>
      </w:r>
    </w:p>
    <w:p w14:paraId="4F398DE6" w14:textId="77777777" w:rsidR="0003400C" w:rsidRPr="00141DF7" w:rsidRDefault="002D6F4E">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R=No existe fundamento legal para ello, sin embargo la autoridad que verifica los permisos de circulación es Tránsito Municipal. El documento legal que avale el derecho de audiencia para el titular o dueño del puesto referido en los videos, en los términos que establezcan las leyes para este caso, antes del retiro del puesto de publicaciones periódicas. Se anexa documento legal que avala derecho de Garantía de Audiencia, como lo establece el </w:t>
      </w:r>
    </w:p>
    <w:p w14:paraId="6E057FD4" w14:textId="77777777" w:rsidR="0003400C" w:rsidRPr="00141DF7" w:rsidRDefault="002D6F4E">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Artículo 129. que a la letra dice: art. 129 "Tratándose de la aplicación de sanciones y de la emisión de otros actos administrativos que priven a los particulares de la libertad, propiedades, posesiones o derechos, se otorgará previamente a los mismos la garantía de </w:t>
      </w:r>
      <w:proofErr w:type="gramStart"/>
      <w:r w:rsidRPr="00141DF7">
        <w:rPr>
          <w:rFonts w:ascii="Palatino Linotype" w:eastAsia="Palatino Linotype" w:hAnsi="Palatino Linotype" w:cs="Palatino Linotype"/>
          <w:i/>
          <w:sz w:val="22"/>
          <w:szCs w:val="22"/>
        </w:rPr>
        <w:t>audiencia..</w:t>
      </w:r>
      <w:proofErr w:type="gramEnd"/>
      <w:r w:rsidRPr="00141DF7">
        <w:rPr>
          <w:rFonts w:ascii="Palatino Linotype" w:eastAsia="Palatino Linotype" w:hAnsi="Palatino Linotype" w:cs="Palatino Linotype"/>
          <w:i/>
          <w:sz w:val="22"/>
          <w:szCs w:val="22"/>
        </w:rPr>
        <w:t xml:space="preserve">" Listado de grúas concesionadas para el apoyo en todas las áreas de su competencia </w:t>
      </w:r>
    </w:p>
    <w:p w14:paraId="6405C899" w14:textId="77777777" w:rsidR="0003400C" w:rsidRPr="00141DF7" w:rsidRDefault="002D6F4E">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R= No contamos con un listado de grúas ya que la Agencia de Movilidad, Verificación Administrativa, no cuenta con grúas propias para el retiro de bienes mostrencos o cualquier elemento de la vía pública. Motivo o fundamento jurídico para el personal de Seguridad </w:t>
      </w:r>
      <w:proofErr w:type="spellStart"/>
      <w:r w:rsidRPr="00141DF7">
        <w:rPr>
          <w:rFonts w:ascii="Palatino Linotype" w:eastAsia="Palatino Linotype" w:hAnsi="Palatino Linotype" w:cs="Palatino Linotype"/>
          <w:i/>
          <w:sz w:val="22"/>
          <w:szCs w:val="22"/>
        </w:rPr>
        <w:t>PÚblica</w:t>
      </w:r>
      <w:proofErr w:type="spellEnd"/>
      <w:r w:rsidRPr="00141DF7">
        <w:rPr>
          <w:rFonts w:ascii="Palatino Linotype" w:eastAsia="Palatino Linotype" w:hAnsi="Palatino Linotype" w:cs="Palatino Linotype"/>
          <w:i/>
          <w:sz w:val="22"/>
          <w:szCs w:val="22"/>
        </w:rPr>
        <w:t xml:space="preserve"> para que haya omitido el auxilio del ciudadano para solicitar el apoyo de personal de Tránsito para validar si la grúa mencionada en el video, era apta para poder circular. R= Esta agencia desconoce si se negó el auxilio o el motivo por el cual los oficiales de tránsito negaron el auxilio, además </w:t>
      </w:r>
      <w:r w:rsidRPr="00141DF7">
        <w:rPr>
          <w:rFonts w:ascii="Palatino Linotype" w:eastAsia="Palatino Linotype" w:hAnsi="Palatino Linotype" w:cs="Palatino Linotype"/>
          <w:i/>
          <w:sz w:val="22"/>
          <w:szCs w:val="22"/>
        </w:rPr>
        <w:lastRenderedPageBreak/>
        <w:t xml:space="preserve">desconocemos si las grúas eran aptas para </w:t>
      </w:r>
      <w:proofErr w:type="spellStart"/>
      <w:r w:rsidRPr="00141DF7">
        <w:rPr>
          <w:rFonts w:ascii="Palatino Linotype" w:eastAsia="Palatino Linotype" w:hAnsi="Palatino Linotype" w:cs="Palatino Linotype"/>
          <w:i/>
          <w:sz w:val="22"/>
          <w:szCs w:val="22"/>
        </w:rPr>
        <w:t>circularo</w:t>
      </w:r>
      <w:proofErr w:type="spellEnd"/>
      <w:r w:rsidRPr="00141DF7">
        <w:rPr>
          <w:rFonts w:ascii="Palatino Linotype" w:eastAsia="Palatino Linotype" w:hAnsi="Palatino Linotype" w:cs="Palatino Linotype"/>
          <w:i/>
          <w:sz w:val="22"/>
          <w:szCs w:val="22"/>
        </w:rPr>
        <w:t xml:space="preserve"> no. Motivo o fundamento jurídico para el personal de asignado a los botones de pánico no haya prestado el auxilio oportuno al ciudadano para </w:t>
      </w:r>
      <w:proofErr w:type="spellStart"/>
      <w:r w:rsidRPr="00141DF7">
        <w:rPr>
          <w:rFonts w:ascii="Palatino Linotype" w:eastAsia="Palatino Linotype" w:hAnsi="Palatino Linotype" w:cs="Palatino Linotype"/>
          <w:i/>
          <w:sz w:val="22"/>
          <w:szCs w:val="22"/>
        </w:rPr>
        <w:t>llegara</w:t>
      </w:r>
      <w:proofErr w:type="spellEnd"/>
      <w:r w:rsidRPr="00141DF7">
        <w:rPr>
          <w:rFonts w:ascii="Palatino Linotype" w:eastAsia="Palatino Linotype" w:hAnsi="Palatino Linotype" w:cs="Palatino Linotype"/>
          <w:i/>
          <w:sz w:val="22"/>
          <w:szCs w:val="22"/>
        </w:rPr>
        <w:t xml:space="preserve"> una unidad de tránsito </w:t>
      </w:r>
    </w:p>
    <w:p w14:paraId="4CED74AA" w14:textId="77777777" w:rsidR="0003400C" w:rsidRPr="00141DF7" w:rsidRDefault="002D6F4E">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R= Desconocemos de alguna solicitud a través del botón de pánico y quien presta el auxilio Motivo o fundamento jurídico para que el personal de Tránsito asignado para el envío de una unidad de Tránsito no haya enviado el auxilio solicitado. R= La Agencia de Movilidad Verificación Administrativa y Regulación, desconoce si existió una solicitud de apoyo por parte de elementos de tránsito y sí acudieron a este o no.</w:t>
      </w:r>
    </w:p>
    <w:p w14:paraId="4CA18ADA" w14:textId="77777777" w:rsidR="0003400C" w:rsidRPr="00141DF7" w:rsidRDefault="0003400C">
      <w:pPr>
        <w:pBdr>
          <w:top w:val="nil"/>
          <w:left w:val="nil"/>
          <w:bottom w:val="nil"/>
          <w:right w:val="nil"/>
          <w:between w:val="nil"/>
        </w:pBdr>
        <w:tabs>
          <w:tab w:val="left" w:pos="284"/>
        </w:tabs>
        <w:spacing w:line="360" w:lineRule="auto"/>
        <w:jc w:val="both"/>
      </w:pPr>
    </w:p>
    <w:p w14:paraId="6C58B904" w14:textId="77777777" w:rsidR="0003400C" w:rsidRPr="00141DF7" w:rsidRDefault="002D6F4E">
      <w:pPr>
        <w:numPr>
          <w:ilvl w:val="0"/>
          <w:numId w:val="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Oficio de fecha nueve de julio de dos mil veinticuatro, signado por el Coordinador de Movilidad y Transporte Público, mediante el cual informa que, se inició un procedimiento administrativo para el retiro de un puesto metálico con el objetivo de mejorar la movilidad. </w:t>
      </w:r>
    </w:p>
    <w:p w14:paraId="22BEB6E8" w14:textId="77777777" w:rsidR="0003400C" w:rsidRPr="00141DF7" w:rsidRDefault="002D6F4E">
      <w:pPr>
        <w:numPr>
          <w:ilvl w:val="0"/>
          <w:numId w:val="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Oficio de fecha doce de julio de dos mil veinticuatro signado por el Coordinador de Movilidad y un Testigo de Asistencia, mediante el cual refiere que, se deja constancia que la persona citada no se presentó.</w:t>
      </w:r>
    </w:p>
    <w:p w14:paraId="097B9DDA" w14:textId="77777777" w:rsidR="0003400C" w:rsidRPr="00141DF7" w:rsidRDefault="0003400C">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6663772E" w14:textId="77777777" w:rsidR="0003400C" w:rsidRPr="00141DF7" w:rsidRDefault="002D6F4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141DF7">
        <w:rPr>
          <w:rFonts w:ascii="Palatino Linotype" w:eastAsia="Palatino Linotype" w:hAnsi="Palatino Linotype" w:cs="Palatino Linotype"/>
          <w:sz w:val="22"/>
          <w:szCs w:val="22"/>
        </w:rPr>
        <w:t xml:space="preserve">Documento que se hizo del conocimiento de la parte Recurrente en fecha </w:t>
      </w:r>
      <w:r w:rsidRPr="00141DF7">
        <w:rPr>
          <w:rFonts w:ascii="Palatino Linotype" w:eastAsia="Palatino Linotype" w:hAnsi="Palatino Linotype" w:cs="Palatino Linotype"/>
          <w:b/>
          <w:sz w:val="22"/>
          <w:szCs w:val="22"/>
        </w:rPr>
        <w:t xml:space="preserve">veintinueve de abril de dos mil veinticinco. </w:t>
      </w:r>
    </w:p>
    <w:p w14:paraId="10E00864" w14:textId="77777777" w:rsidR="0003400C" w:rsidRPr="00141DF7" w:rsidRDefault="0003400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DAE8E49" w14:textId="77777777" w:rsidR="0003400C" w:rsidRPr="00141DF7" w:rsidRDefault="002D6F4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La parte Recurrente, realizó manifestaciones el </w:t>
      </w:r>
      <w:r w:rsidRPr="00141DF7">
        <w:rPr>
          <w:rFonts w:ascii="Palatino Linotype" w:eastAsia="Palatino Linotype" w:hAnsi="Palatino Linotype" w:cs="Palatino Linotype"/>
          <w:b/>
          <w:sz w:val="22"/>
          <w:szCs w:val="22"/>
        </w:rPr>
        <w:t xml:space="preserve">dieciséis de marzo de dos mil veinticinco </w:t>
      </w:r>
      <w:r w:rsidRPr="00141DF7">
        <w:rPr>
          <w:rFonts w:ascii="Palatino Linotype" w:eastAsia="Palatino Linotype" w:hAnsi="Palatino Linotype" w:cs="Palatino Linotype"/>
          <w:sz w:val="22"/>
          <w:szCs w:val="22"/>
        </w:rPr>
        <w:t xml:space="preserve">al tenor de lo siguiente: </w:t>
      </w:r>
    </w:p>
    <w:p w14:paraId="2C957BEF" w14:textId="77777777" w:rsidR="0003400C" w:rsidRPr="00141DF7" w:rsidRDefault="0003400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DC04B93"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 quien corresponda: </w:t>
      </w:r>
    </w:p>
    <w:p w14:paraId="552038BE" w14:textId="77777777" w:rsidR="0003400C" w:rsidRPr="00141DF7" w:rsidRDefault="0003400C">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p>
    <w:p w14:paraId="502DB20E"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Mis alegatos son con fundamento jurídico en las siguientes leyes, por lo que considero incompleta la información además el sujeto obligado no anexo algún acuerdo donde vincule la información solicitada es considerada como reservada. </w:t>
      </w:r>
    </w:p>
    <w:p w14:paraId="0414A58C"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REGLAMENTO DE TRÁNSITO DEL ESTADO DE MÉXICO cuya liga electrónica es https://legislacion.edomex.gob.mx/sites/legislacion.edomex.gob.mx/files/files/pdf/rgl/vig/ rglvig079.pdf </w:t>
      </w:r>
    </w:p>
    <w:p w14:paraId="271F92E6" w14:textId="77777777" w:rsidR="0003400C" w:rsidRPr="00141DF7" w:rsidRDefault="0003400C">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p>
    <w:p w14:paraId="01534D63"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Artículo 1. El presente Reglamento es de orden público e interés social y de aplicación obligatoria en todos los municipios del Estado. Tiene por objeto establecer las normas a las que deberá sujetarse el tránsito de peatones y el de vehículos en vías de jurisdicción estatal y en aquellas de carácter federal, cuya vigilancia y control convengan con la Federación. </w:t>
      </w:r>
    </w:p>
    <w:p w14:paraId="73CC7B8B" w14:textId="77777777" w:rsidR="0003400C" w:rsidRPr="00141DF7" w:rsidRDefault="0003400C">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p>
    <w:p w14:paraId="06AC86A0"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Artículo 2. La aplicación del presente reglamento compete a las autoridades estatales y a las municipales que cuenten con la transferencia de tránsito, en las respectivas esferas de su competencia, de acuerdo con lo previsto en la ley de la materia, en este reglamento, en los convenios y acuerdos que se suscriban y demás disposiciones legales </w:t>
      </w:r>
    </w:p>
    <w:p w14:paraId="23B56232" w14:textId="77777777" w:rsidR="0003400C" w:rsidRPr="00141DF7" w:rsidRDefault="0003400C">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p>
    <w:p w14:paraId="0084E93E"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Artículo 5.- Son atribuciones del Ejecutivo del Estado en materia de tránsito:</w:t>
      </w:r>
    </w:p>
    <w:p w14:paraId="05F4912C"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 I. Emitir las disposiciones relativas a la regulación y vigilancia del tránsito en las vías públicas del Estado, y en las convenidas y coordinadas con la Federación, y otras entidades federativas; </w:t>
      </w:r>
    </w:p>
    <w:p w14:paraId="1271E775" w14:textId="77777777" w:rsidR="0003400C" w:rsidRPr="00141DF7" w:rsidRDefault="0003400C">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p>
    <w:p w14:paraId="36C92165"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Artículo 6. Corresponde a la Secretaría de Seguridad en materia de tránsito: </w:t>
      </w:r>
    </w:p>
    <w:p w14:paraId="5D12E880"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I. Vigilar la observancia y aplicación de la ley de la materia, de este reglamento, de los acuerdos y convenios que se suscriban, así como de las disposiciones de carácter administrativo que emanen de esos ordenamientos; ... </w:t>
      </w:r>
    </w:p>
    <w:p w14:paraId="396E6D7D"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X. Supervisar el servicio de grúas como auxiliares de los agentes de tránsito; ... </w:t>
      </w:r>
    </w:p>
    <w:p w14:paraId="5C6B18F8"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XVIII. Atender y resolver las quejas del público, sobre la prestación del servicio; … </w:t>
      </w:r>
    </w:p>
    <w:p w14:paraId="13A9C3A7"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XXI. Verificar que los municipios que soliciten la transferencia del servicio público de tránsito, previo a su autorización, acrediten que su personal cuenta con los cursos de capacitación correspondientes impartidos por la Universidad Mexiquense de Seguridad, así como, en los municipios que ya cuenten con la transferencia de referencia, para que los agentes de tránsito que hayan asignado tomen los cursos de capacitación y actualización correspondientes, y </w:t>
      </w:r>
    </w:p>
    <w:p w14:paraId="72C3A42C" w14:textId="77777777" w:rsidR="0003400C" w:rsidRPr="00141DF7" w:rsidRDefault="0003400C">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p>
    <w:p w14:paraId="567E2943"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Artículo 10. Los ayuntamientos tendrán en materia de tránsito las atribuciones que les señalen las leyes, este reglamento y las demás disposiciones jurídicas aplicables y para su ejercicio contarán con las unidades administrativas que requieran y aquellas adicionales que resulten necesarias cuando se celebren convenios con el Ejecutivo Estatal, para la prestación coordinada del servicio o para que éstos asuman total o parcialmente dichas atribuciones. </w:t>
      </w:r>
    </w:p>
    <w:p w14:paraId="4101E427" w14:textId="77777777" w:rsidR="0003400C" w:rsidRPr="00141DF7" w:rsidRDefault="0003400C">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p>
    <w:p w14:paraId="009A8CD4"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Artículo 14. En el ejercicio de sus funciones, los agentes de tránsito del Estado están facultades para: … VI. Solicitar el auxilio del servicio autorizado de grúas, para retirar de la vía pública vehículos u objetos que requieran de este servicio, impidiendo que los operadores de las grúas asuman una actitud de prepotencia, cometan abuso o deterioro a los vehículos u objetos que trasladen; y </w:t>
      </w:r>
    </w:p>
    <w:p w14:paraId="441960A1" w14:textId="77777777" w:rsidR="0003400C" w:rsidRPr="00141DF7" w:rsidRDefault="0003400C">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p>
    <w:p w14:paraId="1C9CE280"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Artículo 15.- Para los efectos de este reglamento, los vehículos automotores se clasifican en: III. DE USO O SERVICIO PUBLICO: El de pasajeros y de carga que opere mediante una concesión, permiso o autorización, con tarifa autorizada. … c).- De carga en general y de carga especializada en: materiales para construcción, de servicios de grúas de arrastre, salvamento y depósito de vehículos y cualquier otra modalidad que requiera de vehículos con características especiales; </w:t>
      </w:r>
    </w:p>
    <w:p w14:paraId="49A9F78E" w14:textId="77777777" w:rsidR="0003400C" w:rsidRPr="00141DF7" w:rsidRDefault="0003400C">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p>
    <w:p w14:paraId="188ADF20"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Artículo 16. Corresponde a las Secretarías de Movilidad o de Finanzas, en el ámbito de sus respectivas competencias, la autorización y expedición de placas para automotores de uso particular, uso comercial y de uso o servicio público, en cualquiera de sus modalidades. Los ayuntamientos en términos de los convenios que celebren con el Gobierno del Estado podrán otorgar y expedir placas para automotores de uso particular. Artículo 17. Todo vehículo deberá estar debidamente registrado y autorizado ante las autoridades correspondientes. En casos extraordinarios se podrá circular únicamente con permiso provisional. </w:t>
      </w:r>
    </w:p>
    <w:p w14:paraId="229E8E9E" w14:textId="77777777" w:rsidR="0003400C" w:rsidRPr="00141DF7" w:rsidRDefault="0003400C">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p>
    <w:p w14:paraId="37D1FB85"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LEY DE TRANSPARENCIA Y ACCESO A LA INFORMACIÓN PÚBLICA DEL ESTADO DE MÉXICO Y MUNICIPIOS cuya liga electrónica es: </w:t>
      </w:r>
      <w:hyperlink r:id="rId10">
        <w:r w:rsidRPr="00141DF7">
          <w:rPr>
            <w:rFonts w:ascii="Palatino Linotype" w:eastAsia="Palatino Linotype" w:hAnsi="Palatino Linotype" w:cs="Palatino Linotype"/>
            <w:i/>
            <w:sz w:val="22"/>
            <w:szCs w:val="22"/>
            <w:u w:val="single"/>
          </w:rPr>
          <w:t>https://sma.edomex.gob.mx/portal/wp-content/uploads/2024/05/leyvig233.pdf</w:t>
        </w:r>
      </w:hyperlink>
      <w:r w:rsidRPr="00141DF7">
        <w:rPr>
          <w:rFonts w:ascii="Palatino Linotype" w:eastAsia="Palatino Linotype" w:hAnsi="Palatino Linotype" w:cs="Palatino Linotype"/>
          <w:i/>
          <w:sz w:val="22"/>
          <w:szCs w:val="22"/>
        </w:rPr>
        <w:t xml:space="preserve"> </w:t>
      </w:r>
    </w:p>
    <w:p w14:paraId="0DAAF908" w14:textId="77777777" w:rsidR="0003400C" w:rsidRPr="00141DF7" w:rsidRDefault="0003400C">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p>
    <w:p w14:paraId="732067F8"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D417A8C" w14:textId="77777777" w:rsidR="0003400C" w:rsidRPr="00141DF7" w:rsidRDefault="0003400C">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p>
    <w:p w14:paraId="1407249A"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I. El marco normativo aplicable al sujeto obligado, en el que deberá incluirse leyes, códigos, reglamentos, decretos de creación, acuerdos, convenios, manuales de organización y procedimientos, reglas de operación, criterios, políticas, entre otros; … </w:t>
      </w:r>
    </w:p>
    <w:p w14:paraId="7113F651" w14:textId="77777777" w:rsidR="0003400C" w:rsidRPr="00141DF7" w:rsidRDefault="0003400C">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2"/>
          <w:szCs w:val="22"/>
        </w:rPr>
      </w:pPr>
    </w:p>
    <w:p w14:paraId="25DD817B" w14:textId="77777777" w:rsidR="0003400C" w:rsidRPr="00141DF7" w:rsidRDefault="002D6F4E">
      <w:pPr>
        <w:pBdr>
          <w:top w:val="nil"/>
          <w:left w:val="nil"/>
          <w:bottom w:val="nil"/>
          <w:right w:val="nil"/>
          <w:between w:val="nil"/>
        </w:pBdr>
        <w:tabs>
          <w:tab w:val="left" w:pos="284"/>
        </w:tabs>
        <w:spacing w:line="276" w:lineRule="auto"/>
        <w:ind w:left="567" w:right="579"/>
        <w:jc w:val="both"/>
        <w:rPr>
          <w:rFonts w:ascii="Palatino Linotype" w:eastAsia="Palatino Linotype" w:hAnsi="Palatino Linotype" w:cs="Palatino Linotype"/>
          <w:i/>
          <w:sz w:val="20"/>
          <w:szCs w:val="20"/>
        </w:rPr>
      </w:pPr>
      <w:r w:rsidRPr="00141DF7">
        <w:rPr>
          <w:rFonts w:ascii="Palatino Linotype" w:eastAsia="Palatino Linotype" w:hAnsi="Palatino Linotype" w:cs="Palatino Linotype"/>
          <w:i/>
          <w:sz w:val="22"/>
          <w:szCs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 Derivado de lo anterior considero fundados y motivados mis alegatos</w:t>
      </w:r>
    </w:p>
    <w:p w14:paraId="3DBD0F7F" w14:textId="77777777" w:rsidR="0003400C" w:rsidRPr="00141DF7" w:rsidRDefault="0003400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9083D60" w14:textId="77777777" w:rsidR="0003400C" w:rsidRPr="00141DF7" w:rsidRDefault="0003400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6C27553A" w14:textId="77777777" w:rsidR="0003400C" w:rsidRPr="00141DF7" w:rsidRDefault="002D6F4E">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lastRenderedPageBreak/>
        <w:t xml:space="preserve">Cierre de instrucción. </w:t>
      </w:r>
      <w:r w:rsidRPr="00141DF7">
        <w:rPr>
          <w:rFonts w:ascii="Palatino Linotype" w:eastAsia="Palatino Linotype" w:hAnsi="Palatino Linotype" w:cs="Palatino Linotype"/>
          <w:sz w:val="22"/>
          <w:szCs w:val="22"/>
        </w:rPr>
        <w:t xml:space="preserve">El </w:t>
      </w:r>
      <w:r w:rsidRPr="00141DF7">
        <w:rPr>
          <w:rFonts w:ascii="Palatino Linotype" w:eastAsia="Palatino Linotype" w:hAnsi="Palatino Linotype" w:cs="Palatino Linotype"/>
          <w:b/>
          <w:sz w:val="22"/>
          <w:szCs w:val="22"/>
        </w:rPr>
        <w:t>ocho de mayo de dos mil veinticinco</w:t>
      </w:r>
      <w:r w:rsidRPr="00141DF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BFD8B9B" w14:textId="77777777" w:rsidR="002D6F4E" w:rsidRPr="00141DF7" w:rsidRDefault="002D6F4E" w:rsidP="002D6F4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8E184C4" w14:textId="77777777" w:rsidR="002D6F4E" w:rsidRPr="00141DF7" w:rsidRDefault="002D6F4E" w:rsidP="002D6F4E">
      <w:pPr>
        <w:numPr>
          <w:ilvl w:val="0"/>
          <w:numId w:val="6"/>
        </w:numPr>
        <w:pBdr>
          <w:top w:val="nil"/>
          <w:left w:val="nil"/>
          <w:bottom w:val="nil"/>
          <w:right w:val="nil"/>
          <w:between w:val="nil"/>
        </w:pBdr>
        <w:spacing w:after="160" w:line="360" w:lineRule="auto"/>
        <w:ind w:left="0" w:firstLine="0"/>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t xml:space="preserve">Ampliación del término para resolver. El ocho de mayo de dos mil veinticinco </w:t>
      </w:r>
      <w:r w:rsidRPr="00141DF7">
        <w:rPr>
          <w:rFonts w:ascii="Palatino Linotype" w:eastAsia="Palatino Linotype" w:hAnsi="Palatino Linotype" w:cs="Palatino Linotype"/>
          <w:sz w:val="22"/>
          <w:szCs w:val="22"/>
        </w:rPr>
        <w:t xml:space="preserve">se notificó a las partes, el acuerdo que amplía el término para resolver el recurso de revisión en términos del artículo 181 párrafo tercero de la Ley de Transparencia y Acceso a la Información Pública del Estado de México y Municipios. </w:t>
      </w:r>
    </w:p>
    <w:p w14:paraId="4EAF034E" w14:textId="77777777" w:rsidR="0003400C" w:rsidRPr="00141DF7" w:rsidRDefault="0003400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B1EB8B4"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4A0A469"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31D033E0" w14:textId="77777777" w:rsidR="0003400C" w:rsidRPr="00141DF7" w:rsidRDefault="002D6F4E">
      <w:pPr>
        <w:numPr>
          <w:ilvl w:val="0"/>
          <w:numId w:val="5"/>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3" w:name="_heading=h.30j0zll" w:colFirst="0" w:colLast="0"/>
      <w:bookmarkEnd w:id="3"/>
      <w:r w:rsidRPr="00141DF7">
        <w:rPr>
          <w:rFonts w:ascii="Palatino Linotype" w:eastAsia="Palatino Linotype" w:hAnsi="Palatino Linotype" w:cs="Palatino Linotype"/>
          <w:b/>
          <w:sz w:val="22"/>
          <w:szCs w:val="22"/>
        </w:rPr>
        <w:t>C O N S I D E R A N D O:</w:t>
      </w:r>
    </w:p>
    <w:p w14:paraId="1B62E926" w14:textId="77777777" w:rsidR="0003400C" w:rsidRPr="00141DF7" w:rsidRDefault="0003400C">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3C97294D"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t xml:space="preserve">Primero. Competencia. </w:t>
      </w:r>
      <w:r w:rsidRPr="00141DF7">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E18484A" w14:textId="77777777" w:rsidR="0003400C" w:rsidRPr="00141DF7" w:rsidRDefault="0003400C">
      <w:pPr>
        <w:spacing w:line="360" w:lineRule="auto"/>
        <w:jc w:val="both"/>
        <w:rPr>
          <w:rFonts w:ascii="Palatino Linotype" w:eastAsia="Palatino Linotype" w:hAnsi="Palatino Linotype" w:cs="Palatino Linotype"/>
          <w:b/>
          <w:sz w:val="22"/>
          <w:szCs w:val="22"/>
        </w:rPr>
      </w:pPr>
    </w:p>
    <w:p w14:paraId="549A0624"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t>Segundo. Oportunidad y Procedibilidad del Recurso de Revisión</w:t>
      </w:r>
      <w:r w:rsidRPr="00141DF7">
        <w:rPr>
          <w:rFonts w:ascii="Palatino Linotype" w:eastAsia="Palatino Linotype" w:hAnsi="Palatino Linotype" w:cs="Palatino Linotype"/>
          <w:sz w:val="22"/>
          <w:szCs w:val="22"/>
        </w:rPr>
        <w:t xml:space="preserve">. Previo al estudio del fondo del asunto, se procede a analizar los requisitos de oportunidad y procedibilidad que debe reunir </w:t>
      </w:r>
      <w:r w:rsidRPr="00141DF7">
        <w:rPr>
          <w:rFonts w:ascii="Palatino Linotype" w:eastAsia="Palatino Linotype" w:hAnsi="Palatino Linotype" w:cs="Palatino Linotype"/>
          <w:sz w:val="22"/>
          <w:szCs w:val="22"/>
        </w:rPr>
        <w:lastRenderedPageBreak/>
        <w:t>el recurso de revisión interpuesto, previstos en los artículos 178 y 180 de la Ley de Transparencia y Acceso a la Información Pública del Estado de México y Municipios.</w:t>
      </w:r>
    </w:p>
    <w:p w14:paraId="33EA62F4"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41E2F63E"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141DF7">
        <w:rPr>
          <w:rFonts w:ascii="Palatino Linotype" w:eastAsia="Palatino Linotype" w:hAnsi="Palatino Linotype" w:cs="Palatino Linotype"/>
          <w:b/>
          <w:sz w:val="22"/>
          <w:szCs w:val="22"/>
        </w:rPr>
        <w:t>SUJETO OBLIGADO</w:t>
      </w:r>
      <w:r w:rsidRPr="00141DF7">
        <w:rPr>
          <w:rFonts w:ascii="Palatino Linotype" w:eastAsia="Palatino Linotype" w:hAnsi="Palatino Linotype" w:cs="Palatino Linotype"/>
          <w:sz w:val="22"/>
          <w:szCs w:val="22"/>
        </w:rPr>
        <w:t xml:space="preserve"> proporcionó su respuesta a la solicitud de información el </w:t>
      </w:r>
      <w:r w:rsidRPr="00141DF7">
        <w:rPr>
          <w:rFonts w:ascii="Palatino Linotype" w:eastAsia="Palatino Linotype" w:hAnsi="Palatino Linotype" w:cs="Palatino Linotype"/>
          <w:b/>
          <w:sz w:val="22"/>
          <w:szCs w:val="22"/>
        </w:rPr>
        <w:t>veintiséis de febrero de dos mil veinticinco</w:t>
      </w:r>
      <w:r w:rsidRPr="00141DF7">
        <w:rPr>
          <w:rFonts w:ascii="Palatino Linotype" w:eastAsia="Palatino Linotype" w:hAnsi="Palatino Linotype" w:cs="Palatino Linotype"/>
          <w:sz w:val="22"/>
          <w:szCs w:val="22"/>
        </w:rPr>
        <w:t xml:space="preserve">, y la persona </w:t>
      </w:r>
      <w:r w:rsidRPr="00141DF7">
        <w:rPr>
          <w:rFonts w:ascii="Palatino Linotype" w:eastAsia="Palatino Linotype" w:hAnsi="Palatino Linotype" w:cs="Palatino Linotype"/>
          <w:b/>
          <w:sz w:val="22"/>
          <w:szCs w:val="22"/>
        </w:rPr>
        <w:t>RECURRENTE</w:t>
      </w:r>
      <w:r w:rsidRPr="00141DF7">
        <w:rPr>
          <w:rFonts w:ascii="Palatino Linotype" w:eastAsia="Palatino Linotype" w:hAnsi="Palatino Linotype" w:cs="Palatino Linotype"/>
          <w:sz w:val="22"/>
          <w:szCs w:val="22"/>
        </w:rPr>
        <w:t xml:space="preserve"> presentó su recurso de revisión el </w:t>
      </w:r>
      <w:r w:rsidRPr="00141DF7">
        <w:rPr>
          <w:rFonts w:ascii="Palatino Linotype" w:eastAsia="Palatino Linotype" w:hAnsi="Palatino Linotype" w:cs="Palatino Linotype"/>
          <w:b/>
          <w:sz w:val="22"/>
          <w:szCs w:val="22"/>
        </w:rPr>
        <w:t>veintisiete de febrero de dos mil veinticinco</w:t>
      </w:r>
      <w:r w:rsidRPr="00141DF7">
        <w:rPr>
          <w:rFonts w:ascii="Palatino Linotype" w:eastAsia="Palatino Linotype" w:hAnsi="Palatino Linotype" w:cs="Palatino Linotype"/>
          <w:sz w:val="22"/>
          <w:szCs w:val="22"/>
        </w:rPr>
        <w:t>;</w:t>
      </w:r>
      <w:r w:rsidRPr="00141DF7">
        <w:rPr>
          <w:rFonts w:ascii="Palatino Linotype" w:eastAsia="Palatino Linotype" w:hAnsi="Palatino Linotype" w:cs="Palatino Linotype"/>
          <w:b/>
          <w:sz w:val="22"/>
          <w:szCs w:val="22"/>
        </w:rPr>
        <w:t xml:space="preserve"> </w:t>
      </w:r>
      <w:r w:rsidRPr="00141DF7">
        <w:rPr>
          <w:rFonts w:ascii="Palatino Linotype" w:eastAsia="Palatino Linotype" w:hAnsi="Palatino Linotype" w:cs="Palatino Linotype"/>
          <w:sz w:val="22"/>
          <w:szCs w:val="22"/>
        </w:rPr>
        <w:t xml:space="preserve">esto es al siguiente día hábil en que tuvo conocimiento de la respuesta. </w:t>
      </w:r>
    </w:p>
    <w:p w14:paraId="3B0D8CEE" w14:textId="77777777" w:rsidR="0003400C" w:rsidRPr="00141DF7" w:rsidRDefault="0003400C">
      <w:pPr>
        <w:spacing w:line="276" w:lineRule="auto"/>
        <w:ind w:right="843"/>
        <w:jc w:val="both"/>
        <w:rPr>
          <w:rFonts w:ascii="Palatino Linotype" w:eastAsia="Palatino Linotype" w:hAnsi="Palatino Linotype" w:cs="Palatino Linotype"/>
          <w:i/>
          <w:sz w:val="22"/>
          <w:szCs w:val="22"/>
        </w:rPr>
      </w:pPr>
    </w:p>
    <w:p w14:paraId="11E4493A"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DD9E379"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V, VI y IX de la ley de la materia, que a la letra dice:</w:t>
      </w:r>
    </w:p>
    <w:p w14:paraId="2AF89C02" w14:textId="77777777" w:rsidR="0003400C" w:rsidRPr="00141DF7" w:rsidRDefault="0003400C">
      <w:pPr>
        <w:spacing w:line="360" w:lineRule="auto"/>
        <w:ind w:left="567"/>
        <w:jc w:val="both"/>
        <w:rPr>
          <w:rFonts w:ascii="Palatino Linotype" w:eastAsia="Palatino Linotype" w:hAnsi="Palatino Linotype" w:cs="Palatino Linotype"/>
          <w:sz w:val="22"/>
          <w:szCs w:val="22"/>
        </w:rPr>
      </w:pPr>
    </w:p>
    <w:p w14:paraId="1E85C6BB" w14:textId="77777777" w:rsidR="0003400C" w:rsidRPr="00141DF7" w:rsidRDefault="002D6F4E">
      <w:pPr>
        <w:spacing w:line="276" w:lineRule="auto"/>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w:t>
      </w:r>
      <w:r w:rsidRPr="00141DF7">
        <w:rPr>
          <w:rFonts w:ascii="Palatino Linotype" w:eastAsia="Palatino Linotype" w:hAnsi="Palatino Linotype" w:cs="Palatino Linotype"/>
          <w:b/>
          <w:i/>
          <w:sz w:val="22"/>
          <w:szCs w:val="22"/>
        </w:rPr>
        <w:t xml:space="preserve">Artículo 179. </w:t>
      </w:r>
      <w:r w:rsidRPr="00141DF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D25AAC9" w14:textId="77777777" w:rsidR="0003400C" w:rsidRPr="00141DF7" w:rsidRDefault="002D6F4E">
      <w:pPr>
        <w:spacing w:line="276" w:lineRule="auto"/>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w:t>
      </w:r>
    </w:p>
    <w:p w14:paraId="791592FE" w14:textId="77777777" w:rsidR="0003400C" w:rsidRPr="00141DF7" w:rsidRDefault="002D6F4E">
      <w:pPr>
        <w:spacing w:line="276" w:lineRule="auto"/>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I. La negativa a la información solicitada;</w:t>
      </w:r>
    </w:p>
    <w:p w14:paraId="4BB52065" w14:textId="77777777" w:rsidR="0003400C" w:rsidRPr="00141DF7" w:rsidRDefault="002D6F4E">
      <w:pPr>
        <w:spacing w:line="276" w:lineRule="auto"/>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w:t>
      </w:r>
    </w:p>
    <w:p w14:paraId="7EA8A1EC" w14:textId="77777777" w:rsidR="0003400C" w:rsidRPr="00141DF7" w:rsidRDefault="002D6F4E">
      <w:pPr>
        <w:spacing w:line="276" w:lineRule="auto"/>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V. La entrega de información incompleta;</w:t>
      </w:r>
    </w:p>
    <w:p w14:paraId="2658D5C5" w14:textId="77777777" w:rsidR="0003400C" w:rsidRPr="00141DF7" w:rsidRDefault="002D6F4E">
      <w:pPr>
        <w:spacing w:line="276" w:lineRule="auto"/>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 </w:t>
      </w:r>
    </w:p>
    <w:p w14:paraId="390DA3EF" w14:textId="77777777" w:rsidR="0003400C" w:rsidRPr="00141DF7" w:rsidRDefault="0003400C">
      <w:pPr>
        <w:spacing w:line="360" w:lineRule="auto"/>
        <w:ind w:right="616"/>
        <w:jc w:val="both"/>
        <w:rPr>
          <w:rFonts w:ascii="Palatino Linotype" w:eastAsia="Palatino Linotype" w:hAnsi="Palatino Linotype" w:cs="Palatino Linotype"/>
          <w:i/>
          <w:sz w:val="22"/>
          <w:szCs w:val="22"/>
        </w:rPr>
      </w:pPr>
    </w:p>
    <w:p w14:paraId="5B56D898"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t>Tercero. Materia de Revisión</w:t>
      </w:r>
      <w:r w:rsidRPr="00141DF7">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y V del artículo 179 de la Ley de Transparencia y Acceso a la Información Pública del Estado de México y Municipios.  </w:t>
      </w:r>
    </w:p>
    <w:p w14:paraId="2DC03814"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lastRenderedPageBreak/>
        <w:t xml:space="preserve">Cuarto. Estudio de fondo del asunto. </w:t>
      </w:r>
      <w:r w:rsidRPr="00141DF7">
        <w:rPr>
          <w:rFonts w:ascii="Palatino Linotype" w:eastAsia="Palatino Linotype" w:hAnsi="Palatino Linotype" w:cs="Palatino Linotype"/>
          <w:sz w:val="22"/>
          <w:szCs w:val="22"/>
        </w:rPr>
        <w:t>Es conveniente analizar si la respuesta del Sujeto Obligado</w:t>
      </w:r>
      <w:r w:rsidRPr="00141DF7">
        <w:rPr>
          <w:rFonts w:ascii="Palatino Linotype" w:eastAsia="Palatino Linotype" w:hAnsi="Palatino Linotype" w:cs="Palatino Linotype"/>
          <w:b/>
          <w:sz w:val="22"/>
          <w:szCs w:val="22"/>
        </w:rPr>
        <w:t xml:space="preserve"> </w:t>
      </w:r>
      <w:r w:rsidRPr="00141DF7">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2343095"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67388B62" w14:textId="77777777" w:rsidR="0003400C" w:rsidRPr="00141DF7" w:rsidRDefault="002D6F4E">
      <w:pPr>
        <w:tabs>
          <w:tab w:val="left" w:pos="851"/>
        </w:tabs>
        <w:spacing w:line="276" w:lineRule="auto"/>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w:t>
      </w:r>
      <w:r w:rsidRPr="00141DF7">
        <w:rPr>
          <w:rFonts w:ascii="Palatino Linotype" w:eastAsia="Palatino Linotype" w:hAnsi="Palatino Linotype" w:cs="Palatino Linotype"/>
          <w:b/>
          <w:i/>
          <w:sz w:val="22"/>
          <w:szCs w:val="22"/>
        </w:rPr>
        <w:t>Artículo 4</w:t>
      </w:r>
      <w:r w:rsidRPr="00141DF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4824D6" w14:textId="77777777" w:rsidR="0003400C" w:rsidRPr="00141DF7" w:rsidRDefault="002D6F4E">
      <w:pPr>
        <w:tabs>
          <w:tab w:val="left" w:pos="851"/>
        </w:tabs>
        <w:spacing w:line="276" w:lineRule="auto"/>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41DF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DBA17B6" w14:textId="77777777" w:rsidR="0003400C" w:rsidRPr="00141DF7" w:rsidRDefault="002D6F4E">
      <w:pPr>
        <w:tabs>
          <w:tab w:val="left" w:pos="851"/>
        </w:tabs>
        <w:spacing w:line="276" w:lineRule="auto"/>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41DF7">
        <w:rPr>
          <w:rFonts w:ascii="Palatino Linotype" w:eastAsia="Palatino Linotype" w:hAnsi="Palatino Linotype" w:cs="Palatino Linotype"/>
          <w:i/>
          <w:sz w:val="22"/>
          <w:szCs w:val="22"/>
        </w:rPr>
        <w:t>.”</w:t>
      </w:r>
    </w:p>
    <w:p w14:paraId="372C5F3C"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3C4E4A87"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8DECB2" w14:textId="77777777" w:rsidR="0003400C" w:rsidRPr="00141DF7" w:rsidRDefault="0003400C">
      <w:pPr>
        <w:spacing w:line="360" w:lineRule="auto"/>
        <w:ind w:right="616"/>
        <w:jc w:val="both"/>
        <w:rPr>
          <w:rFonts w:ascii="Palatino Linotype" w:eastAsia="Palatino Linotype" w:hAnsi="Palatino Linotype" w:cs="Palatino Linotype"/>
          <w:sz w:val="22"/>
          <w:szCs w:val="22"/>
        </w:rPr>
      </w:pPr>
    </w:p>
    <w:p w14:paraId="39BE1F5D" w14:textId="77777777" w:rsidR="0003400C" w:rsidRPr="00141DF7" w:rsidRDefault="002D6F4E">
      <w:pPr>
        <w:tabs>
          <w:tab w:val="left" w:pos="6804"/>
        </w:tabs>
        <w:spacing w:line="276" w:lineRule="auto"/>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lastRenderedPageBreak/>
        <w:t>“</w:t>
      </w:r>
      <w:r w:rsidRPr="00141DF7">
        <w:rPr>
          <w:rFonts w:ascii="Palatino Linotype" w:eastAsia="Palatino Linotype" w:hAnsi="Palatino Linotype" w:cs="Palatino Linotype"/>
          <w:b/>
          <w:i/>
          <w:sz w:val="22"/>
          <w:szCs w:val="22"/>
        </w:rPr>
        <w:t>Artículo 12.-</w:t>
      </w:r>
      <w:r w:rsidRPr="00141DF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C5FD30" w14:textId="77777777" w:rsidR="0003400C" w:rsidRPr="00141DF7" w:rsidRDefault="002D6F4E">
      <w:pPr>
        <w:spacing w:line="276" w:lineRule="auto"/>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41DF7">
        <w:rPr>
          <w:rFonts w:ascii="Palatino Linotype" w:eastAsia="Palatino Linotype" w:hAnsi="Palatino Linotype" w:cs="Palatino Linotype"/>
          <w:i/>
          <w:sz w:val="22"/>
          <w:szCs w:val="22"/>
        </w:rPr>
        <w:t xml:space="preserve">. </w:t>
      </w:r>
      <w:r w:rsidRPr="00141DF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141DF7">
        <w:rPr>
          <w:rFonts w:ascii="Palatino Linotype" w:eastAsia="Palatino Linotype" w:hAnsi="Palatino Linotype" w:cs="Palatino Linotype"/>
          <w:i/>
          <w:sz w:val="22"/>
          <w:szCs w:val="22"/>
        </w:rPr>
        <w:t xml:space="preserve">.” </w:t>
      </w:r>
    </w:p>
    <w:p w14:paraId="3F8F0270" w14:textId="77777777" w:rsidR="0003400C" w:rsidRPr="00141DF7" w:rsidRDefault="0003400C">
      <w:pPr>
        <w:spacing w:line="360" w:lineRule="auto"/>
        <w:ind w:right="-93"/>
        <w:jc w:val="both"/>
        <w:rPr>
          <w:rFonts w:ascii="Palatino Linotype" w:eastAsia="Palatino Linotype" w:hAnsi="Palatino Linotype" w:cs="Palatino Linotype"/>
          <w:sz w:val="22"/>
          <w:szCs w:val="22"/>
        </w:rPr>
      </w:pPr>
    </w:p>
    <w:p w14:paraId="6C5D6105" w14:textId="77777777" w:rsidR="0003400C" w:rsidRPr="00141DF7" w:rsidRDefault="002D6F4E">
      <w:pPr>
        <w:spacing w:line="360" w:lineRule="auto"/>
        <w:ind w:right="-93"/>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555FF0F4" w14:textId="77777777" w:rsidR="0003400C" w:rsidRPr="00141DF7" w:rsidRDefault="0003400C">
      <w:pPr>
        <w:spacing w:line="360" w:lineRule="auto"/>
        <w:ind w:right="-93"/>
        <w:jc w:val="both"/>
        <w:rPr>
          <w:rFonts w:ascii="Palatino Linotype" w:eastAsia="Palatino Linotype" w:hAnsi="Palatino Linotype" w:cs="Palatino Linotype"/>
          <w:sz w:val="22"/>
          <w:szCs w:val="22"/>
        </w:rPr>
      </w:pPr>
    </w:p>
    <w:p w14:paraId="5CABAF75" w14:textId="77777777" w:rsidR="0003400C" w:rsidRPr="00141DF7" w:rsidRDefault="002D6F4E">
      <w:pPr>
        <w:spacing w:line="360" w:lineRule="auto"/>
        <w:jc w:val="both"/>
        <w:rPr>
          <w:rFonts w:ascii="Palatino Linotype" w:eastAsia="Palatino Linotype" w:hAnsi="Palatino Linotype" w:cs="Palatino Linotype"/>
          <w:b/>
          <w:sz w:val="22"/>
          <w:szCs w:val="22"/>
        </w:rPr>
      </w:pPr>
      <w:r w:rsidRPr="00141DF7">
        <w:rPr>
          <w:rFonts w:ascii="Palatino Linotype" w:eastAsia="Palatino Linotype" w:hAnsi="Palatino Linotype" w:cs="Palatino Linotype"/>
          <w:sz w:val="22"/>
          <w:szCs w:val="22"/>
        </w:rPr>
        <w:t>Sirve de apoyo a lo anterior, el criterio 03-17, expuesto por el entonces Instituto Nacional de Transparencia, Acceso a la Información y Protección de Datos Personales, que dice:</w:t>
      </w:r>
      <w:r w:rsidRPr="00141DF7">
        <w:rPr>
          <w:rFonts w:ascii="Palatino Linotype" w:eastAsia="Palatino Linotype" w:hAnsi="Palatino Linotype" w:cs="Palatino Linotype"/>
          <w:b/>
          <w:sz w:val="22"/>
          <w:szCs w:val="22"/>
        </w:rPr>
        <w:t xml:space="preserve"> </w:t>
      </w:r>
    </w:p>
    <w:p w14:paraId="41770E25" w14:textId="77777777" w:rsidR="0003400C" w:rsidRPr="00141DF7" w:rsidRDefault="0003400C">
      <w:pPr>
        <w:spacing w:line="276" w:lineRule="auto"/>
        <w:ind w:right="850"/>
        <w:jc w:val="both"/>
        <w:rPr>
          <w:rFonts w:ascii="Palatino Linotype" w:eastAsia="Palatino Linotype" w:hAnsi="Palatino Linotype" w:cs="Palatino Linotype"/>
          <w:sz w:val="22"/>
          <w:szCs w:val="22"/>
        </w:rPr>
      </w:pPr>
    </w:p>
    <w:p w14:paraId="0F6677D6" w14:textId="77777777" w:rsidR="0003400C" w:rsidRPr="00141DF7" w:rsidRDefault="002D6F4E">
      <w:pPr>
        <w:spacing w:line="276" w:lineRule="auto"/>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w:t>
      </w:r>
      <w:r w:rsidRPr="00141DF7">
        <w:rPr>
          <w:rFonts w:ascii="Palatino Linotype" w:eastAsia="Palatino Linotype" w:hAnsi="Palatino Linotype" w:cs="Palatino Linotype"/>
          <w:b/>
          <w:i/>
          <w:sz w:val="22"/>
          <w:szCs w:val="22"/>
        </w:rPr>
        <w:t>No existe obligación de elaborar documentos ad hoc para atender las solicitudes de acceso a la información.</w:t>
      </w:r>
      <w:r w:rsidRPr="00141DF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91010C6" w14:textId="77777777" w:rsidR="0003400C" w:rsidRPr="00141DF7" w:rsidRDefault="0003400C">
      <w:pPr>
        <w:spacing w:line="276" w:lineRule="auto"/>
        <w:ind w:right="616"/>
        <w:jc w:val="both"/>
        <w:rPr>
          <w:rFonts w:ascii="Palatino Linotype" w:eastAsia="Palatino Linotype" w:hAnsi="Palatino Linotype" w:cs="Palatino Linotype"/>
          <w:i/>
          <w:sz w:val="22"/>
          <w:szCs w:val="22"/>
        </w:rPr>
      </w:pPr>
    </w:p>
    <w:p w14:paraId="28607970"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w:t>
      </w:r>
      <w:r w:rsidRPr="00141DF7">
        <w:rPr>
          <w:rFonts w:ascii="Palatino Linotype" w:eastAsia="Palatino Linotype" w:hAnsi="Palatino Linotype" w:cs="Palatino Linotype"/>
          <w:sz w:val="22"/>
          <w:szCs w:val="22"/>
        </w:rPr>
        <w:lastRenderedPageBreak/>
        <w:t>de cualquier persona, lo que implica que es deber de los Sujetos Obligados, garantizar el Derecho de Acceso a la Información Pública.</w:t>
      </w:r>
    </w:p>
    <w:p w14:paraId="181F7AAF"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0AB23982"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254F0F6"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3FAD0B2C"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C926FEC"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48DCA1E0" w14:textId="77777777" w:rsidR="0003400C" w:rsidRPr="00141DF7" w:rsidRDefault="002D6F4E">
      <w:pPr>
        <w:spacing w:line="276" w:lineRule="auto"/>
        <w:ind w:left="567" w:right="89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w:t>
      </w:r>
      <w:r w:rsidRPr="00141DF7">
        <w:rPr>
          <w:rFonts w:ascii="Palatino Linotype" w:eastAsia="Palatino Linotype" w:hAnsi="Palatino Linotype" w:cs="Palatino Linotype"/>
          <w:b/>
          <w:i/>
          <w:sz w:val="22"/>
          <w:szCs w:val="22"/>
        </w:rPr>
        <w:t xml:space="preserve">Artículo 3. </w:t>
      </w:r>
      <w:r w:rsidRPr="00141DF7">
        <w:rPr>
          <w:rFonts w:ascii="Palatino Linotype" w:eastAsia="Palatino Linotype" w:hAnsi="Palatino Linotype" w:cs="Palatino Linotype"/>
          <w:i/>
          <w:sz w:val="22"/>
          <w:szCs w:val="22"/>
        </w:rPr>
        <w:t>Para los efectos de la presente Ley se entenderá por:</w:t>
      </w:r>
    </w:p>
    <w:p w14:paraId="533AF301" w14:textId="77777777" w:rsidR="0003400C" w:rsidRPr="00141DF7" w:rsidRDefault="002D6F4E">
      <w:pPr>
        <w:spacing w:line="276" w:lineRule="auto"/>
        <w:ind w:left="567" w:right="89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w:t>
      </w:r>
    </w:p>
    <w:p w14:paraId="17894508" w14:textId="77777777" w:rsidR="0003400C" w:rsidRPr="00141DF7" w:rsidRDefault="002D6F4E">
      <w:pPr>
        <w:spacing w:line="276" w:lineRule="auto"/>
        <w:ind w:left="567" w:right="89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b/>
          <w:i/>
          <w:sz w:val="22"/>
          <w:szCs w:val="22"/>
        </w:rPr>
        <w:t>XI. Documento:</w:t>
      </w:r>
      <w:r w:rsidRPr="00141DF7">
        <w:rPr>
          <w:rFonts w:ascii="Palatino Linotype" w:eastAsia="Palatino Linotype" w:hAnsi="Palatino Linotype" w:cs="Palatino Linotype"/>
          <w:i/>
          <w:sz w:val="22"/>
          <w:szCs w:val="22"/>
        </w:rPr>
        <w:t xml:space="preserve"> Los expedientes, reportes, estudios, actas</w:t>
      </w:r>
      <w:r w:rsidRPr="00141DF7">
        <w:rPr>
          <w:rFonts w:ascii="Palatino Linotype" w:eastAsia="Palatino Linotype" w:hAnsi="Palatino Linotype" w:cs="Palatino Linotype"/>
          <w:b/>
          <w:i/>
          <w:sz w:val="22"/>
          <w:szCs w:val="22"/>
        </w:rPr>
        <w:t>,</w:t>
      </w:r>
      <w:r w:rsidRPr="00141DF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82A0B51" w14:textId="77777777" w:rsidR="0003400C" w:rsidRPr="00141DF7" w:rsidRDefault="0003400C">
      <w:pPr>
        <w:spacing w:line="360" w:lineRule="auto"/>
        <w:ind w:right="899"/>
        <w:jc w:val="both"/>
        <w:rPr>
          <w:rFonts w:ascii="Palatino Linotype" w:eastAsia="Palatino Linotype" w:hAnsi="Palatino Linotype" w:cs="Palatino Linotype"/>
          <w:sz w:val="22"/>
          <w:szCs w:val="22"/>
        </w:rPr>
      </w:pPr>
    </w:p>
    <w:p w14:paraId="5000D9DF"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Pública del </w:t>
      </w:r>
      <w:r w:rsidRPr="00141DF7">
        <w:rPr>
          <w:rFonts w:ascii="Palatino Linotype" w:eastAsia="Palatino Linotype" w:hAnsi="Palatino Linotype" w:cs="Palatino Linotype"/>
          <w:sz w:val="22"/>
          <w:szCs w:val="22"/>
        </w:rPr>
        <w:lastRenderedPageBreak/>
        <w:t>Estado de México y Municipios; publicado en el Periódico Oficial del Gobierno del Estado Libre y Soberano de México “Gaceta del Gobierno”, el diecinueve de octubre de dos mil once, cuyo rubro y texto refieren lo siguiente:</w:t>
      </w:r>
    </w:p>
    <w:p w14:paraId="4BB329BC" w14:textId="77777777" w:rsidR="0003400C" w:rsidRPr="00141DF7" w:rsidRDefault="0003400C">
      <w:pPr>
        <w:spacing w:line="360" w:lineRule="auto"/>
        <w:ind w:right="899"/>
        <w:jc w:val="both"/>
        <w:rPr>
          <w:rFonts w:ascii="Palatino Linotype" w:eastAsia="Palatino Linotype" w:hAnsi="Palatino Linotype" w:cs="Palatino Linotype"/>
          <w:sz w:val="22"/>
          <w:szCs w:val="22"/>
        </w:rPr>
      </w:pPr>
    </w:p>
    <w:p w14:paraId="3354F673" w14:textId="77777777" w:rsidR="0003400C" w:rsidRPr="00141DF7" w:rsidRDefault="002D6F4E">
      <w:pPr>
        <w:spacing w:line="276" w:lineRule="auto"/>
        <w:ind w:left="567" w:right="899"/>
        <w:jc w:val="both"/>
        <w:rPr>
          <w:rFonts w:ascii="Palatino Linotype" w:eastAsia="Palatino Linotype" w:hAnsi="Palatino Linotype" w:cs="Palatino Linotype"/>
          <w:b/>
          <w:i/>
          <w:sz w:val="22"/>
          <w:szCs w:val="22"/>
        </w:rPr>
      </w:pPr>
      <w:r w:rsidRPr="00141DF7">
        <w:rPr>
          <w:rFonts w:ascii="Palatino Linotype" w:eastAsia="Palatino Linotype" w:hAnsi="Palatino Linotype" w:cs="Palatino Linotype"/>
          <w:b/>
          <w:sz w:val="22"/>
          <w:szCs w:val="22"/>
        </w:rPr>
        <w:t>“</w:t>
      </w:r>
      <w:r w:rsidRPr="00141DF7">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41DF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7F7BDB" w14:textId="77777777" w:rsidR="0003400C" w:rsidRPr="00141DF7" w:rsidRDefault="002D6F4E">
      <w:pPr>
        <w:spacing w:line="276" w:lineRule="auto"/>
        <w:ind w:left="567" w:right="89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EBF77D7" w14:textId="77777777" w:rsidR="0003400C" w:rsidRPr="00141DF7" w:rsidRDefault="002D6F4E">
      <w:pPr>
        <w:spacing w:line="276" w:lineRule="auto"/>
        <w:ind w:left="567" w:right="89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26579E8" w14:textId="77777777" w:rsidR="0003400C" w:rsidRPr="00141DF7" w:rsidRDefault="002D6F4E">
      <w:pPr>
        <w:spacing w:line="276" w:lineRule="auto"/>
        <w:ind w:left="567" w:right="899"/>
        <w:jc w:val="both"/>
        <w:rPr>
          <w:rFonts w:ascii="Palatino Linotype" w:eastAsia="Palatino Linotype" w:hAnsi="Palatino Linotype" w:cs="Palatino Linotype"/>
          <w:b/>
          <w:i/>
          <w:sz w:val="22"/>
          <w:szCs w:val="22"/>
        </w:rPr>
      </w:pPr>
      <w:r w:rsidRPr="00141DF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A026410" w14:textId="77777777" w:rsidR="0003400C" w:rsidRPr="00141DF7" w:rsidRDefault="002D6F4E">
      <w:pPr>
        <w:spacing w:line="276" w:lineRule="auto"/>
        <w:ind w:left="567" w:right="899"/>
        <w:jc w:val="both"/>
        <w:rPr>
          <w:rFonts w:ascii="Palatino Linotype" w:eastAsia="Palatino Linotype" w:hAnsi="Palatino Linotype" w:cs="Palatino Linotype"/>
          <w:b/>
          <w:i/>
          <w:sz w:val="22"/>
          <w:szCs w:val="22"/>
        </w:rPr>
      </w:pPr>
      <w:r w:rsidRPr="00141DF7">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8C5AF27" w14:textId="77777777" w:rsidR="0003400C" w:rsidRPr="00141DF7" w:rsidRDefault="0003400C">
      <w:pPr>
        <w:spacing w:line="360" w:lineRule="auto"/>
        <w:ind w:left="567"/>
        <w:jc w:val="both"/>
        <w:rPr>
          <w:rFonts w:ascii="Palatino Linotype" w:eastAsia="Palatino Linotype" w:hAnsi="Palatino Linotype" w:cs="Palatino Linotype"/>
          <w:sz w:val="22"/>
          <w:szCs w:val="22"/>
        </w:rPr>
      </w:pPr>
    </w:p>
    <w:p w14:paraId="42DD2FE1"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Dicho lo anterior, resulta necesario recordar que la pretensión de la persona Solicitante, es obtener del Ayuntamiento de Tecámac, por lo que, por cuestiones de técnica jurídica se realizó el siguiente cuadro de análisis:</w:t>
      </w:r>
    </w:p>
    <w:p w14:paraId="3A8293DE"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3E6F9047" w14:textId="77777777" w:rsidR="0003400C" w:rsidRPr="00141DF7" w:rsidRDefault="002D6F4E">
      <w:pPr>
        <w:spacing w:line="360" w:lineRule="auto"/>
        <w:jc w:val="both"/>
        <w:rPr>
          <w:rFonts w:ascii="Palatino Linotype" w:eastAsia="Palatino Linotype" w:hAnsi="Palatino Linotype" w:cs="Palatino Linotype"/>
        </w:rPr>
      </w:pPr>
      <w:r w:rsidRPr="00141DF7">
        <w:rPr>
          <w:rFonts w:ascii="Palatino Linotype" w:eastAsia="Palatino Linotype" w:hAnsi="Palatino Linotype" w:cs="Palatino Linotype"/>
        </w:rPr>
        <w:t>- De los videos localizados en las direcciones electrónicas proporcionadas en la solicitud:</w:t>
      </w:r>
    </w:p>
    <w:p w14:paraId="58FECB75" w14:textId="77777777" w:rsidR="0003400C" w:rsidRPr="00141DF7" w:rsidRDefault="0003400C">
      <w:pPr>
        <w:spacing w:line="360" w:lineRule="auto"/>
        <w:jc w:val="both"/>
        <w:rPr>
          <w:rFonts w:ascii="Palatino Linotype" w:eastAsia="Palatino Linotype" w:hAnsi="Palatino Linotype" w:cs="Palatino Linotype"/>
        </w:rPr>
      </w:pPr>
    </w:p>
    <w:tbl>
      <w:tblPr>
        <w:tblStyle w:val="a2"/>
        <w:tblW w:w="9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
        <w:gridCol w:w="1827"/>
        <w:gridCol w:w="1843"/>
        <w:gridCol w:w="1843"/>
        <w:gridCol w:w="1984"/>
        <w:gridCol w:w="1843"/>
      </w:tblGrid>
      <w:tr w:rsidR="00CA386F" w:rsidRPr="00141DF7" w14:paraId="0DD1C322" w14:textId="77777777">
        <w:tc>
          <w:tcPr>
            <w:tcW w:w="436" w:type="dxa"/>
            <w:tcBorders>
              <w:top w:val="nil"/>
              <w:left w:val="nil"/>
            </w:tcBorders>
            <w:shd w:val="clear" w:color="auto" w:fill="FFFFFF"/>
          </w:tcPr>
          <w:p w14:paraId="41D03546" w14:textId="77777777" w:rsidR="0003400C" w:rsidRPr="00141DF7" w:rsidRDefault="0003400C">
            <w:pPr>
              <w:jc w:val="both"/>
              <w:rPr>
                <w:rFonts w:ascii="Palatino Linotype" w:eastAsia="Palatino Linotype" w:hAnsi="Palatino Linotype" w:cs="Palatino Linotype"/>
                <w:b/>
                <w:sz w:val="20"/>
                <w:szCs w:val="20"/>
              </w:rPr>
            </w:pPr>
          </w:p>
        </w:tc>
        <w:tc>
          <w:tcPr>
            <w:tcW w:w="1827" w:type="dxa"/>
            <w:shd w:val="clear" w:color="auto" w:fill="D9D9D9"/>
          </w:tcPr>
          <w:p w14:paraId="6B989C3D" w14:textId="77777777" w:rsidR="0003400C" w:rsidRPr="00141DF7" w:rsidRDefault="002D6F4E">
            <w:pPr>
              <w:jc w:val="center"/>
              <w:rPr>
                <w:rFonts w:ascii="Palatino Linotype" w:eastAsia="Palatino Linotype" w:hAnsi="Palatino Linotype" w:cs="Palatino Linotype"/>
                <w:b/>
                <w:sz w:val="20"/>
                <w:szCs w:val="20"/>
              </w:rPr>
            </w:pPr>
            <w:r w:rsidRPr="00141DF7">
              <w:rPr>
                <w:rFonts w:ascii="Palatino Linotype" w:eastAsia="Palatino Linotype" w:hAnsi="Palatino Linotype" w:cs="Palatino Linotype"/>
                <w:b/>
                <w:sz w:val="20"/>
                <w:szCs w:val="20"/>
              </w:rPr>
              <w:t>Requerimiento</w:t>
            </w:r>
          </w:p>
        </w:tc>
        <w:tc>
          <w:tcPr>
            <w:tcW w:w="1843" w:type="dxa"/>
            <w:shd w:val="clear" w:color="auto" w:fill="D9D9D9"/>
          </w:tcPr>
          <w:p w14:paraId="58AEB9E2" w14:textId="77777777" w:rsidR="0003400C" w:rsidRPr="00141DF7" w:rsidRDefault="002D6F4E">
            <w:pPr>
              <w:jc w:val="center"/>
              <w:rPr>
                <w:rFonts w:ascii="Palatino Linotype" w:eastAsia="Palatino Linotype" w:hAnsi="Palatino Linotype" w:cs="Palatino Linotype"/>
                <w:b/>
                <w:sz w:val="20"/>
                <w:szCs w:val="20"/>
              </w:rPr>
            </w:pPr>
            <w:r w:rsidRPr="00141DF7">
              <w:rPr>
                <w:rFonts w:ascii="Palatino Linotype" w:eastAsia="Palatino Linotype" w:hAnsi="Palatino Linotype" w:cs="Palatino Linotype"/>
                <w:b/>
                <w:sz w:val="20"/>
                <w:szCs w:val="20"/>
              </w:rPr>
              <w:t>Respuesta</w:t>
            </w:r>
          </w:p>
        </w:tc>
        <w:tc>
          <w:tcPr>
            <w:tcW w:w="1843" w:type="dxa"/>
            <w:shd w:val="clear" w:color="auto" w:fill="D9D9D9"/>
          </w:tcPr>
          <w:p w14:paraId="421DF854" w14:textId="77777777" w:rsidR="0003400C" w:rsidRPr="00141DF7" w:rsidRDefault="002D6F4E">
            <w:pPr>
              <w:jc w:val="center"/>
              <w:rPr>
                <w:rFonts w:ascii="Palatino Linotype" w:eastAsia="Palatino Linotype" w:hAnsi="Palatino Linotype" w:cs="Palatino Linotype"/>
                <w:b/>
                <w:sz w:val="20"/>
                <w:szCs w:val="20"/>
              </w:rPr>
            </w:pPr>
            <w:r w:rsidRPr="00141DF7">
              <w:rPr>
                <w:rFonts w:ascii="Palatino Linotype" w:eastAsia="Palatino Linotype" w:hAnsi="Palatino Linotype" w:cs="Palatino Linotype"/>
                <w:b/>
                <w:sz w:val="20"/>
                <w:szCs w:val="20"/>
              </w:rPr>
              <w:t>Motivos de Inconformidad</w:t>
            </w:r>
          </w:p>
        </w:tc>
        <w:tc>
          <w:tcPr>
            <w:tcW w:w="1984" w:type="dxa"/>
            <w:shd w:val="clear" w:color="auto" w:fill="D9D9D9"/>
          </w:tcPr>
          <w:p w14:paraId="12CC9791" w14:textId="77777777" w:rsidR="0003400C" w:rsidRPr="00141DF7" w:rsidRDefault="002D6F4E">
            <w:pPr>
              <w:jc w:val="center"/>
              <w:rPr>
                <w:rFonts w:ascii="Palatino Linotype" w:eastAsia="Palatino Linotype" w:hAnsi="Palatino Linotype" w:cs="Palatino Linotype"/>
                <w:b/>
                <w:sz w:val="20"/>
                <w:szCs w:val="20"/>
              </w:rPr>
            </w:pPr>
            <w:r w:rsidRPr="00141DF7">
              <w:rPr>
                <w:rFonts w:ascii="Palatino Linotype" w:eastAsia="Palatino Linotype" w:hAnsi="Palatino Linotype" w:cs="Palatino Linotype"/>
                <w:b/>
                <w:sz w:val="20"/>
                <w:szCs w:val="20"/>
              </w:rPr>
              <w:t>Informe Justificado</w:t>
            </w:r>
          </w:p>
        </w:tc>
        <w:tc>
          <w:tcPr>
            <w:tcW w:w="1843" w:type="dxa"/>
            <w:shd w:val="clear" w:color="auto" w:fill="D9D9D9"/>
          </w:tcPr>
          <w:p w14:paraId="4DDF627A" w14:textId="77777777" w:rsidR="0003400C" w:rsidRPr="00141DF7" w:rsidRDefault="002D6F4E">
            <w:pPr>
              <w:jc w:val="center"/>
              <w:rPr>
                <w:rFonts w:ascii="Palatino Linotype" w:eastAsia="Palatino Linotype" w:hAnsi="Palatino Linotype" w:cs="Palatino Linotype"/>
                <w:b/>
                <w:sz w:val="20"/>
                <w:szCs w:val="20"/>
              </w:rPr>
            </w:pPr>
            <w:r w:rsidRPr="00141DF7">
              <w:rPr>
                <w:rFonts w:ascii="Palatino Linotype" w:eastAsia="Palatino Linotype" w:hAnsi="Palatino Linotype" w:cs="Palatino Linotype"/>
                <w:b/>
                <w:sz w:val="20"/>
                <w:szCs w:val="20"/>
              </w:rPr>
              <w:t>Observaciones</w:t>
            </w:r>
          </w:p>
        </w:tc>
      </w:tr>
      <w:tr w:rsidR="00CA386F" w:rsidRPr="00141DF7" w14:paraId="78965299" w14:textId="77777777">
        <w:tc>
          <w:tcPr>
            <w:tcW w:w="436" w:type="dxa"/>
            <w:shd w:val="clear" w:color="auto" w:fill="D9D9D9"/>
          </w:tcPr>
          <w:p w14:paraId="4337968A" w14:textId="77777777" w:rsidR="0003400C" w:rsidRPr="00141DF7" w:rsidRDefault="002D6F4E">
            <w:pPr>
              <w:jc w:val="both"/>
              <w:rPr>
                <w:rFonts w:ascii="Palatino Linotype" w:eastAsia="Palatino Linotype" w:hAnsi="Palatino Linotype" w:cs="Palatino Linotype"/>
                <w:b/>
                <w:sz w:val="20"/>
                <w:szCs w:val="20"/>
              </w:rPr>
            </w:pPr>
            <w:r w:rsidRPr="00141DF7">
              <w:rPr>
                <w:rFonts w:ascii="Palatino Linotype" w:eastAsia="Palatino Linotype" w:hAnsi="Palatino Linotype" w:cs="Palatino Linotype"/>
                <w:b/>
                <w:sz w:val="20"/>
                <w:szCs w:val="20"/>
              </w:rPr>
              <w:t>1</w:t>
            </w:r>
          </w:p>
        </w:tc>
        <w:tc>
          <w:tcPr>
            <w:tcW w:w="1827" w:type="dxa"/>
          </w:tcPr>
          <w:p w14:paraId="469705E6"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Fundamento administrativo y legal para que el personal de la </w:t>
            </w:r>
            <w:r w:rsidRPr="00141DF7">
              <w:rPr>
                <w:rFonts w:ascii="Palatino Linotype" w:eastAsia="Palatino Linotype" w:hAnsi="Palatino Linotype" w:cs="Palatino Linotype"/>
                <w:sz w:val="20"/>
                <w:szCs w:val="20"/>
              </w:rPr>
              <w:lastRenderedPageBreak/>
              <w:t xml:space="preserve">Agencia de Movilidad, Verificación Administrativa más adelante AMVAR, </w:t>
            </w:r>
            <w:r w:rsidRPr="00141DF7">
              <w:rPr>
                <w:rFonts w:ascii="Palatino Linotype" w:eastAsia="Palatino Linotype" w:hAnsi="Palatino Linotype" w:cs="Palatino Linotype"/>
                <w:b/>
                <w:sz w:val="20"/>
                <w:szCs w:val="20"/>
              </w:rPr>
              <w:t>retire un puesto de publicaciones periódicas en vía pública con apoyo de una grúa</w:t>
            </w:r>
            <w:r w:rsidRPr="00141DF7">
              <w:rPr>
                <w:rFonts w:ascii="Palatino Linotype" w:eastAsia="Palatino Linotype" w:hAnsi="Palatino Linotype" w:cs="Palatino Linotype"/>
                <w:sz w:val="20"/>
                <w:szCs w:val="20"/>
              </w:rPr>
              <w:t xml:space="preserve">, la cual </w:t>
            </w:r>
            <w:r w:rsidRPr="00141DF7">
              <w:rPr>
                <w:rFonts w:ascii="Palatino Linotype" w:eastAsia="Palatino Linotype" w:hAnsi="Palatino Linotype" w:cs="Palatino Linotype"/>
                <w:b/>
                <w:sz w:val="20"/>
                <w:szCs w:val="20"/>
              </w:rPr>
              <w:t>no tiene placas de circulación</w:t>
            </w:r>
            <w:r w:rsidRPr="00141DF7">
              <w:rPr>
                <w:rFonts w:ascii="Palatino Linotype" w:eastAsia="Palatino Linotype" w:hAnsi="Palatino Linotype" w:cs="Palatino Linotype"/>
                <w:sz w:val="20"/>
                <w:szCs w:val="20"/>
              </w:rPr>
              <w:t xml:space="preserve">, </w:t>
            </w:r>
            <w:r w:rsidRPr="00141DF7">
              <w:rPr>
                <w:rFonts w:ascii="Palatino Linotype" w:eastAsia="Palatino Linotype" w:hAnsi="Palatino Linotype" w:cs="Palatino Linotype"/>
                <w:b/>
                <w:sz w:val="20"/>
                <w:szCs w:val="20"/>
              </w:rPr>
              <w:t>permiso de circulación ni cromática de la empresa prestadora de servicio de grúa</w:t>
            </w:r>
            <w:r w:rsidRPr="00141DF7">
              <w:rPr>
                <w:rFonts w:ascii="Palatino Linotype" w:eastAsia="Palatino Linotype" w:hAnsi="Palatino Linotype" w:cs="Palatino Linotype"/>
                <w:sz w:val="20"/>
                <w:szCs w:val="20"/>
              </w:rPr>
              <w:t>.</w:t>
            </w:r>
          </w:p>
        </w:tc>
        <w:tc>
          <w:tcPr>
            <w:tcW w:w="1843" w:type="dxa"/>
          </w:tcPr>
          <w:p w14:paraId="2ACA1343"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 xml:space="preserve">El Director de la Agencia de Movilidad, Verificación </w:t>
            </w:r>
            <w:r w:rsidRPr="00141DF7">
              <w:rPr>
                <w:rFonts w:ascii="Palatino Linotype" w:eastAsia="Palatino Linotype" w:hAnsi="Palatino Linotype" w:cs="Palatino Linotype"/>
                <w:sz w:val="20"/>
                <w:szCs w:val="20"/>
              </w:rPr>
              <w:lastRenderedPageBreak/>
              <w:t>Administrativa y Regulación, refiere que:</w:t>
            </w:r>
          </w:p>
          <w:p w14:paraId="2551A87D" w14:textId="77777777" w:rsidR="0003400C" w:rsidRPr="00141DF7" w:rsidRDefault="0003400C">
            <w:pPr>
              <w:jc w:val="both"/>
              <w:rPr>
                <w:rFonts w:ascii="Palatino Linotype" w:eastAsia="Palatino Linotype" w:hAnsi="Palatino Linotype" w:cs="Palatino Linotype"/>
                <w:sz w:val="20"/>
                <w:szCs w:val="20"/>
              </w:rPr>
            </w:pPr>
          </w:p>
          <w:p w14:paraId="48B99143"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R= ART. 2.85 </w:t>
            </w:r>
            <w:proofErr w:type="spellStart"/>
            <w:r w:rsidRPr="00141DF7">
              <w:rPr>
                <w:rFonts w:ascii="Palatino Linotype" w:eastAsia="Palatino Linotype" w:hAnsi="Palatino Linotype" w:cs="Palatino Linotype"/>
                <w:sz w:val="20"/>
                <w:szCs w:val="20"/>
              </w:rPr>
              <w:t>fracc</w:t>
            </w:r>
            <w:proofErr w:type="spellEnd"/>
            <w:r w:rsidRPr="00141DF7">
              <w:rPr>
                <w:rFonts w:ascii="Palatino Linotype" w:eastAsia="Palatino Linotype" w:hAnsi="Palatino Linotype" w:cs="Palatino Linotype"/>
                <w:sz w:val="20"/>
                <w:szCs w:val="20"/>
              </w:rPr>
              <w:t xml:space="preserve"> XXVI, del Código Reglamentario del Municipio de Tecámac.</w:t>
            </w:r>
          </w:p>
          <w:p w14:paraId="1206869E"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XXVI Mantener la vialidad de cualquier tipo libre de obstáculos u objetos que impidan, dificulten u obstruyan el</w:t>
            </w:r>
          </w:p>
          <w:p w14:paraId="1F67159F"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tránsito peatonal, ciclista o vehicular, excepto en aquellos casos debidamente autorizados</w:t>
            </w:r>
          </w:p>
          <w:p w14:paraId="50B52D68" w14:textId="77777777" w:rsidR="0003400C" w:rsidRPr="00141DF7" w:rsidRDefault="0003400C">
            <w:pPr>
              <w:jc w:val="both"/>
              <w:rPr>
                <w:rFonts w:ascii="Palatino Linotype" w:eastAsia="Palatino Linotype" w:hAnsi="Palatino Linotype" w:cs="Palatino Linotype"/>
                <w:sz w:val="20"/>
                <w:szCs w:val="20"/>
              </w:rPr>
            </w:pPr>
          </w:p>
          <w:p w14:paraId="519BD4E8"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ART. 9 FRACC XIX de la Ley General de Movilidad del Estado de México.</w:t>
            </w:r>
          </w:p>
          <w:p w14:paraId="6243B839"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XIX. Mantener la vialidad de cualquier tipo libre de obstáculos u objetos que impidan, dificulten u obstruyan el tránsito</w:t>
            </w:r>
          </w:p>
          <w:p w14:paraId="5AFF4AC8"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peatonal, ciclista o vehicular, excepto en aquellos casos debidamente autorizados.</w:t>
            </w:r>
          </w:p>
          <w:p w14:paraId="0EE4BFF6" w14:textId="77777777" w:rsidR="0003400C" w:rsidRPr="00141DF7" w:rsidRDefault="0003400C">
            <w:pPr>
              <w:jc w:val="both"/>
              <w:rPr>
                <w:rFonts w:ascii="Palatino Linotype" w:eastAsia="Palatino Linotype" w:hAnsi="Palatino Linotype" w:cs="Palatino Linotype"/>
                <w:sz w:val="20"/>
                <w:szCs w:val="20"/>
              </w:rPr>
            </w:pPr>
          </w:p>
          <w:p w14:paraId="78A50A05"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ART. 128 DE LA LEY DE MOVILIDAD Y SEGURIDAD </w:t>
            </w:r>
            <w:r w:rsidRPr="00141DF7">
              <w:rPr>
                <w:rFonts w:ascii="Palatino Linotype" w:eastAsia="Palatino Linotype" w:hAnsi="Palatino Linotype" w:cs="Palatino Linotype"/>
                <w:sz w:val="20"/>
                <w:szCs w:val="20"/>
              </w:rPr>
              <w:lastRenderedPageBreak/>
              <w:t>VIAL DEL ESTADO DE MÉXICO Y SUS MUNICIPIOS</w:t>
            </w:r>
          </w:p>
          <w:p w14:paraId="6E7E50DC"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XIX. Mantener la vía de cualquier tipo, libre de obstáculos u objetos que impidan, dificulten u obstruyan el tránsito</w:t>
            </w:r>
          </w:p>
          <w:p w14:paraId="7EF0E940"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peatonal, ciclista o vehicular, excepto en aquellos casos debidamente autorizados y respetando la jerarquía de la</w:t>
            </w:r>
          </w:p>
          <w:p w14:paraId="7B313AA7"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movilidad:</w:t>
            </w:r>
          </w:p>
          <w:p w14:paraId="2AA402FE"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XXII. Trasladar a los depósitos vehiculares autorizados por la Secretaría. las </w:t>
            </w:r>
            <w:proofErr w:type="spellStart"/>
            <w:r w:rsidRPr="00141DF7">
              <w:rPr>
                <w:rFonts w:ascii="Palatino Linotype" w:eastAsia="Palatino Linotype" w:hAnsi="Palatino Linotype" w:cs="Palatino Linotype"/>
                <w:sz w:val="20"/>
                <w:szCs w:val="20"/>
              </w:rPr>
              <w:t>caias</w:t>
            </w:r>
            <w:proofErr w:type="spellEnd"/>
            <w:r w:rsidRPr="00141DF7">
              <w:rPr>
                <w:rFonts w:ascii="Palatino Linotype" w:eastAsia="Palatino Linotype" w:hAnsi="Palatino Linotype" w:cs="Palatino Linotype"/>
                <w:sz w:val="20"/>
                <w:szCs w:val="20"/>
              </w:rPr>
              <w:t xml:space="preserve">, </w:t>
            </w:r>
            <w:proofErr w:type="spellStart"/>
            <w:r w:rsidRPr="00141DF7">
              <w:rPr>
                <w:rFonts w:ascii="Palatino Linotype" w:eastAsia="Palatino Linotype" w:hAnsi="Palatino Linotype" w:cs="Palatino Linotype"/>
                <w:sz w:val="20"/>
                <w:szCs w:val="20"/>
              </w:rPr>
              <w:t>remolgues</w:t>
            </w:r>
            <w:proofErr w:type="spellEnd"/>
            <w:r w:rsidRPr="00141DF7">
              <w:rPr>
                <w:rFonts w:ascii="Palatino Linotype" w:eastAsia="Palatino Linotype" w:hAnsi="Palatino Linotype" w:cs="Palatino Linotype"/>
                <w:sz w:val="20"/>
                <w:szCs w:val="20"/>
              </w:rPr>
              <w:t>, tráileres y vehículos de</w:t>
            </w:r>
          </w:p>
          <w:p w14:paraId="71139A85"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carga, que obstaculicen, limiten o impidan el uso adecuado de las vías, en términos de la normatividad aplicable:</w:t>
            </w:r>
          </w:p>
        </w:tc>
        <w:tc>
          <w:tcPr>
            <w:tcW w:w="1843" w:type="dxa"/>
          </w:tcPr>
          <w:p w14:paraId="181BCEC3"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 xml:space="preserve">En esta respuesta hace referencia de diferentes ordenamientos </w:t>
            </w:r>
            <w:r w:rsidRPr="00141DF7">
              <w:rPr>
                <w:rFonts w:ascii="Palatino Linotype" w:eastAsia="Palatino Linotype" w:hAnsi="Palatino Linotype" w:cs="Palatino Linotype"/>
                <w:sz w:val="20"/>
                <w:szCs w:val="20"/>
              </w:rPr>
              <w:lastRenderedPageBreak/>
              <w:t>jurídicos, solo que está individualizada sobre</w:t>
            </w:r>
          </w:p>
          <w:p w14:paraId="7DD7DEC9"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AMVAR y </w:t>
            </w:r>
            <w:r w:rsidRPr="00141DF7">
              <w:rPr>
                <w:rFonts w:ascii="Palatino Linotype" w:eastAsia="Palatino Linotype" w:hAnsi="Palatino Linotype" w:cs="Palatino Linotype"/>
                <w:b/>
                <w:sz w:val="20"/>
                <w:szCs w:val="20"/>
              </w:rPr>
              <w:t xml:space="preserve">mi pregunta es sobre dos elementos actuando de manera conjunta en este caso AMVAR </w:t>
            </w:r>
            <w:r w:rsidRPr="00141DF7">
              <w:rPr>
                <w:rFonts w:ascii="Palatino Linotype" w:eastAsia="Palatino Linotype" w:hAnsi="Palatino Linotype" w:cs="Palatino Linotype"/>
                <w:sz w:val="20"/>
                <w:szCs w:val="20"/>
              </w:rPr>
              <w:t>y una</w:t>
            </w:r>
          </w:p>
          <w:p w14:paraId="5D8ABDF4"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grúa, por lo que considero no se hizo una búsqueda exhaustiva y razonable en los ordenamientos jurídicos</w:t>
            </w:r>
          </w:p>
          <w:p w14:paraId="2EA61A13"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aplicables en este caso, por ejemplo el Reglamento de Tránsito, o bien las normativas Estatales y</w:t>
            </w:r>
          </w:p>
          <w:p w14:paraId="35431BFA"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Municipales para el uso de las grúas concesionadas.</w:t>
            </w:r>
          </w:p>
        </w:tc>
        <w:tc>
          <w:tcPr>
            <w:tcW w:w="1984" w:type="dxa"/>
          </w:tcPr>
          <w:p w14:paraId="6A950DD3"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 xml:space="preserve">R= ART. 2.85 </w:t>
            </w:r>
            <w:proofErr w:type="spellStart"/>
            <w:r w:rsidRPr="00141DF7">
              <w:rPr>
                <w:rFonts w:ascii="Palatino Linotype" w:eastAsia="Palatino Linotype" w:hAnsi="Palatino Linotype" w:cs="Palatino Linotype"/>
                <w:sz w:val="20"/>
                <w:szCs w:val="20"/>
              </w:rPr>
              <w:t>fracc</w:t>
            </w:r>
            <w:proofErr w:type="spellEnd"/>
            <w:r w:rsidRPr="00141DF7">
              <w:rPr>
                <w:rFonts w:ascii="Palatino Linotype" w:eastAsia="Palatino Linotype" w:hAnsi="Palatino Linotype" w:cs="Palatino Linotype"/>
                <w:sz w:val="20"/>
                <w:szCs w:val="20"/>
              </w:rPr>
              <w:t xml:space="preserve"> XXVI. del Código Reglamentario del </w:t>
            </w:r>
            <w:r w:rsidRPr="00141DF7">
              <w:rPr>
                <w:rFonts w:ascii="Palatino Linotype" w:eastAsia="Palatino Linotype" w:hAnsi="Palatino Linotype" w:cs="Palatino Linotype"/>
                <w:sz w:val="20"/>
                <w:szCs w:val="20"/>
              </w:rPr>
              <w:lastRenderedPageBreak/>
              <w:t>Municipio de Tecámac.</w:t>
            </w:r>
          </w:p>
          <w:p w14:paraId="734046D8"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XXVI Mantener la vialidad de cualquier tipo libre de obstáculos u </w:t>
            </w:r>
            <w:proofErr w:type="spellStart"/>
            <w:r w:rsidRPr="00141DF7">
              <w:rPr>
                <w:rFonts w:ascii="Palatino Linotype" w:eastAsia="Palatino Linotype" w:hAnsi="Palatino Linotype" w:cs="Palatino Linotype"/>
                <w:sz w:val="20"/>
                <w:szCs w:val="20"/>
              </w:rPr>
              <w:t>obietos</w:t>
            </w:r>
            <w:proofErr w:type="spellEnd"/>
            <w:r w:rsidRPr="00141DF7">
              <w:rPr>
                <w:rFonts w:ascii="Palatino Linotype" w:eastAsia="Palatino Linotype" w:hAnsi="Palatino Linotype" w:cs="Palatino Linotype"/>
                <w:sz w:val="20"/>
                <w:szCs w:val="20"/>
              </w:rPr>
              <w:t xml:space="preserve"> que impidan, dificulten u obstruyan el</w:t>
            </w:r>
          </w:p>
          <w:p w14:paraId="03EABB97"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tránsito peatonal, ciclista o vehicular, excepto en aquellos casos debidamente autorizados</w:t>
            </w:r>
          </w:p>
          <w:p w14:paraId="5F2B51B7"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ART. 9 FRACC XIX de la Ley General de Movilidad del Estado de México.</w:t>
            </w:r>
          </w:p>
          <w:p w14:paraId="1BEACCB9"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XIX. Mantener la vialidad de cualquier tipo libre de obstáculos u objetos que impidan, dificulten u obstruyan el tránsito peatonal, ciclista o vehicular, excepto en aquellos casos debidamente autorizados.</w:t>
            </w:r>
          </w:p>
          <w:p w14:paraId="19BC969F"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ART. 128 DE LA LEY DE MOVILIDAD Y SEGURIDAD VIAL DEL ESTADO DE MÉXICO Y SUS MUNICIPIOS</w:t>
            </w:r>
          </w:p>
          <w:p w14:paraId="72EB1B30"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XIX. Mantener la vía de cualquier tipo, libre de obstáculos u objetos que impidan, dificulten u obstruyan el tránsito</w:t>
            </w:r>
          </w:p>
          <w:p w14:paraId="407F00F1"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peatonal, ciclista o vehicular, excepto en aquellos casos </w:t>
            </w:r>
            <w:r w:rsidRPr="00141DF7">
              <w:rPr>
                <w:rFonts w:ascii="Palatino Linotype" w:eastAsia="Palatino Linotype" w:hAnsi="Palatino Linotype" w:cs="Palatino Linotype"/>
                <w:sz w:val="20"/>
                <w:szCs w:val="20"/>
              </w:rPr>
              <w:lastRenderedPageBreak/>
              <w:t>debidamente autorizados y respetando la jerarquía de la</w:t>
            </w:r>
          </w:p>
          <w:p w14:paraId="6353E4CE"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movilidad:</w:t>
            </w:r>
          </w:p>
          <w:p w14:paraId="247DA913"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XXII. Trasladar a los depósitos vehiculares autorizados por la Secretaría, las </w:t>
            </w:r>
            <w:proofErr w:type="spellStart"/>
            <w:r w:rsidRPr="00141DF7">
              <w:rPr>
                <w:rFonts w:ascii="Palatino Linotype" w:eastAsia="Palatino Linotype" w:hAnsi="Palatino Linotype" w:cs="Palatino Linotype"/>
                <w:sz w:val="20"/>
                <w:szCs w:val="20"/>
              </w:rPr>
              <w:t>caias</w:t>
            </w:r>
            <w:proofErr w:type="spellEnd"/>
            <w:r w:rsidRPr="00141DF7">
              <w:rPr>
                <w:rFonts w:ascii="Palatino Linotype" w:eastAsia="Palatino Linotype" w:hAnsi="Palatino Linotype" w:cs="Palatino Linotype"/>
                <w:sz w:val="20"/>
                <w:szCs w:val="20"/>
              </w:rPr>
              <w:t xml:space="preserve">, </w:t>
            </w:r>
            <w:proofErr w:type="spellStart"/>
            <w:r w:rsidRPr="00141DF7">
              <w:rPr>
                <w:rFonts w:ascii="Palatino Linotype" w:eastAsia="Palatino Linotype" w:hAnsi="Palatino Linotype" w:cs="Palatino Linotype"/>
                <w:sz w:val="20"/>
                <w:szCs w:val="20"/>
              </w:rPr>
              <w:t>remolaues</w:t>
            </w:r>
            <w:proofErr w:type="spellEnd"/>
            <w:r w:rsidRPr="00141DF7">
              <w:rPr>
                <w:rFonts w:ascii="Palatino Linotype" w:eastAsia="Palatino Linotype" w:hAnsi="Palatino Linotype" w:cs="Palatino Linotype"/>
                <w:sz w:val="20"/>
                <w:szCs w:val="20"/>
              </w:rPr>
              <w:t>, tráileres v vehículos de</w:t>
            </w:r>
          </w:p>
          <w:p w14:paraId="03CC0982"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carga, que obstaculicen, limiten o impidan el uso adecuado de las vías, en términos de la normatividad aplicable:</w:t>
            </w:r>
          </w:p>
          <w:p w14:paraId="45957E44"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En referencia al tema de las grúas desconozco si </w:t>
            </w:r>
            <w:proofErr w:type="gramStart"/>
            <w:r w:rsidRPr="00141DF7">
              <w:rPr>
                <w:rFonts w:ascii="Palatino Linotype" w:eastAsia="Palatino Linotype" w:hAnsi="Palatino Linotype" w:cs="Palatino Linotype"/>
                <w:sz w:val="20"/>
                <w:szCs w:val="20"/>
              </w:rPr>
              <w:t>la grúas</w:t>
            </w:r>
            <w:proofErr w:type="gramEnd"/>
            <w:r w:rsidRPr="00141DF7">
              <w:rPr>
                <w:rFonts w:ascii="Palatino Linotype" w:eastAsia="Palatino Linotype" w:hAnsi="Palatino Linotype" w:cs="Palatino Linotype"/>
                <w:sz w:val="20"/>
                <w:szCs w:val="20"/>
              </w:rPr>
              <w:t xml:space="preserve"> contaba con placas, tarjeta de circular o algún permiso para poder circular.</w:t>
            </w:r>
          </w:p>
        </w:tc>
        <w:tc>
          <w:tcPr>
            <w:tcW w:w="1843" w:type="dxa"/>
          </w:tcPr>
          <w:p w14:paraId="1319DFD5" w14:textId="77777777" w:rsidR="0003400C" w:rsidRPr="00141DF7" w:rsidRDefault="002D6F4E">
            <w:pPr>
              <w:jc w:val="center"/>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Colmó</w:t>
            </w:r>
          </w:p>
          <w:p w14:paraId="62AC9BC9" w14:textId="77777777" w:rsidR="0003400C" w:rsidRPr="00141DF7" w:rsidRDefault="0003400C">
            <w:pPr>
              <w:jc w:val="center"/>
              <w:rPr>
                <w:rFonts w:ascii="Palatino Linotype" w:eastAsia="Palatino Linotype" w:hAnsi="Palatino Linotype" w:cs="Palatino Linotype"/>
                <w:sz w:val="20"/>
                <w:szCs w:val="20"/>
              </w:rPr>
            </w:pPr>
          </w:p>
          <w:p w14:paraId="12E14AB5"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El Sujeto Obligado proporcionó el </w:t>
            </w:r>
            <w:r w:rsidRPr="00141DF7">
              <w:rPr>
                <w:rFonts w:ascii="Palatino Linotype" w:eastAsia="Palatino Linotype" w:hAnsi="Palatino Linotype" w:cs="Palatino Linotype"/>
                <w:sz w:val="20"/>
                <w:szCs w:val="20"/>
              </w:rPr>
              <w:lastRenderedPageBreak/>
              <w:t>fundamento legal para que el personal retire objetos que impidan y dificulten el tránsito peatonal.</w:t>
            </w:r>
          </w:p>
          <w:p w14:paraId="67FBCFAD" w14:textId="77777777" w:rsidR="0003400C" w:rsidRPr="00141DF7" w:rsidRDefault="0003400C">
            <w:pPr>
              <w:jc w:val="both"/>
              <w:rPr>
                <w:rFonts w:ascii="Palatino Linotype" w:eastAsia="Palatino Linotype" w:hAnsi="Palatino Linotype" w:cs="Palatino Linotype"/>
                <w:sz w:val="20"/>
                <w:szCs w:val="20"/>
              </w:rPr>
            </w:pPr>
          </w:p>
          <w:p w14:paraId="425B1C74"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Aunado a que se considera que no existe fundamento legal para que se solicite una grúa con las condiciones que el recurrente refirió. </w:t>
            </w:r>
          </w:p>
          <w:p w14:paraId="3C5F6A9A" w14:textId="77777777" w:rsidR="0003400C" w:rsidRPr="00141DF7" w:rsidRDefault="0003400C">
            <w:pPr>
              <w:jc w:val="both"/>
              <w:rPr>
                <w:rFonts w:ascii="Palatino Linotype" w:eastAsia="Palatino Linotype" w:hAnsi="Palatino Linotype" w:cs="Palatino Linotype"/>
                <w:sz w:val="20"/>
                <w:szCs w:val="20"/>
              </w:rPr>
            </w:pPr>
          </w:p>
          <w:p w14:paraId="33897555" w14:textId="77777777" w:rsidR="0003400C" w:rsidRPr="00141DF7" w:rsidRDefault="0003400C">
            <w:pPr>
              <w:jc w:val="center"/>
              <w:rPr>
                <w:rFonts w:ascii="Palatino Linotype" w:eastAsia="Palatino Linotype" w:hAnsi="Palatino Linotype" w:cs="Palatino Linotype"/>
                <w:sz w:val="20"/>
                <w:szCs w:val="20"/>
              </w:rPr>
            </w:pPr>
          </w:p>
          <w:p w14:paraId="3B66FA1F" w14:textId="77777777" w:rsidR="0003400C" w:rsidRPr="00141DF7" w:rsidRDefault="0003400C">
            <w:pPr>
              <w:jc w:val="both"/>
              <w:rPr>
                <w:rFonts w:ascii="Palatino Linotype" w:eastAsia="Palatino Linotype" w:hAnsi="Palatino Linotype" w:cs="Palatino Linotype"/>
                <w:sz w:val="20"/>
                <w:szCs w:val="20"/>
              </w:rPr>
            </w:pPr>
          </w:p>
        </w:tc>
      </w:tr>
      <w:tr w:rsidR="00CA386F" w:rsidRPr="00141DF7" w14:paraId="1441154B" w14:textId="77777777">
        <w:tc>
          <w:tcPr>
            <w:tcW w:w="436" w:type="dxa"/>
            <w:shd w:val="clear" w:color="auto" w:fill="D9D9D9"/>
          </w:tcPr>
          <w:p w14:paraId="39EBA188" w14:textId="77777777" w:rsidR="0003400C" w:rsidRPr="00141DF7" w:rsidRDefault="002D6F4E">
            <w:pPr>
              <w:jc w:val="both"/>
              <w:rPr>
                <w:rFonts w:ascii="Palatino Linotype" w:eastAsia="Palatino Linotype" w:hAnsi="Palatino Linotype" w:cs="Palatino Linotype"/>
                <w:b/>
                <w:sz w:val="20"/>
                <w:szCs w:val="20"/>
              </w:rPr>
            </w:pPr>
            <w:r w:rsidRPr="00141DF7">
              <w:rPr>
                <w:rFonts w:ascii="Palatino Linotype" w:eastAsia="Palatino Linotype" w:hAnsi="Palatino Linotype" w:cs="Palatino Linotype"/>
                <w:b/>
                <w:sz w:val="20"/>
                <w:szCs w:val="20"/>
              </w:rPr>
              <w:lastRenderedPageBreak/>
              <w:t>2</w:t>
            </w:r>
          </w:p>
        </w:tc>
        <w:tc>
          <w:tcPr>
            <w:tcW w:w="1827" w:type="dxa"/>
          </w:tcPr>
          <w:p w14:paraId="1FA0B241"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Fundamento administrativo y legal para que una grúa sin placas, ni permiso de circular, ni cromática apoye al personal de la Agencia de Movilidad, Verificación </w:t>
            </w:r>
            <w:r w:rsidRPr="00141DF7">
              <w:rPr>
                <w:rFonts w:ascii="Palatino Linotype" w:eastAsia="Palatino Linotype" w:hAnsi="Palatino Linotype" w:cs="Palatino Linotype"/>
                <w:sz w:val="20"/>
                <w:szCs w:val="20"/>
              </w:rPr>
              <w:lastRenderedPageBreak/>
              <w:t>Administrativa para retirar el puesto referido en los videos.</w:t>
            </w:r>
          </w:p>
        </w:tc>
        <w:tc>
          <w:tcPr>
            <w:tcW w:w="1843" w:type="dxa"/>
          </w:tcPr>
          <w:p w14:paraId="72E324E7"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El Director de la Agencia de Movilidad, Verificación Administrativa y Regulación, refiere que no pide apoyo, solicita de manera formal a la</w:t>
            </w:r>
          </w:p>
          <w:p w14:paraId="0F0BA217"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Dirección General de Obras Públicas realice el retiro de los Bienes mostrencos, instalaciones, o enseres que se</w:t>
            </w:r>
          </w:p>
          <w:p w14:paraId="4C55FCAF"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encuentren en la vía pública, previamente notificados</w:t>
            </w:r>
          </w:p>
        </w:tc>
        <w:tc>
          <w:tcPr>
            <w:tcW w:w="1843" w:type="dxa"/>
          </w:tcPr>
          <w:p w14:paraId="19CBA57C"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Sobre la respuesta proporcionada no corresponde a lo solicitado, y por consecuencia considero no se hizo</w:t>
            </w:r>
          </w:p>
          <w:p w14:paraId="34984CB5"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una búsqueda exhaustiva y razonable en los ordenamientos </w:t>
            </w:r>
            <w:r w:rsidRPr="00141DF7">
              <w:rPr>
                <w:rFonts w:ascii="Palatino Linotype" w:eastAsia="Palatino Linotype" w:hAnsi="Palatino Linotype" w:cs="Palatino Linotype"/>
                <w:sz w:val="20"/>
                <w:szCs w:val="20"/>
              </w:rPr>
              <w:lastRenderedPageBreak/>
              <w:t>jurídicos aplicables en este caso, por ejemplo el</w:t>
            </w:r>
          </w:p>
          <w:p w14:paraId="51C37A3E"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Reglamento de Tránsito, o bien las normativas Estatales y Municipales para el uso de las grúas concesionadas.</w:t>
            </w:r>
          </w:p>
        </w:tc>
        <w:tc>
          <w:tcPr>
            <w:tcW w:w="1984" w:type="dxa"/>
          </w:tcPr>
          <w:p w14:paraId="53358918"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El Director de la Agencia de Movilidad, Verificación Administrativa y Regulación,  refiere que solicita el apoyo a la Dirección General de</w:t>
            </w:r>
          </w:p>
          <w:p w14:paraId="47D93F20"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Obras Públicas, quienes son los </w:t>
            </w:r>
            <w:r w:rsidRPr="00141DF7">
              <w:rPr>
                <w:rFonts w:ascii="Palatino Linotype" w:eastAsia="Palatino Linotype" w:hAnsi="Palatino Linotype" w:cs="Palatino Linotype"/>
                <w:sz w:val="20"/>
                <w:szCs w:val="20"/>
              </w:rPr>
              <w:lastRenderedPageBreak/>
              <w:t>encargados de asignar los materiales, personal y vehículos para tal efecto.</w:t>
            </w:r>
          </w:p>
          <w:p w14:paraId="74578D8E"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En relación al tema de las grúas sin placas, desconozco si contaba con placas, licencia o algún permiso, ya que dichas grúas no trabajan directamente para esta Agencia de Movilidad Verificación Administrativa y Regulación de AMVAR.</w:t>
            </w:r>
          </w:p>
        </w:tc>
        <w:tc>
          <w:tcPr>
            <w:tcW w:w="1843" w:type="dxa"/>
          </w:tcPr>
          <w:p w14:paraId="5DDE861B" w14:textId="77777777" w:rsidR="0003400C" w:rsidRPr="00141DF7" w:rsidRDefault="002D6F4E">
            <w:pPr>
              <w:jc w:val="center"/>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Colmó</w:t>
            </w:r>
          </w:p>
          <w:p w14:paraId="3CCBAE06" w14:textId="77777777" w:rsidR="0003400C" w:rsidRPr="00141DF7" w:rsidRDefault="0003400C">
            <w:pPr>
              <w:jc w:val="both"/>
              <w:rPr>
                <w:rFonts w:ascii="Palatino Linotype" w:eastAsia="Palatino Linotype" w:hAnsi="Palatino Linotype" w:cs="Palatino Linotype"/>
                <w:sz w:val="20"/>
                <w:szCs w:val="20"/>
              </w:rPr>
            </w:pPr>
          </w:p>
          <w:p w14:paraId="6CDFEB74"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Se considera que no existe fundamento legal para que se solicite una grúa con las condiciones que el recurrente refirió. </w:t>
            </w:r>
          </w:p>
          <w:p w14:paraId="6558A1B9" w14:textId="77777777" w:rsidR="0003400C" w:rsidRPr="00141DF7" w:rsidRDefault="0003400C">
            <w:pPr>
              <w:jc w:val="both"/>
              <w:rPr>
                <w:rFonts w:ascii="Palatino Linotype" w:eastAsia="Palatino Linotype" w:hAnsi="Palatino Linotype" w:cs="Palatino Linotype"/>
                <w:sz w:val="20"/>
                <w:szCs w:val="20"/>
              </w:rPr>
            </w:pPr>
          </w:p>
        </w:tc>
      </w:tr>
      <w:tr w:rsidR="00CA386F" w:rsidRPr="00141DF7" w14:paraId="670833D0" w14:textId="77777777">
        <w:tc>
          <w:tcPr>
            <w:tcW w:w="436" w:type="dxa"/>
            <w:shd w:val="clear" w:color="auto" w:fill="D9D9D9"/>
          </w:tcPr>
          <w:p w14:paraId="1FDAA4FB" w14:textId="77777777" w:rsidR="0003400C" w:rsidRPr="00141DF7" w:rsidRDefault="002D6F4E">
            <w:pPr>
              <w:jc w:val="both"/>
              <w:rPr>
                <w:rFonts w:ascii="Palatino Linotype" w:eastAsia="Palatino Linotype" w:hAnsi="Palatino Linotype" w:cs="Palatino Linotype"/>
                <w:b/>
                <w:sz w:val="20"/>
                <w:szCs w:val="20"/>
              </w:rPr>
            </w:pPr>
            <w:r w:rsidRPr="00141DF7">
              <w:rPr>
                <w:rFonts w:ascii="Palatino Linotype" w:eastAsia="Palatino Linotype" w:hAnsi="Palatino Linotype" w:cs="Palatino Linotype"/>
                <w:b/>
                <w:sz w:val="20"/>
                <w:szCs w:val="20"/>
              </w:rPr>
              <w:t>3</w:t>
            </w:r>
          </w:p>
        </w:tc>
        <w:tc>
          <w:tcPr>
            <w:tcW w:w="1827" w:type="dxa"/>
          </w:tcPr>
          <w:p w14:paraId="21F7F6A5"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Fundamento administrativo y legal para que </w:t>
            </w:r>
            <w:r w:rsidRPr="00141DF7">
              <w:rPr>
                <w:rFonts w:ascii="Palatino Linotype" w:eastAsia="Palatino Linotype" w:hAnsi="Palatino Linotype" w:cs="Palatino Linotype"/>
                <w:b/>
                <w:sz w:val="20"/>
                <w:szCs w:val="20"/>
              </w:rPr>
              <w:t>una grúa sin placas, ni permiso de circular, ni pueda circular y prestar el servicio</w:t>
            </w:r>
          </w:p>
        </w:tc>
        <w:tc>
          <w:tcPr>
            <w:tcW w:w="1843" w:type="dxa"/>
          </w:tcPr>
          <w:p w14:paraId="40BDDA07"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No se pronunció al respecto.</w:t>
            </w:r>
          </w:p>
        </w:tc>
        <w:tc>
          <w:tcPr>
            <w:tcW w:w="1843" w:type="dxa"/>
          </w:tcPr>
          <w:p w14:paraId="4E622053"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El sujeto obligado omitió esta respuesta en la contestación, por lo que solicito sea entregada la respuesta.</w:t>
            </w:r>
          </w:p>
        </w:tc>
        <w:tc>
          <w:tcPr>
            <w:tcW w:w="1984" w:type="dxa"/>
          </w:tcPr>
          <w:p w14:paraId="257EEB91"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El Director de la Agencia de Movilidad, Verificación Administrativa y Regulación,  refiere que </w:t>
            </w:r>
            <w:r w:rsidRPr="00141DF7">
              <w:rPr>
                <w:rFonts w:ascii="Palatino Linotype" w:eastAsia="Palatino Linotype" w:hAnsi="Palatino Linotype" w:cs="Palatino Linotype"/>
                <w:b/>
                <w:sz w:val="20"/>
                <w:szCs w:val="20"/>
              </w:rPr>
              <w:t>no existe fundamento legal para ello,</w:t>
            </w:r>
            <w:r w:rsidRPr="00141DF7">
              <w:rPr>
                <w:rFonts w:ascii="Palatino Linotype" w:eastAsia="Palatino Linotype" w:hAnsi="Palatino Linotype" w:cs="Palatino Linotype"/>
                <w:sz w:val="20"/>
                <w:szCs w:val="20"/>
              </w:rPr>
              <w:t xml:space="preserve"> sin embargo la autoridad que verifica los permisos de circulación es Tránsito Municipal.</w:t>
            </w:r>
          </w:p>
        </w:tc>
        <w:tc>
          <w:tcPr>
            <w:tcW w:w="1843" w:type="dxa"/>
          </w:tcPr>
          <w:p w14:paraId="111FE43C" w14:textId="77777777" w:rsidR="0003400C" w:rsidRPr="00141DF7" w:rsidRDefault="002D6F4E">
            <w:pPr>
              <w:jc w:val="center"/>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Colmó</w:t>
            </w:r>
          </w:p>
          <w:p w14:paraId="0F837B03" w14:textId="77777777" w:rsidR="0003400C" w:rsidRPr="00141DF7" w:rsidRDefault="0003400C">
            <w:pPr>
              <w:jc w:val="both"/>
              <w:rPr>
                <w:rFonts w:ascii="Palatino Linotype" w:eastAsia="Palatino Linotype" w:hAnsi="Palatino Linotype" w:cs="Palatino Linotype"/>
                <w:sz w:val="20"/>
                <w:szCs w:val="20"/>
              </w:rPr>
            </w:pPr>
          </w:p>
          <w:p w14:paraId="4212D1D2"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El Sujeto Obligado en informe, refirió que no existe fundamento legal y, tampoco se advierte la existencia de fundamento legal respecto la situación particular que refirió la parte Recurrente.</w:t>
            </w:r>
          </w:p>
        </w:tc>
      </w:tr>
      <w:tr w:rsidR="00CA386F" w:rsidRPr="00141DF7" w14:paraId="5A9DF29F" w14:textId="77777777">
        <w:trPr>
          <w:trHeight w:val="914"/>
        </w:trPr>
        <w:tc>
          <w:tcPr>
            <w:tcW w:w="436" w:type="dxa"/>
            <w:shd w:val="clear" w:color="auto" w:fill="D9D9D9"/>
          </w:tcPr>
          <w:p w14:paraId="40B89A30" w14:textId="77777777" w:rsidR="0003400C" w:rsidRPr="00141DF7" w:rsidRDefault="002D6F4E">
            <w:pPr>
              <w:jc w:val="both"/>
              <w:rPr>
                <w:rFonts w:ascii="Palatino Linotype" w:eastAsia="Palatino Linotype" w:hAnsi="Palatino Linotype" w:cs="Palatino Linotype"/>
                <w:b/>
                <w:sz w:val="20"/>
                <w:szCs w:val="20"/>
              </w:rPr>
            </w:pPr>
            <w:r w:rsidRPr="00141DF7">
              <w:rPr>
                <w:rFonts w:ascii="Palatino Linotype" w:eastAsia="Palatino Linotype" w:hAnsi="Palatino Linotype" w:cs="Palatino Linotype"/>
                <w:b/>
                <w:sz w:val="20"/>
                <w:szCs w:val="20"/>
              </w:rPr>
              <w:t>4</w:t>
            </w:r>
          </w:p>
        </w:tc>
        <w:tc>
          <w:tcPr>
            <w:tcW w:w="1827" w:type="dxa"/>
          </w:tcPr>
          <w:p w14:paraId="0500054C"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El documento legal que </w:t>
            </w:r>
            <w:r w:rsidRPr="00141DF7">
              <w:rPr>
                <w:rFonts w:ascii="Palatino Linotype" w:eastAsia="Palatino Linotype" w:hAnsi="Palatino Linotype" w:cs="Palatino Linotype"/>
                <w:b/>
                <w:sz w:val="20"/>
                <w:szCs w:val="20"/>
              </w:rPr>
              <w:t xml:space="preserve">avale el derecho de audiencia para el titular o dueño del puesto </w:t>
            </w:r>
            <w:r w:rsidRPr="00141DF7">
              <w:rPr>
                <w:rFonts w:ascii="Palatino Linotype" w:eastAsia="Palatino Linotype" w:hAnsi="Palatino Linotype" w:cs="Palatino Linotype"/>
                <w:sz w:val="20"/>
                <w:szCs w:val="20"/>
              </w:rPr>
              <w:t xml:space="preserve">referido en los videos, en los términos que establecen las leyes para este caso, </w:t>
            </w:r>
            <w:r w:rsidRPr="00141DF7">
              <w:rPr>
                <w:rFonts w:ascii="Palatino Linotype" w:eastAsia="Palatino Linotype" w:hAnsi="Palatino Linotype" w:cs="Palatino Linotype"/>
                <w:b/>
                <w:sz w:val="20"/>
                <w:szCs w:val="20"/>
              </w:rPr>
              <w:t>antes del retiro del puesto</w:t>
            </w:r>
            <w:r w:rsidRPr="00141DF7">
              <w:rPr>
                <w:rFonts w:ascii="Palatino Linotype" w:eastAsia="Palatino Linotype" w:hAnsi="Palatino Linotype" w:cs="Palatino Linotype"/>
                <w:sz w:val="20"/>
                <w:szCs w:val="20"/>
              </w:rPr>
              <w:t xml:space="preserve"> </w:t>
            </w:r>
            <w:r w:rsidRPr="00141DF7">
              <w:rPr>
                <w:rFonts w:ascii="Palatino Linotype" w:eastAsia="Palatino Linotype" w:hAnsi="Palatino Linotype" w:cs="Palatino Linotype"/>
                <w:sz w:val="20"/>
                <w:szCs w:val="20"/>
              </w:rPr>
              <w:lastRenderedPageBreak/>
              <w:t>de publicaciones periódicas.</w:t>
            </w:r>
          </w:p>
        </w:tc>
        <w:tc>
          <w:tcPr>
            <w:tcW w:w="1843" w:type="dxa"/>
          </w:tcPr>
          <w:p w14:paraId="6CD7F0A0"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El Director de la Agencia de Movilidad refirió que se anexa documento legal que avala derecho de Garantía de Audiencia, como lo establece el Artículo 129. que a la</w:t>
            </w:r>
          </w:p>
          <w:p w14:paraId="333716EC"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letra dice:</w:t>
            </w:r>
          </w:p>
          <w:p w14:paraId="63772BAE"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art. 129 "Tratándose de la aplicación de sanciones y de la emisión de otros actos administrativos que</w:t>
            </w:r>
          </w:p>
          <w:p w14:paraId="6DD3AB25" w14:textId="77777777" w:rsidR="0003400C" w:rsidRPr="00141DF7" w:rsidRDefault="002D6F4E">
            <w:pPr>
              <w:jc w:val="both"/>
              <w:rPr>
                <w:rFonts w:ascii="Palatino Linotype" w:eastAsia="Palatino Linotype" w:hAnsi="Palatino Linotype" w:cs="Palatino Linotype"/>
                <w:b/>
                <w:sz w:val="20"/>
                <w:szCs w:val="20"/>
                <w:u w:val="single"/>
              </w:rPr>
            </w:pPr>
            <w:r w:rsidRPr="00141DF7">
              <w:rPr>
                <w:rFonts w:ascii="Palatino Linotype" w:eastAsia="Palatino Linotype" w:hAnsi="Palatino Linotype" w:cs="Palatino Linotype"/>
                <w:sz w:val="20"/>
                <w:szCs w:val="20"/>
              </w:rPr>
              <w:t xml:space="preserve">priven a los particulares de la libertad, propiedades, posesiones o derechos, </w:t>
            </w:r>
            <w:r w:rsidRPr="00141DF7">
              <w:rPr>
                <w:rFonts w:ascii="Palatino Linotype" w:eastAsia="Palatino Linotype" w:hAnsi="Palatino Linotype" w:cs="Palatino Linotype"/>
                <w:b/>
                <w:sz w:val="20"/>
                <w:szCs w:val="20"/>
                <w:u w:val="single"/>
              </w:rPr>
              <w:t>se otorgará previamente a los</w:t>
            </w:r>
          </w:p>
          <w:p w14:paraId="6C598AB9"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b/>
                <w:sz w:val="20"/>
                <w:szCs w:val="20"/>
                <w:u w:val="single"/>
              </w:rPr>
              <w:t xml:space="preserve">mismos la garantía de </w:t>
            </w:r>
            <w:proofErr w:type="gramStart"/>
            <w:r w:rsidRPr="00141DF7">
              <w:rPr>
                <w:rFonts w:ascii="Palatino Linotype" w:eastAsia="Palatino Linotype" w:hAnsi="Palatino Linotype" w:cs="Palatino Linotype"/>
                <w:b/>
                <w:sz w:val="20"/>
                <w:szCs w:val="20"/>
                <w:u w:val="single"/>
              </w:rPr>
              <w:t>audiencia</w:t>
            </w:r>
            <w:r w:rsidRPr="00141DF7">
              <w:rPr>
                <w:rFonts w:ascii="Palatino Linotype" w:eastAsia="Palatino Linotype" w:hAnsi="Palatino Linotype" w:cs="Palatino Linotype"/>
                <w:sz w:val="20"/>
                <w:szCs w:val="20"/>
              </w:rPr>
              <w:t>..</w:t>
            </w:r>
            <w:proofErr w:type="gramEnd"/>
            <w:r w:rsidRPr="00141DF7">
              <w:rPr>
                <w:rFonts w:ascii="Palatino Linotype" w:eastAsia="Palatino Linotype" w:hAnsi="Palatino Linotype" w:cs="Palatino Linotype"/>
                <w:sz w:val="20"/>
                <w:szCs w:val="20"/>
              </w:rPr>
              <w:t>"</w:t>
            </w:r>
          </w:p>
          <w:p w14:paraId="422BC4C8" w14:textId="77777777" w:rsidR="0003400C" w:rsidRPr="00141DF7" w:rsidRDefault="0003400C">
            <w:pPr>
              <w:jc w:val="both"/>
              <w:rPr>
                <w:rFonts w:ascii="Palatino Linotype" w:eastAsia="Palatino Linotype" w:hAnsi="Palatino Linotype" w:cs="Palatino Linotype"/>
                <w:sz w:val="20"/>
                <w:szCs w:val="20"/>
              </w:rPr>
            </w:pPr>
          </w:p>
          <w:p w14:paraId="242903F3"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Se remitió un documento relativo a un citatorio a audiencia. </w:t>
            </w:r>
          </w:p>
        </w:tc>
        <w:tc>
          <w:tcPr>
            <w:tcW w:w="1843" w:type="dxa"/>
          </w:tcPr>
          <w:p w14:paraId="54894C34" w14:textId="77777777" w:rsidR="0003400C" w:rsidRPr="00141DF7" w:rsidRDefault="002D6F4E">
            <w:pPr>
              <w:jc w:val="both"/>
              <w:rPr>
                <w:rFonts w:ascii="Palatino Linotype" w:eastAsia="Palatino Linotype" w:hAnsi="Palatino Linotype" w:cs="Palatino Linotype"/>
                <w:b/>
                <w:sz w:val="20"/>
                <w:szCs w:val="20"/>
                <w:u w:val="single"/>
              </w:rPr>
            </w:pPr>
            <w:r w:rsidRPr="00141DF7">
              <w:rPr>
                <w:rFonts w:ascii="Palatino Linotype" w:eastAsia="Palatino Linotype" w:hAnsi="Palatino Linotype" w:cs="Palatino Linotype"/>
                <w:sz w:val="20"/>
                <w:szCs w:val="20"/>
              </w:rPr>
              <w:lastRenderedPageBreak/>
              <w:t xml:space="preserve">Sobre el documento anexado corresponde a lo solicitado aunque incompleto porque </w:t>
            </w:r>
            <w:r w:rsidRPr="00141DF7">
              <w:rPr>
                <w:rFonts w:ascii="Palatino Linotype" w:eastAsia="Palatino Linotype" w:hAnsi="Palatino Linotype" w:cs="Palatino Linotype"/>
                <w:b/>
                <w:sz w:val="20"/>
                <w:szCs w:val="20"/>
                <w:u w:val="single"/>
              </w:rPr>
              <w:t>no anexa en versión</w:t>
            </w:r>
          </w:p>
          <w:p w14:paraId="323D594F" w14:textId="77777777" w:rsidR="0003400C" w:rsidRPr="00141DF7" w:rsidRDefault="002D6F4E">
            <w:pPr>
              <w:jc w:val="both"/>
              <w:rPr>
                <w:rFonts w:ascii="Palatino Linotype" w:eastAsia="Palatino Linotype" w:hAnsi="Palatino Linotype" w:cs="Palatino Linotype"/>
                <w:b/>
                <w:sz w:val="20"/>
                <w:szCs w:val="20"/>
                <w:u w:val="single"/>
              </w:rPr>
            </w:pPr>
            <w:r w:rsidRPr="00141DF7">
              <w:rPr>
                <w:rFonts w:ascii="Palatino Linotype" w:eastAsia="Palatino Linotype" w:hAnsi="Palatino Linotype" w:cs="Palatino Linotype"/>
                <w:b/>
                <w:sz w:val="20"/>
                <w:szCs w:val="20"/>
                <w:u w:val="single"/>
              </w:rPr>
              <w:t xml:space="preserve">pública la credencial de elector o medio de identificación oficial para este </w:t>
            </w:r>
            <w:r w:rsidRPr="00141DF7">
              <w:rPr>
                <w:rFonts w:ascii="Palatino Linotype" w:eastAsia="Palatino Linotype" w:hAnsi="Palatino Linotype" w:cs="Palatino Linotype"/>
                <w:b/>
                <w:sz w:val="20"/>
                <w:szCs w:val="20"/>
                <w:u w:val="single"/>
              </w:rPr>
              <w:lastRenderedPageBreak/>
              <w:t>caso en concreto de quién aparece</w:t>
            </w:r>
          </w:p>
          <w:p w14:paraId="7697ED2F"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b/>
                <w:sz w:val="20"/>
                <w:szCs w:val="20"/>
                <w:u w:val="single"/>
              </w:rPr>
              <w:t>como testigo en el día de la Audiencia referida.</w:t>
            </w:r>
          </w:p>
        </w:tc>
        <w:tc>
          <w:tcPr>
            <w:tcW w:w="1984" w:type="dxa"/>
          </w:tcPr>
          <w:p w14:paraId="3D731AD6"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 xml:space="preserve">El Director de la Agencia de Movilidad, Verificación Administrativa y Regulación, refiere que se anexa documento legal que avala derecho de Garantía de Audiencia, como lo establece el Artículo </w:t>
            </w:r>
            <w:r w:rsidRPr="00141DF7">
              <w:rPr>
                <w:rFonts w:ascii="Palatino Linotype" w:eastAsia="Palatino Linotype" w:hAnsi="Palatino Linotype" w:cs="Palatino Linotype"/>
                <w:sz w:val="20"/>
                <w:szCs w:val="20"/>
              </w:rPr>
              <w:lastRenderedPageBreak/>
              <w:t>129. que a la letra dice:</w:t>
            </w:r>
          </w:p>
          <w:p w14:paraId="03D959D7"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art. 129 "Tratándose de la aplicación de sanciones y de la emisión de otros actos administrativos que priven a los</w:t>
            </w:r>
          </w:p>
          <w:p w14:paraId="44583544"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particulares de la libertad, propiedades, posesiones o derechos, se otorgará previamente a los mismos la garantía de </w:t>
            </w:r>
            <w:proofErr w:type="gramStart"/>
            <w:r w:rsidRPr="00141DF7">
              <w:rPr>
                <w:rFonts w:ascii="Palatino Linotype" w:eastAsia="Palatino Linotype" w:hAnsi="Palatino Linotype" w:cs="Palatino Linotype"/>
                <w:sz w:val="20"/>
                <w:szCs w:val="20"/>
              </w:rPr>
              <w:t>audiencia..</w:t>
            </w:r>
            <w:proofErr w:type="gramEnd"/>
            <w:r w:rsidRPr="00141DF7">
              <w:rPr>
                <w:rFonts w:ascii="Palatino Linotype" w:eastAsia="Palatino Linotype" w:hAnsi="Palatino Linotype" w:cs="Palatino Linotype"/>
                <w:sz w:val="20"/>
                <w:szCs w:val="20"/>
              </w:rPr>
              <w:t>"</w:t>
            </w:r>
          </w:p>
        </w:tc>
        <w:tc>
          <w:tcPr>
            <w:tcW w:w="1843" w:type="dxa"/>
          </w:tcPr>
          <w:p w14:paraId="07005955" w14:textId="77777777" w:rsidR="0003400C" w:rsidRPr="00141DF7" w:rsidRDefault="002D6F4E">
            <w:pPr>
              <w:jc w:val="center"/>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Colmó</w:t>
            </w:r>
          </w:p>
          <w:p w14:paraId="336FCD60" w14:textId="77777777" w:rsidR="0003400C" w:rsidRPr="00141DF7" w:rsidRDefault="0003400C">
            <w:pPr>
              <w:jc w:val="both"/>
              <w:rPr>
                <w:rFonts w:ascii="Palatino Linotype" w:eastAsia="Palatino Linotype" w:hAnsi="Palatino Linotype" w:cs="Palatino Linotype"/>
                <w:sz w:val="20"/>
                <w:szCs w:val="20"/>
              </w:rPr>
            </w:pPr>
          </w:p>
          <w:p w14:paraId="632697E4"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El Sujeto Obligado remitió la información solicitada, </w:t>
            </w:r>
            <w:r w:rsidRPr="00141DF7">
              <w:rPr>
                <w:rFonts w:ascii="Palatino Linotype" w:eastAsia="Palatino Linotype" w:hAnsi="Palatino Linotype" w:cs="Palatino Linotype"/>
                <w:b/>
                <w:sz w:val="20"/>
                <w:szCs w:val="20"/>
              </w:rPr>
              <w:t>respecto a la credencial de elector, se considera improcedente porque no fue solicitada</w:t>
            </w:r>
            <w:r w:rsidRPr="00141DF7">
              <w:rPr>
                <w:rFonts w:ascii="Palatino Linotype" w:eastAsia="Palatino Linotype" w:hAnsi="Palatino Linotype" w:cs="Palatino Linotype"/>
                <w:sz w:val="20"/>
                <w:szCs w:val="20"/>
              </w:rPr>
              <w:t xml:space="preserve">, </w:t>
            </w:r>
            <w:r w:rsidRPr="00141DF7">
              <w:rPr>
                <w:rFonts w:ascii="Palatino Linotype" w:eastAsia="Palatino Linotype" w:hAnsi="Palatino Linotype" w:cs="Palatino Linotype"/>
                <w:sz w:val="20"/>
                <w:szCs w:val="20"/>
              </w:rPr>
              <w:lastRenderedPageBreak/>
              <w:t xml:space="preserve">aunado a que, no procede ordenar su entrega en versión pública. </w:t>
            </w:r>
          </w:p>
        </w:tc>
      </w:tr>
      <w:tr w:rsidR="00CA386F" w:rsidRPr="00141DF7" w14:paraId="7A317B49" w14:textId="77777777">
        <w:tc>
          <w:tcPr>
            <w:tcW w:w="436" w:type="dxa"/>
            <w:shd w:val="clear" w:color="auto" w:fill="D9D9D9"/>
          </w:tcPr>
          <w:p w14:paraId="7871B412" w14:textId="77777777" w:rsidR="0003400C" w:rsidRPr="00141DF7" w:rsidRDefault="002D6F4E">
            <w:pPr>
              <w:jc w:val="both"/>
              <w:rPr>
                <w:rFonts w:ascii="Palatino Linotype" w:eastAsia="Palatino Linotype" w:hAnsi="Palatino Linotype" w:cs="Palatino Linotype"/>
                <w:b/>
                <w:sz w:val="20"/>
                <w:szCs w:val="20"/>
              </w:rPr>
            </w:pPr>
            <w:r w:rsidRPr="00141DF7">
              <w:rPr>
                <w:rFonts w:ascii="Palatino Linotype" w:eastAsia="Palatino Linotype" w:hAnsi="Palatino Linotype" w:cs="Palatino Linotype"/>
                <w:b/>
                <w:sz w:val="20"/>
                <w:szCs w:val="20"/>
              </w:rPr>
              <w:lastRenderedPageBreak/>
              <w:t>5</w:t>
            </w:r>
          </w:p>
        </w:tc>
        <w:tc>
          <w:tcPr>
            <w:tcW w:w="1827" w:type="dxa"/>
          </w:tcPr>
          <w:p w14:paraId="3D160F79"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Listado de grúas concesionadas para el apoyo en todas las áreas de su competencia</w:t>
            </w:r>
          </w:p>
        </w:tc>
        <w:tc>
          <w:tcPr>
            <w:tcW w:w="1843" w:type="dxa"/>
          </w:tcPr>
          <w:p w14:paraId="125C7565"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El Director de la Agencia de Movilidad refirió que solicita de manera formal a la Dirección General</w:t>
            </w:r>
          </w:p>
          <w:p w14:paraId="00104E68"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de Obras Públicas realice el retiro de los Bienes mostrencos, instalaciones, o enseres que se encuentren en la vía pública, previamente notificados.</w:t>
            </w:r>
          </w:p>
        </w:tc>
        <w:tc>
          <w:tcPr>
            <w:tcW w:w="1843" w:type="dxa"/>
          </w:tcPr>
          <w:p w14:paraId="0C9C8D6D"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Sobre la respuesta proporcionada no corresponde a lo solicitado, y por consecuencia considero no se hizo</w:t>
            </w:r>
          </w:p>
          <w:p w14:paraId="6CEA576D"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una búsqueda exhaustiva y razonable en los ordenamientos jurídicos aplicables en este caso, por ejemplo el</w:t>
            </w:r>
          </w:p>
          <w:p w14:paraId="7528ED5E"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Reglamento de Tránsito, o bien las normativas Estatales y Municipales para el uso de las grúas concesionadas.</w:t>
            </w:r>
          </w:p>
          <w:p w14:paraId="3E273831" w14:textId="77777777" w:rsidR="0003400C" w:rsidRPr="00141DF7" w:rsidRDefault="0003400C">
            <w:pPr>
              <w:jc w:val="both"/>
              <w:rPr>
                <w:rFonts w:ascii="Palatino Linotype" w:eastAsia="Palatino Linotype" w:hAnsi="Palatino Linotype" w:cs="Palatino Linotype"/>
                <w:sz w:val="20"/>
                <w:szCs w:val="20"/>
              </w:rPr>
            </w:pPr>
          </w:p>
          <w:p w14:paraId="01A39230" w14:textId="77777777" w:rsidR="0003400C" w:rsidRPr="00141DF7" w:rsidRDefault="002D6F4E">
            <w:pPr>
              <w:jc w:val="both"/>
              <w:rPr>
                <w:rFonts w:ascii="Palatino Linotype" w:eastAsia="Palatino Linotype" w:hAnsi="Palatino Linotype" w:cs="Palatino Linotype"/>
                <w:b/>
                <w:sz w:val="20"/>
                <w:szCs w:val="20"/>
              </w:rPr>
            </w:pPr>
            <w:r w:rsidRPr="00141DF7">
              <w:rPr>
                <w:rFonts w:ascii="Palatino Linotype" w:eastAsia="Palatino Linotype" w:hAnsi="Palatino Linotype" w:cs="Palatino Linotype"/>
                <w:sz w:val="20"/>
                <w:szCs w:val="20"/>
              </w:rPr>
              <w:lastRenderedPageBreak/>
              <w:t xml:space="preserve">Lo cual no considero corresponde a lo solicitado, porque mi pregunta es clara y precisa sobre el </w:t>
            </w:r>
            <w:r w:rsidRPr="00141DF7">
              <w:rPr>
                <w:rFonts w:ascii="Palatino Linotype" w:eastAsia="Palatino Linotype" w:hAnsi="Palatino Linotype" w:cs="Palatino Linotype"/>
                <w:b/>
                <w:sz w:val="20"/>
                <w:szCs w:val="20"/>
              </w:rPr>
              <w:t>listado de</w:t>
            </w:r>
          </w:p>
          <w:p w14:paraId="7B2BDB81"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b/>
                <w:sz w:val="20"/>
                <w:szCs w:val="20"/>
              </w:rPr>
              <w:t>grúas concesionadas y no entrega dicha información, por lo que solicito sea entregada la respuest</w:t>
            </w:r>
            <w:r w:rsidRPr="00141DF7">
              <w:rPr>
                <w:rFonts w:ascii="Palatino Linotype" w:eastAsia="Palatino Linotype" w:hAnsi="Palatino Linotype" w:cs="Palatino Linotype"/>
                <w:sz w:val="20"/>
                <w:szCs w:val="20"/>
              </w:rPr>
              <w:t>a.</w:t>
            </w:r>
          </w:p>
        </w:tc>
        <w:tc>
          <w:tcPr>
            <w:tcW w:w="1984" w:type="dxa"/>
          </w:tcPr>
          <w:p w14:paraId="5C90DA2D"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El Director de la Agencia de Movilidad refirió que no cuentan con un listado de grúas ya que la Agencia de Movilidad, Verificación Administrativa, no cuenta con grúas propias para el retiro de bienes mostrencos o cualquier elemento de la vía pública.</w:t>
            </w:r>
          </w:p>
        </w:tc>
        <w:tc>
          <w:tcPr>
            <w:tcW w:w="1843" w:type="dxa"/>
          </w:tcPr>
          <w:p w14:paraId="3C0ECE88" w14:textId="77777777" w:rsidR="0003400C" w:rsidRPr="00141DF7" w:rsidRDefault="002D6F4E">
            <w:pPr>
              <w:jc w:val="center"/>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No colmó</w:t>
            </w:r>
          </w:p>
          <w:p w14:paraId="1F161D9C" w14:textId="77777777" w:rsidR="0003400C" w:rsidRPr="00141DF7" w:rsidRDefault="0003400C">
            <w:pPr>
              <w:jc w:val="center"/>
              <w:rPr>
                <w:rFonts w:ascii="Palatino Linotype" w:eastAsia="Palatino Linotype" w:hAnsi="Palatino Linotype" w:cs="Palatino Linotype"/>
                <w:sz w:val="20"/>
                <w:szCs w:val="20"/>
              </w:rPr>
            </w:pPr>
          </w:p>
          <w:p w14:paraId="2E7ABA39" w14:textId="77777777" w:rsidR="0003400C" w:rsidRPr="00141DF7" w:rsidRDefault="0003400C">
            <w:pPr>
              <w:jc w:val="center"/>
              <w:rPr>
                <w:rFonts w:ascii="Palatino Linotype" w:eastAsia="Palatino Linotype" w:hAnsi="Palatino Linotype" w:cs="Palatino Linotype"/>
                <w:sz w:val="20"/>
                <w:szCs w:val="20"/>
              </w:rPr>
            </w:pPr>
          </w:p>
          <w:p w14:paraId="3546DA4D"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Debido a que no se realizó una búsqueda exhaustiva y razonable.</w:t>
            </w:r>
          </w:p>
        </w:tc>
      </w:tr>
      <w:tr w:rsidR="00CA386F" w:rsidRPr="00141DF7" w14:paraId="3D8DA4D6" w14:textId="77777777">
        <w:tc>
          <w:tcPr>
            <w:tcW w:w="436" w:type="dxa"/>
            <w:shd w:val="clear" w:color="auto" w:fill="D9D9D9"/>
          </w:tcPr>
          <w:p w14:paraId="57538C04" w14:textId="77777777" w:rsidR="0003400C" w:rsidRPr="00141DF7" w:rsidRDefault="002D6F4E">
            <w:pPr>
              <w:jc w:val="both"/>
              <w:rPr>
                <w:rFonts w:ascii="Palatino Linotype" w:eastAsia="Palatino Linotype" w:hAnsi="Palatino Linotype" w:cs="Palatino Linotype"/>
                <w:b/>
                <w:sz w:val="20"/>
                <w:szCs w:val="20"/>
              </w:rPr>
            </w:pPr>
            <w:r w:rsidRPr="00141DF7">
              <w:rPr>
                <w:rFonts w:ascii="Palatino Linotype" w:eastAsia="Palatino Linotype" w:hAnsi="Palatino Linotype" w:cs="Palatino Linotype"/>
                <w:b/>
                <w:sz w:val="20"/>
                <w:szCs w:val="20"/>
              </w:rPr>
              <w:t>6</w:t>
            </w:r>
          </w:p>
        </w:tc>
        <w:tc>
          <w:tcPr>
            <w:tcW w:w="1827" w:type="dxa"/>
          </w:tcPr>
          <w:p w14:paraId="3B2F4FE4"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Motivo o fundamento jurídico para el personal de Seguridad Pública para que </w:t>
            </w:r>
            <w:r w:rsidRPr="00141DF7">
              <w:rPr>
                <w:rFonts w:ascii="Palatino Linotype" w:eastAsia="Palatino Linotype" w:hAnsi="Palatino Linotype" w:cs="Palatino Linotype"/>
                <w:b/>
                <w:sz w:val="20"/>
                <w:szCs w:val="20"/>
              </w:rPr>
              <w:t>haya omitido el auxilio del ciudadano para solicitar el apoyo de personal de Transito para validar si la grúa mencionada en el video, era apta para poder circular.</w:t>
            </w:r>
          </w:p>
        </w:tc>
        <w:tc>
          <w:tcPr>
            <w:tcW w:w="1843" w:type="dxa"/>
          </w:tcPr>
          <w:p w14:paraId="2118C0E3"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No se pronunció al respecto. </w:t>
            </w:r>
          </w:p>
        </w:tc>
        <w:tc>
          <w:tcPr>
            <w:tcW w:w="1843" w:type="dxa"/>
          </w:tcPr>
          <w:p w14:paraId="4DAC7CE3"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El sujeto obligado omitió esta respuesta en la contestación, por lo que solicito sea entregada la respuesta.</w:t>
            </w:r>
          </w:p>
        </w:tc>
        <w:tc>
          <w:tcPr>
            <w:tcW w:w="1984" w:type="dxa"/>
          </w:tcPr>
          <w:p w14:paraId="6D3FE1AF"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El Director de la Agencia de Movilidad refirió que desconoce si se negó el auxilio o el motivo por el cual los oficiales de tránsito negaron el auxilio, además desconocemos si las grúas eran aptas para circular no.</w:t>
            </w:r>
          </w:p>
        </w:tc>
        <w:tc>
          <w:tcPr>
            <w:tcW w:w="1843" w:type="dxa"/>
          </w:tcPr>
          <w:p w14:paraId="46C1F2E1" w14:textId="77777777" w:rsidR="0003400C" w:rsidRPr="00141DF7" w:rsidRDefault="002D6F4E">
            <w:pPr>
              <w:jc w:val="center"/>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Colmó</w:t>
            </w:r>
          </w:p>
          <w:p w14:paraId="198F88C4" w14:textId="77777777" w:rsidR="0003400C" w:rsidRPr="00141DF7" w:rsidRDefault="0003400C">
            <w:pPr>
              <w:jc w:val="both"/>
              <w:rPr>
                <w:rFonts w:ascii="Palatino Linotype" w:eastAsia="Palatino Linotype" w:hAnsi="Palatino Linotype" w:cs="Palatino Linotype"/>
                <w:sz w:val="20"/>
                <w:szCs w:val="20"/>
              </w:rPr>
            </w:pPr>
          </w:p>
          <w:p w14:paraId="327E97AD"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Se trata de una consulta y no se advierte que exista algún motivo o fundamento respecto de la situación en particular referida por el recurrente. </w:t>
            </w:r>
          </w:p>
        </w:tc>
      </w:tr>
      <w:tr w:rsidR="00CA386F" w:rsidRPr="00141DF7" w14:paraId="00105D16" w14:textId="77777777">
        <w:tc>
          <w:tcPr>
            <w:tcW w:w="436" w:type="dxa"/>
            <w:shd w:val="clear" w:color="auto" w:fill="D9D9D9"/>
          </w:tcPr>
          <w:p w14:paraId="7DF9692D" w14:textId="77777777" w:rsidR="0003400C" w:rsidRPr="00141DF7" w:rsidRDefault="002D6F4E">
            <w:pPr>
              <w:jc w:val="both"/>
              <w:rPr>
                <w:rFonts w:ascii="Palatino Linotype" w:eastAsia="Palatino Linotype" w:hAnsi="Palatino Linotype" w:cs="Palatino Linotype"/>
                <w:b/>
                <w:sz w:val="20"/>
                <w:szCs w:val="20"/>
              </w:rPr>
            </w:pPr>
            <w:r w:rsidRPr="00141DF7">
              <w:rPr>
                <w:rFonts w:ascii="Palatino Linotype" w:eastAsia="Palatino Linotype" w:hAnsi="Palatino Linotype" w:cs="Palatino Linotype"/>
                <w:b/>
                <w:sz w:val="20"/>
                <w:szCs w:val="20"/>
              </w:rPr>
              <w:t>7</w:t>
            </w:r>
          </w:p>
        </w:tc>
        <w:tc>
          <w:tcPr>
            <w:tcW w:w="1827" w:type="dxa"/>
          </w:tcPr>
          <w:p w14:paraId="6444CF78"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Motivo o fundamento jurídico para el personal de asignado a los botones de pánico </w:t>
            </w:r>
            <w:r w:rsidRPr="00141DF7">
              <w:rPr>
                <w:rFonts w:ascii="Palatino Linotype" w:eastAsia="Palatino Linotype" w:hAnsi="Palatino Linotype" w:cs="Palatino Linotype"/>
                <w:b/>
                <w:sz w:val="20"/>
                <w:szCs w:val="20"/>
              </w:rPr>
              <w:t>no haya prestado el auxilio oportuno al ciudadano</w:t>
            </w:r>
            <w:r w:rsidRPr="00141DF7">
              <w:rPr>
                <w:rFonts w:ascii="Palatino Linotype" w:eastAsia="Palatino Linotype" w:hAnsi="Palatino Linotype" w:cs="Palatino Linotype"/>
                <w:sz w:val="20"/>
                <w:szCs w:val="20"/>
              </w:rPr>
              <w:t xml:space="preserve"> para </w:t>
            </w:r>
            <w:proofErr w:type="spellStart"/>
            <w:r w:rsidRPr="00141DF7">
              <w:rPr>
                <w:rFonts w:ascii="Palatino Linotype" w:eastAsia="Palatino Linotype" w:hAnsi="Palatino Linotype" w:cs="Palatino Linotype"/>
                <w:sz w:val="20"/>
                <w:szCs w:val="20"/>
              </w:rPr>
              <w:t>llegara</w:t>
            </w:r>
            <w:proofErr w:type="spellEnd"/>
            <w:r w:rsidRPr="00141DF7">
              <w:rPr>
                <w:rFonts w:ascii="Palatino Linotype" w:eastAsia="Palatino Linotype" w:hAnsi="Palatino Linotype" w:cs="Palatino Linotype"/>
                <w:sz w:val="20"/>
                <w:szCs w:val="20"/>
              </w:rPr>
              <w:t xml:space="preserve"> una unidad de Tránsito.</w:t>
            </w:r>
          </w:p>
        </w:tc>
        <w:tc>
          <w:tcPr>
            <w:tcW w:w="1843" w:type="dxa"/>
          </w:tcPr>
          <w:p w14:paraId="3ED80CA1"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No se pronunció al respecto</w:t>
            </w:r>
          </w:p>
        </w:tc>
        <w:tc>
          <w:tcPr>
            <w:tcW w:w="1843" w:type="dxa"/>
          </w:tcPr>
          <w:p w14:paraId="016954C2"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El sujeto obligado omitió esta respuesta en la contestación, por lo que solicito sea entregada la respuesta</w:t>
            </w:r>
          </w:p>
        </w:tc>
        <w:tc>
          <w:tcPr>
            <w:tcW w:w="1984" w:type="dxa"/>
          </w:tcPr>
          <w:p w14:paraId="40E548E7"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El Director de la Agencia de Movilidad refirió que se desconoce de alguna solicitud a través del botón de pánico y quien presta el auxilio.</w:t>
            </w:r>
          </w:p>
        </w:tc>
        <w:tc>
          <w:tcPr>
            <w:tcW w:w="1843" w:type="dxa"/>
          </w:tcPr>
          <w:p w14:paraId="372AA920" w14:textId="77777777" w:rsidR="0003400C" w:rsidRPr="00141DF7" w:rsidRDefault="002D6F4E">
            <w:pPr>
              <w:jc w:val="center"/>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Colmó</w:t>
            </w:r>
          </w:p>
          <w:p w14:paraId="7AA70272" w14:textId="77777777" w:rsidR="0003400C" w:rsidRPr="00141DF7" w:rsidRDefault="0003400C">
            <w:pPr>
              <w:jc w:val="both"/>
              <w:rPr>
                <w:rFonts w:ascii="Palatino Linotype" w:eastAsia="Palatino Linotype" w:hAnsi="Palatino Linotype" w:cs="Palatino Linotype"/>
                <w:sz w:val="20"/>
                <w:szCs w:val="20"/>
              </w:rPr>
            </w:pPr>
          </w:p>
          <w:p w14:paraId="7415B6BD"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Se trata de una consulta y no se advierte que exista algún motivo o fundamento respecto de la situación en particular referida por el recurrente</w:t>
            </w:r>
          </w:p>
        </w:tc>
      </w:tr>
      <w:tr w:rsidR="00CA386F" w:rsidRPr="00141DF7" w14:paraId="1885F7CE" w14:textId="77777777">
        <w:tc>
          <w:tcPr>
            <w:tcW w:w="436" w:type="dxa"/>
            <w:shd w:val="clear" w:color="auto" w:fill="D9D9D9"/>
          </w:tcPr>
          <w:p w14:paraId="0ECFC22D" w14:textId="77777777" w:rsidR="0003400C" w:rsidRPr="00141DF7" w:rsidRDefault="002D6F4E">
            <w:pPr>
              <w:jc w:val="both"/>
              <w:rPr>
                <w:rFonts w:ascii="Palatino Linotype" w:eastAsia="Palatino Linotype" w:hAnsi="Palatino Linotype" w:cs="Palatino Linotype"/>
                <w:b/>
                <w:sz w:val="20"/>
                <w:szCs w:val="20"/>
              </w:rPr>
            </w:pPr>
            <w:r w:rsidRPr="00141DF7">
              <w:rPr>
                <w:rFonts w:ascii="Palatino Linotype" w:eastAsia="Palatino Linotype" w:hAnsi="Palatino Linotype" w:cs="Palatino Linotype"/>
                <w:b/>
                <w:sz w:val="20"/>
                <w:szCs w:val="20"/>
              </w:rPr>
              <w:t>8</w:t>
            </w:r>
          </w:p>
        </w:tc>
        <w:tc>
          <w:tcPr>
            <w:tcW w:w="1827" w:type="dxa"/>
          </w:tcPr>
          <w:p w14:paraId="53590021"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Motivo o fundamento jurídico para el personal de </w:t>
            </w:r>
            <w:r w:rsidRPr="00141DF7">
              <w:rPr>
                <w:rFonts w:ascii="Palatino Linotype" w:eastAsia="Palatino Linotype" w:hAnsi="Palatino Linotype" w:cs="Palatino Linotype"/>
                <w:sz w:val="20"/>
                <w:szCs w:val="20"/>
              </w:rPr>
              <w:lastRenderedPageBreak/>
              <w:t xml:space="preserve">Tránsito asignado para el envío de una unidad de Tránsito </w:t>
            </w:r>
            <w:r w:rsidRPr="00141DF7">
              <w:rPr>
                <w:rFonts w:ascii="Palatino Linotype" w:eastAsia="Palatino Linotype" w:hAnsi="Palatino Linotype" w:cs="Palatino Linotype"/>
                <w:b/>
                <w:sz w:val="20"/>
                <w:szCs w:val="20"/>
              </w:rPr>
              <w:t>no haya enviado el auxilio solicitado</w:t>
            </w:r>
          </w:p>
        </w:tc>
        <w:tc>
          <w:tcPr>
            <w:tcW w:w="1843" w:type="dxa"/>
          </w:tcPr>
          <w:p w14:paraId="1866D9EF"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 xml:space="preserve">No se pronunció al respecto </w:t>
            </w:r>
          </w:p>
        </w:tc>
        <w:tc>
          <w:tcPr>
            <w:tcW w:w="1843" w:type="dxa"/>
          </w:tcPr>
          <w:p w14:paraId="3CC37553"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El sujeto obligado omitió esta respuesta en la contestación, por </w:t>
            </w:r>
            <w:r w:rsidRPr="00141DF7">
              <w:rPr>
                <w:rFonts w:ascii="Palatino Linotype" w:eastAsia="Palatino Linotype" w:hAnsi="Palatino Linotype" w:cs="Palatino Linotype"/>
                <w:sz w:val="20"/>
                <w:szCs w:val="20"/>
              </w:rPr>
              <w:lastRenderedPageBreak/>
              <w:t>lo que solicito sea entregada la respuesta</w:t>
            </w:r>
          </w:p>
        </w:tc>
        <w:tc>
          <w:tcPr>
            <w:tcW w:w="1984" w:type="dxa"/>
          </w:tcPr>
          <w:p w14:paraId="3178C047"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 xml:space="preserve">El Director de la Agencia de Movilidad refirió que desconoce si </w:t>
            </w:r>
            <w:r w:rsidRPr="00141DF7">
              <w:rPr>
                <w:rFonts w:ascii="Palatino Linotype" w:eastAsia="Palatino Linotype" w:hAnsi="Palatino Linotype" w:cs="Palatino Linotype"/>
                <w:sz w:val="20"/>
                <w:szCs w:val="20"/>
              </w:rPr>
              <w:lastRenderedPageBreak/>
              <w:t>existió una solicitud de apoyo por parte de elementos de tránsito y sí acudieron a este o no.</w:t>
            </w:r>
          </w:p>
        </w:tc>
        <w:tc>
          <w:tcPr>
            <w:tcW w:w="1843" w:type="dxa"/>
          </w:tcPr>
          <w:p w14:paraId="00753671" w14:textId="77777777" w:rsidR="0003400C" w:rsidRPr="00141DF7" w:rsidRDefault="002D6F4E">
            <w:pPr>
              <w:jc w:val="center"/>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lastRenderedPageBreak/>
              <w:t>Colmó</w:t>
            </w:r>
          </w:p>
          <w:p w14:paraId="2BB64DF1" w14:textId="77777777" w:rsidR="0003400C" w:rsidRPr="00141DF7" w:rsidRDefault="0003400C">
            <w:pPr>
              <w:jc w:val="both"/>
              <w:rPr>
                <w:rFonts w:ascii="Palatino Linotype" w:eastAsia="Palatino Linotype" w:hAnsi="Palatino Linotype" w:cs="Palatino Linotype"/>
                <w:sz w:val="20"/>
                <w:szCs w:val="20"/>
              </w:rPr>
            </w:pPr>
          </w:p>
          <w:p w14:paraId="0BD8D592" w14:textId="77777777" w:rsidR="0003400C" w:rsidRPr="00141DF7" w:rsidRDefault="002D6F4E">
            <w:pPr>
              <w:jc w:val="both"/>
              <w:rPr>
                <w:rFonts w:ascii="Palatino Linotype" w:eastAsia="Palatino Linotype" w:hAnsi="Palatino Linotype" w:cs="Palatino Linotype"/>
                <w:sz w:val="20"/>
                <w:szCs w:val="20"/>
              </w:rPr>
            </w:pPr>
            <w:r w:rsidRPr="00141DF7">
              <w:rPr>
                <w:rFonts w:ascii="Palatino Linotype" w:eastAsia="Palatino Linotype" w:hAnsi="Palatino Linotype" w:cs="Palatino Linotype"/>
                <w:sz w:val="20"/>
                <w:szCs w:val="20"/>
              </w:rPr>
              <w:t xml:space="preserve">Se trata de una consulta y no se </w:t>
            </w:r>
            <w:r w:rsidRPr="00141DF7">
              <w:rPr>
                <w:rFonts w:ascii="Palatino Linotype" w:eastAsia="Palatino Linotype" w:hAnsi="Palatino Linotype" w:cs="Palatino Linotype"/>
                <w:sz w:val="20"/>
                <w:szCs w:val="20"/>
              </w:rPr>
              <w:lastRenderedPageBreak/>
              <w:t>advierte que exista algún motivo o fundamento respecto de la situación en particular referida por el recurrente</w:t>
            </w:r>
          </w:p>
        </w:tc>
      </w:tr>
    </w:tbl>
    <w:p w14:paraId="668046AE"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6224632E"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Ahora bien, en principio, es de señalar que, los videos a los que hace referencia la parte Recurrente corresponden a una videograbación hecha por un particular, relacionada con el retiro de un puesto de periódicos, donde personal de la Agencia de Movilidad y Verificación Administrativa llevó a cabo dicha diligencia. </w:t>
      </w:r>
    </w:p>
    <w:p w14:paraId="28FDB554"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 </w:t>
      </w:r>
    </w:p>
    <w:p w14:paraId="28221449"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Señalado lo anterior, en lo que respecta a los puntos 1), 2), 3), 6), 7) y 8), se advierte que la parte Recurrente solicitó información respecto de una situación en particular. </w:t>
      </w:r>
    </w:p>
    <w:p w14:paraId="3E70F3E9"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0E49FEC0"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Por lo que, es conveniente referir que, de la búsqueda realizada en la normatividad que regula al Sujeto Obligado, no se advierte que se encuentre dentro de sus atribuciones el generar documentos relacionados con fundamentos o motivos para un retiro de puesto de publicaciones periódicas – referido en los vídeos- con apoyo de una grúa sin placas, sin permiso de circulación o cromática, así como, tampoco se advierte la obligación de generar un documento en el que se señale el fundamento administrativo para que circule una grúa sin placas o los motivos por los cuales el personal de tránsito omitió el auxilio para validad si la grúa mencionada en el video era apta para circular o para negarse a prestar auxilio al ciudadano del video.</w:t>
      </w:r>
    </w:p>
    <w:p w14:paraId="47BEBBB4"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7B33CBD1"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No obstante, si bien es cierto </w:t>
      </w:r>
      <w:r w:rsidRPr="00141DF7">
        <w:rPr>
          <w:rFonts w:ascii="Palatino Linotype" w:eastAsia="Palatino Linotype" w:hAnsi="Palatino Linotype" w:cs="Palatino Linotype"/>
          <w:b/>
          <w:sz w:val="22"/>
          <w:szCs w:val="22"/>
        </w:rPr>
        <w:t>no se encontró fuente obligacional para que el Ayuntamiento de Tecámac genere, posea o administra documentos que den respuesta a una situación particular referida por el particular</w:t>
      </w:r>
      <w:r w:rsidRPr="00141DF7">
        <w:rPr>
          <w:rFonts w:ascii="Palatino Linotype" w:eastAsia="Palatino Linotype" w:hAnsi="Palatino Linotype" w:cs="Palatino Linotype"/>
          <w:sz w:val="22"/>
          <w:szCs w:val="22"/>
        </w:rPr>
        <w:t xml:space="preserve">, en un ejercicio de máxima publicidad, el Sujeto Obligado dio atención a cada uno de los requerimientos planteados por la parte Recurrente. </w:t>
      </w:r>
    </w:p>
    <w:p w14:paraId="0D1F128E"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7C178E59"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Por lo que, se colige que, se tienen por </w:t>
      </w:r>
      <w:r w:rsidRPr="00141DF7">
        <w:rPr>
          <w:rFonts w:ascii="Palatino Linotype" w:eastAsia="Palatino Linotype" w:hAnsi="Palatino Linotype" w:cs="Palatino Linotype"/>
          <w:b/>
          <w:sz w:val="22"/>
          <w:szCs w:val="22"/>
        </w:rPr>
        <w:t>colmados</w:t>
      </w:r>
      <w:r w:rsidRPr="00141DF7">
        <w:rPr>
          <w:rFonts w:ascii="Palatino Linotype" w:eastAsia="Palatino Linotype" w:hAnsi="Palatino Linotype" w:cs="Palatino Linotype"/>
          <w:sz w:val="22"/>
          <w:szCs w:val="22"/>
        </w:rPr>
        <w:t xml:space="preserve"> dichos puntos de la solicitud de información.  </w:t>
      </w:r>
    </w:p>
    <w:p w14:paraId="2EBCF873"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22942108"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En lo que corresponde al punto 4) de la solicitud de información, relacionado con el documento legal que avale el derecho de audiencia para el titular o dueño del puesto referido en los videos, en los términos que establecen las leyes para este caso, antes del retiro del puesto de publicaciones periódicas.</w:t>
      </w:r>
    </w:p>
    <w:p w14:paraId="27C3EDCC"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2286864D"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En respuesta, El Director de la Agencia de Movilidad refirió que se anexa documento legal que avala derecho de Garantía de Audiencia, como lo establece el Artículo 129 del Código de Procedimientos Administrativos del Estado de México, que a la letra dice:</w:t>
      </w:r>
    </w:p>
    <w:p w14:paraId="1DDAEDA0"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72DAC8B2" w14:textId="77777777" w:rsidR="0003400C" w:rsidRPr="00141DF7" w:rsidRDefault="002D6F4E">
      <w:pPr>
        <w:spacing w:line="276" w:lineRule="auto"/>
        <w:ind w:left="567" w:right="4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Artículo 129.- Tratándose de la aplicación de sanciones y de la emisión de otros actos administrativos que priven a los particulares de la libertad, propiedades, posesiones o derechos, </w:t>
      </w:r>
      <w:r w:rsidRPr="00141DF7">
        <w:rPr>
          <w:rFonts w:ascii="Palatino Linotype" w:eastAsia="Palatino Linotype" w:hAnsi="Palatino Linotype" w:cs="Palatino Linotype"/>
          <w:b/>
          <w:i/>
          <w:sz w:val="22"/>
          <w:szCs w:val="22"/>
          <w:u w:val="single"/>
        </w:rPr>
        <w:t>se otorgará previamente a los mismos la garantía de audiencia</w:t>
      </w:r>
      <w:r w:rsidRPr="00141DF7">
        <w:rPr>
          <w:rFonts w:ascii="Palatino Linotype" w:eastAsia="Palatino Linotype" w:hAnsi="Palatino Linotype" w:cs="Palatino Linotype"/>
          <w:i/>
          <w:sz w:val="22"/>
          <w:szCs w:val="22"/>
        </w:rPr>
        <w:t>..."</w:t>
      </w:r>
    </w:p>
    <w:p w14:paraId="4E524FFF"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46D3C2E0"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Asimismo, remitió un documento relativo a un citatorio a audiencia.</w:t>
      </w:r>
    </w:p>
    <w:p w14:paraId="44E7F207"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113CCA8A" w14:textId="77777777" w:rsidR="0003400C" w:rsidRPr="00141DF7" w:rsidRDefault="002D6F4E">
      <w:pPr>
        <w:spacing w:line="360" w:lineRule="auto"/>
        <w:ind w:right="4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sz w:val="22"/>
          <w:szCs w:val="22"/>
        </w:rPr>
        <w:t xml:space="preserve">No obstante, la parte Recurrente, se inconformó respecto a este punto arguyendo que, </w:t>
      </w:r>
      <w:r w:rsidRPr="00141DF7">
        <w:rPr>
          <w:rFonts w:ascii="Palatino Linotype" w:eastAsia="Palatino Linotype" w:hAnsi="Palatino Linotype" w:cs="Palatino Linotype"/>
          <w:i/>
          <w:sz w:val="22"/>
          <w:szCs w:val="22"/>
        </w:rPr>
        <w:t>no anexa en versión pública la credencial de elector o medio de identificación oficial para este caso en concreto de quién aparece como testigo en el día de la Audiencia referida.</w:t>
      </w:r>
    </w:p>
    <w:p w14:paraId="6432DB5C" w14:textId="77777777" w:rsidR="0003400C" w:rsidRPr="00141DF7" w:rsidRDefault="0003400C">
      <w:pPr>
        <w:spacing w:line="360" w:lineRule="auto"/>
        <w:ind w:right="49"/>
        <w:jc w:val="both"/>
        <w:rPr>
          <w:rFonts w:ascii="Palatino Linotype" w:eastAsia="Palatino Linotype" w:hAnsi="Palatino Linotype" w:cs="Palatino Linotype"/>
          <w:i/>
          <w:sz w:val="22"/>
          <w:szCs w:val="22"/>
        </w:rPr>
      </w:pPr>
    </w:p>
    <w:p w14:paraId="0E16405A"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En ese sentido, es de mencionar que, el particular solicitó puntualmente el documento legal que avale el derecho de audiencia para el titular del puesto referido en los videos, por lo que, el Sujeto Obligado hizo entrega de la información solicitada, ya que este documento refiere el derecho que tuvo el particular para asistir a la audiencia al tratarse de una citación, en apego a lo establecido en el artículo 129 del Código de Procedimientos Administrativos del Estado de México.</w:t>
      </w:r>
    </w:p>
    <w:p w14:paraId="06AF6DB4"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13103DED"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Por cuanto hace a la inconformidad, no resultan procedentes debido a que, la parte Recurrente no solicitó la credencial de elector o algún medio de identificación oficial de quien aparece como testigo en la audiencia referida, por lo que, además de tratarse de una ampliación a su solicitud inicial, la credencial de elector es información de carácter confidencial en términos de la fracción </w:t>
      </w:r>
      <w:r w:rsidRPr="00141DF7">
        <w:rPr>
          <w:rFonts w:ascii="Palatino Linotype" w:eastAsia="Palatino Linotype" w:hAnsi="Palatino Linotype" w:cs="Palatino Linotype"/>
          <w:sz w:val="22"/>
          <w:szCs w:val="22"/>
        </w:rPr>
        <w:lastRenderedPageBreak/>
        <w:t xml:space="preserve">I del artículo 143 de la Ley de Transparencia y Acceso a la Información Pública del Estado de México y Municipios. </w:t>
      </w:r>
    </w:p>
    <w:p w14:paraId="71247507"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1EAA75C5"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Asimismo, cabe señalar que, las firmas y nombres de los testigos de asistencia que obran en la constancia de audiencia, si bien, son de servidores públicos; también lo es que únicamente la información que se relacione con el ejercicio de sus funciones y atribuciones es de naturaleza pública, no aquella que se relacione con su vida privada. </w:t>
      </w:r>
    </w:p>
    <w:p w14:paraId="0C74D385"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78E35DB2" w14:textId="77777777" w:rsidR="0003400C" w:rsidRPr="00141DF7" w:rsidRDefault="002D6F4E">
      <w:pPr>
        <w:spacing w:line="360" w:lineRule="auto"/>
        <w:ind w:right="49"/>
        <w:jc w:val="both"/>
        <w:rPr>
          <w:rFonts w:ascii="Palatino Linotype" w:eastAsia="Palatino Linotype" w:hAnsi="Palatino Linotype" w:cs="Palatino Linotype"/>
          <w:b/>
          <w:sz w:val="22"/>
          <w:szCs w:val="22"/>
        </w:rPr>
      </w:pPr>
      <w:r w:rsidRPr="00141DF7">
        <w:rPr>
          <w:rFonts w:ascii="Palatino Linotype" w:eastAsia="Palatino Linotype" w:hAnsi="Palatino Linotype" w:cs="Palatino Linotype"/>
          <w:sz w:val="22"/>
          <w:szCs w:val="22"/>
        </w:rPr>
        <w:t xml:space="preserve">Por lo anterior, se determina que este punto se tiene por </w:t>
      </w:r>
      <w:r w:rsidRPr="00141DF7">
        <w:rPr>
          <w:rFonts w:ascii="Palatino Linotype" w:eastAsia="Palatino Linotype" w:hAnsi="Palatino Linotype" w:cs="Palatino Linotype"/>
          <w:b/>
          <w:sz w:val="22"/>
          <w:szCs w:val="22"/>
        </w:rPr>
        <w:t xml:space="preserve">colmado. </w:t>
      </w:r>
    </w:p>
    <w:p w14:paraId="458E6156"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0238FAD6"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En lo que respecta al punto 5) de la solicitud de información relacionado con el</w:t>
      </w:r>
      <w:r w:rsidRPr="00141DF7">
        <w:rPr>
          <w:rFonts w:ascii="Palatino Linotype" w:eastAsia="Palatino Linotype" w:hAnsi="Palatino Linotype" w:cs="Palatino Linotype"/>
          <w:b/>
          <w:sz w:val="22"/>
          <w:szCs w:val="22"/>
          <w:u w:val="single"/>
        </w:rPr>
        <w:t xml:space="preserve"> listado de grúas concesionadas</w:t>
      </w:r>
      <w:r w:rsidRPr="00141DF7">
        <w:rPr>
          <w:rFonts w:ascii="Palatino Linotype" w:eastAsia="Palatino Linotype" w:hAnsi="Palatino Linotype" w:cs="Palatino Linotype"/>
          <w:b/>
          <w:sz w:val="22"/>
          <w:szCs w:val="22"/>
        </w:rPr>
        <w:t xml:space="preserve"> </w:t>
      </w:r>
      <w:r w:rsidRPr="00141DF7">
        <w:rPr>
          <w:rFonts w:ascii="Palatino Linotype" w:eastAsia="Palatino Linotype" w:hAnsi="Palatino Linotype" w:cs="Palatino Linotype"/>
          <w:sz w:val="22"/>
          <w:szCs w:val="22"/>
        </w:rPr>
        <w:t xml:space="preserve">para el apoyo en todas las áreas de su competencia, el Director de la Agencia de Movilidad refirió que solicita de manera formal a la Dirección General de Obras Pública realice el retiro de los bienes mostrencos, instalaciones o enseres que se encuentren en la vía. </w:t>
      </w:r>
    </w:p>
    <w:p w14:paraId="5EFB8802"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729D8B45"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No obstante, la parte Recurrente se inconformó arguyendo que la respuesta no correspondía con lo solicitado. </w:t>
      </w:r>
    </w:p>
    <w:p w14:paraId="20F4BF0B"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6851CEE7"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En atención a ello, mediante informe justificado el Director de la Agencia de Movilidad refirió que no cuentan con un listado de grúas ya que la Agencia de Movilidad y Verificación Administrativa cuenta con  un listado de grúas ya que la Agencia de Movilidad y Verificación Administrativa no cuenta con grúas propias para el retiro de bienes mostrencos o cualquier elemento de la vía pública. </w:t>
      </w:r>
    </w:p>
    <w:p w14:paraId="257B5FD1"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09179DFC"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Ahora bien, en lo que respecta a este punto, es necesario mencionar que, para la atención de las solicitudes de acceso a la información, debe privilegiarse el </w:t>
      </w:r>
      <w:r w:rsidRPr="00141DF7">
        <w:rPr>
          <w:rFonts w:ascii="Palatino Linotype" w:eastAsia="Palatino Linotype" w:hAnsi="Palatino Linotype" w:cs="Palatino Linotype"/>
          <w:b/>
          <w:sz w:val="22"/>
          <w:szCs w:val="22"/>
        </w:rPr>
        <w:t>principio de máxima publicidad</w:t>
      </w:r>
      <w:r w:rsidRPr="00141DF7">
        <w:rPr>
          <w:rFonts w:ascii="Palatino Linotype" w:eastAsia="Palatino Linotype" w:hAnsi="Palatino Linotype" w:cs="Palatino Linotype"/>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A1483D7"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lastRenderedPageBreak/>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012D142"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5CF29802" w14:textId="77777777" w:rsidR="0003400C" w:rsidRPr="00141DF7" w:rsidRDefault="002D6F4E">
      <w:pPr>
        <w:numPr>
          <w:ilvl w:val="0"/>
          <w:numId w:val="2"/>
        </w:num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1BE660F" w14:textId="77777777" w:rsidR="0003400C" w:rsidRPr="00141DF7" w:rsidRDefault="002D6F4E">
      <w:pPr>
        <w:numPr>
          <w:ilvl w:val="0"/>
          <w:numId w:val="2"/>
        </w:num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05E256A" w14:textId="77777777" w:rsidR="0003400C" w:rsidRPr="00141DF7" w:rsidRDefault="002D6F4E">
      <w:pPr>
        <w:numPr>
          <w:ilvl w:val="0"/>
          <w:numId w:val="2"/>
        </w:num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141DF7">
        <w:rPr>
          <w:rFonts w:ascii="Palatino Linotype" w:eastAsia="Palatino Linotype" w:hAnsi="Palatino Linotype" w:cs="Palatino Linotype"/>
          <w:b/>
          <w:sz w:val="22"/>
          <w:szCs w:val="22"/>
        </w:rPr>
        <w:t>quince días, contados a partir del día siguiente a la presentación de ésta.</w:t>
      </w:r>
      <w:r w:rsidRPr="00141DF7">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16CE36CA" w14:textId="77777777" w:rsidR="0003400C" w:rsidRPr="00141DF7" w:rsidRDefault="002D6F4E">
      <w:pPr>
        <w:numPr>
          <w:ilvl w:val="0"/>
          <w:numId w:val="2"/>
        </w:numPr>
        <w:spacing w:line="360" w:lineRule="auto"/>
        <w:jc w:val="both"/>
        <w:rPr>
          <w:rFonts w:ascii="Palatino Linotype" w:eastAsia="Palatino Linotype" w:hAnsi="Palatino Linotype" w:cs="Palatino Linotype"/>
          <w:b/>
          <w:sz w:val="22"/>
          <w:szCs w:val="22"/>
          <w:u w:val="single"/>
        </w:rPr>
      </w:pPr>
      <w:r w:rsidRPr="00141DF7">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018B0B7" w14:textId="77777777" w:rsidR="0003400C" w:rsidRPr="00141DF7" w:rsidRDefault="002D6F4E">
      <w:pPr>
        <w:numPr>
          <w:ilvl w:val="0"/>
          <w:numId w:val="2"/>
        </w:numPr>
        <w:spacing w:line="360" w:lineRule="auto"/>
        <w:jc w:val="both"/>
        <w:rPr>
          <w:rFonts w:ascii="Palatino Linotype" w:eastAsia="Palatino Linotype" w:hAnsi="Palatino Linotype" w:cs="Palatino Linotype"/>
          <w:b/>
          <w:sz w:val="22"/>
          <w:szCs w:val="22"/>
        </w:rPr>
      </w:pPr>
      <w:r w:rsidRPr="00141DF7">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E3FFAFA" w14:textId="77777777" w:rsidR="0003400C" w:rsidRPr="00141DF7" w:rsidRDefault="002D6F4E">
      <w:pPr>
        <w:numPr>
          <w:ilvl w:val="0"/>
          <w:numId w:val="2"/>
        </w:numPr>
        <w:spacing w:line="360" w:lineRule="auto"/>
        <w:jc w:val="both"/>
        <w:rPr>
          <w:rFonts w:ascii="Palatino Linotype" w:eastAsia="Palatino Linotype" w:hAnsi="Palatino Linotype" w:cs="Palatino Linotype"/>
          <w:b/>
          <w:sz w:val="22"/>
          <w:szCs w:val="22"/>
        </w:rPr>
      </w:pPr>
      <w:r w:rsidRPr="00141DF7">
        <w:rPr>
          <w:rFonts w:ascii="Palatino Linotype" w:eastAsia="Palatino Linotype" w:hAnsi="Palatino Linotype" w:cs="Palatino Linotype"/>
          <w:sz w:val="22"/>
          <w:szCs w:val="22"/>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78C1FE4" w14:textId="77777777" w:rsidR="0003400C" w:rsidRPr="00141DF7" w:rsidRDefault="0003400C">
      <w:pPr>
        <w:spacing w:line="360" w:lineRule="auto"/>
        <w:rPr>
          <w:rFonts w:ascii="Palatino Linotype" w:eastAsia="Palatino Linotype" w:hAnsi="Palatino Linotype" w:cs="Palatino Linotype"/>
          <w:sz w:val="22"/>
          <w:szCs w:val="22"/>
        </w:rPr>
      </w:pPr>
    </w:p>
    <w:p w14:paraId="25B0317E"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De tal manera que, la Unidad de Transparencia debió de haber seguido un determinado procedimiento para atender la solicitud que ahora nos ocupa, entre este, </w:t>
      </w:r>
      <w:r w:rsidRPr="00141DF7">
        <w:rPr>
          <w:rFonts w:ascii="Palatino Linotype" w:eastAsia="Palatino Linotype" w:hAnsi="Palatino Linotype" w:cs="Palatino Linotype"/>
          <w:b/>
          <w:sz w:val="22"/>
          <w:szCs w:val="22"/>
          <w:u w:val="single"/>
        </w:rPr>
        <w:t>haber turnado la solicitud de información a todas las áreas competentes que pueden contar con la información o deban tenerla de acuerdo con sus facultades, funciones y atribuciones, para que realicen una búsqueda exhaustiva y razonable de la documentación solicitada</w:t>
      </w:r>
      <w:r w:rsidRPr="00141DF7">
        <w:rPr>
          <w:rFonts w:ascii="Palatino Linotype" w:eastAsia="Palatino Linotype" w:hAnsi="Palatino Linotype" w:cs="Palatino Linotype"/>
          <w:sz w:val="22"/>
          <w:szCs w:val="22"/>
        </w:rPr>
        <w:t xml:space="preserve">, como lo es, de manera enunciativa más no limitativa, la Tesorería Municipal, la cual de conformidad con lo que establece el artículo 42 del Bando Municipal de Tecámac tendrá a su cargo las siguientes áreas administrativas: </w:t>
      </w:r>
    </w:p>
    <w:p w14:paraId="73676312"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6050A17F"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Artículo 42. La Tesorería Municipal es la encargada de auxiliar a la Presidencia Municipal en la adecuada recaudación y administración de la hacienda pública, encuentra sustento legal en lo previsto por los artículos 93, 94, 95 y 96 de la Ley Orgánica, su titular será denominado “Tesorera o Tesorero Municipal”, y tendrá a su cargo las siguientes áreas administrativas: </w:t>
      </w:r>
    </w:p>
    <w:p w14:paraId="10507E00"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I. </w:t>
      </w:r>
      <w:proofErr w:type="spellStart"/>
      <w:r w:rsidRPr="00141DF7">
        <w:rPr>
          <w:rFonts w:ascii="Palatino Linotype" w:eastAsia="Palatino Linotype" w:hAnsi="Palatino Linotype" w:cs="Palatino Linotype"/>
          <w:i/>
          <w:sz w:val="22"/>
          <w:szCs w:val="22"/>
        </w:rPr>
        <w:t>Subtesorería</w:t>
      </w:r>
      <w:proofErr w:type="spellEnd"/>
      <w:r w:rsidRPr="00141DF7">
        <w:rPr>
          <w:rFonts w:ascii="Palatino Linotype" w:eastAsia="Palatino Linotype" w:hAnsi="Palatino Linotype" w:cs="Palatino Linotype"/>
          <w:i/>
          <w:sz w:val="22"/>
          <w:szCs w:val="22"/>
        </w:rPr>
        <w:t xml:space="preserve"> de Ingresos </w:t>
      </w:r>
    </w:p>
    <w:p w14:paraId="7AFE78F3"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a. Departamento Notificación y Ejecución Fiscal </w:t>
      </w:r>
    </w:p>
    <w:p w14:paraId="0F72EFE7"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b. Departamento de Recaudación </w:t>
      </w:r>
    </w:p>
    <w:p w14:paraId="476A1A81"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c. Departamento de Programas Federales y Locales </w:t>
      </w:r>
    </w:p>
    <w:p w14:paraId="4C87996F" w14:textId="77777777" w:rsidR="0003400C" w:rsidRPr="00141DF7" w:rsidRDefault="0003400C">
      <w:pPr>
        <w:spacing w:line="276" w:lineRule="auto"/>
        <w:ind w:left="567" w:right="579"/>
        <w:jc w:val="both"/>
        <w:rPr>
          <w:rFonts w:ascii="Palatino Linotype" w:eastAsia="Palatino Linotype" w:hAnsi="Palatino Linotype" w:cs="Palatino Linotype"/>
          <w:i/>
          <w:sz w:val="22"/>
          <w:szCs w:val="22"/>
        </w:rPr>
      </w:pPr>
    </w:p>
    <w:p w14:paraId="0916179C"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II. </w:t>
      </w:r>
      <w:proofErr w:type="spellStart"/>
      <w:r w:rsidRPr="00141DF7">
        <w:rPr>
          <w:rFonts w:ascii="Palatino Linotype" w:eastAsia="Palatino Linotype" w:hAnsi="Palatino Linotype" w:cs="Palatino Linotype"/>
          <w:i/>
          <w:sz w:val="22"/>
          <w:szCs w:val="22"/>
        </w:rPr>
        <w:t>Subtesorería</w:t>
      </w:r>
      <w:proofErr w:type="spellEnd"/>
      <w:r w:rsidRPr="00141DF7">
        <w:rPr>
          <w:rFonts w:ascii="Palatino Linotype" w:eastAsia="Palatino Linotype" w:hAnsi="Palatino Linotype" w:cs="Palatino Linotype"/>
          <w:i/>
          <w:sz w:val="22"/>
          <w:szCs w:val="22"/>
        </w:rPr>
        <w:t xml:space="preserve"> de Egresos</w:t>
      </w:r>
    </w:p>
    <w:p w14:paraId="2F947ECF"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proofErr w:type="spellStart"/>
      <w:r w:rsidRPr="00141DF7">
        <w:rPr>
          <w:rFonts w:ascii="Palatino Linotype" w:eastAsia="Palatino Linotype" w:hAnsi="Palatino Linotype" w:cs="Palatino Linotype"/>
          <w:i/>
          <w:sz w:val="22"/>
          <w:szCs w:val="22"/>
        </w:rPr>
        <w:t>a.Dirección</w:t>
      </w:r>
      <w:proofErr w:type="spellEnd"/>
      <w:r w:rsidRPr="00141DF7">
        <w:rPr>
          <w:rFonts w:ascii="Palatino Linotype" w:eastAsia="Palatino Linotype" w:hAnsi="Palatino Linotype" w:cs="Palatino Linotype"/>
          <w:i/>
          <w:sz w:val="22"/>
          <w:szCs w:val="22"/>
        </w:rPr>
        <w:t xml:space="preserve"> de Administración </w:t>
      </w:r>
    </w:p>
    <w:p w14:paraId="6ED19B72"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1. Subdirección de Recursos Materiales </w:t>
      </w:r>
    </w:p>
    <w:p w14:paraId="7A4552DB" w14:textId="77777777" w:rsidR="0003400C" w:rsidRPr="00141DF7" w:rsidRDefault="002D6F4E">
      <w:pPr>
        <w:spacing w:line="276" w:lineRule="auto"/>
        <w:ind w:left="567" w:right="579"/>
        <w:jc w:val="both"/>
        <w:rPr>
          <w:rFonts w:ascii="Palatino Linotype" w:eastAsia="Palatino Linotype" w:hAnsi="Palatino Linotype" w:cs="Palatino Linotype"/>
          <w:b/>
          <w:i/>
          <w:sz w:val="22"/>
          <w:szCs w:val="22"/>
          <w:u w:val="single"/>
        </w:rPr>
      </w:pPr>
      <w:r w:rsidRPr="00141DF7">
        <w:rPr>
          <w:rFonts w:ascii="Palatino Linotype" w:eastAsia="Palatino Linotype" w:hAnsi="Palatino Linotype" w:cs="Palatino Linotype"/>
          <w:b/>
          <w:i/>
          <w:sz w:val="22"/>
          <w:szCs w:val="22"/>
          <w:u w:val="single"/>
        </w:rPr>
        <w:t xml:space="preserve">a. Departamento de Mantenimiento y Abastecimiento Vehicular </w:t>
      </w:r>
    </w:p>
    <w:p w14:paraId="508891DF"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b. Departamento de Mantenimiento de Instalaciones Oficiales </w:t>
      </w:r>
    </w:p>
    <w:p w14:paraId="2250EAA9"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c. Departamento de Almacén Municipal </w:t>
      </w:r>
    </w:p>
    <w:p w14:paraId="15471649"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2. Subdirección de Recursos Humanos</w:t>
      </w:r>
    </w:p>
    <w:p w14:paraId="632EAD88"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 III. Coordinación de Caja General y Cuenta Pública </w:t>
      </w:r>
    </w:p>
    <w:p w14:paraId="10C43165" w14:textId="77777777" w:rsidR="0003400C" w:rsidRPr="00141DF7" w:rsidRDefault="002D6F4E">
      <w:pPr>
        <w:spacing w:line="276" w:lineRule="auto"/>
        <w:ind w:left="567" w:right="579"/>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lastRenderedPageBreak/>
        <w:t xml:space="preserve">a. Unidad de Información, Planeación, Presupuestación y Evaluación (UIPPE) </w:t>
      </w:r>
    </w:p>
    <w:p w14:paraId="51A7B440" w14:textId="77777777" w:rsidR="0003400C" w:rsidRPr="00141DF7" w:rsidRDefault="002D6F4E">
      <w:pPr>
        <w:spacing w:line="276" w:lineRule="auto"/>
        <w:ind w:left="567" w:right="579"/>
        <w:jc w:val="both"/>
        <w:rPr>
          <w:rFonts w:ascii="Palatino Linotype" w:eastAsia="Palatino Linotype" w:hAnsi="Palatino Linotype" w:cs="Palatino Linotype"/>
          <w:i/>
          <w:sz w:val="20"/>
          <w:szCs w:val="20"/>
        </w:rPr>
      </w:pPr>
      <w:r w:rsidRPr="00141DF7">
        <w:rPr>
          <w:rFonts w:ascii="Palatino Linotype" w:eastAsia="Palatino Linotype" w:hAnsi="Palatino Linotype" w:cs="Palatino Linotype"/>
          <w:i/>
          <w:sz w:val="22"/>
          <w:szCs w:val="22"/>
        </w:rPr>
        <w:t>IV. Departamento de Gestión Administrativa e Informática.</w:t>
      </w:r>
    </w:p>
    <w:p w14:paraId="29BADCCF" w14:textId="77777777" w:rsidR="0003400C" w:rsidRPr="00141DF7" w:rsidRDefault="0003400C">
      <w:pPr>
        <w:spacing w:line="276" w:lineRule="auto"/>
        <w:ind w:left="567" w:right="579"/>
        <w:jc w:val="both"/>
        <w:rPr>
          <w:rFonts w:ascii="Palatino Linotype" w:eastAsia="Palatino Linotype" w:hAnsi="Palatino Linotype" w:cs="Palatino Linotype"/>
          <w:i/>
          <w:sz w:val="20"/>
          <w:szCs w:val="20"/>
        </w:rPr>
      </w:pPr>
    </w:p>
    <w:p w14:paraId="00B5B7B6" w14:textId="77777777" w:rsidR="0003400C" w:rsidRPr="00141DF7" w:rsidRDefault="002D6F4E">
      <w:pPr>
        <w:spacing w:line="360" w:lineRule="auto"/>
        <w:jc w:val="both"/>
        <w:rPr>
          <w:rFonts w:ascii="Palatino Linotype" w:eastAsia="Palatino Linotype" w:hAnsi="Palatino Linotype" w:cs="Palatino Linotype"/>
          <w:b/>
          <w:sz w:val="22"/>
          <w:szCs w:val="22"/>
        </w:rPr>
      </w:pPr>
      <w:r w:rsidRPr="00141DF7">
        <w:rPr>
          <w:rFonts w:ascii="Palatino Linotype" w:eastAsia="Palatino Linotype" w:hAnsi="Palatino Linotype" w:cs="Palatino Linotype"/>
          <w:sz w:val="22"/>
          <w:szCs w:val="22"/>
        </w:rPr>
        <w:t xml:space="preserve">En ese sentido, es de mencionar que, la parte Recurrente solicitó un listado de grúas concesionadas para el apoyo, </w:t>
      </w:r>
      <w:r w:rsidRPr="00141DF7">
        <w:rPr>
          <w:rFonts w:ascii="Palatino Linotype" w:eastAsia="Palatino Linotype" w:hAnsi="Palatino Linotype" w:cs="Palatino Linotype"/>
          <w:b/>
          <w:sz w:val="22"/>
          <w:szCs w:val="22"/>
        </w:rPr>
        <w:t>en todas las áreas del Sujeto Obligado</w:t>
      </w:r>
      <w:r w:rsidRPr="00141DF7">
        <w:rPr>
          <w:rFonts w:ascii="Palatino Linotype" w:eastAsia="Palatino Linotype" w:hAnsi="Palatino Linotype" w:cs="Palatino Linotype"/>
          <w:sz w:val="22"/>
          <w:szCs w:val="22"/>
        </w:rPr>
        <w:t xml:space="preserve">, por lo que, se considera que además de la unidad administrativa a quien se le turnó la solicitud de información, existen otras áreas que tienen competencia para conocer, administrar o poseer lo requerido y a las cuales </w:t>
      </w:r>
      <w:r w:rsidRPr="00141DF7">
        <w:rPr>
          <w:rFonts w:ascii="Palatino Linotype" w:eastAsia="Palatino Linotype" w:hAnsi="Palatino Linotype" w:cs="Palatino Linotype"/>
          <w:b/>
          <w:sz w:val="22"/>
          <w:szCs w:val="22"/>
        </w:rPr>
        <w:t xml:space="preserve">no se les turnó la solicitud de información. </w:t>
      </w:r>
    </w:p>
    <w:p w14:paraId="565571AB"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26F6A1F0"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Por lo que, se considera que no se agotó el procedimiento de búsqueda exhaustiva y razonable para dar atención a este punto de la solicitud de información, por lo que, este requerimiento </w:t>
      </w:r>
      <w:r w:rsidRPr="00141DF7">
        <w:rPr>
          <w:rFonts w:ascii="Palatino Linotype" w:eastAsia="Palatino Linotype" w:hAnsi="Palatino Linotype" w:cs="Palatino Linotype"/>
          <w:b/>
          <w:sz w:val="22"/>
          <w:szCs w:val="22"/>
        </w:rPr>
        <w:t xml:space="preserve">no se tiene por colmado </w:t>
      </w:r>
      <w:r w:rsidRPr="00141DF7">
        <w:rPr>
          <w:rFonts w:ascii="Palatino Linotype" w:eastAsia="Palatino Linotype" w:hAnsi="Palatino Linotype" w:cs="Palatino Linotype"/>
          <w:sz w:val="22"/>
          <w:szCs w:val="22"/>
        </w:rPr>
        <w:t>y resulta dable ordenar la entrega del listado de grúas concesionadas al cinco de febrero de dos mil veinticinco, siendo que, en el supuesto que la información ordenada no obre en los archivos del Sujeto Obligado, por no contar con un listado de grúas concesionadas, bastará con que así se haga del conocimiento de la parte Recurrente, en términos del artículo 19, párrafo segundo de la Ley de Transparencia y Acceso a la Información Pública del Estado de México y Municipios.</w:t>
      </w:r>
    </w:p>
    <w:p w14:paraId="5EAF39F2" w14:textId="77777777" w:rsidR="0003400C" w:rsidRPr="00141DF7" w:rsidRDefault="0003400C">
      <w:pPr>
        <w:spacing w:line="360" w:lineRule="auto"/>
        <w:jc w:val="both"/>
        <w:rPr>
          <w:rFonts w:ascii="Palatino Linotype" w:eastAsia="Palatino Linotype" w:hAnsi="Palatino Linotype" w:cs="Palatino Linotype"/>
        </w:rPr>
      </w:pPr>
    </w:p>
    <w:p w14:paraId="034ED6E1"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t xml:space="preserve">Quinto. Versión Pública. </w:t>
      </w:r>
      <w:r w:rsidRPr="00141DF7">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029620AD"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54704366"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71D67384"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4B1A94DA" w14:textId="77777777" w:rsidR="0003400C" w:rsidRPr="00141DF7" w:rsidRDefault="002D6F4E">
      <w:pPr>
        <w:spacing w:line="360" w:lineRule="auto"/>
        <w:ind w:right="50"/>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55CD3973"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lastRenderedPageBreak/>
        <w:t>“</w:t>
      </w:r>
      <w:r w:rsidRPr="00141DF7">
        <w:rPr>
          <w:rFonts w:ascii="Palatino Linotype" w:eastAsia="Palatino Linotype" w:hAnsi="Palatino Linotype" w:cs="Palatino Linotype"/>
          <w:b/>
          <w:i/>
          <w:sz w:val="22"/>
          <w:szCs w:val="22"/>
        </w:rPr>
        <w:t>Artículo 3.</w:t>
      </w:r>
      <w:r w:rsidRPr="00141DF7">
        <w:rPr>
          <w:rFonts w:ascii="Palatino Linotype" w:eastAsia="Palatino Linotype" w:hAnsi="Palatino Linotype" w:cs="Palatino Linotype"/>
          <w:i/>
          <w:sz w:val="22"/>
          <w:szCs w:val="22"/>
        </w:rPr>
        <w:t xml:space="preserve"> Para los efectos de la presente Ley se entenderá por:</w:t>
      </w:r>
    </w:p>
    <w:p w14:paraId="3D21CAD7"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w:t>
      </w:r>
    </w:p>
    <w:p w14:paraId="546F80AE"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4A88699"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XX. Información clasificada: Aquella considerada por la presente Ley como reservada o confidencial;</w:t>
      </w:r>
    </w:p>
    <w:p w14:paraId="6040914B"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12D1CC"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750759FF"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w:t>
      </w:r>
    </w:p>
    <w:p w14:paraId="36147224"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b/>
          <w:i/>
          <w:sz w:val="22"/>
          <w:szCs w:val="22"/>
        </w:rPr>
        <w:t>Artículo 91.</w:t>
      </w:r>
      <w:r w:rsidRPr="00141DF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96B9523"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b/>
          <w:i/>
          <w:sz w:val="22"/>
          <w:szCs w:val="22"/>
        </w:rPr>
        <w:t>Artículo 132.</w:t>
      </w:r>
      <w:r w:rsidRPr="00141DF7">
        <w:rPr>
          <w:rFonts w:ascii="Palatino Linotype" w:eastAsia="Palatino Linotype" w:hAnsi="Palatino Linotype" w:cs="Palatino Linotype"/>
          <w:i/>
          <w:sz w:val="22"/>
          <w:szCs w:val="22"/>
        </w:rPr>
        <w:t xml:space="preserve"> La clasificación de la información se llevará a cabo en el momento en que:</w:t>
      </w:r>
    </w:p>
    <w:p w14:paraId="3F45332F" w14:textId="77777777" w:rsidR="0003400C" w:rsidRPr="00141DF7" w:rsidRDefault="002D6F4E">
      <w:pPr>
        <w:tabs>
          <w:tab w:val="left" w:pos="1134"/>
        </w:tabs>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I. Se reciba una solicitud de acceso a la información;</w:t>
      </w:r>
    </w:p>
    <w:p w14:paraId="5CC97940" w14:textId="77777777" w:rsidR="0003400C" w:rsidRPr="00141DF7" w:rsidRDefault="002D6F4E">
      <w:pPr>
        <w:tabs>
          <w:tab w:val="left" w:pos="1134"/>
        </w:tabs>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II. Se determine mediante resolución de autoridad competente; o</w:t>
      </w:r>
    </w:p>
    <w:p w14:paraId="383D6AA9" w14:textId="77777777" w:rsidR="0003400C" w:rsidRPr="00141DF7" w:rsidRDefault="002D6F4E">
      <w:pPr>
        <w:tabs>
          <w:tab w:val="left" w:pos="1134"/>
        </w:tabs>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731AA24"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w:t>
      </w:r>
    </w:p>
    <w:p w14:paraId="3758EB44"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b/>
          <w:i/>
          <w:sz w:val="22"/>
          <w:szCs w:val="22"/>
        </w:rPr>
        <w:t>Artículo 143</w:t>
      </w:r>
      <w:r w:rsidRPr="00141DF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9464E6A"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93B39FC"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02C4D98"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3EA979EA"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6B6DA9B"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FED30F2" w14:textId="77777777" w:rsidR="0003400C" w:rsidRPr="00141DF7" w:rsidRDefault="0003400C">
      <w:pPr>
        <w:ind w:left="567" w:right="616"/>
        <w:jc w:val="both"/>
        <w:rPr>
          <w:rFonts w:ascii="Palatino Linotype" w:eastAsia="Palatino Linotype" w:hAnsi="Palatino Linotype" w:cs="Palatino Linotype"/>
          <w:i/>
          <w:sz w:val="22"/>
          <w:szCs w:val="22"/>
        </w:rPr>
      </w:pPr>
    </w:p>
    <w:p w14:paraId="397B7614"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w:t>
      </w:r>
      <w:r w:rsidRPr="00141DF7">
        <w:rPr>
          <w:rFonts w:ascii="Palatino Linotype" w:eastAsia="Palatino Linotype" w:hAnsi="Palatino Linotype" w:cs="Palatino Linotype"/>
          <w:sz w:val="22"/>
          <w:szCs w:val="22"/>
        </w:rPr>
        <w:lastRenderedPageBreak/>
        <w:t>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06D9FA7" w14:textId="77777777" w:rsidR="0003400C" w:rsidRPr="00141DF7" w:rsidRDefault="0003400C">
      <w:pPr>
        <w:jc w:val="both"/>
        <w:rPr>
          <w:rFonts w:ascii="Palatino Linotype" w:eastAsia="Palatino Linotype" w:hAnsi="Palatino Linotype" w:cs="Palatino Linotype"/>
          <w:sz w:val="22"/>
          <w:szCs w:val="22"/>
        </w:rPr>
      </w:pPr>
    </w:p>
    <w:p w14:paraId="1892A0F6"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4C35C84C"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4651D7A9"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 “</w:t>
      </w:r>
      <w:r w:rsidRPr="00141DF7">
        <w:rPr>
          <w:rFonts w:ascii="Palatino Linotype" w:eastAsia="Palatino Linotype" w:hAnsi="Palatino Linotype" w:cs="Palatino Linotype"/>
          <w:b/>
          <w:i/>
          <w:sz w:val="22"/>
          <w:szCs w:val="22"/>
        </w:rPr>
        <w:t>Quincuagésimo</w:t>
      </w:r>
      <w:r w:rsidRPr="00141DF7">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CCB563F" w14:textId="77777777" w:rsidR="0003400C" w:rsidRPr="00141DF7" w:rsidRDefault="002D6F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b/>
          <w:i/>
          <w:sz w:val="22"/>
          <w:szCs w:val="22"/>
        </w:rPr>
        <w:t>Quincuagésimo primero.</w:t>
      </w:r>
      <w:r w:rsidRPr="00141DF7">
        <w:rPr>
          <w:rFonts w:ascii="Palatino Linotype" w:eastAsia="Palatino Linotype" w:hAnsi="Palatino Linotype" w:cs="Palatino Linotype"/>
          <w:i/>
          <w:sz w:val="22"/>
          <w:szCs w:val="22"/>
        </w:rPr>
        <w:t xml:space="preserve"> Toda acta del Comité de Transparencia deberá contener: </w:t>
      </w:r>
    </w:p>
    <w:p w14:paraId="2FB87F49" w14:textId="77777777" w:rsidR="0003400C" w:rsidRPr="00141DF7" w:rsidRDefault="002D6F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I. El número de sesión y fecha; </w:t>
      </w:r>
    </w:p>
    <w:p w14:paraId="53F7E989" w14:textId="77777777" w:rsidR="0003400C" w:rsidRPr="00141DF7" w:rsidRDefault="002D6F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II. El nombre del área que solicitó la clasificación de información; </w:t>
      </w:r>
    </w:p>
    <w:p w14:paraId="68C71AB0" w14:textId="77777777" w:rsidR="0003400C" w:rsidRPr="00141DF7" w:rsidRDefault="002D6F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III. La fundamentación legal y motivación correspondiente; </w:t>
      </w:r>
    </w:p>
    <w:p w14:paraId="3957BDAF" w14:textId="77777777" w:rsidR="0003400C" w:rsidRPr="00141DF7" w:rsidRDefault="002D6F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IV. La resolución o resoluciones aprobadas; y </w:t>
      </w:r>
    </w:p>
    <w:p w14:paraId="7614C40E" w14:textId="77777777" w:rsidR="0003400C" w:rsidRPr="00141DF7" w:rsidRDefault="002D6F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V. La rúbrica o firma digital de cada integrante del Comité de Transparencia. </w:t>
      </w:r>
    </w:p>
    <w:p w14:paraId="15B232FE" w14:textId="77777777" w:rsidR="0003400C" w:rsidRPr="00141DF7" w:rsidRDefault="002D6F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05AEEF2" w14:textId="77777777" w:rsidR="0003400C" w:rsidRPr="00141DF7" w:rsidRDefault="002D6F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I. Los motivos y razonamientos que sustenten la confirmación o modificación de la prueba de daño;</w:t>
      </w:r>
    </w:p>
    <w:p w14:paraId="6B8DAE5A" w14:textId="77777777" w:rsidR="0003400C" w:rsidRPr="00141DF7" w:rsidRDefault="002D6F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II. Descripción de las partes o secciones reservadas, en caso de clasificación parcial; </w:t>
      </w:r>
    </w:p>
    <w:p w14:paraId="35669706" w14:textId="77777777" w:rsidR="0003400C" w:rsidRPr="00141DF7" w:rsidRDefault="002D6F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III. El periodo por el que mantendrá su clasificación y fecha de expiración; y </w:t>
      </w:r>
    </w:p>
    <w:p w14:paraId="3BBCA369" w14:textId="77777777" w:rsidR="0003400C" w:rsidRPr="00141DF7" w:rsidRDefault="002D6F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ED5D201" w14:textId="77777777" w:rsidR="0003400C" w:rsidRPr="00141DF7" w:rsidRDefault="002D6F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BE6488D" w14:textId="77777777" w:rsidR="0003400C" w:rsidRPr="00141DF7" w:rsidRDefault="002D6F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C7A4168"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b/>
          <w:i/>
          <w:sz w:val="22"/>
          <w:szCs w:val="22"/>
        </w:rPr>
        <w:t>Quincuagésimo segundo.</w:t>
      </w:r>
      <w:r w:rsidRPr="00141DF7">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92C1A1C"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lastRenderedPageBreak/>
        <w:t xml:space="preserve">En el caso específico de la clasificación y elaboración de versiones públicas de documentos que contengan información confidencial, las áreas de los sujetos obligados deberán: </w:t>
      </w:r>
    </w:p>
    <w:p w14:paraId="7BF26A27"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DDF4D09"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A9B1748"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III. Señalar las personas o instancias autorizadas a acceder a la información clasificada.</w:t>
      </w:r>
    </w:p>
    <w:p w14:paraId="4AD8E3CC"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DA7DD40"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2BDFDFC8"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4698B520"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6B6972AD" w14:textId="77777777" w:rsidR="0003400C" w:rsidRPr="00141DF7" w:rsidRDefault="002D6F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w:t>
      </w:r>
      <w:r w:rsidRPr="00141DF7">
        <w:rPr>
          <w:rFonts w:ascii="Palatino Linotype" w:eastAsia="Palatino Linotype" w:hAnsi="Palatino Linotype" w:cs="Palatino Linotype"/>
          <w:b/>
          <w:i/>
          <w:sz w:val="22"/>
          <w:szCs w:val="22"/>
        </w:rPr>
        <w:t>Quincuagésimo cuarto.</w:t>
      </w:r>
      <w:r w:rsidRPr="00141DF7">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7613FD2"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b/>
          <w:i/>
          <w:sz w:val="22"/>
          <w:szCs w:val="22"/>
        </w:rPr>
        <w:t>Quincuagésimo quinto.</w:t>
      </w:r>
      <w:r w:rsidRPr="00141DF7">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141DF7">
        <w:rPr>
          <w:rFonts w:ascii="Palatino Linotype" w:eastAsia="Palatino Linotype" w:hAnsi="Palatino Linotype" w:cs="Palatino Linotype"/>
          <w:i/>
          <w:sz w:val="22"/>
          <w:szCs w:val="22"/>
        </w:rPr>
        <w:t>testado</w:t>
      </w:r>
      <w:proofErr w:type="spellEnd"/>
      <w:r w:rsidRPr="00141DF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8DA478F"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w:t>
      </w:r>
    </w:p>
    <w:p w14:paraId="68F824D8"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b/>
          <w:i/>
          <w:sz w:val="22"/>
          <w:szCs w:val="22"/>
        </w:rPr>
        <w:t>Quincuagésimo séptimo.</w:t>
      </w:r>
      <w:r w:rsidRPr="00141DF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2AA61E4"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D7A1F20"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4108EA6A"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E15AB8B"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062AE76" w14:textId="77777777" w:rsidR="0003400C" w:rsidRPr="00141DF7" w:rsidRDefault="002D6F4E">
      <w:pPr>
        <w:ind w:left="567" w:right="616"/>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14CBE333"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lastRenderedPageBreak/>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CD7D897"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2F9D1A7C"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Es así como, en mérito de lo expuesto en líneas anteriores, resultan </w:t>
      </w:r>
      <w:r w:rsidRPr="00141DF7">
        <w:rPr>
          <w:rFonts w:ascii="Palatino Linotype" w:eastAsia="Palatino Linotype" w:hAnsi="Palatino Linotype" w:cs="Palatino Linotype"/>
          <w:b/>
          <w:sz w:val="22"/>
          <w:szCs w:val="22"/>
        </w:rPr>
        <w:t>parcialmente fundadas</w:t>
      </w:r>
      <w:r w:rsidRPr="00141DF7">
        <w:rPr>
          <w:rFonts w:ascii="Palatino Linotype" w:eastAsia="Palatino Linotype" w:hAnsi="Palatino Linotype" w:cs="Palatino Linotype"/>
          <w:sz w:val="22"/>
          <w:szCs w:val="22"/>
        </w:rPr>
        <w:t xml:space="preserve"> las razones o motivos de inconformidad hechos valer por la parte </w:t>
      </w:r>
      <w:r w:rsidRPr="00141DF7">
        <w:rPr>
          <w:rFonts w:ascii="Palatino Linotype" w:eastAsia="Palatino Linotype" w:hAnsi="Palatino Linotype" w:cs="Palatino Linotype"/>
          <w:b/>
          <w:sz w:val="22"/>
          <w:szCs w:val="22"/>
        </w:rPr>
        <w:t>RECURRENTE</w:t>
      </w:r>
      <w:r w:rsidRPr="00141DF7">
        <w:rPr>
          <w:rFonts w:ascii="Palatino Linotype" w:eastAsia="Palatino Linotype" w:hAnsi="Palatino Linotype" w:cs="Palatino Linotype"/>
          <w:sz w:val="22"/>
          <w:szCs w:val="22"/>
        </w:rPr>
        <w:t xml:space="preserve"> dentro del recurso de revisión </w:t>
      </w:r>
      <w:r w:rsidRPr="00141DF7">
        <w:rPr>
          <w:rFonts w:ascii="Palatino Linotype" w:eastAsia="Palatino Linotype" w:hAnsi="Palatino Linotype" w:cs="Palatino Linotype"/>
          <w:b/>
          <w:sz w:val="22"/>
          <w:szCs w:val="22"/>
        </w:rPr>
        <w:t>02189/INFOEM/IP/RR/2025</w:t>
      </w:r>
      <w:r w:rsidRPr="00141DF7">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por lo que se </w:t>
      </w:r>
      <w:r w:rsidRPr="00141DF7">
        <w:rPr>
          <w:rFonts w:ascii="Palatino Linotype" w:eastAsia="Palatino Linotype" w:hAnsi="Palatino Linotype" w:cs="Palatino Linotype"/>
          <w:b/>
          <w:sz w:val="22"/>
          <w:szCs w:val="22"/>
        </w:rPr>
        <w:t xml:space="preserve">MODIFICA </w:t>
      </w:r>
      <w:r w:rsidRPr="00141DF7">
        <w:rPr>
          <w:rFonts w:ascii="Palatino Linotype" w:eastAsia="Palatino Linotype" w:hAnsi="Palatino Linotype" w:cs="Palatino Linotype"/>
          <w:sz w:val="22"/>
          <w:szCs w:val="22"/>
        </w:rPr>
        <w:t xml:space="preserve">la respuesta del </w:t>
      </w:r>
      <w:r w:rsidRPr="00141DF7">
        <w:rPr>
          <w:rFonts w:ascii="Palatino Linotype" w:eastAsia="Palatino Linotype" w:hAnsi="Palatino Linotype" w:cs="Palatino Linotype"/>
          <w:b/>
          <w:sz w:val="22"/>
          <w:szCs w:val="22"/>
        </w:rPr>
        <w:t xml:space="preserve">SUJETO OBLIGADO </w:t>
      </w:r>
      <w:r w:rsidRPr="00141DF7">
        <w:rPr>
          <w:rFonts w:ascii="Palatino Linotype" w:eastAsia="Palatino Linotype" w:hAnsi="Palatino Linotype" w:cs="Palatino Linotype"/>
          <w:sz w:val="22"/>
          <w:szCs w:val="22"/>
        </w:rPr>
        <w:t xml:space="preserve">a la solicitud de información </w:t>
      </w:r>
      <w:r w:rsidRPr="00141DF7">
        <w:rPr>
          <w:rFonts w:ascii="Palatino Linotype" w:eastAsia="Palatino Linotype" w:hAnsi="Palatino Linotype" w:cs="Palatino Linotype"/>
          <w:b/>
          <w:sz w:val="22"/>
          <w:szCs w:val="22"/>
        </w:rPr>
        <w:t>00040/TECAMAC/IP/2025.</w:t>
      </w:r>
      <w:r w:rsidRPr="00141DF7">
        <w:rPr>
          <w:rFonts w:ascii="Palatino Linotype" w:eastAsia="Palatino Linotype" w:hAnsi="Palatino Linotype" w:cs="Palatino Linotype"/>
          <w:sz w:val="22"/>
          <w:szCs w:val="22"/>
        </w:rPr>
        <w:t xml:space="preserve">  </w:t>
      </w:r>
    </w:p>
    <w:p w14:paraId="390DC3D1"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601DE850"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6663886"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4A93695C" w14:textId="77777777" w:rsidR="002D6F4E" w:rsidRPr="00141DF7" w:rsidRDefault="002D6F4E">
      <w:pPr>
        <w:spacing w:line="360" w:lineRule="auto"/>
        <w:ind w:right="49"/>
        <w:jc w:val="both"/>
        <w:rPr>
          <w:rFonts w:ascii="Palatino Linotype" w:eastAsia="Palatino Linotype" w:hAnsi="Palatino Linotype" w:cs="Palatino Linotype"/>
          <w:sz w:val="22"/>
          <w:szCs w:val="22"/>
        </w:rPr>
      </w:pPr>
    </w:p>
    <w:p w14:paraId="143DD1DB" w14:textId="77777777" w:rsidR="002D6F4E" w:rsidRPr="00141DF7" w:rsidRDefault="002D6F4E">
      <w:pPr>
        <w:spacing w:line="360" w:lineRule="auto"/>
        <w:ind w:right="49"/>
        <w:jc w:val="both"/>
        <w:rPr>
          <w:rFonts w:ascii="Palatino Linotype" w:eastAsia="Palatino Linotype" w:hAnsi="Palatino Linotype" w:cs="Palatino Linotype"/>
          <w:sz w:val="22"/>
          <w:szCs w:val="22"/>
        </w:rPr>
      </w:pPr>
    </w:p>
    <w:p w14:paraId="22A87376" w14:textId="77777777" w:rsidR="002D6F4E" w:rsidRPr="00141DF7" w:rsidRDefault="002D6F4E">
      <w:pPr>
        <w:spacing w:line="360" w:lineRule="auto"/>
        <w:ind w:right="49"/>
        <w:jc w:val="both"/>
        <w:rPr>
          <w:rFonts w:ascii="Palatino Linotype" w:eastAsia="Palatino Linotype" w:hAnsi="Palatino Linotype" w:cs="Palatino Linotype"/>
          <w:sz w:val="22"/>
          <w:szCs w:val="22"/>
        </w:rPr>
      </w:pPr>
    </w:p>
    <w:p w14:paraId="3362327C" w14:textId="77777777" w:rsidR="0003400C" w:rsidRPr="00141DF7" w:rsidRDefault="002D6F4E">
      <w:pPr>
        <w:spacing w:line="360" w:lineRule="auto"/>
        <w:ind w:right="49"/>
        <w:jc w:val="center"/>
        <w:rPr>
          <w:rFonts w:ascii="Palatino Linotype" w:eastAsia="Palatino Linotype" w:hAnsi="Palatino Linotype" w:cs="Palatino Linotype"/>
          <w:b/>
          <w:sz w:val="22"/>
          <w:szCs w:val="22"/>
        </w:rPr>
      </w:pPr>
      <w:r w:rsidRPr="00141DF7">
        <w:rPr>
          <w:rFonts w:ascii="Palatino Linotype" w:eastAsia="Palatino Linotype" w:hAnsi="Palatino Linotype" w:cs="Palatino Linotype"/>
          <w:b/>
          <w:sz w:val="22"/>
          <w:szCs w:val="22"/>
        </w:rPr>
        <w:t>III.</w:t>
      </w:r>
      <w:r w:rsidRPr="00141DF7">
        <w:rPr>
          <w:rFonts w:ascii="Palatino Linotype" w:eastAsia="Palatino Linotype" w:hAnsi="Palatino Linotype" w:cs="Palatino Linotype"/>
          <w:b/>
          <w:sz w:val="22"/>
          <w:szCs w:val="22"/>
        </w:rPr>
        <w:tab/>
        <w:t>R E S U E L V E:</w:t>
      </w:r>
    </w:p>
    <w:p w14:paraId="593796DD"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44A371A1" w14:textId="77777777" w:rsidR="0003400C" w:rsidRPr="00141DF7" w:rsidRDefault="002D6F4E">
      <w:pPr>
        <w:spacing w:line="360" w:lineRule="auto"/>
        <w:ind w:right="49"/>
        <w:jc w:val="both"/>
        <w:rPr>
          <w:rFonts w:ascii="Palatino Linotype" w:eastAsia="Palatino Linotype" w:hAnsi="Palatino Linotype" w:cs="Palatino Linotype"/>
          <w:b/>
          <w:sz w:val="22"/>
          <w:szCs w:val="22"/>
        </w:rPr>
      </w:pPr>
      <w:r w:rsidRPr="00141DF7">
        <w:rPr>
          <w:rFonts w:ascii="Palatino Linotype" w:eastAsia="Palatino Linotype" w:hAnsi="Palatino Linotype" w:cs="Palatino Linotype"/>
          <w:b/>
          <w:sz w:val="22"/>
          <w:szCs w:val="22"/>
        </w:rPr>
        <w:lastRenderedPageBreak/>
        <w:t>Primero.</w:t>
      </w:r>
      <w:r w:rsidRPr="00141DF7">
        <w:rPr>
          <w:rFonts w:ascii="Palatino Linotype" w:eastAsia="Palatino Linotype" w:hAnsi="Palatino Linotype" w:cs="Palatino Linotype"/>
          <w:sz w:val="22"/>
          <w:szCs w:val="22"/>
        </w:rPr>
        <w:t xml:space="preserve"> Resultan</w:t>
      </w:r>
      <w:r w:rsidRPr="00141DF7">
        <w:rPr>
          <w:rFonts w:ascii="Palatino Linotype" w:eastAsia="Palatino Linotype" w:hAnsi="Palatino Linotype" w:cs="Palatino Linotype"/>
          <w:b/>
          <w:sz w:val="22"/>
          <w:szCs w:val="22"/>
        </w:rPr>
        <w:t xml:space="preserve"> PARCIALMENTE FUNDADOS</w:t>
      </w:r>
      <w:r w:rsidRPr="00141DF7">
        <w:rPr>
          <w:rFonts w:ascii="Palatino Linotype" w:eastAsia="Palatino Linotype" w:hAnsi="Palatino Linotype" w:cs="Palatino Linotype"/>
          <w:sz w:val="22"/>
          <w:szCs w:val="22"/>
        </w:rPr>
        <w:t xml:space="preserve"> los motivos de inconformidad hechos valer por la parte </w:t>
      </w:r>
      <w:r w:rsidRPr="00141DF7">
        <w:rPr>
          <w:rFonts w:ascii="Palatino Linotype" w:eastAsia="Palatino Linotype" w:hAnsi="Palatino Linotype" w:cs="Palatino Linotype"/>
          <w:b/>
          <w:sz w:val="22"/>
          <w:szCs w:val="22"/>
        </w:rPr>
        <w:t>RECURRENTE</w:t>
      </w:r>
      <w:r w:rsidRPr="00141DF7">
        <w:rPr>
          <w:rFonts w:ascii="Palatino Linotype" w:eastAsia="Palatino Linotype" w:hAnsi="Palatino Linotype" w:cs="Palatino Linotype"/>
          <w:sz w:val="22"/>
          <w:szCs w:val="22"/>
        </w:rPr>
        <w:t xml:space="preserve"> en el Recurso de Revisión </w:t>
      </w:r>
      <w:r w:rsidRPr="00141DF7">
        <w:rPr>
          <w:rFonts w:ascii="Palatino Linotype" w:eastAsia="Palatino Linotype" w:hAnsi="Palatino Linotype" w:cs="Palatino Linotype"/>
          <w:b/>
          <w:sz w:val="22"/>
          <w:szCs w:val="22"/>
        </w:rPr>
        <w:t>02189/INFOEM/IP/RR/2025</w:t>
      </w:r>
      <w:r w:rsidRPr="00141DF7">
        <w:rPr>
          <w:rFonts w:ascii="Palatino Linotype" w:eastAsia="Palatino Linotype" w:hAnsi="Palatino Linotype" w:cs="Palatino Linotype"/>
          <w:sz w:val="22"/>
          <w:szCs w:val="22"/>
        </w:rPr>
        <w:t xml:space="preserve">, por lo que, en términos del </w:t>
      </w:r>
      <w:r w:rsidRPr="00141DF7">
        <w:rPr>
          <w:rFonts w:ascii="Palatino Linotype" w:eastAsia="Palatino Linotype" w:hAnsi="Palatino Linotype" w:cs="Palatino Linotype"/>
          <w:b/>
          <w:sz w:val="22"/>
          <w:szCs w:val="22"/>
        </w:rPr>
        <w:t>Considerando Cuarto</w:t>
      </w:r>
      <w:r w:rsidRPr="00141DF7">
        <w:rPr>
          <w:rFonts w:ascii="Palatino Linotype" w:eastAsia="Palatino Linotype" w:hAnsi="Palatino Linotype" w:cs="Palatino Linotype"/>
          <w:sz w:val="22"/>
          <w:szCs w:val="22"/>
        </w:rPr>
        <w:t xml:space="preserve"> de esta resolución, se </w:t>
      </w:r>
      <w:r w:rsidRPr="00141DF7">
        <w:rPr>
          <w:rFonts w:ascii="Palatino Linotype" w:eastAsia="Palatino Linotype" w:hAnsi="Palatino Linotype" w:cs="Palatino Linotype"/>
          <w:b/>
          <w:sz w:val="22"/>
          <w:szCs w:val="22"/>
        </w:rPr>
        <w:t xml:space="preserve">MODIFICA </w:t>
      </w:r>
      <w:r w:rsidRPr="00141DF7">
        <w:rPr>
          <w:rFonts w:ascii="Palatino Linotype" w:eastAsia="Palatino Linotype" w:hAnsi="Palatino Linotype" w:cs="Palatino Linotype"/>
          <w:sz w:val="22"/>
          <w:szCs w:val="22"/>
        </w:rPr>
        <w:t xml:space="preserve">la respuesta emitida por el </w:t>
      </w:r>
      <w:r w:rsidRPr="00141DF7">
        <w:rPr>
          <w:rFonts w:ascii="Palatino Linotype" w:eastAsia="Palatino Linotype" w:hAnsi="Palatino Linotype" w:cs="Palatino Linotype"/>
          <w:b/>
          <w:sz w:val="22"/>
          <w:szCs w:val="22"/>
        </w:rPr>
        <w:t>SUJETO OBLIGADO</w:t>
      </w:r>
      <w:r w:rsidRPr="00141DF7">
        <w:rPr>
          <w:rFonts w:ascii="Palatino Linotype" w:eastAsia="Palatino Linotype" w:hAnsi="Palatino Linotype" w:cs="Palatino Linotype"/>
          <w:sz w:val="22"/>
          <w:szCs w:val="22"/>
        </w:rPr>
        <w:t>.</w:t>
      </w:r>
    </w:p>
    <w:p w14:paraId="4D4B030E"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51C11A8F"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bookmarkStart w:id="4" w:name="_heading=h.1fob9te" w:colFirst="0" w:colLast="0"/>
      <w:bookmarkEnd w:id="4"/>
      <w:r w:rsidRPr="00141DF7">
        <w:rPr>
          <w:rFonts w:ascii="Palatino Linotype" w:eastAsia="Palatino Linotype" w:hAnsi="Palatino Linotype" w:cs="Palatino Linotype"/>
          <w:b/>
          <w:sz w:val="22"/>
          <w:szCs w:val="22"/>
        </w:rPr>
        <w:t>Segundo</w:t>
      </w:r>
      <w:r w:rsidRPr="00141DF7">
        <w:rPr>
          <w:rFonts w:ascii="Palatino Linotype" w:eastAsia="Palatino Linotype" w:hAnsi="Palatino Linotype" w:cs="Palatino Linotype"/>
          <w:sz w:val="22"/>
          <w:szCs w:val="22"/>
        </w:rPr>
        <w:t xml:space="preserve">. Se </w:t>
      </w:r>
      <w:r w:rsidRPr="00141DF7">
        <w:rPr>
          <w:rFonts w:ascii="Palatino Linotype" w:eastAsia="Palatino Linotype" w:hAnsi="Palatino Linotype" w:cs="Palatino Linotype"/>
          <w:b/>
          <w:sz w:val="22"/>
          <w:szCs w:val="22"/>
        </w:rPr>
        <w:t>ORDENA</w:t>
      </w:r>
      <w:r w:rsidRPr="00141DF7">
        <w:rPr>
          <w:rFonts w:ascii="Palatino Linotype" w:eastAsia="Palatino Linotype" w:hAnsi="Palatino Linotype" w:cs="Palatino Linotype"/>
          <w:sz w:val="22"/>
          <w:szCs w:val="22"/>
        </w:rPr>
        <w:t xml:space="preserve"> al </w:t>
      </w:r>
      <w:r w:rsidRPr="00141DF7">
        <w:rPr>
          <w:rFonts w:ascii="Palatino Linotype" w:eastAsia="Palatino Linotype" w:hAnsi="Palatino Linotype" w:cs="Palatino Linotype"/>
          <w:b/>
          <w:sz w:val="22"/>
          <w:szCs w:val="22"/>
        </w:rPr>
        <w:t>SUJETO OBLIGADO</w:t>
      </w:r>
      <w:r w:rsidRPr="00141DF7">
        <w:rPr>
          <w:rFonts w:ascii="Palatino Linotype" w:eastAsia="Palatino Linotype" w:hAnsi="Palatino Linotype" w:cs="Palatino Linotype"/>
          <w:sz w:val="22"/>
          <w:szCs w:val="22"/>
        </w:rPr>
        <w:t xml:space="preserve"> a que, en términos del Considerando Cuarto y Quinto, haga entrega, vía Sistema de Acceso a la Información Mexiquense y correo electrónico, previa búsqueda exhaustiva y razonable, de ser el caso, en versión pública lo siguiente: </w:t>
      </w:r>
    </w:p>
    <w:p w14:paraId="7824BE0E" w14:textId="77777777" w:rsidR="0003400C" w:rsidRPr="00141DF7" w:rsidRDefault="0003400C">
      <w:pPr>
        <w:pBdr>
          <w:top w:val="nil"/>
          <w:left w:val="nil"/>
          <w:bottom w:val="nil"/>
          <w:right w:val="nil"/>
          <w:between w:val="nil"/>
        </w:pBdr>
        <w:spacing w:line="360" w:lineRule="auto"/>
        <w:ind w:left="720" w:right="560"/>
        <w:jc w:val="both"/>
        <w:rPr>
          <w:rFonts w:ascii="Palatino Linotype" w:eastAsia="Palatino Linotype" w:hAnsi="Palatino Linotype" w:cs="Palatino Linotype"/>
          <w:b/>
          <w:sz w:val="22"/>
          <w:szCs w:val="22"/>
        </w:rPr>
      </w:pPr>
    </w:p>
    <w:p w14:paraId="349C24AF" w14:textId="77777777" w:rsidR="0003400C" w:rsidRPr="00141DF7" w:rsidRDefault="002D6F4E">
      <w:pPr>
        <w:numPr>
          <w:ilvl w:val="0"/>
          <w:numId w:val="1"/>
        </w:numPr>
        <w:pBdr>
          <w:top w:val="nil"/>
          <w:left w:val="nil"/>
          <w:bottom w:val="nil"/>
          <w:right w:val="nil"/>
          <w:between w:val="nil"/>
        </w:pBdr>
        <w:spacing w:line="360" w:lineRule="auto"/>
        <w:ind w:right="560"/>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sz w:val="22"/>
          <w:szCs w:val="22"/>
        </w:rPr>
        <w:t xml:space="preserve">El listado de grúas concesionadas para proporcionar servicio al ayuntamiento, actualizado al cinco de febrero de dos mil veinticinco. </w:t>
      </w:r>
    </w:p>
    <w:p w14:paraId="65382251" w14:textId="77777777" w:rsidR="0003400C" w:rsidRPr="00141DF7" w:rsidRDefault="0003400C">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p>
    <w:p w14:paraId="358967FA" w14:textId="77777777" w:rsidR="0003400C" w:rsidRPr="00141DF7" w:rsidRDefault="002D6F4E">
      <w:pPr>
        <w:spacing w:line="276" w:lineRule="auto"/>
        <w:ind w:left="567" w:right="560"/>
        <w:jc w:val="both"/>
        <w:rPr>
          <w:rFonts w:ascii="Palatino Linotype" w:eastAsia="Palatino Linotype" w:hAnsi="Palatino Linotype" w:cs="Palatino Linotype"/>
          <w:i/>
          <w:sz w:val="22"/>
          <w:szCs w:val="22"/>
        </w:rPr>
      </w:pPr>
      <w:r w:rsidRPr="00141DF7">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366A088" w14:textId="77777777" w:rsidR="0003400C" w:rsidRPr="00141DF7" w:rsidRDefault="0003400C">
      <w:pPr>
        <w:spacing w:line="360" w:lineRule="auto"/>
        <w:ind w:left="567" w:right="560"/>
        <w:jc w:val="both"/>
        <w:rPr>
          <w:rFonts w:ascii="Palatino Linotype" w:eastAsia="Palatino Linotype" w:hAnsi="Palatino Linotype" w:cs="Palatino Linotype"/>
          <w:i/>
          <w:sz w:val="22"/>
          <w:szCs w:val="22"/>
        </w:rPr>
      </w:pPr>
      <w:bookmarkStart w:id="5" w:name="_heading=h.bbktzr93b1ew" w:colFirst="0" w:colLast="0"/>
      <w:bookmarkEnd w:id="5"/>
    </w:p>
    <w:p w14:paraId="432982E2" w14:textId="77777777" w:rsidR="0003400C" w:rsidRPr="00141DF7" w:rsidRDefault="002D6F4E">
      <w:pPr>
        <w:spacing w:line="276" w:lineRule="auto"/>
        <w:ind w:left="567" w:right="560"/>
        <w:jc w:val="both"/>
        <w:rPr>
          <w:rFonts w:ascii="Palatino Linotype" w:eastAsia="Palatino Linotype" w:hAnsi="Palatino Linotype" w:cs="Palatino Linotype"/>
          <w:i/>
          <w:sz w:val="20"/>
          <w:szCs w:val="20"/>
        </w:rPr>
      </w:pPr>
      <w:r w:rsidRPr="00141DF7">
        <w:rPr>
          <w:rFonts w:ascii="Palatino Linotype" w:eastAsia="Palatino Linotype" w:hAnsi="Palatino Linotype" w:cs="Palatino Linotype"/>
          <w:i/>
          <w:sz w:val="22"/>
          <w:szCs w:val="22"/>
        </w:rPr>
        <w:t xml:space="preserve">En el supuesto que la información ordenada, no obre en los archivos del </w:t>
      </w:r>
      <w:r w:rsidRPr="00141DF7">
        <w:rPr>
          <w:rFonts w:ascii="Palatino Linotype" w:eastAsia="Palatino Linotype" w:hAnsi="Palatino Linotype" w:cs="Palatino Linotype"/>
          <w:b/>
          <w:i/>
          <w:sz w:val="22"/>
          <w:szCs w:val="22"/>
        </w:rPr>
        <w:t xml:space="preserve">SUJETO OBLIGADO, </w:t>
      </w:r>
      <w:r w:rsidRPr="00141DF7">
        <w:rPr>
          <w:rFonts w:ascii="Palatino Linotype" w:eastAsia="Palatino Linotype" w:hAnsi="Palatino Linotype" w:cs="Palatino Linotype"/>
          <w:i/>
          <w:sz w:val="22"/>
          <w:szCs w:val="22"/>
        </w:rPr>
        <w:t xml:space="preserve">por no haberse generado, bastará con que así se haga del conocimiento de </w:t>
      </w:r>
      <w:r w:rsidRPr="00141DF7">
        <w:rPr>
          <w:rFonts w:ascii="Palatino Linotype" w:eastAsia="Palatino Linotype" w:hAnsi="Palatino Linotype" w:cs="Palatino Linotype"/>
          <w:b/>
          <w:i/>
          <w:sz w:val="22"/>
          <w:szCs w:val="22"/>
        </w:rPr>
        <w:t>LA PARTE</w:t>
      </w:r>
      <w:r w:rsidRPr="00141DF7">
        <w:rPr>
          <w:rFonts w:ascii="Palatino Linotype" w:eastAsia="Palatino Linotype" w:hAnsi="Palatino Linotype" w:cs="Palatino Linotype"/>
          <w:i/>
          <w:sz w:val="22"/>
          <w:szCs w:val="22"/>
        </w:rPr>
        <w:t xml:space="preserve"> </w:t>
      </w:r>
      <w:r w:rsidRPr="00141DF7">
        <w:rPr>
          <w:rFonts w:ascii="Palatino Linotype" w:eastAsia="Palatino Linotype" w:hAnsi="Palatino Linotype" w:cs="Palatino Linotype"/>
          <w:b/>
          <w:i/>
          <w:sz w:val="22"/>
          <w:szCs w:val="22"/>
        </w:rPr>
        <w:t>RECURRENTE</w:t>
      </w:r>
      <w:r w:rsidRPr="00141DF7">
        <w:rPr>
          <w:rFonts w:ascii="Palatino Linotype" w:eastAsia="Palatino Linotype" w:hAnsi="Palatino Linotype" w:cs="Palatino Linotype"/>
          <w:i/>
          <w:sz w:val="22"/>
          <w:szCs w:val="22"/>
        </w:rPr>
        <w:t>, en términos del artículo 19, párrafo segundo de la Ley de Transparencia y Acceso a la Información Pública del Estado de México y Municipios.</w:t>
      </w:r>
    </w:p>
    <w:p w14:paraId="2A8EED26" w14:textId="77777777" w:rsidR="0003400C" w:rsidRPr="00141DF7" w:rsidRDefault="0003400C">
      <w:pPr>
        <w:spacing w:line="360" w:lineRule="auto"/>
        <w:ind w:right="560"/>
        <w:jc w:val="both"/>
        <w:rPr>
          <w:rFonts w:ascii="Palatino Linotype" w:eastAsia="Palatino Linotype" w:hAnsi="Palatino Linotype" w:cs="Palatino Linotype"/>
          <w:i/>
          <w:sz w:val="22"/>
          <w:szCs w:val="22"/>
        </w:rPr>
      </w:pPr>
    </w:p>
    <w:p w14:paraId="482C8480"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t>Tercero.</w:t>
      </w:r>
      <w:r w:rsidRPr="00141DF7">
        <w:rPr>
          <w:rFonts w:ascii="Palatino Linotype" w:eastAsia="Palatino Linotype" w:hAnsi="Palatino Linotype" w:cs="Palatino Linotype"/>
          <w:sz w:val="22"/>
          <w:szCs w:val="22"/>
        </w:rPr>
        <w:t xml:space="preserve"> </w:t>
      </w:r>
      <w:r w:rsidRPr="00141DF7">
        <w:rPr>
          <w:rFonts w:ascii="Palatino Linotype" w:eastAsia="Palatino Linotype" w:hAnsi="Palatino Linotype" w:cs="Palatino Linotype"/>
          <w:b/>
          <w:sz w:val="22"/>
          <w:szCs w:val="22"/>
        </w:rPr>
        <w:t xml:space="preserve">Notifíquese vía SAIMEX </w:t>
      </w:r>
      <w:r w:rsidRPr="00141DF7">
        <w:rPr>
          <w:rFonts w:ascii="Palatino Linotype" w:eastAsia="Palatino Linotype" w:hAnsi="Palatino Linotype" w:cs="Palatino Linotype"/>
          <w:sz w:val="22"/>
          <w:szCs w:val="22"/>
        </w:rPr>
        <w:t>la presente resolución al T</w:t>
      </w:r>
      <w:r w:rsidRPr="00141DF7">
        <w:rPr>
          <w:rFonts w:ascii="Palatino Linotype" w:eastAsia="Palatino Linotype" w:hAnsi="Palatino Linotype" w:cs="Palatino Linotype"/>
          <w:b/>
          <w:sz w:val="22"/>
          <w:szCs w:val="22"/>
        </w:rPr>
        <w:t xml:space="preserve">itular de la Unidad de Transparencia </w:t>
      </w:r>
      <w:r w:rsidRPr="00141DF7">
        <w:rPr>
          <w:rFonts w:ascii="Palatino Linotype" w:eastAsia="Palatino Linotype" w:hAnsi="Palatino Linotype" w:cs="Palatino Linotype"/>
          <w:sz w:val="22"/>
          <w:szCs w:val="22"/>
        </w:rPr>
        <w:t xml:space="preserve">del </w:t>
      </w:r>
      <w:r w:rsidRPr="00141DF7">
        <w:rPr>
          <w:rFonts w:ascii="Palatino Linotype" w:eastAsia="Palatino Linotype" w:hAnsi="Palatino Linotype" w:cs="Palatino Linotype"/>
          <w:b/>
          <w:sz w:val="22"/>
          <w:szCs w:val="22"/>
        </w:rPr>
        <w:t>SUJETO OBLIGADO</w:t>
      </w:r>
      <w:r w:rsidRPr="00141DF7">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141DF7">
        <w:rPr>
          <w:rFonts w:ascii="Palatino Linotype" w:eastAsia="Palatino Linotype" w:hAnsi="Palatino Linotype" w:cs="Palatino Linotype"/>
          <w:sz w:val="22"/>
          <w:szCs w:val="22"/>
        </w:rPr>
        <w:lastRenderedPageBreak/>
        <w:t>artículos 198, 200, fracción III; 214, 215 y 216 de la Ley  de Transparencia y Acceso a la Información Pública del Estado de México y Municipios.</w:t>
      </w:r>
    </w:p>
    <w:p w14:paraId="6EE3F717" w14:textId="77777777" w:rsidR="0003400C" w:rsidRPr="00141DF7" w:rsidRDefault="0003400C">
      <w:pPr>
        <w:spacing w:line="360" w:lineRule="auto"/>
        <w:ind w:right="49"/>
        <w:jc w:val="both"/>
        <w:rPr>
          <w:rFonts w:ascii="Palatino Linotype" w:eastAsia="Palatino Linotype" w:hAnsi="Palatino Linotype" w:cs="Palatino Linotype"/>
          <w:sz w:val="22"/>
          <w:szCs w:val="22"/>
        </w:rPr>
      </w:pPr>
    </w:p>
    <w:p w14:paraId="3A8B3055" w14:textId="77777777" w:rsidR="0003400C" w:rsidRPr="00141DF7" w:rsidRDefault="002D6F4E">
      <w:pPr>
        <w:spacing w:line="360" w:lineRule="auto"/>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t xml:space="preserve">Cuarto. Notifíquese vía SAIMEX, </w:t>
      </w:r>
      <w:r w:rsidRPr="00141DF7">
        <w:rPr>
          <w:rFonts w:ascii="Palatino Linotype" w:eastAsia="Palatino Linotype" w:hAnsi="Palatino Linotype" w:cs="Palatino Linotype"/>
          <w:sz w:val="22"/>
          <w:szCs w:val="22"/>
        </w:rPr>
        <w:t>y</w:t>
      </w:r>
      <w:r w:rsidRPr="00141DF7">
        <w:rPr>
          <w:rFonts w:ascii="Palatino Linotype" w:eastAsia="Palatino Linotype" w:hAnsi="Palatino Linotype" w:cs="Palatino Linotype"/>
          <w:b/>
          <w:sz w:val="22"/>
          <w:szCs w:val="22"/>
        </w:rPr>
        <w:t xml:space="preserve"> correo electrónico </w:t>
      </w:r>
      <w:r w:rsidRPr="00141DF7">
        <w:rPr>
          <w:rFonts w:ascii="Palatino Linotype" w:eastAsia="Palatino Linotype" w:hAnsi="Palatino Linotype" w:cs="Palatino Linotype"/>
          <w:sz w:val="22"/>
          <w:szCs w:val="22"/>
        </w:rPr>
        <w:t xml:space="preserve">a la parte </w:t>
      </w:r>
      <w:r w:rsidRPr="00141DF7">
        <w:rPr>
          <w:rFonts w:ascii="Palatino Linotype" w:eastAsia="Palatino Linotype" w:hAnsi="Palatino Linotype" w:cs="Palatino Linotype"/>
          <w:b/>
          <w:sz w:val="22"/>
          <w:szCs w:val="22"/>
        </w:rPr>
        <w:t xml:space="preserve">Recurrente </w:t>
      </w:r>
      <w:r w:rsidRPr="00141DF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8C9F3D7"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469C331B" w14:textId="77777777" w:rsidR="0003400C" w:rsidRPr="00141DF7" w:rsidRDefault="002D6F4E">
      <w:pPr>
        <w:spacing w:line="360" w:lineRule="auto"/>
        <w:ind w:right="49"/>
        <w:jc w:val="both"/>
        <w:rPr>
          <w:rFonts w:ascii="Palatino Linotype" w:eastAsia="Palatino Linotype" w:hAnsi="Palatino Linotype" w:cs="Palatino Linotype"/>
          <w:sz w:val="22"/>
          <w:szCs w:val="22"/>
        </w:rPr>
      </w:pPr>
      <w:r w:rsidRPr="00141DF7">
        <w:rPr>
          <w:rFonts w:ascii="Palatino Linotype" w:eastAsia="Palatino Linotype" w:hAnsi="Palatino Linotype" w:cs="Palatino Linotype"/>
          <w:b/>
          <w:sz w:val="22"/>
          <w:szCs w:val="22"/>
        </w:rPr>
        <w:t xml:space="preserve">Quinto. Notifíquese vía SAIMEX </w:t>
      </w:r>
      <w:r w:rsidRPr="00141DF7">
        <w:rPr>
          <w:rFonts w:ascii="Palatino Linotype" w:eastAsia="Palatino Linotype" w:hAnsi="Palatino Linotype" w:cs="Palatino Linotype"/>
          <w:sz w:val="22"/>
          <w:szCs w:val="22"/>
        </w:rPr>
        <w:t>la presente resolución al T</w:t>
      </w:r>
      <w:r w:rsidRPr="00141DF7">
        <w:rPr>
          <w:rFonts w:ascii="Palatino Linotype" w:eastAsia="Palatino Linotype" w:hAnsi="Palatino Linotype" w:cs="Palatino Linotype"/>
          <w:b/>
          <w:sz w:val="22"/>
          <w:szCs w:val="22"/>
        </w:rPr>
        <w:t xml:space="preserve">itular de la Unidad de Transparencia </w:t>
      </w:r>
      <w:r w:rsidRPr="00141DF7">
        <w:rPr>
          <w:rFonts w:ascii="Palatino Linotype" w:eastAsia="Palatino Linotype" w:hAnsi="Palatino Linotype" w:cs="Palatino Linotype"/>
          <w:sz w:val="22"/>
          <w:szCs w:val="22"/>
        </w:rPr>
        <w:t xml:space="preserve">del </w:t>
      </w:r>
      <w:r w:rsidRPr="00141DF7">
        <w:rPr>
          <w:rFonts w:ascii="Palatino Linotype" w:eastAsia="Palatino Linotype" w:hAnsi="Palatino Linotype" w:cs="Palatino Linotype"/>
          <w:b/>
          <w:sz w:val="22"/>
          <w:szCs w:val="22"/>
        </w:rPr>
        <w:t xml:space="preserve">SUJETO OBLIGADO </w:t>
      </w:r>
      <w:r w:rsidRPr="00141DF7">
        <w:rPr>
          <w:rFonts w:ascii="Palatino Linotype" w:eastAsia="Palatino Linotype" w:hAnsi="Palatino Linotype" w:cs="Palatino Linotype"/>
          <w:sz w:val="22"/>
          <w:szCs w:val="22"/>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616EE5" w14:textId="77777777" w:rsidR="0003400C" w:rsidRPr="00141DF7" w:rsidRDefault="0003400C">
      <w:pPr>
        <w:spacing w:line="360" w:lineRule="auto"/>
        <w:jc w:val="both"/>
        <w:rPr>
          <w:rFonts w:ascii="Palatino Linotype" w:eastAsia="Palatino Linotype" w:hAnsi="Palatino Linotype" w:cs="Palatino Linotype"/>
          <w:sz w:val="22"/>
          <w:szCs w:val="22"/>
        </w:rPr>
      </w:pPr>
    </w:p>
    <w:p w14:paraId="41E82A19" w14:textId="77777777" w:rsidR="0003400C" w:rsidRPr="00CA386F" w:rsidRDefault="002D6F4E">
      <w:pPr>
        <w:spacing w:line="360" w:lineRule="auto"/>
        <w:jc w:val="both"/>
        <w:rPr>
          <w:rFonts w:ascii="Palatino Linotype" w:eastAsia="Palatino Linotype" w:hAnsi="Palatino Linotype" w:cs="Palatino Linotype"/>
          <w:sz w:val="22"/>
          <w:szCs w:val="22"/>
        </w:rPr>
        <w:sectPr w:rsidR="0003400C" w:rsidRPr="00CA386F">
          <w:headerReference w:type="default" r:id="rId11"/>
          <w:footerReference w:type="default" r:id="rId12"/>
          <w:headerReference w:type="first" r:id="rId13"/>
          <w:footerReference w:type="first" r:id="rId14"/>
          <w:pgSz w:w="11920" w:h="16840"/>
          <w:pgMar w:top="1599" w:right="1134" w:bottom="278" w:left="1418" w:header="720" w:footer="720" w:gutter="0"/>
          <w:pgNumType w:start="1"/>
          <w:cols w:space="720"/>
        </w:sectPr>
      </w:pPr>
      <w:r w:rsidRPr="00141DF7">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r w:rsidRPr="00CA386F">
        <w:rPr>
          <w:rFonts w:ascii="Palatino Linotype" w:eastAsia="Palatino Linotype" w:hAnsi="Palatino Linotype" w:cs="Palatino Linotype"/>
          <w:sz w:val="22"/>
          <w:szCs w:val="22"/>
        </w:rPr>
        <w:t xml:space="preserve"> </w:t>
      </w:r>
    </w:p>
    <w:p w14:paraId="02A3D1EF" w14:textId="77777777" w:rsidR="0003400C" w:rsidRPr="00CA386F" w:rsidRDefault="0003400C">
      <w:pPr>
        <w:spacing w:line="360" w:lineRule="auto"/>
        <w:jc w:val="both"/>
        <w:rPr>
          <w:rFonts w:ascii="Palatino Linotype" w:eastAsia="Palatino Linotype" w:hAnsi="Palatino Linotype" w:cs="Palatino Linotype"/>
          <w:sz w:val="22"/>
          <w:szCs w:val="22"/>
        </w:rPr>
      </w:pPr>
    </w:p>
    <w:sectPr w:rsidR="0003400C" w:rsidRPr="00CA386F">
      <w:headerReference w:type="even" r:id="rId15"/>
      <w:headerReference w:type="default" r:id="rId16"/>
      <w:footerReference w:type="even" r:id="rId17"/>
      <w:footerReference w:type="default" r:id="rId18"/>
      <w:headerReference w:type="first" r:id="rId19"/>
      <w:footerReference w:type="first" r:id="rId20"/>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0FFA5" w14:textId="77777777" w:rsidR="00183E39" w:rsidRDefault="00183E39">
      <w:r>
        <w:separator/>
      </w:r>
    </w:p>
  </w:endnote>
  <w:endnote w:type="continuationSeparator" w:id="0">
    <w:p w14:paraId="1DE2324E" w14:textId="77777777" w:rsidR="00183E39" w:rsidRDefault="0018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9FEF" w14:textId="77777777" w:rsidR="0003400C" w:rsidRDefault="002D6F4E">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0206B1">
      <w:rPr>
        <w:rFonts w:ascii="Calibri" w:eastAsia="Calibri" w:hAnsi="Calibri" w:cs="Calibri"/>
        <w:b/>
        <w:noProof/>
        <w:color w:val="000000"/>
      </w:rPr>
      <w:t>33</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206B1">
      <w:rPr>
        <w:rFonts w:ascii="Calibri" w:eastAsia="Calibri" w:hAnsi="Calibri" w:cs="Calibri"/>
        <w:b/>
        <w:noProof/>
        <w:color w:val="000000"/>
      </w:rPr>
      <w:t>35</w:t>
    </w:r>
    <w:r>
      <w:rPr>
        <w:rFonts w:ascii="Calibri" w:eastAsia="Calibri" w:hAnsi="Calibri" w:cs="Calibri"/>
        <w:b/>
        <w:color w:val="000000"/>
      </w:rPr>
      <w:fldChar w:fldCharType="end"/>
    </w:r>
  </w:p>
  <w:p w14:paraId="7E307EAB" w14:textId="77777777" w:rsidR="0003400C" w:rsidRDefault="0003400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4414" w14:textId="77777777" w:rsidR="0003400C" w:rsidRDefault="002D6F4E">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206B1">
      <w:rPr>
        <w:rFonts w:ascii="Calibri" w:eastAsia="Calibri" w:hAnsi="Calibri" w:cs="Calibri"/>
        <w:b/>
        <w:noProof/>
        <w:color w:val="000000"/>
      </w:rPr>
      <w:t>35</w:t>
    </w:r>
    <w:r>
      <w:rPr>
        <w:rFonts w:ascii="Calibri" w:eastAsia="Calibri" w:hAnsi="Calibri" w:cs="Calibri"/>
        <w:b/>
        <w:color w:val="000000"/>
      </w:rPr>
      <w:fldChar w:fldCharType="end"/>
    </w:r>
  </w:p>
  <w:p w14:paraId="1E9395CC" w14:textId="77777777" w:rsidR="0003400C" w:rsidRDefault="0003400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D1CD" w14:textId="77777777" w:rsidR="0003400C" w:rsidRDefault="0003400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6AF5" w14:textId="77777777" w:rsidR="0003400C" w:rsidRDefault="0003400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18F0" w14:textId="77777777" w:rsidR="0003400C" w:rsidRDefault="0003400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ECCB" w14:textId="77777777" w:rsidR="00183E39" w:rsidRDefault="00183E39">
      <w:r>
        <w:separator/>
      </w:r>
    </w:p>
  </w:footnote>
  <w:footnote w:type="continuationSeparator" w:id="0">
    <w:p w14:paraId="19E4E00F" w14:textId="77777777" w:rsidR="00183E39" w:rsidRDefault="0018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F048" w14:textId="77777777" w:rsidR="0003400C" w:rsidRDefault="002D6F4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30D9B655" wp14:editId="2B34A2E3">
          <wp:simplePos x="0" y="0"/>
          <wp:positionH relativeFrom="column">
            <wp:posOffset>-682624</wp:posOffset>
          </wp:positionH>
          <wp:positionV relativeFrom="paragraph">
            <wp:posOffset>-321944</wp:posOffset>
          </wp:positionV>
          <wp:extent cx="7809876" cy="10165823"/>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70" w:type="dxa"/>
      <w:tblInd w:w="3826" w:type="dxa"/>
      <w:tblLayout w:type="fixed"/>
      <w:tblLook w:val="0400" w:firstRow="0" w:lastRow="0" w:firstColumn="0" w:lastColumn="0" w:noHBand="0" w:noVBand="1"/>
    </w:tblPr>
    <w:tblGrid>
      <w:gridCol w:w="2551"/>
      <w:gridCol w:w="3119"/>
    </w:tblGrid>
    <w:tr w:rsidR="0003400C" w14:paraId="5FAEE3BC" w14:textId="77777777">
      <w:tc>
        <w:tcPr>
          <w:tcW w:w="2551" w:type="dxa"/>
          <w:vAlign w:val="center"/>
        </w:tcPr>
        <w:p w14:paraId="4E80C05D" w14:textId="77777777" w:rsidR="0003400C" w:rsidRDefault="002D6F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C609131" w14:textId="77777777" w:rsidR="0003400C" w:rsidRDefault="002D6F4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02189/INFOEM/IP/RR/2025 </w:t>
          </w:r>
        </w:p>
      </w:tc>
    </w:tr>
    <w:tr w:rsidR="0003400C" w14:paraId="63F90297" w14:textId="77777777">
      <w:trPr>
        <w:trHeight w:val="228"/>
      </w:trPr>
      <w:tc>
        <w:tcPr>
          <w:tcW w:w="2551" w:type="dxa"/>
          <w:vAlign w:val="center"/>
        </w:tcPr>
        <w:p w14:paraId="53638274" w14:textId="77777777" w:rsidR="0003400C" w:rsidRDefault="002D6F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B909035" w14:textId="77777777" w:rsidR="0003400C" w:rsidRDefault="002D6F4E">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Tecámac</w:t>
          </w:r>
        </w:p>
      </w:tc>
    </w:tr>
    <w:tr w:rsidR="0003400C" w14:paraId="258310C4" w14:textId="77777777">
      <w:trPr>
        <w:trHeight w:val="228"/>
      </w:trPr>
      <w:tc>
        <w:tcPr>
          <w:tcW w:w="2551" w:type="dxa"/>
          <w:vAlign w:val="center"/>
        </w:tcPr>
        <w:p w14:paraId="62E543AE" w14:textId="77777777" w:rsidR="0003400C" w:rsidRDefault="002D6F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10624879" w14:textId="7265BB31" w:rsidR="0003400C" w:rsidRDefault="0035272A">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03400C" w14:paraId="5120BB15" w14:textId="77777777">
      <w:tc>
        <w:tcPr>
          <w:tcW w:w="2551" w:type="dxa"/>
          <w:vAlign w:val="center"/>
        </w:tcPr>
        <w:p w14:paraId="3026FBA2" w14:textId="77777777" w:rsidR="0003400C" w:rsidRDefault="002D6F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29033D1" w14:textId="77777777" w:rsidR="0003400C" w:rsidRDefault="002D6F4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B5EC84" w14:textId="77777777" w:rsidR="0003400C" w:rsidRDefault="0003400C">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CE5A" w14:textId="77777777" w:rsidR="0003400C" w:rsidRDefault="002D6F4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1D59A74C" wp14:editId="1373D75E">
          <wp:simplePos x="0" y="0"/>
          <wp:positionH relativeFrom="column">
            <wp:posOffset>-692782</wp:posOffset>
          </wp:positionH>
          <wp:positionV relativeFrom="paragraph">
            <wp:posOffset>-198751</wp:posOffset>
          </wp:positionV>
          <wp:extent cx="7809876" cy="10165823"/>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70" w:type="dxa"/>
      <w:tblInd w:w="3826" w:type="dxa"/>
      <w:tblLayout w:type="fixed"/>
      <w:tblLook w:val="0400" w:firstRow="0" w:lastRow="0" w:firstColumn="0" w:lastColumn="0" w:noHBand="0" w:noVBand="1"/>
    </w:tblPr>
    <w:tblGrid>
      <w:gridCol w:w="2551"/>
      <w:gridCol w:w="3119"/>
    </w:tblGrid>
    <w:tr w:rsidR="0003400C" w14:paraId="3781A617" w14:textId="77777777">
      <w:tc>
        <w:tcPr>
          <w:tcW w:w="2551" w:type="dxa"/>
          <w:vAlign w:val="center"/>
        </w:tcPr>
        <w:p w14:paraId="4725019A" w14:textId="77777777" w:rsidR="0003400C" w:rsidRDefault="002D6F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71BB3F8B" w14:textId="77777777" w:rsidR="0003400C" w:rsidRDefault="002D6F4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03400C" w14:paraId="08B50A73" w14:textId="77777777">
      <w:tc>
        <w:tcPr>
          <w:tcW w:w="2551" w:type="dxa"/>
          <w:vAlign w:val="center"/>
        </w:tcPr>
        <w:p w14:paraId="03CD9E18" w14:textId="77777777" w:rsidR="0003400C" w:rsidRDefault="002D6F4E">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236BB1D" w14:textId="77777777" w:rsidR="0003400C" w:rsidRDefault="002D6F4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03400C" w14:paraId="3D094A4E" w14:textId="77777777">
      <w:trPr>
        <w:trHeight w:val="228"/>
      </w:trPr>
      <w:tc>
        <w:tcPr>
          <w:tcW w:w="2551" w:type="dxa"/>
          <w:vAlign w:val="center"/>
        </w:tcPr>
        <w:p w14:paraId="245E9920" w14:textId="77777777" w:rsidR="0003400C" w:rsidRDefault="002D6F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C2525B3" w14:textId="77777777" w:rsidR="0003400C" w:rsidRDefault="0003400C">
          <w:pPr>
            <w:rPr>
              <w:rFonts w:ascii="Palatino Linotype" w:eastAsia="Palatino Linotype" w:hAnsi="Palatino Linotype" w:cs="Palatino Linotype"/>
              <w:b/>
              <w:sz w:val="22"/>
              <w:szCs w:val="22"/>
            </w:rPr>
          </w:pPr>
        </w:p>
      </w:tc>
      <w:tc>
        <w:tcPr>
          <w:tcW w:w="3119" w:type="dxa"/>
          <w:vAlign w:val="center"/>
        </w:tcPr>
        <w:p w14:paraId="182420C1" w14:textId="77777777" w:rsidR="0003400C" w:rsidRDefault="002D6F4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03400C" w14:paraId="161F3E8C" w14:textId="77777777">
      <w:tc>
        <w:tcPr>
          <w:tcW w:w="2551" w:type="dxa"/>
          <w:vAlign w:val="center"/>
        </w:tcPr>
        <w:p w14:paraId="28746309" w14:textId="77777777" w:rsidR="0003400C" w:rsidRDefault="002D6F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4081BCD" w14:textId="77777777" w:rsidR="0003400C" w:rsidRDefault="002D6F4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AF47BE" w14:textId="77777777" w:rsidR="0003400C" w:rsidRDefault="002D6F4E">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4165" w14:textId="77777777" w:rsidR="0003400C" w:rsidRDefault="0003400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1F58C" w14:textId="77777777" w:rsidR="0003400C" w:rsidRDefault="0003400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209F" w14:textId="77777777" w:rsidR="0003400C" w:rsidRDefault="0003400C">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8A1620F" w14:textId="77777777" w:rsidR="0003400C" w:rsidRDefault="0003400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358B"/>
    <w:multiLevelType w:val="multilevel"/>
    <w:tmpl w:val="895051A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115EA4"/>
    <w:multiLevelType w:val="multilevel"/>
    <w:tmpl w:val="274879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A82AB4"/>
    <w:multiLevelType w:val="multilevel"/>
    <w:tmpl w:val="10F28CF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0E7673"/>
    <w:multiLevelType w:val="multilevel"/>
    <w:tmpl w:val="B184CC4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 w15:restartNumberingAfterBreak="0">
    <w:nsid w:val="5B744458"/>
    <w:multiLevelType w:val="multilevel"/>
    <w:tmpl w:val="71F2E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09119C"/>
    <w:multiLevelType w:val="multilevel"/>
    <w:tmpl w:val="9BD6CF7A"/>
    <w:lvl w:ilvl="0">
      <w:start w:val="4"/>
      <w:numFmt w:val="bullet"/>
      <w:lvlText w:val="-"/>
      <w:lvlJc w:val="left"/>
      <w:pPr>
        <w:ind w:left="720" w:hanging="360"/>
      </w:pPr>
      <w:rPr>
        <w:rFonts w:ascii="Times New Roman" w:eastAsia="Times New Roman" w:hAnsi="Times New Roman" w:cs="Times New Roman"/>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BAB20D5"/>
    <w:multiLevelType w:val="multilevel"/>
    <w:tmpl w:val="7108B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0C"/>
    <w:rsid w:val="000206B1"/>
    <w:rsid w:val="0003400C"/>
    <w:rsid w:val="00141DF7"/>
    <w:rsid w:val="00183E39"/>
    <w:rsid w:val="002D6F4E"/>
    <w:rsid w:val="0035272A"/>
    <w:rsid w:val="004A55B4"/>
    <w:rsid w:val="007B0CA5"/>
    <w:rsid w:val="00CA386F"/>
    <w:rsid w:val="00EA65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A719"/>
  <w15:docId w15:val="{EE89E071-A118-45BC-BA8E-BFAC959A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7"/>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D4A3E"/>
    <w:rPr>
      <w:color w:val="0000FF" w:themeColor="hyperlink"/>
      <w:u w:val="single"/>
    </w:rPr>
  </w:style>
  <w:style w:type="character" w:customStyle="1" w:styleId="Mencinsinresolver1">
    <w:name w:val="Mención sin resolver1"/>
    <w:basedOn w:val="Fuentedeprrafopredeter"/>
    <w:uiPriority w:val="99"/>
    <w:semiHidden/>
    <w:unhideWhenUsed/>
    <w:rsid w:val="00314AE2"/>
    <w:rPr>
      <w:color w:val="605E5C"/>
      <w:shd w:val="clear" w:color="auto" w:fill="E1DFDD"/>
    </w:rPr>
  </w:style>
  <w:style w:type="character" w:styleId="Hipervnculovisitado">
    <w:name w:val="FollowedHyperlink"/>
    <w:basedOn w:val="Fuentedeprrafopredeter"/>
    <w:uiPriority w:val="99"/>
    <w:semiHidden/>
    <w:unhideWhenUsed/>
    <w:rsid w:val="00314AE2"/>
    <w:rPr>
      <w:color w:val="800080" w:themeColor="followedHyperlink"/>
      <w:u w:val="single"/>
    </w:r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Oy56NpBLRQw"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ma.edomex.gob.mx/portal/wp-content/uploads/2024/05/leyvig233.pdf"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youtu.be/AUsJIW0ra2Y"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fujw1DTjosPlSwhXyhtIaFi4Q==">CgMxLjAyCWguM3pueXNoNzIOaC5ld3Zkd2I0Y2FmN2QyCGguZ2pkZ3hzMgloLjMwajB6bGwyCWguMWZvYjl0ZTIOaC5iYmt0enI5M2IxZXc4AHIhMV8wWjlldUhPelhTWjRWMGprQk4yTlZ1RXp3RTktUXN5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11309</Words>
  <Characters>62203</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2025-05-16T17:10:00Z</cp:lastPrinted>
  <dcterms:created xsi:type="dcterms:W3CDTF">2025-05-23T16:55:00Z</dcterms:created>
  <dcterms:modified xsi:type="dcterms:W3CDTF">2025-05-23T16:55:00Z</dcterms:modified>
</cp:coreProperties>
</file>