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B684B" w14:textId="77777777" w:rsidR="000B7002" w:rsidRPr="00620CE7" w:rsidRDefault="00490ACB" w:rsidP="000B7002">
      <w:pPr>
        <w:spacing w:before="240" w:after="360" w:line="360" w:lineRule="auto"/>
        <w:jc w:val="both"/>
        <w:rPr>
          <w:rFonts w:ascii="Palatino Linotype" w:eastAsia="Palatino Linotype" w:hAnsi="Palatino Linotype" w:cs="Palatino Linotype"/>
          <w:color w:val="000000" w:themeColor="text1"/>
        </w:rPr>
      </w:pPr>
      <w:bookmarkStart w:id="0" w:name="_GoBack"/>
      <w:bookmarkEnd w:id="0"/>
      <w:r w:rsidRPr="00620CE7">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620CE7">
        <w:rPr>
          <w:rFonts w:ascii="Palatino Linotype" w:eastAsia="Palatino Linotype" w:hAnsi="Palatino Linotype" w:cs="Palatino Linotype"/>
          <w:b/>
          <w:color w:val="000000" w:themeColor="text1"/>
        </w:rPr>
        <w:t>de fecha diez  (10) de diciembre de dos mil veinticinco</w:t>
      </w:r>
      <w:r w:rsidRPr="00620CE7">
        <w:rPr>
          <w:rFonts w:ascii="Palatino Linotype" w:eastAsia="Palatino Linotype" w:hAnsi="Palatino Linotype" w:cs="Palatino Linotype"/>
          <w:color w:val="000000" w:themeColor="text1"/>
        </w:rPr>
        <w:t>.</w:t>
      </w:r>
    </w:p>
    <w:p w14:paraId="00000002" w14:textId="0C46CD18" w:rsidR="001218D2" w:rsidRPr="00620CE7" w:rsidRDefault="00490ACB" w:rsidP="000B7002">
      <w:pPr>
        <w:spacing w:before="240" w:after="360" w:line="360" w:lineRule="auto"/>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 xml:space="preserve">VISTO </w:t>
      </w:r>
      <w:r w:rsidRPr="00620CE7">
        <w:rPr>
          <w:rFonts w:ascii="Palatino Linotype" w:eastAsia="Palatino Linotype" w:hAnsi="Palatino Linotype" w:cs="Palatino Linotype"/>
          <w:color w:val="000000" w:themeColor="text1"/>
        </w:rPr>
        <w:t xml:space="preserve">el expediente electrónico formado con motivo del recurso de revisión </w:t>
      </w:r>
      <w:r w:rsidRPr="00620CE7">
        <w:rPr>
          <w:rFonts w:ascii="Palatino Linotype" w:eastAsia="Palatino Linotype" w:hAnsi="Palatino Linotype" w:cs="Palatino Linotype"/>
          <w:b/>
          <w:bCs/>
          <w:color w:val="000000" w:themeColor="text1"/>
        </w:rPr>
        <w:t>05753/INFOEM/IP/RR/2025</w:t>
      </w:r>
      <w:r w:rsidRPr="00620CE7">
        <w:rPr>
          <w:rFonts w:ascii="Palatino Linotype" w:eastAsia="Palatino Linotype" w:hAnsi="Palatino Linotype" w:cs="Palatino Linotype"/>
          <w:color w:val="000000" w:themeColor="text1"/>
        </w:rPr>
        <w:t xml:space="preserve">, promovido por </w:t>
      </w:r>
      <w:r w:rsidRPr="00620CE7">
        <w:rPr>
          <w:rFonts w:ascii="Palatino Linotype" w:eastAsia="Palatino Linotype" w:hAnsi="Palatino Linotype" w:cs="Palatino Linotype"/>
          <w:b/>
          <w:bCs/>
          <w:color w:val="000000" w:themeColor="text1"/>
        </w:rPr>
        <w:t xml:space="preserve">una persona que no proporciona datos de identificación, </w:t>
      </w:r>
      <w:r w:rsidRPr="00620CE7">
        <w:rPr>
          <w:rFonts w:ascii="Palatino Linotype" w:eastAsia="Palatino Linotype" w:hAnsi="Palatino Linotype" w:cs="Palatino Linotype"/>
          <w:color w:val="000000" w:themeColor="text1"/>
        </w:rPr>
        <w:t xml:space="preserve">en lo sucesivo será identificado en su calidad de </w:t>
      </w:r>
      <w:r w:rsidRPr="00620CE7">
        <w:rPr>
          <w:rFonts w:ascii="Palatino Linotype" w:eastAsia="Palatino Linotype" w:hAnsi="Palatino Linotype" w:cs="Palatino Linotype"/>
          <w:b/>
          <w:bCs/>
          <w:color w:val="000000" w:themeColor="text1"/>
        </w:rPr>
        <w:t>RECURRENTE</w:t>
      </w:r>
      <w:r w:rsidRPr="00620CE7">
        <w:rPr>
          <w:rFonts w:ascii="Palatino Linotype" w:eastAsia="Palatino Linotype" w:hAnsi="Palatino Linotype" w:cs="Palatino Linotype"/>
          <w:color w:val="000000" w:themeColor="text1"/>
        </w:rPr>
        <w:t>,</w:t>
      </w:r>
      <w:r w:rsidRPr="00620CE7">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color w:val="000000" w:themeColor="text1"/>
        </w:rPr>
        <w:t>en contra de la respuesta</w:t>
      </w:r>
      <w:r w:rsidR="000B7002" w:rsidRPr="00620CE7">
        <w:rPr>
          <w:rFonts w:ascii="Palatino Linotype" w:eastAsia="Palatino Linotype" w:hAnsi="Palatino Linotype" w:cs="Palatino Linotype"/>
          <w:color w:val="000000" w:themeColor="text1"/>
        </w:rPr>
        <w:t xml:space="preserve"> emitida</w:t>
      </w:r>
      <w:r w:rsidRPr="00620CE7">
        <w:rPr>
          <w:rFonts w:ascii="Palatino Linotype" w:eastAsia="Palatino Linotype" w:hAnsi="Palatino Linotype" w:cs="Palatino Linotype"/>
          <w:color w:val="000000" w:themeColor="text1"/>
        </w:rPr>
        <w:t xml:space="preserve"> por el </w:t>
      </w:r>
      <w:r w:rsidRPr="00620CE7">
        <w:rPr>
          <w:rFonts w:ascii="Palatino Linotype" w:eastAsia="Palatino Linotype" w:hAnsi="Palatino Linotype" w:cs="Palatino Linotype"/>
          <w:b/>
          <w:bCs/>
          <w:color w:val="000000" w:themeColor="text1"/>
        </w:rPr>
        <w:t xml:space="preserve">Ayuntamiento de Toluca, </w:t>
      </w:r>
      <w:r w:rsidR="00E76956">
        <w:rPr>
          <w:rFonts w:ascii="Palatino Linotype" w:eastAsia="Palatino Linotype" w:hAnsi="Palatino Linotype" w:cs="Palatino Linotype"/>
          <w:color w:val="000000" w:themeColor="text1"/>
        </w:rPr>
        <w:t xml:space="preserve">en adelante </w:t>
      </w:r>
      <w:r w:rsidRPr="00620CE7">
        <w:rPr>
          <w:rFonts w:ascii="Palatino Linotype" w:eastAsia="Palatino Linotype" w:hAnsi="Palatino Linotype" w:cs="Palatino Linotype"/>
          <w:color w:val="000000" w:themeColor="text1"/>
        </w:rPr>
        <w:t>el</w:t>
      </w:r>
      <w:r w:rsidRPr="00620CE7">
        <w:rPr>
          <w:rFonts w:ascii="Palatino Linotype" w:eastAsia="Palatino Linotype" w:hAnsi="Palatino Linotype" w:cs="Palatino Linotype"/>
          <w:b/>
          <w:bCs/>
          <w:color w:val="000000" w:themeColor="text1"/>
        </w:rPr>
        <w:t xml:space="preserve"> SUJETO OBLIGADO, </w:t>
      </w:r>
      <w:r w:rsidRPr="00620CE7">
        <w:rPr>
          <w:rFonts w:ascii="Palatino Linotype" w:eastAsia="Palatino Linotype" w:hAnsi="Palatino Linotype" w:cs="Palatino Linotype"/>
          <w:color w:val="000000" w:themeColor="text1"/>
        </w:rPr>
        <w:t xml:space="preserve">se procede a dictar la presente resolución, con base en los siguientes: </w:t>
      </w:r>
    </w:p>
    <w:p w14:paraId="00000003" w14:textId="4BCCD16B" w:rsidR="001218D2" w:rsidRPr="00620CE7" w:rsidRDefault="00490ACB" w:rsidP="000B7002">
      <w:pPr>
        <w:pStyle w:val="Ttulo1"/>
        <w:spacing w:line="360" w:lineRule="auto"/>
        <w:jc w:val="center"/>
        <w:rPr>
          <w:rFonts w:ascii="Palatino Linotype" w:eastAsia="Palatino Linotype" w:hAnsi="Palatino Linotype" w:cs="Palatino Linotype"/>
          <w:b/>
          <w:bCs/>
          <w:color w:val="000000" w:themeColor="text1"/>
          <w:sz w:val="24"/>
          <w:szCs w:val="24"/>
        </w:rPr>
      </w:pPr>
      <w:bookmarkStart w:id="1" w:name="_heading=h.o7juj0kg4tmd" w:colFirst="0" w:colLast="0"/>
      <w:bookmarkEnd w:id="1"/>
      <w:r w:rsidRPr="00620CE7">
        <w:rPr>
          <w:rFonts w:ascii="Palatino Linotype" w:eastAsia="Palatino Linotype" w:hAnsi="Palatino Linotype" w:cs="Palatino Linotype"/>
          <w:b/>
          <w:bCs/>
          <w:color w:val="000000" w:themeColor="text1"/>
          <w:sz w:val="24"/>
          <w:szCs w:val="24"/>
        </w:rPr>
        <w:t>A</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N</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T</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E</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C</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E</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D</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E</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N</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T</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E</w:t>
      </w:r>
      <w:r w:rsidR="00E76956">
        <w:rPr>
          <w:rFonts w:ascii="Palatino Linotype" w:eastAsia="Palatino Linotype" w:hAnsi="Palatino Linotype" w:cs="Palatino Linotype"/>
          <w:b/>
          <w:bCs/>
          <w:color w:val="000000" w:themeColor="text1"/>
          <w:sz w:val="24"/>
          <w:szCs w:val="24"/>
        </w:rPr>
        <w:t xml:space="preserve"> </w:t>
      </w:r>
      <w:r w:rsidRPr="00620CE7">
        <w:rPr>
          <w:rFonts w:ascii="Palatino Linotype" w:eastAsia="Palatino Linotype" w:hAnsi="Palatino Linotype" w:cs="Palatino Linotype"/>
          <w:b/>
          <w:bCs/>
          <w:color w:val="000000" w:themeColor="text1"/>
          <w:sz w:val="24"/>
          <w:szCs w:val="24"/>
        </w:rPr>
        <w:t>S</w:t>
      </w:r>
      <w:r w:rsidR="00E76956">
        <w:rPr>
          <w:rFonts w:ascii="Palatino Linotype" w:eastAsia="Palatino Linotype" w:hAnsi="Palatino Linotype" w:cs="Palatino Linotype"/>
          <w:b/>
          <w:bCs/>
          <w:color w:val="000000" w:themeColor="text1"/>
          <w:sz w:val="24"/>
          <w:szCs w:val="24"/>
        </w:rPr>
        <w:t xml:space="preserve"> </w:t>
      </w:r>
    </w:p>
    <w:p w14:paraId="00000004" w14:textId="4134023A" w:rsidR="001218D2" w:rsidRPr="00620CE7" w:rsidRDefault="00490ACB" w:rsidP="000B7002">
      <w:pPr>
        <w:numPr>
          <w:ilvl w:val="0"/>
          <w:numId w:val="1"/>
        </w:numPr>
        <w:pBdr>
          <w:top w:val="nil"/>
          <w:left w:val="nil"/>
          <w:bottom w:val="nil"/>
          <w:right w:val="nil"/>
          <w:between w:val="nil"/>
        </w:pBdr>
        <w:tabs>
          <w:tab w:val="left" w:pos="567"/>
        </w:tabs>
        <w:spacing w:before="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El </w:t>
      </w:r>
      <w:r w:rsidRPr="00620CE7">
        <w:rPr>
          <w:rFonts w:ascii="Palatino Linotype" w:eastAsia="Palatino Linotype" w:hAnsi="Palatino Linotype" w:cs="Palatino Linotype"/>
          <w:b/>
          <w:bCs/>
          <w:color w:val="000000" w:themeColor="text1"/>
        </w:rPr>
        <w:t>treinta y uno de marzo de dos mil veinticinco</w:t>
      </w:r>
      <w:r w:rsidRPr="00620CE7">
        <w:rPr>
          <w:rFonts w:ascii="Palatino Linotype" w:eastAsia="Palatino Linotype" w:hAnsi="Palatino Linotype" w:cs="Palatino Linotype"/>
          <w:color w:val="000000" w:themeColor="text1"/>
        </w:rPr>
        <w:t>, el particular presentó</w:t>
      </w:r>
      <w:r w:rsidRPr="00620CE7">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color w:val="000000" w:themeColor="text1"/>
        </w:rPr>
        <w:t xml:space="preserve">a través del Sistema de Acceso a la Información Mexiquense </w:t>
      </w:r>
      <w:r w:rsidRPr="00620CE7">
        <w:rPr>
          <w:rFonts w:ascii="Palatino Linotype" w:eastAsia="Palatino Linotype" w:hAnsi="Palatino Linotype" w:cs="Palatino Linotype"/>
          <w:b/>
          <w:bCs/>
          <w:color w:val="000000" w:themeColor="text1"/>
        </w:rPr>
        <w:t xml:space="preserve">(SAIMEX), </w:t>
      </w:r>
      <w:r w:rsidRPr="00620CE7">
        <w:rPr>
          <w:rFonts w:ascii="Palatino Linotype" w:eastAsia="Palatino Linotype" w:hAnsi="Palatino Linotype" w:cs="Palatino Linotype"/>
          <w:color w:val="000000" w:themeColor="text1"/>
        </w:rPr>
        <w:t xml:space="preserve">la solicitud de información pública registrada con el número </w:t>
      </w:r>
      <w:r w:rsidRPr="00620CE7">
        <w:rPr>
          <w:rFonts w:ascii="Palatino Linotype" w:eastAsia="Palatino Linotype" w:hAnsi="Palatino Linotype" w:cs="Palatino Linotype"/>
          <w:b/>
          <w:bCs/>
          <w:color w:val="000000" w:themeColor="text1"/>
        </w:rPr>
        <w:t xml:space="preserve">01915/TOLUCA/IP/2025, </w:t>
      </w:r>
      <w:r w:rsidR="00E76956">
        <w:rPr>
          <w:rFonts w:ascii="Palatino Linotype" w:eastAsia="Palatino Linotype" w:hAnsi="Palatino Linotype" w:cs="Palatino Linotype"/>
          <w:color w:val="000000" w:themeColor="text1"/>
        </w:rPr>
        <w:t>en la que se</w:t>
      </w:r>
      <w:r w:rsidRPr="00620CE7">
        <w:rPr>
          <w:rFonts w:ascii="Palatino Linotype" w:eastAsia="Palatino Linotype" w:hAnsi="Palatino Linotype" w:cs="Palatino Linotype"/>
          <w:color w:val="000000" w:themeColor="text1"/>
        </w:rPr>
        <w:t xml:space="preserve"> requirió:</w:t>
      </w:r>
    </w:p>
    <w:p w14:paraId="00000005"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006"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 xml:space="preserve">“Solicito la siguiente información de Planeacion: - El plan de Desarrollo Municipal de la presente administración. - Los planes regionales o sectoriales en los que el municipio tiene participación. - Según la Estructura Programática, solicito los Programas Operativos Anuales correspondientes a los ejercicios 2019, 2020, 2021, 2022, 2023, 2024 y 2025 , completos conforme a lo establecido por el Manual para la Planeación, Programación y presupuesto municipal de los ejercicios fiscales correspondientes. - Los reportes trimestrales de evaluación de todas las áreas de la administración municipal, correspondientes a la estructura programática. - Los formatos de reconducción de metas de los ejercicios 2019, 2020, 2021, 2022, 2023, 2024 y 2025 - Las actas de las sesiones del COPLADEMUN. - Los informes de avance del Plan de Desarrollo Municipal que se anexan a la cuenta pública de los años 2019 a 2025 Los informes de gobierno municipal. - Los reportes de seguimiento de indicadores estratégicos y de gestión de los años 2019, 2020 y 2021. - Los resultados del Índice de Gestión Municipal de los años 2019 a 2025 programa del INAFED. - La certificación de Competencia Laboral de la titular de la UIPPE, emitida por el Instituto Hacendario del Estado </w:t>
      </w:r>
      <w:r w:rsidRPr="00620CE7">
        <w:rPr>
          <w:rFonts w:ascii="Palatino Linotype" w:eastAsia="Palatino Linotype" w:hAnsi="Palatino Linotype" w:cs="Palatino Linotype"/>
          <w:i/>
          <w:iCs/>
          <w:color w:val="000000" w:themeColor="text1"/>
        </w:rPr>
        <w:lastRenderedPageBreak/>
        <w:t>de México. Solicito la siguiente información a la Unidad de Transparencia: Con fundamento en lo dispuesto por la Ley de Transparencia y Acceso a la Información Pública del Estado de México y Municipios, solicito por este medio se me entregue la siguiente información: - Las actas de todas las sesiones ordinarias y extraordinarias del Comité de Transparencia, correspondientes a los años 2019, 2020, 2021 a la fecha de ingreso de esta solicitud. - La relación de enlaces de transparencia del Sujeto Obligado, su nombramiento, y fecha en que les fue entregados usuarios y contraseñas.” (Sic)</w:t>
      </w:r>
    </w:p>
    <w:p w14:paraId="00000007"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14:paraId="00000008" w14:textId="77777777" w:rsidR="001218D2" w:rsidRPr="00620CE7" w:rsidRDefault="00490ACB" w:rsidP="000B7002">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Se hace constar que se señaló como modalidad de entrega de la información</w:t>
      </w:r>
      <w:r w:rsidRPr="00620CE7">
        <w:rPr>
          <w:rFonts w:ascii="Palatino Linotype" w:eastAsia="Palatino Linotype" w:hAnsi="Palatino Linotype" w:cs="Palatino Linotype"/>
          <w:b/>
          <w:bCs/>
          <w:color w:val="000000" w:themeColor="text1"/>
        </w:rPr>
        <w:t>:</w:t>
      </w:r>
      <w:r w:rsidRPr="00620CE7">
        <w:rPr>
          <w:rFonts w:ascii="Palatino Linotype" w:eastAsia="Palatino Linotype" w:hAnsi="Palatino Linotype" w:cs="Palatino Linotype"/>
          <w:color w:val="000000" w:themeColor="text1"/>
        </w:rPr>
        <w:t xml:space="preserve"> </w:t>
      </w:r>
      <w:r w:rsidRPr="00620CE7">
        <w:rPr>
          <w:rFonts w:ascii="Palatino Linotype" w:eastAsia="Palatino Linotype" w:hAnsi="Palatino Linotype" w:cs="Palatino Linotype"/>
          <w:b/>
          <w:bCs/>
          <w:color w:val="000000" w:themeColor="text1"/>
        </w:rPr>
        <w:t>A través del SAIMEX.</w:t>
      </w:r>
    </w:p>
    <w:p w14:paraId="00000009"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p>
    <w:p w14:paraId="0000000A" w14:textId="77777777" w:rsidR="001218D2" w:rsidRPr="00620CE7" w:rsidRDefault="00490ACB" w:rsidP="000B7002">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color w:val="000000" w:themeColor="text1"/>
        </w:rPr>
        <w:t xml:space="preserve">El </w:t>
      </w:r>
      <w:r w:rsidRPr="00620CE7">
        <w:rPr>
          <w:rFonts w:ascii="Palatino Linotype" w:eastAsia="Palatino Linotype" w:hAnsi="Palatino Linotype" w:cs="Palatino Linotype"/>
          <w:b/>
          <w:bCs/>
          <w:color w:val="000000" w:themeColor="text1"/>
        </w:rPr>
        <w:t>veintiocho de abril de dos mil veinticinco</w:t>
      </w:r>
      <w:r w:rsidRPr="00620CE7">
        <w:rPr>
          <w:rFonts w:ascii="Palatino Linotype" w:eastAsia="Palatino Linotype" w:hAnsi="Palatino Linotype" w:cs="Palatino Linotype"/>
          <w:color w:val="000000" w:themeColor="text1"/>
        </w:rPr>
        <w:t xml:space="preserve">,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dio respuesta a la solicitud de información en los siguientes términos:</w:t>
      </w:r>
    </w:p>
    <w:p w14:paraId="0000000C"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00000D" w14:textId="77777777" w:rsidR="001218D2" w:rsidRPr="00620CE7" w:rsidRDefault="001218D2"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p>
    <w:p w14:paraId="0000000E"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En atención a la solicitud con folio 01915/TOLUCA/IP/2025, me permito adjuntar al presente la respuesta correspondiente de la Dirección General de Administración, Unidad de Transparencia, Unidad de Información, Planeación, Programación y Evaluación, Sin más por el momento, reciba un saludo” (Sic.)</w:t>
      </w:r>
    </w:p>
    <w:p w14:paraId="0000000F" w14:textId="77777777" w:rsidR="001218D2" w:rsidRPr="00620CE7" w:rsidRDefault="001218D2" w:rsidP="000B7002">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14:paraId="00000010" w14:textId="77777777" w:rsidR="001218D2" w:rsidRPr="00620CE7" w:rsidRDefault="00490ACB" w:rsidP="000B70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Se adjuntaron los siguientes archivos electrónicos:</w:t>
      </w:r>
    </w:p>
    <w:p w14:paraId="00000011" w14:textId="77777777" w:rsidR="001218D2" w:rsidRPr="00620CE7" w:rsidRDefault="001218D2" w:rsidP="000B7002">
      <w:pPr>
        <w:pBdr>
          <w:top w:val="nil"/>
          <w:left w:val="nil"/>
          <w:bottom w:val="nil"/>
          <w:right w:val="nil"/>
          <w:between w:val="nil"/>
        </w:pBdr>
        <w:spacing w:line="360" w:lineRule="auto"/>
        <w:rPr>
          <w:rFonts w:ascii="Palatino Linotype" w:eastAsia="Palatino Linotype" w:hAnsi="Palatino Linotype" w:cs="Palatino Linotype"/>
          <w:b/>
          <w:bCs/>
          <w:color w:val="000000" w:themeColor="text1"/>
        </w:rPr>
      </w:pPr>
    </w:p>
    <w:p w14:paraId="00000012" w14:textId="77777777" w:rsidR="001218D2" w:rsidRPr="00620CE7" w:rsidRDefault="008946A7" w:rsidP="00E76956">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hyperlink r:id="rId8">
        <w:r w:rsidR="00490ACB" w:rsidRPr="00620CE7">
          <w:rPr>
            <w:rFonts w:ascii="Palatino Linotype" w:eastAsia="Palatino Linotype" w:hAnsi="Palatino Linotype" w:cs="Palatino Linotype"/>
            <w:b/>
            <w:bCs/>
            <w:color w:val="000000" w:themeColor="text1"/>
          </w:rPr>
          <w:t>Liga</w:t>
        </w:r>
      </w:hyperlink>
      <w:r w:rsidR="00490ACB" w:rsidRPr="00620CE7">
        <w:rPr>
          <w:rFonts w:ascii="Palatino Linotype" w:eastAsia="Palatino Linotype" w:hAnsi="Palatino Linotype" w:cs="Palatino Linotype"/>
          <w:b/>
          <w:bCs/>
          <w:color w:val="000000" w:themeColor="text1"/>
        </w:rPr>
        <w:t xml:space="preserve"> F.XLIII A.docx: </w:t>
      </w:r>
      <w:r w:rsidR="00490ACB" w:rsidRPr="00620CE7">
        <w:rPr>
          <w:rFonts w:ascii="Palatino Linotype" w:eastAsia="Palatino Linotype" w:hAnsi="Palatino Linotype" w:cs="Palatino Linotype"/>
          <w:color w:val="000000" w:themeColor="text1"/>
        </w:rPr>
        <w:t xml:space="preserve">Documento Word, que contiene dos ligas electrónicas: </w:t>
      </w:r>
    </w:p>
    <w:p w14:paraId="00000014" w14:textId="77777777" w:rsidR="001218D2" w:rsidRPr="00620CE7" w:rsidRDefault="008946A7" w:rsidP="00E76956">
      <w:pPr>
        <w:numPr>
          <w:ilvl w:val="1"/>
          <w:numId w:val="2"/>
        </w:numPr>
        <w:pBdr>
          <w:top w:val="nil"/>
          <w:left w:val="nil"/>
          <w:bottom w:val="nil"/>
          <w:right w:val="nil"/>
          <w:between w:val="nil"/>
        </w:pBdr>
        <w:ind w:left="0" w:firstLine="0"/>
        <w:rPr>
          <w:rFonts w:ascii="Palatino Linotype" w:eastAsia="Arial" w:hAnsi="Palatino Linotype" w:cs="Arial"/>
          <w:color w:val="000000" w:themeColor="text1"/>
        </w:rPr>
      </w:pPr>
      <w:hyperlink r:id="rId9">
        <w:r w:rsidR="00490ACB" w:rsidRPr="00620CE7">
          <w:rPr>
            <w:rFonts w:ascii="Palatino Linotype" w:eastAsia="Arial" w:hAnsi="Palatino Linotype" w:cs="Arial"/>
            <w:color w:val="000000" w:themeColor="text1"/>
            <w:u w:val="single"/>
          </w:rPr>
          <w:t>https://ipomex3.ipomex.org.mx/ipo3/lgt/indice/TOLUCA/art_92_xliii_b.web?token=03AFcWeA6kduMIilviyx-4K2-1Z28LmTqwk3YRgI9G2tYPnxYlkLoQke4OCS_ZTJr7BmtzlLDrf9lczWISDocXg2QCl3-I6wWN2aobBXyDYpOILEN8sRGNm4Qoi89uHgay0t8zvZhfofNbwUUeztFQyb1NiODzhKcsVx50E8rRY6bxSg7kiqbzv7pJk1ox1TKJgxFGRNtbjGek3Ncp9qUy8lNaDilNk87_rbvWvpVg19TVWD-scea1kFXPnBgdrMx-9QR-cfGWrI9hDQ3c-1C1pdvBnmM8mML517VSSqS2ksTjDDOxxkwOPSL5ybmEwdC6v86wiW7by0gTWvqCk</w:t>
        </w:r>
        <w:r w:rsidR="00490ACB" w:rsidRPr="00620CE7">
          <w:rPr>
            <w:rFonts w:ascii="Palatino Linotype" w:eastAsia="Arial" w:hAnsi="Palatino Linotype" w:cs="Arial"/>
            <w:color w:val="000000" w:themeColor="text1"/>
            <w:u w:val="single"/>
          </w:rPr>
          <w:lastRenderedPageBreak/>
          <w:t>DZ1pBDXUlmDcjxhoFcLwn4kHDkTOAgIRhrvmQFLo5SDkkPXes_aiQgcd7mkrswBgOXFgdbkibKG8O5l9txdUTDzbXjdgkrQonI2zq2kKCgLRMGGZZQKDRlhRXDTDUgxILGK_vRNpzfbEE33Q3blDiyzuw4_EMQ8KR9w5hdl357_GQrDaHfXfsj7ksu0_U-Bvx_ylyaLSFz1DJ80-Rymop1ZRYkOBs9ETn9eKQZlBY6LKT3N-ah_JTVVSS1_VfrjNsbys34PTw04OKrN4AGR-w4UkGGmkQSBGWnpVjOQZR8jvyzaDmALLDDpidhEAD8znQXJpvfhk3KZi9_mEYZp50Z_bKMlqmQqEHxh0-oa2Vh3AkkNZJKqhjed_v1mNl0Tfqklx5sAmGoyutCfK4WX-aSM2qisaFXklc2CNKrlM03QSIjcWUg_Re6I73fNYXg15trbgH_UmicSkzg1G6nthtqCbj1ObrPbo63t5sTxnDAHulrfN7KoHwzM3S9O5O_TXKY_ktH78vcJhv7USv42XXM91Sx9WJ6NG4T7Im3YQGHyGyu1ajSjLlaj7bhQNJl_S6XruAT5HVQO5GREf1ZM0ttrbWRIOo8LeseMFxTLMrFNjXhYo1nWQ41QwHXL</w:t>
        </w:r>
      </w:hyperlink>
    </w:p>
    <w:p w14:paraId="00000015" w14:textId="77777777" w:rsidR="001218D2" w:rsidRPr="00620CE7" w:rsidRDefault="001218D2" w:rsidP="000B7002">
      <w:pPr>
        <w:pBdr>
          <w:top w:val="nil"/>
          <w:left w:val="nil"/>
          <w:bottom w:val="nil"/>
          <w:right w:val="nil"/>
          <w:between w:val="nil"/>
        </w:pBdr>
        <w:tabs>
          <w:tab w:val="left" w:pos="7080"/>
        </w:tabs>
        <w:jc w:val="both"/>
        <w:rPr>
          <w:rFonts w:ascii="Palatino Linotype" w:eastAsia="Arial" w:hAnsi="Palatino Linotype" w:cs="Arial"/>
          <w:color w:val="000000" w:themeColor="text1"/>
        </w:rPr>
      </w:pPr>
    </w:p>
    <w:p w14:paraId="00000016" w14:textId="77777777" w:rsidR="001218D2" w:rsidRPr="00620CE7" w:rsidRDefault="008946A7" w:rsidP="00E76956">
      <w:pPr>
        <w:numPr>
          <w:ilvl w:val="1"/>
          <w:numId w:val="2"/>
        </w:numPr>
        <w:pBdr>
          <w:top w:val="nil"/>
          <w:left w:val="nil"/>
          <w:bottom w:val="nil"/>
          <w:right w:val="nil"/>
          <w:between w:val="nil"/>
        </w:pBdr>
        <w:ind w:left="0" w:firstLine="0"/>
        <w:jc w:val="both"/>
        <w:rPr>
          <w:rFonts w:ascii="Palatino Linotype" w:eastAsia="Arial" w:hAnsi="Palatino Linotype" w:cs="Arial"/>
          <w:color w:val="000000" w:themeColor="text1"/>
        </w:rPr>
      </w:pPr>
      <w:hyperlink r:id="rId10" w:anchor="/info-fraccion/67/197/1">
        <w:r w:rsidR="00490ACB" w:rsidRPr="00620CE7">
          <w:rPr>
            <w:rFonts w:ascii="Palatino Linotype" w:eastAsia="Arial" w:hAnsi="Palatino Linotype" w:cs="Arial"/>
            <w:color w:val="000000" w:themeColor="text1"/>
            <w:u w:val="single"/>
          </w:rPr>
          <w:t>https://infoem2.ipomex.org.mx/ipomex/#/info-fraccion/67/197/1</w:t>
        </w:r>
      </w:hyperlink>
    </w:p>
    <w:p w14:paraId="00000017" w14:textId="77777777" w:rsidR="001218D2" w:rsidRPr="00620CE7" w:rsidRDefault="001218D2" w:rsidP="00E76956">
      <w:pPr>
        <w:tabs>
          <w:tab w:val="left" w:pos="8222"/>
        </w:tabs>
        <w:spacing w:line="360" w:lineRule="auto"/>
        <w:jc w:val="both"/>
        <w:rPr>
          <w:rFonts w:ascii="Palatino Linotype" w:eastAsia="Palatino Linotype" w:hAnsi="Palatino Linotype" w:cs="Palatino Linotype"/>
          <w:b/>
          <w:bCs/>
          <w:color w:val="000000" w:themeColor="text1"/>
        </w:rPr>
      </w:pPr>
    </w:p>
    <w:p w14:paraId="00000018" w14:textId="66B6265E" w:rsidR="001218D2" w:rsidRPr="00620CE7" w:rsidRDefault="00490ACB" w:rsidP="00E76956">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 xml:space="preserve">R. 01915.2025.pdf: </w:t>
      </w:r>
      <w:r w:rsidRPr="00620CE7">
        <w:rPr>
          <w:rFonts w:ascii="Palatino Linotype" w:eastAsia="Palatino Linotype" w:hAnsi="Palatino Linotype" w:cs="Palatino Linotype"/>
          <w:color w:val="000000" w:themeColor="text1"/>
        </w:rPr>
        <w:t xml:space="preserve">Oficio de fecha veintiocho de abril de dos mil veinticinco, suscrito por el titular de la Unidad de Transparencia, mediante el cual hago hace del conocimiento que la Dirección General de Administración y servidora pública habilitada, informó que la Dirección de Recursos Humanos, después de haber realizado una búsqueda exhaustiva y razonable en sus archivos, de conformidad con el artículo 32 de la Ley Orgánica Municipal del Estado de México, el titular de la UIPPE, no </w:t>
      </w:r>
      <w:r w:rsidR="009747B7" w:rsidRPr="00620CE7">
        <w:rPr>
          <w:rFonts w:ascii="Palatino Linotype" w:eastAsia="Palatino Linotype" w:hAnsi="Palatino Linotype" w:cs="Palatino Linotype"/>
          <w:color w:val="000000" w:themeColor="text1"/>
        </w:rPr>
        <w:t>está</w:t>
      </w:r>
      <w:r w:rsidRPr="00620CE7">
        <w:rPr>
          <w:rFonts w:ascii="Palatino Linotype" w:eastAsia="Palatino Linotype" w:hAnsi="Palatino Linotype" w:cs="Palatino Linotype"/>
          <w:color w:val="000000" w:themeColor="text1"/>
        </w:rPr>
        <w:t xml:space="preserve"> obligado a presentar la certificación de competencia laboral.</w:t>
      </w:r>
    </w:p>
    <w:p w14:paraId="1CCC57F5" w14:textId="77777777" w:rsidR="00620CE7" w:rsidRPr="00620CE7" w:rsidRDefault="00620CE7" w:rsidP="00E76956">
      <w:p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themeColor="text1"/>
        </w:rPr>
      </w:pPr>
    </w:p>
    <w:p w14:paraId="00000019" w14:textId="77777777" w:rsidR="001218D2" w:rsidRPr="00620CE7" w:rsidRDefault="00490ACB" w:rsidP="00E76956">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color w:val="000000" w:themeColor="text1"/>
        </w:rPr>
        <w:t xml:space="preserve">Así mismo, la Unidad de Información, Planeación, Programación y Evaluación y servidor público habilitado, informó que derivado de una búsqueda razonable y exhaustiva en los archivos de esa Unidad Administrativa, se tiene que la información requerida es de 8.89 GB, por tanto se le hace del conocimiento al particular que la entrega de la información se llevara a cabo bajo la modalidad de consulta directa en las oficinas de la Unidad de Información, Planeación, Programación y Evaluación (UIPPE), ubicada en Plaza Fray Andrés de Castro, edificio “A”, Planta Baja, Colonia Centro, Toluca, México, </w:t>
      </w:r>
      <w:r w:rsidRPr="00620CE7">
        <w:rPr>
          <w:rFonts w:ascii="Palatino Linotype" w:eastAsia="Palatino Linotype" w:hAnsi="Palatino Linotype" w:cs="Palatino Linotype"/>
          <w:color w:val="000000" w:themeColor="text1"/>
        </w:rPr>
        <w:lastRenderedPageBreak/>
        <w:t xml:space="preserve">C.P. 50000, dentro del periodo comprendido de 60 días hábiles, en un horario de 10:00 a 16:00 pm, de lunes a viernes, designando al licenciado Jaime Eduardo Villaseñor Caballero, quien en todo momento lo asistirá, ello a que a la información requerida sobrepasa la capacidad técnica y administrativa de esa Unidad Administrativa para remitir la documentación requerida. </w:t>
      </w:r>
    </w:p>
    <w:p w14:paraId="665710DE" w14:textId="77777777" w:rsidR="00620CE7" w:rsidRPr="00620CE7" w:rsidRDefault="00620CE7" w:rsidP="00620CE7">
      <w:pPr>
        <w:pBdr>
          <w:top w:val="nil"/>
          <w:left w:val="nil"/>
          <w:bottom w:val="nil"/>
          <w:right w:val="nil"/>
          <w:between w:val="nil"/>
        </w:pBdr>
        <w:tabs>
          <w:tab w:val="left" w:pos="8222"/>
        </w:tabs>
        <w:spacing w:line="360" w:lineRule="auto"/>
        <w:jc w:val="both"/>
        <w:rPr>
          <w:rFonts w:ascii="Palatino Linotype" w:eastAsia="Palatino Linotype" w:hAnsi="Palatino Linotype" w:cs="Palatino Linotype"/>
          <w:b/>
          <w:bCs/>
          <w:color w:val="000000" w:themeColor="text1"/>
        </w:rPr>
      </w:pPr>
    </w:p>
    <w:p w14:paraId="0000001A" w14:textId="77777777" w:rsidR="001218D2" w:rsidRPr="00620CE7" w:rsidRDefault="00490ACB" w:rsidP="00E76956">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color w:val="000000" w:themeColor="text1"/>
        </w:rPr>
        <w:t>Así mismo, informa que lo solicitado se encuentra en la página de Información Pública de Oficio Mexiquense (IPOMEX), agregando las ligas electrónicas; sin embargo fueron remitidas en datos cerrados.</w:t>
      </w:r>
    </w:p>
    <w:p w14:paraId="0000001B" w14:textId="77777777" w:rsidR="001218D2" w:rsidRPr="00620CE7" w:rsidRDefault="001218D2" w:rsidP="000B7002">
      <w:pPr>
        <w:tabs>
          <w:tab w:val="left" w:pos="8222"/>
        </w:tabs>
        <w:spacing w:line="360" w:lineRule="auto"/>
        <w:jc w:val="both"/>
        <w:rPr>
          <w:rFonts w:ascii="Palatino Linotype" w:eastAsia="Palatino Linotype" w:hAnsi="Palatino Linotype" w:cs="Palatino Linotype"/>
          <w:b/>
          <w:bCs/>
          <w:color w:val="000000" w:themeColor="text1"/>
        </w:rPr>
      </w:pPr>
    </w:p>
    <w:p w14:paraId="0000001C" w14:textId="77777777" w:rsidR="001218D2" w:rsidRPr="00620CE7" w:rsidRDefault="00490ACB" w:rsidP="000B7002">
      <w:pPr>
        <w:numPr>
          <w:ilvl w:val="0"/>
          <w:numId w:val="1"/>
        </w:numPr>
        <w:pBdr>
          <w:top w:val="nil"/>
          <w:left w:val="nil"/>
          <w:bottom w:val="nil"/>
          <w:right w:val="nil"/>
          <w:between w:val="nil"/>
        </w:pBdr>
        <w:tabs>
          <w:tab w:val="left" w:pos="142"/>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 El </w:t>
      </w:r>
      <w:r w:rsidRPr="00620CE7">
        <w:rPr>
          <w:rFonts w:ascii="Palatino Linotype" w:eastAsia="Palatino Linotype" w:hAnsi="Palatino Linotype" w:cs="Palatino Linotype"/>
          <w:b/>
          <w:bCs/>
          <w:color w:val="000000" w:themeColor="text1"/>
        </w:rPr>
        <w:t>veintiuno de mayo de dos mil veinticinco</w:t>
      </w:r>
      <w:r w:rsidRPr="00620CE7">
        <w:rPr>
          <w:rFonts w:ascii="Palatino Linotype" w:eastAsia="Palatino Linotype" w:hAnsi="Palatino Linotype" w:cs="Palatino Linotype"/>
          <w:color w:val="000000" w:themeColor="text1"/>
        </w:rPr>
        <w:t>, el particular interpuso recurso de revisión, en el que señaló:</w:t>
      </w:r>
    </w:p>
    <w:p w14:paraId="0000001D" w14:textId="77777777" w:rsidR="001218D2" w:rsidRPr="00620CE7" w:rsidRDefault="001218D2" w:rsidP="000B7002">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themeColor="text1"/>
        </w:rPr>
      </w:pPr>
    </w:p>
    <w:p w14:paraId="0000001E" w14:textId="2FBE71AF" w:rsidR="001218D2" w:rsidRPr="00E76956" w:rsidRDefault="00E76956" w:rsidP="00E76956">
      <w:pPr>
        <w:pStyle w:val="Prrafodelista"/>
        <w:numPr>
          <w:ilvl w:val="0"/>
          <w:numId w:val="14"/>
        </w:numPr>
        <w:tabs>
          <w:tab w:val="left" w:pos="0"/>
          <w:tab w:val="left" w:pos="709"/>
        </w:tabs>
        <w:spacing w:line="360" w:lineRule="auto"/>
        <w:jc w:val="both"/>
        <w:rPr>
          <w:rFonts w:ascii="Palatino Linotype" w:eastAsia="Palatino Linotype" w:hAnsi="Palatino Linotype" w:cs="Palatino Linotype"/>
          <w:color w:val="000000" w:themeColor="text1"/>
        </w:rPr>
      </w:pPr>
      <w:r w:rsidRPr="00E76956">
        <w:rPr>
          <w:rFonts w:ascii="Palatino Linotype" w:eastAsia="Palatino Linotype" w:hAnsi="Palatino Linotype" w:cs="Palatino Linotype"/>
          <w:b/>
          <w:bCs/>
          <w:color w:val="000000" w:themeColor="text1"/>
        </w:rPr>
        <w:t>ACTO IMPUGNADO</w:t>
      </w:r>
      <w:r w:rsidR="00490ACB" w:rsidRPr="00E76956">
        <w:rPr>
          <w:rFonts w:ascii="Palatino Linotype" w:eastAsia="Palatino Linotype" w:hAnsi="Palatino Linotype" w:cs="Palatino Linotype"/>
          <w:b/>
          <w:bCs/>
          <w:color w:val="000000" w:themeColor="text1"/>
        </w:rPr>
        <w:t>:</w:t>
      </w:r>
      <w:r w:rsidR="00490ACB" w:rsidRPr="00E76956">
        <w:rPr>
          <w:rFonts w:ascii="Palatino Linotype" w:eastAsia="Palatino Linotype" w:hAnsi="Palatino Linotype" w:cs="Palatino Linotype"/>
          <w:color w:val="000000" w:themeColor="text1"/>
        </w:rPr>
        <w:t xml:space="preserve"> </w:t>
      </w:r>
      <w:r w:rsidR="00490ACB" w:rsidRPr="00E76956">
        <w:rPr>
          <w:rFonts w:ascii="Palatino Linotype" w:eastAsia="Palatino Linotype" w:hAnsi="Palatino Linotype" w:cs="Palatino Linotype"/>
          <w:i/>
          <w:iCs/>
          <w:color w:val="000000" w:themeColor="text1"/>
        </w:rPr>
        <w:t>“No se pidió una liga se solicita la información como se solicita vía saimex.” (Sic)</w:t>
      </w:r>
    </w:p>
    <w:p w14:paraId="0000001F" w14:textId="5B97DF54" w:rsidR="001218D2" w:rsidRPr="00E76956" w:rsidRDefault="00E76956" w:rsidP="00E76956">
      <w:pPr>
        <w:pStyle w:val="Prrafodelista"/>
        <w:numPr>
          <w:ilvl w:val="0"/>
          <w:numId w:val="14"/>
        </w:numPr>
        <w:tabs>
          <w:tab w:val="left" w:pos="0"/>
          <w:tab w:val="left" w:pos="709"/>
        </w:tabs>
        <w:spacing w:line="360" w:lineRule="auto"/>
        <w:jc w:val="both"/>
        <w:rPr>
          <w:rFonts w:ascii="Palatino Linotype" w:eastAsia="Palatino Linotype" w:hAnsi="Palatino Linotype" w:cs="Palatino Linotype"/>
          <w:color w:val="000000" w:themeColor="text1"/>
        </w:rPr>
      </w:pPr>
      <w:r w:rsidRPr="00E76956">
        <w:rPr>
          <w:rFonts w:ascii="Palatino Linotype" w:eastAsia="Palatino Linotype" w:hAnsi="Palatino Linotype" w:cs="Palatino Linotype"/>
          <w:b/>
          <w:bCs/>
          <w:color w:val="000000" w:themeColor="text1"/>
        </w:rPr>
        <w:t>RAZONES O MOTIVOS DE INCONFORMIDAD</w:t>
      </w:r>
      <w:r w:rsidR="00490ACB" w:rsidRPr="00E76956">
        <w:rPr>
          <w:rFonts w:ascii="Palatino Linotype" w:eastAsia="Palatino Linotype" w:hAnsi="Palatino Linotype" w:cs="Palatino Linotype"/>
          <w:b/>
          <w:bCs/>
          <w:color w:val="000000" w:themeColor="text1"/>
        </w:rPr>
        <w:t xml:space="preserve">: </w:t>
      </w:r>
      <w:r w:rsidR="00490ACB" w:rsidRPr="00E76956">
        <w:rPr>
          <w:rFonts w:ascii="Palatino Linotype" w:eastAsia="Palatino Linotype" w:hAnsi="Palatino Linotype" w:cs="Palatino Linotype"/>
          <w:i/>
          <w:iCs/>
          <w:color w:val="000000" w:themeColor="text1"/>
        </w:rPr>
        <w:t>“Se eme entregue la información vía saimex su lima no tiene loq ue pido.” (Sic).</w:t>
      </w:r>
      <w:r w:rsidR="00490ACB" w:rsidRPr="00E76956">
        <w:rPr>
          <w:rFonts w:ascii="Palatino Linotype" w:eastAsia="Palatino Linotype" w:hAnsi="Palatino Linotype" w:cs="Palatino Linotype"/>
          <w:color w:val="000000" w:themeColor="text1"/>
        </w:rPr>
        <w:t xml:space="preserve"> </w:t>
      </w:r>
    </w:p>
    <w:p w14:paraId="00000020" w14:textId="77777777" w:rsidR="001218D2" w:rsidRPr="00620CE7" w:rsidRDefault="001218D2" w:rsidP="000B7002">
      <w:pPr>
        <w:tabs>
          <w:tab w:val="left" w:pos="0"/>
        </w:tabs>
        <w:spacing w:line="360" w:lineRule="auto"/>
        <w:jc w:val="both"/>
        <w:rPr>
          <w:rFonts w:ascii="Palatino Linotype" w:eastAsia="Palatino Linotype" w:hAnsi="Palatino Linotype" w:cs="Palatino Linotype"/>
          <w:color w:val="000000" w:themeColor="text1"/>
        </w:rPr>
      </w:pPr>
    </w:p>
    <w:p w14:paraId="00000021" w14:textId="77777777" w:rsidR="001218D2" w:rsidRPr="00620CE7" w:rsidRDefault="00490ACB" w:rsidP="000B7002">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620CE7">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620CE7">
        <w:rPr>
          <w:rFonts w:ascii="Palatino Linotype" w:eastAsia="Palatino Linotype" w:hAnsi="Palatino Linotype" w:cs="Palatino Linotype"/>
          <w:color w:val="000000" w:themeColor="text1"/>
        </w:rPr>
        <w:t xml:space="preserve">se turnó a la </w:t>
      </w:r>
      <w:r w:rsidRPr="00620CE7">
        <w:rPr>
          <w:rFonts w:ascii="Palatino Linotype" w:eastAsia="Palatino Linotype" w:hAnsi="Palatino Linotype" w:cs="Palatino Linotype"/>
          <w:b/>
          <w:bCs/>
          <w:color w:val="000000" w:themeColor="text1"/>
        </w:rPr>
        <w:t xml:space="preserve">Comisionada María del Rosario Mejía Ayala, </w:t>
      </w:r>
      <w:r w:rsidRPr="00620CE7">
        <w:rPr>
          <w:rFonts w:ascii="Palatino Linotype" w:eastAsia="Palatino Linotype" w:hAnsi="Palatino Linotype" w:cs="Palatino Linotype"/>
          <w:color w:val="000000" w:themeColor="text1"/>
        </w:rPr>
        <w:t>para su análisis.</w:t>
      </w:r>
    </w:p>
    <w:p w14:paraId="00000022" w14:textId="77777777" w:rsidR="001218D2" w:rsidRPr="00620CE7" w:rsidRDefault="001218D2" w:rsidP="000B7002">
      <w:pPr>
        <w:spacing w:line="360" w:lineRule="auto"/>
        <w:rPr>
          <w:rFonts w:ascii="Palatino Linotype" w:eastAsia="Palatino Linotype" w:hAnsi="Palatino Linotype" w:cs="Palatino Linotype"/>
          <w:color w:val="000000" w:themeColor="text1"/>
        </w:rPr>
      </w:pPr>
    </w:p>
    <w:p w14:paraId="00000023" w14:textId="7356AD6C" w:rsidR="001218D2" w:rsidRPr="00620CE7" w:rsidRDefault="00E76956" w:rsidP="000B7002">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themeColor="text1"/>
        </w:rPr>
      </w:pPr>
      <w:bookmarkStart w:id="2" w:name="_heading=h.w8mwsydtpfue" w:colFirst="0" w:colLast="0"/>
      <w:bookmarkEnd w:id="2"/>
      <w:r>
        <w:rPr>
          <w:rFonts w:ascii="Palatino Linotype" w:eastAsia="Palatino Linotype" w:hAnsi="Palatino Linotype" w:cs="Palatino Linotype"/>
          <w:color w:val="000000" w:themeColor="text1"/>
        </w:rPr>
        <w:t>La Comisionada p</w:t>
      </w:r>
      <w:r w:rsidR="00490ACB" w:rsidRPr="00620CE7">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 fecha </w:t>
      </w:r>
      <w:r w:rsidR="00490ACB" w:rsidRPr="00620CE7">
        <w:rPr>
          <w:rFonts w:ascii="Palatino Linotype" w:eastAsia="Palatino Linotype" w:hAnsi="Palatino Linotype" w:cs="Palatino Linotype"/>
          <w:b/>
          <w:bCs/>
          <w:color w:val="000000" w:themeColor="text1"/>
        </w:rPr>
        <w:t xml:space="preserve">veintidós de mayo de </w:t>
      </w:r>
      <w:r w:rsidR="00490ACB" w:rsidRPr="00620CE7">
        <w:rPr>
          <w:rFonts w:ascii="Palatino Linotype" w:eastAsia="Palatino Linotype" w:hAnsi="Palatino Linotype" w:cs="Palatino Linotype"/>
          <w:b/>
          <w:bCs/>
          <w:color w:val="000000" w:themeColor="text1"/>
        </w:rPr>
        <w:lastRenderedPageBreak/>
        <w:t>dos mil veinticinco</w:t>
      </w:r>
      <w:r w:rsidR="00490ACB" w:rsidRPr="00620CE7">
        <w:rPr>
          <w:rFonts w:ascii="Palatino Linotype" w:eastAsia="Palatino Linotype" w:hAnsi="Palatino Linotype" w:cs="Palatino Linotype"/>
          <w:color w:val="000000" w:themeColor="text1"/>
        </w:rPr>
        <w:t xml:space="preserve">, puso a disposición de las partes el expediente electrónico vía </w:t>
      </w:r>
      <w:r w:rsidR="00490ACB" w:rsidRPr="00620CE7">
        <w:rPr>
          <w:rFonts w:ascii="Palatino Linotype" w:eastAsia="Palatino Linotype" w:hAnsi="Palatino Linotype" w:cs="Palatino Linotype"/>
          <w:b/>
          <w:bCs/>
          <w:color w:val="000000" w:themeColor="text1"/>
        </w:rPr>
        <w:t xml:space="preserve">SAIMEX </w:t>
      </w:r>
      <w:r w:rsidR="00490ACB" w:rsidRPr="00620CE7">
        <w:rPr>
          <w:rFonts w:ascii="Palatino Linotype" w:eastAsia="Palatino Linotype" w:hAnsi="Palatino Linotype" w:cs="Palatino Linotype"/>
          <w:color w:val="000000" w:themeColor="text1"/>
        </w:rPr>
        <w:t xml:space="preserve">a efecto de que en un plazo máximo de siete días manifestaran lo que a derecho convinieran, ofrecieran pruebas y alegatos según corresponda al caso concreto, de esta forma para que el </w:t>
      </w:r>
      <w:r w:rsidR="00490ACB" w:rsidRPr="00620CE7">
        <w:rPr>
          <w:rFonts w:ascii="Palatino Linotype" w:eastAsia="Palatino Linotype" w:hAnsi="Palatino Linotype" w:cs="Palatino Linotype"/>
          <w:b/>
          <w:bCs/>
          <w:color w:val="000000" w:themeColor="text1"/>
        </w:rPr>
        <w:t>SUJETO OBLIGADO</w:t>
      </w:r>
      <w:r w:rsidR="00490ACB" w:rsidRPr="00620CE7">
        <w:rPr>
          <w:rFonts w:ascii="Palatino Linotype" w:eastAsia="Palatino Linotype" w:hAnsi="Palatino Linotype" w:cs="Palatino Linotype"/>
          <w:color w:val="000000" w:themeColor="text1"/>
        </w:rPr>
        <w:t xml:space="preserve"> presentara el informe justificado procedente.</w:t>
      </w:r>
    </w:p>
    <w:p w14:paraId="00000024" w14:textId="77777777" w:rsidR="001218D2" w:rsidRPr="00620CE7" w:rsidRDefault="001218D2" w:rsidP="000B7002">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00000025" w14:textId="77777777" w:rsidR="001218D2" w:rsidRPr="00620CE7" w:rsidRDefault="00490ACB" w:rsidP="000B7002">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color w:val="000000" w:themeColor="text1"/>
        </w:rPr>
        <w:t xml:space="preserve">El </w:t>
      </w:r>
      <w:r w:rsidRPr="00620CE7">
        <w:rPr>
          <w:rFonts w:ascii="Palatino Linotype" w:eastAsia="Palatino Linotype" w:hAnsi="Palatino Linotype" w:cs="Palatino Linotype"/>
          <w:b/>
          <w:bCs/>
          <w:color w:val="000000" w:themeColor="text1"/>
        </w:rPr>
        <w:t xml:space="preserve">dos de junio de dos mil veinticinco, </w:t>
      </w:r>
      <w:r w:rsidRPr="00620CE7">
        <w:rPr>
          <w:rFonts w:ascii="Palatino Linotype" w:eastAsia="Palatino Linotype" w:hAnsi="Palatino Linotype" w:cs="Palatino Linotype"/>
          <w:color w:val="000000" w:themeColor="text1"/>
        </w:rPr>
        <w:t xml:space="preserve">el </w:t>
      </w:r>
      <w:r w:rsidRPr="00620CE7">
        <w:rPr>
          <w:rFonts w:ascii="Palatino Linotype" w:eastAsia="Palatino Linotype" w:hAnsi="Palatino Linotype" w:cs="Palatino Linotype"/>
          <w:b/>
          <w:bCs/>
          <w:color w:val="000000" w:themeColor="text1"/>
        </w:rPr>
        <w:t xml:space="preserve">SJETO OBLIGADO, </w:t>
      </w:r>
      <w:r w:rsidRPr="00620CE7">
        <w:rPr>
          <w:rFonts w:ascii="Palatino Linotype" w:eastAsia="Palatino Linotype" w:hAnsi="Palatino Linotype" w:cs="Palatino Linotype"/>
          <w:color w:val="000000" w:themeColor="text1"/>
        </w:rPr>
        <w:t>rindió el informe justificado correspondiente, mediante el cual ratifica su respuesta.</w:t>
      </w:r>
    </w:p>
    <w:p w14:paraId="352EFDB3" w14:textId="77777777" w:rsidR="00620CE7" w:rsidRPr="00620CE7" w:rsidRDefault="00620CE7" w:rsidP="00620CE7">
      <w:pPr>
        <w:tabs>
          <w:tab w:val="left" w:pos="426"/>
        </w:tabs>
        <w:spacing w:line="360" w:lineRule="auto"/>
        <w:jc w:val="both"/>
        <w:rPr>
          <w:rFonts w:ascii="Palatino Linotype" w:eastAsia="Palatino Linotype" w:hAnsi="Palatino Linotype" w:cs="Palatino Linotype"/>
          <w:b/>
          <w:bCs/>
          <w:color w:val="000000" w:themeColor="text1"/>
        </w:rPr>
      </w:pPr>
    </w:p>
    <w:p w14:paraId="00000026" w14:textId="77777777" w:rsidR="001218D2" w:rsidRPr="00620CE7" w:rsidRDefault="00490ACB" w:rsidP="000B7002">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El </w:t>
      </w:r>
      <w:r w:rsidRPr="00620CE7">
        <w:rPr>
          <w:rFonts w:ascii="Palatino Linotype" w:eastAsia="Palatino Linotype" w:hAnsi="Palatino Linotype" w:cs="Palatino Linotype"/>
          <w:b/>
          <w:bCs/>
          <w:color w:val="000000" w:themeColor="text1"/>
        </w:rPr>
        <w:t xml:space="preserve">veinticuatro de noviembre de dos mil veinticinco, </w:t>
      </w:r>
      <w:r w:rsidRPr="00620CE7">
        <w:rPr>
          <w:rFonts w:ascii="Palatino Linotype" w:eastAsia="Palatino Linotype" w:hAnsi="Palatino Linotype" w:cs="Palatino Linotype"/>
          <w:color w:val="000000" w:themeColor="text1"/>
        </w:rPr>
        <w:t xml:space="preserve">este Organismo Garante realizó un requerimiento de información adicional al </w:t>
      </w:r>
      <w:r w:rsidRPr="00620CE7">
        <w:rPr>
          <w:rFonts w:ascii="Palatino Linotype" w:eastAsia="Palatino Linotype" w:hAnsi="Palatino Linotype" w:cs="Palatino Linotype"/>
          <w:b/>
          <w:bCs/>
          <w:color w:val="000000" w:themeColor="text1"/>
        </w:rPr>
        <w:t xml:space="preserve">SUJETO OBLIGADO, </w:t>
      </w:r>
      <w:r w:rsidRPr="00620CE7">
        <w:rPr>
          <w:rFonts w:ascii="Palatino Linotype" w:eastAsia="Palatino Linotype" w:hAnsi="Palatino Linotype" w:cs="Palatino Linotype"/>
          <w:color w:val="000000" w:themeColor="text1"/>
        </w:rPr>
        <w:t>a fin de que informará:</w:t>
      </w:r>
    </w:p>
    <w:p w14:paraId="00000028" w14:textId="77777777" w:rsidR="001218D2" w:rsidRPr="00620CE7" w:rsidRDefault="00490ACB" w:rsidP="00E76956">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El cúmulo de información que representan los documentos, manifestando el  número de fojas; y</w:t>
      </w:r>
    </w:p>
    <w:p w14:paraId="00000029" w14:textId="77777777" w:rsidR="001218D2" w:rsidRPr="00620CE7" w:rsidRDefault="00490ACB" w:rsidP="00E76956">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 xml:space="preserve">El peso en Megabytes o Gigabytes; </w:t>
      </w:r>
    </w:p>
    <w:p w14:paraId="0000002A" w14:textId="77777777" w:rsidR="001218D2" w:rsidRPr="00620CE7" w:rsidRDefault="00490ACB" w:rsidP="00E76956">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 xml:space="preserve">Mayores elementos que brinden certeza sobre la imposibilidad técnica administrativa o humana de manera excepcional </w:t>
      </w:r>
      <w:r w:rsidRPr="00620CE7">
        <w:rPr>
          <w:rFonts w:ascii="Palatino Linotype" w:eastAsia="Palatino Linotype" w:hAnsi="Palatino Linotype" w:cs="Palatino Linotype"/>
          <w:b/>
          <w:bCs/>
          <w:i/>
          <w:iCs/>
          <w:color w:val="000000" w:themeColor="text1"/>
        </w:rPr>
        <w:t xml:space="preserve">con los respectivos medios de convicción; </w:t>
      </w:r>
    </w:p>
    <w:p w14:paraId="0000002B" w14:textId="77777777" w:rsidR="001218D2" w:rsidRPr="00620CE7" w:rsidRDefault="00490ACB" w:rsidP="00E76956">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 xml:space="preserve">Realice el reporte de incidencias ante la Dirección de Informática, en el área de soporte técnico de este Instituto. </w:t>
      </w:r>
    </w:p>
    <w:p w14:paraId="0000002C" w14:textId="77777777" w:rsidR="001218D2" w:rsidRDefault="00490ACB" w:rsidP="00E76956">
      <w:pPr>
        <w:numPr>
          <w:ilvl w:val="0"/>
          <w:numId w:val="11"/>
        </w:numPr>
        <w:pBdr>
          <w:top w:val="nil"/>
          <w:left w:val="nil"/>
          <w:bottom w:val="nil"/>
          <w:right w:val="nil"/>
          <w:between w:val="nil"/>
        </w:pBdr>
        <w:spacing w:after="160" w:line="360" w:lineRule="auto"/>
        <w:ind w:left="0" w:firstLine="0"/>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i/>
          <w:iCs/>
          <w:color w:val="000000" w:themeColor="text1"/>
        </w:rPr>
        <w:t xml:space="preserve">Acuerdo del Comité de Transparencia mediante el cual se </w:t>
      </w:r>
      <w:r w:rsidRPr="00620CE7">
        <w:rPr>
          <w:rFonts w:ascii="Palatino Linotype" w:eastAsia="Palatino Linotype" w:hAnsi="Palatino Linotype" w:cs="Palatino Linotype"/>
          <w:b/>
          <w:bCs/>
          <w:i/>
          <w:iCs/>
          <w:color w:val="000000" w:themeColor="text1"/>
        </w:rPr>
        <w:t xml:space="preserve">apruebe ofrecer otros tipos de modalidad de consulta de información para el RECURRENTE. </w:t>
      </w:r>
    </w:p>
    <w:p w14:paraId="56097EB0" w14:textId="77777777" w:rsidR="00E76956" w:rsidRPr="00620CE7" w:rsidRDefault="00E76956" w:rsidP="00E76956">
      <w:pPr>
        <w:pBdr>
          <w:top w:val="nil"/>
          <w:left w:val="nil"/>
          <w:bottom w:val="nil"/>
          <w:right w:val="nil"/>
          <w:between w:val="nil"/>
        </w:pBdr>
        <w:spacing w:after="160" w:line="360" w:lineRule="auto"/>
        <w:jc w:val="both"/>
        <w:rPr>
          <w:rFonts w:ascii="Palatino Linotype" w:eastAsia="Palatino Linotype" w:hAnsi="Palatino Linotype" w:cs="Palatino Linotype"/>
          <w:b/>
          <w:bCs/>
          <w:i/>
          <w:iCs/>
          <w:color w:val="000000" w:themeColor="text1"/>
        </w:rPr>
      </w:pPr>
    </w:p>
    <w:p w14:paraId="0000002D" w14:textId="77777777" w:rsidR="001218D2" w:rsidRPr="00620CE7" w:rsidRDefault="00490ACB" w:rsidP="000B7002">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color w:val="000000" w:themeColor="text1"/>
        </w:rPr>
        <w:lastRenderedPageBreak/>
        <w:t xml:space="preserve">Derivado de lo anterior, el </w:t>
      </w:r>
      <w:r w:rsidRPr="00620CE7">
        <w:rPr>
          <w:rFonts w:ascii="Palatino Linotype" w:eastAsia="Palatino Linotype" w:hAnsi="Palatino Linotype" w:cs="Palatino Linotype"/>
          <w:b/>
          <w:bCs/>
          <w:color w:val="000000" w:themeColor="text1"/>
        </w:rPr>
        <w:t xml:space="preserve">SUJETO OBLIGADO, </w:t>
      </w:r>
      <w:r w:rsidRPr="00620CE7">
        <w:rPr>
          <w:rFonts w:ascii="Palatino Linotype" w:eastAsia="Palatino Linotype" w:hAnsi="Palatino Linotype" w:cs="Palatino Linotype"/>
          <w:color w:val="000000" w:themeColor="text1"/>
        </w:rPr>
        <w:t xml:space="preserve">en fecha </w:t>
      </w:r>
      <w:r w:rsidRPr="00620CE7">
        <w:rPr>
          <w:rFonts w:ascii="Palatino Linotype" w:eastAsia="Palatino Linotype" w:hAnsi="Palatino Linotype" w:cs="Palatino Linotype"/>
          <w:b/>
          <w:bCs/>
          <w:color w:val="000000" w:themeColor="text1"/>
        </w:rPr>
        <w:t>veintisiete de noviembre de os mil veinticinco</w:t>
      </w:r>
      <w:r w:rsidRPr="00620CE7">
        <w:rPr>
          <w:rFonts w:ascii="Palatino Linotype" w:eastAsia="Palatino Linotype" w:hAnsi="Palatino Linotype" w:cs="Palatino Linotype"/>
          <w:color w:val="000000" w:themeColor="text1"/>
        </w:rPr>
        <w:t>, remitió la respuesta de información adicional a través de los siguientes documentos:</w:t>
      </w:r>
    </w:p>
    <w:p w14:paraId="0000002F" w14:textId="77777777" w:rsidR="001218D2" w:rsidRPr="00620CE7" w:rsidRDefault="00490ACB" w:rsidP="00E76956">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color w:val="000000" w:themeColor="text1"/>
        </w:rPr>
        <w:t>Acta de la Cuadragésima Décima Sesión Extraordinaria del Comité de Transparencia, mediante el cual se propone y aprueba el cambio de modalidad por consulta en sitio.</w:t>
      </w:r>
    </w:p>
    <w:p w14:paraId="00000030" w14:textId="77777777" w:rsidR="001218D2" w:rsidRPr="00620CE7" w:rsidRDefault="00490ACB" w:rsidP="00E76956">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color w:val="000000" w:themeColor="text1"/>
        </w:rPr>
        <w:t>Oficio de Fecha veintiséis de noviembre de dos mil veinticinco, suscrito por el titular de la Unidad de Información, Planeación, Programación y Evaluación, mediante el cual hace del conocimiento que el cumulo de información que pretende remitir consta de 25, 393 fojas, con un peso total de 8.89 GB.</w:t>
      </w:r>
    </w:p>
    <w:p w14:paraId="00000031" w14:textId="77777777" w:rsidR="001218D2" w:rsidRPr="00620CE7" w:rsidRDefault="00490ACB" w:rsidP="00E76956">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color w:val="000000" w:themeColor="text1"/>
        </w:rPr>
        <w:t>Oficio 201007000/UT/04565/2025, de fecha veintiséis de noviembre de dos mil veinticinco, signado por el Titular de la Unidad de Transparencia, mediante el cual informa a la Dirección General de Informática de este Instituto, que la documentación con la que pretende brindar respuesta a la solicitud de información supera los 8.89 GB.</w:t>
      </w:r>
    </w:p>
    <w:p w14:paraId="00000032"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033" w14:textId="77777777" w:rsidR="001218D2" w:rsidRPr="00620CE7" w:rsidRDefault="00490ACB" w:rsidP="000B7002">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color w:val="000000" w:themeColor="text1"/>
        </w:rPr>
        <w:t>Por su parte el</w:t>
      </w:r>
      <w:r w:rsidRPr="00620CE7">
        <w:rPr>
          <w:rFonts w:ascii="Palatino Linotype" w:eastAsia="Palatino Linotype" w:hAnsi="Palatino Linotype" w:cs="Palatino Linotype"/>
          <w:b/>
          <w:bCs/>
          <w:color w:val="000000" w:themeColor="text1"/>
        </w:rPr>
        <w:t xml:space="preserve"> RECURRENTE </w:t>
      </w:r>
      <w:r w:rsidRPr="00620CE7">
        <w:rPr>
          <w:rFonts w:ascii="Palatino Linotype" w:eastAsia="Palatino Linotype" w:hAnsi="Palatino Linotype" w:cs="Palatino Linotype"/>
          <w:color w:val="000000" w:themeColor="text1"/>
        </w:rPr>
        <w:t xml:space="preserve">dejó de realizar manifestaciones que a su derecho conviniera y asistiera, respectivamente en el presente Recurso de Revisión. </w:t>
      </w:r>
    </w:p>
    <w:p w14:paraId="00000034" w14:textId="77777777" w:rsidR="001218D2" w:rsidRPr="00620CE7" w:rsidRDefault="001218D2" w:rsidP="000B7002">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00000035" w14:textId="77777777" w:rsidR="001218D2" w:rsidRPr="00620CE7" w:rsidRDefault="00490ACB" w:rsidP="000B7002">
      <w:pPr>
        <w:numPr>
          <w:ilvl w:val="0"/>
          <w:numId w:val="1"/>
        </w:numPr>
        <w:tabs>
          <w:tab w:val="left" w:pos="567"/>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El </w:t>
      </w:r>
      <w:r w:rsidRPr="00620CE7">
        <w:rPr>
          <w:rFonts w:ascii="Palatino Linotype" w:eastAsia="Palatino Linotype" w:hAnsi="Palatino Linotype" w:cs="Palatino Linotype"/>
          <w:b/>
          <w:bCs/>
          <w:color w:val="000000" w:themeColor="text1"/>
        </w:rPr>
        <w:t>ocho de julio de dos mil veinticinco,</w:t>
      </w:r>
      <w:r w:rsidRPr="00620CE7">
        <w:rPr>
          <w:rFonts w:ascii="Palatino Linotype" w:eastAsia="Palatino Linotype" w:hAnsi="Palatino Linotype" w:cs="Palatino Linotype"/>
          <w:color w:val="000000" w:themeColor="text1"/>
        </w:rPr>
        <w:t xml:space="preserve"> se notificó el acuerdo mediante el cual se aprobó ampliación de plazo parta emitir resolución. </w:t>
      </w:r>
    </w:p>
    <w:p w14:paraId="00000036" w14:textId="77777777" w:rsidR="001218D2" w:rsidRPr="00620CE7" w:rsidRDefault="001218D2" w:rsidP="000B7002">
      <w:pPr>
        <w:tabs>
          <w:tab w:val="left" w:pos="567"/>
        </w:tabs>
        <w:spacing w:line="360" w:lineRule="auto"/>
        <w:jc w:val="both"/>
        <w:rPr>
          <w:rFonts w:ascii="Palatino Linotype" w:eastAsia="Palatino Linotype" w:hAnsi="Palatino Linotype" w:cs="Palatino Linotype"/>
          <w:color w:val="000000" w:themeColor="text1"/>
        </w:rPr>
      </w:pPr>
    </w:p>
    <w:p w14:paraId="00000037"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color w:val="000000" w:themeColor="text1"/>
        </w:rPr>
        <w:t xml:space="preserve">El </w:t>
      </w:r>
      <w:r w:rsidRPr="00620CE7">
        <w:rPr>
          <w:rFonts w:ascii="Palatino Linotype" w:eastAsia="Palatino Linotype" w:hAnsi="Palatino Linotype" w:cs="Palatino Linotype"/>
          <w:b/>
          <w:bCs/>
          <w:color w:val="000000" w:themeColor="text1"/>
        </w:rPr>
        <w:t xml:space="preserve">tres de diciembre se realizó </w:t>
      </w:r>
    </w:p>
    <w:p w14:paraId="00000038"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039" w14:textId="135E64AE"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color w:val="000000" w:themeColor="text1"/>
        </w:rPr>
        <w:t>Así las cosas, la</w:t>
      </w:r>
      <w:r w:rsidRPr="00620CE7">
        <w:rPr>
          <w:rFonts w:ascii="Palatino Linotype" w:eastAsia="Palatino Linotype" w:hAnsi="Palatino Linotype" w:cs="Palatino Linotype"/>
          <w:b/>
          <w:bCs/>
          <w:color w:val="000000" w:themeColor="text1"/>
        </w:rPr>
        <w:t xml:space="preserve"> Comisionada María del Rosario Mejía Ayala,</w:t>
      </w:r>
      <w:r w:rsidRPr="00620CE7">
        <w:rPr>
          <w:rFonts w:ascii="Palatino Linotype" w:eastAsia="Palatino Linotype" w:hAnsi="Palatino Linotype" w:cs="Palatino Linotype"/>
          <w:color w:val="000000" w:themeColor="text1"/>
        </w:rPr>
        <w:t xml:space="preserve"> decretó el cierre de instrucción mediante acuerdo del </w:t>
      </w:r>
      <w:r w:rsidRPr="00620CE7">
        <w:rPr>
          <w:rFonts w:ascii="Palatino Linotype" w:eastAsia="Palatino Linotype" w:hAnsi="Palatino Linotype" w:cs="Palatino Linotype"/>
          <w:b/>
          <w:bCs/>
          <w:color w:val="000000" w:themeColor="text1"/>
        </w:rPr>
        <w:t>nueve de diciembre de dos mil veinticuatro</w:t>
      </w:r>
      <w:r w:rsidRPr="00620CE7">
        <w:rPr>
          <w:rFonts w:ascii="Palatino Linotype" w:eastAsia="Palatino Linotype" w:hAnsi="Palatino Linotype" w:cs="Palatino Linotype"/>
          <w:color w:val="000000" w:themeColor="text1"/>
        </w:rPr>
        <w:t>.</w:t>
      </w:r>
      <w:r w:rsidR="00E76956">
        <w:rPr>
          <w:rFonts w:ascii="Palatino Linotype" w:eastAsia="Palatino Linotype" w:hAnsi="Palatino Linotype" w:cs="Palatino Linotype"/>
          <w:color w:val="000000" w:themeColor="text1"/>
        </w:rPr>
        <w:t xml:space="preserve"> -------------</w:t>
      </w:r>
    </w:p>
    <w:p w14:paraId="0000003A" w14:textId="77777777" w:rsidR="001218D2" w:rsidRPr="00620CE7" w:rsidRDefault="001218D2" w:rsidP="000B7002">
      <w:pPr>
        <w:pBdr>
          <w:top w:val="nil"/>
          <w:left w:val="nil"/>
          <w:bottom w:val="nil"/>
          <w:right w:val="nil"/>
          <w:between w:val="nil"/>
        </w:pBdr>
        <w:spacing w:line="360" w:lineRule="auto"/>
        <w:rPr>
          <w:rFonts w:ascii="Palatino Linotype" w:eastAsia="Palatino Linotype" w:hAnsi="Palatino Linotype" w:cs="Palatino Linotype"/>
          <w:b/>
          <w:bCs/>
          <w:color w:val="000000" w:themeColor="text1"/>
        </w:rPr>
      </w:pPr>
    </w:p>
    <w:p w14:paraId="0000003B" w14:textId="6C0B63EB" w:rsidR="001218D2" w:rsidRDefault="00490ACB" w:rsidP="000B700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b/>
          <w:bCs/>
          <w:color w:val="000000" w:themeColor="text1"/>
        </w:rPr>
      </w:pPr>
      <w:bookmarkStart w:id="3" w:name="_heading=h.q864ggbkaxlb" w:colFirst="0" w:colLast="0"/>
      <w:bookmarkEnd w:id="3"/>
      <w:r w:rsidRPr="00620CE7">
        <w:rPr>
          <w:rFonts w:ascii="Palatino Linotype" w:eastAsia="Palatino Linotype" w:hAnsi="Palatino Linotype" w:cs="Palatino Linotype"/>
          <w:b/>
          <w:bCs/>
          <w:color w:val="000000" w:themeColor="text1"/>
        </w:rPr>
        <w:lastRenderedPageBreak/>
        <w:t>C</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O</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N</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S</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I</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D</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E</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R</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A</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N</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D</w:t>
      </w:r>
      <w:r w:rsidR="00E76956">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b/>
          <w:bCs/>
          <w:color w:val="000000" w:themeColor="text1"/>
        </w:rPr>
        <w:t>O</w:t>
      </w:r>
    </w:p>
    <w:p w14:paraId="0C051866" w14:textId="77777777" w:rsidR="00E76956" w:rsidRPr="00620CE7" w:rsidRDefault="00E76956" w:rsidP="000B700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b/>
          <w:bCs/>
          <w:color w:val="000000" w:themeColor="text1"/>
        </w:rPr>
      </w:pPr>
    </w:p>
    <w:p w14:paraId="0000003C" w14:textId="77777777" w:rsidR="001218D2" w:rsidRPr="00620CE7" w:rsidRDefault="00490ACB" w:rsidP="000B7002">
      <w:pPr>
        <w:pStyle w:val="Ttulo1"/>
        <w:spacing w:line="360" w:lineRule="auto"/>
        <w:rPr>
          <w:rFonts w:ascii="Palatino Linotype" w:eastAsia="Palatino Linotype" w:hAnsi="Palatino Linotype" w:cs="Palatino Linotype"/>
          <w:b/>
          <w:bCs/>
          <w:color w:val="000000" w:themeColor="text1"/>
          <w:sz w:val="24"/>
          <w:szCs w:val="24"/>
        </w:rPr>
      </w:pPr>
      <w:bookmarkStart w:id="4" w:name="_heading=h.6g97ppdcmkgd" w:colFirst="0" w:colLast="0"/>
      <w:bookmarkEnd w:id="4"/>
      <w:r w:rsidRPr="00620CE7">
        <w:rPr>
          <w:rFonts w:ascii="Palatino Linotype" w:eastAsia="Palatino Linotype" w:hAnsi="Palatino Linotype" w:cs="Palatino Linotype"/>
          <w:b/>
          <w:bCs/>
          <w:color w:val="000000" w:themeColor="text1"/>
          <w:sz w:val="24"/>
          <w:szCs w:val="24"/>
        </w:rPr>
        <w:t>PRIMERO. De la competencia.</w:t>
      </w:r>
    </w:p>
    <w:p w14:paraId="0000003E" w14:textId="77777777" w:rsidR="001218D2" w:rsidRPr="00620CE7" w:rsidRDefault="00490ACB" w:rsidP="000B7002">
      <w:pPr>
        <w:numPr>
          <w:ilvl w:val="0"/>
          <w:numId w:val="1"/>
        </w:numPr>
        <w:pBdr>
          <w:top w:val="nil"/>
          <w:left w:val="nil"/>
          <w:bottom w:val="nil"/>
          <w:right w:val="nil"/>
          <w:between w:val="nil"/>
        </w:pBdr>
        <w:tabs>
          <w:tab w:val="left" w:pos="0"/>
          <w:tab w:val="left" w:pos="567"/>
        </w:tabs>
        <w:spacing w:after="16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620CE7">
        <w:rPr>
          <w:rFonts w:ascii="Palatino Linotype" w:eastAsia="Palatino Linotype" w:hAnsi="Palatino Linotype" w:cs="Palatino Linotype"/>
          <w:b/>
          <w:bCs/>
          <w:color w:val="000000" w:themeColor="text1"/>
          <w:highlight w:val="white"/>
        </w:rPr>
        <w:t>Constitución Política de los Estados Unidos Mexicanos</w:t>
      </w:r>
      <w:r w:rsidRPr="00620CE7">
        <w:rPr>
          <w:rFonts w:ascii="Palatino Linotype" w:eastAsia="Palatino Linotype" w:hAnsi="Palatino Linotype" w:cs="Palatino Linotype"/>
          <w:color w:val="000000" w:themeColor="text1"/>
          <w:highlight w:val="white"/>
        </w:rPr>
        <w:t>; 5, párrafos trigésimo segundo, trigésimo tercero y trigésimo cuarto fracciones IV y V de la </w:t>
      </w:r>
      <w:r w:rsidRPr="00620CE7">
        <w:rPr>
          <w:rFonts w:ascii="Palatino Linotype" w:eastAsia="Palatino Linotype" w:hAnsi="Palatino Linotype" w:cs="Palatino Linotype"/>
          <w:b/>
          <w:bCs/>
          <w:color w:val="000000" w:themeColor="text1"/>
          <w:highlight w:val="white"/>
        </w:rPr>
        <w:t>Constitución Política del Estado Libre y Soberano de México</w:t>
      </w:r>
      <w:r w:rsidRPr="00620CE7">
        <w:rPr>
          <w:rFonts w:ascii="Palatino Linotype" w:eastAsia="Palatino Linotype" w:hAnsi="Palatino Linotype" w:cs="Palatino Linotype"/>
          <w:color w:val="000000" w:themeColor="text1"/>
          <w:highlight w:val="white"/>
        </w:rPr>
        <w:t>; artículos 1, 2 fracción II, 13, 29, 36 fracciones I y II, 176, 178, 179, 181 párrafo tercero y 185 de la </w:t>
      </w:r>
      <w:r w:rsidRPr="00620CE7">
        <w:rPr>
          <w:rFonts w:ascii="Palatino Linotype" w:eastAsia="Palatino Linotype" w:hAnsi="Palatino Linotype" w:cs="Palatino Linotype"/>
          <w:b/>
          <w:bCs/>
          <w:color w:val="000000" w:themeColor="text1"/>
          <w:highlight w:val="white"/>
        </w:rPr>
        <w:t>Ley de Transparencia y Acceso a la Información Pública del Estado de México y Municipios</w:t>
      </w:r>
      <w:r w:rsidRPr="00620CE7">
        <w:rPr>
          <w:rFonts w:ascii="Palatino Linotype" w:eastAsia="Palatino Linotype" w:hAnsi="Palatino Linotype" w:cs="Palatino Linotype"/>
          <w:color w:val="000000" w:themeColor="text1"/>
          <w:highlight w:val="white"/>
        </w:rPr>
        <w:t>; y 7, 9 fracciones I y XXIII, y 11 del </w:t>
      </w:r>
      <w:r w:rsidRPr="00620CE7">
        <w:rPr>
          <w:rFonts w:ascii="Palatino Linotype" w:eastAsia="Palatino Linotype" w:hAnsi="Palatino Linotype" w:cs="Palatino Linotype"/>
          <w:b/>
          <w:bCs/>
          <w:color w:val="000000" w:themeColor="text1"/>
          <w:highlight w:val="white"/>
        </w:rPr>
        <w:t>Reglamento Interior del Instituto de Transparencia, Acceso a la Información Pública y Protección de Datos Personales del Estado de México y Municipios</w:t>
      </w:r>
      <w:r w:rsidRPr="00620CE7">
        <w:rPr>
          <w:rFonts w:ascii="Palatino Linotype" w:eastAsia="Palatino Linotype" w:hAnsi="Palatino Linotype" w:cs="Palatino Linotype"/>
          <w:color w:val="000000" w:themeColor="text1"/>
          <w:highlight w:val="white"/>
        </w:rPr>
        <w:t>.</w:t>
      </w:r>
    </w:p>
    <w:p w14:paraId="0000003F" w14:textId="77777777" w:rsidR="001218D2" w:rsidRPr="00620CE7" w:rsidRDefault="001218D2" w:rsidP="000B7002">
      <w:pPr>
        <w:tabs>
          <w:tab w:val="left" w:pos="0"/>
          <w:tab w:val="left" w:pos="567"/>
        </w:tabs>
        <w:spacing w:after="160" w:line="360" w:lineRule="auto"/>
        <w:jc w:val="both"/>
        <w:rPr>
          <w:rFonts w:ascii="Palatino Linotype" w:eastAsia="Palatino Linotype" w:hAnsi="Palatino Linotype" w:cs="Palatino Linotype"/>
          <w:color w:val="000000" w:themeColor="text1"/>
        </w:rPr>
      </w:pPr>
    </w:p>
    <w:p w14:paraId="00000040" w14:textId="77777777" w:rsidR="001218D2" w:rsidRPr="00620CE7" w:rsidRDefault="00490ACB" w:rsidP="000B7002">
      <w:pPr>
        <w:pStyle w:val="Ttulo1"/>
        <w:spacing w:line="360" w:lineRule="auto"/>
        <w:rPr>
          <w:rFonts w:ascii="Palatino Linotype" w:eastAsia="Palatino Linotype" w:hAnsi="Palatino Linotype" w:cs="Palatino Linotype"/>
          <w:b/>
          <w:bCs/>
          <w:color w:val="000000" w:themeColor="text1"/>
          <w:sz w:val="24"/>
          <w:szCs w:val="24"/>
        </w:rPr>
      </w:pPr>
      <w:bookmarkStart w:id="5" w:name="_heading=h.ahxcgk41ziq7" w:colFirst="0" w:colLast="0"/>
      <w:bookmarkEnd w:id="5"/>
      <w:r w:rsidRPr="00620CE7">
        <w:rPr>
          <w:rFonts w:ascii="Palatino Linotype" w:eastAsia="Palatino Linotype" w:hAnsi="Palatino Linotype" w:cs="Palatino Linotype"/>
          <w:b/>
          <w:bCs/>
          <w:color w:val="000000" w:themeColor="text1"/>
          <w:sz w:val="24"/>
          <w:szCs w:val="24"/>
        </w:rPr>
        <w:t>SEGUNDO. De la oportunidad y procedencia.</w:t>
      </w:r>
    </w:p>
    <w:p w14:paraId="00000041"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El medio de impugnación fue presentado a través del </w:t>
      </w:r>
      <w:r w:rsidRPr="00620CE7">
        <w:rPr>
          <w:rFonts w:ascii="Palatino Linotype" w:eastAsia="Palatino Linotype" w:hAnsi="Palatino Linotype" w:cs="Palatino Linotype"/>
          <w:b/>
          <w:bCs/>
          <w:color w:val="000000" w:themeColor="text1"/>
        </w:rPr>
        <w:t>SAIMEX,</w:t>
      </w:r>
      <w:r w:rsidRPr="00620CE7">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entregó respuesta a la solicitud el día </w:t>
      </w:r>
      <w:r w:rsidRPr="00620CE7">
        <w:rPr>
          <w:rFonts w:ascii="Palatino Linotype" w:eastAsia="Palatino Linotype" w:hAnsi="Palatino Linotype" w:cs="Palatino Linotype"/>
          <w:b/>
          <w:bCs/>
          <w:color w:val="000000" w:themeColor="text1"/>
        </w:rPr>
        <w:t>veintiocho de abril de dos mil veinticinco</w:t>
      </w:r>
      <w:r w:rsidRPr="00620CE7">
        <w:rPr>
          <w:rFonts w:ascii="Palatino Linotype" w:eastAsia="Palatino Linotype" w:hAnsi="Palatino Linotype" w:cs="Palatino Linotype"/>
          <w:color w:val="000000" w:themeColor="text1"/>
        </w:rPr>
        <w:t xml:space="preserve">, de tal forma que el plazo para interponer el recurso de revisión transcurrió del </w:t>
      </w:r>
      <w:r w:rsidRPr="00620CE7">
        <w:rPr>
          <w:rFonts w:ascii="Palatino Linotype" w:eastAsia="Palatino Linotype" w:hAnsi="Palatino Linotype" w:cs="Palatino Linotype"/>
          <w:b/>
          <w:bCs/>
          <w:color w:val="000000" w:themeColor="text1"/>
        </w:rPr>
        <w:t>veintinueve de abril al veintidós de mayo de dos mil veinticinco</w:t>
      </w:r>
      <w:r w:rsidRPr="00620CE7">
        <w:rPr>
          <w:rFonts w:ascii="Palatino Linotype" w:eastAsia="Palatino Linotype" w:hAnsi="Palatino Linotype" w:cs="Palatino Linotype"/>
          <w:color w:val="000000" w:themeColor="text1"/>
        </w:rPr>
        <w:t xml:space="preserve">; en consecuencia, presentó su inconformidad el </w:t>
      </w:r>
      <w:r w:rsidRPr="00620CE7">
        <w:rPr>
          <w:rFonts w:ascii="Palatino Linotype" w:eastAsia="Palatino Linotype" w:hAnsi="Palatino Linotype" w:cs="Palatino Linotype"/>
          <w:b/>
          <w:bCs/>
          <w:color w:val="000000" w:themeColor="text1"/>
        </w:rPr>
        <w:t>veintiuno de mayo de dos mil veinticinco</w:t>
      </w:r>
      <w:r w:rsidRPr="00620CE7">
        <w:rPr>
          <w:rFonts w:ascii="Palatino Linotype" w:eastAsia="Palatino Linotype" w:hAnsi="Palatino Linotype" w:cs="Palatino Linotype"/>
          <w:color w:val="000000" w:themeColor="text1"/>
        </w:rPr>
        <w:t xml:space="preserve">, por lo que se encuentra dentro de los márgenes temporales previstos en el </w:t>
      </w:r>
      <w:r w:rsidRPr="00620CE7">
        <w:rPr>
          <w:rFonts w:ascii="Palatino Linotype" w:eastAsia="Palatino Linotype" w:hAnsi="Palatino Linotype" w:cs="Palatino Linotype"/>
          <w:color w:val="000000" w:themeColor="text1"/>
        </w:rPr>
        <w:lastRenderedPageBreak/>
        <w:t xml:space="preserve">artículo 3, fracción X y 178 de la </w:t>
      </w:r>
      <w:r w:rsidRPr="00620CE7">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620CE7">
        <w:rPr>
          <w:rFonts w:ascii="Palatino Linotype" w:eastAsia="Palatino Linotype" w:hAnsi="Palatino Linotype" w:cs="Palatino Linotype"/>
          <w:color w:val="000000" w:themeColor="text1"/>
        </w:rPr>
        <w:t>vigente.</w:t>
      </w:r>
    </w:p>
    <w:p w14:paraId="00000042" w14:textId="77777777" w:rsidR="001218D2" w:rsidRPr="00620CE7" w:rsidRDefault="001218D2" w:rsidP="000B7002">
      <w:pPr>
        <w:spacing w:line="360" w:lineRule="auto"/>
        <w:rPr>
          <w:rFonts w:ascii="Palatino Linotype" w:eastAsia="Palatino Linotype" w:hAnsi="Palatino Linotype" w:cs="Palatino Linotype"/>
          <w:i/>
          <w:iCs/>
          <w:color w:val="000000" w:themeColor="text1"/>
        </w:rPr>
      </w:pPr>
    </w:p>
    <w:p w14:paraId="00000043"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0000045" w14:textId="77777777" w:rsidR="001218D2" w:rsidRPr="00620CE7" w:rsidRDefault="00490ACB" w:rsidP="000B7002">
      <w:pPr>
        <w:pBdr>
          <w:top w:val="nil"/>
          <w:left w:val="nil"/>
          <w:bottom w:val="nil"/>
          <w:right w:val="nil"/>
          <w:between w:val="nil"/>
        </w:pBdr>
        <w:tabs>
          <w:tab w:val="left" w:pos="7655"/>
        </w:tabs>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Las solicitudes anónimas</w:t>
      </w:r>
      <w:r w:rsidRPr="00620CE7">
        <w:rPr>
          <w:rFonts w:ascii="Palatino Linotype" w:eastAsia="Palatino Linotype" w:hAnsi="Palatino Linotype" w:cs="Palatino Linotype"/>
          <w:i/>
          <w:iCs/>
          <w:color w:val="000000" w:themeColor="text1"/>
        </w:rPr>
        <w:t xml:space="preserve">, con nombre incompleto o seudónimo </w:t>
      </w:r>
      <w:r w:rsidRPr="00620CE7">
        <w:rPr>
          <w:rFonts w:ascii="Palatino Linotype" w:eastAsia="Palatino Linotype" w:hAnsi="Palatino Linotype" w:cs="Palatino Linotype"/>
          <w:b/>
          <w:bCs/>
          <w:i/>
          <w:iCs/>
          <w:color w:val="000000" w:themeColor="text1"/>
        </w:rPr>
        <w:t>serán procedentes para su trámite por parte del sujeto obligado ante quien se presente</w:t>
      </w:r>
      <w:r w:rsidRPr="00620CE7">
        <w:rPr>
          <w:rFonts w:ascii="Palatino Linotype" w:eastAsia="Palatino Linotype" w:hAnsi="Palatino Linotype" w:cs="Palatino Linotype"/>
          <w:i/>
          <w:iCs/>
          <w:color w:val="000000" w:themeColor="text1"/>
        </w:rPr>
        <w:t>. No podrá requerirse información adicional con motivo del nombre proporcionado por el solicitante."</w:t>
      </w:r>
    </w:p>
    <w:p w14:paraId="00000046" w14:textId="77777777" w:rsidR="001218D2"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3A85B56E" w14:textId="77777777" w:rsidR="00E76956" w:rsidRPr="00620CE7" w:rsidRDefault="00E76956"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047" w14:textId="77777777" w:rsidR="001218D2" w:rsidRPr="00620CE7" w:rsidRDefault="00490ACB" w:rsidP="000B70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00000048"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Artículo 6.-</w:t>
      </w:r>
      <w:r w:rsidRPr="00620CE7">
        <w:rPr>
          <w:rFonts w:ascii="Palatino Linotype" w:eastAsia="Palatino Linotype" w:hAnsi="Palatino Linotype" w:cs="Palatino Linotype"/>
          <w:i/>
          <w:iCs/>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0000049" w14:textId="77777777" w:rsidR="001218D2" w:rsidRPr="00620CE7" w:rsidRDefault="001218D2"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p>
    <w:p w14:paraId="0000004A"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Para efectos de lo dispuesto en el presente artículo se observará lo siguiente:</w:t>
      </w:r>
    </w:p>
    <w:p w14:paraId="0000004B" w14:textId="77777777" w:rsidR="001218D2" w:rsidRPr="00620CE7" w:rsidRDefault="001218D2"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p>
    <w:p w14:paraId="0000004C"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A. Para el ejercicio del derecho de acceso a la información, la Federación, los Estados y el Distrito Federal, en el ámbito de sus respectivas competencias, se regirán por los siguientes principios y bases:</w:t>
      </w:r>
    </w:p>
    <w:p w14:paraId="0000004D" w14:textId="77777777" w:rsidR="001218D2" w:rsidRPr="00620CE7" w:rsidRDefault="001218D2"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p>
    <w:p w14:paraId="0000004E"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 xml:space="preserve">III. Toda persona, sin necesidad de acreditar interés alguno o justificar su utilización, tendrá acceso gratuito a la información pública, a sus datos personales o a la rectificación de éstos.” </w:t>
      </w:r>
      <w:r w:rsidRPr="00620CE7">
        <w:rPr>
          <w:rFonts w:ascii="Palatino Linotype" w:eastAsia="Palatino Linotype" w:hAnsi="Palatino Linotype" w:cs="Palatino Linotype"/>
          <w:color w:val="000000" w:themeColor="text1"/>
        </w:rPr>
        <w:t>(Sic)</w:t>
      </w:r>
    </w:p>
    <w:p w14:paraId="0000004F" w14:textId="77777777" w:rsidR="001218D2" w:rsidRPr="00620CE7" w:rsidRDefault="001218D2" w:rsidP="000B70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0000050" w14:textId="77777777" w:rsidR="001218D2" w:rsidRPr="00620CE7" w:rsidRDefault="00490ACB" w:rsidP="000B70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Así como el artículo 5 fracción III, párrafo vigésimo noveno, trigésimo y trigésimo primero, de la Constitución Política del Estado Libre y Soberano de México, que determina lo siguiente:</w:t>
      </w:r>
    </w:p>
    <w:p w14:paraId="00000052"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Artículo 5.-</w:t>
      </w:r>
      <w:r w:rsidRPr="00620CE7">
        <w:rPr>
          <w:rFonts w:ascii="Palatino Linotype" w:eastAsia="Palatino Linotype" w:hAnsi="Palatino Linotype" w:cs="Palatino Linotype"/>
          <w:i/>
          <w:iCs/>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0000053"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p>
    <w:p w14:paraId="00000054"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Toda persona en el Estado de México, tiene derecho al libre acceso a la información plural y oportuna, así como a buscar recibir y difundir información e ideas de toda índole por cualquier medio de expresión.</w:t>
      </w:r>
    </w:p>
    <w:p w14:paraId="00000055"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p>
    <w:p w14:paraId="00000056"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El derecho a la información será garantizado por el Estado. La ley establecerá las previsiones que permitan asegurar la protección, el respeto y la difusión de este derecho.</w:t>
      </w:r>
    </w:p>
    <w:p w14:paraId="00000057"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0000058"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III. Toda persona, sin necesidad de acreditar interés alguno o justificar su utilización, tendrá acceso gratuito a la información pública, a sus datos personales o a la rectificación de éstos;</w:t>
      </w:r>
    </w:p>
    <w:p w14:paraId="00000059"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p>
    <w:p w14:paraId="0000005A"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620CE7">
        <w:rPr>
          <w:rFonts w:ascii="Palatino Linotype" w:eastAsia="Palatino Linotype" w:hAnsi="Palatino Linotype" w:cs="Palatino Linotype"/>
          <w:color w:val="000000" w:themeColor="text1"/>
        </w:rPr>
        <w:t>(Sic)</w:t>
      </w:r>
    </w:p>
    <w:p w14:paraId="0000005B" w14:textId="77777777" w:rsidR="001218D2" w:rsidRDefault="001218D2" w:rsidP="000B7002">
      <w:pPr>
        <w:tabs>
          <w:tab w:val="left" w:pos="7655"/>
        </w:tabs>
        <w:jc w:val="both"/>
        <w:rPr>
          <w:rFonts w:ascii="Palatino Linotype" w:eastAsia="Palatino Linotype" w:hAnsi="Palatino Linotype" w:cs="Palatino Linotype"/>
          <w:i/>
          <w:iCs/>
          <w:color w:val="000000" w:themeColor="text1"/>
        </w:rPr>
      </w:pPr>
    </w:p>
    <w:p w14:paraId="368E1587" w14:textId="77777777" w:rsidR="00E76956" w:rsidRPr="00620CE7" w:rsidRDefault="00E76956" w:rsidP="000B7002">
      <w:pPr>
        <w:tabs>
          <w:tab w:val="left" w:pos="7655"/>
        </w:tabs>
        <w:jc w:val="both"/>
        <w:rPr>
          <w:rFonts w:ascii="Palatino Linotype" w:eastAsia="Palatino Linotype" w:hAnsi="Palatino Linotype" w:cs="Palatino Linotype"/>
          <w:i/>
          <w:iCs/>
          <w:color w:val="000000" w:themeColor="text1"/>
        </w:rPr>
      </w:pPr>
    </w:p>
    <w:p w14:paraId="0000005C" w14:textId="77777777" w:rsidR="001218D2" w:rsidRPr="00620CE7" w:rsidRDefault="00490ACB" w:rsidP="000B70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0000005D" w14:textId="77777777" w:rsidR="001218D2" w:rsidRPr="00620CE7" w:rsidRDefault="001218D2" w:rsidP="000B7002">
      <w:pPr>
        <w:spacing w:line="360" w:lineRule="auto"/>
        <w:jc w:val="both"/>
        <w:rPr>
          <w:rFonts w:ascii="Palatino Linotype" w:eastAsia="Palatino Linotype" w:hAnsi="Palatino Linotype" w:cs="Palatino Linotype"/>
          <w:color w:val="000000" w:themeColor="text1"/>
        </w:rPr>
      </w:pPr>
    </w:p>
    <w:p w14:paraId="0000005E"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lastRenderedPageBreak/>
        <w:t>"</w:t>
      </w:r>
      <w:r w:rsidRPr="00620CE7">
        <w:rPr>
          <w:rFonts w:ascii="Palatino Linotype" w:eastAsia="Palatino Linotype" w:hAnsi="Palatino Linotype" w:cs="Palatino Linotype"/>
          <w:b/>
          <w:bCs/>
          <w:i/>
          <w:iCs/>
          <w:color w:val="000000" w:themeColor="text1"/>
        </w:rPr>
        <w:t>Artículo 1</w:t>
      </w:r>
      <w:r w:rsidRPr="00620CE7">
        <w:rPr>
          <w:rFonts w:ascii="Palatino Linotype" w:eastAsia="Palatino Linotype" w:hAnsi="Palatino Linotype" w:cs="Palatino Linotype"/>
          <w:i/>
          <w:iCs/>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00005F"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00000060"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0000061" w14:textId="77777777" w:rsidR="001218D2" w:rsidRPr="00620CE7" w:rsidRDefault="001218D2" w:rsidP="000B7002">
      <w:pPr>
        <w:spacing w:line="360" w:lineRule="auto"/>
        <w:jc w:val="both"/>
        <w:rPr>
          <w:rFonts w:ascii="Palatino Linotype" w:eastAsia="Palatino Linotype" w:hAnsi="Palatino Linotype" w:cs="Palatino Linotype"/>
          <w:color w:val="000000" w:themeColor="text1"/>
        </w:rPr>
      </w:pPr>
    </w:p>
    <w:p w14:paraId="00000062"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620CE7">
        <w:rPr>
          <w:rFonts w:ascii="Palatino Linotype" w:eastAsia="Palatino Linotype" w:hAnsi="Palatino Linotype" w:cs="Palatino Linotype"/>
          <w:i/>
          <w:iCs/>
          <w:color w:val="000000" w:themeColor="text1"/>
        </w:rPr>
        <w:t>derecho fundamental exime a quien lo ejerce</w:t>
      </w:r>
      <w:r w:rsidRPr="00620CE7">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0000063" w14:textId="77777777" w:rsidR="001218D2" w:rsidRPr="00620CE7" w:rsidRDefault="001218D2" w:rsidP="000B7002">
      <w:pPr>
        <w:spacing w:line="360" w:lineRule="auto"/>
        <w:jc w:val="both"/>
        <w:rPr>
          <w:rFonts w:ascii="Palatino Linotype" w:eastAsia="Palatino Linotype" w:hAnsi="Palatino Linotype" w:cs="Palatino Linotype"/>
          <w:b/>
          <w:bCs/>
          <w:color w:val="000000" w:themeColor="text1"/>
        </w:rPr>
      </w:pPr>
    </w:p>
    <w:p w14:paraId="00000064" w14:textId="77777777" w:rsidR="001218D2"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620CE7">
        <w:rPr>
          <w:rFonts w:ascii="Palatino Linotype" w:eastAsia="Palatino Linotype" w:hAnsi="Palatino Linotype" w:cs="Palatino Linotype"/>
          <w:b/>
          <w:bCs/>
          <w:color w:val="000000" w:themeColor="text1"/>
        </w:rPr>
        <w:t>RECURRENTE</w:t>
      </w:r>
      <w:r w:rsidRPr="00620CE7">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w:t>
      </w:r>
      <w:r w:rsidRPr="00620CE7">
        <w:rPr>
          <w:rFonts w:ascii="Palatino Linotype" w:eastAsia="Palatino Linotype" w:hAnsi="Palatino Linotype" w:cs="Palatino Linotype"/>
          <w:color w:val="000000" w:themeColor="text1"/>
        </w:rPr>
        <w:lastRenderedPageBreak/>
        <w:t>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6C788D4" w14:textId="77777777" w:rsidR="00620CE7" w:rsidRPr="00620CE7" w:rsidRDefault="00620CE7" w:rsidP="00620CE7">
      <w:pPr>
        <w:spacing w:line="360" w:lineRule="auto"/>
        <w:jc w:val="both"/>
        <w:rPr>
          <w:rFonts w:ascii="Palatino Linotype" w:eastAsia="Palatino Linotype" w:hAnsi="Palatino Linotype" w:cs="Palatino Linotype"/>
          <w:color w:val="000000" w:themeColor="text1"/>
        </w:rPr>
      </w:pPr>
    </w:p>
    <w:p w14:paraId="00000065"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0000066" w14:textId="77777777" w:rsidR="001218D2" w:rsidRPr="00620CE7" w:rsidRDefault="00490ACB" w:rsidP="000B7002">
      <w:pPr>
        <w:pStyle w:val="Ttulo1"/>
        <w:spacing w:line="360" w:lineRule="auto"/>
        <w:rPr>
          <w:rFonts w:ascii="Palatino Linotype" w:eastAsia="Palatino Linotype" w:hAnsi="Palatino Linotype" w:cs="Palatino Linotype"/>
          <w:b/>
          <w:bCs/>
          <w:i/>
          <w:iCs/>
          <w:color w:val="000000" w:themeColor="text1"/>
          <w:sz w:val="24"/>
          <w:szCs w:val="24"/>
        </w:rPr>
      </w:pPr>
      <w:bookmarkStart w:id="6" w:name="_heading=h.owjh7zhtkdhl" w:colFirst="0" w:colLast="0"/>
      <w:bookmarkEnd w:id="6"/>
      <w:r w:rsidRPr="00620CE7">
        <w:rPr>
          <w:rFonts w:ascii="Palatino Linotype" w:eastAsia="Palatino Linotype" w:hAnsi="Palatino Linotype" w:cs="Palatino Linotype"/>
          <w:b/>
          <w:bCs/>
          <w:color w:val="000000" w:themeColor="text1"/>
          <w:sz w:val="24"/>
          <w:szCs w:val="24"/>
        </w:rPr>
        <w:t>TERCERO. Del planteamiento de la Litis</w:t>
      </w:r>
    </w:p>
    <w:p w14:paraId="00000067"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color w:val="000000" w:themeColor="text1"/>
        </w:rPr>
        <w:t>El particular solicitó</w:t>
      </w:r>
      <w:r w:rsidRPr="00620CE7">
        <w:rPr>
          <w:rFonts w:ascii="Palatino Linotype" w:eastAsia="Palatino Linotype" w:hAnsi="Palatino Linotype" w:cs="Palatino Linotype"/>
          <w:b/>
          <w:bCs/>
          <w:color w:val="000000" w:themeColor="text1"/>
        </w:rPr>
        <w:t>:</w:t>
      </w:r>
    </w:p>
    <w:p w14:paraId="00000068"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Planes Regionales o Sectoriales en los que el municipio tiene participación</w:t>
      </w:r>
    </w:p>
    <w:p w14:paraId="00000069"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Programas Operativos Anuales correspondientes a los ejercicios fiscales 2019, 2020, 2021, 2022, 2023, 2024 y 2025, conforme a lo establecido en el Manual para la Planeación, programación y Presupuesto Municipal</w:t>
      </w:r>
    </w:p>
    <w:p w14:paraId="0000006A"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 xml:space="preserve">Reportes Trimestrales de evaluación de todas áreas administrativas de la administración municipal correspondiente a la estructura programática </w:t>
      </w:r>
    </w:p>
    <w:p w14:paraId="0000006B"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Formatos de reconducción de metas de los ejercicios fiscales 2019, 2020, 2021, 2022, 2023, 2024 y 2025.</w:t>
      </w:r>
    </w:p>
    <w:p w14:paraId="0000006C"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Actas de las sesiones del Comité de Planeación para el Desarrollo Municipal</w:t>
      </w:r>
    </w:p>
    <w:p w14:paraId="0000006D"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Informes de avance del Plan de Desarrollo Municipal que se anexan a la cuenta pública de los años 2019, 2020, 2021, 2022, 2023, 2024 y 2025</w:t>
      </w:r>
    </w:p>
    <w:p w14:paraId="0000006E"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Informes de Gobierno Municipal</w:t>
      </w:r>
    </w:p>
    <w:p w14:paraId="0000006F"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lastRenderedPageBreak/>
        <w:t>Reportes de seguimiento de indicadores estratégicos y de gestión de los años 2019, 2020 y 2021.</w:t>
      </w:r>
    </w:p>
    <w:p w14:paraId="00000070"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Resultados del índice de Gestión Municipal de los años 2019, 2020, 2021, 2022, 2023, 2024 y 2025 de acurdo al Programa del Instituto Nacional para el Federalismo y el Desarrollo Municipal</w:t>
      </w:r>
    </w:p>
    <w:p w14:paraId="00000071"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Certificado de Competencia Laboral del Titular de la Unidad de Información Planeación, Programación y Evaluación, emitido por el Instituto Hacendario del Estado de México.</w:t>
      </w:r>
    </w:p>
    <w:p w14:paraId="00000072"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Actas de todas las sesiones ordinarias y extraordinarias del Comité de Transparencia correspondientes a los años 2019, 2020, 2022, 2023, 2024 y 2025</w:t>
      </w:r>
    </w:p>
    <w:p w14:paraId="00000073" w14:textId="77777777" w:rsidR="001218D2" w:rsidRPr="00620CE7" w:rsidRDefault="00490ACB" w:rsidP="000B7002">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Relación de enlaces de Transparencia del Sujeto Obligado (nombramientos y fechas en que les fueron entregadas su usuario y contraseñas)</w:t>
      </w:r>
    </w:p>
    <w:p w14:paraId="00000074" w14:textId="77777777" w:rsidR="001218D2" w:rsidRPr="00620CE7" w:rsidRDefault="001218D2" w:rsidP="000B7002">
      <w:pPr>
        <w:spacing w:line="360" w:lineRule="auto"/>
        <w:jc w:val="both"/>
        <w:rPr>
          <w:rFonts w:ascii="Palatino Linotype" w:eastAsia="Palatino Linotype" w:hAnsi="Palatino Linotype" w:cs="Palatino Linotype"/>
          <w:i/>
          <w:iCs/>
          <w:color w:val="000000" w:themeColor="text1"/>
        </w:rPr>
      </w:pPr>
    </w:p>
    <w:p w14:paraId="00000075"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En respuesta,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a través del departamento de la Dirección de Recursos Humanos, indicó que después de realizar una búsqueda exhaustiva y razonable informó que el titular de la UIPPE, no está obligado a presentar la certificación en competencia laboral; así mismo, informó que la Unidad de información, Planeación, Programación y Evaluación, preciso, que la información que pretende remitir a fin de brindar respuesta, consta de 8.89 GB, por lo que la entrega de la información, se llevara a cabo bajo la modalidad de consulta directa en las oficinas que ocupa esa Unidad Administrativa, de 10:00 a 16:00 horas, de lunes a viernes; además preciso que la información solicitada, se encuentra en la Página de Información Pública de Oficio Mexiquense. </w:t>
      </w:r>
    </w:p>
    <w:p w14:paraId="00000076" w14:textId="77777777" w:rsidR="001218D2" w:rsidRPr="00620CE7" w:rsidRDefault="001218D2" w:rsidP="000B7002">
      <w:pPr>
        <w:spacing w:line="360" w:lineRule="auto"/>
        <w:jc w:val="both"/>
        <w:rPr>
          <w:rFonts w:ascii="Palatino Linotype" w:eastAsia="Palatino Linotype" w:hAnsi="Palatino Linotype" w:cs="Palatino Linotype"/>
          <w:color w:val="000000" w:themeColor="text1"/>
        </w:rPr>
      </w:pPr>
    </w:p>
    <w:p w14:paraId="00000077"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 xml:space="preserve">En consecuencia, la Litis a resolver en este recurso, se circunscribe a determinar si la respuesta colma con lo solicitado o si se actualiza la causal de procedencia prevista en el artículo 179, fracción I de la Ley de Transparencia y Acceso a la Información Pública del Estado de México y Municipios; que establece </w:t>
      </w:r>
      <w:r w:rsidRPr="00620CE7">
        <w:rPr>
          <w:rFonts w:ascii="Palatino Linotype" w:eastAsia="Palatino Linotype" w:hAnsi="Palatino Linotype" w:cs="Palatino Linotype"/>
          <w:b/>
          <w:bCs/>
          <w:color w:val="000000" w:themeColor="text1"/>
        </w:rPr>
        <w:t>la negativa de la información solicitada</w:t>
      </w:r>
      <w:r w:rsidRPr="00620CE7">
        <w:rPr>
          <w:rFonts w:ascii="Palatino Linotype" w:eastAsia="Palatino Linotype" w:hAnsi="Palatino Linotype" w:cs="Palatino Linotype"/>
          <w:color w:val="000000" w:themeColor="text1"/>
        </w:rPr>
        <w:t xml:space="preserve">. </w:t>
      </w:r>
    </w:p>
    <w:p w14:paraId="00000078" w14:textId="77777777" w:rsidR="001218D2" w:rsidRPr="00620CE7" w:rsidRDefault="00490ACB" w:rsidP="000B7002">
      <w:pPr>
        <w:pStyle w:val="Ttulo1"/>
        <w:spacing w:line="360" w:lineRule="auto"/>
        <w:rPr>
          <w:rFonts w:ascii="Palatino Linotype" w:eastAsia="Palatino Linotype" w:hAnsi="Palatino Linotype" w:cs="Palatino Linotype"/>
          <w:b/>
          <w:bCs/>
          <w:color w:val="000000" w:themeColor="text1"/>
          <w:sz w:val="24"/>
          <w:szCs w:val="24"/>
        </w:rPr>
      </w:pPr>
      <w:bookmarkStart w:id="7" w:name="_heading=h.45vlx3x44m" w:colFirst="0" w:colLast="0"/>
      <w:bookmarkEnd w:id="7"/>
      <w:r w:rsidRPr="00620CE7">
        <w:rPr>
          <w:rFonts w:ascii="Palatino Linotype" w:eastAsia="Palatino Linotype" w:hAnsi="Palatino Linotype" w:cs="Palatino Linotype"/>
          <w:b/>
          <w:bCs/>
          <w:color w:val="000000" w:themeColor="text1"/>
          <w:sz w:val="24"/>
          <w:szCs w:val="24"/>
        </w:rPr>
        <w:t xml:space="preserve">CUARTO. Estudio y resolución del recurso de revisión. </w:t>
      </w:r>
    </w:p>
    <w:p w14:paraId="00000079" w14:textId="77777777" w:rsidR="001218D2" w:rsidRPr="00620CE7" w:rsidRDefault="00490ACB" w:rsidP="00E76956">
      <w:pPr>
        <w:keepNext/>
        <w:keepLines/>
        <w:numPr>
          <w:ilvl w:val="0"/>
          <w:numId w:val="7"/>
        </w:numPr>
        <w:spacing w:after="240" w:line="360" w:lineRule="auto"/>
        <w:ind w:left="0" w:firstLine="0"/>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Del derecho de acceso a la información.</w:t>
      </w:r>
    </w:p>
    <w:p w14:paraId="0000007A" w14:textId="77777777" w:rsidR="001218D2" w:rsidRPr="00620CE7" w:rsidRDefault="00490ACB" w:rsidP="000B7002">
      <w:pPr>
        <w:numPr>
          <w:ilvl w:val="0"/>
          <w:numId w:val="1"/>
        </w:numPr>
        <w:pBdr>
          <w:top w:val="nil"/>
          <w:left w:val="nil"/>
          <w:bottom w:val="nil"/>
          <w:right w:val="nil"/>
          <w:between w:val="nil"/>
        </w:pBdr>
        <w:tabs>
          <w:tab w:val="left" w:pos="567"/>
        </w:tabs>
        <w:spacing w:before="240" w:after="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20CE7">
        <w:rPr>
          <w:rFonts w:ascii="Palatino Linotype" w:eastAsia="Palatino Linotype" w:hAnsi="Palatino Linotype" w:cs="Palatino Linotype"/>
          <w:b/>
          <w:bCs/>
          <w:color w:val="000000" w:themeColor="text1"/>
        </w:rPr>
        <w:t>Constitución Política de los Estados Unidos Mexicanos</w:t>
      </w:r>
      <w:r w:rsidRPr="00620CE7">
        <w:rPr>
          <w:rFonts w:ascii="Palatino Linotype" w:eastAsia="Palatino Linotype" w:hAnsi="Palatino Linotype" w:cs="Palatino Linotype"/>
          <w:color w:val="000000" w:themeColor="text1"/>
        </w:rPr>
        <w:t>, tienen</w:t>
      </w:r>
      <w:r w:rsidRPr="00620CE7">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color w:val="000000" w:themeColor="text1"/>
        </w:rPr>
        <w:t xml:space="preserve">la obligación de “promover, </w:t>
      </w:r>
      <w:r w:rsidRPr="00620CE7">
        <w:rPr>
          <w:rFonts w:ascii="Palatino Linotype" w:eastAsia="Palatino Linotype" w:hAnsi="Palatino Linotype" w:cs="Palatino Linotype"/>
          <w:b/>
          <w:bCs/>
          <w:color w:val="000000" w:themeColor="text1"/>
        </w:rPr>
        <w:t>respetar</w:t>
      </w:r>
      <w:r w:rsidRPr="00620CE7">
        <w:rPr>
          <w:rFonts w:ascii="Palatino Linotype" w:eastAsia="Palatino Linotype" w:hAnsi="Palatino Linotype" w:cs="Palatino Linotype"/>
          <w:color w:val="000000" w:themeColor="text1"/>
        </w:rPr>
        <w:t xml:space="preserve">, proteger y </w:t>
      </w:r>
      <w:r w:rsidRPr="00620CE7">
        <w:rPr>
          <w:rFonts w:ascii="Palatino Linotype" w:eastAsia="Palatino Linotype" w:hAnsi="Palatino Linotype" w:cs="Palatino Linotype"/>
          <w:b/>
          <w:bCs/>
          <w:color w:val="000000" w:themeColor="text1"/>
        </w:rPr>
        <w:t>garantizar</w:t>
      </w:r>
      <w:r w:rsidRPr="00620CE7">
        <w:rPr>
          <w:rFonts w:ascii="Palatino Linotype" w:eastAsia="Palatino Linotype" w:hAnsi="Palatino Linotype" w:cs="Palatino Linotype"/>
          <w:color w:val="000000" w:themeColor="text1"/>
        </w:rPr>
        <w:t xml:space="preserve"> los derechos humanos”, entre los cuales se encuentra dicho derecho.</w:t>
      </w:r>
    </w:p>
    <w:p w14:paraId="0000007B" w14:textId="77777777" w:rsidR="001218D2" w:rsidRPr="00620CE7" w:rsidRDefault="00490ACB" w:rsidP="000B7002">
      <w:pPr>
        <w:numPr>
          <w:ilvl w:val="0"/>
          <w:numId w:val="1"/>
        </w:numPr>
        <w:tabs>
          <w:tab w:val="left" w:pos="567"/>
        </w:tabs>
        <w:spacing w:before="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000007C" w14:textId="77777777" w:rsidR="001218D2" w:rsidRPr="00620CE7" w:rsidRDefault="001218D2" w:rsidP="000B7002">
      <w:pPr>
        <w:tabs>
          <w:tab w:val="left" w:pos="426"/>
        </w:tabs>
        <w:spacing w:line="360" w:lineRule="auto"/>
        <w:jc w:val="both"/>
        <w:rPr>
          <w:rFonts w:ascii="Palatino Linotype" w:eastAsia="Palatino Linotype" w:hAnsi="Palatino Linotype" w:cs="Palatino Linotype"/>
          <w:color w:val="000000" w:themeColor="text1"/>
        </w:rPr>
      </w:pPr>
    </w:p>
    <w:p w14:paraId="0000007D" w14:textId="77777777" w:rsidR="001218D2" w:rsidRPr="00620CE7" w:rsidRDefault="00490ACB" w:rsidP="000B7002">
      <w:pPr>
        <w:numPr>
          <w:ilvl w:val="0"/>
          <w:numId w:val="1"/>
        </w:numPr>
        <w:tabs>
          <w:tab w:val="left" w:pos="567"/>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 xml:space="preserve">Así las cosas, podemos definir el Derecho de Acceso a la Información Pública como: </w:t>
      </w:r>
      <w:r w:rsidRPr="00620CE7">
        <w:rPr>
          <w:rFonts w:ascii="Palatino Linotype" w:eastAsia="Palatino Linotype" w:hAnsi="Palatino Linotype" w:cs="Palatino Linotype"/>
          <w:i/>
          <w:iCs/>
          <w:color w:val="000000" w:themeColor="text1"/>
        </w:rPr>
        <w:t>La igualdad de oportunidades para recibir, buscar e impartir información</w:t>
      </w:r>
      <w:r w:rsidRPr="00620CE7">
        <w:rPr>
          <w:rFonts w:ascii="Palatino Linotype" w:eastAsia="Palatino Linotype" w:hAnsi="Palatino Linotype" w:cs="Palatino Linotype"/>
          <w:i/>
          <w:iCs/>
          <w:color w:val="000000" w:themeColor="text1"/>
          <w:vertAlign w:val="superscript"/>
        </w:rPr>
        <w:footnoteReference w:id="1"/>
      </w:r>
      <w:r w:rsidRPr="00620CE7">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20CE7">
        <w:rPr>
          <w:rFonts w:ascii="Palatino Linotype" w:eastAsia="Palatino Linotype" w:hAnsi="Palatino Linotype" w:cs="Palatino Linotype"/>
          <w:i/>
          <w:iCs/>
          <w:color w:val="000000" w:themeColor="text1"/>
          <w:vertAlign w:val="superscript"/>
        </w:rPr>
        <w:footnoteReference w:id="2"/>
      </w:r>
      <w:r w:rsidRPr="00620CE7">
        <w:rPr>
          <w:rFonts w:ascii="Palatino Linotype" w:eastAsia="Palatino Linotype" w:hAnsi="Palatino Linotype" w:cs="Palatino Linotype"/>
          <w:color w:val="000000" w:themeColor="text1"/>
        </w:rPr>
        <w:t>que se constituye como una herramienta fundamental para ejercer</w:t>
      </w:r>
      <w:r w:rsidRPr="00620CE7">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620CE7">
        <w:rPr>
          <w:rFonts w:ascii="Palatino Linotype" w:eastAsia="Palatino Linotype" w:hAnsi="Palatino Linotype" w:cs="Palatino Linotype"/>
          <w:i/>
          <w:iCs/>
          <w:color w:val="000000" w:themeColor="text1"/>
          <w:vertAlign w:val="superscript"/>
        </w:rPr>
        <w:footnoteReference w:id="3"/>
      </w:r>
      <w:r w:rsidRPr="00620CE7">
        <w:rPr>
          <w:rFonts w:ascii="Palatino Linotype" w:eastAsia="Palatino Linotype" w:hAnsi="Palatino Linotype" w:cs="Palatino Linotype"/>
          <w:i/>
          <w:iCs/>
          <w:color w:val="000000" w:themeColor="text1"/>
        </w:rPr>
        <w:t xml:space="preserve"> </w:t>
      </w:r>
      <w:r w:rsidRPr="00620CE7">
        <w:rPr>
          <w:rFonts w:ascii="Palatino Linotype" w:eastAsia="Palatino Linotype" w:hAnsi="Palatino Linotype" w:cs="Palatino Linotype"/>
          <w:color w:val="000000" w:themeColor="text1"/>
        </w:rPr>
        <w:t>fomentando</w:t>
      </w:r>
      <w:r w:rsidRPr="00620CE7">
        <w:rPr>
          <w:rFonts w:ascii="Palatino Linotype" w:eastAsia="Palatino Linotype" w:hAnsi="Palatino Linotype" w:cs="Palatino Linotype"/>
          <w:i/>
          <w:iCs/>
          <w:color w:val="000000" w:themeColor="text1"/>
        </w:rPr>
        <w:t xml:space="preserve"> la transparencia de las actividades estatales y </w:t>
      </w:r>
      <w:r w:rsidRPr="00620CE7">
        <w:rPr>
          <w:rFonts w:ascii="Palatino Linotype" w:eastAsia="Palatino Linotype" w:hAnsi="Palatino Linotype" w:cs="Palatino Linotype"/>
          <w:color w:val="000000" w:themeColor="text1"/>
        </w:rPr>
        <w:t>promoviendo</w:t>
      </w:r>
      <w:r w:rsidRPr="00620CE7">
        <w:rPr>
          <w:rFonts w:ascii="Palatino Linotype" w:eastAsia="Palatino Linotype" w:hAnsi="Palatino Linotype" w:cs="Palatino Linotype"/>
          <w:i/>
          <w:iCs/>
          <w:color w:val="000000" w:themeColor="text1"/>
        </w:rPr>
        <w:t xml:space="preserve"> la responsabilidad de los funcionarios sobre su gestión pública,</w:t>
      </w:r>
      <w:r w:rsidRPr="00620CE7">
        <w:rPr>
          <w:rFonts w:ascii="Palatino Linotype" w:eastAsia="Palatino Linotype" w:hAnsi="Palatino Linotype" w:cs="Palatino Linotype"/>
          <w:i/>
          <w:iCs/>
          <w:color w:val="000000" w:themeColor="text1"/>
          <w:vertAlign w:val="superscript"/>
        </w:rPr>
        <w:footnoteReference w:id="4"/>
      </w:r>
      <w:r w:rsidRPr="00620CE7">
        <w:rPr>
          <w:rFonts w:ascii="Palatino Linotype" w:eastAsia="Palatino Linotype" w:hAnsi="Palatino Linotype" w:cs="Palatino Linotype"/>
          <w:color w:val="000000" w:themeColor="text1"/>
        </w:rPr>
        <w:t>que permite</w:t>
      </w:r>
      <w:r w:rsidRPr="00620CE7">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14:paraId="0000007E" w14:textId="77777777" w:rsidR="001218D2" w:rsidRPr="00620CE7" w:rsidRDefault="001218D2" w:rsidP="000B7002">
      <w:pPr>
        <w:tabs>
          <w:tab w:val="left" w:pos="426"/>
        </w:tabs>
        <w:spacing w:line="360" w:lineRule="auto"/>
        <w:jc w:val="both"/>
        <w:rPr>
          <w:rFonts w:ascii="Palatino Linotype" w:eastAsia="Palatino Linotype" w:hAnsi="Palatino Linotype" w:cs="Palatino Linotype"/>
          <w:color w:val="000000" w:themeColor="text1"/>
        </w:rPr>
      </w:pPr>
    </w:p>
    <w:p w14:paraId="0000007F"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00000081" w14:textId="77777777" w:rsidR="001218D2" w:rsidRPr="00620CE7" w:rsidRDefault="00490ACB" w:rsidP="000B7002">
      <w:pPr>
        <w:tabs>
          <w:tab w:val="left" w:pos="7655"/>
        </w:tabs>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Artículo 1.-</w:t>
      </w:r>
      <w:r w:rsidRPr="00620CE7">
        <w:rPr>
          <w:rFonts w:ascii="Palatino Linotype" w:eastAsia="Palatino Linotype" w:hAnsi="Palatino Linotype" w:cs="Palatino Linotype"/>
          <w:i/>
          <w:iCs/>
          <w:color w:val="000000" w:themeColor="text1"/>
        </w:rPr>
        <w:t xml:space="preserve"> </w:t>
      </w:r>
    </w:p>
    <w:p w14:paraId="00000082" w14:textId="77777777" w:rsidR="001218D2" w:rsidRPr="00620CE7" w:rsidRDefault="00490ACB" w:rsidP="000B7002">
      <w:pPr>
        <w:tabs>
          <w:tab w:val="left" w:pos="7655"/>
        </w:tabs>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p>
    <w:p w14:paraId="00000083" w14:textId="77777777" w:rsidR="001218D2" w:rsidRPr="00620CE7" w:rsidRDefault="00490ACB" w:rsidP="000B7002">
      <w:pPr>
        <w:tabs>
          <w:tab w:val="left" w:pos="7655"/>
        </w:tabs>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Todas las</w:t>
      </w:r>
      <w:r w:rsidRPr="00620CE7">
        <w:rPr>
          <w:rFonts w:ascii="Palatino Linotype" w:eastAsia="Palatino Linotype" w:hAnsi="Palatino Linotype" w:cs="Palatino Linotype"/>
          <w:color w:val="000000" w:themeColor="text1"/>
        </w:rPr>
        <w:t xml:space="preserve"> </w:t>
      </w:r>
      <w:r w:rsidRPr="00620CE7">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0000084" w14:textId="77777777" w:rsidR="001218D2" w:rsidRPr="00620CE7" w:rsidRDefault="00490ACB" w:rsidP="000B7002">
      <w:pPr>
        <w:tabs>
          <w:tab w:val="left" w:pos="7655"/>
        </w:tabs>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color w:val="000000" w:themeColor="text1"/>
        </w:rPr>
        <w:t>”.</w:t>
      </w:r>
    </w:p>
    <w:p w14:paraId="00000085" w14:textId="77777777" w:rsidR="001218D2" w:rsidRPr="00620CE7" w:rsidRDefault="001218D2" w:rsidP="000B7002">
      <w:pPr>
        <w:tabs>
          <w:tab w:val="left" w:pos="567"/>
        </w:tabs>
        <w:spacing w:line="360" w:lineRule="auto"/>
        <w:jc w:val="both"/>
        <w:rPr>
          <w:rFonts w:ascii="Palatino Linotype" w:eastAsia="Palatino Linotype" w:hAnsi="Palatino Linotype" w:cs="Palatino Linotype"/>
          <w:color w:val="000000" w:themeColor="text1"/>
        </w:rPr>
      </w:pPr>
    </w:p>
    <w:p w14:paraId="00000086"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0000087" w14:textId="77777777" w:rsidR="001218D2" w:rsidRPr="00620CE7" w:rsidRDefault="001218D2" w:rsidP="000B7002">
      <w:pPr>
        <w:tabs>
          <w:tab w:val="left" w:pos="567"/>
        </w:tabs>
        <w:spacing w:line="360" w:lineRule="auto"/>
        <w:jc w:val="both"/>
        <w:rPr>
          <w:rFonts w:ascii="Palatino Linotype" w:eastAsia="Palatino Linotype" w:hAnsi="Palatino Linotype" w:cs="Palatino Linotype"/>
          <w:color w:val="000000" w:themeColor="text1"/>
        </w:rPr>
      </w:pPr>
    </w:p>
    <w:p w14:paraId="00000088" w14:textId="77777777" w:rsidR="001218D2" w:rsidRPr="00620CE7" w:rsidRDefault="00490ACB" w:rsidP="000B7002">
      <w:pPr>
        <w:numPr>
          <w:ilvl w:val="0"/>
          <w:numId w:val="1"/>
        </w:numPr>
        <w:tabs>
          <w:tab w:val="left" w:pos="567"/>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000008A" w14:textId="77777777" w:rsidR="001218D2" w:rsidRPr="00620CE7" w:rsidRDefault="00490ACB" w:rsidP="000B7002">
      <w:pPr>
        <w:spacing w:after="240"/>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Constitución Política de los Estados Unidos Mexicanos</w:t>
      </w:r>
    </w:p>
    <w:p w14:paraId="0000008B" w14:textId="77777777" w:rsidR="001218D2" w:rsidRPr="00620CE7" w:rsidRDefault="00490ACB" w:rsidP="000B7002">
      <w:pPr>
        <w:spacing w:before="240" w:after="240"/>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“Artículo 6.</w:t>
      </w:r>
    </w:p>
    <w:p w14:paraId="0000008C" w14:textId="77777777" w:rsidR="001218D2" w:rsidRPr="00620CE7" w:rsidRDefault="00490ACB" w:rsidP="000B7002">
      <w:pPr>
        <w:spacing w:before="240" w:after="24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p>
    <w:p w14:paraId="0000008D" w14:textId="77777777" w:rsidR="001218D2" w:rsidRPr="00620CE7" w:rsidRDefault="00490ACB" w:rsidP="000B7002">
      <w:pPr>
        <w:spacing w:before="240" w:after="24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Para efectos de lo dispuesto en el presente artículo se observará lo siguiente:</w:t>
      </w:r>
    </w:p>
    <w:p w14:paraId="0000008E" w14:textId="77777777" w:rsidR="001218D2" w:rsidRPr="00620CE7" w:rsidRDefault="00490ACB" w:rsidP="000B7002">
      <w:pPr>
        <w:spacing w:before="240" w:after="240"/>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A</w:t>
      </w:r>
      <w:r w:rsidRPr="00620CE7">
        <w:rPr>
          <w:rFonts w:ascii="Palatino Linotype" w:eastAsia="Palatino Linotype" w:hAnsi="Palatino Linotype" w:cs="Palatino Linotype"/>
          <w:i/>
          <w:iCs/>
          <w:color w:val="000000" w:themeColor="text1"/>
        </w:rPr>
        <w:t xml:space="preserve">. </w:t>
      </w:r>
      <w:r w:rsidRPr="00620CE7">
        <w:rPr>
          <w:rFonts w:ascii="Palatino Linotype" w:eastAsia="Palatino Linotype" w:hAnsi="Palatino Linotype" w:cs="Palatino Linotype"/>
          <w:b/>
          <w:bCs/>
          <w:i/>
          <w:iCs/>
          <w:color w:val="000000" w:themeColor="text1"/>
        </w:rPr>
        <w:t>Para el ejercicio del derecho de acceso a la información</w:t>
      </w:r>
      <w:r w:rsidRPr="00620CE7">
        <w:rPr>
          <w:rFonts w:ascii="Palatino Linotype" w:eastAsia="Palatino Linotype" w:hAnsi="Palatino Linotype" w:cs="Palatino Linotype"/>
          <w:i/>
          <w:iCs/>
          <w:color w:val="000000" w:themeColor="text1"/>
        </w:rPr>
        <w:t xml:space="preserve">, la Federación y </w:t>
      </w:r>
      <w:r w:rsidRPr="00620CE7">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14:paraId="0000008F" w14:textId="77777777" w:rsidR="001218D2" w:rsidRPr="00620CE7" w:rsidRDefault="00490ACB" w:rsidP="000B7002">
      <w:pPr>
        <w:spacing w:before="240" w:after="24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I. Toda la información en posesión de cualquier</w:t>
      </w:r>
      <w:r w:rsidRPr="00620CE7">
        <w:rPr>
          <w:rFonts w:ascii="Palatino Linotype" w:eastAsia="Palatino Linotype" w:hAnsi="Palatino Linotype" w:cs="Palatino Linotype"/>
          <w:i/>
          <w:iCs/>
          <w:color w:val="000000" w:themeColor="text1"/>
        </w:rPr>
        <w:t xml:space="preserve"> </w:t>
      </w:r>
      <w:r w:rsidRPr="00620CE7">
        <w:rPr>
          <w:rFonts w:ascii="Palatino Linotype" w:eastAsia="Palatino Linotype" w:hAnsi="Palatino Linotype" w:cs="Palatino Linotype"/>
          <w:b/>
          <w:bCs/>
          <w:i/>
          <w:iCs/>
          <w:color w:val="000000" w:themeColor="text1"/>
        </w:rPr>
        <w:t>autoridad</w:t>
      </w:r>
      <w:r w:rsidRPr="00620CE7">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20CE7">
        <w:rPr>
          <w:rFonts w:ascii="Palatino Linotype" w:eastAsia="Palatino Linotype" w:hAnsi="Palatino Linotype" w:cs="Palatino Linotype"/>
          <w:b/>
          <w:bCs/>
          <w:i/>
          <w:iCs/>
          <w:color w:val="000000" w:themeColor="text1"/>
        </w:rPr>
        <w:t>municipal</w:t>
      </w:r>
      <w:r w:rsidRPr="00620CE7">
        <w:rPr>
          <w:rFonts w:ascii="Palatino Linotype" w:eastAsia="Palatino Linotype" w:hAnsi="Palatino Linotype" w:cs="Palatino Linotype"/>
          <w:i/>
          <w:iCs/>
          <w:color w:val="000000" w:themeColor="text1"/>
        </w:rPr>
        <w:t xml:space="preserve">, </w:t>
      </w:r>
      <w:r w:rsidRPr="00620CE7">
        <w:rPr>
          <w:rFonts w:ascii="Palatino Linotype" w:eastAsia="Palatino Linotype" w:hAnsi="Palatino Linotype" w:cs="Palatino Linotype"/>
          <w:b/>
          <w:bCs/>
          <w:i/>
          <w:iCs/>
          <w:color w:val="000000" w:themeColor="text1"/>
        </w:rPr>
        <w:t>es pública</w:t>
      </w:r>
      <w:r w:rsidRPr="00620CE7">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620CE7">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620CE7">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14:paraId="00000090" w14:textId="77777777" w:rsidR="001218D2" w:rsidRPr="00620CE7" w:rsidRDefault="001218D2" w:rsidP="000B7002">
      <w:pPr>
        <w:tabs>
          <w:tab w:val="left" w:pos="567"/>
        </w:tabs>
        <w:spacing w:before="240"/>
        <w:jc w:val="both"/>
        <w:rPr>
          <w:rFonts w:ascii="Palatino Linotype" w:eastAsia="Palatino Linotype" w:hAnsi="Palatino Linotype" w:cs="Palatino Linotype"/>
          <w:b/>
          <w:bCs/>
          <w:i/>
          <w:iCs/>
          <w:color w:val="000000" w:themeColor="text1"/>
        </w:rPr>
      </w:pPr>
    </w:p>
    <w:p w14:paraId="00000091" w14:textId="77777777" w:rsidR="001218D2" w:rsidRPr="00620CE7" w:rsidRDefault="00490ACB" w:rsidP="000B7002">
      <w:pPr>
        <w:spacing w:after="240"/>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lastRenderedPageBreak/>
        <w:t>Constitución Política del Estado Libre y Soberano de México</w:t>
      </w:r>
    </w:p>
    <w:p w14:paraId="00000092" w14:textId="77777777" w:rsidR="001218D2" w:rsidRPr="00620CE7" w:rsidRDefault="00490ACB" w:rsidP="000B7002">
      <w:pPr>
        <w:spacing w:before="240" w:after="24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“Artículo 5</w:t>
      </w:r>
      <w:r w:rsidRPr="00620CE7">
        <w:rPr>
          <w:rFonts w:ascii="Palatino Linotype" w:eastAsia="Palatino Linotype" w:hAnsi="Palatino Linotype" w:cs="Palatino Linotype"/>
          <w:i/>
          <w:iCs/>
          <w:color w:val="000000" w:themeColor="text1"/>
        </w:rPr>
        <w:t xml:space="preserve">.- </w:t>
      </w:r>
    </w:p>
    <w:p w14:paraId="00000093" w14:textId="77777777" w:rsidR="001218D2" w:rsidRPr="00620CE7" w:rsidRDefault="00490ACB" w:rsidP="000B7002">
      <w:pPr>
        <w:spacing w:before="240" w:after="24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p>
    <w:p w14:paraId="00000094" w14:textId="77777777" w:rsidR="001218D2" w:rsidRPr="00620CE7" w:rsidRDefault="00490ACB" w:rsidP="000B7002">
      <w:pPr>
        <w:spacing w:before="240" w:after="24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620CE7">
        <w:rPr>
          <w:rFonts w:ascii="Palatino Linotype" w:eastAsia="Palatino Linotype" w:hAnsi="Palatino Linotype" w:cs="Palatino Linotype"/>
          <w:i/>
          <w:iCs/>
          <w:color w:val="000000" w:themeColor="text1"/>
        </w:rPr>
        <w:t>.</w:t>
      </w:r>
    </w:p>
    <w:p w14:paraId="00000095" w14:textId="77777777" w:rsidR="001218D2" w:rsidRPr="00620CE7" w:rsidRDefault="00490ACB" w:rsidP="000B7002">
      <w:pPr>
        <w:spacing w:before="240" w:after="24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0000096" w14:textId="77777777" w:rsidR="001218D2" w:rsidRPr="00620CE7" w:rsidRDefault="00490ACB" w:rsidP="000B7002">
      <w:pPr>
        <w:spacing w:before="240" w:after="24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Este derecho se regirá por los principios y bases siguientes</w:t>
      </w:r>
      <w:r w:rsidRPr="00620CE7">
        <w:rPr>
          <w:rFonts w:ascii="Palatino Linotype" w:eastAsia="Palatino Linotype" w:hAnsi="Palatino Linotype" w:cs="Palatino Linotype"/>
          <w:i/>
          <w:iCs/>
          <w:color w:val="000000" w:themeColor="text1"/>
        </w:rPr>
        <w:t>:</w:t>
      </w:r>
    </w:p>
    <w:p w14:paraId="00000097" w14:textId="77777777" w:rsidR="001218D2" w:rsidRPr="00620CE7" w:rsidRDefault="00490ACB" w:rsidP="000B7002">
      <w:pPr>
        <w:spacing w:before="240" w:after="24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I. Toda la información en posesión de cualquier autoridad, entidad, órgano y organismos de los</w:t>
      </w:r>
      <w:r w:rsidRPr="00620CE7">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620CE7">
        <w:rPr>
          <w:rFonts w:ascii="Palatino Linotype" w:eastAsia="Palatino Linotype" w:hAnsi="Palatino Linotype" w:cs="Palatino Linotype"/>
          <w:b/>
          <w:bCs/>
          <w:i/>
          <w:iCs/>
          <w:color w:val="000000" w:themeColor="text1"/>
        </w:rPr>
        <w:t>municipales</w:t>
      </w:r>
      <w:r w:rsidRPr="00620CE7">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20CE7">
        <w:rPr>
          <w:rFonts w:ascii="Palatino Linotype" w:eastAsia="Palatino Linotype" w:hAnsi="Palatino Linotype" w:cs="Palatino Linotype"/>
          <w:b/>
          <w:bCs/>
          <w:i/>
          <w:iCs/>
          <w:color w:val="000000" w:themeColor="text1"/>
        </w:rPr>
        <w:t>es pública</w:t>
      </w:r>
      <w:r w:rsidRPr="00620CE7">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620CE7">
        <w:rPr>
          <w:rFonts w:ascii="Palatino Linotype" w:eastAsia="Palatino Linotype" w:hAnsi="Palatino Linotype" w:cs="Palatino Linotype"/>
          <w:b/>
          <w:bCs/>
          <w:i/>
          <w:iCs/>
          <w:color w:val="000000" w:themeColor="text1"/>
        </w:rPr>
        <w:t>En la interpretación de este derecho deberá prevalecer el principio de máxima publicidad</w:t>
      </w:r>
      <w:r w:rsidRPr="00620CE7">
        <w:rPr>
          <w:rFonts w:ascii="Palatino Linotype" w:eastAsia="Palatino Linotype" w:hAnsi="Palatino Linotype" w:cs="Palatino Linotype"/>
          <w:i/>
          <w:iCs/>
          <w:color w:val="000000" w:themeColor="text1"/>
        </w:rPr>
        <w:t xml:space="preserve">. </w:t>
      </w:r>
      <w:r w:rsidRPr="00620CE7">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620CE7">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14:paraId="00000098" w14:textId="77777777" w:rsidR="001218D2" w:rsidRPr="00620CE7" w:rsidRDefault="001218D2" w:rsidP="000B7002">
      <w:pPr>
        <w:tabs>
          <w:tab w:val="left" w:pos="567"/>
        </w:tabs>
        <w:spacing w:before="240" w:line="360" w:lineRule="auto"/>
        <w:jc w:val="both"/>
        <w:rPr>
          <w:rFonts w:ascii="Palatino Linotype" w:eastAsia="Palatino Linotype" w:hAnsi="Palatino Linotype" w:cs="Palatino Linotype"/>
          <w:color w:val="000000" w:themeColor="text1"/>
        </w:rPr>
      </w:pPr>
    </w:p>
    <w:p w14:paraId="00000099"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620CE7">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620CE7">
        <w:rPr>
          <w:rFonts w:ascii="Palatino Linotype" w:eastAsia="Palatino Linotype" w:hAnsi="Palatino Linotype" w:cs="Palatino Linotype"/>
          <w:color w:val="000000" w:themeColor="text1"/>
        </w:rPr>
        <w:t>, contemplando el derecho de las personas con discapacidad y hablantes de lengua indígena.</w:t>
      </w:r>
    </w:p>
    <w:p w14:paraId="0000009A" w14:textId="77777777" w:rsidR="001218D2" w:rsidRPr="00620CE7" w:rsidRDefault="001218D2" w:rsidP="000B7002">
      <w:pPr>
        <w:tabs>
          <w:tab w:val="left" w:pos="567"/>
        </w:tabs>
        <w:spacing w:line="360" w:lineRule="auto"/>
        <w:jc w:val="both"/>
        <w:rPr>
          <w:rFonts w:ascii="Palatino Linotype" w:eastAsia="Palatino Linotype" w:hAnsi="Palatino Linotype" w:cs="Palatino Linotype"/>
          <w:color w:val="000000" w:themeColor="text1"/>
        </w:rPr>
      </w:pPr>
    </w:p>
    <w:p w14:paraId="0000009B" w14:textId="77777777" w:rsidR="001218D2" w:rsidRPr="00620CE7" w:rsidRDefault="008946A7"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sdt>
        <w:sdtPr>
          <w:rPr>
            <w:rFonts w:ascii="Palatino Linotype" w:hAnsi="Palatino Linotype"/>
            <w:color w:val="000000" w:themeColor="text1"/>
          </w:rPr>
          <w:tag w:val="goog_rdk_0"/>
          <w:id w:val="555015178"/>
        </w:sdtPr>
        <w:sdtEndPr/>
        <w:sdtContent>
          <w:commentRangeStart w:id="8"/>
        </w:sdtContent>
      </w:sdt>
      <w:r w:rsidR="00490ACB" w:rsidRPr="00620CE7">
        <w:rPr>
          <w:rFonts w:ascii="Palatino Linotype" w:eastAsia="Palatino Linotype" w:hAnsi="Palatino Linotype" w:cs="Palatino Linotype"/>
          <w:color w:val="000000" w:themeColor="text1"/>
        </w:rPr>
        <w:t>El</w:t>
      </w:r>
      <w:commentRangeEnd w:id="8"/>
      <w:r w:rsidR="00490ACB" w:rsidRPr="00620CE7">
        <w:rPr>
          <w:rFonts w:ascii="Palatino Linotype" w:hAnsi="Palatino Linotype"/>
          <w:color w:val="000000" w:themeColor="text1"/>
        </w:rPr>
        <w:commentReference w:id="8"/>
      </w:r>
      <w:r w:rsidR="00490ACB" w:rsidRPr="00620CE7">
        <w:rPr>
          <w:rFonts w:ascii="Palatino Linotype" w:eastAsia="Palatino Linotype" w:hAnsi="Palatino Linotype" w:cs="Palatino Linotype"/>
          <w:color w:val="000000" w:themeColor="text1"/>
        </w:rPr>
        <w:t xml:space="preserve"> Derecho de Acceso a la Información se garantiza y respeta oportunamente, y según lo que dispone la Ley, las </w:t>
      </w:r>
      <w:r w:rsidR="00490ACB" w:rsidRPr="00620CE7">
        <w:rPr>
          <w:rFonts w:ascii="Palatino Linotype" w:eastAsia="Palatino Linotype" w:hAnsi="Palatino Linotype" w:cs="Palatino Linotype"/>
          <w:i/>
          <w:iCs/>
          <w:color w:val="000000" w:themeColor="text1"/>
        </w:rPr>
        <w:t>solicitudes de acceso a la información</w:t>
      </w:r>
      <w:r w:rsidR="00490ACB" w:rsidRPr="00620CE7">
        <w:rPr>
          <w:rFonts w:ascii="Palatino Linotype" w:eastAsia="Palatino Linotype" w:hAnsi="Palatino Linotype" w:cs="Palatino Linotype"/>
          <w:color w:val="000000" w:themeColor="text1"/>
        </w:rPr>
        <w:t>.</w:t>
      </w:r>
    </w:p>
    <w:p w14:paraId="0000009C" w14:textId="77777777" w:rsidR="001218D2" w:rsidRPr="00620CE7" w:rsidRDefault="001218D2" w:rsidP="000B7002">
      <w:pPr>
        <w:tabs>
          <w:tab w:val="left" w:pos="567"/>
        </w:tabs>
        <w:spacing w:line="360" w:lineRule="auto"/>
        <w:jc w:val="both"/>
        <w:rPr>
          <w:rFonts w:ascii="Palatino Linotype" w:eastAsia="Palatino Linotype" w:hAnsi="Palatino Linotype" w:cs="Palatino Linotype"/>
          <w:color w:val="000000" w:themeColor="text1"/>
        </w:rPr>
      </w:pPr>
    </w:p>
    <w:p w14:paraId="0000009D"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Así entonces, se procede analizar, en primer lugar, si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0000009E" w14:textId="77777777" w:rsidR="001218D2" w:rsidRPr="00620CE7" w:rsidRDefault="001218D2" w:rsidP="000B7002">
      <w:pPr>
        <w:tabs>
          <w:tab w:val="left" w:pos="567"/>
        </w:tabs>
        <w:spacing w:line="360" w:lineRule="auto"/>
        <w:jc w:val="both"/>
        <w:rPr>
          <w:rFonts w:ascii="Palatino Linotype" w:eastAsia="Palatino Linotype" w:hAnsi="Palatino Linotype" w:cs="Palatino Linotype"/>
          <w:b/>
          <w:bCs/>
          <w:color w:val="000000" w:themeColor="text1"/>
        </w:rPr>
      </w:pPr>
      <w:bookmarkStart w:id="9" w:name="_heading=h.e1syvojm93i" w:colFirst="0" w:colLast="0"/>
      <w:bookmarkEnd w:id="9"/>
    </w:p>
    <w:p w14:paraId="0000009F" w14:textId="77777777" w:rsidR="001218D2" w:rsidRPr="00620CE7" w:rsidRDefault="00490ACB" w:rsidP="000B7002">
      <w:pPr>
        <w:tabs>
          <w:tab w:val="left" w:pos="567"/>
        </w:tabs>
        <w:spacing w:line="360" w:lineRule="auto"/>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 xml:space="preserve">De la información solicitada y la respuesta del Sujeto Obligado. </w:t>
      </w:r>
    </w:p>
    <w:p w14:paraId="000000A2" w14:textId="4AD70E98" w:rsidR="001218D2" w:rsidRPr="00620CE7" w:rsidRDefault="00490ACB" w:rsidP="000B7002">
      <w:pPr>
        <w:numPr>
          <w:ilvl w:val="0"/>
          <w:numId w:val="1"/>
        </w:numPr>
        <w:pBdr>
          <w:top w:val="nil"/>
          <w:left w:val="nil"/>
          <w:bottom w:val="nil"/>
          <w:right w:val="nil"/>
          <w:between w:val="nil"/>
        </w:pBdr>
        <w:tabs>
          <w:tab w:val="left" w:pos="567"/>
        </w:tabs>
        <w:spacing w:before="240" w:after="360" w:line="360" w:lineRule="auto"/>
        <w:ind w:left="0" w:firstLine="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color w:val="000000" w:themeColor="text1"/>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20CE7">
        <w:rPr>
          <w:rFonts w:ascii="Palatino Linotype" w:eastAsia="Palatino Linotype" w:hAnsi="Palatino Linotype" w:cs="Palatino Linotype"/>
          <w:b/>
          <w:bCs/>
          <w:color w:val="000000" w:themeColor="text1"/>
        </w:rPr>
        <w:t>Ley de Transparencia y Acceso a la Información Pública del Estado de México y Municipios</w:t>
      </w:r>
      <w:r w:rsidRPr="00620CE7">
        <w:rPr>
          <w:rFonts w:ascii="Palatino Linotype" w:eastAsia="Palatino Linotype" w:hAnsi="Palatino Linotype" w:cs="Palatino Linotype"/>
          <w:color w:val="000000" w:themeColor="text1"/>
        </w:rPr>
        <w:t>.</w:t>
      </w:r>
    </w:p>
    <w:p w14:paraId="000000A3"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color w:val="000000" w:themeColor="text1"/>
        </w:rPr>
        <w:t>Así, de la lectura a la solicitud de información se observa que el particular solicitó</w:t>
      </w:r>
      <w:r w:rsidRPr="00620CE7">
        <w:rPr>
          <w:rFonts w:ascii="Palatino Linotype" w:eastAsia="Palatino Linotype" w:hAnsi="Palatino Linotype" w:cs="Palatino Linotype"/>
          <w:b/>
          <w:bCs/>
          <w:color w:val="000000" w:themeColor="text1"/>
        </w:rPr>
        <w:t>:</w:t>
      </w:r>
    </w:p>
    <w:p w14:paraId="000000A4"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Planes Regionales o Sectoriales en los que el municipio tiene participación</w:t>
      </w:r>
    </w:p>
    <w:p w14:paraId="000000A5"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Programas Operativos Anuales correspondientes a los ejercicios fiscales 2019, 2020, 2021, 2022, 2023, 2024 y 2025, conforme a lo establecido en el Manual para la Planeación, programación y Presupuesto Municipal</w:t>
      </w:r>
    </w:p>
    <w:p w14:paraId="000000A6"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 xml:space="preserve">Reportes Trimestrales de evaluación de todas áreas administrativas de la administración municipal correspondiente a la estructura programática </w:t>
      </w:r>
    </w:p>
    <w:p w14:paraId="000000A7"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lastRenderedPageBreak/>
        <w:t>Formatos de reconducción de metas de los ejercicios fiscales 2019, 2020, 2021, 2022, 2023, 2024 y 2025.</w:t>
      </w:r>
    </w:p>
    <w:p w14:paraId="000000A8"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Actas de las sesiones del Comité de Planeación para el Desarrollo Municipal</w:t>
      </w:r>
    </w:p>
    <w:p w14:paraId="000000A9"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Informes de avance del Plan de Desarrollo Municipal que se anexan a la cuenta pública de los años 2019, 2020, 2021, 2022, 2023, 2024 y 2025</w:t>
      </w:r>
    </w:p>
    <w:p w14:paraId="000000AA"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Informes de Gobierno Municipal</w:t>
      </w:r>
    </w:p>
    <w:p w14:paraId="000000AB"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Reportes de seguimiento de indicadores estratégicos y de gestión de los años 2019, 2020 y 2021.</w:t>
      </w:r>
    </w:p>
    <w:p w14:paraId="000000AC"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Resultados del índice de Gestión Municipal de los años 2019, 2020, 2021, 2022, 2023, 2024 y 2025 de acurdo al Programa del Instituto Nacional para el Federalismo y el Desarrollo Municipal</w:t>
      </w:r>
    </w:p>
    <w:p w14:paraId="000000AD"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Certificado de Competencia Laboral del Titular de la Unidad de Información Planeación, Programación y Evaluación, emitido por el Instituto Hacendario del Estado de México.</w:t>
      </w:r>
    </w:p>
    <w:p w14:paraId="000000AE"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Actas de todas las sesiones ordinarias y extraordinarias del Comité de Transparencia correspondientes a los años 2019, 2020, 2022, 2023, 2024 y 2025</w:t>
      </w:r>
    </w:p>
    <w:p w14:paraId="000000AF" w14:textId="77777777" w:rsidR="001218D2" w:rsidRPr="00620CE7" w:rsidRDefault="00490ACB" w:rsidP="00E76956">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Relación de enlaces de Transparencia del Sujeto Obligado (nombramientos y fechas en que les fueron entregadas su usuario y contraseñas)</w:t>
      </w:r>
    </w:p>
    <w:p w14:paraId="000000B0" w14:textId="77777777" w:rsidR="001218D2" w:rsidRPr="00620CE7" w:rsidRDefault="001218D2" w:rsidP="000B7002">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14:paraId="000000B1" w14:textId="77777777" w:rsidR="001218D2" w:rsidRPr="00620CE7" w:rsidRDefault="00490ACB" w:rsidP="000B7002">
      <w:pPr>
        <w:numPr>
          <w:ilvl w:val="0"/>
          <w:numId w:val="1"/>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En respuesta,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a través de la Dirección General de Administración y servidor público habilitado, informó que después de haber realizado una búsqueda en los archivos que obran en la Dirección de Recursos Humanos y sus Departamentos y de conformidad con el artículo 32 de la Ley Orgánica Municipal de la entidad, el Titular de la UIPPE no está obligado a presentar certificación de competencia laboral; así mismo la Unidad de Información, Planeación, Programación y Evaluación, </w:t>
      </w:r>
      <w:r w:rsidRPr="00620CE7">
        <w:rPr>
          <w:rFonts w:ascii="Palatino Linotype" w:eastAsia="Palatino Linotype" w:hAnsi="Palatino Linotype" w:cs="Palatino Linotype"/>
          <w:color w:val="000000" w:themeColor="text1"/>
        </w:rPr>
        <w:lastRenderedPageBreak/>
        <w:t>indició que la información requerida por el particular respecto a esa Unidad Administrativa haciende a un volumen de 8.89 GB, por lo que se le hace del conocimiento que la entrega de la información, se llevará a cabo bajo la modalidad de consulta directa en las oficinas de esa Unidad Administrativa, de 10:00 a 16:00 horas, indicándole el nombre del servidor público que atenderá la diligencia; así como las indicaciones a seguir a fin de tener a la vista la información; no omite mencionar que lo requerido se encuentre en el Portal de Información Pública Mexiquense, por tanto proporciona dos ligas de acceso a la información.</w:t>
      </w:r>
    </w:p>
    <w:p w14:paraId="000000B2" w14:textId="77777777" w:rsidR="001218D2" w:rsidRPr="00620CE7" w:rsidRDefault="001218D2" w:rsidP="000B7002">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themeColor="text1"/>
        </w:rPr>
      </w:pPr>
    </w:p>
    <w:p w14:paraId="000000B3" w14:textId="77777777" w:rsidR="001218D2" w:rsidRDefault="00490ACB" w:rsidP="000B7002">
      <w:pPr>
        <w:numPr>
          <w:ilvl w:val="0"/>
          <w:numId w:val="1"/>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Descrito lo anterior, se precisa que si bien refiere un cambio de modalidad para la entrega de la información, no justificó tal situación, toda vez que no refirió el número de fojas que integran la información, ni mucho menos si derivado del peso en GB, realizó el reporte correspondiente a la Dirección General de Informática de este Instituto; además de que no se ofrecieron las distintas modalidades de entrega de la información; por tanto, personal de este Organismo realizó un requerimiento de información adicional; derivado de ello el </w:t>
      </w:r>
      <w:r w:rsidRPr="00620CE7">
        <w:rPr>
          <w:rFonts w:ascii="Palatino Linotype" w:eastAsia="Palatino Linotype" w:hAnsi="Palatino Linotype" w:cs="Palatino Linotype"/>
          <w:b/>
          <w:bCs/>
          <w:color w:val="000000" w:themeColor="text1"/>
        </w:rPr>
        <w:t xml:space="preserve">SUJETO OBLIGADO, </w:t>
      </w:r>
      <w:r w:rsidRPr="00620CE7">
        <w:rPr>
          <w:rFonts w:ascii="Palatino Linotype" w:eastAsia="Palatino Linotype" w:hAnsi="Palatino Linotype" w:cs="Palatino Linotype"/>
          <w:color w:val="000000" w:themeColor="text1"/>
        </w:rPr>
        <w:t>remite oficio mediante el cual comunica a la Dirección General de Informática, que la información requerida supera los 8.89 GB; así mismo, el titular de la Unidad de Información, Planeación, Programación y Evaluación, indició que el cúmulo de fojas que integran la información requerida es de 25, 393 fojas, constante de 8.89 GB lo que excede la capacidad permitida por la plataforma del Sistema de Acceso a la Información Mexiquense, adjuntando el Acta de la Cuadrigentésima Décima Sesión Extraordinaria 2025 del Comité de Transparencia del Municipio de Toluca, mediante el cual se propone y aprueba el cambio de modalidad de entrega de la información.</w:t>
      </w:r>
    </w:p>
    <w:p w14:paraId="39396197" w14:textId="77777777" w:rsidR="00620CE7" w:rsidRDefault="00620CE7" w:rsidP="00620CE7">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themeColor="text1"/>
        </w:rPr>
      </w:pPr>
    </w:p>
    <w:p w14:paraId="6961B0CD" w14:textId="77777777" w:rsidR="00620CE7" w:rsidRPr="00620CE7" w:rsidRDefault="00620CE7" w:rsidP="00620CE7">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themeColor="text1"/>
        </w:rPr>
      </w:pPr>
    </w:p>
    <w:p w14:paraId="000000B4" w14:textId="77777777" w:rsidR="001218D2" w:rsidRPr="00620CE7" w:rsidRDefault="00490ACB" w:rsidP="000B7002">
      <w:pPr>
        <w:numPr>
          <w:ilvl w:val="0"/>
          <w:numId w:val="1"/>
        </w:numPr>
        <w:pBdr>
          <w:top w:val="nil"/>
          <w:left w:val="nil"/>
          <w:bottom w:val="nil"/>
          <w:right w:val="nil"/>
          <w:between w:val="nil"/>
        </w:pBdr>
        <w:tabs>
          <w:tab w:val="left" w:pos="0"/>
          <w:tab w:val="left" w:pos="567"/>
        </w:tabs>
        <w:spacing w:after="240" w:line="360" w:lineRule="auto"/>
        <w:ind w:left="0" w:firstLine="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color w:val="000000" w:themeColor="text1"/>
        </w:rPr>
        <w:lastRenderedPageBreak/>
        <w:t xml:space="preserve">De los motivos de descontento referidos por el </w:t>
      </w:r>
      <w:r w:rsidRPr="00620CE7">
        <w:rPr>
          <w:rFonts w:ascii="Palatino Linotype" w:eastAsia="Palatino Linotype" w:hAnsi="Palatino Linotype" w:cs="Palatino Linotype"/>
          <w:b/>
          <w:bCs/>
          <w:color w:val="000000" w:themeColor="text1"/>
        </w:rPr>
        <w:t xml:space="preserve">RECURRENTE, </w:t>
      </w:r>
      <w:r w:rsidRPr="00620CE7">
        <w:rPr>
          <w:rFonts w:ascii="Palatino Linotype" w:eastAsia="Palatino Linotype" w:hAnsi="Palatino Linotype" w:cs="Palatino Linotype"/>
          <w:color w:val="000000" w:themeColor="text1"/>
        </w:rPr>
        <w:t xml:space="preserve">se observa que se inconforma por </w:t>
      </w:r>
      <w:r w:rsidRPr="00620CE7">
        <w:rPr>
          <w:rFonts w:ascii="Palatino Linotype" w:eastAsia="Palatino Linotype" w:hAnsi="Palatino Linotype" w:cs="Palatino Linotype"/>
          <w:b/>
          <w:bCs/>
          <w:color w:val="000000" w:themeColor="text1"/>
        </w:rPr>
        <w:t xml:space="preserve">la negativa a la información solicitada, </w:t>
      </w:r>
      <w:r w:rsidRPr="00620CE7">
        <w:rPr>
          <w:rFonts w:ascii="Palatino Linotype" w:eastAsia="Palatino Linotype" w:hAnsi="Palatino Linotype" w:cs="Palatino Linotype"/>
          <w:color w:val="000000" w:themeColor="text1"/>
        </w:rPr>
        <w:t xml:space="preserve">en los siguientes términos: </w:t>
      </w:r>
      <w:r w:rsidRPr="00620CE7">
        <w:rPr>
          <w:rFonts w:ascii="Palatino Linotype" w:eastAsia="Palatino Linotype" w:hAnsi="Palatino Linotype" w:cs="Palatino Linotype"/>
          <w:i/>
          <w:iCs/>
          <w:color w:val="000000" w:themeColor="text1"/>
        </w:rPr>
        <w:t>“Se me entregue la información vía saimex su lima no tiene loq ue pido” (Sic.)</w:t>
      </w:r>
    </w:p>
    <w:p w14:paraId="000000B5" w14:textId="77777777" w:rsidR="001218D2" w:rsidRPr="00620CE7" w:rsidRDefault="00490ACB" w:rsidP="000B7002">
      <w:pPr>
        <w:numPr>
          <w:ilvl w:val="0"/>
          <w:numId w:val="1"/>
        </w:numPr>
        <w:tabs>
          <w:tab w:val="left" w:pos="0"/>
          <w:tab w:val="left" w:pos="567"/>
        </w:tabs>
        <w:spacing w:before="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Así las cosas, este Instituto de Transparencia, de conformidad con los principios de eficacia y profesionalismo</w:t>
      </w:r>
      <w:r w:rsidRPr="00620CE7">
        <w:rPr>
          <w:rFonts w:ascii="Palatino Linotype" w:eastAsia="Palatino Linotype" w:hAnsi="Palatino Linotype" w:cs="Palatino Linotype"/>
          <w:color w:val="000000" w:themeColor="text1"/>
          <w:vertAlign w:val="superscript"/>
        </w:rPr>
        <w:footnoteReference w:id="5"/>
      </w:r>
      <w:r w:rsidRPr="00620CE7">
        <w:rPr>
          <w:rFonts w:ascii="Palatino Linotype" w:eastAsia="Palatino Linotype" w:hAnsi="Palatino Linotype" w:cs="Palatino Linotype"/>
          <w:color w:val="000000" w:themeColor="text1"/>
        </w:rPr>
        <w:t xml:space="preserve">, procederá a verificar la información remitida por el </w:t>
      </w:r>
      <w:r w:rsidRPr="00620CE7">
        <w:rPr>
          <w:rFonts w:ascii="Palatino Linotype" w:eastAsia="Palatino Linotype" w:hAnsi="Palatino Linotype" w:cs="Palatino Linotype"/>
          <w:b/>
          <w:bCs/>
          <w:color w:val="000000" w:themeColor="text1"/>
        </w:rPr>
        <w:t>SUJETO OBLIGADO y</w:t>
      </w:r>
      <w:r w:rsidRPr="00620CE7">
        <w:rPr>
          <w:rFonts w:ascii="Palatino Linotype" w:eastAsia="Palatino Linotype" w:hAnsi="Palatino Linotype" w:cs="Palatino Linotype"/>
          <w:color w:val="000000" w:themeColor="text1"/>
        </w:rPr>
        <w:t xml:space="preserve"> las manifestaciones realizadas por el </w:t>
      </w:r>
      <w:r w:rsidRPr="00620CE7">
        <w:rPr>
          <w:rFonts w:ascii="Palatino Linotype" w:eastAsia="Palatino Linotype" w:hAnsi="Palatino Linotype" w:cs="Palatino Linotype"/>
          <w:b/>
          <w:bCs/>
          <w:color w:val="000000" w:themeColor="text1"/>
        </w:rPr>
        <w:t xml:space="preserve">SOLICITANTE </w:t>
      </w:r>
      <w:r w:rsidRPr="00620CE7">
        <w:rPr>
          <w:rFonts w:ascii="Palatino Linotype" w:eastAsia="Palatino Linotype" w:hAnsi="Palatino Linotype" w:cs="Palatino Linotype"/>
          <w:color w:val="000000" w:themeColor="text1"/>
        </w:rPr>
        <w:t xml:space="preserve">a efecto de determinar si la información remitida se encuentra apegada a lo que establece la Ley en materia de Transparencia. </w:t>
      </w:r>
    </w:p>
    <w:p w14:paraId="000000B6" w14:textId="77777777" w:rsidR="001218D2" w:rsidRPr="00620CE7" w:rsidRDefault="001218D2" w:rsidP="000B7002">
      <w:pPr>
        <w:tabs>
          <w:tab w:val="left" w:pos="0"/>
          <w:tab w:val="left" w:pos="567"/>
        </w:tabs>
        <w:spacing w:line="360" w:lineRule="auto"/>
        <w:jc w:val="both"/>
        <w:rPr>
          <w:rFonts w:ascii="Palatino Linotype" w:eastAsia="Palatino Linotype" w:hAnsi="Palatino Linotype" w:cs="Palatino Linotype"/>
          <w:color w:val="000000" w:themeColor="text1"/>
        </w:rPr>
      </w:pPr>
    </w:p>
    <w:p w14:paraId="000000B7" w14:textId="77777777" w:rsidR="001218D2" w:rsidRPr="00620CE7" w:rsidRDefault="00490ACB" w:rsidP="000B7002">
      <w:pPr>
        <w:numPr>
          <w:ilvl w:val="0"/>
          <w:numId w:val="1"/>
        </w:numP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Primeramente, se precisa que se obvia el análisis de la competencia por parte del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para generar, administrar o poseer la información solicitada, dado que éste ha asumido la misma, en razón de que en su respuesta admitió contar con dicha información.</w:t>
      </w:r>
    </w:p>
    <w:p w14:paraId="000000B8" w14:textId="77777777" w:rsidR="001218D2" w:rsidRPr="00620CE7" w:rsidRDefault="001218D2" w:rsidP="000B7002">
      <w:pPr>
        <w:tabs>
          <w:tab w:val="left" w:pos="0"/>
          <w:tab w:val="left" w:pos="567"/>
        </w:tabs>
        <w:spacing w:line="360" w:lineRule="auto"/>
        <w:jc w:val="both"/>
        <w:rPr>
          <w:rFonts w:ascii="Palatino Linotype" w:eastAsia="Palatino Linotype" w:hAnsi="Palatino Linotype" w:cs="Palatino Linotype"/>
          <w:color w:val="000000" w:themeColor="text1"/>
        </w:rPr>
      </w:pPr>
    </w:p>
    <w:p w14:paraId="000000B9" w14:textId="77777777" w:rsidR="001218D2" w:rsidRPr="00620CE7" w:rsidRDefault="00490ACB" w:rsidP="000B7002">
      <w:pPr>
        <w:numPr>
          <w:ilvl w:val="0"/>
          <w:numId w:val="1"/>
        </w:numPr>
        <w:tabs>
          <w:tab w:val="left" w:pos="0"/>
          <w:tab w:val="left" w:pos="567"/>
        </w:tabs>
        <w:spacing w:after="240" w:line="360" w:lineRule="auto"/>
        <w:ind w:left="0" w:firstLine="0"/>
        <w:jc w:val="both"/>
        <w:rPr>
          <w:rFonts w:ascii="Palatino Linotype" w:eastAsia="Palatino Linotype" w:hAnsi="Palatino Linotype" w:cs="Palatino Linotype"/>
          <w:color w:val="000000" w:themeColor="text1"/>
        </w:rPr>
      </w:pPr>
      <w:bookmarkStart w:id="10" w:name="_heading=h.jq3yig49ltnd" w:colFirst="0" w:colLast="0"/>
      <w:bookmarkEnd w:id="10"/>
      <w:r w:rsidRPr="00620CE7">
        <w:rPr>
          <w:rFonts w:ascii="Palatino Linotype" w:eastAsia="Palatino Linotype" w:hAnsi="Palatino Linotype" w:cs="Palatino Linotype"/>
          <w:color w:val="000000" w:themeColor="text1"/>
        </w:rPr>
        <w:t xml:space="preserve">En efecto, el hecho de que </w:t>
      </w:r>
      <w:r w:rsidRPr="00620CE7">
        <w:rPr>
          <w:rFonts w:ascii="Palatino Linotype" w:eastAsia="Palatino Linotype" w:hAnsi="Palatino Linotype" w:cs="Palatino Linotype"/>
          <w:b/>
          <w:bCs/>
          <w:color w:val="000000" w:themeColor="text1"/>
        </w:rPr>
        <w:t>EL SUJETO OBLIGADO</w:t>
      </w:r>
      <w:r w:rsidRPr="00620CE7">
        <w:rPr>
          <w:rFonts w:ascii="Palatino Linotype" w:eastAsia="Palatino Linotype" w:hAnsi="Palatino Linotype" w:cs="Palatino Linotype"/>
          <w:color w:val="000000" w:themeColor="text1"/>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00000BA"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0BB" w14:textId="77777777" w:rsidR="001218D2" w:rsidRPr="00620CE7" w:rsidRDefault="00490ACB" w:rsidP="000B7002">
      <w:pPr>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Artículo 12.</w:t>
      </w:r>
      <w:r w:rsidRPr="00620CE7">
        <w:rPr>
          <w:rFonts w:ascii="Palatino Linotype" w:eastAsia="Palatino Linotype" w:hAnsi="Palatino Linotype" w:cs="Palatino Linotype"/>
          <w:i/>
          <w:iCs/>
          <w:color w:val="000000" w:themeColor="text1"/>
        </w:rPr>
        <w:t> Quienes generen, recopilen, administren, manejen, procesen, archiven o conserven información pública serán responsables de la misma en los términos de las disposiciones jurídicas aplicables.</w:t>
      </w:r>
    </w:p>
    <w:p w14:paraId="000000BC" w14:textId="77777777" w:rsidR="001218D2" w:rsidRPr="00620CE7" w:rsidRDefault="001218D2" w:rsidP="000B7002">
      <w:pPr>
        <w:spacing w:line="360" w:lineRule="auto"/>
        <w:jc w:val="both"/>
        <w:rPr>
          <w:rFonts w:ascii="Palatino Linotype" w:eastAsia="Palatino Linotype" w:hAnsi="Palatino Linotype" w:cs="Palatino Linotype"/>
          <w:i/>
          <w:iCs/>
          <w:color w:val="000000" w:themeColor="text1"/>
        </w:rPr>
      </w:pPr>
    </w:p>
    <w:p w14:paraId="000000BD" w14:textId="77777777" w:rsidR="001218D2" w:rsidRPr="00620CE7" w:rsidRDefault="00490ACB" w:rsidP="000B7002">
      <w:pPr>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00000BE"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0BF" w14:textId="77777777" w:rsidR="001218D2" w:rsidRPr="00620CE7" w:rsidRDefault="00490ACB" w:rsidP="000B7002">
      <w:pPr>
        <w:numPr>
          <w:ilvl w:val="0"/>
          <w:numId w:val="1"/>
        </w:numPr>
        <w:tabs>
          <w:tab w:val="left" w:pos="0"/>
          <w:tab w:val="left" w:pos="567"/>
        </w:tabs>
        <w:spacing w:before="240" w:after="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Así, el estudio de la naturaleza jurídica de la información pública solicitada, tiene por objeto determinar si ésta la genera, posee o administra </w:t>
      </w:r>
      <w:r w:rsidRPr="00620CE7">
        <w:rPr>
          <w:rFonts w:ascii="Palatino Linotype" w:eastAsia="Palatino Linotype" w:hAnsi="Palatino Linotype" w:cs="Palatino Linotype"/>
          <w:b/>
          <w:bCs/>
          <w:color w:val="000000" w:themeColor="text1"/>
        </w:rPr>
        <w:t>EL SUJETO OBLIGADO</w:t>
      </w:r>
      <w:r w:rsidRPr="00620CE7">
        <w:rPr>
          <w:rFonts w:ascii="Palatino Linotype" w:eastAsia="Palatino Linotype" w:hAnsi="Palatino Linotype" w:cs="Palatino Linotype"/>
          <w:color w:val="000000" w:themeColor="text1"/>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000000C0" w14:textId="77777777" w:rsidR="001218D2" w:rsidRPr="00620CE7" w:rsidRDefault="00490ACB" w:rsidP="00E76956">
      <w:pPr>
        <w:numPr>
          <w:ilvl w:val="0"/>
          <w:numId w:val="5"/>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De la modalidad de entrega.</w:t>
      </w:r>
    </w:p>
    <w:p w14:paraId="000000C2" w14:textId="77777777" w:rsidR="001218D2" w:rsidRPr="00620CE7" w:rsidRDefault="00490ACB" w:rsidP="000B7002">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Ahora bien, se reitera que el </w:t>
      </w:r>
      <w:r w:rsidRPr="00620CE7">
        <w:rPr>
          <w:rFonts w:ascii="Palatino Linotype" w:eastAsia="Palatino Linotype" w:hAnsi="Palatino Linotype" w:cs="Palatino Linotype"/>
          <w:b/>
          <w:bCs/>
          <w:color w:val="000000" w:themeColor="text1"/>
        </w:rPr>
        <w:t xml:space="preserve">SUJETO OBLIGADO, </w:t>
      </w:r>
      <w:r w:rsidRPr="00620CE7">
        <w:rPr>
          <w:rFonts w:ascii="Palatino Linotype" w:eastAsia="Palatino Linotype" w:hAnsi="Palatino Linotype" w:cs="Palatino Linotype"/>
          <w:color w:val="000000" w:themeColor="text1"/>
        </w:rPr>
        <w:t>manifestó la necesidad de cambiar la modalidad de entrega de la información a consulta directa, toda vez que la información que pretende entregar, rebasa la capacidad del Sistema de Acceso a la Información Mexiquense (SAIMEX).</w:t>
      </w:r>
    </w:p>
    <w:p w14:paraId="000000C3"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14:paraId="000000C4" w14:textId="77777777" w:rsidR="001218D2" w:rsidRPr="00620CE7" w:rsidRDefault="00490ACB" w:rsidP="000B7002">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Al respecto la Ley de Transparencia y Acceso a la Información Pública del Estado de México y Municipios establece en los artículos 155 fracción V, 158 y 164 lo siguiente:</w:t>
      </w:r>
    </w:p>
    <w:p w14:paraId="000000C5" w14:textId="77777777" w:rsidR="001218D2" w:rsidRPr="00620CE7" w:rsidRDefault="00490ACB" w:rsidP="000B7002">
      <w:pPr>
        <w:pBdr>
          <w:top w:val="nil"/>
          <w:left w:val="nil"/>
          <w:bottom w:val="nil"/>
          <w:right w:val="nil"/>
          <w:between w:val="nil"/>
        </w:pBdr>
        <w:tabs>
          <w:tab w:val="left" w:pos="851"/>
        </w:tabs>
        <w:spacing w:before="240" w:after="240"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Artículo 155. Para presentar una solicitud por escrito, no se podrán exigir mayores requisitos que los siguientes:</w:t>
      </w:r>
    </w:p>
    <w:p w14:paraId="000000C6" w14:textId="77777777" w:rsidR="001218D2" w:rsidRPr="00620CE7" w:rsidRDefault="00490ACB" w:rsidP="000B7002">
      <w:pPr>
        <w:pBdr>
          <w:top w:val="nil"/>
          <w:left w:val="nil"/>
          <w:bottom w:val="nil"/>
          <w:right w:val="nil"/>
          <w:between w:val="nil"/>
        </w:pBdr>
        <w:tabs>
          <w:tab w:val="left" w:pos="851"/>
        </w:tabs>
        <w:spacing w:before="240" w:after="240"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I. a IV. …</w:t>
      </w:r>
    </w:p>
    <w:p w14:paraId="000000C7" w14:textId="77777777" w:rsidR="001218D2" w:rsidRPr="00620CE7" w:rsidRDefault="00490ACB" w:rsidP="000B7002">
      <w:pPr>
        <w:pBdr>
          <w:top w:val="nil"/>
          <w:left w:val="nil"/>
          <w:bottom w:val="nil"/>
          <w:right w:val="nil"/>
          <w:between w:val="nil"/>
        </w:pBdr>
        <w:tabs>
          <w:tab w:val="left" w:pos="851"/>
        </w:tabs>
        <w:spacing w:before="240" w:after="240"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00000C8" w14:textId="77777777" w:rsidR="001218D2" w:rsidRPr="00620CE7" w:rsidRDefault="00490ACB" w:rsidP="000B7002">
      <w:pPr>
        <w:pBdr>
          <w:top w:val="nil"/>
          <w:left w:val="nil"/>
          <w:bottom w:val="nil"/>
          <w:right w:val="nil"/>
          <w:between w:val="nil"/>
        </w:pBdr>
        <w:tabs>
          <w:tab w:val="left" w:pos="851"/>
        </w:tabs>
        <w:spacing w:before="240" w:after="240"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p>
    <w:p w14:paraId="000000C9" w14:textId="77777777" w:rsidR="001218D2" w:rsidRPr="00620CE7" w:rsidRDefault="00490ACB" w:rsidP="000B7002">
      <w:pPr>
        <w:pBdr>
          <w:top w:val="nil"/>
          <w:left w:val="nil"/>
          <w:bottom w:val="nil"/>
          <w:right w:val="nil"/>
          <w:between w:val="nil"/>
        </w:pBdr>
        <w:tabs>
          <w:tab w:val="left" w:pos="851"/>
        </w:tabs>
        <w:spacing w:before="240" w:after="240"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00000CA" w14:textId="77777777" w:rsidR="001218D2" w:rsidRPr="00620CE7" w:rsidRDefault="00490ACB" w:rsidP="000B7002">
      <w:pPr>
        <w:pBdr>
          <w:top w:val="nil"/>
          <w:left w:val="nil"/>
          <w:bottom w:val="nil"/>
          <w:right w:val="nil"/>
          <w:between w:val="nil"/>
        </w:pBdr>
        <w:tabs>
          <w:tab w:val="left" w:pos="851"/>
        </w:tabs>
        <w:spacing w:before="240" w:after="240"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En todo caso, se facilitará su copia simple o certificada, así como su reproducción por cualquier medio disponible en las instalaciones del sujeto obligado o que, en su caso, aporte el solicitante</w:t>
      </w:r>
    </w:p>
    <w:p w14:paraId="000000CB" w14:textId="77777777" w:rsidR="001218D2" w:rsidRPr="00620CE7" w:rsidRDefault="00490ACB" w:rsidP="000B7002">
      <w:pPr>
        <w:pBdr>
          <w:top w:val="nil"/>
          <w:left w:val="nil"/>
          <w:bottom w:val="nil"/>
          <w:right w:val="nil"/>
          <w:between w:val="nil"/>
        </w:pBdr>
        <w:tabs>
          <w:tab w:val="left" w:pos="851"/>
        </w:tabs>
        <w:spacing w:before="240" w:after="240"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000000CC" w14:textId="77777777" w:rsidR="001218D2" w:rsidRPr="00620CE7" w:rsidRDefault="00490ACB" w:rsidP="000B7002">
      <w:pPr>
        <w:numPr>
          <w:ilvl w:val="0"/>
          <w:numId w:val="1"/>
        </w:numPr>
        <w:pBdr>
          <w:top w:val="nil"/>
          <w:left w:val="nil"/>
          <w:bottom w:val="nil"/>
          <w:right w:val="nil"/>
          <w:between w:val="nil"/>
        </w:pBdr>
        <w:tabs>
          <w:tab w:val="left" w:pos="567"/>
          <w:tab w:val="left" w:pos="851"/>
        </w:tabs>
        <w:spacing w:before="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14:paraId="000000CD"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0CE" w14:textId="77777777" w:rsidR="001218D2" w:rsidRPr="00620CE7" w:rsidRDefault="00490ACB" w:rsidP="000B70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Del artículo 158 transcrito supra, se tiene que, excepcionalmente, en el caso de que la información solicitada implique un análisis, estudio o procesamiento de documentos, cuya entrega o reproducción sobrepase las capacidades técnicas administrativas y humanas del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éste podrá poner a disposición los documentos vía </w:t>
      </w:r>
      <w:r w:rsidRPr="00620CE7">
        <w:rPr>
          <w:rFonts w:ascii="Palatino Linotype" w:eastAsia="Palatino Linotype" w:hAnsi="Palatino Linotype" w:cs="Palatino Linotype"/>
          <w:i/>
          <w:iCs/>
          <w:color w:val="000000" w:themeColor="text1"/>
        </w:rPr>
        <w:t>In Situ</w:t>
      </w:r>
      <w:r w:rsidRPr="00620CE7">
        <w:rPr>
          <w:rFonts w:ascii="Palatino Linotype" w:eastAsia="Palatino Linotype" w:hAnsi="Palatino Linotype" w:cs="Palatino Linotype"/>
          <w:color w:val="000000" w:themeColor="text1"/>
        </w:rPr>
        <w:t xml:space="preserve"> o Consulta Directa, </w:t>
      </w:r>
      <w:r w:rsidRPr="00620CE7">
        <w:rPr>
          <w:rFonts w:ascii="Palatino Linotype" w:eastAsia="Palatino Linotype" w:hAnsi="Palatino Linotype" w:cs="Palatino Linotype"/>
          <w:b/>
          <w:bCs/>
          <w:color w:val="000000" w:themeColor="text1"/>
        </w:rPr>
        <w:t>siempre y cuando se funden y motiven las razones que justifiquen la imposibilidad de entregar la información en la modalidad originalmente solicitada</w:t>
      </w:r>
      <w:r w:rsidRPr="00620CE7">
        <w:rPr>
          <w:rFonts w:ascii="Palatino Linotype" w:eastAsia="Palatino Linotype" w:hAnsi="Palatino Linotype" w:cs="Palatino Linotype"/>
          <w:color w:val="000000" w:themeColor="text1"/>
        </w:rPr>
        <w:t xml:space="preserve">. </w:t>
      </w:r>
    </w:p>
    <w:p w14:paraId="000000CF" w14:textId="77777777" w:rsidR="001218D2" w:rsidRPr="00620CE7" w:rsidRDefault="001218D2" w:rsidP="000B70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000000D0" w14:textId="77777777" w:rsidR="001218D2" w:rsidRPr="00620CE7" w:rsidRDefault="00490ACB" w:rsidP="000B70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Es decir, del artículo anterior, se derivan tres hipótesis que en conjunto, y de manera fundada y motivada, validan el cambio de modalidad de entrega de la información y las cuales son, que las documentales a proporcionar </w:t>
      </w:r>
      <w:r w:rsidRPr="00620CE7">
        <w:rPr>
          <w:rFonts w:ascii="Palatino Linotype" w:eastAsia="Palatino Linotype" w:hAnsi="Palatino Linotype" w:cs="Palatino Linotype"/>
          <w:b/>
          <w:bCs/>
          <w:color w:val="000000" w:themeColor="text1"/>
        </w:rPr>
        <w:t>sobrepasen las capacidades técnicas, administrativas y humanas del SUJETO OBLIGADO</w:t>
      </w:r>
      <w:r w:rsidRPr="00620CE7">
        <w:rPr>
          <w:rFonts w:ascii="Palatino Linotype" w:eastAsia="Palatino Linotype" w:hAnsi="Palatino Linotype" w:cs="Palatino Linotype"/>
          <w:color w:val="000000" w:themeColor="text1"/>
        </w:rPr>
        <w:t xml:space="preserve">. </w:t>
      </w:r>
    </w:p>
    <w:p w14:paraId="000000D1" w14:textId="77777777" w:rsidR="001218D2" w:rsidRPr="00620CE7" w:rsidRDefault="001218D2" w:rsidP="000B70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000000D2" w14:textId="77777777" w:rsidR="001218D2" w:rsidRPr="00620CE7" w:rsidRDefault="00490ACB" w:rsidP="000B70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Para ello, cabe mencionar lo que se entiende por “</w:t>
      </w:r>
      <w:r w:rsidRPr="00620CE7">
        <w:rPr>
          <w:rFonts w:ascii="Palatino Linotype" w:eastAsia="Palatino Linotype" w:hAnsi="Palatino Linotype" w:cs="Palatino Linotype"/>
          <w:b/>
          <w:bCs/>
          <w:color w:val="000000" w:themeColor="text1"/>
        </w:rPr>
        <w:t>capacidad</w:t>
      </w:r>
      <w:r w:rsidRPr="00620CE7">
        <w:rPr>
          <w:rFonts w:ascii="Palatino Linotype" w:eastAsia="Palatino Linotype" w:hAnsi="Palatino Linotype" w:cs="Palatino Linotype"/>
          <w:color w:val="000000" w:themeColor="text1"/>
        </w:rPr>
        <w:t>”; que, de manera general, puede ser interpretado como la circunstancia o conjunto de condiciones, cualidades o aptitudes que permiten el desarrollo o el cumplimiento de una función o desempeño de un cargo.</w:t>
      </w:r>
    </w:p>
    <w:p w14:paraId="000000D3" w14:textId="77777777" w:rsidR="001218D2" w:rsidRPr="00620CE7" w:rsidRDefault="001218D2" w:rsidP="000B70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000000D4" w14:textId="77777777" w:rsidR="001218D2" w:rsidRPr="00620CE7" w:rsidRDefault="00490ACB" w:rsidP="000B70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Respecto a las capacidades técnicas, el Sistema de Acceso a la Información Mexiquense (SAIMEX), es el medio electrónico a través del cual se formulan las solicitudes </w:t>
      </w:r>
      <w:r w:rsidRPr="00620CE7">
        <w:rPr>
          <w:rFonts w:ascii="Palatino Linotype" w:eastAsia="Palatino Linotype" w:hAnsi="Palatino Linotype" w:cs="Palatino Linotype"/>
          <w:color w:val="000000" w:themeColor="text1"/>
        </w:rPr>
        <w:lastRenderedPageBreak/>
        <w:t xml:space="preserve">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000000D5"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0D6" w14:textId="77777777" w:rsidR="001218D2" w:rsidRDefault="00490ACB" w:rsidP="000B70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Ahora bien, en relación con </w:t>
      </w:r>
      <w:r w:rsidRPr="00620CE7">
        <w:rPr>
          <w:rFonts w:ascii="Palatino Linotype" w:eastAsia="Palatino Linotype" w:hAnsi="Palatino Linotype" w:cs="Palatino Linotype"/>
          <w:b/>
          <w:bCs/>
          <w:color w:val="000000" w:themeColor="text1"/>
        </w:rPr>
        <w:t>el peso máximo de archivos que soporta el SAIMEX para adjuntar como respuesta a las solicitudes de información</w:t>
      </w:r>
      <w:r w:rsidRPr="00620CE7">
        <w:rPr>
          <w:rFonts w:ascii="Palatino Linotype" w:eastAsia="Palatino Linotype" w:hAnsi="Palatino Linotype" w:cs="Palatino Linotype"/>
          <w:color w:val="000000" w:themeColor="text1"/>
        </w:rPr>
        <w:t xml:space="preserve">, de acuerdo con la Dirección de Informática de este Instituto, la plataforma </w:t>
      </w:r>
      <w:r w:rsidRPr="00620CE7">
        <w:rPr>
          <w:rFonts w:ascii="Palatino Linotype" w:eastAsia="Palatino Linotype" w:hAnsi="Palatino Linotype" w:cs="Palatino Linotype"/>
          <w:b/>
          <w:bCs/>
          <w:color w:val="000000" w:themeColor="text1"/>
        </w:rPr>
        <w:t>tiene el soporte tecnológico para que se puedan adjuntar archivos con un peso aproximado de hasta 500Mb o un equivalente de hasta 8,000 hojas</w:t>
      </w:r>
      <w:r w:rsidRPr="00620CE7">
        <w:rPr>
          <w:rFonts w:ascii="Palatino Linotype" w:eastAsia="Palatino Linotype" w:hAnsi="Palatino Linotype" w:cs="Palatino Linotype"/>
          <w:color w:val="000000" w:themeColor="text1"/>
        </w:rPr>
        <w:t xml:space="preserve">, garantizando que el ciudadano no tenga problemas en la descarga de la información, usando conexiones a internet convencionales bajo parámetros de escaneo en resolución máxima de 150Dpi’s, escala de grises y formato “PDF” extraído directamente del escáner. </w:t>
      </w:r>
    </w:p>
    <w:p w14:paraId="63C8853B" w14:textId="77777777" w:rsidR="00620CE7" w:rsidRPr="00620CE7" w:rsidRDefault="00620CE7" w:rsidP="00620CE7">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000000D7"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En el presente caso, la respuesta emitida por el Sujeto Obligado fue el cambio de modalidad, toda vez que la información que pretende hacer entrega, sobre pasa las capacidades permitidas por el Sistema de Acceso a la Información Mexiquense. </w:t>
      </w:r>
    </w:p>
    <w:p w14:paraId="000000D8" w14:textId="77777777" w:rsidR="001218D2" w:rsidRPr="00620CE7" w:rsidRDefault="001218D2" w:rsidP="000B7002">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000000D9"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Es así que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refirió que el documento que pretende subir a efecto de brin dar respuesta, posee un peso que asciende a 8.89 GB, toda vez que consta de un total de 25 ,393 fojas, lo cual sobrepasa las capacidades técnicas del Sistema SAIMEX, lo cual se comprueba con la incidencia reportada a la Dirección General de Informática de este Instituto. </w:t>
      </w:r>
    </w:p>
    <w:p w14:paraId="000000DA" w14:textId="77777777" w:rsidR="001218D2" w:rsidRPr="00620CE7" w:rsidRDefault="001218D2" w:rsidP="000B7002">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000000DB"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 xml:space="preserve">Por tanto,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reportó una imposibilidad técnica para entregar la información requerida vía SAIMEX; lo anterior, derivado a que el peso de la información superaba las capacidades del propio sistema.</w:t>
      </w:r>
    </w:p>
    <w:p w14:paraId="000000DC"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0DD"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No es ocioso mencionar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SAIMEX.</w:t>
      </w:r>
    </w:p>
    <w:p w14:paraId="000000DE"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0DF" w14:textId="77777777" w:rsidR="001218D2" w:rsidRPr="00620CE7" w:rsidRDefault="00490ACB" w:rsidP="000B7002">
      <w:pPr>
        <w:numPr>
          <w:ilvl w:val="0"/>
          <w:numId w:val="1"/>
        </w:numPr>
        <w:pBdr>
          <w:top w:val="nil"/>
          <w:left w:val="nil"/>
          <w:bottom w:val="nil"/>
          <w:right w:val="nil"/>
          <w:between w:val="nil"/>
        </w:pBdr>
        <w:tabs>
          <w:tab w:val="left" w:pos="426"/>
        </w:tabs>
        <w:spacing w:after="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Lo anterior encuentra sustento mediante el Criterio orientador 31-10 emitido por el entonces Instituto Federal de Acceso a la Información y Protección de Datos, mismo que dice:</w:t>
      </w:r>
    </w:p>
    <w:p w14:paraId="000000E0" w14:textId="77777777" w:rsidR="001218D2" w:rsidRPr="00620CE7" w:rsidRDefault="00490ACB" w:rsidP="000B7002">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EL INSTITUTO FEDERAL DE ACCESO A LA INFORMACIÓN Y PROTECCIÓN DE DATOS NO CUENTA CON FACULTADES PARA PRONUNCIARSE RESPECTO DE LA VERACIDAD DE LOS DOCUMENTOS PROPORCIONADOS POR LOS SUJETOS OBLIGADOS.</w:t>
      </w:r>
      <w:r w:rsidRPr="00620CE7">
        <w:rPr>
          <w:rFonts w:ascii="Palatino Linotype" w:eastAsia="Palatino Linotype" w:hAnsi="Palatino Linotype" w:cs="Palatino Linotype"/>
          <w:i/>
          <w:iCs/>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620CE7">
        <w:rPr>
          <w:rFonts w:ascii="Palatino Linotype" w:eastAsia="Palatino Linotype" w:hAnsi="Palatino Linotype" w:cs="Palatino Linotype"/>
          <w:i/>
          <w:iCs/>
          <w:color w:val="000000" w:themeColor="text1"/>
        </w:rPr>
        <w:lastRenderedPageBreak/>
        <w:t>permita al Instituto Federal de Acceso a la Información y Protección de Datos conocer, vía recurso revisión, al respecto.”</w:t>
      </w:r>
    </w:p>
    <w:p w14:paraId="000000E1" w14:textId="77777777" w:rsidR="001218D2" w:rsidRPr="00620CE7" w:rsidRDefault="001218D2" w:rsidP="000B7002">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14:paraId="000000E2" w14:textId="77777777" w:rsidR="001218D2" w:rsidRPr="00620CE7" w:rsidRDefault="00490ACB" w:rsidP="000B70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Así las cosas, este Organismo Garante tiene certeza de que la información solicitada excede las capacidades técnicas del SAIMEX para atender la solicitud por el medio requerido por el particular.</w:t>
      </w:r>
    </w:p>
    <w:p w14:paraId="000000E3"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0E4" w14:textId="77777777" w:rsidR="001218D2" w:rsidRPr="00620CE7" w:rsidRDefault="00490ACB" w:rsidP="000B70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No obstante lo anterior, apremia recordar que la esencia de solicitar la entrega de la información vía SAIMEX es que el particular se haga de ésta por </w:t>
      </w:r>
      <w:r w:rsidRPr="00620CE7">
        <w:rPr>
          <w:rFonts w:ascii="Palatino Linotype" w:eastAsia="Palatino Linotype" w:hAnsi="Palatino Linotype" w:cs="Palatino Linotype"/>
          <w:b/>
          <w:bCs/>
          <w:color w:val="000000" w:themeColor="text1"/>
        </w:rPr>
        <w:t>medios electrónicos</w:t>
      </w:r>
      <w:r w:rsidRPr="00620CE7">
        <w:rPr>
          <w:rFonts w:ascii="Palatino Linotype" w:eastAsia="Palatino Linotype" w:hAnsi="Palatino Linotype" w:cs="Palatino Linotype"/>
          <w:color w:val="000000" w:themeColor="text1"/>
        </w:rPr>
        <w:t xml:space="preserve">; esto es, por una vía digital, a distancia, que le permita descargar los documentos desde un ordenador o teléfono móvil. Por ello,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deberá ofrecer otras modalidades digitales para entregar la información al particular, tales como, de manera enunciativa mas no limitativa, habilitar una liga electrónica para que descargue los archivos a través de un servicio de nube;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000000E5"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0E6"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Asimismo, conviene traer a estudio lo establecido en el Capítulo X de </w:t>
      </w:r>
      <w:r w:rsidRPr="00620CE7">
        <w:rPr>
          <w:rFonts w:ascii="Palatino Linotype" w:eastAsia="Palatino Linotype" w:hAnsi="Palatino Linotype" w:cs="Palatino Linotype"/>
          <w:i/>
          <w:iCs/>
          <w:color w:val="000000" w:themeColor="text1"/>
        </w:rPr>
        <w:t>Lineamientos Generales en Materia de Clasificación y Desclasificación de la Información, así como para la Elaboración de Versiones Públicas</w:t>
      </w:r>
      <w:r w:rsidRPr="00620CE7">
        <w:rPr>
          <w:rFonts w:ascii="Palatino Linotype" w:eastAsia="Palatino Linotype" w:hAnsi="Palatino Linotype" w:cs="Palatino Linotype"/>
          <w:color w:val="000000" w:themeColor="text1"/>
        </w:rPr>
        <w:t>, relativo a la Consulta Directa, mismo que se transcribe a continuación:</w:t>
      </w:r>
    </w:p>
    <w:p w14:paraId="000000E7"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 xml:space="preserve">CAPÍTULO X </w:t>
      </w:r>
    </w:p>
    <w:p w14:paraId="000000E8"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 xml:space="preserve">DE LA CONSULTA DIRECTA </w:t>
      </w:r>
    </w:p>
    <w:p w14:paraId="000000E9"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p>
    <w:p w14:paraId="000000EA"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Sexagésimo séptimo.</w:t>
      </w:r>
      <w:r w:rsidRPr="00620CE7">
        <w:rPr>
          <w:rFonts w:ascii="Palatino Linotype" w:eastAsia="Palatino Linotype" w:hAnsi="Palatino Linotype" w:cs="Palatino Linotype"/>
          <w:i/>
          <w:iCs/>
          <w:color w:val="000000" w:themeColor="text1"/>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000000EB"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p>
    <w:p w14:paraId="000000EC"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Sexagésimo octavo.</w:t>
      </w:r>
      <w:r w:rsidRPr="00620CE7">
        <w:rPr>
          <w:rFonts w:ascii="Palatino Linotype" w:eastAsia="Palatino Linotype" w:hAnsi="Palatino Linotype" w:cs="Palatino Linotype"/>
          <w:i/>
          <w:iCs/>
          <w:color w:val="000000" w:themeColor="text1"/>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000000ED"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p>
    <w:p w14:paraId="000000EE"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Sexagésimo noveno.</w:t>
      </w:r>
      <w:r w:rsidRPr="00620CE7">
        <w:rPr>
          <w:rFonts w:ascii="Palatino Linotype" w:eastAsia="Palatino Linotype" w:hAnsi="Palatino Linotype" w:cs="Palatino Linotype"/>
          <w:i/>
          <w:iCs/>
          <w:color w:val="000000" w:themeColor="text1"/>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000000EF"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p>
    <w:p w14:paraId="000000F0"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Septuagésimo.</w:t>
      </w:r>
      <w:r w:rsidRPr="00620CE7">
        <w:rPr>
          <w:rFonts w:ascii="Palatino Linotype" w:eastAsia="Palatino Linotype" w:hAnsi="Palatino Linotype" w:cs="Palatino Linotype"/>
          <w:i/>
          <w:iCs/>
          <w:color w:val="000000" w:themeColor="text1"/>
        </w:rPr>
        <w:t xml:space="preserve"> Para el desahogo de las actuaciones tendientes a permitir la consulta directa, en los casos en que ésta resulte procedente, los sujetos obligados deberán observar lo siguiente: </w:t>
      </w:r>
    </w:p>
    <w:p w14:paraId="000000F1"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p>
    <w:p w14:paraId="000000F2"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I.</w:t>
      </w:r>
      <w:r w:rsidRPr="00620CE7">
        <w:rPr>
          <w:rFonts w:ascii="Palatino Linotype" w:eastAsia="Palatino Linotype" w:hAnsi="Palatino Linotype" w:cs="Palatino Linotype"/>
          <w:i/>
          <w:iCs/>
          <w:color w:val="000000" w:themeColor="text1"/>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w:t>
      </w:r>
      <w:r w:rsidRPr="00620CE7">
        <w:rPr>
          <w:rFonts w:ascii="Palatino Linotype" w:eastAsia="Palatino Linotype" w:hAnsi="Palatino Linotype" w:cs="Palatino Linotype"/>
          <w:i/>
          <w:iCs/>
          <w:color w:val="000000" w:themeColor="text1"/>
        </w:rPr>
        <w:lastRenderedPageBreak/>
        <w:t xml:space="preserve">para realizar la consulta, en la respuesta a la solicitud también se deberá indicar esta situación al solicitante y los días, y horarios en que podrá llevarse a cabo. </w:t>
      </w:r>
    </w:p>
    <w:p w14:paraId="000000F3"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II.</w:t>
      </w:r>
      <w:r w:rsidRPr="00620CE7">
        <w:rPr>
          <w:rFonts w:ascii="Palatino Linotype" w:eastAsia="Palatino Linotype" w:hAnsi="Palatino Linotype" w:cs="Palatino Linotype"/>
          <w:i/>
          <w:iCs/>
          <w:color w:val="000000" w:themeColor="text1"/>
        </w:rPr>
        <w:t xml:space="preserve"> En su caso, la procedencia de los ajustes razonables solicitados y/o la procedencia de acceso en la lengua indígena requerida; </w:t>
      </w:r>
    </w:p>
    <w:p w14:paraId="000000F4"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 xml:space="preserve">III. </w:t>
      </w:r>
      <w:r w:rsidRPr="00620CE7">
        <w:rPr>
          <w:rFonts w:ascii="Palatino Linotype" w:eastAsia="Palatino Linotype" w:hAnsi="Palatino Linotype" w:cs="Palatino Linotype"/>
          <w:i/>
          <w:iCs/>
          <w:color w:val="000000" w:themeColor="text1"/>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00000F5"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 xml:space="preserve">IV. </w:t>
      </w:r>
      <w:r w:rsidRPr="00620CE7">
        <w:rPr>
          <w:rFonts w:ascii="Palatino Linotype" w:eastAsia="Palatino Linotype" w:hAnsi="Palatino Linotype" w:cs="Palatino Linotype"/>
          <w:i/>
          <w:iCs/>
          <w:color w:val="000000" w:themeColor="text1"/>
        </w:rPr>
        <w:t>Proporcionar al solicitante las facilidades y asistencia requerida para la consulta de los documentos;</w:t>
      </w:r>
    </w:p>
    <w:p w14:paraId="000000F6"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V.</w:t>
      </w:r>
      <w:r w:rsidRPr="00620CE7">
        <w:rPr>
          <w:rFonts w:ascii="Palatino Linotype" w:eastAsia="Palatino Linotype" w:hAnsi="Palatino Linotype" w:cs="Palatino Linotype"/>
          <w:i/>
          <w:iCs/>
          <w:color w:val="000000" w:themeColor="text1"/>
        </w:rPr>
        <w:t xml:space="preserve"> Abstenerse de requerir al solicitante que acredite interés alguno; </w:t>
      </w:r>
    </w:p>
    <w:p w14:paraId="000000F7"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VI.</w:t>
      </w:r>
      <w:r w:rsidRPr="00620CE7">
        <w:rPr>
          <w:rFonts w:ascii="Palatino Linotype" w:eastAsia="Palatino Linotype" w:hAnsi="Palatino Linotype" w:cs="Palatino Linotype"/>
          <w:i/>
          <w:iCs/>
          <w:color w:val="000000" w:themeColor="text1"/>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000000F8"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a)</w:t>
      </w:r>
      <w:r w:rsidRPr="00620CE7">
        <w:rPr>
          <w:rFonts w:ascii="Palatino Linotype" w:eastAsia="Palatino Linotype" w:hAnsi="Palatino Linotype" w:cs="Palatino Linotype"/>
          <w:i/>
          <w:iCs/>
          <w:color w:val="000000" w:themeColor="text1"/>
        </w:rPr>
        <w:t xml:space="preserve"> Contar con instalaciones y mobiliario adecuado para asegurar tanto la integridad del documento consultado, como para proporcionar al solicitante las mejores condiciones para poder llevar a cabo la consulta directa; </w:t>
      </w:r>
    </w:p>
    <w:p w14:paraId="000000F9"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b)</w:t>
      </w:r>
      <w:r w:rsidRPr="00620CE7">
        <w:rPr>
          <w:rFonts w:ascii="Palatino Linotype" w:eastAsia="Palatino Linotype" w:hAnsi="Palatino Linotype" w:cs="Palatino Linotype"/>
          <w:i/>
          <w:iCs/>
          <w:color w:val="000000" w:themeColor="text1"/>
        </w:rPr>
        <w:t xml:space="preserve"> Equipo y personal de vigilancia;</w:t>
      </w:r>
    </w:p>
    <w:p w14:paraId="000000FA"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c)</w:t>
      </w:r>
      <w:r w:rsidRPr="00620CE7">
        <w:rPr>
          <w:rFonts w:ascii="Palatino Linotype" w:eastAsia="Palatino Linotype" w:hAnsi="Palatino Linotype" w:cs="Palatino Linotype"/>
          <w:i/>
          <w:iCs/>
          <w:color w:val="000000" w:themeColor="text1"/>
        </w:rPr>
        <w:t xml:space="preserve"> Plan de acción contra robo o vandalismo; </w:t>
      </w:r>
    </w:p>
    <w:p w14:paraId="000000FB"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d)</w:t>
      </w:r>
      <w:r w:rsidRPr="00620CE7">
        <w:rPr>
          <w:rFonts w:ascii="Palatino Linotype" w:eastAsia="Palatino Linotype" w:hAnsi="Palatino Linotype" w:cs="Palatino Linotype"/>
          <w:i/>
          <w:iCs/>
          <w:color w:val="000000" w:themeColor="text1"/>
        </w:rPr>
        <w:t xml:space="preserve"> Extintores de fuego de gas inocuo; </w:t>
      </w:r>
    </w:p>
    <w:p w14:paraId="000000FC"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e)</w:t>
      </w:r>
      <w:r w:rsidRPr="00620CE7">
        <w:rPr>
          <w:rFonts w:ascii="Palatino Linotype" w:eastAsia="Palatino Linotype" w:hAnsi="Palatino Linotype" w:cs="Palatino Linotype"/>
          <w:i/>
          <w:iCs/>
          <w:color w:val="000000" w:themeColor="text1"/>
        </w:rPr>
        <w:t xml:space="preserve"> Registro e identificación del personal autorizado para el tratamiento de los documentos o expedientes a revisar;</w:t>
      </w:r>
    </w:p>
    <w:p w14:paraId="000000FD"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f)</w:t>
      </w:r>
      <w:r w:rsidRPr="00620CE7">
        <w:rPr>
          <w:rFonts w:ascii="Palatino Linotype" w:eastAsia="Palatino Linotype" w:hAnsi="Palatino Linotype" w:cs="Palatino Linotype"/>
          <w:i/>
          <w:iCs/>
          <w:color w:val="000000" w:themeColor="text1"/>
        </w:rPr>
        <w:t xml:space="preserve"> Registro e identificación de los particulares autorizados para llevar a cabo la consulta directa, y </w:t>
      </w:r>
    </w:p>
    <w:p w14:paraId="000000FE"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g)</w:t>
      </w:r>
      <w:r w:rsidRPr="00620CE7">
        <w:rPr>
          <w:rFonts w:ascii="Palatino Linotype" w:eastAsia="Palatino Linotype" w:hAnsi="Palatino Linotype" w:cs="Palatino Linotype"/>
          <w:i/>
          <w:iCs/>
          <w:color w:val="000000" w:themeColor="text1"/>
        </w:rPr>
        <w:t xml:space="preserve"> Las demás que, a criterio de los sujetos obligados, resulten necesarias. </w:t>
      </w:r>
    </w:p>
    <w:p w14:paraId="000000FF"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VII.</w:t>
      </w:r>
      <w:r w:rsidRPr="00620CE7">
        <w:rPr>
          <w:rFonts w:ascii="Palatino Linotype" w:eastAsia="Palatino Linotype" w:hAnsi="Palatino Linotype" w:cs="Palatino Linotype"/>
          <w:i/>
          <w:iCs/>
          <w:color w:val="000000" w:themeColor="text1"/>
        </w:rPr>
        <w:t xml:space="preserve"> Hacer del conocimiento del solicitante, previo al acceso a la información, las reglas a que se sujetará la consulta para garantizar la integridad de los documentos, y</w:t>
      </w:r>
    </w:p>
    <w:p w14:paraId="00000100"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lastRenderedPageBreak/>
        <w:t>VIII.</w:t>
      </w:r>
      <w:r w:rsidRPr="00620CE7">
        <w:rPr>
          <w:rFonts w:ascii="Palatino Linotype" w:eastAsia="Palatino Linotype" w:hAnsi="Palatino Linotype" w:cs="Palatino Linotype"/>
          <w:i/>
          <w:iCs/>
          <w:color w:val="000000" w:themeColor="text1"/>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00000101"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p>
    <w:p w14:paraId="00000102"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 xml:space="preserve">Septuagésimo primero. </w:t>
      </w:r>
      <w:r w:rsidRPr="00620CE7">
        <w:rPr>
          <w:rFonts w:ascii="Palatino Linotype" w:eastAsia="Palatino Linotype" w:hAnsi="Palatino Linotype" w:cs="Palatino Linotype"/>
          <w:i/>
          <w:iCs/>
          <w:color w:val="000000" w:themeColor="text1"/>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0000103"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 xml:space="preserve">El solicitante deberá observar en todo momento las reglas que el sujeto obligado haya hecho de su conocimiento para efectos de la conservación de los documentos. </w:t>
      </w:r>
    </w:p>
    <w:p w14:paraId="00000104"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p>
    <w:p w14:paraId="00000105"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Septuagésimo segundo.</w:t>
      </w:r>
      <w:r w:rsidRPr="00620CE7">
        <w:rPr>
          <w:rFonts w:ascii="Palatino Linotype" w:eastAsia="Palatino Linotype" w:hAnsi="Palatino Linotype" w:cs="Palatino Linotype"/>
          <w:i/>
          <w:iCs/>
          <w:color w:val="000000" w:themeColor="text1"/>
        </w:rPr>
        <w:t xml:space="preserve"> El solicitante deberá realizar la consulta de los documentos requeridos en el lugar, horarios y con la persona destinada para tal efecto. </w:t>
      </w:r>
    </w:p>
    <w:p w14:paraId="00000106"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00000107" w14:textId="77777777" w:rsidR="001218D2" w:rsidRPr="00620CE7" w:rsidRDefault="001218D2"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p>
    <w:p w14:paraId="00000108"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Septuagésimo tercero.</w:t>
      </w:r>
      <w:r w:rsidRPr="00620CE7">
        <w:rPr>
          <w:rFonts w:ascii="Palatino Linotype" w:eastAsia="Palatino Linotype" w:hAnsi="Palatino Linotype" w:cs="Palatino Linotype"/>
          <w:i/>
          <w:iCs/>
          <w:color w:val="000000" w:themeColor="text1"/>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0000109" w14:textId="77777777" w:rsidR="001218D2" w:rsidRPr="00620CE7" w:rsidRDefault="00490ACB" w:rsidP="000B700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La información deberá ser entregada sin costo, cuando implique la entrega de no más de veinte hojas simples.”</w:t>
      </w:r>
    </w:p>
    <w:p w14:paraId="0000010A" w14:textId="77777777" w:rsidR="001218D2" w:rsidRPr="00620CE7" w:rsidRDefault="00490ACB" w:rsidP="000B70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Por lo anterior, se advierte que el</w:t>
      </w:r>
      <w:r w:rsidRPr="00620CE7">
        <w:rPr>
          <w:rFonts w:ascii="Palatino Linotype" w:eastAsia="Palatino Linotype" w:hAnsi="Palatino Linotype" w:cs="Palatino Linotype"/>
          <w:b/>
          <w:bCs/>
          <w:color w:val="000000" w:themeColor="text1"/>
        </w:rPr>
        <w:t xml:space="preserve"> SUJETO OBLIGADO</w:t>
      </w:r>
      <w:r w:rsidRPr="00620CE7">
        <w:rPr>
          <w:rFonts w:ascii="Palatino Linotype" w:eastAsia="Palatino Linotype" w:hAnsi="Palatino Linotype" w:cs="Palatino Linotype"/>
          <w:color w:val="000000" w:themeColor="text1"/>
        </w:rPr>
        <w:t xml:space="preserve"> acreditó la imposibilidad técnica, establecida en el artículo 158 de la Ley de Transparencia y Acceso a la Información Pública del Estado de México y Municipios, para validar el cambio de modalidad a Consulta Directa.</w:t>
      </w:r>
    </w:p>
    <w:p w14:paraId="0000010B" w14:textId="77777777" w:rsidR="001218D2" w:rsidRPr="00620CE7" w:rsidRDefault="001218D2" w:rsidP="000B700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0000010C" w14:textId="77777777" w:rsidR="001218D2" w:rsidRPr="00620CE7" w:rsidRDefault="00490ACB" w:rsidP="000B7002">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En ese sentido, no es ocioso enfatizar que el</w:t>
      </w:r>
      <w:r w:rsidRPr="00620CE7">
        <w:rPr>
          <w:rFonts w:ascii="Palatino Linotype" w:eastAsia="Palatino Linotype" w:hAnsi="Palatino Linotype" w:cs="Palatino Linotype"/>
          <w:b/>
          <w:bCs/>
          <w:color w:val="000000" w:themeColor="text1"/>
        </w:rPr>
        <w:t xml:space="preserve"> SUJETO OBLIGADO</w:t>
      </w:r>
      <w:r w:rsidRPr="00620CE7">
        <w:rPr>
          <w:rFonts w:ascii="Palatino Linotype" w:eastAsia="Palatino Linotype" w:hAnsi="Palatino Linotype" w:cs="Palatino Linotype"/>
          <w:color w:val="000000" w:themeColor="text1"/>
        </w:rPr>
        <w:t xml:space="preserve"> deberá atender lo establecido en el artículo 166 de la Ley de Transparencia y Acceso a la Información Pública del Estado de México y Municipios, el cual establece lo siguiente:</w:t>
      </w:r>
    </w:p>
    <w:p w14:paraId="0000010D" w14:textId="77777777" w:rsidR="001218D2" w:rsidRPr="00620CE7" w:rsidRDefault="00490ACB" w:rsidP="000B7002">
      <w:pPr>
        <w:pBdr>
          <w:top w:val="nil"/>
          <w:left w:val="nil"/>
          <w:bottom w:val="nil"/>
          <w:right w:val="nil"/>
          <w:between w:val="nil"/>
        </w:pBdr>
        <w:tabs>
          <w:tab w:val="left" w:pos="7371"/>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Artículo 166.</w:t>
      </w:r>
      <w:r w:rsidRPr="00620CE7">
        <w:rPr>
          <w:rFonts w:ascii="Palatino Linotype" w:eastAsia="Palatino Linotype" w:hAnsi="Palatino Linotype" w:cs="Palatino Linotype"/>
          <w:i/>
          <w:iCs/>
          <w:color w:val="000000" w:themeColor="text1"/>
        </w:rPr>
        <w:t xml:space="preserve"> La obligación de acceso a la información pública se tendrá por cumplida cuando el solicitante tenga a su disposición la información requerida, o cuando realice la consulta de la misma en el lugar en el que ésta se localice.</w:t>
      </w:r>
    </w:p>
    <w:p w14:paraId="0000010E" w14:textId="77777777" w:rsidR="001218D2" w:rsidRPr="00620CE7" w:rsidRDefault="00490ACB" w:rsidP="000B7002">
      <w:pPr>
        <w:pBdr>
          <w:top w:val="nil"/>
          <w:left w:val="nil"/>
          <w:bottom w:val="nil"/>
          <w:right w:val="nil"/>
          <w:between w:val="nil"/>
        </w:pBdr>
        <w:tabs>
          <w:tab w:val="left" w:pos="7371"/>
        </w:tabs>
        <w:spacing w:line="360" w:lineRule="auto"/>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0000010F" w14:textId="77777777" w:rsidR="001218D2" w:rsidRPr="00620CE7" w:rsidRDefault="00490ACB" w:rsidP="000B7002">
      <w:pPr>
        <w:pBdr>
          <w:top w:val="nil"/>
          <w:left w:val="nil"/>
          <w:bottom w:val="nil"/>
          <w:right w:val="nil"/>
          <w:between w:val="nil"/>
        </w:pBdr>
        <w:tabs>
          <w:tab w:val="left" w:pos="7371"/>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Transcurridos dichos plazos, si los solicitantes no acuden a recibir la información requerida los sujetos obligados darán por concluida la solicitud y procederán, de ser el caso, a la destrucción del material en el que se reprodujo la información.</w:t>
      </w:r>
    </w:p>
    <w:p w14:paraId="00000110" w14:textId="77777777" w:rsidR="001218D2" w:rsidRPr="00620CE7" w:rsidRDefault="00490ACB" w:rsidP="000B7002">
      <w:pPr>
        <w:pBdr>
          <w:top w:val="nil"/>
          <w:left w:val="nil"/>
          <w:bottom w:val="nil"/>
          <w:right w:val="nil"/>
          <w:between w:val="nil"/>
        </w:pBdr>
        <w:tabs>
          <w:tab w:val="left" w:pos="851"/>
          <w:tab w:val="left" w:pos="7371"/>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Cuando el sujeto obligado no entregue la respuesta a la solicitud dentro del plazo previsto en la Ley, la solicitud se entenderá negada y el solicitante podrá interponer el recurso de revisión previsto en este ordenamiento.</w:t>
      </w:r>
    </w:p>
    <w:p w14:paraId="00000111" w14:textId="77777777" w:rsidR="001218D2" w:rsidRPr="00620CE7" w:rsidRDefault="00490ACB" w:rsidP="000B7002">
      <w:pPr>
        <w:pBdr>
          <w:top w:val="nil"/>
          <w:left w:val="nil"/>
          <w:bottom w:val="nil"/>
          <w:right w:val="nil"/>
          <w:between w:val="nil"/>
        </w:pBdr>
        <w:tabs>
          <w:tab w:val="left" w:pos="851"/>
          <w:tab w:val="left" w:pos="7371"/>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 xml:space="preserve">Una vez entregada la información, el solicitante acusará recibo por escrito, dándose por terminado el trámite de acceso a la información.” </w:t>
      </w:r>
    </w:p>
    <w:p w14:paraId="00000112" w14:textId="77777777" w:rsidR="001218D2" w:rsidRPr="00620CE7" w:rsidRDefault="00490ACB" w:rsidP="000B7002">
      <w:pPr>
        <w:pBdr>
          <w:top w:val="nil"/>
          <w:left w:val="nil"/>
          <w:bottom w:val="nil"/>
          <w:right w:val="nil"/>
          <w:between w:val="nil"/>
        </w:pBdr>
        <w:tabs>
          <w:tab w:val="left" w:pos="851"/>
          <w:tab w:val="left" w:pos="7371"/>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(Énfasis añadido)</w:t>
      </w:r>
    </w:p>
    <w:p w14:paraId="00000113"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114"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 xml:space="preserve">Por lo anterior, a fin de dar cumplimiento a la presente resolución, será necesario que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tenga disponible la información solicitada por el </w:t>
      </w:r>
      <w:r w:rsidRPr="00620CE7">
        <w:rPr>
          <w:rFonts w:ascii="Palatino Linotype" w:eastAsia="Palatino Linotype" w:hAnsi="Palatino Linotype" w:cs="Palatino Linotype"/>
          <w:b/>
          <w:bCs/>
          <w:color w:val="000000" w:themeColor="text1"/>
        </w:rPr>
        <w:t>RECURRENTE</w:t>
      </w:r>
      <w:r w:rsidRPr="00620CE7">
        <w:rPr>
          <w:rFonts w:ascii="Palatino Linotype" w:eastAsia="Palatino Linotype" w:hAnsi="Palatino Linotype" w:cs="Palatino Linotype"/>
          <w:color w:val="000000" w:themeColor="text1"/>
        </w:rPr>
        <w:t xml:space="preserve">, en su Unidad de Transparencia, durante un plazo </w:t>
      </w:r>
      <w:r w:rsidRPr="00620CE7">
        <w:rPr>
          <w:rFonts w:ascii="Palatino Linotype" w:eastAsia="Palatino Linotype" w:hAnsi="Palatino Linotype" w:cs="Palatino Linotype"/>
          <w:b/>
          <w:bCs/>
          <w:color w:val="000000" w:themeColor="text1"/>
        </w:rPr>
        <w:t>mínimo</w:t>
      </w:r>
      <w:r w:rsidRPr="00620CE7">
        <w:rPr>
          <w:rFonts w:ascii="Palatino Linotype" w:eastAsia="Palatino Linotype" w:hAnsi="Palatino Linotype" w:cs="Palatino Linotype"/>
          <w:color w:val="000000" w:themeColor="text1"/>
        </w:rPr>
        <w:t xml:space="preserve"> de 60 días naturales a partir de la notificación de la presente resolución, en términos del segundo párrafo del artículo 166 de la Ley de Transparencia y Acceso a la Información Pública del Estado de México y Municipios.</w:t>
      </w:r>
    </w:p>
    <w:p w14:paraId="00000115"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116" w14:textId="77777777" w:rsidR="001218D2" w:rsidRPr="00620CE7" w:rsidRDefault="00490ACB" w:rsidP="000B70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Si dentro del transcurso del término señalado en el párrafo anterior, el Particular acude por la información, el Sujeto Obligado levantará un acta de hechos misma que debe ser remitida a este Instituto, por conducto de la Secretaría Técnica del Pleno, junto con el acuse de recibo de la información del Particular; sin embargo, si una vez fenecido el plazo, el solicitante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p w14:paraId="00000117"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118" w14:textId="77777777" w:rsidR="001218D2" w:rsidRPr="00620CE7" w:rsidRDefault="00490ACB" w:rsidP="000B70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De lo anterior, no pasa por desapercibido por este Instituto que en términos de lo establecido por el Criterio orientador 003/19 emitido por el entonces Máximo Órgano Garante en materia de  transparencia, acceso a la información pública y protección de datos personales el Recurrente al formular su solicitud de información en alguno puntos no proporcionó el periodo de búsqueda de la información requerida, por ello este Instituto con el fin de garantizar su derecho al acceso a la información determino establecer el elemento temporal del treinta y uno de marzo de dos mil veinticuatro al treinta y uno de marzo de dos mil veinticinco, en virtud que en fecha treinta y uno de marzo de dos mil veinticinco ejerció su derecho de acceso a la información;</w:t>
      </w:r>
    </w:p>
    <w:p w14:paraId="00000119" w14:textId="77777777" w:rsidR="001218D2" w:rsidRPr="00620CE7" w:rsidRDefault="00490ACB" w:rsidP="000B7002">
      <w:pP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lastRenderedPageBreak/>
        <w:t xml:space="preserve">Periodo de búsqueda de la información. </w:t>
      </w:r>
      <w:r w:rsidRPr="00620CE7">
        <w:rPr>
          <w:rFonts w:ascii="Palatino Linotype" w:eastAsia="Palatino Linotype" w:hAnsi="Palatino Linotype" w:cs="Palatino Linotype"/>
          <w:i/>
          <w:iCs/>
          <w:color w:val="000000" w:themeColor="text1"/>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000011A" w14:textId="77777777" w:rsidR="001218D2" w:rsidRPr="00620CE7" w:rsidRDefault="001218D2" w:rsidP="000B7002">
      <w:pPr>
        <w:jc w:val="both"/>
        <w:rPr>
          <w:rFonts w:ascii="Palatino Linotype" w:eastAsia="Palatino Linotype" w:hAnsi="Palatino Linotype" w:cs="Palatino Linotype"/>
          <w:i/>
          <w:iCs/>
          <w:color w:val="000000" w:themeColor="text1"/>
        </w:rPr>
      </w:pPr>
    </w:p>
    <w:p w14:paraId="0000011B" w14:textId="77777777" w:rsidR="001218D2" w:rsidRPr="00620CE7" w:rsidRDefault="00490ACB" w:rsidP="000B7002">
      <w:pPr>
        <w:ind w:firstLine="708"/>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Precedentes:</w:t>
      </w:r>
    </w:p>
    <w:p w14:paraId="0000011C" w14:textId="77777777" w:rsidR="001218D2" w:rsidRPr="00620CE7" w:rsidRDefault="001218D2"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p>
    <w:p w14:paraId="0000011D"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Acceso a la información pública. RRA 0022/17. Sesión del 16 de febrero de 2017. Votación por unanimidad. Sin votos disidentes o particulares. Instituto Mexicano de la Propiedad Industrial. Comisionado Ponente Francisco Javier Acuña Llamas.</w:t>
      </w:r>
    </w:p>
    <w:p w14:paraId="0000011E" w14:textId="77777777" w:rsidR="001218D2" w:rsidRPr="00620CE7" w:rsidRDefault="001218D2" w:rsidP="000B7002">
      <w:pPr>
        <w:pBdr>
          <w:top w:val="nil"/>
          <w:left w:val="nil"/>
          <w:bottom w:val="nil"/>
          <w:right w:val="nil"/>
          <w:between w:val="nil"/>
        </w:pBdr>
        <w:jc w:val="both"/>
        <w:rPr>
          <w:rFonts w:ascii="Palatino Linotype" w:eastAsia="Palatino Linotype" w:hAnsi="Palatino Linotype" w:cs="Palatino Linotype"/>
          <w:i/>
          <w:iCs/>
          <w:color w:val="000000" w:themeColor="text1"/>
        </w:rPr>
      </w:pPr>
    </w:p>
    <w:p w14:paraId="0000011F" w14:textId="77777777" w:rsidR="001218D2" w:rsidRPr="00620CE7" w:rsidRDefault="00490ACB" w:rsidP="000B7002">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i/>
          <w:iCs/>
          <w:color w:val="000000" w:themeColor="text1"/>
        </w:rPr>
        <w:t>Acceso a la información pública. RRA 2536/17.</w:t>
      </w:r>
      <w:r w:rsidRPr="00620CE7">
        <w:rPr>
          <w:rFonts w:ascii="Palatino Linotype" w:eastAsia="Palatino Linotype" w:hAnsi="Palatino Linotype" w:cs="Palatino Linotype"/>
          <w:b/>
          <w:bCs/>
          <w:i/>
          <w:iCs/>
          <w:color w:val="000000" w:themeColor="text1"/>
        </w:rPr>
        <w:t xml:space="preserve"> </w:t>
      </w:r>
      <w:r w:rsidRPr="00620CE7">
        <w:rPr>
          <w:rFonts w:ascii="Palatino Linotype" w:eastAsia="Palatino Linotype" w:hAnsi="Palatino Linotype" w:cs="Palatino Linotype"/>
          <w:i/>
          <w:iCs/>
          <w:color w:val="000000" w:themeColor="text1"/>
        </w:rPr>
        <w:t>Sesión del 07 de junio de 2017. Votación por unanimidad. Sin votos disidentes o particulares. Secretaría de Gobernación. Comisionada Ponente Areli Cano Guadiana.</w:t>
      </w:r>
      <w:r w:rsidRPr="00620CE7">
        <w:rPr>
          <w:rFonts w:ascii="Palatino Linotype" w:eastAsia="Palatino Linotype" w:hAnsi="Palatino Linotype" w:cs="Palatino Linotype"/>
          <w:i/>
          <w:iCs/>
          <w:color w:val="000000" w:themeColor="text1"/>
          <w:vertAlign w:val="superscript"/>
        </w:rPr>
        <w:t xml:space="preserve"> </w:t>
      </w:r>
    </w:p>
    <w:p w14:paraId="00000120" w14:textId="77777777" w:rsidR="001218D2" w:rsidRPr="00620CE7" w:rsidRDefault="001218D2" w:rsidP="000B7002">
      <w:pPr>
        <w:pBdr>
          <w:top w:val="nil"/>
          <w:left w:val="nil"/>
          <w:bottom w:val="nil"/>
          <w:right w:val="nil"/>
          <w:between w:val="nil"/>
        </w:pBdr>
        <w:tabs>
          <w:tab w:val="left" w:pos="7371"/>
        </w:tabs>
        <w:jc w:val="both"/>
        <w:rPr>
          <w:rFonts w:ascii="Palatino Linotype" w:eastAsia="Palatino Linotype" w:hAnsi="Palatino Linotype" w:cs="Palatino Linotype"/>
          <w:i/>
          <w:iCs/>
          <w:color w:val="000000" w:themeColor="text1"/>
        </w:rPr>
      </w:pPr>
    </w:p>
    <w:p w14:paraId="00000121" w14:textId="77777777" w:rsidR="001218D2" w:rsidRPr="00620CE7" w:rsidRDefault="00490ACB" w:rsidP="000B7002">
      <w:pPr>
        <w:pBdr>
          <w:top w:val="nil"/>
          <w:left w:val="nil"/>
          <w:bottom w:val="nil"/>
          <w:right w:val="nil"/>
          <w:between w:val="nil"/>
        </w:pBdr>
        <w:tabs>
          <w:tab w:val="left" w:pos="7371"/>
        </w:tabs>
        <w:jc w:val="both"/>
        <w:rPr>
          <w:rFonts w:ascii="Palatino Linotype" w:eastAsia="Arial" w:hAnsi="Palatino Linotype" w:cs="Arial"/>
          <w:i/>
          <w:iCs/>
          <w:color w:val="000000" w:themeColor="text1"/>
        </w:rPr>
      </w:pPr>
      <w:r w:rsidRPr="00620CE7">
        <w:rPr>
          <w:rFonts w:ascii="Palatino Linotype" w:eastAsia="Palatino Linotype" w:hAnsi="Palatino Linotype" w:cs="Palatino Linotype"/>
          <w:i/>
          <w:iCs/>
          <w:color w:val="000000" w:themeColor="text1"/>
        </w:rPr>
        <w:t>Acceso a la información pública. RRA 3482/17. Sesión del 02 de agosto de 2017. Secretaría de Comunicaciones y Transportes. Votación por unanimidad. Sin votos disidentes o particulares. Comisionado Ponente Oscar Mauricio Guerra Ford</w:t>
      </w:r>
      <w:r w:rsidRPr="00620CE7">
        <w:rPr>
          <w:rFonts w:ascii="Palatino Linotype" w:eastAsia="Arial" w:hAnsi="Palatino Linotype" w:cs="Arial"/>
          <w:i/>
          <w:iCs/>
          <w:color w:val="000000" w:themeColor="text1"/>
        </w:rPr>
        <w:t>.</w:t>
      </w:r>
    </w:p>
    <w:p w14:paraId="00000122" w14:textId="77777777" w:rsidR="001218D2" w:rsidRPr="00620CE7" w:rsidRDefault="001218D2" w:rsidP="000B70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0000123" w14:textId="77777777" w:rsidR="001218D2" w:rsidRPr="00620CE7" w:rsidRDefault="00490ACB" w:rsidP="00E76956">
      <w:pPr>
        <w:numPr>
          <w:ilvl w:val="0"/>
          <w:numId w:val="5"/>
        </w:numPr>
        <w:pBdr>
          <w:top w:val="nil"/>
          <w:left w:val="nil"/>
          <w:bottom w:val="nil"/>
          <w:right w:val="nil"/>
          <w:between w:val="nil"/>
        </w:pBdr>
        <w:ind w:left="0" w:firstLine="0"/>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b/>
          <w:bCs/>
          <w:color w:val="000000" w:themeColor="text1"/>
        </w:rPr>
        <w:t xml:space="preserve">Certificado de competencia laboral </w:t>
      </w:r>
    </w:p>
    <w:p w14:paraId="00000125" w14:textId="77777777" w:rsidR="001218D2" w:rsidRPr="00620CE7" w:rsidRDefault="00490ACB" w:rsidP="000B70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En continuidad, referente al certificado de competencia laboral del titular de la Unidad de Información, Planeación, Programación y Evaluación por parte del Instituto Hacendario del Estado de México, se advierte que no existe fuente obligacional que exija al titular de referencia obtener una certificación a fin de poseer el cargo que ostenta, situación que imposibilitó al </w:t>
      </w:r>
      <w:r w:rsidRPr="00620CE7">
        <w:rPr>
          <w:rFonts w:ascii="Palatino Linotype" w:eastAsia="Palatino Linotype" w:hAnsi="Palatino Linotype" w:cs="Palatino Linotype"/>
          <w:b/>
          <w:bCs/>
          <w:color w:val="000000" w:themeColor="text1"/>
        </w:rPr>
        <w:t xml:space="preserve">SUJETO OBLIGADO, </w:t>
      </w:r>
      <w:r w:rsidRPr="00620CE7">
        <w:rPr>
          <w:rFonts w:ascii="Palatino Linotype" w:eastAsia="Palatino Linotype" w:hAnsi="Palatino Linotype" w:cs="Palatino Linotype"/>
          <w:color w:val="000000" w:themeColor="text1"/>
        </w:rPr>
        <w:t>para remitir el documento solicitado por el particular, no obstante a ello brindo respuesta a través del servidor Público Habilitado de la Dirección de Recursos Humanos, garantizando en todo momento el derecho de acceso a la información.</w:t>
      </w:r>
    </w:p>
    <w:p w14:paraId="00000126" w14:textId="77777777" w:rsidR="001218D2"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512972C2" w14:textId="77777777" w:rsidR="00E76956" w:rsidRDefault="00E76956" w:rsidP="000B7002">
      <w:pPr>
        <w:pBdr>
          <w:top w:val="nil"/>
          <w:left w:val="nil"/>
          <w:bottom w:val="nil"/>
          <w:right w:val="nil"/>
          <w:between w:val="nil"/>
        </w:pBdr>
        <w:rPr>
          <w:rFonts w:ascii="Palatino Linotype" w:eastAsia="Palatino Linotype" w:hAnsi="Palatino Linotype" w:cs="Palatino Linotype"/>
          <w:color w:val="000000" w:themeColor="text1"/>
        </w:rPr>
      </w:pPr>
    </w:p>
    <w:p w14:paraId="3E244C20" w14:textId="77777777" w:rsidR="00E76956" w:rsidRDefault="00E76956"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127" w14:textId="77777777" w:rsidR="001218D2" w:rsidRPr="00620CE7" w:rsidRDefault="00490ACB" w:rsidP="00E76956">
      <w:pPr>
        <w:numPr>
          <w:ilvl w:val="0"/>
          <w:numId w:val="5"/>
        </w:numPr>
        <w:pBdr>
          <w:top w:val="nil"/>
          <w:left w:val="nil"/>
          <w:bottom w:val="nil"/>
          <w:right w:val="nil"/>
          <w:between w:val="nil"/>
        </w:pBdr>
        <w:ind w:left="0" w:firstLine="0"/>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b/>
          <w:bCs/>
          <w:color w:val="000000" w:themeColor="text1"/>
        </w:rPr>
        <w:lastRenderedPageBreak/>
        <w:t>Actas de las sesiones ordinarias y extraordinarias del Comité de Transparencia</w:t>
      </w:r>
    </w:p>
    <w:p w14:paraId="00000128"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Ahora bien, en relación a las actas de las sesiones ordinarias y extraordinarias del Comité de Transparencia, se reitera que el </w:t>
      </w:r>
      <w:r w:rsidRPr="00620CE7">
        <w:rPr>
          <w:rFonts w:ascii="Palatino Linotype" w:eastAsia="Palatino Linotype" w:hAnsi="Palatino Linotype" w:cs="Palatino Linotype"/>
          <w:b/>
          <w:bCs/>
          <w:color w:val="000000" w:themeColor="text1"/>
        </w:rPr>
        <w:t xml:space="preserve">SUJETO OBLIGADO, </w:t>
      </w:r>
      <w:r w:rsidRPr="00620CE7">
        <w:rPr>
          <w:rFonts w:ascii="Palatino Linotype" w:eastAsia="Palatino Linotype" w:hAnsi="Palatino Linotype" w:cs="Palatino Linotype"/>
          <w:color w:val="000000" w:themeColor="text1"/>
        </w:rPr>
        <w:t>proporciona dos ligas de acceso, los cuales en primer momento remite en datos cerrados; sin embargo en la misma respuesta adjunta un documento Word, que contiene las mismos links en datos abiertos.</w:t>
      </w:r>
    </w:p>
    <w:p w14:paraId="00000129"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12A"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highlight w:val="white"/>
        </w:rPr>
        <w:t>Al respecto es necesario precisar que la Ley de Transparencia y Acceso a la Información Pública del Estado de México y Municipios establece en su artículo 11 que en </w:t>
      </w:r>
      <w:r w:rsidRPr="00620CE7">
        <w:rPr>
          <w:rFonts w:ascii="Palatino Linotype" w:eastAsia="Palatino Linotype" w:hAnsi="Palatino Linotype" w:cs="Palatino Linotype"/>
          <w:i/>
          <w:iCs/>
          <w:color w:val="000000" w:themeColor="text1"/>
          <w:highlight w:val="white"/>
        </w:rPr>
        <w:t>la entrega de la información se deberá garantizar que ésta sea </w:t>
      </w:r>
      <w:r w:rsidRPr="00620CE7">
        <w:rPr>
          <w:rFonts w:ascii="Palatino Linotype" w:eastAsia="Palatino Linotype" w:hAnsi="Palatino Linotype" w:cs="Palatino Linotype"/>
          <w:b/>
          <w:bCs/>
          <w:i/>
          <w:iCs/>
          <w:color w:val="000000" w:themeColor="text1"/>
          <w:highlight w:val="white"/>
        </w:rPr>
        <w:t>accesible</w:t>
      </w:r>
      <w:r w:rsidRPr="00620CE7">
        <w:rPr>
          <w:rFonts w:ascii="Palatino Linotype" w:eastAsia="Palatino Linotype" w:hAnsi="Palatino Linotype" w:cs="Palatino Linotype"/>
          <w:i/>
          <w:iCs/>
          <w:color w:val="000000" w:themeColor="text1"/>
          <w:highlight w:val="white"/>
        </w:rPr>
        <w:t>, </w:t>
      </w:r>
      <w:r w:rsidRPr="00620CE7">
        <w:rPr>
          <w:rFonts w:ascii="Palatino Linotype" w:eastAsia="Palatino Linotype" w:hAnsi="Palatino Linotype" w:cs="Palatino Linotype"/>
          <w:b/>
          <w:bCs/>
          <w:i/>
          <w:iCs/>
          <w:color w:val="000000" w:themeColor="text1"/>
          <w:highlight w:val="white"/>
        </w:rPr>
        <w:t>actualizada, completa,</w:t>
      </w:r>
      <w:r w:rsidRPr="00620CE7">
        <w:rPr>
          <w:rFonts w:ascii="Palatino Linotype" w:eastAsia="Palatino Linotype" w:hAnsi="Palatino Linotype" w:cs="Palatino Linotype"/>
          <w:i/>
          <w:iCs/>
          <w:color w:val="000000" w:themeColor="text1"/>
          <w:highlight w:val="white"/>
        </w:rPr>
        <w:t> congruente, confiable, </w:t>
      </w:r>
      <w:r w:rsidRPr="00620CE7">
        <w:rPr>
          <w:rFonts w:ascii="Palatino Linotype" w:eastAsia="Palatino Linotype" w:hAnsi="Palatino Linotype" w:cs="Palatino Linotype"/>
          <w:b/>
          <w:bCs/>
          <w:i/>
          <w:iCs/>
          <w:color w:val="000000" w:themeColor="text1"/>
          <w:highlight w:val="white"/>
        </w:rPr>
        <w:t>verificable</w:t>
      </w:r>
      <w:r w:rsidRPr="00620CE7">
        <w:rPr>
          <w:rFonts w:ascii="Palatino Linotype" w:eastAsia="Palatino Linotype" w:hAnsi="Palatino Linotype" w:cs="Palatino Linotype"/>
          <w:i/>
          <w:iCs/>
          <w:color w:val="000000" w:themeColor="text1"/>
          <w:highlight w:val="white"/>
        </w:rPr>
        <w:t>, veraz, integral, oportuna y expedita. </w:t>
      </w:r>
      <w:r w:rsidRPr="00620CE7">
        <w:rPr>
          <w:rFonts w:ascii="Palatino Linotype" w:eastAsia="Palatino Linotype" w:hAnsi="Palatino Linotype" w:cs="Palatino Linotype"/>
          <w:color w:val="000000" w:themeColor="text1"/>
          <w:highlight w:val="white"/>
        </w:rPr>
        <w:t>Asimismo, el artículo 161 de la Ley en comento, refiere lo siguiente:</w:t>
      </w:r>
    </w:p>
    <w:p w14:paraId="0000012C" w14:textId="77777777" w:rsidR="001218D2" w:rsidRPr="00620CE7" w:rsidRDefault="00490ACB" w:rsidP="000B7002">
      <w:pPr>
        <w:shd w:val="clear" w:color="auto" w:fill="FFFFFF"/>
        <w:jc w:val="both"/>
        <w:rPr>
          <w:rFonts w:ascii="Palatino Linotype" w:eastAsia="Calibri" w:hAnsi="Palatino Linotype" w:cs="Calibri"/>
          <w:color w:val="000000" w:themeColor="text1"/>
        </w:rPr>
      </w:pPr>
      <w:r w:rsidRPr="00620CE7">
        <w:rPr>
          <w:rFonts w:ascii="Palatino Linotype" w:eastAsia="Palatino Linotype" w:hAnsi="Palatino Linotype" w:cs="Palatino Linotype"/>
          <w:b/>
          <w:bCs/>
          <w:i/>
          <w:iCs/>
          <w:color w:val="000000" w:themeColor="text1"/>
        </w:rPr>
        <w:t>Artículo 161. Cuando la información requerida por el solicitante ya esté disponible al público </w:t>
      </w:r>
      <w:r w:rsidRPr="00620CE7">
        <w:rPr>
          <w:rFonts w:ascii="Palatino Linotype" w:eastAsia="Palatino Linotype" w:hAnsi="Palatino Linotype" w:cs="Palatino Linotype"/>
          <w:i/>
          <w:iCs/>
          <w:color w:val="000000" w:themeColor="text1"/>
        </w:rPr>
        <w:t>en medios impresos, tales como libros, compendios, trípticos, registros públicos, </w:t>
      </w:r>
      <w:r w:rsidRPr="00620CE7">
        <w:rPr>
          <w:rFonts w:ascii="Palatino Linotype" w:eastAsia="Palatino Linotype" w:hAnsi="Palatino Linotype" w:cs="Palatino Linotype"/>
          <w:b/>
          <w:bCs/>
          <w:i/>
          <w:iCs/>
          <w:color w:val="000000" w:themeColor="text1"/>
        </w:rPr>
        <w:t>en formatos electrónicos</w:t>
      </w:r>
      <w:r w:rsidRPr="00620CE7">
        <w:rPr>
          <w:rFonts w:ascii="Palatino Linotype" w:eastAsia="Palatino Linotype" w:hAnsi="Palatino Linotype" w:cs="Palatino Linotype"/>
          <w:i/>
          <w:iCs/>
          <w:color w:val="000000" w:themeColor="text1"/>
        </w:rPr>
        <w:t> disponibles en Internet o en cualquier otro medio, </w:t>
      </w:r>
      <w:r w:rsidRPr="00620CE7">
        <w:rPr>
          <w:rFonts w:ascii="Palatino Linotype" w:eastAsia="Palatino Linotype" w:hAnsi="Palatino Linotype" w:cs="Palatino Linotype"/>
          <w:b/>
          <w:bCs/>
          <w:i/>
          <w:iCs/>
          <w:color w:val="000000" w:themeColor="text1"/>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000012D" w14:textId="77777777" w:rsidR="001218D2" w:rsidRPr="00620CE7" w:rsidRDefault="00490ACB" w:rsidP="000B7002">
      <w:pPr>
        <w:shd w:val="clear" w:color="auto" w:fill="FFFFFF"/>
        <w:jc w:val="both"/>
        <w:rPr>
          <w:rFonts w:ascii="Palatino Linotype" w:eastAsia="Calibri" w:hAnsi="Palatino Linotype" w:cs="Calibri"/>
          <w:color w:val="000000" w:themeColor="text1"/>
        </w:rPr>
      </w:pPr>
      <w:r w:rsidRPr="00620CE7">
        <w:rPr>
          <w:rFonts w:ascii="Palatino Linotype" w:eastAsia="Palatino Linotype" w:hAnsi="Palatino Linotype" w:cs="Palatino Linotype"/>
          <w:b/>
          <w:bCs/>
          <w:i/>
          <w:iCs/>
          <w:color w:val="000000" w:themeColor="text1"/>
        </w:rPr>
        <w:t>(Énfasis añadido)</w:t>
      </w:r>
    </w:p>
    <w:p w14:paraId="0000012E"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12F"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highlight w:val="white"/>
        </w:rPr>
        <w:t>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620CE7">
        <w:rPr>
          <w:rFonts w:ascii="Palatino Linotype" w:eastAsia="Palatino Linotype" w:hAnsi="Palatino Linotype" w:cs="Palatino Linotype"/>
          <w:b/>
          <w:bCs/>
          <w:color w:val="000000" w:themeColor="text1"/>
          <w:highlight w:val="white"/>
        </w:rPr>
        <w:t>Esta dirección electrónica debe ser precisa, de tal modo que no implique realizar una búsqueda en toda la información que ahí se encuentre, debiendo cumplir</w:t>
      </w:r>
      <w:r w:rsidRPr="00620CE7">
        <w:rPr>
          <w:rFonts w:ascii="Palatino Linotype" w:eastAsia="Palatino Linotype" w:hAnsi="Palatino Linotype" w:cs="Palatino Linotype"/>
          <w:color w:val="000000" w:themeColor="text1"/>
          <w:highlight w:val="white"/>
        </w:rPr>
        <w:t> una serie de requisitos, a saber:</w:t>
      </w:r>
    </w:p>
    <w:p w14:paraId="00000131" w14:textId="77777777" w:rsidR="001218D2" w:rsidRPr="00620CE7" w:rsidRDefault="00490ACB" w:rsidP="000B7002">
      <w:pPr>
        <w:shd w:val="clear" w:color="auto" w:fill="FFFFFF"/>
        <w:jc w:val="both"/>
        <w:rPr>
          <w:rFonts w:ascii="Palatino Linotype" w:eastAsia="Calibri" w:hAnsi="Palatino Linotype" w:cs="Calibri"/>
          <w:color w:val="000000" w:themeColor="text1"/>
        </w:rPr>
      </w:pPr>
      <w:r w:rsidRPr="00620CE7">
        <w:rPr>
          <w:rFonts w:ascii="Palatino Linotype" w:eastAsia="Noto Sans Symbols" w:hAnsi="Palatino Linotype" w:cs="Noto Sans Symbols"/>
          <w:color w:val="000000" w:themeColor="text1"/>
        </w:rPr>
        <w:lastRenderedPageBreak/>
        <w:t>●</w:t>
      </w:r>
      <w:r w:rsidRPr="00620CE7">
        <w:rPr>
          <w:rFonts w:ascii="Palatino Linotype" w:hAnsi="Palatino Linotype"/>
          <w:color w:val="000000" w:themeColor="text1"/>
        </w:rPr>
        <w:t xml:space="preserve"> </w:t>
      </w:r>
      <w:r w:rsidRPr="00620CE7">
        <w:rPr>
          <w:rFonts w:ascii="Palatino Linotype" w:eastAsia="Palatino Linotype" w:hAnsi="Palatino Linotype" w:cs="Palatino Linotype"/>
          <w:b/>
          <w:bCs/>
          <w:color w:val="000000" w:themeColor="text1"/>
        </w:rPr>
        <w:t>La dirección electrónica debe señalarse en un plazo no mayor a cinco días hábiles;</w:t>
      </w:r>
    </w:p>
    <w:p w14:paraId="00000132" w14:textId="77777777" w:rsidR="001218D2" w:rsidRPr="00620CE7" w:rsidRDefault="00490ACB" w:rsidP="000B7002">
      <w:pPr>
        <w:shd w:val="clear" w:color="auto" w:fill="FFFFFF"/>
        <w:jc w:val="both"/>
        <w:rPr>
          <w:rFonts w:ascii="Palatino Linotype" w:eastAsia="Calibri" w:hAnsi="Palatino Linotype" w:cs="Calibri"/>
          <w:color w:val="000000" w:themeColor="text1"/>
        </w:rPr>
      </w:pPr>
      <w:r w:rsidRPr="00620CE7">
        <w:rPr>
          <w:rFonts w:ascii="Palatino Linotype" w:eastAsia="Noto Sans Symbols" w:hAnsi="Palatino Linotype" w:cs="Noto Sans Symbols"/>
          <w:color w:val="000000" w:themeColor="text1"/>
        </w:rPr>
        <w:t xml:space="preserve">● </w:t>
      </w:r>
      <w:r w:rsidRPr="00620CE7">
        <w:rPr>
          <w:rFonts w:ascii="Palatino Linotype" w:eastAsia="Palatino Linotype" w:hAnsi="Palatino Linotype" w:cs="Palatino Linotype"/>
          <w:b/>
          <w:bCs/>
          <w:color w:val="000000" w:themeColor="text1"/>
        </w:rPr>
        <w:t>La dirección electrónica debe ser precisa, de tal modo que no implique realizar una búsqueda en toda la información que ahí se encuentre; y,</w:t>
      </w:r>
    </w:p>
    <w:p w14:paraId="00000133" w14:textId="77777777" w:rsidR="001218D2" w:rsidRPr="00620CE7" w:rsidRDefault="00490ACB" w:rsidP="000B7002">
      <w:pPr>
        <w:shd w:val="clear" w:color="auto" w:fill="FFFFFF"/>
        <w:jc w:val="both"/>
        <w:rPr>
          <w:rFonts w:ascii="Palatino Linotype" w:eastAsia="Calibri" w:hAnsi="Palatino Linotype" w:cs="Calibri"/>
          <w:color w:val="000000" w:themeColor="text1"/>
        </w:rPr>
      </w:pPr>
      <w:r w:rsidRPr="00620CE7">
        <w:rPr>
          <w:rFonts w:ascii="Palatino Linotype" w:eastAsia="Noto Sans Symbols" w:hAnsi="Palatino Linotype" w:cs="Noto Sans Symbols"/>
          <w:color w:val="000000" w:themeColor="text1"/>
        </w:rPr>
        <w:t>●</w:t>
      </w:r>
      <w:r w:rsidRPr="00620CE7">
        <w:rPr>
          <w:rFonts w:ascii="Palatino Linotype" w:hAnsi="Palatino Linotype"/>
          <w:color w:val="000000" w:themeColor="text1"/>
        </w:rPr>
        <w:t xml:space="preserve"> </w:t>
      </w:r>
      <w:r w:rsidRPr="00620CE7">
        <w:rPr>
          <w:rFonts w:ascii="Palatino Linotype" w:eastAsia="Palatino Linotype" w:hAnsi="Palatino Linotype" w:cs="Palatino Linotype"/>
          <w:b/>
          <w:bCs/>
          <w:color w:val="000000" w:themeColor="text1"/>
        </w:rPr>
        <w:t>La dirección electrónica debe ir acompañada del procedimiento a seguir, en caso de que la información se encuentre en distintos puntos del sitio electrónico referido; y,</w:t>
      </w:r>
    </w:p>
    <w:p w14:paraId="00000134" w14:textId="77777777" w:rsidR="001218D2" w:rsidRPr="00620CE7" w:rsidRDefault="00490ACB" w:rsidP="000B7002">
      <w:pPr>
        <w:shd w:val="clear" w:color="auto" w:fill="FFFFFF"/>
        <w:jc w:val="both"/>
        <w:rPr>
          <w:rFonts w:ascii="Palatino Linotype" w:eastAsia="Calibri" w:hAnsi="Palatino Linotype" w:cs="Calibri"/>
          <w:color w:val="000000" w:themeColor="text1"/>
        </w:rPr>
      </w:pPr>
      <w:r w:rsidRPr="00620CE7">
        <w:rPr>
          <w:rFonts w:ascii="Palatino Linotype" w:eastAsia="Noto Sans Symbols" w:hAnsi="Palatino Linotype" w:cs="Noto Sans Symbols"/>
          <w:color w:val="000000" w:themeColor="text1"/>
        </w:rPr>
        <w:t>●</w:t>
      </w:r>
      <w:r w:rsidRPr="00620CE7">
        <w:rPr>
          <w:rFonts w:ascii="Palatino Linotype" w:hAnsi="Palatino Linotype"/>
          <w:color w:val="000000" w:themeColor="text1"/>
        </w:rPr>
        <w:t xml:space="preserve"> </w:t>
      </w:r>
      <w:r w:rsidRPr="00620CE7">
        <w:rPr>
          <w:rFonts w:ascii="Palatino Linotype" w:eastAsia="Palatino Linotype" w:hAnsi="Palatino Linotype" w:cs="Palatino Linotype"/>
          <w:b/>
          <w:bCs/>
          <w:color w:val="000000" w:themeColor="text1"/>
          <w:u w:val="single"/>
        </w:rPr>
        <w:t>La dirección electrónica se debe entregar en formato abierto,</w:t>
      </w:r>
      <w:r w:rsidRPr="00620CE7">
        <w:rPr>
          <w:rFonts w:ascii="Palatino Linotype" w:eastAsia="Palatino Linotype" w:hAnsi="Palatino Linotype" w:cs="Palatino Linotype"/>
          <w:b/>
          <w:bCs/>
          <w:color w:val="000000" w:themeColor="text1"/>
        </w:rPr>
        <w:t> para que el Recurrente pueda copiar y pegar sin la necesidad de transcribir la liga electrónica.</w:t>
      </w:r>
    </w:p>
    <w:p w14:paraId="00000135" w14:textId="77777777" w:rsidR="001218D2" w:rsidRPr="00620CE7" w:rsidRDefault="001218D2" w:rsidP="000B7002">
      <w:pPr>
        <w:tabs>
          <w:tab w:val="left" w:pos="426"/>
        </w:tabs>
        <w:spacing w:line="360" w:lineRule="auto"/>
        <w:jc w:val="both"/>
        <w:rPr>
          <w:rFonts w:ascii="Palatino Linotype" w:eastAsia="Palatino Linotype" w:hAnsi="Palatino Linotype" w:cs="Palatino Linotype"/>
          <w:color w:val="000000" w:themeColor="text1"/>
        </w:rPr>
      </w:pPr>
    </w:p>
    <w:p w14:paraId="00000136" w14:textId="77777777" w:rsidR="001218D2" w:rsidRPr="00620CE7" w:rsidRDefault="00490ACB" w:rsidP="000B7002">
      <w:pPr>
        <w:numPr>
          <w:ilvl w:val="0"/>
          <w:numId w:val="1"/>
        </w:numPr>
        <w:pBdr>
          <w:top w:val="nil"/>
          <w:left w:val="nil"/>
          <w:bottom w:val="nil"/>
          <w:right w:val="nil"/>
          <w:between w:val="nil"/>
        </w:pBdr>
        <w:shd w:val="clear" w:color="auto" w:fill="FFFFFF"/>
        <w:ind w:left="0" w:firstLine="0"/>
        <w:jc w:val="both"/>
        <w:rPr>
          <w:rFonts w:ascii="Palatino Linotype" w:eastAsia="Calibri" w:hAnsi="Palatino Linotype" w:cs="Calibri"/>
          <w:color w:val="000000" w:themeColor="text1"/>
        </w:rPr>
      </w:pPr>
      <w:r w:rsidRPr="00620CE7">
        <w:rPr>
          <w:rFonts w:ascii="Palatino Linotype" w:eastAsia="Palatino Linotype" w:hAnsi="Palatino Linotype" w:cs="Palatino Linotype"/>
          <w:color w:val="000000" w:themeColor="text1"/>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00000137" w14:textId="77777777" w:rsidR="001218D2" w:rsidRPr="00620CE7" w:rsidRDefault="001218D2" w:rsidP="000B7002">
      <w:pPr>
        <w:pBdr>
          <w:top w:val="nil"/>
          <w:left w:val="nil"/>
          <w:bottom w:val="nil"/>
          <w:right w:val="nil"/>
          <w:between w:val="nil"/>
        </w:pBdr>
        <w:shd w:val="clear" w:color="auto" w:fill="FFFFFF"/>
        <w:jc w:val="both"/>
        <w:rPr>
          <w:rFonts w:ascii="Palatino Linotype" w:eastAsia="Calibri" w:hAnsi="Palatino Linotype" w:cs="Calibri"/>
          <w:color w:val="000000" w:themeColor="text1"/>
        </w:rPr>
      </w:pPr>
    </w:p>
    <w:p w14:paraId="00000138" w14:textId="77777777" w:rsidR="001218D2" w:rsidRPr="00620CE7" w:rsidRDefault="00490ACB" w:rsidP="000B7002">
      <w:pPr>
        <w:numPr>
          <w:ilvl w:val="0"/>
          <w:numId w:val="1"/>
        </w:numPr>
        <w:pBdr>
          <w:top w:val="nil"/>
          <w:left w:val="nil"/>
          <w:bottom w:val="nil"/>
          <w:right w:val="nil"/>
          <w:between w:val="nil"/>
        </w:pBdr>
        <w:shd w:val="clear" w:color="auto" w:fill="FFFFFF"/>
        <w:ind w:left="0" w:firstLine="0"/>
        <w:jc w:val="both"/>
        <w:rPr>
          <w:rFonts w:ascii="Palatino Linotype" w:eastAsia="Calibri" w:hAnsi="Palatino Linotype" w:cs="Calibri"/>
          <w:color w:val="000000" w:themeColor="text1"/>
        </w:rPr>
      </w:pPr>
      <w:r w:rsidRPr="00620CE7">
        <w:rPr>
          <w:rFonts w:ascii="Palatino Linotype" w:eastAsia="Palatino Linotype" w:hAnsi="Palatino Linotype" w:cs="Palatino Linotype"/>
          <w:color w:val="000000" w:themeColor="text1"/>
        </w:rPr>
        <w:t>En ese contexto, el artículo 3°, fracciones VIII y XVI de la Ley de Transparencia y Acceso a la Información Pública del Estado de México y Municipios, precisan lo siguiente:</w:t>
      </w:r>
    </w:p>
    <w:p w14:paraId="00000139" w14:textId="77777777" w:rsidR="001218D2" w:rsidRPr="00620CE7" w:rsidRDefault="001218D2" w:rsidP="000B7002">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p>
    <w:p w14:paraId="0000013A" w14:textId="77777777" w:rsidR="001218D2" w:rsidRPr="00620CE7" w:rsidRDefault="00490ACB" w:rsidP="000B7002">
      <w:pPr>
        <w:pBdr>
          <w:top w:val="nil"/>
          <w:left w:val="nil"/>
          <w:bottom w:val="nil"/>
          <w:right w:val="nil"/>
          <w:between w:val="nil"/>
        </w:pBdr>
        <w:shd w:val="clear" w:color="auto" w:fill="FFFFFF"/>
        <w:tabs>
          <w:tab w:val="left" w:pos="8080"/>
        </w:tabs>
        <w:jc w:val="both"/>
        <w:rPr>
          <w:rFonts w:ascii="Palatino Linotype" w:eastAsia="Palatino Linotype" w:hAnsi="Palatino Linotype" w:cs="Palatino Linotype"/>
          <w:color w:val="000000" w:themeColor="text1"/>
        </w:rPr>
      </w:pPr>
      <w:r w:rsidRPr="00620CE7">
        <w:rPr>
          <w:rFonts w:ascii="Palatino Linotype" w:eastAsia="Noto Sans Symbols" w:hAnsi="Palatino Linotype" w:cs="Noto Sans Symbols"/>
          <w:color w:val="000000" w:themeColor="text1"/>
          <w:highlight w:val="white"/>
        </w:rPr>
        <w:t>●</w:t>
      </w:r>
      <w:r w:rsidRPr="00620CE7">
        <w:rPr>
          <w:rFonts w:ascii="Palatino Linotype" w:eastAsia="Palatino Linotype" w:hAnsi="Palatino Linotype" w:cs="Palatino Linotype"/>
          <w:b/>
          <w:bCs/>
          <w:color w:val="000000" w:themeColor="text1"/>
          <w:highlight w:val="white"/>
        </w:rPr>
        <w:t>Dato abierto: </w:t>
      </w:r>
      <w:r w:rsidRPr="00620CE7">
        <w:rPr>
          <w:rFonts w:ascii="Palatino Linotype" w:eastAsia="Palatino Linotype" w:hAnsi="Palatino Linotype" w:cs="Palatino Linotype"/>
          <w:color w:val="000000" w:themeColor="text1"/>
          <w:highlight w:val="white"/>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000013B" w14:textId="77777777" w:rsidR="001218D2" w:rsidRPr="00620CE7" w:rsidRDefault="001218D2" w:rsidP="000B7002">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p>
    <w:p w14:paraId="0000013C" w14:textId="77777777" w:rsidR="001218D2" w:rsidRPr="00620CE7" w:rsidRDefault="00490ACB" w:rsidP="000B7002">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highlight w:val="white"/>
        </w:rPr>
      </w:pPr>
      <w:r w:rsidRPr="00620CE7">
        <w:rPr>
          <w:rFonts w:ascii="Palatino Linotype" w:eastAsia="Palatino Linotype" w:hAnsi="Palatino Linotype" w:cs="Palatino Linotype"/>
          <w:color w:val="000000" w:themeColor="text1"/>
          <w:highlight w:val="white"/>
        </w:rPr>
        <w:t>●Formato accesible: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000013D" w14:textId="77777777" w:rsidR="001218D2" w:rsidRPr="00620CE7" w:rsidRDefault="001218D2" w:rsidP="000B7002">
      <w:pPr>
        <w:pBdr>
          <w:top w:val="nil"/>
          <w:left w:val="nil"/>
          <w:bottom w:val="nil"/>
          <w:right w:val="nil"/>
          <w:between w:val="nil"/>
        </w:pBdr>
        <w:shd w:val="clear" w:color="auto" w:fill="FFFFFF"/>
        <w:jc w:val="both"/>
        <w:rPr>
          <w:rFonts w:ascii="Palatino Linotype" w:eastAsia="Palatino Linotype" w:hAnsi="Palatino Linotype" w:cs="Palatino Linotype"/>
          <w:color w:val="000000" w:themeColor="text1"/>
        </w:rPr>
      </w:pPr>
    </w:p>
    <w:p w14:paraId="0000013E"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highlight w:val="white"/>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0000013F" w14:textId="77777777" w:rsidR="001218D2" w:rsidRPr="00620CE7" w:rsidRDefault="001218D2" w:rsidP="000B7002">
      <w:pPr>
        <w:tabs>
          <w:tab w:val="left" w:pos="426"/>
        </w:tabs>
        <w:spacing w:line="360" w:lineRule="auto"/>
        <w:jc w:val="both"/>
        <w:rPr>
          <w:rFonts w:ascii="Palatino Linotype" w:eastAsia="Palatino Linotype" w:hAnsi="Palatino Linotype" w:cs="Palatino Linotype"/>
          <w:color w:val="000000" w:themeColor="text1"/>
        </w:rPr>
      </w:pPr>
    </w:p>
    <w:p w14:paraId="00000140" w14:textId="4CE20F6C" w:rsidR="001218D2"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highlight w:val="white"/>
        </w:rPr>
        <w:t xml:space="preserve">En el presente asunto, </w:t>
      </w:r>
      <w:r w:rsidRPr="00620CE7">
        <w:rPr>
          <w:rFonts w:ascii="Palatino Linotype" w:eastAsia="Palatino Linotype" w:hAnsi="Palatino Linotype" w:cs="Palatino Linotype"/>
          <w:b/>
          <w:bCs/>
          <w:color w:val="000000" w:themeColor="text1"/>
          <w:highlight w:val="white"/>
        </w:rPr>
        <w:t>SUJETO OBLIGADO</w:t>
      </w:r>
      <w:r w:rsidRPr="00620CE7">
        <w:rPr>
          <w:rFonts w:ascii="Palatino Linotype" w:eastAsia="Palatino Linotype" w:hAnsi="Palatino Linotype" w:cs="Palatino Linotype"/>
          <w:color w:val="000000" w:themeColor="text1"/>
          <w:highlight w:val="white"/>
        </w:rPr>
        <w:t xml:space="preserve"> entregó la dirección electrónica en formato abierto, lo que podría garantizar el derecho de acceso a la información sin </w:t>
      </w:r>
      <w:r w:rsidRPr="00620CE7">
        <w:rPr>
          <w:rFonts w:ascii="Palatino Linotype" w:eastAsia="Palatino Linotype" w:hAnsi="Palatino Linotype" w:cs="Palatino Linotype"/>
          <w:color w:val="000000" w:themeColor="text1"/>
          <w:highlight w:val="white"/>
        </w:rPr>
        <w:lastRenderedPageBreak/>
        <w:t>embargo, personal de este Instituto procedió a ingresar a los links proporcionados del que se desprende información de los ejercicios fiscales 2019, 2020, 2020, 2021, 2022, 2023 y 2025, sin embargo no se pronuncian respecto a las Actas del Comité de Transparencia del año 2024, tal y como se muestra en las siguientes capturas de pantalla</w:t>
      </w:r>
      <w:r w:rsidR="00620CE7">
        <w:rPr>
          <w:rFonts w:ascii="Palatino Linotype" w:eastAsia="Palatino Linotype" w:hAnsi="Palatino Linotype" w:cs="Palatino Linotype"/>
          <w:color w:val="000000" w:themeColor="text1"/>
        </w:rPr>
        <w:t>:</w:t>
      </w:r>
    </w:p>
    <w:p w14:paraId="17767F13" w14:textId="77777777" w:rsidR="00620CE7" w:rsidRPr="00620CE7" w:rsidRDefault="00620CE7" w:rsidP="00620CE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141" w14:textId="77777777" w:rsidR="001218D2" w:rsidRPr="00620CE7" w:rsidRDefault="00490ACB" w:rsidP="000B7002">
      <w:pPr>
        <w:pBdr>
          <w:top w:val="nil"/>
          <w:left w:val="nil"/>
          <w:bottom w:val="nil"/>
          <w:right w:val="nil"/>
          <w:between w:val="nil"/>
        </w:pBdr>
        <w:rPr>
          <w:rFonts w:ascii="Palatino Linotype" w:eastAsia="Palatino Linotype" w:hAnsi="Palatino Linotype" w:cs="Palatino Linotype"/>
          <w:color w:val="000000" w:themeColor="text1"/>
          <w:highlight w:val="white"/>
        </w:rPr>
      </w:pPr>
      <w:r w:rsidRPr="00620CE7">
        <w:rPr>
          <w:rFonts w:ascii="Palatino Linotype" w:hAnsi="Palatino Linotype"/>
          <w:noProof/>
          <w:color w:val="000000" w:themeColor="text1"/>
          <w:lang w:val="es-MX"/>
        </w:rPr>
        <w:drawing>
          <wp:inline distT="0" distB="0" distL="0" distR="0">
            <wp:extent cx="2391642" cy="1972037"/>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391642" cy="1972037"/>
                    </a:xfrm>
                    <a:prstGeom prst="rect">
                      <a:avLst/>
                    </a:prstGeom>
                    <a:ln/>
                  </pic:spPr>
                </pic:pic>
              </a:graphicData>
            </a:graphic>
          </wp:inline>
        </w:drawing>
      </w:r>
      <w:r w:rsidRPr="00620CE7">
        <w:rPr>
          <w:rFonts w:ascii="Palatino Linotype" w:hAnsi="Palatino Linotype"/>
          <w:color w:val="000000" w:themeColor="text1"/>
        </w:rPr>
        <w:t xml:space="preserve"> </w:t>
      </w:r>
      <w:r w:rsidRPr="00620CE7">
        <w:rPr>
          <w:rFonts w:ascii="Palatino Linotype" w:eastAsia="Palatino Linotype" w:hAnsi="Palatino Linotype" w:cs="Palatino Linotype"/>
          <w:noProof/>
          <w:color w:val="000000" w:themeColor="text1"/>
          <w:highlight w:val="white"/>
          <w:lang w:val="es-MX"/>
        </w:rPr>
        <w:drawing>
          <wp:inline distT="0" distB="0" distL="0" distR="0">
            <wp:extent cx="2856989" cy="199166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856989" cy="1991668"/>
                    </a:xfrm>
                    <a:prstGeom prst="rect">
                      <a:avLst/>
                    </a:prstGeom>
                    <a:ln/>
                  </pic:spPr>
                </pic:pic>
              </a:graphicData>
            </a:graphic>
          </wp:inline>
        </w:drawing>
      </w:r>
    </w:p>
    <w:p w14:paraId="00000142"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color w:val="000000" w:themeColor="text1"/>
          <w:highlight w:val="white"/>
        </w:rPr>
      </w:pPr>
    </w:p>
    <w:p w14:paraId="00000143"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Al respecto es de señalar que si bien el </w:t>
      </w:r>
      <w:r w:rsidRPr="00620CE7">
        <w:rPr>
          <w:rFonts w:ascii="Palatino Linotype" w:eastAsia="Palatino Linotype" w:hAnsi="Palatino Linotype" w:cs="Palatino Linotype"/>
          <w:b/>
          <w:bCs/>
          <w:color w:val="000000" w:themeColor="text1"/>
        </w:rPr>
        <w:t xml:space="preserve">SUJETO OBLIGADO, </w:t>
      </w:r>
      <w:r w:rsidRPr="00620CE7">
        <w:rPr>
          <w:rFonts w:ascii="Palatino Linotype" w:eastAsia="Palatino Linotype" w:hAnsi="Palatino Linotype" w:cs="Palatino Linotype"/>
          <w:color w:val="000000" w:themeColor="text1"/>
        </w:rPr>
        <w:t>remite información respecto las Actas de las sesiones del Comité de Transparencia, este no colma el requerimiento, ya que no remitió información respecto al ejercicio fiscal 2024, situación de la que se duele el particular, por tanto este Organismo, considera viable ordenar las Actas de las sesiones del Comité de Transparencia correspondientes al ejercicio fiscal 2024.</w:t>
      </w:r>
    </w:p>
    <w:p w14:paraId="00000144" w14:textId="77777777" w:rsidR="001218D2" w:rsidRPr="00620CE7" w:rsidRDefault="001218D2"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0000145" w14:textId="77777777" w:rsidR="001218D2" w:rsidRPr="00620CE7" w:rsidRDefault="00490ACB" w:rsidP="00E76956">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b/>
          <w:bCs/>
          <w:color w:val="000000" w:themeColor="text1"/>
        </w:rPr>
        <w:t>Relación de enlaces de transparencia, nombramiento y fecha en que les fue entregada la contraseña y usuario</w:t>
      </w:r>
    </w:p>
    <w:p w14:paraId="00000147" w14:textId="77777777" w:rsidR="001218D2" w:rsidRPr="00620CE7" w:rsidRDefault="00490ACB" w:rsidP="000B70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Así las cosas, para la relación de enlaces de transparencia,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debió generar oficios o documentos dirigidos a las diversas áreas que integran su estructura orgánica, lo cual es necesario para tutelar y garantizar la transparencia y el derecho humano de acceso a la información pública en posesión de los sujetos obligados, y cada </w:t>
      </w:r>
      <w:r w:rsidRPr="00620CE7">
        <w:rPr>
          <w:rFonts w:ascii="Palatino Linotype" w:eastAsia="Palatino Linotype" w:hAnsi="Palatino Linotype" w:cs="Palatino Linotype"/>
          <w:color w:val="000000" w:themeColor="text1"/>
        </w:rPr>
        <w:lastRenderedPageBreak/>
        <w:t>una de las unidades administrativas debió nombrar a un servidor público habilitado, lo anterior de acuerdo a la Ley de Transparencia y Acceso a la Información Pública del Estado de México y Municipios, que establece lo siguiente:</w:t>
      </w:r>
    </w:p>
    <w:p w14:paraId="00000149" w14:textId="77777777" w:rsidR="001218D2" w:rsidRPr="00620CE7" w:rsidRDefault="00490ACB"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Artículo 3.</w:t>
      </w:r>
      <w:r w:rsidRPr="00620CE7">
        <w:rPr>
          <w:rFonts w:ascii="Palatino Linotype" w:eastAsia="Palatino Linotype" w:hAnsi="Palatino Linotype" w:cs="Palatino Linotype"/>
          <w:i/>
          <w:iCs/>
          <w:color w:val="000000" w:themeColor="text1"/>
        </w:rPr>
        <w:t xml:space="preserve"> Para los efectos de la presente Ley se entenderá por:</w:t>
      </w:r>
    </w:p>
    <w:p w14:paraId="0000014A" w14:textId="77777777" w:rsidR="001218D2" w:rsidRPr="00620CE7" w:rsidRDefault="001218D2"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b/>
          <w:bCs/>
          <w:i/>
          <w:iCs/>
          <w:color w:val="000000" w:themeColor="text1"/>
        </w:rPr>
      </w:pPr>
    </w:p>
    <w:p w14:paraId="0000014B" w14:textId="77777777" w:rsidR="001218D2" w:rsidRPr="00620CE7" w:rsidRDefault="00490ACB"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 xml:space="preserve">XXXIX. Servidor público habilitado: </w:t>
      </w:r>
      <w:r w:rsidRPr="00620CE7">
        <w:rPr>
          <w:rFonts w:ascii="Palatino Linotype" w:eastAsia="Palatino Linotype" w:hAnsi="Palatino Linotype" w:cs="Palatino Linotype"/>
          <w:i/>
          <w:iCs/>
          <w:color w:val="000000" w:themeColor="text1"/>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000014C" w14:textId="77777777" w:rsidR="001218D2" w:rsidRPr="00620CE7" w:rsidRDefault="001218D2"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b/>
          <w:bCs/>
          <w:i/>
          <w:iCs/>
          <w:color w:val="000000" w:themeColor="text1"/>
        </w:rPr>
      </w:pPr>
    </w:p>
    <w:p w14:paraId="0000014D" w14:textId="77777777" w:rsidR="001218D2" w:rsidRPr="00620CE7" w:rsidRDefault="00490ACB"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Artículo 53.</w:t>
      </w:r>
      <w:r w:rsidRPr="00620CE7">
        <w:rPr>
          <w:rFonts w:ascii="Palatino Linotype" w:eastAsia="Palatino Linotype" w:hAnsi="Palatino Linotype" w:cs="Palatino Linotype"/>
          <w:i/>
          <w:iCs/>
          <w:color w:val="000000" w:themeColor="text1"/>
        </w:rPr>
        <w:t xml:space="preserve"> Las Unidades de Transparencia tendrán las siguientes funciones:</w:t>
      </w:r>
    </w:p>
    <w:p w14:paraId="0000014E" w14:textId="77777777" w:rsidR="001218D2" w:rsidRPr="00620CE7" w:rsidRDefault="001218D2"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i/>
          <w:iCs/>
          <w:color w:val="000000" w:themeColor="text1"/>
        </w:rPr>
      </w:pPr>
    </w:p>
    <w:p w14:paraId="0000014F" w14:textId="77777777" w:rsidR="001218D2" w:rsidRPr="00620CE7" w:rsidRDefault="00490ACB"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0000150" w14:textId="77777777" w:rsidR="001218D2" w:rsidRPr="00620CE7" w:rsidRDefault="00490ACB"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p>
    <w:p w14:paraId="00000151" w14:textId="77777777" w:rsidR="001218D2" w:rsidRPr="00620CE7" w:rsidRDefault="00490ACB"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VIII. Proponer a quien preside el Comité de Transparencia, personal habilitado que sea necesario para recibir y dar trámite a las solicitudes de acceso a la información;</w:t>
      </w:r>
    </w:p>
    <w:p w14:paraId="00000152" w14:textId="77777777" w:rsidR="001218D2" w:rsidRPr="00620CE7" w:rsidRDefault="001218D2"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i/>
          <w:iCs/>
          <w:color w:val="000000" w:themeColor="text1"/>
        </w:rPr>
      </w:pPr>
    </w:p>
    <w:p w14:paraId="37F5B167" w14:textId="67A38A6B" w:rsidR="00620CE7" w:rsidRDefault="00490ACB"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Artículo 58.</w:t>
      </w:r>
      <w:r w:rsidRPr="00620CE7">
        <w:rPr>
          <w:rFonts w:ascii="Palatino Linotype" w:eastAsia="Palatino Linotype" w:hAnsi="Palatino Linotype" w:cs="Palatino Linotype"/>
          <w:i/>
          <w:iCs/>
          <w:color w:val="000000" w:themeColor="text1"/>
        </w:rPr>
        <w:t xml:space="preserve"> Los servidores públicos habilitados serán designados por el titular del sujeto obligado a propuesta del responsable de la Unidad de Transparencia.</w:t>
      </w:r>
    </w:p>
    <w:p w14:paraId="08020816" w14:textId="77777777" w:rsidR="00620CE7" w:rsidRPr="00620CE7" w:rsidRDefault="00620CE7" w:rsidP="000B7002">
      <w:pPr>
        <w:pBdr>
          <w:top w:val="nil"/>
          <w:left w:val="nil"/>
          <w:bottom w:val="nil"/>
          <w:right w:val="nil"/>
          <w:between w:val="nil"/>
        </w:pBdr>
        <w:tabs>
          <w:tab w:val="left" w:pos="7470"/>
        </w:tabs>
        <w:spacing w:line="360" w:lineRule="auto"/>
        <w:jc w:val="both"/>
        <w:rPr>
          <w:rFonts w:ascii="Palatino Linotype" w:eastAsia="Palatino Linotype" w:hAnsi="Palatino Linotype" w:cs="Palatino Linotype"/>
          <w:i/>
          <w:iCs/>
          <w:color w:val="000000" w:themeColor="text1"/>
        </w:rPr>
      </w:pPr>
    </w:p>
    <w:p w14:paraId="00000154"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 xml:space="preserve">El artículo 3 de la Ley en cita, en su fracción XXXIX, establece que el </w:t>
      </w:r>
      <w:r w:rsidRPr="00620CE7">
        <w:rPr>
          <w:rFonts w:ascii="Palatino Linotype" w:eastAsia="Palatino Linotype" w:hAnsi="Palatino Linotype" w:cs="Palatino Linotype"/>
          <w:b/>
          <w:bCs/>
          <w:color w:val="000000" w:themeColor="text1"/>
          <w:u w:val="single"/>
        </w:rPr>
        <w:t xml:space="preserve">servidor público habilitado, </w:t>
      </w:r>
      <w:r w:rsidRPr="00620CE7">
        <w:rPr>
          <w:rFonts w:ascii="Palatino Linotype" w:eastAsia="Palatino Linotype" w:hAnsi="Palatino Linotype" w:cs="Palatino Linotype"/>
          <w:color w:val="000000" w:themeColor="text1"/>
        </w:rPr>
        <w:t>es la servidora o el servidor público o persona física facultada para gestionar y entregar la información o datos personales que se ubiquen en sus respectivas Unidades de Transparencia. .</w:t>
      </w:r>
    </w:p>
    <w:p w14:paraId="00000155" w14:textId="77777777" w:rsidR="001218D2" w:rsidRPr="00620CE7" w:rsidRDefault="001218D2" w:rsidP="000B7002">
      <w:pPr>
        <w:spacing w:line="360" w:lineRule="auto"/>
        <w:jc w:val="both"/>
        <w:rPr>
          <w:rFonts w:ascii="Palatino Linotype" w:eastAsia="Palatino Linotype" w:hAnsi="Palatino Linotype" w:cs="Palatino Linotype"/>
          <w:color w:val="000000" w:themeColor="text1"/>
        </w:rPr>
      </w:pPr>
    </w:p>
    <w:p w14:paraId="00000156" w14:textId="70923606"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No podemos considerar que los servidores públicos habilitados en las diversas unidades administrativas del Ayuntamiento, se hayan autodes</w:t>
      </w:r>
      <w:r w:rsidR="009747B7">
        <w:rPr>
          <w:rFonts w:ascii="Palatino Linotype" w:eastAsia="Palatino Linotype" w:hAnsi="Palatino Linotype" w:cs="Palatino Linotype"/>
          <w:color w:val="000000" w:themeColor="text1"/>
        </w:rPr>
        <w:t>i</w:t>
      </w:r>
      <w:r w:rsidRPr="00620CE7">
        <w:rPr>
          <w:rFonts w:ascii="Palatino Linotype" w:eastAsia="Palatino Linotype" w:hAnsi="Palatino Linotype" w:cs="Palatino Linotype"/>
          <w:color w:val="000000" w:themeColor="text1"/>
        </w:rPr>
        <w:t xml:space="preserve">gnado como tal, ya que de la legislación en consulta se advierte que han sido propuestos por la Unidad de Transparencia, para manejar la base de datos, pues dicha facultad le corresponde al Titular, por lo que para el ejercicio de sus funciones es razonable que para el momento de ser propuestos se les haya entregado la clave y usuario para el acceso a la plataforma correspondiente de las respectivas Unidades de Transparencia, lo que vislumbra que el </w:t>
      </w:r>
      <w:r w:rsidRPr="00620CE7">
        <w:rPr>
          <w:rFonts w:ascii="Palatino Linotype" w:eastAsia="Palatino Linotype" w:hAnsi="Palatino Linotype" w:cs="Palatino Linotype"/>
          <w:b/>
          <w:bCs/>
          <w:color w:val="000000" w:themeColor="text1"/>
        </w:rPr>
        <w:t xml:space="preserve">SUJETO OBLIGADO, </w:t>
      </w:r>
      <w:r w:rsidRPr="00620CE7">
        <w:rPr>
          <w:rFonts w:ascii="Palatino Linotype" w:eastAsia="Palatino Linotype" w:hAnsi="Palatino Linotype" w:cs="Palatino Linotype"/>
          <w:color w:val="000000" w:themeColor="text1"/>
        </w:rPr>
        <w:t>debería de poseer una relación de los servidores públicos habilitados, empero dicha circunstancia no se refiere ni en la respuesta ni en el informe justificado, toda vez que no se pronunciaron al respecto.</w:t>
      </w:r>
    </w:p>
    <w:p w14:paraId="00000157"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158"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En tal sentido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deberá hacer una búsqueda exhaustiva y razonable de los oficios o documentos girados o recibidos para la designación de los servidores públicos habilitados, en caso de no contar con ellos deberá informarlo así a la parte </w:t>
      </w:r>
      <w:r w:rsidRPr="00620CE7">
        <w:rPr>
          <w:rFonts w:ascii="Palatino Linotype" w:eastAsia="Palatino Linotype" w:hAnsi="Palatino Linotype" w:cs="Palatino Linotype"/>
          <w:b/>
          <w:bCs/>
          <w:color w:val="000000" w:themeColor="text1"/>
        </w:rPr>
        <w:t>Recurrente</w:t>
      </w:r>
      <w:r w:rsidRPr="00620CE7">
        <w:rPr>
          <w:rFonts w:ascii="Palatino Linotype" w:eastAsia="Palatino Linotype" w:hAnsi="Palatino Linotype" w:cs="Palatino Linotype"/>
          <w:color w:val="000000" w:themeColor="text1"/>
        </w:rPr>
        <w:t>, en términos de lo dispuesto por el artículo 19, párrafo segundo de la Ley de Transparencia y Acceso a la Información Pública del Estado de México y Municipios, a saber:</w:t>
      </w:r>
    </w:p>
    <w:p w14:paraId="00000159" w14:textId="77777777" w:rsidR="001218D2" w:rsidRPr="00620CE7" w:rsidRDefault="00490ACB" w:rsidP="000B7002">
      <w:pPr>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Artículo 19</w:t>
      </w:r>
      <w:r w:rsidRPr="00620CE7">
        <w:rPr>
          <w:rFonts w:ascii="Palatino Linotype" w:eastAsia="Palatino Linotype" w:hAnsi="Palatino Linotype" w:cs="Palatino Linotype"/>
          <w:i/>
          <w:iCs/>
          <w:color w:val="000000" w:themeColor="text1"/>
        </w:rPr>
        <w:t>…</w:t>
      </w:r>
    </w:p>
    <w:p w14:paraId="0000015A" w14:textId="77777777" w:rsidR="001218D2" w:rsidRPr="00620CE7" w:rsidRDefault="00490ACB" w:rsidP="000B7002">
      <w:pPr>
        <w:spacing w:line="360"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En los casos en que ciertas facultades, competencias o funciones no se hayan ejercido, se debe motivar la respuesta en función de las causas que motiven tal circunstancia.”</w:t>
      </w:r>
    </w:p>
    <w:p w14:paraId="0000015C"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 xml:space="preserve">Siendo improcedente, en tal supuesto, la entrega de documento alguno, o en su caso, el Acuerdo de Inexistencia, toda vez que el pronunciamiento del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declara en automática la inexistencia de la información solicitada de modo que no existe obligación de justificar o allegar pruebas, y por ende no tiene aplicación lo estatuido en el artículo 49, fracción XIII</w:t>
      </w:r>
      <w:r w:rsidRPr="00620CE7">
        <w:rPr>
          <w:rFonts w:ascii="Palatino Linotype" w:eastAsia="Palatino Linotype" w:hAnsi="Palatino Linotype" w:cs="Palatino Linotype"/>
          <w:color w:val="000000" w:themeColor="text1"/>
          <w:vertAlign w:val="superscript"/>
        </w:rPr>
        <w:footnoteReference w:id="6"/>
      </w:r>
      <w:r w:rsidRPr="00620CE7">
        <w:rPr>
          <w:rFonts w:ascii="Palatino Linotype" w:eastAsia="Palatino Linotype" w:hAnsi="Palatino Linotype" w:cs="Palatino Linotype"/>
          <w:color w:val="000000" w:themeColor="text1"/>
        </w:rPr>
        <w:t xml:space="preserve"> de la Ley de Transparencia y Acceso a la Información Pública del Estado de México y Municipios.</w:t>
      </w:r>
    </w:p>
    <w:p w14:paraId="0000015D" w14:textId="77777777" w:rsidR="001218D2" w:rsidRPr="00620CE7" w:rsidRDefault="001218D2" w:rsidP="000B7002">
      <w:pPr>
        <w:spacing w:line="360" w:lineRule="auto"/>
        <w:jc w:val="both"/>
        <w:rPr>
          <w:rFonts w:ascii="Palatino Linotype" w:eastAsia="Palatino Linotype" w:hAnsi="Palatino Linotype" w:cs="Palatino Linotype"/>
          <w:color w:val="000000" w:themeColor="text1"/>
        </w:rPr>
      </w:pPr>
    </w:p>
    <w:p w14:paraId="0000015E" w14:textId="77777777" w:rsidR="001218D2" w:rsidRPr="00620CE7" w:rsidRDefault="00490ACB" w:rsidP="000B7002">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Al respecto es de suma importancia precisar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000015F" w14:textId="77777777" w:rsidR="001218D2" w:rsidRPr="00620CE7" w:rsidRDefault="00490ACB" w:rsidP="000B7002">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Artículo 4</w:t>
      </w:r>
      <w:r w:rsidRPr="00620CE7">
        <w:rPr>
          <w:rFonts w:ascii="Palatino Linotype" w:eastAsia="Palatino Linotype" w:hAnsi="Palatino Linotype" w:cs="Palatino Linotype"/>
          <w:i/>
          <w:iCs/>
          <w:color w:val="000000" w:themeColor="text1"/>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0000160" w14:textId="77777777" w:rsidR="001218D2" w:rsidRPr="00620CE7" w:rsidRDefault="00490ACB" w:rsidP="000B7002">
      <w:pPr>
        <w:spacing w:before="240" w:after="240" w:line="276" w:lineRule="auto"/>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w:t>
      </w:r>
      <w:r w:rsidRPr="00620CE7">
        <w:rPr>
          <w:rFonts w:ascii="Palatino Linotype" w:eastAsia="Palatino Linotype" w:hAnsi="Palatino Linotype" w:cs="Palatino Linotype"/>
          <w:b/>
          <w:bCs/>
          <w:i/>
          <w:iCs/>
          <w:color w:val="000000" w:themeColor="text1"/>
        </w:rPr>
        <w:lastRenderedPageBreak/>
        <w:t>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000161" w14:textId="77777777" w:rsidR="001218D2" w:rsidRDefault="00490ACB" w:rsidP="000B7002">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Los sujetos obligados deben poner en práctica, políticas y programas de acceso a la información que se apeguen a criterios de publicidad, veracidad, oportunidad, precisión y suficiencia en beneficio de los solicitantes.”(Sic)</w:t>
      </w:r>
    </w:p>
    <w:p w14:paraId="2304E8DB" w14:textId="77777777" w:rsidR="00E76956" w:rsidRPr="00620CE7" w:rsidRDefault="00E76956" w:rsidP="000B7002">
      <w:pPr>
        <w:spacing w:before="240" w:after="240" w:line="276" w:lineRule="auto"/>
        <w:jc w:val="both"/>
        <w:rPr>
          <w:rFonts w:ascii="Palatino Linotype" w:eastAsia="Palatino Linotype" w:hAnsi="Palatino Linotype" w:cs="Palatino Linotype"/>
          <w:i/>
          <w:iCs/>
          <w:color w:val="000000" w:themeColor="text1"/>
        </w:rPr>
      </w:pPr>
    </w:p>
    <w:p w14:paraId="00000162" w14:textId="77777777" w:rsidR="001218D2" w:rsidRPr="00620CE7" w:rsidRDefault="00490ACB" w:rsidP="000B7002">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0000163" w14:textId="77777777" w:rsidR="001218D2" w:rsidRPr="00620CE7" w:rsidRDefault="00490ACB" w:rsidP="000B7002">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Artículo 12</w:t>
      </w:r>
      <w:r w:rsidRPr="00620CE7">
        <w:rPr>
          <w:rFonts w:ascii="Palatino Linotype" w:eastAsia="Palatino Linotype" w:hAnsi="Palatino Linotype" w:cs="Palatino Linotype"/>
          <w:i/>
          <w:iCs/>
          <w:color w:val="000000" w:themeColor="text1"/>
        </w:rPr>
        <w:t xml:space="preserve">. Quienes generen, recopilen, administren, manejen, procesen, archiven o conserven información pública serán responsables de la misma en los términos de las disposiciones jurídicas aplicables. </w:t>
      </w:r>
    </w:p>
    <w:p w14:paraId="00000164" w14:textId="77777777" w:rsidR="001218D2" w:rsidRPr="00620CE7" w:rsidRDefault="00490ACB" w:rsidP="000B7002">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0000165" w14:textId="77777777" w:rsidR="001218D2" w:rsidRPr="00620CE7" w:rsidRDefault="00490ACB" w:rsidP="000B7002">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Es decir, que el derecho de acceso a la información pública se satisface en aquellos casos en que se entregue documento en que conste la información requerida, toda vez que, los Sujetos Obligados</w:t>
      </w:r>
      <w:r w:rsidRPr="00620CE7">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color w:val="000000" w:themeColor="text1"/>
        </w:rPr>
        <w:t xml:space="preserve">no tienen el deber de generar, poseer o administrar la información pública con el grado de detalle solicitado; esto es, que no tienen el deber de generar un </w:t>
      </w:r>
      <w:r w:rsidRPr="00620CE7">
        <w:rPr>
          <w:rFonts w:ascii="Palatino Linotype" w:eastAsia="Palatino Linotype" w:hAnsi="Palatino Linotype" w:cs="Palatino Linotype"/>
          <w:color w:val="000000" w:themeColor="text1"/>
        </w:rPr>
        <w:lastRenderedPageBreak/>
        <w:t xml:space="preserve">documento </w:t>
      </w:r>
      <w:r w:rsidRPr="00620CE7">
        <w:rPr>
          <w:rFonts w:ascii="Palatino Linotype" w:eastAsia="Palatino Linotype" w:hAnsi="Palatino Linotype" w:cs="Palatino Linotype"/>
          <w:i/>
          <w:iCs/>
          <w:color w:val="000000" w:themeColor="text1"/>
        </w:rPr>
        <w:t>ad hoc</w:t>
      </w:r>
      <w:r w:rsidRPr="00620CE7">
        <w:rPr>
          <w:rFonts w:ascii="Palatino Linotype" w:eastAsia="Palatino Linotype" w:hAnsi="Palatino Linotype" w:cs="Palatino Linotype"/>
          <w:color w:val="000000" w:themeColor="text1"/>
        </w:rPr>
        <w:t>, para satisfacer el derecho de acceso a la información pública, como así lo establece</w:t>
      </w:r>
      <w:r w:rsidRPr="00620CE7">
        <w:rPr>
          <w:rFonts w:ascii="Palatino Linotype" w:eastAsia="Palatino Linotype" w:hAnsi="Palatino Linotype" w:cs="Palatino Linotype"/>
          <w:strike/>
          <w:color w:val="000000" w:themeColor="text1"/>
        </w:rPr>
        <w:t xml:space="preserve"> </w:t>
      </w:r>
      <w:r w:rsidRPr="00620CE7">
        <w:rPr>
          <w:rFonts w:ascii="Palatino Linotype" w:eastAsia="Palatino Linotype" w:hAnsi="Palatino Linotype" w:cs="Palatino Linotype"/>
          <w:color w:val="000000" w:themeColor="text1"/>
        </w:rPr>
        <w:t>el criterio 03/17 emitido por el Instituto Nacional de Transparencia, Acceso a la Información Pública y Protección de Datos Personales, los cuales señalan lo siguiente:</w:t>
      </w:r>
    </w:p>
    <w:p w14:paraId="00000166" w14:textId="77777777" w:rsidR="001218D2" w:rsidRPr="00620CE7" w:rsidRDefault="00490ACB" w:rsidP="000B7002">
      <w:pPr>
        <w:spacing w:before="240" w:after="240" w:line="276" w:lineRule="auto"/>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03/17</w:t>
      </w:r>
    </w:p>
    <w:p w14:paraId="00000167" w14:textId="77777777" w:rsidR="001218D2" w:rsidRPr="00620CE7" w:rsidRDefault="00490ACB" w:rsidP="000B7002">
      <w:pPr>
        <w:spacing w:before="240" w:after="240" w:line="276" w:lineRule="auto"/>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“NO EXISTE OBLIGACIÓN DE ELABORAR DOCUMENTOS AD HOC PARA ATENDER LAS SOLICITUDES DE ACCESO A LA INFORMACIÓN.</w:t>
      </w:r>
    </w:p>
    <w:p w14:paraId="00000168" w14:textId="77777777" w:rsidR="001218D2" w:rsidRPr="00620CE7" w:rsidRDefault="00490ACB" w:rsidP="000B7002">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0000169" w14:textId="77777777" w:rsidR="001218D2" w:rsidRPr="00620CE7" w:rsidRDefault="00490ACB" w:rsidP="000B7002">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00016A" w14:textId="77777777" w:rsidR="001218D2" w:rsidRPr="00620CE7" w:rsidRDefault="001218D2" w:rsidP="000B7002">
      <w:pPr>
        <w:pBdr>
          <w:top w:val="nil"/>
          <w:left w:val="nil"/>
          <w:bottom w:val="nil"/>
          <w:right w:val="nil"/>
          <w:between w:val="nil"/>
        </w:pBdr>
        <w:spacing w:after="240" w:line="360" w:lineRule="auto"/>
        <w:jc w:val="both"/>
        <w:rPr>
          <w:rFonts w:ascii="Palatino Linotype" w:eastAsia="Palatino Linotype" w:hAnsi="Palatino Linotype" w:cs="Palatino Linotype"/>
          <w:color w:val="000000" w:themeColor="text1"/>
        </w:rPr>
      </w:pPr>
    </w:p>
    <w:p w14:paraId="0000016B" w14:textId="77777777" w:rsidR="001218D2" w:rsidRPr="00620CE7" w:rsidRDefault="00490ACB" w:rsidP="000B7002">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w:t>
      </w:r>
      <w:r w:rsidRPr="00620CE7">
        <w:rPr>
          <w:rFonts w:ascii="Palatino Linotype" w:eastAsia="Palatino Linotype" w:hAnsi="Palatino Linotype" w:cs="Palatino Linotype"/>
          <w:color w:val="000000" w:themeColor="text1"/>
        </w:rPr>
        <w:lastRenderedPageBreak/>
        <w:t>clasificatorio del comité de transparencia y la versión pública que emita el servidor público habilitado de cada Sujeto Obligado; como así se establece en la Ley de Transparencia y Acceso a la Información Pública del Estado de México y Municipios.</w:t>
      </w:r>
    </w:p>
    <w:p w14:paraId="0000016C"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16D" w14:textId="77777777" w:rsidR="001218D2" w:rsidRPr="00620CE7" w:rsidRDefault="00490ACB" w:rsidP="000B7002">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000016E" w14:textId="77777777" w:rsidR="001218D2" w:rsidRPr="00620CE7" w:rsidRDefault="00490ACB" w:rsidP="000B7002">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r w:rsidRPr="00620CE7">
        <w:rPr>
          <w:rFonts w:ascii="Palatino Linotype" w:eastAsia="Palatino Linotype" w:hAnsi="Palatino Linotype" w:cs="Palatino Linotype"/>
          <w:b/>
          <w:bCs/>
          <w:i/>
          <w:iCs/>
          <w:color w:val="000000" w:themeColor="text1"/>
        </w:rPr>
        <w:t xml:space="preserve">Artículo 3. </w:t>
      </w:r>
      <w:r w:rsidRPr="00620CE7">
        <w:rPr>
          <w:rFonts w:ascii="Palatino Linotype" w:eastAsia="Palatino Linotype" w:hAnsi="Palatino Linotype" w:cs="Palatino Linotype"/>
          <w:i/>
          <w:iCs/>
          <w:color w:val="000000" w:themeColor="text1"/>
        </w:rPr>
        <w:t>Para los efectos de la presente Ley se entenderá por:</w:t>
      </w:r>
    </w:p>
    <w:p w14:paraId="0000016F" w14:textId="77777777" w:rsidR="001218D2" w:rsidRPr="00620CE7" w:rsidRDefault="00490ACB" w:rsidP="000B7002">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w:t>
      </w:r>
    </w:p>
    <w:p w14:paraId="00000170" w14:textId="77777777" w:rsidR="001218D2" w:rsidRPr="00620CE7" w:rsidRDefault="00490ACB" w:rsidP="000B7002">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XI. Documento:</w:t>
      </w:r>
      <w:r w:rsidRPr="00620CE7">
        <w:rPr>
          <w:rFonts w:ascii="Palatino Linotype" w:eastAsia="Palatino Linotype" w:hAnsi="Palatino Linotype" w:cs="Palatino Linotype"/>
          <w:i/>
          <w:iCs/>
          <w:color w:val="000000" w:themeColor="text1"/>
        </w:rPr>
        <w:t xml:space="preserve"> Los expedientes, reportes, estudios, </w:t>
      </w:r>
      <w:r w:rsidRPr="00620CE7">
        <w:rPr>
          <w:rFonts w:ascii="Palatino Linotype" w:eastAsia="Palatino Linotype" w:hAnsi="Palatino Linotype" w:cs="Palatino Linotype"/>
          <w:b/>
          <w:bCs/>
          <w:i/>
          <w:iCs/>
          <w:color w:val="000000" w:themeColor="text1"/>
        </w:rPr>
        <w:t>actas,</w:t>
      </w:r>
      <w:r w:rsidRPr="00620CE7">
        <w:rPr>
          <w:rFonts w:ascii="Palatino Linotype" w:eastAsia="Palatino Linotype" w:hAnsi="Palatino Linotype" w:cs="Palatino Linotype"/>
          <w:i/>
          <w:iCs/>
          <w:color w:val="000000" w:themeColor="text1"/>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20CE7">
        <w:rPr>
          <w:rFonts w:ascii="Palatino Linotype" w:eastAsia="Palatino Linotype" w:hAnsi="Palatino Linotype" w:cs="Palatino Linotype"/>
          <w:b/>
          <w:bCs/>
          <w:i/>
          <w:iCs/>
          <w:color w:val="000000" w:themeColor="text1"/>
        </w:rPr>
        <w:t>…</w:t>
      </w:r>
      <w:r w:rsidRPr="00620CE7">
        <w:rPr>
          <w:rFonts w:ascii="Palatino Linotype" w:eastAsia="Palatino Linotype" w:hAnsi="Palatino Linotype" w:cs="Palatino Linotype"/>
          <w:i/>
          <w:iCs/>
          <w:color w:val="000000" w:themeColor="text1"/>
        </w:rPr>
        <w:t>” (Sic)</w:t>
      </w:r>
    </w:p>
    <w:p w14:paraId="00000171" w14:textId="77777777" w:rsidR="001218D2" w:rsidRPr="00620CE7" w:rsidRDefault="00490ACB" w:rsidP="000B7002">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0000172" w14:textId="77777777" w:rsidR="001218D2" w:rsidRPr="00620CE7" w:rsidRDefault="00490ACB" w:rsidP="000B7002">
      <w:pPr>
        <w:spacing w:before="240" w:after="240" w:line="276" w:lineRule="auto"/>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color w:val="000000" w:themeColor="text1"/>
        </w:rPr>
        <w:lastRenderedPageBreak/>
        <w:t>“</w:t>
      </w:r>
      <w:r w:rsidRPr="00620CE7">
        <w:rPr>
          <w:rFonts w:ascii="Palatino Linotype" w:eastAsia="Palatino Linotype" w:hAnsi="Palatino Linotype" w:cs="Palatino Linotype"/>
          <w:b/>
          <w:bCs/>
          <w:i/>
          <w:iCs/>
          <w:color w:val="000000" w:themeColor="text1"/>
        </w:rPr>
        <w:t>CRITERIO 0002-11</w:t>
      </w:r>
    </w:p>
    <w:p w14:paraId="00000173" w14:textId="77777777" w:rsidR="001218D2" w:rsidRPr="00620CE7" w:rsidRDefault="00490ACB" w:rsidP="000B7002">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b/>
          <w:bCs/>
          <w:i/>
          <w:iCs/>
          <w:color w:val="000000" w:themeColor="text1"/>
        </w:rPr>
        <w:t>INFORMACIÓN PÚBLICA, CONCEPTO DE, EN MATERIA DE TRANSPARENCIA. INTERPRETACIÓN SISTEMÁTICA DE LOS ARTÍCULOS 2°, FRACCIÓN V, XV, Y XVI, 3°, 4°, 11 Y 41.</w:t>
      </w:r>
      <w:r w:rsidRPr="00620CE7">
        <w:rPr>
          <w:rFonts w:ascii="Palatino Linotype" w:eastAsia="Palatino Linotype" w:hAnsi="Palatino Linotype" w:cs="Palatino Linotype"/>
          <w:i/>
          <w:iCs/>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000174" w14:textId="77777777" w:rsidR="001218D2" w:rsidRPr="00620CE7" w:rsidRDefault="00490ACB" w:rsidP="000B7002">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En consecuencia el acceso a la información se refiere a que se cumplan cualquiera de los siguientes tres supuestos:</w:t>
      </w:r>
    </w:p>
    <w:p w14:paraId="00000175" w14:textId="77777777" w:rsidR="001218D2" w:rsidRPr="00620CE7" w:rsidRDefault="00490ACB" w:rsidP="00E76956">
      <w:pPr>
        <w:numPr>
          <w:ilvl w:val="0"/>
          <w:numId w:val="9"/>
        </w:numPr>
        <w:spacing w:before="240" w:after="240" w:line="276" w:lineRule="auto"/>
        <w:ind w:left="0" w:firstLine="0"/>
        <w:jc w:val="both"/>
        <w:rPr>
          <w:rFonts w:ascii="Palatino Linotype" w:eastAsia="Palatino Linotype" w:hAnsi="Palatino Linotype" w:cs="Palatino Linotype"/>
          <w:b/>
          <w:bCs/>
          <w:i/>
          <w:iCs/>
          <w:color w:val="000000" w:themeColor="text1"/>
        </w:rPr>
      </w:pPr>
      <w:r w:rsidRPr="00620CE7">
        <w:rPr>
          <w:rFonts w:ascii="Palatino Linotype" w:eastAsia="Palatino Linotype" w:hAnsi="Palatino Linotype" w:cs="Palatino Linotype"/>
          <w:b/>
          <w:bCs/>
          <w:i/>
          <w:iCs/>
          <w:color w:val="000000" w:themeColor="text1"/>
        </w:rPr>
        <w:t>Que se trate de información registrada en cualquier soporte documental, que en ejercicio de las atribuciones conferidas, sea generada por los Sujetos Obligados;</w:t>
      </w:r>
    </w:p>
    <w:p w14:paraId="00000176" w14:textId="77777777" w:rsidR="001218D2" w:rsidRPr="00620CE7" w:rsidRDefault="00490ACB" w:rsidP="00E76956">
      <w:pPr>
        <w:numPr>
          <w:ilvl w:val="0"/>
          <w:numId w:val="9"/>
        </w:numPr>
        <w:spacing w:before="240" w:after="240" w:line="276" w:lineRule="auto"/>
        <w:ind w:left="0" w:firstLine="0"/>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Que se trate de información registrada en cualquier soporte documental, que en ejercicio de las atribuciones conferidas, sea administrada por los Sujetos Obligados, y</w:t>
      </w:r>
    </w:p>
    <w:p w14:paraId="00000177" w14:textId="77777777" w:rsidR="001218D2" w:rsidRPr="00620CE7" w:rsidRDefault="00490ACB" w:rsidP="00E76956">
      <w:pPr>
        <w:spacing w:before="240" w:after="240" w:line="276" w:lineRule="auto"/>
        <w:jc w:val="both"/>
        <w:rPr>
          <w:rFonts w:ascii="Palatino Linotype" w:eastAsia="Palatino Linotype" w:hAnsi="Palatino Linotype" w:cs="Palatino Linotype"/>
          <w:i/>
          <w:iCs/>
          <w:color w:val="000000" w:themeColor="text1"/>
        </w:rPr>
      </w:pPr>
      <w:r w:rsidRPr="00620CE7">
        <w:rPr>
          <w:rFonts w:ascii="Palatino Linotype" w:eastAsia="Palatino Linotype" w:hAnsi="Palatino Linotype" w:cs="Palatino Linotype"/>
          <w:i/>
          <w:iCs/>
          <w:color w:val="000000" w:themeColor="text1"/>
        </w:rPr>
        <w:t>3) Que se trate de información registrada en cualquier soporte documental, que en ejercicio de las atribuciones conferidas, se encuentre en posesión de los Sujetos Obligados.” (Sic)</w:t>
      </w:r>
    </w:p>
    <w:p w14:paraId="00000178" w14:textId="77777777" w:rsidR="001218D2" w:rsidRPr="00620CE7" w:rsidRDefault="00490ACB" w:rsidP="000B700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De ahí que </w:t>
      </w:r>
      <w:r w:rsidRPr="00620CE7">
        <w:rPr>
          <w:rFonts w:ascii="Palatino Linotype" w:eastAsia="Palatino Linotype" w:hAnsi="Palatino Linotype" w:cs="Palatino Linotype"/>
          <w:b/>
          <w:bCs/>
          <w:color w:val="000000" w:themeColor="text1"/>
        </w:rPr>
        <w:t>EL</w:t>
      </w:r>
      <w:r w:rsidRPr="00620CE7">
        <w:rPr>
          <w:rFonts w:ascii="Palatino Linotype" w:eastAsia="Palatino Linotype" w:hAnsi="Palatino Linotype" w:cs="Palatino Linotype"/>
          <w:color w:val="000000" w:themeColor="text1"/>
        </w:rPr>
        <w:t xml:space="preserve">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620CE7">
        <w:rPr>
          <w:rFonts w:ascii="Palatino Linotype" w:hAnsi="Palatino Linotype"/>
          <w:color w:val="000000" w:themeColor="text1"/>
          <w:vertAlign w:val="superscript"/>
        </w:rPr>
        <w:footnoteReference w:id="7"/>
      </w:r>
      <w:r w:rsidRPr="00620CE7">
        <w:rPr>
          <w:rFonts w:ascii="Palatino Linotype" w:eastAsia="Palatino Linotype" w:hAnsi="Palatino Linotype" w:cs="Palatino Linotype"/>
          <w:color w:val="000000" w:themeColor="text1"/>
        </w:rPr>
        <w:t xml:space="preserve">, así como de interés público, es decir, aquella que resulta relevante o beneficiosa para la sociedad y no simplemente de interés individual, y </w:t>
      </w:r>
      <w:r w:rsidRPr="00620CE7">
        <w:rPr>
          <w:rFonts w:ascii="Palatino Linotype" w:eastAsia="Palatino Linotype" w:hAnsi="Palatino Linotype" w:cs="Palatino Linotype"/>
          <w:color w:val="000000" w:themeColor="text1"/>
        </w:rPr>
        <w:lastRenderedPageBreak/>
        <w:t>cuya divulgación resulta útil para que el público comprenda las actividades que llevan a cabo los Sujetos Obligados</w:t>
      </w:r>
      <w:r w:rsidRPr="00620CE7">
        <w:rPr>
          <w:rFonts w:ascii="Palatino Linotype" w:hAnsi="Palatino Linotype"/>
          <w:color w:val="000000" w:themeColor="text1"/>
          <w:vertAlign w:val="superscript"/>
        </w:rPr>
        <w:footnoteReference w:id="8"/>
      </w:r>
      <w:r w:rsidRPr="00620CE7">
        <w:rPr>
          <w:rFonts w:ascii="Palatino Linotype" w:eastAsia="Palatino Linotype" w:hAnsi="Palatino Linotype" w:cs="Palatino Linotype"/>
          <w:color w:val="000000" w:themeColor="text1"/>
        </w:rPr>
        <w:t>.</w:t>
      </w:r>
    </w:p>
    <w:p w14:paraId="0000017A"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color w:val="000000" w:themeColor="text1"/>
        </w:rPr>
      </w:pPr>
    </w:p>
    <w:p w14:paraId="0000017B"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Derivado de todo lo anteriormente señalado, este Organismo Garante encuentra conforme a derecho el </w:t>
      </w:r>
      <w:r w:rsidRPr="00620CE7">
        <w:rPr>
          <w:rFonts w:ascii="Palatino Linotype" w:eastAsia="Palatino Linotype" w:hAnsi="Palatino Linotype" w:cs="Palatino Linotype"/>
          <w:b/>
          <w:bCs/>
          <w:color w:val="000000" w:themeColor="text1"/>
        </w:rPr>
        <w:t>modificar</w:t>
      </w:r>
      <w:r w:rsidRPr="00620CE7">
        <w:rPr>
          <w:rFonts w:ascii="Palatino Linotype" w:eastAsia="Palatino Linotype" w:hAnsi="Palatino Linotype" w:cs="Palatino Linotype"/>
          <w:color w:val="000000" w:themeColor="text1"/>
        </w:rPr>
        <w:t xml:space="preserve"> la respuesta y se </w:t>
      </w:r>
      <w:r w:rsidRPr="00620CE7">
        <w:rPr>
          <w:rFonts w:ascii="Palatino Linotype" w:eastAsia="Palatino Linotype" w:hAnsi="Palatino Linotype" w:cs="Palatino Linotype"/>
          <w:b/>
          <w:bCs/>
          <w:color w:val="000000" w:themeColor="text1"/>
        </w:rPr>
        <w:t xml:space="preserve">ordena </w:t>
      </w:r>
      <w:r w:rsidRPr="00620CE7">
        <w:rPr>
          <w:rFonts w:ascii="Palatino Linotype" w:eastAsia="Palatino Linotype" w:hAnsi="Palatino Linotype" w:cs="Palatino Linotype"/>
          <w:color w:val="000000" w:themeColor="text1"/>
        </w:rPr>
        <w:t xml:space="preserve">al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entregar la información, atendiendo las disposiciones establecidas en los </w:t>
      </w:r>
      <w:r w:rsidRPr="00620CE7">
        <w:rPr>
          <w:rFonts w:ascii="Palatino Linotype" w:eastAsia="Palatino Linotype" w:hAnsi="Palatino Linotype" w:cs="Palatino Linotype"/>
          <w:i/>
          <w:iCs/>
          <w:color w:val="000000" w:themeColor="text1"/>
        </w:rPr>
        <w:t>Lineamientos Generales en Materia de Clasificación y Desclasificación de la Información, así como para la Elaboración de Versiones Públicas</w:t>
      </w:r>
      <w:r w:rsidRPr="00620CE7">
        <w:rPr>
          <w:rFonts w:ascii="Palatino Linotype" w:eastAsia="Palatino Linotype" w:hAnsi="Palatino Linotype" w:cs="Palatino Linotype"/>
          <w:color w:val="000000" w:themeColor="text1"/>
        </w:rPr>
        <w:t>, y el numeral 166 de la Ley de Transparencia y Acceso a la Información Pública del Estado de México y Municipios.</w:t>
      </w:r>
    </w:p>
    <w:p w14:paraId="0000017C" w14:textId="77777777" w:rsidR="001218D2" w:rsidRPr="00620CE7" w:rsidRDefault="001218D2" w:rsidP="000B7002">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0000017D" w14:textId="77777777" w:rsidR="001218D2" w:rsidRPr="00620CE7" w:rsidRDefault="00490ACB" w:rsidP="000B700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Por otro lado, no pasa desapercibido para este Órgano Garante, que la información que se ordena entregar puede contener información susceptible de clasificarse; para lo cual,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deberá atender al Considerando Sexto de la presente resolución.</w:t>
      </w:r>
    </w:p>
    <w:p w14:paraId="0000017E" w14:textId="77777777" w:rsidR="001218D2" w:rsidRPr="00620CE7" w:rsidRDefault="001218D2" w:rsidP="000B7002">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0000017F" w14:textId="77777777" w:rsidR="001218D2" w:rsidRPr="00620CE7" w:rsidRDefault="00490ACB" w:rsidP="000B7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11" w:name="_heading=h.su8tj1drhbxb" w:colFirst="0" w:colLast="0"/>
      <w:bookmarkEnd w:id="11"/>
      <w:r w:rsidRPr="00620CE7">
        <w:rPr>
          <w:rFonts w:ascii="Palatino Linotype" w:eastAsia="Palatino Linotype" w:hAnsi="Palatino Linotype" w:cs="Palatino Linotype"/>
          <w:b/>
          <w:bCs/>
          <w:color w:val="000000" w:themeColor="text1"/>
        </w:rPr>
        <w:t>SEXTO. De la versión pública.</w:t>
      </w:r>
    </w:p>
    <w:p w14:paraId="00000180" w14:textId="77777777" w:rsidR="001218D2" w:rsidRPr="00620CE7" w:rsidRDefault="00490ACB" w:rsidP="00E76956">
      <w:pPr>
        <w:keepNext/>
        <w:keepLines/>
        <w:numPr>
          <w:ilvl w:val="0"/>
          <w:numId w:val="3"/>
        </w:numPr>
        <w:tabs>
          <w:tab w:val="left" w:pos="284"/>
        </w:tabs>
        <w:spacing w:line="360" w:lineRule="auto"/>
        <w:ind w:left="0" w:firstLine="0"/>
        <w:rPr>
          <w:rFonts w:ascii="Palatino Linotype" w:eastAsia="Palatino Linotype" w:hAnsi="Palatino Linotype" w:cs="Palatino Linotype"/>
          <w:b/>
          <w:bCs/>
          <w:color w:val="000000" w:themeColor="text1"/>
        </w:rPr>
      </w:pPr>
      <w:bookmarkStart w:id="12" w:name="_heading=h.a1m7ux1cwcq0" w:colFirst="0" w:colLast="0"/>
      <w:bookmarkEnd w:id="12"/>
      <w:r w:rsidRPr="00620CE7">
        <w:rPr>
          <w:rFonts w:ascii="Palatino Linotype" w:eastAsia="Palatino Linotype" w:hAnsi="Palatino Linotype" w:cs="Palatino Linotype"/>
          <w:b/>
          <w:bCs/>
          <w:color w:val="000000" w:themeColor="text1"/>
        </w:rPr>
        <w:t xml:space="preserve">Nociones generales. </w:t>
      </w:r>
    </w:p>
    <w:p w14:paraId="00000181" w14:textId="77777777" w:rsidR="001218D2" w:rsidRPr="00620CE7" w:rsidRDefault="00490ACB" w:rsidP="00620CE7">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Debe destacarse que, debido a la naturaleza de la información solicitada</w:t>
      </w:r>
      <w:r w:rsidRPr="00620CE7">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color w:val="000000" w:themeColor="text1"/>
        </w:rPr>
        <w:t xml:space="preserve">eventualmente pudiera obrar datos personales susceptibles de protegerse, así como información susceptible de clasificarse como reservada, el </w:t>
      </w:r>
      <w:r w:rsidRPr="00620CE7">
        <w:rPr>
          <w:rFonts w:ascii="Palatino Linotype" w:eastAsia="Palatino Linotype" w:hAnsi="Palatino Linotype" w:cs="Palatino Linotype"/>
          <w:b/>
          <w:bCs/>
          <w:color w:val="000000" w:themeColor="text1"/>
        </w:rPr>
        <w:t xml:space="preserve">SUJETO OBLIGADO </w:t>
      </w:r>
      <w:r w:rsidRPr="00620CE7">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00000182" w14:textId="77777777" w:rsidR="001218D2" w:rsidRPr="00620CE7" w:rsidRDefault="001218D2" w:rsidP="000B70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0000183" w14:textId="77777777" w:rsidR="001218D2" w:rsidRPr="00620CE7" w:rsidRDefault="00490ACB" w:rsidP="000B7002">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No pasa desapercibido para este Órgano Garante que los sujetos obligados</w:t>
      </w:r>
      <w:r w:rsidRPr="00620CE7">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000184" w14:textId="77777777" w:rsidR="001218D2" w:rsidRPr="00620CE7" w:rsidRDefault="001218D2" w:rsidP="000B7002">
      <w:pPr>
        <w:tabs>
          <w:tab w:val="left" w:pos="284"/>
        </w:tabs>
        <w:spacing w:line="360" w:lineRule="auto"/>
        <w:jc w:val="both"/>
        <w:rPr>
          <w:rFonts w:ascii="Palatino Linotype" w:eastAsia="Palatino Linotype" w:hAnsi="Palatino Linotype" w:cs="Palatino Linotype"/>
          <w:color w:val="000000" w:themeColor="text1"/>
        </w:rPr>
      </w:pPr>
    </w:p>
    <w:tbl>
      <w:tblPr>
        <w:tblStyle w:val="a"/>
        <w:tblW w:w="9754" w:type="dxa"/>
        <w:tblInd w:w="-1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65"/>
      </w:tblGrid>
      <w:tr w:rsidR="00620CE7" w:rsidRPr="00620CE7" w14:paraId="64357893" w14:textId="77777777" w:rsidTr="00E76956">
        <w:tc>
          <w:tcPr>
            <w:tcW w:w="2689" w:type="dxa"/>
          </w:tcPr>
          <w:p w14:paraId="00000185" w14:textId="77777777" w:rsidR="001218D2" w:rsidRPr="00620CE7" w:rsidRDefault="00490ACB" w:rsidP="000B7002">
            <w:pPr>
              <w:tabs>
                <w:tab w:val="left" w:pos="284"/>
              </w:tabs>
              <w:spacing w:line="360" w:lineRule="auto"/>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a) Requisitos previos.</w:t>
            </w:r>
          </w:p>
        </w:tc>
        <w:tc>
          <w:tcPr>
            <w:tcW w:w="7065" w:type="dxa"/>
          </w:tcPr>
          <w:p w14:paraId="00000186"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0000187"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00000188"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00000189"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620CE7">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620CE7">
              <w:rPr>
                <w:rFonts w:ascii="Palatino Linotype" w:eastAsia="Palatino Linotype" w:hAnsi="Palatino Linotype" w:cs="Palatino Linotype"/>
                <w:color w:val="000000" w:themeColor="text1"/>
              </w:rPr>
              <w:t xml:space="preserve"> individualizar su análisis y tampoco se puede hacer un acuerdo por cada dato que </w:t>
            </w:r>
            <w:r w:rsidRPr="00620CE7">
              <w:rPr>
                <w:rFonts w:ascii="Palatino Linotype" w:eastAsia="Palatino Linotype" w:hAnsi="Palatino Linotype" w:cs="Palatino Linotype"/>
                <w:color w:val="000000" w:themeColor="text1"/>
              </w:rPr>
              <w:lastRenderedPageBreak/>
              <w:t>se vaya a clasificar dentro de un documento con diez datos, por ejemplo, susceptibles de ser clasificados.</w:t>
            </w:r>
          </w:p>
        </w:tc>
      </w:tr>
      <w:tr w:rsidR="00620CE7" w:rsidRPr="00620CE7" w14:paraId="725F866D" w14:textId="77777777" w:rsidTr="00E76956">
        <w:tc>
          <w:tcPr>
            <w:tcW w:w="2689" w:type="dxa"/>
          </w:tcPr>
          <w:p w14:paraId="0000018A" w14:textId="77777777" w:rsidR="001218D2" w:rsidRPr="00620CE7" w:rsidRDefault="00490ACB" w:rsidP="000B7002">
            <w:pPr>
              <w:tabs>
                <w:tab w:val="left" w:pos="284"/>
              </w:tabs>
              <w:spacing w:line="360" w:lineRule="auto"/>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b) Supuestos de clasificación.</w:t>
            </w:r>
          </w:p>
        </w:tc>
        <w:tc>
          <w:tcPr>
            <w:tcW w:w="7065" w:type="dxa"/>
          </w:tcPr>
          <w:p w14:paraId="0000018B"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0000018C"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000018D"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20CE7" w:rsidRPr="00620CE7" w14:paraId="55B4FA6F" w14:textId="77777777" w:rsidTr="00E76956">
        <w:tc>
          <w:tcPr>
            <w:tcW w:w="2689" w:type="dxa"/>
          </w:tcPr>
          <w:p w14:paraId="0000018E" w14:textId="77777777" w:rsidR="001218D2" w:rsidRPr="00620CE7" w:rsidRDefault="00490ACB" w:rsidP="000B7002">
            <w:pPr>
              <w:tabs>
                <w:tab w:val="left" w:pos="284"/>
              </w:tabs>
              <w:spacing w:line="360" w:lineRule="auto"/>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c) Formalidades para emitir el acuerdo de clasificación.</w:t>
            </w:r>
          </w:p>
        </w:tc>
        <w:tc>
          <w:tcPr>
            <w:tcW w:w="7065" w:type="dxa"/>
          </w:tcPr>
          <w:p w14:paraId="0000018F"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00000190"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 xml:space="preserve">Es necesario que </w:t>
            </w:r>
            <w:r w:rsidRPr="00620CE7">
              <w:rPr>
                <w:rFonts w:ascii="Palatino Linotype" w:eastAsia="Palatino Linotype" w:hAnsi="Palatino Linotype" w:cs="Palatino Linotype"/>
                <w:b/>
                <w:bCs/>
                <w:color w:val="000000" w:themeColor="text1"/>
                <w:u w:val="single"/>
              </w:rPr>
              <w:t>el acto reúna con los requisitos elementales</w:t>
            </w:r>
            <w:r w:rsidRPr="00620CE7">
              <w:rPr>
                <w:rFonts w:ascii="Palatino Linotype" w:eastAsia="Palatino Linotype" w:hAnsi="Palatino Linotype" w:cs="Palatino Linotype"/>
                <w:color w:val="000000" w:themeColor="text1"/>
              </w:rPr>
              <w:t>, entre ellos, que la autoridad que va a emitir el acto de autoridad sea la legalmente facultada para ello.</w:t>
            </w:r>
          </w:p>
          <w:p w14:paraId="00000191"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20CE7" w:rsidRPr="00620CE7" w14:paraId="1AF85176" w14:textId="77777777" w:rsidTr="00E76956">
        <w:tc>
          <w:tcPr>
            <w:tcW w:w="2689" w:type="dxa"/>
          </w:tcPr>
          <w:p w14:paraId="00000192" w14:textId="77777777" w:rsidR="001218D2" w:rsidRPr="00620CE7" w:rsidRDefault="001218D2" w:rsidP="000B7002">
            <w:pPr>
              <w:tabs>
                <w:tab w:val="left" w:pos="284"/>
              </w:tabs>
              <w:spacing w:line="360" w:lineRule="auto"/>
              <w:rPr>
                <w:rFonts w:ascii="Palatino Linotype" w:eastAsia="Palatino Linotype" w:hAnsi="Palatino Linotype" w:cs="Palatino Linotype"/>
                <w:color w:val="000000" w:themeColor="text1"/>
              </w:rPr>
            </w:pPr>
          </w:p>
          <w:p w14:paraId="00000193"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d) Requisitos de fondo del acuerdo de clasificación. </w:t>
            </w:r>
          </w:p>
        </w:tc>
        <w:tc>
          <w:tcPr>
            <w:tcW w:w="7065" w:type="dxa"/>
          </w:tcPr>
          <w:p w14:paraId="00000194"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20CE7">
              <w:rPr>
                <w:rFonts w:ascii="Palatino Linotype" w:eastAsia="Palatino Linotype" w:hAnsi="Palatino Linotype" w:cs="Palatino Linotype"/>
                <w:b/>
                <w:bCs/>
                <w:color w:val="000000" w:themeColor="text1"/>
              </w:rPr>
              <w:t>Sujetos Obligados</w:t>
            </w:r>
            <w:r w:rsidRPr="00620CE7">
              <w:rPr>
                <w:rFonts w:ascii="Palatino Linotype" w:eastAsia="Palatino Linotype" w:hAnsi="Palatino Linotype" w:cs="Palatino Linotype"/>
                <w:color w:val="000000" w:themeColor="text1"/>
              </w:rPr>
              <w:t xml:space="preserve">, por lo que deberán fundar y motivar debidamente la clasificación. </w:t>
            </w:r>
          </w:p>
          <w:p w14:paraId="00000195"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De lo anterior, se desprende que para una correcta </w:t>
            </w:r>
            <w:r w:rsidRPr="00620CE7">
              <w:rPr>
                <w:rFonts w:ascii="Palatino Linotype" w:eastAsia="Palatino Linotype" w:hAnsi="Palatino Linotype" w:cs="Palatino Linotype"/>
                <w:b/>
                <w:bCs/>
                <w:color w:val="000000" w:themeColor="text1"/>
              </w:rPr>
              <w:t>clasificación total o parcial</w:t>
            </w:r>
            <w:r w:rsidRPr="00620CE7">
              <w:rPr>
                <w:rFonts w:ascii="Palatino Linotype" w:eastAsia="Palatino Linotype" w:hAnsi="Palatino Linotype" w:cs="Palatino Linotype"/>
                <w:color w:val="000000" w:themeColor="text1"/>
              </w:rPr>
              <w:t xml:space="preserve">, esto es determinar los datos que se suprimen en las versiones públicas, es necesario fundar y motivar, de manera correcta, la clasificación; considerando que todo acto que la </w:t>
            </w:r>
            <w:r w:rsidRPr="00620CE7">
              <w:rPr>
                <w:rFonts w:ascii="Palatino Linotype" w:eastAsia="Palatino Linotype" w:hAnsi="Palatino Linotype" w:cs="Palatino Linotype"/>
                <w:color w:val="000000" w:themeColor="text1"/>
              </w:rPr>
              <w:lastRenderedPageBreak/>
              <w:t>autoridad pronuncie en el ejercicio de sus atribuciones, debe expresar los fundamentos legales que le dieron origen y las razones por las que se deben aplicar al caso concreto.</w:t>
            </w:r>
          </w:p>
          <w:p w14:paraId="00000196"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0000197"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00000198"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Ahora bien, </w:t>
            </w:r>
            <w:r w:rsidRPr="00620CE7">
              <w:rPr>
                <w:rFonts w:ascii="Palatino Linotype" w:eastAsia="Palatino Linotype" w:hAnsi="Palatino Linotype" w:cs="Palatino Linotype"/>
                <w:b/>
                <w:bCs/>
                <w:color w:val="000000" w:themeColor="text1"/>
                <w:u w:val="single"/>
              </w:rPr>
              <w:t>para cada caso además de fundar y motivar</w:t>
            </w:r>
            <w:r w:rsidRPr="00620CE7">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20CE7" w:rsidRPr="00620CE7" w14:paraId="4359ED3D" w14:textId="77777777" w:rsidTr="00E76956">
        <w:tc>
          <w:tcPr>
            <w:tcW w:w="2689" w:type="dxa"/>
          </w:tcPr>
          <w:p w14:paraId="00000199"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 xml:space="preserve">e) Condiciones especiales de la </w:t>
            </w:r>
            <w:r w:rsidRPr="00620CE7">
              <w:rPr>
                <w:rFonts w:ascii="Palatino Linotype" w:eastAsia="Palatino Linotype" w:hAnsi="Palatino Linotype" w:cs="Palatino Linotype"/>
                <w:color w:val="000000" w:themeColor="text1"/>
              </w:rPr>
              <w:lastRenderedPageBreak/>
              <w:t xml:space="preserve">clasificación de la información como confidencial. </w:t>
            </w:r>
          </w:p>
        </w:tc>
        <w:tc>
          <w:tcPr>
            <w:tcW w:w="7065" w:type="dxa"/>
          </w:tcPr>
          <w:p w14:paraId="0000019A"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lastRenderedPageBreak/>
              <w:t xml:space="preserve">Los artículos 148 y 120 de la Ley Estatal y de la Ley General, respectivamente, establecen que aun tratándose de datos </w:t>
            </w:r>
            <w:r w:rsidRPr="00620CE7">
              <w:rPr>
                <w:rFonts w:ascii="Palatino Linotype" w:eastAsia="Palatino Linotype" w:hAnsi="Palatino Linotype" w:cs="Palatino Linotype"/>
                <w:color w:val="000000" w:themeColor="text1"/>
              </w:rPr>
              <w:lastRenderedPageBreak/>
              <w:t xml:space="preserve">personales, se podrán proporcionar, incluso sin solicitar el consentimiento de su titular. </w:t>
            </w:r>
          </w:p>
          <w:p w14:paraId="0000019B" w14:textId="77777777" w:rsidR="001218D2" w:rsidRPr="00620CE7" w:rsidRDefault="00490ACB" w:rsidP="000B7002">
            <w:pPr>
              <w:tabs>
                <w:tab w:val="left" w:pos="284"/>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000019C" w14:textId="77777777" w:rsidR="001218D2" w:rsidRPr="00620CE7" w:rsidRDefault="00490ACB" w:rsidP="000B7002">
            <w:pPr>
              <w:tabs>
                <w:tab w:val="left" w:pos="284"/>
              </w:tabs>
              <w:spacing w:line="360" w:lineRule="auto"/>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000019D" w14:textId="77777777" w:rsidR="001218D2" w:rsidRPr="00620CE7" w:rsidRDefault="001218D2" w:rsidP="000B7002">
      <w:pPr>
        <w:tabs>
          <w:tab w:val="left" w:pos="284"/>
        </w:tabs>
        <w:spacing w:line="360" w:lineRule="auto"/>
        <w:rPr>
          <w:rFonts w:ascii="Palatino Linotype" w:eastAsia="Palatino Linotype" w:hAnsi="Palatino Linotype" w:cs="Palatino Linotype"/>
          <w:color w:val="000000" w:themeColor="text1"/>
        </w:rPr>
      </w:pPr>
    </w:p>
    <w:p w14:paraId="0000019E" w14:textId="77777777" w:rsidR="001218D2" w:rsidRPr="00620CE7" w:rsidRDefault="00490ACB" w:rsidP="00620CE7">
      <w:pPr>
        <w:numPr>
          <w:ilvl w:val="0"/>
          <w:numId w:val="13"/>
        </w:numPr>
        <w:spacing w:line="360" w:lineRule="auto"/>
        <w:ind w:left="0" w:firstLine="0"/>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Por lo anteriormente expuesto y fundado, este </w:t>
      </w:r>
      <w:r w:rsidRPr="00620CE7">
        <w:rPr>
          <w:rFonts w:ascii="Palatino Linotype" w:eastAsia="Palatino Linotype" w:hAnsi="Palatino Linotype" w:cs="Palatino Linotype"/>
          <w:b/>
          <w:bCs/>
          <w:color w:val="000000" w:themeColor="text1"/>
        </w:rPr>
        <w:t>ÓRGANO GARANTE</w:t>
      </w:r>
      <w:r w:rsidRPr="00620CE7">
        <w:rPr>
          <w:rFonts w:ascii="Palatino Linotype" w:eastAsia="Palatino Linotype" w:hAnsi="Palatino Linotype" w:cs="Palatino Linotype"/>
          <w:color w:val="000000" w:themeColor="text1"/>
        </w:rPr>
        <w:t xml:space="preserve"> emite los siguientes:</w:t>
      </w:r>
    </w:p>
    <w:p w14:paraId="0000019F" w14:textId="77777777" w:rsidR="001218D2" w:rsidRDefault="00490ACB" w:rsidP="000B7002">
      <w:pPr>
        <w:keepNext/>
        <w:keepLines/>
        <w:spacing w:before="240" w:line="360" w:lineRule="auto"/>
        <w:jc w:val="center"/>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R E S O L U T I V O S</w:t>
      </w:r>
    </w:p>
    <w:p w14:paraId="63C1C78B" w14:textId="77777777" w:rsidR="00620CE7" w:rsidRPr="00620CE7" w:rsidRDefault="00620CE7" w:rsidP="000B7002">
      <w:pPr>
        <w:keepNext/>
        <w:keepLines/>
        <w:spacing w:before="240" w:line="360" w:lineRule="auto"/>
        <w:jc w:val="center"/>
        <w:rPr>
          <w:rFonts w:ascii="Palatino Linotype" w:eastAsia="Palatino Linotype" w:hAnsi="Palatino Linotype" w:cs="Palatino Linotype"/>
          <w:b/>
          <w:bCs/>
          <w:color w:val="000000" w:themeColor="text1"/>
        </w:rPr>
      </w:pPr>
    </w:p>
    <w:p w14:paraId="000001A0" w14:textId="77777777" w:rsidR="001218D2" w:rsidRPr="00620CE7" w:rsidRDefault="00490ACB" w:rsidP="000B7002">
      <w:pPr>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b/>
          <w:bCs/>
          <w:color w:val="000000" w:themeColor="text1"/>
        </w:rPr>
        <w:t xml:space="preserve">PRIMERO. </w:t>
      </w:r>
      <w:r w:rsidRPr="00620CE7">
        <w:rPr>
          <w:rFonts w:ascii="Palatino Linotype" w:eastAsia="Palatino Linotype" w:hAnsi="Palatino Linotype" w:cs="Palatino Linotype"/>
          <w:color w:val="000000" w:themeColor="text1"/>
        </w:rPr>
        <w:t>Resultan parcialmente fundadas las</w:t>
      </w:r>
      <w:r w:rsidRPr="00620CE7">
        <w:rPr>
          <w:rFonts w:ascii="Palatino Linotype" w:eastAsia="Palatino Linotype" w:hAnsi="Palatino Linotype" w:cs="Palatino Linotype"/>
          <w:b/>
          <w:bCs/>
          <w:color w:val="000000" w:themeColor="text1"/>
        </w:rPr>
        <w:t xml:space="preserve"> </w:t>
      </w:r>
      <w:r w:rsidRPr="00620CE7">
        <w:rPr>
          <w:rFonts w:ascii="Palatino Linotype" w:eastAsia="Palatino Linotype" w:hAnsi="Palatino Linotype" w:cs="Palatino Linotype"/>
          <w:color w:val="000000" w:themeColor="text1"/>
        </w:rPr>
        <w:t xml:space="preserve">razones o motivos de inconformidad hechos valer en el recursos de revisión </w:t>
      </w:r>
      <w:r w:rsidRPr="00620CE7">
        <w:rPr>
          <w:rFonts w:ascii="Palatino Linotype" w:eastAsia="Palatino Linotype" w:hAnsi="Palatino Linotype" w:cs="Palatino Linotype"/>
          <w:b/>
          <w:bCs/>
          <w:color w:val="000000" w:themeColor="text1"/>
        </w:rPr>
        <w:t xml:space="preserve">05753/INFOEM/IP/RR/2025, </w:t>
      </w:r>
      <w:r w:rsidRPr="00620CE7">
        <w:rPr>
          <w:rFonts w:ascii="Palatino Linotype" w:eastAsia="Palatino Linotype" w:hAnsi="Palatino Linotype" w:cs="Palatino Linotype"/>
          <w:color w:val="000000" w:themeColor="text1"/>
        </w:rPr>
        <w:t xml:space="preserve">en términos de los </w:t>
      </w:r>
      <w:r w:rsidRPr="00620CE7">
        <w:rPr>
          <w:rFonts w:ascii="Palatino Linotype" w:eastAsia="Palatino Linotype" w:hAnsi="Palatino Linotype" w:cs="Palatino Linotype"/>
          <w:b/>
          <w:bCs/>
          <w:color w:val="000000" w:themeColor="text1"/>
        </w:rPr>
        <w:t>considerandos</w:t>
      </w:r>
      <w:r w:rsidRPr="00620CE7">
        <w:rPr>
          <w:rFonts w:ascii="Palatino Linotype" w:eastAsia="Palatino Linotype" w:hAnsi="Palatino Linotype" w:cs="Palatino Linotype"/>
          <w:color w:val="000000" w:themeColor="text1"/>
        </w:rPr>
        <w:t xml:space="preserve"> </w:t>
      </w:r>
      <w:r w:rsidRPr="00620CE7">
        <w:rPr>
          <w:rFonts w:ascii="Palatino Linotype" w:eastAsia="Palatino Linotype" w:hAnsi="Palatino Linotype" w:cs="Palatino Linotype"/>
          <w:b/>
          <w:bCs/>
          <w:color w:val="000000" w:themeColor="text1"/>
        </w:rPr>
        <w:t xml:space="preserve">CUARTO y QUINTO </w:t>
      </w:r>
      <w:r w:rsidRPr="00620CE7">
        <w:rPr>
          <w:rFonts w:ascii="Palatino Linotype" w:eastAsia="Palatino Linotype" w:hAnsi="Palatino Linotype" w:cs="Palatino Linotype"/>
          <w:color w:val="000000" w:themeColor="text1"/>
        </w:rPr>
        <w:t>de la presente resolución.</w:t>
      </w:r>
    </w:p>
    <w:p w14:paraId="000001A1" w14:textId="77777777" w:rsidR="001218D2" w:rsidRPr="00620CE7" w:rsidRDefault="001218D2" w:rsidP="000B7002">
      <w:pPr>
        <w:spacing w:line="360" w:lineRule="auto"/>
        <w:jc w:val="both"/>
        <w:rPr>
          <w:rFonts w:ascii="Palatino Linotype" w:eastAsia="Palatino Linotype" w:hAnsi="Palatino Linotype" w:cs="Palatino Linotype"/>
          <w:color w:val="000000" w:themeColor="text1"/>
        </w:rPr>
      </w:pPr>
    </w:p>
    <w:p w14:paraId="000001A2" w14:textId="77777777" w:rsidR="001218D2" w:rsidRPr="00620CE7" w:rsidRDefault="00490ACB" w:rsidP="000B7002">
      <w:pPr>
        <w:spacing w:line="360" w:lineRule="auto"/>
        <w:jc w:val="both"/>
        <w:rPr>
          <w:rFonts w:ascii="Palatino Linotype" w:eastAsia="Palatino Linotype" w:hAnsi="Palatino Linotype" w:cs="Palatino Linotype"/>
          <w:i/>
          <w:iCs/>
          <w:color w:val="000000" w:themeColor="text1"/>
        </w:rPr>
      </w:pPr>
      <w:bookmarkStart w:id="13" w:name="_heading=h.1kqb4d954zaj" w:colFirst="0" w:colLast="0"/>
      <w:bookmarkEnd w:id="13"/>
      <w:r w:rsidRPr="00620CE7">
        <w:rPr>
          <w:rFonts w:ascii="Palatino Linotype" w:eastAsia="Palatino Linotype" w:hAnsi="Palatino Linotype" w:cs="Palatino Linotype"/>
          <w:b/>
          <w:bCs/>
          <w:color w:val="000000" w:themeColor="text1"/>
        </w:rPr>
        <w:t>SEGUNDO.</w:t>
      </w:r>
      <w:r w:rsidRPr="00620CE7">
        <w:rPr>
          <w:rFonts w:ascii="Palatino Linotype" w:eastAsia="Palatino Linotype" w:hAnsi="Palatino Linotype" w:cs="Palatino Linotype"/>
          <w:color w:val="000000" w:themeColor="text1"/>
        </w:rPr>
        <w:t xml:space="preserve"> Se</w:t>
      </w:r>
      <w:r w:rsidRPr="00620CE7">
        <w:rPr>
          <w:rFonts w:ascii="Palatino Linotype" w:eastAsia="Palatino Linotype" w:hAnsi="Palatino Linotype" w:cs="Palatino Linotype"/>
          <w:b/>
          <w:bCs/>
          <w:color w:val="000000" w:themeColor="text1"/>
        </w:rPr>
        <w:t xml:space="preserve"> MODIFICA </w:t>
      </w:r>
      <w:r w:rsidRPr="00620CE7">
        <w:rPr>
          <w:rFonts w:ascii="Palatino Linotype" w:eastAsia="Palatino Linotype" w:hAnsi="Palatino Linotype" w:cs="Palatino Linotype"/>
          <w:color w:val="000000" w:themeColor="text1"/>
        </w:rPr>
        <w:t xml:space="preserve">la respuesta emitida por el </w:t>
      </w:r>
      <w:r w:rsidRPr="00620CE7">
        <w:rPr>
          <w:rFonts w:ascii="Palatino Linotype" w:eastAsia="Palatino Linotype" w:hAnsi="Palatino Linotype" w:cs="Palatino Linotype"/>
          <w:b/>
          <w:bCs/>
          <w:color w:val="000000" w:themeColor="text1"/>
        </w:rPr>
        <w:t xml:space="preserve">Ayuntamiento de Toluca </w:t>
      </w:r>
      <w:r w:rsidRPr="00620CE7">
        <w:rPr>
          <w:rFonts w:ascii="Palatino Linotype" w:eastAsia="Palatino Linotype" w:hAnsi="Palatino Linotype" w:cs="Palatino Linotype"/>
          <w:color w:val="000000" w:themeColor="text1"/>
        </w:rPr>
        <w:t xml:space="preserve">a la solicitud </w:t>
      </w:r>
      <w:r w:rsidRPr="00620CE7">
        <w:rPr>
          <w:rFonts w:ascii="Palatino Linotype" w:eastAsia="Palatino Linotype" w:hAnsi="Palatino Linotype" w:cs="Palatino Linotype"/>
          <w:b/>
          <w:bCs/>
          <w:color w:val="000000" w:themeColor="text1"/>
        </w:rPr>
        <w:t xml:space="preserve">01915/TOLUCA/IP/2025 </w:t>
      </w:r>
      <w:r w:rsidRPr="00620CE7">
        <w:rPr>
          <w:rFonts w:ascii="Palatino Linotype" w:eastAsia="Palatino Linotype" w:hAnsi="Palatino Linotype" w:cs="Palatino Linotype"/>
          <w:color w:val="000000" w:themeColor="text1"/>
        </w:rPr>
        <w:t xml:space="preserve">y se </w:t>
      </w:r>
      <w:r w:rsidRPr="00620CE7">
        <w:rPr>
          <w:rFonts w:ascii="Palatino Linotype" w:eastAsia="Palatino Linotype" w:hAnsi="Palatino Linotype" w:cs="Palatino Linotype"/>
          <w:b/>
          <w:bCs/>
          <w:color w:val="000000" w:themeColor="text1"/>
        </w:rPr>
        <w:t xml:space="preserve">ORDENA </w:t>
      </w:r>
      <w:r w:rsidRPr="00620CE7">
        <w:rPr>
          <w:rFonts w:ascii="Palatino Linotype" w:eastAsia="Palatino Linotype" w:hAnsi="Palatino Linotype" w:cs="Palatino Linotype"/>
          <w:color w:val="000000" w:themeColor="text1"/>
        </w:rPr>
        <w:t xml:space="preserve">poner a disposición, en todas las modalidades que permita la documentación, tales como, en un vínculo electrónico, disco </w:t>
      </w:r>
      <w:r w:rsidRPr="00620CE7">
        <w:rPr>
          <w:rFonts w:ascii="Palatino Linotype" w:eastAsia="Palatino Linotype" w:hAnsi="Palatino Linotype" w:cs="Palatino Linotype"/>
          <w:color w:val="000000" w:themeColor="text1"/>
        </w:rPr>
        <w:lastRenderedPageBreak/>
        <w:t>compacto, dispositivo de almacenamiento, consulta directa, copias simples o certificadas, con posibilidad de entrega en la Unidad de Transparencia o a domicilio por correo certificado previo pago de los derechos correspondientes, en versión pública lo siguiente:</w:t>
      </w:r>
    </w:p>
    <w:p w14:paraId="000001A3" w14:textId="77777777" w:rsidR="001218D2" w:rsidRPr="00620CE7" w:rsidRDefault="001218D2" w:rsidP="000B7002">
      <w:pPr>
        <w:pBdr>
          <w:top w:val="nil"/>
          <w:left w:val="nil"/>
          <w:bottom w:val="nil"/>
          <w:right w:val="nil"/>
          <w:between w:val="nil"/>
        </w:pBdr>
        <w:rPr>
          <w:rFonts w:ascii="Palatino Linotype" w:eastAsia="Palatino Linotype" w:hAnsi="Palatino Linotype" w:cs="Palatino Linotype"/>
          <w:i/>
          <w:iCs/>
          <w:color w:val="000000" w:themeColor="text1"/>
        </w:rPr>
      </w:pPr>
    </w:p>
    <w:p w14:paraId="000001A4"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Planes Regionales o Sectoriales en los que el municipio tiene participación a la fecha de la solicitud.</w:t>
      </w:r>
    </w:p>
    <w:p w14:paraId="000001A5"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Programas Operativos Anuales correspondientes a los ejercicios fiscales 2019, 2020, 2021, 2022, 2023, 2024 y 2025, conforme a lo establecido en el Manual para la Planeación, programación y Presupuesto Municipal</w:t>
      </w:r>
    </w:p>
    <w:p w14:paraId="000001A6"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Reportes Trimestrales de evaluación de todas áreas administrativas de la administración municipal correspondiente a la estructura programática del treinta y uno de marzo de dos mil veinticuatro a la fecha de la solicitud.</w:t>
      </w:r>
    </w:p>
    <w:p w14:paraId="000001A7"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Formatos de reconducción de metas de los ejercicios fiscales 2019, 2020, 2021, 2022, 2023, 2024 y 2025.</w:t>
      </w:r>
    </w:p>
    <w:p w14:paraId="000001A8"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Actas de las sesiones del Comité de Planeación para el Desarrollo Municipal del treinta y uno de marzo de dos mil veinticuatro a la fecha de la solicitud.</w:t>
      </w:r>
    </w:p>
    <w:p w14:paraId="000001A9"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Informes de avance del Plan de Desarrollo Municipal que se anexan a la cuenta pública de los años 2019, 2020, 2021, 2022, 2023, 2024 y 2025</w:t>
      </w:r>
    </w:p>
    <w:p w14:paraId="000001AA"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Informes de Gobierno Municipal del treinta y uno de marzo de dos mil veinticuatro a la fecha de la solicitud.</w:t>
      </w:r>
    </w:p>
    <w:p w14:paraId="000001AB"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Reportes de seguimiento de indicadores estratégicos y de gestión de los años 2019, 2020 y 2021.</w:t>
      </w:r>
    </w:p>
    <w:p w14:paraId="000001AC"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Resultados del índice de Gestión Municipal de los años 2019, 2020, 2021, 2022, 2023, 2024 y 2025 de acuerdo al Programa del Instituto Nacional para el Federalismo y el Desarrollo Municipal</w:t>
      </w:r>
    </w:p>
    <w:p w14:paraId="000001AD"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lastRenderedPageBreak/>
        <w:t>El o los documentos donde consten las Actas de todas las sesiones ordinarias y extraordinarias del Comité de Transparencia durante el ejercicio fiscal 2024.</w:t>
      </w:r>
    </w:p>
    <w:p w14:paraId="000001AE" w14:textId="77777777" w:rsidR="001218D2" w:rsidRPr="00620CE7" w:rsidRDefault="00490ACB" w:rsidP="000B700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620CE7">
        <w:rPr>
          <w:rFonts w:ascii="Palatino Linotype" w:eastAsia="Palatino Linotype" w:hAnsi="Palatino Linotype" w:cs="Palatino Linotype"/>
          <w:b/>
          <w:bCs/>
          <w:color w:val="000000" w:themeColor="text1"/>
        </w:rPr>
        <w:t xml:space="preserve">El o los documentos donde conste la relación de servidores públicos habilitados a la fecha de la solicitud; así como el nombramiento y fecha en que les fue entregado su usuario y contraseña de ingreso al Sistema </w:t>
      </w:r>
    </w:p>
    <w:p w14:paraId="000001AF" w14:textId="77777777" w:rsidR="001218D2" w:rsidRPr="00620CE7" w:rsidRDefault="001218D2" w:rsidP="000B7002">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bookmarkStart w:id="14" w:name="_heading=h.mkmwlun88fom" w:colFirst="0" w:colLast="0"/>
      <w:bookmarkEnd w:id="14"/>
    </w:p>
    <w:p w14:paraId="000001B0" w14:textId="77777777" w:rsidR="001218D2" w:rsidRPr="00620CE7" w:rsidRDefault="00490ACB" w:rsidP="000B7002">
      <w:pPr>
        <w:tabs>
          <w:tab w:val="left" w:pos="993"/>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620CE7">
        <w:rPr>
          <w:rFonts w:ascii="Palatino Linotype" w:eastAsia="Palatino Linotype" w:hAnsi="Palatino Linotype" w:cs="Palatino Linotype"/>
          <w:b/>
          <w:bCs/>
          <w:color w:val="000000" w:themeColor="text1"/>
        </w:rPr>
        <w:t>RECURRENTE</w:t>
      </w:r>
      <w:r w:rsidRPr="00620CE7">
        <w:rPr>
          <w:rFonts w:ascii="Palatino Linotype" w:eastAsia="Palatino Linotype" w:hAnsi="Palatino Linotype" w:cs="Palatino Linotype"/>
          <w:color w:val="000000" w:themeColor="text1"/>
        </w:rPr>
        <w:t>.</w:t>
      </w:r>
    </w:p>
    <w:p w14:paraId="000001B1" w14:textId="77777777" w:rsidR="001218D2" w:rsidRPr="00620CE7" w:rsidRDefault="001218D2" w:rsidP="000B7002">
      <w:pPr>
        <w:tabs>
          <w:tab w:val="left" w:pos="993"/>
        </w:tabs>
        <w:spacing w:line="360" w:lineRule="auto"/>
        <w:jc w:val="both"/>
        <w:rPr>
          <w:rFonts w:ascii="Palatino Linotype" w:eastAsia="Palatino Linotype" w:hAnsi="Palatino Linotype" w:cs="Palatino Linotype"/>
          <w:color w:val="000000" w:themeColor="text1"/>
        </w:rPr>
      </w:pPr>
    </w:p>
    <w:p w14:paraId="000001B2" w14:textId="77777777" w:rsidR="001218D2" w:rsidRPr="00620CE7" w:rsidRDefault="00490ACB" w:rsidP="000B7002">
      <w:pPr>
        <w:tabs>
          <w:tab w:val="left" w:pos="993"/>
        </w:tabs>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color w:val="000000" w:themeColor="text1"/>
        </w:rPr>
        <w:t xml:space="preserve">De ser el caso de que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opte por poner la información a disposición vía Consulta Directa, deberá informar al </w:t>
      </w:r>
      <w:r w:rsidRPr="00620CE7">
        <w:rPr>
          <w:rFonts w:ascii="Palatino Linotype" w:eastAsia="Palatino Linotype" w:hAnsi="Palatino Linotype" w:cs="Palatino Linotype"/>
          <w:b/>
          <w:bCs/>
          <w:color w:val="000000" w:themeColor="text1"/>
        </w:rPr>
        <w:t>RECURRENTE</w:t>
      </w:r>
      <w:r w:rsidRPr="00620CE7">
        <w:rPr>
          <w:rFonts w:ascii="Palatino Linotype" w:eastAsia="Palatino Linotype" w:hAnsi="Palatino Linotype" w:cs="Palatino Linotype"/>
          <w:color w:val="000000" w:themeColor="text1"/>
        </w:rPr>
        <w:t>, a través del Sistema de Acceso a la Información Mexiquense (SAIMEX), del procedimiento que tendrá que seguir para acceder a la documentación; es decir, los pasos para realizar el pago de derechos en caso de ser procedentes, y la manera de obtener la información, como el domicilio de la Unidad de Transparencia, días y horarios de atención y el nombre del servidor público quien le atenderá. Además, deberá informar que podrá acceder de manera gratuita a la información si proporciona el medio electrónico y recoge la información en la Unidad de Transparencia.</w:t>
      </w:r>
    </w:p>
    <w:p w14:paraId="000001B3" w14:textId="77777777" w:rsidR="001218D2" w:rsidRPr="00620CE7" w:rsidRDefault="001218D2" w:rsidP="000B7002">
      <w:pPr>
        <w:tabs>
          <w:tab w:val="left" w:pos="993"/>
        </w:tabs>
        <w:spacing w:line="360" w:lineRule="auto"/>
        <w:jc w:val="both"/>
        <w:rPr>
          <w:rFonts w:ascii="Palatino Linotype" w:eastAsia="Palatino Linotype" w:hAnsi="Palatino Linotype" w:cs="Palatino Linotype"/>
          <w:color w:val="000000" w:themeColor="text1"/>
        </w:rPr>
      </w:pPr>
    </w:p>
    <w:p w14:paraId="000001B4" w14:textId="77777777" w:rsidR="001218D2" w:rsidRPr="00620CE7" w:rsidRDefault="00490ACB" w:rsidP="000B7002">
      <w:pPr>
        <w:shd w:val="clear" w:color="auto" w:fill="FFFFFF"/>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b/>
          <w:bCs/>
          <w:color w:val="000000" w:themeColor="text1"/>
        </w:rPr>
        <w:t xml:space="preserve">TERCERO. </w:t>
      </w:r>
      <w:r w:rsidRPr="00620CE7">
        <w:rPr>
          <w:rFonts w:ascii="Palatino Linotype" w:eastAsia="Palatino Linotype" w:hAnsi="Palatino Linotype" w:cs="Palatino Linotype"/>
          <w:color w:val="000000" w:themeColor="text1"/>
        </w:rPr>
        <w:t xml:space="preserve">Notifíquese vía SAIMEX la presente resolución al Titular de la Unidad de Transparencia del Sujeto Obligado, para que conforme al artículo 186 último párrafo, 189 segundo párrafo y 194 de la Ley de Transparencia y Acceso a la Información Pública del </w:t>
      </w:r>
      <w:r w:rsidRPr="00620CE7">
        <w:rPr>
          <w:rFonts w:ascii="Palatino Linotype" w:eastAsia="Palatino Linotype" w:hAnsi="Palatino Linotype" w:cs="Palatino Linotype"/>
          <w:color w:val="000000" w:themeColor="text1"/>
        </w:rPr>
        <w:lastRenderedPageBreak/>
        <w:t xml:space="preserve">Estado de México y Municipios </w:t>
      </w:r>
      <w:r w:rsidRPr="00620CE7">
        <w:rPr>
          <w:rFonts w:ascii="Palatino Linotype" w:eastAsia="Palatino Linotype" w:hAnsi="Palatino Linotype" w:cs="Palatino Linotype"/>
          <w:b/>
          <w:bCs/>
          <w:color w:val="000000" w:themeColor="text1"/>
        </w:rPr>
        <w:t>dé cumplimiento a lo ordenado dentro del plazo de diez días hábiles,</w:t>
      </w:r>
      <w:r w:rsidRPr="00620CE7">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00001B5" w14:textId="77777777" w:rsidR="001218D2" w:rsidRPr="00620CE7" w:rsidRDefault="001218D2" w:rsidP="000B7002">
      <w:pPr>
        <w:shd w:val="clear" w:color="auto" w:fill="FFFFFF"/>
        <w:spacing w:line="360" w:lineRule="auto"/>
        <w:jc w:val="both"/>
        <w:rPr>
          <w:rFonts w:ascii="Palatino Linotype" w:eastAsia="Palatino Linotype" w:hAnsi="Palatino Linotype" w:cs="Palatino Linotype"/>
          <w:b/>
          <w:bCs/>
          <w:color w:val="000000" w:themeColor="text1"/>
        </w:rPr>
      </w:pPr>
    </w:p>
    <w:p w14:paraId="000001B6" w14:textId="77777777" w:rsidR="001218D2" w:rsidRPr="00620CE7" w:rsidRDefault="00490ACB" w:rsidP="000B7002">
      <w:pPr>
        <w:shd w:val="clear" w:color="auto" w:fill="FFFFFF"/>
        <w:spacing w:line="360" w:lineRule="auto"/>
        <w:jc w:val="both"/>
        <w:rPr>
          <w:rFonts w:ascii="Palatino Linotype" w:eastAsia="Palatino Linotype" w:hAnsi="Palatino Linotype" w:cs="Palatino Linotype"/>
          <w:color w:val="000000" w:themeColor="text1"/>
          <w:highlight w:val="white"/>
        </w:rPr>
      </w:pPr>
      <w:r w:rsidRPr="00620CE7">
        <w:rPr>
          <w:rFonts w:ascii="Palatino Linotype" w:eastAsia="Palatino Linotype" w:hAnsi="Palatino Linotype" w:cs="Palatino Linotype"/>
          <w:b/>
          <w:bCs/>
          <w:color w:val="000000" w:themeColor="text1"/>
        </w:rPr>
        <w:t>CUARTO.</w:t>
      </w:r>
      <w:r w:rsidRPr="00620CE7">
        <w:rPr>
          <w:rFonts w:ascii="Palatino Linotype" w:eastAsia="Palatino Linotype" w:hAnsi="Palatino Linotype" w:cs="Palatino Linotype"/>
          <w:color w:val="000000" w:themeColor="text1"/>
        </w:rPr>
        <w:t xml:space="preserve"> De conformidad con el artículo 198 de la Ley de Transparencia y Acceso a la Información Pública del Estado de México y Municipios, de considerarlo procedente, el </w:t>
      </w:r>
      <w:r w:rsidRPr="00620CE7">
        <w:rPr>
          <w:rFonts w:ascii="Palatino Linotype" w:eastAsia="Palatino Linotype" w:hAnsi="Palatino Linotype" w:cs="Palatino Linotype"/>
          <w:b/>
          <w:bCs/>
          <w:color w:val="000000" w:themeColor="text1"/>
        </w:rPr>
        <w:t>SUJETO OBLIGADO</w:t>
      </w:r>
      <w:r w:rsidRPr="00620CE7">
        <w:rPr>
          <w:rFonts w:ascii="Palatino Linotype" w:eastAsia="Palatino Linotype" w:hAnsi="Palatino Linotype" w:cs="Palatino Linotype"/>
          <w:color w:val="000000" w:themeColor="text1"/>
        </w:rPr>
        <w:t xml:space="preserve"> podrá, de manera fundada y motivada, solicitar una ampliación de plazo para el cumplimiento de la presente resolución.</w:t>
      </w:r>
    </w:p>
    <w:p w14:paraId="000001B7" w14:textId="77777777" w:rsidR="001218D2" w:rsidRPr="00620CE7" w:rsidRDefault="001218D2" w:rsidP="000B7002">
      <w:pPr>
        <w:spacing w:line="360" w:lineRule="auto"/>
        <w:rPr>
          <w:rFonts w:ascii="Palatino Linotype" w:eastAsia="Palatino Linotype" w:hAnsi="Palatino Linotype" w:cs="Palatino Linotype"/>
          <w:color w:val="000000" w:themeColor="text1"/>
        </w:rPr>
      </w:pPr>
    </w:p>
    <w:p w14:paraId="000001B8" w14:textId="77777777" w:rsidR="001218D2" w:rsidRPr="00620CE7" w:rsidRDefault="00490ACB" w:rsidP="000B7002">
      <w:pPr>
        <w:shd w:val="clear" w:color="auto" w:fill="FFFFFF"/>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b/>
          <w:bCs/>
          <w:color w:val="000000" w:themeColor="text1"/>
        </w:rPr>
        <w:t xml:space="preserve">QUINTO. Notifíquese </w:t>
      </w:r>
      <w:r w:rsidRPr="00620CE7">
        <w:rPr>
          <w:rFonts w:ascii="Palatino Linotype" w:eastAsia="Palatino Linotype" w:hAnsi="Palatino Linotype" w:cs="Palatino Linotype"/>
          <w:color w:val="000000" w:themeColor="text1"/>
        </w:rPr>
        <w:t xml:space="preserve">al </w:t>
      </w:r>
      <w:r w:rsidRPr="00620CE7">
        <w:rPr>
          <w:rFonts w:ascii="Palatino Linotype" w:eastAsia="Palatino Linotype" w:hAnsi="Palatino Linotype" w:cs="Palatino Linotype"/>
          <w:b/>
          <w:bCs/>
          <w:color w:val="000000" w:themeColor="text1"/>
        </w:rPr>
        <w:t>RECURRENTE</w:t>
      </w:r>
      <w:r w:rsidRPr="00620CE7">
        <w:rPr>
          <w:rFonts w:ascii="Palatino Linotype" w:eastAsia="Palatino Linotype" w:hAnsi="Palatino Linotype" w:cs="Palatino Linotype"/>
          <w:color w:val="000000" w:themeColor="text1"/>
        </w:rPr>
        <w:t xml:space="preserve"> la presente resolución vía Sistema de Acceso a la Información Mexiquense (SAIMEX).</w:t>
      </w:r>
    </w:p>
    <w:p w14:paraId="000001B9" w14:textId="77777777" w:rsidR="001218D2" w:rsidRPr="00620CE7" w:rsidRDefault="001218D2" w:rsidP="000B7002">
      <w:pPr>
        <w:shd w:val="clear" w:color="auto" w:fill="FFFFFF"/>
        <w:spacing w:line="360" w:lineRule="auto"/>
        <w:jc w:val="both"/>
        <w:rPr>
          <w:rFonts w:ascii="Palatino Linotype" w:eastAsia="Palatino Linotype" w:hAnsi="Palatino Linotype" w:cs="Palatino Linotype"/>
          <w:color w:val="000000" w:themeColor="text1"/>
        </w:rPr>
      </w:pPr>
    </w:p>
    <w:p w14:paraId="000001BA" w14:textId="77777777" w:rsidR="001218D2" w:rsidRPr="00620CE7" w:rsidRDefault="00490ACB" w:rsidP="000B7002">
      <w:pPr>
        <w:spacing w:line="360" w:lineRule="auto"/>
        <w:jc w:val="both"/>
        <w:rPr>
          <w:rFonts w:ascii="Palatino Linotype" w:eastAsia="Palatino Linotype" w:hAnsi="Palatino Linotype" w:cs="Palatino Linotype"/>
          <w:color w:val="000000" w:themeColor="text1"/>
        </w:rPr>
      </w:pPr>
      <w:r w:rsidRPr="00620CE7">
        <w:rPr>
          <w:rFonts w:ascii="Palatino Linotype" w:eastAsia="Palatino Linotype" w:hAnsi="Palatino Linotype" w:cs="Palatino Linotype"/>
          <w:b/>
          <w:bCs/>
          <w:color w:val="000000" w:themeColor="text1"/>
        </w:rPr>
        <w:t>SEXTO.</w:t>
      </w:r>
      <w:r w:rsidRPr="00620CE7">
        <w:rPr>
          <w:rFonts w:ascii="Palatino Linotype" w:eastAsia="Palatino Linotype" w:hAnsi="Palatino Linotype" w:cs="Palatino Linotype"/>
          <w:color w:val="000000" w:themeColor="text1"/>
        </w:rPr>
        <w:t xml:space="preserve"> Se hace del conocimiento del </w:t>
      </w:r>
      <w:r w:rsidRPr="00620CE7">
        <w:rPr>
          <w:rFonts w:ascii="Palatino Linotype" w:eastAsia="Palatino Linotype" w:hAnsi="Palatino Linotype" w:cs="Palatino Linotype"/>
          <w:b/>
          <w:bCs/>
          <w:color w:val="000000" w:themeColor="text1"/>
        </w:rPr>
        <w:t>RECURRENTE</w:t>
      </w:r>
      <w:r w:rsidRPr="00620CE7">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00001BB" w14:textId="77777777" w:rsidR="001218D2" w:rsidRDefault="001218D2" w:rsidP="000B7002">
      <w:pPr>
        <w:spacing w:line="360" w:lineRule="auto"/>
        <w:jc w:val="both"/>
        <w:rPr>
          <w:rFonts w:ascii="Palatino Linotype" w:eastAsia="Palatino Linotype" w:hAnsi="Palatino Linotype" w:cs="Palatino Linotype"/>
          <w:color w:val="000000" w:themeColor="text1"/>
        </w:rPr>
      </w:pPr>
    </w:p>
    <w:p w14:paraId="051F51A9" w14:textId="77777777" w:rsidR="009747B7" w:rsidRDefault="009747B7" w:rsidP="000B7002">
      <w:pPr>
        <w:spacing w:line="360" w:lineRule="auto"/>
        <w:jc w:val="both"/>
        <w:rPr>
          <w:rFonts w:ascii="Palatino Linotype" w:eastAsia="Palatino Linotype" w:hAnsi="Palatino Linotype" w:cs="Palatino Linotype"/>
          <w:color w:val="000000" w:themeColor="text1"/>
        </w:rPr>
      </w:pPr>
    </w:p>
    <w:p w14:paraId="1D8C6AA8" w14:textId="77777777" w:rsidR="009747B7" w:rsidRDefault="009747B7" w:rsidP="000B7002">
      <w:pPr>
        <w:spacing w:line="360" w:lineRule="auto"/>
        <w:jc w:val="both"/>
        <w:rPr>
          <w:rFonts w:ascii="Palatino Linotype" w:eastAsia="Palatino Linotype" w:hAnsi="Palatino Linotype" w:cs="Palatino Linotype"/>
          <w:color w:val="000000" w:themeColor="text1"/>
        </w:rPr>
      </w:pPr>
    </w:p>
    <w:p w14:paraId="2EE47398" w14:textId="77777777" w:rsidR="009747B7" w:rsidRDefault="009747B7" w:rsidP="000B7002">
      <w:pPr>
        <w:spacing w:line="360" w:lineRule="auto"/>
        <w:jc w:val="both"/>
        <w:rPr>
          <w:rFonts w:ascii="Palatino Linotype" w:eastAsia="Palatino Linotype" w:hAnsi="Palatino Linotype" w:cs="Palatino Linotype"/>
          <w:color w:val="000000" w:themeColor="text1"/>
        </w:rPr>
      </w:pPr>
    </w:p>
    <w:p w14:paraId="1A81EAF4" w14:textId="77777777" w:rsidR="009747B7" w:rsidRPr="00444783" w:rsidRDefault="009747B7" w:rsidP="009747B7">
      <w:pPr>
        <w:tabs>
          <w:tab w:val="left" w:pos="5387"/>
        </w:tabs>
        <w:spacing w:line="360" w:lineRule="auto"/>
        <w:ind w:right="49"/>
        <w:jc w:val="both"/>
        <w:rPr>
          <w:rFonts w:ascii="Palatino Linotype" w:eastAsia="Palatino Linotype" w:hAnsi="Palatino Linotype" w:cs="Palatino Linotype"/>
        </w:rPr>
      </w:pPr>
      <w:bookmarkStart w:id="15" w:name="_heading=h.niyi2hym3vn" w:colFirst="0" w:colLast="0"/>
      <w:bookmarkEnd w:id="15"/>
      <w:r w:rsidRPr="00575AE2">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CUARTA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DIEZ (10)</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14:paraId="000001BC" w14:textId="4881114F" w:rsidR="001218D2" w:rsidRPr="00620CE7" w:rsidRDefault="00490ACB" w:rsidP="000B7002">
      <w:pPr>
        <w:spacing w:before="240" w:after="240" w:line="360" w:lineRule="auto"/>
        <w:ind w:firstLine="1"/>
        <w:jc w:val="both"/>
        <w:rPr>
          <w:rFonts w:ascii="Palatino Linotype" w:eastAsia="Palatino Linotype" w:hAnsi="Palatino Linotype" w:cs="Palatino Linotype"/>
          <w:smallCaps/>
          <w:color w:val="000000" w:themeColor="text1"/>
        </w:rPr>
      </w:pPr>
      <w:r w:rsidRPr="00620CE7">
        <w:rPr>
          <w:rFonts w:ascii="Palatino Linotype" w:eastAsia="Palatino Linotype" w:hAnsi="Palatino Linotype" w:cs="Palatino Linotype"/>
          <w:smallCaps/>
          <w:color w:val="000000" w:themeColor="text1"/>
        </w:rPr>
        <w:t xml:space="preserve"> </w:t>
      </w:r>
    </w:p>
    <w:p w14:paraId="000001BD" w14:textId="77777777" w:rsidR="001218D2" w:rsidRDefault="001218D2" w:rsidP="000B7002">
      <w:pPr>
        <w:spacing w:before="240" w:after="240" w:line="360" w:lineRule="auto"/>
        <w:jc w:val="both"/>
        <w:rPr>
          <w:rFonts w:ascii="Palatino Linotype" w:eastAsia="Palatino Linotype" w:hAnsi="Palatino Linotype" w:cs="Palatino Linotype"/>
          <w:color w:val="000000" w:themeColor="text1"/>
        </w:rPr>
      </w:pPr>
    </w:p>
    <w:p w14:paraId="7F199B3D" w14:textId="77777777" w:rsidR="00E76956" w:rsidRDefault="00E76956" w:rsidP="000B7002">
      <w:pPr>
        <w:spacing w:before="240" w:after="240" w:line="360" w:lineRule="auto"/>
        <w:jc w:val="both"/>
        <w:rPr>
          <w:rFonts w:ascii="Palatino Linotype" w:eastAsia="Palatino Linotype" w:hAnsi="Palatino Linotype" w:cs="Palatino Linotype"/>
          <w:color w:val="000000" w:themeColor="text1"/>
        </w:rPr>
      </w:pPr>
    </w:p>
    <w:p w14:paraId="1465705E" w14:textId="77777777" w:rsidR="00E76956" w:rsidRDefault="00E76956" w:rsidP="000B7002">
      <w:pPr>
        <w:spacing w:before="240" w:after="240" w:line="360" w:lineRule="auto"/>
        <w:jc w:val="both"/>
        <w:rPr>
          <w:rFonts w:ascii="Palatino Linotype" w:eastAsia="Palatino Linotype" w:hAnsi="Palatino Linotype" w:cs="Palatino Linotype"/>
          <w:color w:val="000000" w:themeColor="text1"/>
        </w:rPr>
      </w:pPr>
    </w:p>
    <w:p w14:paraId="12948DB5" w14:textId="77777777" w:rsidR="00E76956" w:rsidRDefault="00E76956" w:rsidP="000B7002">
      <w:pPr>
        <w:spacing w:before="240" w:after="240" w:line="360" w:lineRule="auto"/>
        <w:jc w:val="both"/>
        <w:rPr>
          <w:rFonts w:ascii="Palatino Linotype" w:eastAsia="Palatino Linotype" w:hAnsi="Palatino Linotype" w:cs="Palatino Linotype"/>
          <w:color w:val="000000" w:themeColor="text1"/>
        </w:rPr>
      </w:pPr>
    </w:p>
    <w:p w14:paraId="680D1E23" w14:textId="77777777" w:rsidR="00E76956" w:rsidRDefault="00E76956" w:rsidP="000B7002">
      <w:pPr>
        <w:spacing w:before="240" w:after="240" w:line="360" w:lineRule="auto"/>
        <w:jc w:val="both"/>
        <w:rPr>
          <w:rFonts w:ascii="Palatino Linotype" w:eastAsia="Palatino Linotype" w:hAnsi="Palatino Linotype" w:cs="Palatino Linotype"/>
          <w:color w:val="000000" w:themeColor="text1"/>
        </w:rPr>
      </w:pPr>
    </w:p>
    <w:p w14:paraId="5A4A0632" w14:textId="77777777" w:rsidR="00E76956" w:rsidRDefault="00E76956" w:rsidP="000B7002">
      <w:pPr>
        <w:spacing w:before="240" w:after="240" w:line="360" w:lineRule="auto"/>
        <w:jc w:val="both"/>
        <w:rPr>
          <w:rFonts w:ascii="Palatino Linotype" w:eastAsia="Palatino Linotype" w:hAnsi="Palatino Linotype" w:cs="Palatino Linotype"/>
          <w:color w:val="000000" w:themeColor="text1"/>
        </w:rPr>
      </w:pPr>
    </w:p>
    <w:p w14:paraId="64DC9211" w14:textId="77777777" w:rsidR="00E76956" w:rsidRDefault="00E76956" w:rsidP="000B7002">
      <w:pPr>
        <w:spacing w:before="240" w:after="240" w:line="360" w:lineRule="auto"/>
        <w:jc w:val="both"/>
        <w:rPr>
          <w:rFonts w:ascii="Palatino Linotype" w:eastAsia="Palatino Linotype" w:hAnsi="Palatino Linotype" w:cs="Palatino Linotype"/>
          <w:color w:val="000000" w:themeColor="text1"/>
        </w:rPr>
      </w:pPr>
    </w:p>
    <w:p w14:paraId="7CDC7136" w14:textId="77777777" w:rsidR="00E76956" w:rsidRDefault="00E76956" w:rsidP="000B7002">
      <w:pPr>
        <w:spacing w:before="240" w:after="240" w:line="360" w:lineRule="auto"/>
        <w:jc w:val="both"/>
        <w:rPr>
          <w:rFonts w:ascii="Palatino Linotype" w:eastAsia="Palatino Linotype" w:hAnsi="Palatino Linotype" w:cs="Palatino Linotype"/>
          <w:color w:val="000000" w:themeColor="text1"/>
        </w:rPr>
      </w:pPr>
    </w:p>
    <w:p w14:paraId="2FF0190F" w14:textId="77777777" w:rsidR="00E76956" w:rsidRDefault="00E76956" w:rsidP="000B7002">
      <w:pPr>
        <w:spacing w:before="240" w:after="240" w:line="360" w:lineRule="auto"/>
        <w:jc w:val="both"/>
        <w:rPr>
          <w:rFonts w:ascii="Palatino Linotype" w:eastAsia="Palatino Linotype" w:hAnsi="Palatino Linotype" w:cs="Palatino Linotype"/>
          <w:color w:val="000000" w:themeColor="text1"/>
        </w:rPr>
      </w:pPr>
    </w:p>
    <w:p w14:paraId="28FE126B" w14:textId="77777777" w:rsidR="00E76956" w:rsidRDefault="00E76956" w:rsidP="000B7002">
      <w:pPr>
        <w:spacing w:before="240" w:after="240" w:line="360" w:lineRule="auto"/>
        <w:jc w:val="both"/>
        <w:rPr>
          <w:rFonts w:ascii="Palatino Linotype" w:eastAsia="Palatino Linotype" w:hAnsi="Palatino Linotype" w:cs="Palatino Linotype"/>
          <w:color w:val="000000" w:themeColor="text1"/>
        </w:rPr>
      </w:pPr>
    </w:p>
    <w:p w14:paraId="36154EAA" w14:textId="77777777" w:rsidR="00E76956" w:rsidRDefault="00E76956" w:rsidP="000B7002">
      <w:pPr>
        <w:spacing w:before="240" w:after="240" w:line="360" w:lineRule="auto"/>
        <w:jc w:val="both"/>
        <w:rPr>
          <w:rFonts w:ascii="Palatino Linotype" w:eastAsia="Palatino Linotype" w:hAnsi="Palatino Linotype" w:cs="Palatino Linotype"/>
          <w:color w:val="000000" w:themeColor="text1"/>
        </w:rPr>
      </w:pPr>
    </w:p>
    <w:p w14:paraId="6A77A7A5" w14:textId="77777777" w:rsidR="00E76956" w:rsidRPr="00620CE7" w:rsidRDefault="00E76956" w:rsidP="000B7002">
      <w:pPr>
        <w:spacing w:before="240" w:after="240" w:line="360" w:lineRule="auto"/>
        <w:jc w:val="both"/>
        <w:rPr>
          <w:rFonts w:ascii="Palatino Linotype" w:eastAsia="Palatino Linotype" w:hAnsi="Palatino Linotype" w:cs="Palatino Linotype"/>
          <w:color w:val="000000" w:themeColor="text1"/>
        </w:rPr>
      </w:pPr>
    </w:p>
    <w:sectPr w:rsidR="00E76956" w:rsidRPr="00620CE7" w:rsidSect="00E76956">
      <w:headerReference w:type="default" r:id="rId15"/>
      <w:footerReference w:type="default" r:id="rId16"/>
      <w:headerReference w:type="first" r:id="rId17"/>
      <w:footerReference w:type="first" r:id="rId18"/>
      <w:pgSz w:w="12240" w:h="15840"/>
      <w:pgMar w:top="1417" w:right="1041" w:bottom="1417" w:left="1701" w:header="709" w:footer="709"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Cuenta Microsoft" w:date="2025-12-02T19:27:00Z" w:initials="">
    <w:p w14:paraId="000001E7" w14:textId="77777777" w:rsidR="001218D2" w:rsidRDefault="00490ACB">
      <w:pPr>
        <w:widowControl w:val="0"/>
        <w:pBdr>
          <w:top w:val="nil"/>
          <w:left w:val="nil"/>
          <w:bottom w:val="nil"/>
          <w:right w:val="nil"/>
          <w:between w:val="nil"/>
        </w:pBdr>
        <w:rPr>
          <w:rFonts w:ascii="Arial" w:eastAsia="Arial" w:hAnsi="Arial" w:cs="Arial"/>
          <w:color w:val="000000"/>
          <w:sz w:val="22"/>
          <w:szCs w:val="22"/>
        </w:rPr>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1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5ABBC" w14:textId="77777777" w:rsidR="008946A7" w:rsidRDefault="008946A7">
      <w:r>
        <w:separator/>
      </w:r>
    </w:p>
  </w:endnote>
  <w:endnote w:type="continuationSeparator" w:id="0">
    <w:p w14:paraId="376153B2" w14:textId="77777777" w:rsidR="008946A7" w:rsidRDefault="00894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0F64952C-3701-4A18-90BA-2A76EDC63BD5}"/>
  </w:font>
  <w:font w:name="Palatino Linotype">
    <w:panose1 w:val="02040502050505030304"/>
    <w:charset w:val="00"/>
    <w:family w:val="roman"/>
    <w:pitch w:val="variable"/>
    <w:sig w:usb0="E0000287" w:usb1="40000013" w:usb2="00000000" w:usb3="00000000" w:csb0="0000019F" w:csb1="00000000"/>
    <w:embedRegular r:id="rId2" w:fontKey="{44A5311F-205B-4BB8-97A0-9EDBA6D3931B}"/>
    <w:embedBold r:id="rId3" w:fontKey="{DECD83A4-F99D-4771-BBE3-C3595A6DB5C2}"/>
    <w:embedItalic r:id="rId4" w:fontKey="{FDC1E782-4858-448E-89A7-6EF310AA3802}"/>
    <w:embedBoldItalic r:id="rId5" w:fontKey="{84A2F882-A448-4040-96D2-6FC33B0C716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29979C45-8854-4A00-A411-7C231F1D132C}"/>
  </w:font>
  <w:font w:name="Cambria">
    <w:panose1 w:val="02040503050406030204"/>
    <w:charset w:val="00"/>
    <w:family w:val="roman"/>
    <w:pitch w:val="variable"/>
    <w:sig w:usb0="E00006FF" w:usb1="420024FF" w:usb2="02000000" w:usb3="00000000" w:csb0="0000019F" w:csb1="00000000"/>
    <w:embedRegular r:id="rId7" w:fontKey="{E6676B6D-9ECB-4D96-9727-F06E581FA604}"/>
    <w:embedBold r:id="rId8" w:fontKey="{8996DD53-E737-4456-B800-809CE668B41A}"/>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embedItalic r:id="rId9" w:fontKey="{C9C0741B-F11A-43DC-B175-C60F224DD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E0" w14:textId="77777777" w:rsidR="001218D2" w:rsidRPr="00E76956" w:rsidRDefault="00490AC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rPr>
    </w:pPr>
    <w:r w:rsidRPr="00E76956">
      <w:rPr>
        <w:rFonts w:ascii="Palatino Linotype" w:eastAsia="Palatino Linotype" w:hAnsi="Palatino Linotype" w:cs="Palatino Linotype"/>
        <w:b/>
        <w:bCs/>
        <w:color w:val="000000"/>
        <w:sz w:val="22"/>
      </w:rPr>
      <w:t xml:space="preserve">Página </w:t>
    </w:r>
    <w:r w:rsidRPr="00E76956">
      <w:rPr>
        <w:rFonts w:ascii="Palatino Linotype" w:eastAsia="Palatino Linotype" w:hAnsi="Palatino Linotype" w:cs="Palatino Linotype"/>
        <w:b/>
        <w:bCs/>
        <w:color w:val="000000"/>
        <w:sz w:val="22"/>
      </w:rPr>
      <w:fldChar w:fldCharType="begin"/>
    </w:r>
    <w:r w:rsidRPr="00E76956">
      <w:rPr>
        <w:rFonts w:ascii="Palatino Linotype" w:eastAsia="Palatino Linotype" w:hAnsi="Palatino Linotype" w:cs="Palatino Linotype"/>
        <w:b/>
        <w:bCs/>
        <w:color w:val="000000"/>
        <w:sz w:val="22"/>
      </w:rPr>
      <w:instrText>PAGE</w:instrText>
    </w:r>
    <w:r w:rsidRPr="00E76956">
      <w:rPr>
        <w:rFonts w:ascii="Palatino Linotype" w:eastAsia="Palatino Linotype" w:hAnsi="Palatino Linotype" w:cs="Palatino Linotype"/>
        <w:b/>
        <w:bCs/>
        <w:color w:val="000000"/>
        <w:sz w:val="22"/>
      </w:rPr>
      <w:fldChar w:fldCharType="separate"/>
    </w:r>
    <w:r w:rsidR="009A52A7">
      <w:rPr>
        <w:rFonts w:ascii="Palatino Linotype" w:eastAsia="Palatino Linotype" w:hAnsi="Palatino Linotype" w:cs="Palatino Linotype"/>
        <w:b/>
        <w:bCs/>
        <w:noProof/>
        <w:color w:val="000000"/>
        <w:sz w:val="22"/>
      </w:rPr>
      <w:t>21</w:t>
    </w:r>
    <w:r w:rsidRPr="00E76956">
      <w:rPr>
        <w:rFonts w:ascii="Palatino Linotype" w:eastAsia="Palatino Linotype" w:hAnsi="Palatino Linotype" w:cs="Palatino Linotype"/>
        <w:b/>
        <w:bCs/>
        <w:color w:val="000000"/>
        <w:sz w:val="22"/>
      </w:rPr>
      <w:fldChar w:fldCharType="end"/>
    </w:r>
    <w:r w:rsidRPr="00E76956">
      <w:rPr>
        <w:rFonts w:ascii="Palatino Linotype" w:eastAsia="Palatino Linotype" w:hAnsi="Palatino Linotype" w:cs="Palatino Linotype"/>
        <w:color w:val="000000"/>
        <w:sz w:val="22"/>
      </w:rPr>
      <w:t xml:space="preserve"> de </w:t>
    </w:r>
    <w:r w:rsidRPr="00E76956">
      <w:rPr>
        <w:rFonts w:ascii="Palatino Linotype" w:eastAsia="Palatino Linotype" w:hAnsi="Palatino Linotype" w:cs="Palatino Linotype"/>
        <w:b/>
        <w:bCs/>
        <w:color w:val="000000"/>
        <w:sz w:val="22"/>
      </w:rPr>
      <w:fldChar w:fldCharType="begin"/>
    </w:r>
    <w:r w:rsidRPr="00E76956">
      <w:rPr>
        <w:rFonts w:ascii="Palatino Linotype" w:eastAsia="Palatino Linotype" w:hAnsi="Palatino Linotype" w:cs="Palatino Linotype"/>
        <w:b/>
        <w:bCs/>
        <w:color w:val="000000"/>
        <w:sz w:val="22"/>
      </w:rPr>
      <w:instrText>NUMPAGES</w:instrText>
    </w:r>
    <w:r w:rsidRPr="00E76956">
      <w:rPr>
        <w:rFonts w:ascii="Palatino Linotype" w:eastAsia="Palatino Linotype" w:hAnsi="Palatino Linotype" w:cs="Palatino Linotype"/>
        <w:b/>
        <w:bCs/>
        <w:color w:val="000000"/>
        <w:sz w:val="22"/>
      </w:rPr>
      <w:fldChar w:fldCharType="separate"/>
    </w:r>
    <w:r w:rsidR="009A52A7">
      <w:rPr>
        <w:rFonts w:ascii="Palatino Linotype" w:eastAsia="Palatino Linotype" w:hAnsi="Palatino Linotype" w:cs="Palatino Linotype"/>
        <w:b/>
        <w:bCs/>
        <w:noProof/>
        <w:color w:val="000000"/>
        <w:sz w:val="22"/>
      </w:rPr>
      <w:t>53</w:t>
    </w:r>
    <w:r w:rsidRPr="00E76956">
      <w:rPr>
        <w:rFonts w:ascii="Palatino Linotype" w:eastAsia="Palatino Linotype" w:hAnsi="Palatino Linotype" w:cs="Palatino Linotype"/>
        <w:b/>
        <w:bCs/>
        <w:color w:val="000000"/>
        <w:sz w:val="22"/>
      </w:rPr>
      <w:fldChar w:fldCharType="end"/>
    </w:r>
  </w:p>
  <w:p w14:paraId="000001E1" w14:textId="77777777" w:rsidR="001218D2" w:rsidRDefault="001218D2">
    <w:pPr>
      <w:pBdr>
        <w:top w:val="nil"/>
        <w:left w:val="nil"/>
        <w:bottom w:val="nil"/>
        <w:right w:val="nil"/>
        <w:between w:val="nil"/>
      </w:pBdr>
      <w:tabs>
        <w:tab w:val="center" w:pos="4252"/>
        <w:tab w:val="right" w:pos="8504"/>
      </w:tabs>
      <w:rPr>
        <w:color w:val="000000"/>
      </w:rPr>
    </w:pPr>
  </w:p>
  <w:p w14:paraId="000001E2" w14:textId="77777777" w:rsidR="001218D2" w:rsidRDefault="001218D2">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000001E3" w14:textId="77777777" w:rsidR="001218D2" w:rsidRDefault="001218D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E4" w14:textId="77777777" w:rsidR="001218D2" w:rsidRPr="00E76956" w:rsidRDefault="00490ACB">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E76956">
      <w:rPr>
        <w:rFonts w:ascii="Palatino Linotype" w:eastAsia="Arial" w:hAnsi="Palatino Linotype" w:cs="Arial"/>
        <w:b/>
        <w:bCs/>
        <w:color w:val="000000"/>
        <w:sz w:val="22"/>
        <w:szCs w:val="20"/>
      </w:rPr>
      <w:t xml:space="preserve">Página </w:t>
    </w:r>
    <w:r w:rsidRPr="00E76956">
      <w:rPr>
        <w:rFonts w:ascii="Palatino Linotype" w:eastAsia="Arial" w:hAnsi="Palatino Linotype" w:cs="Arial"/>
        <w:b/>
        <w:bCs/>
        <w:color w:val="000000"/>
        <w:sz w:val="22"/>
        <w:szCs w:val="20"/>
      </w:rPr>
      <w:fldChar w:fldCharType="begin"/>
    </w:r>
    <w:r w:rsidRPr="00E76956">
      <w:rPr>
        <w:rFonts w:ascii="Palatino Linotype" w:eastAsia="Arial" w:hAnsi="Palatino Linotype" w:cs="Arial"/>
        <w:b/>
        <w:bCs/>
        <w:color w:val="000000"/>
        <w:sz w:val="22"/>
        <w:szCs w:val="20"/>
      </w:rPr>
      <w:instrText>PAGE</w:instrText>
    </w:r>
    <w:r w:rsidRPr="00E76956">
      <w:rPr>
        <w:rFonts w:ascii="Palatino Linotype" w:eastAsia="Arial" w:hAnsi="Palatino Linotype" w:cs="Arial"/>
        <w:b/>
        <w:bCs/>
        <w:color w:val="000000"/>
        <w:sz w:val="22"/>
        <w:szCs w:val="20"/>
      </w:rPr>
      <w:fldChar w:fldCharType="separate"/>
    </w:r>
    <w:r w:rsidR="009A52A7">
      <w:rPr>
        <w:rFonts w:ascii="Palatino Linotype" w:eastAsia="Arial" w:hAnsi="Palatino Linotype" w:cs="Arial"/>
        <w:b/>
        <w:bCs/>
        <w:noProof/>
        <w:color w:val="000000"/>
        <w:sz w:val="22"/>
        <w:szCs w:val="20"/>
      </w:rPr>
      <w:t>1</w:t>
    </w:r>
    <w:r w:rsidRPr="00E76956">
      <w:rPr>
        <w:rFonts w:ascii="Palatino Linotype" w:eastAsia="Arial" w:hAnsi="Palatino Linotype" w:cs="Arial"/>
        <w:b/>
        <w:bCs/>
        <w:color w:val="000000"/>
        <w:sz w:val="22"/>
        <w:szCs w:val="20"/>
      </w:rPr>
      <w:fldChar w:fldCharType="end"/>
    </w:r>
    <w:r w:rsidRPr="00E76956">
      <w:rPr>
        <w:rFonts w:ascii="Palatino Linotype" w:eastAsia="Arial" w:hAnsi="Palatino Linotype" w:cs="Arial"/>
        <w:color w:val="000000"/>
        <w:sz w:val="22"/>
        <w:szCs w:val="20"/>
      </w:rPr>
      <w:t xml:space="preserve"> de </w:t>
    </w:r>
    <w:r w:rsidRPr="00E76956">
      <w:rPr>
        <w:rFonts w:ascii="Palatino Linotype" w:eastAsia="Arial" w:hAnsi="Palatino Linotype" w:cs="Arial"/>
        <w:b/>
        <w:bCs/>
        <w:color w:val="000000"/>
        <w:sz w:val="22"/>
        <w:szCs w:val="20"/>
      </w:rPr>
      <w:fldChar w:fldCharType="begin"/>
    </w:r>
    <w:r w:rsidRPr="00E76956">
      <w:rPr>
        <w:rFonts w:ascii="Palatino Linotype" w:eastAsia="Arial" w:hAnsi="Palatino Linotype" w:cs="Arial"/>
        <w:b/>
        <w:bCs/>
        <w:color w:val="000000"/>
        <w:sz w:val="22"/>
        <w:szCs w:val="20"/>
      </w:rPr>
      <w:instrText>NUMPAGES</w:instrText>
    </w:r>
    <w:r w:rsidRPr="00E76956">
      <w:rPr>
        <w:rFonts w:ascii="Palatino Linotype" w:eastAsia="Arial" w:hAnsi="Palatino Linotype" w:cs="Arial"/>
        <w:b/>
        <w:bCs/>
        <w:color w:val="000000"/>
        <w:sz w:val="22"/>
        <w:szCs w:val="20"/>
      </w:rPr>
      <w:fldChar w:fldCharType="separate"/>
    </w:r>
    <w:r w:rsidR="009A52A7">
      <w:rPr>
        <w:rFonts w:ascii="Palatino Linotype" w:eastAsia="Arial" w:hAnsi="Palatino Linotype" w:cs="Arial"/>
        <w:b/>
        <w:bCs/>
        <w:noProof/>
        <w:color w:val="000000"/>
        <w:sz w:val="22"/>
        <w:szCs w:val="20"/>
      </w:rPr>
      <w:t>53</w:t>
    </w:r>
    <w:r w:rsidRPr="00E76956">
      <w:rPr>
        <w:rFonts w:ascii="Palatino Linotype" w:eastAsia="Arial" w:hAnsi="Palatino Linotype" w:cs="Arial"/>
        <w:b/>
        <w:bCs/>
        <w:color w:val="000000"/>
        <w:sz w:val="22"/>
        <w:szCs w:val="20"/>
      </w:rPr>
      <w:fldChar w:fldCharType="end"/>
    </w:r>
  </w:p>
  <w:p w14:paraId="000001E5" w14:textId="77777777" w:rsidR="001218D2" w:rsidRDefault="001218D2">
    <w:pPr>
      <w:pBdr>
        <w:top w:val="nil"/>
        <w:left w:val="nil"/>
        <w:bottom w:val="nil"/>
        <w:right w:val="nil"/>
        <w:between w:val="nil"/>
      </w:pBdr>
      <w:tabs>
        <w:tab w:val="center" w:pos="4252"/>
        <w:tab w:val="right" w:pos="8504"/>
      </w:tabs>
      <w:rPr>
        <w:rFonts w:ascii="Cambria" w:eastAsia="Cambria" w:hAnsi="Cambria" w:cs="Cambria"/>
        <w:color w:val="000000"/>
      </w:rPr>
    </w:pPr>
  </w:p>
  <w:p w14:paraId="000001E6" w14:textId="77777777" w:rsidR="001218D2" w:rsidRDefault="001218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A139B" w14:textId="77777777" w:rsidR="008946A7" w:rsidRDefault="008946A7">
      <w:r>
        <w:separator/>
      </w:r>
    </w:p>
  </w:footnote>
  <w:footnote w:type="continuationSeparator" w:id="0">
    <w:p w14:paraId="7ADF360A" w14:textId="77777777" w:rsidR="008946A7" w:rsidRDefault="008946A7">
      <w:r>
        <w:continuationSeparator/>
      </w:r>
    </w:p>
  </w:footnote>
  <w:footnote w:id="1">
    <w:p w14:paraId="000001BE" w14:textId="77777777" w:rsidR="001218D2" w:rsidRDefault="00490AC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Convención Americana sobre Derechos Humanos. Artículo 13.</w:t>
      </w:r>
    </w:p>
  </w:footnote>
  <w:footnote w:id="2">
    <w:p w14:paraId="000001BF" w14:textId="77777777" w:rsidR="001218D2" w:rsidRDefault="00490AC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Constitución Política de los Estados Unidos Mexicanos. Artículo sexto, sección A, fracción I.</w:t>
      </w:r>
    </w:p>
  </w:footnote>
  <w:footnote w:id="3">
    <w:p w14:paraId="000001C0" w14:textId="77777777" w:rsidR="001218D2" w:rsidRDefault="00490AC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14:paraId="000001C1" w14:textId="77777777" w:rsidR="001218D2" w:rsidRDefault="00490ACB">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Ibídem. Parr. 87.</w:t>
      </w:r>
    </w:p>
  </w:footnote>
  <w:footnote w:id="5">
    <w:p w14:paraId="000001C2" w14:textId="77777777" w:rsidR="001218D2" w:rsidRDefault="00490ACB">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bCs/>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000001C3" w14:textId="77777777" w:rsidR="001218D2" w:rsidRDefault="00490ACB">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00001C4" w14:textId="77777777" w:rsidR="001218D2" w:rsidRDefault="00490ACB">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000001C5" w14:textId="77777777" w:rsidR="001218D2" w:rsidRDefault="00490ACB">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00001C6" w14:textId="77777777" w:rsidR="001218D2" w:rsidRDefault="00490ACB">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bCs/>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6">
    <w:p w14:paraId="000001C7" w14:textId="77777777" w:rsidR="001218D2" w:rsidRDefault="00490ACB">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00001C8" w14:textId="77777777" w:rsidR="001218D2" w:rsidRDefault="00490AC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 w:id="7">
    <w:p w14:paraId="000001C9" w14:textId="77777777" w:rsidR="001218D2" w:rsidRDefault="00490ACB">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8">
    <w:p w14:paraId="000001CA" w14:textId="77777777" w:rsidR="001218D2" w:rsidRDefault="00490ACB">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959" w:type="dxa"/>
      <w:tblInd w:w="3402" w:type="dxa"/>
      <w:tblLayout w:type="fixed"/>
      <w:tblLook w:val="0400" w:firstRow="0" w:lastRow="0" w:firstColumn="0" w:lastColumn="0" w:noHBand="0" w:noVBand="1"/>
    </w:tblPr>
    <w:tblGrid>
      <w:gridCol w:w="2701"/>
      <w:gridCol w:w="4258"/>
    </w:tblGrid>
    <w:tr w:rsidR="001218D2" w14:paraId="49F40551" w14:textId="77777777" w:rsidTr="00E76956">
      <w:tc>
        <w:tcPr>
          <w:tcW w:w="2701" w:type="dxa"/>
          <w:vAlign w:val="center"/>
        </w:tcPr>
        <w:p w14:paraId="000001CC" w14:textId="1317A5AC" w:rsidR="001218D2" w:rsidRPr="000B7002" w:rsidRDefault="00490ACB" w:rsidP="000B7002">
          <w:pPr>
            <w:jc w:val="right"/>
            <w:rPr>
              <w:rFonts w:ascii="Palatino Linotype" w:eastAsia="Palatino Linotype" w:hAnsi="Palatino Linotype" w:cs="Palatino Linotype"/>
              <w:b/>
              <w:bCs/>
            </w:rPr>
          </w:pPr>
          <w:r w:rsidRPr="000B7002">
            <w:rPr>
              <w:rFonts w:ascii="Palatino Linotype" w:eastAsia="Palatino Linotype" w:hAnsi="Palatino Linotype" w:cs="Palatino Linotype"/>
              <w:b/>
              <w:bCs/>
            </w:rPr>
            <w:t>Recurso de Revisión:</w:t>
          </w:r>
        </w:p>
      </w:tc>
      <w:tc>
        <w:tcPr>
          <w:tcW w:w="4258" w:type="dxa"/>
          <w:vAlign w:val="center"/>
        </w:tcPr>
        <w:p w14:paraId="000001CD" w14:textId="77777777" w:rsidR="001218D2" w:rsidRPr="000B7002" w:rsidRDefault="00490ACB" w:rsidP="000B7002">
          <w:pPr>
            <w:rPr>
              <w:rFonts w:ascii="Palatino Linotype" w:eastAsia="Palatino Linotype" w:hAnsi="Palatino Linotype" w:cs="Palatino Linotype"/>
            </w:rPr>
          </w:pPr>
          <w:r w:rsidRPr="000B7002">
            <w:rPr>
              <w:rFonts w:ascii="Palatino Linotype" w:eastAsia="Palatino Linotype" w:hAnsi="Palatino Linotype" w:cs="Palatino Linotype"/>
            </w:rPr>
            <w:t xml:space="preserve">5753/INFOEM/IP/RR/2025 </w:t>
          </w:r>
        </w:p>
      </w:tc>
    </w:tr>
    <w:tr w:rsidR="001218D2" w14:paraId="317CDC6D" w14:textId="77777777" w:rsidTr="00E76956">
      <w:trPr>
        <w:trHeight w:val="228"/>
      </w:trPr>
      <w:tc>
        <w:tcPr>
          <w:tcW w:w="2701" w:type="dxa"/>
          <w:vAlign w:val="center"/>
        </w:tcPr>
        <w:p w14:paraId="000001CE" w14:textId="77777777" w:rsidR="001218D2" w:rsidRPr="000B7002" w:rsidRDefault="00490ACB" w:rsidP="000B7002">
          <w:pPr>
            <w:jc w:val="right"/>
            <w:rPr>
              <w:rFonts w:ascii="Palatino Linotype" w:eastAsia="Palatino Linotype" w:hAnsi="Palatino Linotype" w:cs="Palatino Linotype"/>
              <w:b/>
              <w:bCs/>
            </w:rPr>
          </w:pPr>
          <w:r w:rsidRPr="000B7002">
            <w:rPr>
              <w:rFonts w:ascii="Palatino Linotype" w:eastAsia="Palatino Linotype" w:hAnsi="Palatino Linotype" w:cs="Palatino Linotype"/>
              <w:b/>
              <w:bCs/>
            </w:rPr>
            <w:t>Sujeto Obligado:</w:t>
          </w:r>
        </w:p>
      </w:tc>
      <w:tc>
        <w:tcPr>
          <w:tcW w:w="4258" w:type="dxa"/>
          <w:vAlign w:val="center"/>
        </w:tcPr>
        <w:p w14:paraId="000001CF" w14:textId="77777777" w:rsidR="001218D2" w:rsidRPr="000B7002" w:rsidRDefault="00490ACB" w:rsidP="000B7002">
          <w:pPr>
            <w:rPr>
              <w:rFonts w:ascii="Palatino Linotype" w:eastAsia="Palatino Linotype" w:hAnsi="Palatino Linotype" w:cs="Palatino Linotype"/>
            </w:rPr>
          </w:pPr>
          <w:r w:rsidRPr="000B7002">
            <w:rPr>
              <w:rFonts w:ascii="Palatino Linotype" w:eastAsia="Palatino Linotype" w:hAnsi="Palatino Linotype" w:cs="Palatino Linotype"/>
            </w:rPr>
            <w:t>Ayuntamiento de Toluca</w:t>
          </w:r>
        </w:p>
      </w:tc>
    </w:tr>
    <w:tr w:rsidR="001218D2" w14:paraId="1E211FEF" w14:textId="77777777" w:rsidTr="00E76956">
      <w:tc>
        <w:tcPr>
          <w:tcW w:w="2701" w:type="dxa"/>
          <w:vAlign w:val="center"/>
        </w:tcPr>
        <w:p w14:paraId="000001D0" w14:textId="77777777" w:rsidR="001218D2" w:rsidRPr="000B7002" w:rsidRDefault="00490ACB" w:rsidP="000B7002">
          <w:pPr>
            <w:jc w:val="right"/>
            <w:rPr>
              <w:rFonts w:ascii="Palatino Linotype" w:eastAsia="Palatino Linotype" w:hAnsi="Palatino Linotype" w:cs="Palatino Linotype"/>
              <w:b/>
              <w:bCs/>
            </w:rPr>
          </w:pPr>
          <w:r w:rsidRPr="000B7002">
            <w:rPr>
              <w:rFonts w:ascii="Palatino Linotype" w:eastAsia="Palatino Linotype" w:hAnsi="Palatino Linotype" w:cs="Palatino Linotype"/>
              <w:b/>
              <w:bCs/>
            </w:rPr>
            <w:t>Comisionada ponente:</w:t>
          </w:r>
        </w:p>
      </w:tc>
      <w:tc>
        <w:tcPr>
          <w:tcW w:w="4258" w:type="dxa"/>
          <w:vAlign w:val="center"/>
        </w:tcPr>
        <w:p w14:paraId="000001D1" w14:textId="77777777" w:rsidR="001218D2" w:rsidRPr="000B7002" w:rsidRDefault="00490ACB" w:rsidP="000B7002">
          <w:pPr>
            <w:rPr>
              <w:rFonts w:ascii="Palatino Linotype" w:eastAsia="Palatino Linotype" w:hAnsi="Palatino Linotype" w:cs="Palatino Linotype"/>
            </w:rPr>
          </w:pPr>
          <w:r w:rsidRPr="000B7002">
            <w:rPr>
              <w:rFonts w:ascii="Palatino Linotype" w:eastAsia="Palatino Linotype" w:hAnsi="Palatino Linotype" w:cs="Palatino Linotype"/>
            </w:rPr>
            <w:t xml:space="preserve">María del Rosario Mejía Ayala  </w:t>
          </w:r>
        </w:p>
      </w:tc>
    </w:tr>
  </w:tbl>
  <w:p w14:paraId="000001D4" w14:textId="2FCDA61B" w:rsidR="001218D2" w:rsidRDefault="00E76956" w:rsidP="00E76956">
    <w:pPr>
      <w:pBdr>
        <w:top w:val="nil"/>
        <w:left w:val="nil"/>
        <w:bottom w:val="nil"/>
        <w:right w:val="nil"/>
        <w:between w:val="nil"/>
      </w:pBdr>
      <w:tabs>
        <w:tab w:val="center" w:pos="4252"/>
        <w:tab w:val="right" w:pos="8504"/>
        <w:tab w:val="left" w:pos="2326"/>
      </w:tabs>
    </w:pPr>
    <w:r>
      <w:rPr>
        <w:noProof/>
        <w:lang w:val="es-MX"/>
      </w:rPr>
      <w:drawing>
        <wp:anchor distT="0" distB="0" distL="0" distR="0" simplePos="0" relativeHeight="251658240" behindDoc="1" locked="0" layoutInCell="1" hidden="0" allowOverlap="1" wp14:editId="39864B51">
          <wp:simplePos x="0" y="0"/>
          <wp:positionH relativeFrom="page">
            <wp:align>left</wp:align>
          </wp:positionH>
          <wp:positionV relativeFrom="paragraph">
            <wp:posOffset>-1226892</wp:posOffset>
          </wp:positionV>
          <wp:extent cx="7635875" cy="9943465"/>
          <wp:effectExtent l="0" t="0" r="3175" b="635"/>
          <wp:wrapNone/>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r w:rsidR="00490ACB">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097" w:type="dxa"/>
      <w:tblInd w:w="3402" w:type="dxa"/>
      <w:tblLayout w:type="fixed"/>
      <w:tblLook w:val="0400" w:firstRow="0" w:lastRow="0" w:firstColumn="0" w:lastColumn="0" w:noHBand="0" w:noVBand="1"/>
    </w:tblPr>
    <w:tblGrid>
      <w:gridCol w:w="2698"/>
      <w:gridCol w:w="4399"/>
    </w:tblGrid>
    <w:tr w:rsidR="001218D2" w14:paraId="70259940" w14:textId="77777777" w:rsidTr="00E76956">
      <w:trPr>
        <w:trHeight w:val="277"/>
      </w:trPr>
      <w:tc>
        <w:tcPr>
          <w:tcW w:w="2698" w:type="dxa"/>
          <w:vAlign w:val="center"/>
        </w:tcPr>
        <w:p w14:paraId="000001D6" w14:textId="326A065E" w:rsidR="001218D2" w:rsidRPr="000B7002" w:rsidRDefault="00E76956" w:rsidP="00E76956">
          <w:pPr>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 xml:space="preserve">  </w:t>
          </w:r>
          <w:r w:rsidR="00490ACB" w:rsidRPr="000B7002">
            <w:rPr>
              <w:rFonts w:ascii="Palatino Linotype" w:eastAsia="Palatino Linotype" w:hAnsi="Palatino Linotype" w:cs="Palatino Linotype"/>
              <w:b/>
              <w:bCs/>
              <w:color w:val="000000" w:themeColor="text1"/>
            </w:rPr>
            <w:t>Recurso de Revisión:</w:t>
          </w:r>
        </w:p>
      </w:tc>
      <w:tc>
        <w:tcPr>
          <w:tcW w:w="4399" w:type="dxa"/>
          <w:vAlign w:val="center"/>
        </w:tcPr>
        <w:p w14:paraId="000001D7" w14:textId="77777777" w:rsidR="001218D2" w:rsidRPr="000B7002" w:rsidRDefault="00490ACB" w:rsidP="000B7002">
          <w:pPr>
            <w:rPr>
              <w:rFonts w:ascii="Palatino Linotype" w:eastAsia="Palatino Linotype" w:hAnsi="Palatino Linotype" w:cs="Palatino Linotype"/>
              <w:color w:val="000000" w:themeColor="text1"/>
            </w:rPr>
          </w:pPr>
          <w:r w:rsidRPr="000B7002">
            <w:rPr>
              <w:rFonts w:ascii="Palatino Linotype" w:eastAsia="Palatino Linotype" w:hAnsi="Palatino Linotype" w:cs="Palatino Linotype"/>
              <w:color w:val="000000" w:themeColor="text1"/>
            </w:rPr>
            <w:t xml:space="preserve">05753/INFOEM/IP/RR/2025 </w:t>
          </w:r>
        </w:p>
      </w:tc>
    </w:tr>
    <w:tr w:rsidR="001218D2" w14:paraId="6D751107" w14:textId="77777777" w:rsidTr="00E76956">
      <w:tc>
        <w:tcPr>
          <w:tcW w:w="2698" w:type="dxa"/>
          <w:vAlign w:val="center"/>
        </w:tcPr>
        <w:p w14:paraId="000001D8" w14:textId="77777777" w:rsidR="001218D2" w:rsidRPr="000B7002" w:rsidRDefault="00490ACB" w:rsidP="000B7002">
          <w:pPr>
            <w:jc w:val="right"/>
            <w:rPr>
              <w:rFonts w:ascii="Palatino Linotype" w:eastAsia="Palatino Linotype" w:hAnsi="Palatino Linotype" w:cs="Palatino Linotype"/>
              <w:b/>
              <w:bCs/>
              <w:color w:val="000000" w:themeColor="text1"/>
            </w:rPr>
          </w:pPr>
          <w:r w:rsidRPr="000B7002">
            <w:rPr>
              <w:rFonts w:ascii="Palatino Linotype" w:eastAsia="Palatino Linotype" w:hAnsi="Palatino Linotype" w:cs="Palatino Linotype"/>
              <w:b/>
              <w:bCs/>
              <w:color w:val="000000" w:themeColor="text1"/>
            </w:rPr>
            <w:t>Recurrente:</w:t>
          </w:r>
        </w:p>
      </w:tc>
      <w:tc>
        <w:tcPr>
          <w:tcW w:w="4399" w:type="dxa"/>
          <w:vAlign w:val="center"/>
        </w:tcPr>
        <w:p w14:paraId="000001D9" w14:textId="77777777" w:rsidR="001218D2" w:rsidRPr="000B7002" w:rsidRDefault="001218D2" w:rsidP="000B7002">
          <w:pPr>
            <w:rPr>
              <w:rFonts w:ascii="Palatino Linotype" w:eastAsia="Palatino Linotype" w:hAnsi="Palatino Linotype" w:cs="Palatino Linotype"/>
              <w:color w:val="000000" w:themeColor="text1"/>
            </w:rPr>
          </w:pPr>
        </w:p>
      </w:tc>
    </w:tr>
    <w:tr w:rsidR="001218D2" w14:paraId="3F1B1F39" w14:textId="77777777" w:rsidTr="00E76956">
      <w:trPr>
        <w:trHeight w:val="228"/>
      </w:trPr>
      <w:tc>
        <w:tcPr>
          <w:tcW w:w="2698" w:type="dxa"/>
          <w:vAlign w:val="center"/>
        </w:tcPr>
        <w:p w14:paraId="000001DA" w14:textId="77777777" w:rsidR="001218D2" w:rsidRPr="000B7002" w:rsidRDefault="00490ACB" w:rsidP="000B7002">
          <w:pPr>
            <w:jc w:val="right"/>
            <w:rPr>
              <w:rFonts w:ascii="Palatino Linotype" w:eastAsia="Palatino Linotype" w:hAnsi="Palatino Linotype" w:cs="Palatino Linotype"/>
              <w:b/>
              <w:bCs/>
              <w:color w:val="000000" w:themeColor="text1"/>
            </w:rPr>
          </w:pPr>
          <w:r w:rsidRPr="000B7002">
            <w:rPr>
              <w:rFonts w:ascii="Palatino Linotype" w:eastAsia="Palatino Linotype" w:hAnsi="Palatino Linotype" w:cs="Palatino Linotype"/>
              <w:b/>
              <w:bCs/>
              <w:color w:val="000000" w:themeColor="text1"/>
            </w:rPr>
            <w:t>Sujeto Obligado:</w:t>
          </w:r>
        </w:p>
      </w:tc>
      <w:tc>
        <w:tcPr>
          <w:tcW w:w="4399" w:type="dxa"/>
          <w:vAlign w:val="center"/>
        </w:tcPr>
        <w:p w14:paraId="000001DB" w14:textId="77777777" w:rsidR="001218D2" w:rsidRPr="000B7002" w:rsidRDefault="00490ACB" w:rsidP="000B7002">
          <w:pPr>
            <w:rPr>
              <w:rFonts w:ascii="Palatino Linotype" w:eastAsia="Palatino Linotype" w:hAnsi="Palatino Linotype" w:cs="Palatino Linotype"/>
              <w:color w:val="000000" w:themeColor="text1"/>
            </w:rPr>
          </w:pPr>
          <w:r w:rsidRPr="000B7002">
            <w:rPr>
              <w:rFonts w:ascii="Palatino Linotype" w:eastAsia="Palatino Linotype" w:hAnsi="Palatino Linotype" w:cs="Palatino Linotype"/>
              <w:color w:val="000000" w:themeColor="text1"/>
            </w:rPr>
            <w:t>Ayuntamiento de Toluca</w:t>
          </w:r>
        </w:p>
      </w:tc>
    </w:tr>
    <w:tr w:rsidR="001218D2" w14:paraId="0E8993EB" w14:textId="77777777" w:rsidTr="00E76956">
      <w:tc>
        <w:tcPr>
          <w:tcW w:w="2698" w:type="dxa"/>
          <w:vAlign w:val="center"/>
        </w:tcPr>
        <w:p w14:paraId="000001DC" w14:textId="77777777" w:rsidR="001218D2" w:rsidRPr="000B7002" w:rsidRDefault="00490ACB" w:rsidP="000B7002">
          <w:pPr>
            <w:jc w:val="right"/>
            <w:rPr>
              <w:rFonts w:ascii="Palatino Linotype" w:eastAsia="Palatino Linotype" w:hAnsi="Palatino Linotype" w:cs="Palatino Linotype"/>
              <w:b/>
              <w:bCs/>
              <w:color w:val="000000" w:themeColor="text1"/>
            </w:rPr>
          </w:pPr>
          <w:r w:rsidRPr="000B7002">
            <w:rPr>
              <w:rFonts w:ascii="Palatino Linotype" w:eastAsia="Palatino Linotype" w:hAnsi="Palatino Linotype" w:cs="Palatino Linotype"/>
              <w:b/>
              <w:bCs/>
              <w:color w:val="000000" w:themeColor="text1"/>
            </w:rPr>
            <w:t>Comisionada Ponente:</w:t>
          </w:r>
        </w:p>
      </w:tc>
      <w:tc>
        <w:tcPr>
          <w:tcW w:w="4399" w:type="dxa"/>
          <w:vAlign w:val="center"/>
        </w:tcPr>
        <w:p w14:paraId="000001DD" w14:textId="77777777" w:rsidR="001218D2" w:rsidRPr="000B7002" w:rsidRDefault="00490ACB" w:rsidP="000B7002">
          <w:pPr>
            <w:rPr>
              <w:rFonts w:ascii="Palatino Linotype" w:eastAsia="Palatino Linotype" w:hAnsi="Palatino Linotype" w:cs="Palatino Linotype"/>
              <w:color w:val="000000" w:themeColor="text1"/>
            </w:rPr>
          </w:pPr>
          <w:r w:rsidRPr="000B7002">
            <w:rPr>
              <w:rFonts w:ascii="Palatino Linotype" w:eastAsia="Palatino Linotype" w:hAnsi="Palatino Linotype" w:cs="Palatino Linotype"/>
              <w:color w:val="000000" w:themeColor="text1"/>
            </w:rPr>
            <w:t>María del Rosario Mejía Ayala</w:t>
          </w:r>
        </w:p>
      </w:tc>
    </w:tr>
  </w:tbl>
  <w:p w14:paraId="000001DF" w14:textId="72834F09" w:rsidR="001218D2" w:rsidRDefault="00E76956" w:rsidP="00E76956">
    <w:pPr>
      <w:pBdr>
        <w:top w:val="nil"/>
        <w:left w:val="nil"/>
        <w:bottom w:val="nil"/>
        <w:right w:val="nil"/>
        <w:between w:val="nil"/>
      </w:pBdr>
      <w:tabs>
        <w:tab w:val="center" w:pos="4252"/>
        <w:tab w:val="right" w:pos="8504"/>
      </w:tabs>
    </w:pPr>
    <w:r>
      <w:rPr>
        <w:noProof/>
        <w:lang w:val="es-MX"/>
      </w:rPr>
      <w:drawing>
        <wp:anchor distT="0" distB="0" distL="0" distR="0" simplePos="0" relativeHeight="251659264" behindDoc="1" locked="0" layoutInCell="1" hidden="0" allowOverlap="1" wp14:editId="5B6872D4">
          <wp:simplePos x="0" y="0"/>
          <wp:positionH relativeFrom="page">
            <wp:align>left</wp:align>
          </wp:positionH>
          <wp:positionV relativeFrom="paragraph">
            <wp:posOffset>-1399000</wp:posOffset>
          </wp:positionV>
          <wp:extent cx="7635875" cy="9943465"/>
          <wp:effectExtent l="0" t="0" r="3175" b="635"/>
          <wp:wrapNone/>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74B74"/>
    <w:multiLevelType w:val="multilevel"/>
    <w:tmpl w:val="C3C2789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72D6C"/>
    <w:multiLevelType w:val="multilevel"/>
    <w:tmpl w:val="6BD8D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3A27AB"/>
    <w:multiLevelType w:val="multilevel"/>
    <w:tmpl w:val="983C9A0C"/>
    <w:lvl w:ilvl="0">
      <w:start w:val="91"/>
      <w:numFmt w:val="decimal"/>
      <w:lvlText w:val="%1."/>
      <w:lvlJc w:val="left"/>
      <w:pPr>
        <w:ind w:left="1778" w:hanging="360"/>
      </w:pPr>
      <w:rPr>
        <w:rFonts w:ascii="Palatino Linotype" w:eastAsia="Palatino Linotype" w:hAnsi="Palatino Linotype" w:cs="Palatino Linotype" w:hint="default"/>
        <w:b/>
        <w:bCs/>
        <w:i w:val="0"/>
        <w:i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06113E"/>
    <w:multiLevelType w:val="multilevel"/>
    <w:tmpl w:val="66DA5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786FE1"/>
    <w:multiLevelType w:val="multilevel"/>
    <w:tmpl w:val="CA1C47C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2C0E5066"/>
    <w:multiLevelType w:val="multilevel"/>
    <w:tmpl w:val="5B54174C"/>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381B2AD4"/>
    <w:multiLevelType w:val="hybridMultilevel"/>
    <w:tmpl w:val="D8BC4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E23525"/>
    <w:multiLevelType w:val="multilevel"/>
    <w:tmpl w:val="143EF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CF4224"/>
    <w:multiLevelType w:val="multilevel"/>
    <w:tmpl w:val="20A24BC8"/>
    <w:lvl w:ilvl="0">
      <w:start w:val="89"/>
      <w:numFmt w:val="decimal"/>
      <w:lvlText w:val="%1."/>
      <w:lvlJc w:val="left"/>
      <w:pPr>
        <w:ind w:left="720" w:hanging="360"/>
      </w:pPr>
      <w:rPr>
        <w:rFonts w:hint="default"/>
        <w:b/>
        <w:bCs/>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4631476"/>
    <w:multiLevelType w:val="multilevel"/>
    <w:tmpl w:val="67D25DC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58521074"/>
    <w:multiLevelType w:val="multilevel"/>
    <w:tmpl w:val="E2D45AB2"/>
    <w:lvl w:ilvl="0">
      <w:start w:val="1"/>
      <w:numFmt w:val="decimal"/>
      <w:lvlText w:val="%1."/>
      <w:lvlJc w:val="left"/>
      <w:pPr>
        <w:ind w:left="1778"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3964A7B"/>
    <w:multiLevelType w:val="multilevel"/>
    <w:tmpl w:val="22AA29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6E5968"/>
    <w:multiLevelType w:val="multilevel"/>
    <w:tmpl w:val="51940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5B2C90"/>
    <w:multiLevelType w:val="multilevel"/>
    <w:tmpl w:val="7CFAE69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0"/>
  </w:num>
  <w:num w:numId="2">
    <w:abstractNumId w:val="12"/>
  </w:num>
  <w:num w:numId="3">
    <w:abstractNumId w:val="11"/>
  </w:num>
  <w:num w:numId="4">
    <w:abstractNumId w:val="8"/>
  </w:num>
  <w:num w:numId="5">
    <w:abstractNumId w:val="7"/>
  </w:num>
  <w:num w:numId="6">
    <w:abstractNumId w:val="0"/>
  </w:num>
  <w:num w:numId="7">
    <w:abstractNumId w:val="4"/>
  </w:num>
  <w:num w:numId="8">
    <w:abstractNumId w:val="9"/>
  </w:num>
  <w:num w:numId="9">
    <w:abstractNumId w:val="5"/>
  </w:num>
  <w:num w:numId="10">
    <w:abstractNumId w:val="13"/>
  </w:num>
  <w:num w:numId="11">
    <w:abstractNumId w:val="3"/>
  </w:num>
  <w:num w:numId="12">
    <w:abstractNumId w:val="1"/>
  </w:num>
  <w:num w:numId="13">
    <w:abstractNumId w:val="2"/>
  </w:num>
  <w:num w:numId="1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enta Microsoft">
    <w15:presenceInfo w15:providerId="Windows Live" w15:userId="325219d629509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8D2"/>
    <w:rsid w:val="000B7002"/>
    <w:rsid w:val="001218D2"/>
    <w:rsid w:val="002026CC"/>
    <w:rsid w:val="002A49F0"/>
    <w:rsid w:val="00490ACB"/>
    <w:rsid w:val="004B53AF"/>
    <w:rsid w:val="00620CE7"/>
    <w:rsid w:val="008946A7"/>
    <w:rsid w:val="009747B7"/>
    <w:rsid w:val="009A52A7"/>
    <w:rsid w:val="00E769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907F18-4180-442B-814B-6A55F9DDD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E82C4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945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205B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D07FA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DD66B0"/>
    <w:rPr>
      <w:rFonts w:cs="Times New Roman"/>
      <w:smallCaps/>
      <w:color w:val="5A5A5A" w:themeColor="text1" w:themeTint="A5"/>
    </w:rPr>
  </w:style>
  <w:style w:type="character" w:customStyle="1" w:styleId="markjqw0lftiy">
    <w:name w:val="markjqw0lftiy"/>
    <w:basedOn w:val="Fuentedeprrafopredeter"/>
    <w:rsid w:val="00817324"/>
  </w:style>
  <w:style w:type="character" w:styleId="Hipervnculovisitado">
    <w:name w:val="FollowedHyperlink"/>
    <w:basedOn w:val="Fuentedeprrafopredeter"/>
    <w:uiPriority w:val="99"/>
    <w:semiHidden/>
    <w:unhideWhenUsed/>
    <w:rsid w:val="00F7464A"/>
    <w:rPr>
      <w:color w:val="800080" w:themeColor="followedHyperlink"/>
      <w:u w:val="single"/>
    </w:rPr>
  </w:style>
  <w:style w:type="character" w:styleId="Refdecomentario">
    <w:name w:val="annotation reference"/>
    <w:basedOn w:val="Fuentedeprrafopredeter"/>
    <w:uiPriority w:val="99"/>
    <w:semiHidden/>
    <w:unhideWhenUsed/>
    <w:rsid w:val="00DB0A8F"/>
    <w:rPr>
      <w:sz w:val="16"/>
      <w:szCs w:val="16"/>
    </w:rPr>
  </w:style>
  <w:style w:type="paragraph" w:styleId="Textocomentario">
    <w:name w:val="annotation text"/>
    <w:basedOn w:val="Normal"/>
    <w:link w:val="TextocomentarioCar"/>
    <w:uiPriority w:val="99"/>
    <w:semiHidden/>
    <w:unhideWhenUsed/>
    <w:rsid w:val="00DB0A8F"/>
    <w:rPr>
      <w:sz w:val="20"/>
      <w:szCs w:val="20"/>
    </w:rPr>
  </w:style>
  <w:style w:type="character" w:customStyle="1" w:styleId="TextocomentarioCar">
    <w:name w:val="Texto comentario Car"/>
    <w:basedOn w:val="Fuentedeprrafopredeter"/>
    <w:link w:val="Textocomentario"/>
    <w:uiPriority w:val="99"/>
    <w:semiHidden/>
    <w:rsid w:val="00DB0A8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B0A8F"/>
    <w:rPr>
      <w:b/>
      <w:bCs/>
    </w:rPr>
  </w:style>
  <w:style w:type="character" w:customStyle="1" w:styleId="AsuntodelcomentarioCar">
    <w:name w:val="Asunto del comentario Car"/>
    <w:basedOn w:val="TextocomentarioCar"/>
    <w:link w:val="Asuntodelcomentario"/>
    <w:uiPriority w:val="99"/>
    <w:semiHidden/>
    <w:rsid w:val="00DB0A8F"/>
    <w:rPr>
      <w:rFonts w:ascii="Times New Roman" w:eastAsia="Times New Roman" w:hAnsi="Times New Roman" w:cs="Times New Roman"/>
      <w:b/>
      <w:bCs/>
      <w:sz w:val="20"/>
      <w:szCs w:val="20"/>
      <w:lang w:val="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467610.page"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nfoem2.ipomex.org.mx/ipome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pomex3.ipomex.org.mx/ipo3/lgt/indice/TOLUCA/art_92_xliii_b.web?token=03AFcWeA6kduMIilviyx-4K2-1Z28LmTqwk3YRgI9G2tYPnxYlkLoQke4OCS_ZTJr7BmtzlLDrf9lczWISDocXg2QCl3-I6wWN2aobBXyDYpOILEN8sRGNm4Qoi89uHgay0t8zvZhfofNbwUUeztFQyb1NiODzhKcsVx50E8rRY6bxSg7kiqbzv7pJk1ox1TKJgxFGRNtbjGek3Ncp9qUy8lNaDilNk87_rbvWvpVg19TVWD-scea1kFXPnBgdrMx-9QR-cfGWrI9hDQ3c-1C1pdvBnmM8mML517VSSqS2ksTjDDOxxkwOPSL5ybmEwdC6v86wiW7by0gTWvqCkDZ1pBDXUlmDcjxhoFcLwn4kHDkTOAgIRhrvmQFLo5SDkkPXes_aiQgcd7mkrswBgOXFgdbkibKG8O5l9txdUTDzbXjdgkrQonI2zq2kKCgLRMGGZZQKDRlhRXDTDUgxILGK_vRNpzfbEE33Q3blDiyzuw4_EMQ8KR9w5hdl357_GQrDaHfXfsj7ksu0_U-Bvx_ylyaLSFz1DJ80-Rymop1ZRYkOBs9ETn9eKQZlBY6LKT3N-ah_JTVVSS1_VfrjNsbys34PTw04OKrN4AGR-w4UkGGmkQSBGWnpVjOQZR8jvyzaDmALLDDpidhEAD8znQXJpvfhk3KZi9_mEYZp50Z_bKMlqmQqEHxh0-oa2Vh3AkkNZJKqhjed_v1mNl0Tfqklx5sAmGoyutCfK4WX-aSM2qisaFXklc2CNKrlM03QSIjcWUg_Re6I73fNYXg15trbgH_UmicSkzg1G6nthtqCbj1ObrPbo63t5sTxnDAHulrfN7KoHwzM3S9O5O_TXKY_ktH78vcJhv7USv42XXM91Sx9WJ6NG4T7Im3YQGHyGyu1ajSjLlaj7bhQNJl_S6XruAT5HVQO5GREf1ZM0ttrbWRIOo8LeseMFxTLMrFNjXhYo1nWQ41QwHXL"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k6pZ2Qtl8LspzrxAzgRvZbrnMQ==">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53</Pages>
  <Words>13464</Words>
  <Characters>74057</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7</cp:revision>
  <cp:lastPrinted>2025-12-11T21:56:00Z</cp:lastPrinted>
  <dcterms:created xsi:type="dcterms:W3CDTF">2025-12-04T00:15:00Z</dcterms:created>
  <dcterms:modified xsi:type="dcterms:W3CDTF">2026-01-23T18:23:00Z</dcterms:modified>
</cp:coreProperties>
</file>