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A5376" w14:textId="77777777" w:rsidR="00CE012C" w:rsidRPr="00526ADC" w:rsidRDefault="00502009">
      <w:pPr>
        <w:spacing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diecinueve de febrero de dos mil veinticinco</w:t>
      </w:r>
      <w:r w:rsidRPr="00526ADC">
        <w:rPr>
          <w:rFonts w:ascii="Palatino Linotype" w:eastAsia="Palatino Linotype" w:hAnsi="Palatino Linotype" w:cs="Palatino Linotype"/>
          <w:b/>
        </w:rPr>
        <w:t>.</w:t>
      </w:r>
      <w:r w:rsidRPr="00526ADC">
        <w:rPr>
          <w:rFonts w:ascii="Palatino Linotype" w:eastAsia="Palatino Linotype" w:hAnsi="Palatino Linotype" w:cs="Palatino Linotype"/>
        </w:rPr>
        <w:t xml:space="preserve"> </w:t>
      </w:r>
    </w:p>
    <w:p w14:paraId="4E30A73D" w14:textId="77777777" w:rsidR="00CE012C" w:rsidRPr="00526ADC" w:rsidRDefault="00CE012C">
      <w:pPr>
        <w:spacing w:line="360" w:lineRule="auto"/>
        <w:jc w:val="both"/>
        <w:rPr>
          <w:rFonts w:ascii="Palatino Linotype" w:eastAsia="Palatino Linotype" w:hAnsi="Palatino Linotype" w:cs="Palatino Linotype"/>
        </w:rPr>
      </w:pPr>
    </w:p>
    <w:p w14:paraId="3B8CB30A" w14:textId="7DF20430" w:rsidR="00CE012C" w:rsidRPr="00526ADC" w:rsidRDefault="00502009">
      <w:pPr>
        <w:spacing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VISTO</w:t>
      </w:r>
      <w:r w:rsidRPr="00526ADC">
        <w:rPr>
          <w:rFonts w:ascii="Palatino Linotype" w:eastAsia="Palatino Linotype" w:hAnsi="Palatino Linotype" w:cs="Palatino Linotype"/>
        </w:rPr>
        <w:t xml:space="preserve"> el expediente formado con motivo del recurso de revisión </w:t>
      </w:r>
      <w:r w:rsidRPr="00526ADC">
        <w:rPr>
          <w:rFonts w:ascii="Palatino Linotype" w:eastAsia="Palatino Linotype" w:hAnsi="Palatino Linotype" w:cs="Palatino Linotype"/>
          <w:b/>
        </w:rPr>
        <w:t>00294/INFOEM/IP/RR/2025</w:t>
      </w:r>
      <w:r w:rsidRPr="00526ADC">
        <w:rPr>
          <w:rFonts w:ascii="Palatino Linotype" w:eastAsia="Palatino Linotype" w:hAnsi="Palatino Linotype" w:cs="Palatino Linotype"/>
        </w:rPr>
        <w:t xml:space="preserve">, interpuesto por </w:t>
      </w:r>
      <w:r w:rsidR="00293820" w:rsidRPr="00293820">
        <w:rPr>
          <w:rFonts w:ascii="Palatino Linotype" w:eastAsia="Palatino Linotype" w:hAnsi="Palatino Linotype" w:cs="Palatino Linotype"/>
          <w:b/>
        </w:rPr>
        <w:t>XXXXXXX XXXXXX XXXXXXX</w:t>
      </w:r>
      <w:r w:rsidRPr="00526ADC">
        <w:rPr>
          <w:rFonts w:ascii="Palatino Linotype" w:eastAsia="Palatino Linotype" w:hAnsi="Palatino Linotype" w:cs="Palatino Linotype"/>
        </w:rPr>
        <w:t>, en lo sucesivo</w:t>
      </w:r>
      <w:r w:rsidRPr="00526ADC">
        <w:rPr>
          <w:rFonts w:ascii="Palatino Linotype" w:eastAsia="Palatino Linotype" w:hAnsi="Palatino Linotype" w:cs="Palatino Linotype"/>
          <w:b/>
        </w:rPr>
        <w:t xml:space="preserve"> </w:t>
      </w:r>
      <w:r w:rsidRPr="00526ADC">
        <w:rPr>
          <w:rFonts w:ascii="Palatino Linotype" w:eastAsia="Palatino Linotype" w:hAnsi="Palatino Linotype" w:cs="Palatino Linotype"/>
        </w:rPr>
        <w:t xml:space="preserve">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en contra de la falta de respuesta a la solicitud de información con número de folio </w:t>
      </w:r>
      <w:r w:rsidRPr="00526ADC">
        <w:rPr>
          <w:rFonts w:ascii="Palatino Linotype" w:eastAsia="Palatino Linotype" w:hAnsi="Palatino Linotype" w:cs="Palatino Linotype"/>
          <w:b/>
        </w:rPr>
        <w:t xml:space="preserve">00304/TEPOTZOT/IP/2024, </w:t>
      </w:r>
      <w:r w:rsidRPr="00526ADC">
        <w:rPr>
          <w:rFonts w:ascii="Palatino Linotype" w:eastAsia="Palatino Linotype" w:hAnsi="Palatino Linotype" w:cs="Palatino Linotype"/>
        </w:rPr>
        <w:t xml:space="preserve">por parte del </w:t>
      </w:r>
      <w:r w:rsidRPr="00526ADC">
        <w:rPr>
          <w:rFonts w:ascii="Palatino Linotype" w:eastAsia="Palatino Linotype" w:hAnsi="Palatino Linotype" w:cs="Palatino Linotype"/>
          <w:b/>
        </w:rPr>
        <w:t>Ayuntamiento de Tepotzotlán</w:t>
      </w:r>
      <w:r w:rsidRPr="00526ADC">
        <w:rPr>
          <w:rFonts w:ascii="Palatino Linotype" w:eastAsia="Palatino Linotype" w:hAnsi="Palatino Linotype" w:cs="Palatino Linotype"/>
        </w:rPr>
        <w:t>,</w:t>
      </w:r>
      <w:r w:rsidRPr="00526ADC">
        <w:rPr>
          <w:rFonts w:ascii="Palatino Linotype" w:eastAsia="Palatino Linotype" w:hAnsi="Palatino Linotype" w:cs="Palatino Linotype"/>
          <w:b/>
        </w:rPr>
        <w:t xml:space="preserve"> </w:t>
      </w:r>
      <w:r w:rsidRPr="00526ADC">
        <w:rPr>
          <w:rFonts w:ascii="Palatino Linotype" w:eastAsia="Palatino Linotype" w:hAnsi="Palatino Linotype" w:cs="Palatino Linotype"/>
        </w:rPr>
        <w:t xml:space="preserve">en lo sucesivo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w:t>
      </w:r>
      <w:r w:rsidRPr="00526ADC">
        <w:rPr>
          <w:rFonts w:ascii="Palatino Linotype" w:eastAsia="Palatino Linotype" w:hAnsi="Palatino Linotype" w:cs="Palatino Linotype"/>
          <w:b/>
        </w:rPr>
        <w:t xml:space="preserve"> </w:t>
      </w:r>
      <w:r w:rsidRPr="00526ADC">
        <w:rPr>
          <w:rFonts w:ascii="Palatino Linotype" w:eastAsia="Palatino Linotype" w:hAnsi="Palatino Linotype" w:cs="Palatino Linotype"/>
        </w:rPr>
        <w:t xml:space="preserve">se procede a dictar la presente resolución con base en los siguientes: </w:t>
      </w:r>
    </w:p>
    <w:p w14:paraId="1FBD6558" w14:textId="77777777" w:rsidR="00CE012C" w:rsidRPr="00526ADC" w:rsidRDefault="00502009">
      <w:pPr>
        <w:spacing w:before="240" w:after="240" w:line="360" w:lineRule="auto"/>
        <w:jc w:val="center"/>
        <w:rPr>
          <w:rFonts w:ascii="Palatino Linotype" w:eastAsia="Palatino Linotype" w:hAnsi="Palatino Linotype" w:cs="Palatino Linotype"/>
          <w:b/>
        </w:rPr>
      </w:pPr>
      <w:r w:rsidRPr="00526ADC">
        <w:rPr>
          <w:rFonts w:ascii="Palatino Linotype" w:eastAsia="Palatino Linotype" w:hAnsi="Palatino Linotype" w:cs="Palatino Linotype"/>
          <w:b/>
        </w:rPr>
        <w:t>I. A N T E C E D E N T E S</w:t>
      </w:r>
    </w:p>
    <w:p w14:paraId="3FE5AB39"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1. Solicitud de acceso a la información.</w:t>
      </w:r>
      <w:r w:rsidRPr="00526ADC">
        <w:rPr>
          <w:rFonts w:ascii="Palatino Linotype" w:eastAsia="Palatino Linotype" w:hAnsi="Palatino Linotype" w:cs="Palatino Linotype"/>
        </w:rPr>
        <w:t xml:space="preserve"> Con fecha </w:t>
      </w:r>
      <w:r w:rsidRPr="00526ADC">
        <w:rPr>
          <w:rFonts w:ascii="Palatino Linotype" w:eastAsia="Palatino Linotype" w:hAnsi="Palatino Linotype" w:cs="Palatino Linotype"/>
          <w:b/>
        </w:rPr>
        <w:t>veintisiete de noviembre de dos mil veinticuatro,</w:t>
      </w:r>
      <w:r w:rsidRPr="00526ADC">
        <w:rPr>
          <w:rFonts w:ascii="Palatino Linotype" w:eastAsia="Palatino Linotype" w:hAnsi="Palatino Linotype" w:cs="Palatino Linotype"/>
        </w:rPr>
        <w:t xml:space="preserve"> la persona solicitante presentó, través del Sistema de Acceso a la Información Mexiquense, en lo subsecuente el </w:t>
      </w:r>
      <w:r w:rsidRPr="00526ADC">
        <w:rPr>
          <w:rFonts w:ascii="Palatino Linotype" w:eastAsia="Palatino Linotype" w:hAnsi="Palatino Linotype" w:cs="Palatino Linotype"/>
          <w:b/>
        </w:rPr>
        <w:t>SAIMEX,</w:t>
      </w:r>
      <w:r w:rsidRPr="00526ADC">
        <w:rPr>
          <w:rFonts w:ascii="Palatino Linotype" w:eastAsia="Palatino Linotype" w:hAnsi="Palatino Linotype" w:cs="Palatino Linotype"/>
        </w:rPr>
        <w:t xml:space="preserve"> ante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la solicitud de acceso a la información pública mediante la cual requirió lo siguiente: </w:t>
      </w:r>
    </w:p>
    <w:p w14:paraId="68E683C5" w14:textId="77777777" w:rsidR="00CE012C" w:rsidRPr="00526ADC" w:rsidRDefault="00502009">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526ADC">
        <w:rPr>
          <w:rFonts w:ascii="Palatino Linotype" w:eastAsia="Palatino Linotype" w:hAnsi="Palatino Linotype" w:cs="Palatino Linotype"/>
          <w:i/>
          <w:sz w:val="22"/>
          <w:szCs w:val="22"/>
        </w:rPr>
        <w:t>“Respecto del PLAN ANUAL DE OBRA 2024 en donde manifiestan la "Adecuación de espacios para juzgado cívico en el mercado municipal de San Mateo con una inversión de $3,017,320.60 pesos y que se realizó una invitación restringida, QUIERO SOLICITARLE EL ACTA DE CABILDO EN DONDE SE APRUEBA LA CONSTRUCCIÓN DE JUZGADOS CÍVICOS EN EL MERCADO MUNICIPAL DE SAN MATEO, ASÍ COMO LA APROBACIÓN NORMATIVA DEL RESPOSABLE DONDE SE PUEDE CAMBIAR UNA INSTALACIÓN DE MERCADO MUNICIPAL A JUZGADOS CÍVICOS.” (sic)</w:t>
      </w:r>
    </w:p>
    <w:p w14:paraId="6E5A0324" w14:textId="77777777" w:rsidR="00CE012C" w:rsidRPr="00526ADC" w:rsidRDefault="00502009">
      <w:pPr>
        <w:spacing w:before="240" w:after="240" w:line="360" w:lineRule="auto"/>
        <w:ind w:right="49"/>
        <w:jc w:val="both"/>
        <w:rPr>
          <w:rFonts w:ascii="Palatino Linotype" w:eastAsia="Palatino Linotype" w:hAnsi="Palatino Linotype" w:cs="Palatino Linotype"/>
        </w:rPr>
      </w:pPr>
      <w:r w:rsidRPr="00526ADC">
        <w:rPr>
          <w:rFonts w:ascii="Palatino Linotype" w:eastAsia="Palatino Linotype" w:hAnsi="Palatino Linotype" w:cs="Palatino Linotype"/>
        </w:rPr>
        <w:lastRenderedPageBreak/>
        <w:t xml:space="preserve">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no adjuntó archivos.</w:t>
      </w:r>
    </w:p>
    <w:p w14:paraId="0E376F79"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Modalidad de Entrega:</w:t>
      </w:r>
      <w:r w:rsidRPr="00526ADC">
        <w:rPr>
          <w:rFonts w:ascii="Palatino Linotype" w:eastAsia="Palatino Linotype" w:hAnsi="Palatino Linotype" w:cs="Palatino Linotype"/>
        </w:rPr>
        <w:t xml:space="preserve"> A través de SAIMEX.</w:t>
      </w:r>
    </w:p>
    <w:p w14:paraId="7FBC1DF0" w14:textId="77777777" w:rsidR="00CE012C" w:rsidRPr="00526ADC" w:rsidRDefault="00502009">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 xml:space="preserve">2. Prórroga. </w:t>
      </w:r>
      <w:r w:rsidRPr="00526ADC">
        <w:rPr>
          <w:rFonts w:ascii="Palatino Linotype" w:eastAsia="Palatino Linotype" w:hAnsi="Palatino Linotype" w:cs="Palatino Linotype"/>
        </w:rPr>
        <w:t xml:space="preserve">El </w:t>
      </w:r>
      <w:r w:rsidRPr="00526ADC">
        <w:rPr>
          <w:rFonts w:ascii="Palatino Linotype" w:eastAsia="Palatino Linotype" w:hAnsi="Palatino Linotype" w:cs="Palatino Linotype"/>
          <w:b/>
        </w:rPr>
        <w:t xml:space="preserve">dieciocho de diciembre de dos mil veinticuatro, </w:t>
      </w:r>
      <w:r w:rsidRPr="00526ADC">
        <w:rPr>
          <w:rFonts w:ascii="Palatino Linotype" w:eastAsia="Palatino Linotype" w:hAnsi="Palatino Linotype" w:cs="Palatino Linotype"/>
        </w:rPr>
        <w:t xml:space="preserve">el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notificó a la persona solicitante la prórroga para dar respuesta a la solicitud</w:t>
      </w:r>
      <w:r w:rsidRPr="00526ADC">
        <w:rPr>
          <w:rFonts w:ascii="Palatino Linotype" w:eastAsia="Palatino Linotype" w:hAnsi="Palatino Linotype" w:cs="Palatino Linotype"/>
          <w:b/>
        </w:rPr>
        <w:t>,</w:t>
      </w:r>
      <w:r w:rsidRPr="00526ADC">
        <w:rPr>
          <w:rFonts w:ascii="Palatino Linotype" w:eastAsia="Palatino Linotype" w:hAnsi="Palatino Linotype" w:cs="Palatino Linotype"/>
        </w:rPr>
        <w:t xml:space="preserve"> medularmente en los siguientes términos:</w:t>
      </w:r>
    </w:p>
    <w:p w14:paraId="6ED58E19" w14:textId="77777777" w:rsidR="00CE012C" w:rsidRPr="00526ADC" w:rsidRDefault="00502009">
      <w:pPr>
        <w:spacing w:before="240" w:after="240"/>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1B9567D" w14:textId="77777777" w:rsidR="00CE012C" w:rsidRPr="00526ADC" w:rsidRDefault="00502009">
      <w:pPr>
        <w:spacing w:before="240" w:after="240"/>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DE ACUERDO A LA CENTÉSIMA SÉPTIMA SESIÓN EXTRAORDINARIA 2024 DEL COMITÉ DE TRANSPARENCIA DE FECHA 18 DE DICIEMBRE DE 2024, EN EL ACUERDO 02/SE/107/CT/2024: Se aprueba por unanimidad la prórroga para atender las solicitudes de información con número de folio</w:t>
      </w:r>
      <w:proofErr w:type="gramStart"/>
      <w:r w:rsidRPr="00526ADC">
        <w:rPr>
          <w:rFonts w:ascii="Palatino Linotype" w:eastAsia="Palatino Linotype" w:hAnsi="Palatino Linotype" w:cs="Palatino Linotype"/>
          <w:i/>
          <w:sz w:val="22"/>
          <w:szCs w:val="22"/>
        </w:rPr>
        <w:t xml:space="preserve"> ..</w:t>
      </w:r>
      <w:proofErr w:type="gramEnd"/>
      <w:r w:rsidRPr="00526ADC">
        <w:rPr>
          <w:rFonts w:ascii="Palatino Linotype" w:eastAsia="Palatino Linotype" w:hAnsi="Palatino Linotype" w:cs="Palatino Linotype"/>
          <w:i/>
          <w:sz w:val="22"/>
          <w:szCs w:val="22"/>
        </w:rPr>
        <w:t>00304/TEPOTZOT/IP/2024..., realizadas por los particulares..” (sic)</w:t>
      </w:r>
    </w:p>
    <w:p w14:paraId="0E37A133" w14:textId="77777777" w:rsidR="00CE012C" w:rsidRPr="00526ADC" w:rsidRDefault="00502009">
      <w:pPr>
        <w:spacing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Como refiere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y derivado de las constancias que obran en el expediente, se advierte que no se observaron las formalidades que establece la Ley de la materia, pues no se anexó la resolución de la Centésima Séptima Sesión </w:t>
      </w:r>
      <w:r w:rsidRPr="00526ADC">
        <w:rPr>
          <w:rFonts w:ascii="Palatino Linotype" w:eastAsia="Palatino Linotype" w:hAnsi="Palatino Linotype" w:cs="Palatino Linotype"/>
        </w:rPr>
        <w:lastRenderedPageBreak/>
        <w:t>Extraordinaria, 2024, mediante la cual el Comité de Transparencia aprobó la ampliación del plazo.</w:t>
      </w:r>
    </w:p>
    <w:p w14:paraId="072FE651" w14:textId="77777777" w:rsidR="00CE012C" w:rsidRPr="00526ADC" w:rsidRDefault="00502009">
      <w:pPr>
        <w:spacing w:before="240" w:after="240" w:line="360" w:lineRule="auto"/>
        <w:jc w:val="both"/>
        <w:rPr>
          <w:rFonts w:ascii="Palatino Linotype" w:eastAsia="Palatino Linotype" w:hAnsi="Palatino Linotype" w:cs="Palatino Linotype"/>
          <w:b/>
        </w:rPr>
      </w:pPr>
      <w:r w:rsidRPr="00526ADC">
        <w:rPr>
          <w:rFonts w:ascii="Palatino Linotype" w:eastAsia="Palatino Linotype" w:hAnsi="Palatino Linotype" w:cs="Palatino Linotype"/>
          <w:b/>
        </w:rPr>
        <w:t xml:space="preserve">3. Respuesta. </w:t>
      </w:r>
      <w:r w:rsidRPr="00526ADC">
        <w:rPr>
          <w:rFonts w:ascii="Palatino Linotype" w:eastAsia="Palatino Linotype" w:hAnsi="Palatino Linotype" w:cs="Palatino Linotype"/>
        </w:rPr>
        <w:t xml:space="preserve">De las constancias que obran en SAIMEX, se observa que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no emitió respuesta a la solicitud de información formulada por la persona solicitante.</w:t>
      </w:r>
    </w:p>
    <w:p w14:paraId="53A35B29"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4. Interposición del recurso de revisión</w:t>
      </w:r>
      <w:r w:rsidRPr="00526ADC">
        <w:rPr>
          <w:rFonts w:ascii="Palatino Linotype" w:eastAsia="Palatino Linotype" w:hAnsi="Palatino Linotype" w:cs="Palatino Linotype"/>
        </w:rPr>
        <w:t xml:space="preserve">. Inconforme la persona solicitante con la falta de respuesta del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el </w:t>
      </w:r>
      <w:r w:rsidRPr="00526ADC">
        <w:rPr>
          <w:rFonts w:ascii="Palatino Linotype" w:eastAsia="Palatino Linotype" w:hAnsi="Palatino Linotype" w:cs="Palatino Linotype"/>
          <w:b/>
        </w:rPr>
        <w:t xml:space="preserve">veintiocho de enero de dos mil veinticinco, </w:t>
      </w:r>
      <w:r w:rsidRPr="00526ADC">
        <w:rPr>
          <w:rFonts w:ascii="Palatino Linotype" w:eastAsia="Palatino Linotype" w:hAnsi="Palatino Linotype" w:cs="Palatino Linotype"/>
        </w:rPr>
        <w:t>interpuso recurso de revisión a través de SAIMEX, expresando lo siguiente:</w:t>
      </w:r>
    </w:p>
    <w:p w14:paraId="3CED1467" w14:textId="77777777" w:rsidR="00CE012C" w:rsidRPr="00526ADC" w:rsidRDefault="00502009">
      <w:pPr>
        <w:spacing w:before="240" w:after="240" w:line="360" w:lineRule="auto"/>
        <w:jc w:val="both"/>
        <w:rPr>
          <w:rFonts w:ascii="Palatino Linotype" w:eastAsia="Palatino Linotype" w:hAnsi="Palatino Linotype" w:cs="Palatino Linotype"/>
          <w:b/>
        </w:rPr>
      </w:pPr>
      <w:r w:rsidRPr="00526ADC">
        <w:rPr>
          <w:rFonts w:ascii="Palatino Linotype" w:eastAsia="Palatino Linotype" w:hAnsi="Palatino Linotype" w:cs="Palatino Linotype"/>
          <w:b/>
        </w:rPr>
        <w:t xml:space="preserve">Acto impugnado: </w:t>
      </w:r>
    </w:p>
    <w:p w14:paraId="6E348B75" w14:textId="77777777" w:rsidR="00CE012C" w:rsidRPr="00526ADC" w:rsidRDefault="00502009">
      <w:pPr>
        <w:tabs>
          <w:tab w:val="left" w:pos="2745"/>
        </w:tabs>
        <w:spacing w:before="240" w:after="240"/>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“Conforme al Artículo 6o y 8o de la constitución política de los Estados Unidos Mexicanos que es la ley máxima que rige nuestro país, quiero hacer de su conocimiento que el Ayuntamiento de Tepotzotlán no ha respondido la petición de información que se le han solicitado como es EL ACTA DE CABILDO DONDE SE APRUEBAN LAS MODIFICACIONES Y ADECUACIONES AL MERCADO MUNICIAL DE SAN MATEO XOLOC PARA CONVERTIRSE EN JUZGADOS CIVICOS” (sic)</w:t>
      </w:r>
    </w:p>
    <w:p w14:paraId="70D6F1C0" w14:textId="77777777" w:rsidR="00CE012C" w:rsidRPr="00526ADC" w:rsidRDefault="00502009">
      <w:pPr>
        <w:spacing w:line="360" w:lineRule="auto"/>
        <w:jc w:val="both"/>
        <w:rPr>
          <w:rFonts w:ascii="Palatino Linotype" w:eastAsia="Palatino Linotype" w:hAnsi="Palatino Linotype" w:cs="Palatino Linotype"/>
        </w:rPr>
      </w:pPr>
      <w:bookmarkStart w:id="1" w:name="_heading=h.tyjcwt" w:colFirst="0" w:colLast="0"/>
      <w:bookmarkEnd w:id="1"/>
      <w:r w:rsidRPr="00526ADC">
        <w:rPr>
          <w:rFonts w:ascii="Palatino Linotype" w:eastAsia="Palatino Linotype" w:hAnsi="Palatino Linotype" w:cs="Palatino Linotype"/>
          <w:b/>
        </w:rPr>
        <w:t>Y Razones o motivos de inconformidad</w:t>
      </w:r>
      <w:r w:rsidRPr="00526ADC">
        <w:rPr>
          <w:rFonts w:ascii="Palatino Linotype" w:eastAsia="Palatino Linotype" w:hAnsi="Palatino Linotype" w:cs="Palatino Linotype"/>
        </w:rPr>
        <w:t>:</w:t>
      </w:r>
    </w:p>
    <w:p w14:paraId="01054279" w14:textId="77777777" w:rsidR="00CE012C" w:rsidRPr="00526ADC" w:rsidRDefault="00502009">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526ADC">
        <w:rPr>
          <w:rFonts w:ascii="Palatino Linotype" w:eastAsia="Palatino Linotype" w:hAnsi="Palatino Linotype" w:cs="Palatino Linotype"/>
          <w:i/>
          <w:sz w:val="22"/>
          <w:szCs w:val="22"/>
        </w:rPr>
        <w:t xml:space="preserve"> “Conforme al Artículo 6o y 8o de la constitución política de los Estados Unidos Mexicanos que es la ley máxima que rige nuestro país, quiero hacer de su conocimiento que el Ayuntamiento de Tepotzotlán no ha respondido la petición de información que se le han solicitado </w:t>
      </w:r>
      <w:r w:rsidRPr="00526ADC">
        <w:rPr>
          <w:rFonts w:ascii="Palatino Linotype" w:eastAsia="Palatino Linotype" w:hAnsi="Palatino Linotype" w:cs="Palatino Linotype"/>
          <w:b/>
          <w:i/>
          <w:sz w:val="22"/>
          <w:szCs w:val="22"/>
          <w:u w:val="single"/>
        </w:rPr>
        <w:t>como es EL ACTA DE CABILDO DONDE SE APRUEBAN LAS MODIFICACIONES Y ADECUACIONES AL MERCADO MUNICIAL DE SAN MATEO XOLOC PARA CONVERTIRSE EN JUZGADOS CIVICOS</w:t>
      </w:r>
      <w:r w:rsidRPr="00526ADC">
        <w:rPr>
          <w:rFonts w:ascii="Palatino Linotype" w:eastAsia="Palatino Linotype" w:hAnsi="Palatino Linotype" w:cs="Palatino Linotype"/>
          <w:i/>
          <w:sz w:val="22"/>
          <w:szCs w:val="22"/>
        </w:rPr>
        <w:t>" (sic)</w:t>
      </w:r>
    </w:p>
    <w:p w14:paraId="41D3C8D7" w14:textId="77777777" w:rsidR="00CE012C" w:rsidRPr="00526ADC" w:rsidRDefault="00502009">
      <w:pPr>
        <w:spacing w:before="240" w:after="240" w:line="360" w:lineRule="auto"/>
        <w:ind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t xml:space="preserve">Anexos: </w:t>
      </w:r>
      <w:r w:rsidRPr="00526ADC">
        <w:rPr>
          <w:rFonts w:ascii="Palatino Linotype" w:eastAsia="Palatino Linotype" w:hAnsi="Palatino Linotype" w:cs="Palatino Linotype"/>
        </w:rPr>
        <w:t xml:space="preserve">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no adjuntó archivos. </w:t>
      </w:r>
    </w:p>
    <w:p w14:paraId="74CCB260" w14:textId="77777777" w:rsidR="00CE012C" w:rsidRPr="00526ADC" w:rsidRDefault="00502009">
      <w:pPr>
        <w:spacing w:before="240" w:after="240" w:line="360" w:lineRule="auto"/>
        <w:ind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lastRenderedPageBreak/>
        <w:t xml:space="preserve">5. Turno. </w:t>
      </w:r>
      <w:r w:rsidRPr="00526AD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26ADC">
        <w:rPr>
          <w:rFonts w:ascii="Palatino Linotype" w:eastAsia="Palatino Linotype" w:hAnsi="Palatino Linotype" w:cs="Palatino Linotype"/>
          <w:b/>
        </w:rPr>
        <w:t xml:space="preserve">Guadalupe Ramírez Peña, </w:t>
      </w:r>
      <w:r w:rsidRPr="00526ADC">
        <w:rPr>
          <w:rFonts w:ascii="Palatino Linotype" w:eastAsia="Palatino Linotype" w:hAnsi="Palatino Linotype" w:cs="Palatino Linotype"/>
        </w:rPr>
        <w:t xml:space="preserve">a efecto de que analizara sobre su admisión o su </w:t>
      </w:r>
      <w:proofErr w:type="spellStart"/>
      <w:r w:rsidRPr="00526ADC">
        <w:rPr>
          <w:rFonts w:ascii="Palatino Linotype" w:eastAsia="Palatino Linotype" w:hAnsi="Palatino Linotype" w:cs="Palatino Linotype"/>
        </w:rPr>
        <w:t>desechamiento</w:t>
      </w:r>
      <w:proofErr w:type="spellEnd"/>
      <w:r w:rsidRPr="00526ADC">
        <w:rPr>
          <w:rFonts w:ascii="Palatino Linotype" w:eastAsia="Palatino Linotype" w:hAnsi="Palatino Linotype" w:cs="Palatino Linotype"/>
        </w:rPr>
        <w:t>.</w:t>
      </w:r>
    </w:p>
    <w:p w14:paraId="6BE4031C"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6. Admisión del Recurso de revisión.</w:t>
      </w:r>
      <w:r w:rsidRPr="00526ADC">
        <w:rPr>
          <w:rFonts w:ascii="Palatino Linotype" w:eastAsia="Palatino Linotype" w:hAnsi="Palatino Linotype" w:cs="Palatino Linotype"/>
        </w:rPr>
        <w:t xml:space="preserve"> El</w:t>
      </w:r>
      <w:r w:rsidRPr="00526ADC">
        <w:rPr>
          <w:rFonts w:ascii="Palatino Linotype" w:eastAsia="Palatino Linotype" w:hAnsi="Palatino Linotype" w:cs="Palatino Linotype"/>
          <w:b/>
        </w:rPr>
        <w:t xml:space="preserve"> treinta y uno de enero de dos mil veinticinco, </w:t>
      </w:r>
      <w:r w:rsidRPr="00526AD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presentara su informe justificado.</w:t>
      </w:r>
    </w:p>
    <w:p w14:paraId="25583B4A" w14:textId="77777777" w:rsidR="00CE012C" w:rsidRPr="00526ADC" w:rsidRDefault="00502009">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526ADC">
        <w:rPr>
          <w:rFonts w:ascii="Palatino Linotype" w:eastAsia="Palatino Linotype" w:hAnsi="Palatino Linotype" w:cs="Palatino Linotype"/>
          <w:b/>
        </w:rPr>
        <w:t>7. Manifestaciones</w:t>
      </w:r>
      <w:r w:rsidRPr="00526ADC">
        <w:rPr>
          <w:rFonts w:ascii="Palatino Linotype" w:eastAsia="Palatino Linotype" w:hAnsi="Palatino Linotype" w:cs="Palatino Linotype"/>
        </w:rPr>
        <w:t xml:space="preserve">. El </w:t>
      </w:r>
      <w:r w:rsidRPr="00526ADC">
        <w:rPr>
          <w:rFonts w:ascii="Palatino Linotype" w:eastAsia="Palatino Linotype" w:hAnsi="Palatino Linotype" w:cs="Palatino Linotype"/>
          <w:b/>
        </w:rPr>
        <w:t>cinco de febrero dos mil veinticinco</w:t>
      </w:r>
      <w:r w:rsidRPr="00526ADC">
        <w:rPr>
          <w:rFonts w:ascii="Palatino Linotype" w:eastAsia="Palatino Linotype" w:hAnsi="Palatino Linotype" w:cs="Palatino Linotype"/>
        </w:rPr>
        <w:t xml:space="preserve">,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remitió, a través de SAIMEX, lo siguiente:</w:t>
      </w:r>
    </w:p>
    <w:p w14:paraId="44E751EF"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 Oficio número DOP/035/2025, del quince de enero de dos mil veinticinco, mediante el cual el Director de Obras Públicas, manifestó que de acuerdo con lo que establecen los artículos 10 del Reglamento, 12.12, fracción I y 12.14 del Libro Décimo Segundo del Código Administrativo del Estado de México, y 5.2 y 5.3 del Libro Quinto del Código Administrativo del Estado de México, existe la factibilidad para el desarrollo de la “ADECUACIÓN DE ESPACIOS PARA JUZGADO CÍVICO EN EL EX MERCADO MUNICIPAL DE SAN MATEO XOLOC”, asimismo, que hacía entrega </w:t>
      </w:r>
      <w:r w:rsidRPr="00526ADC">
        <w:rPr>
          <w:rFonts w:ascii="Palatino Linotype" w:eastAsia="Palatino Linotype" w:hAnsi="Palatino Linotype" w:cs="Palatino Linotype"/>
        </w:rPr>
        <w:lastRenderedPageBreak/>
        <w:t>de las copias simples solicitadas del Acta de Cabildo con aprobación y modificación en el alcance a los proyectos, así como de sus presupuestos, considerados dentro del Programa Anual de Obra y la congruencia para la realización de la obra pública, en la cual se manifiestan los fundamentos jurídicos, sin embargo, precisó que la competencia del área a su cargo es la planeación, presupuesto, programación y ejecución de las mismas, por lo que la solicitud de normativa competente y vigente debe ser turnada y solicitada con precisión a las áreas correspondientes para que los canales de comunicación sean precisos y efectivos.</w:t>
      </w:r>
    </w:p>
    <w:p w14:paraId="793F25AC"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Oficio SA-AC-136-2024-51EXT-P10, del veintisiete de diciembre de dos mil veinticuatro, mediante la cual la Secretaria del Ayuntamiento certifica, que en la Quincuagésima Primera Sesión Extraordinaria de Cabildo, celebrada el veintisiete de diciembre de dos mil veinticuatro, en desahogo del punto diez del orden del día aprobado para la correspondiente sesión, referente a la Propuesta, discusión y, en su caso, aprobación de modificaciones al Programa Anual de Obras Públicas para el ejercicio fiscal 2024, el órgano colegiado llegó a los siguientes acuerdos:</w:t>
      </w:r>
    </w:p>
    <w:p w14:paraId="06952E40" w14:textId="77777777" w:rsidR="00CE012C" w:rsidRPr="00526ADC" w:rsidRDefault="00502009">
      <w:pPr>
        <w:spacing w:before="240" w:after="240" w:line="360" w:lineRule="auto"/>
        <w:jc w:val="center"/>
        <w:rPr>
          <w:rFonts w:ascii="Palatino Linotype" w:eastAsia="Palatino Linotype" w:hAnsi="Palatino Linotype" w:cs="Palatino Linotype"/>
        </w:rPr>
      </w:pPr>
      <w:r w:rsidRPr="00526ADC">
        <w:rPr>
          <w:rFonts w:ascii="Palatino Linotype" w:eastAsia="Palatino Linotype" w:hAnsi="Palatino Linotype" w:cs="Palatino Linotype"/>
          <w:noProof/>
        </w:rPr>
        <w:drawing>
          <wp:inline distT="0" distB="0" distL="0" distR="0" wp14:anchorId="6616650A" wp14:editId="042F23A7">
            <wp:extent cx="4860000" cy="2236307"/>
            <wp:effectExtent l="0" t="0" r="0" b="0"/>
            <wp:docPr id="1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860000" cy="2236307"/>
                    </a:xfrm>
                    <a:prstGeom prst="rect">
                      <a:avLst/>
                    </a:prstGeom>
                    <a:ln/>
                  </pic:spPr>
                </pic:pic>
              </a:graphicData>
            </a:graphic>
          </wp:inline>
        </w:drawing>
      </w:r>
    </w:p>
    <w:p w14:paraId="241BFCFB" w14:textId="77777777" w:rsidR="00CE012C" w:rsidRPr="00526ADC" w:rsidRDefault="00502009">
      <w:pPr>
        <w:spacing w:before="240" w:after="240" w:line="360" w:lineRule="auto"/>
        <w:jc w:val="center"/>
        <w:rPr>
          <w:rFonts w:ascii="Palatino Linotype" w:eastAsia="Palatino Linotype" w:hAnsi="Palatino Linotype" w:cs="Palatino Linotype"/>
        </w:rPr>
      </w:pPr>
      <w:r w:rsidRPr="00526ADC">
        <w:rPr>
          <w:rFonts w:ascii="Palatino Linotype" w:eastAsia="Palatino Linotype" w:hAnsi="Palatino Linotype" w:cs="Palatino Linotype"/>
          <w:noProof/>
        </w:rPr>
        <w:lastRenderedPageBreak/>
        <w:drawing>
          <wp:inline distT="0" distB="0" distL="0" distR="0" wp14:anchorId="1F776A2D" wp14:editId="43311624">
            <wp:extent cx="4860000" cy="6976009"/>
            <wp:effectExtent l="0" t="0" r="0" b="0"/>
            <wp:docPr id="1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b="419"/>
                    <a:stretch>
                      <a:fillRect/>
                    </a:stretch>
                  </pic:blipFill>
                  <pic:spPr>
                    <a:xfrm>
                      <a:off x="0" y="0"/>
                      <a:ext cx="4860000" cy="6976009"/>
                    </a:xfrm>
                    <a:prstGeom prst="rect">
                      <a:avLst/>
                    </a:prstGeom>
                    <a:ln/>
                  </pic:spPr>
                </pic:pic>
              </a:graphicData>
            </a:graphic>
          </wp:inline>
        </w:drawing>
      </w:r>
    </w:p>
    <w:p w14:paraId="60C4F7B5" w14:textId="77777777" w:rsidR="00CE012C" w:rsidRPr="00526ADC" w:rsidRDefault="00502009">
      <w:pPr>
        <w:spacing w:before="240" w:after="240" w:line="360" w:lineRule="auto"/>
        <w:jc w:val="center"/>
        <w:rPr>
          <w:rFonts w:ascii="Palatino Linotype" w:eastAsia="Palatino Linotype" w:hAnsi="Palatino Linotype" w:cs="Palatino Linotype"/>
        </w:rPr>
      </w:pPr>
      <w:r w:rsidRPr="00526ADC">
        <w:rPr>
          <w:rFonts w:ascii="Palatino Linotype" w:eastAsia="Palatino Linotype" w:hAnsi="Palatino Linotype" w:cs="Palatino Linotype"/>
          <w:noProof/>
        </w:rPr>
        <w:lastRenderedPageBreak/>
        <w:drawing>
          <wp:inline distT="0" distB="0" distL="0" distR="0" wp14:anchorId="4D2B3C18" wp14:editId="0EAD3678">
            <wp:extent cx="4860000" cy="1596858"/>
            <wp:effectExtent l="0" t="0" r="0" b="0"/>
            <wp:docPr id="1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860000" cy="1596858"/>
                    </a:xfrm>
                    <a:prstGeom prst="rect">
                      <a:avLst/>
                    </a:prstGeom>
                    <a:ln/>
                  </pic:spPr>
                </pic:pic>
              </a:graphicData>
            </a:graphic>
          </wp:inline>
        </w:drawing>
      </w:r>
    </w:p>
    <w:p w14:paraId="7F5FC260"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 Oficio número </w:t>
      </w:r>
      <w:proofErr w:type="spellStart"/>
      <w:r w:rsidRPr="00526ADC">
        <w:rPr>
          <w:rFonts w:ascii="Palatino Linotype" w:eastAsia="Palatino Linotype" w:hAnsi="Palatino Linotype" w:cs="Palatino Linotype"/>
        </w:rPr>
        <w:t>DDUyM</w:t>
      </w:r>
      <w:proofErr w:type="spellEnd"/>
      <w:r w:rsidRPr="00526ADC">
        <w:rPr>
          <w:rFonts w:ascii="Palatino Linotype" w:eastAsia="Palatino Linotype" w:hAnsi="Palatino Linotype" w:cs="Palatino Linotype"/>
        </w:rPr>
        <w:t xml:space="preserve">/892/2024, del veintiocho de octubre de dos mil veinticuatro, el Director de Desarrollo Urbano y Metropolitano hace de conocimiento al Director de Obras Públicas, que la obra Adecuación de espacios para Juzgado Cívico en el mercado municipal de San Mateo </w:t>
      </w:r>
      <w:proofErr w:type="spellStart"/>
      <w:r w:rsidRPr="00526ADC">
        <w:rPr>
          <w:rFonts w:ascii="Palatino Linotype" w:eastAsia="Palatino Linotype" w:hAnsi="Palatino Linotype" w:cs="Palatino Linotype"/>
        </w:rPr>
        <w:t>Xoloc</w:t>
      </w:r>
      <w:proofErr w:type="spellEnd"/>
      <w:r w:rsidRPr="00526ADC">
        <w:rPr>
          <w:rFonts w:ascii="Palatino Linotype" w:eastAsia="Palatino Linotype" w:hAnsi="Palatino Linotype" w:cs="Palatino Linotype"/>
        </w:rPr>
        <w:t>, en el municipio de Tepotzotlán, Estado de México, se encuentra en una zona urbanizable, siendo factible su construcción considerando las siguientes disposiciones:</w:t>
      </w:r>
    </w:p>
    <w:p w14:paraId="17B0E519" w14:textId="77777777" w:rsidR="00CE012C" w:rsidRPr="00526ADC" w:rsidRDefault="00502009">
      <w:pPr>
        <w:spacing w:before="240" w:after="240" w:line="360" w:lineRule="auto"/>
        <w:jc w:val="center"/>
        <w:rPr>
          <w:rFonts w:ascii="Palatino Linotype" w:eastAsia="Palatino Linotype" w:hAnsi="Palatino Linotype" w:cs="Palatino Linotype"/>
        </w:rPr>
      </w:pPr>
      <w:r w:rsidRPr="00526ADC">
        <w:rPr>
          <w:rFonts w:ascii="Palatino Linotype" w:eastAsia="Palatino Linotype" w:hAnsi="Palatino Linotype" w:cs="Palatino Linotype"/>
          <w:noProof/>
        </w:rPr>
        <w:drawing>
          <wp:inline distT="0" distB="0" distL="0" distR="0" wp14:anchorId="260F5397" wp14:editId="350691F6">
            <wp:extent cx="4860000" cy="907705"/>
            <wp:effectExtent l="0" t="0" r="0" b="0"/>
            <wp:docPr id="1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60000" cy="907705"/>
                    </a:xfrm>
                    <a:prstGeom prst="rect">
                      <a:avLst/>
                    </a:prstGeom>
                    <a:ln/>
                  </pic:spPr>
                </pic:pic>
              </a:graphicData>
            </a:graphic>
          </wp:inline>
        </w:drawing>
      </w:r>
      <w:r w:rsidRPr="00526ADC">
        <w:rPr>
          <w:rFonts w:ascii="Palatino Linotype" w:eastAsia="Palatino Linotype" w:hAnsi="Palatino Linotype" w:cs="Palatino Linotype"/>
        </w:rPr>
        <w:t xml:space="preserve"> </w:t>
      </w:r>
    </w:p>
    <w:p w14:paraId="7851AC3F"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Asimismo, manifestó que la obra que se pretende ejecutar se encuentra dentro del Centro Histórico del municipio, por lo que se debe atender lo señalado en el Reglamento de </w:t>
      </w:r>
      <w:proofErr w:type="spellStart"/>
      <w:r w:rsidRPr="00526ADC">
        <w:rPr>
          <w:rFonts w:ascii="Palatino Linotype" w:eastAsia="Palatino Linotype" w:hAnsi="Palatino Linotype" w:cs="Palatino Linotype"/>
        </w:rPr>
        <w:t>Imágen</w:t>
      </w:r>
      <w:proofErr w:type="spellEnd"/>
      <w:r w:rsidRPr="00526ADC">
        <w:rPr>
          <w:rFonts w:ascii="Palatino Linotype" w:eastAsia="Palatino Linotype" w:hAnsi="Palatino Linotype" w:cs="Palatino Linotype"/>
        </w:rPr>
        <w:t xml:space="preserve"> del Municipio de Tepotzotlán vigente.</w:t>
      </w:r>
    </w:p>
    <w:p w14:paraId="7049E79E"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Una vez analizada dicha información se hizo del conocimiento de 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sin que hiciera manifestación alguna. </w:t>
      </w:r>
    </w:p>
    <w:p w14:paraId="5E47869E" w14:textId="77777777" w:rsidR="00CE012C" w:rsidRPr="00526ADC" w:rsidRDefault="00502009">
      <w:pPr>
        <w:widowControl w:val="0"/>
        <w:spacing w:before="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 xml:space="preserve">8. Cierre de instrucción. </w:t>
      </w:r>
      <w:r w:rsidRPr="00526ADC">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526ADC">
        <w:rPr>
          <w:rFonts w:ascii="Palatino Linotype" w:eastAsia="Palatino Linotype" w:hAnsi="Palatino Linotype" w:cs="Palatino Linotype"/>
        </w:rPr>
        <w:lastRenderedPageBreak/>
        <w:t xml:space="preserve">el </w:t>
      </w:r>
      <w:r w:rsidRPr="00526ADC">
        <w:rPr>
          <w:rFonts w:ascii="Palatino Linotype" w:eastAsia="Palatino Linotype" w:hAnsi="Palatino Linotype" w:cs="Palatino Linotype"/>
          <w:b/>
        </w:rPr>
        <w:t>trece de febrero de dos mil veinticinco</w:t>
      </w:r>
      <w:r w:rsidRPr="00526AD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9043CBA"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29AA9E7" w14:textId="77777777" w:rsidR="00CE012C" w:rsidRPr="00526ADC" w:rsidRDefault="00502009">
      <w:pPr>
        <w:widowControl w:val="0"/>
        <w:spacing w:before="240" w:after="240" w:line="360" w:lineRule="auto"/>
        <w:jc w:val="center"/>
        <w:rPr>
          <w:rFonts w:ascii="Palatino Linotype" w:eastAsia="Palatino Linotype" w:hAnsi="Palatino Linotype" w:cs="Palatino Linotype"/>
          <w:b/>
        </w:rPr>
      </w:pPr>
      <w:r w:rsidRPr="00526ADC">
        <w:rPr>
          <w:rFonts w:ascii="Palatino Linotype" w:eastAsia="Palatino Linotype" w:hAnsi="Palatino Linotype" w:cs="Palatino Linotype"/>
          <w:b/>
        </w:rPr>
        <w:t>II. C O N S I D E R A N D O S</w:t>
      </w:r>
    </w:p>
    <w:p w14:paraId="7274BFFB"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Primero. Competencia.</w:t>
      </w:r>
      <w:r w:rsidRPr="00526AD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3F601D0" w14:textId="77777777" w:rsidR="00CE012C" w:rsidRPr="00526ADC" w:rsidRDefault="00502009">
      <w:pPr>
        <w:spacing w:before="240" w:after="240" w:line="360" w:lineRule="auto"/>
        <w:jc w:val="both"/>
        <w:rPr>
          <w:rFonts w:ascii="Palatino Linotype" w:eastAsia="Palatino Linotype" w:hAnsi="Palatino Linotype" w:cs="Palatino Linotype"/>
        </w:rPr>
      </w:pPr>
      <w:bookmarkStart w:id="4" w:name="_heading=h.q9a5pqst6so" w:colFirst="0" w:colLast="0"/>
      <w:bookmarkEnd w:id="4"/>
      <w:r w:rsidRPr="00526ADC">
        <w:rPr>
          <w:rFonts w:ascii="Palatino Linotype" w:eastAsia="Palatino Linotype" w:hAnsi="Palatino Linotype" w:cs="Palatino Linotype"/>
          <w:b/>
        </w:rPr>
        <w:t xml:space="preserve">Segundo. Oportunidad y Procedibilidad. </w:t>
      </w:r>
      <w:r w:rsidRPr="00526ADC">
        <w:rPr>
          <w:rFonts w:ascii="Palatino Linotype" w:eastAsia="Palatino Linotype" w:hAnsi="Palatino Linotype" w:cs="Palatino Linotype"/>
        </w:rPr>
        <w:t>Es de precisar que la</w:t>
      </w:r>
      <w:r w:rsidRPr="00526ADC">
        <w:rPr>
          <w:rFonts w:ascii="Palatino Linotype" w:eastAsia="Palatino Linotype" w:hAnsi="Palatino Linotype" w:cs="Palatino Linotype"/>
          <w:b/>
        </w:rPr>
        <w:t xml:space="preserve"> </w:t>
      </w:r>
      <w:r w:rsidRPr="00526ADC">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0FB04555" w14:textId="77777777" w:rsidR="00CE012C" w:rsidRPr="00526ADC" w:rsidRDefault="00502009">
      <w:pPr>
        <w:ind w:left="851" w:right="851"/>
        <w:jc w:val="both"/>
        <w:rPr>
          <w:rFonts w:ascii="Palatino Linotype" w:eastAsia="Palatino Linotype" w:hAnsi="Palatino Linotype" w:cs="Palatino Linotype"/>
          <w:i/>
        </w:rPr>
      </w:pPr>
      <w:r w:rsidRPr="00526ADC">
        <w:rPr>
          <w:rFonts w:ascii="Palatino Linotype" w:eastAsia="Palatino Linotype" w:hAnsi="Palatino Linotype" w:cs="Palatino Linotype"/>
          <w:i/>
          <w:sz w:val="22"/>
          <w:szCs w:val="22"/>
        </w:rPr>
        <w:lastRenderedPageBreak/>
        <w:t>“</w:t>
      </w:r>
      <w:r w:rsidRPr="00526ADC">
        <w:rPr>
          <w:rFonts w:ascii="Palatino Linotype" w:eastAsia="Palatino Linotype" w:hAnsi="Palatino Linotype" w:cs="Palatino Linotype"/>
          <w:b/>
          <w:i/>
          <w:sz w:val="22"/>
          <w:szCs w:val="22"/>
        </w:rPr>
        <w:t xml:space="preserve">Artículo 163. </w:t>
      </w:r>
      <w:r w:rsidRPr="00526ADC">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78608D44" w14:textId="77777777" w:rsidR="00CE012C" w:rsidRPr="00526ADC" w:rsidRDefault="00502009">
      <w:pPr>
        <w:ind w:left="851" w:right="851"/>
        <w:jc w:val="both"/>
        <w:rPr>
          <w:rFonts w:ascii="Palatino Linotype" w:eastAsia="Palatino Linotype" w:hAnsi="Palatino Linotype" w:cs="Palatino Linotype"/>
          <w:i/>
        </w:rPr>
      </w:pPr>
      <w:r w:rsidRPr="00526ADC">
        <w:rPr>
          <w:rFonts w:ascii="Palatino Linotype" w:eastAsia="Palatino Linotype" w:hAnsi="Palatino Linotype" w:cs="Palatino Linotype"/>
          <w:i/>
          <w:sz w:val="22"/>
          <w:szCs w:val="22"/>
        </w:rPr>
        <w:t>…</w:t>
      </w:r>
    </w:p>
    <w:p w14:paraId="2B185D2B" w14:textId="77777777" w:rsidR="00CE012C" w:rsidRPr="00526ADC" w:rsidRDefault="00502009">
      <w:pPr>
        <w:ind w:left="851" w:right="851"/>
        <w:jc w:val="both"/>
        <w:rPr>
          <w:rFonts w:ascii="Palatino Linotype" w:eastAsia="Palatino Linotype" w:hAnsi="Palatino Linotype" w:cs="Palatino Linotype"/>
          <w:i/>
        </w:rPr>
      </w:pPr>
      <w:r w:rsidRPr="00526ADC">
        <w:rPr>
          <w:rFonts w:ascii="Palatino Linotype" w:eastAsia="Palatino Linotype" w:hAnsi="Palatino Linotype" w:cs="Palatino Linotype"/>
          <w:b/>
          <w:i/>
          <w:sz w:val="22"/>
          <w:szCs w:val="22"/>
        </w:rPr>
        <w:t>Artículo 166.</w:t>
      </w:r>
      <w:r w:rsidRPr="00526ADC">
        <w:rPr>
          <w:rFonts w:ascii="Palatino Linotype" w:eastAsia="Palatino Linotype" w:hAnsi="Palatino Linotype" w:cs="Palatino Linotype"/>
          <w:i/>
          <w:sz w:val="22"/>
          <w:szCs w:val="22"/>
        </w:rPr>
        <w:t xml:space="preserve"> […]</w:t>
      </w:r>
    </w:p>
    <w:p w14:paraId="60BB1103" w14:textId="77777777" w:rsidR="00CE012C" w:rsidRPr="00526ADC" w:rsidRDefault="00502009">
      <w:pPr>
        <w:ind w:left="851" w:right="851"/>
        <w:jc w:val="both"/>
        <w:rPr>
          <w:rFonts w:ascii="Palatino Linotype" w:eastAsia="Palatino Linotype" w:hAnsi="Palatino Linotype" w:cs="Palatino Linotype"/>
          <w:i/>
        </w:rPr>
      </w:pPr>
      <w:r w:rsidRPr="00526ADC">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03888A7E"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persona solicitante le asiste el derecho para presentar el recurso de revisión.</w:t>
      </w:r>
    </w:p>
    <w:p w14:paraId="2835B48E"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2F5C6894" w14:textId="77777777" w:rsidR="00CE012C" w:rsidRPr="00526ADC" w:rsidRDefault="00502009">
      <w:pPr>
        <w:spacing w:before="240" w:after="240" w:line="360" w:lineRule="auto"/>
        <w:jc w:val="both"/>
        <w:rPr>
          <w:rFonts w:ascii="Palatino Linotype" w:eastAsia="Palatino Linotype" w:hAnsi="Palatino Linotype" w:cs="Palatino Linotype"/>
          <w:i/>
        </w:rPr>
      </w:pPr>
      <w:r w:rsidRPr="00526ADC">
        <w:rPr>
          <w:rFonts w:ascii="Palatino Linotype" w:eastAsia="Palatino Linotype" w:hAnsi="Palatino Linotype" w:cs="Palatino Linotype"/>
        </w:rPr>
        <w:t>Por su parte, el artículo 178 del citado ordenamiento, establece:</w:t>
      </w:r>
    </w:p>
    <w:p w14:paraId="0724CA10" w14:textId="77777777" w:rsidR="00CE012C" w:rsidRPr="00526ADC" w:rsidRDefault="00502009">
      <w:pPr>
        <w:spacing w:before="120" w:after="120"/>
        <w:ind w:left="851" w:right="851"/>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 xml:space="preserve">Artículo 178. </w:t>
      </w:r>
      <w:r w:rsidRPr="00526AD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968888D" w14:textId="77777777" w:rsidR="00CE012C" w:rsidRPr="00526ADC" w:rsidRDefault="00502009">
      <w:pPr>
        <w:spacing w:before="120" w:after="120"/>
        <w:ind w:left="851" w:right="851"/>
        <w:jc w:val="both"/>
        <w:rPr>
          <w:rFonts w:ascii="Palatino Linotype" w:eastAsia="Palatino Linotype" w:hAnsi="Palatino Linotype" w:cs="Palatino Linotype"/>
          <w:i/>
          <w:sz w:val="20"/>
          <w:szCs w:val="20"/>
        </w:rPr>
      </w:pPr>
      <w:r w:rsidRPr="00526ADC">
        <w:rPr>
          <w:rFonts w:ascii="Palatino Linotype" w:eastAsia="Palatino Linotype" w:hAnsi="Palatino Linotype" w:cs="Palatino Linotype"/>
          <w:i/>
          <w:sz w:val="22"/>
          <w:szCs w:val="22"/>
        </w:rPr>
        <w:t xml:space="preserve">A falta de respuesta del sujeto obligado, dentro de los plazos establecidos en esta Ley, a una solicitud de acceso a la información pública, el recurso podrá ser </w:t>
      </w:r>
      <w:r w:rsidRPr="00526ADC">
        <w:rPr>
          <w:rFonts w:ascii="Palatino Linotype" w:eastAsia="Palatino Linotype" w:hAnsi="Palatino Linotype" w:cs="Palatino Linotype"/>
          <w:i/>
          <w:sz w:val="22"/>
          <w:szCs w:val="22"/>
        </w:rPr>
        <w:lastRenderedPageBreak/>
        <w:t>interpuesto en cualquier momento, acompañado con el documento que pruebe la fecha en que presentó la solicitud.”</w:t>
      </w:r>
    </w:p>
    <w:p w14:paraId="2A4B60AA"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14:paraId="28C832A0"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La negativa ficta constituye una presunción legal, en el entendido de que donde no hubo respuesta por parte del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234AE7F0"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w:t>
      </w:r>
      <w:r w:rsidRPr="00526ADC">
        <w:rPr>
          <w:rFonts w:ascii="Palatino Linotype" w:eastAsia="Palatino Linotype" w:hAnsi="Palatino Linotype" w:cs="Palatino Linotype"/>
        </w:rPr>
        <w:lastRenderedPageBreak/>
        <w:t xml:space="preserve">de máxima publicidad deberá dar entrada al estudio del fondo del recurso interpuesto en dichos casos y no optar por el </w:t>
      </w:r>
      <w:proofErr w:type="spellStart"/>
      <w:r w:rsidRPr="00526ADC">
        <w:rPr>
          <w:rFonts w:ascii="Palatino Linotype" w:eastAsia="Palatino Linotype" w:hAnsi="Palatino Linotype" w:cs="Palatino Linotype"/>
        </w:rPr>
        <w:t>desechamiento</w:t>
      </w:r>
      <w:proofErr w:type="spellEnd"/>
      <w:r w:rsidRPr="00526ADC">
        <w:rPr>
          <w:rFonts w:ascii="Palatino Linotype" w:eastAsia="Palatino Linotype" w:hAnsi="Palatino Linotype" w:cs="Palatino Linotype"/>
        </w:rPr>
        <w:t xml:space="preserve"> del mismo.</w:t>
      </w:r>
    </w:p>
    <w:p w14:paraId="0BB0A46D" w14:textId="77777777" w:rsidR="00CE012C" w:rsidRPr="00526ADC" w:rsidRDefault="00502009">
      <w:pPr>
        <w:spacing w:before="240" w:after="240" w:line="360" w:lineRule="auto"/>
        <w:jc w:val="both"/>
        <w:rPr>
          <w:rFonts w:ascii="Palatino Linotype" w:eastAsia="Palatino Linotype" w:hAnsi="Palatino Linotype" w:cs="Palatino Linotype"/>
          <w:i/>
        </w:rPr>
      </w:pPr>
      <w:r w:rsidRPr="00526ADC">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12A0B2F5" w14:textId="77777777" w:rsidR="00CE012C" w:rsidRPr="00526ADC" w:rsidRDefault="00502009">
      <w:pPr>
        <w:ind w:left="851" w:right="851"/>
        <w:jc w:val="both"/>
        <w:rPr>
          <w:rFonts w:ascii="Palatino Linotype" w:eastAsia="Palatino Linotype" w:hAnsi="Palatino Linotype" w:cs="Palatino Linotype"/>
          <w:i/>
        </w:rPr>
      </w:pPr>
      <w:r w:rsidRPr="00526ADC">
        <w:rPr>
          <w:rFonts w:ascii="Palatino Linotype" w:eastAsia="Palatino Linotype" w:hAnsi="Palatino Linotype" w:cs="Palatino Linotype"/>
          <w:b/>
          <w:i/>
          <w:sz w:val="22"/>
          <w:szCs w:val="22"/>
        </w:rPr>
        <w:t>“CRITERIO 0001-15. NEGATIVA FICTA. PLAZO PARA INTERPONER EL RECURSO DE REVISIÓN TRATÁNDOSE DE</w:t>
      </w:r>
      <w:r w:rsidRPr="00526ADC">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526ADC">
        <w:rPr>
          <w:rFonts w:ascii="Palatino Linotype" w:eastAsia="Palatino Linotype" w:hAnsi="Palatino Linotype" w:cs="Palatino Linotype"/>
          <w:i/>
        </w:rPr>
        <w:t xml:space="preserve"> </w:t>
      </w:r>
    </w:p>
    <w:p w14:paraId="39FE0DD0" w14:textId="77777777" w:rsidR="00CE012C" w:rsidRPr="00526ADC" w:rsidRDefault="00502009">
      <w:pPr>
        <w:tabs>
          <w:tab w:val="left" w:pos="7938"/>
        </w:tabs>
        <w:spacing w:before="240" w:after="240" w:line="360" w:lineRule="auto"/>
        <w:jc w:val="both"/>
        <w:rPr>
          <w:rFonts w:ascii="Palatino Linotype" w:eastAsia="Palatino Linotype" w:hAnsi="Palatino Linotype" w:cs="Palatino Linotype"/>
        </w:rPr>
      </w:pPr>
      <w:bookmarkStart w:id="5" w:name="_heading=h.2et92p0" w:colFirst="0" w:colLast="0"/>
      <w:bookmarkEnd w:id="5"/>
      <w:r w:rsidRPr="00526ADC">
        <w:rPr>
          <w:rFonts w:ascii="Palatino Linotype" w:eastAsia="Palatino Linotype" w:hAnsi="Palatino Linotype" w:cs="Palatino Linotype"/>
        </w:rPr>
        <w:t xml:space="preserve">Al mismo tiempo, por cuanto hace a la procedibilidad del recurso de revisión, una vez realizado el análisis del formato de interposición del recurso, se concluye la </w:t>
      </w:r>
      <w:r w:rsidRPr="00526ADC">
        <w:rPr>
          <w:rFonts w:ascii="Palatino Linotype" w:eastAsia="Palatino Linotype" w:hAnsi="Palatino Linotype" w:cs="Palatino Linotype"/>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14:paraId="6264AFDD"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4BBBA02E" w14:textId="77777777" w:rsidR="00CE012C" w:rsidRPr="00526ADC" w:rsidRDefault="00502009">
      <w:pPr>
        <w:ind w:left="851" w:right="851"/>
        <w:jc w:val="both"/>
        <w:rPr>
          <w:rFonts w:ascii="Palatino Linotype" w:eastAsia="Palatino Linotype" w:hAnsi="Palatino Linotype" w:cs="Palatino Linotype"/>
          <w:i/>
        </w:rPr>
      </w:pP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 xml:space="preserve">Artículo 179. </w:t>
      </w:r>
      <w:r w:rsidRPr="00526AD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7FCD7F4" w14:textId="77777777" w:rsidR="00CE012C" w:rsidRPr="00526ADC" w:rsidRDefault="00502009">
      <w:pPr>
        <w:ind w:left="1134" w:right="851"/>
        <w:jc w:val="both"/>
        <w:rPr>
          <w:rFonts w:ascii="Palatino Linotype" w:eastAsia="Palatino Linotype" w:hAnsi="Palatino Linotype" w:cs="Palatino Linotype"/>
          <w:i/>
        </w:rPr>
      </w:pPr>
      <w:r w:rsidRPr="00526ADC">
        <w:rPr>
          <w:rFonts w:ascii="Palatino Linotype" w:eastAsia="Palatino Linotype" w:hAnsi="Palatino Linotype" w:cs="Palatino Linotype"/>
          <w:i/>
        </w:rPr>
        <w:t>…</w:t>
      </w:r>
    </w:p>
    <w:p w14:paraId="39F5A447" w14:textId="77777777" w:rsidR="00CE012C" w:rsidRPr="00526ADC" w:rsidRDefault="00502009">
      <w:pPr>
        <w:ind w:left="1134" w:right="851"/>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 xml:space="preserve">VII. </w:t>
      </w:r>
      <w:r w:rsidRPr="00526ADC">
        <w:rPr>
          <w:rFonts w:ascii="Palatino Linotype" w:eastAsia="Palatino Linotype" w:hAnsi="Palatino Linotype" w:cs="Palatino Linotype"/>
          <w:i/>
          <w:sz w:val="22"/>
          <w:szCs w:val="22"/>
        </w:rPr>
        <w:t>La falta de respuesta a una solicitud de acceso a la información;”</w:t>
      </w:r>
    </w:p>
    <w:p w14:paraId="1FABFC5B"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El precepto legal citado, establece como supuesto de procedencia del recurso de revisión, en aquellos casos en que la parte </w:t>
      </w:r>
      <w:r w:rsidRPr="00526ADC">
        <w:rPr>
          <w:rFonts w:ascii="Palatino Linotype" w:eastAsia="Palatino Linotype" w:hAnsi="Palatino Linotype" w:cs="Palatino Linotype"/>
          <w:b/>
        </w:rPr>
        <w:t xml:space="preserve">Recurrente </w:t>
      </w:r>
      <w:r w:rsidRPr="00526ADC">
        <w:rPr>
          <w:rFonts w:ascii="Palatino Linotype" w:eastAsia="Palatino Linotype" w:hAnsi="Palatino Linotype" w:cs="Palatino Linotype"/>
        </w:rPr>
        <w:t xml:space="preserve">estime negado el acceso a la información por la falta de respuesta por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en este asunto se actualiza la hipótesis jurídica citada, en atención a que 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combate falta de trámite por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y expresa motivos de inconformidad en contra de dicha circunstancia.</w:t>
      </w:r>
    </w:p>
    <w:p w14:paraId="23FCEA41" w14:textId="77777777" w:rsidR="00CE012C" w:rsidRPr="00526ADC" w:rsidRDefault="00502009">
      <w:pPr>
        <w:tabs>
          <w:tab w:val="left" w:pos="8647"/>
        </w:tabs>
        <w:spacing w:before="240" w:after="240" w:line="360" w:lineRule="auto"/>
        <w:jc w:val="both"/>
        <w:rPr>
          <w:rFonts w:ascii="Palatino Linotype" w:eastAsia="Palatino Linotype" w:hAnsi="Palatino Linotype" w:cs="Palatino Linotype"/>
          <w:b/>
        </w:rPr>
      </w:pPr>
      <w:r w:rsidRPr="00526ADC">
        <w:rPr>
          <w:rFonts w:ascii="Palatino Linotype" w:eastAsia="Palatino Linotype" w:hAnsi="Palatino Linotype" w:cs="Palatino Linotype"/>
          <w:b/>
        </w:rPr>
        <w:t xml:space="preserve">Tercero. Materia de la revisión. </w:t>
      </w:r>
      <w:r w:rsidRPr="00526ADC">
        <w:rPr>
          <w:rFonts w:ascii="Palatino Linotype" w:eastAsia="Palatino Linotype" w:hAnsi="Palatino Linotype" w:cs="Palatino Linotype"/>
        </w:rPr>
        <w:t xml:space="preserve">Este Organismo Garante procede del análisis de los agravios hechos valer por 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38B3861F" w14:textId="77777777" w:rsidR="00CE012C" w:rsidRPr="00526ADC" w:rsidRDefault="00502009">
      <w:pPr>
        <w:spacing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lastRenderedPageBreak/>
        <w:t xml:space="preserve">Cuarto. Estudio del asunto. </w:t>
      </w:r>
      <w:r w:rsidRPr="00526ADC">
        <w:rPr>
          <w:rFonts w:ascii="Palatino Linotype" w:eastAsia="Palatino Linotype" w:hAnsi="Palatino Linotype" w:cs="Palatino Linotype"/>
        </w:rPr>
        <w:t>En primer lugar,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5A2D2A2D"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rPr>
        <w:t xml:space="preserve"> </w:t>
      </w: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Artículo 4.</w:t>
      </w:r>
      <w:r w:rsidRPr="00526AD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B7F52A"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26AD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945068D"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8193533"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“Artículo 12</w:t>
      </w:r>
      <w:r w:rsidRPr="00526AD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A1AC78A"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w:t>
      </w:r>
      <w:r w:rsidRPr="00526ADC">
        <w:rPr>
          <w:rFonts w:ascii="Palatino Linotype" w:eastAsia="Palatino Linotype" w:hAnsi="Palatino Linotype" w:cs="Palatino Linotype"/>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w:t>
      </w:r>
    </w:p>
    <w:p w14:paraId="40659CB9"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526ADC">
        <w:rPr>
          <w:rFonts w:ascii="Palatino Linotype" w:eastAsia="Palatino Linotype" w:hAnsi="Palatino Linotype" w:cs="Palatino Linotype"/>
          <w:b/>
        </w:rPr>
        <w:t xml:space="preserve"> </w:t>
      </w:r>
      <w:r w:rsidRPr="00526ADC">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526ADC">
        <w:rPr>
          <w:rFonts w:ascii="Palatino Linotype" w:eastAsia="Palatino Linotype" w:hAnsi="Palatino Linotype" w:cs="Palatino Linotype"/>
          <w:i/>
        </w:rPr>
        <w:t>ad hoc</w:t>
      </w:r>
      <w:r w:rsidRPr="00526ADC">
        <w:rPr>
          <w:rFonts w:ascii="Palatino Linotype" w:eastAsia="Palatino Linotype" w:hAnsi="Palatino Linotype" w:cs="Palatino Linotype"/>
        </w:rPr>
        <w:t>, para satisfacer el derecho de acceso a la información pública.</w:t>
      </w:r>
    </w:p>
    <w:p w14:paraId="153A49C4"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Aunado a ello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82C8E89"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26ADC">
        <w:rPr>
          <w:rFonts w:ascii="Palatino Linotype" w:eastAsia="Palatino Linotype" w:hAnsi="Palatino Linotype" w:cs="Palatino Linotype"/>
          <w:b/>
        </w:rPr>
        <w:t>cualquier otro registro que documente el ejercicio de las facultades, funciones y competencias de los Sujetos Obligados</w:t>
      </w:r>
      <w:r w:rsidRPr="00526ADC">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60650FA9"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lastRenderedPageBreak/>
        <w:t>“</w:t>
      </w:r>
      <w:r w:rsidRPr="00526ADC">
        <w:rPr>
          <w:rFonts w:ascii="Palatino Linotype" w:eastAsia="Palatino Linotype" w:hAnsi="Palatino Linotype" w:cs="Palatino Linotype"/>
          <w:b/>
          <w:i/>
          <w:sz w:val="22"/>
          <w:szCs w:val="22"/>
        </w:rPr>
        <w:t xml:space="preserve">Artículo 3. </w:t>
      </w:r>
      <w:r w:rsidRPr="00526ADC">
        <w:rPr>
          <w:rFonts w:ascii="Palatino Linotype" w:eastAsia="Palatino Linotype" w:hAnsi="Palatino Linotype" w:cs="Palatino Linotype"/>
          <w:i/>
          <w:sz w:val="22"/>
          <w:szCs w:val="22"/>
        </w:rPr>
        <w:t>Para los efectos de la presente Ley se entenderá por:</w:t>
      </w:r>
    </w:p>
    <w:p w14:paraId="2016A3D5"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1F97E943"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XI. Documento:</w:t>
      </w:r>
      <w:r w:rsidRPr="00526AD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26ADC">
        <w:rPr>
          <w:rFonts w:ascii="Palatino Linotype" w:eastAsia="Palatino Linotype" w:hAnsi="Palatino Linotype" w:cs="Palatino Linotype"/>
          <w:b/>
          <w:i/>
          <w:sz w:val="22"/>
          <w:szCs w:val="22"/>
        </w:rPr>
        <w:t>…</w:t>
      </w:r>
      <w:r w:rsidRPr="00526ADC">
        <w:rPr>
          <w:rFonts w:ascii="Palatino Linotype" w:eastAsia="Palatino Linotype" w:hAnsi="Palatino Linotype" w:cs="Palatino Linotype"/>
          <w:i/>
          <w:sz w:val="22"/>
          <w:szCs w:val="22"/>
        </w:rPr>
        <w:t>”</w:t>
      </w:r>
    </w:p>
    <w:p w14:paraId="21DC82BD"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3904682" w14:textId="77777777" w:rsidR="00CE012C" w:rsidRPr="00526ADC" w:rsidRDefault="00502009">
      <w:pPr>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sz w:val="22"/>
          <w:szCs w:val="22"/>
        </w:rPr>
        <w:t>“</w:t>
      </w:r>
      <w:r w:rsidRPr="00526AD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26AD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EDA564"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7EEE80F"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34975AB"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44340261" w14:textId="77777777" w:rsidR="00CE012C" w:rsidRPr="00526ADC" w:rsidRDefault="00502009">
      <w:pPr>
        <w:spacing w:before="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lastRenderedPageBreak/>
        <w:t>3) Que se trate de información registrada en cualquier soporte documental, que en ejercicio de las atribuciones conferidas, se encuentre en posesión de los Sujetos Obligados.”</w:t>
      </w:r>
    </w:p>
    <w:p w14:paraId="1A4C143D" w14:textId="77777777" w:rsidR="00CE012C" w:rsidRPr="00526ADC" w:rsidRDefault="00502009">
      <w:pPr>
        <w:spacing w:before="280" w:after="28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Acotado lo anterior, del análisis de las constancias que integran el expediente se concluye que los motivos de inconformidad vertidos por 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resultan fundados, en virtud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omitió dar contestación a la solicitud de información, mediante la cual se requirió la siguiente información:</w:t>
      </w:r>
    </w:p>
    <w:p w14:paraId="73B12932" w14:textId="77777777" w:rsidR="00CE012C" w:rsidRPr="00526ADC" w:rsidRDefault="00502009">
      <w:pPr>
        <w:spacing w:before="280" w:after="280" w:line="360" w:lineRule="auto"/>
        <w:jc w:val="both"/>
        <w:rPr>
          <w:rFonts w:ascii="Palatino Linotype" w:eastAsia="Palatino Linotype" w:hAnsi="Palatino Linotype" w:cs="Palatino Linotype"/>
          <w:sz w:val="28"/>
          <w:szCs w:val="28"/>
        </w:rPr>
      </w:pPr>
      <w:r w:rsidRPr="00526ADC">
        <w:rPr>
          <w:rFonts w:ascii="Palatino Linotype" w:eastAsia="Palatino Linotype" w:hAnsi="Palatino Linotype" w:cs="Palatino Linotype"/>
        </w:rPr>
        <w:t>Respecto de la Adecuación de espacios para juzgado cívico en el mercado municipal de San Mateo con una inversión de $3,017,320.60, realizada mediante invitación restringida, que se contempla en el Programa Anual de Obra, 2024:</w:t>
      </w:r>
    </w:p>
    <w:p w14:paraId="6E86567A" w14:textId="77777777" w:rsidR="00CE012C" w:rsidRPr="00526ADC" w:rsidRDefault="00502009">
      <w:pPr>
        <w:spacing w:before="280" w:after="280" w:line="360" w:lineRule="auto"/>
        <w:ind w:left="284"/>
        <w:jc w:val="both"/>
        <w:rPr>
          <w:rFonts w:ascii="Palatino Linotype" w:eastAsia="Palatino Linotype" w:hAnsi="Palatino Linotype" w:cs="Palatino Linotype"/>
        </w:rPr>
      </w:pPr>
      <w:r w:rsidRPr="00526ADC">
        <w:rPr>
          <w:rFonts w:ascii="Palatino Linotype" w:eastAsia="Palatino Linotype" w:hAnsi="Palatino Linotype" w:cs="Palatino Linotype"/>
        </w:rPr>
        <w:t>1. Acta de Cabildo en donde se aprueba la construcción de Juzgados Cívicos en el Mercado Municipal de San Mateo.</w:t>
      </w:r>
    </w:p>
    <w:p w14:paraId="32B07524" w14:textId="77777777" w:rsidR="00CE012C" w:rsidRPr="00526ADC" w:rsidRDefault="00502009">
      <w:pPr>
        <w:spacing w:before="280" w:after="280" w:line="360" w:lineRule="auto"/>
        <w:ind w:left="284"/>
        <w:jc w:val="both"/>
        <w:rPr>
          <w:rFonts w:ascii="Palatino Linotype" w:eastAsia="Palatino Linotype" w:hAnsi="Palatino Linotype" w:cs="Palatino Linotype"/>
        </w:rPr>
      </w:pPr>
      <w:r w:rsidRPr="00526ADC">
        <w:rPr>
          <w:rFonts w:ascii="Palatino Linotype" w:eastAsia="Palatino Linotype" w:hAnsi="Palatino Linotype" w:cs="Palatino Linotype"/>
        </w:rPr>
        <w:t>2. Aprobación normativa del responsable donde se puede cambiar una instalación de mercado municipal a juzgados cívicos.</w:t>
      </w:r>
    </w:p>
    <w:p w14:paraId="368AB26E" w14:textId="77777777" w:rsidR="00CE012C" w:rsidRPr="00526ADC" w:rsidRDefault="00502009">
      <w:pPr>
        <w:spacing w:before="240" w:after="240" w:line="360" w:lineRule="auto"/>
        <w:jc w:val="both"/>
        <w:rPr>
          <w:rFonts w:ascii="Palatino Linotype" w:eastAsia="Palatino Linotype" w:hAnsi="Palatino Linotype" w:cs="Palatino Linotype"/>
          <w:b/>
          <w:u w:val="single"/>
        </w:rPr>
      </w:pPr>
      <w:r w:rsidRPr="00526ADC">
        <w:rPr>
          <w:rFonts w:ascii="Palatino Linotype" w:eastAsia="Palatino Linotype" w:hAnsi="Palatino Linotype" w:cs="Palatino Linotype"/>
        </w:rPr>
        <w:t xml:space="preserve">Como se mencionó en los antecedentes de la presente resolución, el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 xml:space="preserve">no emitió respuesta a la solicitud, situación que motivó la interposición del recurso de revisión que nos ocupa, donde la persona solicitante alegó que el ayuntamiento no respondió la petición, </w:t>
      </w:r>
      <w:r w:rsidRPr="00526ADC">
        <w:rPr>
          <w:rFonts w:ascii="Palatino Linotype" w:eastAsia="Palatino Linotype" w:hAnsi="Palatino Linotype" w:cs="Palatino Linotype"/>
          <w:b/>
          <w:u w:val="single"/>
        </w:rPr>
        <w:t xml:space="preserve">al no haberse entregado el acta de cabildo donde se aprueban las modificaciones y adecuaciones al mercado municipal de San Mateo </w:t>
      </w:r>
      <w:proofErr w:type="spellStart"/>
      <w:r w:rsidRPr="00526ADC">
        <w:rPr>
          <w:rFonts w:ascii="Palatino Linotype" w:eastAsia="Palatino Linotype" w:hAnsi="Palatino Linotype" w:cs="Palatino Linotype"/>
          <w:b/>
          <w:u w:val="single"/>
        </w:rPr>
        <w:t>Xoloc</w:t>
      </w:r>
      <w:proofErr w:type="spellEnd"/>
      <w:r w:rsidRPr="00526ADC">
        <w:rPr>
          <w:rFonts w:ascii="Palatino Linotype" w:eastAsia="Palatino Linotype" w:hAnsi="Palatino Linotype" w:cs="Palatino Linotype"/>
          <w:b/>
          <w:u w:val="single"/>
        </w:rPr>
        <w:t xml:space="preserve"> para convertirse en Juzgados Cívicos.</w:t>
      </w:r>
    </w:p>
    <w:p w14:paraId="01EC0353"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Es de señalar que de la lectura del motivo de inconformidad de la parte </w:t>
      </w:r>
      <w:r w:rsidRPr="00526ADC">
        <w:rPr>
          <w:rFonts w:ascii="Palatino Linotype" w:eastAsia="Palatino Linotype" w:hAnsi="Palatino Linotype" w:cs="Palatino Linotype"/>
          <w:b/>
        </w:rPr>
        <w:t xml:space="preserve">Recurrente, </w:t>
      </w:r>
      <w:r w:rsidRPr="00526ADC">
        <w:rPr>
          <w:rFonts w:ascii="Palatino Linotype" w:eastAsia="Palatino Linotype" w:hAnsi="Palatino Linotype" w:cs="Palatino Linotype"/>
        </w:rPr>
        <w:t xml:space="preserve">no se advierte que esta hubiera manifestado agravios respecto a la falta de respuesta </w:t>
      </w:r>
      <w:r w:rsidRPr="00526ADC">
        <w:rPr>
          <w:rFonts w:ascii="Palatino Linotype" w:eastAsia="Palatino Linotype" w:hAnsi="Palatino Linotype" w:cs="Palatino Linotype"/>
        </w:rPr>
        <w:lastRenderedPageBreak/>
        <w:t>al requerimiento de información marcado con el numeral 2, relativo a la aprobación normativa del responsable donde se puede cambiar una instalación de mercado municipal a juzgados cívicos, como se advierte en el antecedente 4 de la presente resolución, por tanto, debe declararse consentido el acto, pues al no haber realizado manifestaciones de inconformidad al respecto, no pueden producirse efectos jurídicos tendentes a revocar, confirmar o modificar el acto, y por consiguiente, no es procedente el análisis de fondo en la resolución.</w:t>
      </w:r>
    </w:p>
    <w:p w14:paraId="56484711"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2DDB2EB2" w14:textId="77777777" w:rsidR="00CE012C" w:rsidRPr="00526ADC" w:rsidRDefault="0050200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 xml:space="preserve">Actos consentidos tácitamente. Improcedencia de su análisis. </w:t>
      </w:r>
      <w:r w:rsidRPr="00526ADC">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C9B3323"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905A2B3" w14:textId="77777777" w:rsidR="00CE012C" w:rsidRPr="00526ADC" w:rsidRDefault="00502009">
      <w:pPr>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mallCaps/>
          <w:sz w:val="22"/>
          <w:szCs w:val="22"/>
        </w:rPr>
        <w:t xml:space="preserve">“ACTOS CONSENTIDOS. SON LOS QUE NO SE IMPUGNAN MEDIANTE EL RECURSO IDÓNEO. </w:t>
      </w:r>
      <w:r w:rsidRPr="00526ADC">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3F96D3"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lastRenderedPageBreak/>
        <w:t>En consecuencia, se insiste, ante la falta de impugnación eficaz, el acto debe declararse consentido por la persona solicitante, y por consiguiente, no es procedente el análisis de fondo en la resolución.</w:t>
      </w:r>
    </w:p>
    <w:p w14:paraId="6A8A08C6"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Ahora bien, con la finalidad de subsanar la omisión en que incurriera el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por conducto del Director de Obras Públicas, durante la etapa de manifestaciones</w:t>
      </w:r>
      <w:r w:rsidRPr="00526ADC">
        <w:rPr>
          <w:rFonts w:ascii="Palatino Linotype" w:eastAsia="Palatino Linotype" w:hAnsi="Palatino Linotype" w:cs="Palatino Linotype"/>
          <w:b/>
        </w:rPr>
        <w:t xml:space="preserve"> </w:t>
      </w:r>
      <w:r w:rsidRPr="00526ADC">
        <w:rPr>
          <w:rFonts w:ascii="Palatino Linotype" w:eastAsia="Palatino Linotype" w:hAnsi="Palatino Linotype" w:cs="Palatino Linotype"/>
        </w:rPr>
        <w:t>refirió que de acuerdo con lo que establecen los artículos 10 del Reglamento –del Libro Décimo Segundo del Código Administrativo del Estado de México-, 12.12, fracción I y 12.14 del Libro Décimo Segundo del Código Administrativo del Estado de México, y 5.2 y 5.3 del Libro Quinto del Código Administrativo del Estado de México, existe la factibilidad para el desarrollo de la “ADECUACIÓN DE ESPACIOS PARA JUZGADO CÍVICO EN EL EX MERCADO MUNICIPAL DE SAN MATEO XOLOC”.</w:t>
      </w:r>
    </w:p>
    <w:p w14:paraId="4C7F71E4" w14:textId="77777777" w:rsidR="00CE012C" w:rsidRPr="00526ADC" w:rsidRDefault="0050200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Asimismo, hizo entrega de la certificación de la Secretaría del Ayuntamiento del punto diez del orden del día de la Quincuagésima Primera Sesión Extraordinaria de Cabildo, celebrada el veintisiete de diciembre de dos mil veinticuatro, mediante el cual se sometió a consideración de los integrantes, la propuesta, discusión y, en su caso, aprobación de modificaciones al Programa Anual de Obras Públicas para el ejercicio fiscal 2024, aprobándose por unanimidad de votos la modificación al Programa Anual de Obras públicas para el ejercicio 2024, donde se localiza el incremento por la cantidad de $1,042,030.40, en la obra “Adecuación de espacios para Juzgado Cívico en el Mercado Municipal de San Mateo”, como se ilustra a continuación:</w:t>
      </w:r>
    </w:p>
    <w:p w14:paraId="50410920" w14:textId="77777777" w:rsidR="00CE012C" w:rsidRPr="00526ADC" w:rsidRDefault="00502009">
      <w:pPr>
        <w:tabs>
          <w:tab w:val="left" w:pos="142"/>
        </w:tabs>
        <w:spacing w:before="240" w:after="240" w:line="360" w:lineRule="auto"/>
        <w:ind w:left="284"/>
        <w:jc w:val="both"/>
        <w:rPr>
          <w:rFonts w:ascii="Palatino Linotype" w:eastAsia="Palatino Linotype" w:hAnsi="Palatino Linotype" w:cs="Palatino Linotype"/>
        </w:rPr>
      </w:pPr>
      <w:r w:rsidRPr="00526ADC">
        <w:rPr>
          <w:rFonts w:ascii="Palatino Linotype" w:eastAsia="Palatino Linotype" w:hAnsi="Palatino Linotype" w:cs="Palatino Linotype"/>
          <w:noProof/>
        </w:rPr>
        <w:lastRenderedPageBreak/>
        <w:drawing>
          <wp:inline distT="0" distB="0" distL="0" distR="0" wp14:anchorId="581A567E" wp14:editId="05750E99">
            <wp:extent cx="5400000" cy="394705"/>
            <wp:effectExtent l="0" t="0" r="0" b="0"/>
            <wp:docPr id="1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400000" cy="394705"/>
                    </a:xfrm>
                    <a:prstGeom prst="rect">
                      <a:avLst/>
                    </a:prstGeom>
                    <a:ln/>
                  </pic:spPr>
                </pic:pic>
              </a:graphicData>
            </a:graphic>
          </wp:inline>
        </w:drawing>
      </w:r>
      <w:r w:rsidRPr="00526ADC">
        <w:rPr>
          <w:rFonts w:ascii="Palatino Linotype" w:eastAsia="Palatino Linotype" w:hAnsi="Palatino Linotype" w:cs="Palatino Linotype"/>
          <w:noProof/>
        </w:rPr>
        <w:drawing>
          <wp:inline distT="0" distB="0" distL="0" distR="0" wp14:anchorId="76BDA97E" wp14:editId="651C4387">
            <wp:extent cx="5400000" cy="716701"/>
            <wp:effectExtent l="0" t="0" r="0" b="0"/>
            <wp:docPr id="1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400000" cy="716701"/>
                    </a:xfrm>
                    <a:prstGeom prst="rect">
                      <a:avLst/>
                    </a:prstGeom>
                    <a:ln/>
                  </pic:spPr>
                </pic:pic>
              </a:graphicData>
            </a:graphic>
          </wp:inline>
        </w:drawing>
      </w:r>
    </w:p>
    <w:p w14:paraId="6A07ED89" w14:textId="77777777" w:rsidR="00CE012C" w:rsidRPr="00526ADC" w:rsidRDefault="00502009">
      <w:pPr>
        <w:spacing w:before="240" w:after="240" w:line="360" w:lineRule="auto"/>
        <w:ind w:left="284"/>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De igual forma entregó el oficio número </w:t>
      </w:r>
      <w:proofErr w:type="spellStart"/>
      <w:r w:rsidRPr="00526ADC">
        <w:rPr>
          <w:rFonts w:ascii="Palatino Linotype" w:eastAsia="Palatino Linotype" w:hAnsi="Palatino Linotype" w:cs="Palatino Linotype"/>
        </w:rPr>
        <w:t>DDUyM</w:t>
      </w:r>
      <w:proofErr w:type="spellEnd"/>
      <w:r w:rsidRPr="00526ADC">
        <w:rPr>
          <w:rFonts w:ascii="Palatino Linotype" w:eastAsia="Palatino Linotype" w:hAnsi="Palatino Linotype" w:cs="Palatino Linotype"/>
        </w:rPr>
        <w:t xml:space="preserve">/892/2024, por medio del cual, el Director de Desarrollo Urbano y Metropolitano hace de conocimiento al Director de Obras Públicas, que la obra Adecuación de espacios para Juzgado Cívico en el mercado municipal de San Mateo </w:t>
      </w:r>
      <w:proofErr w:type="spellStart"/>
      <w:r w:rsidRPr="00526ADC">
        <w:rPr>
          <w:rFonts w:ascii="Palatino Linotype" w:eastAsia="Palatino Linotype" w:hAnsi="Palatino Linotype" w:cs="Palatino Linotype"/>
        </w:rPr>
        <w:t>Xoloc</w:t>
      </w:r>
      <w:proofErr w:type="spellEnd"/>
      <w:r w:rsidRPr="00526ADC">
        <w:rPr>
          <w:rFonts w:ascii="Palatino Linotype" w:eastAsia="Palatino Linotype" w:hAnsi="Palatino Linotype" w:cs="Palatino Linotype"/>
        </w:rPr>
        <w:t>, en el municipio de Tepotzotlán, Estado de México, se encuentra en una zona urbanizable, siendo factible su construcción, considerando que de acuerdo con el plano E-02 clasificación de usos de suelo, el cual es parte integral del marco jurídico territorial en la entidad, asimismo que los trabajos a realizar se encuentran en una zona clasificada como Centro Urbano 200 (CU-200-A), apegado al Plan de Desarrollo Urbano de Tepotzotlán, publicado en la Gaceta del Gobierno, tomo 216, número 31 de fecha 21 de agosto de 2023, como se advierte en la siguiente imagen:</w:t>
      </w:r>
    </w:p>
    <w:p w14:paraId="4D308399" w14:textId="77777777" w:rsidR="00CE012C" w:rsidRPr="00526ADC" w:rsidRDefault="00502009">
      <w:pPr>
        <w:spacing w:before="240" w:after="240" w:line="360" w:lineRule="auto"/>
        <w:ind w:left="284"/>
        <w:jc w:val="center"/>
        <w:rPr>
          <w:rFonts w:ascii="Palatino Linotype" w:eastAsia="Palatino Linotype" w:hAnsi="Palatino Linotype" w:cs="Palatino Linotype"/>
        </w:rPr>
      </w:pPr>
      <w:r w:rsidRPr="00526ADC">
        <w:rPr>
          <w:rFonts w:ascii="Palatino Linotype" w:eastAsia="Palatino Linotype" w:hAnsi="Palatino Linotype" w:cs="Palatino Linotype"/>
          <w:noProof/>
        </w:rPr>
        <w:drawing>
          <wp:inline distT="0" distB="0" distL="0" distR="0" wp14:anchorId="08577C85" wp14:editId="1F50B211">
            <wp:extent cx="3600000" cy="2188732"/>
            <wp:effectExtent l="0" t="0" r="0" b="0"/>
            <wp:docPr id="1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600000" cy="2188732"/>
                    </a:xfrm>
                    <a:prstGeom prst="rect">
                      <a:avLst/>
                    </a:prstGeom>
                    <a:ln/>
                  </pic:spPr>
                </pic:pic>
              </a:graphicData>
            </a:graphic>
          </wp:inline>
        </w:drawing>
      </w:r>
    </w:p>
    <w:p w14:paraId="593574D3" w14:textId="77777777" w:rsidR="00CE012C" w:rsidRPr="00526ADC" w:rsidRDefault="00502009">
      <w:pPr>
        <w:widowControl w:val="0"/>
        <w:spacing w:before="240" w:after="240" w:line="360" w:lineRule="auto"/>
        <w:ind w:right="49"/>
        <w:jc w:val="both"/>
        <w:rPr>
          <w:rFonts w:ascii="Palatino Linotype" w:eastAsia="Palatino Linotype" w:hAnsi="Palatino Linotype" w:cs="Palatino Linotype"/>
        </w:rPr>
      </w:pPr>
      <w:r w:rsidRPr="00526ADC">
        <w:rPr>
          <w:rFonts w:ascii="Palatino Linotype" w:eastAsia="Palatino Linotype" w:hAnsi="Palatino Linotype" w:cs="Palatino Linotype"/>
        </w:rPr>
        <w:lastRenderedPageBreak/>
        <w:t xml:space="preserve">Como se señaló en los antecedentes de la presente resolución, la información referida se hizo del conocimiento de la parte </w:t>
      </w:r>
      <w:r w:rsidRPr="00526ADC">
        <w:rPr>
          <w:rFonts w:ascii="Palatino Linotype" w:eastAsia="Palatino Linotype" w:hAnsi="Palatino Linotype" w:cs="Palatino Linotype"/>
          <w:b/>
        </w:rPr>
        <w:t xml:space="preserve">Recurrente, </w:t>
      </w:r>
      <w:r w:rsidRPr="00526ADC">
        <w:rPr>
          <w:rFonts w:ascii="Palatino Linotype" w:eastAsia="Palatino Linotype" w:hAnsi="Palatino Linotype" w:cs="Palatino Linotype"/>
        </w:rPr>
        <w:t>sin embargo, esta fue omisa en manifestar lo que a su derecho estimara conveniente, por lo que se tiene por recluido su derecho para tal efecto y se procede a emitir la resolución que conforme a derecho corresponda.</w:t>
      </w:r>
    </w:p>
    <w:p w14:paraId="72CFA03C" w14:textId="77777777" w:rsidR="00CE012C" w:rsidRPr="00526ADC" w:rsidRDefault="00502009">
      <w:pPr>
        <w:spacing w:before="280" w:after="28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Una vez establecidas las posturas de las partes,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24318FB"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03222057" w14:textId="77777777" w:rsidR="00CE012C" w:rsidRPr="00526ADC" w:rsidRDefault="00502009">
      <w:pPr>
        <w:spacing w:before="240" w:after="240" w:line="360" w:lineRule="auto"/>
        <w:ind w:right="51"/>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w:t>
      </w:r>
      <w:r w:rsidRPr="00526ADC">
        <w:rPr>
          <w:rFonts w:ascii="Palatino Linotype" w:eastAsia="Palatino Linotype" w:hAnsi="Palatino Linotype" w:cs="Palatino Linotype"/>
        </w:rPr>
        <w:lastRenderedPageBreak/>
        <w:t>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4F3F6433"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DF3D404" w14:textId="77777777" w:rsidR="00CE012C" w:rsidRPr="00526ADC" w:rsidRDefault="0050200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del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turnó la solicitud al servidor público habilitado de la Dirección de Obras Públicas, quien de conformidad con el artículo 96 Bis, de la Ley Orgánica Municipal del Estado de México, cuenta con las siguientes atribuciones:</w:t>
      </w:r>
    </w:p>
    <w:p w14:paraId="1E1985FB"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lastRenderedPageBreak/>
        <w:t>“</w:t>
      </w:r>
      <w:r w:rsidRPr="00526ADC">
        <w:rPr>
          <w:rFonts w:ascii="Palatino Linotype" w:eastAsia="Palatino Linotype" w:hAnsi="Palatino Linotype" w:cs="Palatino Linotype"/>
          <w:b/>
          <w:i/>
          <w:sz w:val="22"/>
          <w:szCs w:val="22"/>
        </w:rPr>
        <w:t>Artículo 96. Bis</w:t>
      </w:r>
      <w:r w:rsidRPr="00526ADC">
        <w:rPr>
          <w:rFonts w:ascii="Palatino Linotype" w:eastAsia="Palatino Linotype" w:hAnsi="Palatino Linotype" w:cs="Palatino Linotype"/>
          <w:i/>
          <w:sz w:val="22"/>
          <w:szCs w:val="22"/>
        </w:rPr>
        <w:t>.- El Director de Obras Públicas o el Titular de la Unidad Administrativa equivalente, tiene las siguientes atribuciones:</w:t>
      </w:r>
    </w:p>
    <w:p w14:paraId="5435B092"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u w:val="single"/>
        </w:rPr>
        <w:t>Realizar la programación y ejecución de las obras públicas</w:t>
      </w:r>
      <w:r w:rsidRPr="00526ADC">
        <w:rPr>
          <w:rFonts w:ascii="Palatino Linotype" w:eastAsia="Palatino Linotype" w:hAnsi="Palatino Linotype" w:cs="Palatino Linotype"/>
          <w:b/>
          <w:i/>
          <w:sz w:val="22"/>
          <w:szCs w:val="22"/>
        </w:rPr>
        <w:t xml:space="preserve"> y servicios relacionados</w:t>
      </w:r>
      <w:r w:rsidRPr="00526ADC">
        <w:rPr>
          <w:rFonts w:ascii="Palatino Linotype" w:eastAsia="Palatino Linotype" w:hAnsi="Palatino Linotype" w:cs="Palatino Linotype"/>
          <w:i/>
          <w:sz w:val="22"/>
          <w:szCs w:val="22"/>
        </w:rPr>
        <w:t xml:space="preserve">, que por orden expresa del Ayuntamiento requieran prioridad; </w:t>
      </w:r>
    </w:p>
    <w:p w14:paraId="2AC3A855"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u w:val="single"/>
        </w:rPr>
        <w:t>Planear y coordinar los proyectos de obras públicas</w:t>
      </w:r>
      <w:r w:rsidRPr="00526ADC">
        <w:rPr>
          <w:rFonts w:ascii="Palatino Linotype" w:eastAsia="Palatino Linotype" w:hAnsi="Palatino Linotype" w:cs="Palatino Linotype"/>
          <w:b/>
          <w:i/>
          <w:sz w:val="22"/>
          <w:szCs w:val="22"/>
        </w:rPr>
        <w:t xml:space="preserve"> y servicios relacionados con las mismas </w:t>
      </w:r>
      <w:r w:rsidRPr="00526ADC">
        <w:rPr>
          <w:rFonts w:ascii="Palatino Linotype" w:eastAsia="Palatino Linotype" w:hAnsi="Palatino Linotype" w:cs="Palatino Linotype"/>
          <w:b/>
          <w:i/>
          <w:sz w:val="22"/>
          <w:szCs w:val="22"/>
          <w:u w:val="single"/>
        </w:rPr>
        <w:t>que autorice el Ayuntamiento</w:t>
      </w:r>
      <w:r w:rsidRPr="00526ADC">
        <w:rPr>
          <w:rFonts w:ascii="Palatino Linotype" w:eastAsia="Palatino Linotype" w:hAnsi="Palatino Linotype" w:cs="Palatino Linotype"/>
          <w:i/>
          <w:sz w:val="22"/>
          <w:szCs w:val="22"/>
        </w:rPr>
        <w:t xml:space="preserve">, una vez que se cumplan los requisitos de licitación y otros que determine la ley de la materia; </w:t>
      </w:r>
    </w:p>
    <w:p w14:paraId="2F1D8FCF"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III.</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Proyectar las obras públicas</w:t>
      </w:r>
      <w:r w:rsidRPr="00526ADC">
        <w:rPr>
          <w:rFonts w:ascii="Palatino Linotype" w:eastAsia="Palatino Linotype" w:hAnsi="Palatino Linotype" w:cs="Palatino Linotype"/>
          <w:i/>
          <w:sz w:val="22"/>
          <w:szCs w:val="22"/>
        </w:rPr>
        <w:t xml:space="preserve"> y servicios relacionados, que realice el Municipio, incluyendo la conservación y mantenimiento de edificios, monumentos, calles, parques y jardines; </w:t>
      </w:r>
    </w:p>
    <w:p w14:paraId="1C22C441"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IV</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Construir y ejecutar todas aquellas obras públicas y servicios relacionados, que aumenten y mantengan la infraestructura municipal</w:t>
      </w:r>
      <w:r w:rsidRPr="00526ADC">
        <w:rPr>
          <w:rFonts w:ascii="Palatino Linotype" w:eastAsia="Palatino Linotype" w:hAnsi="Palatino Linotype" w:cs="Palatino Linotype"/>
          <w:i/>
          <w:sz w:val="22"/>
          <w:szCs w:val="22"/>
        </w:rPr>
        <w:t xml:space="preserve"> y que estén consideradas en el programa respectivo; </w:t>
      </w:r>
    </w:p>
    <w:p w14:paraId="7CCFB319"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V.</w:t>
      </w:r>
      <w:r w:rsidRPr="00526ADC">
        <w:rPr>
          <w:rFonts w:ascii="Palatino Linotype" w:eastAsia="Palatino Linotype" w:hAnsi="Palatino Linotype" w:cs="Palatino Linotype"/>
          <w:i/>
          <w:sz w:val="22"/>
          <w:szCs w:val="22"/>
        </w:rPr>
        <w:t xml:space="preserve"> Determinar y cuantificar los materiales y trabajos necesarios para programas de construcción y mantenimiento de obras públicas y servicios relacionados; </w:t>
      </w:r>
    </w:p>
    <w:p w14:paraId="4716BCD8"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VI.</w:t>
      </w:r>
      <w:r w:rsidRPr="00526ADC">
        <w:rPr>
          <w:rFonts w:ascii="Palatino Linotype" w:eastAsia="Palatino Linotype" w:hAnsi="Palatino Linotype" w:cs="Palatino Linotype"/>
          <w:i/>
          <w:sz w:val="22"/>
          <w:szCs w:val="22"/>
        </w:rPr>
        <w:t xml:space="preserve"> Vigilar que se cumplan y lleven a cabo los programas de construcción y mantenimiento de obras públicas y servicios relacionados; </w:t>
      </w:r>
    </w:p>
    <w:p w14:paraId="4E578090"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VII</w:t>
      </w:r>
      <w:r w:rsidRPr="00526ADC">
        <w:rPr>
          <w:rFonts w:ascii="Palatino Linotype" w:eastAsia="Palatino Linotype" w:hAnsi="Palatino Linotype" w:cs="Palatino Linotype"/>
          <w:i/>
          <w:sz w:val="22"/>
          <w:szCs w:val="22"/>
        </w:rPr>
        <w:t>. Cuidar que las obras públicas y servicios relacionados cumplan con los requisitos de seguridad y observen las normas de construcción y términos establecidos;</w:t>
      </w:r>
    </w:p>
    <w:p w14:paraId="0DEBE2D7"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VIII.</w:t>
      </w:r>
      <w:r w:rsidRPr="00526ADC">
        <w:rPr>
          <w:rFonts w:ascii="Palatino Linotype" w:eastAsia="Palatino Linotype" w:hAnsi="Palatino Linotype" w:cs="Palatino Linotype"/>
          <w:i/>
          <w:sz w:val="22"/>
          <w:szCs w:val="22"/>
        </w:rPr>
        <w:t xml:space="preserve"> Vigilar la construcción en las obras por contrato y por administración que hayan sido adjudicadas a los contratistas; </w:t>
      </w:r>
    </w:p>
    <w:p w14:paraId="2D6A135F"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IX</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Administrar y ejercer, en el ámbito de su competencia, de manera coordinada con el Tesorero municipal, los recursos públicos destinados a la planeación, programación, presupuestación, adjudicación, contratación, ejecución y control de la obra pública</w:t>
      </w:r>
      <w:r w:rsidRPr="00526ADC">
        <w:rPr>
          <w:rFonts w:ascii="Palatino Linotype" w:eastAsia="Palatino Linotype" w:hAnsi="Palatino Linotype" w:cs="Palatino Linotype"/>
          <w:i/>
          <w:sz w:val="22"/>
          <w:szCs w:val="22"/>
        </w:rPr>
        <w:t xml:space="preserve">, conforme a las disposiciones legales aplicables y en congruencia con los planes, programas, especificaciones técnicas, controles y procedimientos administrativos aprobados; </w:t>
      </w:r>
    </w:p>
    <w:p w14:paraId="5975DF01"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 xml:space="preserve">Verificar que las obras públicas y los servicios relacionados con la misma, hayan sido programadas, presupuestadas, ejecutadas, </w:t>
      </w:r>
      <w:r w:rsidRPr="00526ADC">
        <w:rPr>
          <w:rFonts w:ascii="Palatino Linotype" w:eastAsia="Palatino Linotype" w:hAnsi="Palatino Linotype" w:cs="Palatino Linotype"/>
          <w:b/>
          <w:i/>
          <w:sz w:val="22"/>
          <w:szCs w:val="22"/>
        </w:rPr>
        <w:lastRenderedPageBreak/>
        <w:t>adquiridas y contratadas en estricto apego a las disposiciones legales aplicables</w:t>
      </w:r>
      <w:r w:rsidRPr="00526ADC">
        <w:rPr>
          <w:rFonts w:ascii="Palatino Linotype" w:eastAsia="Palatino Linotype" w:hAnsi="Palatino Linotype" w:cs="Palatino Linotype"/>
          <w:i/>
          <w:sz w:val="22"/>
          <w:szCs w:val="22"/>
        </w:rPr>
        <w:t xml:space="preserve">; </w:t>
      </w:r>
    </w:p>
    <w:p w14:paraId="19F90BBF"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XI.</w:t>
      </w:r>
      <w:r w:rsidRPr="00526ADC">
        <w:rPr>
          <w:rFonts w:ascii="Palatino Linotype" w:eastAsia="Palatino Linotype" w:hAnsi="Palatino Linotype" w:cs="Palatino Linotype"/>
          <w:i/>
          <w:sz w:val="22"/>
          <w:szCs w:val="22"/>
        </w:rPr>
        <w:t xml:space="preserve"> Integrar y verificar que se elaboren de manera correcta y completa las bitácoras y/o expedientes abiertos con motivo de la obra pública y servicios relacionados con la misma, conforme a lo establecido en las disposiciones legales aplicables; </w:t>
      </w:r>
    </w:p>
    <w:p w14:paraId="024464D3" w14:textId="77777777" w:rsidR="00CE012C" w:rsidRPr="00526ADC" w:rsidRDefault="00502009">
      <w:pPr>
        <w:spacing w:before="120" w:after="120"/>
        <w:ind w:left="1134"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XII</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Promover la construcción de urbanización, infraestructura y equipamiento urbano;</w:t>
      </w:r>
    </w:p>
    <w:p w14:paraId="14DC9C3E"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XIII</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Formular y conducir la política municipal en materia de obras públicas e infraestructura para el desarrollo</w:t>
      </w:r>
      <w:r w:rsidRPr="00526ADC">
        <w:rPr>
          <w:rFonts w:ascii="Palatino Linotype" w:eastAsia="Palatino Linotype" w:hAnsi="Palatino Linotype" w:cs="Palatino Linotype"/>
          <w:i/>
          <w:sz w:val="22"/>
          <w:szCs w:val="22"/>
        </w:rPr>
        <w:t xml:space="preserve">; </w:t>
      </w:r>
    </w:p>
    <w:p w14:paraId="6E62A2BB"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XIV. Cumplir y hacer cumplir la legislación y normatividad en materia de obra pública</w:t>
      </w:r>
      <w:r w:rsidRPr="00526ADC">
        <w:rPr>
          <w:rFonts w:ascii="Palatino Linotype" w:eastAsia="Palatino Linotype" w:hAnsi="Palatino Linotype" w:cs="Palatino Linotype"/>
          <w:i/>
          <w:sz w:val="22"/>
          <w:szCs w:val="22"/>
        </w:rPr>
        <w:t xml:space="preserve">; </w:t>
      </w:r>
    </w:p>
    <w:p w14:paraId="5909D738"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XV.</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Proyectar, formular y proponer al Presidente Municipal, el Programa General de Obras Públicas, para la construcción y mejoramiento de las mismas</w:t>
      </w:r>
      <w:r w:rsidRPr="00526ADC">
        <w:rPr>
          <w:rFonts w:ascii="Palatino Linotype" w:eastAsia="Palatino Linotype" w:hAnsi="Palatino Linotype" w:cs="Palatino Linotype"/>
          <w:i/>
          <w:sz w:val="22"/>
          <w:szCs w:val="22"/>
        </w:rPr>
        <w:t xml:space="preserve">, de acuerdo a la normatividad aplicable y en congruencia con el Plan de Desarrollo Municipal y con la política, objetivos y prioridades del Municipio y vigilar su ejecución; </w:t>
      </w:r>
    </w:p>
    <w:p w14:paraId="69925FC6" w14:textId="77777777" w:rsidR="00CE012C" w:rsidRPr="00526ADC" w:rsidRDefault="00502009">
      <w:pPr>
        <w:spacing w:before="120" w:after="120"/>
        <w:ind w:left="1134"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XVI.</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 xml:space="preserve">Dictar las normas generales y ejecutar las obras de reparación, adaptación y demolición de inmuebles propiedad del municipio que le sean asignadas; </w:t>
      </w:r>
    </w:p>
    <w:p w14:paraId="2F71265E"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XVII</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Ejecutar y mantener las obras públicas que acuerde el Ayuntamiento</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de acuerdo a la legislación y normatividad aplicable, a los planes, presupuestos y programas previamente establecidos,</w:t>
      </w:r>
      <w:r w:rsidRPr="00526ADC">
        <w:rPr>
          <w:rFonts w:ascii="Palatino Linotype" w:eastAsia="Palatino Linotype" w:hAnsi="Palatino Linotype" w:cs="Palatino Linotype"/>
          <w:i/>
          <w:sz w:val="22"/>
          <w:szCs w:val="22"/>
        </w:rPr>
        <w:t xml:space="preserve"> coordinándose, en su caso, previo acuerdo con el Presidente Municipal, con las autoridades Federales, Estatales y municipales concurrentes; </w:t>
      </w:r>
    </w:p>
    <w:p w14:paraId="22D9AC28"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XVIII.</w:t>
      </w:r>
      <w:r w:rsidRPr="00526ADC">
        <w:rPr>
          <w:rFonts w:ascii="Palatino Linotype" w:eastAsia="Palatino Linotype" w:hAnsi="Palatino Linotype" w:cs="Palatino Linotype"/>
          <w:i/>
          <w:sz w:val="22"/>
          <w:szCs w:val="22"/>
        </w:rPr>
        <w:t xml:space="preserve"> Vigilar que la ejecución de la obra pública adjudicada y los servicios relacionados con ésta, se sujeten a las condiciones contratadas; </w:t>
      </w:r>
    </w:p>
    <w:p w14:paraId="13AE435D"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XIX.</w:t>
      </w:r>
      <w:r w:rsidRPr="00526ADC">
        <w:rPr>
          <w:rFonts w:ascii="Palatino Linotype" w:eastAsia="Palatino Linotype" w:hAnsi="Palatino Linotype" w:cs="Palatino Linotype"/>
          <w:i/>
          <w:sz w:val="22"/>
          <w:szCs w:val="22"/>
        </w:rPr>
        <w:t xml:space="preserve"> Establecer los lineamientos para la realización de estudios y proyectos de construcción de obras públicas; </w:t>
      </w:r>
    </w:p>
    <w:p w14:paraId="1F5B0F8B"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XX</w:t>
      </w:r>
      <w:r w:rsidRPr="00526ADC">
        <w:rPr>
          <w:rFonts w:ascii="Palatino Linotype" w:eastAsia="Palatino Linotype" w:hAnsi="Palatino Linotype" w:cs="Palatino Linotype"/>
          <w:i/>
          <w:sz w:val="22"/>
          <w:szCs w:val="22"/>
        </w:rPr>
        <w:t xml:space="preserve">. Autorizar para su pago, previa validación del avance y calidad de las obras, los presupuestos y estimaciones que presenten los contratistas de obras públicas municipales; </w:t>
      </w:r>
    </w:p>
    <w:p w14:paraId="0370094A"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XXI.</w:t>
      </w:r>
      <w:r w:rsidRPr="00526ADC">
        <w:rPr>
          <w:rFonts w:ascii="Palatino Linotype" w:eastAsia="Palatino Linotype" w:hAnsi="Palatino Linotype" w:cs="Palatino Linotype"/>
          <w:i/>
          <w:sz w:val="22"/>
          <w:szCs w:val="22"/>
        </w:rPr>
        <w:t xml:space="preserve"> Formular el inventario de la maquinaria y equipo de construcción a su cuidado o de su propiedad, manteniéndolo en óptimas condiciones de uso; </w:t>
      </w:r>
    </w:p>
    <w:p w14:paraId="7C20FB6D"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lastRenderedPageBreak/>
        <w:t>XXII</w:t>
      </w:r>
      <w:r w:rsidRPr="00526ADC">
        <w:rPr>
          <w:rFonts w:ascii="Palatino Linotype" w:eastAsia="Palatino Linotype" w:hAnsi="Palatino Linotype" w:cs="Palatino Linotype"/>
          <w:i/>
          <w:sz w:val="22"/>
          <w:szCs w:val="22"/>
        </w:rPr>
        <w:t>. Coordinar y supervisar que todo el proceso de las obras públicas que se realicen en el municipio se realice conforme a la legislación y normatividad en materia de obra pública;</w:t>
      </w:r>
    </w:p>
    <w:p w14:paraId="185A707F"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XXIII.</w:t>
      </w:r>
      <w:r w:rsidRPr="00526ADC">
        <w:rPr>
          <w:rFonts w:ascii="Palatino Linotype" w:eastAsia="Palatino Linotype" w:hAnsi="Palatino Linotype" w:cs="Palatino Linotype"/>
          <w:i/>
          <w:sz w:val="22"/>
          <w:szCs w:val="22"/>
        </w:rPr>
        <w:t xml:space="preserve"> Controlar y vigilar el inventario de materiales para construcción; </w:t>
      </w:r>
    </w:p>
    <w:p w14:paraId="609A8131"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XXIV</w:t>
      </w:r>
      <w:r w:rsidRPr="00526ADC">
        <w:rPr>
          <w:rFonts w:ascii="Palatino Linotype" w:eastAsia="Palatino Linotype" w:hAnsi="Palatino Linotype" w:cs="Palatino Linotype"/>
          <w:i/>
          <w:sz w:val="22"/>
          <w:szCs w:val="22"/>
        </w:rPr>
        <w:t xml:space="preserve">. Integrar y autorizar con su firma, la documentación que en materia de obra pública, deba presentarse al Órgano Superior de Fiscalización del Estado de México; </w:t>
      </w:r>
    </w:p>
    <w:p w14:paraId="225B1277"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XXV</w:t>
      </w:r>
      <w:r w:rsidRPr="00526ADC">
        <w:rPr>
          <w:rFonts w:ascii="Palatino Linotype" w:eastAsia="Palatino Linotype" w:hAnsi="Palatino Linotype" w:cs="Palatino Linotype"/>
          <w:i/>
          <w:sz w:val="22"/>
          <w:szCs w:val="22"/>
        </w:rPr>
        <w:t xml:space="preserve">. Formular las bases y expedir la convocatoria a los concursos para la realización de las obras públicas municipales, de acuerdo con los requisitos que para dichos actos señale la legislación y normatividad respectiva, vigilando su correcta ejecución; y </w:t>
      </w:r>
    </w:p>
    <w:p w14:paraId="1AE014A8"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XXVI</w:t>
      </w:r>
      <w:r w:rsidRPr="00526ADC">
        <w:rPr>
          <w:rFonts w:ascii="Palatino Linotype" w:eastAsia="Palatino Linotype" w:hAnsi="Palatino Linotype" w:cs="Palatino Linotype"/>
          <w:i/>
          <w:sz w:val="22"/>
          <w:szCs w:val="22"/>
        </w:rPr>
        <w:t>. Las demás que les señalen las disposiciones aplicables.”</w:t>
      </w:r>
    </w:p>
    <w:p w14:paraId="21853811" w14:textId="77777777" w:rsidR="00CE012C" w:rsidRPr="00526ADC" w:rsidRDefault="0050200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Como se desprende del precepto en cita, la Dirección de Obras Públicas está facultada para aplicar la normativa en materia de obra pública, siendo responsable de la programación y ejecución de las obras públicas y los servicios relacionados con estas, así como de planear y coordinar los proyectos de obras públicas que autorice el ayuntamiento, así como de promover la construcción de urbanización, infraestructura y equipamiento urbano y formular y conducir la política municipal en materia de obras públicas e infraestructura para el desarrollo, entre otras.</w:t>
      </w:r>
    </w:p>
    <w:p w14:paraId="0EC49F26" w14:textId="77777777" w:rsidR="00CE012C" w:rsidRPr="00526ADC" w:rsidRDefault="0050200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Una vez acotado lo anterior, es oportuno referir que de la lectura del requerimiento combatido, relativo al acta mediante la cual el Cabildo aprobó la construcción de Juzgados Cívicos en el Mercado Municipal de San Mateo </w:t>
      </w:r>
      <w:proofErr w:type="spellStart"/>
      <w:r w:rsidRPr="00526ADC">
        <w:rPr>
          <w:rFonts w:ascii="Palatino Linotype" w:eastAsia="Palatino Linotype" w:hAnsi="Palatino Linotype" w:cs="Palatino Linotype"/>
        </w:rPr>
        <w:t>Xoloc</w:t>
      </w:r>
      <w:proofErr w:type="spellEnd"/>
      <w:r w:rsidRPr="00526ADC">
        <w:rPr>
          <w:rFonts w:ascii="Palatino Linotype" w:eastAsia="Palatino Linotype" w:hAnsi="Palatino Linotype" w:cs="Palatino Linotype"/>
        </w:rPr>
        <w:t xml:space="preserve">, con una inversión de $3,017,320.60, se infiere que la persona solicitante que pretende acceder al acta mediante la cual el Cabildo aprobó la obra “Adecuación de espacios para juzgado cívico en el mercado municipal de San Mateo </w:t>
      </w:r>
      <w:proofErr w:type="spellStart"/>
      <w:r w:rsidRPr="00526ADC">
        <w:rPr>
          <w:rFonts w:ascii="Palatino Linotype" w:eastAsia="Palatino Linotype" w:hAnsi="Palatino Linotype" w:cs="Palatino Linotype"/>
        </w:rPr>
        <w:t>Xoloc</w:t>
      </w:r>
      <w:proofErr w:type="spellEnd"/>
      <w:r w:rsidRPr="00526ADC">
        <w:rPr>
          <w:rFonts w:ascii="Palatino Linotype" w:eastAsia="Palatino Linotype" w:hAnsi="Palatino Linotype" w:cs="Palatino Linotype"/>
        </w:rPr>
        <w:t xml:space="preserve">”, a la que hace mención el servidor público habilitado, sin embargo, del análisis efectuado en la información </w:t>
      </w:r>
      <w:r w:rsidRPr="00526ADC">
        <w:rPr>
          <w:rFonts w:ascii="Palatino Linotype" w:eastAsia="Palatino Linotype" w:hAnsi="Palatino Linotype" w:cs="Palatino Linotype"/>
        </w:rPr>
        <w:lastRenderedPageBreak/>
        <w:t>remitida por la Dirección de Obras Públicas se concluyó que esta no satisface este punto de la solicitud, por lo siguiente:</w:t>
      </w:r>
    </w:p>
    <w:p w14:paraId="281A2669"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En primer lugar, la persona solicitante requirió la entrega del Acta de Cabildo, mientras que el servidor público habilitado hizo entrega de la digitalización de certificación de la Secretaría del Ayuntamiento, correspondiente al  punto diez del orden del día del Acta de la Quincuagésima Primera Sesión Extraordinaria de Cabildo, celebrada el veintisiete de diciembre de dos mil veinticuatro.</w:t>
      </w:r>
    </w:p>
    <w:p w14:paraId="0E404711"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En segundo lugar, no escapa de la óptica de este Organismo garante que mediante el punto diez de la Quincuagésima Primera Sesión Extraordinaria de Cabildo se sometió a consideración de los integrantes del Cabildo, </w:t>
      </w:r>
      <w:r w:rsidRPr="00526ADC">
        <w:rPr>
          <w:rFonts w:ascii="Palatino Linotype" w:eastAsia="Palatino Linotype" w:hAnsi="Palatino Linotype" w:cs="Palatino Linotype"/>
          <w:b/>
        </w:rPr>
        <w:t xml:space="preserve">la propuesta, discusión y, en su caso, aprobación de </w:t>
      </w:r>
      <w:r w:rsidRPr="00526ADC">
        <w:rPr>
          <w:rFonts w:ascii="Palatino Linotype" w:eastAsia="Palatino Linotype" w:hAnsi="Palatino Linotype" w:cs="Palatino Linotype"/>
          <w:b/>
          <w:u w:val="single"/>
        </w:rPr>
        <w:t>modificaciones al Programa Anual de Obras Públicas</w:t>
      </w:r>
      <w:r w:rsidRPr="00526ADC">
        <w:rPr>
          <w:rFonts w:ascii="Palatino Linotype" w:eastAsia="Palatino Linotype" w:hAnsi="Palatino Linotype" w:cs="Palatino Linotype"/>
          <w:b/>
        </w:rPr>
        <w:t xml:space="preserve"> para el ejercicio fiscal 2024, </w:t>
      </w:r>
      <w:r w:rsidRPr="00526ADC">
        <w:rPr>
          <w:rFonts w:ascii="Palatino Linotype" w:eastAsia="Palatino Linotype" w:hAnsi="Palatino Linotype" w:cs="Palatino Linotype"/>
        </w:rPr>
        <w:t xml:space="preserve"> entre cuyas modificaciones se encuentra </w:t>
      </w:r>
      <w:r w:rsidRPr="00526ADC">
        <w:rPr>
          <w:rFonts w:ascii="Palatino Linotype" w:eastAsia="Palatino Linotype" w:hAnsi="Palatino Linotype" w:cs="Palatino Linotype"/>
          <w:b/>
          <w:u w:val="single"/>
        </w:rPr>
        <w:t>el incremento por la cantidad de $1,042,030.40, en la obra “Adecuación de espacios para Juzgado Cívico en el Mercado Municipal de San Mateo”,</w:t>
      </w:r>
      <w:r w:rsidRPr="00526ADC">
        <w:rPr>
          <w:rFonts w:ascii="Palatino Linotype" w:eastAsia="Palatino Linotype" w:hAnsi="Palatino Linotype" w:cs="Palatino Linotype"/>
        </w:rPr>
        <w:t xml:space="preserve"> como se ilustró anteriormente.</w:t>
      </w:r>
    </w:p>
    <w:p w14:paraId="52F2FE23"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Cabe señalar que dicho incremento atiende a la adición de nuevas áreas al Juzgado Cívico, como lo es el Instituto de la Mujer, el edificio rosa, derechos humanos, los cuales no estaban originalmente considerados en la obra, tal y como se desprende del punto 9 del orden del día de la Quincuagésima Primera Sesión Extraordinaria de Cabildo, relativo al Informe que rinde el Director de Obras Públicas con relación al Programa Anual de Obras (PAO), 2024:</w:t>
      </w:r>
    </w:p>
    <w:p w14:paraId="4F0C6FF0" w14:textId="77777777" w:rsidR="00CE012C" w:rsidRPr="00526ADC" w:rsidRDefault="00502009">
      <w:pPr>
        <w:spacing w:before="240" w:after="240" w:line="360" w:lineRule="auto"/>
        <w:jc w:val="center"/>
        <w:rPr>
          <w:rFonts w:ascii="Palatino Linotype" w:eastAsia="Palatino Linotype" w:hAnsi="Palatino Linotype" w:cs="Palatino Linotype"/>
        </w:rPr>
      </w:pPr>
      <w:r w:rsidRPr="00526ADC">
        <w:rPr>
          <w:rFonts w:ascii="Palatino Linotype" w:eastAsia="Palatino Linotype" w:hAnsi="Palatino Linotype" w:cs="Palatino Linotype"/>
          <w:noProof/>
        </w:rPr>
        <w:lastRenderedPageBreak/>
        <w:drawing>
          <wp:inline distT="0" distB="0" distL="0" distR="0" wp14:anchorId="75CBEF0B" wp14:editId="2B9E7408">
            <wp:extent cx="4140000" cy="1124237"/>
            <wp:effectExtent l="0" t="0" r="0" b="0"/>
            <wp:docPr id="1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140000" cy="1124237"/>
                    </a:xfrm>
                    <a:prstGeom prst="rect">
                      <a:avLst/>
                    </a:prstGeom>
                    <a:ln/>
                  </pic:spPr>
                </pic:pic>
              </a:graphicData>
            </a:graphic>
          </wp:inline>
        </w:drawing>
      </w:r>
    </w:p>
    <w:p w14:paraId="2B2F2141" w14:textId="77777777" w:rsidR="00CE012C" w:rsidRPr="00526ADC" w:rsidRDefault="00502009">
      <w:pPr>
        <w:spacing w:before="240" w:after="240" w:line="360" w:lineRule="auto"/>
        <w:jc w:val="center"/>
        <w:rPr>
          <w:rFonts w:ascii="Palatino Linotype" w:eastAsia="Palatino Linotype" w:hAnsi="Palatino Linotype" w:cs="Palatino Linotype"/>
        </w:rPr>
      </w:pPr>
      <w:r w:rsidRPr="00526ADC">
        <w:rPr>
          <w:rFonts w:ascii="Palatino Linotype" w:eastAsia="Palatino Linotype" w:hAnsi="Palatino Linotype" w:cs="Palatino Linotype"/>
          <w:noProof/>
        </w:rPr>
        <w:drawing>
          <wp:inline distT="0" distB="0" distL="0" distR="0" wp14:anchorId="78D61445" wp14:editId="47D49234">
            <wp:extent cx="4140000" cy="907821"/>
            <wp:effectExtent l="0" t="0" r="0" b="0"/>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140000" cy="907821"/>
                    </a:xfrm>
                    <a:prstGeom prst="rect">
                      <a:avLst/>
                    </a:prstGeom>
                    <a:ln/>
                  </pic:spPr>
                </pic:pic>
              </a:graphicData>
            </a:graphic>
          </wp:inline>
        </w:drawing>
      </w:r>
    </w:p>
    <w:p w14:paraId="4A1B9700"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Bajo esta línea de pensamiento es claro que no se hizo entrega de la información solicitada, es decir del Acta de Cabildo en la cual se aprobó la obra “Adecuación de espacios para Juzgado Cívico en el ex Mercado Municipal de San Mateo </w:t>
      </w:r>
      <w:proofErr w:type="spellStart"/>
      <w:r w:rsidRPr="00526ADC">
        <w:rPr>
          <w:rFonts w:ascii="Palatino Linotype" w:eastAsia="Palatino Linotype" w:hAnsi="Palatino Linotype" w:cs="Palatino Linotype"/>
        </w:rPr>
        <w:t>Xoloc</w:t>
      </w:r>
      <w:proofErr w:type="spellEnd"/>
      <w:r w:rsidRPr="00526ADC">
        <w:rPr>
          <w:rFonts w:ascii="Palatino Linotype" w:eastAsia="Palatino Linotype" w:hAnsi="Palatino Linotype" w:cs="Palatino Linotype"/>
        </w:rPr>
        <w:t>”, pues además de no entregarse el documento requerido, al haberse proporcionado un fragmento de un acta, no debe perderse de vista que en la Quincuagésima Primera Sesión Extraordinaria no se aprobó la obra materia de la solicitud, sino el incremento de presupuesto para adicionar nuevas áreas a la misma.</w:t>
      </w:r>
    </w:p>
    <w:p w14:paraId="1F7CB36B"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Por consiguiente no puede tenerse por satisfecho el derecho de acceso de la persona solicitante respecto el punto en análisis, y, para tales efectos, es necesario que previa búsqueda exhaustiva y razonable, el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 xml:space="preserve">haga entrega del Acta de Cabildo, en la cual se aprobó la obra “Adecuación de espacios para Juzgado Cívico en el ex Mercado Municipal de San Mateo </w:t>
      </w:r>
      <w:proofErr w:type="spellStart"/>
      <w:r w:rsidRPr="00526ADC">
        <w:rPr>
          <w:rFonts w:ascii="Palatino Linotype" w:eastAsia="Palatino Linotype" w:hAnsi="Palatino Linotype" w:cs="Palatino Linotype"/>
        </w:rPr>
        <w:t>Xoloc</w:t>
      </w:r>
      <w:proofErr w:type="spellEnd"/>
      <w:r w:rsidRPr="00526ADC">
        <w:rPr>
          <w:rFonts w:ascii="Palatino Linotype" w:eastAsia="Palatino Linotype" w:hAnsi="Palatino Linotype" w:cs="Palatino Linotype"/>
        </w:rPr>
        <w:t>”, procediendo a la entrega de la misma en versión pública de ser necesario, de conformidad con el considerando siguiente.</w:t>
      </w:r>
    </w:p>
    <w:p w14:paraId="0DFBD03D"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lastRenderedPageBreak/>
        <w:t xml:space="preserve">En esta tesitura, es oportuno mencionar que de conformidad con el artículo 11 del Reglamento del Libro Décimo Segundo del Código Administrativo del Estado de México, </w:t>
      </w:r>
      <w:r w:rsidRPr="00526ADC">
        <w:rPr>
          <w:rFonts w:ascii="Palatino Linotype" w:eastAsia="Palatino Linotype" w:hAnsi="Palatino Linotype" w:cs="Palatino Linotype"/>
          <w:b/>
        </w:rPr>
        <w:t>la obra pública y los servicios relacionados con esta, se realizan mediante</w:t>
      </w:r>
      <w:r w:rsidRPr="00526ADC">
        <w:rPr>
          <w:rFonts w:ascii="Palatino Linotype" w:eastAsia="Palatino Linotype" w:hAnsi="Palatino Linotype" w:cs="Palatino Linotype"/>
        </w:rPr>
        <w:t xml:space="preserve"> </w:t>
      </w:r>
      <w:r w:rsidRPr="00526ADC">
        <w:rPr>
          <w:rFonts w:ascii="Palatino Linotype" w:eastAsia="Palatino Linotype" w:hAnsi="Palatino Linotype" w:cs="Palatino Linotype"/>
          <w:b/>
        </w:rPr>
        <w:t xml:space="preserve">programas anuales, </w:t>
      </w:r>
      <w:r w:rsidRPr="00526ADC">
        <w:rPr>
          <w:rFonts w:ascii="Palatino Linotype" w:eastAsia="Palatino Linotype" w:hAnsi="Palatino Linotype" w:cs="Palatino Linotype"/>
        </w:rPr>
        <w:t xml:space="preserve">que las dependencias y entidades formularán independientemente de la fuente de recursos prevista. </w:t>
      </w:r>
    </w:p>
    <w:p w14:paraId="107068C3" w14:textId="77777777" w:rsidR="00CE012C" w:rsidRPr="00526ADC" w:rsidRDefault="0050200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Asimismo, que el artículo 134 de la Constitución Política de los Estados Unidos Mexicanos, encomienda a los Municipios el deber de administrar con eficiencia, eficacia, economía, transparencia y honradez los recursos económicos a fin de satisfacer los objetivos a que estén destinados.</w:t>
      </w:r>
    </w:p>
    <w:p w14:paraId="436FC7F2"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Por ello, el artículo 61, fracción II de la Ley General de Contabilidad Gubernamental establece las bases del presupuesto de egresos, conforme a lo siguiente:</w:t>
      </w:r>
    </w:p>
    <w:p w14:paraId="32567737" w14:textId="77777777" w:rsidR="00CE012C" w:rsidRPr="00526ADC" w:rsidRDefault="00502009">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“Artículo 61.-</w:t>
      </w:r>
      <w:r w:rsidRPr="00526ADC">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3A284CD3" w14:textId="77777777" w:rsidR="00CE012C" w:rsidRPr="00526ADC" w:rsidRDefault="00502009">
      <w:pPr>
        <w:spacing w:before="240" w:after="24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37181E4F" w14:textId="77777777" w:rsidR="00CE012C" w:rsidRPr="00526ADC" w:rsidRDefault="00502009">
      <w:pPr>
        <w:spacing w:before="240" w:after="240"/>
        <w:ind w:left="1134"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 xml:space="preserve">II. Presupuestos de Egresos: </w:t>
      </w:r>
    </w:p>
    <w:p w14:paraId="334F8681" w14:textId="77777777" w:rsidR="00CE012C" w:rsidRPr="00526ADC" w:rsidRDefault="00502009">
      <w:pPr>
        <w:spacing w:before="240" w:after="240"/>
        <w:ind w:left="1418"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w:t>
      </w:r>
      <w:r w:rsidRPr="00526ADC">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0CE7D97C" w14:textId="77777777" w:rsidR="00CE012C" w:rsidRPr="00526ADC" w:rsidRDefault="00502009">
      <w:pPr>
        <w:spacing w:before="240" w:after="240"/>
        <w:ind w:left="1418"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lastRenderedPageBreak/>
        <w:t>b)</w:t>
      </w:r>
      <w:r w:rsidRPr="00526ADC">
        <w:rPr>
          <w:rFonts w:ascii="Palatino Linotype" w:eastAsia="Palatino Linotype" w:hAnsi="Palatino Linotype" w:cs="Palatino Linotype"/>
          <w:i/>
          <w:sz w:val="22"/>
          <w:szCs w:val="22"/>
        </w:rPr>
        <w:t xml:space="preserve"> El listado de programas así como sus indicadores estratégicos y de gestión aprobados, y </w:t>
      </w:r>
    </w:p>
    <w:p w14:paraId="358F1CA0" w14:textId="77777777" w:rsidR="00CE012C" w:rsidRPr="00526ADC" w:rsidRDefault="00502009">
      <w:pPr>
        <w:spacing w:before="240" w:after="240"/>
        <w:ind w:left="1418"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c)</w:t>
      </w:r>
      <w:r w:rsidRPr="00526ADC">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4E49F0E7" w14:textId="77777777" w:rsidR="00CE012C" w:rsidRPr="00526ADC" w:rsidRDefault="00502009">
      <w:pPr>
        <w:spacing w:before="240" w:after="240" w:line="360" w:lineRule="auto"/>
        <w:ind w:right="-91"/>
        <w:jc w:val="both"/>
        <w:rPr>
          <w:rFonts w:ascii="Palatino Linotype" w:eastAsia="Palatino Linotype" w:hAnsi="Palatino Linotype" w:cs="Palatino Linotype"/>
        </w:rPr>
      </w:pPr>
      <w:r w:rsidRPr="00526ADC">
        <w:rPr>
          <w:rFonts w:ascii="Palatino Linotype" w:eastAsia="Palatino Linotype" w:hAnsi="Palatino Linotype" w:cs="Palatino Linotype"/>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05ABB267" w14:textId="77777777" w:rsidR="00CE012C" w:rsidRPr="00526ADC" w:rsidRDefault="00502009">
      <w:pPr>
        <w:spacing w:after="120"/>
        <w:ind w:left="851" w:right="900"/>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Código Financiero del Estado de México y Municipios</w:t>
      </w:r>
    </w:p>
    <w:p w14:paraId="26E7BCC9" w14:textId="77777777" w:rsidR="00CE012C" w:rsidRPr="00526ADC" w:rsidRDefault="00502009">
      <w:pPr>
        <w:spacing w:after="120"/>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“Artículo 292</w:t>
      </w:r>
      <w:r w:rsidRPr="00526ADC">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23423AAC" w14:textId="77777777" w:rsidR="00CE012C" w:rsidRPr="00526ADC" w:rsidRDefault="00502009">
      <w:pPr>
        <w:spacing w:after="120"/>
        <w:ind w:left="851" w:right="900"/>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3ED18F2F" w14:textId="77777777" w:rsidR="00CE012C" w:rsidRPr="00526ADC" w:rsidRDefault="00502009">
      <w:pPr>
        <w:spacing w:after="120"/>
        <w:ind w:left="851" w:right="900"/>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i/>
          <w:sz w:val="22"/>
          <w:szCs w:val="22"/>
        </w:rPr>
        <w:t>La distribución será conforme a lo siguiente:</w:t>
      </w:r>
    </w:p>
    <w:p w14:paraId="086EC87B" w14:textId="77777777" w:rsidR="00CE012C" w:rsidRPr="00526ADC" w:rsidRDefault="00502009">
      <w:pPr>
        <w:spacing w:after="120"/>
        <w:ind w:left="1134" w:right="900"/>
        <w:jc w:val="both"/>
        <w:rPr>
          <w:rFonts w:ascii="Palatino Linotype" w:eastAsia="Palatino Linotype" w:hAnsi="Palatino Linotype" w:cs="Palatino Linotype"/>
        </w:rPr>
      </w:pPr>
      <w:r w:rsidRPr="00526ADC">
        <w:rPr>
          <w:rFonts w:ascii="Palatino Linotype" w:eastAsia="Palatino Linotype" w:hAnsi="Palatino Linotype" w:cs="Palatino Linotype"/>
          <w:b/>
        </w:rPr>
        <w:t>I.</w:t>
      </w:r>
      <w:r w:rsidRPr="00526ADC">
        <w:rPr>
          <w:rFonts w:ascii="Palatino Linotype" w:eastAsia="Palatino Linotype" w:hAnsi="Palatino Linotype" w:cs="Palatino Linotype"/>
        </w:rPr>
        <w:t xml:space="preserve"> El gasto programable comprende los siguientes capítulos: </w:t>
      </w:r>
    </w:p>
    <w:p w14:paraId="1D0DD853" w14:textId="77777777" w:rsidR="00CE012C" w:rsidRPr="00526ADC" w:rsidRDefault="00502009">
      <w:pPr>
        <w:spacing w:after="120"/>
        <w:ind w:left="1418" w:right="900"/>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a). 1000 Servicios Personales. </w:t>
      </w:r>
    </w:p>
    <w:p w14:paraId="3730A020" w14:textId="77777777" w:rsidR="00CE012C" w:rsidRPr="00526ADC" w:rsidRDefault="00502009">
      <w:pPr>
        <w:spacing w:after="120"/>
        <w:ind w:left="1418" w:right="900"/>
        <w:jc w:val="both"/>
        <w:rPr>
          <w:rFonts w:ascii="Palatino Linotype" w:eastAsia="Palatino Linotype" w:hAnsi="Palatino Linotype" w:cs="Palatino Linotype"/>
        </w:rPr>
      </w:pPr>
      <w:r w:rsidRPr="00526ADC">
        <w:rPr>
          <w:rFonts w:ascii="Palatino Linotype" w:eastAsia="Palatino Linotype" w:hAnsi="Palatino Linotype" w:cs="Palatino Linotype"/>
        </w:rPr>
        <w:lastRenderedPageBreak/>
        <w:t xml:space="preserve">b). 2000 Materiales y Suministros. </w:t>
      </w:r>
    </w:p>
    <w:p w14:paraId="5F7BB966" w14:textId="77777777" w:rsidR="00CE012C" w:rsidRPr="00526ADC" w:rsidRDefault="00502009">
      <w:pPr>
        <w:spacing w:after="120"/>
        <w:ind w:left="1418" w:right="900"/>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c). 3000 Servicios Generales. </w:t>
      </w:r>
    </w:p>
    <w:p w14:paraId="28846CBA" w14:textId="77777777" w:rsidR="00CE012C" w:rsidRPr="00526ADC" w:rsidRDefault="00502009">
      <w:pPr>
        <w:spacing w:after="120"/>
        <w:ind w:left="1418" w:right="900"/>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d). 4000 Transferencias, Asignaciones, Subsidios y otras ayudas. </w:t>
      </w:r>
    </w:p>
    <w:p w14:paraId="7B4BD9E8" w14:textId="77777777" w:rsidR="00CE012C" w:rsidRPr="00526ADC" w:rsidRDefault="00502009">
      <w:pPr>
        <w:spacing w:after="120"/>
        <w:ind w:left="1418" w:right="900"/>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 5000 Bienes Muebles, Inmuebles e Intangibles. </w:t>
      </w:r>
    </w:p>
    <w:p w14:paraId="27F39E48" w14:textId="77777777" w:rsidR="00CE012C" w:rsidRPr="00526ADC" w:rsidRDefault="00502009">
      <w:pPr>
        <w:spacing w:after="120"/>
        <w:ind w:left="1418" w:right="900"/>
        <w:jc w:val="both"/>
        <w:rPr>
          <w:rFonts w:ascii="Palatino Linotype" w:eastAsia="Palatino Linotype" w:hAnsi="Palatino Linotype" w:cs="Palatino Linotype"/>
          <w:b/>
        </w:rPr>
      </w:pPr>
      <w:r w:rsidRPr="00526ADC">
        <w:rPr>
          <w:rFonts w:ascii="Palatino Linotype" w:eastAsia="Palatino Linotype" w:hAnsi="Palatino Linotype" w:cs="Palatino Linotype"/>
        </w:rPr>
        <w:t xml:space="preserve">f). 6000 Inversión Pública. </w:t>
      </w:r>
    </w:p>
    <w:p w14:paraId="480BF384" w14:textId="77777777" w:rsidR="00CE012C" w:rsidRPr="00526ADC" w:rsidRDefault="00502009">
      <w:pPr>
        <w:spacing w:after="120"/>
        <w:ind w:left="1418" w:right="900"/>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g). 7000 Inversiones Financieras y otras provisiones. </w:t>
      </w:r>
    </w:p>
    <w:p w14:paraId="0D89F41C" w14:textId="77777777" w:rsidR="00CE012C" w:rsidRPr="00526ADC" w:rsidRDefault="00502009">
      <w:pPr>
        <w:spacing w:after="120"/>
        <w:ind w:left="1134" w:right="900"/>
        <w:jc w:val="both"/>
        <w:rPr>
          <w:rFonts w:ascii="Palatino Linotype" w:eastAsia="Palatino Linotype" w:hAnsi="Palatino Linotype" w:cs="Palatino Linotype"/>
        </w:rPr>
      </w:pPr>
      <w:r w:rsidRPr="00526ADC">
        <w:rPr>
          <w:rFonts w:ascii="Palatino Linotype" w:eastAsia="Palatino Linotype" w:hAnsi="Palatino Linotype" w:cs="Palatino Linotype"/>
          <w:b/>
        </w:rPr>
        <w:t>II</w:t>
      </w:r>
      <w:r w:rsidRPr="00526ADC">
        <w:rPr>
          <w:rFonts w:ascii="Palatino Linotype" w:eastAsia="Palatino Linotype" w:hAnsi="Palatino Linotype" w:cs="Palatino Linotype"/>
        </w:rPr>
        <w:t xml:space="preserve">. El gasto no programable comprende los siguientes capítulos: </w:t>
      </w:r>
    </w:p>
    <w:p w14:paraId="006691E5" w14:textId="77777777" w:rsidR="00CE012C" w:rsidRPr="00526ADC" w:rsidRDefault="00502009">
      <w:pPr>
        <w:spacing w:after="120"/>
        <w:ind w:left="1418" w:right="900"/>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a). 8000 Participaciones y Aportaciones. </w:t>
      </w:r>
    </w:p>
    <w:p w14:paraId="79F7A8BF" w14:textId="77777777" w:rsidR="00CE012C" w:rsidRPr="00526ADC" w:rsidRDefault="00502009">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526ADC">
        <w:rPr>
          <w:rFonts w:ascii="Palatino Linotype" w:eastAsia="Palatino Linotype" w:hAnsi="Palatino Linotype" w:cs="Palatino Linotype"/>
        </w:rPr>
        <w:t>b). 9000 Deuda Pública.</w:t>
      </w:r>
    </w:p>
    <w:p w14:paraId="2D11AE30"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Es conveniente subrayar que de acuerdo con del Clasificador por Objeto del Gasto Estatal y Municipal, la definición de los Capítulos de gasto es la siguiente: </w:t>
      </w:r>
    </w:p>
    <w:p w14:paraId="1A54209C"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t>1000 SERVICIOS PERSONALES</w:t>
      </w:r>
      <w:r w:rsidRPr="00526ADC">
        <w:rPr>
          <w:rFonts w:ascii="Palatino Linotype" w:eastAsia="Palatino Linotype" w:hAnsi="Palatino Linotype" w:cs="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2873CADA"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t>2000 MATERIALES Y SUMINISTROS</w:t>
      </w:r>
      <w:r w:rsidRPr="00526ADC">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7D39E04A"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t>3000 SERVICIOS GENERALES</w:t>
      </w:r>
      <w:r w:rsidRPr="00526ADC">
        <w:rPr>
          <w:rFonts w:ascii="Palatino Linotype" w:eastAsia="Palatino Linotype" w:hAnsi="Palatino Linotype" w:cs="Palatino Linotype"/>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305E6195"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lastRenderedPageBreak/>
        <w:t xml:space="preserve">4000 TRANSFERENCIAS, ASIGNACIONES, SUBSIDIOS Y OTRAS AYUDAS. </w:t>
      </w:r>
      <w:r w:rsidRPr="00526ADC">
        <w:rPr>
          <w:rFonts w:ascii="Palatino Linotype" w:eastAsia="Palatino Linotype" w:hAnsi="Palatino Linotype" w:cs="Palatino Linotype"/>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14:paraId="2FD25DC8"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t>5000 BIENES MUEBLES, INMUEBLES E INTANGIBLES</w:t>
      </w:r>
      <w:r w:rsidRPr="00526ADC">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34649487"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t>6000 INVERSIÓN PÚBLICA</w:t>
      </w:r>
      <w:r w:rsidRPr="00526ADC">
        <w:rPr>
          <w:rFonts w:ascii="Palatino Linotype" w:eastAsia="Palatino Linotype" w:hAnsi="Palatino Linotype" w:cs="Palatino Linotype"/>
        </w:rPr>
        <w:t xml:space="preserve">. </w:t>
      </w:r>
      <w:r w:rsidRPr="00526ADC">
        <w:rPr>
          <w:rFonts w:ascii="Palatino Linotype" w:eastAsia="Palatino Linotype" w:hAnsi="Palatino Linotype" w:cs="Palatino Linotype"/>
          <w:b/>
        </w:rPr>
        <w:t>Asignaciones destinadas a obras por contrato</w:t>
      </w:r>
      <w:r w:rsidRPr="00526ADC">
        <w:rPr>
          <w:rFonts w:ascii="Palatino Linotype" w:eastAsia="Palatino Linotype" w:hAnsi="Palatino Linotype" w:cs="Palatino Linotype"/>
        </w:rPr>
        <w:t xml:space="preserve"> y proyectos productivos y acciones de fomento. Incluye los gastos en estudios de pre‐inversión y preparación del proyecto.</w:t>
      </w:r>
    </w:p>
    <w:p w14:paraId="11A2D4D7"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t>7000 INVERSIONES FINANCIERAS Y OTRAS PROVISIONES</w:t>
      </w:r>
      <w:r w:rsidRPr="00526ADC">
        <w:rPr>
          <w:rFonts w:ascii="Palatino Linotype" w:eastAsia="Palatino Linotype" w:hAnsi="Palatino Linotype" w:cs="Palatino Linotype"/>
        </w:rPr>
        <w:t>.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2ECBEEC2"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rPr>
      </w:pPr>
      <w:r w:rsidRPr="00526ADC">
        <w:rPr>
          <w:rFonts w:ascii="Palatino Linotype" w:eastAsia="Palatino Linotype" w:hAnsi="Palatino Linotype" w:cs="Palatino Linotype"/>
          <w:b/>
        </w:rPr>
        <w:t>8000 PARTICIPACIONES Y APORTACIONES.</w:t>
      </w:r>
      <w:r w:rsidRPr="00526ADC">
        <w:rPr>
          <w:rFonts w:ascii="Palatino Linotype" w:eastAsia="Palatino Linotype" w:hAnsi="Palatino Linotype" w:cs="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60935A39" w14:textId="77777777" w:rsidR="00CE012C" w:rsidRPr="00526ADC" w:rsidRDefault="00502009">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b/>
        </w:rPr>
      </w:pPr>
      <w:r w:rsidRPr="00526ADC">
        <w:rPr>
          <w:rFonts w:ascii="Palatino Linotype" w:eastAsia="Palatino Linotype" w:hAnsi="Palatino Linotype" w:cs="Palatino Linotype"/>
          <w:b/>
        </w:rPr>
        <w:t>9000 DEUDA PÚBLICA</w:t>
      </w:r>
      <w:r w:rsidRPr="00526ADC">
        <w:rPr>
          <w:rFonts w:ascii="Palatino Linotype" w:eastAsia="Palatino Linotype" w:hAnsi="Palatino Linotype" w:cs="Palatino Linotype"/>
        </w:rPr>
        <w:t xml:space="preserve">. Asignaciones destinadas a cubrir obligaciones por concepto de deuda pública interna y externa derivada de la contratación de </w:t>
      </w:r>
      <w:r w:rsidRPr="00526ADC">
        <w:rPr>
          <w:rFonts w:ascii="Palatino Linotype" w:eastAsia="Palatino Linotype" w:hAnsi="Palatino Linotype" w:cs="Palatino Linotype"/>
        </w:rPr>
        <w:lastRenderedPageBreak/>
        <w:t>empréstitos; incluye la amortización, los intereses, gastos y comisiones de la deuda pública, así como las erogaciones relacionadas con la emisión y/o contratación de deuda. Asimismo, incluye los adeudos de ejercicios fiscales anteriores (ADEFAS).</w:t>
      </w:r>
    </w:p>
    <w:p w14:paraId="0FF91D11" w14:textId="77777777" w:rsidR="00CE012C" w:rsidRPr="00526ADC" w:rsidRDefault="0050200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526ADC">
        <w:rPr>
          <w:rFonts w:ascii="Palatino Linotype" w:eastAsia="Palatino Linotype" w:hAnsi="Palatino Linotype" w:cs="Palatino Linotype"/>
        </w:rPr>
        <w:t>Por su parte, el Código Financiero del Estado de México, en su artículo 285, señala que el presupuesto de egresos constituye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14:paraId="62DCDF47"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En el mismo sentido, el Manual para la Planeación, Programación y Presupuesto de Egresos Municipal para el ejercicio fiscal 2024, en el marco conceptual, numeral 1.2, define al presupuesto de la siguiente forma:</w:t>
      </w:r>
    </w:p>
    <w:p w14:paraId="4E6E9948" w14:textId="77777777" w:rsidR="00CE012C" w:rsidRPr="00526ADC" w:rsidRDefault="00502009">
      <w:pPr>
        <w:spacing w:before="120" w:after="120"/>
        <w:ind w:left="851"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i/>
          <w:sz w:val="22"/>
          <w:szCs w:val="22"/>
        </w:rPr>
        <w:t xml:space="preserve">“Con base en lo que establece el artículo 285 del Código Financiero del Estado de México y Municipios, el </w:t>
      </w:r>
      <w:r w:rsidRPr="00526ADC">
        <w:rPr>
          <w:rFonts w:ascii="Palatino Linotype" w:eastAsia="Palatino Linotype" w:hAnsi="Palatino Linotype" w:cs="Palatino Linotype"/>
          <w:b/>
          <w:i/>
          <w:sz w:val="22"/>
          <w:szCs w:val="22"/>
        </w:rPr>
        <w:t>Presupuesto de Egresos Municipal</w:t>
      </w:r>
      <w:r w:rsidRPr="00526ADC">
        <w:rPr>
          <w:rFonts w:ascii="Palatino Linotype" w:eastAsia="Palatino Linotype" w:hAnsi="Palatino Linotype" w:cs="Palatino Linotype"/>
          <w:i/>
          <w:sz w:val="22"/>
          <w:szCs w:val="22"/>
        </w:rPr>
        <w:t xml:space="preserve"> se conceptualiza como </w:t>
      </w:r>
      <w:r w:rsidRPr="00526ADC">
        <w:rPr>
          <w:rFonts w:ascii="Palatino Linotype" w:eastAsia="Palatino Linotype" w:hAnsi="Palatino Linotype" w:cs="Palatino Linotype"/>
          <w:b/>
          <w:i/>
          <w:sz w:val="22"/>
          <w:szCs w:val="22"/>
        </w:rPr>
        <w:t>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 xml:space="preserve">durante el ejercicio fiscal correspondiente. </w:t>
      </w:r>
    </w:p>
    <w:p w14:paraId="03FB4DFB"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 xml:space="preserve">Para efecto de este Manual, </w:t>
      </w:r>
      <w:r w:rsidRPr="00526ADC">
        <w:rPr>
          <w:rFonts w:ascii="Palatino Linotype" w:eastAsia="Palatino Linotype" w:hAnsi="Palatino Linotype" w:cs="Palatino Linotype"/>
          <w:b/>
          <w:i/>
          <w:sz w:val="22"/>
          <w:szCs w:val="22"/>
        </w:rPr>
        <w:t xml:space="preserve">el presupuesto es la estimación financiera anticipada, generalmente anual, de los ingresos y egresos del gobierno, </w:t>
      </w:r>
      <w:r w:rsidRPr="00526ADC">
        <w:rPr>
          <w:rFonts w:ascii="Palatino Linotype" w:eastAsia="Palatino Linotype" w:hAnsi="Palatino Linotype" w:cs="Palatino Linotype"/>
          <w:b/>
          <w:i/>
          <w:sz w:val="22"/>
          <w:szCs w:val="22"/>
        </w:rPr>
        <w:lastRenderedPageBreak/>
        <w:t xml:space="preserve">necesarios para cumplir con los objetivos establecidos en los planes, programas y proyectos determinados. </w:t>
      </w:r>
      <w:r w:rsidRPr="00526ADC">
        <w:rPr>
          <w:rFonts w:ascii="Palatino Linotype" w:eastAsia="Palatino Linotype" w:hAnsi="Palatino Linotype" w:cs="Palatino Linotype"/>
          <w:i/>
          <w:sz w:val="22"/>
          <w:szCs w:val="22"/>
        </w:rPr>
        <w:t xml:space="preserve">Asimismo, constituye el instrumento operativo básico para la ejecución de las decisiones de política económica y de planeación. </w:t>
      </w:r>
      <w:r w:rsidRPr="00526ADC">
        <w:rPr>
          <w:rFonts w:ascii="Palatino Linotype" w:eastAsia="Palatino Linotype" w:hAnsi="Palatino Linotype" w:cs="Palatino Linotype"/>
          <w:b/>
          <w:i/>
          <w:sz w:val="22"/>
          <w:szCs w:val="22"/>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sidRPr="00526ADC">
        <w:rPr>
          <w:rFonts w:ascii="Palatino Linotype" w:eastAsia="Palatino Linotype" w:hAnsi="Palatino Linotype" w:cs="Palatino Linotype"/>
          <w:i/>
          <w:sz w:val="22"/>
          <w:szCs w:val="22"/>
        </w:rPr>
        <w:t>.”</w:t>
      </w:r>
    </w:p>
    <w:p w14:paraId="5AEB3C19" w14:textId="77777777" w:rsidR="00CE012C" w:rsidRPr="00526ADC" w:rsidRDefault="00502009">
      <w:pPr>
        <w:spacing w:before="240" w:after="240" w:line="360" w:lineRule="auto"/>
        <w:ind w:right="51"/>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Asimismo, es importante mencionar que de conformidad con los artículos 125, párrafo cuarto de la Constitución Política del Estado Libre y Soberano de México, 351, párrafo segundo del Código Financiero del Estado de México, y 47 de la Ley de Fiscalización Superior del Estado de México, </w:t>
      </w:r>
      <w:r w:rsidRPr="00526ADC">
        <w:rPr>
          <w:rFonts w:ascii="Palatino Linotype" w:eastAsia="Palatino Linotype" w:hAnsi="Palatino Linotype" w:cs="Palatino Linotype"/>
          <w:b/>
        </w:rPr>
        <w:t>la Presidenta o el Presidente Municipal, debe promulgar y publicar en la "Gaceta Municipal" el Presupuesto de Egresos Municipal definitivo,</w:t>
      </w:r>
      <w:r w:rsidRPr="00526ADC">
        <w:rPr>
          <w:rFonts w:ascii="Palatino Linotype" w:eastAsia="Palatino Linotype" w:hAnsi="Palatino Linotype" w:cs="Palatino Linotype"/>
        </w:rPr>
        <w:t xml:space="preserve"> </w:t>
      </w:r>
      <w:r w:rsidRPr="00526ADC">
        <w:rPr>
          <w:rFonts w:ascii="Palatino Linotype" w:eastAsia="Palatino Linotype" w:hAnsi="Palatino Linotype" w:cs="Palatino Linotype"/>
          <w:b/>
        </w:rPr>
        <w:t>a más tardar el día veinticinco de febrero de cada año</w:t>
      </w:r>
      <w:r w:rsidRPr="00526ADC">
        <w:rPr>
          <w:rFonts w:ascii="Palatino Linotype" w:eastAsia="Palatino Linotype" w:hAnsi="Palatino Linotype" w:cs="Palatino Linotype"/>
        </w:rPr>
        <w:t xml:space="preserve"> debiendo enviarlo al Órgano Superior de Fiscalización en la misma fecha, a saber:</w:t>
      </w:r>
    </w:p>
    <w:p w14:paraId="0D6D617A"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Artículo 125</w:t>
      </w:r>
      <w:r w:rsidRPr="00526ADC">
        <w:rPr>
          <w:rFonts w:ascii="Palatino Linotype" w:eastAsia="Palatino Linotype" w:hAnsi="Palatino Linotype" w:cs="Palatino Linotype"/>
          <w:i/>
          <w:sz w:val="22"/>
          <w:szCs w:val="22"/>
        </w:rPr>
        <w:t>...</w:t>
      </w:r>
    </w:p>
    <w:p w14:paraId="3841495B" w14:textId="77777777" w:rsidR="00CE012C" w:rsidRPr="00526ADC" w:rsidRDefault="00502009">
      <w:pPr>
        <w:spacing w:before="120" w:after="120"/>
        <w:ind w:left="851"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526ADC">
        <w:rPr>
          <w:rFonts w:ascii="Palatino Linotype" w:eastAsia="Palatino Linotype" w:hAnsi="Palatino Linotype" w:cs="Palatino Linotype"/>
          <w:b/>
          <w:i/>
          <w:sz w:val="22"/>
          <w:szCs w:val="22"/>
        </w:rPr>
        <w:t>La Presidenta o el Presidente Municipal, promulgará y publicará el Presupuesto de Egresos Municipal, a más tardar el día 25 de febrero de cada año debiendo enviarlo al Órgano Superior de Fiscalización en la misma fecha.”</w:t>
      </w:r>
    </w:p>
    <w:p w14:paraId="3BA7FF33"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“Artículo 351</w:t>
      </w:r>
      <w:r w:rsidRPr="00526ADC">
        <w:rPr>
          <w:rFonts w:ascii="Palatino Linotype" w:eastAsia="Palatino Linotype" w:hAnsi="Palatino Linotype" w:cs="Palatino Linotype"/>
          <w:i/>
          <w:sz w:val="22"/>
          <w:szCs w:val="22"/>
        </w:rPr>
        <w:t>...</w:t>
      </w:r>
    </w:p>
    <w:p w14:paraId="36F62AE2" w14:textId="77777777" w:rsidR="00CE012C" w:rsidRPr="00526ADC" w:rsidRDefault="00502009">
      <w:pPr>
        <w:spacing w:before="120" w:after="120"/>
        <w:ind w:left="851"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526ADC">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w:t>
      </w:r>
      <w:r w:rsidRPr="00526ADC">
        <w:rPr>
          <w:rFonts w:ascii="Palatino Linotype" w:eastAsia="Palatino Linotype" w:hAnsi="Palatino Linotype" w:cs="Palatino Linotype"/>
          <w:i/>
          <w:sz w:val="22"/>
          <w:szCs w:val="22"/>
        </w:rPr>
        <w:lastRenderedPageBreak/>
        <w:t xml:space="preserve">municipal, </w:t>
      </w:r>
      <w:r w:rsidRPr="00526ADC">
        <w:rPr>
          <w:rFonts w:ascii="Palatino Linotype" w:eastAsia="Palatino Linotype" w:hAnsi="Palatino Linotype" w:cs="Palatino Linotype"/>
          <w:b/>
          <w:i/>
          <w:sz w:val="22"/>
          <w:szCs w:val="22"/>
        </w:rPr>
        <w:t>a más tardar el 25 de febrero del año para el cual habrá de aplicar dicho presupuesto.”</w:t>
      </w:r>
    </w:p>
    <w:p w14:paraId="1CD7F466" w14:textId="77777777" w:rsidR="00CE012C" w:rsidRPr="00526ADC" w:rsidRDefault="00502009">
      <w:pPr>
        <w:spacing w:before="120" w:after="120"/>
        <w:ind w:left="851"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“Artículo 47</w:t>
      </w:r>
      <w:r w:rsidRPr="00526ADC">
        <w:rPr>
          <w:rFonts w:ascii="Palatino Linotype" w:eastAsia="Palatino Linotype" w:hAnsi="Palatino Linotype" w:cs="Palatino Linotype"/>
          <w:i/>
          <w:sz w:val="22"/>
          <w:szCs w:val="22"/>
        </w:rPr>
        <w:t xml:space="preserve">.- Los Presidentes Municipales y los Síndicos estarán obligados a </w:t>
      </w:r>
      <w:r w:rsidRPr="00526ADC">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526ADC">
        <w:rPr>
          <w:rFonts w:ascii="Palatino Linotype" w:eastAsia="Palatino Linotype" w:hAnsi="Palatino Linotype" w:cs="Palatino Linotype"/>
          <w:i/>
          <w:sz w:val="22"/>
          <w:szCs w:val="22"/>
        </w:rPr>
        <w:t>correspondiente.”</w:t>
      </w:r>
    </w:p>
    <w:p w14:paraId="23C7ADCB"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Concatenado con lo anterior, entre los formatos que integran el Presupuesto de Egresos aprobado, de conformidad con el numeral 3.4.1 del Manual para la Planeación, Programación y Presupuesto de Egresos Municipal, se encuentra el siguiente:</w:t>
      </w:r>
    </w:p>
    <w:p w14:paraId="3E631C30" w14:textId="77777777" w:rsidR="00CE012C" w:rsidRPr="00526ADC" w:rsidRDefault="00502009">
      <w:pPr>
        <w:spacing w:before="240" w:after="240" w:line="360" w:lineRule="auto"/>
        <w:ind w:left="284"/>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 </w:t>
      </w:r>
      <w:r w:rsidRPr="00526ADC">
        <w:rPr>
          <w:rFonts w:ascii="Palatino Linotype" w:eastAsia="Palatino Linotype" w:hAnsi="Palatino Linotype" w:cs="Palatino Linotype"/>
          <w:b/>
        </w:rPr>
        <w:t>PbRM-07a Programa Anual de Obra</w:t>
      </w:r>
      <w:r w:rsidRPr="00526ADC">
        <w:rPr>
          <w:rFonts w:ascii="Palatino Linotype" w:eastAsia="Palatino Linotype" w:hAnsi="Palatino Linotype" w:cs="Palatino Linotype"/>
        </w:rPr>
        <w:t>. El cual especifica de manera precisa el período de ejecución y presupuesto ejercido de la obra pública de que se trate; así como la fuente de financiamiento con la que ésta se llevará a cabo. Debe corresponder con el importe Capítulo 6000 Inversión Pública contenido en el formato PbRM-04d Carátula de Presupuesto de Egresos.</w:t>
      </w:r>
    </w:p>
    <w:p w14:paraId="7B3D364D"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Por otro lado, y no menos importante, debe mencionarse que de conformidad con el artículo 94, fracción II, inciso b), los municipios cuentan con la obligación de poner al público las actas de las sesiones de cabildo, como se lee enseguida: </w:t>
      </w:r>
    </w:p>
    <w:p w14:paraId="76591225"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Artículo 94</w:t>
      </w:r>
      <w:r w:rsidRPr="00526ADC">
        <w:rPr>
          <w:rFonts w:ascii="Palatino Linotype" w:eastAsia="Palatino Linotype" w:hAnsi="Palatino Linotype" w:cs="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14:paraId="5219FE1E"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4A36954C"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w:t>
      </w:r>
      <w:r w:rsidRPr="00526ADC">
        <w:rPr>
          <w:rFonts w:ascii="Palatino Linotype" w:eastAsia="Palatino Linotype" w:hAnsi="Palatino Linotype" w:cs="Palatino Linotype"/>
          <w:i/>
          <w:sz w:val="22"/>
          <w:szCs w:val="22"/>
        </w:rPr>
        <w:t xml:space="preserve"> Adicionalmente en el caso de los municipios:</w:t>
      </w:r>
    </w:p>
    <w:p w14:paraId="2B0A5AA1"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47439A0B" w14:textId="77777777" w:rsidR="00CE012C" w:rsidRPr="00526ADC" w:rsidRDefault="00502009">
      <w:pPr>
        <w:spacing w:before="120" w:after="120"/>
        <w:ind w:left="1418"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lastRenderedPageBreak/>
        <w:t>b)</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Las actas de sesiones de cabildo</w:t>
      </w:r>
      <w:r w:rsidRPr="00526ADC">
        <w:rPr>
          <w:rFonts w:ascii="Palatino Linotype" w:eastAsia="Palatino Linotype" w:hAnsi="Palatino Linotype" w:cs="Palatino Linotype"/>
          <w:i/>
          <w:sz w:val="22"/>
          <w:szCs w:val="22"/>
        </w:rPr>
        <w:t>, los controles de asistencia de los integrantes del Ayuntamiento a las sesiones de cabildo y el sentido de votación de los miembros del cabildo sobre las iniciativas o acuerdos;”</w:t>
      </w:r>
    </w:p>
    <w:p w14:paraId="077983BF"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Bajo esta línea de pensamiento, es evidente que el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cuenta con competencia para entregar la información solicitada, dado que el Programa Anual de Obra forma parte del Presupuesto de Egresos Municipal que debe promulgar y publicar por conducto del Presidente Municipal a más tardar el 25 de febrero de cada ejercicio, previa aprobación del ayuntamiento, de conformidad con las atribuciones que se le confieren a dicho cuerpo colegiado en el artículo 31, fracción XIX de la Ley Orgánica Municipal del Estado de México, a saber:</w:t>
      </w:r>
    </w:p>
    <w:p w14:paraId="5BBFF181"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Artículo 31</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Son atribuciones de los ayuntamientos</w:t>
      </w:r>
      <w:r w:rsidRPr="00526ADC">
        <w:rPr>
          <w:rFonts w:ascii="Palatino Linotype" w:eastAsia="Palatino Linotype" w:hAnsi="Palatino Linotype" w:cs="Palatino Linotype"/>
          <w:i/>
          <w:sz w:val="22"/>
          <w:szCs w:val="22"/>
        </w:rPr>
        <w:t>:</w:t>
      </w:r>
    </w:p>
    <w:p w14:paraId="6DA0C7C3" w14:textId="77777777" w:rsidR="00CE012C" w:rsidRPr="00526ADC" w:rsidRDefault="00502009">
      <w:pPr>
        <w:spacing w:before="120" w:after="120"/>
        <w:ind w:left="851"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w:t>
      </w:r>
    </w:p>
    <w:p w14:paraId="4C1C853E"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XIX</w:t>
      </w:r>
      <w:r w:rsidRPr="00526ADC">
        <w:rPr>
          <w:rFonts w:ascii="Palatino Linotype" w:eastAsia="Palatino Linotype" w:hAnsi="Palatino Linotype" w:cs="Palatino Linotype"/>
          <w:i/>
          <w:sz w:val="22"/>
          <w:szCs w:val="22"/>
        </w:rPr>
        <w:t xml:space="preserve">. </w:t>
      </w:r>
      <w:r w:rsidRPr="00526ADC">
        <w:rPr>
          <w:rFonts w:ascii="Palatino Linotype" w:eastAsia="Palatino Linotype" w:hAnsi="Palatino Linotype" w:cs="Palatino Linotype"/>
          <w:b/>
          <w:i/>
          <w:sz w:val="22"/>
          <w:szCs w:val="22"/>
        </w:rPr>
        <w:t>Aprobar anualmente a más tardar el 20 de diciembre, su Presupuesto de Egresos</w:t>
      </w:r>
      <w:r w:rsidRPr="00526ADC">
        <w:rPr>
          <w:rFonts w:ascii="Palatino Linotype" w:eastAsia="Palatino Linotype" w:hAnsi="Palatino Linotype" w:cs="Palatino Linotype"/>
          <w:i/>
          <w:sz w:val="22"/>
          <w:szCs w:val="22"/>
        </w:rPr>
        <w:t>,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7D3069AC"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4552D6A2"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1600D51A"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En este tenor, la búsqueda que se ordena para dar cumplimiento a la presente resolución, no podrá excluir a la Secretaría del Ayuntamiento, al ser el área responsable de levantar las actas de las Sesiones del Ayuntamiento, así como llevar y conservar los libros de las actas de cabildo, de conformidad con el artículo 91, fracciones I y IV de la Ley Orgánica Municipal del Estado de México, a saber:</w:t>
      </w:r>
    </w:p>
    <w:p w14:paraId="38FC0E87"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lastRenderedPageBreak/>
        <w:t>“</w:t>
      </w:r>
      <w:r w:rsidRPr="00526ADC">
        <w:rPr>
          <w:rFonts w:ascii="Palatino Linotype" w:eastAsia="Palatino Linotype" w:hAnsi="Palatino Linotype" w:cs="Palatino Linotype"/>
          <w:b/>
          <w:i/>
          <w:sz w:val="22"/>
          <w:szCs w:val="22"/>
        </w:rPr>
        <w:t>Artículo 91</w:t>
      </w:r>
      <w:r w:rsidRPr="00526ADC">
        <w:rPr>
          <w:rFonts w:ascii="Palatino Linotype" w:eastAsia="Palatino Linotype" w:hAnsi="Palatino Linotype" w:cs="Palatino Linotype"/>
          <w:i/>
          <w:sz w:val="22"/>
          <w:szCs w:val="22"/>
        </w:rPr>
        <w:t>.-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8C620D8"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w:t>
      </w:r>
      <w:r w:rsidRPr="00526ADC">
        <w:rPr>
          <w:rFonts w:ascii="Palatino Linotype" w:eastAsia="Palatino Linotype" w:hAnsi="Palatino Linotype" w:cs="Palatino Linotype"/>
          <w:i/>
          <w:sz w:val="22"/>
          <w:szCs w:val="22"/>
        </w:rPr>
        <w:t xml:space="preserve"> Asistir a las sesiones del ayuntamiento y levantar las actas correspondientes;</w:t>
      </w:r>
    </w:p>
    <w:p w14:paraId="23E6C31B" w14:textId="77777777" w:rsidR="00CE012C" w:rsidRPr="00526ADC" w:rsidRDefault="00502009">
      <w:pPr>
        <w:spacing w:before="120" w:after="120"/>
        <w:ind w:left="1134"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w:t>
      </w:r>
    </w:p>
    <w:p w14:paraId="66D7A4F8"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IV</w:t>
      </w:r>
      <w:r w:rsidRPr="00526ADC">
        <w:rPr>
          <w:rFonts w:ascii="Palatino Linotype" w:eastAsia="Palatino Linotype" w:hAnsi="Palatino Linotype" w:cs="Palatino Linotype"/>
          <w:i/>
          <w:sz w:val="22"/>
          <w:szCs w:val="22"/>
        </w:rPr>
        <w:t>. Llevar y conservar los libros de actas de cabildo, obteniendo las firmas de los asistentes a las sesiones;”</w:t>
      </w:r>
    </w:p>
    <w:p w14:paraId="79E0A6D7"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En mérito de todo lo expuesto, ante lo fundado de las razones o motivos de inconformidad hechos valer por la parte</w:t>
      </w:r>
      <w:r w:rsidRPr="00526ADC">
        <w:rPr>
          <w:rFonts w:ascii="Palatino Linotype" w:eastAsia="Palatino Linotype" w:hAnsi="Palatino Linotype" w:cs="Palatino Linotype"/>
          <w:b/>
        </w:rPr>
        <w:t xml:space="preserve"> Recurrente, </w:t>
      </w:r>
      <w:r w:rsidRPr="00526ADC">
        <w:rPr>
          <w:rFonts w:ascii="Palatino Linotype" w:eastAsia="Palatino Linotype" w:hAnsi="Palatino Linotype" w:cs="Palatino Linotype"/>
        </w:rPr>
        <w:t xml:space="preserve">este Instituto estima que lo dable es </w:t>
      </w:r>
      <w:r w:rsidRPr="00526ADC">
        <w:rPr>
          <w:rFonts w:ascii="Palatino Linotype" w:eastAsia="Palatino Linotype" w:hAnsi="Palatino Linotype" w:cs="Palatino Linotype"/>
          <w:i/>
        </w:rPr>
        <w:t>Ordenar</w:t>
      </w:r>
      <w:r w:rsidRPr="00526ADC">
        <w:rPr>
          <w:rFonts w:ascii="Palatino Linotype" w:eastAsia="Palatino Linotype" w:hAnsi="Palatino Linotype" w:cs="Palatino Linotype"/>
        </w:rPr>
        <w:t xml:space="preserve"> al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atienda la solicitud de acceso a la información.</w:t>
      </w:r>
    </w:p>
    <w:p w14:paraId="3A6D83C3"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Finalmente, toda  vez que el presente recurso derivó de la omisión por parte del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en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526ADC">
        <w:rPr>
          <w:rFonts w:ascii="Palatino Linotype" w:eastAsia="Palatino Linotype" w:hAnsi="Palatino Linotype" w:cs="Palatino Linotype"/>
          <w:b/>
        </w:rPr>
        <w:t>Secretaría Técnica del Pleno</w:t>
      </w:r>
      <w:r w:rsidRPr="00526ADC">
        <w:rPr>
          <w:rFonts w:ascii="Palatino Linotype" w:eastAsia="Palatino Linotype" w:hAnsi="Palatino Linotype" w:cs="Palatino Linotype"/>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14:paraId="16649AD9"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Quinto. Versión Pública.</w:t>
      </w:r>
      <w:r w:rsidRPr="00526ADC">
        <w:rPr>
          <w:rFonts w:ascii="Palatino Linotype" w:eastAsia="Palatino Linotype" w:hAnsi="Palatino Linotype" w:cs="Palatino Linotype"/>
          <w:sz w:val="28"/>
          <w:szCs w:val="28"/>
        </w:rPr>
        <w:t xml:space="preserve"> </w:t>
      </w:r>
      <w:r w:rsidRPr="00526ADC">
        <w:rPr>
          <w:rFonts w:ascii="Palatino Linotype" w:eastAsia="Palatino Linotype" w:hAnsi="Palatino Linotype" w:cs="Palatino Linotype"/>
        </w:rPr>
        <w:t xml:space="preserve">Finalmente, debe señalarse que de ser el caso en que los documentos que vayan a ser entregados para dar cumplimiento a la presente </w:t>
      </w:r>
      <w:r w:rsidRPr="00526ADC">
        <w:rPr>
          <w:rFonts w:ascii="Palatino Linotype" w:eastAsia="Palatino Linotype" w:hAnsi="Palatino Linotype" w:cs="Palatino Linotype"/>
        </w:rPr>
        <w:lastRenderedPageBreak/>
        <w:t xml:space="preserve">resolución, contengan datos que deban ser clasificados,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sin menoscabo al derecho a la protección de los datos personales de terceros, que les identifiquen o les hagan identificables.</w:t>
      </w:r>
    </w:p>
    <w:p w14:paraId="2C95237E"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Lo anterior de conformidad con lo que señalan los artículos 3 fracciones IX, XX, XXI y XLV, 91, 132, 137 y 143, fracción I de la Ley de Transparencia y Acceso a la Información Pública del Estado de México y Municipios que establecen:</w:t>
      </w:r>
    </w:p>
    <w:p w14:paraId="707F5623"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Artículo 3</w:t>
      </w:r>
      <w:r w:rsidRPr="00526ADC">
        <w:rPr>
          <w:rFonts w:ascii="Palatino Linotype" w:eastAsia="Palatino Linotype" w:hAnsi="Palatino Linotype" w:cs="Palatino Linotype"/>
          <w:i/>
          <w:sz w:val="22"/>
          <w:szCs w:val="22"/>
        </w:rPr>
        <w:t>. Para los efectos de la presente Ley se entenderá por:</w:t>
      </w:r>
    </w:p>
    <w:p w14:paraId="601873D9"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252144D8"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IX. Datos personales</w:t>
      </w:r>
      <w:r w:rsidRPr="00526AD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85AD35C"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XX. Información clasificada</w:t>
      </w:r>
      <w:r w:rsidRPr="00526ADC">
        <w:rPr>
          <w:rFonts w:ascii="Palatino Linotype" w:eastAsia="Palatino Linotype" w:hAnsi="Palatino Linotype" w:cs="Palatino Linotype"/>
          <w:i/>
          <w:sz w:val="22"/>
          <w:szCs w:val="22"/>
        </w:rPr>
        <w:t>: Aquella considerada por la presente Ley como reservada o confidencial;</w:t>
      </w:r>
    </w:p>
    <w:p w14:paraId="1F6B2F70"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 xml:space="preserve">XXI. Información confidencial: </w:t>
      </w:r>
      <w:r w:rsidRPr="00526ADC">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E07AC4F"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XLV. Versión pública:</w:t>
      </w:r>
      <w:r w:rsidRPr="00526AD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76A3D9F"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01CADE66"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Artículo 91.</w:t>
      </w:r>
      <w:r w:rsidRPr="00526AD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EC2962A"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Artículo 132.</w:t>
      </w:r>
      <w:r w:rsidRPr="00526ADC">
        <w:rPr>
          <w:rFonts w:ascii="Palatino Linotype" w:eastAsia="Palatino Linotype" w:hAnsi="Palatino Linotype" w:cs="Palatino Linotype"/>
          <w:i/>
          <w:sz w:val="22"/>
          <w:szCs w:val="22"/>
        </w:rPr>
        <w:t xml:space="preserve"> La clasificación de la información se llevará a cabo en el momento en que:</w:t>
      </w:r>
    </w:p>
    <w:p w14:paraId="6A07C26B"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w:t>
      </w:r>
      <w:r w:rsidRPr="00526ADC">
        <w:rPr>
          <w:rFonts w:ascii="Palatino Linotype" w:eastAsia="Palatino Linotype" w:hAnsi="Palatino Linotype" w:cs="Palatino Linotype"/>
          <w:i/>
          <w:sz w:val="22"/>
          <w:szCs w:val="22"/>
        </w:rPr>
        <w:t>. Se reciba una solicitud de acceso a la información;</w:t>
      </w:r>
    </w:p>
    <w:p w14:paraId="46BA68B3"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lastRenderedPageBreak/>
        <w:t>II.</w:t>
      </w:r>
      <w:r w:rsidRPr="00526ADC">
        <w:rPr>
          <w:rFonts w:ascii="Palatino Linotype" w:eastAsia="Palatino Linotype" w:hAnsi="Palatino Linotype" w:cs="Palatino Linotype"/>
          <w:i/>
          <w:sz w:val="22"/>
          <w:szCs w:val="22"/>
        </w:rPr>
        <w:t xml:space="preserve"> Se determine mediante resolución de autoridad competente; o</w:t>
      </w:r>
    </w:p>
    <w:p w14:paraId="784F6F18"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III.</w:t>
      </w:r>
      <w:r w:rsidRPr="00526AD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A65E448"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51F35BAC"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Artículo 137.</w:t>
      </w:r>
      <w:r w:rsidRPr="00526AD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010B433" w14:textId="77777777" w:rsidR="00CE012C" w:rsidRPr="00526ADC" w:rsidRDefault="00502009">
      <w:pPr>
        <w:spacing w:before="120" w:after="120"/>
        <w:ind w:left="851"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w:t>
      </w:r>
    </w:p>
    <w:p w14:paraId="1BDDAC6C"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Artículo 143</w:t>
      </w:r>
      <w:r w:rsidRPr="00526AD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22C5EF0"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w:t>
      </w:r>
      <w:r w:rsidRPr="00526AD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B42EB0A"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3FADE7"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a testar, suprimir o eliminar datos de dicho soporte documental, ya que no hacerlo, lo entregado no </w:t>
      </w:r>
      <w:r w:rsidRPr="00526ADC">
        <w:rPr>
          <w:rFonts w:ascii="Palatino Linotype" w:eastAsia="Palatino Linotype" w:hAnsi="Palatino Linotype" w:cs="Palatino Linotype"/>
        </w:rPr>
        <w:lastRenderedPageBreak/>
        <w:t>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2FF7DDD" w14:textId="77777777" w:rsidR="00CE012C" w:rsidRPr="00526ADC" w:rsidRDefault="0050200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Respecto a las formalidades que deberá llevar el acuerdo de clasificación que deberá emitir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E8C665F"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 xml:space="preserve"> “Quincuagésimo. </w:t>
      </w:r>
      <w:r w:rsidRPr="00526ADC">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B40113F" w14:textId="77777777" w:rsidR="00CE012C" w:rsidRPr="00526ADC" w:rsidRDefault="0050200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 xml:space="preserve">Quincuagésimo primero. </w:t>
      </w:r>
      <w:r w:rsidRPr="00526ADC">
        <w:rPr>
          <w:rFonts w:ascii="Palatino Linotype" w:eastAsia="Palatino Linotype" w:hAnsi="Palatino Linotype" w:cs="Palatino Linotype"/>
          <w:i/>
          <w:sz w:val="22"/>
          <w:szCs w:val="22"/>
        </w:rPr>
        <w:t xml:space="preserve">Toda acta del Comité de Transparencia deberá contener: </w:t>
      </w:r>
    </w:p>
    <w:p w14:paraId="23E26359"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w:t>
      </w:r>
      <w:r w:rsidRPr="00526ADC">
        <w:rPr>
          <w:rFonts w:ascii="Palatino Linotype" w:eastAsia="Palatino Linotype" w:hAnsi="Palatino Linotype" w:cs="Palatino Linotype"/>
          <w:i/>
          <w:sz w:val="22"/>
          <w:szCs w:val="22"/>
        </w:rPr>
        <w:t xml:space="preserve"> El número de sesión y fecha; </w:t>
      </w:r>
    </w:p>
    <w:p w14:paraId="3F0A0F6B"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w:t>
      </w:r>
      <w:r w:rsidRPr="00526ADC">
        <w:rPr>
          <w:rFonts w:ascii="Palatino Linotype" w:eastAsia="Palatino Linotype" w:hAnsi="Palatino Linotype" w:cs="Palatino Linotype"/>
          <w:i/>
          <w:sz w:val="22"/>
          <w:szCs w:val="22"/>
        </w:rPr>
        <w:t xml:space="preserve">. El nombre del área que solicitó la clasificación de información; </w:t>
      </w:r>
    </w:p>
    <w:p w14:paraId="7FFE5DA6"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III</w:t>
      </w:r>
      <w:r w:rsidRPr="00526ADC">
        <w:rPr>
          <w:rFonts w:ascii="Palatino Linotype" w:eastAsia="Palatino Linotype" w:hAnsi="Palatino Linotype" w:cs="Palatino Linotype"/>
          <w:i/>
          <w:sz w:val="22"/>
          <w:szCs w:val="22"/>
        </w:rPr>
        <w:t xml:space="preserve">. La fundamentación legal y motivación correspondiente; </w:t>
      </w:r>
    </w:p>
    <w:p w14:paraId="5C5BAB14"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IV</w:t>
      </w:r>
      <w:r w:rsidRPr="00526ADC">
        <w:rPr>
          <w:rFonts w:ascii="Palatino Linotype" w:eastAsia="Palatino Linotype" w:hAnsi="Palatino Linotype" w:cs="Palatino Linotype"/>
          <w:i/>
          <w:sz w:val="22"/>
          <w:szCs w:val="22"/>
        </w:rPr>
        <w:t xml:space="preserve">. La resolución o resoluciones aprobadas; y </w:t>
      </w:r>
    </w:p>
    <w:p w14:paraId="43BF0F2F"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V</w:t>
      </w:r>
      <w:r w:rsidRPr="00526ADC">
        <w:rPr>
          <w:rFonts w:ascii="Palatino Linotype" w:eastAsia="Palatino Linotype" w:hAnsi="Palatino Linotype" w:cs="Palatino Linotype"/>
          <w:i/>
          <w:sz w:val="22"/>
          <w:szCs w:val="22"/>
        </w:rPr>
        <w:t xml:space="preserve">. La rúbrica o firma digital de cada integrante del Comité de Transparencia. </w:t>
      </w:r>
    </w:p>
    <w:p w14:paraId="13B64DA7" w14:textId="77777777" w:rsidR="00CE012C" w:rsidRPr="00526ADC" w:rsidRDefault="0050200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3CDAF65"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w:t>
      </w:r>
      <w:r w:rsidRPr="00526ADC">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4CEAA95"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lastRenderedPageBreak/>
        <w:t>II</w:t>
      </w:r>
      <w:r w:rsidRPr="00526ADC">
        <w:rPr>
          <w:rFonts w:ascii="Palatino Linotype" w:eastAsia="Palatino Linotype" w:hAnsi="Palatino Linotype" w:cs="Palatino Linotype"/>
          <w:i/>
          <w:sz w:val="22"/>
          <w:szCs w:val="22"/>
        </w:rPr>
        <w:t>. Descripción de las partes o secciones reservadas, en caso de clasificación parcial</w:t>
      </w:r>
      <w:r w:rsidRPr="00526ADC">
        <w:rPr>
          <w:rFonts w:ascii="Palatino Linotype" w:eastAsia="Palatino Linotype" w:hAnsi="Palatino Linotype" w:cs="Palatino Linotype"/>
          <w:b/>
          <w:i/>
          <w:sz w:val="22"/>
          <w:szCs w:val="22"/>
        </w:rPr>
        <w:t xml:space="preserve">; </w:t>
      </w:r>
    </w:p>
    <w:p w14:paraId="5772D764"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III.</w:t>
      </w:r>
      <w:r w:rsidRPr="00526ADC">
        <w:rPr>
          <w:rFonts w:ascii="Palatino Linotype" w:eastAsia="Palatino Linotype" w:hAnsi="Palatino Linotype" w:cs="Palatino Linotype"/>
          <w:i/>
          <w:sz w:val="22"/>
          <w:szCs w:val="22"/>
        </w:rPr>
        <w:t xml:space="preserve"> El periodo por el que mantendrá su clasificación y fecha de expiración; y </w:t>
      </w:r>
    </w:p>
    <w:p w14:paraId="6BBDF92F" w14:textId="77777777" w:rsidR="00CE012C" w:rsidRPr="00526ADC" w:rsidRDefault="0050200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IV.</w:t>
      </w:r>
      <w:r w:rsidRPr="00526ADC">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720D6274" w14:textId="77777777" w:rsidR="00CE012C" w:rsidRPr="00526ADC" w:rsidRDefault="0050200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686E904" w14:textId="77777777" w:rsidR="00CE012C" w:rsidRPr="00526ADC" w:rsidRDefault="0050200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0A5EF16"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t>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14:paraId="78D1CE0B" w14:textId="77777777" w:rsidR="00CE012C" w:rsidRPr="00526ADC" w:rsidRDefault="00502009">
      <w:pPr>
        <w:spacing w:before="120" w:after="120"/>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r w:rsidRPr="00526ADC">
        <w:rPr>
          <w:rFonts w:ascii="Palatino Linotype" w:eastAsia="Palatino Linotype" w:hAnsi="Palatino Linotype" w:cs="Palatino Linotype"/>
          <w:b/>
          <w:i/>
          <w:sz w:val="22"/>
          <w:szCs w:val="22"/>
        </w:rPr>
        <w:t>Quincuagésimo segundo</w:t>
      </w:r>
      <w:r w:rsidRPr="00526AD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3DA7EE6" w14:textId="77777777" w:rsidR="00CE012C" w:rsidRPr="00526ADC" w:rsidRDefault="00502009">
      <w:pPr>
        <w:spacing w:before="120" w:after="120"/>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0430929" w14:textId="77777777" w:rsidR="00CE012C" w:rsidRPr="00526ADC" w:rsidRDefault="00502009">
      <w:pPr>
        <w:spacing w:before="120" w:after="120"/>
        <w:ind w:left="1134"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w:t>
      </w:r>
      <w:r w:rsidRPr="00526ADC">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6C327EF" w14:textId="77777777" w:rsidR="00CE012C" w:rsidRPr="00526ADC" w:rsidRDefault="00502009">
      <w:pPr>
        <w:spacing w:before="120" w:after="120"/>
        <w:ind w:left="1134"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w:t>
      </w:r>
      <w:r w:rsidRPr="00526ADC">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7DFE4F3" w14:textId="77777777" w:rsidR="00CE012C" w:rsidRPr="00526ADC" w:rsidRDefault="00502009">
      <w:pPr>
        <w:spacing w:before="120" w:after="120"/>
        <w:ind w:left="1134"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III.</w:t>
      </w:r>
      <w:r w:rsidRPr="00526ADC">
        <w:rPr>
          <w:rFonts w:ascii="Palatino Linotype" w:eastAsia="Palatino Linotype" w:hAnsi="Palatino Linotype" w:cs="Palatino Linotype"/>
          <w:i/>
          <w:sz w:val="22"/>
          <w:szCs w:val="22"/>
        </w:rPr>
        <w:t xml:space="preserve"> Señalar las personas o instancias autorizadas a acceder a la información clasificada.</w:t>
      </w:r>
    </w:p>
    <w:p w14:paraId="235F1220" w14:textId="77777777" w:rsidR="00CE012C" w:rsidRPr="00526ADC" w:rsidRDefault="00502009">
      <w:pPr>
        <w:spacing w:before="120" w:after="120"/>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114712EB" w14:textId="77777777" w:rsidR="00CE012C" w:rsidRPr="00526ADC" w:rsidRDefault="00502009">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w:t>
      </w:r>
    </w:p>
    <w:p w14:paraId="6EAD8B2C" w14:textId="77777777" w:rsidR="00CE012C" w:rsidRPr="00526ADC" w:rsidRDefault="00502009">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 xml:space="preserve">Quincuagésimo cuarto. </w:t>
      </w:r>
      <w:r w:rsidRPr="00526ADC">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26ADC">
        <w:rPr>
          <w:rFonts w:ascii="Palatino Linotype" w:eastAsia="Palatino Linotype" w:hAnsi="Palatino Linotype" w:cs="Palatino Linotype"/>
          <w:b/>
          <w:i/>
          <w:sz w:val="22"/>
          <w:szCs w:val="22"/>
        </w:rPr>
        <w:t xml:space="preserve"> </w:t>
      </w:r>
    </w:p>
    <w:p w14:paraId="12C113F8"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 xml:space="preserve">Quincuagésimo quinto. </w:t>
      </w:r>
      <w:r w:rsidRPr="00526ADC">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26ADC">
        <w:rPr>
          <w:rFonts w:ascii="Palatino Linotype" w:eastAsia="Palatino Linotype" w:hAnsi="Palatino Linotype" w:cs="Palatino Linotype"/>
          <w:i/>
          <w:sz w:val="22"/>
          <w:szCs w:val="22"/>
        </w:rPr>
        <w:t>testado</w:t>
      </w:r>
      <w:proofErr w:type="spellEnd"/>
      <w:r w:rsidRPr="00526AD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427C3AC" w14:textId="77777777" w:rsidR="00CE012C" w:rsidRPr="00526ADC" w:rsidRDefault="00502009">
      <w:pPr>
        <w:spacing w:before="120" w:after="120"/>
        <w:ind w:left="851" w:right="902"/>
        <w:jc w:val="both"/>
        <w:rPr>
          <w:rFonts w:ascii="Palatino Linotype" w:eastAsia="Palatino Linotype" w:hAnsi="Palatino Linotype" w:cs="Palatino Linotype"/>
          <w:b/>
          <w:i/>
          <w:sz w:val="22"/>
          <w:szCs w:val="22"/>
        </w:rPr>
      </w:pPr>
      <w:r w:rsidRPr="00526ADC">
        <w:rPr>
          <w:rFonts w:ascii="Palatino Linotype" w:eastAsia="Palatino Linotype" w:hAnsi="Palatino Linotype" w:cs="Palatino Linotype"/>
          <w:b/>
          <w:i/>
          <w:sz w:val="22"/>
          <w:szCs w:val="22"/>
        </w:rPr>
        <w:t>...</w:t>
      </w:r>
    </w:p>
    <w:p w14:paraId="548A6843"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Quincuagésimo séptimo</w:t>
      </w:r>
      <w:r w:rsidRPr="00526AD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CCEB6D1"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w:t>
      </w:r>
      <w:r w:rsidRPr="00526AD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1486006"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w:t>
      </w:r>
      <w:r w:rsidRPr="00526ADC">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0986F77" w14:textId="77777777" w:rsidR="00CE012C" w:rsidRPr="00526ADC" w:rsidRDefault="00502009">
      <w:pPr>
        <w:spacing w:before="120" w:after="120"/>
        <w:ind w:left="1134"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III</w:t>
      </w:r>
      <w:r w:rsidRPr="00526AD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2F9054C"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64CE41E" w14:textId="77777777" w:rsidR="00CE012C" w:rsidRPr="00526ADC" w:rsidRDefault="00502009">
      <w:pPr>
        <w:spacing w:before="120" w:after="120"/>
        <w:ind w:left="851" w:right="902"/>
        <w:jc w:val="both"/>
        <w:rPr>
          <w:rFonts w:ascii="Palatino Linotype" w:eastAsia="Palatino Linotype" w:hAnsi="Palatino Linotype" w:cs="Palatino Linotype"/>
          <w:i/>
          <w:sz w:val="22"/>
          <w:szCs w:val="22"/>
        </w:rPr>
      </w:pPr>
      <w:r w:rsidRPr="00526ADC">
        <w:rPr>
          <w:rFonts w:ascii="Palatino Linotype" w:eastAsia="Palatino Linotype" w:hAnsi="Palatino Linotype" w:cs="Palatino Linotype"/>
          <w:b/>
          <w:i/>
          <w:sz w:val="22"/>
          <w:szCs w:val="22"/>
        </w:rPr>
        <w:t>Quincuagésimo octavo</w:t>
      </w:r>
      <w:r w:rsidRPr="00526ADC">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ED80C85"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rPr>
        <w:lastRenderedPageBreak/>
        <w:t>Así, con fundamento en lo prescrito en los artículos 5 párrafos trigésimo tercero, trigésimo cuarto y trigésimo quinto de la Constitución Política del Estado Libre y Soberano de México; 2, fracción II; 29, 36 fracciones I y II; 176, 178, 181, 185, fracción I, 186 y 188 de la Ley de Transparencia y Acceso a la Información Pública del Estado de México y Municipios, este Pleno:</w:t>
      </w:r>
    </w:p>
    <w:p w14:paraId="71652EF1" w14:textId="77777777" w:rsidR="00CE012C" w:rsidRPr="00526ADC" w:rsidRDefault="00502009">
      <w:pPr>
        <w:pBdr>
          <w:top w:val="nil"/>
          <w:left w:val="nil"/>
          <w:bottom w:val="nil"/>
          <w:right w:val="nil"/>
          <w:between w:val="nil"/>
        </w:pBdr>
        <w:spacing w:line="360" w:lineRule="auto"/>
        <w:jc w:val="center"/>
        <w:rPr>
          <w:rFonts w:ascii="Palatino Linotype" w:eastAsia="Palatino Linotype" w:hAnsi="Palatino Linotype" w:cs="Palatino Linotype"/>
          <w:b/>
        </w:rPr>
      </w:pPr>
      <w:r w:rsidRPr="00526ADC">
        <w:rPr>
          <w:rFonts w:ascii="Palatino Linotype" w:eastAsia="Palatino Linotype" w:hAnsi="Palatino Linotype" w:cs="Palatino Linotype"/>
          <w:b/>
        </w:rPr>
        <w:t>III. R E S U E L V E</w:t>
      </w:r>
    </w:p>
    <w:p w14:paraId="51C6D1A8" w14:textId="77777777" w:rsidR="00CE012C" w:rsidRPr="00526ADC" w:rsidRDefault="00502009">
      <w:pPr>
        <w:spacing w:before="240" w:after="240" w:line="360" w:lineRule="auto"/>
        <w:ind w:right="49"/>
        <w:jc w:val="both"/>
        <w:rPr>
          <w:rFonts w:ascii="Palatino Linotype" w:eastAsia="Palatino Linotype" w:hAnsi="Palatino Linotype" w:cs="Palatino Linotype"/>
        </w:rPr>
      </w:pPr>
      <w:r w:rsidRPr="00526ADC">
        <w:rPr>
          <w:rFonts w:ascii="Palatino Linotype" w:eastAsia="Palatino Linotype" w:hAnsi="Palatino Linotype" w:cs="Palatino Linotype"/>
          <w:b/>
        </w:rPr>
        <w:t xml:space="preserve">Primero. </w:t>
      </w:r>
      <w:r w:rsidRPr="00526ADC">
        <w:rPr>
          <w:rFonts w:ascii="Palatino Linotype" w:eastAsia="Palatino Linotype" w:hAnsi="Palatino Linotype" w:cs="Palatino Linotype"/>
        </w:rPr>
        <w:t xml:space="preserve">Resultan </w:t>
      </w:r>
      <w:r w:rsidRPr="00526ADC">
        <w:rPr>
          <w:rFonts w:ascii="Palatino Linotype" w:eastAsia="Palatino Linotype" w:hAnsi="Palatino Linotype" w:cs="Palatino Linotype"/>
          <w:b/>
        </w:rPr>
        <w:t>fundados</w:t>
      </w:r>
      <w:r w:rsidRPr="00526ADC">
        <w:rPr>
          <w:rFonts w:ascii="Palatino Linotype" w:eastAsia="Palatino Linotype" w:hAnsi="Palatino Linotype" w:cs="Palatino Linotype"/>
        </w:rPr>
        <w:t xml:space="preserve"> los motivos de inconformidad de 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en términos del Considerando </w:t>
      </w:r>
      <w:r w:rsidRPr="00526ADC">
        <w:rPr>
          <w:rFonts w:ascii="Palatino Linotype" w:eastAsia="Palatino Linotype" w:hAnsi="Palatino Linotype" w:cs="Palatino Linotype"/>
          <w:b/>
        </w:rPr>
        <w:t>Cuarto</w:t>
      </w:r>
      <w:r w:rsidRPr="00526ADC">
        <w:rPr>
          <w:rFonts w:ascii="Palatino Linotype" w:eastAsia="Palatino Linotype" w:hAnsi="Palatino Linotype" w:cs="Palatino Linotype"/>
        </w:rPr>
        <w:t xml:space="preserve"> de la presente resolución.</w:t>
      </w:r>
    </w:p>
    <w:p w14:paraId="5365E87B" w14:textId="77777777" w:rsidR="00CE012C" w:rsidRPr="00526ADC" w:rsidRDefault="00502009">
      <w:pPr>
        <w:spacing w:before="240" w:after="240" w:line="360" w:lineRule="auto"/>
        <w:jc w:val="both"/>
        <w:rPr>
          <w:rFonts w:ascii="Palatino Linotype" w:eastAsia="Palatino Linotype" w:hAnsi="Palatino Linotype" w:cs="Palatino Linotype"/>
        </w:rPr>
      </w:pPr>
      <w:bookmarkStart w:id="6" w:name="_heading=h.3dy6vkm" w:colFirst="0" w:colLast="0"/>
      <w:bookmarkEnd w:id="6"/>
      <w:r w:rsidRPr="00526ADC">
        <w:rPr>
          <w:rFonts w:ascii="Palatino Linotype" w:eastAsia="Palatino Linotype" w:hAnsi="Palatino Linotype" w:cs="Palatino Linotype"/>
          <w:b/>
        </w:rPr>
        <w:t>Segundo.</w:t>
      </w:r>
      <w:r w:rsidRPr="00526ADC">
        <w:rPr>
          <w:rFonts w:ascii="Palatino Linotype" w:eastAsia="Palatino Linotype" w:hAnsi="Palatino Linotype" w:cs="Palatino Linotype"/>
        </w:rPr>
        <w:t xml:space="preserve"> Se</w:t>
      </w:r>
      <w:r w:rsidRPr="00526ADC">
        <w:rPr>
          <w:rFonts w:ascii="Palatino Linotype" w:eastAsia="Palatino Linotype" w:hAnsi="Palatino Linotype" w:cs="Palatino Linotype"/>
          <w:b/>
        </w:rPr>
        <w:t xml:space="preserve"> Ordena </w:t>
      </w:r>
      <w:r w:rsidRPr="00526ADC">
        <w:rPr>
          <w:rFonts w:ascii="Palatino Linotype" w:eastAsia="Palatino Linotype" w:hAnsi="Palatino Linotype" w:cs="Palatino Linotype"/>
        </w:rPr>
        <w:t xml:space="preserve">al </w:t>
      </w:r>
      <w:r w:rsidRPr="00526ADC">
        <w:rPr>
          <w:rFonts w:ascii="Palatino Linotype" w:eastAsia="Palatino Linotype" w:hAnsi="Palatino Linotype" w:cs="Palatino Linotype"/>
          <w:b/>
        </w:rPr>
        <w:t xml:space="preserve">Sujeto Obligado </w:t>
      </w:r>
      <w:r w:rsidRPr="00526ADC">
        <w:rPr>
          <w:rFonts w:ascii="Palatino Linotype" w:eastAsia="Palatino Linotype" w:hAnsi="Palatino Linotype" w:cs="Palatino Linotype"/>
        </w:rPr>
        <w:t xml:space="preserve">dé trámite a la solicitud de acceso a la información pública </w:t>
      </w:r>
      <w:r w:rsidRPr="00526ADC">
        <w:rPr>
          <w:rFonts w:ascii="Palatino Linotype" w:eastAsia="Palatino Linotype" w:hAnsi="Palatino Linotype" w:cs="Palatino Linotype"/>
          <w:b/>
        </w:rPr>
        <w:t xml:space="preserve">00304/TEPOTZOT/IP/2024, </w:t>
      </w:r>
      <w:r w:rsidRPr="00526ADC">
        <w:rPr>
          <w:rFonts w:ascii="Palatino Linotype" w:eastAsia="Palatino Linotype" w:hAnsi="Palatino Linotype" w:cs="Palatino Linotype"/>
        </w:rPr>
        <w:t xml:space="preserve">que dio origen al recurso de revisión </w:t>
      </w:r>
      <w:r w:rsidRPr="00526ADC">
        <w:rPr>
          <w:rFonts w:ascii="Palatino Linotype" w:eastAsia="Palatino Linotype" w:hAnsi="Palatino Linotype" w:cs="Palatino Linotype"/>
          <w:b/>
        </w:rPr>
        <w:t>00294/INFOEM/IP/RR/2025</w:t>
      </w:r>
      <w:r w:rsidRPr="00526ADC">
        <w:rPr>
          <w:rFonts w:ascii="Palatino Linotype" w:eastAsia="Palatino Linotype" w:hAnsi="Palatino Linotype" w:cs="Palatino Linotype"/>
        </w:rPr>
        <w:t>,</w:t>
      </w:r>
      <w:r w:rsidRPr="00526ADC">
        <w:rPr>
          <w:rFonts w:ascii="Palatino Linotype" w:eastAsia="Palatino Linotype" w:hAnsi="Palatino Linotype" w:cs="Palatino Linotype"/>
          <w:b/>
        </w:rPr>
        <w:t xml:space="preserve"> </w:t>
      </w:r>
      <w:r w:rsidRPr="00526ADC">
        <w:rPr>
          <w:rFonts w:ascii="Palatino Linotype" w:eastAsia="Palatino Linotype" w:hAnsi="Palatino Linotype" w:cs="Palatino Linotype"/>
        </w:rPr>
        <w:t>y</w:t>
      </w:r>
      <w:r w:rsidRPr="00526ADC">
        <w:rPr>
          <w:rFonts w:ascii="Palatino Linotype" w:eastAsia="Palatino Linotype" w:hAnsi="Palatino Linotype" w:cs="Palatino Linotype"/>
          <w:b/>
        </w:rPr>
        <w:t xml:space="preserve"> </w:t>
      </w:r>
      <w:r w:rsidRPr="00526ADC">
        <w:rPr>
          <w:rFonts w:ascii="Palatino Linotype" w:eastAsia="Palatino Linotype" w:hAnsi="Palatino Linotype" w:cs="Palatino Linotype"/>
        </w:rPr>
        <w:t>en términos de los Considerandos</w:t>
      </w:r>
      <w:r w:rsidRPr="00526ADC">
        <w:rPr>
          <w:rFonts w:ascii="Palatino Linotype" w:eastAsia="Palatino Linotype" w:hAnsi="Palatino Linotype" w:cs="Palatino Linotype"/>
          <w:b/>
        </w:rPr>
        <w:t xml:space="preserve"> Cuarto </w:t>
      </w:r>
      <w:r w:rsidRPr="00526ADC">
        <w:rPr>
          <w:rFonts w:ascii="Palatino Linotype" w:eastAsia="Palatino Linotype" w:hAnsi="Palatino Linotype" w:cs="Palatino Linotype"/>
        </w:rPr>
        <w:t xml:space="preserve">y </w:t>
      </w:r>
      <w:r w:rsidRPr="00526ADC">
        <w:rPr>
          <w:rFonts w:ascii="Palatino Linotype" w:eastAsia="Palatino Linotype" w:hAnsi="Palatino Linotype" w:cs="Palatino Linotype"/>
          <w:b/>
        </w:rPr>
        <w:t>Quinto</w:t>
      </w:r>
      <w:r w:rsidRPr="00526ADC">
        <w:rPr>
          <w:rFonts w:ascii="Palatino Linotype" w:eastAsia="Palatino Linotype" w:hAnsi="Palatino Linotype" w:cs="Palatino Linotype"/>
        </w:rPr>
        <w:t xml:space="preserve"> de esta resolución, haga entrega, vía </w:t>
      </w:r>
      <w:r w:rsidRPr="00526ADC">
        <w:rPr>
          <w:rFonts w:ascii="Palatino Linotype" w:eastAsia="Palatino Linotype" w:hAnsi="Palatino Linotype" w:cs="Palatino Linotype"/>
          <w:b/>
        </w:rPr>
        <w:t>SAIMEX</w:t>
      </w:r>
      <w:r w:rsidRPr="00526ADC">
        <w:rPr>
          <w:rFonts w:ascii="Palatino Linotype" w:eastAsia="Palatino Linotype" w:hAnsi="Palatino Linotype" w:cs="Palatino Linotype"/>
        </w:rPr>
        <w:t>, previa búsqueda exhaustiva y razonable, de ser procedente en versión pública, de lo siguiente:</w:t>
      </w:r>
    </w:p>
    <w:p w14:paraId="07949758" w14:textId="77777777" w:rsidR="00CE012C" w:rsidRPr="00526ADC" w:rsidRDefault="00502009">
      <w:pPr>
        <w:spacing w:before="240" w:after="240" w:line="360" w:lineRule="auto"/>
        <w:ind w:left="426"/>
        <w:jc w:val="both"/>
        <w:rPr>
          <w:rFonts w:ascii="Palatino Linotype" w:eastAsia="Palatino Linotype" w:hAnsi="Palatino Linotype" w:cs="Palatino Linotype"/>
        </w:rPr>
      </w:pPr>
      <w:r w:rsidRPr="00526ADC">
        <w:rPr>
          <w:rFonts w:ascii="Palatino Linotype" w:eastAsia="Palatino Linotype" w:hAnsi="Palatino Linotype" w:cs="Palatino Linotype"/>
        </w:rPr>
        <w:t xml:space="preserve">1. Acta de Cabildo, en la cual se aprobó la obra “Adecuación de espacios para Juzgado Cívico en el ex Mercado Municipal de San Mateo </w:t>
      </w:r>
      <w:proofErr w:type="spellStart"/>
      <w:r w:rsidRPr="00526ADC">
        <w:rPr>
          <w:rFonts w:ascii="Palatino Linotype" w:eastAsia="Palatino Linotype" w:hAnsi="Palatino Linotype" w:cs="Palatino Linotype"/>
        </w:rPr>
        <w:t>Xoloc</w:t>
      </w:r>
      <w:proofErr w:type="spellEnd"/>
      <w:r w:rsidRPr="00526ADC">
        <w:rPr>
          <w:rFonts w:ascii="Palatino Linotype" w:eastAsia="Palatino Linotype" w:hAnsi="Palatino Linotype" w:cs="Palatino Linotype"/>
        </w:rPr>
        <w:t>”.</w:t>
      </w:r>
    </w:p>
    <w:p w14:paraId="6A7ECA95" w14:textId="77777777" w:rsidR="00CE012C" w:rsidRPr="00526ADC" w:rsidRDefault="00502009">
      <w:pPr>
        <w:spacing w:before="120" w:after="120"/>
        <w:ind w:left="426"/>
        <w:jc w:val="both"/>
        <w:rPr>
          <w:rFonts w:ascii="Palatino Linotype" w:eastAsia="Palatino Linotype" w:hAnsi="Palatino Linotype" w:cs="Palatino Linotype"/>
          <w:i/>
          <w:sz w:val="20"/>
          <w:szCs w:val="20"/>
        </w:rPr>
      </w:pPr>
      <w:r w:rsidRPr="00526ADC">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26ADC">
        <w:rPr>
          <w:rFonts w:ascii="Palatino Linotype" w:eastAsia="Palatino Linotype" w:hAnsi="Palatino Linotype" w:cs="Palatino Linotype"/>
          <w:b/>
          <w:i/>
          <w:sz w:val="20"/>
          <w:szCs w:val="20"/>
        </w:rPr>
        <w:t>Recurrente</w:t>
      </w:r>
      <w:r w:rsidRPr="00526ADC">
        <w:rPr>
          <w:rFonts w:ascii="Palatino Linotype" w:eastAsia="Palatino Linotype" w:hAnsi="Palatino Linotype" w:cs="Palatino Linotype"/>
          <w:i/>
          <w:sz w:val="20"/>
          <w:szCs w:val="20"/>
        </w:rPr>
        <w:t>.</w:t>
      </w:r>
    </w:p>
    <w:p w14:paraId="1D2E9823" w14:textId="77777777" w:rsidR="00CE012C" w:rsidRPr="00526ADC" w:rsidRDefault="00502009">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526ADC">
        <w:rPr>
          <w:rFonts w:ascii="Palatino Linotype" w:eastAsia="Palatino Linotype" w:hAnsi="Palatino Linotype" w:cs="Palatino Linotype"/>
          <w:b/>
        </w:rPr>
        <w:t xml:space="preserve">Tercero. Notifíquese, </w:t>
      </w:r>
      <w:r w:rsidRPr="00526ADC">
        <w:rPr>
          <w:rFonts w:ascii="Palatino Linotype" w:eastAsia="Palatino Linotype" w:hAnsi="Palatino Linotype" w:cs="Palatino Linotype"/>
        </w:rPr>
        <w:t xml:space="preserve">vía </w:t>
      </w:r>
      <w:r w:rsidRPr="00526ADC">
        <w:rPr>
          <w:rFonts w:ascii="Palatino Linotype" w:eastAsia="Palatino Linotype" w:hAnsi="Palatino Linotype" w:cs="Palatino Linotype"/>
          <w:b/>
        </w:rPr>
        <w:t>SAIMEX</w:t>
      </w:r>
      <w:r w:rsidRPr="00526ADC">
        <w:rPr>
          <w:rFonts w:ascii="Palatino Linotype" w:eastAsia="Palatino Linotype" w:hAnsi="Palatino Linotype" w:cs="Palatino Linotype"/>
        </w:rPr>
        <w:t xml:space="preserve">, al Titular de la Unidad de Transparencia del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w:t>
      </w:r>
      <w:r w:rsidRPr="00526ADC">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8F40AC"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 xml:space="preserve">Cuarto.  Notifíquese, </w:t>
      </w:r>
      <w:r w:rsidRPr="00526ADC">
        <w:rPr>
          <w:rFonts w:ascii="Palatino Linotype" w:eastAsia="Palatino Linotype" w:hAnsi="Palatino Linotype" w:cs="Palatino Linotype"/>
        </w:rPr>
        <w:t xml:space="preserve">vía </w:t>
      </w:r>
      <w:r w:rsidRPr="00526ADC">
        <w:rPr>
          <w:rFonts w:ascii="Palatino Linotype" w:eastAsia="Palatino Linotype" w:hAnsi="Palatino Linotype" w:cs="Palatino Linotype"/>
          <w:b/>
        </w:rPr>
        <w:t>SAIMEX</w:t>
      </w:r>
      <w:r w:rsidRPr="00526ADC">
        <w:rPr>
          <w:rFonts w:ascii="Palatino Linotype" w:eastAsia="Palatino Linotype" w:hAnsi="Palatino Linotype" w:cs="Palatino Linotype"/>
        </w:rPr>
        <w:t xml:space="preserve">, a la parte </w:t>
      </w:r>
      <w:r w:rsidRPr="00526ADC">
        <w:rPr>
          <w:rFonts w:ascii="Palatino Linotype" w:eastAsia="Palatino Linotype" w:hAnsi="Palatino Linotype" w:cs="Palatino Linotype"/>
          <w:b/>
        </w:rPr>
        <w:t>Recurrente</w:t>
      </w:r>
      <w:r w:rsidRPr="00526AD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5B0C4AD" w14:textId="77777777" w:rsidR="00CE012C" w:rsidRPr="00526ADC" w:rsidRDefault="00502009">
      <w:pPr>
        <w:spacing w:before="240" w:after="240" w:line="360" w:lineRule="auto"/>
        <w:jc w:val="both"/>
        <w:rPr>
          <w:rFonts w:ascii="Palatino Linotype" w:eastAsia="Palatino Linotype" w:hAnsi="Palatino Linotype" w:cs="Palatino Linotype"/>
        </w:rPr>
      </w:pPr>
      <w:r w:rsidRPr="00526ADC">
        <w:rPr>
          <w:rFonts w:ascii="Palatino Linotype" w:eastAsia="Palatino Linotype" w:hAnsi="Palatino Linotype" w:cs="Palatino Linotype"/>
          <w:b/>
        </w:rPr>
        <w:t xml:space="preserve">Quinto. Notifíquese, </w:t>
      </w:r>
      <w:r w:rsidRPr="00526ADC">
        <w:rPr>
          <w:rFonts w:ascii="Palatino Linotype" w:eastAsia="Palatino Linotype" w:hAnsi="Palatino Linotype" w:cs="Palatino Linotype"/>
        </w:rPr>
        <w:t xml:space="preserve">vía </w:t>
      </w:r>
      <w:r w:rsidRPr="00526ADC">
        <w:rPr>
          <w:rFonts w:ascii="Palatino Linotype" w:eastAsia="Palatino Linotype" w:hAnsi="Palatino Linotype" w:cs="Palatino Linotype"/>
          <w:b/>
        </w:rPr>
        <w:t>SAIMEX</w:t>
      </w:r>
      <w:r w:rsidRPr="00526ADC">
        <w:rPr>
          <w:rFonts w:ascii="Palatino Linotype" w:eastAsia="Palatino Linotype" w:hAnsi="Palatino Linotype" w:cs="Palatino Linotype"/>
        </w:rPr>
        <w:t xml:space="preserve"> a la parte </w:t>
      </w:r>
      <w:r w:rsidRPr="00526ADC">
        <w:rPr>
          <w:rFonts w:ascii="Palatino Linotype" w:eastAsia="Palatino Linotype" w:hAnsi="Palatino Linotype" w:cs="Palatino Linotype"/>
          <w:b/>
        </w:rPr>
        <w:t xml:space="preserve">Recurrente </w:t>
      </w:r>
      <w:r w:rsidRPr="00526ADC">
        <w:rPr>
          <w:rFonts w:ascii="Palatino Linotype" w:eastAsia="Palatino Linotype" w:hAnsi="Palatino Linotype" w:cs="Palatino Linotype"/>
        </w:rPr>
        <w:t xml:space="preserve">que la respuesta que dé el </w:t>
      </w:r>
      <w:r w:rsidRPr="00526ADC">
        <w:rPr>
          <w:rFonts w:ascii="Palatino Linotype" w:eastAsia="Palatino Linotype" w:hAnsi="Palatino Linotype" w:cs="Palatino Linotype"/>
          <w:b/>
        </w:rPr>
        <w:t>Sujeto Obligado</w:t>
      </w:r>
      <w:r w:rsidRPr="00526ADC">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975F18B" w14:textId="77777777" w:rsidR="00CE012C" w:rsidRPr="00526ADC" w:rsidRDefault="00502009">
      <w:pPr>
        <w:spacing w:before="240" w:after="240" w:line="360" w:lineRule="auto"/>
        <w:jc w:val="both"/>
        <w:rPr>
          <w:rFonts w:ascii="Palatino Linotype" w:eastAsia="Palatino Linotype" w:hAnsi="Palatino Linotype" w:cs="Palatino Linotype"/>
          <w:b/>
        </w:rPr>
      </w:pPr>
      <w:r w:rsidRPr="00526ADC">
        <w:rPr>
          <w:rFonts w:ascii="Palatino Linotype" w:eastAsia="Palatino Linotype" w:hAnsi="Palatino Linotype" w:cs="Palatino Linotype"/>
          <w:b/>
        </w:rPr>
        <w:t>Sexto. Gírese</w:t>
      </w:r>
      <w:r w:rsidRPr="00526ADC">
        <w:rPr>
          <w:rFonts w:ascii="Palatino Linotype" w:eastAsia="Palatino Linotype" w:hAnsi="Palatino Linotype" w:cs="Palatino Linotype"/>
        </w:rPr>
        <w:t xml:space="preserve"> vista a la </w:t>
      </w:r>
      <w:r w:rsidRPr="00526ADC">
        <w:rPr>
          <w:rFonts w:ascii="Palatino Linotype" w:eastAsia="Palatino Linotype" w:hAnsi="Palatino Linotype" w:cs="Palatino Linotype"/>
          <w:b/>
        </w:rPr>
        <w:t>Secretaría Técnica del Pleno de este Instituto</w:t>
      </w:r>
      <w:r w:rsidRPr="00526ADC">
        <w:rPr>
          <w:rFonts w:ascii="Palatino Linotype" w:eastAsia="Palatino Linotype" w:hAnsi="Palatino Linotype" w:cs="Palatino Linotype"/>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526ADC">
        <w:rPr>
          <w:rFonts w:ascii="Palatino Linotype" w:eastAsia="Palatino Linotype" w:hAnsi="Palatino Linotype" w:cs="Palatino Linotype"/>
          <w:b/>
        </w:rPr>
        <w:t xml:space="preserve"> Cuarto </w:t>
      </w:r>
      <w:r w:rsidRPr="00526ADC">
        <w:rPr>
          <w:rFonts w:ascii="Palatino Linotype" w:eastAsia="Palatino Linotype" w:hAnsi="Palatino Linotype" w:cs="Palatino Linotype"/>
        </w:rPr>
        <w:t>de la presente resolución.</w:t>
      </w:r>
      <w:r w:rsidRPr="00526ADC">
        <w:rPr>
          <w:rFonts w:ascii="Palatino Linotype" w:eastAsia="Palatino Linotype" w:hAnsi="Palatino Linotype" w:cs="Palatino Linotype"/>
          <w:b/>
        </w:rPr>
        <w:t xml:space="preserve"> </w:t>
      </w:r>
    </w:p>
    <w:p w14:paraId="3CC05363" w14:textId="77777777" w:rsidR="00CE012C" w:rsidRPr="000E4CAA" w:rsidRDefault="00502009">
      <w:pPr>
        <w:spacing w:line="360" w:lineRule="auto"/>
        <w:jc w:val="both"/>
        <w:rPr>
          <w:rFonts w:ascii="Palatino Linotype" w:eastAsia="Palatino Linotype" w:hAnsi="Palatino Linotype" w:cs="Palatino Linotype"/>
        </w:rPr>
      </w:pPr>
      <w:bookmarkStart w:id="8" w:name="_heading=h.1t3h5sf" w:colFirst="0" w:colLast="0"/>
      <w:bookmarkEnd w:id="8"/>
      <w:r w:rsidRPr="00526ADC">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DIECINUEVE DE FEBRERO DE DOS MIL VEINTICINCO, ANTE EL SECRETARIO TÉCNICO DEL PLENO ALEXIS TAPIA RAMÍREZ.</w:t>
      </w:r>
    </w:p>
    <w:p w14:paraId="394BDA67" w14:textId="77777777" w:rsidR="00CE012C" w:rsidRPr="000E4CAA" w:rsidRDefault="00CE012C">
      <w:pPr>
        <w:spacing w:line="360" w:lineRule="auto"/>
        <w:jc w:val="both"/>
        <w:rPr>
          <w:rFonts w:ascii="Palatino Linotype" w:eastAsia="Palatino Linotype" w:hAnsi="Palatino Linotype" w:cs="Palatino Linotype"/>
        </w:rPr>
      </w:pPr>
    </w:p>
    <w:p w14:paraId="2E06684D" w14:textId="77777777" w:rsidR="00CE012C" w:rsidRPr="000E4CAA" w:rsidRDefault="00CE012C">
      <w:pPr>
        <w:spacing w:line="360" w:lineRule="auto"/>
        <w:jc w:val="both"/>
        <w:rPr>
          <w:rFonts w:ascii="Palatino Linotype" w:eastAsia="Palatino Linotype" w:hAnsi="Palatino Linotype" w:cs="Palatino Linotype"/>
        </w:rPr>
      </w:pPr>
    </w:p>
    <w:p w14:paraId="46DC255E" w14:textId="77777777" w:rsidR="00CE012C" w:rsidRPr="000E4CAA" w:rsidRDefault="00CE012C">
      <w:pPr>
        <w:spacing w:line="360" w:lineRule="auto"/>
        <w:jc w:val="both"/>
        <w:rPr>
          <w:rFonts w:ascii="Palatino Linotype" w:eastAsia="Palatino Linotype" w:hAnsi="Palatino Linotype" w:cs="Palatino Linotype"/>
        </w:rPr>
      </w:pPr>
    </w:p>
    <w:p w14:paraId="0692675C" w14:textId="77777777" w:rsidR="00CE012C" w:rsidRPr="000E4CAA" w:rsidRDefault="00CE012C">
      <w:pPr>
        <w:spacing w:line="360" w:lineRule="auto"/>
        <w:jc w:val="both"/>
        <w:rPr>
          <w:rFonts w:ascii="Palatino Linotype" w:eastAsia="Palatino Linotype" w:hAnsi="Palatino Linotype" w:cs="Palatino Linotype"/>
        </w:rPr>
      </w:pPr>
      <w:bookmarkStart w:id="9" w:name="_heading=h.1fob9te" w:colFirst="0" w:colLast="0"/>
      <w:bookmarkEnd w:id="9"/>
    </w:p>
    <w:p w14:paraId="3993F097" w14:textId="77777777" w:rsidR="00CE012C" w:rsidRPr="000E4CAA" w:rsidRDefault="00CE012C">
      <w:pPr>
        <w:spacing w:line="360" w:lineRule="auto"/>
        <w:jc w:val="both"/>
        <w:rPr>
          <w:rFonts w:ascii="Palatino Linotype" w:eastAsia="Palatino Linotype" w:hAnsi="Palatino Linotype" w:cs="Palatino Linotype"/>
        </w:rPr>
      </w:pPr>
    </w:p>
    <w:p w14:paraId="7B81A539" w14:textId="77777777" w:rsidR="00CE012C" w:rsidRPr="000E4CAA" w:rsidRDefault="00CE012C">
      <w:pPr>
        <w:spacing w:line="360" w:lineRule="auto"/>
        <w:jc w:val="both"/>
        <w:rPr>
          <w:rFonts w:ascii="Palatino Linotype" w:eastAsia="Palatino Linotype" w:hAnsi="Palatino Linotype" w:cs="Palatino Linotype"/>
        </w:rPr>
      </w:pPr>
    </w:p>
    <w:p w14:paraId="37AC69C7" w14:textId="77777777" w:rsidR="00CE012C" w:rsidRPr="000E4CAA" w:rsidRDefault="00CE012C">
      <w:pPr>
        <w:spacing w:line="360" w:lineRule="auto"/>
        <w:jc w:val="both"/>
        <w:rPr>
          <w:rFonts w:ascii="Palatino Linotype" w:eastAsia="Palatino Linotype" w:hAnsi="Palatino Linotype" w:cs="Palatino Linotype"/>
        </w:rPr>
      </w:pPr>
    </w:p>
    <w:p w14:paraId="6C62CAB0" w14:textId="77777777" w:rsidR="00CE012C" w:rsidRPr="000E4CAA" w:rsidRDefault="00CE012C">
      <w:pPr>
        <w:spacing w:line="360" w:lineRule="auto"/>
        <w:jc w:val="both"/>
        <w:rPr>
          <w:rFonts w:ascii="Palatino Linotype" w:eastAsia="Palatino Linotype" w:hAnsi="Palatino Linotype" w:cs="Palatino Linotype"/>
        </w:rPr>
      </w:pPr>
    </w:p>
    <w:p w14:paraId="2506A226" w14:textId="77777777" w:rsidR="00CE012C" w:rsidRPr="000E4CAA" w:rsidRDefault="00CE012C">
      <w:pPr>
        <w:spacing w:line="360" w:lineRule="auto"/>
        <w:jc w:val="both"/>
        <w:rPr>
          <w:rFonts w:ascii="Palatino Linotype" w:eastAsia="Palatino Linotype" w:hAnsi="Palatino Linotype" w:cs="Palatino Linotype"/>
        </w:rPr>
      </w:pPr>
    </w:p>
    <w:p w14:paraId="0A8747FA" w14:textId="77777777" w:rsidR="00CE012C" w:rsidRPr="000E4CAA" w:rsidRDefault="00CE012C">
      <w:pPr>
        <w:spacing w:line="360" w:lineRule="auto"/>
        <w:jc w:val="both"/>
        <w:rPr>
          <w:rFonts w:ascii="Palatino Linotype" w:eastAsia="Palatino Linotype" w:hAnsi="Palatino Linotype" w:cs="Palatino Linotype"/>
        </w:rPr>
      </w:pPr>
    </w:p>
    <w:p w14:paraId="02E0EFD5" w14:textId="77777777" w:rsidR="00CE012C" w:rsidRPr="000E4CAA" w:rsidRDefault="00CE012C">
      <w:pPr>
        <w:spacing w:line="360" w:lineRule="auto"/>
        <w:jc w:val="both"/>
        <w:rPr>
          <w:rFonts w:ascii="Palatino Linotype" w:eastAsia="Palatino Linotype" w:hAnsi="Palatino Linotype" w:cs="Palatino Linotype"/>
        </w:rPr>
      </w:pPr>
    </w:p>
    <w:p w14:paraId="0A5D5FBA" w14:textId="77777777" w:rsidR="00CE012C" w:rsidRPr="000E4CAA" w:rsidRDefault="00CE012C">
      <w:pPr>
        <w:spacing w:line="360" w:lineRule="auto"/>
        <w:jc w:val="both"/>
        <w:rPr>
          <w:rFonts w:ascii="Palatino Linotype" w:eastAsia="Palatino Linotype" w:hAnsi="Palatino Linotype" w:cs="Palatino Linotype"/>
        </w:rPr>
      </w:pPr>
    </w:p>
    <w:p w14:paraId="3B2E0F88" w14:textId="77777777" w:rsidR="00CE012C" w:rsidRPr="000E4CAA" w:rsidRDefault="00CE012C">
      <w:pPr>
        <w:spacing w:line="360" w:lineRule="auto"/>
        <w:jc w:val="both"/>
        <w:rPr>
          <w:rFonts w:ascii="Palatino Linotype" w:eastAsia="Palatino Linotype" w:hAnsi="Palatino Linotype" w:cs="Palatino Linotype"/>
        </w:rPr>
      </w:pPr>
    </w:p>
    <w:p w14:paraId="71169E46" w14:textId="77777777" w:rsidR="00CE012C" w:rsidRPr="000E4CAA" w:rsidRDefault="00CE012C">
      <w:pPr>
        <w:spacing w:line="360" w:lineRule="auto"/>
        <w:jc w:val="both"/>
        <w:rPr>
          <w:rFonts w:ascii="Palatino Linotype" w:eastAsia="Palatino Linotype" w:hAnsi="Palatino Linotype" w:cs="Palatino Linotype"/>
        </w:rPr>
      </w:pPr>
    </w:p>
    <w:p w14:paraId="0BC2D819" w14:textId="77777777" w:rsidR="00CE012C" w:rsidRPr="000E4CAA" w:rsidRDefault="00CE012C">
      <w:pPr>
        <w:spacing w:line="360" w:lineRule="auto"/>
        <w:jc w:val="both"/>
        <w:rPr>
          <w:rFonts w:ascii="Palatino Linotype" w:eastAsia="Palatino Linotype" w:hAnsi="Palatino Linotype" w:cs="Palatino Linotype"/>
        </w:rPr>
      </w:pPr>
    </w:p>
    <w:p w14:paraId="4CE8E384" w14:textId="77777777" w:rsidR="00CE012C" w:rsidRPr="000E4CAA" w:rsidRDefault="00CE012C">
      <w:pPr>
        <w:spacing w:line="360" w:lineRule="auto"/>
        <w:jc w:val="both"/>
        <w:rPr>
          <w:rFonts w:ascii="Palatino Linotype" w:eastAsia="Palatino Linotype" w:hAnsi="Palatino Linotype" w:cs="Palatino Linotype"/>
        </w:rPr>
      </w:pPr>
    </w:p>
    <w:p w14:paraId="1D6D0DC8" w14:textId="77777777" w:rsidR="00CE012C" w:rsidRPr="000E4CAA" w:rsidRDefault="00CE012C">
      <w:pPr>
        <w:spacing w:line="360" w:lineRule="auto"/>
        <w:jc w:val="both"/>
        <w:rPr>
          <w:rFonts w:ascii="Palatino Linotype" w:eastAsia="Palatino Linotype" w:hAnsi="Palatino Linotype" w:cs="Palatino Linotype"/>
        </w:rPr>
      </w:pPr>
    </w:p>
    <w:p w14:paraId="7BB6686D" w14:textId="77777777" w:rsidR="00CE012C" w:rsidRPr="000E4CAA" w:rsidRDefault="00CE012C">
      <w:pPr>
        <w:spacing w:line="360" w:lineRule="auto"/>
        <w:jc w:val="both"/>
        <w:rPr>
          <w:rFonts w:ascii="Palatino Linotype" w:eastAsia="Palatino Linotype" w:hAnsi="Palatino Linotype" w:cs="Palatino Linotype"/>
        </w:rPr>
      </w:pPr>
    </w:p>
    <w:p w14:paraId="1FD11556" w14:textId="77777777" w:rsidR="00CE012C" w:rsidRPr="000E4CAA" w:rsidRDefault="00CE012C">
      <w:pPr>
        <w:spacing w:line="360" w:lineRule="auto"/>
        <w:jc w:val="both"/>
        <w:rPr>
          <w:rFonts w:ascii="Palatino Linotype" w:eastAsia="Palatino Linotype" w:hAnsi="Palatino Linotype" w:cs="Palatino Linotype"/>
        </w:rPr>
      </w:pPr>
    </w:p>
    <w:p w14:paraId="332C41E9" w14:textId="77777777" w:rsidR="00CE012C" w:rsidRPr="000E4CAA" w:rsidRDefault="00CE012C">
      <w:pPr>
        <w:spacing w:line="360" w:lineRule="auto"/>
        <w:jc w:val="both"/>
        <w:rPr>
          <w:rFonts w:ascii="Palatino Linotype" w:eastAsia="Palatino Linotype" w:hAnsi="Palatino Linotype" w:cs="Palatino Linotype"/>
        </w:rPr>
      </w:pPr>
    </w:p>
    <w:p w14:paraId="43E94DED" w14:textId="77777777" w:rsidR="00CE012C" w:rsidRPr="000E4CAA" w:rsidRDefault="00CE012C">
      <w:pPr>
        <w:spacing w:line="360" w:lineRule="auto"/>
        <w:jc w:val="both"/>
        <w:rPr>
          <w:rFonts w:ascii="Palatino Linotype" w:eastAsia="Palatino Linotype" w:hAnsi="Palatino Linotype" w:cs="Palatino Linotype"/>
        </w:rPr>
      </w:pPr>
    </w:p>
    <w:p w14:paraId="685F6578" w14:textId="77777777" w:rsidR="00CE012C" w:rsidRPr="000E4CAA" w:rsidRDefault="00CE012C">
      <w:pPr>
        <w:spacing w:line="360" w:lineRule="auto"/>
        <w:jc w:val="both"/>
        <w:rPr>
          <w:rFonts w:ascii="Palatino Linotype" w:eastAsia="Palatino Linotype" w:hAnsi="Palatino Linotype" w:cs="Palatino Linotype"/>
        </w:rPr>
      </w:pPr>
    </w:p>
    <w:p w14:paraId="2EC4ADC6" w14:textId="77777777" w:rsidR="00CE012C" w:rsidRPr="000E4CAA" w:rsidRDefault="00CE012C">
      <w:pPr>
        <w:spacing w:line="360" w:lineRule="auto"/>
        <w:jc w:val="both"/>
        <w:rPr>
          <w:rFonts w:ascii="Palatino Linotype" w:eastAsia="Palatino Linotype" w:hAnsi="Palatino Linotype" w:cs="Palatino Linotype"/>
        </w:rPr>
      </w:pPr>
    </w:p>
    <w:p w14:paraId="4A4B3E1A" w14:textId="77777777" w:rsidR="00CE012C" w:rsidRPr="000E4CAA" w:rsidRDefault="00CE012C">
      <w:pPr>
        <w:spacing w:line="360" w:lineRule="auto"/>
        <w:jc w:val="both"/>
        <w:rPr>
          <w:rFonts w:ascii="Palatino Linotype" w:eastAsia="Palatino Linotype" w:hAnsi="Palatino Linotype" w:cs="Palatino Linotype"/>
        </w:rPr>
      </w:pPr>
    </w:p>
    <w:p w14:paraId="439A35A0" w14:textId="77777777" w:rsidR="00CE012C" w:rsidRPr="000E4CAA" w:rsidRDefault="00CE012C">
      <w:pPr>
        <w:spacing w:line="360" w:lineRule="auto"/>
        <w:jc w:val="both"/>
        <w:rPr>
          <w:rFonts w:ascii="Palatino Linotype" w:eastAsia="Palatino Linotype" w:hAnsi="Palatino Linotype" w:cs="Palatino Linotype"/>
        </w:rPr>
      </w:pPr>
    </w:p>
    <w:p w14:paraId="0E080E39" w14:textId="77777777" w:rsidR="00CE012C" w:rsidRPr="000E4CAA" w:rsidRDefault="00CE012C">
      <w:pPr>
        <w:spacing w:line="360" w:lineRule="auto"/>
        <w:jc w:val="both"/>
        <w:rPr>
          <w:rFonts w:ascii="Palatino Linotype" w:eastAsia="Palatino Linotype" w:hAnsi="Palatino Linotype" w:cs="Palatino Linotype"/>
        </w:rPr>
      </w:pPr>
      <w:bookmarkStart w:id="10" w:name="_heading=h.1ksv4uv" w:colFirst="0" w:colLast="0"/>
      <w:bookmarkEnd w:id="10"/>
    </w:p>
    <w:sectPr w:rsidR="00CE012C" w:rsidRPr="000E4CAA">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568A5" w14:textId="77777777" w:rsidR="007E4BAF" w:rsidRDefault="007E4BAF">
      <w:r>
        <w:separator/>
      </w:r>
    </w:p>
  </w:endnote>
  <w:endnote w:type="continuationSeparator" w:id="0">
    <w:p w14:paraId="2FA4D82F" w14:textId="77777777" w:rsidR="007E4BAF" w:rsidRDefault="007E4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7CE6" w14:textId="77777777" w:rsidR="00CE012C" w:rsidRDefault="0050200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6ADC">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6ADC">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334228DF" w14:textId="77777777" w:rsidR="00CE012C" w:rsidRDefault="00CE012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42B9" w14:textId="77777777" w:rsidR="00CE012C" w:rsidRDefault="0050200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26AD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26ADC">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4B7B816F" w14:textId="77777777" w:rsidR="00CE012C" w:rsidRDefault="00CE012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91617" w14:textId="77777777" w:rsidR="007E4BAF" w:rsidRDefault="007E4BAF">
      <w:r>
        <w:separator/>
      </w:r>
    </w:p>
  </w:footnote>
  <w:footnote w:type="continuationSeparator" w:id="0">
    <w:p w14:paraId="4C6B943C" w14:textId="77777777" w:rsidR="007E4BAF" w:rsidRDefault="007E4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234F" w14:textId="77777777" w:rsidR="00CE012C" w:rsidRDefault="0050200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2777CD68" wp14:editId="3A0FE34D">
          <wp:simplePos x="0" y="0"/>
          <wp:positionH relativeFrom="column">
            <wp:posOffset>-1080131</wp:posOffset>
          </wp:positionH>
          <wp:positionV relativeFrom="paragraph">
            <wp:posOffset>-219706</wp:posOffset>
          </wp:positionV>
          <wp:extent cx="7809865" cy="10165715"/>
          <wp:effectExtent l="0" t="0" r="0" b="0"/>
          <wp:wrapNone/>
          <wp:docPr id="1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p w14:paraId="54EA6A3C" w14:textId="77777777" w:rsidR="00CE012C" w:rsidRDefault="0050200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tbl>
    <w:tblPr>
      <w:tblStyle w:val="aff"/>
      <w:tblW w:w="5953" w:type="dxa"/>
      <w:tblInd w:w="3261" w:type="dxa"/>
      <w:tblLayout w:type="fixed"/>
      <w:tblLook w:val="0400" w:firstRow="0" w:lastRow="0" w:firstColumn="0" w:lastColumn="0" w:noHBand="0" w:noVBand="1"/>
    </w:tblPr>
    <w:tblGrid>
      <w:gridCol w:w="2489"/>
      <w:gridCol w:w="3464"/>
    </w:tblGrid>
    <w:tr w:rsidR="00CE012C" w14:paraId="651E5898" w14:textId="77777777">
      <w:tc>
        <w:tcPr>
          <w:tcW w:w="2489" w:type="dxa"/>
          <w:shd w:val="clear" w:color="auto" w:fill="auto"/>
        </w:tcPr>
        <w:p w14:paraId="3FFA6626" w14:textId="77777777" w:rsidR="00CE012C" w:rsidRDefault="005020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42D9E4B" w14:textId="77777777" w:rsidR="00CE012C" w:rsidRDefault="0050200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00294/INFOEM/IP/RR/2025</w:t>
          </w:r>
        </w:p>
      </w:tc>
    </w:tr>
    <w:tr w:rsidR="00CE012C" w14:paraId="7C744A47" w14:textId="77777777">
      <w:trPr>
        <w:trHeight w:val="228"/>
      </w:trPr>
      <w:tc>
        <w:tcPr>
          <w:tcW w:w="2489" w:type="dxa"/>
          <w:shd w:val="clear" w:color="auto" w:fill="auto"/>
          <w:vAlign w:val="center"/>
        </w:tcPr>
        <w:p w14:paraId="5839A5A5" w14:textId="77777777" w:rsidR="00CE012C" w:rsidRDefault="005020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6949065" w14:textId="77777777" w:rsidR="00CE012C" w:rsidRDefault="0050200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Tepotzotlán</w:t>
          </w:r>
        </w:p>
      </w:tc>
    </w:tr>
    <w:tr w:rsidR="00CE012C" w14:paraId="3163942D" w14:textId="77777777">
      <w:tc>
        <w:tcPr>
          <w:tcW w:w="2489" w:type="dxa"/>
          <w:shd w:val="clear" w:color="auto" w:fill="auto"/>
          <w:vAlign w:val="center"/>
        </w:tcPr>
        <w:p w14:paraId="145292F6" w14:textId="77777777" w:rsidR="00CE012C" w:rsidRDefault="0050200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EDCA2F0" w14:textId="77777777" w:rsidR="00CE012C" w:rsidRDefault="0050200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3844A9" w14:textId="77777777" w:rsidR="00CE012C" w:rsidRDefault="00CE012C">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7CD2" w14:textId="77777777" w:rsidR="00CE012C" w:rsidRDefault="00502009">
    <w:pPr>
      <w:widowControl w:val="0"/>
      <w:pBdr>
        <w:top w:val="nil"/>
        <w:left w:val="nil"/>
        <w:bottom w:val="nil"/>
        <w:right w:val="nil"/>
        <w:between w:val="nil"/>
      </w:pBdr>
      <w:spacing w:line="276" w:lineRule="auto"/>
      <w:ind w:right="1467"/>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E8FD69E" wp14:editId="3F29367A">
          <wp:simplePos x="0" y="0"/>
          <wp:positionH relativeFrom="column">
            <wp:posOffset>-736594</wp:posOffset>
          </wp:positionH>
          <wp:positionV relativeFrom="paragraph">
            <wp:posOffset>-215258</wp:posOffset>
          </wp:positionV>
          <wp:extent cx="7809865" cy="10165715"/>
          <wp:effectExtent l="0" t="0" r="0" b="0"/>
          <wp:wrapNone/>
          <wp:docPr id="1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670" w:type="dxa"/>
      <w:tblInd w:w="3261" w:type="dxa"/>
      <w:tblLayout w:type="fixed"/>
      <w:tblLook w:val="0400" w:firstRow="0" w:lastRow="0" w:firstColumn="0" w:lastColumn="0" w:noHBand="0" w:noVBand="1"/>
    </w:tblPr>
    <w:tblGrid>
      <w:gridCol w:w="2551"/>
      <w:gridCol w:w="3119"/>
    </w:tblGrid>
    <w:tr w:rsidR="00CE012C" w14:paraId="6E036217" w14:textId="77777777">
      <w:tc>
        <w:tcPr>
          <w:tcW w:w="2551" w:type="dxa"/>
          <w:shd w:val="clear" w:color="auto" w:fill="auto"/>
          <w:vAlign w:val="center"/>
        </w:tcPr>
        <w:p w14:paraId="5DB7586F" w14:textId="77777777" w:rsidR="00CE012C" w:rsidRDefault="005020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DC8737D" w14:textId="77777777" w:rsidR="00CE012C" w:rsidRDefault="0050200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00294/INFOEM/IP/RR/2025</w:t>
          </w:r>
        </w:p>
      </w:tc>
    </w:tr>
    <w:tr w:rsidR="00CE012C" w14:paraId="265078AB" w14:textId="77777777">
      <w:trPr>
        <w:trHeight w:val="130"/>
      </w:trPr>
      <w:tc>
        <w:tcPr>
          <w:tcW w:w="2551" w:type="dxa"/>
          <w:shd w:val="clear" w:color="auto" w:fill="auto"/>
          <w:vAlign w:val="center"/>
        </w:tcPr>
        <w:p w14:paraId="12D70AD6" w14:textId="77777777" w:rsidR="00CE012C" w:rsidRDefault="005020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EC77E98" w14:textId="50B84D24" w:rsidR="00CE012C" w:rsidRDefault="0029382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XXXXXX XXXXXXX </w:t>
          </w:r>
        </w:p>
      </w:tc>
    </w:tr>
    <w:tr w:rsidR="00CE012C" w14:paraId="12AD968C" w14:textId="77777777">
      <w:trPr>
        <w:trHeight w:val="228"/>
      </w:trPr>
      <w:tc>
        <w:tcPr>
          <w:tcW w:w="2551" w:type="dxa"/>
          <w:shd w:val="clear" w:color="auto" w:fill="auto"/>
          <w:vAlign w:val="center"/>
        </w:tcPr>
        <w:p w14:paraId="7831FDBA" w14:textId="77777777" w:rsidR="00CE012C" w:rsidRDefault="005020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0DFBEF5" w14:textId="77777777" w:rsidR="00CE012C" w:rsidRDefault="0050200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Tepotzotlán</w:t>
          </w:r>
        </w:p>
      </w:tc>
    </w:tr>
    <w:tr w:rsidR="00CE012C" w14:paraId="3840AD02" w14:textId="77777777">
      <w:tc>
        <w:tcPr>
          <w:tcW w:w="2551" w:type="dxa"/>
          <w:shd w:val="clear" w:color="auto" w:fill="auto"/>
          <w:vAlign w:val="center"/>
        </w:tcPr>
        <w:p w14:paraId="28752EA9" w14:textId="77777777" w:rsidR="00CE012C" w:rsidRDefault="0050200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28BCCE8" w14:textId="77777777" w:rsidR="00CE012C" w:rsidRDefault="0050200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39FF91" w14:textId="77777777" w:rsidR="00CE012C" w:rsidRDefault="00CE012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833958"/>
    <w:multiLevelType w:val="multilevel"/>
    <w:tmpl w:val="623ABC1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12C"/>
    <w:rsid w:val="000E4CAA"/>
    <w:rsid w:val="00293820"/>
    <w:rsid w:val="00502009"/>
    <w:rsid w:val="00526ADC"/>
    <w:rsid w:val="007E4BAF"/>
    <w:rsid w:val="009527B5"/>
    <w:rsid w:val="009B46EF"/>
    <w:rsid w:val="00CE01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D764E"/>
  <w15:docId w15:val="{5CFAA103-D723-4163-9FF8-A690C571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e"/>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e"/>
    <w:tblPr>
      <w:tblStyleRowBandSize w:val="1"/>
      <w:tblStyleColBandSize w:val="1"/>
      <w:tblCellMar>
        <w:left w:w="115" w:type="dxa"/>
        <w:right w:w="115" w:type="dxa"/>
      </w:tblCellMar>
    </w:tblPr>
  </w:style>
  <w:style w:type="table" w:customStyle="1" w:styleId="a2">
    <w:basedOn w:val="TableNormale"/>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table" w:customStyle="1" w:styleId="a5">
    <w:basedOn w:val="TableNormald"/>
    <w:tblPr>
      <w:tblStyleRowBandSize w:val="1"/>
      <w:tblStyleColBandSize w:val="1"/>
      <w:tblCellMar>
        <w:left w:w="115" w:type="dxa"/>
        <w:right w:w="115" w:type="dxa"/>
      </w:tblCellMar>
    </w:tblPr>
  </w:style>
  <w:style w:type="table" w:customStyle="1" w:styleId="a6">
    <w:basedOn w:val="TableNormald"/>
    <w:tblPr>
      <w:tblStyleRowBandSize w:val="1"/>
      <w:tblStyleColBandSize w:val="1"/>
      <w:tblCellMar>
        <w:left w:w="115" w:type="dxa"/>
        <w:right w:w="115" w:type="dxa"/>
      </w:tblCellMar>
    </w:tblPr>
  </w:style>
  <w:style w:type="table" w:customStyle="1" w:styleId="a7">
    <w:basedOn w:val="TableNormalc"/>
    <w:tblPr>
      <w:tblStyleRowBandSize w:val="1"/>
      <w:tblStyleColBandSize w:val="1"/>
      <w:tblCellMar>
        <w:left w:w="115" w:type="dxa"/>
        <w:right w:w="115" w:type="dxa"/>
      </w:tblCellMar>
    </w:tblPr>
  </w:style>
  <w:style w:type="table" w:customStyle="1" w:styleId="a8">
    <w:basedOn w:val="TableNormalc"/>
    <w:tblPr>
      <w:tblStyleRowBandSize w:val="1"/>
      <w:tblStyleColBandSize w:val="1"/>
      <w:tblCellMar>
        <w:left w:w="115" w:type="dxa"/>
        <w:right w:w="115" w:type="dxa"/>
      </w:tblCellMar>
    </w:tblPr>
  </w:style>
  <w:style w:type="table" w:customStyle="1" w:styleId="a9">
    <w:basedOn w:val="TableNormalb"/>
    <w:tblPr>
      <w:tblStyleRowBandSize w:val="1"/>
      <w:tblStyleColBandSize w:val="1"/>
      <w:tblCellMar>
        <w:left w:w="115" w:type="dxa"/>
        <w:right w:w="115" w:type="dxa"/>
      </w:tblCellMar>
    </w:tblPr>
  </w:style>
  <w:style w:type="table" w:customStyle="1" w:styleId="aa">
    <w:basedOn w:val="TableNormalb"/>
    <w:tblPr>
      <w:tblStyleRowBandSize w:val="1"/>
      <w:tblStyleColBandSize w:val="1"/>
      <w:tblCellMar>
        <w:left w:w="115" w:type="dxa"/>
        <w:right w:w="115" w:type="dxa"/>
      </w:tblCellMar>
    </w:tblPr>
  </w:style>
  <w:style w:type="table" w:customStyle="1" w:styleId="ab">
    <w:basedOn w:val="TableNormala"/>
    <w:tblPr>
      <w:tblStyleRowBandSize w:val="1"/>
      <w:tblStyleColBandSize w:val="1"/>
      <w:tblCellMar>
        <w:left w:w="115" w:type="dxa"/>
        <w:right w:w="115" w:type="dxa"/>
      </w:tblCellMar>
    </w:tblPr>
  </w:style>
  <w:style w:type="table" w:customStyle="1" w:styleId="ac">
    <w:basedOn w:val="TableNormala"/>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850B2E"/>
    <w:rPr>
      <w:color w:val="605E5C"/>
      <w:shd w:val="clear" w:color="auto" w:fill="E1DFDD"/>
    </w:rPr>
  </w:style>
  <w:style w:type="table" w:customStyle="1" w:styleId="ad">
    <w:basedOn w:val="TableNormal9"/>
    <w:tblPr>
      <w:tblStyleRowBandSize w:val="1"/>
      <w:tblStyleColBandSize w:val="1"/>
      <w:tblCellMar>
        <w:left w:w="115" w:type="dxa"/>
        <w:right w:w="115" w:type="dxa"/>
      </w:tblCellMar>
    </w:tblPr>
  </w:style>
  <w:style w:type="table" w:customStyle="1" w:styleId="ae">
    <w:basedOn w:val="TableNormal9"/>
    <w:tblPr>
      <w:tblStyleRowBandSize w:val="1"/>
      <w:tblStyleColBandSize w:val="1"/>
      <w:tblCellMar>
        <w:left w:w="115" w:type="dxa"/>
        <w:right w:w="115" w:type="dxa"/>
      </w:tblCellMar>
    </w:tbl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7"/>
    <w:tblPr>
      <w:tblStyleRowBandSize w:val="1"/>
      <w:tblStyleColBandSize w:val="1"/>
      <w:tblCellMar>
        <w:left w:w="115" w:type="dxa"/>
        <w:right w:w="115" w:type="dxa"/>
      </w:tblCellMar>
    </w:tblPr>
  </w:style>
  <w:style w:type="table" w:customStyle="1" w:styleId="af2">
    <w:basedOn w:val="TableNormal7"/>
    <w:tblPr>
      <w:tblStyleRowBandSize w:val="1"/>
      <w:tblStyleColBandSize w:val="1"/>
      <w:tblCellMar>
        <w:left w:w="115" w:type="dxa"/>
        <w:right w:w="115" w:type="dxa"/>
      </w:tblCellMar>
    </w:tblPr>
  </w:style>
  <w:style w:type="table" w:customStyle="1" w:styleId="af3">
    <w:basedOn w:val="TableNormal6"/>
    <w:tblPr>
      <w:tblStyleRowBandSize w:val="1"/>
      <w:tblStyleColBandSize w:val="1"/>
      <w:tblCellMar>
        <w:left w:w="115" w:type="dxa"/>
        <w:right w:w="115" w:type="dxa"/>
      </w:tblCellMar>
    </w:tblPr>
  </w:style>
  <w:style w:type="table" w:customStyle="1" w:styleId="af4">
    <w:basedOn w:val="TableNormal6"/>
    <w:tblPr>
      <w:tblStyleRowBandSize w:val="1"/>
      <w:tblStyleColBandSize w:val="1"/>
      <w:tblCellMar>
        <w:left w:w="115" w:type="dxa"/>
        <w:right w:w="115" w:type="dxa"/>
      </w:tblCellMar>
    </w:tblPr>
  </w:style>
  <w:style w:type="table" w:customStyle="1" w:styleId="af5">
    <w:basedOn w:val="TableNormal5"/>
    <w:tblPr>
      <w:tblStyleRowBandSize w:val="1"/>
      <w:tblStyleColBandSize w:val="1"/>
      <w:tblCellMar>
        <w:left w:w="115" w:type="dxa"/>
        <w:right w:w="115" w:type="dxa"/>
      </w:tblCellMar>
    </w:tbl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3"/>
    <w:tblPr>
      <w:tblStyleRowBandSize w:val="1"/>
      <w:tblStyleColBandSize w:val="1"/>
      <w:tblCellMar>
        <w:left w:w="115" w:type="dxa"/>
        <w:right w:w="115"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character" w:customStyle="1" w:styleId="object">
    <w:name w:val="object"/>
    <w:basedOn w:val="Fuentedeprrafopredeter"/>
    <w:rsid w:val="00372D57"/>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eiUWuBZSvLPyzKSmYq7zjBouMQ==">CgMxLjAyCGguZ2pkZ3hzMghoLnR5amN3dDIJaC4zMGowemxsMgloLjJzOGV5bzEyDWgucTlhNXBxc3Q2c28yCWguMmV0OTJwMDIJaC4zZHk2dmttMgloLjN6bnlzaDcyCWguMXQzaDVzZjIJaC4xZm9iOXRlMgloLjFrc3Y0dXY4AHIhMW11RzJBUHpZcUlhNUJXNzFkeFVRU3BQYURaNWNHa3Vj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10886</Words>
  <Characters>59878</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2025-02-20T23:44:00Z</cp:lastPrinted>
  <dcterms:created xsi:type="dcterms:W3CDTF">2025-02-28T18:16:00Z</dcterms:created>
  <dcterms:modified xsi:type="dcterms:W3CDTF">2025-02-28T18:16:00Z</dcterms:modified>
</cp:coreProperties>
</file>