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a doce de marzo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00754/INFOEM/IP/RR/2025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XXXXXX </w:t>
      </w:r>
      <w:r w:rsidDel="00000000" w:rsidR="00000000" w:rsidRPr="00000000">
        <w:rPr>
          <w:rFonts w:ascii="Palatino Linotype" w:cs="Palatino Linotype" w:eastAsia="Palatino Linotype" w:hAnsi="Palatino Linotype"/>
          <w:rtl w:val="0"/>
        </w:rPr>
        <w:t xml:space="preserve">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00039/ACAMBAY/IP/2025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Ayuntamiento de Acambay</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diecisiete de enero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“factura o comprobante del gasto que hicieron por la barra de madera para dar atencion en oficialia de partes o atencion ciudadana.”. </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cuatro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atención a su solicitud de información recibida por esta dependencia vía Sistema Electrónico Denominado Sistema de Acceso a la Información Mexiquense (SAIMEX), dirigida al Ayuntamiento Constitucional de Acambay de Ruiz Castañeda, Estado de México, como sujeto Obligado de la Ley de Transparencia y Acceso a la Información Pública del Estado de México y Municipios. Se entrega lo siguiente referente a su petición: la respuesta emitida por el Sujeto Habilitado del Ayuntamiento Constitucional de Acambay de Ruiz Castañeda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 ATENTAMENTE LIC. BERENICE CISNEROS RUIZ.</w:t>
      </w:r>
    </w:p>
    <w:p w:rsidR="00000000" w:rsidDel="00000000" w:rsidP="00000000" w:rsidRDefault="00000000" w:rsidRPr="00000000" w14:paraId="0000001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 su respuesta adjuntó los documentos que se describen a continuación:  </w:t>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veintiuno de enero de dos mil veinticinco, signado por el Titular de la Unidad de Transparencia dirigido al Tesorero Municipal, a quien le solicitó diera atención a la solicitud de información. </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de fecha veintitrés de enero de dos mil veinticinco, signado por el Tesorero Municipal mediante el cual informa que, después de una búsqueda exhaustiva y razonable en los archivos de la Tesorería Municipal no fue posible encontrar la factura solicitada, toda vez que el bien en mención se contabilizó como un gasto y no forma parte del inventario de bienes muebles por el costo que representó en su momento.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Interposición del Recurso de Revisión</w:t>
      </w:r>
      <w:r w:rsidDel="00000000" w:rsidR="00000000" w:rsidRPr="00000000">
        <w:rPr>
          <w:rFonts w:ascii="Palatino Linotype" w:cs="Palatino Linotype" w:eastAsia="Palatino Linotype" w:hAnsi="Palatino Linotype"/>
          <w:rtl w:val="0"/>
        </w:rPr>
        <w:t xml:space="preserve">. La parte Solicitante,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seis de febrero de dos mil veinticinco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me negaron la informacion”</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me negaron la informacion , si no es considerado en el inventaro , lo cierto es que genero un gasto y ese gasto genero alguna factura o comprobante de lo gastado”.</w:t>
      </w:r>
      <w:r w:rsidDel="00000000" w:rsidR="00000000" w:rsidRPr="00000000">
        <w:rPr>
          <w:rtl w:val="0"/>
        </w:rPr>
      </w:r>
    </w:p>
    <w:p w:rsidR="00000000" w:rsidDel="00000000" w:rsidP="00000000" w:rsidRDefault="00000000" w:rsidRPr="00000000" w14:paraId="0000001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00754/INFOEM/IP/RR/2025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once de febrero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Informe Justificado. </w:t>
      </w: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cinco de marzo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cuatro de febrero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seis de febrero  de dos mil veinticinco</w:t>
      </w:r>
      <w:r w:rsidDel="00000000" w:rsidR="00000000" w:rsidRPr="00000000">
        <w:rPr>
          <w:rFonts w:ascii="Palatino Linotype" w:cs="Palatino Linotype" w:eastAsia="Palatino Linotype" w:hAnsi="Palatino Linotype"/>
          <w:rtl w:val="0"/>
        </w:rPr>
        <w:t xml:space="preserve">, esto es al segundo día hábil siguiente en que se tuvo conocimiento de la respuesta. </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en las disposiciones legales referidas. </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la parte proporcionó nombre incompleto para ser identificado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negativa de entrega de la información;</w:t>
      </w:r>
    </w:p>
    <w:p w:rsidR="00000000" w:rsidDel="00000000" w:rsidP="00000000" w:rsidRDefault="00000000" w:rsidRPr="00000000" w14:paraId="0000003B">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en determinar si se actualiza las fracción I del artículo 179 de la Ley de Transparencia y Acceso a la Información Pública del Estado de México y Municipios.  </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0">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1">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2">
      <w:pPr>
        <w:tabs>
          <w:tab w:val="left" w:leader="none" w:pos="851"/>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5">
      <w:pPr>
        <w:spacing w:after="0" w:lineRule="auto"/>
        <w:ind w:left="567"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7">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49">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A">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B">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4D">
      <w:pPr>
        <w:spacing w:after="0" w:lineRule="auto"/>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F">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5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9">
      <w:pPr>
        <w:spacing w:after="0" w:line="360" w:lineRule="auto"/>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D">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5E">
      <w:pPr>
        <w:tabs>
          <w:tab w:val="left" w:leader="none" w:pos="7797"/>
        </w:tabs>
        <w:spacing w:after="0" w:lineRule="auto"/>
        <w:ind w:left="709"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F">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0">
      <w:pPr>
        <w:tabs>
          <w:tab w:val="left" w:leader="none" w:pos="7797"/>
        </w:tabs>
        <w:spacing w:after="0" w:lineRule="auto"/>
        <w:ind w:left="709"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que la parte Solicitante requirió se le proporcionara la siguiente información: </w:t>
      </w:r>
    </w:p>
    <w:p w:rsidR="00000000" w:rsidDel="00000000" w:rsidP="00000000" w:rsidRDefault="00000000" w:rsidRPr="00000000" w14:paraId="00000063">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Factura o comprobante del gasto que hicieron por la barra de madera para dar atención en oficialía de partes o atención ciudadana.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a través del Tesorero Municipal informó que, después de una búsqueda exhaustiva y razonable en los archivos de la Tesorería Municipal no fue posible encontrar la factura solicitada, toda vez que el bien en mención se contabilizó como un gasto y no forma parte del inventario de bienes muebles por el costo que representó en su momento.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medularmente porque se le había negado la información, debido a que si bien, no se consideró en el inventario, había generado un gasto y debía existir un comprobante de lo gastado.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partes fueron omisas en realizan manifestaciones. </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en cuanto hace a la comprobación de los gastos realizados, se tiene que, el Glosario de Términos Hacendarios que emite el Instituto Hacendario del Estado de México, el cual define como </w:t>
      </w:r>
      <w:r w:rsidDel="00000000" w:rsidR="00000000" w:rsidRPr="00000000">
        <w:rPr>
          <w:rFonts w:ascii="Palatino Linotype" w:cs="Palatino Linotype" w:eastAsia="Palatino Linotype" w:hAnsi="Palatino Linotype"/>
          <w:b w:val="1"/>
          <w:i w:val="1"/>
          <w:rtl w:val="0"/>
        </w:rPr>
        <w:t xml:space="preserve">“factura”</w:t>
      </w:r>
      <w:r w:rsidDel="00000000" w:rsidR="00000000" w:rsidRPr="00000000">
        <w:rPr>
          <w:rFonts w:ascii="Palatino Linotype" w:cs="Palatino Linotype" w:eastAsia="Palatino Linotype" w:hAnsi="Palatino Linotype"/>
          <w:i w:val="1"/>
          <w:rtl w:val="0"/>
        </w:rPr>
        <w:t xml:space="preserve"> al  </w:t>
      </w:r>
      <w:r w:rsidDel="00000000" w:rsidR="00000000" w:rsidRPr="00000000">
        <w:rPr>
          <w:rFonts w:ascii="Palatino Linotype" w:cs="Palatino Linotype" w:eastAsia="Palatino Linotype" w:hAnsi="Palatino Linotype"/>
          <w:b w:val="1"/>
          <w:i w:val="1"/>
          <w:rtl w:val="0"/>
        </w:rPr>
        <w:t xml:space="preserve">documento fiscal que emite la persona física o moral para comprobar la venta o adquisición de un bien y/o servicio.</w:t>
      </w: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E">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señalar que cuando las facturas amparan las erogaciones que se realizan con erario público tienen naturaleza pública, pues constituyen un medio idóneo de evidencia del gasto realizado con recursos públicos. </w:t>
      </w:r>
    </w:p>
    <w:p w:rsidR="00000000" w:rsidDel="00000000" w:rsidP="00000000" w:rsidRDefault="00000000" w:rsidRPr="00000000" w14:paraId="0000006F">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el Código Financiero del Estado de México, establece en su artículo 344 lo siguiente: </w:t>
      </w:r>
    </w:p>
    <w:p w:rsidR="00000000" w:rsidDel="00000000" w:rsidP="00000000" w:rsidRDefault="00000000" w:rsidRPr="00000000" w14:paraId="00000071">
      <w:pPr>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344.-</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Entes Públicos, a través de cualquiera de sus unidades administrativas</w:t>
      </w:r>
      <w:r w:rsidDel="00000000" w:rsidR="00000000" w:rsidRPr="00000000">
        <w:rPr>
          <w:rFonts w:ascii="Palatino Linotype" w:cs="Palatino Linotype" w:eastAsia="Palatino Linotype" w:hAnsi="Palatino Linotype"/>
          <w:i w:val="1"/>
          <w:rtl w:val="0"/>
        </w:rPr>
        <w:t xml:space="preserve">, de acuerdo con su naturaleza jurídica y según corresponda, </w:t>
      </w:r>
      <w:r w:rsidDel="00000000" w:rsidR="00000000" w:rsidRPr="00000000">
        <w:rPr>
          <w:rFonts w:ascii="Palatino Linotype" w:cs="Palatino Linotype" w:eastAsia="Palatino Linotype" w:hAnsi="Palatino Linotype"/>
          <w:b w:val="1"/>
          <w:i w:val="1"/>
          <w:u w:val="single"/>
          <w:rtl w:val="0"/>
        </w:rPr>
        <w:t xml:space="preserve">registrarán contablemente el efecto patrimonial y presupuestal de las operaciones financieras que realicen, en el momento en que ocurran, con base en el sistema y políticas de registro establecidas</w:t>
      </w:r>
      <w:r w:rsidDel="00000000" w:rsidR="00000000" w:rsidRPr="00000000">
        <w:rPr>
          <w:rFonts w:ascii="Palatino Linotype" w:cs="Palatino Linotype" w:eastAsia="Palatino Linotype" w:hAnsi="Palatino Linotype"/>
          <w:i w:val="1"/>
          <w:rtl w:val="0"/>
        </w:rPr>
        <w:t xml:space="preserve">, en el caso de los Municipios, se hará por la Tesorería. </w:t>
      </w:r>
    </w:p>
    <w:p w:rsidR="00000000" w:rsidDel="00000000" w:rsidP="00000000" w:rsidRDefault="00000000" w:rsidRPr="00000000" w14:paraId="00000073">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Todo registro contable y presupuestal deberá estar soportado con los documentos comprobatorios originales o en medios electrónicos, los que deberán permanecer en custodia y conservación</w:t>
      </w:r>
      <w:r w:rsidDel="00000000" w:rsidR="00000000" w:rsidRPr="00000000">
        <w:rPr>
          <w:rFonts w:ascii="Palatino Linotype" w:cs="Palatino Linotype" w:eastAsia="Palatino Linotype" w:hAnsi="Palatino Linotype"/>
          <w:i w:val="1"/>
          <w:rtl w:val="0"/>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000000" w:rsidDel="00000000" w:rsidP="00000000" w:rsidRDefault="00000000" w:rsidRPr="00000000" w14:paraId="00000074">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5">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documentos de carácter histórico, se estará a lo dispuesto por la legislación de la materia.</w:t>
      </w:r>
    </w:p>
    <w:p w:rsidR="00000000" w:rsidDel="00000000" w:rsidP="00000000" w:rsidRDefault="00000000" w:rsidRPr="00000000" w14:paraId="00000076">
      <w:pPr>
        <w:spacing w:after="0" w:line="360" w:lineRule="auto"/>
        <w:ind w:right="49"/>
        <w:jc w:val="both"/>
        <w:rPr/>
      </w:pPr>
      <w:r w:rsidDel="00000000" w:rsidR="00000000" w:rsidRPr="00000000">
        <w:rPr>
          <w:rtl w:val="0"/>
        </w:rPr>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Del="00000000" w:rsidR="00000000" w:rsidRPr="00000000">
        <w:rPr>
          <w:rFonts w:ascii="Palatino Linotype" w:cs="Palatino Linotype" w:eastAsia="Palatino Linotype" w:hAnsi="Palatino Linotype"/>
          <w:i w:val="1"/>
          <w:rtl w:val="0"/>
        </w:rPr>
        <w:t xml:space="preserve">Glosario de Términos Administrativos</w:t>
      </w:r>
      <w:r w:rsidDel="00000000" w:rsidR="00000000" w:rsidRPr="00000000">
        <w:rPr>
          <w:rFonts w:ascii="Palatino Linotype" w:cs="Palatino Linotype" w:eastAsia="Palatino Linotype" w:hAnsi="Palatino Linotype"/>
          <w:rtl w:val="0"/>
        </w:rPr>
        <w:t xml:space="preserve"> y el </w:t>
      </w:r>
      <w:r w:rsidDel="00000000" w:rsidR="00000000" w:rsidRPr="00000000">
        <w:rPr>
          <w:rFonts w:ascii="Palatino Linotype" w:cs="Palatino Linotype" w:eastAsia="Palatino Linotype" w:hAnsi="Palatino Linotype"/>
          <w:i w:val="1"/>
          <w:rtl w:val="0"/>
        </w:rPr>
        <w:t xml:space="preserve">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rtl w:val="0"/>
        </w:rPr>
        <w:t xml:space="preserve">, definen los registros como: </w:t>
      </w:r>
    </w:p>
    <w:p w:rsidR="00000000" w:rsidDel="00000000" w:rsidP="00000000" w:rsidRDefault="00000000" w:rsidRPr="00000000" w14:paraId="00000078">
      <w:pPr>
        <w:spacing w:after="0" w:line="360"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contable. </w:t>
      </w:r>
      <w:r w:rsidDel="00000000" w:rsidR="00000000" w:rsidRPr="00000000">
        <w:rPr>
          <w:rFonts w:ascii="Palatino Linotype" w:cs="Palatino Linotype" w:eastAsia="Palatino Linotype" w:hAnsi="Palatino Linotype"/>
          <w:i w:val="1"/>
          <w:rtl w:val="0"/>
        </w:rPr>
        <w:t xml:space="preserve">Asiento que se realiza en los libros de contabilidad de las actividades relacionadas con el ingreso y egreso de un ente económico. </w:t>
      </w:r>
    </w:p>
    <w:p w:rsidR="00000000" w:rsidDel="00000000" w:rsidP="00000000" w:rsidRDefault="00000000" w:rsidRPr="00000000" w14:paraId="0000007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Presupuestario. </w:t>
      </w:r>
      <w:r w:rsidDel="00000000" w:rsidR="00000000" w:rsidRPr="00000000">
        <w:rPr>
          <w:rFonts w:ascii="Palatino Linotype" w:cs="Palatino Linotype" w:eastAsia="Palatino Linotype" w:hAnsi="Palatino Linotype"/>
          <w:i w:val="1"/>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citados, se colige que los entes fiscalizables</w:t>
      </w:r>
      <w:r w:rsidDel="00000000" w:rsidR="00000000" w:rsidRPr="00000000">
        <w:rPr>
          <w:rFonts w:ascii="Palatino Linotype" w:cs="Palatino Linotype" w:eastAsia="Palatino Linotype" w:hAnsi="Palatino Linotype"/>
          <w:b w:val="1"/>
          <w:u w:val="single"/>
          <w:rtl w:val="0"/>
        </w:rPr>
        <w:t xml:space="preserve"> deben contar con una unidad administrativa que registra contablemente el efecto patrimonial y presupuestal de las operaciones financieras</w:t>
      </w:r>
      <w:r w:rsidDel="00000000" w:rsidR="00000000" w:rsidRPr="00000000">
        <w:rPr>
          <w:rFonts w:ascii="Palatino Linotype" w:cs="Palatino Linotype" w:eastAsia="Palatino Linotype" w:hAnsi="Palatino Linotype"/>
          <w:rtl w:val="0"/>
        </w:rPr>
        <w:t xml:space="preserve"> que realizan y por lo general, se encuentran en las denominadas </w:t>
      </w:r>
      <w:r w:rsidDel="00000000" w:rsidR="00000000" w:rsidRPr="00000000">
        <w:rPr>
          <w:rFonts w:ascii="Palatino Linotype" w:cs="Palatino Linotype" w:eastAsia="Palatino Linotype" w:hAnsi="Palatino Linotype"/>
          <w:i w:val="1"/>
          <w:rtl w:val="0"/>
        </w:rPr>
        <w:t xml:space="preserve">pólizas contables </w:t>
      </w:r>
      <w:r w:rsidDel="00000000" w:rsidR="00000000" w:rsidRPr="00000000">
        <w:rPr>
          <w:rFonts w:ascii="Palatino Linotype" w:cs="Palatino Linotype" w:eastAsia="Palatino Linotype" w:hAnsi="Palatino Linotype"/>
          <w:rtl w:val="0"/>
        </w:rPr>
        <w:t xml:space="preserve">las cuales son aquellos documentos en los que se asientan en forma individual todas y cada una de las operaciones desarrolladas por una institución, así como la información necesaria para la identificación de estas. </w:t>
      </w:r>
    </w:p>
    <w:p w:rsidR="00000000" w:rsidDel="00000000" w:rsidP="00000000" w:rsidRDefault="00000000" w:rsidRPr="00000000" w14:paraId="0000007E">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after="0" w:line="360" w:lineRule="auto"/>
        <w:ind w:right="12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al Sujeto Obligado, se tiene que, su Reglamento Interno establece que contará con una Dirección de Administración y Tesorería, la cual tendrá las siguientes atribuciones: </w:t>
      </w:r>
    </w:p>
    <w:p w:rsidR="00000000" w:rsidDel="00000000" w:rsidP="00000000" w:rsidRDefault="00000000" w:rsidRPr="00000000" w14:paraId="00000080">
      <w:pPr>
        <w:spacing w:after="0" w:line="276" w:lineRule="auto"/>
        <w:ind w:left="567" w:right="57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81">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20.-</w:t>
      </w:r>
      <w:r w:rsidDel="00000000" w:rsidR="00000000" w:rsidRPr="00000000">
        <w:rPr>
          <w:rFonts w:ascii="Palatino Linotype" w:cs="Palatino Linotype" w:eastAsia="Palatino Linotype" w:hAnsi="Palatino Linotype"/>
          <w:i w:val="1"/>
          <w:rtl w:val="0"/>
        </w:rPr>
        <w:t xml:space="preserve"> Corresponde a la Dirección de Administración y Tesorería, quien tendrá además de las señaladas en el artículo 16 de la Ley, las siguientes atribuciones: </w:t>
      </w:r>
    </w:p>
    <w:p w:rsidR="00000000" w:rsidDel="00000000" w:rsidP="00000000" w:rsidRDefault="00000000" w:rsidRPr="00000000" w14:paraId="00000082">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3">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Supervisar y controlar la integración del presupuesto general optimizando los recursos financieros; </w:t>
      </w:r>
    </w:p>
    <w:p w:rsidR="00000000" w:rsidDel="00000000" w:rsidP="00000000" w:rsidRDefault="00000000" w:rsidRPr="00000000" w14:paraId="00000084">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Administrar de manera eficiente los recursos del SMDIFTOL; </w:t>
      </w:r>
    </w:p>
    <w:p w:rsidR="00000000" w:rsidDel="00000000" w:rsidP="00000000" w:rsidRDefault="00000000" w:rsidRPr="00000000" w14:paraId="00000085">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6">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Validar las pólizas-cheque generadas por el Departamento de Finanzas para efectuar los pagos a proveedores de bienes y servicios otorgados al SMDIFTOL, los correspondientes al pago de nómina y de obligaciones fiscales, laborales, de seguridad social sindical y administrativas, así como verificar que las mismas cumplan con las políticas y normas aplicables; </w:t>
      </w:r>
    </w:p>
    <w:p w:rsidR="00000000" w:rsidDel="00000000" w:rsidP="00000000" w:rsidRDefault="00000000" w:rsidRPr="00000000" w14:paraId="00000087">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Alimentar, actualizar y controlar los resultados del Sistema de Control Patrimonial con la finalidad de establecer políticas para la toma de decisiones en materia de bienes muebles e inmuebles, uso y destino de los mismos; </w:t>
      </w:r>
    </w:p>
    <w:p w:rsidR="00000000" w:rsidDel="00000000" w:rsidP="00000000" w:rsidRDefault="00000000" w:rsidRPr="00000000" w14:paraId="00000088">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9">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Proveer a las Unidades Administrativas de los recursos humanos y materiales necesarios para su buen funcionamiento, así como de servicios de mantenimiento de inmuebles, parque vehicular y apoyo para la realización de eventos cuando así sea requerido; </w:t>
      </w:r>
    </w:p>
    <w:p w:rsidR="00000000" w:rsidDel="00000000" w:rsidP="00000000" w:rsidRDefault="00000000" w:rsidRPr="00000000" w14:paraId="0000008A">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B">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Suscribir contratos de bienes y servicios en términos de la legislación aplicable; </w:t>
      </w:r>
    </w:p>
    <w:p w:rsidR="00000000" w:rsidDel="00000000" w:rsidP="00000000" w:rsidRDefault="00000000" w:rsidRPr="00000000" w14:paraId="0000008C">
      <w:pPr>
        <w:spacing w:after="0" w:line="276" w:lineRule="auto"/>
        <w:ind w:left="567" w:right="57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Sujeto Obligado, cuenta con las competencias, facultades y atribuciones para conocer, administrar y generar la información relacionada con los procedimientos de contratación llevados a cabo por el Municipio, así como, los documentos donde consta la comprobación de las erogaciones realizadas. </w:t>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necesario precisar que de las constancias que obran en el expediente se logra vislumbrar que el Sujeto Obligado, turnó la solicitud de información a la unidad administrativa competente, a saber la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90">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92">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9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a saber, la Tesorería Municipal, en términos de los artículos 76 y 77 del Bando Municipal del Ayuntamiento, el cual establece lo siguiente: </w:t>
      </w:r>
    </w:p>
    <w:p w:rsidR="00000000" w:rsidDel="00000000" w:rsidP="00000000" w:rsidRDefault="00000000" w:rsidRPr="00000000" w14:paraId="0000009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76.</w:t>
      </w:r>
      <w:r w:rsidDel="00000000" w:rsidR="00000000" w:rsidRPr="00000000">
        <w:rPr>
          <w:rFonts w:ascii="Palatino Linotype" w:cs="Palatino Linotype" w:eastAsia="Palatino Linotype" w:hAnsi="Palatino Linotype"/>
          <w:i w:val="1"/>
          <w:rtl w:val="0"/>
        </w:rPr>
        <w:t xml:space="preserve"> La Tesorería es el órgano encargado de la recaudación de los ingresos municipales y responsable de </w:t>
      </w:r>
      <w:r w:rsidDel="00000000" w:rsidR="00000000" w:rsidRPr="00000000">
        <w:rPr>
          <w:rFonts w:ascii="Palatino Linotype" w:cs="Palatino Linotype" w:eastAsia="Palatino Linotype" w:hAnsi="Palatino Linotype"/>
          <w:b w:val="1"/>
          <w:i w:val="1"/>
          <w:u w:val="single"/>
          <w:rtl w:val="0"/>
        </w:rPr>
        <w:t xml:space="preserve">realizar las erogaciones</w:t>
      </w:r>
      <w:r w:rsidDel="00000000" w:rsidR="00000000" w:rsidRPr="00000000">
        <w:rPr>
          <w:rFonts w:ascii="Palatino Linotype" w:cs="Palatino Linotype" w:eastAsia="Palatino Linotype" w:hAnsi="Palatino Linotype"/>
          <w:i w:val="1"/>
          <w:rtl w:val="0"/>
        </w:rPr>
        <w:t xml:space="preserve"> que haga el Ayuntamiento. </w:t>
      </w:r>
    </w:p>
    <w:p w:rsidR="00000000" w:rsidDel="00000000" w:rsidP="00000000" w:rsidRDefault="00000000" w:rsidRPr="00000000" w14:paraId="0000009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77.</w:t>
      </w:r>
      <w:r w:rsidDel="00000000" w:rsidR="00000000" w:rsidRPr="00000000">
        <w:rPr>
          <w:rFonts w:ascii="Palatino Linotype" w:cs="Palatino Linotype" w:eastAsia="Palatino Linotype" w:hAnsi="Palatino Linotype"/>
          <w:i w:val="1"/>
          <w:rtl w:val="0"/>
        </w:rPr>
        <w:t xml:space="preserve"> Son atribuciones de la persona titular de la Tesorería Municipal: </w:t>
      </w:r>
    </w:p>
    <w:p w:rsidR="00000000" w:rsidDel="00000000" w:rsidP="00000000" w:rsidRDefault="00000000" w:rsidRPr="00000000" w14:paraId="0000009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administrar la hacienda pública, de conformidad con las disposiciones legales aplicables; </w:t>
      </w:r>
    </w:p>
    <w:p w:rsidR="00000000" w:rsidDel="00000000" w:rsidP="00000000" w:rsidRDefault="00000000" w:rsidRPr="00000000" w14:paraId="0000009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000000" w:rsidDel="00000000" w:rsidP="00000000" w:rsidRDefault="00000000" w:rsidRPr="00000000" w14:paraId="0000009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Imponer las sanciones administrativas que procedan por infracciones a las disposiciones fiscales; </w:t>
      </w:r>
    </w:p>
    <w:p w:rsidR="00000000" w:rsidDel="00000000" w:rsidP="00000000" w:rsidRDefault="00000000" w:rsidRPr="00000000" w14:paraId="0000009D">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IV. Llevar los registros contables, financieros y administrativos de los ingresos, egresos, e inventarios; </w:t>
      </w:r>
    </w:p>
    <w:p w:rsidR="00000000" w:rsidDel="00000000" w:rsidP="00000000" w:rsidRDefault="00000000" w:rsidRPr="00000000" w14:paraId="0000009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Proporcionar oportunamente al Ayuntamiento todos los datos o informes que sean necesarios para la formulación del Presupuesto de Egresos Municipales, vigilando que se ajuste a las disposiciones de la Ley Orgánica Municipal y otros ordenamientos aplicables; </w:t>
      </w:r>
    </w:p>
    <w:p w:rsidR="00000000" w:rsidDel="00000000" w:rsidP="00000000" w:rsidRDefault="00000000" w:rsidRPr="00000000" w14:paraId="0000009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Presentar anualmente al Ayuntamiento un informe de la situación contable financiera de la Tesorería; </w:t>
      </w:r>
    </w:p>
    <w:p w:rsidR="00000000" w:rsidDel="00000000" w:rsidP="00000000" w:rsidRDefault="00000000" w:rsidRPr="00000000" w14:paraId="000000A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Proporcionar para la formulación del proyecto de Presupuesto de Egresos Municipales la información financiera relativa a la solución o en su caso, el pago de los litigios laborales; </w:t>
      </w:r>
    </w:p>
    <w:p w:rsidR="00000000" w:rsidDel="00000000" w:rsidP="00000000" w:rsidRDefault="00000000" w:rsidRPr="00000000" w14:paraId="000000A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Diseñar y aprobar las formas oficiales de manifestaciones, avisos y declaraciones y demás documentos requeridos; </w:t>
      </w:r>
    </w:p>
    <w:p w:rsidR="00000000" w:rsidDel="00000000" w:rsidP="00000000" w:rsidRDefault="00000000" w:rsidRPr="00000000" w14:paraId="000000A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Participar en la formulación de convenios fiscales y ejercer las atribuciones que le correspondan en el ámbito de su competencia; </w:t>
      </w:r>
    </w:p>
    <w:p w:rsidR="00000000" w:rsidDel="00000000" w:rsidP="00000000" w:rsidRDefault="00000000" w:rsidRPr="00000000" w14:paraId="000000A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Proponer al Ayuntamiento la cancelación de cuentas incobrables; </w:t>
      </w:r>
    </w:p>
    <w:p w:rsidR="00000000" w:rsidDel="00000000" w:rsidP="00000000" w:rsidRDefault="00000000" w:rsidRPr="00000000" w14:paraId="000000A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Custodiar y ejercer las garantías que se otorguen en favor de la hacienda pública; XII. Proponer la política de ingresos de la Tesorería; </w:t>
      </w:r>
    </w:p>
    <w:p w:rsidR="00000000" w:rsidDel="00000000" w:rsidP="00000000" w:rsidRDefault="00000000" w:rsidRPr="00000000" w14:paraId="000000A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Intervenir en la elaboración del programa financiero municipal; </w:t>
      </w:r>
    </w:p>
    <w:p w:rsidR="00000000" w:rsidDel="00000000" w:rsidP="00000000" w:rsidRDefault="00000000" w:rsidRPr="00000000" w14:paraId="000000A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Elaborar y mantener actualizado el padrón de contribuyentes;</w:t>
      </w:r>
    </w:p>
    <w:p w:rsidR="00000000" w:rsidDel="00000000" w:rsidP="00000000" w:rsidRDefault="00000000" w:rsidRPr="00000000" w14:paraId="000000A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 Administrar a su inmediato antecesor todos los datos oficiales que se le solicite, para contestar los pliegos de observaciones y alcances que formule y deduzca el Órgano Superior de Fiscalización del Estado de México; </w:t>
      </w:r>
    </w:p>
    <w:p w:rsidR="00000000" w:rsidDel="00000000" w:rsidP="00000000" w:rsidRDefault="00000000" w:rsidRPr="00000000" w14:paraId="000000A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 Solicitar a las instancias competentes, la práctica de revisiones circunstanciadas, de conformidad con las normas que rigen en materia de control y evaluación gubernamental en el ámbito municipal; </w:t>
      </w:r>
    </w:p>
    <w:p w:rsidR="00000000" w:rsidDel="00000000" w:rsidP="00000000" w:rsidRDefault="00000000" w:rsidRPr="00000000" w14:paraId="000000A9">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XVII. Glosar oportunamente las cuentas del Ayuntamiento; </w:t>
      </w:r>
    </w:p>
    <w:p w:rsidR="00000000" w:rsidDel="00000000" w:rsidP="00000000" w:rsidRDefault="00000000" w:rsidRPr="00000000" w14:paraId="000000A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XVIII. Contestar oportunamente los pliegos de observaciones y responsabilidad que haga el Órgano Superior de Fiscalización del Estado de México, así como atender en tiempo y forma las solicitudes de información que éste requiera, informando al Ayuntamiento; </w:t>
      </w:r>
    </w:p>
    <w:p w:rsidR="00000000" w:rsidDel="00000000" w:rsidP="00000000" w:rsidRDefault="00000000" w:rsidRPr="00000000" w14:paraId="000000A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XIX. Expedir copias certificadas de los documentos a su cuidado, por acuerdo expreso del Ayuntamiento y cuando se trate de documentación presentada ante el Órgano Superior de Fiscalización del Estado de México; </w:t>
      </w:r>
    </w:p>
    <w:p w:rsidR="00000000" w:rsidDel="00000000" w:rsidP="00000000" w:rsidRDefault="00000000" w:rsidRPr="00000000" w14:paraId="000000A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XXI. Dar cumplimiento a las leyes, convenios de coordinación fiscal y demás que en materia hacendaria celebre el Ayuntamiento con el Estado; </w:t>
      </w:r>
    </w:p>
    <w:p w:rsidR="00000000" w:rsidDel="00000000" w:rsidP="00000000" w:rsidRDefault="00000000" w:rsidRPr="00000000" w14:paraId="000000A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 Entregar oportunamente al Síndico, el informe mensual que corresponda, a fin de que se revise, y de ser necesario, para que se formulen las observaciones respectivas; </w:t>
      </w:r>
    </w:p>
    <w:p w:rsidR="00000000" w:rsidDel="00000000" w:rsidP="00000000" w:rsidRDefault="00000000" w:rsidRPr="00000000" w14:paraId="000000A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XXIII. Elaborar la nómina del personal; y </w:t>
      </w:r>
    </w:p>
    <w:p w:rsidR="00000000" w:rsidDel="00000000" w:rsidP="00000000" w:rsidRDefault="00000000" w:rsidRPr="00000000" w14:paraId="000000A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XXIV. Las demás que señalen otras disposiciones aplicables.</w:t>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ese sentido, se colige que quien dio atención a la solicitud de información fue la unidad administrativa competente. </w:t>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lo que respecta al presente asunto, se tiene que, la parte Recurrente se inconformó debido a que no se le entregó la información solicitada, pese a que, en respuesta, la unidad administrativa competente refirió que la barra de madera había sido un gasto pero no formaba parte del inventario de bienes muebles por el costo que representó en su momento. </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w:t>
      </w:r>
      <w:r w:rsidDel="00000000" w:rsidR="00000000" w:rsidRPr="00000000">
        <w:rPr>
          <w:rFonts w:ascii="Palatino Linotype" w:cs="Palatino Linotype" w:eastAsia="Palatino Linotype" w:hAnsi="Palatino Linotype"/>
          <w:b w:val="1"/>
          <w:rtl w:val="0"/>
        </w:rPr>
        <w:t xml:space="preserve">a modo de referencia</w:t>
      </w:r>
      <w:r w:rsidDel="00000000" w:rsidR="00000000" w:rsidRPr="00000000">
        <w:rPr>
          <w:rFonts w:ascii="Palatino Linotype" w:cs="Palatino Linotype" w:eastAsia="Palatino Linotype" w:hAnsi="Palatino Linotype"/>
          <w:rtl w:val="0"/>
        </w:rPr>
        <w:t xml:space="preserve">, los Lineamientos para el Registro y Control del Inventario y la Conciliación y Desincorporación de Bienes Muebles e Inmuebles para las Entidades Fiscalizables Municipales del Estado de México, establecen en su artículo séptimo que: </w:t>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6">
      <w:pPr>
        <w:spacing w:after="0" w:line="276" w:lineRule="auto"/>
        <w:ind w:left="709"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SÉPTIMO: Las adquisiciones de bienes muebles, para efectos de control administrativo, con un costo </w:t>
      </w:r>
      <w:r w:rsidDel="00000000" w:rsidR="00000000" w:rsidRPr="00000000">
        <w:rPr>
          <w:rFonts w:ascii="Palatino Linotype" w:cs="Palatino Linotype" w:eastAsia="Palatino Linotype" w:hAnsi="Palatino Linotype"/>
          <w:b w:val="1"/>
          <w:i w:val="1"/>
          <w:u w:val="single"/>
          <w:rtl w:val="0"/>
        </w:rPr>
        <w:t xml:space="preserve">igual o mayor a 35 salarios mínimos del Distrito Federal deberán ser registrados en la cédula del inventario de bienes muebles</w:t>
      </w:r>
      <w:r w:rsidDel="00000000" w:rsidR="00000000" w:rsidRPr="00000000">
        <w:rPr>
          <w:rFonts w:ascii="Palatino Linotype" w:cs="Palatino Linotype" w:eastAsia="Palatino Linotype" w:hAnsi="Palatino Linotype"/>
          <w:i w:val="1"/>
          <w:rtl w:val="0"/>
        </w:rPr>
        <w:t xml:space="preserve">; los bienes con un costo </w:t>
      </w:r>
      <w:r w:rsidDel="00000000" w:rsidR="00000000" w:rsidRPr="00000000">
        <w:rPr>
          <w:rFonts w:ascii="Palatino Linotype" w:cs="Palatino Linotype" w:eastAsia="Palatino Linotype" w:hAnsi="Palatino Linotype"/>
          <w:b w:val="1"/>
          <w:i w:val="1"/>
          <w:u w:val="single"/>
          <w:rtl w:val="0"/>
        </w:rPr>
        <w:t xml:space="preserve">igual o mayor a 17 pero inferiores a 35 salarios mínimos generales del Distrito Federal deberán registrarse en la cédula de bienes muebles de bajo costo</w:t>
      </w:r>
      <w:r w:rsidDel="00000000" w:rsidR="00000000" w:rsidRPr="00000000">
        <w:rPr>
          <w:rFonts w:ascii="Palatino Linotype" w:cs="Palatino Linotype" w:eastAsia="Palatino Linotype" w:hAnsi="Palatino Linotype"/>
          <w:i w:val="1"/>
          <w:rtl w:val="0"/>
        </w:rPr>
        <w:t xml:space="preserve">, y los bienes muebles adquiridos con un costo menor al señalado,</w:t>
      </w:r>
      <w:r w:rsidDel="00000000" w:rsidR="00000000" w:rsidRPr="00000000">
        <w:rPr>
          <w:rFonts w:ascii="Palatino Linotype" w:cs="Palatino Linotype" w:eastAsia="Palatino Linotype" w:hAnsi="Palatino Linotype"/>
          <w:b w:val="1"/>
          <w:i w:val="1"/>
          <w:u w:val="single"/>
          <w:rtl w:val="0"/>
        </w:rPr>
        <w:t xml:space="preserve"> serán sujetos de registro y control interno.</w:t>
      </w:r>
      <w:r w:rsidDel="00000000" w:rsidR="00000000" w:rsidRPr="00000000">
        <w:rPr>
          <w:rtl w:val="0"/>
        </w:rPr>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muebles con un costo igual o mayor a 35 salarios mínimos se registran en la cédula del inventario de bienes muebles. </w:t>
      </w:r>
    </w:p>
    <w:p w:rsidR="00000000" w:rsidDel="00000000" w:rsidP="00000000" w:rsidRDefault="00000000" w:rsidRPr="00000000" w14:paraId="000000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muebles con un costo igual o mayor a 17 pero inferiores a 35 salarios mínimos se registran en la cédula de los bienes muebles de bajo costo. </w:t>
      </w:r>
    </w:p>
    <w:p w:rsidR="00000000" w:rsidDel="00000000" w:rsidP="00000000" w:rsidRDefault="00000000" w:rsidRPr="00000000" w14:paraId="000000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muebles con un costo menor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serán sujetos de registro y control interno. </w:t>
      </w: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que, independientemente de que por el costo de la barra de madera no haya sido necesario registrar el mueble en la cédula del inventario de bienes muebles o aquellos de bajo costo, también lo es que, debió estar sujeto a un </w:t>
      </w:r>
      <w:r w:rsidDel="00000000" w:rsidR="00000000" w:rsidRPr="00000000">
        <w:rPr>
          <w:rFonts w:ascii="Palatino Linotype" w:cs="Palatino Linotype" w:eastAsia="Palatino Linotype" w:hAnsi="Palatino Linotype"/>
          <w:b w:val="1"/>
          <w:u w:val="single"/>
          <w:rtl w:val="0"/>
        </w:rPr>
        <w:t xml:space="preserve">registro y control interno</w:t>
      </w:r>
      <w:r w:rsidDel="00000000" w:rsidR="00000000" w:rsidRPr="00000000">
        <w:rPr>
          <w:rFonts w:ascii="Palatino Linotype" w:cs="Palatino Linotype" w:eastAsia="Palatino Linotype" w:hAnsi="Palatino Linotype"/>
          <w:rtl w:val="0"/>
        </w:rPr>
        <w:t xml:space="preserve">, lo que nos lleva a determinar que en los archivos de la Tesorería debió obrar algún registro del gasto realizado por la compra de la barra de madera con el fin de comprobar el motivo de la erogación de recurso </w:t>
      </w:r>
      <w:r w:rsidDel="00000000" w:rsidR="00000000" w:rsidRPr="00000000">
        <w:rPr>
          <w:rFonts w:ascii="Palatino Linotype" w:cs="Palatino Linotype" w:eastAsia="Palatino Linotype" w:hAnsi="Palatino Linotype"/>
          <w:b w:val="1"/>
          <w:rtl w:val="0"/>
        </w:rPr>
        <w:t xml:space="preserve">público.</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toda vez que, la unidad administrativa competente señaló que </w:t>
      </w:r>
      <w:r w:rsidDel="00000000" w:rsidR="00000000" w:rsidRPr="00000000">
        <w:rPr>
          <w:rFonts w:ascii="Palatino Linotype" w:cs="Palatino Linotype" w:eastAsia="Palatino Linotype" w:hAnsi="Palatino Linotype"/>
          <w:b w:val="1"/>
          <w:rtl w:val="0"/>
        </w:rPr>
        <w:t xml:space="preserve">no encontró la información requerida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colige que esta es </w:t>
      </w:r>
      <w:r w:rsidDel="00000000" w:rsidR="00000000" w:rsidRPr="00000000">
        <w:rPr>
          <w:rFonts w:ascii="Palatino Linotype" w:cs="Palatino Linotype" w:eastAsia="Palatino Linotype" w:hAnsi="Palatino Linotype"/>
          <w:b w:val="1"/>
          <w:rtl w:val="0"/>
        </w:rPr>
        <w:t xml:space="preserve">inexistente</w:t>
      </w:r>
      <w:r w:rsidDel="00000000" w:rsidR="00000000" w:rsidRPr="00000000">
        <w:rPr>
          <w:rFonts w:ascii="Palatino Linotype" w:cs="Palatino Linotype" w:eastAsia="Palatino Linotype" w:hAnsi="Palatino Linotype"/>
          <w:rtl w:val="0"/>
        </w:rPr>
        <w:t xml:space="preserve">, por lo que, ante la negativa de acceso a la información o su inexistencia, el sujeto obligado deberá demostrar que se encuentra en alguna de las excepciones establecidas en la normatividad aplicable. </w:t>
      </w:r>
    </w:p>
    <w:p w:rsidR="00000000" w:rsidDel="00000000" w:rsidP="00000000" w:rsidRDefault="00000000" w:rsidRPr="00000000" w14:paraId="000000C1">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de acuerdo con Trujillo, Humberto (2019), en el “Diccionario de Transparencia y Acceso a la Información Pública” (p. 201), </w:t>
      </w:r>
      <w:r w:rsidDel="00000000" w:rsidR="00000000" w:rsidRPr="00000000">
        <w:rPr>
          <w:rFonts w:ascii="Palatino Linotype" w:cs="Palatino Linotype" w:eastAsia="Palatino Linotype" w:hAnsi="Palatino Linotype"/>
          <w:b w:val="1"/>
          <w:rtl w:val="0"/>
        </w:rPr>
        <w:t xml:space="preserve">la negativa de acceso a la información </w:t>
      </w:r>
      <w:r w:rsidDel="00000000" w:rsidR="00000000" w:rsidRPr="00000000">
        <w:rPr>
          <w:rFonts w:ascii="Palatino Linotype" w:cs="Palatino Linotype" w:eastAsia="Palatino Linotype" w:hAnsi="Palatino Linotype"/>
          <w:rtl w:val="0"/>
        </w:rPr>
        <w:t xml:space="preserve">ocurre cuando de manera fundada y motivada, una autoridad la niega o la limita, por alguna de las siguientes razones: </w:t>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inexistencia de la información (p. 171): Sucede cuando la información solicitada no se encuentra en los archivos públicos o clasificados de los entes sujetos a las Leyes de Transparencia.</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incompetencia del Sujeto Obligado (p. 171): </w:t>
      </w:r>
      <w:r w:rsidDel="00000000" w:rsidR="00000000" w:rsidRPr="00000000">
        <w:rPr>
          <w:rFonts w:ascii="Palatino Linotype" w:cs="Palatino Linotype" w:eastAsia="Palatino Linotype" w:hAnsi="Palatino Linotype"/>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360" w:lineRule="auto"/>
        <w:ind w:left="72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clasificación de la información (p. 70): </w:t>
      </w:r>
      <w:r w:rsidDel="00000000" w:rsidR="00000000" w:rsidRPr="00000000">
        <w:rPr>
          <w:rFonts w:ascii="Palatino Linotype" w:cs="Palatino Linotype" w:eastAsia="Palatino Linotype" w:hAnsi="Palatino Linotype"/>
          <w:rtl w:val="0"/>
        </w:rPr>
        <w:t xml:space="preserve">Es el proceso o conjunto de acciones que realizan los sujetos obligados para establecer que determinada información se encuentra en alguno de los supuestos de reserva o confidencialidad establecidos en la legislación en materia de transparencia.</w:t>
      </w: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es de señalar que las excepciones al derecho de acceso a la información consisten en que la documentación sea </w:t>
      </w:r>
      <w:r w:rsidDel="00000000" w:rsidR="00000000" w:rsidRPr="00000000">
        <w:rPr>
          <w:rFonts w:ascii="Palatino Linotype" w:cs="Palatino Linotype" w:eastAsia="Palatino Linotype" w:hAnsi="Palatino Linotype"/>
          <w:b w:val="1"/>
          <w:u w:val="single"/>
          <w:rtl w:val="0"/>
        </w:rPr>
        <w:t xml:space="preserve">inexistente</w:t>
      </w:r>
      <w:r w:rsidDel="00000000" w:rsidR="00000000" w:rsidRPr="00000000">
        <w:rPr>
          <w:rFonts w:ascii="Palatino Linotype" w:cs="Palatino Linotype" w:eastAsia="Palatino Linotype" w:hAnsi="Palatino Linotype"/>
          <w:rtl w:val="0"/>
        </w:rPr>
        <w:t xml:space="preserve">, se encuentre clasificada, o bien, el Sujeto Obligado sea incompetente para contar con esta; esto es, la negativa de acceso a la información </w:t>
      </w:r>
      <w:r w:rsidDel="00000000" w:rsidR="00000000" w:rsidRPr="00000000">
        <w:rPr>
          <w:rFonts w:ascii="Palatino Linotype" w:cs="Palatino Linotype" w:eastAsia="Palatino Linotype" w:hAnsi="Palatino Linotype"/>
          <w:b w:val="1"/>
          <w:u w:val="single"/>
          <w:rtl w:val="0"/>
        </w:rPr>
        <w:t xml:space="preserve">recae cuando la documentación no se encuentre en los archivos del sujeto obligado</w:t>
      </w:r>
      <w:r w:rsidDel="00000000" w:rsidR="00000000" w:rsidRPr="00000000">
        <w:rPr>
          <w:rFonts w:ascii="Palatino Linotype" w:cs="Palatino Linotype" w:eastAsia="Palatino Linotype" w:hAnsi="Palatino Linotype"/>
          <w:rtl w:val="0"/>
        </w:rPr>
        <w:t xml:space="preserve">, o bien exista, pero no pueda proporcionarse por contener datos confidenciales o reservados.</w:t>
      </w:r>
    </w:p>
    <w:p w:rsidR="00000000" w:rsidDel="00000000" w:rsidP="00000000" w:rsidRDefault="00000000" w:rsidRPr="00000000" w14:paraId="000000CB">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tabs>
          <w:tab w:val="left" w:leader="none" w:pos="7938"/>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el caso que ahora nos ocupa, se determina que la información es inexistente, debido a que, el Sujeto Obligado </w:t>
      </w:r>
      <w:r w:rsidDel="00000000" w:rsidR="00000000" w:rsidRPr="00000000">
        <w:rPr>
          <w:rFonts w:ascii="Palatino Linotype" w:cs="Palatino Linotype" w:eastAsia="Palatino Linotype" w:hAnsi="Palatino Linotype"/>
          <w:b w:val="1"/>
          <w:rtl w:val="0"/>
        </w:rPr>
        <w:t xml:space="preserve">debió haber generado y poseído el documento de la comprobación del gasto realizado por la adquisición de la barra de madera. </w:t>
      </w: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ind w:right="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es de destacar que las actas que sustenten la inexistencia de la información, deberán observar ciertas formalidades exigidas por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000000" w:rsidDel="00000000" w:rsidP="00000000" w:rsidRDefault="00000000" w:rsidRPr="00000000" w14:paraId="000000CF">
      <w:pPr>
        <w:spacing w:after="0" w:line="360" w:lineRule="auto"/>
        <w:ind w:left="567" w:right="567"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0">
      <w:pPr>
        <w:spacing w:after="0" w:line="276" w:lineRule="auto"/>
        <w:ind w:left="567" w:right="70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INEXISTENCIA, CONCEPTO DE, EN MATERIA DE TRANSPARENCIA</w:t>
      </w:r>
      <w:r w:rsidDel="00000000" w:rsidR="00000000" w:rsidRPr="00000000">
        <w:rPr>
          <w:rFonts w:ascii="Palatino Linotype" w:cs="Palatino Linotype" w:eastAsia="Palatino Linotype" w:hAnsi="Palatino Linotype"/>
          <w:i w:val="1"/>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0000" w:rsidDel="00000000" w:rsidP="00000000" w:rsidRDefault="00000000" w:rsidRPr="00000000" w14:paraId="000000D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2">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0000" w:rsidDel="00000000" w:rsidP="00000000" w:rsidRDefault="00000000" w:rsidRPr="00000000" w14:paraId="000000D3">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En los casos en que por las atribuciones conferidas al Sujeto Obligado éste debió generar, administrar o poseer la información, pero en incumplimiento a la normatividad respectiva no llevó a cabo ninguna de esas acciones.</w:t>
      </w:r>
    </w:p>
    <w:p w:rsidR="00000000" w:rsidDel="00000000" w:rsidP="00000000" w:rsidRDefault="00000000" w:rsidRPr="00000000" w14:paraId="000000D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0D6">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7">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8">
      <w:pPr>
        <w:spacing w:after="0" w:line="276" w:lineRule="auto"/>
        <w:ind w:left="567" w:right="567"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0004-11</w:t>
      </w:r>
    </w:p>
    <w:p w:rsidR="00000000" w:rsidDel="00000000" w:rsidP="00000000" w:rsidRDefault="00000000" w:rsidRPr="00000000" w14:paraId="000000D9">
      <w:pPr>
        <w:spacing w:after="0" w:line="276" w:lineRule="auto"/>
        <w:ind w:left="567" w:right="567"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A">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INEXISTENCIA. DECLARATORIA DE LA. ALCANCES Y PROCEDIMIENTOS</w:t>
      </w:r>
      <w:r w:rsidDel="00000000" w:rsidR="00000000" w:rsidRPr="00000000">
        <w:rPr>
          <w:rFonts w:ascii="Palatino Linotype" w:cs="Palatino Linotype" w:eastAsia="Palatino Linotype" w:hAnsi="Palatino Linotype"/>
          <w:i w:val="1"/>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0000" w:rsidDel="00000000" w:rsidP="00000000" w:rsidRDefault="00000000" w:rsidRPr="00000000" w14:paraId="000000DB">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C">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Bajo el entendido de que dicha búsqueda exhaustiva permitirá dos determinaciones:</w:t>
      </w:r>
    </w:p>
    <w:p w:rsidR="00000000" w:rsidDel="00000000" w:rsidP="00000000" w:rsidRDefault="00000000" w:rsidRPr="00000000" w14:paraId="000000DD">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E">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1ª) Que se localice la documentación que contenga la información solicitada y de ser así la información pueda entregarse al solicitante en la forma en que se encuentra disponible, o</w:t>
      </w:r>
    </w:p>
    <w:p w:rsidR="00000000" w:rsidDel="00000000" w:rsidP="00000000" w:rsidRDefault="00000000" w:rsidRPr="00000000" w14:paraId="000000DF">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0000" w:rsidDel="00000000" w:rsidP="00000000" w:rsidRDefault="00000000" w:rsidRPr="00000000" w14:paraId="000000E0">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0000" w:rsidDel="00000000" w:rsidP="00000000" w:rsidRDefault="00000000" w:rsidRPr="00000000" w14:paraId="000000E2">
      <w:pPr>
        <w:spacing w:after="0" w:line="276" w:lineRule="auto"/>
        <w:ind w:right="56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que, se colige que, el Comité de Transparencia deberá emitir el correspondiente Acuerdo de Inexistencia de la Información y notificarlo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47.</w:t>
      </w:r>
      <w:r w:rsidDel="00000000" w:rsidR="00000000" w:rsidRPr="00000000">
        <w:rPr>
          <w:rFonts w:ascii="Palatino Linotype" w:cs="Palatino Linotype" w:eastAsia="Palatino Linotype" w:hAnsi="Palatino Linotype"/>
          <w:i w:val="1"/>
          <w:rtl w:val="0"/>
        </w:rPr>
        <w:t xml:space="preserve"> El Comité de Transparencia será la autoridad máxima al interior del sujeto obligado en materia del derecho de acceso a la información.</w:t>
      </w:r>
    </w:p>
    <w:p w:rsidR="00000000" w:rsidDel="00000000" w:rsidP="00000000" w:rsidRDefault="00000000" w:rsidRPr="00000000" w14:paraId="000000EA">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B">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00000" w:rsidDel="00000000" w:rsidP="00000000" w:rsidRDefault="00000000" w:rsidRPr="00000000" w14:paraId="000000EC">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D">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Comité se reunirá en sesión ordinaria o extraordinaria las veces que estime necesario. El tipo de sesión se precisará en la convocatoria emitida.</w:t>
      </w:r>
    </w:p>
    <w:p w:rsidR="00000000" w:rsidDel="00000000" w:rsidP="00000000" w:rsidRDefault="00000000" w:rsidRPr="00000000" w14:paraId="000000EE">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F">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integrantes del Comité de Transparencia tendrán acceso a la información para determinar su clasificación, conforme a la normatividad aplicable previamente establecida por los sujetos obligados para el resguardo o salvaguarda de la información.</w:t>
      </w:r>
    </w:p>
    <w:p w:rsidR="00000000" w:rsidDel="00000000" w:rsidP="00000000" w:rsidRDefault="00000000" w:rsidRPr="00000000" w14:paraId="000000F0">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las sesiones y trabajos del Comité, podrán participar como invitados permanentes, los representantes de las áreas que decida el Comité, y contará con derecho de voz, pero no voto.</w:t>
      </w:r>
    </w:p>
    <w:p w:rsidR="00000000" w:rsidDel="00000000" w:rsidP="00000000" w:rsidRDefault="00000000" w:rsidRPr="00000000" w14:paraId="000000F2">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3">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unidades administrativas que propongan la reserva, confidencialidad o declaren la </w:t>
      </w:r>
      <w:r w:rsidDel="00000000" w:rsidR="00000000" w:rsidRPr="00000000">
        <w:rPr>
          <w:rFonts w:ascii="Palatino Linotype" w:cs="Palatino Linotype" w:eastAsia="Palatino Linotype" w:hAnsi="Palatino Linotype"/>
          <w:i w:val="1"/>
          <w:u w:val="single"/>
          <w:rtl w:val="0"/>
        </w:rPr>
        <w:t xml:space="preserve">inexistencia</w:t>
      </w:r>
      <w:r w:rsidDel="00000000" w:rsidR="00000000" w:rsidRPr="00000000">
        <w:rPr>
          <w:rFonts w:ascii="Palatino Linotype" w:cs="Palatino Linotype" w:eastAsia="Palatino Linotype" w:hAnsi="Palatino Linotype"/>
          <w:i w:val="1"/>
          <w:rtl w:val="0"/>
        </w:rPr>
        <w:t xml:space="preserve"> de información, acudirán a las sesiones de dicho Comité donde se discuta la propuesta correspondiente.”</w:t>
      </w:r>
    </w:p>
    <w:p w:rsidR="00000000" w:rsidDel="00000000" w:rsidP="00000000" w:rsidRDefault="00000000" w:rsidRPr="00000000" w14:paraId="000000F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0F6">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7">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Confirmar, modificar o revocar las determinaciones que en materia de ampliación del plazo de respuesta, clasificación de la información y </w:t>
      </w:r>
      <w:r w:rsidDel="00000000" w:rsidR="00000000" w:rsidRPr="00000000">
        <w:rPr>
          <w:rFonts w:ascii="Palatino Linotype" w:cs="Palatino Linotype" w:eastAsia="Palatino Linotype" w:hAnsi="Palatino Linotype"/>
          <w:i w:val="1"/>
          <w:u w:val="single"/>
          <w:rtl w:val="0"/>
        </w:rPr>
        <w:t xml:space="preserve">declaración de inexistencia </w:t>
      </w:r>
      <w:r w:rsidDel="00000000" w:rsidR="00000000" w:rsidRPr="00000000">
        <w:rPr>
          <w:rFonts w:ascii="Palatino Linotype" w:cs="Palatino Linotype" w:eastAsia="Palatino Linotype" w:hAnsi="Palatino Linotype"/>
          <w:i w:val="1"/>
          <w:rtl w:val="0"/>
        </w:rPr>
        <w:t xml:space="preserve">o de incompetencia realicen los titulares de las áreas de los sujetos obligados;</w:t>
      </w:r>
    </w:p>
    <w:p w:rsidR="00000000" w:rsidDel="00000000" w:rsidP="00000000" w:rsidRDefault="00000000" w:rsidRPr="00000000" w14:paraId="000000F8">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Dictaminar las declaratorias de inexistencia de la información que les remitan las unidades administrativas y resolver en consecuencia;</w:t>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acuerdo de inexistencia deberá apegarse a lo dispuesto por los artículos 169 y 170, de la Ley de la materia que ordenan: </w:t>
      </w:r>
    </w:p>
    <w:p w:rsidR="00000000" w:rsidDel="00000000" w:rsidP="00000000" w:rsidRDefault="00000000" w:rsidRPr="00000000" w14:paraId="000000FC">
      <w:pPr>
        <w:spacing w:after="0"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169.</w:t>
      </w:r>
      <w:r w:rsidDel="00000000" w:rsidR="00000000" w:rsidRPr="00000000">
        <w:rPr>
          <w:rFonts w:ascii="Palatino Linotype" w:cs="Palatino Linotype" w:eastAsia="Palatino Linotype" w:hAnsi="Palatino Linotype"/>
          <w:i w:val="1"/>
          <w:rtl w:val="0"/>
        </w:rPr>
        <w:t xml:space="preserve"> Cuando la información no se encuentre en los archivos del sujeto obligado, el Comité de Transparencia:</w:t>
      </w:r>
    </w:p>
    <w:p w:rsidR="00000000" w:rsidDel="00000000" w:rsidP="00000000" w:rsidRDefault="00000000" w:rsidRPr="00000000" w14:paraId="000000FE">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F">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Analizará el caso y tomará las medidas necesarias para localizar la información;</w:t>
      </w:r>
    </w:p>
    <w:p w:rsidR="00000000" w:rsidDel="00000000" w:rsidP="00000000" w:rsidRDefault="00000000" w:rsidRPr="00000000" w14:paraId="00000100">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1">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Expedirá una resolución que confirme la inexistencia del documento;</w:t>
      </w:r>
    </w:p>
    <w:p w:rsidR="00000000" w:rsidDel="00000000" w:rsidP="00000000" w:rsidRDefault="00000000" w:rsidRPr="00000000" w14:paraId="00000102">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3">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0000" w:rsidDel="00000000" w:rsidP="00000000" w:rsidRDefault="00000000" w:rsidRPr="00000000" w14:paraId="0000010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Notificará al órgano interno de control o equivalente del sujeto obligado quien, en su caso, deberá iniciar el procedimiento de responsabilidad administrativa que corresponda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6">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7">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Unidad de Transparencia deberá notificarlo al solicitante por escrito, en un plazo que no exceda de quince días hábiles contados a partir del día siguiente a la presentación de la solicitud.</w:t>
      </w:r>
    </w:p>
    <w:p w:rsidR="00000000" w:rsidDel="00000000" w:rsidP="00000000" w:rsidRDefault="00000000" w:rsidRPr="00000000" w14:paraId="00000108">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9">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10A">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B">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170.</w:t>
      </w:r>
      <w:r w:rsidDel="00000000" w:rsidR="00000000" w:rsidRPr="00000000">
        <w:rPr>
          <w:rFonts w:ascii="Palatino Linotype" w:cs="Palatino Linotype" w:eastAsia="Palatino Linotype" w:hAnsi="Palatino Linotype"/>
          <w:i w:val="1"/>
          <w:rtl w:val="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de conformidad con los </w:t>
      </w:r>
      <w:r w:rsidDel="00000000" w:rsidR="00000000" w:rsidRPr="00000000">
        <w:rPr>
          <w:rFonts w:ascii="Palatino Linotype" w:cs="Palatino Linotype" w:eastAsia="Palatino Linotype" w:hAnsi="Palatino Linotype"/>
          <w:b w:val="1"/>
          <w:rtl w:val="0"/>
        </w:rPr>
        <w:t xml:space="preserve">criterios 12/10 y 04/19</w:t>
      </w:r>
      <w:r w:rsidDel="00000000" w:rsidR="00000000" w:rsidRPr="00000000">
        <w:rPr>
          <w:rFonts w:ascii="Palatino Linotype" w:cs="Palatino Linotype" w:eastAsia="Palatino Linotype" w:hAnsi="Palatino Linotype"/>
          <w:rtl w:val="0"/>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numPr>
          <w:ilvl w:val="0"/>
          <w:numId w:val="5"/>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Motivación por las que se buscó la información, en determinadas unidades administrativas;</w:t>
      </w:r>
    </w:p>
    <w:p w:rsidR="00000000" w:rsidDel="00000000" w:rsidP="00000000" w:rsidRDefault="00000000" w:rsidRPr="00000000" w14:paraId="00000112">
      <w:pPr>
        <w:numPr>
          <w:ilvl w:val="0"/>
          <w:numId w:val="5"/>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criterios de búsqueda utilizados, y</w:t>
      </w:r>
    </w:p>
    <w:p w:rsidR="00000000" w:rsidDel="00000000" w:rsidP="00000000" w:rsidRDefault="00000000" w:rsidRPr="00000000" w14:paraId="00000113">
      <w:pPr>
        <w:numPr>
          <w:ilvl w:val="0"/>
          <w:numId w:val="5"/>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circunstancias que fueron tomadas en cuenta.</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360" w:lineRule="auto"/>
        <w:rPr/>
      </w:pPr>
      <w:r w:rsidDel="00000000" w:rsidR="00000000" w:rsidRPr="00000000">
        <w:rPr>
          <w:rtl w:val="0"/>
        </w:rPr>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para que los Sujetos Obligados justifiquen que realizaron una búsqueda exhaustiva y razonable, deben indicar de manera clara, lo siguiente:</w:t>
      </w:r>
    </w:p>
    <w:p w:rsidR="00000000" w:rsidDel="00000000" w:rsidP="00000000" w:rsidRDefault="00000000" w:rsidRPr="00000000" w14:paraId="0000011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numPr>
          <w:ilvl w:val="0"/>
          <w:numId w:val="6"/>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áreas donde se buscó la información;</w:t>
      </w:r>
    </w:p>
    <w:p w:rsidR="00000000" w:rsidDel="00000000" w:rsidP="00000000" w:rsidRDefault="00000000" w:rsidRPr="00000000" w14:paraId="00000118">
      <w:pPr>
        <w:numPr>
          <w:ilvl w:val="0"/>
          <w:numId w:val="6"/>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Tipo de archivos buscados (físicos o electrónicos);</w:t>
      </w:r>
    </w:p>
    <w:p w:rsidR="00000000" w:rsidDel="00000000" w:rsidP="00000000" w:rsidRDefault="00000000" w:rsidRPr="00000000" w14:paraId="00000119">
      <w:pPr>
        <w:numPr>
          <w:ilvl w:val="0"/>
          <w:numId w:val="6"/>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criterios de búsqueda utilizados, y </w:t>
      </w:r>
    </w:p>
    <w:p w:rsidR="00000000" w:rsidDel="00000000" w:rsidP="00000000" w:rsidRDefault="00000000" w:rsidRPr="00000000" w14:paraId="0000011A">
      <w:pPr>
        <w:numPr>
          <w:ilvl w:val="0"/>
          <w:numId w:val="6"/>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circunstancias que fueron tomadas en cuenta.</w:t>
      </w:r>
    </w:p>
    <w:p w:rsidR="00000000" w:rsidDel="00000000" w:rsidP="00000000" w:rsidRDefault="00000000" w:rsidRPr="00000000" w14:paraId="0000011B">
      <w:pPr>
        <w:spacing w:after="0"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para el presente caso debido a que el Sujeto Obligado mencionó que no encontró el documento comprobatorio del gasto realizado por la adquisición de la barra de madera y, se determinó que esto era inexistente en sus archivos; deberá declarar formalmente la inexistencia de la información requerida a través de su Comité de Transparencia en términos de los artículos 19, 49, fracciones II y XIII, 169 y 170 de la Ley de Transparencia y Acceso a la Información Pública del Estado de México y Municipios. </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00754/INFOEM/IP/RR/2025</w:t>
      </w:r>
      <w:r w:rsidDel="00000000" w:rsidR="00000000" w:rsidRPr="00000000">
        <w:rPr>
          <w:rFonts w:ascii="Palatino Linotype" w:cs="Palatino Linotype" w:eastAsia="Palatino Linotype" w:hAnsi="Palatino Linotype"/>
          <w:rtl w:val="0"/>
        </w:rPr>
        <w:t xml:space="preserve">, por lo que se </w:t>
      </w:r>
      <w:r w:rsidDel="00000000" w:rsidR="00000000" w:rsidRPr="00000000">
        <w:rPr>
          <w:rFonts w:ascii="Palatino Linotype" w:cs="Palatino Linotype" w:eastAsia="Palatino Linotype" w:hAnsi="Palatino Linotype"/>
          <w:b w:val="1"/>
          <w:rtl w:val="0"/>
        </w:rPr>
        <w:t xml:space="preserve">MODIFICA l</w:t>
      </w:r>
      <w:r w:rsidDel="00000000" w:rsidR="00000000" w:rsidRPr="00000000">
        <w:rPr>
          <w:rFonts w:ascii="Palatino Linotype" w:cs="Palatino Linotype" w:eastAsia="Palatino Linotype" w:hAnsi="Palatino Linotype"/>
          <w:rtl w:val="0"/>
        </w:rPr>
        <w:t xml:space="preserve">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se determina </w:t>
      </w:r>
      <w:r w:rsidDel="00000000" w:rsidR="00000000" w:rsidRPr="00000000">
        <w:rPr>
          <w:rFonts w:ascii="Palatino Linotype" w:cs="Palatino Linotype" w:eastAsia="Palatino Linotype" w:hAnsi="Palatino Linotype"/>
          <w:b w:val="1"/>
          <w:rtl w:val="0"/>
        </w:rPr>
        <w:t xml:space="preserve">ORDENAR </w:t>
      </w:r>
      <w:r w:rsidDel="00000000" w:rsidR="00000000" w:rsidRPr="00000000">
        <w:rPr>
          <w:rFonts w:ascii="Palatino Linotype" w:cs="Palatino Linotype" w:eastAsia="Palatino Linotype" w:hAnsi="Palatino Linotype"/>
          <w:rtl w:val="0"/>
        </w:rPr>
        <w:t xml:space="preserve">vía Sistema de Acceso a la Información Mexiquense, lo siguiente: </w:t>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que emita el Comité de Transparencia mediante el que se declare formalmente la inexistencia del documento comprobatorio del gasto realizado por la adquisición de la barra de madera referida en la solicitud de información, en términos de los artículos 19, 49, fracciones II y XIII, 169 y 170 de la Ley de Transparencia y Acceso a la Información Pública del Estado de México y Municipios y;</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00754/INFOEM/IP/RR/2025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00039/ACAMBAY/IP/2025. </w:t>
      </w:r>
      <w:r w:rsidDel="00000000" w:rsidR="00000000" w:rsidRPr="00000000">
        <w:rPr>
          <w:rtl w:val="0"/>
        </w:rPr>
      </w:r>
    </w:p>
    <w:p w:rsidR="00000000" w:rsidDel="00000000" w:rsidP="00000000" w:rsidRDefault="00000000" w:rsidRPr="00000000" w14:paraId="0000012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27">
      <w:pPr>
        <w:spacing w:after="0" w:line="360" w:lineRule="auto"/>
        <w:ind w:left="360" w:firstLine="0"/>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00754/INFOEM/IP/RR/2025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haga entrega, de lo siguiente:</w:t>
      </w:r>
    </w:p>
    <w:p w:rsidR="00000000" w:rsidDel="00000000" w:rsidP="00000000" w:rsidRDefault="00000000" w:rsidRPr="00000000" w14:paraId="000001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Acuerdo que emita el Comité de Transparencia mediante el que se declare formalmente la inexistencia del documento comprobatorio del gasto realizado por la adquisición de la barra de madera referida en la solicitud de información, en términos de los artículos 19, 49, fracciones II y XIII, 169 y 170 de la Ley de Transparencia y Acceso a la Información Pública del Estado de México y Municipios y;</w:t>
      </w:r>
    </w:p>
    <w:p w:rsidR="00000000" w:rsidDel="00000000" w:rsidP="00000000" w:rsidRDefault="00000000" w:rsidRPr="00000000" w14:paraId="0000012D">
      <w:pPr>
        <w:ind w:left="567" w:right="61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 159 y 160 de la Ley General de Transparencia y Acceso a la Información Pública.</w:t>
      </w:r>
    </w:p>
    <w:p w:rsidR="00000000" w:rsidDel="00000000" w:rsidP="00000000" w:rsidRDefault="00000000" w:rsidRPr="00000000" w14:paraId="0000013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3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DOCE DE MARZO DE DOS MIL VEINTICINCO, ANTE EL SECRETARIO TÉCNICO DEL PLENO ALEXIS TAPIA RAMÍREZ. </w:t>
      </w:r>
    </w:p>
    <w:p w:rsidR="00000000" w:rsidDel="00000000" w:rsidP="00000000" w:rsidRDefault="00000000" w:rsidRPr="00000000" w14:paraId="0000013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-774698</wp:posOffset>
          </wp:positionH>
          <wp:positionV relativeFrom="paragraph">
            <wp:posOffset>-345438</wp:posOffset>
          </wp:positionV>
          <wp:extent cx="7809876" cy="10165823"/>
          <wp:effectExtent b="0" l="0" r="0" t="0"/>
          <wp:wrapNone/>
          <wp:docPr id="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00754/INFOEM/IP/RR/2025</w:t>
          </w:r>
        </w:p>
      </w:tc>
    </w:tr>
    <w:tr>
      <w:trPr>
        <w:cantSplit w:val="0"/>
        <w:trHeight w:val="643" w:hRule="atLeast"/>
        <w:tblHeader w:val="0"/>
      </w:trPr>
      <w:tc>
        <w:tcP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Acambay</w:t>
          </w:r>
        </w:p>
      </w:tc>
    </w:tr>
    <w:tr>
      <w:trPr>
        <w:cantSplit w:val="0"/>
        <w:tblHeader w:val="0"/>
      </w:trPr>
      <w:tc>
        <w:tcP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-760657</wp:posOffset>
          </wp:positionH>
          <wp:positionV relativeFrom="paragraph">
            <wp:posOffset>6985</wp:posOffset>
          </wp:positionV>
          <wp:extent cx="7809876" cy="10165823"/>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00754/INFOEM/IP/RR/2025</w:t>
          </w:r>
        </w:p>
      </w:tc>
    </w:tr>
    <w:tr>
      <w:trPr>
        <w:cantSplit w:val="0"/>
        <w:tblHeader w:val="0"/>
      </w:trPr>
      <w:tc>
        <w:tcP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w:t>
          </w:r>
        </w:p>
      </w:tc>
    </w:tr>
    <w:tr>
      <w:trPr>
        <w:cantSplit w:val="0"/>
        <w:trHeight w:val="743" w:hRule="atLeast"/>
        <w:tblHeader w:val="0"/>
      </w:trPr>
      <w:tc>
        <w:tcPr>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Acambay</w:t>
          </w:r>
        </w:p>
      </w:tc>
    </w:tr>
    <w:tr>
      <w:trPr>
        <w:cantSplit w:val="0"/>
        <w:tblHeader w:val="0"/>
      </w:trPr>
      <w:tc>
        <w:tcP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4"/>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5.0" w:type="dxa"/>
        <w:left w:w="15.0" w:type="dxa"/>
        <w:bottom w:w="15.0" w:type="dxa"/>
        <w:right w:w="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top w:w="15.0" w:type="dxa"/>
        <w:left w:w="115.0" w:type="dxa"/>
        <w:bottom w:w="15.0" w:type="dxa"/>
        <w:right w:w="115.0" w:type="dxa"/>
      </w:tblCellMar>
    </w:tblPr>
  </w:style>
  <w:style w:type="table" w:styleId="a3" w:customStyle="1">
    <w:basedOn w:val="TableNormal1"/>
    <w:tblPr>
      <w:tblStyleRowBandSize w:val="1"/>
      <w:tblStyleColBandSize w:val="1"/>
      <w:tblCellMar>
        <w:top w:w="15.0" w:type="dxa"/>
        <w:left w:w="115.0" w:type="dxa"/>
        <w:bottom w:w="15.0" w:type="dxa"/>
        <w:right w:w="115.0" w:type="dxa"/>
      </w:tblCellMar>
    </w:tblPr>
  </w:style>
  <w:style w:type="table" w:styleId="a4" w:customStyle="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a5" w:customStyle="1">
    <w:basedOn w:val="TableNormal0"/>
    <w:tblPr>
      <w:tblStyleRowBandSize w:val="1"/>
      <w:tblStyleColBandSize w:val="1"/>
      <w:tblCellMar>
        <w:top w:w="15.0" w:type="dxa"/>
        <w:left w:w="115.0" w:type="dxa"/>
        <w:bottom w:w="15.0" w:type="dxa"/>
        <w:right w:w="115.0" w:type="dxa"/>
      </w:tblCellMar>
    </w:tblPr>
  </w:style>
  <w:style w:type="table" w:styleId="a6"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twpOE76yXfHjdPgGZjk/MTnFw==">CgMxLjAyCWguMzBqMHpsbDIJaC4xZm9iOXRlOAByITFHRUptS3h5U2JubS04b0R4cnhCcW41VzltZVV4a3ktaA==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2025-04-01T18:07:00Z</dcterms:created>
  <dc:creator>Cuenta Microsoft</dc:creator>
</cp:coreProperties>
</file>