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0763105" w:rsidR="00A970D5" w:rsidRPr="003727F3" w:rsidRDefault="00A970D5" w:rsidP="009950AD">
      <w:pPr>
        <w:pStyle w:val="NormalINFOEM"/>
      </w:pPr>
      <w:r w:rsidRPr="003727F3">
        <w:t>Resolución del Pleno del Instituto de Transparencia, Acceso a la Información Pública y Protección de Datos Personales del Estado de México</w:t>
      </w:r>
      <w:r w:rsidR="00FD2A3F" w:rsidRPr="003727F3">
        <w:t xml:space="preserve"> </w:t>
      </w:r>
      <w:r w:rsidRPr="003727F3">
        <w:t xml:space="preserve">y Municipios, con domicilio en Metepec, Estado de </w:t>
      </w:r>
      <w:r w:rsidR="008B2951" w:rsidRPr="003727F3">
        <w:t xml:space="preserve">México, </w:t>
      </w:r>
      <w:r w:rsidR="000D2E93" w:rsidRPr="003727F3">
        <w:t>a</w:t>
      </w:r>
      <w:r w:rsidR="0011108B" w:rsidRPr="003727F3">
        <w:t xml:space="preserve"> </w:t>
      </w:r>
      <w:r w:rsidR="002E5C39" w:rsidRPr="003727F3">
        <w:t>quince</w:t>
      </w:r>
      <w:r w:rsidR="00E81978" w:rsidRPr="003727F3">
        <w:t xml:space="preserve"> de octubre</w:t>
      </w:r>
      <w:r w:rsidR="00FF3E42" w:rsidRPr="003727F3">
        <w:t xml:space="preserve"> de dos mil veinticinco</w:t>
      </w:r>
      <w:r w:rsidR="0011108B" w:rsidRPr="003727F3">
        <w:t>.</w:t>
      </w:r>
    </w:p>
    <w:p w14:paraId="60399B74"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5D1A9B88" w:rsidR="00A970D5" w:rsidRPr="003727F3" w:rsidRDefault="70652167" w:rsidP="70652167">
      <w:pPr>
        <w:pBdr>
          <w:top w:val="nil"/>
          <w:left w:val="nil"/>
          <w:bottom w:val="nil"/>
          <w:right w:val="nil"/>
          <w:between w:val="nil"/>
        </w:pBdr>
        <w:contextualSpacing/>
        <w:rPr>
          <w:rFonts w:eastAsia="Palatino Linotype" w:cs="Palatino Linotype"/>
          <w:b/>
          <w:bCs/>
          <w:color w:val="000000"/>
          <w:lang w:val="es-ES"/>
        </w:rPr>
      </w:pPr>
      <w:r w:rsidRPr="003727F3">
        <w:rPr>
          <w:rFonts w:eastAsia="Palatino Linotype" w:cs="Palatino Linotype"/>
          <w:b/>
          <w:bCs/>
          <w:color w:val="000000" w:themeColor="text1"/>
          <w:lang w:val="es-ES"/>
        </w:rPr>
        <w:t>VISTO</w:t>
      </w:r>
      <w:r w:rsidRPr="003727F3">
        <w:rPr>
          <w:rFonts w:eastAsia="Palatino Linotype" w:cs="Palatino Linotype"/>
          <w:color w:val="000000" w:themeColor="text1"/>
          <w:lang w:val="es-ES"/>
        </w:rPr>
        <w:t xml:space="preserve"> el expediente electrónico formado con motivo del recurso de revisión número </w:t>
      </w:r>
      <w:bookmarkStart w:id="0" w:name="_GoBack"/>
      <w:r w:rsidR="008321FD" w:rsidRPr="003727F3">
        <w:rPr>
          <w:rFonts w:eastAsia="Palatino Linotype" w:cs="Palatino Linotype"/>
          <w:b/>
          <w:bCs/>
          <w:color w:val="000000" w:themeColor="text1"/>
          <w:lang w:val="es-ES"/>
        </w:rPr>
        <w:t>0</w:t>
      </w:r>
      <w:r w:rsidR="004361B9" w:rsidRPr="003727F3">
        <w:rPr>
          <w:rFonts w:eastAsia="Palatino Linotype" w:cs="Palatino Linotype"/>
          <w:b/>
          <w:bCs/>
          <w:color w:val="000000" w:themeColor="text1"/>
          <w:lang w:val="es-ES"/>
        </w:rPr>
        <w:t>8635/</w:t>
      </w:r>
      <w:r w:rsidR="008321FD" w:rsidRPr="003727F3">
        <w:rPr>
          <w:rFonts w:eastAsia="Palatino Linotype" w:cs="Palatino Linotype"/>
          <w:b/>
          <w:bCs/>
          <w:color w:val="000000" w:themeColor="text1"/>
          <w:lang w:val="es-ES"/>
        </w:rPr>
        <w:t>INFOEM/IP/RR/2025</w:t>
      </w:r>
      <w:bookmarkEnd w:id="0"/>
      <w:r w:rsidRPr="003727F3">
        <w:rPr>
          <w:rFonts w:eastAsia="Palatino Linotype" w:cs="Palatino Linotype"/>
          <w:color w:val="000000" w:themeColor="text1"/>
          <w:lang w:val="es-ES"/>
        </w:rPr>
        <w:t xml:space="preserve">, interpuesto por </w:t>
      </w:r>
      <w:r w:rsidR="004361B9" w:rsidRPr="003727F3">
        <w:rPr>
          <w:rFonts w:eastAsia="Palatino Linotype" w:cs="Palatino Linotype"/>
          <w:b/>
          <w:bCs/>
          <w:color w:val="000000" w:themeColor="text1"/>
          <w:lang w:val="es-ES"/>
        </w:rPr>
        <w:t>persona que no señala nombre o seudónimo</w:t>
      </w:r>
      <w:r w:rsidR="00E97C2F" w:rsidRPr="003727F3">
        <w:rPr>
          <w:rFonts w:eastAsia="Palatino Linotype" w:cs="Palatino Linotype"/>
          <w:color w:val="000000" w:themeColor="text1"/>
          <w:lang w:val="es-ES"/>
        </w:rPr>
        <w:t>, en lo su</w:t>
      </w:r>
      <w:r w:rsidR="00771E23" w:rsidRPr="003727F3">
        <w:rPr>
          <w:rFonts w:eastAsia="Palatino Linotype" w:cs="Palatino Linotype"/>
          <w:color w:val="000000" w:themeColor="text1"/>
          <w:lang w:val="es-ES"/>
        </w:rPr>
        <w:t>cesivo el</w:t>
      </w:r>
      <w:r w:rsidRPr="003727F3">
        <w:rPr>
          <w:rFonts w:eastAsia="Palatino Linotype" w:cs="Palatino Linotype"/>
          <w:color w:val="000000" w:themeColor="text1"/>
          <w:lang w:val="es-ES"/>
        </w:rPr>
        <w:t xml:space="preserve"> </w:t>
      </w:r>
      <w:r w:rsidRPr="003727F3">
        <w:rPr>
          <w:rFonts w:eastAsia="Palatino Linotype" w:cs="Palatino Linotype"/>
          <w:b/>
          <w:bCs/>
          <w:color w:val="000000" w:themeColor="text1"/>
          <w:lang w:val="es-ES"/>
        </w:rPr>
        <w:t>Recurrente</w:t>
      </w:r>
      <w:r w:rsidRPr="003727F3">
        <w:rPr>
          <w:rFonts w:eastAsia="Palatino Linotype" w:cs="Palatino Linotype"/>
          <w:color w:val="000000" w:themeColor="text1"/>
          <w:lang w:val="es-ES"/>
        </w:rPr>
        <w:t>, en contra de la respuesta de</w:t>
      </w:r>
      <w:r w:rsidR="00E24F05" w:rsidRPr="003727F3">
        <w:rPr>
          <w:rFonts w:eastAsia="Palatino Linotype" w:cs="Palatino Linotype"/>
          <w:color w:val="000000" w:themeColor="text1"/>
          <w:lang w:val="es-ES"/>
        </w:rPr>
        <w:t>l</w:t>
      </w:r>
      <w:r w:rsidRPr="003727F3">
        <w:rPr>
          <w:rFonts w:eastAsia="Palatino Linotype" w:cs="Palatino Linotype"/>
          <w:color w:val="000000" w:themeColor="text1"/>
          <w:lang w:val="es-ES"/>
        </w:rPr>
        <w:t xml:space="preserve"> </w:t>
      </w:r>
      <w:r w:rsidR="004361B9" w:rsidRPr="003727F3">
        <w:rPr>
          <w:rFonts w:eastAsia="Palatino Linotype" w:cs="Palatino Linotype"/>
          <w:b/>
          <w:bCs/>
          <w:color w:val="000000" w:themeColor="text1"/>
          <w:lang w:val="es-ES"/>
        </w:rPr>
        <w:t>Ayuntamiento de Chapultepec</w:t>
      </w:r>
      <w:r w:rsidR="00771E23" w:rsidRPr="003727F3">
        <w:rPr>
          <w:rFonts w:eastAsia="Palatino Linotype" w:cs="Palatino Linotype"/>
          <w:b/>
          <w:bCs/>
          <w:color w:val="000000" w:themeColor="text1"/>
          <w:lang w:val="es-ES"/>
        </w:rPr>
        <w:t>,</w:t>
      </w:r>
      <w:r w:rsidR="00920835" w:rsidRPr="003727F3">
        <w:rPr>
          <w:rFonts w:eastAsia="Palatino Linotype" w:cs="Palatino Linotype"/>
          <w:b/>
          <w:bCs/>
          <w:color w:val="000000" w:themeColor="text1"/>
          <w:lang w:val="es-ES"/>
        </w:rPr>
        <w:t xml:space="preserve"> </w:t>
      </w:r>
      <w:r w:rsidRPr="003727F3">
        <w:rPr>
          <w:rFonts w:eastAsia="Palatino Linotype" w:cs="Palatino Linotype"/>
          <w:color w:val="000000" w:themeColor="text1"/>
          <w:lang w:val="es-ES"/>
        </w:rPr>
        <w:t>en lo subsecuente</w:t>
      </w:r>
      <w:r w:rsidRPr="003727F3">
        <w:rPr>
          <w:rFonts w:eastAsia="Palatino Linotype" w:cs="Palatino Linotype"/>
          <w:b/>
          <w:bCs/>
          <w:color w:val="000000" w:themeColor="text1"/>
          <w:lang w:val="es-ES"/>
        </w:rPr>
        <w:t xml:space="preserve"> </w:t>
      </w:r>
      <w:r w:rsidRPr="003727F3">
        <w:rPr>
          <w:rFonts w:eastAsia="Palatino Linotype" w:cs="Palatino Linotype"/>
          <w:color w:val="000000" w:themeColor="text1"/>
          <w:lang w:val="es-ES"/>
        </w:rPr>
        <w:t>el</w:t>
      </w:r>
      <w:r w:rsidRPr="003727F3">
        <w:rPr>
          <w:rFonts w:eastAsia="Palatino Linotype" w:cs="Palatino Linotype"/>
          <w:b/>
          <w:bCs/>
          <w:color w:val="000000" w:themeColor="text1"/>
          <w:lang w:val="es-ES"/>
        </w:rPr>
        <w:t xml:space="preserve"> Sujeto Obligado, </w:t>
      </w:r>
      <w:r w:rsidRPr="003727F3">
        <w:rPr>
          <w:rFonts w:eastAsia="Palatino Linotype" w:cs="Palatino Linotype"/>
          <w:color w:val="000000" w:themeColor="text1"/>
          <w:lang w:val="es-ES"/>
        </w:rPr>
        <w:t>se procede a dictar la presente resolución.</w:t>
      </w:r>
    </w:p>
    <w:p w14:paraId="2E2053C2"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3727F3" w:rsidRDefault="00A970D5" w:rsidP="006922F5">
      <w:pPr>
        <w:pStyle w:val="Ttulo1"/>
        <w:rPr>
          <w:rFonts w:eastAsia="Palatino Linotype"/>
          <w:lang w:val="es-ES_tradnl"/>
        </w:rPr>
      </w:pPr>
      <w:r w:rsidRPr="003727F3">
        <w:rPr>
          <w:rFonts w:eastAsia="Palatino Linotype"/>
          <w:lang w:val="es-ES_tradnl"/>
        </w:rPr>
        <w:t>A N T E C E D E N T E S</w:t>
      </w:r>
    </w:p>
    <w:p w14:paraId="32F88820"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3727F3" w:rsidRDefault="00A970D5" w:rsidP="006922F5">
      <w:pPr>
        <w:pStyle w:val="Ttulo2"/>
        <w:rPr>
          <w:rFonts w:eastAsia="Palatino Linotype"/>
        </w:rPr>
      </w:pPr>
      <w:r w:rsidRPr="003727F3">
        <w:rPr>
          <w:rFonts w:eastAsia="Palatino Linotype"/>
        </w:rPr>
        <w:t xml:space="preserve">PRIMERO. De la </w:t>
      </w:r>
      <w:r w:rsidR="00A24D3F" w:rsidRPr="003727F3">
        <w:rPr>
          <w:rFonts w:eastAsia="Palatino Linotype"/>
        </w:rPr>
        <w:t>s</w:t>
      </w:r>
      <w:r w:rsidRPr="003727F3">
        <w:rPr>
          <w:rFonts w:eastAsia="Palatino Linotype"/>
        </w:rPr>
        <w:t xml:space="preserve">olicitud de </w:t>
      </w:r>
      <w:r w:rsidR="00A24D3F" w:rsidRPr="003727F3">
        <w:rPr>
          <w:rFonts w:eastAsia="Palatino Linotype"/>
        </w:rPr>
        <w:t>i</w:t>
      </w:r>
      <w:r w:rsidRPr="003727F3">
        <w:rPr>
          <w:rFonts w:eastAsia="Palatino Linotype"/>
        </w:rPr>
        <w:t>nformación.</w:t>
      </w:r>
    </w:p>
    <w:p w14:paraId="0870C154" w14:textId="3BE1875C" w:rsidR="00A970D5" w:rsidRPr="003727F3" w:rsidRDefault="00E74136" w:rsidP="006922F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 xml:space="preserve">Con fecha </w:t>
      </w:r>
      <w:r w:rsidR="004361B9" w:rsidRPr="003727F3">
        <w:rPr>
          <w:rFonts w:eastAsia="Palatino Linotype" w:cs="Palatino Linotype"/>
          <w:color w:val="000000"/>
          <w:szCs w:val="24"/>
        </w:rPr>
        <w:t>veintidós de junio</w:t>
      </w:r>
      <w:r w:rsidR="00EC684C" w:rsidRPr="003727F3">
        <w:rPr>
          <w:rFonts w:eastAsia="Palatino Linotype" w:cs="Palatino Linotype"/>
          <w:color w:val="000000"/>
          <w:szCs w:val="24"/>
        </w:rPr>
        <w:t xml:space="preserve"> de dos mil veinticinco</w:t>
      </w:r>
      <w:r w:rsidRPr="003727F3">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3727F3">
        <w:rPr>
          <w:rFonts w:eastAsia="Palatino Linotype" w:cs="Palatino Linotype"/>
          <w:b/>
          <w:bCs/>
          <w:color w:val="000000"/>
          <w:szCs w:val="24"/>
        </w:rPr>
        <w:t xml:space="preserve"> </w:t>
      </w:r>
      <w:r w:rsidR="004361B9" w:rsidRPr="003727F3">
        <w:rPr>
          <w:rFonts w:eastAsia="Palatino Linotype" w:cs="Palatino Linotype"/>
          <w:b/>
          <w:bCs/>
          <w:color w:val="000000"/>
          <w:szCs w:val="24"/>
        </w:rPr>
        <w:t>00062/CHAPULTE/IP/2025</w:t>
      </w:r>
      <w:r w:rsidR="00A970D5" w:rsidRPr="003727F3">
        <w:rPr>
          <w:rFonts w:eastAsia="Palatino Linotype" w:cs="Palatino Linotype"/>
          <w:color w:val="000000"/>
          <w:szCs w:val="24"/>
        </w:rPr>
        <w:t>,</w:t>
      </w:r>
      <w:r w:rsidR="000B1468" w:rsidRPr="003727F3">
        <w:rPr>
          <w:rFonts w:eastAsia="Palatino Linotype" w:cs="Palatino Linotype"/>
          <w:color w:val="000000"/>
          <w:szCs w:val="24"/>
        </w:rPr>
        <w:t xml:space="preserve"> no obstante se tiene por ingresada el día veintitrés del mismo mes y año, por corresponder al día hábil inmediato posterior,</w:t>
      </w:r>
      <w:r w:rsidR="00A970D5" w:rsidRPr="003727F3">
        <w:rPr>
          <w:rFonts w:eastAsia="Palatino Linotype" w:cs="Palatino Linotype"/>
          <w:b/>
          <w:color w:val="000000"/>
          <w:szCs w:val="24"/>
        </w:rPr>
        <w:t xml:space="preserve"> </w:t>
      </w:r>
      <w:r w:rsidRPr="003727F3">
        <w:rPr>
          <w:rFonts w:eastAsia="Palatino Linotype" w:cs="Palatino Linotype"/>
          <w:color w:val="000000"/>
          <w:szCs w:val="24"/>
        </w:rPr>
        <w:t>mediante la cual solicitó información en el tenor siguiente</w:t>
      </w:r>
      <w:r w:rsidR="00A970D5" w:rsidRPr="003727F3">
        <w:rPr>
          <w:rFonts w:eastAsia="Palatino Linotype" w:cs="Palatino Linotype"/>
          <w:color w:val="000000"/>
          <w:szCs w:val="24"/>
        </w:rPr>
        <w:t>:</w:t>
      </w:r>
    </w:p>
    <w:p w14:paraId="68B56D82"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D9A3DF0" w:rsidR="00A970D5" w:rsidRPr="003727F3" w:rsidRDefault="70652167" w:rsidP="00E74136">
      <w:pPr>
        <w:pStyle w:val="Fundamentos"/>
      </w:pPr>
      <w:r w:rsidRPr="003727F3">
        <w:rPr>
          <w:lang w:val="es-ES"/>
        </w:rPr>
        <w:t>«</w:t>
      </w:r>
      <w:r w:rsidR="004361B9" w:rsidRPr="003727F3">
        <w:rPr>
          <w:lang w:val="es-ES"/>
        </w:rPr>
        <w:t xml:space="preserve">me permito solicitar de manera respetuosa la entrega de la siguiente información contable, correspondiente a los ejercicios fiscales del año 2019 al año 2024, así como a los primeros cinco meses del año 2025, en formato impreso y/o digital: </w:t>
      </w:r>
      <w:r w:rsidR="004361B9" w:rsidRPr="003727F3">
        <w:rPr>
          <w:rFonts w:ascii="Segoe UI Symbol" w:hAnsi="Segoe UI Symbol" w:cs="Segoe UI Symbol"/>
          <w:lang w:val="es-ES"/>
        </w:rPr>
        <w:t>🔹</w:t>
      </w:r>
      <w:r w:rsidR="004361B9" w:rsidRPr="003727F3">
        <w:rPr>
          <w:lang w:val="es-ES"/>
        </w:rPr>
        <w:t xml:space="preserve"> Estados de Posición Financiera (Balance General): Enero 2019 Diciembre 2019 Enero 2020 Diciembre 2020 Enero 2021 Diciembre 2021 Enero 2022 Diciembre 2022 Enero 2023 Diciembre 2023 Enero 2024 Diciembre 2024 Enero 2025 Febrero 2025 Marzo 2025 Abril 2025 Mayo 2025 Dicha documentación será utilizada para fines de análisis técnico, cumplimiento normativo y seguimiento administrativo. Agradezco de antemano la atención prestada a esta solicitud y quedo atento a cualquier obs</w:t>
      </w:r>
      <w:r w:rsidR="000B1468" w:rsidRPr="003727F3">
        <w:rPr>
          <w:lang w:val="es-ES"/>
        </w:rPr>
        <w:t>ervación o aclaración adicional</w:t>
      </w:r>
      <w:r w:rsidRPr="003727F3">
        <w:rPr>
          <w:lang w:val="es-ES"/>
        </w:rPr>
        <w:t>» (Sic)</w:t>
      </w:r>
    </w:p>
    <w:p w14:paraId="40BBECCB"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727F3" w:rsidRDefault="00A970D5" w:rsidP="006922F5">
      <w:pPr>
        <w:pBdr>
          <w:top w:val="nil"/>
          <w:left w:val="nil"/>
          <w:bottom w:val="nil"/>
          <w:right w:val="nil"/>
          <w:between w:val="nil"/>
        </w:pBdr>
        <w:contextualSpacing/>
        <w:rPr>
          <w:rFonts w:eastAsia="Palatino Linotype" w:cs="Palatino Linotype"/>
          <w:b/>
          <w:color w:val="000000"/>
          <w:szCs w:val="24"/>
        </w:rPr>
      </w:pPr>
      <w:r w:rsidRPr="003727F3">
        <w:rPr>
          <w:rFonts w:eastAsia="Palatino Linotype" w:cs="Palatino Linotype"/>
          <w:color w:val="000000"/>
          <w:szCs w:val="24"/>
        </w:rPr>
        <w:t xml:space="preserve">Modalidad de entrega: </w:t>
      </w:r>
      <w:r w:rsidR="004A6F01" w:rsidRPr="003727F3">
        <w:rPr>
          <w:rFonts w:eastAsia="Palatino Linotype" w:cs="Palatino Linotype"/>
          <w:b/>
          <w:color w:val="000000"/>
          <w:szCs w:val="24"/>
        </w:rPr>
        <w:t>A través del SAIMEX</w:t>
      </w:r>
    </w:p>
    <w:p w14:paraId="1063B60E" w14:textId="77777777" w:rsidR="007B7C73" w:rsidRPr="003727F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021876B5" w:rsidR="00A970D5" w:rsidRPr="003727F3" w:rsidRDefault="00E74136" w:rsidP="006922F5">
      <w:pPr>
        <w:pStyle w:val="Ttulo2"/>
        <w:rPr>
          <w:rFonts w:eastAsia="Palatino Linotype"/>
        </w:rPr>
      </w:pPr>
      <w:r w:rsidRPr="003727F3">
        <w:rPr>
          <w:rFonts w:eastAsia="Palatino Linotype"/>
        </w:rPr>
        <w:t>SEGUNDO</w:t>
      </w:r>
      <w:r w:rsidR="00A970D5" w:rsidRPr="003727F3">
        <w:rPr>
          <w:rFonts w:eastAsia="Palatino Linotype"/>
        </w:rPr>
        <w:t>. De la respuesta del Sujeto Obligado.</w:t>
      </w:r>
    </w:p>
    <w:p w14:paraId="2EE6F294" w14:textId="3B339038"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De las constancias que obran en el expediente electrónico, se observa qu</w:t>
      </w:r>
      <w:r w:rsidR="008B2951" w:rsidRPr="003727F3">
        <w:rPr>
          <w:rFonts w:eastAsia="Palatino Linotype" w:cs="Palatino Linotype"/>
          <w:color w:val="000000"/>
          <w:szCs w:val="24"/>
        </w:rPr>
        <w:t>e el día</w:t>
      </w:r>
      <w:r w:rsidR="004A3367" w:rsidRPr="003727F3">
        <w:rPr>
          <w:rFonts w:eastAsia="Palatino Linotype" w:cs="Palatino Linotype"/>
          <w:color w:val="000000"/>
          <w:szCs w:val="24"/>
        </w:rPr>
        <w:t xml:space="preserve"> </w:t>
      </w:r>
      <w:r w:rsidR="000B1468" w:rsidRPr="003727F3">
        <w:rPr>
          <w:rFonts w:eastAsia="Palatino Linotype" w:cs="Palatino Linotype"/>
          <w:color w:val="000000"/>
          <w:szCs w:val="24"/>
        </w:rPr>
        <w:t>catorce de julio</w:t>
      </w:r>
      <w:r w:rsidR="004A5EE6" w:rsidRPr="003727F3">
        <w:rPr>
          <w:rFonts w:eastAsia="Palatino Linotype" w:cs="Palatino Linotype"/>
          <w:color w:val="000000"/>
          <w:szCs w:val="24"/>
        </w:rPr>
        <w:t xml:space="preserve"> de dos mil veinticinco</w:t>
      </w:r>
      <w:r w:rsidRPr="003727F3">
        <w:rPr>
          <w:rFonts w:eastAsia="Palatino Linotype" w:cs="Palatino Linotype"/>
          <w:color w:val="000000"/>
          <w:szCs w:val="24"/>
        </w:rPr>
        <w:t>, el Sujeto Obligado dio respuest</w:t>
      </w:r>
      <w:r w:rsidR="009F4FF4" w:rsidRPr="003727F3">
        <w:rPr>
          <w:rFonts w:eastAsia="Palatino Linotype" w:cs="Palatino Linotype"/>
          <w:color w:val="000000"/>
          <w:szCs w:val="24"/>
        </w:rPr>
        <w:t>a a la solicitud de información</w:t>
      </w:r>
      <w:r w:rsidRPr="003727F3">
        <w:rPr>
          <w:rFonts w:eastAsia="Palatino Linotype" w:cs="Palatino Linotype"/>
          <w:color w:val="000000"/>
          <w:szCs w:val="24"/>
        </w:rPr>
        <w:t xml:space="preserve"> manifestando lo siguiente:</w:t>
      </w:r>
    </w:p>
    <w:p w14:paraId="6CF4EC0F"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6B793E89" w14:textId="77777777" w:rsidR="000B1468" w:rsidRPr="003727F3" w:rsidRDefault="23740614" w:rsidP="00CA537F">
      <w:pPr>
        <w:pStyle w:val="Fundamentos"/>
        <w:jc w:val="right"/>
        <w:rPr>
          <w:lang w:val="es-ES"/>
        </w:rPr>
      </w:pPr>
      <w:r w:rsidRPr="003727F3">
        <w:rPr>
          <w:lang w:val="es-ES"/>
        </w:rPr>
        <w:t>«</w:t>
      </w:r>
      <w:r w:rsidR="000B1468" w:rsidRPr="003727F3">
        <w:rPr>
          <w:lang w:val="es-ES"/>
        </w:rPr>
        <w:t>Folio de la solicitud: 00062/CHAPULTE/IP/2025</w:t>
      </w:r>
    </w:p>
    <w:p w14:paraId="6EDEAA7F" w14:textId="77777777" w:rsidR="00CA537F" w:rsidRPr="003727F3" w:rsidRDefault="00CA537F" w:rsidP="000B1468">
      <w:pPr>
        <w:pStyle w:val="Fundamentos"/>
        <w:rPr>
          <w:lang w:val="es-ES"/>
        </w:rPr>
      </w:pPr>
    </w:p>
    <w:p w14:paraId="25610DF9" w14:textId="77777777" w:rsidR="000B1468" w:rsidRPr="003727F3" w:rsidRDefault="000B1468" w:rsidP="000B1468">
      <w:pPr>
        <w:pStyle w:val="Fundamentos"/>
        <w:rPr>
          <w:lang w:val="es-ES"/>
        </w:rPr>
      </w:pPr>
      <w:r w:rsidRPr="003727F3">
        <w:rPr>
          <w:lang w:val="es-ES"/>
        </w:rPr>
        <w:t>Adjunto archivo con respuesta a la solicitud</w:t>
      </w:r>
    </w:p>
    <w:p w14:paraId="027E735C" w14:textId="77777777" w:rsidR="000B1468" w:rsidRPr="003727F3" w:rsidRDefault="000B1468" w:rsidP="000B1468">
      <w:pPr>
        <w:pStyle w:val="Fundamentos"/>
        <w:rPr>
          <w:lang w:val="es-ES"/>
        </w:rPr>
      </w:pPr>
    </w:p>
    <w:p w14:paraId="1761DB35" w14:textId="77777777" w:rsidR="000B1468" w:rsidRPr="003727F3" w:rsidRDefault="000B1468" w:rsidP="000B1468">
      <w:pPr>
        <w:pStyle w:val="Fundamentos"/>
        <w:rPr>
          <w:lang w:val="es-ES"/>
        </w:rPr>
      </w:pPr>
      <w:r w:rsidRPr="003727F3">
        <w:rPr>
          <w:lang w:val="es-ES"/>
        </w:rPr>
        <w:t>ATENTAMENTE</w:t>
      </w:r>
    </w:p>
    <w:p w14:paraId="3FE4A9EF" w14:textId="20233A40" w:rsidR="00A970D5" w:rsidRPr="003727F3" w:rsidRDefault="000B1468" w:rsidP="000B1468">
      <w:pPr>
        <w:pStyle w:val="Fundamentos"/>
        <w:rPr>
          <w:lang w:val="es-MX"/>
        </w:rPr>
      </w:pPr>
      <w:r w:rsidRPr="003727F3">
        <w:rPr>
          <w:lang w:val="es-ES"/>
        </w:rPr>
        <w:t>JOSÉ EMMANUEL HERNANDEZ MARTÍNEZ</w:t>
      </w:r>
      <w:r w:rsidR="00311EF3" w:rsidRPr="003727F3">
        <w:rPr>
          <w:lang w:val="es-ES"/>
        </w:rPr>
        <w:t>»</w:t>
      </w:r>
      <w:r w:rsidR="00A970D5" w:rsidRPr="003727F3">
        <w:rPr>
          <w:lang w:val="es-MX"/>
        </w:rPr>
        <w:t xml:space="preserve"> (Sic)</w:t>
      </w:r>
    </w:p>
    <w:p w14:paraId="2EAB8352" w14:textId="3B77EF6C" w:rsidR="001107C4" w:rsidRPr="003727F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7EFCFDD5" w:rsidR="00F16DFC" w:rsidRPr="003727F3" w:rsidRDefault="00F16DFC" w:rsidP="006922F5">
      <w:pPr>
        <w:pBdr>
          <w:top w:val="nil"/>
          <w:left w:val="nil"/>
          <w:bottom w:val="nil"/>
          <w:right w:val="nil"/>
          <w:between w:val="nil"/>
        </w:pBdr>
        <w:contextualSpacing/>
        <w:rPr>
          <w:rFonts w:eastAsia="Palatino Linotype" w:cs="Palatino Linotype"/>
          <w:color w:val="000000"/>
          <w:szCs w:val="24"/>
          <w:lang w:val="es-MX"/>
        </w:rPr>
      </w:pPr>
      <w:r w:rsidRPr="003727F3">
        <w:rPr>
          <w:rFonts w:eastAsia="Palatino Linotype" w:cs="Palatino Linotype"/>
          <w:color w:val="000000"/>
          <w:szCs w:val="24"/>
          <w:lang w:val="es-MX"/>
        </w:rPr>
        <w:t xml:space="preserve">El Sujeto Obligado adjuntó a su respuesta </w:t>
      </w:r>
      <w:r w:rsidR="000D0165" w:rsidRPr="003727F3">
        <w:rPr>
          <w:rFonts w:eastAsia="Palatino Linotype" w:cs="Palatino Linotype"/>
          <w:color w:val="000000"/>
          <w:szCs w:val="24"/>
          <w:lang w:val="es-MX"/>
        </w:rPr>
        <w:t>el</w:t>
      </w:r>
      <w:r w:rsidR="00042641" w:rsidRPr="003727F3">
        <w:rPr>
          <w:rFonts w:eastAsia="Palatino Linotype" w:cs="Palatino Linotype"/>
          <w:color w:val="000000"/>
          <w:szCs w:val="24"/>
          <w:lang w:val="es-MX"/>
        </w:rPr>
        <w:t xml:space="preserve"> </w:t>
      </w:r>
      <w:r w:rsidRPr="003727F3">
        <w:rPr>
          <w:rFonts w:eastAsia="Palatino Linotype" w:cs="Palatino Linotype"/>
          <w:color w:val="000000"/>
          <w:szCs w:val="24"/>
          <w:lang w:val="es-MX"/>
        </w:rPr>
        <w:t>documento denominado</w:t>
      </w:r>
      <w:r w:rsidR="00E74136" w:rsidRPr="003727F3">
        <w:rPr>
          <w:rFonts w:eastAsia="Palatino Linotype" w:cs="Palatino Linotype"/>
          <w:color w:val="000000"/>
          <w:szCs w:val="24"/>
          <w:lang w:val="es-MX"/>
        </w:rPr>
        <w:t xml:space="preserve"> </w:t>
      </w:r>
      <w:r w:rsidR="00E74136" w:rsidRPr="003727F3">
        <w:rPr>
          <w:rFonts w:eastAsia="Palatino Linotype" w:cs="Palatino Linotype"/>
          <w:b/>
          <w:bCs/>
          <w:color w:val="000000"/>
          <w:szCs w:val="24"/>
          <w:lang w:val="es-MX"/>
        </w:rPr>
        <w:t>«</w:t>
      </w:r>
      <w:r w:rsidR="000D0165" w:rsidRPr="003727F3">
        <w:rPr>
          <w:rFonts w:eastAsia="Palatino Linotype" w:cs="Palatino Linotype"/>
          <w:b/>
          <w:bCs/>
          <w:color w:val="000000"/>
          <w:szCs w:val="24"/>
          <w:lang w:val="es-MX"/>
        </w:rPr>
        <w:t>0062_CHAPULTE_IP_2025.pdf</w:t>
      </w:r>
      <w:r w:rsidR="005019EE" w:rsidRPr="003727F3">
        <w:rPr>
          <w:rFonts w:eastAsia="Palatino Linotype" w:cs="Palatino Linotype"/>
          <w:b/>
          <w:bCs/>
          <w:color w:val="000000"/>
          <w:szCs w:val="24"/>
          <w:lang w:val="es-MX"/>
        </w:rPr>
        <w:t>»</w:t>
      </w:r>
      <w:r w:rsidR="005019EE" w:rsidRPr="003727F3">
        <w:rPr>
          <w:rFonts w:eastAsia="Palatino Linotype" w:cs="Palatino Linotype"/>
          <w:color w:val="000000"/>
          <w:szCs w:val="24"/>
          <w:lang w:val="es-MX"/>
        </w:rPr>
        <w:t xml:space="preserve">, </w:t>
      </w:r>
      <w:r w:rsidR="00635456" w:rsidRPr="003727F3">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3727F3"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6009208D" w:rsidR="00A970D5" w:rsidRPr="003727F3" w:rsidRDefault="00E74136" w:rsidP="006922F5">
      <w:pPr>
        <w:pStyle w:val="Ttulo2"/>
        <w:rPr>
          <w:rFonts w:eastAsia="Palatino Linotype"/>
        </w:rPr>
      </w:pPr>
      <w:r w:rsidRPr="003727F3">
        <w:rPr>
          <w:rFonts w:eastAsia="Palatino Linotype"/>
        </w:rPr>
        <w:t>TERCERO</w:t>
      </w:r>
      <w:r w:rsidR="00A970D5" w:rsidRPr="003727F3">
        <w:rPr>
          <w:rFonts w:eastAsia="Palatino Linotype"/>
        </w:rPr>
        <w:t>. Del recurso de revisión.</w:t>
      </w:r>
    </w:p>
    <w:p w14:paraId="0C8C3A2F" w14:textId="115D9F40" w:rsidR="00A970D5" w:rsidRPr="003727F3" w:rsidRDefault="0090115A" w:rsidP="006922F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Inconforme con la respuesta emitida</w:t>
      </w:r>
      <w:r w:rsidR="006726AD" w:rsidRPr="003727F3">
        <w:rPr>
          <w:rFonts w:eastAsia="Palatino Linotype" w:cs="Palatino Linotype"/>
          <w:color w:val="000000"/>
          <w:szCs w:val="24"/>
        </w:rPr>
        <w:t>, el</w:t>
      </w:r>
      <w:r w:rsidRPr="003727F3">
        <w:rPr>
          <w:rFonts w:eastAsia="Palatino Linotype" w:cs="Palatino Linotype"/>
          <w:color w:val="000000"/>
          <w:szCs w:val="24"/>
        </w:rPr>
        <w:t xml:space="preserve"> Recurrente interpuso el presente recurso de revisión el </w:t>
      </w:r>
      <w:r w:rsidR="00B85534" w:rsidRPr="003727F3">
        <w:rPr>
          <w:rFonts w:eastAsia="Palatino Linotype" w:cs="Palatino Linotype"/>
          <w:color w:val="000000"/>
          <w:szCs w:val="24"/>
        </w:rPr>
        <w:t>nueve de abril</w:t>
      </w:r>
      <w:r w:rsidR="00177F35" w:rsidRPr="003727F3">
        <w:rPr>
          <w:rFonts w:eastAsia="Palatino Linotype" w:cs="Palatino Linotype"/>
          <w:color w:val="000000"/>
          <w:szCs w:val="24"/>
        </w:rPr>
        <w:t xml:space="preserve"> </w:t>
      </w:r>
      <w:r w:rsidR="00DE2889" w:rsidRPr="003727F3">
        <w:rPr>
          <w:rFonts w:eastAsia="Palatino Linotype" w:cs="Palatino Linotype"/>
          <w:color w:val="000000"/>
          <w:szCs w:val="24"/>
        </w:rPr>
        <w:t>de dos mil veinticinco</w:t>
      </w:r>
      <w:r w:rsidRPr="003727F3">
        <w:rPr>
          <w:rFonts w:eastAsia="Palatino Linotype" w:cs="Palatino Linotype"/>
          <w:color w:val="000000"/>
          <w:szCs w:val="24"/>
        </w:rPr>
        <w:t>, el cual se registró en el SAIMEX con el expediente número</w:t>
      </w:r>
      <w:r w:rsidR="00A970D5" w:rsidRPr="003727F3">
        <w:rPr>
          <w:rFonts w:eastAsia="Palatino Linotype" w:cs="Palatino Linotype"/>
          <w:color w:val="000000"/>
          <w:szCs w:val="24"/>
        </w:rPr>
        <w:t xml:space="preserve"> </w:t>
      </w:r>
      <w:r w:rsidR="008321FD" w:rsidRPr="003727F3">
        <w:rPr>
          <w:rFonts w:eastAsia="Palatino Linotype" w:cs="Palatino Linotype"/>
          <w:b/>
          <w:color w:val="000000"/>
          <w:szCs w:val="24"/>
        </w:rPr>
        <w:t>0</w:t>
      </w:r>
      <w:r w:rsidR="002D5C41" w:rsidRPr="003727F3">
        <w:rPr>
          <w:rFonts w:eastAsia="Palatino Linotype" w:cs="Palatino Linotype"/>
          <w:b/>
          <w:color w:val="000000"/>
          <w:szCs w:val="24"/>
        </w:rPr>
        <w:t>8635</w:t>
      </w:r>
      <w:r w:rsidR="008321FD" w:rsidRPr="003727F3">
        <w:rPr>
          <w:rFonts w:eastAsia="Palatino Linotype" w:cs="Palatino Linotype"/>
          <w:b/>
          <w:color w:val="000000"/>
          <w:szCs w:val="24"/>
        </w:rPr>
        <w:t>/INFOEM/IP/RR/2025</w:t>
      </w:r>
      <w:r w:rsidR="00A06896" w:rsidRPr="003727F3">
        <w:rPr>
          <w:rFonts w:eastAsia="Palatino Linotype" w:cs="Palatino Linotype"/>
          <w:color w:val="000000"/>
          <w:szCs w:val="24"/>
        </w:rPr>
        <w:t xml:space="preserve">, </w:t>
      </w:r>
      <w:r w:rsidRPr="003727F3">
        <w:rPr>
          <w:rFonts w:eastAsia="Palatino Linotype" w:cs="Palatino Linotype"/>
          <w:color w:val="000000"/>
          <w:szCs w:val="24"/>
        </w:rPr>
        <w:t>en el que manifestó</w:t>
      </w:r>
      <w:r w:rsidR="00A970D5" w:rsidRPr="003727F3">
        <w:rPr>
          <w:rFonts w:eastAsia="Palatino Linotype" w:cs="Palatino Linotype"/>
          <w:color w:val="000000"/>
          <w:szCs w:val="24"/>
        </w:rPr>
        <w:t xml:space="preserve"> lo siguiente:</w:t>
      </w:r>
    </w:p>
    <w:p w14:paraId="7AA0C9F4" w14:textId="046134A0"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727F3" w:rsidRDefault="00A970D5" w:rsidP="006922F5">
      <w:pPr>
        <w:contextualSpacing/>
        <w:rPr>
          <w:rFonts w:eastAsia="Palatino Linotype" w:cs="Palatino Linotype"/>
          <w:b/>
        </w:rPr>
      </w:pPr>
      <w:r w:rsidRPr="003727F3">
        <w:rPr>
          <w:rFonts w:eastAsia="Palatino Linotype" w:cs="Palatino Linotype"/>
          <w:b/>
        </w:rPr>
        <w:t>Acto Impugnado:</w:t>
      </w:r>
      <w:r w:rsidR="00655007" w:rsidRPr="003727F3">
        <w:rPr>
          <w:rFonts w:eastAsia="Palatino Linotype" w:cs="Palatino Linotype"/>
          <w:b/>
        </w:rPr>
        <w:t xml:space="preserve"> </w:t>
      </w:r>
    </w:p>
    <w:p w14:paraId="4A0EFE5A" w14:textId="4FC6F28E" w:rsidR="00A970D5" w:rsidRPr="003727F3" w:rsidRDefault="5C35490E" w:rsidP="5C35490E">
      <w:pPr>
        <w:pStyle w:val="Fundamentos"/>
        <w:rPr>
          <w:b/>
          <w:bCs/>
          <w:lang w:val="es-ES"/>
        </w:rPr>
      </w:pPr>
      <w:r w:rsidRPr="003727F3">
        <w:rPr>
          <w:lang w:val="es-ES"/>
        </w:rPr>
        <w:lastRenderedPageBreak/>
        <w:t>«</w:t>
      </w:r>
      <w:r w:rsidR="002D5C41" w:rsidRPr="003727F3">
        <w:rPr>
          <w:lang w:val="es-ES"/>
        </w:rPr>
        <w:t>0062/CHAPULTE/IP/2025</w:t>
      </w:r>
      <w:r w:rsidRPr="003727F3">
        <w:rPr>
          <w:lang w:val="es-ES"/>
        </w:rPr>
        <w:t>» (Sic)</w:t>
      </w:r>
    </w:p>
    <w:p w14:paraId="3C40A441" w14:textId="0B2599C4" w:rsidR="00A970D5" w:rsidRPr="003727F3" w:rsidRDefault="00A970D5" w:rsidP="00FA1919">
      <w:pPr>
        <w:tabs>
          <w:tab w:val="left" w:pos="2515"/>
        </w:tabs>
        <w:contextualSpacing/>
        <w:rPr>
          <w:rFonts w:eastAsia="Palatino Linotype" w:cs="Palatino Linotype"/>
          <w:iCs/>
          <w:szCs w:val="24"/>
          <w:lang w:val="es-ES"/>
        </w:rPr>
      </w:pPr>
    </w:p>
    <w:p w14:paraId="0F6CFE30" w14:textId="719FCACE" w:rsidR="00300EA0" w:rsidRPr="003727F3" w:rsidRDefault="002B6B0F" w:rsidP="00300EA0">
      <w:pPr>
        <w:contextualSpacing/>
        <w:rPr>
          <w:rFonts w:eastAsia="Palatino Linotype" w:cs="Palatino Linotype"/>
          <w:b/>
        </w:rPr>
      </w:pPr>
      <w:r w:rsidRPr="003727F3">
        <w:rPr>
          <w:rFonts w:eastAsia="Palatino Linotype" w:cs="Palatino Linotype"/>
          <w:b/>
        </w:rPr>
        <w:t>Razones o motivos de inconformidad</w:t>
      </w:r>
      <w:r w:rsidR="00300EA0" w:rsidRPr="003727F3">
        <w:rPr>
          <w:rFonts w:eastAsia="Palatino Linotype" w:cs="Palatino Linotype"/>
          <w:b/>
        </w:rPr>
        <w:t xml:space="preserve">: </w:t>
      </w:r>
    </w:p>
    <w:p w14:paraId="636038ED" w14:textId="77D95435" w:rsidR="00300EA0" w:rsidRPr="003727F3" w:rsidRDefault="00300EA0" w:rsidP="00300EA0">
      <w:pPr>
        <w:pStyle w:val="Fundamentos"/>
        <w:rPr>
          <w:b/>
          <w:bCs/>
          <w:lang w:val="es-ES"/>
        </w:rPr>
      </w:pPr>
      <w:r w:rsidRPr="003727F3">
        <w:rPr>
          <w:lang w:val="es-ES"/>
        </w:rPr>
        <w:t>«</w:t>
      </w:r>
      <w:r w:rsidR="002D5C41" w:rsidRPr="003727F3">
        <w:rPr>
          <w:lang w:val="es-ES"/>
        </w:rPr>
        <w:t>Argumentos del recurrente: La solicitud fue clara y precisa: Se solicitó la entrega de los estados financieros mensuales del ejercicio fiscal 2019 al 2025, comprendiendo específicamente de enero a mayo de 2025. El sujeto obligado únicamente entregó información hasta marzo 2025, omitiendo por completo los meses de abril y mayo, sin causa legal válida. La propia respuesta contiene una contradicción grave y un patrón de simulación reiterada: En su escrito de entrega, el sujeto obligado afirma que los estados financieros del segundo trimestre del año 2025 no han sido concluidos porque están “en proceso de revisión y firma”. Sin embargo: La respuesta fue elaborada el 14 de junio de 2025 y enviada hasta el 14 de julio de 2025, es decir, transcurrió un mes sin que se subsanara la supuesta revisión o firma. Los documentos entregados carecen de firma y sello, lo que no solo invalida su carácter oficial, sino también desmiente el argumento de que estaban en proceso de firma y autorización. Además, los estados financieros de años anteriores también se encuentran sin firma, lo que evidencia un patrón reiterado y sistemático de entrega incompleta y carente de valor legal, en contradicción directa con las obligaciones de los sujetos obligados en materia de información contable. La respuesta fue elaborada el 14 de junio de 2025 y enviada hasta el 14 de julio de 2025, es decir, transcurrió un mes completo sin que se subsanara la supuesta revisión o firma de los documentos. Los documentos entregados carecen de sello o firma alguna, lo que invalida no solo su valor oficial, sino también la justificación utilizada por el sujeto obligado, quien sostiene que no podían ser entregados porque estaban “en proceso de firma y autorización”. Por lo tanto, la entrega de archivos sin firma contradice y anula su propio argumento, configurando una respuesta engañosa y simulada. Existe dolo o simulación en la respuesta: El sujeto obligado reconoce que ya cuenta con la información, pero alega razones que no se sostienen para no entregarla formalmente. Esta conducta vulnera el principio de máxima publicidad, genera una afectación directa al derecho de acceso a la información pública y constituye una violación grave a los principios de veracidad, congruencia y legalidad. Petición concreta: Solicito que el INFOEM tenga por presentado este recurso de revisión, lo admita y, en su momento, RESUELVA lo siguiente: Se ordene al sujeto obligado entregar la información faltante correspondiente a los estados financieros de abril y mayo de 2025. Se requiera que dicha información se entregue completa, firmada, sellada y con validez oficial, como corresponde a documentos públicos contables. Se emita pronunciamiento sobre la posible existencia de dolo o simulación por parte del sujeto obligado al argumentar un proceso de firma que no se refleja en los archivos entregados</w:t>
      </w:r>
      <w:r w:rsidR="00B85534" w:rsidRPr="003727F3">
        <w:rPr>
          <w:lang w:val="es-ES"/>
        </w:rPr>
        <w:t>.</w:t>
      </w:r>
      <w:r w:rsidRPr="003727F3">
        <w:rPr>
          <w:lang w:val="es-ES"/>
        </w:rPr>
        <w:t>» (Sic)</w:t>
      </w:r>
    </w:p>
    <w:p w14:paraId="0A3CE1C1" w14:textId="77777777" w:rsidR="00390EBF" w:rsidRPr="003727F3" w:rsidRDefault="00390EBF" w:rsidP="006922F5">
      <w:pPr>
        <w:contextualSpacing/>
        <w:rPr>
          <w:rFonts w:eastAsia="Palatino Linotype" w:cs="Palatino Linotype"/>
          <w:iCs/>
          <w:szCs w:val="24"/>
          <w:lang w:val="es-ES"/>
        </w:rPr>
      </w:pPr>
    </w:p>
    <w:p w14:paraId="11D7F189" w14:textId="7719EBA5" w:rsidR="00A970D5" w:rsidRPr="003727F3" w:rsidRDefault="00E74136" w:rsidP="006922F5">
      <w:pPr>
        <w:pStyle w:val="Ttulo2"/>
        <w:rPr>
          <w:rFonts w:eastAsia="Palatino Linotype"/>
        </w:rPr>
      </w:pPr>
      <w:r w:rsidRPr="003727F3">
        <w:rPr>
          <w:rFonts w:eastAsia="Palatino Linotype"/>
        </w:rPr>
        <w:lastRenderedPageBreak/>
        <w:t>CUAR</w:t>
      </w:r>
      <w:r w:rsidR="007A1154" w:rsidRPr="003727F3">
        <w:rPr>
          <w:rFonts w:eastAsia="Palatino Linotype"/>
        </w:rPr>
        <w:t>TO</w:t>
      </w:r>
      <w:r w:rsidR="00A970D5" w:rsidRPr="003727F3">
        <w:rPr>
          <w:rFonts w:eastAsia="Palatino Linotype"/>
        </w:rPr>
        <w:t>. Del turno y admisión del recurso de revisión.</w:t>
      </w:r>
    </w:p>
    <w:p w14:paraId="2459DEBA" w14:textId="46F9D84B" w:rsidR="00A970D5" w:rsidRPr="003727F3" w:rsidRDefault="70652167" w:rsidP="70652167">
      <w:pPr>
        <w:pBdr>
          <w:top w:val="nil"/>
          <w:left w:val="nil"/>
          <w:bottom w:val="nil"/>
          <w:right w:val="nil"/>
          <w:between w:val="nil"/>
        </w:pBdr>
        <w:contextualSpacing/>
        <w:rPr>
          <w:rFonts w:eastAsia="Palatino Linotype" w:cs="Palatino Linotype"/>
          <w:color w:val="000000"/>
          <w:lang w:val="es-ES"/>
        </w:rPr>
      </w:pPr>
      <w:r w:rsidRPr="003727F3">
        <w:rPr>
          <w:rFonts w:eastAsia="Palatino Linotype" w:cs="Palatino Linotype"/>
          <w:color w:val="000000" w:themeColor="text1"/>
          <w:lang w:val="es-ES"/>
        </w:rPr>
        <w:t xml:space="preserve">Medio de impugnación que le fue turnado al </w:t>
      </w:r>
      <w:r w:rsidRPr="003727F3">
        <w:rPr>
          <w:rFonts w:eastAsia="Palatino Linotype" w:cs="Palatino Linotype"/>
          <w:b/>
          <w:bCs/>
          <w:color w:val="000000" w:themeColor="text1"/>
          <w:lang w:val="es-ES"/>
        </w:rPr>
        <w:t>Comisionado Presidente José Martínez Vilchis</w:t>
      </w:r>
      <w:r w:rsidRPr="003727F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727F3">
        <w:rPr>
          <w:rFonts w:eastAsia="Palatino Linotype" w:cs="Palatino Linotype"/>
          <w:color w:val="000000" w:themeColor="text1"/>
          <w:lang w:val="es-ES"/>
        </w:rPr>
        <w:t xml:space="preserve"> admisión de fecha </w:t>
      </w:r>
      <w:r w:rsidR="00592BAB" w:rsidRPr="003727F3">
        <w:rPr>
          <w:rFonts w:eastAsia="Palatino Linotype" w:cs="Palatino Linotype"/>
          <w:color w:val="000000" w:themeColor="text1"/>
          <w:lang w:val="es-ES"/>
        </w:rPr>
        <w:t>diecisiete de julio</w:t>
      </w:r>
      <w:r w:rsidR="00774AC3" w:rsidRPr="003727F3">
        <w:rPr>
          <w:rFonts w:eastAsia="Palatino Linotype" w:cs="Palatino Linotype"/>
          <w:color w:val="000000" w:themeColor="text1"/>
          <w:lang w:val="es-ES"/>
        </w:rPr>
        <w:t xml:space="preserve"> de dos mil veinticinco</w:t>
      </w:r>
      <w:r w:rsidRPr="003727F3">
        <w:rPr>
          <w:rFonts w:eastAsia="Palatino Linotype" w:cs="Palatino Linotype"/>
          <w:color w:val="000000" w:themeColor="text1"/>
          <w:lang w:val="es-ES"/>
        </w:rPr>
        <w:t xml:space="preserve">, </w:t>
      </w:r>
      <w:r w:rsidRPr="003727F3">
        <w:rPr>
          <w:rFonts w:eastAsia="Palatino Linotype" w:cs="Palatino Linotype"/>
          <w:lang w:val="es-ES"/>
        </w:rPr>
        <w:t>otorgándose</w:t>
      </w:r>
      <w:r w:rsidRPr="003727F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5C80B38" w:rsidR="00A970D5" w:rsidRPr="003727F3" w:rsidRDefault="00E74136" w:rsidP="006922F5">
      <w:pPr>
        <w:pStyle w:val="Ttulo2"/>
        <w:rPr>
          <w:rFonts w:eastAsia="Palatino Linotype"/>
        </w:rPr>
      </w:pPr>
      <w:r w:rsidRPr="003727F3">
        <w:rPr>
          <w:rFonts w:eastAsia="Palatino Linotype"/>
        </w:rPr>
        <w:t>QUIN</w:t>
      </w:r>
      <w:r w:rsidR="00E21393" w:rsidRPr="003727F3">
        <w:rPr>
          <w:rFonts w:eastAsia="Palatino Linotype"/>
        </w:rPr>
        <w:t>T</w:t>
      </w:r>
      <w:r w:rsidR="007D2A1A" w:rsidRPr="003727F3">
        <w:rPr>
          <w:rFonts w:eastAsia="Palatino Linotype"/>
        </w:rPr>
        <w:t>O</w:t>
      </w:r>
      <w:r w:rsidR="00A970D5" w:rsidRPr="003727F3">
        <w:rPr>
          <w:rFonts w:eastAsia="Palatino Linotype"/>
        </w:rPr>
        <w:t>. De la etapa de instrucción.</w:t>
      </w:r>
    </w:p>
    <w:p w14:paraId="4ECFAB7D" w14:textId="77777777" w:rsidR="005019EE" w:rsidRPr="003727F3" w:rsidRDefault="005019EE" w:rsidP="005019EE">
      <w:pPr>
        <w:pBdr>
          <w:top w:val="nil"/>
          <w:left w:val="nil"/>
          <w:bottom w:val="nil"/>
          <w:right w:val="nil"/>
          <w:between w:val="nil"/>
        </w:pBdr>
        <w:contextualSpacing/>
        <w:rPr>
          <w:rFonts w:eastAsia="Palatino Linotype" w:cs="Palatino Linotype"/>
          <w:color w:val="000000"/>
        </w:rPr>
      </w:pPr>
      <w:r w:rsidRPr="003727F3">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3727F3" w:rsidRDefault="00C02596" w:rsidP="006922F5">
      <w:pPr>
        <w:pBdr>
          <w:top w:val="nil"/>
          <w:left w:val="nil"/>
          <w:bottom w:val="nil"/>
          <w:right w:val="nil"/>
          <w:between w:val="nil"/>
        </w:pBdr>
        <w:contextualSpacing/>
        <w:rPr>
          <w:rFonts w:eastAsia="Palatino Linotype" w:cs="Palatino Linotype"/>
          <w:color w:val="000000"/>
          <w:sz w:val="22"/>
        </w:rPr>
      </w:pPr>
    </w:p>
    <w:p w14:paraId="79EB9C92" w14:textId="77777777" w:rsidR="00592BAB" w:rsidRPr="003727F3" w:rsidRDefault="00592BAB" w:rsidP="006922F5">
      <w:pPr>
        <w:pBdr>
          <w:top w:val="nil"/>
          <w:left w:val="nil"/>
          <w:bottom w:val="nil"/>
          <w:right w:val="nil"/>
          <w:between w:val="nil"/>
        </w:pBdr>
        <w:contextualSpacing/>
        <w:rPr>
          <w:rFonts w:eastAsia="Palatino Linotype" w:cs="Palatino Linotype"/>
          <w:color w:val="000000"/>
          <w:sz w:val="22"/>
        </w:rPr>
      </w:pPr>
    </w:p>
    <w:p w14:paraId="65310342" w14:textId="6777B174" w:rsidR="00A970D5" w:rsidRPr="003727F3" w:rsidRDefault="007A1154" w:rsidP="006922F5">
      <w:pPr>
        <w:pStyle w:val="Ttulo2"/>
        <w:rPr>
          <w:rFonts w:eastAsia="Palatino Linotype"/>
        </w:rPr>
      </w:pPr>
      <w:r w:rsidRPr="003727F3">
        <w:rPr>
          <w:rFonts w:eastAsia="Palatino Linotype"/>
        </w:rPr>
        <w:t>S</w:t>
      </w:r>
      <w:r w:rsidR="00E74136" w:rsidRPr="003727F3">
        <w:rPr>
          <w:rFonts w:eastAsia="Palatino Linotype"/>
        </w:rPr>
        <w:t>EXT</w:t>
      </w:r>
      <w:r w:rsidR="00E21393" w:rsidRPr="003727F3">
        <w:rPr>
          <w:rFonts w:eastAsia="Palatino Linotype"/>
        </w:rPr>
        <w:t>O</w:t>
      </w:r>
      <w:r w:rsidR="00A970D5" w:rsidRPr="003727F3">
        <w:rPr>
          <w:rFonts w:eastAsia="Palatino Linotype"/>
        </w:rPr>
        <w:t>. Del cierre de instrucción.</w:t>
      </w:r>
    </w:p>
    <w:p w14:paraId="2456F4BD" w14:textId="2E0E1053"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Así, una vez transcurrido el término legal, se decretó el cierre de instru</w:t>
      </w:r>
      <w:r w:rsidR="00AE6B11" w:rsidRPr="003727F3">
        <w:rPr>
          <w:rFonts w:eastAsia="Palatino Linotype" w:cs="Palatino Linotype"/>
          <w:color w:val="000000"/>
          <w:szCs w:val="24"/>
        </w:rPr>
        <w:t>cción</w:t>
      </w:r>
      <w:r w:rsidR="007826F1" w:rsidRPr="003727F3">
        <w:rPr>
          <w:rFonts w:eastAsia="Palatino Linotype" w:cs="Palatino Linotype"/>
          <w:color w:val="000000"/>
          <w:szCs w:val="24"/>
        </w:rPr>
        <w:t xml:space="preserve"> el</w:t>
      </w:r>
      <w:r w:rsidR="00B53BEF" w:rsidRPr="003727F3">
        <w:rPr>
          <w:rFonts w:eastAsia="Palatino Linotype" w:cs="Palatino Linotype"/>
          <w:color w:val="000000"/>
          <w:szCs w:val="24"/>
        </w:rPr>
        <w:t xml:space="preserve"> </w:t>
      </w:r>
      <w:r w:rsidR="00592BAB" w:rsidRPr="003727F3">
        <w:rPr>
          <w:rFonts w:eastAsia="Palatino Linotype" w:cs="Palatino Linotype"/>
          <w:color w:val="000000"/>
          <w:szCs w:val="24"/>
        </w:rPr>
        <w:t>dos de septiembre</w:t>
      </w:r>
      <w:r w:rsidR="00B85534" w:rsidRPr="003727F3">
        <w:rPr>
          <w:rFonts w:eastAsia="Palatino Linotype" w:cs="Palatino Linotype"/>
          <w:color w:val="000000"/>
          <w:szCs w:val="24"/>
        </w:rPr>
        <w:t xml:space="preserve"> </w:t>
      </w:r>
      <w:r w:rsidR="001F3363" w:rsidRPr="003727F3">
        <w:rPr>
          <w:rFonts w:eastAsia="Palatino Linotype" w:cs="Palatino Linotype"/>
          <w:color w:val="000000"/>
          <w:szCs w:val="24"/>
        </w:rPr>
        <w:t>de dos mil veinticinco</w:t>
      </w:r>
      <w:r w:rsidRPr="003727F3">
        <w:rPr>
          <w:rFonts w:eastAsia="Palatino Linotype" w:cs="Palatino Linotype"/>
          <w:color w:val="000000"/>
          <w:szCs w:val="24"/>
        </w:rPr>
        <w:t xml:space="preserve">, en términos del artículo 185 </w:t>
      </w:r>
      <w:r w:rsidR="004579DC" w:rsidRPr="003727F3">
        <w:rPr>
          <w:rFonts w:eastAsia="Palatino Linotype" w:cs="Palatino Linotype"/>
          <w:color w:val="000000"/>
          <w:szCs w:val="24"/>
        </w:rPr>
        <w:t>f</w:t>
      </w:r>
      <w:r w:rsidRPr="003727F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3727F3"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6E4A3611" w:rsidR="00EB1CF4" w:rsidRPr="003727F3" w:rsidRDefault="00E74136" w:rsidP="00EB1CF4">
      <w:pPr>
        <w:pStyle w:val="Ttulo2"/>
        <w:rPr>
          <w:rFonts w:eastAsiaTheme="minorHAnsi"/>
          <w:lang w:eastAsia="en-US"/>
        </w:rPr>
      </w:pPr>
      <w:r w:rsidRPr="003727F3">
        <w:rPr>
          <w:rFonts w:eastAsiaTheme="minorHAnsi"/>
          <w:lang w:eastAsia="en-US"/>
        </w:rPr>
        <w:t>SÉPTIM</w:t>
      </w:r>
      <w:r w:rsidR="005019EE" w:rsidRPr="003727F3">
        <w:rPr>
          <w:rFonts w:eastAsiaTheme="minorHAnsi"/>
          <w:lang w:eastAsia="en-US"/>
        </w:rPr>
        <w:t>O</w:t>
      </w:r>
      <w:r w:rsidR="00EB1CF4" w:rsidRPr="003727F3">
        <w:rPr>
          <w:rFonts w:eastAsiaTheme="minorHAnsi"/>
          <w:lang w:eastAsia="en-US"/>
        </w:rPr>
        <w:t>. De la ampliación del término para resolver.</w:t>
      </w:r>
    </w:p>
    <w:p w14:paraId="3D8F26C7" w14:textId="28989BF7" w:rsidR="00EB1CF4" w:rsidRPr="003727F3" w:rsidRDefault="00EB1CF4" w:rsidP="00EB1CF4">
      <w:pPr>
        <w:pBdr>
          <w:top w:val="nil"/>
          <w:left w:val="nil"/>
          <w:bottom w:val="nil"/>
          <w:right w:val="nil"/>
          <w:between w:val="nil"/>
        </w:pBdr>
        <w:contextualSpacing/>
        <w:rPr>
          <w:rFonts w:eastAsiaTheme="minorHAnsi" w:cstheme="minorBidi"/>
          <w:szCs w:val="24"/>
          <w:lang w:eastAsia="en-US"/>
        </w:rPr>
      </w:pPr>
      <w:r w:rsidRPr="003727F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592BAB" w:rsidRPr="003727F3">
        <w:rPr>
          <w:rFonts w:eastAsiaTheme="minorHAnsi" w:cstheme="minorBidi"/>
          <w:szCs w:val="24"/>
          <w:lang w:eastAsia="en-US"/>
        </w:rPr>
        <w:t>veintinueve de septiembre</w:t>
      </w:r>
      <w:r w:rsidRPr="003727F3">
        <w:rPr>
          <w:rFonts w:eastAsiaTheme="minorHAnsi" w:cstheme="minorBidi"/>
          <w:szCs w:val="24"/>
          <w:lang w:eastAsia="en-US"/>
        </w:rPr>
        <w:t xml:space="preserve"> de dos mil veinticinco se notificó a las partes el acuerdo </w:t>
      </w:r>
      <w:r w:rsidRPr="003727F3">
        <w:rPr>
          <w:rFonts w:eastAsiaTheme="minorHAnsi" w:cstheme="minorBidi"/>
          <w:szCs w:val="24"/>
          <w:lang w:eastAsia="en-US"/>
        </w:rPr>
        <w:lastRenderedPageBreak/>
        <w:t>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3727F3"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727F3" w:rsidRDefault="00A970D5" w:rsidP="006922F5">
      <w:pPr>
        <w:pStyle w:val="Ttulo1"/>
        <w:rPr>
          <w:rFonts w:eastAsia="Palatino Linotype"/>
          <w:lang w:val="es-ES_tradnl"/>
        </w:rPr>
      </w:pPr>
      <w:r w:rsidRPr="003727F3">
        <w:rPr>
          <w:rFonts w:eastAsia="Palatino Linotype"/>
          <w:lang w:val="es-ES_tradnl"/>
        </w:rPr>
        <w:t>C O N S I D E R A N D O</w:t>
      </w:r>
    </w:p>
    <w:p w14:paraId="32546275"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727F3" w:rsidRDefault="00A970D5" w:rsidP="006922F5">
      <w:pPr>
        <w:pStyle w:val="Ttulo2"/>
        <w:rPr>
          <w:rFonts w:eastAsia="Palatino Linotype"/>
        </w:rPr>
      </w:pPr>
      <w:r w:rsidRPr="003727F3">
        <w:rPr>
          <w:rFonts w:eastAsia="Palatino Linotype"/>
        </w:rPr>
        <w:t>PRIMERO. De la competencia.</w:t>
      </w:r>
    </w:p>
    <w:p w14:paraId="615C5B79" w14:textId="250B5F55" w:rsidR="00E63F1C" w:rsidRPr="003727F3" w:rsidRDefault="00E63F1C" w:rsidP="00E63F1C">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3727F3">
        <w:rPr>
          <w:rFonts w:eastAsia="Palatino Linotype" w:cs="Palatino Linotype"/>
          <w:color w:val="000000"/>
          <w:szCs w:val="24"/>
        </w:rPr>
        <w:t>trigésimo noveno, cuadragésimo y cuadragésimo primero</w:t>
      </w:r>
      <w:r w:rsidRPr="003727F3">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727F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727F3" w:rsidRDefault="00A970D5" w:rsidP="006922F5">
      <w:pPr>
        <w:pStyle w:val="Ttulo2"/>
        <w:rPr>
          <w:rFonts w:eastAsia="Palatino Linotype"/>
        </w:rPr>
      </w:pPr>
      <w:r w:rsidRPr="003727F3">
        <w:rPr>
          <w:rFonts w:eastAsia="Palatino Linotype"/>
        </w:rPr>
        <w:t xml:space="preserve">SEGUNDO. Sobre los alcances del recurso de revisión. </w:t>
      </w:r>
    </w:p>
    <w:p w14:paraId="132CB116" w14:textId="77777777" w:rsidR="00A970D5" w:rsidRPr="003727F3" w:rsidRDefault="00A970D5" w:rsidP="006922F5">
      <w:r w:rsidRPr="003727F3">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3727F3">
        <w:lastRenderedPageBreak/>
        <w:t>electrónico, con la finalidad de reparar cualquier posible afectación al derecho de acceso a la información pública y garantizando el principio rector de máxima publicidad.</w:t>
      </w:r>
    </w:p>
    <w:p w14:paraId="1E80F7EE" w14:textId="77777777" w:rsidR="00FE7B8E" w:rsidRPr="003727F3" w:rsidRDefault="00FE7B8E" w:rsidP="006922F5"/>
    <w:p w14:paraId="79397FA7" w14:textId="6ED61083" w:rsidR="006A2DA2" w:rsidRPr="003727F3" w:rsidRDefault="00140A04" w:rsidP="00454915">
      <w:pPr>
        <w:pStyle w:val="Ttulo2"/>
        <w:rPr>
          <w:rFonts w:eastAsia="Palatino Linotype"/>
        </w:rPr>
      </w:pPr>
      <w:r w:rsidRPr="003727F3">
        <w:rPr>
          <w:rFonts w:eastAsia="Palatino Linotype"/>
        </w:rPr>
        <w:t>TERCERO</w:t>
      </w:r>
      <w:r w:rsidR="00454915" w:rsidRPr="003727F3">
        <w:rPr>
          <w:rFonts w:eastAsia="Palatino Linotype"/>
        </w:rPr>
        <w:t xml:space="preserve">. </w:t>
      </w:r>
      <w:r w:rsidR="006A2DA2" w:rsidRPr="003727F3">
        <w:rPr>
          <w:rFonts w:eastAsia="Palatino Linotype"/>
        </w:rPr>
        <w:t xml:space="preserve">De las cuestiones de previo y especial pronunciamiento. </w:t>
      </w:r>
    </w:p>
    <w:p w14:paraId="4743DFCF" w14:textId="77777777" w:rsidR="006A2DA2" w:rsidRPr="003727F3" w:rsidRDefault="006A2DA2" w:rsidP="006A2DA2">
      <w:pPr>
        <w:rPr>
          <w:rFonts w:eastAsia="Palatino Linotype" w:cs="Palatino Linotype"/>
        </w:rPr>
      </w:pPr>
      <w:r w:rsidRPr="003727F3">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11EDD621" w14:textId="77777777" w:rsidR="006A2DA2" w:rsidRPr="003727F3" w:rsidRDefault="006A2DA2" w:rsidP="006A2DA2">
      <w:pPr>
        <w:rPr>
          <w:rFonts w:eastAsia="Palatino Linotype" w:cs="Palatino Linotype"/>
        </w:rPr>
      </w:pPr>
    </w:p>
    <w:p w14:paraId="6C3C5FDD"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 xml:space="preserve">Artículo 180. </w:t>
      </w:r>
      <w:r w:rsidRPr="003727F3">
        <w:rPr>
          <w:rFonts w:eastAsia="Palatino Linotype" w:cs="Palatino Linotype"/>
          <w:i/>
          <w:sz w:val="22"/>
        </w:rPr>
        <w:t>El recurso de revisión contendrá:</w:t>
      </w:r>
    </w:p>
    <w:p w14:paraId="6336A41C"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I. El sujeto obligado ante la cual se presentó la solicitud;</w:t>
      </w:r>
    </w:p>
    <w:p w14:paraId="4242A5B5"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II. El nombre del solicitante que recurre</w:t>
      </w:r>
      <w:r w:rsidRPr="003727F3">
        <w:rPr>
          <w:rFonts w:eastAsia="Palatino Linotype" w:cs="Palatino Linotype"/>
          <w:i/>
          <w:sz w:val="22"/>
        </w:rPr>
        <w:t xml:space="preserve"> o de su representante y, en su caso, del tercero interesado, así como la dirección o medio que señale para recibir notificaciones;</w:t>
      </w:r>
    </w:p>
    <w:p w14:paraId="11DBDAF0"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III. El número de folio de respuesta de la solicitud de acceso;</w:t>
      </w:r>
    </w:p>
    <w:p w14:paraId="3A6AD5EC"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IV. La fecha en que fue notificada la respuesta al solicitante o tuvo conocimiento del acto reclamado, o de presentación de la solicitud, en caso de falta de respuesta;</w:t>
      </w:r>
    </w:p>
    <w:p w14:paraId="2F9D8312"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V. El acto que se recurre;</w:t>
      </w:r>
    </w:p>
    <w:p w14:paraId="48BA1631"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VI. Las razones o motivos de inconformidad;</w:t>
      </w:r>
    </w:p>
    <w:p w14:paraId="25F228AC"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VII. La copia de la respuesta que se impugna y, en su caso, de la notificación correspondiente, en el caso de respuesta de la solicitud; y</w:t>
      </w:r>
    </w:p>
    <w:p w14:paraId="560F2447"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VIII. Firma del recurrente, en su caso, cuando se presente por escrito, requisito sin el cual se dará trámite al recurso.</w:t>
      </w:r>
    </w:p>
    <w:p w14:paraId="1DEF90CF" w14:textId="77777777" w:rsidR="006A2DA2" w:rsidRPr="003727F3" w:rsidRDefault="006A2DA2" w:rsidP="006A2DA2">
      <w:pPr>
        <w:spacing w:line="240" w:lineRule="auto"/>
        <w:ind w:left="567" w:right="567"/>
        <w:rPr>
          <w:rFonts w:eastAsia="Palatino Linotype" w:cs="Palatino Linotype"/>
          <w:i/>
          <w:sz w:val="22"/>
        </w:rPr>
      </w:pPr>
    </w:p>
    <w:p w14:paraId="0A9326F3"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Adicionalmente, se podrán anexar las pruebas y demás elementos que considere procedentes someter a juicio del Instituto.</w:t>
      </w:r>
    </w:p>
    <w:p w14:paraId="4A49F246" w14:textId="77777777" w:rsidR="006A2DA2" w:rsidRPr="003727F3" w:rsidRDefault="006A2DA2" w:rsidP="006A2DA2">
      <w:pPr>
        <w:spacing w:line="240" w:lineRule="auto"/>
        <w:ind w:left="567" w:right="567"/>
        <w:rPr>
          <w:rFonts w:eastAsia="Palatino Linotype" w:cs="Palatino Linotype"/>
          <w:i/>
          <w:sz w:val="22"/>
        </w:rPr>
      </w:pPr>
    </w:p>
    <w:p w14:paraId="11E03189"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En ningún caso será necesario que el particular ratifique el recurso de revisión interpuesto.</w:t>
      </w:r>
    </w:p>
    <w:p w14:paraId="60D920E5" w14:textId="77777777" w:rsidR="006A2DA2" w:rsidRPr="003727F3" w:rsidRDefault="006A2DA2" w:rsidP="006A2DA2">
      <w:pPr>
        <w:spacing w:line="240" w:lineRule="auto"/>
        <w:ind w:left="567" w:right="567"/>
        <w:rPr>
          <w:rFonts w:eastAsia="Palatino Linotype" w:cs="Palatino Linotype"/>
          <w:i/>
          <w:sz w:val="22"/>
        </w:rPr>
      </w:pPr>
    </w:p>
    <w:p w14:paraId="04CFE004" w14:textId="77777777" w:rsidR="006A2DA2" w:rsidRPr="003727F3" w:rsidRDefault="006A2DA2" w:rsidP="006A2DA2">
      <w:pPr>
        <w:spacing w:line="240" w:lineRule="auto"/>
        <w:ind w:left="567" w:right="567"/>
        <w:rPr>
          <w:rFonts w:eastAsia="Palatino Linotype" w:cs="Palatino Linotype"/>
          <w:i/>
          <w:iCs/>
          <w:sz w:val="22"/>
        </w:rPr>
      </w:pPr>
      <w:r w:rsidRPr="003727F3">
        <w:rPr>
          <w:rFonts w:eastAsia="Palatino Linotype" w:cs="Palatino Linotype"/>
          <w:b/>
          <w:bCs/>
          <w:i/>
          <w:iCs/>
          <w:sz w:val="22"/>
        </w:rPr>
        <w:t>En caso de que el recurso se interponga de manera electrónica no será indispensable que contengan los requisitos establecidos en las fracciones II</w:t>
      </w:r>
      <w:r w:rsidRPr="003727F3">
        <w:rPr>
          <w:rFonts w:eastAsia="Palatino Linotype" w:cs="Palatino Linotype"/>
          <w:i/>
          <w:iCs/>
          <w:sz w:val="22"/>
        </w:rPr>
        <w:t>, IV, VII y VIII.</w:t>
      </w:r>
    </w:p>
    <w:p w14:paraId="35D19F5E" w14:textId="77777777" w:rsidR="006A2DA2" w:rsidRPr="003727F3" w:rsidRDefault="006A2DA2" w:rsidP="006A2DA2">
      <w:pPr>
        <w:rPr>
          <w:rFonts w:eastAsia="Palatino Linotype" w:cs="Palatino Linotype"/>
          <w:b/>
          <w:i/>
        </w:rPr>
      </w:pPr>
    </w:p>
    <w:p w14:paraId="45DBAF8A" w14:textId="77777777" w:rsidR="006A2DA2" w:rsidRPr="003727F3" w:rsidRDefault="006A2DA2" w:rsidP="006A2DA2">
      <w:pPr>
        <w:rPr>
          <w:rFonts w:eastAsia="Palatino Linotype" w:cs="Palatino Linotype"/>
        </w:rPr>
      </w:pPr>
      <w:r w:rsidRPr="003727F3">
        <w:rPr>
          <w:rFonts w:eastAsia="Palatino Linotype" w:cs="Palatino Linotype"/>
        </w:rPr>
        <w:t xml:space="preserve">Cabe señalar que presentar solicitudes anónimas, con el nombre incompleto o con un seudónimo no es motivo para desechar las solicitudes de acceso a la información pública </w:t>
      </w:r>
      <w:r w:rsidRPr="003727F3">
        <w:rPr>
          <w:rFonts w:eastAsia="Palatino Linotype" w:cs="Palatino Linotype"/>
        </w:rPr>
        <w:lastRenderedPageBreak/>
        <w:t>conforme a lo previsto en el artículo 155, penúltimo párrafo de la Ley de Transparencia y Acceso a la Información Pública del Estado de México y Municipios que señala lo siguiente:</w:t>
      </w:r>
    </w:p>
    <w:p w14:paraId="17EA2B89" w14:textId="77777777" w:rsidR="006A2DA2" w:rsidRPr="003727F3" w:rsidRDefault="006A2DA2" w:rsidP="006A2DA2">
      <w:pPr>
        <w:rPr>
          <w:rFonts w:eastAsia="Palatino Linotype" w:cs="Palatino Linotype"/>
        </w:rPr>
      </w:pPr>
    </w:p>
    <w:p w14:paraId="0D94D78D"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Artículo 155.</w:t>
      </w:r>
      <w:r w:rsidRPr="003727F3">
        <w:rPr>
          <w:rFonts w:eastAsia="Palatino Linotype" w:cs="Palatino Linotype"/>
          <w:i/>
          <w:sz w:val="22"/>
        </w:rPr>
        <w:t xml:space="preserve"> […]</w:t>
      </w:r>
    </w:p>
    <w:p w14:paraId="221DF937" w14:textId="77777777" w:rsidR="006A2DA2" w:rsidRPr="003727F3" w:rsidRDefault="006A2DA2" w:rsidP="006A2DA2">
      <w:pPr>
        <w:spacing w:line="240" w:lineRule="auto"/>
        <w:ind w:left="567" w:right="567"/>
        <w:rPr>
          <w:rFonts w:eastAsia="Palatino Linotype" w:cs="Palatino Linotype"/>
          <w:i/>
          <w:sz w:val="22"/>
        </w:rPr>
      </w:pPr>
    </w:p>
    <w:p w14:paraId="72EE8746"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C86F88"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w:t>
      </w:r>
    </w:p>
    <w:p w14:paraId="7B6B8BD8" w14:textId="77777777" w:rsidR="006A2DA2" w:rsidRPr="003727F3" w:rsidRDefault="006A2DA2" w:rsidP="006A2DA2">
      <w:pPr>
        <w:rPr>
          <w:rFonts w:eastAsia="Palatino Linotype" w:cs="Palatino Linotype"/>
        </w:rPr>
      </w:pPr>
    </w:p>
    <w:p w14:paraId="67E0DCB2" w14:textId="77777777" w:rsidR="006A2DA2" w:rsidRPr="003727F3" w:rsidRDefault="006A2DA2" w:rsidP="006A2DA2">
      <w:pPr>
        <w:rPr>
          <w:rFonts w:eastAsia="Palatino Linotype" w:cs="Palatino Linotype"/>
        </w:rPr>
      </w:pPr>
      <w:r w:rsidRPr="003727F3">
        <w:rPr>
          <w:rFonts w:eastAsia="Palatino Linotype" w:cs="Palatino Linotype"/>
        </w:rPr>
        <w:t xml:space="preserve">Robusteciendo lo anterior se encuentra lo dispuesto en el artículo 5 párrafos </w:t>
      </w:r>
      <w:r w:rsidRPr="003727F3">
        <w:rPr>
          <w:rFonts w:eastAsia="Palatino Linotype" w:cs="Palatino Linotype"/>
          <w:color w:val="000000"/>
          <w:szCs w:val="24"/>
        </w:rPr>
        <w:t>trigésimo noveno, cuadragésimo y cuadragésimo primero</w:t>
      </w:r>
      <w:r w:rsidRPr="003727F3">
        <w:rPr>
          <w:rFonts w:eastAsia="Palatino Linotype" w:cs="Palatino Linotype"/>
        </w:rPr>
        <w:t>, de la Constitución Política del Estado Libre y Soberano de México, se establece lo siguiente:</w:t>
      </w:r>
    </w:p>
    <w:p w14:paraId="387F82FD" w14:textId="77777777" w:rsidR="006A2DA2" w:rsidRPr="003727F3" w:rsidRDefault="006A2DA2" w:rsidP="006A2DA2">
      <w:pPr>
        <w:rPr>
          <w:rFonts w:eastAsia="Palatino Linotype" w:cs="Palatino Linotype"/>
        </w:rPr>
      </w:pPr>
    </w:p>
    <w:p w14:paraId="0ED0F416"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Artículo 5</w:t>
      </w:r>
      <w:r w:rsidRPr="003727F3">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30B11C"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w:t>
      </w:r>
    </w:p>
    <w:p w14:paraId="44072CBA" w14:textId="77777777" w:rsidR="006A2DA2" w:rsidRPr="003727F3" w:rsidRDefault="006A2DA2" w:rsidP="006A2DA2">
      <w:pPr>
        <w:spacing w:line="240" w:lineRule="auto"/>
        <w:ind w:left="567" w:right="567"/>
        <w:rPr>
          <w:rFonts w:eastAsia="Palatino Linotype" w:cs="Palatino Linotype"/>
          <w:i/>
          <w:iCs/>
          <w:sz w:val="22"/>
          <w:lang w:val="es-ES"/>
        </w:rPr>
      </w:pPr>
      <w:r w:rsidRPr="003727F3">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24BC631"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w:t>
      </w:r>
    </w:p>
    <w:p w14:paraId="0FFF3D51"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DDFF509" w14:textId="77777777" w:rsidR="006A2DA2" w:rsidRPr="003727F3" w:rsidRDefault="006A2DA2" w:rsidP="006A2DA2">
      <w:pPr>
        <w:spacing w:line="240" w:lineRule="auto"/>
        <w:ind w:left="567" w:right="567"/>
        <w:rPr>
          <w:rFonts w:eastAsia="Palatino Linotype" w:cs="Palatino Linotype"/>
          <w:i/>
          <w:sz w:val="22"/>
        </w:rPr>
      </w:pPr>
    </w:p>
    <w:p w14:paraId="23C84558" w14:textId="77777777" w:rsidR="006A2DA2" w:rsidRPr="003727F3" w:rsidRDefault="006A2DA2" w:rsidP="006A2DA2">
      <w:pPr>
        <w:spacing w:line="240" w:lineRule="auto"/>
        <w:ind w:left="567" w:right="567"/>
        <w:rPr>
          <w:rFonts w:eastAsia="Palatino Linotype" w:cs="Palatino Linotype"/>
          <w:i/>
          <w:iCs/>
          <w:sz w:val="22"/>
        </w:rPr>
      </w:pPr>
      <w:r w:rsidRPr="003727F3">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190A19" w14:textId="77777777" w:rsidR="006A2DA2" w:rsidRPr="003727F3" w:rsidRDefault="006A2DA2" w:rsidP="006A2DA2">
      <w:pPr>
        <w:spacing w:line="240" w:lineRule="auto"/>
        <w:ind w:left="567" w:right="567"/>
        <w:rPr>
          <w:rFonts w:eastAsia="Palatino Linotype" w:cs="Palatino Linotype"/>
          <w:i/>
          <w:sz w:val="22"/>
        </w:rPr>
      </w:pPr>
    </w:p>
    <w:p w14:paraId="3CA545B6"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Este derecho se regirá por los principios y bases siguientes:</w:t>
      </w:r>
    </w:p>
    <w:p w14:paraId="2B702EC9"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lastRenderedPageBreak/>
        <w:t>[…]</w:t>
      </w:r>
    </w:p>
    <w:p w14:paraId="09BF9C6E"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III.</w:t>
      </w:r>
      <w:r w:rsidRPr="003727F3">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6E0DF69"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IV.</w:t>
      </w:r>
      <w:r w:rsidRPr="003727F3">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BE78281"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w:t>
      </w:r>
    </w:p>
    <w:p w14:paraId="0B867405"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VIII.</w:t>
      </w:r>
      <w:r w:rsidRPr="003727F3">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1D9F89"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w:t>
      </w:r>
    </w:p>
    <w:p w14:paraId="4B7E1BB1" w14:textId="77777777" w:rsidR="006A2DA2" w:rsidRPr="003727F3" w:rsidRDefault="006A2DA2" w:rsidP="006A2DA2">
      <w:pPr>
        <w:ind w:left="567" w:right="567"/>
        <w:rPr>
          <w:rFonts w:eastAsia="Palatino Linotype" w:cs="Palatino Linotype"/>
        </w:rPr>
      </w:pPr>
    </w:p>
    <w:p w14:paraId="3FF935BC" w14:textId="77777777" w:rsidR="006A2DA2" w:rsidRPr="003727F3" w:rsidRDefault="006A2DA2" w:rsidP="006A2DA2">
      <w:pPr>
        <w:rPr>
          <w:rFonts w:eastAsia="Palatino Linotype" w:cs="Palatino Linotype"/>
        </w:rPr>
      </w:pPr>
      <w:r w:rsidRPr="003727F3">
        <w:rPr>
          <w:rFonts w:eastAsia="Palatino Linotype" w:cs="Palatino Linotype"/>
        </w:rPr>
        <w:t>Por otra parte, del contenido del artículo 1 de la Constitución Política de los Estados Unidos Mexicanos, se destaca lo siguiente:</w:t>
      </w:r>
    </w:p>
    <w:p w14:paraId="568F3E5E" w14:textId="77777777" w:rsidR="006A2DA2" w:rsidRPr="003727F3" w:rsidRDefault="006A2DA2" w:rsidP="006A2DA2">
      <w:pPr>
        <w:spacing w:line="240" w:lineRule="auto"/>
        <w:ind w:left="567" w:right="567"/>
        <w:rPr>
          <w:rFonts w:eastAsia="Palatino Linotype" w:cs="Palatino Linotype"/>
        </w:rPr>
      </w:pPr>
    </w:p>
    <w:p w14:paraId="50588A84"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b/>
          <w:i/>
          <w:sz w:val="22"/>
        </w:rPr>
        <w:t>Artículo 1o</w:t>
      </w:r>
      <w:r w:rsidRPr="003727F3">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C6D925" w14:textId="77777777" w:rsidR="006A2DA2" w:rsidRPr="003727F3" w:rsidRDefault="006A2DA2" w:rsidP="006A2DA2">
      <w:pPr>
        <w:spacing w:line="240" w:lineRule="auto"/>
        <w:ind w:left="567" w:right="567"/>
        <w:rPr>
          <w:rFonts w:eastAsia="Palatino Linotype" w:cs="Palatino Linotype"/>
          <w:i/>
          <w:sz w:val="22"/>
        </w:rPr>
      </w:pPr>
    </w:p>
    <w:p w14:paraId="3A854F90"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74A092D" w14:textId="77777777" w:rsidR="006A2DA2" w:rsidRPr="003727F3" w:rsidRDefault="006A2DA2" w:rsidP="006A2DA2">
      <w:pPr>
        <w:spacing w:line="240" w:lineRule="auto"/>
        <w:ind w:left="567" w:right="567"/>
        <w:rPr>
          <w:rFonts w:eastAsia="Palatino Linotype" w:cs="Palatino Linotype"/>
          <w:i/>
          <w:sz w:val="22"/>
        </w:rPr>
      </w:pPr>
    </w:p>
    <w:p w14:paraId="5E4ED039" w14:textId="77777777" w:rsidR="006A2DA2" w:rsidRPr="003727F3" w:rsidRDefault="006A2DA2" w:rsidP="006A2DA2">
      <w:pPr>
        <w:spacing w:line="240" w:lineRule="auto"/>
        <w:ind w:left="567" w:right="567"/>
        <w:rPr>
          <w:rFonts w:eastAsia="Palatino Linotype" w:cs="Palatino Linotype"/>
          <w:i/>
          <w:sz w:val="22"/>
        </w:rPr>
      </w:pPr>
      <w:r w:rsidRPr="003727F3">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97027C" w14:textId="77777777" w:rsidR="006A2DA2" w:rsidRPr="003727F3" w:rsidRDefault="006A2DA2" w:rsidP="006A2DA2"/>
    <w:p w14:paraId="0C47187B" w14:textId="77777777" w:rsidR="006A2DA2" w:rsidRPr="003727F3" w:rsidRDefault="006A2DA2" w:rsidP="006A2DA2">
      <w:r w:rsidRPr="003727F3">
        <w:rPr>
          <w:rFonts w:eastAsia="Palatino Linotype" w:cs="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3727F3">
        <w:t xml:space="preserve">En conclusión, se cubrieron los requisitos de procedencia y </w:t>
      </w:r>
      <w:proofErr w:type="spellStart"/>
      <w:r w:rsidRPr="003727F3">
        <w:t>procedibilidad</w:t>
      </w:r>
      <w:proofErr w:type="spellEnd"/>
      <w:r w:rsidRPr="003727F3">
        <w:t>, conforme a las constancias que obran en el expediente.</w:t>
      </w:r>
    </w:p>
    <w:p w14:paraId="7C41340A" w14:textId="77777777" w:rsidR="006A2DA2" w:rsidRPr="003727F3" w:rsidRDefault="006A2DA2" w:rsidP="00454915">
      <w:pPr>
        <w:pStyle w:val="Ttulo2"/>
        <w:rPr>
          <w:rFonts w:eastAsia="Palatino Linotype"/>
        </w:rPr>
      </w:pPr>
    </w:p>
    <w:p w14:paraId="7E828C31" w14:textId="6DCE2D68" w:rsidR="00454915" w:rsidRPr="003727F3" w:rsidRDefault="006A2DA2" w:rsidP="00454915">
      <w:pPr>
        <w:pStyle w:val="Ttulo2"/>
        <w:rPr>
          <w:rFonts w:eastAsia="Palatino Linotype"/>
        </w:rPr>
      </w:pPr>
      <w:r w:rsidRPr="003727F3">
        <w:rPr>
          <w:rFonts w:eastAsia="Palatino Linotype"/>
        </w:rPr>
        <w:t xml:space="preserve">CUARTO. </w:t>
      </w:r>
      <w:r w:rsidR="00454915" w:rsidRPr="003727F3">
        <w:rPr>
          <w:rFonts w:eastAsia="Palatino Linotype"/>
        </w:rPr>
        <w:t>De las causas de improcedencia.</w:t>
      </w:r>
    </w:p>
    <w:p w14:paraId="714929BC"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727F3">
        <w:rPr>
          <w:rFonts w:eastAsia="Palatino Linotype" w:cs="Palatino Linotype"/>
          <w:color w:val="000000"/>
          <w:szCs w:val="24"/>
        </w:rPr>
        <w:t>procedibilidad</w:t>
      </w:r>
      <w:proofErr w:type="spellEnd"/>
      <w:r w:rsidRPr="003727F3">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727F3" w:rsidRDefault="00454915" w:rsidP="44E9108F">
      <w:pPr>
        <w:pBdr>
          <w:top w:val="nil"/>
          <w:left w:val="nil"/>
          <w:bottom w:val="nil"/>
          <w:right w:val="nil"/>
          <w:between w:val="nil"/>
        </w:pBdr>
        <w:contextualSpacing/>
        <w:rPr>
          <w:rFonts w:eastAsia="Palatino Linotype" w:cs="Palatino Linotype"/>
          <w:color w:val="000000"/>
          <w:lang w:val="es-ES"/>
        </w:rPr>
      </w:pPr>
      <w:r w:rsidRPr="003727F3">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3727F3">
        <w:rPr>
          <w:rFonts w:eastAsia="Palatino Linotype" w:cs="Palatino Linotype"/>
          <w:color w:val="000000"/>
          <w:lang w:val="es-ES"/>
        </w:rPr>
        <w:t>Resolutor</w:t>
      </w:r>
      <w:proofErr w:type="spellEnd"/>
      <w:r w:rsidRPr="003727F3">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w:t>
      </w:r>
      <w:r w:rsidRPr="003727F3">
        <w:rPr>
          <w:rFonts w:eastAsia="Palatino Linotype" w:cs="Palatino Linotype"/>
          <w:color w:val="000000"/>
          <w:lang w:val="es-ES"/>
        </w:rPr>
        <w:lastRenderedPageBreak/>
        <w:t>procesal adoptada en la ley de la materia</w:t>
      </w:r>
      <w:r w:rsidRPr="003727F3">
        <w:rPr>
          <w:rFonts w:eastAsia="Palatino Linotype" w:cs="Palatino Linotype"/>
          <w:color w:val="000000"/>
          <w:vertAlign w:val="superscript"/>
          <w:lang w:val="es-ES"/>
        </w:rPr>
        <w:footnoteReference w:id="2"/>
      </w:r>
      <w:r w:rsidRPr="003727F3">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E0AF6DA" w:rsidR="00454915" w:rsidRPr="003727F3" w:rsidRDefault="006A2DA2" w:rsidP="00454915">
      <w:pPr>
        <w:pStyle w:val="Ttulo2"/>
        <w:rPr>
          <w:rFonts w:eastAsia="Palatino Linotype"/>
        </w:rPr>
      </w:pPr>
      <w:r w:rsidRPr="003727F3">
        <w:rPr>
          <w:rFonts w:eastAsia="Palatino Linotype"/>
        </w:rPr>
        <w:lastRenderedPageBreak/>
        <w:t>QUINTO</w:t>
      </w:r>
      <w:r w:rsidR="00454915" w:rsidRPr="003727F3">
        <w:rPr>
          <w:rFonts w:eastAsia="Palatino Linotype"/>
        </w:rPr>
        <w:t>.</w:t>
      </w:r>
      <w:r w:rsidRPr="003727F3">
        <w:rPr>
          <w:rFonts w:eastAsia="Palatino Linotype"/>
        </w:rPr>
        <w:t xml:space="preserve"> </w:t>
      </w:r>
      <w:r w:rsidR="00454915" w:rsidRPr="003727F3">
        <w:rPr>
          <w:rFonts w:eastAsia="Palatino Linotype"/>
        </w:rPr>
        <w:t>Estudio y resolución del asunto.</w:t>
      </w:r>
    </w:p>
    <w:p w14:paraId="78A9F94F" w14:textId="77777777" w:rsidR="00454915" w:rsidRPr="003727F3" w:rsidRDefault="00454915" w:rsidP="00454915">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3727F3" w:rsidRDefault="004A3367" w:rsidP="004A3367">
      <w:pPr>
        <w:rPr>
          <w:rFonts w:eastAsiaTheme="minorHAnsi" w:cstheme="minorBidi"/>
          <w:sz w:val="22"/>
          <w:lang w:eastAsia="en-US"/>
        </w:rPr>
      </w:pPr>
    </w:p>
    <w:p w14:paraId="4D7CDE69" w14:textId="4ECCB005" w:rsidR="00EC684C" w:rsidRPr="003727F3" w:rsidRDefault="0EE28084" w:rsidP="001F64CA">
      <w:pPr>
        <w:rPr>
          <w:rFonts w:eastAsiaTheme="minorEastAsia" w:cstheme="minorBidi"/>
          <w:lang w:val="es-ES" w:eastAsia="en-US"/>
        </w:rPr>
      </w:pPr>
      <w:r w:rsidRPr="003727F3">
        <w:rPr>
          <w:rFonts w:eastAsiaTheme="minorEastAsia" w:cstheme="minorBidi"/>
          <w:lang w:val="es-ES" w:eastAsia="en-US"/>
        </w:rPr>
        <w:t xml:space="preserve">En virtud de lo anterior, es conveniente recordar que el </w:t>
      </w:r>
      <w:r w:rsidR="00DA0841" w:rsidRPr="003727F3">
        <w:rPr>
          <w:rFonts w:eastAsiaTheme="minorEastAsia" w:cstheme="minorBidi"/>
          <w:lang w:val="es-ES" w:eastAsia="en-US"/>
        </w:rPr>
        <w:t xml:space="preserve">hoy </w:t>
      </w:r>
      <w:r w:rsidRPr="003727F3">
        <w:rPr>
          <w:rFonts w:eastAsiaTheme="minorEastAsia" w:cstheme="minorBidi"/>
          <w:lang w:val="es-ES" w:eastAsia="en-US"/>
        </w:rPr>
        <w:t>Recurrente</w:t>
      </w:r>
      <w:r w:rsidR="00DA0841" w:rsidRPr="003727F3">
        <w:rPr>
          <w:rFonts w:eastAsiaTheme="minorEastAsia" w:cstheme="minorBidi"/>
          <w:lang w:val="es-ES" w:eastAsia="en-US"/>
        </w:rPr>
        <w:t xml:space="preserve"> </w:t>
      </w:r>
      <w:r w:rsidR="0084615A" w:rsidRPr="003727F3">
        <w:rPr>
          <w:rFonts w:eastAsiaTheme="minorEastAsia" w:cstheme="minorBidi"/>
          <w:lang w:val="es-ES" w:eastAsia="en-US"/>
        </w:rPr>
        <w:t xml:space="preserve">requirió </w:t>
      </w:r>
      <w:r w:rsidR="00D4457F" w:rsidRPr="003727F3">
        <w:rPr>
          <w:rFonts w:eastAsiaTheme="minorEastAsia" w:cstheme="minorBidi"/>
          <w:lang w:val="es-ES" w:eastAsia="en-US"/>
        </w:rPr>
        <w:t xml:space="preserve">que </w:t>
      </w:r>
      <w:r w:rsidR="00EC684C" w:rsidRPr="003727F3">
        <w:rPr>
          <w:rFonts w:eastAsiaTheme="minorEastAsia" w:cstheme="minorBidi"/>
          <w:lang w:val="es-ES" w:eastAsia="en-US"/>
        </w:rPr>
        <w:t xml:space="preserve">se le proporcionara </w:t>
      </w:r>
      <w:r w:rsidR="001F64CA" w:rsidRPr="003727F3">
        <w:rPr>
          <w:rFonts w:eastAsiaTheme="minorEastAsia" w:cstheme="minorBidi"/>
          <w:lang w:val="es-ES" w:eastAsia="en-US"/>
        </w:rPr>
        <w:t>lo siguiente:</w:t>
      </w:r>
    </w:p>
    <w:p w14:paraId="200A2EC4" w14:textId="77777777" w:rsidR="00D44364" w:rsidRPr="003727F3" w:rsidRDefault="00D44364" w:rsidP="001F64CA">
      <w:pPr>
        <w:rPr>
          <w:rFonts w:eastAsiaTheme="minorEastAsia" w:cstheme="minorBidi"/>
          <w:lang w:val="es-ES" w:eastAsia="en-US"/>
        </w:rPr>
      </w:pPr>
    </w:p>
    <w:p w14:paraId="2289CA71" w14:textId="1AEE08A3" w:rsidR="00C2513C" w:rsidRPr="003727F3" w:rsidRDefault="00D44364" w:rsidP="001F64CA">
      <w:pPr>
        <w:rPr>
          <w:rFonts w:eastAsiaTheme="minorEastAsia" w:cstheme="minorBidi"/>
          <w:lang w:val="es-ES" w:eastAsia="en-US"/>
        </w:rPr>
      </w:pPr>
      <w:r w:rsidRPr="003727F3">
        <w:rPr>
          <w:rFonts w:eastAsiaTheme="minorEastAsia" w:cstheme="minorBidi"/>
          <w:lang w:val="es-ES" w:eastAsia="en-US"/>
        </w:rPr>
        <w:t>I</w:t>
      </w:r>
      <w:r w:rsidR="00293D90" w:rsidRPr="003727F3">
        <w:rPr>
          <w:rFonts w:eastAsiaTheme="minorEastAsia" w:cstheme="minorBidi"/>
          <w:lang w:val="es-ES" w:eastAsia="en-US"/>
        </w:rPr>
        <w:t>nformación contable, correspondiente a los ejercicios fiscales del año 2019 al año 2024, así como a los pr</w:t>
      </w:r>
      <w:r w:rsidR="00C2513C" w:rsidRPr="003727F3">
        <w:rPr>
          <w:rFonts w:eastAsiaTheme="minorEastAsia" w:cstheme="minorBidi"/>
          <w:lang w:val="es-ES" w:eastAsia="en-US"/>
        </w:rPr>
        <w:t>imeros cinco meses del año 2025.</w:t>
      </w:r>
    </w:p>
    <w:p w14:paraId="1BC201EF" w14:textId="77777777" w:rsidR="00C2513C" w:rsidRPr="003727F3" w:rsidRDefault="00293D90" w:rsidP="00C2513C">
      <w:pPr>
        <w:pStyle w:val="Prrafodelista"/>
        <w:numPr>
          <w:ilvl w:val="0"/>
          <w:numId w:val="69"/>
        </w:numPr>
        <w:rPr>
          <w:rFonts w:eastAsiaTheme="minorEastAsia" w:cstheme="minorBidi"/>
          <w:lang w:eastAsia="en-US"/>
        </w:rPr>
      </w:pPr>
      <w:r w:rsidRPr="003727F3">
        <w:rPr>
          <w:rFonts w:eastAsiaTheme="minorEastAsia" w:cstheme="minorBidi"/>
          <w:lang w:eastAsia="en-US"/>
        </w:rPr>
        <w:t xml:space="preserve">Estados de Posición Financiera (Balance General): </w:t>
      </w:r>
    </w:p>
    <w:p w14:paraId="738B6236"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2019 Diciembre 2019 </w:t>
      </w:r>
    </w:p>
    <w:p w14:paraId="50AD9B2C"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2020 Diciembre 2020 </w:t>
      </w:r>
    </w:p>
    <w:p w14:paraId="003E281C"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2021 Diciembre 2021 </w:t>
      </w:r>
    </w:p>
    <w:p w14:paraId="5C3246C8"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2022 Diciembre 2022 </w:t>
      </w:r>
    </w:p>
    <w:p w14:paraId="12A77B4A"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2023 Diciembre 2023 </w:t>
      </w:r>
    </w:p>
    <w:p w14:paraId="0EB2A5F0" w14:textId="77777777" w:rsidR="00C2513C"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2024 Diciembre 2024 </w:t>
      </w:r>
    </w:p>
    <w:p w14:paraId="3A7772B6" w14:textId="77777777" w:rsidR="00454DE6"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Enero 2025 </w:t>
      </w:r>
    </w:p>
    <w:p w14:paraId="12BBA8E5" w14:textId="77777777" w:rsidR="00454DE6"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Febrero 2025 </w:t>
      </w:r>
    </w:p>
    <w:p w14:paraId="0E45ECE4" w14:textId="77777777" w:rsidR="00454DE6"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lastRenderedPageBreak/>
        <w:t xml:space="preserve">Marzo 2025 </w:t>
      </w:r>
    </w:p>
    <w:p w14:paraId="5991445C" w14:textId="77777777" w:rsidR="00454DE6"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Abril 2025 </w:t>
      </w:r>
    </w:p>
    <w:p w14:paraId="362A17A9" w14:textId="77777777" w:rsidR="00454DE6"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 xml:space="preserve">Mayo 2025 </w:t>
      </w:r>
    </w:p>
    <w:p w14:paraId="62EEB6E5" w14:textId="77777777" w:rsidR="00454DE6" w:rsidRPr="003727F3" w:rsidRDefault="00454DE6" w:rsidP="00C2513C">
      <w:pPr>
        <w:pStyle w:val="Prrafodelista"/>
        <w:ind w:left="720"/>
        <w:rPr>
          <w:rFonts w:eastAsiaTheme="minorEastAsia" w:cstheme="minorBidi"/>
          <w:lang w:eastAsia="en-US"/>
        </w:rPr>
      </w:pPr>
    </w:p>
    <w:p w14:paraId="1D899FC3" w14:textId="07DA7608" w:rsidR="001F64CA" w:rsidRPr="003727F3" w:rsidRDefault="00293D90" w:rsidP="00C2513C">
      <w:pPr>
        <w:pStyle w:val="Prrafodelista"/>
        <w:ind w:left="720"/>
        <w:rPr>
          <w:rFonts w:eastAsiaTheme="minorEastAsia" w:cstheme="minorBidi"/>
          <w:lang w:eastAsia="en-US"/>
        </w:rPr>
      </w:pPr>
      <w:r w:rsidRPr="003727F3">
        <w:rPr>
          <w:rFonts w:eastAsiaTheme="minorEastAsia" w:cstheme="minorBidi"/>
          <w:lang w:eastAsia="en-US"/>
        </w:rPr>
        <w:t>Dicha documentación será utilizada para fines de análisis técnico, cumplimiento normativo y seguimiento administrativo. Agradezco de antemano la atención prestada a esta solicitud y quedo atento a cualquier observación o aclaración adicional.</w:t>
      </w:r>
    </w:p>
    <w:p w14:paraId="577265E5" w14:textId="77777777" w:rsidR="00293D90" w:rsidRPr="003727F3" w:rsidRDefault="00293D90" w:rsidP="001F64CA">
      <w:pPr>
        <w:rPr>
          <w:rFonts w:eastAsiaTheme="minorEastAsia" w:cstheme="minorBidi"/>
          <w:lang w:val="es-ES" w:eastAsia="en-US"/>
        </w:rPr>
      </w:pPr>
    </w:p>
    <w:p w14:paraId="1A124E8B" w14:textId="5C491A00" w:rsidR="00444413" w:rsidRPr="003727F3" w:rsidRDefault="00A970D5" w:rsidP="001B63A6">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t xml:space="preserve">A dicha solicitud, el Sujeto Obligado </w:t>
      </w:r>
      <w:r w:rsidR="001C4CBF" w:rsidRPr="003727F3">
        <w:rPr>
          <w:rFonts w:eastAsia="Palatino Linotype" w:cs="Palatino Linotype"/>
          <w:color w:val="000000"/>
          <w:szCs w:val="24"/>
        </w:rPr>
        <w:t>respondió</w:t>
      </w:r>
      <w:r w:rsidR="001B63A6" w:rsidRPr="003727F3">
        <w:rPr>
          <w:rFonts w:eastAsia="Palatino Linotype" w:cs="Palatino Linotype"/>
          <w:color w:val="000000"/>
          <w:szCs w:val="24"/>
        </w:rPr>
        <w:t xml:space="preserve"> </w:t>
      </w:r>
      <w:r w:rsidR="00444413" w:rsidRPr="003727F3">
        <w:rPr>
          <w:rFonts w:eastAsia="Palatino Linotype" w:cs="Palatino Linotype"/>
          <w:color w:val="000000"/>
          <w:szCs w:val="24"/>
        </w:rPr>
        <w:t>mediante</w:t>
      </w:r>
      <w:r w:rsidR="0008143A" w:rsidRPr="003727F3">
        <w:rPr>
          <w:rFonts w:eastAsia="Palatino Linotype" w:cs="Palatino Linotype"/>
          <w:color w:val="000000"/>
          <w:szCs w:val="24"/>
        </w:rPr>
        <w:t xml:space="preserve"> la entrega de</w:t>
      </w:r>
      <w:r w:rsidR="003F0898" w:rsidRPr="003727F3">
        <w:rPr>
          <w:rFonts w:eastAsia="Palatino Linotype" w:cs="Palatino Linotype"/>
          <w:color w:val="000000"/>
          <w:szCs w:val="24"/>
        </w:rPr>
        <w:t xml:space="preserve"> </w:t>
      </w:r>
      <w:r w:rsidR="00E34A9B" w:rsidRPr="003727F3">
        <w:rPr>
          <w:rFonts w:eastAsia="Palatino Linotype" w:cs="Palatino Linotype"/>
          <w:color w:val="000000"/>
          <w:szCs w:val="24"/>
        </w:rPr>
        <w:t>l</w:t>
      </w:r>
      <w:r w:rsidR="003F0898" w:rsidRPr="003727F3">
        <w:rPr>
          <w:rFonts w:eastAsia="Palatino Linotype" w:cs="Palatino Linotype"/>
          <w:color w:val="000000"/>
          <w:szCs w:val="24"/>
        </w:rPr>
        <w:t>os siguientes documentos:</w:t>
      </w:r>
    </w:p>
    <w:p w14:paraId="07CFE453" w14:textId="77777777" w:rsidR="00AC447B" w:rsidRPr="003727F3" w:rsidRDefault="00AC447B" w:rsidP="001B63A6">
      <w:pPr>
        <w:pBdr>
          <w:top w:val="nil"/>
          <w:left w:val="nil"/>
          <w:bottom w:val="nil"/>
          <w:right w:val="nil"/>
          <w:between w:val="nil"/>
        </w:pBdr>
        <w:contextualSpacing/>
        <w:rPr>
          <w:rFonts w:eastAsia="Palatino Linotype" w:cs="Palatino Linotype"/>
          <w:color w:val="000000"/>
          <w:szCs w:val="24"/>
        </w:rPr>
      </w:pPr>
    </w:p>
    <w:p w14:paraId="425B6B0A" w14:textId="282D2AAC" w:rsidR="0034721E" w:rsidRPr="003727F3" w:rsidRDefault="0034721E" w:rsidP="004576A3">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3727F3">
        <w:rPr>
          <w:rFonts w:eastAsia="Palatino Linotype" w:cs="Palatino Linotype"/>
          <w:color w:val="000000" w:themeColor="text1"/>
        </w:rPr>
        <w:t xml:space="preserve">Oficio sin folio, de </w:t>
      </w:r>
      <w:r w:rsidR="004576A3" w:rsidRPr="003727F3">
        <w:rPr>
          <w:rFonts w:eastAsia="Palatino Linotype" w:cs="Palatino Linotype"/>
          <w:color w:val="000000" w:themeColor="text1"/>
        </w:rPr>
        <w:t>fecha 14 de junio de 2025,  por medio del cual la Titular de la Unidad de Transparencia de Chapultepec, manifiesta posterior a fundamentar su respuesta que al respecto de la información solicitada se adjunta la información turnada por la Tesorería Municipal</w:t>
      </w:r>
      <w:r w:rsidR="005A2E96" w:rsidRPr="003727F3">
        <w:rPr>
          <w:rFonts w:eastAsia="Palatino Linotype" w:cs="Palatino Linotype"/>
          <w:color w:val="000000" w:themeColor="text1"/>
        </w:rPr>
        <w:t>, a través del siguiente enlace electrónico:</w:t>
      </w:r>
    </w:p>
    <w:p w14:paraId="7BD35D7F" w14:textId="77777777" w:rsidR="005A2E96" w:rsidRPr="003727F3" w:rsidRDefault="005A2E96" w:rsidP="005A2E96">
      <w:pPr>
        <w:pStyle w:val="Prrafodelista"/>
        <w:pBdr>
          <w:top w:val="nil"/>
          <w:left w:val="nil"/>
          <w:bottom w:val="nil"/>
          <w:right w:val="nil"/>
          <w:between w:val="nil"/>
        </w:pBdr>
        <w:contextualSpacing/>
        <w:rPr>
          <w:rFonts w:eastAsia="Palatino Linotype" w:cs="Palatino Linotype"/>
          <w:color w:val="000000" w:themeColor="text1"/>
        </w:rPr>
      </w:pPr>
    </w:p>
    <w:p w14:paraId="67CAD549" w14:textId="2A7C40EC" w:rsidR="005A2E96" w:rsidRPr="003727F3" w:rsidRDefault="003778F2" w:rsidP="005A2E96">
      <w:pPr>
        <w:pStyle w:val="Prrafodelista"/>
        <w:pBdr>
          <w:top w:val="nil"/>
          <w:left w:val="nil"/>
          <w:bottom w:val="nil"/>
          <w:right w:val="nil"/>
          <w:between w:val="nil"/>
        </w:pBdr>
        <w:contextualSpacing/>
        <w:rPr>
          <w:rFonts w:eastAsia="Palatino Linotype" w:cs="Palatino Linotype"/>
          <w:color w:val="000000" w:themeColor="text1"/>
        </w:rPr>
      </w:pPr>
      <w:hyperlink r:id="rId8" w:history="1">
        <w:r w:rsidR="005A2E96" w:rsidRPr="003727F3">
          <w:rPr>
            <w:rStyle w:val="Hipervnculo"/>
            <w:rFonts w:eastAsia="Palatino Linotype" w:cs="Palatino Linotype"/>
          </w:rPr>
          <w:t>https://chapultepecedomex-my.sharepoint.com/personal/transparencia_chapultepec_gob_mx/_layouts/15/onedrive.aspx?id=%2Fpersonal%2Ftransparencia%5Fchapultepec%5Fgob%5Fmx%2FDocuments%2FSAIMEX%2F00062%5FCHAPULTEPE%5FIP%5F2025&amp;ga=1</w:t>
        </w:r>
      </w:hyperlink>
      <w:r w:rsidR="005A2E96" w:rsidRPr="003727F3">
        <w:rPr>
          <w:rFonts w:eastAsia="Palatino Linotype" w:cs="Palatino Linotype"/>
          <w:color w:val="000000" w:themeColor="text1"/>
        </w:rPr>
        <w:t xml:space="preserve"> </w:t>
      </w:r>
    </w:p>
    <w:p w14:paraId="482643DC" w14:textId="77777777" w:rsidR="0034721E" w:rsidRPr="003727F3" w:rsidRDefault="0034721E" w:rsidP="005A2E96">
      <w:pPr>
        <w:pStyle w:val="Prrafodelista"/>
        <w:pBdr>
          <w:top w:val="nil"/>
          <w:left w:val="nil"/>
          <w:bottom w:val="nil"/>
          <w:right w:val="nil"/>
          <w:between w:val="nil"/>
        </w:pBdr>
        <w:contextualSpacing/>
        <w:rPr>
          <w:rFonts w:eastAsia="Palatino Linotype" w:cs="Palatino Linotype"/>
          <w:color w:val="000000" w:themeColor="text1"/>
        </w:rPr>
      </w:pPr>
    </w:p>
    <w:p w14:paraId="76B6C114" w14:textId="64B8FC8A" w:rsidR="005A2E96" w:rsidRPr="003727F3" w:rsidRDefault="005A2E96" w:rsidP="005A2E96">
      <w:pPr>
        <w:pStyle w:val="Prrafodelista"/>
        <w:pBdr>
          <w:top w:val="nil"/>
          <w:left w:val="nil"/>
          <w:bottom w:val="nil"/>
          <w:right w:val="nil"/>
          <w:between w:val="nil"/>
        </w:pBdr>
        <w:contextualSpacing/>
        <w:rPr>
          <w:rFonts w:eastAsia="Palatino Linotype" w:cs="Palatino Linotype"/>
          <w:color w:val="000000" w:themeColor="text1"/>
        </w:rPr>
      </w:pPr>
      <w:r w:rsidRPr="003727F3">
        <w:rPr>
          <w:rFonts w:eastAsia="Palatino Linotype" w:cs="Palatino Linotype"/>
          <w:color w:val="000000" w:themeColor="text1"/>
        </w:rPr>
        <w:t>Cabe referir que el enlace lo proporciona en versión pública</w:t>
      </w:r>
      <w:r w:rsidR="00130939" w:rsidRPr="003727F3">
        <w:rPr>
          <w:rFonts w:eastAsia="Palatino Linotype" w:cs="Palatino Linotype"/>
          <w:color w:val="000000" w:themeColor="text1"/>
        </w:rPr>
        <w:t xml:space="preserve">, por lo que de su apertura conduce al sitio web </w:t>
      </w:r>
      <w:r w:rsidR="00610A6D" w:rsidRPr="003727F3">
        <w:rPr>
          <w:rFonts w:eastAsia="Palatino Linotype" w:cs="Palatino Linotype"/>
          <w:color w:val="000000" w:themeColor="text1"/>
        </w:rPr>
        <w:t xml:space="preserve">del Sujeto Obligado, y particularmente a carpetas </w:t>
      </w:r>
      <w:r w:rsidR="00632EA8" w:rsidRPr="003727F3">
        <w:rPr>
          <w:rFonts w:eastAsia="Palatino Linotype" w:cs="Palatino Linotype"/>
          <w:color w:val="000000" w:themeColor="text1"/>
        </w:rPr>
        <w:t xml:space="preserve">que van desde </w:t>
      </w:r>
      <w:r w:rsidR="00632EA8" w:rsidRPr="003727F3">
        <w:rPr>
          <w:rFonts w:eastAsia="Palatino Linotype" w:cs="Palatino Linotype"/>
          <w:color w:val="000000" w:themeColor="text1"/>
        </w:rPr>
        <w:lastRenderedPageBreak/>
        <w:t>el 2019 al 2024 y 2025</w:t>
      </w:r>
      <w:r w:rsidR="00632EA8" w:rsidRPr="003727F3">
        <w:rPr>
          <w:rStyle w:val="Refdenotaalpie"/>
          <w:rFonts w:eastAsia="Palatino Linotype" w:cs="Palatino Linotype"/>
          <w:color w:val="000000" w:themeColor="text1"/>
        </w:rPr>
        <w:footnoteReference w:id="3"/>
      </w:r>
      <w:r w:rsidR="00632EA8" w:rsidRPr="003727F3">
        <w:rPr>
          <w:rFonts w:eastAsia="Palatino Linotype" w:cs="Palatino Linotype"/>
          <w:color w:val="000000" w:themeColor="text1"/>
        </w:rPr>
        <w:t xml:space="preserve"> , las cuales contienen</w:t>
      </w:r>
      <w:r w:rsidR="00130939" w:rsidRPr="003727F3">
        <w:rPr>
          <w:rFonts w:eastAsia="Palatino Linotype" w:cs="Palatino Linotype"/>
          <w:color w:val="000000" w:themeColor="text1"/>
        </w:rPr>
        <w:t xml:space="preserve"> </w:t>
      </w:r>
      <w:r w:rsidR="00F0161D" w:rsidRPr="003727F3">
        <w:rPr>
          <w:rFonts w:eastAsia="Palatino Linotype" w:cs="Palatino Linotype"/>
          <w:color w:val="000000" w:themeColor="text1"/>
        </w:rPr>
        <w:t xml:space="preserve">los Estados financieros, desglosado por </w:t>
      </w:r>
      <w:r w:rsidR="00784AD8" w:rsidRPr="003727F3">
        <w:rPr>
          <w:rFonts w:eastAsia="Palatino Linotype" w:cs="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C1F58BE" wp14:editId="45830078">
                <wp:simplePos x="0" y="0"/>
                <wp:positionH relativeFrom="column">
                  <wp:posOffset>2774621</wp:posOffset>
                </wp:positionH>
                <wp:positionV relativeFrom="paragraph">
                  <wp:posOffset>478887</wp:posOffset>
                </wp:positionV>
                <wp:extent cx="703646" cy="231149"/>
                <wp:effectExtent l="0" t="0" r="20320" b="35560"/>
                <wp:wrapNone/>
                <wp:docPr id="3" name="Conector recto 3"/>
                <wp:cNvGraphicFramePr/>
                <a:graphic xmlns:a="http://schemas.openxmlformats.org/drawingml/2006/main">
                  <a:graphicData uri="http://schemas.microsoft.com/office/word/2010/wordprocessingShape">
                    <wps:wsp>
                      <wps:cNvCnPr/>
                      <wps:spPr>
                        <a:xfrm flipV="1">
                          <a:off x="0" y="0"/>
                          <a:ext cx="703646" cy="231149"/>
                        </a:xfrm>
                        <a:prstGeom prst="line">
                          <a:avLst/>
                        </a:prstGeom>
                        <a:ln w="19050">
                          <a:solidFill>
                            <a:srgbClr val="D6EE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166593"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37.7pt" to="273.8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6n6gEAABgEAAAOAAAAZHJzL2Uyb0RvYy54bWysU02P0zAQvSPxHyzfaZJ2KbtR0xVqd7kg&#10;qJaPu+vYjSV/aWya9N8zdtKwgDiAuDix/ebNvDfjzf1gNDkLCMrZhlaLkhJhuWuVPTX0y+fHV7eU&#10;hMhsy7SzoqEXEej99uWLTe9rsXSd060AgiQ21L1vaBejr4si8E4YFhbOC4uX0oFhEbdwKlpgPbIb&#10;XSzLcl30DloPjosQ8HQ/XtJt5pdS8PhRyiAi0Q3F2mJeIa/HtBbbDatPwHyn+FQG+4cqDFMWk85U&#10;exYZ+QbqNyqjOLjgZFxwZwonpeIia0A1VfmLmk8d8yJrQXOCn20K/4+WfzgfgKi2oStKLDPYoh02&#10;ikcHBNKHrJJHvQ81Qnf2ANMu+AMkwYMEQ6RW/iu2P1uAosiQHb7MDoshEo6Hb8rV+mZNCcer5aqq&#10;bu4SezHSJDoPIb4TzpD001CtbDKA1ez8PsQReoWkY21Jj3nvytdlhgWnVfuotE6XAU7HnQZyZtj8&#10;/frh4fbtlO0ZDHNriyUkhaOm/BcvWowJnoREf7D2UV2eTDHTMs6FjdXEqy2iU5jEEubAqbQ00n8K&#10;nPApVOSp/ZvgOSJndjbOwUZZB6MxP2ePw7VkOeKvDoy6kwVH115yt7M1OH65T9NTSfP9fJ/Dfzzo&#10;7XcAAAD//wMAUEsDBBQABgAIAAAAIQC/uvA14QAAAAoBAAAPAAAAZHJzL2Rvd25yZXYueG1sTI9B&#10;S8NAEIXvgv9hGcGb3cSmTRuzKSIICiJYa+lxm4yb0OxsyG6a6K93POlxeB/vfZNvJtuKM/a+caQg&#10;nkUgkEpXNWQU7N4fb1YgfNBU6dYRKvhCD5vi8iLXWeVGesPzNhjBJeQzraAOocuk9GWNVvuZ65A4&#10;+3S91YHP3siq1yOX21beRtFSWt0QL9S6w4cay9N2sAom+fI87Oenj9F0hydrvofdwb8qdX013d+B&#10;CDiFPxh+9VkdCnY6uoEqL1oFyXy5ZlRBukhAMLBI0hTEkck4XoEscvn/heIHAAD//wMAUEsBAi0A&#10;FAAGAAgAAAAhALaDOJL+AAAA4QEAABMAAAAAAAAAAAAAAAAAAAAAAFtDb250ZW50X1R5cGVzXS54&#10;bWxQSwECLQAUAAYACAAAACEAOP0h/9YAAACUAQAACwAAAAAAAAAAAAAAAAAvAQAAX3JlbHMvLnJl&#10;bHNQSwECLQAUAAYACAAAACEA1xVOp+oBAAAYBAAADgAAAAAAAAAAAAAAAAAuAgAAZHJzL2Uyb0Rv&#10;Yy54bWxQSwECLQAUAAYACAAAACEAv7rwNeEAAAAKAQAADwAAAAAAAAAAAAAAAABEBAAAZHJzL2Rv&#10;d25yZXYueG1sUEsFBgAAAAAEAAQA8wAAAFIFAAAAAA==&#10;" strokecolor="#d6ee8a" strokeweight="1.5pt">
                <v:stroke joinstyle="miter"/>
              </v:line>
            </w:pict>
          </mc:Fallback>
        </mc:AlternateContent>
      </w:r>
      <w:r w:rsidR="0031165E" w:rsidRPr="003727F3">
        <w:rPr>
          <w:rFonts w:eastAsia="Palatino Linotype" w:cs="Palatino Linotype"/>
          <w:noProof/>
          <w:color w:val="000000" w:themeColor="text1"/>
          <w:lang w:val="es-MX" w:eastAsia="es-MX"/>
        </w:rPr>
        <w:drawing>
          <wp:anchor distT="0" distB="0" distL="114300" distR="114300" simplePos="0" relativeHeight="251659264" behindDoc="0" locked="0" layoutInCell="1" allowOverlap="1" wp14:anchorId="6CE65EC9" wp14:editId="492F2CF5">
            <wp:simplePos x="0" y="0"/>
            <wp:positionH relativeFrom="column">
              <wp:posOffset>3432530</wp:posOffset>
            </wp:positionH>
            <wp:positionV relativeFrom="paragraph">
              <wp:posOffset>476589</wp:posOffset>
            </wp:positionV>
            <wp:extent cx="2019935" cy="2745105"/>
            <wp:effectExtent l="19050" t="19050" r="18415" b="171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0F3A.tmp"/>
                    <pic:cNvPicPr/>
                  </pic:nvPicPr>
                  <pic:blipFill>
                    <a:blip r:embed="rId9">
                      <a:extLst>
                        <a:ext uri="{28A0092B-C50C-407E-A947-70E740481C1C}">
                          <a14:useLocalDpi xmlns:a14="http://schemas.microsoft.com/office/drawing/2010/main" val="0"/>
                        </a:ext>
                      </a:extLst>
                    </a:blip>
                    <a:stretch>
                      <a:fillRect/>
                    </a:stretch>
                  </pic:blipFill>
                  <pic:spPr>
                    <a:xfrm>
                      <a:off x="0" y="0"/>
                      <a:ext cx="2019935" cy="2745105"/>
                    </a:xfrm>
                    <a:prstGeom prst="rect">
                      <a:avLst/>
                    </a:prstGeom>
                    <a:ln w="19050">
                      <a:solidFill>
                        <a:srgbClr val="D6EE8A"/>
                      </a:solidFill>
                    </a:ln>
                  </pic:spPr>
                </pic:pic>
              </a:graphicData>
            </a:graphic>
            <wp14:sizeRelH relativeFrom="margin">
              <wp14:pctWidth>0</wp14:pctWidth>
            </wp14:sizeRelH>
            <wp14:sizeRelV relativeFrom="margin">
              <wp14:pctHeight>0</wp14:pctHeight>
            </wp14:sizeRelV>
          </wp:anchor>
        </w:drawing>
      </w:r>
      <w:r w:rsidR="00F0161D" w:rsidRPr="003727F3">
        <w:rPr>
          <w:rFonts w:eastAsia="Palatino Linotype" w:cs="Palatino Linotype"/>
          <w:color w:val="000000" w:themeColor="text1"/>
        </w:rPr>
        <w:t>mes.</w:t>
      </w:r>
    </w:p>
    <w:p w14:paraId="26B54ABD" w14:textId="031E48D1"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r w:rsidRPr="003727F3">
        <w:rPr>
          <w:rFonts w:eastAsia="Palatino Linotype" w:cs="Palatino Linotype"/>
          <w:noProof/>
          <w:color w:val="000000" w:themeColor="text1"/>
          <w:lang w:val="es-MX" w:eastAsia="es-MX"/>
        </w:rPr>
        <w:drawing>
          <wp:anchor distT="0" distB="0" distL="114300" distR="114300" simplePos="0" relativeHeight="251658240" behindDoc="0" locked="0" layoutInCell="1" allowOverlap="1" wp14:anchorId="133A89FE" wp14:editId="0ACEE2B0">
            <wp:simplePos x="0" y="0"/>
            <wp:positionH relativeFrom="column">
              <wp:posOffset>337746</wp:posOffset>
            </wp:positionH>
            <wp:positionV relativeFrom="paragraph">
              <wp:posOffset>76200</wp:posOffset>
            </wp:positionV>
            <wp:extent cx="2489924" cy="2235717"/>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0FAAC.tmp"/>
                    <pic:cNvPicPr/>
                  </pic:nvPicPr>
                  <pic:blipFill>
                    <a:blip r:embed="rId10">
                      <a:extLst>
                        <a:ext uri="{28A0092B-C50C-407E-A947-70E740481C1C}">
                          <a14:useLocalDpi xmlns:a14="http://schemas.microsoft.com/office/drawing/2010/main" val="0"/>
                        </a:ext>
                      </a:extLst>
                    </a:blip>
                    <a:stretch>
                      <a:fillRect/>
                    </a:stretch>
                  </pic:blipFill>
                  <pic:spPr>
                    <a:xfrm>
                      <a:off x="0" y="0"/>
                      <a:ext cx="2489924" cy="2235717"/>
                    </a:xfrm>
                    <a:prstGeom prst="rect">
                      <a:avLst/>
                    </a:prstGeom>
                  </pic:spPr>
                </pic:pic>
              </a:graphicData>
            </a:graphic>
            <wp14:sizeRelH relativeFrom="margin">
              <wp14:pctWidth>0</wp14:pctWidth>
            </wp14:sizeRelH>
            <wp14:sizeRelV relativeFrom="margin">
              <wp14:pctHeight>0</wp14:pctHeight>
            </wp14:sizeRelV>
          </wp:anchor>
        </w:drawing>
      </w:r>
    </w:p>
    <w:p w14:paraId="14010E81" w14:textId="3BDC3AF7" w:rsidR="00F0161D" w:rsidRPr="003727F3" w:rsidRDefault="00784AD8" w:rsidP="005A2E96">
      <w:pPr>
        <w:pStyle w:val="Prrafodelista"/>
        <w:pBdr>
          <w:top w:val="nil"/>
          <w:left w:val="nil"/>
          <w:bottom w:val="nil"/>
          <w:right w:val="nil"/>
          <w:between w:val="nil"/>
        </w:pBdr>
        <w:contextualSpacing/>
        <w:rPr>
          <w:rFonts w:eastAsia="Palatino Linotype" w:cs="Palatino Linotype"/>
          <w:color w:val="000000" w:themeColor="text1"/>
        </w:rPr>
      </w:pPr>
      <w:r w:rsidRPr="003727F3">
        <w:rPr>
          <w:rFonts w:eastAsia="Palatino Linotype" w:cs="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42D78550" wp14:editId="7FC2C480">
                <wp:simplePos x="0" y="0"/>
                <wp:positionH relativeFrom="column">
                  <wp:posOffset>2773473</wp:posOffset>
                </wp:positionH>
                <wp:positionV relativeFrom="paragraph">
                  <wp:posOffset>76435</wp:posOffset>
                </wp:positionV>
                <wp:extent cx="659219" cy="2147807"/>
                <wp:effectExtent l="0" t="0" r="26670" b="24130"/>
                <wp:wrapNone/>
                <wp:docPr id="4" name="Conector recto 4"/>
                <wp:cNvGraphicFramePr/>
                <a:graphic xmlns:a="http://schemas.openxmlformats.org/drawingml/2006/main">
                  <a:graphicData uri="http://schemas.microsoft.com/office/word/2010/wordprocessingShape">
                    <wps:wsp>
                      <wps:cNvCnPr/>
                      <wps:spPr>
                        <a:xfrm>
                          <a:off x="0" y="0"/>
                          <a:ext cx="659219" cy="2147807"/>
                        </a:xfrm>
                        <a:prstGeom prst="line">
                          <a:avLst/>
                        </a:prstGeom>
                        <a:ln w="19050">
                          <a:solidFill>
                            <a:srgbClr val="D6EE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373FAB"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pt,6pt" to="270.3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Z4AEAAA8EAAAOAAAAZHJzL2Uyb0RvYy54bWysU9uO0zAQfUfiHyy/0yRVt9tGTVeo3eUF&#10;QbXAB7iO3VjyTWPTtH/P2EmzK0BIIF6c2J5zZs6Z8ebhYjQ5CwjK2YZWs5ISYblrlT019NvXp3cr&#10;SkJktmXaWdHQqwj0Yfv2zab3tZi7zulWAEESG+reN7SL0ddFEXgnDAsz54XFS+nAsIhbOBUtsB7Z&#10;jS7mZbksegetB8dFCHi6Hy7pNvNLKXj8LGUQkeiGYm0xr5DXY1qL7YbVJ2C+U3wsg/1DFYYpi0kn&#10;qj2LjHwH9QuVURxccDLOuDOFk1JxkTWgmqr8Sc2XjnmRtaA5wU82hf9Hyz+dD0BU29AFJZYZbNEO&#10;G8WjAwLpQxbJo96HGkN39gDjLvgDJMEXCSZ9UQq5ZF+vk6/iEgnHw+Xdel6tKeF4Na8W96vyPpEW&#10;L2gPIX4QzpD001CtbNLNanb+GOIQegtJx9qSHqdtXd6VOSw4rdonpXW6DHA67jSQM8Oe75ePj6v3&#10;Y7ZXYZhbWywhCRuk5L941WJI8Cwk2oLFV0OGNJBiomWcCxurkVdbjE4wiSVMwLG0PwHH+AQVeVj/&#10;BjwhcmZn4wQ2yjr4XdnxcitZDvE3BwbdyYKja6+5ydkanLrcp/GFpLF+vc/wl3e8/QEAAP//AwBQ&#10;SwMEFAAGAAgAAAAhAJBgQo3gAAAACgEAAA8AAABkcnMvZG93bnJldi54bWxMj0FPg0AUhO8m/ofN&#10;M/Fi7FKg1CBLY0zsTZNWL70t7BNQ9i1hl5b21/s86XEyk5lvis1se3HE0XeOFCwXEQik2pmOGgUf&#10;7y/3DyB80GR07wgVnNHDpry+KnRu3Il2eNyHRnAJ+VwraEMYcil93aLVfuEGJPY+3Wh1YDk20oz6&#10;xOW2l3EUZdLqjnih1QM+t1h/7yerILuc6W5Kt9Xr1iwv67dkMPXXQanbm/npEUTAOfyF4Ref0aFk&#10;pspNZLzoFaRJxuiBjZg/cWCVRhmISkGyimKQZSH/Xyh/AAAA//8DAFBLAQItABQABgAIAAAAIQC2&#10;gziS/gAAAOEBAAATAAAAAAAAAAAAAAAAAAAAAABbQ29udGVudF9UeXBlc10ueG1sUEsBAi0AFAAG&#10;AAgAAAAhADj9If/WAAAAlAEAAAsAAAAAAAAAAAAAAAAALwEAAF9yZWxzLy5yZWxzUEsBAi0AFAAG&#10;AAgAAAAhAH8g7JngAQAADwQAAA4AAAAAAAAAAAAAAAAALgIAAGRycy9lMm9Eb2MueG1sUEsBAi0A&#10;FAAGAAgAAAAhAJBgQo3gAAAACgEAAA8AAAAAAAAAAAAAAAAAOgQAAGRycy9kb3ducmV2LnhtbFBL&#10;BQYAAAAABAAEAPMAAABHBQAAAAA=&#10;" strokecolor="#d6ee8a" strokeweight="1.5pt">
                <v:stroke joinstyle="miter"/>
              </v:line>
            </w:pict>
          </mc:Fallback>
        </mc:AlternateContent>
      </w:r>
    </w:p>
    <w:p w14:paraId="1EE2C0FF" w14:textId="455FD5BD"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19D183F2" w14:textId="3F3FDA52"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15BFAB2A" w14:textId="5E9C87EA"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75163256" w14:textId="0247CAF8"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14F778D9" w14:textId="77777777"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616C6B39" w14:textId="77777777"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175A6544" w14:textId="77777777" w:rsidR="00F0161D" w:rsidRPr="003727F3" w:rsidRDefault="00F0161D" w:rsidP="005A2E96">
      <w:pPr>
        <w:pStyle w:val="Prrafodelista"/>
        <w:pBdr>
          <w:top w:val="nil"/>
          <w:left w:val="nil"/>
          <w:bottom w:val="nil"/>
          <w:right w:val="nil"/>
          <w:between w:val="nil"/>
        </w:pBdr>
        <w:contextualSpacing/>
        <w:rPr>
          <w:rFonts w:eastAsia="Palatino Linotype" w:cs="Palatino Linotype"/>
          <w:color w:val="000000" w:themeColor="text1"/>
        </w:rPr>
      </w:pPr>
    </w:p>
    <w:p w14:paraId="45D71A97" w14:textId="77777777" w:rsidR="000B0919" w:rsidRPr="003727F3" w:rsidRDefault="000B0919" w:rsidP="0031165E">
      <w:pPr>
        <w:pBdr>
          <w:top w:val="nil"/>
          <w:left w:val="nil"/>
          <w:bottom w:val="nil"/>
          <w:right w:val="nil"/>
          <w:between w:val="nil"/>
        </w:pBdr>
        <w:contextualSpacing/>
        <w:rPr>
          <w:rFonts w:eastAsia="Palatino Linotype" w:cs="Palatino Linotype"/>
          <w:color w:val="000000" w:themeColor="text1"/>
        </w:rPr>
      </w:pPr>
    </w:p>
    <w:p w14:paraId="01EBA957" w14:textId="37502624" w:rsidR="00F0161D" w:rsidRPr="003727F3" w:rsidRDefault="00F0161D" w:rsidP="0031165E">
      <w:pPr>
        <w:pBdr>
          <w:top w:val="nil"/>
          <w:left w:val="nil"/>
          <w:bottom w:val="nil"/>
          <w:right w:val="nil"/>
          <w:between w:val="nil"/>
        </w:pBdr>
        <w:contextualSpacing/>
        <w:rPr>
          <w:rFonts w:eastAsia="Palatino Linotype" w:cs="Palatino Linotype"/>
          <w:color w:val="000000" w:themeColor="text1"/>
        </w:rPr>
      </w:pPr>
      <w:r w:rsidRPr="003727F3">
        <w:rPr>
          <w:rFonts w:eastAsia="Palatino Linotype" w:cs="Palatino Linotype"/>
          <w:color w:val="000000" w:themeColor="text1"/>
        </w:rPr>
        <w:t>D</w:t>
      </w:r>
      <w:r w:rsidR="0031165E" w:rsidRPr="003727F3">
        <w:rPr>
          <w:rFonts w:eastAsia="Palatino Linotype" w:cs="Palatino Linotype"/>
          <w:color w:val="000000" w:themeColor="text1"/>
        </w:rPr>
        <w:t>e</w:t>
      </w:r>
      <w:r w:rsidRPr="003727F3">
        <w:rPr>
          <w:rFonts w:eastAsia="Palatino Linotype" w:cs="Palatino Linotype"/>
          <w:color w:val="000000" w:themeColor="text1"/>
        </w:rPr>
        <w:t xml:space="preserve"> forma tal, que el Sujeto Obligado cumple con proporcionar</w:t>
      </w:r>
      <w:r w:rsidR="0031165E" w:rsidRPr="003727F3">
        <w:rPr>
          <w:rFonts w:eastAsia="Palatino Linotype" w:cs="Palatino Linotype"/>
          <w:color w:val="000000" w:themeColor="text1"/>
        </w:rPr>
        <w:t xml:space="preserve"> parte de </w:t>
      </w:r>
      <w:r w:rsidRPr="003727F3">
        <w:rPr>
          <w:rFonts w:eastAsia="Palatino Linotype" w:cs="Palatino Linotype"/>
          <w:color w:val="000000" w:themeColor="text1"/>
        </w:rPr>
        <w:t xml:space="preserve">la información </w:t>
      </w:r>
      <w:r w:rsidR="0031165E" w:rsidRPr="003727F3">
        <w:rPr>
          <w:rFonts w:eastAsia="Palatino Linotype" w:cs="Palatino Linotype"/>
          <w:color w:val="000000" w:themeColor="text1"/>
        </w:rPr>
        <w:t xml:space="preserve">en formato accesible. </w:t>
      </w:r>
    </w:p>
    <w:p w14:paraId="4DEE6B98" w14:textId="77777777" w:rsidR="0031165E" w:rsidRPr="003727F3" w:rsidRDefault="0031165E" w:rsidP="0031165E">
      <w:pPr>
        <w:pStyle w:val="Prrafodelista"/>
        <w:pBdr>
          <w:top w:val="nil"/>
          <w:left w:val="nil"/>
          <w:bottom w:val="nil"/>
          <w:right w:val="nil"/>
          <w:between w:val="nil"/>
        </w:pBdr>
        <w:ind w:left="0"/>
        <w:contextualSpacing/>
        <w:rPr>
          <w:rFonts w:eastAsia="Palatino Linotype" w:cs="Palatino Linotype"/>
          <w:bCs/>
          <w:color w:val="000000"/>
          <w:lang w:val="es-MX"/>
        </w:rPr>
      </w:pPr>
    </w:p>
    <w:p w14:paraId="6823EBCB" w14:textId="4927785A" w:rsidR="000B0919" w:rsidRPr="003727F3" w:rsidRDefault="000B0919" w:rsidP="0031165E">
      <w:pPr>
        <w:pStyle w:val="Prrafodelista"/>
        <w:pBdr>
          <w:top w:val="nil"/>
          <w:left w:val="nil"/>
          <w:bottom w:val="nil"/>
          <w:right w:val="nil"/>
          <w:between w:val="nil"/>
        </w:pBdr>
        <w:ind w:left="0"/>
        <w:contextualSpacing/>
        <w:rPr>
          <w:rFonts w:eastAsia="Palatino Linotype" w:cs="Palatino Linotype"/>
          <w:bCs/>
          <w:color w:val="000000"/>
          <w:lang w:val="es-MX"/>
        </w:rPr>
      </w:pPr>
      <w:r w:rsidRPr="003727F3">
        <w:rPr>
          <w:rFonts w:eastAsia="Palatino Linotype" w:cs="Palatino Linotype"/>
          <w:bCs/>
          <w:color w:val="000000"/>
          <w:lang w:val="es-MX"/>
        </w:rPr>
        <w:t xml:space="preserve">En el oficio de respuesta, manifiesta además </w:t>
      </w:r>
      <w:r w:rsidR="00255198" w:rsidRPr="003727F3">
        <w:rPr>
          <w:rFonts w:eastAsia="Palatino Linotype" w:cs="Palatino Linotype"/>
          <w:bCs/>
          <w:color w:val="000000"/>
          <w:lang w:val="es-MX"/>
        </w:rPr>
        <w:t>que la información correspondiente al segundo trimestre de 2025 aún no ha sido adjuntada, ya que el periodo de reporte respectivo no ha concluido y la documentación se encuentra en proceso de revisión y firma. Una vez finalizado dicho proceso y realizado lo conducente, esta información será incorporada en el sistema IPOMEX conforme a los plazos establecidos.</w:t>
      </w:r>
    </w:p>
    <w:p w14:paraId="0A40F6A1" w14:textId="77777777" w:rsidR="00255198" w:rsidRPr="003727F3" w:rsidRDefault="00255198" w:rsidP="0031165E">
      <w:pPr>
        <w:pStyle w:val="Prrafodelista"/>
        <w:pBdr>
          <w:top w:val="nil"/>
          <w:left w:val="nil"/>
          <w:bottom w:val="nil"/>
          <w:right w:val="nil"/>
          <w:between w:val="nil"/>
        </w:pBdr>
        <w:ind w:left="0"/>
        <w:contextualSpacing/>
        <w:rPr>
          <w:rFonts w:eastAsia="Palatino Linotype" w:cs="Palatino Linotype"/>
          <w:bCs/>
          <w:color w:val="000000"/>
          <w:lang w:val="es-MX"/>
        </w:rPr>
      </w:pPr>
    </w:p>
    <w:p w14:paraId="79424179" w14:textId="33FBDDB3" w:rsidR="00255198" w:rsidRPr="003727F3" w:rsidRDefault="00255198" w:rsidP="00255198">
      <w:pPr>
        <w:pStyle w:val="Prrafodelista"/>
        <w:pBdr>
          <w:top w:val="nil"/>
          <w:left w:val="nil"/>
          <w:bottom w:val="nil"/>
          <w:right w:val="nil"/>
          <w:between w:val="nil"/>
        </w:pBdr>
        <w:ind w:left="0"/>
        <w:contextualSpacing/>
        <w:jc w:val="center"/>
        <w:rPr>
          <w:rFonts w:eastAsia="Palatino Linotype" w:cs="Palatino Linotype"/>
          <w:bCs/>
          <w:color w:val="000000"/>
          <w:lang w:val="es-MX"/>
        </w:rPr>
      </w:pPr>
      <w:r w:rsidRPr="003727F3">
        <w:rPr>
          <w:rFonts w:eastAsia="Palatino Linotype" w:cs="Palatino Linotype"/>
          <w:bCs/>
          <w:color w:val="000000"/>
          <w:lang w:val="es-MX"/>
        </w:rPr>
        <w:t>-Finaliza el oficio con el nombre y cargo de la respondiente-</w:t>
      </w:r>
    </w:p>
    <w:p w14:paraId="663749C7" w14:textId="77777777" w:rsidR="00DF47BF" w:rsidRPr="003727F3"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3727F3">
        <w:rPr>
          <w:rFonts w:eastAsia="Palatino Linotype" w:cs="Palatino Linotype"/>
          <w:color w:val="000000" w:themeColor="text1"/>
          <w:lang w:val="es-ES"/>
        </w:rPr>
        <w:lastRenderedPageBreak/>
        <w:t>Ante la respuesta em</w:t>
      </w:r>
      <w:r w:rsidR="002623AA" w:rsidRPr="003727F3">
        <w:rPr>
          <w:rFonts w:eastAsia="Palatino Linotype" w:cs="Palatino Linotype"/>
          <w:color w:val="000000" w:themeColor="text1"/>
          <w:lang w:val="es-ES"/>
        </w:rPr>
        <w:t>itida por el Sujeto Obligado, el</w:t>
      </w:r>
      <w:r w:rsidRPr="003727F3">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w:t>
      </w:r>
      <w:r w:rsidRPr="003727F3">
        <w:rPr>
          <w:rFonts w:eastAsia="Palatino Linotype" w:cs="Palatino Linotype"/>
          <w:b/>
          <w:color w:val="000000" w:themeColor="text1"/>
          <w:lang w:val="es-ES"/>
        </w:rPr>
        <w:t>acto impugnado</w:t>
      </w:r>
      <w:r w:rsidR="00021AB4" w:rsidRPr="003727F3">
        <w:rPr>
          <w:rFonts w:eastAsia="Palatino Linotype" w:cs="Palatino Linotype"/>
          <w:color w:val="000000" w:themeColor="text1"/>
          <w:lang w:val="es-ES"/>
        </w:rPr>
        <w:t xml:space="preserve"> </w:t>
      </w:r>
      <w:r w:rsidR="00792C4E" w:rsidRPr="003727F3">
        <w:rPr>
          <w:rFonts w:eastAsia="Palatino Linotype" w:cs="Palatino Linotype"/>
          <w:color w:val="000000" w:themeColor="text1"/>
          <w:lang w:val="es-ES"/>
        </w:rPr>
        <w:t xml:space="preserve">0062/CHAPULTE/IP/2025, </w:t>
      </w:r>
      <w:r w:rsidR="00021AB4" w:rsidRPr="003727F3">
        <w:rPr>
          <w:rFonts w:eastAsia="Palatino Linotype" w:cs="Palatino Linotype"/>
          <w:color w:val="000000" w:themeColor="text1"/>
          <w:lang w:val="es-ES"/>
        </w:rPr>
        <w:t xml:space="preserve">y </w:t>
      </w:r>
      <w:r w:rsidR="00010A8D" w:rsidRPr="003727F3">
        <w:rPr>
          <w:rFonts w:eastAsia="Palatino Linotype" w:cs="Palatino Linotype"/>
          <w:color w:val="000000" w:themeColor="text1"/>
          <w:lang w:val="es-ES"/>
        </w:rPr>
        <w:t xml:space="preserve">dando </w:t>
      </w:r>
      <w:r w:rsidR="00010A8D" w:rsidRPr="003727F3">
        <w:rPr>
          <w:rFonts w:eastAsia="Palatino Linotype" w:cs="Palatino Linotype"/>
          <w:b/>
          <w:color w:val="000000" w:themeColor="text1"/>
          <w:lang w:val="es-ES"/>
        </w:rPr>
        <w:t xml:space="preserve">como </w:t>
      </w:r>
      <w:r w:rsidR="001B63A6" w:rsidRPr="003727F3">
        <w:rPr>
          <w:rFonts w:eastAsia="Palatino Linotype" w:cs="Palatino Linotype"/>
          <w:b/>
          <w:color w:val="000000" w:themeColor="text1"/>
          <w:lang w:val="es-ES"/>
        </w:rPr>
        <w:t>razones o motivos de inconformidad</w:t>
      </w:r>
      <w:r w:rsidR="001B63A6" w:rsidRPr="003727F3">
        <w:rPr>
          <w:rFonts w:eastAsia="Palatino Linotype" w:cs="Palatino Linotype"/>
          <w:color w:val="000000" w:themeColor="text1"/>
          <w:lang w:val="es-ES"/>
        </w:rPr>
        <w:t xml:space="preserve"> </w:t>
      </w:r>
      <w:r w:rsidR="00792C4E" w:rsidRPr="003727F3">
        <w:rPr>
          <w:rFonts w:eastAsia="Palatino Linotype" w:cs="Palatino Linotype"/>
          <w:color w:val="000000" w:themeColor="text1"/>
          <w:lang w:val="es-ES"/>
        </w:rPr>
        <w:t xml:space="preserve">Argumentos del recurrente: </w:t>
      </w:r>
      <w:r w:rsidR="00792C4E" w:rsidRPr="003727F3">
        <w:rPr>
          <w:rFonts w:eastAsia="Palatino Linotype" w:cs="Palatino Linotype"/>
          <w:color w:val="000000" w:themeColor="text1"/>
          <w:u w:val="single"/>
          <w:lang w:val="es-ES"/>
        </w:rPr>
        <w:t>La solicitud fue clara y precisa</w:t>
      </w:r>
      <w:r w:rsidR="00792C4E" w:rsidRPr="003727F3">
        <w:rPr>
          <w:rFonts w:eastAsia="Palatino Linotype" w:cs="Palatino Linotype"/>
          <w:color w:val="000000" w:themeColor="text1"/>
          <w:lang w:val="es-ES"/>
        </w:rPr>
        <w:t xml:space="preserve">: Se solicitó la entrega de los estados financieros mensuales del ejercicio fiscal 2019 al 2025, </w:t>
      </w:r>
      <w:r w:rsidR="00792C4E" w:rsidRPr="003727F3">
        <w:rPr>
          <w:rFonts w:eastAsia="Palatino Linotype" w:cs="Palatino Linotype"/>
          <w:color w:val="000000" w:themeColor="text1"/>
          <w:u w:val="single"/>
          <w:lang w:val="es-ES"/>
        </w:rPr>
        <w:t>comprendiendo específicamente de enero a mayo de 2025.</w:t>
      </w:r>
      <w:r w:rsidR="00792C4E" w:rsidRPr="003727F3">
        <w:rPr>
          <w:rFonts w:eastAsia="Palatino Linotype" w:cs="Palatino Linotype"/>
          <w:color w:val="000000" w:themeColor="text1"/>
          <w:lang w:val="es-ES"/>
        </w:rPr>
        <w:t xml:space="preserve"> El sujeto obligado únicamente </w:t>
      </w:r>
      <w:r w:rsidR="00792C4E" w:rsidRPr="003727F3">
        <w:rPr>
          <w:rFonts w:eastAsia="Palatino Linotype" w:cs="Palatino Linotype"/>
          <w:color w:val="000000" w:themeColor="text1"/>
          <w:u w:val="single"/>
          <w:lang w:val="es-ES"/>
        </w:rPr>
        <w:t>entregó información hasta marzo 2025</w:t>
      </w:r>
      <w:r w:rsidR="00792C4E" w:rsidRPr="003727F3">
        <w:rPr>
          <w:rFonts w:eastAsia="Palatino Linotype" w:cs="Palatino Linotype"/>
          <w:color w:val="000000" w:themeColor="text1"/>
          <w:lang w:val="es-ES"/>
        </w:rPr>
        <w:t xml:space="preserve">, </w:t>
      </w:r>
      <w:r w:rsidR="00792C4E" w:rsidRPr="003727F3">
        <w:rPr>
          <w:rFonts w:eastAsia="Palatino Linotype" w:cs="Palatino Linotype"/>
          <w:color w:val="000000" w:themeColor="text1"/>
          <w:u w:val="single"/>
          <w:lang w:val="es-ES"/>
        </w:rPr>
        <w:t>omitiendo por completo los meses de abril y mayo</w:t>
      </w:r>
      <w:r w:rsidR="00792C4E" w:rsidRPr="003727F3">
        <w:rPr>
          <w:rFonts w:eastAsia="Palatino Linotype" w:cs="Palatino Linotype"/>
          <w:color w:val="000000" w:themeColor="text1"/>
          <w:lang w:val="es-ES"/>
        </w:rPr>
        <w:t xml:space="preserve">, sin causa legal válida. La propia respuesta contiene una contradicción grave y un patrón de simulación reiterada: </w:t>
      </w:r>
      <w:r w:rsidR="00792C4E" w:rsidRPr="003727F3">
        <w:rPr>
          <w:rFonts w:eastAsia="Palatino Linotype" w:cs="Palatino Linotype"/>
          <w:color w:val="000000" w:themeColor="text1"/>
          <w:u w:val="single"/>
          <w:lang w:val="es-ES"/>
        </w:rPr>
        <w:t>En su escrito de entrega, el sujeto obligado afirma que los estados financieros del segundo trimestre del año 2025 no han sido concluidos porque están “en proceso de revisión y firma</w:t>
      </w:r>
      <w:r w:rsidR="00792C4E" w:rsidRPr="003727F3">
        <w:rPr>
          <w:rFonts w:eastAsia="Palatino Linotype" w:cs="Palatino Linotype"/>
          <w:color w:val="000000" w:themeColor="text1"/>
          <w:lang w:val="es-ES"/>
        </w:rPr>
        <w:t xml:space="preserve">”. Sin embargo: La respuesta fue elaborada el 14 de junio de 2025 y enviada hasta el 14 de julio de 2025, es decir, transcurrió un mes sin que se subsanara la supuesta revisión o firma. </w:t>
      </w:r>
      <w:r w:rsidR="00792C4E" w:rsidRPr="003727F3">
        <w:rPr>
          <w:rFonts w:eastAsia="Palatino Linotype" w:cs="Palatino Linotype"/>
          <w:color w:val="000000" w:themeColor="text1"/>
          <w:u w:val="single"/>
          <w:lang w:val="es-ES"/>
        </w:rPr>
        <w:t>Los documentos entregados carecen de firma y sello, lo que no solo invalida su carácter oficial</w:t>
      </w:r>
      <w:r w:rsidR="00792C4E" w:rsidRPr="003727F3">
        <w:rPr>
          <w:rFonts w:eastAsia="Palatino Linotype" w:cs="Palatino Linotype"/>
          <w:color w:val="000000" w:themeColor="text1"/>
          <w:lang w:val="es-ES"/>
        </w:rPr>
        <w:t xml:space="preserve">, sino también desmiente el argumento de que estaban en proceso de firma y autorización. Además, los estados financieros de años anteriores también se encuentran sin firma, lo que evidencia un patrón reiterado y sistemático de entrega incompleta y </w:t>
      </w:r>
      <w:r w:rsidR="00792C4E" w:rsidRPr="003727F3">
        <w:rPr>
          <w:rFonts w:eastAsia="Palatino Linotype" w:cs="Palatino Linotype"/>
          <w:color w:val="000000" w:themeColor="text1"/>
          <w:u w:val="single"/>
          <w:lang w:val="es-ES"/>
        </w:rPr>
        <w:t>carente de valor legal</w:t>
      </w:r>
      <w:r w:rsidR="00792C4E" w:rsidRPr="003727F3">
        <w:rPr>
          <w:rFonts w:eastAsia="Palatino Linotype" w:cs="Palatino Linotype"/>
          <w:color w:val="000000" w:themeColor="text1"/>
          <w:lang w:val="es-ES"/>
        </w:rPr>
        <w:t xml:space="preserve">, en contradicción directa con las obligaciones de los sujetos obligados en materia de información contable. La respuesta fue elaborada el 14 de junio de 2025 y enviada hasta el 14 de julio de 2025, es decir, transcurrió un mes completo sin que se subsanara la supuesta revisión o firma de los documentos. Los documentos entregados carecen de sello o firma alguna, lo que invalida no solo su valor oficial, sino también la justificación utilizada por el sujeto obligado, quien sostiene que no podían ser entregados porque estaban “en proceso de firma y autorización”. Por lo tanto, la entrega de archivos sin firma contradice y anula su propio argumento, configurando una respuesta </w:t>
      </w:r>
      <w:r w:rsidR="00792C4E" w:rsidRPr="003727F3">
        <w:rPr>
          <w:rFonts w:eastAsia="Palatino Linotype" w:cs="Palatino Linotype"/>
          <w:color w:val="000000" w:themeColor="text1"/>
          <w:lang w:val="es-ES"/>
        </w:rPr>
        <w:lastRenderedPageBreak/>
        <w:t xml:space="preserve">engañosa y simulada. Existe dolo o simulación en la respuesta: El sujeto obligado reconoce que ya cuenta con la información, pero alega razones que no se sostienen para no entregarla formalmente. Esta conducta vulnera el principio de máxima publicidad, genera una afectación directa al derecho de acceso a la información pública y constituye una violación grave a los principios de veracidad, congruencia y legalidad. Petición concreta: Solicito que el INFOEM tenga por presentado este recurso de revisión, lo admita y, en su momento, RESUELVA lo siguiente: Se </w:t>
      </w:r>
      <w:r w:rsidR="00792C4E" w:rsidRPr="003727F3">
        <w:rPr>
          <w:rFonts w:eastAsia="Palatino Linotype" w:cs="Palatino Linotype"/>
          <w:color w:val="000000" w:themeColor="text1"/>
          <w:u w:val="single"/>
          <w:lang w:val="es-ES"/>
        </w:rPr>
        <w:t>ordene al sujeto obligado entregar la información faltante correspondiente a los estados financieros de abril y mayo de 202</w:t>
      </w:r>
      <w:r w:rsidR="00792C4E" w:rsidRPr="003727F3">
        <w:rPr>
          <w:rFonts w:eastAsia="Palatino Linotype" w:cs="Palatino Linotype"/>
          <w:color w:val="000000" w:themeColor="text1"/>
          <w:lang w:val="es-ES"/>
        </w:rPr>
        <w:t xml:space="preserve">5. </w:t>
      </w:r>
      <w:r w:rsidR="00792C4E" w:rsidRPr="003727F3">
        <w:rPr>
          <w:rFonts w:eastAsia="Palatino Linotype" w:cs="Palatino Linotype"/>
          <w:color w:val="000000" w:themeColor="text1"/>
          <w:u w:val="single"/>
          <w:lang w:val="es-ES"/>
        </w:rPr>
        <w:t>Se requiera que dicha información se entregue completa, firmada, sellada y con validez oficial</w:t>
      </w:r>
      <w:r w:rsidR="00792C4E" w:rsidRPr="003727F3">
        <w:rPr>
          <w:rFonts w:eastAsia="Palatino Linotype" w:cs="Palatino Linotype"/>
          <w:color w:val="000000" w:themeColor="text1"/>
          <w:lang w:val="es-ES"/>
        </w:rPr>
        <w:t>, como corresponde a documentos públicos contables. Se emita pronunciamiento sobre la posible existencia de dolo o simulación por parte del sujeto obligado al argumentar un proceso de firma que no se refleja en los archivos entregados</w:t>
      </w:r>
      <w:r w:rsidR="00010A8D" w:rsidRPr="003727F3">
        <w:rPr>
          <w:rFonts w:eastAsia="Palatino Linotype" w:cs="Palatino Linotype"/>
          <w:color w:val="000000" w:themeColor="text1"/>
          <w:lang w:val="es-ES"/>
        </w:rPr>
        <w:t>.</w:t>
      </w:r>
      <w:r w:rsidR="00DF47BF" w:rsidRPr="003727F3">
        <w:rPr>
          <w:rFonts w:eastAsia="Palatino Linotype" w:cs="Palatino Linotype"/>
          <w:color w:val="000000" w:themeColor="text1"/>
          <w:lang w:val="es-ES"/>
        </w:rPr>
        <w:t xml:space="preserve"> </w:t>
      </w:r>
    </w:p>
    <w:p w14:paraId="6128DFF4" w14:textId="721648BC" w:rsidR="00A970D5" w:rsidRPr="003727F3" w:rsidRDefault="00DF47BF" w:rsidP="00DF47BF">
      <w:pPr>
        <w:pBdr>
          <w:top w:val="nil"/>
          <w:left w:val="nil"/>
          <w:bottom w:val="nil"/>
          <w:right w:val="nil"/>
          <w:between w:val="nil"/>
        </w:pBdr>
        <w:contextualSpacing/>
        <w:jc w:val="right"/>
        <w:rPr>
          <w:rFonts w:eastAsia="Palatino Linotype" w:cs="Palatino Linotype"/>
          <w:color w:val="000000"/>
          <w:lang w:val="es-ES"/>
        </w:rPr>
      </w:pPr>
      <w:r w:rsidRPr="003727F3">
        <w:rPr>
          <w:rFonts w:eastAsia="Palatino Linotype" w:cs="Palatino Linotype"/>
          <w:color w:val="000000" w:themeColor="text1"/>
          <w:lang w:val="es-ES"/>
        </w:rPr>
        <w:t>(</w:t>
      </w:r>
      <w:proofErr w:type="gramStart"/>
      <w:r w:rsidRPr="003727F3">
        <w:rPr>
          <w:rFonts w:eastAsia="Palatino Linotype" w:cs="Palatino Linotype"/>
          <w:color w:val="000000" w:themeColor="text1"/>
          <w:lang w:val="es-ES"/>
        </w:rPr>
        <w:t>énfasis</w:t>
      </w:r>
      <w:proofErr w:type="gramEnd"/>
      <w:r w:rsidRPr="003727F3">
        <w:rPr>
          <w:rFonts w:eastAsia="Palatino Linotype" w:cs="Palatino Linotype"/>
          <w:color w:val="000000" w:themeColor="text1"/>
          <w:lang w:val="es-ES"/>
        </w:rPr>
        <w:t xml:space="preserve"> añadido)</w:t>
      </w:r>
    </w:p>
    <w:p w14:paraId="4A6500B8" w14:textId="77777777" w:rsidR="008F50E6" w:rsidRPr="003727F3" w:rsidRDefault="008F50E6" w:rsidP="00A04222"/>
    <w:p w14:paraId="195FC3B6" w14:textId="29BFE7B2" w:rsidR="001D39CA" w:rsidRPr="003727F3" w:rsidRDefault="001D39CA" w:rsidP="003F0898">
      <w:r w:rsidRPr="003727F3">
        <w:t>Por lo que de las razones y motivos de inconformidad</w:t>
      </w:r>
      <w:r w:rsidR="00491554" w:rsidRPr="003727F3">
        <w:t xml:space="preserve"> podemos apreciar que únicamente muestra inconformidad con que no le fue proporcionada la información correspondiente a los meses de </w:t>
      </w:r>
      <w:r w:rsidR="008E777F" w:rsidRPr="003727F3">
        <w:t xml:space="preserve">abril y mayo de la anualidad actuante, por lo que de la restante (en temporalidad) que si le fue entregada </w:t>
      </w:r>
      <w:r w:rsidR="003C7BD8" w:rsidRPr="003727F3">
        <w:t>al no presentar agravios, se tiene por consentida.</w:t>
      </w:r>
    </w:p>
    <w:p w14:paraId="53C6F9D3" w14:textId="47CA64B2" w:rsidR="0083744F" w:rsidRPr="003727F3" w:rsidRDefault="0083744F" w:rsidP="0083744F">
      <w:pPr>
        <w:tabs>
          <w:tab w:val="left" w:pos="709"/>
        </w:tabs>
        <w:spacing w:before="240" w:after="160"/>
        <w:ind w:right="51"/>
        <w:rPr>
          <w:rFonts w:eastAsiaTheme="minorHAnsi" w:cs="Arial"/>
          <w:szCs w:val="24"/>
          <w:lang w:val="es-ES" w:eastAsia="en-US"/>
        </w:rPr>
      </w:pPr>
      <w:r w:rsidRPr="003727F3">
        <w:rPr>
          <w:rFonts w:eastAsiaTheme="minorHAnsi" w:cstheme="minorBidi"/>
          <w:szCs w:val="24"/>
          <w:lang w:val="es-ES"/>
        </w:rPr>
        <w:t xml:space="preserve">Ya que </w:t>
      </w:r>
      <w:r w:rsidRPr="003727F3">
        <w:rPr>
          <w:rFonts w:eastAsiaTheme="minorHAnsi" w:cs="Arial"/>
          <w:szCs w:val="24"/>
          <w:lang w:val="es-ES"/>
        </w:rPr>
        <w:t xml:space="preserve">no pueden producirse efectos jurídicos tendentes a revocar, confirmar o modificar la parte de la respuesta con relación a la parte de la solicitud que no fue motivo de disenso ya que se infiere un consentimiento del </w:t>
      </w:r>
      <w:r w:rsidRPr="003727F3">
        <w:rPr>
          <w:rFonts w:eastAsiaTheme="minorHAnsi" w:cs="Arial"/>
          <w:b/>
          <w:szCs w:val="24"/>
          <w:lang w:val="es-ES"/>
        </w:rPr>
        <w:t>Recurrente</w:t>
      </w:r>
      <w:r w:rsidRPr="003727F3">
        <w:rPr>
          <w:rFonts w:eastAsiaTheme="minorHAnsi" w:cs="Arial"/>
          <w:szCs w:val="24"/>
          <w:lang w:val="es-ES"/>
        </w:rPr>
        <w:t xml:space="preserve"> ante la falta de impugnación eficaz. </w:t>
      </w:r>
      <w:r w:rsidRPr="003727F3">
        <w:rPr>
          <w:rFonts w:eastAsiaTheme="minorHAnsi" w:cs="Arial"/>
          <w:szCs w:val="24"/>
          <w:lang w:val="es-ES" w:eastAsia="en-US"/>
        </w:rPr>
        <w:t xml:space="preserve">Sirve de sustento a lo anterior, por analogía, la tesis jurisprudencial, que a la letra dice: </w:t>
      </w:r>
    </w:p>
    <w:p w14:paraId="136AEB19"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“Época: Novena</w:t>
      </w:r>
    </w:p>
    <w:p w14:paraId="07C9D096"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lastRenderedPageBreak/>
        <w:t>Registro: 176608</w:t>
      </w:r>
    </w:p>
    <w:p w14:paraId="6453CE4D"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Tipo de tesis: Jurisprudencia</w:t>
      </w:r>
    </w:p>
    <w:p w14:paraId="7E1E4892"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Fuente: Semanario Judicial de la Federación y su Gaceta</w:t>
      </w:r>
    </w:p>
    <w:p w14:paraId="6AD2F8C1"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Diciembre de 2005, Tomo XXII</w:t>
      </w:r>
    </w:p>
    <w:p w14:paraId="3A9DFDB9"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Materia (s): Común</w:t>
      </w:r>
    </w:p>
    <w:p w14:paraId="5A1B748D"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Tesis: VI. 3o.C. J/60</w:t>
      </w:r>
    </w:p>
    <w:p w14:paraId="6A5336F6" w14:textId="77777777" w:rsidR="0083744F" w:rsidRPr="003727F3" w:rsidRDefault="0083744F" w:rsidP="0083744F">
      <w:pPr>
        <w:spacing w:before="240" w:after="160"/>
        <w:ind w:left="851" w:right="851"/>
        <w:rPr>
          <w:rFonts w:eastAsia="Times New Roman" w:cs="Times New Roman"/>
          <w:i/>
          <w:sz w:val="22"/>
          <w:lang w:val="es-ES" w:eastAsia="es-ES"/>
        </w:rPr>
      </w:pPr>
      <w:r w:rsidRPr="003727F3">
        <w:rPr>
          <w:rFonts w:eastAsia="Times New Roman" w:cs="Times New Roman"/>
          <w:i/>
          <w:sz w:val="22"/>
          <w:lang w:val="es-ES" w:eastAsia="es-ES"/>
        </w:rPr>
        <w:t>Página: 2365</w:t>
      </w:r>
    </w:p>
    <w:p w14:paraId="1570713B" w14:textId="77777777" w:rsidR="0083744F" w:rsidRPr="003727F3" w:rsidRDefault="0083744F" w:rsidP="0083744F">
      <w:pPr>
        <w:spacing w:before="240" w:after="160"/>
        <w:ind w:left="851" w:right="851"/>
        <w:rPr>
          <w:rFonts w:eastAsiaTheme="minorHAnsi" w:cs="Arial"/>
          <w:i/>
          <w:sz w:val="22"/>
          <w:lang w:val="es-ES"/>
        </w:rPr>
      </w:pPr>
      <w:r w:rsidRPr="003727F3">
        <w:rPr>
          <w:rFonts w:eastAsiaTheme="minorHAnsi" w:cs="Arial"/>
          <w:i/>
          <w:sz w:val="22"/>
          <w:lang w:val="es-ES"/>
        </w:rPr>
        <w:t xml:space="preserve"> </w:t>
      </w:r>
      <w:r w:rsidRPr="003727F3">
        <w:rPr>
          <w:rFonts w:eastAsiaTheme="minorHAnsi" w:cs="Arial"/>
          <w:b/>
          <w:i/>
          <w:sz w:val="22"/>
          <w:lang w:val="es-ES"/>
        </w:rPr>
        <w:t>ACTOS CONSENTIDOS. SON LOS QUE NO SE IMPUGNAN MEDIANTE EL RECURSO IDÓNEO</w:t>
      </w:r>
      <w:r w:rsidRPr="003727F3">
        <w:rPr>
          <w:rFonts w:eastAsiaTheme="minorHAnsi" w:cs="Arial"/>
          <w:i/>
          <w:sz w:val="22"/>
          <w:lang w:val="es-ES"/>
        </w:rPr>
        <w:t xml:space="preserve">. </w:t>
      </w:r>
    </w:p>
    <w:p w14:paraId="15B4B390" w14:textId="77777777" w:rsidR="0083744F" w:rsidRPr="003727F3" w:rsidRDefault="0083744F" w:rsidP="0083744F">
      <w:pPr>
        <w:spacing w:before="240" w:after="160"/>
        <w:ind w:left="851" w:right="851"/>
        <w:rPr>
          <w:rFonts w:eastAsiaTheme="minorHAnsi" w:cs="Arial"/>
          <w:i/>
          <w:sz w:val="22"/>
          <w:lang w:val="es-ES"/>
        </w:rPr>
      </w:pPr>
      <w:r w:rsidRPr="003727F3">
        <w:rPr>
          <w:rFonts w:eastAsiaTheme="minorHAnsi" w:cs="Arial"/>
          <w:i/>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594798" w14:textId="77777777" w:rsidR="0083744F" w:rsidRPr="003727F3" w:rsidRDefault="0083744F" w:rsidP="0083744F">
      <w:pPr>
        <w:spacing w:before="240" w:after="160"/>
        <w:ind w:left="851" w:right="851"/>
        <w:rPr>
          <w:rFonts w:eastAsia="Times New Roman"/>
          <w:i/>
          <w:color w:val="000000"/>
          <w:sz w:val="22"/>
          <w:lang w:val="es-ES"/>
        </w:rPr>
      </w:pPr>
      <w:r w:rsidRPr="003727F3">
        <w:rPr>
          <w:rFonts w:eastAsia="Times New Roman"/>
          <w:i/>
          <w:color w:val="000000"/>
          <w:sz w:val="22"/>
          <w:lang w:val="es-ES"/>
        </w:rPr>
        <w:t>TERCER TRIBUNAL COLEGIADO EN MATERIA CIVIL DEL SEXTO CIRCUITO.</w:t>
      </w:r>
    </w:p>
    <w:p w14:paraId="0C1C7979" w14:textId="77777777" w:rsidR="0083744F" w:rsidRPr="003727F3" w:rsidRDefault="0083744F" w:rsidP="0083744F">
      <w:pPr>
        <w:spacing w:before="240" w:after="160"/>
        <w:ind w:left="851" w:right="851"/>
        <w:rPr>
          <w:rFonts w:eastAsia="Times New Roman"/>
          <w:i/>
          <w:color w:val="444444"/>
          <w:sz w:val="22"/>
          <w:lang w:val="es-ES"/>
        </w:rPr>
      </w:pPr>
      <w:r w:rsidRPr="003727F3">
        <w:rPr>
          <w:rFonts w:eastAsia="Times New Roman"/>
          <w:i/>
          <w:color w:val="444444"/>
          <w:sz w:val="22"/>
          <w:lang w:val="es-ES"/>
        </w:rPr>
        <w:t>Amparo en revisión 2/90. Germán Miguel Núñez Rivera. 13 de noviembre de 1990. Unanimidad de votos. Ponente: Juan Manuel Brito Velázquez. Secretaria: Luz del Carmen Herrera Calderón.</w:t>
      </w:r>
    </w:p>
    <w:p w14:paraId="3B6CD5F9" w14:textId="77777777" w:rsidR="0083744F" w:rsidRPr="003727F3" w:rsidRDefault="0083744F" w:rsidP="0083744F">
      <w:pPr>
        <w:spacing w:before="240" w:after="160"/>
        <w:ind w:left="851" w:right="851"/>
        <w:rPr>
          <w:rFonts w:eastAsia="Times New Roman"/>
          <w:i/>
          <w:color w:val="444444"/>
          <w:sz w:val="22"/>
          <w:lang w:val="es-ES"/>
        </w:rPr>
      </w:pPr>
      <w:r w:rsidRPr="003727F3">
        <w:rPr>
          <w:rFonts w:eastAsia="Times New Roman"/>
          <w:i/>
          <w:color w:val="444444"/>
          <w:sz w:val="22"/>
          <w:lang w:val="es-ES"/>
        </w:rPr>
        <w:lastRenderedPageBreak/>
        <w:t xml:space="preserve">Amparo en revisión 393/90. Amparo </w:t>
      </w:r>
      <w:proofErr w:type="spellStart"/>
      <w:r w:rsidRPr="003727F3">
        <w:rPr>
          <w:rFonts w:eastAsia="Times New Roman"/>
          <w:i/>
          <w:color w:val="444444"/>
          <w:sz w:val="22"/>
          <w:lang w:val="es-ES"/>
        </w:rPr>
        <w:t>Naylor</w:t>
      </w:r>
      <w:proofErr w:type="spellEnd"/>
      <w:r w:rsidRPr="003727F3">
        <w:rPr>
          <w:rFonts w:eastAsia="Times New Roman"/>
          <w:i/>
          <w:color w:val="444444"/>
          <w:sz w:val="22"/>
          <w:lang w:val="es-ES"/>
        </w:rPr>
        <w:t xml:space="preserve"> Hernández y otros. 6 de diciembre de 1990. Unanimidad de votos. Ponente: Juan Manuel Brito Velázquez. Secretaria: María Dolores Olarte Ruvalcaba.</w:t>
      </w:r>
    </w:p>
    <w:p w14:paraId="59598214" w14:textId="77777777" w:rsidR="0083744F" w:rsidRPr="003727F3" w:rsidRDefault="0083744F" w:rsidP="0083744F">
      <w:pPr>
        <w:spacing w:before="240" w:after="160"/>
        <w:ind w:left="851" w:right="851"/>
        <w:rPr>
          <w:rFonts w:eastAsia="Times New Roman"/>
          <w:i/>
          <w:color w:val="444444"/>
          <w:sz w:val="22"/>
          <w:lang w:val="es-ES"/>
        </w:rPr>
      </w:pPr>
      <w:r w:rsidRPr="003727F3">
        <w:rPr>
          <w:rFonts w:eastAsia="Times New Roman"/>
          <w:i/>
          <w:color w:val="444444"/>
          <w:sz w:val="22"/>
          <w:lang w:val="es-ES"/>
        </w:rPr>
        <w:t>Amparo directo 352/2000. Omar González Morales. 1o. de septiembre de 2000. Unanimidad de votos. Ponente: Teresa Munguía Sánchez. Secretaria: Julieta Esther Fernández Gaona.</w:t>
      </w:r>
    </w:p>
    <w:p w14:paraId="59E02430" w14:textId="77777777" w:rsidR="0083744F" w:rsidRPr="003727F3" w:rsidRDefault="0083744F" w:rsidP="0083744F">
      <w:pPr>
        <w:spacing w:before="240" w:after="160"/>
        <w:ind w:left="851" w:right="851"/>
        <w:rPr>
          <w:rFonts w:eastAsia="Times New Roman"/>
          <w:i/>
          <w:color w:val="444444"/>
          <w:sz w:val="22"/>
          <w:lang w:val="es-ES"/>
        </w:rPr>
      </w:pPr>
      <w:r w:rsidRPr="003727F3">
        <w:rPr>
          <w:rFonts w:eastAsia="Times New Roman"/>
          <w:i/>
          <w:color w:val="444444"/>
          <w:sz w:val="22"/>
          <w:lang w:val="es-ES"/>
        </w:rPr>
        <w:t xml:space="preserve">Amparo directo 366/2005. Virginia </w:t>
      </w:r>
      <w:proofErr w:type="spellStart"/>
      <w:r w:rsidRPr="003727F3">
        <w:rPr>
          <w:rFonts w:eastAsia="Times New Roman"/>
          <w:i/>
          <w:color w:val="444444"/>
          <w:sz w:val="22"/>
          <w:lang w:val="es-ES"/>
        </w:rPr>
        <w:t>Quixihuitl</w:t>
      </w:r>
      <w:proofErr w:type="spellEnd"/>
      <w:r w:rsidRPr="003727F3">
        <w:rPr>
          <w:rFonts w:eastAsia="Times New Roman"/>
          <w:i/>
          <w:color w:val="444444"/>
          <w:sz w:val="22"/>
          <w:lang w:val="es-ES"/>
        </w:rPr>
        <w:t xml:space="preserve"> Burgos y otra. 14 de octubre de 2005. Unanimidad de votos. Ponente: Norma </w:t>
      </w:r>
      <w:proofErr w:type="spellStart"/>
      <w:r w:rsidRPr="003727F3">
        <w:rPr>
          <w:rFonts w:eastAsia="Times New Roman"/>
          <w:i/>
          <w:color w:val="444444"/>
          <w:sz w:val="22"/>
          <w:lang w:val="es-ES"/>
        </w:rPr>
        <w:t>Fiallega</w:t>
      </w:r>
      <w:proofErr w:type="spellEnd"/>
      <w:r w:rsidRPr="003727F3">
        <w:rPr>
          <w:rFonts w:eastAsia="Times New Roman"/>
          <w:i/>
          <w:color w:val="444444"/>
          <w:sz w:val="22"/>
          <w:lang w:val="es-ES"/>
        </w:rPr>
        <w:t xml:space="preserve"> Sánchez. Secretario: Horacio Óscar Rosete Mentado.</w:t>
      </w:r>
    </w:p>
    <w:p w14:paraId="06D926FF" w14:textId="77777777" w:rsidR="0083744F" w:rsidRPr="003727F3" w:rsidRDefault="0083744F" w:rsidP="0083744F">
      <w:pPr>
        <w:spacing w:before="240" w:after="160"/>
        <w:ind w:left="851" w:right="851"/>
        <w:rPr>
          <w:rFonts w:eastAsia="Times New Roman"/>
          <w:b/>
          <w:i/>
          <w:color w:val="444444"/>
          <w:sz w:val="22"/>
          <w:lang w:val="es-ES"/>
        </w:rPr>
      </w:pPr>
      <w:r w:rsidRPr="003727F3">
        <w:rPr>
          <w:rFonts w:eastAsia="Times New Roman"/>
          <w:i/>
          <w:color w:val="444444"/>
          <w:sz w:val="22"/>
          <w:lang w:val="es-ES"/>
        </w:rPr>
        <w:t xml:space="preserve">Amparo en revisión 353/2005. Francisco Torres Coronel y otro. 4 de noviembre de 2005. Unanimidad de votos. Ponente: Filiberto Méndez Gutiérrez. Secretaria: Carla </w:t>
      </w:r>
      <w:proofErr w:type="spellStart"/>
      <w:r w:rsidRPr="003727F3">
        <w:rPr>
          <w:rFonts w:eastAsia="Times New Roman"/>
          <w:i/>
          <w:color w:val="444444"/>
          <w:sz w:val="22"/>
          <w:lang w:val="es-ES"/>
        </w:rPr>
        <w:t>Isselín</w:t>
      </w:r>
      <w:proofErr w:type="spellEnd"/>
      <w:r w:rsidRPr="003727F3">
        <w:rPr>
          <w:rFonts w:eastAsia="Times New Roman"/>
          <w:i/>
          <w:color w:val="444444"/>
          <w:sz w:val="22"/>
          <w:lang w:val="es-ES"/>
        </w:rPr>
        <w:t xml:space="preserve"> Talavera.” </w:t>
      </w:r>
      <w:r w:rsidRPr="003727F3">
        <w:rPr>
          <w:rFonts w:eastAsia="Times New Roman"/>
          <w:b/>
          <w:i/>
          <w:color w:val="444444"/>
          <w:sz w:val="22"/>
          <w:lang w:val="es-ES"/>
        </w:rPr>
        <w:t>[Sic]</w:t>
      </w:r>
    </w:p>
    <w:p w14:paraId="53B9CB25" w14:textId="77777777" w:rsidR="0083744F" w:rsidRPr="003727F3" w:rsidRDefault="0083744F" w:rsidP="0083744F">
      <w:pPr>
        <w:rPr>
          <w:rFonts w:eastAsiaTheme="minorHAnsi" w:cs="Arial"/>
          <w:noProof/>
          <w:color w:val="000000"/>
          <w:lang w:val="es-ES"/>
        </w:rPr>
      </w:pPr>
    </w:p>
    <w:p w14:paraId="19B3215C" w14:textId="77777777" w:rsidR="0083744F" w:rsidRPr="003727F3" w:rsidRDefault="0083744F" w:rsidP="0083744F">
      <w:pPr>
        <w:rPr>
          <w:rFonts w:eastAsiaTheme="minorHAnsi" w:cs="Arial"/>
          <w:noProof/>
          <w:color w:val="000000"/>
          <w:lang w:val="es-ES"/>
        </w:rPr>
      </w:pPr>
      <w:r w:rsidRPr="003727F3">
        <w:rPr>
          <w:rFonts w:eastAsiaTheme="minorHAnsi" w:cs="Arial"/>
          <w:noProof/>
          <w:color w:val="000000"/>
          <w:lang w:val="es-ES"/>
        </w:rPr>
        <w:t xml:space="preserve">De forma complementaria, robustece lo anterior el criterio </w:t>
      </w:r>
      <w:r w:rsidRPr="003727F3">
        <w:rPr>
          <w:rFonts w:eastAsiaTheme="minorHAnsi" w:cs="Arial"/>
          <w:b/>
          <w:bCs/>
          <w:noProof/>
          <w:color w:val="000000"/>
          <w:lang w:val="es-ES"/>
        </w:rPr>
        <w:t xml:space="preserve">01/20 </w:t>
      </w:r>
      <w:r w:rsidRPr="003727F3">
        <w:rPr>
          <w:rFonts w:eastAsiaTheme="minorHAnsi" w:cs="Arial"/>
          <w:noProof/>
          <w:color w:val="000000"/>
          <w:lang w:val="es-ES"/>
        </w:rPr>
        <w:t xml:space="preserve">emitido por el Instituto Nacional de Transparencia, Acceso a la Información y Protección de Datos Personales, cuyo rubro y texto señalan a la literalidad lo siguiente: </w:t>
      </w:r>
    </w:p>
    <w:p w14:paraId="081394E0" w14:textId="77777777" w:rsidR="0083744F" w:rsidRPr="003727F3" w:rsidRDefault="0083744F" w:rsidP="0083744F">
      <w:pPr>
        <w:spacing w:before="240" w:after="160"/>
        <w:ind w:left="851" w:right="851"/>
        <w:rPr>
          <w:rFonts w:eastAsiaTheme="minorHAnsi" w:cs="Arial"/>
          <w:b/>
          <w:i/>
          <w:sz w:val="22"/>
          <w:lang w:val="es-ES" w:eastAsia="en-US"/>
        </w:rPr>
      </w:pPr>
      <w:r w:rsidRPr="003727F3">
        <w:rPr>
          <w:rFonts w:eastAsiaTheme="minorHAnsi" w:cs="Arial"/>
          <w:b/>
          <w:i/>
          <w:sz w:val="22"/>
          <w:lang w:val="es-ES" w:eastAsia="en-US"/>
        </w:rPr>
        <w:t xml:space="preserve">“ACTOS CONSENTIDOS TÁCITAMENTE. IMPROCEDENCIA DE SU ANÁLISIS. </w:t>
      </w:r>
    </w:p>
    <w:p w14:paraId="72430FAB" w14:textId="77777777" w:rsidR="0083744F" w:rsidRPr="003727F3" w:rsidRDefault="0083744F" w:rsidP="0083744F">
      <w:pPr>
        <w:spacing w:before="240" w:after="160"/>
        <w:ind w:left="851" w:right="851"/>
        <w:rPr>
          <w:rFonts w:eastAsiaTheme="minorHAnsi" w:cs="Arial"/>
          <w:i/>
          <w:strike/>
          <w:sz w:val="22"/>
          <w:lang w:val="es-ES" w:eastAsia="en-US"/>
        </w:rPr>
      </w:pPr>
      <w:r w:rsidRPr="003727F3">
        <w:rPr>
          <w:rFonts w:eastAsiaTheme="minorHAnsi" w:cs="Arial"/>
          <w:i/>
          <w:sz w:val="22"/>
          <w:lang w:val="es-ES" w:eastAsia="en-US"/>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1BCF91A" w14:textId="77777777" w:rsidR="0083744F" w:rsidRPr="003727F3" w:rsidRDefault="0083744F" w:rsidP="0083744F">
      <w:pPr>
        <w:spacing w:before="240" w:after="160"/>
        <w:ind w:left="851" w:right="851"/>
        <w:rPr>
          <w:rFonts w:eastAsiaTheme="minorHAnsi" w:cs="Arial"/>
          <w:b/>
          <w:bCs/>
          <w:i/>
          <w:sz w:val="22"/>
          <w:lang w:val="es-ES" w:eastAsia="en-US"/>
        </w:rPr>
      </w:pPr>
      <w:r w:rsidRPr="003727F3">
        <w:rPr>
          <w:rFonts w:eastAsiaTheme="minorHAnsi" w:cs="Arial"/>
          <w:b/>
          <w:bCs/>
          <w:i/>
          <w:sz w:val="22"/>
          <w:lang w:val="es-ES" w:eastAsia="en-US"/>
        </w:rPr>
        <w:t>Resoluciones:</w:t>
      </w:r>
    </w:p>
    <w:p w14:paraId="19AD162A" w14:textId="77777777" w:rsidR="0083744F" w:rsidRPr="003727F3" w:rsidRDefault="0083744F" w:rsidP="0083744F">
      <w:pPr>
        <w:spacing w:before="240" w:after="160"/>
        <w:ind w:left="851" w:right="851"/>
        <w:rPr>
          <w:rFonts w:eastAsiaTheme="minorHAnsi" w:cs="Arial"/>
          <w:i/>
          <w:sz w:val="22"/>
          <w:lang w:val="es-ES" w:eastAsia="en-US"/>
        </w:rPr>
      </w:pPr>
      <w:r w:rsidRPr="003727F3">
        <w:rPr>
          <w:rFonts w:eastAsiaTheme="minorHAnsi" w:cs="Arial"/>
          <w:b/>
          <w:i/>
          <w:sz w:val="22"/>
          <w:lang w:val="es-ES" w:eastAsia="en-US"/>
        </w:rPr>
        <w:lastRenderedPageBreak/>
        <w:t xml:space="preserve">RRA 4548/18. </w:t>
      </w:r>
      <w:r w:rsidRPr="003727F3">
        <w:rPr>
          <w:rFonts w:eastAsiaTheme="minorHAnsi" w:cs="Arial"/>
          <w:i/>
          <w:sz w:val="22"/>
          <w:lang w:val="es-ES" w:eastAsia="en-US"/>
        </w:rPr>
        <w:t>Instituto de Seguridad y Servicios Sociales de los Trabajadores del Estado. 12 de septiembre de 2018. Por unanimidad. Comisionado Ponente Oscar Mauricio Guerra Ford.</w:t>
      </w:r>
    </w:p>
    <w:p w14:paraId="20381A2F" w14:textId="77777777" w:rsidR="0083744F" w:rsidRPr="003727F3" w:rsidRDefault="003778F2" w:rsidP="0083744F">
      <w:pPr>
        <w:spacing w:before="240" w:after="160"/>
        <w:ind w:left="851" w:right="851"/>
        <w:rPr>
          <w:rFonts w:eastAsiaTheme="minorHAnsi" w:cs="Arial"/>
          <w:i/>
          <w:sz w:val="20"/>
          <w:lang w:val="es-ES" w:eastAsia="en-US"/>
        </w:rPr>
      </w:pPr>
      <w:hyperlink r:id="rId11" w:history="1">
        <w:r w:rsidR="0083744F" w:rsidRPr="003727F3">
          <w:rPr>
            <w:rFonts w:eastAsiaTheme="minorHAnsi" w:cs="Arial"/>
            <w:i/>
            <w:color w:val="0563C1" w:themeColor="hyperlink"/>
            <w:sz w:val="22"/>
            <w:u w:val="single"/>
            <w:lang w:val="es-ES" w:eastAsia="en-US"/>
          </w:rPr>
          <w:t>http://consultas.ifai.org.mx/descargar.php?r=./pdf/resoluciones/2018/&amp;a=RRA%204548.pdf</w:t>
        </w:r>
      </w:hyperlink>
    </w:p>
    <w:p w14:paraId="23513725" w14:textId="77777777" w:rsidR="0083744F" w:rsidRPr="003727F3" w:rsidRDefault="0083744F" w:rsidP="0083744F">
      <w:pPr>
        <w:spacing w:before="240" w:after="160"/>
        <w:ind w:left="851" w:right="851"/>
        <w:rPr>
          <w:rFonts w:eastAsiaTheme="minorHAnsi" w:cs="Arial"/>
          <w:b/>
          <w:i/>
          <w:sz w:val="22"/>
          <w:lang w:val="es-ES" w:eastAsia="en-US"/>
        </w:rPr>
      </w:pPr>
      <w:r w:rsidRPr="003727F3">
        <w:rPr>
          <w:rFonts w:eastAsiaTheme="minorHAnsi" w:cs="Arial"/>
          <w:b/>
          <w:i/>
          <w:sz w:val="22"/>
          <w:lang w:val="es-ES" w:eastAsia="en-US"/>
        </w:rPr>
        <w:t xml:space="preserve">RRA 5097/18. </w:t>
      </w:r>
      <w:r w:rsidRPr="003727F3">
        <w:rPr>
          <w:rFonts w:eastAsiaTheme="minorHAnsi" w:cs="Arial"/>
          <w:i/>
          <w:sz w:val="22"/>
          <w:lang w:val="es-ES" w:eastAsia="en-US"/>
        </w:rPr>
        <w:t>Secretaría de Hacienda y Crédito Público. 05 de septiembre de 2018. Por unanimidad. Comisionado Ponente Joel Salas Suárez.</w:t>
      </w:r>
    </w:p>
    <w:p w14:paraId="7DBD5783" w14:textId="77777777" w:rsidR="0083744F" w:rsidRPr="003727F3" w:rsidRDefault="003778F2" w:rsidP="0083744F">
      <w:pPr>
        <w:spacing w:before="240" w:after="160"/>
        <w:ind w:left="851" w:right="851"/>
        <w:rPr>
          <w:rFonts w:eastAsiaTheme="minorHAnsi" w:cs="Arial"/>
          <w:i/>
          <w:sz w:val="20"/>
          <w:lang w:val="es-ES" w:eastAsia="en-US"/>
        </w:rPr>
      </w:pPr>
      <w:hyperlink r:id="rId12" w:history="1">
        <w:r w:rsidR="0083744F" w:rsidRPr="003727F3">
          <w:rPr>
            <w:rFonts w:eastAsiaTheme="minorHAnsi" w:cs="Arial"/>
            <w:i/>
            <w:color w:val="0563C1" w:themeColor="hyperlink"/>
            <w:sz w:val="22"/>
            <w:u w:val="single"/>
            <w:lang w:val="es-ES" w:eastAsia="en-US"/>
          </w:rPr>
          <w:t>http://consultas.ifai.org.mx/descargar.php?r=./pdf/resoluciones/2018/&amp;a=RRA%205097.pdf</w:t>
        </w:r>
      </w:hyperlink>
    </w:p>
    <w:p w14:paraId="63D32AF5" w14:textId="77777777" w:rsidR="0083744F" w:rsidRPr="003727F3" w:rsidRDefault="0083744F" w:rsidP="0083744F">
      <w:pPr>
        <w:spacing w:before="240" w:after="160"/>
        <w:ind w:left="851" w:right="851"/>
        <w:rPr>
          <w:rFonts w:eastAsiaTheme="minorHAnsi" w:cs="Arial"/>
          <w:b/>
          <w:i/>
          <w:sz w:val="22"/>
          <w:lang w:val="es-ES" w:eastAsia="en-US"/>
        </w:rPr>
      </w:pPr>
      <w:r w:rsidRPr="003727F3">
        <w:rPr>
          <w:rFonts w:eastAsiaTheme="minorHAnsi" w:cs="Arial"/>
          <w:b/>
          <w:i/>
          <w:sz w:val="22"/>
          <w:lang w:val="es-ES" w:eastAsia="en-US"/>
        </w:rPr>
        <w:t xml:space="preserve">RRA 14270/19. </w:t>
      </w:r>
      <w:r w:rsidRPr="003727F3">
        <w:rPr>
          <w:rFonts w:eastAsiaTheme="minorHAnsi" w:cs="Arial"/>
          <w:i/>
          <w:sz w:val="22"/>
          <w:lang w:val="es-ES" w:eastAsia="en-US"/>
        </w:rPr>
        <w:t>Registro Agrario Nacional. 22 de enero de 2020. Por unanimidad. Comisionado Ponente Francisco Javier Acuña Llamas.</w:t>
      </w:r>
    </w:p>
    <w:p w14:paraId="3723E846" w14:textId="77777777" w:rsidR="0083744F" w:rsidRPr="003727F3" w:rsidRDefault="003778F2" w:rsidP="007E1515">
      <w:pPr>
        <w:spacing w:before="240"/>
        <w:ind w:left="851" w:right="851"/>
        <w:rPr>
          <w:rFonts w:eastAsiaTheme="minorHAnsi" w:cs="Arial"/>
          <w:i/>
          <w:szCs w:val="24"/>
          <w:lang w:val="en-US" w:eastAsia="en-US"/>
        </w:rPr>
      </w:pPr>
      <w:hyperlink r:id="rId13" w:history="1">
        <w:r w:rsidR="0083744F" w:rsidRPr="003727F3">
          <w:rPr>
            <w:rFonts w:eastAsiaTheme="minorHAnsi" w:cs="Arial"/>
            <w:i/>
            <w:color w:val="0563C1" w:themeColor="hyperlink"/>
            <w:sz w:val="22"/>
            <w:u w:val="single"/>
            <w:lang w:val="en-US" w:eastAsia="en-US"/>
          </w:rPr>
          <w:t>http://consultas.ifai.org.mx/descargar.php?r=./pdf/resoluciones/2019/&amp;a=RRA%2014270.pdf</w:t>
        </w:r>
      </w:hyperlink>
      <w:proofErr w:type="gramStart"/>
      <w:r w:rsidR="0083744F" w:rsidRPr="003727F3">
        <w:rPr>
          <w:rFonts w:eastAsiaTheme="minorHAnsi" w:cs="Arial"/>
          <w:i/>
          <w:color w:val="0563C1" w:themeColor="hyperlink"/>
          <w:sz w:val="20"/>
          <w:u w:val="single"/>
          <w:lang w:val="en-US" w:eastAsia="en-US"/>
        </w:rPr>
        <w:t xml:space="preserve">” </w:t>
      </w:r>
      <w:r w:rsidR="0083744F" w:rsidRPr="003727F3">
        <w:rPr>
          <w:rFonts w:eastAsiaTheme="minorHAnsi" w:cs="Arial"/>
          <w:iCs/>
          <w:color w:val="0563C1" w:themeColor="hyperlink"/>
          <w:szCs w:val="24"/>
          <w:lang w:val="en-US" w:eastAsia="en-US"/>
        </w:rPr>
        <w:t xml:space="preserve"> </w:t>
      </w:r>
      <w:r w:rsidR="0083744F" w:rsidRPr="003727F3">
        <w:rPr>
          <w:rFonts w:eastAsiaTheme="minorHAnsi" w:cs="Arial"/>
          <w:b/>
          <w:bCs/>
          <w:i/>
          <w:szCs w:val="24"/>
          <w:lang w:val="en-US" w:eastAsia="en-US"/>
        </w:rPr>
        <w:t>[</w:t>
      </w:r>
      <w:proofErr w:type="gramEnd"/>
      <w:r w:rsidR="0083744F" w:rsidRPr="003727F3">
        <w:rPr>
          <w:rFonts w:eastAsiaTheme="minorHAnsi" w:cs="Arial"/>
          <w:b/>
          <w:bCs/>
          <w:i/>
          <w:szCs w:val="24"/>
          <w:lang w:val="en-US" w:eastAsia="en-US"/>
        </w:rPr>
        <w:t>Sic]</w:t>
      </w:r>
    </w:p>
    <w:p w14:paraId="0CE25FF4" w14:textId="77777777" w:rsidR="001D39CA" w:rsidRPr="00D22C2F" w:rsidRDefault="001D39CA" w:rsidP="007E1515">
      <w:pPr>
        <w:rPr>
          <w:lang w:val="en-US"/>
        </w:rPr>
      </w:pPr>
    </w:p>
    <w:p w14:paraId="25287B86" w14:textId="503B4567" w:rsidR="003F0898" w:rsidRPr="003727F3" w:rsidRDefault="003F0898" w:rsidP="003F0898">
      <w:r w:rsidRPr="003727F3">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39AC33CC" w14:textId="77777777" w:rsidR="005B4288" w:rsidRPr="003727F3"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3727F3" w:rsidRDefault="006100FC" w:rsidP="006100FC">
      <w:pPr>
        <w:pBdr>
          <w:top w:val="nil"/>
          <w:left w:val="nil"/>
          <w:bottom w:val="nil"/>
          <w:right w:val="nil"/>
          <w:between w:val="nil"/>
        </w:pBdr>
        <w:contextualSpacing/>
        <w:rPr>
          <w:rFonts w:eastAsia="Palatino Linotype" w:cs="Palatino Linotype"/>
          <w:color w:val="000000"/>
          <w:szCs w:val="24"/>
        </w:rPr>
      </w:pPr>
      <w:r w:rsidRPr="003727F3">
        <w:rPr>
          <w:rFonts w:eastAsia="Palatino Linotype" w:cs="Palatino Linotype"/>
          <w:color w:val="000000"/>
          <w:szCs w:val="24"/>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3727F3" w:rsidRDefault="006100FC" w:rsidP="006100FC">
      <w:pPr>
        <w:pBdr>
          <w:top w:val="nil"/>
          <w:left w:val="nil"/>
          <w:bottom w:val="nil"/>
          <w:right w:val="nil"/>
          <w:between w:val="nil"/>
        </w:pBdr>
        <w:contextualSpacing/>
        <w:rPr>
          <w:rFonts w:eastAsia="Palatino Linotype" w:cs="Palatino Linotype"/>
          <w:color w:val="000000"/>
          <w:szCs w:val="24"/>
        </w:rPr>
      </w:pPr>
    </w:p>
    <w:p w14:paraId="48552E38" w14:textId="77777777" w:rsidR="00546B38" w:rsidRPr="003727F3" w:rsidRDefault="00546B38" w:rsidP="00546B38">
      <w:pPr>
        <w:tabs>
          <w:tab w:val="left" w:pos="709"/>
        </w:tabs>
        <w:contextualSpacing/>
        <w:rPr>
          <w:rFonts w:eastAsia="Times New Roman" w:cs="Arial"/>
          <w:szCs w:val="24"/>
          <w:lang w:val="es-ES" w:eastAsia="es-ES"/>
        </w:rPr>
      </w:pPr>
      <w:r w:rsidRPr="003727F3">
        <w:rPr>
          <w:rFonts w:eastAsia="Times New Roman" w:cs="Arial"/>
          <w:szCs w:val="24"/>
          <w:lang w:eastAsia="es-ES"/>
        </w:rPr>
        <w:t xml:space="preserve">Ante ello, es de </w:t>
      </w:r>
      <w:r w:rsidRPr="003727F3">
        <w:rPr>
          <w:rFonts w:eastAsia="Times New Roman" w:cs="Arial"/>
          <w:szCs w:val="24"/>
          <w:lang w:val="es-ES" w:eastAsia="es-ES"/>
        </w:rPr>
        <w:t>señalar que el artículo 4, párrafo segundo de la Ley de Transparencia y Acceso a la Información Pública del Estado de México y Municipios, dispone:</w:t>
      </w:r>
    </w:p>
    <w:p w14:paraId="06DAF2B0"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t>“</w:t>
      </w:r>
      <w:r w:rsidRPr="003727F3">
        <w:rPr>
          <w:rFonts w:eastAsia="Times New Roman" w:cs="Arial"/>
          <w:b/>
          <w:i/>
          <w:sz w:val="22"/>
          <w:szCs w:val="24"/>
          <w:lang w:val="es-ES" w:eastAsia="es-ES"/>
        </w:rPr>
        <w:t xml:space="preserve">Artículo 4. </w:t>
      </w:r>
      <w:r w:rsidRPr="003727F3">
        <w:rPr>
          <w:rFonts w:eastAsia="Times New Roman" w:cs="Arial"/>
          <w:i/>
          <w:sz w:val="22"/>
          <w:szCs w:val="24"/>
          <w:lang w:val="es-ES" w:eastAsia="es-ES"/>
        </w:rPr>
        <w:t xml:space="preserve">… </w:t>
      </w:r>
    </w:p>
    <w:p w14:paraId="189D0356"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5B2F6" w14:textId="77777777" w:rsidR="00546B38" w:rsidRPr="003727F3" w:rsidRDefault="00546B38" w:rsidP="00546B38">
      <w:pPr>
        <w:tabs>
          <w:tab w:val="left" w:pos="709"/>
        </w:tabs>
        <w:contextualSpacing/>
        <w:rPr>
          <w:rFonts w:eastAsia="Times New Roman" w:cs="Arial"/>
          <w:szCs w:val="24"/>
          <w:lang w:eastAsia="es-ES"/>
        </w:rPr>
      </w:pPr>
    </w:p>
    <w:p w14:paraId="3BFF7477" w14:textId="77777777" w:rsidR="00546B38" w:rsidRPr="003727F3" w:rsidRDefault="00546B38" w:rsidP="00546B38">
      <w:pPr>
        <w:tabs>
          <w:tab w:val="left" w:pos="709"/>
        </w:tabs>
        <w:contextualSpacing/>
        <w:rPr>
          <w:rFonts w:eastAsia="Times New Roman" w:cs="Arial"/>
          <w:szCs w:val="24"/>
          <w:lang w:eastAsia="es-ES"/>
        </w:rPr>
      </w:pPr>
      <w:r w:rsidRPr="003727F3">
        <w:rPr>
          <w:rFonts w:eastAsia="Times New Roman" w:cs="Arial"/>
          <w:szCs w:val="24"/>
          <w:lang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223BEB0" w14:textId="77777777" w:rsidR="00546B38" w:rsidRPr="003727F3" w:rsidRDefault="00546B38" w:rsidP="00546B38">
      <w:pPr>
        <w:tabs>
          <w:tab w:val="left" w:pos="709"/>
        </w:tabs>
        <w:contextualSpacing/>
        <w:rPr>
          <w:rFonts w:eastAsia="Times New Roman" w:cs="Arial"/>
          <w:szCs w:val="24"/>
          <w:lang w:eastAsia="es-ES"/>
        </w:rPr>
      </w:pPr>
    </w:p>
    <w:p w14:paraId="40574E63" w14:textId="77777777" w:rsidR="00546B38" w:rsidRPr="003727F3" w:rsidRDefault="00546B38" w:rsidP="00546B38">
      <w:pPr>
        <w:tabs>
          <w:tab w:val="left" w:pos="709"/>
        </w:tabs>
        <w:contextualSpacing/>
        <w:rPr>
          <w:rFonts w:eastAsia="Times New Roman" w:cs="Arial"/>
          <w:szCs w:val="24"/>
          <w:lang w:val="es-ES" w:eastAsia="es-ES"/>
        </w:rPr>
      </w:pPr>
      <w:r w:rsidRPr="003727F3">
        <w:rPr>
          <w:rFonts w:eastAsia="Times New Roman" w:cs="Arial"/>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0670DBE" w14:textId="77777777" w:rsidR="00546B38" w:rsidRPr="003727F3" w:rsidRDefault="00546B38" w:rsidP="00546B38">
      <w:pPr>
        <w:tabs>
          <w:tab w:val="left" w:pos="709"/>
        </w:tabs>
        <w:contextualSpacing/>
        <w:rPr>
          <w:rFonts w:eastAsia="Times New Roman" w:cs="Arial"/>
          <w:szCs w:val="24"/>
          <w:lang w:val="es-ES" w:eastAsia="es-ES"/>
        </w:rPr>
      </w:pPr>
    </w:p>
    <w:p w14:paraId="3C8733CD"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lastRenderedPageBreak/>
        <w:t>“</w:t>
      </w:r>
      <w:r w:rsidRPr="003727F3">
        <w:rPr>
          <w:rFonts w:eastAsia="Times New Roman" w:cs="Arial"/>
          <w:b/>
          <w:i/>
          <w:sz w:val="22"/>
          <w:szCs w:val="24"/>
          <w:lang w:val="es-ES" w:eastAsia="es-ES"/>
        </w:rPr>
        <w:t>Artículo 12.</w:t>
      </w:r>
      <w:r w:rsidRPr="003727F3">
        <w:rPr>
          <w:rFonts w:eastAsia="Times New Roman" w:cs="Arial"/>
          <w:i/>
          <w:sz w:val="22"/>
          <w:szCs w:val="24"/>
          <w:lang w:val="es-ES" w:eastAsia="es-ES"/>
        </w:rPr>
        <w:t xml:space="preserve"> Quienes generen, recopilen, administren, manejen, procesen, archiven o conserven información pública serán responsables de la misma en los términos de las disposiciones jurídicas aplicables. </w:t>
      </w:r>
    </w:p>
    <w:p w14:paraId="29DB0A07" w14:textId="77777777" w:rsidR="00546B38" w:rsidRPr="003727F3" w:rsidRDefault="00546B38" w:rsidP="00546B38">
      <w:pPr>
        <w:spacing w:line="240" w:lineRule="auto"/>
        <w:ind w:left="567" w:right="616"/>
        <w:rPr>
          <w:rFonts w:eastAsia="Times New Roman" w:cs="Arial"/>
          <w:i/>
          <w:sz w:val="22"/>
          <w:szCs w:val="24"/>
          <w:lang w:val="es-ES" w:eastAsia="es-ES"/>
        </w:rPr>
      </w:pPr>
    </w:p>
    <w:p w14:paraId="531C7E1E"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1F1AFF" w14:textId="77777777" w:rsidR="00546B38" w:rsidRPr="003727F3" w:rsidRDefault="00546B38" w:rsidP="00546B38">
      <w:pPr>
        <w:tabs>
          <w:tab w:val="left" w:pos="709"/>
        </w:tabs>
        <w:contextualSpacing/>
        <w:rPr>
          <w:rFonts w:eastAsia="Times New Roman" w:cs="Arial"/>
          <w:szCs w:val="24"/>
          <w:lang w:val="es-ES" w:eastAsia="es-ES"/>
        </w:rPr>
      </w:pPr>
    </w:p>
    <w:p w14:paraId="4F5B50CC" w14:textId="77777777" w:rsidR="00546B38" w:rsidRPr="003727F3" w:rsidRDefault="00546B38" w:rsidP="00546B38">
      <w:pPr>
        <w:tabs>
          <w:tab w:val="left" w:pos="709"/>
        </w:tabs>
        <w:contextualSpacing/>
        <w:rPr>
          <w:rFonts w:eastAsia="Times New Roman" w:cs="Arial"/>
          <w:szCs w:val="24"/>
          <w:lang w:val="es-ES" w:eastAsia="es-ES"/>
        </w:rPr>
      </w:pPr>
      <w:r w:rsidRPr="003727F3">
        <w:rPr>
          <w:rFonts w:eastAsia="Times New Roman" w:cs="Arial"/>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789BB" w14:textId="77777777" w:rsidR="00546B38" w:rsidRPr="003727F3" w:rsidRDefault="00546B38" w:rsidP="00546B38">
      <w:pPr>
        <w:tabs>
          <w:tab w:val="left" w:pos="709"/>
        </w:tabs>
        <w:contextualSpacing/>
        <w:rPr>
          <w:rFonts w:eastAsia="Times New Roman" w:cs="Arial"/>
          <w:szCs w:val="24"/>
          <w:lang w:val="es-ES" w:eastAsia="es-ES"/>
        </w:rPr>
      </w:pPr>
    </w:p>
    <w:p w14:paraId="56ABD327" w14:textId="77777777" w:rsidR="00546B38" w:rsidRPr="003727F3" w:rsidRDefault="00546B38" w:rsidP="00546B38">
      <w:pPr>
        <w:tabs>
          <w:tab w:val="left" w:pos="709"/>
        </w:tabs>
        <w:contextualSpacing/>
        <w:rPr>
          <w:rFonts w:eastAsia="Times New Roman" w:cs="Arial"/>
          <w:szCs w:val="24"/>
          <w:lang w:val="es-ES" w:eastAsia="es-ES"/>
        </w:rPr>
      </w:pPr>
      <w:r w:rsidRPr="003727F3">
        <w:rPr>
          <w:rFonts w:eastAsia="Times New Roman" w:cs="Arial"/>
          <w:szCs w:val="24"/>
          <w:lang w:val="es-ES" w:eastAsia="es-ES"/>
        </w:rPr>
        <w:t xml:space="preserve">En esta misma tesitura, el derecho de acceso a la información pública, consiste en que la información solicitada conste en un soporte documental en cualquiera de sus formas, a saber: </w:t>
      </w:r>
      <w:r w:rsidRPr="003727F3">
        <w:rPr>
          <w:rFonts w:eastAsia="Times New Roman" w:cs="Arial"/>
          <w:b/>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727F3">
        <w:rPr>
          <w:rFonts w:eastAsia="Times New Roman" w:cs="Arial"/>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8D061B4" w14:textId="77777777" w:rsidR="00546B38" w:rsidRPr="003727F3" w:rsidRDefault="00546B38" w:rsidP="00546B38">
      <w:pPr>
        <w:spacing w:line="240" w:lineRule="auto"/>
        <w:jc w:val="left"/>
        <w:rPr>
          <w:rFonts w:ascii="Times New Roman" w:eastAsia="Times New Roman" w:hAnsi="Times New Roman" w:cs="Times New Roman"/>
          <w:szCs w:val="24"/>
          <w:lang w:val="es-MX" w:eastAsia="es-ES"/>
        </w:rPr>
      </w:pPr>
    </w:p>
    <w:p w14:paraId="0D40E466"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lastRenderedPageBreak/>
        <w:t>“</w:t>
      </w:r>
      <w:r w:rsidRPr="003727F3">
        <w:rPr>
          <w:rFonts w:eastAsia="Times New Roman" w:cs="Arial"/>
          <w:b/>
          <w:i/>
          <w:sz w:val="22"/>
          <w:szCs w:val="24"/>
          <w:lang w:val="es-ES" w:eastAsia="es-ES"/>
        </w:rPr>
        <w:t xml:space="preserve">Artículo 3. </w:t>
      </w:r>
      <w:r w:rsidRPr="003727F3">
        <w:rPr>
          <w:rFonts w:eastAsia="Times New Roman" w:cs="Arial"/>
          <w:i/>
          <w:sz w:val="22"/>
          <w:szCs w:val="24"/>
          <w:lang w:val="es-ES" w:eastAsia="es-ES"/>
        </w:rPr>
        <w:t>Para los efectos de la presente Ley se entenderá por:</w:t>
      </w:r>
    </w:p>
    <w:p w14:paraId="0D86E4C4"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i/>
          <w:sz w:val="22"/>
          <w:szCs w:val="24"/>
          <w:lang w:val="es-ES" w:eastAsia="es-ES"/>
        </w:rPr>
        <w:t>(…)</w:t>
      </w:r>
    </w:p>
    <w:p w14:paraId="0B02E02A" w14:textId="77777777" w:rsidR="00546B38" w:rsidRPr="003727F3" w:rsidRDefault="00546B38" w:rsidP="00546B38">
      <w:pPr>
        <w:spacing w:line="240" w:lineRule="auto"/>
        <w:ind w:left="567" w:right="616"/>
        <w:rPr>
          <w:rFonts w:eastAsia="Times New Roman" w:cs="Arial"/>
          <w:i/>
          <w:sz w:val="22"/>
          <w:szCs w:val="24"/>
          <w:lang w:val="es-ES" w:eastAsia="es-ES"/>
        </w:rPr>
      </w:pPr>
      <w:r w:rsidRPr="003727F3">
        <w:rPr>
          <w:rFonts w:eastAsia="Times New Roman" w:cs="Arial"/>
          <w:b/>
          <w:i/>
          <w:sz w:val="22"/>
          <w:szCs w:val="24"/>
          <w:lang w:val="es-ES" w:eastAsia="es-ES"/>
        </w:rPr>
        <w:t>XI. Documento:</w:t>
      </w:r>
      <w:r w:rsidRPr="003727F3">
        <w:rPr>
          <w:rFonts w:eastAsia="Times New Roman" w:cs="Arial"/>
          <w:i/>
          <w:sz w:val="22"/>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3727F3">
        <w:rPr>
          <w:rFonts w:eastAsia="Times New Roman" w:cs="Arial"/>
          <w:b/>
          <w:i/>
          <w:sz w:val="22"/>
          <w:szCs w:val="24"/>
          <w:u w:val="single"/>
          <w:lang w:val="es-ES" w:eastAsia="es-ES"/>
        </w:rPr>
        <w:t>registro que documente el ejercicio de las facultades, funciones y competencias de los sujetos obligados</w:t>
      </w:r>
      <w:r w:rsidRPr="003727F3">
        <w:rPr>
          <w:rFonts w:eastAsia="Times New Roman" w:cs="Arial"/>
          <w:i/>
          <w:sz w:val="22"/>
          <w:szCs w:val="24"/>
          <w:u w:val="single"/>
          <w:lang w:val="es-ES" w:eastAsia="es-ES"/>
        </w:rPr>
        <w:t>,</w:t>
      </w:r>
      <w:r w:rsidRPr="003727F3">
        <w:rPr>
          <w:rFonts w:eastAsia="Times New Roman" w:cs="Arial"/>
          <w:i/>
          <w:sz w:val="22"/>
          <w:szCs w:val="24"/>
          <w:lang w:val="es-ES" w:eastAsia="es-ES"/>
        </w:rPr>
        <w:t xml:space="preserve"> sus servidores públicos e integrantes, </w:t>
      </w:r>
      <w:r w:rsidRPr="003727F3">
        <w:rPr>
          <w:rFonts w:eastAsia="Times New Roman" w:cs="Arial"/>
          <w:b/>
          <w:i/>
          <w:sz w:val="22"/>
          <w:szCs w:val="24"/>
          <w:u w:val="single"/>
          <w:lang w:val="es-ES" w:eastAsia="es-ES"/>
        </w:rPr>
        <w:t>sin importar su fuente o fecha de elaboración.</w:t>
      </w:r>
      <w:r w:rsidRPr="003727F3">
        <w:rPr>
          <w:rFonts w:eastAsia="Times New Roman" w:cs="Arial"/>
          <w:i/>
          <w:sz w:val="22"/>
          <w:szCs w:val="24"/>
          <w:lang w:val="es-ES" w:eastAsia="es-ES"/>
        </w:rPr>
        <w:t xml:space="preserve"> Los documentos podrán estar en cualquier medio, sea escrito, impreso, sonoro, visual, electrónico, informático u holográfico;”</w:t>
      </w:r>
    </w:p>
    <w:p w14:paraId="085E5E23" w14:textId="77777777" w:rsidR="00546B38" w:rsidRPr="003727F3" w:rsidRDefault="00546B38" w:rsidP="00546B38">
      <w:pPr>
        <w:spacing w:before="240" w:after="240"/>
        <w:ind w:right="49"/>
        <w:contextualSpacing/>
        <w:rPr>
          <w:rFonts w:eastAsia="Times New Roman" w:cs="Arial"/>
          <w:szCs w:val="24"/>
          <w:lang w:val="es-ES" w:eastAsia="es-ES"/>
        </w:rPr>
      </w:pPr>
    </w:p>
    <w:p w14:paraId="274E2501" w14:textId="77777777" w:rsidR="00546B38" w:rsidRPr="003727F3" w:rsidRDefault="00546B38" w:rsidP="00546B38">
      <w:pPr>
        <w:spacing w:before="240" w:after="240"/>
        <w:ind w:right="49"/>
        <w:contextualSpacing/>
        <w:rPr>
          <w:rFonts w:eastAsia="Times New Roman" w:cs="Arial"/>
          <w:szCs w:val="24"/>
          <w:lang w:val="es-ES"/>
        </w:rPr>
      </w:pPr>
      <w:r w:rsidRPr="003727F3">
        <w:rPr>
          <w:rFonts w:eastAsia="Times New Roman" w:cs="Arial"/>
          <w:szCs w:val="24"/>
          <w:lang w:val="es-ES" w:eastAsia="es-ES"/>
        </w:rPr>
        <w:t xml:space="preserve">Además, </w:t>
      </w:r>
      <w:r w:rsidRPr="003727F3">
        <w:rPr>
          <w:rFonts w:eastAsia="MS Mincho" w:cs="Times New Roman"/>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BEE6B5B" w14:textId="77777777" w:rsidR="00546B38" w:rsidRPr="003727F3" w:rsidRDefault="00546B38" w:rsidP="00546B38">
      <w:pPr>
        <w:spacing w:before="240" w:after="240"/>
        <w:ind w:right="49"/>
        <w:contextualSpacing/>
        <w:rPr>
          <w:rFonts w:eastAsia="Times New Roman" w:cs="Arial"/>
          <w:szCs w:val="24"/>
          <w:lang w:val="es-ES"/>
        </w:rPr>
      </w:pPr>
    </w:p>
    <w:p w14:paraId="049973A7" w14:textId="77777777" w:rsidR="00546B38" w:rsidRPr="003727F3" w:rsidRDefault="00546B38" w:rsidP="00546B38">
      <w:pPr>
        <w:rPr>
          <w:rFonts w:eastAsia="Times New Roman" w:cs="Arial"/>
          <w:color w:val="222222"/>
          <w:szCs w:val="19"/>
          <w:lang w:val="es-ES"/>
        </w:rPr>
      </w:pPr>
      <w:r w:rsidRPr="003727F3">
        <w:rPr>
          <w:rFonts w:eastAsia="Times New Roman" w:cs="Times New Roman"/>
          <w:color w:val="000000"/>
          <w:szCs w:val="24"/>
          <w:lang w:val="es-ES" w:eastAsia="es-ES"/>
        </w:rPr>
        <w:t xml:space="preserve">Sirve como apoyo </w:t>
      </w:r>
      <w:r w:rsidRPr="003727F3">
        <w:rPr>
          <w:rFonts w:eastAsia="Times New Roman" w:cs="Arial"/>
          <w:color w:val="222222"/>
          <w:szCs w:val="19"/>
          <w:lang w:val="es-ES"/>
        </w:rPr>
        <w:t>a lo anterior, el criterio 09-10, emitido por el Pleno del entonces Instituto Federal de Acceso a la Información y Protección de Datos, que a la letra dice:</w:t>
      </w:r>
    </w:p>
    <w:p w14:paraId="0DF68F3C" w14:textId="77777777" w:rsidR="00546B38" w:rsidRPr="003727F3" w:rsidRDefault="00546B38" w:rsidP="00546B38">
      <w:pPr>
        <w:spacing w:line="240" w:lineRule="auto"/>
        <w:jc w:val="left"/>
        <w:rPr>
          <w:rFonts w:ascii="Times New Roman" w:eastAsia="Times New Roman" w:hAnsi="Times New Roman" w:cs="Times New Roman"/>
          <w:szCs w:val="24"/>
          <w:lang w:val="es-MX"/>
        </w:rPr>
      </w:pPr>
    </w:p>
    <w:p w14:paraId="46E1A1CD" w14:textId="77777777" w:rsidR="00546B38" w:rsidRPr="003727F3" w:rsidRDefault="00546B38" w:rsidP="00546B38">
      <w:pPr>
        <w:shd w:val="clear" w:color="auto" w:fill="FFFFFF"/>
        <w:tabs>
          <w:tab w:val="left" w:pos="8647"/>
        </w:tabs>
        <w:spacing w:line="240" w:lineRule="auto"/>
        <w:ind w:left="567" w:right="616"/>
        <w:rPr>
          <w:rFonts w:eastAsia="Times New Roman" w:cs="Arial"/>
          <w:i/>
          <w:iCs/>
          <w:color w:val="222222"/>
          <w:sz w:val="22"/>
          <w:szCs w:val="24"/>
          <w:lang w:val="es-ES"/>
        </w:rPr>
      </w:pPr>
      <w:r w:rsidRPr="003727F3">
        <w:rPr>
          <w:rFonts w:eastAsia="Times New Roman" w:cs="Arial"/>
          <w:b/>
          <w:bCs/>
          <w:i/>
          <w:iCs/>
          <w:color w:val="222222"/>
          <w:sz w:val="22"/>
          <w:szCs w:val="24"/>
          <w:lang w:val="es-ES"/>
        </w:rPr>
        <w:t>“Las dependencias y entidades no están obligadas a generar documentos ad hoc para responder una solicitud de acceso a la información. </w:t>
      </w:r>
      <w:r w:rsidRPr="003727F3">
        <w:rPr>
          <w:rFonts w:eastAsia="Times New Roman" w:cs="Arial"/>
          <w:i/>
          <w:iCs/>
          <w:color w:val="222222"/>
          <w:sz w:val="22"/>
          <w:szCs w:val="24"/>
          <w:lang w:val="es-ES"/>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w:t>
      </w:r>
      <w:r w:rsidRPr="003727F3">
        <w:rPr>
          <w:rFonts w:eastAsia="Times New Roman" w:cs="Arial"/>
          <w:i/>
          <w:iCs/>
          <w:color w:val="222222"/>
          <w:sz w:val="22"/>
          <w:szCs w:val="24"/>
          <w:lang w:val="es-ES"/>
        </w:rPr>
        <w:lastRenderedPageBreak/>
        <w:t>deben garantizar el acceso a la información con la que cuentan en el formato que la misma así lo permita o se encuentre, en aras de dar satisfacción a la solicitud presentada.” (Sic)</w:t>
      </w:r>
    </w:p>
    <w:p w14:paraId="5909075E" w14:textId="77777777" w:rsidR="00546B38" w:rsidRPr="003727F3" w:rsidRDefault="00546B38" w:rsidP="00546B38">
      <w:pPr>
        <w:spacing w:line="240" w:lineRule="auto"/>
        <w:jc w:val="left"/>
        <w:rPr>
          <w:rFonts w:ascii="Times New Roman" w:eastAsia="Times New Roman" w:hAnsi="Times New Roman" w:cs="Times New Roman"/>
          <w:szCs w:val="24"/>
          <w:lang w:val="es-MX" w:eastAsia="es-ES"/>
        </w:rPr>
      </w:pPr>
    </w:p>
    <w:p w14:paraId="4A6C8F71" w14:textId="77777777" w:rsidR="00546B38" w:rsidRPr="003727F3" w:rsidRDefault="00546B38" w:rsidP="00546B38">
      <w:pPr>
        <w:contextualSpacing/>
        <w:rPr>
          <w:rFonts w:eastAsia="Times New Roman" w:cs="Arial"/>
          <w:szCs w:val="24"/>
          <w:lang w:val="es-ES" w:eastAsia="es-ES"/>
        </w:rPr>
      </w:pPr>
      <w:r w:rsidRPr="003727F3">
        <w:rPr>
          <w:rFonts w:eastAsia="Times New Roman" w:cs="Arial"/>
          <w:bCs/>
          <w:szCs w:val="24"/>
          <w:lang w:val="es-ES" w:eastAsia="es-ES"/>
        </w:rPr>
        <w:t xml:space="preserve">Además, </w:t>
      </w:r>
      <w:r w:rsidRPr="003727F3">
        <w:rPr>
          <w:rFonts w:eastAsia="Times New Roman" w:cs="Arial"/>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1C7CA47" w14:textId="77777777" w:rsidR="00546B38" w:rsidRPr="003727F3" w:rsidRDefault="00546B38" w:rsidP="00546B38">
      <w:pPr>
        <w:spacing w:line="240" w:lineRule="auto"/>
        <w:jc w:val="left"/>
        <w:rPr>
          <w:rFonts w:ascii="Times New Roman" w:eastAsia="Times New Roman" w:hAnsi="Times New Roman" w:cs="Times New Roman"/>
          <w:szCs w:val="24"/>
          <w:lang w:val="es-MX" w:eastAsia="es-ES"/>
        </w:rPr>
      </w:pPr>
    </w:p>
    <w:p w14:paraId="28A7D2AC" w14:textId="77777777" w:rsidR="00546B38" w:rsidRPr="003727F3" w:rsidRDefault="00546B38" w:rsidP="00546B38">
      <w:pPr>
        <w:spacing w:line="240" w:lineRule="auto"/>
        <w:ind w:left="567" w:right="616"/>
        <w:contextualSpacing/>
        <w:rPr>
          <w:rFonts w:eastAsia="Times New Roman" w:cs="Arial"/>
          <w:i/>
          <w:sz w:val="22"/>
          <w:szCs w:val="24"/>
          <w:lang w:val="es-ES" w:eastAsia="es-ES"/>
        </w:rPr>
      </w:pPr>
      <w:r w:rsidRPr="003727F3">
        <w:rPr>
          <w:rFonts w:eastAsia="Times New Roman" w:cs="Arial"/>
          <w:b/>
          <w:i/>
          <w:sz w:val="22"/>
          <w:szCs w:val="24"/>
          <w:lang w:val="es-ES" w:eastAsia="es-ES"/>
        </w:rPr>
        <w:t>Artículo 23.</w:t>
      </w:r>
      <w:r w:rsidRPr="003727F3">
        <w:rPr>
          <w:rFonts w:eastAsia="Times New Roman" w:cs="Arial"/>
          <w:i/>
          <w:sz w:val="22"/>
          <w:szCs w:val="24"/>
          <w:lang w:val="es-ES" w:eastAsia="es-ES"/>
        </w:rPr>
        <w:t xml:space="preserve"> Son sujetos obligados a transparentar y permitir el acceso a su información y proteger los datos personales que obren en su poder:</w:t>
      </w:r>
    </w:p>
    <w:p w14:paraId="4949D1E6" w14:textId="77777777" w:rsidR="00546B38" w:rsidRPr="003727F3" w:rsidRDefault="00546B38" w:rsidP="00546B38">
      <w:pPr>
        <w:spacing w:line="240" w:lineRule="auto"/>
        <w:ind w:left="567" w:right="616"/>
        <w:contextualSpacing/>
        <w:rPr>
          <w:rFonts w:eastAsia="Times New Roman" w:cs="Arial"/>
          <w:b/>
          <w:i/>
          <w:sz w:val="22"/>
          <w:szCs w:val="24"/>
          <w:lang w:val="es-ES" w:eastAsia="es-ES"/>
        </w:rPr>
      </w:pPr>
    </w:p>
    <w:p w14:paraId="30062DFC" w14:textId="77777777" w:rsidR="00546B38" w:rsidRPr="003727F3" w:rsidRDefault="00546B38" w:rsidP="00546B38">
      <w:pPr>
        <w:spacing w:line="240" w:lineRule="auto"/>
        <w:ind w:left="567" w:right="616"/>
        <w:contextualSpacing/>
        <w:rPr>
          <w:rFonts w:eastAsia="Times New Roman" w:cs="Arial"/>
          <w:bCs/>
          <w:i/>
          <w:sz w:val="22"/>
          <w:szCs w:val="24"/>
          <w:lang w:val="es-ES" w:eastAsia="es-ES"/>
        </w:rPr>
      </w:pPr>
      <w:r w:rsidRPr="003727F3">
        <w:rPr>
          <w:rFonts w:eastAsia="Times New Roman" w:cs="Arial"/>
          <w:b/>
          <w:i/>
          <w:sz w:val="22"/>
          <w:szCs w:val="24"/>
          <w:lang w:val="es-ES" w:eastAsia="es-ES"/>
        </w:rPr>
        <w:t xml:space="preserve">IV. </w:t>
      </w:r>
      <w:r w:rsidRPr="003727F3">
        <w:rPr>
          <w:rFonts w:eastAsia="Times New Roman" w:cs="Arial"/>
          <w:bCs/>
          <w:i/>
          <w:sz w:val="22"/>
          <w:szCs w:val="24"/>
          <w:lang w:val="es-ES" w:eastAsia="es-ES"/>
        </w:rPr>
        <w:t>Los ayuntamientos y las dependencias, organismos, órganos y entidades de la administración municipal;</w:t>
      </w:r>
    </w:p>
    <w:p w14:paraId="781EF6AF" w14:textId="77777777" w:rsidR="00546B38" w:rsidRPr="003727F3" w:rsidRDefault="00546B38" w:rsidP="00546B38">
      <w:pPr>
        <w:rPr>
          <w:rFonts w:eastAsia="Times New Roman" w:cs="Arial"/>
          <w:szCs w:val="24"/>
          <w:lang w:val="es-ES" w:eastAsia="es-ES"/>
        </w:rPr>
      </w:pPr>
    </w:p>
    <w:p w14:paraId="7DA613D5" w14:textId="7C380B67" w:rsidR="00392DAC" w:rsidRPr="003727F3" w:rsidRDefault="00737EBC" w:rsidP="00660697">
      <w:r w:rsidRPr="003727F3">
        <w:t xml:space="preserve">Asimismo, </w:t>
      </w:r>
      <w:r w:rsidR="00726486" w:rsidRPr="003727F3">
        <w:t>de</w:t>
      </w:r>
      <w:r w:rsidR="00942EC6" w:rsidRPr="003727F3">
        <w:t xml:space="preserve"> </w:t>
      </w:r>
      <w:r w:rsidRPr="003727F3">
        <w:t>l</w:t>
      </w:r>
      <w:r w:rsidR="00526368" w:rsidRPr="003727F3">
        <w:t>a interpretación de los</w:t>
      </w:r>
      <w:r w:rsidRPr="003727F3">
        <w:t xml:space="preserve"> motivos de inconformidad expresados por </w:t>
      </w:r>
      <w:r w:rsidR="00942EC6" w:rsidRPr="003727F3">
        <w:t>el</w:t>
      </w:r>
      <w:r w:rsidRPr="003727F3">
        <w:t xml:space="preserve"> Recurrente, se </w:t>
      </w:r>
      <w:r w:rsidR="00027FFC" w:rsidRPr="003727F3">
        <w:t>desprende</w:t>
      </w:r>
      <w:r w:rsidRPr="003727F3">
        <w:t xml:space="preserve"> que en el presente caso se actualizó la causal de procedencia del recurso de revisión</w:t>
      </w:r>
      <w:r w:rsidR="00392DAC" w:rsidRPr="003727F3">
        <w:t xml:space="preserve"> prevista en la fracci</w:t>
      </w:r>
      <w:r w:rsidR="00942EC6" w:rsidRPr="003727F3">
        <w:t>ón</w:t>
      </w:r>
      <w:r w:rsidR="00392DAC" w:rsidRPr="003727F3">
        <w:t xml:space="preserve"> </w:t>
      </w:r>
      <w:r w:rsidR="00C214BC" w:rsidRPr="003727F3">
        <w:t>V</w:t>
      </w:r>
      <w:r w:rsidR="006E1158" w:rsidRPr="003727F3">
        <w:t xml:space="preserve"> del artículo 179 de la Ley de Transparencia local</w:t>
      </w:r>
      <w:r w:rsidR="00660697" w:rsidRPr="003727F3">
        <w:t xml:space="preserve">. </w:t>
      </w:r>
    </w:p>
    <w:p w14:paraId="6E4F423F" w14:textId="75EBF7F2" w:rsidR="003158D7" w:rsidRPr="003727F3" w:rsidRDefault="002F7260" w:rsidP="003158D7">
      <w:pPr>
        <w:rPr>
          <w:rFonts w:eastAsiaTheme="minorHAnsi" w:cs="Arial"/>
          <w:lang w:val="es-MX" w:eastAsia="en-US"/>
        </w:rPr>
      </w:pPr>
      <w:r w:rsidRPr="003727F3">
        <w:t xml:space="preserve">Se tiene en cuenta que de conformidad a lo manifestado por la Titular de la Unidad de Transparencia la solicitud fue canalizada para su atención y respuesta a la Tesorería </w:t>
      </w:r>
      <w:proofErr w:type="gramStart"/>
      <w:r w:rsidRPr="003727F3">
        <w:t xml:space="preserve">municipal </w:t>
      </w:r>
      <w:r w:rsidR="003158D7" w:rsidRPr="003727F3">
        <w:rPr>
          <w:rFonts w:eastAsiaTheme="minorHAnsi" w:cs="Arial"/>
          <w:lang w:eastAsia="en-US"/>
        </w:rPr>
        <w:t>,</w:t>
      </w:r>
      <w:proofErr w:type="gramEnd"/>
      <w:r w:rsidR="003158D7" w:rsidRPr="003727F3">
        <w:rPr>
          <w:rFonts w:eastAsiaTheme="minorHAnsi" w:cs="Arial"/>
          <w:lang w:eastAsia="en-US"/>
        </w:rPr>
        <w:t xml:space="preserve"> área que de conformidad a la Ley Orgánica Municipal tiene atribuciones para llevar los registro contables y financieros del Municipio.</w:t>
      </w:r>
    </w:p>
    <w:p w14:paraId="71AD4AA4" w14:textId="77777777" w:rsidR="003158D7" w:rsidRPr="003727F3" w:rsidRDefault="003158D7" w:rsidP="003158D7">
      <w:pPr>
        <w:rPr>
          <w:rFonts w:eastAsiaTheme="minorHAnsi" w:cs="Arial"/>
          <w:lang w:val="es-MX" w:eastAsia="en-US"/>
        </w:rPr>
      </w:pPr>
    </w:p>
    <w:p w14:paraId="20157B2D" w14:textId="77777777" w:rsidR="003158D7" w:rsidRPr="003727F3" w:rsidRDefault="003158D7" w:rsidP="003158D7">
      <w:pPr>
        <w:spacing w:after="160" w:line="276" w:lineRule="auto"/>
        <w:ind w:left="709" w:right="567"/>
        <w:jc w:val="center"/>
        <w:rPr>
          <w:rFonts w:eastAsiaTheme="minorHAnsi" w:cs="Arial"/>
          <w:b/>
          <w:bCs/>
          <w:i/>
          <w:iCs/>
          <w:sz w:val="22"/>
          <w:szCs w:val="20"/>
          <w:lang w:val="es-MX" w:eastAsia="en-US"/>
        </w:rPr>
      </w:pPr>
      <w:r w:rsidRPr="003727F3">
        <w:rPr>
          <w:rFonts w:eastAsiaTheme="minorHAnsi" w:cs="Arial"/>
          <w:b/>
          <w:bCs/>
          <w:i/>
          <w:iCs/>
          <w:sz w:val="22"/>
          <w:szCs w:val="20"/>
          <w:lang w:val="es-MX" w:eastAsia="en-US"/>
        </w:rPr>
        <w:t>CAPITULO SEGUNDO</w:t>
      </w:r>
    </w:p>
    <w:p w14:paraId="73234217" w14:textId="77777777" w:rsidR="003158D7" w:rsidRPr="003727F3" w:rsidRDefault="003158D7" w:rsidP="003158D7">
      <w:pPr>
        <w:spacing w:after="160" w:line="276" w:lineRule="auto"/>
        <w:ind w:left="709" w:right="567"/>
        <w:jc w:val="center"/>
        <w:rPr>
          <w:rFonts w:eastAsiaTheme="minorHAnsi" w:cs="Arial"/>
          <w:b/>
          <w:bCs/>
          <w:i/>
          <w:iCs/>
          <w:sz w:val="22"/>
          <w:szCs w:val="20"/>
          <w:lang w:val="es-MX" w:eastAsia="en-US"/>
        </w:rPr>
      </w:pPr>
      <w:r w:rsidRPr="003727F3">
        <w:rPr>
          <w:rFonts w:eastAsiaTheme="minorHAnsi" w:cs="Arial"/>
          <w:b/>
          <w:bCs/>
          <w:i/>
          <w:iCs/>
          <w:sz w:val="22"/>
          <w:szCs w:val="20"/>
          <w:lang w:val="es-MX" w:eastAsia="en-US"/>
        </w:rPr>
        <w:t>De la Tesorería Municipal</w:t>
      </w:r>
    </w:p>
    <w:p w14:paraId="2AAB56E8" w14:textId="77777777" w:rsidR="003158D7" w:rsidRPr="003727F3" w:rsidRDefault="003158D7" w:rsidP="003158D7">
      <w:pPr>
        <w:spacing w:after="160" w:line="276" w:lineRule="auto"/>
        <w:ind w:left="709" w:right="567"/>
        <w:rPr>
          <w:rFonts w:eastAsiaTheme="minorHAnsi" w:cs="Arial"/>
          <w:i/>
          <w:iCs/>
          <w:sz w:val="22"/>
          <w:szCs w:val="20"/>
          <w:lang w:val="es-MX" w:eastAsia="en-US"/>
        </w:rPr>
      </w:pPr>
      <w:r w:rsidRPr="003727F3">
        <w:rPr>
          <w:rFonts w:eastAsiaTheme="minorHAnsi" w:cs="Arial"/>
          <w:b/>
          <w:bCs/>
          <w:i/>
          <w:iCs/>
          <w:sz w:val="22"/>
          <w:szCs w:val="20"/>
          <w:lang w:val="es-MX" w:eastAsia="en-US"/>
        </w:rPr>
        <w:t>Artículo 93.-</w:t>
      </w:r>
      <w:r w:rsidRPr="003727F3">
        <w:rPr>
          <w:rFonts w:eastAsiaTheme="minorHAnsi" w:cs="Arial"/>
          <w:i/>
          <w:iCs/>
          <w:sz w:val="22"/>
          <w:szCs w:val="20"/>
          <w:lang w:val="es-MX" w:eastAsia="en-US"/>
        </w:rPr>
        <w:t xml:space="preserve"> La tesorería municipal es el órgano encargado de la recaudación de los ingresos municipales y responsable de realizar las erogaciones que haga el ayuntamiento.</w:t>
      </w:r>
    </w:p>
    <w:p w14:paraId="0A31C126" w14:textId="77777777" w:rsidR="003158D7" w:rsidRPr="003727F3" w:rsidRDefault="003158D7" w:rsidP="003158D7">
      <w:pPr>
        <w:spacing w:after="160" w:line="276" w:lineRule="auto"/>
        <w:ind w:left="709" w:right="567"/>
        <w:rPr>
          <w:rFonts w:eastAsiaTheme="minorHAnsi" w:cs="Arial"/>
          <w:i/>
          <w:iCs/>
          <w:sz w:val="22"/>
          <w:szCs w:val="20"/>
          <w:lang w:val="es-MX" w:eastAsia="en-US"/>
        </w:rPr>
      </w:pPr>
      <w:r w:rsidRPr="003727F3">
        <w:rPr>
          <w:rFonts w:eastAsiaTheme="minorHAnsi" w:cs="Arial"/>
          <w:b/>
          <w:bCs/>
          <w:i/>
          <w:iCs/>
          <w:sz w:val="22"/>
          <w:szCs w:val="20"/>
          <w:lang w:val="es-MX" w:eastAsia="en-US"/>
        </w:rPr>
        <w:t>Artículo 95.-</w:t>
      </w:r>
      <w:r w:rsidRPr="003727F3">
        <w:rPr>
          <w:rFonts w:eastAsiaTheme="minorHAnsi" w:cs="Arial"/>
          <w:i/>
          <w:iCs/>
          <w:sz w:val="22"/>
          <w:szCs w:val="20"/>
          <w:lang w:val="es-MX" w:eastAsia="en-US"/>
        </w:rPr>
        <w:t xml:space="preserve"> Son atribuciones del tesorero municipal:</w:t>
      </w:r>
    </w:p>
    <w:p w14:paraId="31CB917E" w14:textId="77777777" w:rsidR="003158D7" w:rsidRPr="003727F3" w:rsidRDefault="003158D7" w:rsidP="003158D7">
      <w:pPr>
        <w:spacing w:after="160" w:line="276" w:lineRule="auto"/>
        <w:ind w:left="709" w:right="567"/>
        <w:rPr>
          <w:rFonts w:eastAsiaTheme="minorHAnsi" w:cs="Arial"/>
          <w:i/>
          <w:iCs/>
          <w:sz w:val="22"/>
          <w:szCs w:val="20"/>
          <w:lang w:val="es-MX" w:eastAsia="en-US"/>
        </w:rPr>
      </w:pPr>
      <w:r w:rsidRPr="003727F3">
        <w:rPr>
          <w:rFonts w:eastAsiaTheme="minorHAnsi" w:cs="Arial"/>
          <w:i/>
          <w:iCs/>
          <w:sz w:val="22"/>
          <w:szCs w:val="20"/>
          <w:lang w:val="es-MX" w:eastAsia="en-US"/>
        </w:rPr>
        <w:lastRenderedPageBreak/>
        <w:t xml:space="preserve">IV. Llevar los registros contables, financieros y administrativos de los ingresos, egresos, e inventarios; </w:t>
      </w:r>
    </w:p>
    <w:p w14:paraId="69995B93" w14:textId="77777777" w:rsidR="003158D7" w:rsidRPr="003727F3" w:rsidRDefault="003158D7" w:rsidP="003158D7">
      <w:pPr>
        <w:spacing w:after="160" w:line="276" w:lineRule="auto"/>
        <w:ind w:left="709" w:right="567"/>
        <w:rPr>
          <w:rFonts w:eastAsiaTheme="minorHAnsi" w:cs="Arial"/>
          <w:i/>
          <w:iCs/>
          <w:sz w:val="22"/>
          <w:szCs w:val="20"/>
          <w:lang w:val="es-MX" w:eastAsia="en-US"/>
        </w:rPr>
      </w:pPr>
      <w:r w:rsidRPr="003727F3">
        <w:rPr>
          <w:rFonts w:eastAsiaTheme="minorHAnsi" w:cs="Arial"/>
          <w:i/>
          <w:iCs/>
          <w:sz w:val="22"/>
          <w:szCs w:val="20"/>
          <w:lang w:val="es-MX"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3B5AF736" w14:textId="77777777" w:rsidR="003158D7" w:rsidRPr="003727F3" w:rsidRDefault="003158D7" w:rsidP="003158D7">
      <w:pPr>
        <w:spacing w:after="160" w:line="276" w:lineRule="auto"/>
        <w:ind w:left="709" w:right="567"/>
        <w:rPr>
          <w:rFonts w:eastAsiaTheme="minorHAnsi" w:cs="Arial"/>
          <w:i/>
          <w:iCs/>
          <w:sz w:val="22"/>
          <w:szCs w:val="20"/>
          <w:lang w:val="es-MX" w:eastAsia="en-US"/>
        </w:rPr>
      </w:pPr>
      <w:r w:rsidRPr="003727F3">
        <w:rPr>
          <w:rFonts w:eastAsiaTheme="minorHAnsi" w:cs="Arial"/>
          <w:i/>
          <w:iCs/>
          <w:sz w:val="22"/>
          <w:szCs w:val="20"/>
          <w:lang w:val="es-MX" w:eastAsia="en-US"/>
        </w:rPr>
        <w:t>VI. Presentar anualmente al ayuntamiento un informe de la situación contable financiera de la Tesorería Municipal;</w:t>
      </w:r>
    </w:p>
    <w:p w14:paraId="41FA4787" w14:textId="77777777" w:rsidR="002F7260" w:rsidRPr="003727F3" w:rsidRDefault="002F7260" w:rsidP="00660697"/>
    <w:p w14:paraId="34F693E7" w14:textId="41F3ECEF" w:rsidR="009A41B1" w:rsidRPr="003727F3" w:rsidRDefault="00FA71F7" w:rsidP="006100FC">
      <w:r w:rsidRPr="003727F3">
        <w:t>Así se logra vislumbrar que el Sujeto Obligado cumplió con el procedimiento de búsqueda establecido en el artículo 162 de la Ley de Transparencia y Acceso a la Información Pública del Estado de México y Municipios, pues si bien, turnó la solicitud de información al área competente; no obstante,  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1E9B40DC" w14:textId="77777777" w:rsidR="002F7260" w:rsidRPr="003727F3" w:rsidRDefault="002F7260" w:rsidP="006100FC"/>
    <w:p w14:paraId="24626BBC" w14:textId="3BCD0EE0" w:rsidR="00FA71F7" w:rsidRPr="003727F3" w:rsidRDefault="003158D7" w:rsidP="00FA71F7">
      <w:pPr>
        <w:pBdr>
          <w:top w:val="nil"/>
          <w:left w:val="nil"/>
          <w:bottom w:val="nil"/>
          <w:right w:val="nil"/>
          <w:between w:val="nil"/>
        </w:pBdr>
        <w:contextualSpacing/>
        <w:rPr>
          <w:rFonts w:eastAsiaTheme="minorHAnsi" w:cstheme="minorBidi"/>
          <w:lang w:val="es-MX"/>
        </w:rPr>
      </w:pPr>
      <w:r w:rsidRPr="003727F3">
        <w:rPr>
          <w:rFonts w:eastAsiaTheme="minorHAnsi" w:cstheme="minorBidi"/>
          <w:lang w:val="es-MX"/>
        </w:rPr>
        <w:t>Así se refuerza que</w:t>
      </w:r>
      <w:r w:rsidR="00FA71F7" w:rsidRPr="003727F3">
        <w:rPr>
          <w:rFonts w:eastAsiaTheme="minorHAnsi" w:cstheme="minorBidi"/>
          <w:lang w:val="es-MX"/>
        </w:rPr>
        <w:t>, el Instructivo del Módulo 1 de la Información que entregan las entidades al Órgano Superior de Fiscalización del Estado de México (OSFEM),  se localiza el Estado de Situación Financiera, el cual se reporta de manera mensual por ejercicio.</w:t>
      </w:r>
    </w:p>
    <w:p w14:paraId="6ECBD925" w14:textId="77777777" w:rsidR="00FA71F7" w:rsidRPr="003727F3" w:rsidRDefault="00FA71F7" w:rsidP="00FA71F7">
      <w:pPr>
        <w:pBdr>
          <w:top w:val="nil"/>
          <w:left w:val="nil"/>
          <w:bottom w:val="nil"/>
          <w:right w:val="nil"/>
          <w:between w:val="nil"/>
        </w:pBdr>
        <w:contextualSpacing/>
        <w:rPr>
          <w:rFonts w:eastAsiaTheme="minorHAnsi" w:cstheme="minorBidi"/>
          <w:lang w:val="es-MX"/>
        </w:rPr>
      </w:pPr>
      <w:r w:rsidRPr="003727F3">
        <w:rPr>
          <w:rFonts w:eastAsiaTheme="minorHAnsi" w:cstheme="minorBidi"/>
          <w:noProof/>
          <w:lang w:val="es-MX"/>
        </w:rPr>
        <w:lastRenderedPageBreak/>
        <w:drawing>
          <wp:anchor distT="0" distB="0" distL="114300" distR="114300" simplePos="0" relativeHeight="251664384" behindDoc="0" locked="0" layoutInCell="1" allowOverlap="1" wp14:anchorId="1B2EA9CF" wp14:editId="68352099">
            <wp:simplePos x="0" y="0"/>
            <wp:positionH relativeFrom="margin">
              <wp:posOffset>237507</wp:posOffset>
            </wp:positionH>
            <wp:positionV relativeFrom="paragraph">
              <wp:posOffset>610</wp:posOffset>
            </wp:positionV>
            <wp:extent cx="5399805" cy="3198099"/>
            <wp:effectExtent l="0" t="0" r="0" b="254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4">
                      <a:extLst>
                        <a:ext uri="{28A0092B-C50C-407E-A947-70E740481C1C}">
                          <a14:useLocalDpi xmlns:a14="http://schemas.microsoft.com/office/drawing/2010/main" val="0"/>
                        </a:ext>
                      </a:extLst>
                    </a:blip>
                    <a:stretch>
                      <a:fillRect/>
                    </a:stretch>
                  </pic:blipFill>
                  <pic:spPr>
                    <a:xfrm>
                      <a:off x="0" y="0"/>
                      <a:ext cx="5399805" cy="3198099"/>
                    </a:xfrm>
                    <a:prstGeom prst="rect">
                      <a:avLst/>
                    </a:prstGeom>
                  </pic:spPr>
                </pic:pic>
              </a:graphicData>
            </a:graphic>
            <wp14:sizeRelH relativeFrom="margin">
              <wp14:pctWidth>0</wp14:pctWidth>
            </wp14:sizeRelH>
            <wp14:sizeRelV relativeFrom="margin">
              <wp14:pctHeight>0</wp14:pctHeight>
            </wp14:sizeRelV>
          </wp:anchor>
        </w:drawing>
      </w:r>
    </w:p>
    <w:p w14:paraId="7DD995A0"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1F4E2838"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1469A105"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33530AE5"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13D5B103"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07F46DF3"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472ABD0C"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4DA350EC"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0D64463A"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5AE6E667" w14:textId="77777777" w:rsidR="00366F9F" w:rsidRPr="003727F3" w:rsidRDefault="00366F9F" w:rsidP="00FA71F7">
      <w:pPr>
        <w:pBdr>
          <w:top w:val="nil"/>
          <w:left w:val="nil"/>
          <w:bottom w:val="nil"/>
          <w:right w:val="nil"/>
          <w:between w:val="nil"/>
        </w:pBdr>
        <w:contextualSpacing/>
        <w:rPr>
          <w:rFonts w:eastAsiaTheme="minorHAnsi" w:cstheme="minorBidi"/>
          <w:lang w:val="es-MX"/>
        </w:rPr>
      </w:pPr>
    </w:p>
    <w:p w14:paraId="1D565615" w14:textId="77777777" w:rsidR="00FA71F7" w:rsidRPr="003727F3" w:rsidRDefault="00FA71F7" w:rsidP="00FA71F7">
      <w:pPr>
        <w:pBdr>
          <w:top w:val="nil"/>
          <w:left w:val="nil"/>
          <w:bottom w:val="nil"/>
          <w:right w:val="nil"/>
          <w:between w:val="nil"/>
        </w:pBdr>
        <w:contextualSpacing/>
        <w:rPr>
          <w:rFonts w:eastAsiaTheme="minorHAnsi" w:cstheme="minorBidi"/>
          <w:lang w:val="es-MX"/>
        </w:rPr>
      </w:pPr>
      <w:r w:rsidRPr="003727F3">
        <w:rPr>
          <w:rFonts w:eastAsiaTheme="minorHAnsi" w:cstheme="minorBidi"/>
          <w:lang w:val="es-MX"/>
        </w:rPr>
        <w:t xml:space="preserve">El “Estado de Situación Financiera” se debe presentar en los formatos PDF y TXT considerando las siguientes especificaciones: </w:t>
      </w:r>
    </w:p>
    <w:p w14:paraId="14311E00" w14:textId="77777777" w:rsidR="00FA71F7" w:rsidRPr="003727F3" w:rsidRDefault="00FA71F7" w:rsidP="00FA71F7">
      <w:pPr>
        <w:pBdr>
          <w:top w:val="nil"/>
          <w:left w:val="nil"/>
          <w:bottom w:val="nil"/>
          <w:right w:val="nil"/>
          <w:between w:val="nil"/>
        </w:pBdr>
        <w:contextualSpacing/>
        <w:rPr>
          <w:rFonts w:eastAsiaTheme="minorHAnsi" w:cstheme="minorBidi"/>
          <w:lang w:val="es-MX"/>
        </w:rPr>
      </w:pPr>
    </w:p>
    <w:p w14:paraId="3B58AC95" w14:textId="77777777" w:rsidR="00FA71F7" w:rsidRPr="003727F3" w:rsidRDefault="00FA71F7" w:rsidP="00FA71F7">
      <w:pPr>
        <w:pBdr>
          <w:top w:val="nil"/>
          <w:left w:val="nil"/>
          <w:bottom w:val="nil"/>
          <w:right w:val="nil"/>
          <w:between w:val="nil"/>
        </w:pBdr>
        <w:ind w:left="567" w:right="141"/>
        <w:contextualSpacing/>
        <w:rPr>
          <w:rFonts w:eastAsiaTheme="minorHAnsi" w:cstheme="minorBidi"/>
          <w:i/>
          <w:iCs/>
          <w:sz w:val="22"/>
          <w:szCs w:val="20"/>
          <w:lang w:val="es-MX"/>
        </w:rPr>
      </w:pPr>
      <w:r w:rsidRPr="003727F3">
        <w:rPr>
          <w:rFonts w:eastAsiaTheme="minorHAnsi" w:cstheme="minorBidi"/>
          <w:i/>
          <w:iCs/>
          <w:sz w:val="22"/>
          <w:szCs w:val="20"/>
          <w:lang w:val="es-MX"/>
        </w:rPr>
        <w:t xml:space="preserve">1. Concepto: Muestra el nombre de los rubros conforme a la estructura del Plan de Cuentas, agrupados en Activo, Pasivo y Hacienda Pública/Patrimonio. </w:t>
      </w:r>
    </w:p>
    <w:p w14:paraId="53E1AE03" w14:textId="77777777" w:rsidR="00FA71F7" w:rsidRPr="003727F3" w:rsidRDefault="00FA71F7" w:rsidP="00FA71F7">
      <w:pPr>
        <w:pBdr>
          <w:top w:val="nil"/>
          <w:left w:val="nil"/>
          <w:bottom w:val="nil"/>
          <w:right w:val="nil"/>
          <w:between w:val="nil"/>
        </w:pBdr>
        <w:ind w:left="567" w:right="141"/>
        <w:contextualSpacing/>
        <w:rPr>
          <w:rFonts w:eastAsiaTheme="minorHAnsi" w:cstheme="minorBidi"/>
          <w:i/>
          <w:iCs/>
          <w:sz w:val="22"/>
          <w:szCs w:val="20"/>
          <w:lang w:val="es-MX"/>
        </w:rPr>
      </w:pPr>
      <w:r w:rsidRPr="003727F3">
        <w:rPr>
          <w:rFonts w:eastAsiaTheme="minorHAnsi" w:cstheme="minorBidi"/>
          <w:i/>
          <w:iCs/>
          <w:sz w:val="22"/>
          <w:szCs w:val="20"/>
          <w:lang w:val="es-MX"/>
        </w:rPr>
        <w:t xml:space="preserve">2. Mes Actual: Muestra el saldo de cada uno de los conceptos del periodo actual. </w:t>
      </w:r>
    </w:p>
    <w:p w14:paraId="13DD99C9" w14:textId="77777777" w:rsidR="00FA71F7" w:rsidRPr="003727F3" w:rsidRDefault="00FA71F7" w:rsidP="00FA71F7">
      <w:pPr>
        <w:pBdr>
          <w:top w:val="nil"/>
          <w:left w:val="nil"/>
          <w:bottom w:val="nil"/>
          <w:right w:val="nil"/>
          <w:between w:val="nil"/>
        </w:pBdr>
        <w:ind w:left="567" w:right="141"/>
        <w:contextualSpacing/>
        <w:rPr>
          <w:rFonts w:eastAsiaTheme="minorHAnsi" w:cstheme="minorBidi"/>
          <w:i/>
          <w:iCs/>
          <w:sz w:val="22"/>
          <w:szCs w:val="20"/>
          <w:lang w:val="es-MX"/>
        </w:rPr>
      </w:pPr>
      <w:r w:rsidRPr="003727F3">
        <w:rPr>
          <w:rFonts w:eastAsiaTheme="minorHAnsi" w:cstheme="minorBidi"/>
          <w:i/>
          <w:iCs/>
          <w:sz w:val="22"/>
          <w:szCs w:val="20"/>
          <w:lang w:val="es-MX"/>
        </w:rPr>
        <w:t xml:space="preserve">3. Mes Anterior: Muestra el saldo de cada uno de los conceptos del periodo anterior. </w:t>
      </w:r>
    </w:p>
    <w:p w14:paraId="37616EB0" w14:textId="77777777" w:rsidR="00FA71F7" w:rsidRPr="003727F3" w:rsidRDefault="00FA71F7" w:rsidP="00FA71F7">
      <w:pPr>
        <w:pBdr>
          <w:top w:val="nil"/>
          <w:left w:val="nil"/>
          <w:bottom w:val="nil"/>
          <w:right w:val="nil"/>
          <w:between w:val="nil"/>
        </w:pBdr>
        <w:ind w:left="567" w:right="141"/>
        <w:contextualSpacing/>
        <w:rPr>
          <w:rFonts w:eastAsiaTheme="minorHAnsi" w:cstheme="minorBidi"/>
          <w:i/>
          <w:iCs/>
          <w:sz w:val="22"/>
          <w:szCs w:val="20"/>
          <w:lang w:val="es-MX"/>
        </w:rPr>
      </w:pPr>
      <w:r w:rsidRPr="003727F3">
        <w:rPr>
          <w:rFonts w:eastAsiaTheme="minorHAnsi" w:cstheme="minorBidi"/>
          <w:i/>
          <w:iCs/>
          <w:sz w:val="22"/>
          <w:szCs w:val="20"/>
          <w:lang w:val="es-MX"/>
        </w:rPr>
        <w:t xml:space="preserve">***Cuentas de Orden </w:t>
      </w:r>
    </w:p>
    <w:p w14:paraId="2FE03865" w14:textId="77777777" w:rsidR="00FA71F7" w:rsidRPr="003727F3" w:rsidRDefault="00FA71F7" w:rsidP="00FA71F7">
      <w:pPr>
        <w:pBdr>
          <w:top w:val="nil"/>
          <w:left w:val="nil"/>
          <w:bottom w:val="nil"/>
          <w:right w:val="nil"/>
          <w:between w:val="nil"/>
        </w:pBdr>
        <w:ind w:left="567" w:right="141"/>
        <w:contextualSpacing/>
        <w:rPr>
          <w:rFonts w:eastAsiaTheme="minorHAnsi" w:cstheme="minorBidi"/>
          <w:i/>
          <w:iCs/>
          <w:sz w:val="22"/>
          <w:szCs w:val="20"/>
          <w:lang w:val="es-MX"/>
        </w:rPr>
      </w:pPr>
      <w:r w:rsidRPr="003727F3">
        <w:rPr>
          <w:rFonts w:eastAsiaTheme="minorHAnsi" w:cstheme="minorBidi"/>
          <w:i/>
          <w:iCs/>
          <w:sz w:val="22"/>
          <w:szCs w:val="20"/>
          <w:lang w:val="es-MX"/>
        </w:rPr>
        <w:t>El “Estado de Situación Financiera” en formato TXT debe de contener la misma información que se presenta en formato PDF, asimismo, no se permite modificar el texto y/o redacción de la columna denominada “Concepto”, ya que es un formato establecido por el CONAC.</w:t>
      </w:r>
    </w:p>
    <w:p w14:paraId="47E04818" w14:textId="77777777" w:rsidR="00FA71F7" w:rsidRPr="003727F3" w:rsidRDefault="00FA71F7" w:rsidP="00FA71F7">
      <w:pPr>
        <w:pBdr>
          <w:top w:val="nil"/>
          <w:left w:val="nil"/>
          <w:bottom w:val="nil"/>
          <w:right w:val="nil"/>
          <w:between w:val="nil"/>
        </w:pBdr>
        <w:contextualSpacing/>
        <w:rPr>
          <w:rFonts w:eastAsiaTheme="minorHAnsi" w:cstheme="minorBidi"/>
          <w:lang w:val="es-MX"/>
        </w:rPr>
      </w:pPr>
    </w:p>
    <w:p w14:paraId="023A8C8D" w14:textId="77777777" w:rsidR="00FA71F7" w:rsidRPr="003727F3" w:rsidRDefault="00FA71F7" w:rsidP="00FA71F7">
      <w:pPr>
        <w:pBdr>
          <w:top w:val="nil"/>
          <w:left w:val="nil"/>
          <w:bottom w:val="nil"/>
          <w:right w:val="nil"/>
          <w:between w:val="nil"/>
        </w:pBdr>
        <w:contextualSpacing/>
        <w:rPr>
          <w:rFonts w:eastAsiaTheme="minorHAnsi" w:cstheme="minorBidi"/>
          <w:lang w:val="es-MX"/>
        </w:rPr>
      </w:pPr>
      <w:r w:rsidRPr="003727F3">
        <w:rPr>
          <w:rFonts w:eastAsiaTheme="minorHAnsi" w:cstheme="minorBidi"/>
          <w:lang w:val="es-MX"/>
        </w:rPr>
        <w:t>Por lo que el documento que se solicita, es información que posee, administra y genera el Sujeto Obligado.</w:t>
      </w:r>
    </w:p>
    <w:p w14:paraId="45D55B93" w14:textId="0E04DA03" w:rsidR="00FA71F7" w:rsidRPr="003727F3" w:rsidRDefault="006F0937" w:rsidP="006100FC">
      <w:r w:rsidRPr="003727F3">
        <w:lastRenderedPageBreak/>
        <w:t>Se revisa que efectivamente el Sujeto Obligado esta constreñido a generar la información solicitada de los meses de abril y mayo</w:t>
      </w:r>
      <w:r w:rsidR="001028F2" w:rsidRPr="003727F3">
        <w:t xml:space="preserve"> de la anualidad actuante</w:t>
      </w:r>
      <w:r w:rsidR="00DB42A2" w:rsidRPr="003727F3">
        <w:t>, por lo que se instruye la entrega de la información faltante.</w:t>
      </w:r>
    </w:p>
    <w:p w14:paraId="3B988407" w14:textId="77777777" w:rsidR="004857B8" w:rsidRPr="003727F3" w:rsidRDefault="004857B8" w:rsidP="004857B8">
      <w:pPr>
        <w:ind w:right="49"/>
        <w:contextualSpacing/>
        <w:rPr>
          <w:rFonts w:eastAsia="Times New Roman" w:cs="Times New Roman"/>
          <w:color w:val="000000"/>
          <w:szCs w:val="24"/>
          <w:lang w:val="es-MX"/>
        </w:rPr>
      </w:pPr>
    </w:p>
    <w:p w14:paraId="6A0DD73F" w14:textId="40F9A4FB" w:rsidR="004857B8" w:rsidRPr="003727F3" w:rsidRDefault="004857B8" w:rsidP="004857B8">
      <w:pPr>
        <w:ind w:right="49"/>
        <w:contextualSpacing/>
        <w:rPr>
          <w:rFonts w:cs="Arial"/>
          <w:szCs w:val="24"/>
          <w:lang w:val="es-MX" w:eastAsia="es-ES"/>
        </w:rPr>
      </w:pPr>
      <w:r w:rsidRPr="003727F3">
        <w:rPr>
          <w:rFonts w:eastAsia="Times New Roman" w:cs="Times New Roman"/>
          <w:color w:val="000000"/>
          <w:szCs w:val="24"/>
          <w:lang w:val="es-MX"/>
        </w:rPr>
        <w:t>En otro orden de ideas, no se omite comentar que respecto a las razones o motivos de inconformidad expresados por el Recurrente</w:t>
      </w:r>
      <w:r w:rsidRPr="003727F3">
        <w:rPr>
          <w:rFonts w:eastAsia="Times New Roman" w:cs="Times New Roman"/>
          <w:b/>
          <w:color w:val="000000"/>
          <w:szCs w:val="24"/>
          <w:lang w:val="es-MX"/>
        </w:rPr>
        <w:t xml:space="preserve"> </w:t>
      </w:r>
      <w:r w:rsidRPr="003727F3">
        <w:rPr>
          <w:rFonts w:eastAsia="Times New Roman" w:cs="Times New Roman"/>
          <w:color w:val="000000"/>
          <w:szCs w:val="24"/>
          <w:lang w:val="es-MX"/>
        </w:rPr>
        <w:t xml:space="preserve">como razones o motivos de inconformidad, </w:t>
      </w:r>
      <w:r w:rsidR="00040184" w:rsidRPr="003727F3">
        <w:rPr>
          <w:rFonts w:eastAsia="Times New Roman" w:cs="Times New Roman"/>
          <w:color w:val="000000"/>
          <w:szCs w:val="24"/>
          <w:lang w:val="es-MX"/>
        </w:rPr>
        <w:t>referentes a la presentación de documentos sin firma,</w:t>
      </w:r>
      <w:r w:rsidRPr="003727F3">
        <w:rPr>
          <w:rFonts w:eastAsia="Times New Roman" w:cs="Arial"/>
          <w:i/>
          <w:szCs w:val="24"/>
          <w:lang w:val="es-MX" w:eastAsia="es-ES"/>
        </w:rPr>
        <w:t xml:space="preserve"> </w:t>
      </w:r>
      <w:r w:rsidRPr="003727F3">
        <w:rPr>
          <w:rFonts w:eastAsia="Times New Roman" w:cs="Arial"/>
          <w:szCs w:val="24"/>
          <w:lang w:val="es-MX" w:eastAsia="es-ES"/>
        </w:rPr>
        <w:t xml:space="preserve">al respecto, es importante señalar que </w:t>
      </w:r>
      <w:r w:rsidRPr="003727F3">
        <w:rPr>
          <w:rFonts w:cs="Arial"/>
          <w:szCs w:val="24"/>
          <w:lang w:val="es-MX" w:eastAsia="es-ES"/>
        </w:rPr>
        <w:t xml:space="preserve">las respuestas otorgadas mediante </w:t>
      </w:r>
      <w:r w:rsidRPr="003727F3">
        <w:rPr>
          <w:rFonts w:eastAsia="Arial Unicode MS" w:cs="Arial"/>
          <w:szCs w:val="24"/>
          <w:lang w:val="es-MX" w:eastAsia="es-ES"/>
        </w:rPr>
        <w:t xml:space="preserve">el </w:t>
      </w:r>
      <w:proofErr w:type="spellStart"/>
      <w:r w:rsidRPr="003727F3">
        <w:rPr>
          <w:rFonts w:eastAsia="Arial Unicode MS" w:cs="Arial"/>
          <w:szCs w:val="24"/>
          <w:lang w:val="es-MX" w:eastAsia="es-ES"/>
        </w:rPr>
        <w:t>Saimex</w:t>
      </w:r>
      <w:proofErr w:type="spellEnd"/>
      <w:r w:rsidRPr="003727F3">
        <w:rPr>
          <w:rFonts w:cs="Arial"/>
          <w:szCs w:val="24"/>
          <w:lang w:val="es-MX" w:eastAsia="es-ES"/>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3007746A" w14:textId="77777777" w:rsidR="004857B8" w:rsidRPr="003727F3" w:rsidRDefault="004857B8" w:rsidP="004857B8">
      <w:pPr>
        <w:ind w:right="49"/>
        <w:contextualSpacing/>
        <w:rPr>
          <w:rFonts w:cs="Arial"/>
          <w:szCs w:val="24"/>
          <w:lang w:val="es-MX" w:eastAsia="es-ES"/>
        </w:rPr>
      </w:pPr>
    </w:p>
    <w:p w14:paraId="2909C8E5" w14:textId="77777777" w:rsidR="004857B8" w:rsidRPr="003727F3" w:rsidRDefault="004857B8" w:rsidP="004857B8">
      <w:pPr>
        <w:rPr>
          <w:rFonts w:eastAsia="Arial Unicode MS" w:cs="Arial"/>
          <w:szCs w:val="24"/>
          <w:lang w:val="es-MX" w:eastAsia="es-ES"/>
        </w:rPr>
      </w:pPr>
      <w:r w:rsidRPr="003727F3">
        <w:rPr>
          <w:rFonts w:eastAsia="Times New Roman" w:cs="Arial"/>
          <w:szCs w:val="24"/>
          <w:lang w:val="es-MX" w:eastAsia="es-ES"/>
        </w:rPr>
        <w:t xml:space="preserve">Lo anterior encuentra sustento en el Criterio 7/19 del </w:t>
      </w:r>
      <w:r w:rsidRPr="003727F3">
        <w:rPr>
          <w:rFonts w:eastAsia="Arial Unicode MS" w:cs="Arial"/>
          <w:szCs w:val="24"/>
          <w:lang w:val="es-MX" w:eastAsia="es-ES"/>
        </w:rPr>
        <w:t>Instituto Nacional de Transparencia, Acceso a la Información y Protección de Datos Personales, que literalmente establece:</w:t>
      </w:r>
    </w:p>
    <w:p w14:paraId="776CD07B" w14:textId="77777777" w:rsidR="004857B8" w:rsidRPr="003727F3" w:rsidRDefault="004857B8" w:rsidP="004857B8">
      <w:pPr>
        <w:shd w:val="clear" w:color="auto" w:fill="FFFFFF"/>
        <w:spacing w:line="240" w:lineRule="auto"/>
        <w:ind w:left="851" w:right="902"/>
        <w:rPr>
          <w:rFonts w:eastAsia="Times New Roman" w:cs="Arial"/>
          <w:i/>
          <w:sz w:val="22"/>
          <w:szCs w:val="24"/>
          <w:lang w:val="es-MX" w:eastAsia="es-ES"/>
        </w:rPr>
      </w:pPr>
    </w:p>
    <w:p w14:paraId="2486EFFA" w14:textId="77777777" w:rsidR="004857B8" w:rsidRPr="003727F3" w:rsidRDefault="004857B8" w:rsidP="004857B8">
      <w:pPr>
        <w:shd w:val="clear" w:color="auto" w:fill="FFFFFF"/>
        <w:spacing w:line="240" w:lineRule="auto"/>
        <w:ind w:left="851" w:right="902"/>
        <w:rPr>
          <w:rFonts w:eastAsia="Times New Roman" w:cs="Arial"/>
          <w:i/>
          <w:sz w:val="22"/>
          <w:szCs w:val="24"/>
          <w:lang w:val="es-MX" w:eastAsia="es-ES"/>
        </w:rPr>
      </w:pPr>
      <w:r w:rsidRPr="003727F3">
        <w:rPr>
          <w:rFonts w:eastAsia="Times New Roman" w:cs="Arial"/>
          <w:i/>
          <w:sz w:val="22"/>
          <w:szCs w:val="24"/>
          <w:lang w:val="es-MX" w:eastAsia="es-ES"/>
        </w:rPr>
        <w:t>“</w:t>
      </w:r>
      <w:r w:rsidRPr="003727F3">
        <w:rPr>
          <w:rFonts w:eastAsia="Times New Roman" w:cs="Arial"/>
          <w:b/>
          <w:i/>
          <w:sz w:val="22"/>
          <w:szCs w:val="24"/>
          <w:lang w:val="es-MX" w:eastAsia="es-ES"/>
        </w:rPr>
        <w:t xml:space="preserve">Documentos sin firma o membrete. </w:t>
      </w:r>
      <w:r w:rsidRPr="003727F3">
        <w:rPr>
          <w:rFonts w:eastAsia="Times New Roman" w:cs="Arial"/>
          <w:i/>
          <w:sz w:val="22"/>
          <w:szCs w:val="24"/>
          <w:lang w:val="es-MX" w:eastAsia="es-ES"/>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67B115DF" w14:textId="77777777" w:rsidR="004857B8" w:rsidRPr="003727F3" w:rsidRDefault="004857B8" w:rsidP="004857B8">
      <w:pPr>
        <w:spacing w:line="240" w:lineRule="auto"/>
        <w:rPr>
          <w:rFonts w:eastAsia="Times New Roman" w:cs="Times New Roman"/>
          <w:color w:val="000000"/>
          <w:szCs w:val="24"/>
          <w:lang w:val="es-MX"/>
        </w:rPr>
      </w:pPr>
    </w:p>
    <w:p w14:paraId="65A97A3A" w14:textId="77777777" w:rsidR="00D265BD" w:rsidRPr="003727F3" w:rsidRDefault="00D265BD" w:rsidP="00D265BD">
      <w:pPr>
        <w:rPr>
          <w:rFonts w:eastAsiaTheme="minorHAnsi" w:cs="Arial"/>
          <w:lang w:val="es-MX" w:eastAsia="en-US"/>
        </w:rPr>
      </w:pPr>
    </w:p>
    <w:p w14:paraId="160D3F0E" w14:textId="6211F323" w:rsidR="00D265BD" w:rsidRPr="003727F3" w:rsidRDefault="00D265BD" w:rsidP="00D265BD">
      <w:pPr>
        <w:rPr>
          <w:rFonts w:eastAsiaTheme="minorHAnsi" w:cstheme="minorBidi"/>
          <w:b/>
          <w:bCs/>
          <w:color w:val="000000"/>
          <w:lang w:val="es-MX" w:eastAsia="en-US"/>
        </w:rPr>
      </w:pPr>
      <w:r w:rsidRPr="003727F3">
        <w:rPr>
          <w:rFonts w:eastAsiaTheme="minorHAnsi" w:cs="Arial"/>
          <w:lang w:val="es-MX" w:eastAsia="en-US"/>
        </w:rPr>
        <w:t xml:space="preserve">En este contexto, </w:t>
      </w:r>
      <w:r w:rsidRPr="003727F3">
        <w:rPr>
          <w:rFonts w:eastAsiaTheme="minorHAnsi" w:cs="Arial"/>
          <w:lang w:val="es-MX"/>
        </w:rPr>
        <w:t xml:space="preserve">el </w:t>
      </w:r>
      <w:r w:rsidRPr="003727F3">
        <w:rPr>
          <w:rFonts w:eastAsiaTheme="minorHAnsi" w:cs="Arial"/>
          <w:b/>
          <w:lang w:val="es-MX"/>
        </w:rPr>
        <w:t>Sujeto Obligado</w:t>
      </w:r>
      <w:r w:rsidRPr="003727F3">
        <w:rPr>
          <w:rFonts w:eastAsiaTheme="minorHAnsi" w:cs="Arial"/>
          <w:lang w:val="es-MX" w:eastAsia="en-US"/>
        </w:rPr>
        <w:t xml:space="preserve"> no está obligado a generar documento </w:t>
      </w:r>
      <w:r w:rsidRPr="003727F3">
        <w:rPr>
          <w:rFonts w:eastAsiaTheme="minorHAnsi" w:cs="Arial"/>
          <w:b/>
          <w:i/>
          <w:lang w:val="es-MX" w:eastAsia="en-US"/>
        </w:rPr>
        <w:t>ad hoc</w:t>
      </w:r>
      <w:r w:rsidRPr="003727F3">
        <w:rPr>
          <w:rFonts w:eastAsiaTheme="minorHAnsi" w:cs="Arial"/>
          <w:lang w:val="es-MX" w:eastAsia="en-US"/>
        </w:rPr>
        <w:t xml:space="preserve"> para para satisfacer el derecho de acceso, situación que no está permitida dentro de la materia de acceso a la información. </w:t>
      </w:r>
      <w:r w:rsidRPr="003727F3">
        <w:rPr>
          <w:rFonts w:eastAsiaTheme="minorHAnsi" w:cs="Arial"/>
          <w:color w:val="000000"/>
          <w:lang w:val="es-MX" w:eastAsia="en-US"/>
        </w:rPr>
        <w:t xml:space="preserve">Como apoyo a lo anterior, es aplicable el Criterio 03-17, emitido por </w:t>
      </w:r>
      <w:r w:rsidRPr="003727F3">
        <w:rPr>
          <w:rFonts w:eastAsia="Arial Unicode MS" w:cs="Arial"/>
          <w:color w:val="000000"/>
          <w:lang w:val="es-MX" w:eastAsia="en-US"/>
        </w:rPr>
        <w:t>el entonces Instituto Nacional de Transparencia, Acceso a la Información y Protección de Datos Personales,</w:t>
      </w:r>
      <w:r w:rsidRPr="003727F3">
        <w:rPr>
          <w:rFonts w:eastAsiaTheme="minorHAnsi" w:cstheme="minorBidi"/>
          <w:bCs/>
          <w:color w:val="000000"/>
          <w:lang w:val="es-MX" w:eastAsia="en-US"/>
        </w:rPr>
        <w:t xml:space="preserve"> que dice:</w:t>
      </w:r>
      <w:r w:rsidRPr="003727F3">
        <w:rPr>
          <w:rFonts w:eastAsiaTheme="minorHAnsi" w:cstheme="minorBidi"/>
          <w:b/>
          <w:bCs/>
          <w:color w:val="000000"/>
          <w:lang w:val="es-MX" w:eastAsia="en-US"/>
        </w:rPr>
        <w:t xml:space="preserve"> </w:t>
      </w:r>
    </w:p>
    <w:p w14:paraId="1538ACDE" w14:textId="77777777" w:rsidR="00D265BD" w:rsidRPr="003727F3" w:rsidRDefault="00D265BD" w:rsidP="00D265BD">
      <w:pPr>
        <w:spacing w:line="240" w:lineRule="auto"/>
        <w:jc w:val="left"/>
        <w:rPr>
          <w:rFonts w:asciiTheme="minorHAnsi" w:eastAsiaTheme="minorHAnsi" w:hAnsiTheme="minorHAnsi" w:cstheme="minorBidi"/>
          <w:sz w:val="22"/>
          <w:lang w:val="es-MX" w:eastAsia="en-US"/>
        </w:rPr>
      </w:pPr>
    </w:p>
    <w:p w14:paraId="3A4C7DA4" w14:textId="77777777" w:rsidR="00D265BD" w:rsidRPr="003727F3" w:rsidRDefault="00D265BD" w:rsidP="00D265BD">
      <w:pPr>
        <w:spacing w:line="259" w:lineRule="auto"/>
        <w:ind w:left="851" w:right="850"/>
        <w:rPr>
          <w:rFonts w:eastAsiaTheme="minorHAnsi" w:cs="Arial"/>
          <w:color w:val="000000"/>
          <w:sz w:val="2"/>
          <w:lang w:val="es-MX" w:eastAsia="en-US"/>
        </w:rPr>
      </w:pPr>
    </w:p>
    <w:p w14:paraId="237CD0E0" w14:textId="77777777" w:rsidR="00D265BD" w:rsidRPr="003727F3" w:rsidRDefault="00D265BD" w:rsidP="00D265BD">
      <w:pPr>
        <w:spacing w:line="259" w:lineRule="auto"/>
        <w:ind w:left="567" w:right="616"/>
        <w:rPr>
          <w:rFonts w:eastAsiaTheme="minorHAnsi" w:cs="Arial"/>
          <w:i/>
          <w:color w:val="000000"/>
          <w:sz w:val="22"/>
          <w:lang w:val="es-MX" w:eastAsia="en-US"/>
        </w:rPr>
      </w:pPr>
      <w:r w:rsidRPr="003727F3">
        <w:rPr>
          <w:rFonts w:eastAsiaTheme="minorHAnsi" w:cs="Arial"/>
          <w:i/>
          <w:color w:val="000000"/>
          <w:sz w:val="22"/>
          <w:lang w:val="es-MX" w:eastAsia="en-US"/>
        </w:rPr>
        <w:t>“</w:t>
      </w:r>
      <w:r w:rsidRPr="003727F3">
        <w:rPr>
          <w:rFonts w:eastAsiaTheme="minorHAnsi" w:cs="Arial"/>
          <w:b/>
          <w:i/>
          <w:color w:val="000000"/>
          <w:sz w:val="22"/>
          <w:lang w:val="es-MX" w:eastAsia="en-US"/>
        </w:rPr>
        <w:t>No existe obligación de elaborar documentos ad hoc para atender las solicitudes de acceso a la información.</w:t>
      </w:r>
      <w:r w:rsidRPr="003727F3">
        <w:rPr>
          <w:rFonts w:eastAsiaTheme="minorHAnsi" w:cs="Arial"/>
          <w:i/>
          <w:color w:val="000000"/>
          <w:sz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65E21E" w14:textId="77777777" w:rsidR="00D265BD" w:rsidRPr="003727F3" w:rsidRDefault="00D265BD" w:rsidP="00D265BD">
      <w:pPr>
        <w:spacing w:line="259" w:lineRule="auto"/>
        <w:ind w:left="567" w:right="616"/>
        <w:rPr>
          <w:rFonts w:eastAsiaTheme="minorHAnsi" w:cs="Arial"/>
          <w:i/>
          <w:color w:val="000000"/>
          <w:sz w:val="2"/>
          <w:lang w:val="es-MX" w:eastAsia="en-US"/>
        </w:rPr>
      </w:pPr>
    </w:p>
    <w:p w14:paraId="0DA049FB" w14:textId="77777777" w:rsidR="00D265BD" w:rsidRPr="003727F3" w:rsidRDefault="00D265BD" w:rsidP="00D265BD">
      <w:pPr>
        <w:spacing w:line="259" w:lineRule="auto"/>
        <w:ind w:left="567" w:right="616"/>
        <w:rPr>
          <w:rFonts w:eastAsiaTheme="minorHAnsi" w:cs="Arial"/>
          <w:i/>
          <w:color w:val="000000"/>
          <w:sz w:val="22"/>
          <w:lang w:val="es-MX" w:eastAsia="en-US"/>
        </w:rPr>
      </w:pPr>
    </w:p>
    <w:p w14:paraId="5942D4AF" w14:textId="77777777" w:rsidR="00D265BD" w:rsidRPr="003727F3" w:rsidRDefault="00D265BD" w:rsidP="00D265BD">
      <w:pPr>
        <w:spacing w:line="259" w:lineRule="auto"/>
        <w:ind w:left="567" w:right="616"/>
        <w:rPr>
          <w:rFonts w:eastAsiaTheme="minorHAnsi" w:cs="Arial"/>
          <w:i/>
          <w:color w:val="000000"/>
          <w:sz w:val="22"/>
          <w:lang w:val="es-MX" w:eastAsia="en-US"/>
        </w:rPr>
      </w:pPr>
      <w:r w:rsidRPr="003727F3">
        <w:rPr>
          <w:rFonts w:eastAsiaTheme="minorHAnsi" w:cs="Arial"/>
          <w:i/>
          <w:color w:val="000000"/>
          <w:sz w:val="22"/>
          <w:lang w:val="es-MX" w:eastAsia="en-US"/>
        </w:rPr>
        <w:t xml:space="preserve">Resoluciones: </w:t>
      </w:r>
    </w:p>
    <w:p w14:paraId="73E627BF" w14:textId="77777777" w:rsidR="00D265BD" w:rsidRPr="003727F3" w:rsidRDefault="00D265BD" w:rsidP="00D265BD">
      <w:pPr>
        <w:spacing w:line="259" w:lineRule="auto"/>
        <w:ind w:left="567" w:right="616"/>
        <w:rPr>
          <w:rFonts w:eastAsiaTheme="minorHAnsi" w:cs="Arial"/>
          <w:i/>
          <w:color w:val="000000"/>
          <w:sz w:val="22"/>
          <w:lang w:val="es-MX" w:eastAsia="en-US"/>
        </w:rPr>
      </w:pPr>
      <w:r w:rsidRPr="003727F3">
        <w:rPr>
          <w:rFonts w:eastAsiaTheme="minorHAnsi" w:cs="Arial"/>
          <w:i/>
          <w:color w:val="000000"/>
          <w:sz w:val="22"/>
          <w:lang w:val="es-MX" w:eastAsia="en-US"/>
        </w:rPr>
        <w:sym w:font="Symbol" w:char="F0B7"/>
      </w:r>
      <w:r w:rsidRPr="003727F3">
        <w:rPr>
          <w:rFonts w:eastAsiaTheme="minorHAnsi" w:cs="Arial"/>
          <w:i/>
          <w:color w:val="000000"/>
          <w:sz w:val="22"/>
          <w:lang w:val="es-MX" w:eastAsia="en-US"/>
        </w:rPr>
        <w:t xml:space="preserve"> RRA 0050/16. Instituto Nacional para la Evaluación de la Educación. 13 julio de 2016. Por unanimidad. Comisionado Ponente: Francisco Javier Acuña Llamas.</w:t>
      </w:r>
    </w:p>
    <w:p w14:paraId="5F8FB2FC" w14:textId="77777777" w:rsidR="00D265BD" w:rsidRPr="003727F3" w:rsidRDefault="00D265BD" w:rsidP="00D265BD">
      <w:pPr>
        <w:spacing w:line="259" w:lineRule="auto"/>
        <w:ind w:left="567" w:right="616"/>
        <w:rPr>
          <w:rFonts w:eastAsiaTheme="minorHAnsi" w:cs="Arial"/>
          <w:i/>
          <w:color w:val="000000"/>
          <w:sz w:val="22"/>
          <w:lang w:val="es-MX" w:eastAsia="en-US"/>
        </w:rPr>
      </w:pPr>
      <w:r w:rsidRPr="003727F3">
        <w:rPr>
          <w:rFonts w:eastAsiaTheme="minorHAnsi" w:cs="Arial"/>
          <w:i/>
          <w:color w:val="000000"/>
          <w:sz w:val="22"/>
          <w:lang w:val="es-MX" w:eastAsia="en-US"/>
        </w:rPr>
        <w:sym w:font="Symbol" w:char="F0B7"/>
      </w:r>
      <w:r w:rsidRPr="003727F3">
        <w:rPr>
          <w:rFonts w:eastAsiaTheme="minorHAnsi" w:cs="Arial"/>
          <w:i/>
          <w:color w:val="000000"/>
          <w:sz w:val="22"/>
          <w:lang w:val="es-MX" w:eastAsia="en-US"/>
        </w:rPr>
        <w:t xml:space="preserve"> RRA 0310/16. Instituto Nacional de Transparencia, Acceso a la Información y Protección de Datos Personales. 10 de agosto de 2016. Por unanimidad. Comisionada Ponente. Areli Cano Guadiana. </w:t>
      </w:r>
    </w:p>
    <w:p w14:paraId="26D25D44" w14:textId="77777777" w:rsidR="00D265BD" w:rsidRPr="003727F3" w:rsidRDefault="00D265BD" w:rsidP="00D265BD">
      <w:pPr>
        <w:spacing w:line="259" w:lineRule="auto"/>
        <w:ind w:left="567" w:right="616"/>
        <w:rPr>
          <w:rFonts w:eastAsiaTheme="minorHAnsi" w:cs="Arial"/>
          <w:i/>
          <w:color w:val="000000"/>
          <w:sz w:val="22"/>
          <w:lang w:val="es-MX" w:eastAsia="en-US"/>
        </w:rPr>
      </w:pPr>
      <w:r w:rsidRPr="003727F3">
        <w:rPr>
          <w:rFonts w:eastAsiaTheme="minorHAnsi" w:cs="Arial"/>
          <w:i/>
          <w:color w:val="000000"/>
          <w:sz w:val="22"/>
          <w:lang w:val="es-MX" w:eastAsia="en-US"/>
        </w:rPr>
        <w:sym w:font="Symbol" w:char="F0B7"/>
      </w:r>
      <w:r w:rsidRPr="003727F3">
        <w:rPr>
          <w:rFonts w:eastAsiaTheme="minorHAnsi" w:cs="Arial"/>
          <w:i/>
          <w:color w:val="000000"/>
          <w:sz w:val="22"/>
          <w:lang w:val="es-MX" w:eastAsia="en-US"/>
        </w:rPr>
        <w:t xml:space="preserve"> RRA 1889/16. Secretaría de Hacienda y Crédito Público. 05 de octubre de 2016. Por unanimidad. Comisionada Ponente. Ximena Puente de la Mora.”</w:t>
      </w:r>
    </w:p>
    <w:p w14:paraId="6F50CCDF" w14:textId="77777777" w:rsidR="00D265BD" w:rsidRPr="003727F3" w:rsidRDefault="00D265BD" w:rsidP="00D265BD">
      <w:pPr>
        <w:rPr>
          <w:rFonts w:eastAsia="Times New Roman" w:cs="Tahoma"/>
          <w:bCs/>
          <w:szCs w:val="24"/>
          <w:lang w:val="es-ES" w:eastAsia="es-ES"/>
        </w:rPr>
      </w:pPr>
    </w:p>
    <w:p w14:paraId="434B0A41" w14:textId="2CA1F41A" w:rsidR="006F0937" w:rsidRPr="003727F3" w:rsidRDefault="006F0937" w:rsidP="006100FC">
      <w:r w:rsidRPr="003727F3">
        <w:t xml:space="preserve">Asimismo, este </w:t>
      </w:r>
      <w:r w:rsidR="00D265BD" w:rsidRPr="003727F3">
        <w:t xml:space="preserve">Instituto </w:t>
      </w:r>
      <w:r w:rsidRPr="003727F3">
        <w:t>está imposibilitado para manifestarse de la veracidad de la información proporcionada</w:t>
      </w:r>
      <w:r w:rsidR="00D265BD" w:rsidRPr="003727F3">
        <w:t>.</w:t>
      </w:r>
    </w:p>
    <w:p w14:paraId="5C1E4EAD" w14:textId="77777777" w:rsidR="00D265BD" w:rsidRPr="003727F3" w:rsidRDefault="00D265BD" w:rsidP="006100FC"/>
    <w:p w14:paraId="139237D3" w14:textId="77777777" w:rsidR="001F4164" w:rsidRPr="003727F3" w:rsidRDefault="001F4164" w:rsidP="001F4164">
      <w:pPr>
        <w:pStyle w:val="Ttulo3"/>
        <w:rPr>
          <w:rFonts w:eastAsia="Times New Roman"/>
        </w:rPr>
      </w:pPr>
      <w:r w:rsidRPr="003727F3">
        <w:rPr>
          <w:rFonts w:eastAsia="Times New Roman"/>
        </w:rPr>
        <w:t>DE LA VERSIÓN PÚBLICA</w:t>
      </w:r>
    </w:p>
    <w:p w14:paraId="1DC26874" w14:textId="77777777" w:rsidR="00082347" w:rsidRPr="003727F3" w:rsidRDefault="00082347" w:rsidP="00082347">
      <w:pPr>
        <w:rPr>
          <w:rFonts w:eastAsia="Arial Unicode MS"/>
          <w:szCs w:val="24"/>
          <w:lang w:val="es-MX"/>
        </w:rPr>
      </w:pPr>
      <w:r w:rsidRPr="003727F3">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62DE7A8" w14:textId="77777777" w:rsidR="00082347" w:rsidRPr="003727F3" w:rsidRDefault="00082347" w:rsidP="00082347">
      <w:pPr>
        <w:rPr>
          <w:bCs/>
          <w:szCs w:val="24"/>
          <w:lang w:val="es-MX"/>
        </w:rPr>
      </w:pPr>
    </w:p>
    <w:p w14:paraId="6A1CF6BD" w14:textId="77777777" w:rsidR="00082347" w:rsidRPr="003727F3" w:rsidRDefault="00082347" w:rsidP="00082347">
      <w:pPr>
        <w:rPr>
          <w:szCs w:val="24"/>
          <w:lang w:val="es-MX"/>
        </w:rPr>
      </w:pPr>
      <w:r w:rsidRPr="003727F3">
        <w:rPr>
          <w:bCs/>
          <w:szCs w:val="24"/>
          <w:lang w:val="es-MX"/>
        </w:rPr>
        <w:t>A este respecto, los</w:t>
      </w:r>
      <w:r w:rsidRPr="003727F3">
        <w:rPr>
          <w:szCs w:val="24"/>
          <w:lang w:val="es-MX"/>
        </w:rPr>
        <w:t xml:space="preserve"> artículos 3, fracciones IX, XX, XXI y XLV; 51 y 52de la Ley de Transparencia y Acceso a la Información Pública del Estado de México y Municipios establecen:</w:t>
      </w:r>
    </w:p>
    <w:p w14:paraId="7432A146" w14:textId="77777777" w:rsidR="00082347" w:rsidRPr="003727F3" w:rsidRDefault="00082347" w:rsidP="00082347">
      <w:pPr>
        <w:jc w:val="left"/>
        <w:rPr>
          <w:noProof/>
          <w:szCs w:val="24"/>
          <w:lang w:val="es-MX"/>
        </w:rPr>
      </w:pPr>
    </w:p>
    <w:p w14:paraId="5561FADB" w14:textId="77777777" w:rsidR="00082347" w:rsidRPr="003727F3" w:rsidRDefault="00082347" w:rsidP="00082347">
      <w:pPr>
        <w:spacing w:line="240" w:lineRule="auto"/>
        <w:ind w:left="567" w:right="616"/>
        <w:rPr>
          <w:i/>
          <w:sz w:val="22"/>
          <w:lang w:val="es-MX"/>
        </w:rPr>
      </w:pPr>
      <w:r w:rsidRPr="003727F3">
        <w:rPr>
          <w:rFonts w:cs="Arial"/>
          <w:b/>
          <w:bCs/>
          <w:i/>
          <w:sz w:val="22"/>
          <w:lang w:val="es-MX"/>
        </w:rPr>
        <w:t xml:space="preserve">Artículo 3. </w:t>
      </w:r>
      <w:r w:rsidRPr="003727F3">
        <w:rPr>
          <w:i/>
          <w:sz w:val="22"/>
          <w:lang w:val="es-MX"/>
        </w:rPr>
        <w:t xml:space="preserve">Para los efectos de la presente Ley se entenderá por: </w:t>
      </w:r>
    </w:p>
    <w:p w14:paraId="2AE18A23" w14:textId="77777777" w:rsidR="00082347" w:rsidRPr="003727F3" w:rsidRDefault="00082347" w:rsidP="00082347">
      <w:pPr>
        <w:spacing w:line="240" w:lineRule="auto"/>
        <w:ind w:left="567" w:right="616"/>
        <w:rPr>
          <w:i/>
          <w:sz w:val="22"/>
          <w:lang w:val="es-MX"/>
        </w:rPr>
      </w:pPr>
      <w:r w:rsidRPr="003727F3">
        <w:rPr>
          <w:rFonts w:cs="Arial"/>
          <w:i/>
          <w:sz w:val="22"/>
          <w:lang w:val="es-MX"/>
        </w:rPr>
        <w:t>[…</w:t>
      </w:r>
      <w:r w:rsidRPr="003727F3">
        <w:rPr>
          <w:i/>
          <w:sz w:val="22"/>
          <w:lang w:val="es-MX"/>
        </w:rPr>
        <w:t>]</w:t>
      </w:r>
    </w:p>
    <w:p w14:paraId="297D2DBE" w14:textId="77777777" w:rsidR="00082347" w:rsidRPr="003727F3" w:rsidRDefault="00082347" w:rsidP="00082347">
      <w:pPr>
        <w:spacing w:line="240" w:lineRule="auto"/>
        <w:ind w:left="567" w:right="616"/>
        <w:rPr>
          <w:rFonts w:cs="Arial"/>
          <w:i/>
          <w:sz w:val="22"/>
          <w:lang w:val="es-MX"/>
        </w:rPr>
      </w:pPr>
      <w:r w:rsidRPr="003727F3">
        <w:rPr>
          <w:rFonts w:cs="Arial"/>
          <w:b/>
          <w:i/>
          <w:sz w:val="22"/>
          <w:lang w:val="es-MX"/>
        </w:rPr>
        <w:t>IX.</w:t>
      </w:r>
      <w:r w:rsidRPr="003727F3">
        <w:rPr>
          <w:rFonts w:cs="Arial"/>
          <w:i/>
          <w:sz w:val="22"/>
          <w:lang w:val="es-MX"/>
        </w:rPr>
        <w:t xml:space="preserve"> </w:t>
      </w:r>
      <w:r w:rsidRPr="003727F3">
        <w:rPr>
          <w:rFonts w:cs="Arial"/>
          <w:b/>
          <w:i/>
          <w:sz w:val="22"/>
          <w:lang w:val="es-MX"/>
        </w:rPr>
        <w:t xml:space="preserve">Datos personales: </w:t>
      </w:r>
      <w:r w:rsidRPr="003727F3">
        <w:rPr>
          <w:rFonts w:cs="Arial"/>
          <w:i/>
          <w:sz w:val="22"/>
          <w:lang w:val="es-MX"/>
        </w:rPr>
        <w:t xml:space="preserve">La información concerniente a una persona, identificada o identificable según lo dispuesto por la Ley de Protección de Datos Personales del Estado de México; </w:t>
      </w:r>
    </w:p>
    <w:p w14:paraId="4250A15F" w14:textId="77777777" w:rsidR="00082347" w:rsidRPr="003727F3" w:rsidRDefault="00082347" w:rsidP="00082347">
      <w:pPr>
        <w:spacing w:line="240" w:lineRule="auto"/>
        <w:ind w:left="567" w:right="616"/>
        <w:rPr>
          <w:rFonts w:cs="Arial"/>
          <w:i/>
          <w:sz w:val="22"/>
          <w:lang w:val="es-MX"/>
        </w:rPr>
      </w:pPr>
      <w:r w:rsidRPr="003727F3">
        <w:rPr>
          <w:rFonts w:cs="Arial"/>
          <w:i/>
          <w:sz w:val="22"/>
          <w:lang w:val="es-MX"/>
        </w:rPr>
        <w:t>[…]</w:t>
      </w:r>
    </w:p>
    <w:p w14:paraId="2A4BA110" w14:textId="77777777" w:rsidR="00082347" w:rsidRPr="003727F3" w:rsidRDefault="00082347" w:rsidP="00082347">
      <w:pPr>
        <w:spacing w:line="240" w:lineRule="auto"/>
        <w:ind w:left="567" w:right="616"/>
        <w:rPr>
          <w:rFonts w:cs="Arial"/>
          <w:i/>
          <w:sz w:val="22"/>
          <w:lang w:val="es-MX"/>
        </w:rPr>
      </w:pPr>
      <w:r w:rsidRPr="003727F3">
        <w:rPr>
          <w:rFonts w:cs="Arial"/>
          <w:b/>
          <w:i/>
          <w:sz w:val="22"/>
          <w:lang w:val="es-MX"/>
        </w:rPr>
        <w:t>XX.</w:t>
      </w:r>
      <w:r w:rsidRPr="003727F3">
        <w:rPr>
          <w:rFonts w:cs="Arial"/>
          <w:i/>
          <w:sz w:val="22"/>
          <w:lang w:val="es-MX"/>
        </w:rPr>
        <w:t xml:space="preserve"> </w:t>
      </w:r>
      <w:r w:rsidRPr="003727F3">
        <w:rPr>
          <w:rFonts w:cs="Arial"/>
          <w:b/>
          <w:i/>
          <w:sz w:val="22"/>
          <w:lang w:val="es-MX"/>
        </w:rPr>
        <w:t>Información clasificada:</w:t>
      </w:r>
      <w:r w:rsidRPr="003727F3">
        <w:rPr>
          <w:rFonts w:cs="Arial"/>
          <w:i/>
          <w:sz w:val="22"/>
          <w:lang w:val="es-MX"/>
        </w:rPr>
        <w:t xml:space="preserve"> Aquella considerada por la presente Ley como reservada o confidencial; </w:t>
      </w:r>
    </w:p>
    <w:p w14:paraId="326EBDB4" w14:textId="77777777" w:rsidR="00082347" w:rsidRPr="003727F3" w:rsidRDefault="00082347" w:rsidP="00082347">
      <w:pPr>
        <w:spacing w:line="240" w:lineRule="auto"/>
        <w:ind w:left="567" w:right="616"/>
        <w:rPr>
          <w:rFonts w:cs="Arial"/>
          <w:i/>
          <w:sz w:val="22"/>
          <w:lang w:val="es-MX"/>
        </w:rPr>
      </w:pPr>
      <w:r w:rsidRPr="003727F3">
        <w:rPr>
          <w:rFonts w:cs="Arial"/>
          <w:b/>
          <w:i/>
          <w:sz w:val="22"/>
          <w:lang w:val="es-MX"/>
        </w:rPr>
        <w:t>XXI.</w:t>
      </w:r>
      <w:r w:rsidRPr="003727F3">
        <w:rPr>
          <w:rFonts w:cs="Arial"/>
          <w:i/>
          <w:sz w:val="22"/>
          <w:lang w:val="es-MX"/>
        </w:rPr>
        <w:t xml:space="preserve"> </w:t>
      </w:r>
      <w:r w:rsidRPr="003727F3">
        <w:rPr>
          <w:rFonts w:cs="Arial"/>
          <w:b/>
          <w:i/>
          <w:sz w:val="22"/>
          <w:lang w:val="es-MX"/>
        </w:rPr>
        <w:t>Información confidencial</w:t>
      </w:r>
      <w:r w:rsidRPr="003727F3">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706287" w14:textId="77777777" w:rsidR="00082347" w:rsidRPr="003727F3" w:rsidRDefault="00082347" w:rsidP="00082347">
      <w:pPr>
        <w:spacing w:line="240" w:lineRule="auto"/>
        <w:ind w:left="567" w:right="616"/>
        <w:rPr>
          <w:rFonts w:cs="Arial"/>
          <w:i/>
          <w:sz w:val="22"/>
          <w:lang w:val="es-MX"/>
        </w:rPr>
      </w:pPr>
      <w:r w:rsidRPr="003727F3">
        <w:rPr>
          <w:rFonts w:cs="Arial"/>
          <w:i/>
          <w:sz w:val="22"/>
          <w:lang w:val="es-MX"/>
        </w:rPr>
        <w:t>[…]</w:t>
      </w:r>
    </w:p>
    <w:p w14:paraId="3B80C177" w14:textId="77777777" w:rsidR="00082347" w:rsidRPr="003727F3" w:rsidRDefault="00082347" w:rsidP="00082347">
      <w:pPr>
        <w:spacing w:line="240" w:lineRule="auto"/>
        <w:ind w:left="567" w:right="616"/>
        <w:rPr>
          <w:rFonts w:cs="Arial"/>
          <w:i/>
          <w:sz w:val="22"/>
          <w:lang w:val="es-MX"/>
        </w:rPr>
      </w:pPr>
      <w:r w:rsidRPr="003727F3">
        <w:rPr>
          <w:rFonts w:cs="Arial"/>
          <w:b/>
          <w:i/>
          <w:sz w:val="22"/>
          <w:lang w:val="es-MX"/>
        </w:rPr>
        <w:t>XLV. Versión pública:</w:t>
      </w:r>
      <w:r w:rsidRPr="003727F3">
        <w:rPr>
          <w:rFonts w:cs="Arial"/>
          <w:i/>
          <w:sz w:val="22"/>
          <w:lang w:val="es-MX"/>
        </w:rPr>
        <w:t xml:space="preserve"> Documento en el que se elimine, suprime o borra la información clasificada como reservada o confidencial para permitir su acceso. </w:t>
      </w:r>
    </w:p>
    <w:p w14:paraId="558AC5B3" w14:textId="77777777" w:rsidR="00082347" w:rsidRPr="003727F3" w:rsidRDefault="00082347" w:rsidP="00082347">
      <w:pPr>
        <w:spacing w:line="240" w:lineRule="auto"/>
        <w:ind w:left="567" w:right="616"/>
        <w:rPr>
          <w:rFonts w:cs="Arial"/>
          <w:i/>
          <w:sz w:val="22"/>
          <w:lang w:val="es-MX"/>
        </w:rPr>
      </w:pPr>
    </w:p>
    <w:p w14:paraId="47CF4B34" w14:textId="77777777" w:rsidR="00082347" w:rsidRPr="003727F3" w:rsidRDefault="00082347" w:rsidP="00082347">
      <w:pPr>
        <w:spacing w:line="240" w:lineRule="auto"/>
        <w:ind w:left="567" w:right="616"/>
        <w:rPr>
          <w:rFonts w:cs="Arial"/>
          <w:i/>
          <w:sz w:val="22"/>
          <w:lang w:val="es-MX"/>
        </w:rPr>
      </w:pPr>
      <w:r w:rsidRPr="003727F3">
        <w:rPr>
          <w:rFonts w:cs="Arial"/>
          <w:b/>
          <w:i/>
          <w:sz w:val="22"/>
          <w:lang w:val="es-MX"/>
        </w:rPr>
        <w:t>Artículo 51.</w:t>
      </w:r>
      <w:r w:rsidRPr="003727F3">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727F3">
        <w:rPr>
          <w:rFonts w:cs="Arial"/>
          <w:b/>
          <w:i/>
          <w:sz w:val="22"/>
          <w:lang w:val="es-MX"/>
        </w:rPr>
        <w:t xml:space="preserve">y tendrá la responsabilidad de verificar en cada caso que la misma no sea confidencial o reservada. </w:t>
      </w:r>
      <w:r w:rsidRPr="003727F3">
        <w:rPr>
          <w:rFonts w:cs="Arial"/>
          <w:i/>
          <w:sz w:val="22"/>
          <w:lang w:val="es-MX"/>
        </w:rPr>
        <w:t xml:space="preserve">Dicha Unidad contará con las facultades internas necesarias para gestionar la atención a las solicitudes de información en los términos de la Ley General y la presente Ley. </w:t>
      </w:r>
    </w:p>
    <w:p w14:paraId="7684E84C" w14:textId="77777777" w:rsidR="00082347" w:rsidRPr="003727F3" w:rsidRDefault="00082347" w:rsidP="00082347">
      <w:pPr>
        <w:spacing w:line="240" w:lineRule="auto"/>
        <w:ind w:left="567" w:right="616"/>
        <w:rPr>
          <w:rFonts w:cs="Arial"/>
          <w:i/>
          <w:sz w:val="22"/>
          <w:lang w:val="es-MX"/>
        </w:rPr>
      </w:pPr>
    </w:p>
    <w:p w14:paraId="63D0A6B7" w14:textId="77777777" w:rsidR="00082347" w:rsidRPr="003727F3" w:rsidRDefault="00082347" w:rsidP="00082347">
      <w:pPr>
        <w:spacing w:line="240" w:lineRule="auto"/>
        <w:ind w:left="567" w:right="616"/>
        <w:rPr>
          <w:rFonts w:cs="Arial"/>
          <w:bCs/>
          <w:i/>
          <w:noProof/>
          <w:sz w:val="22"/>
          <w:lang w:val="es-MX"/>
        </w:rPr>
      </w:pPr>
      <w:r w:rsidRPr="003727F3">
        <w:rPr>
          <w:rFonts w:cs="Arial"/>
          <w:b/>
          <w:i/>
          <w:sz w:val="22"/>
          <w:lang w:val="es-MX"/>
        </w:rPr>
        <w:t>Artículo 52.</w:t>
      </w:r>
      <w:r w:rsidRPr="003727F3">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698A51A" w14:textId="77777777" w:rsidR="00082347" w:rsidRPr="003727F3" w:rsidRDefault="00082347" w:rsidP="00082347">
      <w:pPr>
        <w:jc w:val="left"/>
        <w:rPr>
          <w:noProof/>
          <w:szCs w:val="24"/>
          <w:lang w:val="es-MX"/>
        </w:rPr>
      </w:pPr>
    </w:p>
    <w:p w14:paraId="3902C27E" w14:textId="77777777" w:rsidR="00082347" w:rsidRPr="003727F3" w:rsidRDefault="00082347" w:rsidP="00082347">
      <w:pPr>
        <w:rPr>
          <w:szCs w:val="24"/>
          <w:lang w:val="es-MX"/>
        </w:rPr>
      </w:pPr>
      <w:r w:rsidRPr="003727F3">
        <w:rPr>
          <w:szCs w:val="24"/>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9EC32C4" w14:textId="77777777" w:rsidR="00082347" w:rsidRPr="003727F3" w:rsidRDefault="00082347" w:rsidP="00082347">
      <w:pPr>
        <w:ind w:left="567" w:right="616"/>
        <w:rPr>
          <w:szCs w:val="24"/>
          <w:lang w:val="es-MX"/>
        </w:rPr>
      </w:pPr>
    </w:p>
    <w:p w14:paraId="35645E9F" w14:textId="77777777" w:rsidR="00082347" w:rsidRPr="003727F3" w:rsidRDefault="00082347" w:rsidP="00082347">
      <w:pPr>
        <w:spacing w:line="240" w:lineRule="auto"/>
        <w:ind w:left="567" w:right="616"/>
        <w:rPr>
          <w:rFonts w:eastAsia="Arial Unicode MS" w:cs="Arial"/>
          <w:i/>
          <w:sz w:val="22"/>
          <w:lang w:val="es-MX"/>
        </w:rPr>
      </w:pPr>
      <w:r w:rsidRPr="003727F3">
        <w:rPr>
          <w:rFonts w:eastAsia="Arial Unicode MS" w:cs="Arial"/>
          <w:b/>
          <w:i/>
          <w:sz w:val="22"/>
          <w:lang w:val="es-MX"/>
        </w:rPr>
        <w:t>Artículo</w:t>
      </w:r>
      <w:r w:rsidRPr="003727F3">
        <w:rPr>
          <w:rFonts w:eastAsia="Arial Unicode MS" w:cs="Arial"/>
          <w:i/>
          <w:sz w:val="22"/>
          <w:lang w:val="es-MX"/>
        </w:rPr>
        <w:t xml:space="preserve"> </w:t>
      </w:r>
      <w:r w:rsidRPr="003727F3">
        <w:rPr>
          <w:rFonts w:eastAsia="Arial Unicode MS" w:cs="Arial"/>
          <w:b/>
          <w:i/>
          <w:sz w:val="22"/>
          <w:lang w:val="es-MX"/>
        </w:rPr>
        <w:t>22</w:t>
      </w:r>
      <w:r w:rsidRPr="003727F3">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68ED64C" w14:textId="77777777" w:rsidR="00082347" w:rsidRPr="003727F3" w:rsidRDefault="00082347" w:rsidP="00082347">
      <w:pPr>
        <w:spacing w:line="240" w:lineRule="auto"/>
        <w:ind w:left="567" w:right="616"/>
        <w:rPr>
          <w:rFonts w:eastAsia="Arial Unicode MS" w:cs="Arial"/>
          <w:i/>
          <w:sz w:val="22"/>
          <w:lang w:val="es-MX"/>
        </w:rPr>
      </w:pPr>
    </w:p>
    <w:p w14:paraId="10C007F7" w14:textId="77777777" w:rsidR="00082347" w:rsidRPr="003727F3" w:rsidRDefault="00082347" w:rsidP="00082347">
      <w:pPr>
        <w:spacing w:line="240" w:lineRule="auto"/>
        <w:ind w:left="567" w:right="616"/>
        <w:rPr>
          <w:rFonts w:eastAsia="Arial Unicode MS" w:cs="Arial"/>
          <w:i/>
          <w:sz w:val="22"/>
          <w:lang w:val="es-MX"/>
        </w:rPr>
      </w:pPr>
      <w:r w:rsidRPr="003727F3">
        <w:rPr>
          <w:rFonts w:eastAsia="Arial Unicode MS" w:cs="Arial"/>
          <w:i/>
          <w:sz w:val="22"/>
          <w:lang w:val="es-MX"/>
        </w:rPr>
        <w:t>El responsable podrá tratar datos personales para finalidades distintas a aquéllas establecidas en el aviso de privacidad, en los casos siguientes:</w:t>
      </w:r>
    </w:p>
    <w:p w14:paraId="31FE46DA" w14:textId="77777777" w:rsidR="00082347" w:rsidRPr="003727F3" w:rsidRDefault="00082347" w:rsidP="00082347">
      <w:pPr>
        <w:spacing w:line="240" w:lineRule="auto"/>
        <w:ind w:left="567" w:right="616"/>
        <w:rPr>
          <w:rFonts w:eastAsia="Arial Unicode MS" w:cs="Arial"/>
          <w:i/>
          <w:sz w:val="22"/>
          <w:lang w:val="es-MX"/>
        </w:rPr>
      </w:pPr>
    </w:p>
    <w:p w14:paraId="02F0F4E9" w14:textId="77777777" w:rsidR="00082347" w:rsidRPr="003727F3" w:rsidRDefault="00082347" w:rsidP="00082347">
      <w:pPr>
        <w:spacing w:line="240" w:lineRule="auto"/>
        <w:ind w:left="567" w:right="616"/>
        <w:rPr>
          <w:rFonts w:eastAsia="Arial Unicode MS" w:cs="Arial"/>
          <w:i/>
          <w:sz w:val="22"/>
          <w:lang w:val="es-MX"/>
        </w:rPr>
      </w:pPr>
      <w:r w:rsidRPr="003727F3">
        <w:rPr>
          <w:rFonts w:eastAsia="Arial Unicode MS" w:cs="Arial"/>
          <w:i/>
          <w:sz w:val="22"/>
          <w:lang w:val="es-MX"/>
        </w:rPr>
        <w:t>I. Cuente con atribuciones conferidas en ley y medie el consentimiento del titular.</w:t>
      </w:r>
    </w:p>
    <w:p w14:paraId="70F04EB5" w14:textId="77777777" w:rsidR="00082347" w:rsidRPr="003727F3" w:rsidRDefault="00082347" w:rsidP="00082347">
      <w:pPr>
        <w:spacing w:line="240" w:lineRule="auto"/>
        <w:ind w:left="567" w:right="616"/>
        <w:rPr>
          <w:rFonts w:eastAsia="Arial Unicode MS" w:cs="Arial"/>
          <w:i/>
          <w:sz w:val="22"/>
          <w:lang w:val="es-MX"/>
        </w:rPr>
      </w:pPr>
      <w:r w:rsidRPr="003727F3">
        <w:rPr>
          <w:rFonts w:eastAsia="Arial Unicode MS" w:cs="Arial"/>
          <w:i/>
          <w:sz w:val="22"/>
          <w:lang w:val="es-MX"/>
        </w:rPr>
        <w:t>II. Se trate de una persona reportada como desaparecida, en los términos previstos en la presente Ley y demás disposiciones legales aplicables...</w:t>
      </w:r>
    </w:p>
    <w:p w14:paraId="4E085B35" w14:textId="77777777" w:rsidR="00082347" w:rsidRPr="003727F3" w:rsidRDefault="00082347" w:rsidP="00082347">
      <w:pPr>
        <w:spacing w:line="240" w:lineRule="auto"/>
        <w:ind w:left="567" w:right="616"/>
        <w:rPr>
          <w:rFonts w:eastAsia="Arial Unicode MS" w:cs="Arial"/>
          <w:i/>
          <w:sz w:val="22"/>
          <w:lang w:val="es-MX"/>
        </w:rPr>
      </w:pPr>
    </w:p>
    <w:p w14:paraId="319FEEC6" w14:textId="77777777" w:rsidR="00082347" w:rsidRPr="003727F3" w:rsidRDefault="00082347" w:rsidP="00082347">
      <w:pPr>
        <w:spacing w:line="240" w:lineRule="auto"/>
        <w:ind w:left="567" w:right="616"/>
        <w:rPr>
          <w:rFonts w:eastAsia="Arial Unicode MS" w:cs="Arial"/>
          <w:i/>
          <w:sz w:val="22"/>
          <w:lang w:val="es-MX"/>
        </w:rPr>
      </w:pPr>
      <w:r w:rsidRPr="003727F3">
        <w:rPr>
          <w:rFonts w:eastAsia="Arial Unicode MS" w:cs="Arial"/>
          <w:b/>
          <w:i/>
          <w:sz w:val="22"/>
          <w:lang w:val="es-MX"/>
        </w:rPr>
        <w:t>Artículo</w:t>
      </w:r>
      <w:r w:rsidRPr="003727F3">
        <w:rPr>
          <w:rFonts w:eastAsia="Arial Unicode MS" w:cs="Arial"/>
          <w:i/>
          <w:sz w:val="22"/>
          <w:lang w:val="es-MX"/>
        </w:rPr>
        <w:t xml:space="preserve"> </w:t>
      </w:r>
      <w:r w:rsidRPr="003727F3">
        <w:rPr>
          <w:rFonts w:eastAsia="Arial Unicode MS" w:cs="Arial"/>
          <w:b/>
          <w:i/>
          <w:sz w:val="22"/>
          <w:lang w:val="es-MX"/>
        </w:rPr>
        <w:t>38</w:t>
      </w:r>
      <w:r w:rsidRPr="003727F3">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F97F8B2" w14:textId="77777777" w:rsidR="00082347" w:rsidRPr="003727F3" w:rsidRDefault="00082347" w:rsidP="00082347">
      <w:pPr>
        <w:ind w:left="567" w:right="616"/>
        <w:rPr>
          <w:rFonts w:eastAsia="Arial Unicode MS" w:cs="Arial"/>
          <w:i/>
          <w:szCs w:val="24"/>
          <w:lang w:val="es-MX"/>
        </w:rPr>
      </w:pPr>
    </w:p>
    <w:p w14:paraId="642CAB8A" w14:textId="77777777" w:rsidR="00082347" w:rsidRPr="003727F3" w:rsidRDefault="00082347" w:rsidP="00082347">
      <w:pPr>
        <w:rPr>
          <w:szCs w:val="24"/>
          <w:lang w:val="es-MX"/>
        </w:rPr>
      </w:pPr>
      <w:r w:rsidRPr="003727F3">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w:t>
      </w:r>
      <w:r w:rsidRPr="003727F3">
        <w:rPr>
          <w:szCs w:val="24"/>
          <w:lang w:val="es-MX"/>
        </w:rPr>
        <w:lastRenderedPageBreak/>
        <w:t xml:space="preserve">los servidores públicos toda vez que ésta tiene por objeto proteger datos personales, entendiéndose por tales, aquéllos que hacen identificable a una persona. </w:t>
      </w:r>
    </w:p>
    <w:p w14:paraId="20BDB609" w14:textId="77777777" w:rsidR="00082347" w:rsidRPr="003727F3" w:rsidRDefault="00082347" w:rsidP="00082347">
      <w:pPr>
        <w:rPr>
          <w:szCs w:val="24"/>
          <w:lang w:val="es-MX"/>
        </w:rPr>
      </w:pPr>
    </w:p>
    <w:p w14:paraId="28FD3623" w14:textId="77777777" w:rsidR="00082347" w:rsidRPr="003727F3" w:rsidRDefault="00082347" w:rsidP="00082347">
      <w:pPr>
        <w:rPr>
          <w:rFonts w:eastAsia="Arial Unicode MS"/>
          <w:szCs w:val="24"/>
          <w:lang w:val="es-MX"/>
        </w:rPr>
      </w:pPr>
      <w:r w:rsidRPr="003727F3">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727F3">
        <w:rPr>
          <w:rFonts w:eastAsia="Arial Unicode MS"/>
          <w:color w:val="000000"/>
          <w:szCs w:val="24"/>
          <w:lang w:val="es-MX"/>
        </w:rPr>
        <w:t>el Sujeto Obligado</w:t>
      </w:r>
      <w:r w:rsidRPr="003727F3">
        <w:rPr>
          <w:rFonts w:eastAsia="Arial Unicode MS"/>
          <w:szCs w:val="24"/>
          <w:lang w:val="es-MX"/>
        </w:rPr>
        <w:t xml:space="preserve">, en ese contexto, todo dato personal susceptible de clasificación debe ser protegido. </w:t>
      </w:r>
    </w:p>
    <w:p w14:paraId="15129F67" w14:textId="77777777" w:rsidR="00082347" w:rsidRPr="003727F3" w:rsidRDefault="00082347" w:rsidP="00082347">
      <w:pPr>
        <w:rPr>
          <w:rFonts w:eastAsia="Arial Unicode MS"/>
          <w:szCs w:val="24"/>
          <w:lang w:val="es-MX"/>
        </w:rPr>
      </w:pPr>
    </w:p>
    <w:p w14:paraId="0679FF39" w14:textId="77777777" w:rsidR="00082347" w:rsidRPr="003727F3" w:rsidRDefault="00082347" w:rsidP="00082347">
      <w:pPr>
        <w:rPr>
          <w:rFonts w:eastAsia="Arial Unicode MS"/>
          <w:szCs w:val="24"/>
          <w:lang w:val="es-MX"/>
        </w:rPr>
      </w:pPr>
      <w:r w:rsidRPr="003727F3">
        <w:rPr>
          <w:rFonts w:eastAsia="Arial Unicode MS"/>
          <w:szCs w:val="24"/>
          <w:lang w:val="es-MX"/>
        </w:rPr>
        <w:t>Asimismo, de la versión pública deberá dejarse a la vista del Recurrente</w:t>
      </w:r>
      <w:r w:rsidRPr="003727F3">
        <w:rPr>
          <w:rFonts w:eastAsia="Arial Unicode MS"/>
          <w:b/>
          <w:szCs w:val="24"/>
          <w:lang w:val="es-MX"/>
        </w:rPr>
        <w:t xml:space="preserve"> </w:t>
      </w:r>
      <w:r w:rsidRPr="003727F3">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1140E827" w14:textId="77777777" w:rsidR="00082347" w:rsidRPr="003727F3" w:rsidRDefault="00082347" w:rsidP="00082347">
      <w:pPr>
        <w:rPr>
          <w:szCs w:val="24"/>
          <w:lang w:val="es-MX"/>
        </w:rPr>
      </w:pPr>
    </w:p>
    <w:p w14:paraId="0216EDB9" w14:textId="77777777" w:rsidR="00082347" w:rsidRPr="003727F3" w:rsidRDefault="00082347" w:rsidP="00082347">
      <w:pPr>
        <w:rPr>
          <w:szCs w:val="24"/>
          <w:lang w:val="es-MX"/>
        </w:rPr>
      </w:pPr>
      <w:r w:rsidRPr="003727F3">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4AA859C" w14:textId="77777777" w:rsidR="00082347" w:rsidRPr="003727F3" w:rsidRDefault="00082347" w:rsidP="00082347">
      <w:pPr>
        <w:jc w:val="left"/>
        <w:rPr>
          <w:szCs w:val="24"/>
          <w:lang w:val="es-MX"/>
        </w:rPr>
      </w:pPr>
    </w:p>
    <w:p w14:paraId="5CD47C60" w14:textId="77777777" w:rsidR="00082347" w:rsidRPr="003727F3" w:rsidRDefault="00082347" w:rsidP="00082347">
      <w:pPr>
        <w:spacing w:line="240" w:lineRule="auto"/>
        <w:ind w:left="567" w:right="567"/>
        <w:rPr>
          <w:rFonts w:eastAsia="Times New Roman" w:cs="Times New Roman"/>
          <w:b/>
          <w:i/>
          <w:sz w:val="22"/>
          <w:szCs w:val="24"/>
          <w:lang w:val="es-MX" w:eastAsia="es-ES"/>
        </w:rPr>
      </w:pPr>
      <w:r w:rsidRPr="003727F3">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w:t>
      </w:r>
      <w:r w:rsidRPr="003727F3">
        <w:rPr>
          <w:rFonts w:eastAsia="Times New Roman" w:cs="Times New Roman"/>
          <w:b/>
          <w:i/>
          <w:sz w:val="22"/>
          <w:szCs w:val="24"/>
          <w:lang w:val="es-MX" w:eastAsia="es-ES"/>
        </w:rPr>
        <w:lastRenderedPageBreak/>
        <w:t xml:space="preserve">DERECHO A LA PROTECCIÓN DE DATOS PERSONALES SÓLO DE LAS PERSONAS FÍSICAS. </w:t>
      </w:r>
    </w:p>
    <w:p w14:paraId="5EB46363" w14:textId="77777777" w:rsidR="00082347" w:rsidRPr="003727F3" w:rsidRDefault="00082347" w:rsidP="00082347">
      <w:pPr>
        <w:spacing w:line="240" w:lineRule="auto"/>
        <w:ind w:left="567" w:right="567"/>
        <w:rPr>
          <w:rFonts w:eastAsia="Times New Roman" w:cs="Times New Roman"/>
          <w:i/>
          <w:sz w:val="22"/>
          <w:szCs w:val="24"/>
          <w:lang w:val="es-MX" w:eastAsia="es-ES"/>
        </w:rPr>
      </w:pPr>
      <w:r w:rsidRPr="003727F3">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955B81D" w14:textId="77777777" w:rsidR="00082347" w:rsidRPr="003727F3" w:rsidRDefault="00082347" w:rsidP="00082347">
      <w:pPr>
        <w:rPr>
          <w:szCs w:val="24"/>
          <w:lang w:val="es-MX"/>
        </w:rPr>
      </w:pPr>
    </w:p>
    <w:p w14:paraId="788500A1" w14:textId="77777777" w:rsidR="00082347" w:rsidRPr="003727F3" w:rsidRDefault="00082347" w:rsidP="00082347">
      <w:pPr>
        <w:rPr>
          <w:szCs w:val="24"/>
          <w:lang w:val="es-MX"/>
        </w:rPr>
      </w:pPr>
      <w:r w:rsidRPr="003727F3">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727F3">
        <w:rPr>
          <w:b/>
          <w:szCs w:val="24"/>
          <w:lang w:val="es-MX"/>
        </w:rPr>
        <w:t>Lineamientos Generales en Materia de Clasificación y Desclasificación de la Información, así como para la Elaboración de Versiones Públicas</w:t>
      </w:r>
      <w:r w:rsidRPr="003727F3">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2176275D" w14:textId="77777777" w:rsidR="00082347" w:rsidRPr="003727F3" w:rsidRDefault="00082347" w:rsidP="00082347">
      <w:pPr>
        <w:rPr>
          <w:szCs w:val="24"/>
          <w:lang w:val="es-MX"/>
        </w:rPr>
      </w:pPr>
    </w:p>
    <w:p w14:paraId="303CFD16" w14:textId="77777777" w:rsidR="00082347" w:rsidRPr="003727F3" w:rsidRDefault="00082347" w:rsidP="00082347">
      <w:pPr>
        <w:rPr>
          <w:szCs w:val="24"/>
          <w:lang w:val="es-MX"/>
        </w:rPr>
      </w:pPr>
      <w:r w:rsidRPr="003727F3">
        <w:rPr>
          <w:szCs w:val="24"/>
          <w:lang w:val="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C5F3B5" w14:textId="77777777" w:rsidR="00082347" w:rsidRPr="003727F3" w:rsidRDefault="00082347" w:rsidP="00082347">
      <w:pPr>
        <w:jc w:val="left"/>
        <w:rPr>
          <w:szCs w:val="24"/>
          <w:lang w:val="es-MX"/>
        </w:rPr>
      </w:pPr>
    </w:p>
    <w:p w14:paraId="7B2341DD" w14:textId="77777777" w:rsidR="00082347" w:rsidRPr="003727F3" w:rsidRDefault="00082347" w:rsidP="00082347">
      <w:pPr>
        <w:rPr>
          <w:szCs w:val="24"/>
          <w:lang w:val="es-MX"/>
        </w:rPr>
      </w:pPr>
      <w:r w:rsidRPr="003727F3">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12A2B6B2" w14:textId="77777777" w:rsidR="00082347" w:rsidRPr="003727F3" w:rsidRDefault="00082347" w:rsidP="00082347">
      <w:pPr>
        <w:jc w:val="left"/>
        <w:rPr>
          <w:szCs w:val="24"/>
          <w:lang w:val="es-MX"/>
        </w:rPr>
      </w:pPr>
    </w:p>
    <w:p w14:paraId="5DB071E3" w14:textId="77777777" w:rsidR="00082347" w:rsidRPr="003727F3" w:rsidRDefault="00082347" w:rsidP="00082347">
      <w:pPr>
        <w:spacing w:line="240" w:lineRule="auto"/>
        <w:ind w:left="567" w:right="616"/>
        <w:rPr>
          <w:b/>
          <w:i/>
          <w:sz w:val="22"/>
          <w:lang w:val="es-MX"/>
        </w:rPr>
      </w:pPr>
      <w:r w:rsidRPr="003727F3">
        <w:rPr>
          <w:b/>
          <w:i/>
          <w:sz w:val="22"/>
          <w:lang w:val="es-MX"/>
        </w:rPr>
        <w:t xml:space="preserve">FUNDAMENTACIÓN Y MOTIVACIÓN. </w:t>
      </w:r>
    </w:p>
    <w:p w14:paraId="550DE9F4" w14:textId="77777777" w:rsidR="00082347" w:rsidRPr="003727F3" w:rsidRDefault="00082347" w:rsidP="00082347">
      <w:pPr>
        <w:spacing w:line="240" w:lineRule="auto"/>
        <w:ind w:left="567" w:right="616"/>
        <w:rPr>
          <w:i/>
          <w:sz w:val="22"/>
          <w:lang w:val="es-MX"/>
        </w:rPr>
      </w:pPr>
      <w:r w:rsidRPr="003727F3">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1D52357" w14:textId="77777777" w:rsidR="00082347" w:rsidRPr="003727F3" w:rsidRDefault="00082347" w:rsidP="00082347">
      <w:pPr>
        <w:jc w:val="left"/>
        <w:rPr>
          <w:szCs w:val="24"/>
          <w:lang w:val="es-MX"/>
        </w:rPr>
      </w:pPr>
    </w:p>
    <w:p w14:paraId="38B97116" w14:textId="77777777" w:rsidR="00082347" w:rsidRPr="003727F3" w:rsidRDefault="00082347" w:rsidP="00082347">
      <w:pPr>
        <w:rPr>
          <w:szCs w:val="24"/>
          <w:lang w:val="es-MX"/>
        </w:rPr>
      </w:pPr>
      <w:r w:rsidRPr="003727F3">
        <w:rPr>
          <w:szCs w:val="24"/>
          <w:lang w:val="es-MX"/>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w:t>
      </w:r>
      <w:r w:rsidRPr="003727F3">
        <w:rPr>
          <w:szCs w:val="24"/>
          <w:lang w:val="es-MX"/>
        </w:rPr>
        <w:lastRenderedPageBreak/>
        <w:t>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3D342079" w14:textId="77777777" w:rsidR="00082347" w:rsidRPr="003727F3" w:rsidRDefault="00082347" w:rsidP="00082347">
      <w:pPr>
        <w:jc w:val="left"/>
        <w:rPr>
          <w:szCs w:val="24"/>
          <w:lang w:val="es-MX"/>
        </w:rPr>
      </w:pPr>
    </w:p>
    <w:p w14:paraId="13CEA6BD" w14:textId="77777777" w:rsidR="00082347" w:rsidRPr="003727F3" w:rsidRDefault="00082347" w:rsidP="00082347">
      <w:pPr>
        <w:spacing w:line="240" w:lineRule="auto"/>
        <w:ind w:left="567" w:right="616"/>
        <w:rPr>
          <w:i/>
          <w:sz w:val="22"/>
          <w:lang w:val="es-MX"/>
        </w:rPr>
      </w:pPr>
      <w:r w:rsidRPr="003727F3">
        <w:rPr>
          <w:b/>
          <w:i/>
          <w:sz w:val="22"/>
          <w:lang w:val="es-MX"/>
        </w:rPr>
        <w:t>FUNDAMENTACIÓN Y MOTIVACIÓN. EL ASPECTO FORMAL DE LA GARANTÍA Y SU FINALIDAD SE TRADUCEN EN EXPLICAR, JUSTIFICAR, POSIBILITAR LA DEFENSA Y COMUNICAR LA DECISIÓN</w:t>
      </w:r>
      <w:r w:rsidRPr="003727F3">
        <w:rPr>
          <w:i/>
          <w:sz w:val="22"/>
          <w:lang w:val="es-MX"/>
        </w:rPr>
        <w:t xml:space="preserve">. </w:t>
      </w:r>
    </w:p>
    <w:p w14:paraId="79DF5FE5" w14:textId="77777777" w:rsidR="00082347" w:rsidRPr="003727F3" w:rsidRDefault="00082347" w:rsidP="00082347">
      <w:pPr>
        <w:spacing w:line="240" w:lineRule="auto"/>
        <w:ind w:left="567" w:right="616"/>
        <w:rPr>
          <w:i/>
          <w:sz w:val="22"/>
          <w:lang w:val="es-MX"/>
        </w:rPr>
      </w:pPr>
      <w:r w:rsidRPr="003727F3">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96EE016" w14:textId="77777777" w:rsidR="00082347" w:rsidRPr="003727F3" w:rsidRDefault="00082347" w:rsidP="00082347">
      <w:pPr>
        <w:rPr>
          <w:szCs w:val="24"/>
          <w:lang w:val="es-MX"/>
        </w:rPr>
      </w:pPr>
    </w:p>
    <w:p w14:paraId="7D976443" w14:textId="77777777" w:rsidR="00082347" w:rsidRPr="003727F3" w:rsidRDefault="00082347" w:rsidP="00082347">
      <w:pPr>
        <w:rPr>
          <w:szCs w:val="24"/>
          <w:lang w:val="es-MX"/>
        </w:rPr>
      </w:pPr>
      <w:r w:rsidRPr="003727F3">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EE47FD" w14:textId="77777777" w:rsidR="00082347" w:rsidRPr="003727F3" w:rsidRDefault="00082347" w:rsidP="00082347">
      <w:pPr>
        <w:rPr>
          <w:szCs w:val="24"/>
          <w:lang w:val="es-MX"/>
        </w:rPr>
      </w:pPr>
    </w:p>
    <w:p w14:paraId="574C9318" w14:textId="77777777" w:rsidR="00082347" w:rsidRPr="003727F3" w:rsidRDefault="00082347" w:rsidP="00082347">
      <w:pPr>
        <w:rPr>
          <w:szCs w:val="24"/>
          <w:lang w:val="es-MX"/>
        </w:rPr>
      </w:pPr>
      <w:r w:rsidRPr="003727F3">
        <w:rPr>
          <w:szCs w:val="24"/>
          <w:lang w:val="es-MX"/>
        </w:rPr>
        <w:t>Por lo tanto, la entrega de documentos en su versión pública debe acompañarse necesariamente del Acuerdo del Comité de Transparencia del Sujeto Obligado</w:t>
      </w:r>
      <w:r w:rsidRPr="003727F3">
        <w:rPr>
          <w:b/>
          <w:szCs w:val="24"/>
          <w:lang w:val="es-MX"/>
        </w:rPr>
        <w:t xml:space="preserve"> </w:t>
      </w:r>
      <w:r w:rsidRPr="003727F3">
        <w:rPr>
          <w:szCs w:val="24"/>
          <w:lang w:val="es-MX"/>
        </w:rPr>
        <w:t xml:space="preserve">que la sustente, en el que se expongan los fundamentos y razones que llevaron a la autoridad a </w:t>
      </w:r>
      <w:r w:rsidRPr="003727F3">
        <w:rPr>
          <w:szCs w:val="24"/>
          <w:lang w:val="es-MX"/>
        </w:rPr>
        <w:lastRenderedPageBreak/>
        <w:t xml:space="preserve">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w:t>
      </w:r>
      <w:proofErr w:type="spellStart"/>
      <w:r w:rsidRPr="003727F3">
        <w:rPr>
          <w:szCs w:val="24"/>
          <w:lang w:val="es-MX"/>
        </w:rPr>
        <w:t>de el</w:t>
      </w:r>
      <w:proofErr w:type="spellEnd"/>
      <w:r w:rsidRPr="003727F3">
        <w:rPr>
          <w:szCs w:val="24"/>
          <w:lang w:val="es-MX"/>
        </w:rPr>
        <w:t xml:space="preserve"> solicitante.</w:t>
      </w:r>
    </w:p>
    <w:p w14:paraId="160893BD" w14:textId="77777777" w:rsidR="001F4164" w:rsidRPr="003727F3" w:rsidRDefault="001F4164" w:rsidP="001F4164"/>
    <w:p w14:paraId="621882CA" w14:textId="4E7D6597" w:rsidR="001F4164" w:rsidRPr="003727F3" w:rsidRDefault="001F4164" w:rsidP="001F4164">
      <w:pPr>
        <w:pBdr>
          <w:top w:val="nil"/>
          <w:left w:val="nil"/>
          <w:bottom w:val="nil"/>
          <w:right w:val="nil"/>
          <w:between w:val="nil"/>
        </w:pBdr>
        <w:rPr>
          <w:rFonts w:eastAsia="Palatino Linotype" w:cs="Palatino Linotype"/>
          <w:color w:val="000000"/>
        </w:rPr>
      </w:pPr>
      <w:r w:rsidRPr="003727F3">
        <w:rPr>
          <w:rFonts w:eastAsia="Palatino Linotype" w:cs="Palatino Linotype"/>
          <w:color w:val="000000" w:themeColor="text1"/>
        </w:rPr>
        <w:t xml:space="preserve">En mérito de lo expuesto en líneas anteriores, este Instituto considera que los motivos de inconformidad planteados por el Recurrente resultan </w:t>
      </w:r>
      <w:r w:rsidR="003F2678" w:rsidRPr="003727F3">
        <w:rPr>
          <w:rFonts w:eastAsia="Palatino Linotype" w:cs="Palatino Linotype"/>
          <w:color w:val="000000" w:themeColor="text1"/>
        </w:rPr>
        <w:t xml:space="preserve">parcialmente </w:t>
      </w:r>
      <w:r w:rsidRPr="003727F3">
        <w:rPr>
          <w:rFonts w:eastAsia="Palatino Linotype" w:cs="Palatino Linotype"/>
          <w:color w:val="000000" w:themeColor="text1"/>
        </w:rPr>
        <w:t xml:space="preserve">fundados en el recurso de revisión que es materia de esta resolución; por ello </w:t>
      </w:r>
      <w:r w:rsidRPr="003727F3">
        <w:rPr>
          <w:rFonts w:eastAsia="Palatino Linotype" w:cs="Palatino Linotype"/>
          <w:b/>
          <w:bCs/>
          <w:color w:val="000000" w:themeColor="text1"/>
        </w:rPr>
        <w:t xml:space="preserve">con fundamento en la segunda hipótesis de la fracción III del artículo 186 </w:t>
      </w:r>
      <w:r w:rsidRPr="003727F3">
        <w:rPr>
          <w:rFonts w:eastAsia="Palatino Linotype" w:cs="Palatino Linotype"/>
          <w:color w:val="000000" w:themeColor="text1"/>
        </w:rPr>
        <w:t xml:space="preserve">de la Ley de Transparencia y Acceso a la Información Pública del Estado de México y Municipios, se </w:t>
      </w:r>
      <w:r w:rsidRPr="003727F3">
        <w:rPr>
          <w:rFonts w:eastAsia="Palatino Linotype" w:cs="Palatino Linotype"/>
          <w:b/>
          <w:bCs/>
          <w:color w:val="000000" w:themeColor="text1"/>
        </w:rPr>
        <w:t xml:space="preserve">MODIFICA </w:t>
      </w:r>
      <w:r w:rsidRPr="003727F3">
        <w:rPr>
          <w:rFonts w:eastAsia="Palatino Linotype" w:cs="Palatino Linotype"/>
          <w:color w:val="000000" w:themeColor="text1"/>
        </w:rPr>
        <w:t>la respuesta a la solicitud de información número</w:t>
      </w:r>
      <w:r w:rsidRPr="003727F3">
        <w:rPr>
          <w:rFonts w:eastAsia="Palatino Linotype" w:cs="Palatino Linotype"/>
          <w:color w:val="000000"/>
          <w:szCs w:val="24"/>
        </w:rPr>
        <w:t xml:space="preserve"> </w:t>
      </w:r>
      <w:r w:rsidR="00621970" w:rsidRPr="003727F3">
        <w:rPr>
          <w:rFonts w:eastAsia="Palatino Linotype" w:cs="Palatino Linotype"/>
          <w:b/>
          <w:bCs/>
          <w:color w:val="000000"/>
          <w:szCs w:val="24"/>
        </w:rPr>
        <w:t>00062/CHAPULTE/IP/2025</w:t>
      </w:r>
      <w:r w:rsidRPr="003727F3">
        <w:rPr>
          <w:rFonts w:eastAsia="Palatino Linotype" w:cs="Palatino Linotype"/>
          <w:color w:val="000000" w:themeColor="text1"/>
        </w:rPr>
        <w:t>, que ha sido materia del presente estudio.</w:t>
      </w:r>
    </w:p>
    <w:p w14:paraId="615E6403" w14:textId="77777777" w:rsidR="001F4164" w:rsidRPr="003727F3" w:rsidRDefault="001F4164" w:rsidP="001F4164"/>
    <w:p w14:paraId="7D2F9EC1"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r w:rsidRPr="003727F3">
        <w:rPr>
          <w:rFonts w:eastAsia="Palatino Linotype" w:cs="Palatino Linotype"/>
          <w:color w:val="000000"/>
          <w:szCs w:val="24"/>
        </w:rPr>
        <w:t>Por lo antes expuesto y fundado es de resolverse y,</w:t>
      </w:r>
    </w:p>
    <w:p w14:paraId="26EA3FE3" w14:textId="77777777" w:rsidR="001F4164" w:rsidRPr="003727F3" w:rsidRDefault="001F4164" w:rsidP="001F4164"/>
    <w:p w14:paraId="03A19EFE" w14:textId="77777777" w:rsidR="001F4164" w:rsidRPr="003727F3" w:rsidRDefault="001F4164" w:rsidP="001F4164">
      <w:pPr>
        <w:pStyle w:val="Ttulo1"/>
        <w:rPr>
          <w:rFonts w:eastAsia="Palatino Linotype"/>
        </w:rPr>
      </w:pPr>
      <w:r w:rsidRPr="003727F3">
        <w:rPr>
          <w:rFonts w:eastAsia="Palatino Linotype"/>
        </w:rPr>
        <w:t>S E    R E S U E L V E</w:t>
      </w:r>
    </w:p>
    <w:p w14:paraId="6A5D1A3D" w14:textId="77777777" w:rsidR="001F4164" w:rsidRPr="003727F3" w:rsidRDefault="001F4164" w:rsidP="001F4164">
      <w:pPr>
        <w:pBdr>
          <w:top w:val="nil"/>
          <w:left w:val="nil"/>
          <w:bottom w:val="nil"/>
          <w:right w:val="nil"/>
          <w:between w:val="nil"/>
        </w:pBdr>
        <w:rPr>
          <w:rFonts w:eastAsia="Palatino Linotype" w:cs="Palatino Linotype"/>
          <w:b/>
          <w:color w:val="000000"/>
          <w:szCs w:val="24"/>
        </w:rPr>
      </w:pPr>
    </w:p>
    <w:p w14:paraId="10C47732" w14:textId="2C25C3C6" w:rsidR="001F4164" w:rsidRPr="003727F3" w:rsidRDefault="001F4164" w:rsidP="001F4164">
      <w:pPr>
        <w:pBdr>
          <w:top w:val="nil"/>
          <w:left w:val="nil"/>
          <w:bottom w:val="nil"/>
          <w:right w:val="nil"/>
          <w:between w:val="nil"/>
        </w:pBdr>
        <w:rPr>
          <w:rFonts w:eastAsia="Palatino Linotype" w:cs="Palatino Linotype"/>
          <w:color w:val="000000"/>
        </w:rPr>
      </w:pPr>
      <w:r w:rsidRPr="003727F3">
        <w:rPr>
          <w:rFonts w:eastAsia="Palatino Linotype" w:cs="Palatino Linotype"/>
          <w:b/>
          <w:bCs/>
          <w:color w:val="000000" w:themeColor="text1"/>
        </w:rPr>
        <w:t>PRIMERO.</w:t>
      </w:r>
      <w:r w:rsidRPr="003727F3">
        <w:rPr>
          <w:rFonts w:eastAsia="Palatino Linotype" w:cs="Palatino Linotype"/>
          <w:color w:val="000000" w:themeColor="text1"/>
        </w:rPr>
        <w:t xml:space="preserve"> Se </w:t>
      </w:r>
      <w:r w:rsidRPr="003727F3">
        <w:rPr>
          <w:rFonts w:eastAsia="Palatino Linotype" w:cs="Palatino Linotype"/>
          <w:b/>
          <w:bCs/>
          <w:color w:val="000000" w:themeColor="text1"/>
        </w:rPr>
        <w:t>MODIFICA</w:t>
      </w:r>
      <w:r w:rsidRPr="003727F3">
        <w:rPr>
          <w:rFonts w:eastAsia="Palatino Linotype" w:cs="Palatino Linotype"/>
          <w:color w:val="000000" w:themeColor="text1"/>
        </w:rPr>
        <w:t xml:space="preserve"> la respuesta entregada por el Sujeto Obligado</w:t>
      </w:r>
      <w:r w:rsidRPr="003727F3">
        <w:rPr>
          <w:rFonts w:eastAsia="Palatino Linotype" w:cs="Palatino Linotype"/>
          <w:b/>
          <w:bCs/>
          <w:color w:val="000000" w:themeColor="text1"/>
        </w:rPr>
        <w:t xml:space="preserve"> </w:t>
      </w:r>
      <w:r w:rsidRPr="003727F3">
        <w:rPr>
          <w:rFonts w:eastAsia="Palatino Linotype" w:cs="Palatino Linotype"/>
          <w:color w:val="000000" w:themeColor="text1"/>
        </w:rPr>
        <w:t>a la solicitud de información número</w:t>
      </w:r>
      <w:r w:rsidRPr="003727F3">
        <w:rPr>
          <w:rFonts w:eastAsia="Palatino Linotype" w:cs="Palatino Linotype"/>
          <w:b/>
          <w:bCs/>
          <w:color w:val="000000"/>
          <w:szCs w:val="24"/>
        </w:rPr>
        <w:t xml:space="preserve"> </w:t>
      </w:r>
      <w:r w:rsidR="00621970" w:rsidRPr="003727F3">
        <w:rPr>
          <w:rFonts w:eastAsia="Palatino Linotype" w:cs="Palatino Linotype"/>
          <w:b/>
          <w:bCs/>
          <w:color w:val="000000"/>
          <w:szCs w:val="24"/>
        </w:rPr>
        <w:t>00062/CHAPULTE/IP/2025</w:t>
      </w:r>
      <w:r w:rsidRPr="003727F3">
        <w:rPr>
          <w:rFonts w:eastAsia="Palatino Linotype" w:cs="Palatino Linotype"/>
          <w:color w:val="000000" w:themeColor="text1"/>
        </w:rPr>
        <w:t xml:space="preserve">, al resultar </w:t>
      </w:r>
      <w:r w:rsidR="003F2678" w:rsidRPr="003727F3">
        <w:rPr>
          <w:rFonts w:eastAsia="Palatino Linotype" w:cs="Palatino Linotype"/>
          <w:color w:val="000000" w:themeColor="text1"/>
        </w:rPr>
        <w:t xml:space="preserve">parcialmente </w:t>
      </w:r>
      <w:r w:rsidRPr="003727F3">
        <w:rPr>
          <w:rFonts w:eastAsia="Palatino Linotype" w:cs="Palatino Linotype"/>
          <w:color w:val="000000" w:themeColor="text1"/>
        </w:rPr>
        <w:t>fundados los motivos de inconformidad argüidos por el Recurrente, en términos del</w:t>
      </w:r>
      <w:r w:rsidR="00140A04" w:rsidRPr="003727F3">
        <w:rPr>
          <w:rFonts w:eastAsia="Palatino Linotype" w:cs="Palatino Linotype"/>
          <w:b/>
          <w:bCs/>
          <w:color w:val="000000" w:themeColor="text1"/>
        </w:rPr>
        <w:t xml:space="preserve"> Considerando </w:t>
      </w:r>
      <w:r w:rsidR="00621970" w:rsidRPr="003727F3">
        <w:rPr>
          <w:rFonts w:eastAsia="Palatino Linotype" w:cs="Palatino Linotype"/>
          <w:b/>
          <w:bCs/>
          <w:color w:val="000000" w:themeColor="text1"/>
        </w:rPr>
        <w:t>QUINTO</w:t>
      </w:r>
      <w:r w:rsidRPr="003727F3">
        <w:rPr>
          <w:rFonts w:eastAsia="Palatino Linotype" w:cs="Palatino Linotype"/>
          <w:b/>
          <w:bCs/>
          <w:color w:val="000000" w:themeColor="text1"/>
        </w:rPr>
        <w:t xml:space="preserve"> </w:t>
      </w:r>
      <w:r w:rsidRPr="003727F3">
        <w:rPr>
          <w:rFonts w:eastAsia="Palatino Linotype" w:cs="Palatino Linotype"/>
          <w:color w:val="000000" w:themeColor="text1"/>
        </w:rPr>
        <w:t xml:space="preserve">de la presente resolución. </w:t>
      </w:r>
    </w:p>
    <w:p w14:paraId="5C1D7541"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p>
    <w:p w14:paraId="71283260" w14:textId="48A32666" w:rsidR="001F4164" w:rsidRPr="003727F3" w:rsidRDefault="001F4164" w:rsidP="001F4164">
      <w:pPr>
        <w:pBdr>
          <w:top w:val="nil"/>
          <w:left w:val="nil"/>
          <w:bottom w:val="nil"/>
          <w:right w:val="nil"/>
          <w:between w:val="nil"/>
        </w:pBdr>
        <w:rPr>
          <w:rFonts w:eastAsia="Palatino Linotype" w:cs="Palatino Linotype"/>
          <w:color w:val="000000"/>
          <w:szCs w:val="24"/>
        </w:rPr>
      </w:pPr>
      <w:r w:rsidRPr="003727F3">
        <w:rPr>
          <w:rFonts w:eastAsia="Palatino Linotype" w:cs="Palatino Linotype"/>
          <w:b/>
          <w:color w:val="000000"/>
          <w:szCs w:val="24"/>
        </w:rPr>
        <w:t>SEGUNDO.</w:t>
      </w:r>
      <w:r w:rsidRPr="003727F3">
        <w:rPr>
          <w:rFonts w:eastAsia="Palatino Linotype" w:cs="Palatino Linotype"/>
          <w:color w:val="000000"/>
          <w:szCs w:val="24"/>
        </w:rPr>
        <w:t xml:space="preserve"> Se </w:t>
      </w:r>
      <w:r w:rsidRPr="003727F3">
        <w:rPr>
          <w:rFonts w:eastAsia="Palatino Linotype" w:cs="Palatino Linotype"/>
          <w:b/>
          <w:color w:val="000000"/>
          <w:szCs w:val="24"/>
        </w:rPr>
        <w:t>ORDENA</w:t>
      </w:r>
      <w:r w:rsidRPr="003727F3">
        <w:rPr>
          <w:rFonts w:eastAsia="Palatino Linotype" w:cs="Palatino Linotype"/>
          <w:color w:val="000000"/>
          <w:szCs w:val="24"/>
        </w:rPr>
        <w:t xml:space="preserve"> al Sujeto Obligado que </w:t>
      </w:r>
      <w:r w:rsidR="007B68A7" w:rsidRPr="003727F3">
        <w:rPr>
          <w:rFonts w:eastAsia="Palatino Linotype" w:cs="Palatino Linotype"/>
          <w:color w:val="000000"/>
          <w:szCs w:val="24"/>
        </w:rPr>
        <w:t xml:space="preserve">haga </w:t>
      </w:r>
      <w:r w:rsidRPr="003727F3">
        <w:rPr>
          <w:rFonts w:eastAsia="Palatino Linotype" w:cs="Palatino Linotype"/>
          <w:color w:val="000000"/>
          <w:szCs w:val="24"/>
        </w:rPr>
        <w:t xml:space="preserve">entrega al Recurrente mediante el Sistema de Acceso a la Información Mexiquense (SAIMEX) y en términos del </w:t>
      </w:r>
      <w:r w:rsidR="00140A04" w:rsidRPr="003727F3">
        <w:rPr>
          <w:rFonts w:eastAsia="Palatino Linotype" w:cs="Palatino Linotype"/>
          <w:b/>
          <w:color w:val="000000"/>
          <w:szCs w:val="24"/>
        </w:rPr>
        <w:t xml:space="preserve">Considerando </w:t>
      </w:r>
      <w:r w:rsidR="00621970" w:rsidRPr="003727F3">
        <w:rPr>
          <w:rFonts w:eastAsia="Palatino Linotype" w:cs="Palatino Linotype"/>
          <w:b/>
          <w:color w:val="000000"/>
          <w:szCs w:val="24"/>
        </w:rPr>
        <w:t>QUINTO</w:t>
      </w:r>
      <w:r w:rsidRPr="003727F3">
        <w:rPr>
          <w:rFonts w:eastAsia="Palatino Linotype" w:cs="Palatino Linotype"/>
          <w:color w:val="000000"/>
          <w:szCs w:val="24"/>
        </w:rPr>
        <w:t>, de lo</w:t>
      </w:r>
      <w:r w:rsidR="007B68A7" w:rsidRPr="003727F3">
        <w:rPr>
          <w:rFonts w:eastAsia="Palatino Linotype" w:cs="Palatino Linotype"/>
          <w:color w:val="000000"/>
          <w:szCs w:val="24"/>
        </w:rPr>
        <w:t xml:space="preserve"> siguiente: </w:t>
      </w:r>
    </w:p>
    <w:p w14:paraId="2E217F11"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p>
    <w:p w14:paraId="09DD6AB7" w14:textId="413DBC4E" w:rsidR="006C42B0" w:rsidRPr="003727F3" w:rsidRDefault="00621970" w:rsidP="000D7F51">
      <w:pPr>
        <w:pStyle w:val="Prrafodelista"/>
        <w:numPr>
          <w:ilvl w:val="0"/>
          <w:numId w:val="67"/>
        </w:numPr>
        <w:spacing w:line="276" w:lineRule="auto"/>
        <w:ind w:right="-20"/>
        <w:rPr>
          <w:rFonts w:eastAsia="Palatino Linotype" w:cs="Palatino Linotype"/>
          <w:i/>
          <w:iCs/>
          <w:color w:val="000000"/>
          <w:lang w:val="es-MX"/>
        </w:rPr>
      </w:pPr>
      <w:r w:rsidRPr="003727F3">
        <w:rPr>
          <w:i/>
          <w:iCs/>
        </w:rPr>
        <w:t xml:space="preserve">Estados de situación financiera, de los meses de abril y mayo de dos mil veinticinco. </w:t>
      </w:r>
    </w:p>
    <w:p w14:paraId="2C34EEA5" w14:textId="77777777" w:rsidR="007B68A7" w:rsidRPr="003727F3" w:rsidRDefault="007B68A7" w:rsidP="001F4164">
      <w:pPr>
        <w:pBdr>
          <w:top w:val="nil"/>
          <w:left w:val="nil"/>
          <w:bottom w:val="nil"/>
          <w:right w:val="nil"/>
          <w:between w:val="nil"/>
        </w:pBdr>
        <w:rPr>
          <w:rFonts w:eastAsia="Palatino Linotype" w:cs="Palatino Linotype"/>
          <w:color w:val="000000"/>
          <w:szCs w:val="24"/>
        </w:rPr>
      </w:pPr>
    </w:p>
    <w:p w14:paraId="41CA0713" w14:textId="2F957534" w:rsidR="001F4164" w:rsidRPr="003727F3" w:rsidRDefault="006B0ACA" w:rsidP="001F4164">
      <w:pPr>
        <w:pStyle w:val="NormalINFOEM"/>
        <w:rPr>
          <w:szCs w:val="24"/>
        </w:rPr>
      </w:pPr>
      <w:r w:rsidRPr="003727F3">
        <w:rPr>
          <w:szCs w:val="24"/>
        </w:rPr>
        <w:t xml:space="preserve">De ser necesaria la versión pública, </w:t>
      </w:r>
      <w:r w:rsidR="001F4164" w:rsidRPr="003727F3">
        <w:rPr>
          <w:szCs w:val="24"/>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74FD282" w14:textId="77777777" w:rsidR="000C1420" w:rsidRPr="003727F3" w:rsidRDefault="000C1420" w:rsidP="001F4164">
      <w:pPr>
        <w:pStyle w:val="NormalINFOEM"/>
        <w:rPr>
          <w:szCs w:val="24"/>
        </w:rPr>
      </w:pPr>
    </w:p>
    <w:p w14:paraId="4AEE40E3"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r w:rsidRPr="003727F3">
        <w:rPr>
          <w:rFonts w:eastAsia="Palatino Linotype" w:cs="Palatino Linotype"/>
          <w:b/>
          <w:color w:val="000000"/>
          <w:szCs w:val="24"/>
        </w:rPr>
        <w:t>TERCERO. Notifíquese</w:t>
      </w:r>
      <w:r w:rsidRPr="003727F3">
        <w:rPr>
          <w:rFonts w:eastAsia="Palatino Linotype" w:cs="Palatino Linotype"/>
          <w:b/>
          <w:i/>
          <w:color w:val="000000"/>
          <w:szCs w:val="24"/>
        </w:rPr>
        <w:t xml:space="preserve"> </w:t>
      </w:r>
      <w:r w:rsidRPr="003727F3">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r w:rsidRPr="003727F3">
        <w:rPr>
          <w:rFonts w:eastAsia="Palatino Linotype" w:cs="Palatino Linotype"/>
          <w:b/>
          <w:color w:val="000000"/>
          <w:szCs w:val="24"/>
        </w:rPr>
        <w:lastRenderedPageBreak/>
        <w:t xml:space="preserve">CUARTO. </w:t>
      </w:r>
      <w:r w:rsidRPr="003727F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3727F3" w:rsidRDefault="001F4164" w:rsidP="001F4164">
      <w:pPr>
        <w:pBdr>
          <w:top w:val="nil"/>
          <w:left w:val="nil"/>
          <w:bottom w:val="nil"/>
          <w:right w:val="nil"/>
          <w:between w:val="nil"/>
        </w:pBdr>
        <w:rPr>
          <w:rFonts w:eastAsia="Palatino Linotype" w:cs="Palatino Linotype"/>
          <w:color w:val="000000"/>
          <w:szCs w:val="24"/>
        </w:rPr>
      </w:pPr>
      <w:r w:rsidRPr="003727F3">
        <w:rPr>
          <w:rFonts w:eastAsia="Palatino Linotype" w:cs="Palatino Linotype"/>
          <w:b/>
          <w:color w:val="000000"/>
          <w:szCs w:val="24"/>
        </w:rPr>
        <w:t xml:space="preserve">QUINTO. Notifíquese </w:t>
      </w:r>
      <w:r w:rsidRPr="003727F3">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3727F3" w:rsidRDefault="001F4164" w:rsidP="00796A79">
      <w:pPr>
        <w:ind w:right="-20"/>
        <w:rPr>
          <w:rFonts w:eastAsia="Palatino Linotype" w:cs="Palatino Linotype"/>
          <w:color w:val="000000"/>
          <w:lang w:val="es-MX"/>
        </w:rPr>
      </w:pPr>
    </w:p>
    <w:p w14:paraId="20573BFF" w14:textId="19F249E3" w:rsidR="00A970D5" w:rsidRPr="003727F3" w:rsidRDefault="003727F3" w:rsidP="00796A79">
      <w:pPr>
        <w:pBdr>
          <w:top w:val="nil"/>
          <w:left w:val="nil"/>
          <w:bottom w:val="nil"/>
          <w:right w:val="nil"/>
          <w:between w:val="nil"/>
        </w:pBdr>
        <w:contextualSpacing/>
        <w:rPr>
          <w:rFonts w:eastAsia="Palatino Linotype" w:cs="Palatino Linotype"/>
          <w:color w:val="000000"/>
          <w:szCs w:val="24"/>
        </w:rPr>
      </w:pPr>
      <w:r w:rsidRPr="003727F3">
        <w:rPr>
          <w:rFonts w:cs="Arial"/>
          <w:szCs w:val="24"/>
        </w:rPr>
        <w:t>ASÍ LO RESUELVE, POR UNANIMIDAD DE VOTOS, EL PLENO DEL</w:t>
      </w:r>
      <w:r w:rsidRPr="003727F3">
        <w:rPr>
          <w:rFonts w:eastAsia="Arial Unicode MS" w:cs="Arial"/>
          <w:szCs w:val="24"/>
        </w:rPr>
        <w:t xml:space="preserve"> INSTITUTO DE TRANSPARENCIA, ACCESO A LA INFORMACIÓN PÚBLICA Y PROTECCIÓN DE DATOS PERSONALES DEL ESTADO DE MÉXICO Y MUNICIPIOS</w:t>
      </w:r>
      <w:r w:rsidRPr="003727F3">
        <w:rPr>
          <w:rFonts w:cs="Arial"/>
          <w:szCs w:val="24"/>
        </w:rPr>
        <w:t xml:space="preserve">, CONFORMADO POR LOS COMISIONADOS JOSÉ MARTÍNEZ VILCHIS; MARÍA DEL ROSARIO MEJÍA AYALA; SHARON CRISTINA MORALES MARTÍNEZ; LUIS GUSTAVO PARRA NORIEGA Y GUADALUPE RAMÍREZ PEÑA; EN LA TRIGÉSIMA SÉPTIMA SESIÓN ORDINARIA CELEBRADA EL </w:t>
      </w:r>
      <w:r w:rsidRPr="003727F3">
        <w:rPr>
          <w:rFonts w:eastAsia="Times New Roman" w:cs="Arial"/>
          <w:color w:val="000000"/>
          <w:szCs w:val="24"/>
        </w:rPr>
        <w:t>QUINCE DE OCTUBRE DE DOS MIL VEINTICINCO</w:t>
      </w:r>
      <w:r w:rsidRPr="003727F3">
        <w:rPr>
          <w:rFonts w:cs="Arial"/>
          <w:szCs w:val="24"/>
        </w:rPr>
        <w:t>, ANTE EL SECRETARIO TÉCNICO DEL PLENO, ALEXIS TAPIA RAMÍREZ</w:t>
      </w:r>
      <w:r w:rsidR="00A970D5" w:rsidRPr="003727F3">
        <w:rPr>
          <w:rFonts w:eastAsia="Palatino Linotype" w:cs="Palatino Linotype"/>
          <w:color w:val="000000"/>
          <w:szCs w:val="24"/>
        </w:rPr>
        <w:t>.</w:t>
      </w:r>
      <w:r w:rsidR="001957CF" w:rsidRPr="003727F3">
        <w:rPr>
          <w:rFonts w:eastAsia="Palatino Linotype" w:cs="Palatino Linotype"/>
          <w:color w:val="000000"/>
          <w:szCs w:val="24"/>
        </w:rPr>
        <w:t>--------------</w:t>
      </w:r>
      <w:r w:rsidR="00C6512A" w:rsidRPr="003727F3">
        <w:rPr>
          <w:rFonts w:eastAsia="Palatino Linotype" w:cs="Palatino Linotype"/>
          <w:color w:val="000000"/>
          <w:szCs w:val="24"/>
        </w:rPr>
        <w:t>---------</w:t>
      </w:r>
      <w:r w:rsidR="00337FA1" w:rsidRPr="003727F3">
        <w:rPr>
          <w:rFonts w:eastAsia="Palatino Linotype" w:cs="Palatino Linotype"/>
          <w:color w:val="000000"/>
          <w:szCs w:val="24"/>
        </w:rPr>
        <w:t>-----</w:t>
      </w:r>
      <w:r w:rsidR="004D77C1" w:rsidRPr="003727F3">
        <w:rPr>
          <w:rFonts w:eastAsia="Palatino Linotype" w:cs="Palatino Linotype"/>
          <w:color w:val="000000"/>
          <w:szCs w:val="24"/>
        </w:rPr>
        <w:t>---</w:t>
      </w:r>
      <w:r w:rsidR="00796A79" w:rsidRPr="003727F3">
        <w:rPr>
          <w:rFonts w:eastAsia="Palatino Linotype" w:cs="Palatino Linotype"/>
          <w:color w:val="000000"/>
          <w:szCs w:val="24"/>
        </w:rPr>
        <w:t>-----------------------------------------------------------------------------------------------------------------------------------------------------------------------------------------------------------------------------------------------------------------------------------------------------------------------------------------------------------</w:t>
      </w:r>
    </w:p>
    <w:p w14:paraId="4DA57669" w14:textId="7BF5928F"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3727F3">
        <w:rPr>
          <w:rFonts w:eastAsia="Palatino Linotype" w:cs="Palatino Linotype"/>
          <w:color w:val="000000" w:themeColor="text1"/>
          <w:sz w:val="20"/>
          <w:szCs w:val="20"/>
          <w:lang w:val="es-ES"/>
        </w:rPr>
        <w:t>JMV/CCR/</w:t>
      </w:r>
      <w:proofErr w:type="spellStart"/>
      <w:r w:rsidR="00AC2BCA" w:rsidRPr="003727F3">
        <w:rPr>
          <w:rFonts w:eastAsia="Palatino Linotype" w:cs="Palatino Linotype"/>
          <w:color w:val="000000" w:themeColor="text1"/>
          <w:sz w:val="20"/>
          <w:szCs w:val="20"/>
          <w:lang w:val="es-ES"/>
        </w:rPr>
        <w:t>ikdf</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5"/>
      <w:headerReference w:type="default" r:id="rId16"/>
      <w:footerReference w:type="default" r:id="rId17"/>
      <w:headerReference w:type="first" r:id="rId18"/>
      <w:footerReference w:type="first" r:id="rId19"/>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61C3" w14:textId="77777777" w:rsidR="003778F2" w:rsidRDefault="003778F2" w:rsidP="00F2498E">
      <w:pPr>
        <w:spacing w:line="240" w:lineRule="auto"/>
      </w:pPr>
      <w:r>
        <w:separator/>
      </w:r>
    </w:p>
  </w:endnote>
  <w:endnote w:type="continuationSeparator" w:id="0">
    <w:p w14:paraId="4861EBBE" w14:textId="77777777" w:rsidR="003778F2" w:rsidRDefault="003778F2" w:rsidP="00F2498E">
      <w:pPr>
        <w:spacing w:line="240" w:lineRule="auto"/>
      </w:pPr>
      <w:r>
        <w:continuationSeparator/>
      </w:r>
    </w:p>
  </w:endnote>
  <w:endnote w:type="continuationNotice" w:id="1">
    <w:p w14:paraId="101EF890" w14:textId="77777777" w:rsidR="003778F2" w:rsidRDefault="003778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0161D" w:rsidRPr="00871A91" w:rsidRDefault="00F0161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2C2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2C2F">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0161D" w:rsidRPr="00871A91" w:rsidRDefault="00F0161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2C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2C2F">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510A" w14:textId="77777777" w:rsidR="003778F2" w:rsidRDefault="003778F2" w:rsidP="00F2498E">
      <w:pPr>
        <w:spacing w:line="240" w:lineRule="auto"/>
      </w:pPr>
      <w:r>
        <w:separator/>
      </w:r>
    </w:p>
  </w:footnote>
  <w:footnote w:type="continuationSeparator" w:id="0">
    <w:p w14:paraId="3BF6A880" w14:textId="77777777" w:rsidR="003778F2" w:rsidRDefault="003778F2" w:rsidP="00F2498E">
      <w:pPr>
        <w:spacing w:line="240" w:lineRule="auto"/>
      </w:pPr>
      <w:r>
        <w:continuationSeparator/>
      </w:r>
    </w:p>
  </w:footnote>
  <w:footnote w:type="continuationNotice" w:id="1">
    <w:p w14:paraId="3CC9F4D9" w14:textId="77777777" w:rsidR="003778F2" w:rsidRDefault="003778F2">
      <w:pPr>
        <w:spacing w:line="240" w:lineRule="auto"/>
      </w:pPr>
    </w:p>
  </w:footnote>
  <w:footnote w:id="2">
    <w:p w14:paraId="2BCE50A0" w14:textId="77777777" w:rsidR="00F0161D" w:rsidRPr="0031280C" w:rsidRDefault="00F0161D"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0161D" w:rsidRPr="0031280C" w:rsidRDefault="00F0161D"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0161D" w:rsidRPr="0031280C" w:rsidRDefault="00F0161D"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0161D" w:rsidRPr="0031280C" w:rsidRDefault="00F0161D"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111B603" w14:textId="12F31973" w:rsidR="00F0161D" w:rsidRPr="00632EA8" w:rsidRDefault="00F0161D">
      <w:pPr>
        <w:pStyle w:val="Textonotapie"/>
        <w:rPr>
          <w:lang w:val="es-MX"/>
        </w:rPr>
      </w:pPr>
      <w:r>
        <w:rPr>
          <w:rStyle w:val="Refdenotaalpie"/>
        </w:rPr>
        <w:footnoteRef/>
      </w:r>
      <w:r>
        <w:t xml:space="preserve"> </w:t>
      </w:r>
      <w:r>
        <w:rPr>
          <w:lang w:val="es-MX"/>
        </w:rPr>
        <w:t>A la fecha de consulta el siete de septiembre de dos mil veinticinco.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0161D" w:rsidRDefault="003778F2">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161D" w:rsidRPr="00B17577" w14:paraId="37B9EBDE" w14:textId="77777777" w:rsidTr="00A15F47">
      <w:trPr>
        <w:trHeight w:val="227"/>
      </w:trPr>
      <w:tc>
        <w:tcPr>
          <w:tcW w:w="5670" w:type="dxa"/>
          <w:hideMark/>
        </w:tcPr>
        <w:p w14:paraId="4964FBC5" w14:textId="54CDA645" w:rsidR="00F0161D" w:rsidRPr="00096248" w:rsidRDefault="00F0161D"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03B689B" w:rsidR="00F0161D" w:rsidRPr="00096248" w:rsidRDefault="00F0161D" w:rsidP="002E5C39">
          <w:pPr>
            <w:spacing w:after="120" w:line="240" w:lineRule="auto"/>
            <w:ind w:right="71"/>
            <w:jc w:val="right"/>
            <w:rPr>
              <w:rFonts w:cs="Arial"/>
              <w:b/>
              <w:szCs w:val="24"/>
            </w:rPr>
          </w:pPr>
          <w:r>
            <w:rPr>
              <w:rFonts w:cs="Arial"/>
              <w:b/>
              <w:bCs/>
              <w:szCs w:val="24"/>
            </w:rPr>
            <w:t>08635/INFOEM/IP/RR/2025</w:t>
          </w:r>
        </w:p>
      </w:tc>
    </w:tr>
    <w:tr w:rsidR="00F0161D" w14:paraId="7591D3C9" w14:textId="77777777" w:rsidTr="00A15F47">
      <w:trPr>
        <w:trHeight w:val="242"/>
      </w:trPr>
      <w:tc>
        <w:tcPr>
          <w:tcW w:w="5670" w:type="dxa"/>
          <w:hideMark/>
        </w:tcPr>
        <w:p w14:paraId="729A65A8" w14:textId="77777777" w:rsidR="00F0161D" w:rsidRPr="00096248" w:rsidRDefault="00F0161D"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33216EB6" w:rsidR="00F0161D" w:rsidRPr="00096248" w:rsidRDefault="00F0161D" w:rsidP="00011C4D">
          <w:pPr>
            <w:spacing w:after="120" w:line="240" w:lineRule="auto"/>
            <w:ind w:left="-81" w:right="71"/>
            <w:jc w:val="right"/>
            <w:rPr>
              <w:rFonts w:cs="Arial"/>
              <w:szCs w:val="24"/>
            </w:rPr>
          </w:pPr>
          <w:r w:rsidRPr="002E5C39">
            <w:rPr>
              <w:rFonts w:cs="Arial"/>
              <w:szCs w:val="24"/>
            </w:rPr>
            <w:t>Ayuntamiento de Chapultepec</w:t>
          </w:r>
        </w:p>
      </w:tc>
    </w:tr>
    <w:tr w:rsidR="00F0161D" w:rsidRPr="00F63239" w14:paraId="037E914D" w14:textId="77777777" w:rsidTr="00A15F47">
      <w:trPr>
        <w:trHeight w:val="342"/>
      </w:trPr>
      <w:tc>
        <w:tcPr>
          <w:tcW w:w="5670" w:type="dxa"/>
          <w:hideMark/>
        </w:tcPr>
        <w:p w14:paraId="7676B68F" w14:textId="64D69EAF" w:rsidR="00F0161D" w:rsidRPr="00096248" w:rsidRDefault="00F0161D"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F0161D" w:rsidRDefault="00F0161D"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0161D" w:rsidRPr="00711916" w:rsidRDefault="00F0161D" w:rsidP="00011C4D">
          <w:pPr>
            <w:spacing w:after="120" w:line="240" w:lineRule="auto"/>
            <w:ind w:left="-486" w:right="71" w:firstLine="567"/>
            <w:jc w:val="right"/>
            <w:rPr>
              <w:rFonts w:cs="Arial"/>
              <w:sz w:val="2"/>
              <w:szCs w:val="2"/>
            </w:rPr>
          </w:pPr>
        </w:p>
      </w:tc>
    </w:tr>
  </w:tbl>
  <w:p w14:paraId="2998DBFD" w14:textId="25A9F426" w:rsidR="00F0161D" w:rsidRPr="00871A91" w:rsidRDefault="003778F2">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0161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161D" w14:paraId="0F9FE9B6" w14:textId="77777777" w:rsidTr="00A15F47">
      <w:trPr>
        <w:trHeight w:val="227"/>
      </w:trPr>
      <w:tc>
        <w:tcPr>
          <w:tcW w:w="5670" w:type="dxa"/>
          <w:hideMark/>
        </w:tcPr>
        <w:p w14:paraId="6D1D9D71" w14:textId="11150E5A" w:rsidR="00F0161D" w:rsidRPr="00663A37" w:rsidRDefault="00F0161D"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7A528C0" w:rsidR="00F0161D" w:rsidRPr="00C81ECD" w:rsidRDefault="00F0161D" w:rsidP="002E5C39">
          <w:pPr>
            <w:spacing w:after="120" w:line="240" w:lineRule="auto"/>
            <w:ind w:left="-486" w:right="68" w:firstLine="558"/>
            <w:jc w:val="right"/>
            <w:rPr>
              <w:rFonts w:cs="Arial"/>
              <w:b/>
              <w:szCs w:val="24"/>
            </w:rPr>
          </w:pPr>
          <w:r>
            <w:rPr>
              <w:rFonts w:cs="Arial"/>
              <w:b/>
              <w:bCs/>
              <w:szCs w:val="24"/>
            </w:rPr>
            <w:t>08635/INFOEM/IP/RR/2025</w:t>
          </w:r>
        </w:p>
      </w:tc>
    </w:tr>
    <w:tr w:rsidR="00F0161D" w:rsidRPr="001F57CD" w14:paraId="1377D264" w14:textId="77777777" w:rsidTr="00A15F47">
      <w:trPr>
        <w:trHeight w:val="196"/>
      </w:trPr>
      <w:tc>
        <w:tcPr>
          <w:tcW w:w="5670" w:type="dxa"/>
          <w:hideMark/>
        </w:tcPr>
        <w:p w14:paraId="04D597A1" w14:textId="77777777" w:rsidR="00F0161D" w:rsidRPr="00663A37" w:rsidRDefault="00F0161D"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518B337" w:rsidR="00F0161D" w:rsidRPr="00663A37" w:rsidRDefault="00D22C2F" w:rsidP="70652167">
          <w:pPr>
            <w:spacing w:after="120" w:line="240" w:lineRule="auto"/>
            <w:ind w:right="68"/>
            <w:jc w:val="right"/>
            <w:rPr>
              <w:rFonts w:cs="Arial"/>
              <w:lang w:val="es-ES"/>
            </w:rPr>
          </w:pPr>
          <w:r>
            <w:rPr>
              <w:rFonts w:cs="Arial"/>
              <w:lang w:val="es-ES"/>
            </w:rPr>
            <w:t>XXXX</w:t>
          </w:r>
        </w:p>
      </w:tc>
    </w:tr>
    <w:tr w:rsidR="00F0161D" w14:paraId="4DC11993" w14:textId="77777777" w:rsidTr="00A15F47">
      <w:trPr>
        <w:trHeight w:val="242"/>
      </w:trPr>
      <w:tc>
        <w:tcPr>
          <w:tcW w:w="5670" w:type="dxa"/>
          <w:hideMark/>
        </w:tcPr>
        <w:p w14:paraId="76CEF1B5" w14:textId="77777777" w:rsidR="00F0161D" w:rsidRPr="00663A37" w:rsidRDefault="00F0161D"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A92111F" w:rsidR="00F0161D" w:rsidRPr="00663A37" w:rsidRDefault="00F0161D" w:rsidP="00771E23">
          <w:pPr>
            <w:spacing w:after="120" w:line="240" w:lineRule="auto"/>
            <w:ind w:left="-70" w:right="68"/>
            <w:jc w:val="right"/>
            <w:rPr>
              <w:rFonts w:cs="Arial"/>
              <w:szCs w:val="24"/>
            </w:rPr>
          </w:pPr>
          <w:r w:rsidRPr="002E5C39">
            <w:rPr>
              <w:rFonts w:cs="Arial"/>
              <w:szCs w:val="24"/>
            </w:rPr>
            <w:t>Ayuntamiento de Chapultepec</w:t>
          </w:r>
        </w:p>
      </w:tc>
    </w:tr>
    <w:tr w:rsidR="00F0161D" w14:paraId="5C2B511D" w14:textId="77777777" w:rsidTr="00A15F47">
      <w:trPr>
        <w:trHeight w:val="342"/>
      </w:trPr>
      <w:tc>
        <w:tcPr>
          <w:tcW w:w="5670" w:type="dxa"/>
          <w:hideMark/>
        </w:tcPr>
        <w:p w14:paraId="03FEF68C" w14:textId="45E91CF4" w:rsidR="00F0161D" w:rsidRPr="00663A37" w:rsidRDefault="00F0161D"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F0161D" w:rsidRPr="00663A37" w:rsidRDefault="00F0161D"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0161D" w:rsidRPr="00871A91" w:rsidRDefault="003778F2">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7pt;margin-top:-154.2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0161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A57F2A"/>
    <w:multiLevelType w:val="hybridMultilevel"/>
    <w:tmpl w:val="E9C4A9F4"/>
    <w:lvl w:ilvl="0" w:tplc="BFD290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3E1D7D"/>
    <w:multiLevelType w:val="hybridMultilevel"/>
    <w:tmpl w:val="D390C3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8F17FD"/>
    <w:multiLevelType w:val="hybridMultilevel"/>
    <w:tmpl w:val="D77C30F4"/>
    <w:lvl w:ilvl="0" w:tplc="AE3A8A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207048"/>
    <w:multiLevelType w:val="hybridMultilevel"/>
    <w:tmpl w:val="EADA48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0"/>
  </w:num>
  <w:num w:numId="3">
    <w:abstractNumId w:val="17"/>
  </w:num>
  <w:num w:numId="4">
    <w:abstractNumId w:val="60"/>
  </w:num>
  <w:num w:numId="5">
    <w:abstractNumId w:val="6"/>
  </w:num>
  <w:num w:numId="6">
    <w:abstractNumId w:val="53"/>
  </w:num>
  <w:num w:numId="7">
    <w:abstractNumId w:val="14"/>
  </w:num>
  <w:num w:numId="8">
    <w:abstractNumId w:val="4"/>
  </w:num>
  <w:num w:numId="9">
    <w:abstractNumId w:val="29"/>
  </w:num>
  <w:num w:numId="10">
    <w:abstractNumId w:val="31"/>
  </w:num>
  <w:num w:numId="11">
    <w:abstractNumId w:val="66"/>
  </w:num>
  <w:num w:numId="12">
    <w:abstractNumId w:val="58"/>
  </w:num>
  <w:num w:numId="13">
    <w:abstractNumId w:val="40"/>
  </w:num>
  <w:num w:numId="14">
    <w:abstractNumId w:val="49"/>
  </w:num>
  <w:num w:numId="15">
    <w:abstractNumId w:val="26"/>
  </w:num>
  <w:num w:numId="16">
    <w:abstractNumId w:val="39"/>
  </w:num>
  <w:num w:numId="17">
    <w:abstractNumId w:val="21"/>
  </w:num>
  <w:num w:numId="18">
    <w:abstractNumId w:val="9"/>
  </w:num>
  <w:num w:numId="19">
    <w:abstractNumId w:val="10"/>
  </w:num>
  <w:num w:numId="20">
    <w:abstractNumId w:val="18"/>
  </w:num>
  <w:num w:numId="21">
    <w:abstractNumId w:val="34"/>
  </w:num>
  <w:num w:numId="22">
    <w:abstractNumId w:val="3"/>
  </w:num>
  <w:num w:numId="23">
    <w:abstractNumId w:val="45"/>
  </w:num>
  <w:num w:numId="24">
    <w:abstractNumId w:val="52"/>
  </w:num>
  <w:num w:numId="25">
    <w:abstractNumId w:val="59"/>
  </w:num>
  <w:num w:numId="26">
    <w:abstractNumId w:val="28"/>
  </w:num>
  <w:num w:numId="27">
    <w:abstractNumId w:val="55"/>
  </w:num>
  <w:num w:numId="28">
    <w:abstractNumId w:val="37"/>
  </w:num>
  <w:num w:numId="29">
    <w:abstractNumId w:val="32"/>
  </w:num>
  <w:num w:numId="30">
    <w:abstractNumId w:val="22"/>
  </w:num>
  <w:num w:numId="31">
    <w:abstractNumId w:val="47"/>
  </w:num>
  <w:num w:numId="32">
    <w:abstractNumId w:val="51"/>
  </w:num>
  <w:num w:numId="33">
    <w:abstractNumId w:val="8"/>
  </w:num>
  <w:num w:numId="34">
    <w:abstractNumId w:val="62"/>
  </w:num>
  <w:num w:numId="35">
    <w:abstractNumId w:val="67"/>
  </w:num>
  <w:num w:numId="36">
    <w:abstractNumId w:val="57"/>
  </w:num>
  <w:num w:numId="37">
    <w:abstractNumId w:val="11"/>
  </w:num>
  <w:num w:numId="38">
    <w:abstractNumId w:val="56"/>
  </w:num>
  <w:num w:numId="39">
    <w:abstractNumId w:val="12"/>
  </w:num>
  <w:num w:numId="40">
    <w:abstractNumId w:val="54"/>
  </w:num>
  <w:num w:numId="41">
    <w:abstractNumId w:val="61"/>
  </w:num>
  <w:num w:numId="42">
    <w:abstractNumId w:val="0"/>
  </w:num>
  <w:num w:numId="43">
    <w:abstractNumId w:val="2"/>
  </w:num>
  <w:num w:numId="44">
    <w:abstractNumId w:val="38"/>
  </w:num>
  <w:num w:numId="45">
    <w:abstractNumId w:val="27"/>
  </w:num>
  <w:num w:numId="46">
    <w:abstractNumId w:val="63"/>
  </w:num>
  <w:num w:numId="47">
    <w:abstractNumId w:val="35"/>
  </w:num>
  <w:num w:numId="48">
    <w:abstractNumId w:val="68"/>
  </w:num>
  <w:num w:numId="49">
    <w:abstractNumId w:val="13"/>
  </w:num>
  <w:num w:numId="50">
    <w:abstractNumId w:val="48"/>
  </w:num>
  <w:num w:numId="51">
    <w:abstractNumId w:val="46"/>
  </w:num>
  <w:num w:numId="52">
    <w:abstractNumId w:val="7"/>
  </w:num>
  <w:num w:numId="53">
    <w:abstractNumId w:val="5"/>
  </w:num>
  <w:num w:numId="54">
    <w:abstractNumId w:val="43"/>
  </w:num>
  <w:num w:numId="55">
    <w:abstractNumId w:val="16"/>
  </w:num>
  <w:num w:numId="56">
    <w:abstractNumId w:val="19"/>
  </w:num>
  <w:num w:numId="57">
    <w:abstractNumId w:val="42"/>
  </w:num>
  <w:num w:numId="58">
    <w:abstractNumId w:val="36"/>
  </w:num>
  <w:num w:numId="59">
    <w:abstractNumId w:val="33"/>
  </w:num>
  <w:num w:numId="60">
    <w:abstractNumId w:val="64"/>
  </w:num>
  <w:num w:numId="61">
    <w:abstractNumId w:val="41"/>
  </w:num>
  <w:num w:numId="62">
    <w:abstractNumId w:val="65"/>
  </w:num>
  <w:num w:numId="63">
    <w:abstractNumId w:val="23"/>
  </w:num>
  <w:num w:numId="64">
    <w:abstractNumId w:val="30"/>
  </w:num>
  <w:num w:numId="65">
    <w:abstractNumId w:val="25"/>
  </w:num>
  <w:num w:numId="66">
    <w:abstractNumId w:val="1"/>
  </w:num>
  <w:num w:numId="67">
    <w:abstractNumId w:val="24"/>
  </w:num>
  <w:num w:numId="68">
    <w:abstractNumId w:val="15"/>
  </w:num>
  <w:num w:numId="69">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8"/>
    <w:rsid w:val="00003412"/>
    <w:rsid w:val="000034AA"/>
    <w:rsid w:val="000037B8"/>
    <w:rsid w:val="00003F45"/>
    <w:rsid w:val="00004014"/>
    <w:rsid w:val="00004465"/>
    <w:rsid w:val="00004479"/>
    <w:rsid w:val="00004B62"/>
    <w:rsid w:val="00005965"/>
    <w:rsid w:val="0000665B"/>
    <w:rsid w:val="000072EB"/>
    <w:rsid w:val="000077FF"/>
    <w:rsid w:val="00007857"/>
    <w:rsid w:val="00007B62"/>
    <w:rsid w:val="00007BA4"/>
    <w:rsid w:val="000102FB"/>
    <w:rsid w:val="0001033C"/>
    <w:rsid w:val="00010A8D"/>
    <w:rsid w:val="000114A6"/>
    <w:rsid w:val="0001151F"/>
    <w:rsid w:val="000117AB"/>
    <w:rsid w:val="00011C4D"/>
    <w:rsid w:val="00011CCA"/>
    <w:rsid w:val="0001207E"/>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5EC8"/>
    <w:rsid w:val="0003692B"/>
    <w:rsid w:val="000369F1"/>
    <w:rsid w:val="00036D5F"/>
    <w:rsid w:val="00036D83"/>
    <w:rsid w:val="00036EFC"/>
    <w:rsid w:val="00037938"/>
    <w:rsid w:val="00040184"/>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02E"/>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275"/>
    <w:rsid w:val="000666B3"/>
    <w:rsid w:val="000676A2"/>
    <w:rsid w:val="00067B55"/>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88B"/>
    <w:rsid w:val="00081F52"/>
    <w:rsid w:val="00082347"/>
    <w:rsid w:val="00082E5D"/>
    <w:rsid w:val="00083498"/>
    <w:rsid w:val="000834BD"/>
    <w:rsid w:val="0008496A"/>
    <w:rsid w:val="00084D1A"/>
    <w:rsid w:val="0008591E"/>
    <w:rsid w:val="00085EA2"/>
    <w:rsid w:val="0008628E"/>
    <w:rsid w:val="000864CC"/>
    <w:rsid w:val="00086FDB"/>
    <w:rsid w:val="0008737D"/>
    <w:rsid w:val="00087AFB"/>
    <w:rsid w:val="00087F54"/>
    <w:rsid w:val="00090049"/>
    <w:rsid w:val="0009006F"/>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8E7"/>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24E"/>
    <w:rsid w:val="000A6523"/>
    <w:rsid w:val="000A6945"/>
    <w:rsid w:val="000A6B98"/>
    <w:rsid w:val="000A6F53"/>
    <w:rsid w:val="000A7138"/>
    <w:rsid w:val="000A7D80"/>
    <w:rsid w:val="000B0919"/>
    <w:rsid w:val="000B09CA"/>
    <w:rsid w:val="000B117C"/>
    <w:rsid w:val="000B1468"/>
    <w:rsid w:val="000B18EE"/>
    <w:rsid w:val="000B1F27"/>
    <w:rsid w:val="000B2390"/>
    <w:rsid w:val="000B266E"/>
    <w:rsid w:val="000B28CF"/>
    <w:rsid w:val="000B29E0"/>
    <w:rsid w:val="000B350D"/>
    <w:rsid w:val="000B4159"/>
    <w:rsid w:val="000B4223"/>
    <w:rsid w:val="000B491D"/>
    <w:rsid w:val="000B4CC9"/>
    <w:rsid w:val="000B503C"/>
    <w:rsid w:val="000B51CE"/>
    <w:rsid w:val="000B5296"/>
    <w:rsid w:val="000B5608"/>
    <w:rsid w:val="000B5690"/>
    <w:rsid w:val="000B65C3"/>
    <w:rsid w:val="000B6B88"/>
    <w:rsid w:val="000C0203"/>
    <w:rsid w:val="000C066A"/>
    <w:rsid w:val="000C0E5D"/>
    <w:rsid w:val="000C0F27"/>
    <w:rsid w:val="000C1420"/>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165"/>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D7F51"/>
    <w:rsid w:val="000E06A3"/>
    <w:rsid w:val="000E0D32"/>
    <w:rsid w:val="000E195F"/>
    <w:rsid w:val="000E1FD4"/>
    <w:rsid w:val="000E2370"/>
    <w:rsid w:val="000E27CE"/>
    <w:rsid w:val="000E35E0"/>
    <w:rsid w:val="000E37D0"/>
    <w:rsid w:val="000E3D5F"/>
    <w:rsid w:val="000E3DE6"/>
    <w:rsid w:val="000E3EB9"/>
    <w:rsid w:val="000E48E3"/>
    <w:rsid w:val="000E4A84"/>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42D"/>
    <w:rsid w:val="000F753B"/>
    <w:rsid w:val="000F7D93"/>
    <w:rsid w:val="0010147E"/>
    <w:rsid w:val="0010149D"/>
    <w:rsid w:val="0010153C"/>
    <w:rsid w:val="00102165"/>
    <w:rsid w:val="0010239B"/>
    <w:rsid w:val="001028F2"/>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17688"/>
    <w:rsid w:val="00121552"/>
    <w:rsid w:val="00121842"/>
    <w:rsid w:val="00121B19"/>
    <w:rsid w:val="00121BF4"/>
    <w:rsid w:val="00121F46"/>
    <w:rsid w:val="001235A0"/>
    <w:rsid w:val="001238FD"/>
    <w:rsid w:val="00123D0B"/>
    <w:rsid w:val="00124B26"/>
    <w:rsid w:val="0012508E"/>
    <w:rsid w:val="00126837"/>
    <w:rsid w:val="00130939"/>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37907"/>
    <w:rsid w:val="00140087"/>
    <w:rsid w:val="00140181"/>
    <w:rsid w:val="0014092A"/>
    <w:rsid w:val="00140A04"/>
    <w:rsid w:val="00140A63"/>
    <w:rsid w:val="00140B8D"/>
    <w:rsid w:val="00141359"/>
    <w:rsid w:val="00142AF7"/>
    <w:rsid w:val="00142D35"/>
    <w:rsid w:val="00143916"/>
    <w:rsid w:val="00143E8A"/>
    <w:rsid w:val="00143FC6"/>
    <w:rsid w:val="00144A6E"/>
    <w:rsid w:val="00144ABF"/>
    <w:rsid w:val="00144BA8"/>
    <w:rsid w:val="00145245"/>
    <w:rsid w:val="0014543B"/>
    <w:rsid w:val="00145C22"/>
    <w:rsid w:val="001464CD"/>
    <w:rsid w:val="0014666C"/>
    <w:rsid w:val="0014715B"/>
    <w:rsid w:val="00147B75"/>
    <w:rsid w:val="00147D4D"/>
    <w:rsid w:val="00150293"/>
    <w:rsid w:val="001502AD"/>
    <w:rsid w:val="00150415"/>
    <w:rsid w:val="001509C0"/>
    <w:rsid w:val="00150EA5"/>
    <w:rsid w:val="00151431"/>
    <w:rsid w:val="00151764"/>
    <w:rsid w:val="00151FF5"/>
    <w:rsid w:val="001522A2"/>
    <w:rsid w:val="001527F8"/>
    <w:rsid w:val="00152B40"/>
    <w:rsid w:val="001530E5"/>
    <w:rsid w:val="0015350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123D"/>
    <w:rsid w:val="0016128E"/>
    <w:rsid w:val="001624E8"/>
    <w:rsid w:val="0016322B"/>
    <w:rsid w:val="0016339A"/>
    <w:rsid w:val="0016392B"/>
    <w:rsid w:val="001641EC"/>
    <w:rsid w:val="001643F2"/>
    <w:rsid w:val="00165898"/>
    <w:rsid w:val="00165CA1"/>
    <w:rsid w:val="00165E57"/>
    <w:rsid w:val="00166171"/>
    <w:rsid w:val="0016669A"/>
    <w:rsid w:val="00166D47"/>
    <w:rsid w:val="00167291"/>
    <w:rsid w:val="0016741B"/>
    <w:rsid w:val="00167DF0"/>
    <w:rsid w:val="00171192"/>
    <w:rsid w:val="00171AAD"/>
    <w:rsid w:val="00171BBC"/>
    <w:rsid w:val="00171CF4"/>
    <w:rsid w:val="00171F77"/>
    <w:rsid w:val="0017292D"/>
    <w:rsid w:val="00172A87"/>
    <w:rsid w:val="00173C5E"/>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1E8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76D"/>
    <w:rsid w:val="001C087E"/>
    <w:rsid w:val="001C0AB6"/>
    <w:rsid w:val="001C0F32"/>
    <w:rsid w:val="001C1BF4"/>
    <w:rsid w:val="001C2099"/>
    <w:rsid w:val="001C2571"/>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9CA"/>
    <w:rsid w:val="001D3EE2"/>
    <w:rsid w:val="001D41E0"/>
    <w:rsid w:val="001D4382"/>
    <w:rsid w:val="001D4CB2"/>
    <w:rsid w:val="001D6377"/>
    <w:rsid w:val="001D660A"/>
    <w:rsid w:val="001D6CA8"/>
    <w:rsid w:val="001D6FEC"/>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3618"/>
    <w:rsid w:val="001E4621"/>
    <w:rsid w:val="001E48A4"/>
    <w:rsid w:val="001E5273"/>
    <w:rsid w:val="001E5286"/>
    <w:rsid w:val="001E5453"/>
    <w:rsid w:val="001E5C3D"/>
    <w:rsid w:val="001E65C6"/>
    <w:rsid w:val="001E678B"/>
    <w:rsid w:val="001E7217"/>
    <w:rsid w:val="001E7C62"/>
    <w:rsid w:val="001F0525"/>
    <w:rsid w:val="001F0C02"/>
    <w:rsid w:val="001F2B26"/>
    <w:rsid w:val="001F2BC9"/>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4CA"/>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193"/>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541"/>
    <w:rsid w:val="00245AC1"/>
    <w:rsid w:val="0024621D"/>
    <w:rsid w:val="00246269"/>
    <w:rsid w:val="00247588"/>
    <w:rsid w:val="002475C3"/>
    <w:rsid w:val="00247795"/>
    <w:rsid w:val="00247887"/>
    <w:rsid w:val="00247ED0"/>
    <w:rsid w:val="00247FE8"/>
    <w:rsid w:val="00252443"/>
    <w:rsid w:val="00252521"/>
    <w:rsid w:val="00252CF5"/>
    <w:rsid w:val="002530AE"/>
    <w:rsid w:val="0025386E"/>
    <w:rsid w:val="00254346"/>
    <w:rsid w:val="002547B2"/>
    <w:rsid w:val="00255198"/>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6916"/>
    <w:rsid w:val="00267A38"/>
    <w:rsid w:val="00267A7B"/>
    <w:rsid w:val="00267DB0"/>
    <w:rsid w:val="002704DF"/>
    <w:rsid w:val="00270A17"/>
    <w:rsid w:val="00270C64"/>
    <w:rsid w:val="00270D4A"/>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E8"/>
    <w:rsid w:val="002902FE"/>
    <w:rsid w:val="00290544"/>
    <w:rsid w:val="00290614"/>
    <w:rsid w:val="002913C5"/>
    <w:rsid w:val="00291772"/>
    <w:rsid w:val="00291B08"/>
    <w:rsid w:val="00291DE2"/>
    <w:rsid w:val="00291F65"/>
    <w:rsid w:val="0029208D"/>
    <w:rsid w:val="00292258"/>
    <w:rsid w:val="0029225E"/>
    <w:rsid w:val="002926F9"/>
    <w:rsid w:val="00293681"/>
    <w:rsid w:val="00293A4E"/>
    <w:rsid w:val="00293B95"/>
    <w:rsid w:val="00293D90"/>
    <w:rsid w:val="00293F85"/>
    <w:rsid w:val="002942EA"/>
    <w:rsid w:val="0029482F"/>
    <w:rsid w:val="00294892"/>
    <w:rsid w:val="002949EE"/>
    <w:rsid w:val="00294DA9"/>
    <w:rsid w:val="00296073"/>
    <w:rsid w:val="00296626"/>
    <w:rsid w:val="00296DB8"/>
    <w:rsid w:val="00296E92"/>
    <w:rsid w:val="00297212"/>
    <w:rsid w:val="002972E8"/>
    <w:rsid w:val="00297791"/>
    <w:rsid w:val="002A02E8"/>
    <w:rsid w:val="002A0A88"/>
    <w:rsid w:val="002A13B6"/>
    <w:rsid w:val="002A1797"/>
    <w:rsid w:val="002A1DA3"/>
    <w:rsid w:val="002A3211"/>
    <w:rsid w:val="002A3842"/>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C1F"/>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5D5"/>
    <w:rsid w:val="002C7CEB"/>
    <w:rsid w:val="002C7EC4"/>
    <w:rsid w:val="002D003A"/>
    <w:rsid w:val="002D00F1"/>
    <w:rsid w:val="002D15F2"/>
    <w:rsid w:val="002D1E08"/>
    <w:rsid w:val="002D2070"/>
    <w:rsid w:val="002D2BE0"/>
    <w:rsid w:val="002D2BE6"/>
    <w:rsid w:val="002D2F05"/>
    <w:rsid w:val="002D2F64"/>
    <w:rsid w:val="002D4953"/>
    <w:rsid w:val="002D552F"/>
    <w:rsid w:val="002D5C41"/>
    <w:rsid w:val="002D5CCE"/>
    <w:rsid w:val="002D5FC4"/>
    <w:rsid w:val="002D639B"/>
    <w:rsid w:val="002D785E"/>
    <w:rsid w:val="002D7B83"/>
    <w:rsid w:val="002E0588"/>
    <w:rsid w:val="002E0D37"/>
    <w:rsid w:val="002E0FE2"/>
    <w:rsid w:val="002E1484"/>
    <w:rsid w:val="002E1808"/>
    <w:rsid w:val="002E1A7A"/>
    <w:rsid w:val="002E1B5E"/>
    <w:rsid w:val="002E2B63"/>
    <w:rsid w:val="002E2D8A"/>
    <w:rsid w:val="002E32E7"/>
    <w:rsid w:val="002E37DA"/>
    <w:rsid w:val="002E40AD"/>
    <w:rsid w:val="002E55C9"/>
    <w:rsid w:val="002E5AFA"/>
    <w:rsid w:val="002E5C39"/>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260"/>
    <w:rsid w:val="002F799E"/>
    <w:rsid w:val="002F7A64"/>
    <w:rsid w:val="002F7D3E"/>
    <w:rsid w:val="002F7ED4"/>
    <w:rsid w:val="00300919"/>
    <w:rsid w:val="00300C6B"/>
    <w:rsid w:val="00300EA0"/>
    <w:rsid w:val="003012FD"/>
    <w:rsid w:val="0030194B"/>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65E"/>
    <w:rsid w:val="00311EF3"/>
    <w:rsid w:val="00312106"/>
    <w:rsid w:val="003126FB"/>
    <w:rsid w:val="0031280C"/>
    <w:rsid w:val="00313170"/>
    <w:rsid w:val="00313303"/>
    <w:rsid w:val="003136B3"/>
    <w:rsid w:val="00313B18"/>
    <w:rsid w:val="00314324"/>
    <w:rsid w:val="0031447F"/>
    <w:rsid w:val="00314835"/>
    <w:rsid w:val="003158D7"/>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5E"/>
    <w:rsid w:val="003403A1"/>
    <w:rsid w:val="003404C1"/>
    <w:rsid w:val="00340ADD"/>
    <w:rsid w:val="00341178"/>
    <w:rsid w:val="00341869"/>
    <w:rsid w:val="00341B42"/>
    <w:rsid w:val="00341DB4"/>
    <w:rsid w:val="003420E1"/>
    <w:rsid w:val="00342208"/>
    <w:rsid w:val="00342221"/>
    <w:rsid w:val="003423FC"/>
    <w:rsid w:val="00342A0A"/>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21E"/>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0F"/>
    <w:rsid w:val="003634F7"/>
    <w:rsid w:val="003637A1"/>
    <w:rsid w:val="00363EA3"/>
    <w:rsid w:val="00363F4F"/>
    <w:rsid w:val="0036401A"/>
    <w:rsid w:val="003647C3"/>
    <w:rsid w:val="003649B1"/>
    <w:rsid w:val="00364C0A"/>
    <w:rsid w:val="00365AE9"/>
    <w:rsid w:val="00366F9F"/>
    <w:rsid w:val="003672DF"/>
    <w:rsid w:val="003704FC"/>
    <w:rsid w:val="0037112D"/>
    <w:rsid w:val="003713C2"/>
    <w:rsid w:val="0037172A"/>
    <w:rsid w:val="003722D3"/>
    <w:rsid w:val="0037269A"/>
    <w:rsid w:val="003727F3"/>
    <w:rsid w:val="00372B11"/>
    <w:rsid w:val="0037307E"/>
    <w:rsid w:val="00373D4C"/>
    <w:rsid w:val="0037526D"/>
    <w:rsid w:val="0037545E"/>
    <w:rsid w:val="00375978"/>
    <w:rsid w:val="00376405"/>
    <w:rsid w:val="0037699E"/>
    <w:rsid w:val="00376C54"/>
    <w:rsid w:val="003778F2"/>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413"/>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657"/>
    <w:rsid w:val="003A216B"/>
    <w:rsid w:val="003A36BD"/>
    <w:rsid w:val="003A3A32"/>
    <w:rsid w:val="003A4262"/>
    <w:rsid w:val="003A4518"/>
    <w:rsid w:val="003A51C8"/>
    <w:rsid w:val="003A53BF"/>
    <w:rsid w:val="003A55D8"/>
    <w:rsid w:val="003A5940"/>
    <w:rsid w:val="003A59A6"/>
    <w:rsid w:val="003A5A9F"/>
    <w:rsid w:val="003A602E"/>
    <w:rsid w:val="003A6AFF"/>
    <w:rsid w:val="003A6D5C"/>
    <w:rsid w:val="003A7508"/>
    <w:rsid w:val="003A7D55"/>
    <w:rsid w:val="003A7ED9"/>
    <w:rsid w:val="003B006E"/>
    <w:rsid w:val="003B02EE"/>
    <w:rsid w:val="003B098F"/>
    <w:rsid w:val="003B0DD6"/>
    <w:rsid w:val="003B10FB"/>
    <w:rsid w:val="003B1154"/>
    <w:rsid w:val="003B1752"/>
    <w:rsid w:val="003B279D"/>
    <w:rsid w:val="003B2AAD"/>
    <w:rsid w:val="003B2F7E"/>
    <w:rsid w:val="003B307A"/>
    <w:rsid w:val="003B3181"/>
    <w:rsid w:val="003B3474"/>
    <w:rsid w:val="003B3763"/>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A15"/>
    <w:rsid w:val="003C4FF5"/>
    <w:rsid w:val="003C57BF"/>
    <w:rsid w:val="003C6226"/>
    <w:rsid w:val="003C66C3"/>
    <w:rsid w:val="003C6C7A"/>
    <w:rsid w:val="003C744C"/>
    <w:rsid w:val="003C7BD8"/>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380"/>
    <w:rsid w:val="003E24F3"/>
    <w:rsid w:val="003E2955"/>
    <w:rsid w:val="003E2B14"/>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3FC"/>
    <w:rsid w:val="003F14D5"/>
    <w:rsid w:val="003F1C2E"/>
    <w:rsid w:val="003F2491"/>
    <w:rsid w:val="003F2678"/>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838"/>
    <w:rsid w:val="00434C3F"/>
    <w:rsid w:val="00434EAD"/>
    <w:rsid w:val="0043556C"/>
    <w:rsid w:val="00435D81"/>
    <w:rsid w:val="004361B9"/>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321"/>
    <w:rsid w:val="00445514"/>
    <w:rsid w:val="00445853"/>
    <w:rsid w:val="00446136"/>
    <w:rsid w:val="00446CC4"/>
    <w:rsid w:val="00447429"/>
    <w:rsid w:val="00447748"/>
    <w:rsid w:val="00447A90"/>
    <w:rsid w:val="00450D3E"/>
    <w:rsid w:val="00451C0A"/>
    <w:rsid w:val="00451E46"/>
    <w:rsid w:val="0045354B"/>
    <w:rsid w:val="00453687"/>
    <w:rsid w:val="004536F3"/>
    <w:rsid w:val="00453BC4"/>
    <w:rsid w:val="00454915"/>
    <w:rsid w:val="00454DE6"/>
    <w:rsid w:val="00455885"/>
    <w:rsid w:val="004558BD"/>
    <w:rsid w:val="00455AD8"/>
    <w:rsid w:val="004566FD"/>
    <w:rsid w:val="004569FF"/>
    <w:rsid w:val="00456D44"/>
    <w:rsid w:val="004576A3"/>
    <w:rsid w:val="004579DC"/>
    <w:rsid w:val="00457A56"/>
    <w:rsid w:val="00460C5B"/>
    <w:rsid w:val="004610DA"/>
    <w:rsid w:val="004615D3"/>
    <w:rsid w:val="0046257A"/>
    <w:rsid w:val="0046281E"/>
    <w:rsid w:val="00463909"/>
    <w:rsid w:val="004639C1"/>
    <w:rsid w:val="00464AF4"/>
    <w:rsid w:val="00464D6B"/>
    <w:rsid w:val="00467C83"/>
    <w:rsid w:val="00467D01"/>
    <w:rsid w:val="00470070"/>
    <w:rsid w:val="00470110"/>
    <w:rsid w:val="004705C7"/>
    <w:rsid w:val="00471468"/>
    <w:rsid w:val="00471E09"/>
    <w:rsid w:val="0047231D"/>
    <w:rsid w:val="004728C4"/>
    <w:rsid w:val="004730E3"/>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C17"/>
    <w:rsid w:val="00476D8E"/>
    <w:rsid w:val="00477958"/>
    <w:rsid w:val="00480212"/>
    <w:rsid w:val="004804B6"/>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7B8"/>
    <w:rsid w:val="00487BBD"/>
    <w:rsid w:val="004900E8"/>
    <w:rsid w:val="004903B6"/>
    <w:rsid w:val="0049095E"/>
    <w:rsid w:val="00490C99"/>
    <w:rsid w:val="00490F8D"/>
    <w:rsid w:val="00491554"/>
    <w:rsid w:val="004918B5"/>
    <w:rsid w:val="0049216F"/>
    <w:rsid w:val="00492515"/>
    <w:rsid w:val="004928F5"/>
    <w:rsid w:val="004933FC"/>
    <w:rsid w:val="00493545"/>
    <w:rsid w:val="0049385F"/>
    <w:rsid w:val="00493B5B"/>
    <w:rsid w:val="00494029"/>
    <w:rsid w:val="004941FA"/>
    <w:rsid w:val="00495065"/>
    <w:rsid w:val="0049591A"/>
    <w:rsid w:val="004962CD"/>
    <w:rsid w:val="00497395"/>
    <w:rsid w:val="004976BF"/>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239"/>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8B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78"/>
    <w:rsid w:val="004F15D9"/>
    <w:rsid w:val="004F1B07"/>
    <w:rsid w:val="004F23DB"/>
    <w:rsid w:val="004F26AD"/>
    <w:rsid w:val="004F271C"/>
    <w:rsid w:val="004F3291"/>
    <w:rsid w:val="004F32D0"/>
    <w:rsid w:val="004F342E"/>
    <w:rsid w:val="004F3AB3"/>
    <w:rsid w:val="004F483D"/>
    <w:rsid w:val="004F4929"/>
    <w:rsid w:val="004F5285"/>
    <w:rsid w:val="004F569F"/>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11"/>
    <w:rsid w:val="0051262E"/>
    <w:rsid w:val="00512A53"/>
    <w:rsid w:val="00513D8C"/>
    <w:rsid w:val="0051421A"/>
    <w:rsid w:val="005142CE"/>
    <w:rsid w:val="0051495F"/>
    <w:rsid w:val="005149AC"/>
    <w:rsid w:val="00514AF8"/>
    <w:rsid w:val="00514C55"/>
    <w:rsid w:val="005159EC"/>
    <w:rsid w:val="00515AF1"/>
    <w:rsid w:val="00515D31"/>
    <w:rsid w:val="00515E8C"/>
    <w:rsid w:val="005163AF"/>
    <w:rsid w:val="00516890"/>
    <w:rsid w:val="00516A4D"/>
    <w:rsid w:val="00516F68"/>
    <w:rsid w:val="0051760C"/>
    <w:rsid w:val="00517649"/>
    <w:rsid w:val="00517A7D"/>
    <w:rsid w:val="00520545"/>
    <w:rsid w:val="005205DF"/>
    <w:rsid w:val="00520C3C"/>
    <w:rsid w:val="005212DF"/>
    <w:rsid w:val="00521628"/>
    <w:rsid w:val="005216ED"/>
    <w:rsid w:val="00521A59"/>
    <w:rsid w:val="00521EFA"/>
    <w:rsid w:val="0052214D"/>
    <w:rsid w:val="005222B0"/>
    <w:rsid w:val="00523D60"/>
    <w:rsid w:val="00524455"/>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43F"/>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6B38"/>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577A1"/>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2BAB"/>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E96"/>
    <w:rsid w:val="005A2F92"/>
    <w:rsid w:val="005A40C1"/>
    <w:rsid w:val="005A43E7"/>
    <w:rsid w:val="005A4480"/>
    <w:rsid w:val="005A45B1"/>
    <w:rsid w:val="005A4868"/>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568E"/>
    <w:rsid w:val="005B5697"/>
    <w:rsid w:val="005B643F"/>
    <w:rsid w:val="005B6B8A"/>
    <w:rsid w:val="005B6FFD"/>
    <w:rsid w:val="005B72BC"/>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6D"/>
    <w:rsid w:val="00610A95"/>
    <w:rsid w:val="006115F0"/>
    <w:rsid w:val="00611CEF"/>
    <w:rsid w:val="00612E6C"/>
    <w:rsid w:val="00613401"/>
    <w:rsid w:val="00613C62"/>
    <w:rsid w:val="00613F4F"/>
    <w:rsid w:val="00614AA2"/>
    <w:rsid w:val="00614E68"/>
    <w:rsid w:val="00614F26"/>
    <w:rsid w:val="0061516D"/>
    <w:rsid w:val="00615AFC"/>
    <w:rsid w:val="00615B10"/>
    <w:rsid w:val="006165FB"/>
    <w:rsid w:val="006168EB"/>
    <w:rsid w:val="00616DEB"/>
    <w:rsid w:val="00617332"/>
    <w:rsid w:val="00617563"/>
    <w:rsid w:val="00620CF2"/>
    <w:rsid w:val="00620DE2"/>
    <w:rsid w:val="00621970"/>
    <w:rsid w:val="00621BB2"/>
    <w:rsid w:val="006224BE"/>
    <w:rsid w:val="00624255"/>
    <w:rsid w:val="00624E9E"/>
    <w:rsid w:val="0062573B"/>
    <w:rsid w:val="0062633E"/>
    <w:rsid w:val="006263D3"/>
    <w:rsid w:val="00626825"/>
    <w:rsid w:val="0062694E"/>
    <w:rsid w:val="0062735D"/>
    <w:rsid w:val="00630030"/>
    <w:rsid w:val="0063016D"/>
    <w:rsid w:val="00630426"/>
    <w:rsid w:val="0063057C"/>
    <w:rsid w:val="00631753"/>
    <w:rsid w:val="006317B4"/>
    <w:rsid w:val="00632B22"/>
    <w:rsid w:val="00632EA8"/>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779"/>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697"/>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77FD8"/>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557"/>
    <w:rsid w:val="00693C6F"/>
    <w:rsid w:val="0069448A"/>
    <w:rsid w:val="00694E9A"/>
    <w:rsid w:val="006950D6"/>
    <w:rsid w:val="00696A11"/>
    <w:rsid w:val="00696FD6"/>
    <w:rsid w:val="0069713B"/>
    <w:rsid w:val="00697B3A"/>
    <w:rsid w:val="006A04A9"/>
    <w:rsid w:val="006A070C"/>
    <w:rsid w:val="006A1D05"/>
    <w:rsid w:val="006A281D"/>
    <w:rsid w:val="006A2A82"/>
    <w:rsid w:val="006A2DA2"/>
    <w:rsid w:val="006A3246"/>
    <w:rsid w:val="006A3A42"/>
    <w:rsid w:val="006A4224"/>
    <w:rsid w:val="006A432E"/>
    <w:rsid w:val="006A53BF"/>
    <w:rsid w:val="006A56F0"/>
    <w:rsid w:val="006A585F"/>
    <w:rsid w:val="006A60B3"/>
    <w:rsid w:val="006A66EC"/>
    <w:rsid w:val="006A67C2"/>
    <w:rsid w:val="006A6ACE"/>
    <w:rsid w:val="006A721D"/>
    <w:rsid w:val="006A777E"/>
    <w:rsid w:val="006A7BEE"/>
    <w:rsid w:val="006A7CE2"/>
    <w:rsid w:val="006A7E3C"/>
    <w:rsid w:val="006B0ACA"/>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2B0"/>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3B6"/>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937"/>
    <w:rsid w:val="006F0D04"/>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4DED"/>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2E99"/>
    <w:rsid w:val="007332CF"/>
    <w:rsid w:val="007332E1"/>
    <w:rsid w:val="00733597"/>
    <w:rsid w:val="007337A8"/>
    <w:rsid w:val="007338DB"/>
    <w:rsid w:val="0073427B"/>
    <w:rsid w:val="00734855"/>
    <w:rsid w:val="0073485D"/>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5339"/>
    <w:rsid w:val="00745BBC"/>
    <w:rsid w:val="007465DF"/>
    <w:rsid w:val="00746DD6"/>
    <w:rsid w:val="00746E60"/>
    <w:rsid w:val="00746FA8"/>
    <w:rsid w:val="007479B5"/>
    <w:rsid w:val="007501B9"/>
    <w:rsid w:val="007502BD"/>
    <w:rsid w:val="007514FB"/>
    <w:rsid w:val="00752886"/>
    <w:rsid w:val="007529D0"/>
    <w:rsid w:val="00752D1D"/>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368B"/>
    <w:rsid w:val="00764010"/>
    <w:rsid w:val="00764368"/>
    <w:rsid w:val="0076491F"/>
    <w:rsid w:val="00764A05"/>
    <w:rsid w:val="00764AFB"/>
    <w:rsid w:val="00764B5B"/>
    <w:rsid w:val="007651DD"/>
    <w:rsid w:val="00765287"/>
    <w:rsid w:val="007657CF"/>
    <w:rsid w:val="00765C81"/>
    <w:rsid w:val="00765E78"/>
    <w:rsid w:val="00766A73"/>
    <w:rsid w:val="00766F19"/>
    <w:rsid w:val="007678E8"/>
    <w:rsid w:val="0076797B"/>
    <w:rsid w:val="0077047B"/>
    <w:rsid w:val="00770501"/>
    <w:rsid w:val="00770D24"/>
    <w:rsid w:val="00770DC3"/>
    <w:rsid w:val="007712C7"/>
    <w:rsid w:val="00771E23"/>
    <w:rsid w:val="00772113"/>
    <w:rsid w:val="00772AF8"/>
    <w:rsid w:val="00773219"/>
    <w:rsid w:val="0077455A"/>
    <w:rsid w:val="00774AC3"/>
    <w:rsid w:val="0077571F"/>
    <w:rsid w:val="00775B5A"/>
    <w:rsid w:val="00776581"/>
    <w:rsid w:val="007767B6"/>
    <w:rsid w:val="00777372"/>
    <w:rsid w:val="00777417"/>
    <w:rsid w:val="00777527"/>
    <w:rsid w:val="007775CA"/>
    <w:rsid w:val="00777824"/>
    <w:rsid w:val="007802A6"/>
    <w:rsid w:val="007802DA"/>
    <w:rsid w:val="00780712"/>
    <w:rsid w:val="00780E83"/>
    <w:rsid w:val="00781849"/>
    <w:rsid w:val="00781B6F"/>
    <w:rsid w:val="007822D6"/>
    <w:rsid w:val="0078246A"/>
    <w:rsid w:val="007826F1"/>
    <w:rsid w:val="00782890"/>
    <w:rsid w:val="007833CB"/>
    <w:rsid w:val="00783618"/>
    <w:rsid w:val="00783B56"/>
    <w:rsid w:val="00784AD8"/>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C4E"/>
    <w:rsid w:val="00792D4C"/>
    <w:rsid w:val="007938AE"/>
    <w:rsid w:val="007939F7"/>
    <w:rsid w:val="00793B7C"/>
    <w:rsid w:val="0079402D"/>
    <w:rsid w:val="00794312"/>
    <w:rsid w:val="007955D0"/>
    <w:rsid w:val="0079573E"/>
    <w:rsid w:val="0079583E"/>
    <w:rsid w:val="0079595C"/>
    <w:rsid w:val="00796A79"/>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4DD2"/>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5D0E"/>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515"/>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3152"/>
    <w:rsid w:val="008140CE"/>
    <w:rsid w:val="008147D1"/>
    <w:rsid w:val="008148F3"/>
    <w:rsid w:val="008151D2"/>
    <w:rsid w:val="00815716"/>
    <w:rsid w:val="00815938"/>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1FD"/>
    <w:rsid w:val="00832CDC"/>
    <w:rsid w:val="00832F6C"/>
    <w:rsid w:val="008341ED"/>
    <w:rsid w:val="008356D0"/>
    <w:rsid w:val="0083573A"/>
    <w:rsid w:val="008362CE"/>
    <w:rsid w:val="00837013"/>
    <w:rsid w:val="0083744F"/>
    <w:rsid w:val="00837584"/>
    <w:rsid w:val="0083796C"/>
    <w:rsid w:val="00837E77"/>
    <w:rsid w:val="00840A66"/>
    <w:rsid w:val="00841673"/>
    <w:rsid w:val="0084172B"/>
    <w:rsid w:val="00841963"/>
    <w:rsid w:val="00841C0F"/>
    <w:rsid w:val="00841F3F"/>
    <w:rsid w:val="00842681"/>
    <w:rsid w:val="00842EC4"/>
    <w:rsid w:val="00843163"/>
    <w:rsid w:val="008432F9"/>
    <w:rsid w:val="00843BC7"/>
    <w:rsid w:val="008455EF"/>
    <w:rsid w:val="008456E4"/>
    <w:rsid w:val="00845B52"/>
    <w:rsid w:val="00845D19"/>
    <w:rsid w:val="0084615A"/>
    <w:rsid w:val="00846D3E"/>
    <w:rsid w:val="00846DE7"/>
    <w:rsid w:val="00847319"/>
    <w:rsid w:val="008477B9"/>
    <w:rsid w:val="0084786A"/>
    <w:rsid w:val="00847C27"/>
    <w:rsid w:val="008505FB"/>
    <w:rsid w:val="00851748"/>
    <w:rsid w:val="00851820"/>
    <w:rsid w:val="00851B2E"/>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1EC9"/>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77B5E"/>
    <w:rsid w:val="00880C61"/>
    <w:rsid w:val="008816EC"/>
    <w:rsid w:val="008816ED"/>
    <w:rsid w:val="00881947"/>
    <w:rsid w:val="00881D64"/>
    <w:rsid w:val="00881D9D"/>
    <w:rsid w:val="00881D9F"/>
    <w:rsid w:val="0088222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4CFB"/>
    <w:rsid w:val="00895187"/>
    <w:rsid w:val="008952BC"/>
    <w:rsid w:val="00895BD3"/>
    <w:rsid w:val="00896001"/>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4B34"/>
    <w:rsid w:val="008A5557"/>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E34"/>
    <w:rsid w:val="008B4FFE"/>
    <w:rsid w:val="008B507B"/>
    <w:rsid w:val="008B60D9"/>
    <w:rsid w:val="008B646D"/>
    <w:rsid w:val="008B6842"/>
    <w:rsid w:val="008B6AC0"/>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00F"/>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8"/>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E777F"/>
    <w:rsid w:val="008F0FB4"/>
    <w:rsid w:val="008F12E2"/>
    <w:rsid w:val="008F1C22"/>
    <w:rsid w:val="008F2554"/>
    <w:rsid w:val="008F25B1"/>
    <w:rsid w:val="008F2C23"/>
    <w:rsid w:val="008F2D02"/>
    <w:rsid w:val="008F3C6D"/>
    <w:rsid w:val="008F47DC"/>
    <w:rsid w:val="008F50E6"/>
    <w:rsid w:val="008F5290"/>
    <w:rsid w:val="008F52B5"/>
    <w:rsid w:val="008F55F6"/>
    <w:rsid w:val="008F635E"/>
    <w:rsid w:val="008F69A1"/>
    <w:rsid w:val="008F738E"/>
    <w:rsid w:val="008F7ACB"/>
    <w:rsid w:val="008F7F4D"/>
    <w:rsid w:val="009002CE"/>
    <w:rsid w:val="0090115A"/>
    <w:rsid w:val="0090120A"/>
    <w:rsid w:val="00901C56"/>
    <w:rsid w:val="009025FB"/>
    <w:rsid w:val="009029DB"/>
    <w:rsid w:val="0090348A"/>
    <w:rsid w:val="009038A8"/>
    <w:rsid w:val="009038B8"/>
    <w:rsid w:val="00903D1B"/>
    <w:rsid w:val="00904109"/>
    <w:rsid w:val="009042E8"/>
    <w:rsid w:val="00905C6E"/>
    <w:rsid w:val="0090753F"/>
    <w:rsid w:val="00907591"/>
    <w:rsid w:val="00907913"/>
    <w:rsid w:val="00907D17"/>
    <w:rsid w:val="00910529"/>
    <w:rsid w:val="009118BA"/>
    <w:rsid w:val="00911C10"/>
    <w:rsid w:val="009138B0"/>
    <w:rsid w:val="00913D95"/>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9C0"/>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2DF"/>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5FA"/>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5640"/>
    <w:rsid w:val="009A640D"/>
    <w:rsid w:val="009A6BA8"/>
    <w:rsid w:val="009A6BB0"/>
    <w:rsid w:val="009A70F6"/>
    <w:rsid w:val="009A7364"/>
    <w:rsid w:val="009A7F00"/>
    <w:rsid w:val="009B0E3B"/>
    <w:rsid w:val="009B139E"/>
    <w:rsid w:val="009B1548"/>
    <w:rsid w:val="009B1B4B"/>
    <w:rsid w:val="009B1EB5"/>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C7FE0"/>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6FDE"/>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8AF"/>
    <w:rsid w:val="009F69B5"/>
    <w:rsid w:val="009F6A66"/>
    <w:rsid w:val="009F6EA2"/>
    <w:rsid w:val="009F75B3"/>
    <w:rsid w:val="009F79AE"/>
    <w:rsid w:val="009F7F22"/>
    <w:rsid w:val="00A004D3"/>
    <w:rsid w:val="00A00BD1"/>
    <w:rsid w:val="00A00E4C"/>
    <w:rsid w:val="00A00FFB"/>
    <w:rsid w:val="00A027DE"/>
    <w:rsid w:val="00A02EC8"/>
    <w:rsid w:val="00A0315B"/>
    <w:rsid w:val="00A031FC"/>
    <w:rsid w:val="00A03364"/>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388B"/>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2"/>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619"/>
    <w:rsid w:val="00A40BD1"/>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B77"/>
    <w:rsid w:val="00A55F8B"/>
    <w:rsid w:val="00A57588"/>
    <w:rsid w:val="00A60841"/>
    <w:rsid w:val="00A61A4E"/>
    <w:rsid w:val="00A63203"/>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4FC"/>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3A20"/>
    <w:rsid w:val="00AB44B1"/>
    <w:rsid w:val="00AB45DB"/>
    <w:rsid w:val="00AB49EA"/>
    <w:rsid w:val="00AB4F00"/>
    <w:rsid w:val="00AB5C26"/>
    <w:rsid w:val="00AB5F3B"/>
    <w:rsid w:val="00AC004D"/>
    <w:rsid w:val="00AC09F1"/>
    <w:rsid w:val="00AC0C50"/>
    <w:rsid w:val="00AC119D"/>
    <w:rsid w:val="00AC265B"/>
    <w:rsid w:val="00AC2BCA"/>
    <w:rsid w:val="00AC2BD0"/>
    <w:rsid w:val="00AC2D07"/>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4F4"/>
    <w:rsid w:val="00AD26C0"/>
    <w:rsid w:val="00AD2B85"/>
    <w:rsid w:val="00AD316D"/>
    <w:rsid w:val="00AD3CC4"/>
    <w:rsid w:val="00AD4839"/>
    <w:rsid w:val="00AD4C7C"/>
    <w:rsid w:val="00AD714E"/>
    <w:rsid w:val="00AD76EF"/>
    <w:rsid w:val="00AE19D1"/>
    <w:rsid w:val="00AE2666"/>
    <w:rsid w:val="00AE292C"/>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0FFB"/>
    <w:rsid w:val="00AF115C"/>
    <w:rsid w:val="00AF167D"/>
    <w:rsid w:val="00AF17F0"/>
    <w:rsid w:val="00AF434D"/>
    <w:rsid w:val="00AF4EE4"/>
    <w:rsid w:val="00AF5B98"/>
    <w:rsid w:val="00AF6B94"/>
    <w:rsid w:val="00B0026B"/>
    <w:rsid w:val="00B0036F"/>
    <w:rsid w:val="00B00A28"/>
    <w:rsid w:val="00B00C8E"/>
    <w:rsid w:val="00B01A64"/>
    <w:rsid w:val="00B02674"/>
    <w:rsid w:val="00B02AA5"/>
    <w:rsid w:val="00B03F81"/>
    <w:rsid w:val="00B045EC"/>
    <w:rsid w:val="00B04DA9"/>
    <w:rsid w:val="00B04F50"/>
    <w:rsid w:val="00B0584E"/>
    <w:rsid w:val="00B05943"/>
    <w:rsid w:val="00B05AE4"/>
    <w:rsid w:val="00B05CA6"/>
    <w:rsid w:val="00B07742"/>
    <w:rsid w:val="00B10224"/>
    <w:rsid w:val="00B1073D"/>
    <w:rsid w:val="00B1129B"/>
    <w:rsid w:val="00B116C5"/>
    <w:rsid w:val="00B11CD7"/>
    <w:rsid w:val="00B11CFB"/>
    <w:rsid w:val="00B1205D"/>
    <w:rsid w:val="00B128F0"/>
    <w:rsid w:val="00B13307"/>
    <w:rsid w:val="00B1367C"/>
    <w:rsid w:val="00B13B7B"/>
    <w:rsid w:val="00B15202"/>
    <w:rsid w:val="00B1553A"/>
    <w:rsid w:val="00B15920"/>
    <w:rsid w:val="00B16338"/>
    <w:rsid w:val="00B1688A"/>
    <w:rsid w:val="00B16FBB"/>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5FF4"/>
    <w:rsid w:val="00B5606E"/>
    <w:rsid w:val="00B565AE"/>
    <w:rsid w:val="00B568C7"/>
    <w:rsid w:val="00B56C15"/>
    <w:rsid w:val="00B57348"/>
    <w:rsid w:val="00B609F9"/>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6D89"/>
    <w:rsid w:val="00B670F0"/>
    <w:rsid w:val="00B676F1"/>
    <w:rsid w:val="00B67741"/>
    <w:rsid w:val="00B67DF0"/>
    <w:rsid w:val="00B710FE"/>
    <w:rsid w:val="00B71399"/>
    <w:rsid w:val="00B720DB"/>
    <w:rsid w:val="00B72B77"/>
    <w:rsid w:val="00B731AD"/>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5534"/>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97A0A"/>
    <w:rsid w:val="00BA088E"/>
    <w:rsid w:val="00BA0A2D"/>
    <w:rsid w:val="00BA152C"/>
    <w:rsid w:val="00BA1720"/>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15C4"/>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D7C35"/>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460"/>
    <w:rsid w:val="00C005BD"/>
    <w:rsid w:val="00C0066B"/>
    <w:rsid w:val="00C006C6"/>
    <w:rsid w:val="00C009C1"/>
    <w:rsid w:val="00C01275"/>
    <w:rsid w:val="00C01AB5"/>
    <w:rsid w:val="00C01B8A"/>
    <w:rsid w:val="00C01E0C"/>
    <w:rsid w:val="00C01FED"/>
    <w:rsid w:val="00C02210"/>
    <w:rsid w:val="00C02596"/>
    <w:rsid w:val="00C027B1"/>
    <w:rsid w:val="00C03666"/>
    <w:rsid w:val="00C03D28"/>
    <w:rsid w:val="00C0468A"/>
    <w:rsid w:val="00C049A8"/>
    <w:rsid w:val="00C0515C"/>
    <w:rsid w:val="00C05398"/>
    <w:rsid w:val="00C056BE"/>
    <w:rsid w:val="00C06182"/>
    <w:rsid w:val="00C06213"/>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4BC"/>
    <w:rsid w:val="00C21537"/>
    <w:rsid w:val="00C216A8"/>
    <w:rsid w:val="00C21B3C"/>
    <w:rsid w:val="00C22169"/>
    <w:rsid w:val="00C22669"/>
    <w:rsid w:val="00C226EB"/>
    <w:rsid w:val="00C233B3"/>
    <w:rsid w:val="00C235D5"/>
    <w:rsid w:val="00C238FB"/>
    <w:rsid w:val="00C23BF7"/>
    <w:rsid w:val="00C240FA"/>
    <w:rsid w:val="00C24DBF"/>
    <w:rsid w:val="00C2513C"/>
    <w:rsid w:val="00C25B3F"/>
    <w:rsid w:val="00C2627B"/>
    <w:rsid w:val="00C266DC"/>
    <w:rsid w:val="00C267D8"/>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747"/>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0957"/>
    <w:rsid w:val="00C510A7"/>
    <w:rsid w:val="00C518EC"/>
    <w:rsid w:val="00C52AC3"/>
    <w:rsid w:val="00C52FE5"/>
    <w:rsid w:val="00C532A4"/>
    <w:rsid w:val="00C536D2"/>
    <w:rsid w:val="00C53C0D"/>
    <w:rsid w:val="00C54558"/>
    <w:rsid w:val="00C5499F"/>
    <w:rsid w:val="00C5522A"/>
    <w:rsid w:val="00C55359"/>
    <w:rsid w:val="00C558A4"/>
    <w:rsid w:val="00C559CD"/>
    <w:rsid w:val="00C568D4"/>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0988"/>
    <w:rsid w:val="00C71A87"/>
    <w:rsid w:val="00C72BDC"/>
    <w:rsid w:val="00C72F35"/>
    <w:rsid w:val="00C7331D"/>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61B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207"/>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37F"/>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2FCD"/>
    <w:rsid w:val="00CD30FC"/>
    <w:rsid w:val="00CD3742"/>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76D"/>
    <w:rsid w:val="00D01DCF"/>
    <w:rsid w:val="00D01E03"/>
    <w:rsid w:val="00D01F15"/>
    <w:rsid w:val="00D025F0"/>
    <w:rsid w:val="00D02606"/>
    <w:rsid w:val="00D02A6F"/>
    <w:rsid w:val="00D04514"/>
    <w:rsid w:val="00D0465B"/>
    <w:rsid w:val="00D058CD"/>
    <w:rsid w:val="00D05D6D"/>
    <w:rsid w:val="00D062B1"/>
    <w:rsid w:val="00D06465"/>
    <w:rsid w:val="00D067C4"/>
    <w:rsid w:val="00D070CA"/>
    <w:rsid w:val="00D076D9"/>
    <w:rsid w:val="00D10489"/>
    <w:rsid w:val="00D11A35"/>
    <w:rsid w:val="00D11E06"/>
    <w:rsid w:val="00D1224D"/>
    <w:rsid w:val="00D12517"/>
    <w:rsid w:val="00D1259C"/>
    <w:rsid w:val="00D12CDF"/>
    <w:rsid w:val="00D13710"/>
    <w:rsid w:val="00D13846"/>
    <w:rsid w:val="00D13C46"/>
    <w:rsid w:val="00D146EB"/>
    <w:rsid w:val="00D15656"/>
    <w:rsid w:val="00D1622E"/>
    <w:rsid w:val="00D16E98"/>
    <w:rsid w:val="00D17ABE"/>
    <w:rsid w:val="00D17D9F"/>
    <w:rsid w:val="00D20835"/>
    <w:rsid w:val="00D20D52"/>
    <w:rsid w:val="00D20EF6"/>
    <w:rsid w:val="00D216F1"/>
    <w:rsid w:val="00D219AA"/>
    <w:rsid w:val="00D21D01"/>
    <w:rsid w:val="00D22072"/>
    <w:rsid w:val="00D2222E"/>
    <w:rsid w:val="00D2237A"/>
    <w:rsid w:val="00D22C2F"/>
    <w:rsid w:val="00D22D3F"/>
    <w:rsid w:val="00D233DC"/>
    <w:rsid w:val="00D235D9"/>
    <w:rsid w:val="00D23E73"/>
    <w:rsid w:val="00D240B5"/>
    <w:rsid w:val="00D24BD1"/>
    <w:rsid w:val="00D24F18"/>
    <w:rsid w:val="00D2588A"/>
    <w:rsid w:val="00D25B60"/>
    <w:rsid w:val="00D25EA2"/>
    <w:rsid w:val="00D26217"/>
    <w:rsid w:val="00D26522"/>
    <w:rsid w:val="00D265BD"/>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364"/>
    <w:rsid w:val="00D4457F"/>
    <w:rsid w:val="00D44AD8"/>
    <w:rsid w:val="00D44B6E"/>
    <w:rsid w:val="00D4515E"/>
    <w:rsid w:val="00D4521D"/>
    <w:rsid w:val="00D45819"/>
    <w:rsid w:val="00D46397"/>
    <w:rsid w:val="00D464F2"/>
    <w:rsid w:val="00D47242"/>
    <w:rsid w:val="00D5081F"/>
    <w:rsid w:val="00D50F44"/>
    <w:rsid w:val="00D52933"/>
    <w:rsid w:val="00D52C36"/>
    <w:rsid w:val="00D52FF0"/>
    <w:rsid w:val="00D53395"/>
    <w:rsid w:val="00D533C4"/>
    <w:rsid w:val="00D537E5"/>
    <w:rsid w:val="00D538C9"/>
    <w:rsid w:val="00D53F67"/>
    <w:rsid w:val="00D53F9F"/>
    <w:rsid w:val="00D549DF"/>
    <w:rsid w:val="00D54ECB"/>
    <w:rsid w:val="00D5591C"/>
    <w:rsid w:val="00D56683"/>
    <w:rsid w:val="00D574A2"/>
    <w:rsid w:val="00D57592"/>
    <w:rsid w:val="00D575F7"/>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77CFA"/>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E0A"/>
    <w:rsid w:val="00D90FB3"/>
    <w:rsid w:val="00D910B9"/>
    <w:rsid w:val="00D91E87"/>
    <w:rsid w:val="00D92243"/>
    <w:rsid w:val="00D925D1"/>
    <w:rsid w:val="00D92668"/>
    <w:rsid w:val="00D93AD4"/>
    <w:rsid w:val="00D94948"/>
    <w:rsid w:val="00D94BE4"/>
    <w:rsid w:val="00D94F27"/>
    <w:rsid w:val="00D9531F"/>
    <w:rsid w:val="00D956C2"/>
    <w:rsid w:val="00D95799"/>
    <w:rsid w:val="00D95B37"/>
    <w:rsid w:val="00D9626D"/>
    <w:rsid w:val="00D96E32"/>
    <w:rsid w:val="00D979CF"/>
    <w:rsid w:val="00D97DD9"/>
    <w:rsid w:val="00DA04CA"/>
    <w:rsid w:val="00DA0841"/>
    <w:rsid w:val="00DA0B8F"/>
    <w:rsid w:val="00DA0D1B"/>
    <w:rsid w:val="00DA0D59"/>
    <w:rsid w:val="00DA100A"/>
    <w:rsid w:val="00DA17F7"/>
    <w:rsid w:val="00DA1A7B"/>
    <w:rsid w:val="00DA1DC6"/>
    <w:rsid w:val="00DA1F2A"/>
    <w:rsid w:val="00DA1FA8"/>
    <w:rsid w:val="00DA2010"/>
    <w:rsid w:val="00DA236C"/>
    <w:rsid w:val="00DA4093"/>
    <w:rsid w:val="00DA430B"/>
    <w:rsid w:val="00DA432C"/>
    <w:rsid w:val="00DA4677"/>
    <w:rsid w:val="00DA5392"/>
    <w:rsid w:val="00DA7F34"/>
    <w:rsid w:val="00DB0034"/>
    <w:rsid w:val="00DB0677"/>
    <w:rsid w:val="00DB08A2"/>
    <w:rsid w:val="00DB0D6D"/>
    <w:rsid w:val="00DB1035"/>
    <w:rsid w:val="00DB1200"/>
    <w:rsid w:val="00DB1976"/>
    <w:rsid w:val="00DB1F84"/>
    <w:rsid w:val="00DB2950"/>
    <w:rsid w:val="00DB2F12"/>
    <w:rsid w:val="00DB3A5C"/>
    <w:rsid w:val="00DB4060"/>
    <w:rsid w:val="00DB42A2"/>
    <w:rsid w:val="00DB42CC"/>
    <w:rsid w:val="00DB447B"/>
    <w:rsid w:val="00DB44A1"/>
    <w:rsid w:val="00DB4A8A"/>
    <w:rsid w:val="00DB4D5B"/>
    <w:rsid w:val="00DB5CD7"/>
    <w:rsid w:val="00DB6647"/>
    <w:rsid w:val="00DC08ED"/>
    <w:rsid w:val="00DC098F"/>
    <w:rsid w:val="00DC0ACA"/>
    <w:rsid w:val="00DC0C9F"/>
    <w:rsid w:val="00DC1727"/>
    <w:rsid w:val="00DC1843"/>
    <w:rsid w:val="00DC30E4"/>
    <w:rsid w:val="00DC33BA"/>
    <w:rsid w:val="00DC4064"/>
    <w:rsid w:val="00DC448E"/>
    <w:rsid w:val="00DC4957"/>
    <w:rsid w:val="00DC4959"/>
    <w:rsid w:val="00DC4AE2"/>
    <w:rsid w:val="00DC5381"/>
    <w:rsid w:val="00DC5BF9"/>
    <w:rsid w:val="00DC63B3"/>
    <w:rsid w:val="00DC6AAE"/>
    <w:rsid w:val="00DC6B6C"/>
    <w:rsid w:val="00DC757B"/>
    <w:rsid w:val="00DD0B5D"/>
    <w:rsid w:val="00DD0DD0"/>
    <w:rsid w:val="00DD123C"/>
    <w:rsid w:val="00DD1565"/>
    <w:rsid w:val="00DD2877"/>
    <w:rsid w:val="00DD29DC"/>
    <w:rsid w:val="00DD2EDE"/>
    <w:rsid w:val="00DD3144"/>
    <w:rsid w:val="00DD3886"/>
    <w:rsid w:val="00DD38A3"/>
    <w:rsid w:val="00DD38F0"/>
    <w:rsid w:val="00DD406B"/>
    <w:rsid w:val="00DD40BC"/>
    <w:rsid w:val="00DD54B7"/>
    <w:rsid w:val="00DD573E"/>
    <w:rsid w:val="00DD67AC"/>
    <w:rsid w:val="00DD6879"/>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6EF"/>
    <w:rsid w:val="00DE6816"/>
    <w:rsid w:val="00DE6BED"/>
    <w:rsid w:val="00DE76D7"/>
    <w:rsid w:val="00DE774B"/>
    <w:rsid w:val="00DF06C4"/>
    <w:rsid w:val="00DF0BD1"/>
    <w:rsid w:val="00DF1033"/>
    <w:rsid w:val="00DF1156"/>
    <w:rsid w:val="00DF1173"/>
    <w:rsid w:val="00DF180E"/>
    <w:rsid w:val="00DF2288"/>
    <w:rsid w:val="00DF2CB0"/>
    <w:rsid w:val="00DF33A6"/>
    <w:rsid w:val="00DF383C"/>
    <w:rsid w:val="00DF4465"/>
    <w:rsid w:val="00DF451B"/>
    <w:rsid w:val="00DF451C"/>
    <w:rsid w:val="00DF47BF"/>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5F6"/>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6D08"/>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1955"/>
    <w:rsid w:val="00E62EF4"/>
    <w:rsid w:val="00E632EA"/>
    <w:rsid w:val="00E63F1C"/>
    <w:rsid w:val="00E64613"/>
    <w:rsid w:val="00E650E0"/>
    <w:rsid w:val="00E654A0"/>
    <w:rsid w:val="00E65521"/>
    <w:rsid w:val="00E65D6D"/>
    <w:rsid w:val="00E65DBB"/>
    <w:rsid w:val="00E66CAF"/>
    <w:rsid w:val="00E67455"/>
    <w:rsid w:val="00E67611"/>
    <w:rsid w:val="00E67FF3"/>
    <w:rsid w:val="00E701AC"/>
    <w:rsid w:val="00E703EA"/>
    <w:rsid w:val="00E719E2"/>
    <w:rsid w:val="00E71E0E"/>
    <w:rsid w:val="00E72497"/>
    <w:rsid w:val="00E72D4B"/>
    <w:rsid w:val="00E72F90"/>
    <w:rsid w:val="00E730F3"/>
    <w:rsid w:val="00E73424"/>
    <w:rsid w:val="00E7374B"/>
    <w:rsid w:val="00E74136"/>
    <w:rsid w:val="00E741B3"/>
    <w:rsid w:val="00E74451"/>
    <w:rsid w:val="00E74957"/>
    <w:rsid w:val="00E74EC8"/>
    <w:rsid w:val="00E75036"/>
    <w:rsid w:val="00E75386"/>
    <w:rsid w:val="00E758A1"/>
    <w:rsid w:val="00E75DEB"/>
    <w:rsid w:val="00E761A8"/>
    <w:rsid w:val="00E76832"/>
    <w:rsid w:val="00E76D1F"/>
    <w:rsid w:val="00E77015"/>
    <w:rsid w:val="00E77017"/>
    <w:rsid w:val="00E77D38"/>
    <w:rsid w:val="00E807E8"/>
    <w:rsid w:val="00E80A1E"/>
    <w:rsid w:val="00E80AD6"/>
    <w:rsid w:val="00E80B66"/>
    <w:rsid w:val="00E815E0"/>
    <w:rsid w:val="00E818B2"/>
    <w:rsid w:val="00E81978"/>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9C0"/>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28FE"/>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4CCD"/>
    <w:rsid w:val="00EC5651"/>
    <w:rsid w:val="00EC6033"/>
    <w:rsid w:val="00EC61F5"/>
    <w:rsid w:val="00EC63D4"/>
    <w:rsid w:val="00EC67DE"/>
    <w:rsid w:val="00EC684C"/>
    <w:rsid w:val="00EC6ABB"/>
    <w:rsid w:val="00EC747F"/>
    <w:rsid w:val="00EC7865"/>
    <w:rsid w:val="00EC7B44"/>
    <w:rsid w:val="00EC7B71"/>
    <w:rsid w:val="00ED0072"/>
    <w:rsid w:val="00ED0426"/>
    <w:rsid w:val="00ED0649"/>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3B5"/>
    <w:rsid w:val="00EE34DD"/>
    <w:rsid w:val="00EE3C92"/>
    <w:rsid w:val="00EE447F"/>
    <w:rsid w:val="00EE4674"/>
    <w:rsid w:val="00EE47C6"/>
    <w:rsid w:val="00EE4D84"/>
    <w:rsid w:val="00EE4EE4"/>
    <w:rsid w:val="00EE4F4E"/>
    <w:rsid w:val="00EE575C"/>
    <w:rsid w:val="00EE5D0E"/>
    <w:rsid w:val="00EE5F95"/>
    <w:rsid w:val="00EE6B6F"/>
    <w:rsid w:val="00EE76B1"/>
    <w:rsid w:val="00EE7818"/>
    <w:rsid w:val="00EF0B59"/>
    <w:rsid w:val="00EF0DED"/>
    <w:rsid w:val="00EF0F59"/>
    <w:rsid w:val="00EF1196"/>
    <w:rsid w:val="00EF1A5A"/>
    <w:rsid w:val="00EF1DEA"/>
    <w:rsid w:val="00EF20D2"/>
    <w:rsid w:val="00EF2B23"/>
    <w:rsid w:val="00EF3A01"/>
    <w:rsid w:val="00EF4D0F"/>
    <w:rsid w:val="00EF4D9C"/>
    <w:rsid w:val="00EF52F1"/>
    <w:rsid w:val="00EF56E8"/>
    <w:rsid w:val="00EF5FF8"/>
    <w:rsid w:val="00EF6F58"/>
    <w:rsid w:val="00EF6FA1"/>
    <w:rsid w:val="00EF71A3"/>
    <w:rsid w:val="00EF7935"/>
    <w:rsid w:val="00EF7C5F"/>
    <w:rsid w:val="00F01526"/>
    <w:rsid w:val="00F0161D"/>
    <w:rsid w:val="00F023A7"/>
    <w:rsid w:val="00F02EDC"/>
    <w:rsid w:val="00F039E2"/>
    <w:rsid w:val="00F041B8"/>
    <w:rsid w:val="00F04A95"/>
    <w:rsid w:val="00F051CF"/>
    <w:rsid w:val="00F058D3"/>
    <w:rsid w:val="00F05BF0"/>
    <w:rsid w:val="00F05E89"/>
    <w:rsid w:val="00F05F02"/>
    <w:rsid w:val="00F10169"/>
    <w:rsid w:val="00F1092B"/>
    <w:rsid w:val="00F10A38"/>
    <w:rsid w:val="00F1176A"/>
    <w:rsid w:val="00F11FF3"/>
    <w:rsid w:val="00F12608"/>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3E6F"/>
    <w:rsid w:val="00F24585"/>
    <w:rsid w:val="00F2498E"/>
    <w:rsid w:val="00F249C5"/>
    <w:rsid w:val="00F25865"/>
    <w:rsid w:val="00F26DF1"/>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877"/>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4D"/>
    <w:rsid w:val="00F6499A"/>
    <w:rsid w:val="00F64F0D"/>
    <w:rsid w:val="00F6554B"/>
    <w:rsid w:val="00F656E5"/>
    <w:rsid w:val="00F65BB6"/>
    <w:rsid w:val="00F6600E"/>
    <w:rsid w:val="00F66279"/>
    <w:rsid w:val="00F6727E"/>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5A3"/>
    <w:rsid w:val="00F7795D"/>
    <w:rsid w:val="00F77D38"/>
    <w:rsid w:val="00F77F4D"/>
    <w:rsid w:val="00F802D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399"/>
    <w:rsid w:val="00FA54A2"/>
    <w:rsid w:val="00FA5D15"/>
    <w:rsid w:val="00FA7091"/>
    <w:rsid w:val="00FA71F7"/>
    <w:rsid w:val="00FA7A6F"/>
    <w:rsid w:val="00FA7F35"/>
    <w:rsid w:val="00FB08F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0FB5"/>
    <w:rsid w:val="00FC16AB"/>
    <w:rsid w:val="00FC2173"/>
    <w:rsid w:val="00FC37AD"/>
    <w:rsid w:val="00FC3B32"/>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3D5"/>
    <w:rsid w:val="00FD6EF2"/>
    <w:rsid w:val="00FD710A"/>
    <w:rsid w:val="00FD72C2"/>
    <w:rsid w:val="00FD7834"/>
    <w:rsid w:val="00FD7D51"/>
    <w:rsid w:val="00FE0B52"/>
    <w:rsid w:val="00FE10DF"/>
    <w:rsid w:val="00FE1867"/>
    <w:rsid w:val="00FE1A09"/>
    <w:rsid w:val="00FE2661"/>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403"/>
    <w:rsid w:val="00FF47CD"/>
    <w:rsid w:val="00FF48BE"/>
    <w:rsid w:val="00FF4CA5"/>
    <w:rsid w:val="00FF5344"/>
    <w:rsid w:val="00FF54C5"/>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character" w:customStyle="1" w:styleId="Mencinsinresolver6">
    <w:name w:val="Mención sin resolver6"/>
    <w:basedOn w:val="Fuentedeprrafopredeter"/>
    <w:uiPriority w:val="99"/>
    <w:semiHidden/>
    <w:unhideWhenUsed/>
    <w:rsid w:val="0014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1089338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0011393">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08764731">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3189491">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99843423">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pultepecedomex-my.sharepoint.com/personal/transparencia_chapultepec_gob_mx/_layouts/15/onedrive.aspx?id=%2Fpersonal%2Ftransparencia%5Fchapultepec%5Fgob%5Fmx%2FDocuments%2FSAIMEX%2F00062%5FCHAPULTEPE%5FIP%5F2025&amp;ga=1" TargetMode="External"/><Relationship Id="rId13" Type="http://schemas.openxmlformats.org/officeDocument/2006/relationships/hyperlink" Target="http://consultas.ifai.org.mx/descargar.php?r=./pdf/resoluciones/2019/&amp;a=RRA%2014270.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3.tmp"/></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0D27-05F3-42F0-AE86-C68D03DB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36</Pages>
  <Words>9025</Words>
  <Characters>49639</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47</cp:revision>
  <cp:lastPrinted>2025-10-16T17:47:00Z</cp:lastPrinted>
  <dcterms:created xsi:type="dcterms:W3CDTF">2025-10-07T22:31:00Z</dcterms:created>
  <dcterms:modified xsi:type="dcterms:W3CDTF">2025-11-26T16:44:00Z</dcterms:modified>
</cp:coreProperties>
</file>