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03E1D5E1" w:rsidR="00A50615" w:rsidRPr="00263B58" w:rsidRDefault="00C73479" w:rsidP="00F90A6D">
          <w:pPr>
            <w:pStyle w:val="TtuloTDC"/>
            <w:spacing w:before="0" w:line="360" w:lineRule="auto"/>
            <w:contextualSpacing/>
            <w:jc w:val="center"/>
          </w:pPr>
          <w:r w:rsidRPr="00263B58">
            <w:rPr>
              <w:rFonts w:ascii="Palatino Linotype" w:eastAsia="Palatino Linotype" w:hAnsi="Palatino Linotype" w:cs="Palatino Linotype"/>
              <w:color w:val="000000" w:themeColor="text1"/>
              <w:sz w:val="22"/>
              <w:szCs w:val="22"/>
              <w:lang w:val="es-ES"/>
            </w:rPr>
            <w:t xml:space="preserve">RESOLUCIÓN DEL RECURSO DE REVISIÓN </w:t>
          </w:r>
          <w:r w:rsidR="00C72C60" w:rsidRPr="00263B58">
            <w:rPr>
              <w:rFonts w:ascii="Palatino Linotype" w:eastAsia="Palatino Linotype" w:hAnsi="Palatino Linotype" w:cs="Palatino Linotype"/>
              <w:color w:val="000000" w:themeColor="text1"/>
              <w:sz w:val="22"/>
              <w:szCs w:val="22"/>
              <w:lang w:val="es-ES"/>
            </w:rPr>
            <w:t>0</w:t>
          </w:r>
          <w:r w:rsidR="0074348A" w:rsidRPr="00263B58">
            <w:rPr>
              <w:rFonts w:ascii="Palatino Linotype" w:eastAsia="Palatino Linotype" w:hAnsi="Palatino Linotype" w:cs="Palatino Linotype"/>
              <w:color w:val="000000" w:themeColor="text1"/>
              <w:sz w:val="22"/>
              <w:szCs w:val="22"/>
              <w:lang w:val="es-ES"/>
            </w:rPr>
            <w:t>9356</w:t>
          </w:r>
          <w:r w:rsidR="00C9121A" w:rsidRPr="00263B58">
            <w:rPr>
              <w:rFonts w:ascii="Palatino Linotype" w:eastAsia="Palatino Linotype" w:hAnsi="Palatino Linotype" w:cs="Palatino Linotype"/>
              <w:color w:val="000000" w:themeColor="text1"/>
              <w:sz w:val="22"/>
              <w:szCs w:val="22"/>
              <w:lang w:val="es-ES"/>
            </w:rPr>
            <w:t>/INFOEM/IP/RR/2025</w:t>
          </w:r>
        </w:p>
        <w:p w14:paraId="251A4DA5" w14:textId="7BBC29B4" w:rsidR="00A868B1" w:rsidRPr="00263B58" w:rsidRDefault="00A50615" w:rsidP="00F90A6D">
          <w:pPr>
            <w:pStyle w:val="TDC1"/>
            <w:tabs>
              <w:tab w:val="right" w:leader="dot" w:pos="9204"/>
            </w:tabs>
            <w:spacing w:after="0" w:line="360" w:lineRule="auto"/>
            <w:rPr>
              <w:rFonts w:asciiTheme="minorHAnsi" w:eastAsiaTheme="minorEastAsia" w:hAnsiTheme="minorHAnsi" w:cstheme="minorBidi"/>
              <w:noProof/>
              <w:color w:val="auto"/>
            </w:rPr>
          </w:pPr>
          <w:r w:rsidRPr="00263B58">
            <w:fldChar w:fldCharType="begin"/>
          </w:r>
          <w:r w:rsidRPr="00263B58">
            <w:instrText xml:space="preserve"> TOC \o "1-3" \h \z \u </w:instrText>
          </w:r>
          <w:r w:rsidRPr="00263B58">
            <w:fldChar w:fldCharType="separate"/>
          </w:r>
          <w:hyperlink w:anchor="_Toc206067755" w:history="1">
            <w:r w:rsidR="00A868B1" w:rsidRPr="00263B58">
              <w:rPr>
                <w:rStyle w:val="Hipervnculo"/>
                <w:noProof/>
              </w:rPr>
              <w:t>A N T E C E D E N T E S</w:t>
            </w:r>
            <w:r w:rsidR="00A868B1" w:rsidRPr="00263B58">
              <w:rPr>
                <w:noProof/>
                <w:webHidden/>
              </w:rPr>
              <w:tab/>
            </w:r>
            <w:r w:rsidR="00A868B1" w:rsidRPr="00263B58">
              <w:rPr>
                <w:noProof/>
                <w:webHidden/>
              </w:rPr>
              <w:fldChar w:fldCharType="begin"/>
            </w:r>
            <w:r w:rsidR="00A868B1" w:rsidRPr="00263B58">
              <w:rPr>
                <w:noProof/>
                <w:webHidden/>
              </w:rPr>
              <w:instrText xml:space="preserve"> PAGEREF _Toc206067755 \h </w:instrText>
            </w:r>
            <w:r w:rsidR="00A868B1" w:rsidRPr="00263B58">
              <w:rPr>
                <w:noProof/>
                <w:webHidden/>
              </w:rPr>
            </w:r>
            <w:r w:rsidR="00A868B1" w:rsidRPr="00263B58">
              <w:rPr>
                <w:noProof/>
                <w:webHidden/>
              </w:rPr>
              <w:fldChar w:fldCharType="separate"/>
            </w:r>
            <w:r w:rsidR="002925EC">
              <w:rPr>
                <w:noProof/>
                <w:webHidden/>
              </w:rPr>
              <w:t>2</w:t>
            </w:r>
            <w:r w:rsidR="00A868B1" w:rsidRPr="00263B58">
              <w:rPr>
                <w:noProof/>
                <w:webHidden/>
              </w:rPr>
              <w:fldChar w:fldCharType="end"/>
            </w:r>
          </w:hyperlink>
        </w:p>
        <w:p w14:paraId="7D217C4B" w14:textId="186336FE" w:rsidR="00A868B1" w:rsidRPr="00263B58" w:rsidRDefault="00A868B1" w:rsidP="00F90A6D">
          <w:pPr>
            <w:pStyle w:val="TDC2"/>
            <w:rPr>
              <w:rFonts w:asciiTheme="minorHAnsi" w:eastAsiaTheme="minorEastAsia" w:hAnsiTheme="minorHAnsi" w:cstheme="minorBidi"/>
              <w:noProof/>
              <w:color w:val="auto"/>
            </w:rPr>
          </w:pPr>
          <w:hyperlink w:anchor="_Toc206067756" w:history="1">
            <w:r w:rsidRPr="00263B58">
              <w:rPr>
                <w:rStyle w:val="Hipervnculo"/>
                <w:noProof/>
              </w:rPr>
              <w:t>I. Presentación de la solicitud</w:t>
            </w:r>
            <w:r w:rsidRPr="00263B58">
              <w:rPr>
                <w:noProof/>
                <w:webHidden/>
              </w:rPr>
              <w:tab/>
            </w:r>
            <w:r w:rsidRPr="00263B58">
              <w:rPr>
                <w:noProof/>
                <w:webHidden/>
              </w:rPr>
              <w:fldChar w:fldCharType="begin"/>
            </w:r>
            <w:r w:rsidRPr="00263B58">
              <w:rPr>
                <w:noProof/>
                <w:webHidden/>
              </w:rPr>
              <w:instrText xml:space="preserve"> PAGEREF _Toc206067756 \h </w:instrText>
            </w:r>
            <w:r w:rsidRPr="00263B58">
              <w:rPr>
                <w:noProof/>
                <w:webHidden/>
              </w:rPr>
            </w:r>
            <w:r w:rsidRPr="00263B58">
              <w:rPr>
                <w:noProof/>
                <w:webHidden/>
              </w:rPr>
              <w:fldChar w:fldCharType="separate"/>
            </w:r>
            <w:r w:rsidR="002925EC">
              <w:rPr>
                <w:noProof/>
                <w:webHidden/>
              </w:rPr>
              <w:t>2</w:t>
            </w:r>
            <w:r w:rsidRPr="00263B58">
              <w:rPr>
                <w:noProof/>
                <w:webHidden/>
              </w:rPr>
              <w:fldChar w:fldCharType="end"/>
            </w:r>
          </w:hyperlink>
        </w:p>
        <w:p w14:paraId="08AA42C9" w14:textId="33A91BEC" w:rsidR="00A868B1" w:rsidRPr="00263B58" w:rsidRDefault="00A868B1" w:rsidP="00F90A6D">
          <w:pPr>
            <w:pStyle w:val="TDC2"/>
            <w:rPr>
              <w:rFonts w:asciiTheme="minorHAnsi" w:eastAsiaTheme="minorEastAsia" w:hAnsiTheme="minorHAnsi" w:cstheme="minorBidi"/>
              <w:noProof/>
              <w:color w:val="auto"/>
            </w:rPr>
          </w:pPr>
          <w:hyperlink w:anchor="_Toc206067757" w:history="1">
            <w:r w:rsidRPr="00263B58">
              <w:rPr>
                <w:rStyle w:val="Hipervnculo"/>
                <w:noProof/>
              </w:rPr>
              <w:t>II. Respuesta del Sujeto Obligado</w:t>
            </w:r>
            <w:r w:rsidRPr="00263B58">
              <w:rPr>
                <w:noProof/>
                <w:webHidden/>
              </w:rPr>
              <w:tab/>
            </w:r>
            <w:r w:rsidRPr="00263B58">
              <w:rPr>
                <w:noProof/>
                <w:webHidden/>
              </w:rPr>
              <w:fldChar w:fldCharType="begin"/>
            </w:r>
            <w:r w:rsidRPr="00263B58">
              <w:rPr>
                <w:noProof/>
                <w:webHidden/>
              </w:rPr>
              <w:instrText xml:space="preserve"> PAGEREF _Toc206067757 \h </w:instrText>
            </w:r>
            <w:r w:rsidRPr="00263B58">
              <w:rPr>
                <w:noProof/>
                <w:webHidden/>
              </w:rPr>
            </w:r>
            <w:r w:rsidRPr="00263B58">
              <w:rPr>
                <w:noProof/>
                <w:webHidden/>
              </w:rPr>
              <w:fldChar w:fldCharType="separate"/>
            </w:r>
            <w:r w:rsidR="002925EC">
              <w:rPr>
                <w:noProof/>
                <w:webHidden/>
              </w:rPr>
              <w:t>3</w:t>
            </w:r>
            <w:r w:rsidRPr="00263B58">
              <w:rPr>
                <w:noProof/>
                <w:webHidden/>
              </w:rPr>
              <w:fldChar w:fldCharType="end"/>
            </w:r>
          </w:hyperlink>
        </w:p>
        <w:p w14:paraId="06D0BE1D" w14:textId="32C7F897" w:rsidR="00A868B1" w:rsidRPr="00263B58" w:rsidRDefault="00A868B1" w:rsidP="00F90A6D">
          <w:pPr>
            <w:pStyle w:val="TDC2"/>
            <w:rPr>
              <w:rFonts w:asciiTheme="minorHAnsi" w:eastAsiaTheme="minorEastAsia" w:hAnsiTheme="minorHAnsi" w:cstheme="minorBidi"/>
              <w:noProof/>
              <w:color w:val="auto"/>
            </w:rPr>
          </w:pPr>
          <w:hyperlink w:anchor="_Toc206067758" w:history="1">
            <w:r w:rsidRPr="00263B58">
              <w:rPr>
                <w:rStyle w:val="Hipervnculo"/>
                <w:noProof/>
              </w:rPr>
              <w:t>III. Interposición del Recurso de Revisión</w:t>
            </w:r>
            <w:r w:rsidRPr="00263B58">
              <w:rPr>
                <w:noProof/>
                <w:webHidden/>
              </w:rPr>
              <w:tab/>
            </w:r>
            <w:r w:rsidRPr="00263B58">
              <w:rPr>
                <w:noProof/>
                <w:webHidden/>
              </w:rPr>
              <w:fldChar w:fldCharType="begin"/>
            </w:r>
            <w:r w:rsidRPr="00263B58">
              <w:rPr>
                <w:noProof/>
                <w:webHidden/>
              </w:rPr>
              <w:instrText xml:space="preserve"> PAGEREF _Toc206067758 \h </w:instrText>
            </w:r>
            <w:r w:rsidRPr="00263B58">
              <w:rPr>
                <w:noProof/>
                <w:webHidden/>
              </w:rPr>
            </w:r>
            <w:r w:rsidRPr="00263B58">
              <w:rPr>
                <w:noProof/>
                <w:webHidden/>
              </w:rPr>
              <w:fldChar w:fldCharType="separate"/>
            </w:r>
            <w:r w:rsidR="002925EC">
              <w:rPr>
                <w:noProof/>
                <w:webHidden/>
              </w:rPr>
              <w:t>3</w:t>
            </w:r>
            <w:r w:rsidRPr="00263B58">
              <w:rPr>
                <w:noProof/>
                <w:webHidden/>
              </w:rPr>
              <w:fldChar w:fldCharType="end"/>
            </w:r>
          </w:hyperlink>
        </w:p>
        <w:p w14:paraId="111A0EA4" w14:textId="44070AEC" w:rsidR="00A868B1" w:rsidRPr="00263B58" w:rsidRDefault="00A868B1" w:rsidP="00F90A6D">
          <w:pPr>
            <w:pStyle w:val="TDC2"/>
            <w:rPr>
              <w:rFonts w:asciiTheme="minorHAnsi" w:eastAsiaTheme="minorEastAsia" w:hAnsiTheme="minorHAnsi" w:cstheme="minorBidi"/>
              <w:noProof/>
              <w:color w:val="auto"/>
            </w:rPr>
          </w:pPr>
          <w:hyperlink w:anchor="_Toc206067759" w:history="1">
            <w:r w:rsidRPr="00263B58">
              <w:rPr>
                <w:rStyle w:val="Hipervnculo"/>
                <w:noProof/>
              </w:rPr>
              <w:t>IV. Trámite del Recurso de Revisión ante este Instituto</w:t>
            </w:r>
            <w:r w:rsidRPr="00263B58">
              <w:rPr>
                <w:noProof/>
                <w:webHidden/>
              </w:rPr>
              <w:tab/>
            </w:r>
            <w:r w:rsidRPr="00263B58">
              <w:rPr>
                <w:noProof/>
                <w:webHidden/>
              </w:rPr>
              <w:fldChar w:fldCharType="begin"/>
            </w:r>
            <w:r w:rsidRPr="00263B58">
              <w:rPr>
                <w:noProof/>
                <w:webHidden/>
              </w:rPr>
              <w:instrText xml:space="preserve"> PAGEREF _Toc206067759 \h </w:instrText>
            </w:r>
            <w:r w:rsidRPr="00263B58">
              <w:rPr>
                <w:noProof/>
                <w:webHidden/>
              </w:rPr>
            </w:r>
            <w:r w:rsidRPr="00263B58">
              <w:rPr>
                <w:noProof/>
                <w:webHidden/>
              </w:rPr>
              <w:fldChar w:fldCharType="separate"/>
            </w:r>
            <w:r w:rsidR="002925EC">
              <w:rPr>
                <w:noProof/>
                <w:webHidden/>
              </w:rPr>
              <w:t>4</w:t>
            </w:r>
            <w:r w:rsidRPr="00263B58">
              <w:rPr>
                <w:noProof/>
                <w:webHidden/>
              </w:rPr>
              <w:fldChar w:fldCharType="end"/>
            </w:r>
          </w:hyperlink>
        </w:p>
        <w:p w14:paraId="2FB07495" w14:textId="3682E506" w:rsidR="00A868B1" w:rsidRPr="00263B58" w:rsidRDefault="00A868B1" w:rsidP="00F90A6D">
          <w:pPr>
            <w:pStyle w:val="TDC1"/>
            <w:tabs>
              <w:tab w:val="right" w:leader="dot" w:pos="9204"/>
            </w:tabs>
            <w:spacing w:after="0" w:line="360" w:lineRule="auto"/>
            <w:rPr>
              <w:rFonts w:asciiTheme="minorHAnsi" w:eastAsiaTheme="minorEastAsia" w:hAnsiTheme="minorHAnsi" w:cstheme="minorBidi"/>
              <w:noProof/>
              <w:color w:val="auto"/>
            </w:rPr>
          </w:pPr>
          <w:hyperlink w:anchor="_Toc206067760" w:history="1">
            <w:r w:rsidRPr="00263B58">
              <w:rPr>
                <w:rStyle w:val="Hipervnculo"/>
                <w:noProof/>
              </w:rPr>
              <w:t>C O N S I D E R A N D O S</w:t>
            </w:r>
            <w:r w:rsidRPr="00263B58">
              <w:rPr>
                <w:noProof/>
                <w:webHidden/>
              </w:rPr>
              <w:tab/>
            </w:r>
            <w:r w:rsidRPr="00263B58">
              <w:rPr>
                <w:noProof/>
                <w:webHidden/>
              </w:rPr>
              <w:fldChar w:fldCharType="begin"/>
            </w:r>
            <w:r w:rsidRPr="00263B58">
              <w:rPr>
                <w:noProof/>
                <w:webHidden/>
              </w:rPr>
              <w:instrText xml:space="preserve"> PAGEREF _Toc206067760 \h </w:instrText>
            </w:r>
            <w:r w:rsidRPr="00263B58">
              <w:rPr>
                <w:noProof/>
                <w:webHidden/>
              </w:rPr>
            </w:r>
            <w:r w:rsidRPr="00263B58">
              <w:rPr>
                <w:noProof/>
                <w:webHidden/>
              </w:rPr>
              <w:fldChar w:fldCharType="separate"/>
            </w:r>
            <w:r w:rsidR="002925EC">
              <w:rPr>
                <w:noProof/>
                <w:webHidden/>
              </w:rPr>
              <w:t>5</w:t>
            </w:r>
            <w:r w:rsidRPr="00263B58">
              <w:rPr>
                <w:noProof/>
                <w:webHidden/>
              </w:rPr>
              <w:fldChar w:fldCharType="end"/>
            </w:r>
          </w:hyperlink>
        </w:p>
        <w:p w14:paraId="1F754B27" w14:textId="415541AA" w:rsidR="00A868B1" w:rsidRPr="00263B58" w:rsidRDefault="00A868B1" w:rsidP="00F90A6D">
          <w:pPr>
            <w:pStyle w:val="TDC2"/>
            <w:rPr>
              <w:rFonts w:asciiTheme="minorHAnsi" w:eastAsiaTheme="minorEastAsia" w:hAnsiTheme="minorHAnsi" w:cstheme="minorBidi"/>
              <w:noProof/>
              <w:color w:val="auto"/>
            </w:rPr>
          </w:pPr>
          <w:hyperlink w:anchor="_Toc206067761" w:history="1">
            <w:r w:rsidRPr="00263B58">
              <w:rPr>
                <w:rStyle w:val="Hipervnculo"/>
                <w:noProof/>
              </w:rPr>
              <w:t>PRIMERO. Competencia</w:t>
            </w:r>
            <w:r w:rsidRPr="00263B58">
              <w:rPr>
                <w:noProof/>
                <w:webHidden/>
              </w:rPr>
              <w:tab/>
            </w:r>
            <w:r w:rsidRPr="00263B58">
              <w:rPr>
                <w:noProof/>
                <w:webHidden/>
              </w:rPr>
              <w:fldChar w:fldCharType="begin"/>
            </w:r>
            <w:r w:rsidRPr="00263B58">
              <w:rPr>
                <w:noProof/>
                <w:webHidden/>
              </w:rPr>
              <w:instrText xml:space="preserve"> PAGEREF _Toc206067761 \h </w:instrText>
            </w:r>
            <w:r w:rsidRPr="00263B58">
              <w:rPr>
                <w:noProof/>
                <w:webHidden/>
              </w:rPr>
            </w:r>
            <w:r w:rsidRPr="00263B58">
              <w:rPr>
                <w:noProof/>
                <w:webHidden/>
              </w:rPr>
              <w:fldChar w:fldCharType="separate"/>
            </w:r>
            <w:r w:rsidR="002925EC">
              <w:rPr>
                <w:noProof/>
                <w:webHidden/>
              </w:rPr>
              <w:t>6</w:t>
            </w:r>
            <w:r w:rsidRPr="00263B58">
              <w:rPr>
                <w:noProof/>
                <w:webHidden/>
              </w:rPr>
              <w:fldChar w:fldCharType="end"/>
            </w:r>
          </w:hyperlink>
        </w:p>
        <w:p w14:paraId="71D0D488" w14:textId="657FA18B" w:rsidR="00A868B1" w:rsidRPr="00263B58" w:rsidRDefault="00A868B1" w:rsidP="00F90A6D">
          <w:pPr>
            <w:pStyle w:val="TDC2"/>
            <w:rPr>
              <w:rFonts w:asciiTheme="minorHAnsi" w:eastAsiaTheme="minorEastAsia" w:hAnsiTheme="minorHAnsi" w:cstheme="minorBidi"/>
              <w:noProof/>
              <w:color w:val="auto"/>
            </w:rPr>
          </w:pPr>
          <w:hyperlink w:anchor="_Toc206067762" w:history="1">
            <w:r w:rsidRPr="00263B58">
              <w:rPr>
                <w:rStyle w:val="Hipervnculo"/>
                <w:noProof/>
              </w:rPr>
              <w:t>SEGUNDO. Causales de improcedencia y sobreseimiento</w:t>
            </w:r>
            <w:r w:rsidRPr="00263B58">
              <w:rPr>
                <w:noProof/>
                <w:webHidden/>
              </w:rPr>
              <w:tab/>
            </w:r>
            <w:r w:rsidRPr="00263B58">
              <w:rPr>
                <w:noProof/>
                <w:webHidden/>
              </w:rPr>
              <w:fldChar w:fldCharType="begin"/>
            </w:r>
            <w:r w:rsidRPr="00263B58">
              <w:rPr>
                <w:noProof/>
                <w:webHidden/>
              </w:rPr>
              <w:instrText xml:space="preserve"> PAGEREF _Toc206067762 \h </w:instrText>
            </w:r>
            <w:r w:rsidRPr="00263B58">
              <w:rPr>
                <w:noProof/>
                <w:webHidden/>
              </w:rPr>
            </w:r>
            <w:r w:rsidRPr="00263B58">
              <w:rPr>
                <w:noProof/>
                <w:webHidden/>
              </w:rPr>
              <w:fldChar w:fldCharType="separate"/>
            </w:r>
            <w:r w:rsidR="002925EC">
              <w:rPr>
                <w:noProof/>
                <w:webHidden/>
              </w:rPr>
              <w:t>6</w:t>
            </w:r>
            <w:r w:rsidRPr="00263B58">
              <w:rPr>
                <w:noProof/>
                <w:webHidden/>
              </w:rPr>
              <w:fldChar w:fldCharType="end"/>
            </w:r>
          </w:hyperlink>
        </w:p>
        <w:p w14:paraId="73765C8A" w14:textId="03B1AC16" w:rsidR="00A868B1" w:rsidRPr="00263B58" w:rsidRDefault="00A868B1" w:rsidP="00F90A6D">
          <w:pPr>
            <w:pStyle w:val="TDC2"/>
            <w:rPr>
              <w:rFonts w:asciiTheme="minorHAnsi" w:eastAsiaTheme="minorEastAsia" w:hAnsiTheme="minorHAnsi" w:cstheme="minorBidi"/>
              <w:noProof/>
              <w:color w:val="auto"/>
            </w:rPr>
          </w:pPr>
          <w:hyperlink w:anchor="_Toc206067763" w:history="1">
            <w:r w:rsidRPr="00263B58">
              <w:rPr>
                <w:rStyle w:val="Hipervnculo"/>
                <w:noProof/>
              </w:rPr>
              <w:t>TERCERO. Determinación de la Controversia.</w:t>
            </w:r>
            <w:r w:rsidRPr="00263B58">
              <w:rPr>
                <w:noProof/>
                <w:webHidden/>
              </w:rPr>
              <w:tab/>
            </w:r>
            <w:r w:rsidRPr="00263B58">
              <w:rPr>
                <w:noProof/>
                <w:webHidden/>
              </w:rPr>
              <w:fldChar w:fldCharType="begin"/>
            </w:r>
            <w:r w:rsidRPr="00263B58">
              <w:rPr>
                <w:noProof/>
                <w:webHidden/>
              </w:rPr>
              <w:instrText xml:space="preserve"> PAGEREF _Toc206067763 \h </w:instrText>
            </w:r>
            <w:r w:rsidRPr="00263B58">
              <w:rPr>
                <w:noProof/>
                <w:webHidden/>
              </w:rPr>
            </w:r>
            <w:r w:rsidRPr="00263B58">
              <w:rPr>
                <w:noProof/>
                <w:webHidden/>
              </w:rPr>
              <w:fldChar w:fldCharType="separate"/>
            </w:r>
            <w:r w:rsidR="002925EC">
              <w:rPr>
                <w:noProof/>
                <w:webHidden/>
              </w:rPr>
              <w:t>8</w:t>
            </w:r>
            <w:r w:rsidRPr="00263B58">
              <w:rPr>
                <w:noProof/>
                <w:webHidden/>
              </w:rPr>
              <w:fldChar w:fldCharType="end"/>
            </w:r>
          </w:hyperlink>
        </w:p>
        <w:p w14:paraId="1EC91325" w14:textId="35BA8279" w:rsidR="00A868B1" w:rsidRPr="00263B58" w:rsidRDefault="00A868B1" w:rsidP="00F90A6D">
          <w:pPr>
            <w:pStyle w:val="TDC2"/>
            <w:rPr>
              <w:rFonts w:asciiTheme="minorHAnsi" w:eastAsiaTheme="minorEastAsia" w:hAnsiTheme="minorHAnsi" w:cstheme="minorBidi"/>
              <w:noProof/>
              <w:color w:val="auto"/>
            </w:rPr>
          </w:pPr>
          <w:hyperlink w:anchor="_Toc206067764" w:history="1">
            <w:r w:rsidRPr="00263B58">
              <w:rPr>
                <w:rStyle w:val="Hipervnculo"/>
                <w:noProof/>
              </w:rPr>
              <w:t>CUARTO. Marco normativo aplicable en materia de transparencia y acceso a la información pública</w:t>
            </w:r>
            <w:r w:rsidRPr="00263B58">
              <w:rPr>
                <w:noProof/>
                <w:webHidden/>
              </w:rPr>
              <w:tab/>
            </w:r>
            <w:r w:rsidRPr="00263B58">
              <w:rPr>
                <w:noProof/>
                <w:webHidden/>
              </w:rPr>
              <w:fldChar w:fldCharType="begin"/>
            </w:r>
            <w:r w:rsidRPr="00263B58">
              <w:rPr>
                <w:noProof/>
                <w:webHidden/>
              </w:rPr>
              <w:instrText xml:space="preserve"> PAGEREF _Toc206067764 \h </w:instrText>
            </w:r>
            <w:r w:rsidRPr="00263B58">
              <w:rPr>
                <w:noProof/>
                <w:webHidden/>
              </w:rPr>
            </w:r>
            <w:r w:rsidRPr="00263B58">
              <w:rPr>
                <w:noProof/>
                <w:webHidden/>
              </w:rPr>
              <w:fldChar w:fldCharType="separate"/>
            </w:r>
            <w:r w:rsidR="002925EC">
              <w:rPr>
                <w:noProof/>
                <w:webHidden/>
              </w:rPr>
              <w:t>9</w:t>
            </w:r>
            <w:r w:rsidRPr="00263B58">
              <w:rPr>
                <w:noProof/>
                <w:webHidden/>
              </w:rPr>
              <w:fldChar w:fldCharType="end"/>
            </w:r>
          </w:hyperlink>
        </w:p>
        <w:p w14:paraId="22F03368" w14:textId="6EED5B35" w:rsidR="00A868B1" w:rsidRPr="00263B58" w:rsidRDefault="00A868B1" w:rsidP="00F90A6D">
          <w:pPr>
            <w:pStyle w:val="TDC2"/>
            <w:rPr>
              <w:rFonts w:asciiTheme="minorHAnsi" w:eastAsiaTheme="minorEastAsia" w:hAnsiTheme="minorHAnsi" w:cstheme="minorBidi"/>
              <w:noProof/>
              <w:color w:val="auto"/>
            </w:rPr>
          </w:pPr>
          <w:hyperlink w:anchor="_Toc206067765" w:history="1">
            <w:r w:rsidRPr="00263B58">
              <w:rPr>
                <w:rStyle w:val="Hipervnculo"/>
                <w:caps/>
                <w:noProof/>
              </w:rPr>
              <w:t>Quinto.</w:t>
            </w:r>
            <w:r w:rsidRPr="00263B58">
              <w:rPr>
                <w:rStyle w:val="Hipervnculo"/>
                <w:noProof/>
              </w:rPr>
              <w:t xml:space="preserve"> Estudio de Fondo</w:t>
            </w:r>
            <w:r w:rsidRPr="00263B58">
              <w:rPr>
                <w:noProof/>
                <w:webHidden/>
              </w:rPr>
              <w:tab/>
            </w:r>
            <w:r w:rsidRPr="00263B58">
              <w:rPr>
                <w:noProof/>
                <w:webHidden/>
              </w:rPr>
              <w:fldChar w:fldCharType="begin"/>
            </w:r>
            <w:r w:rsidRPr="00263B58">
              <w:rPr>
                <w:noProof/>
                <w:webHidden/>
              </w:rPr>
              <w:instrText xml:space="preserve"> PAGEREF _Toc206067765 \h </w:instrText>
            </w:r>
            <w:r w:rsidRPr="00263B58">
              <w:rPr>
                <w:noProof/>
                <w:webHidden/>
              </w:rPr>
            </w:r>
            <w:r w:rsidRPr="00263B58">
              <w:rPr>
                <w:noProof/>
                <w:webHidden/>
              </w:rPr>
              <w:fldChar w:fldCharType="separate"/>
            </w:r>
            <w:r w:rsidR="002925EC">
              <w:rPr>
                <w:noProof/>
                <w:webHidden/>
              </w:rPr>
              <w:t>10</w:t>
            </w:r>
            <w:r w:rsidRPr="00263B58">
              <w:rPr>
                <w:noProof/>
                <w:webHidden/>
              </w:rPr>
              <w:fldChar w:fldCharType="end"/>
            </w:r>
          </w:hyperlink>
        </w:p>
        <w:p w14:paraId="73F0E2C3" w14:textId="4744D7AA" w:rsidR="00A868B1" w:rsidRPr="00263B58" w:rsidRDefault="00A868B1" w:rsidP="00F90A6D">
          <w:pPr>
            <w:pStyle w:val="TDC1"/>
            <w:tabs>
              <w:tab w:val="right" w:leader="dot" w:pos="9204"/>
            </w:tabs>
            <w:spacing w:after="0" w:line="360" w:lineRule="auto"/>
            <w:rPr>
              <w:rFonts w:asciiTheme="minorHAnsi" w:eastAsiaTheme="minorEastAsia" w:hAnsiTheme="minorHAnsi" w:cstheme="minorBidi"/>
              <w:noProof/>
              <w:color w:val="auto"/>
            </w:rPr>
          </w:pPr>
          <w:hyperlink w:anchor="_Toc206067766" w:history="1">
            <w:r w:rsidRPr="00263B58">
              <w:rPr>
                <w:rStyle w:val="Hipervnculo"/>
                <w:rFonts w:eastAsia="Calibri"/>
                <w:bCs/>
                <w:noProof/>
              </w:rPr>
              <w:t>R E S U E L V E</w:t>
            </w:r>
            <w:r w:rsidRPr="00263B58">
              <w:rPr>
                <w:noProof/>
                <w:webHidden/>
              </w:rPr>
              <w:tab/>
            </w:r>
            <w:r w:rsidRPr="00263B58">
              <w:rPr>
                <w:noProof/>
                <w:webHidden/>
              </w:rPr>
              <w:fldChar w:fldCharType="begin"/>
            </w:r>
            <w:r w:rsidRPr="00263B58">
              <w:rPr>
                <w:noProof/>
                <w:webHidden/>
              </w:rPr>
              <w:instrText xml:space="preserve"> PAGEREF _Toc206067766 \h </w:instrText>
            </w:r>
            <w:r w:rsidRPr="00263B58">
              <w:rPr>
                <w:noProof/>
                <w:webHidden/>
              </w:rPr>
            </w:r>
            <w:r w:rsidRPr="00263B58">
              <w:rPr>
                <w:noProof/>
                <w:webHidden/>
              </w:rPr>
              <w:fldChar w:fldCharType="separate"/>
            </w:r>
            <w:r w:rsidR="002925EC">
              <w:rPr>
                <w:noProof/>
                <w:webHidden/>
              </w:rPr>
              <w:t>15</w:t>
            </w:r>
            <w:r w:rsidRPr="00263B58">
              <w:rPr>
                <w:noProof/>
                <w:webHidden/>
              </w:rPr>
              <w:fldChar w:fldCharType="end"/>
            </w:r>
          </w:hyperlink>
        </w:p>
        <w:p w14:paraId="47B63EDE" w14:textId="2F770A52" w:rsidR="00A50615" w:rsidRPr="00263B58" w:rsidRDefault="00A50615" w:rsidP="00F90A6D">
          <w:pPr>
            <w:spacing w:after="0" w:line="360" w:lineRule="auto"/>
            <w:contextualSpacing/>
          </w:pPr>
          <w:r w:rsidRPr="00263B58">
            <w:rPr>
              <w:b/>
              <w:bCs/>
              <w:lang w:val="es-ES"/>
            </w:rPr>
            <w:fldChar w:fldCharType="end"/>
          </w:r>
        </w:p>
      </w:sdtContent>
    </w:sdt>
    <w:p w14:paraId="696D2B71" w14:textId="296A7369" w:rsidR="00CE58A5" w:rsidRPr="00263B58" w:rsidRDefault="00C73479" w:rsidP="00F90A6D">
      <w:pPr>
        <w:widowControl w:val="0"/>
        <w:pBdr>
          <w:top w:val="nil"/>
          <w:left w:val="nil"/>
          <w:bottom w:val="nil"/>
          <w:right w:val="nil"/>
          <w:between w:val="nil"/>
        </w:pBdr>
        <w:spacing w:after="0" w:line="360" w:lineRule="auto"/>
        <w:contextualSpacing/>
        <w:jc w:val="left"/>
      </w:pPr>
      <w:r w:rsidRPr="00263B58">
        <w:br w:type="column"/>
      </w:r>
    </w:p>
    <w:p w14:paraId="1C288FC1" w14:textId="1FA735DD" w:rsidR="00CE58A5" w:rsidRPr="00263B58" w:rsidRDefault="00CE4466" w:rsidP="00F90A6D">
      <w:pPr>
        <w:spacing w:after="0" w:line="360" w:lineRule="auto"/>
        <w:contextualSpacing/>
      </w:pPr>
      <w:r w:rsidRPr="00263B58">
        <w:t xml:space="preserve">Resolución del Pleno del Instituto de Transparencia, Acceso a la Información Pública y Protección de Datos Personales del Estado de México y Municipios, con domicilio en Metepec, Estado de México, de fecha </w:t>
      </w:r>
      <w:r w:rsidR="0074348A" w:rsidRPr="00263B58">
        <w:t>tres de septiembre</w:t>
      </w:r>
      <w:r w:rsidR="00C9121A" w:rsidRPr="00263B58">
        <w:t xml:space="preserve"> </w:t>
      </w:r>
      <w:r w:rsidR="00E87065" w:rsidRPr="00263B58">
        <w:t xml:space="preserve"> de dos mil veinticinco</w:t>
      </w:r>
      <w:r w:rsidRPr="00263B58">
        <w:t>.</w:t>
      </w:r>
    </w:p>
    <w:p w14:paraId="5B1FA2B3" w14:textId="77777777" w:rsidR="00CE58A5" w:rsidRPr="00263B58" w:rsidRDefault="00CE58A5" w:rsidP="00F90A6D">
      <w:pPr>
        <w:spacing w:after="0" w:line="360" w:lineRule="auto"/>
        <w:contextualSpacing/>
        <w:rPr>
          <w:b/>
        </w:rPr>
      </w:pPr>
    </w:p>
    <w:p w14:paraId="67B180B8" w14:textId="10C9ECEE" w:rsidR="00CE58A5" w:rsidRPr="00263B58" w:rsidRDefault="00CE4466" w:rsidP="00F90A6D">
      <w:pPr>
        <w:spacing w:after="0" w:line="360" w:lineRule="auto"/>
        <w:contextualSpacing/>
        <w:rPr>
          <w:bCs/>
        </w:rPr>
      </w:pPr>
      <w:r w:rsidRPr="00263B58">
        <w:rPr>
          <w:b/>
        </w:rPr>
        <w:t>VISTO</w:t>
      </w:r>
      <w:r w:rsidRPr="00263B58">
        <w:t xml:space="preserve"> el expediente conformado con motivo del Recurso de Revisión </w:t>
      </w:r>
      <w:r w:rsidR="00C72C60" w:rsidRPr="004C58ED">
        <w:rPr>
          <w:b/>
        </w:rPr>
        <w:t>09</w:t>
      </w:r>
      <w:r w:rsidR="0074348A" w:rsidRPr="004C58ED">
        <w:rPr>
          <w:b/>
        </w:rPr>
        <w:t>356</w:t>
      </w:r>
      <w:r w:rsidR="00B27A19" w:rsidRPr="004C58ED">
        <w:rPr>
          <w:b/>
        </w:rPr>
        <w:t>/INFOEM/IP/RR/2025</w:t>
      </w:r>
      <w:r w:rsidRPr="004C58ED">
        <w:rPr>
          <w:b/>
        </w:rPr>
        <w:t>,</w:t>
      </w:r>
      <w:r w:rsidRPr="00263B58">
        <w:rPr>
          <w:bCs/>
        </w:rPr>
        <w:t xml:space="preserve"> interpuesto </w:t>
      </w:r>
      <w:r w:rsidR="00C72C60" w:rsidRPr="00263B58">
        <w:rPr>
          <w:bCs/>
        </w:rPr>
        <w:t>por</w:t>
      </w:r>
      <w:r w:rsidR="00C9121A" w:rsidRPr="00263B58">
        <w:rPr>
          <w:bCs/>
        </w:rPr>
        <w:t xml:space="preserve"> </w:t>
      </w:r>
      <w:r w:rsidR="00494820" w:rsidRPr="00494820">
        <w:rPr>
          <w:b/>
          <w:highlight w:val="black"/>
        </w:rPr>
        <w:t>XXXXXXXXXXXXXXXXXXXX</w:t>
      </w:r>
      <w:r w:rsidR="00494820" w:rsidRPr="00494820">
        <w:rPr>
          <w:b/>
        </w:rPr>
        <w:t xml:space="preserve"> </w:t>
      </w:r>
      <w:r w:rsidRPr="00263B58">
        <w:rPr>
          <w:bCs/>
        </w:rPr>
        <w:t xml:space="preserve">en contra de la respuesta del Sujeto Obligado, </w:t>
      </w:r>
      <w:r w:rsidR="0074348A" w:rsidRPr="004C58ED">
        <w:rPr>
          <w:b/>
        </w:rPr>
        <w:t>Instituto de Transparencia, Acceso a la Información Pública y Protección de Datos Personales del Estado de México y Municipios</w:t>
      </w:r>
      <w:r w:rsidRPr="00263B58">
        <w:rPr>
          <w:bCs/>
        </w:rPr>
        <w:t xml:space="preserve">, a la solicitud de acceso a la información </w:t>
      </w:r>
      <w:r w:rsidR="00C72C60" w:rsidRPr="00263B58">
        <w:rPr>
          <w:bCs/>
          <w:color w:val="0D0D0D"/>
        </w:rPr>
        <w:t>00</w:t>
      </w:r>
      <w:r w:rsidR="0074348A" w:rsidRPr="00263B58">
        <w:rPr>
          <w:bCs/>
          <w:color w:val="0D0D0D"/>
        </w:rPr>
        <w:t>624</w:t>
      </w:r>
      <w:r w:rsidR="00476CD5" w:rsidRPr="00263B58">
        <w:rPr>
          <w:bCs/>
          <w:color w:val="0D0D0D"/>
        </w:rPr>
        <w:t>/</w:t>
      </w:r>
      <w:r w:rsidR="0074348A" w:rsidRPr="00263B58">
        <w:rPr>
          <w:bCs/>
          <w:color w:val="0D0D0D"/>
        </w:rPr>
        <w:t>INFOEM</w:t>
      </w:r>
      <w:r w:rsidR="00476CD5" w:rsidRPr="00263B58">
        <w:rPr>
          <w:bCs/>
          <w:color w:val="0D0D0D"/>
        </w:rPr>
        <w:t>/IP/2025</w:t>
      </w:r>
      <w:r w:rsidRPr="00263B58">
        <w:t>,</w:t>
      </w:r>
      <w:r w:rsidRPr="00263B58">
        <w:rPr>
          <w:bCs/>
        </w:rPr>
        <w:t xml:space="preserve"> se emite la presente</w:t>
      </w:r>
      <w:r w:rsidRPr="00263B58">
        <w:t xml:space="preserve"> Resolución, con base en los Antecedentes y Considerandos que se exponen a continuación:</w:t>
      </w:r>
    </w:p>
    <w:p w14:paraId="1FA40EED" w14:textId="77777777" w:rsidR="00CE58A5" w:rsidRPr="00263B58" w:rsidRDefault="00CE58A5" w:rsidP="00F90A6D">
      <w:pPr>
        <w:spacing w:after="0" w:line="360" w:lineRule="auto"/>
        <w:contextualSpacing/>
      </w:pPr>
    </w:p>
    <w:p w14:paraId="73DD6C24" w14:textId="6D4C9EA9" w:rsidR="00CE58A5" w:rsidRPr="00263B58" w:rsidRDefault="00CE4466" w:rsidP="00F90A6D">
      <w:pPr>
        <w:pStyle w:val="Ttulo1"/>
        <w:spacing w:before="0" w:after="0"/>
        <w:contextualSpacing/>
      </w:pPr>
      <w:bookmarkStart w:id="0" w:name="_Toc179975594"/>
      <w:bookmarkStart w:id="1" w:name="_Toc206067755"/>
      <w:r w:rsidRPr="00263B58">
        <w:t>A N T E C E D E N T E S</w:t>
      </w:r>
      <w:bookmarkEnd w:id="0"/>
      <w:bookmarkEnd w:id="1"/>
    </w:p>
    <w:p w14:paraId="108A9D50" w14:textId="77777777" w:rsidR="00CE58A5" w:rsidRPr="00263B58" w:rsidRDefault="00CE58A5" w:rsidP="00F90A6D">
      <w:pPr>
        <w:spacing w:after="0" w:line="360" w:lineRule="auto"/>
        <w:contextualSpacing/>
      </w:pPr>
    </w:p>
    <w:p w14:paraId="30C1BFAF" w14:textId="34BE2403" w:rsidR="00CE58A5" w:rsidRPr="00263B58" w:rsidRDefault="00CE4466" w:rsidP="00F90A6D">
      <w:pPr>
        <w:pStyle w:val="Ttulo2"/>
        <w:spacing w:before="0" w:after="0"/>
        <w:contextualSpacing/>
      </w:pPr>
      <w:bookmarkStart w:id="2" w:name="_Toc179975595"/>
      <w:bookmarkStart w:id="3" w:name="_Toc206067756"/>
      <w:r w:rsidRPr="00263B58">
        <w:t>I. Presentación</w:t>
      </w:r>
      <w:bookmarkEnd w:id="2"/>
      <w:r w:rsidRPr="00263B58">
        <w:t xml:space="preserve"> </w:t>
      </w:r>
      <w:r w:rsidR="00E57161" w:rsidRPr="00263B58">
        <w:t>de la solicitud</w:t>
      </w:r>
      <w:bookmarkEnd w:id="3"/>
    </w:p>
    <w:p w14:paraId="13E36A34" w14:textId="77777777" w:rsidR="00CE58A5" w:rsidRPr="00263B58" w:rsidRDefault="00CE58A5" w:rsidP="00F90A6D">
      <w:pPr>
        <w:tabs>
          <w:tab w:val="left" w:pos="567"/>
        </w:tabs>
        <w:spacing w:after="0" w:line="360" w:lineRule="auto"/>
        <w:contextualSpacing/>
      </w:pPr>
    </w:p>
    <w:p w14:paraId="166E0743" w14:textId="618BC629" w:rsidR="00CE58A5" w:rsidRPr="00263B58" w:rsidRDefault="00CE4466" w:rsidP="00F90A6D">
      <w:pPr>
        <w:spacing w:after="0" w:line="360" w:lineRule="auto"/>
        <w:contextualSpacing/>
      </w:pPr>
      <w:r w:rsidRPr="00263B58">
        <w:t xml:space="preserve">Con fecha </w:t>
      </w:r>
      <w:r w:rsidR="0074348A" w:rsidRPr="00263B58">
        <w:t>diez</w:t>
      </w:r>
      <w:r w:rsidR="00C72C60" w:rsidRPr="00263B58">
        <w:t xml:space="preserve"> de julio de dos mil veinticinco</w:t>
      </w:r>
      <w:r w:rsidR="00476CD5" w:rsidRPr="00263B58">
        <w:t>,</w:t>
      </w:r>
      <w:r w:rsidRPr="00263B58">
        <w:t xml:space="preserve"> el Particular presentó una solicitud de acceso a la información pública</w:t>
      </w:r>
      <w:r w:rsidR="001A54EF" w:rsidRPr="00263B58">
        <w:t xml:space="preserve"> </w:t>
      </w:r>
      <w:r w:rsidRPr="00263B58">
        <w:t xml:space="preserve"> a través del Sistema de Acceso a la Información Mexiquense (SAIMEX), ante el </w:t>
      </w:r>
      <w:r w:rsidR="00B40CD5" w:rsidRPr="00263B58">
        <w:t>Sujeto Obligado</w:t>
      </w:r>
      <w:r w:rsidRPr="00263B58">
        <w:t xml:space="preserve">, en los siguientes términos: </w:t>
      </w:r>
    </w:p>
    <w:p w14:paraId="16195BED" w14:textId="77777777" w:rsidR="00CE58A5" w:rsidRPr="00263B58" w:rsidRDefault="00CE58A5" w:rsidP="00F90A6D">
      <w:pPr>
        <w:spacing w:after="0" w:line="360" w:lineRule="auto"/>
        <w:contextualSpacing/>
      </w:pPr>
    </w:p>
    <w:p w14:paraId="65E84A9E" w14:textId="77777777" w:rsidR="00CE58A5" w:rsidRPr="00263B58" w:rsidRDefault="00CE4466" w:rsidP="00F90A6D">
      <w:pPr>
        <w:tabs>
          <w:tab w:val="left" w:pos="4667"/>
        </w:tabs>
        <w:spacing w:after="0" w:line="360" w:lineRule="auto"/>
        <w:ind w:left="567" w:right="567"/>
        <w:contextualSpacing/>
        <w:rPr>
          <w:b/>
          <w:i/>
          <w:sz w:val="20"/>
          <w:szCs w:val="20"/>
        </w:rPr>
      </w:pPr>
      <w:r w:rsidRPr="00263B58">
        <w:rPr>
          <w:b/>
          <w:i/>
          <w:sz w:val="20"/>
          <w:szCs w:val="20"/>
        </w:rPr>
        <w:t>“DESCRIPCIÓN CLARA Y PRECISA DE LA INFORMACIÓN SOLICITADA.</w:t>
      </w:r>
    </w:p>
    <w:p w14:paraId="1B838018" w14:textId="2FD19941" w:rsidR="00CE58A5" w:rsidRPr="00263B58" w:rsidRDefault="0074348A" w:rsidP="00F90A6D">
      <w:pPr>
        <w:tabs>
          <w:tab w:val="left" w:pos="4667"/>
        </w:tabs>
        <w:spacing w:after="0" w:line="360" w:lineRule="auto"/>
        <w:ind w:left="567" w:right="567"/>
        <w:contextualSpacing/>
        <w:rPr>
          <w:i/>
          <w:sz w:val="20"/>
          <w:szCs w:val="20"/>
        </w:rPr>
      </w:pPr>
      <w:r w:rsidRPr="00263B58">
        <w:rPr>
          <w:i/>
          <w:sz w:val="20"/>
          <w:szCs w:val="20"/>
        </w:rPr>
        <w:t>REQUIERO EL DECRETO DE REFORMA A LA CONSTITUCIÓN POLÍTICA DEL ESTADO LIBRE Y SOBERANO DE MÉXICO, EN MATERIA DE TRANSPARENCIA, ACCESO A LA INFORMACIÓN PÚBLICA Y PROTECCIÓN DE DATOS PERSONALES, YA QUE NO ESTÁ PUBLICADA EN GACETA DEL GOBIERNO DEL ESTADO DE MÉXICO</w:t>
      </w:r>
      <w:r w:rsidR="00B40CD5" w:rsidRPr="00263B58">
        <w:rPr>
          <w:i/>
          <w:sz w:val="20"/>
          <w:szCs w:val="20"/>
        </w:rPr>
        <w:t>.</w:t>
      </w:r>
      <w:r w:rsidR="001A54EF" w:rsidRPr="00263B58">
        <w:rPr>
          <w:i/>
          <w:sz w:val="20"/>
          <w:szCs w:val="20"/>
        </w:rPr>
        <w:t xml:space="preserve">” </w:t>
      </w:r>
    </w:p>
    <w:p w14:paraId="039CE69D" w14:textId="77777777" w:rsidR="001A54EF" w:rsidRPr="00263B58" w:rsidRDefault="001A54EF" w:rsidP="00F90A6D">
      <w:pPr>
        <w:tabs>
          <w:tab w:val="left" w:pos="4667"/>
        </w:tabs>
        <w:spacing w:after="0" w:line="360" w:lineRule="auto"/>
        <w:ind w:left="567" w:right="567"/>
        <w:contextualSpacing/>
        <w:rPr>
          <w:b/>
          <w:i/>
          <w:sz w:val="20"/>
          <w:szCs w:val="20"/>
        </w:rPr>
      </w:pPr>
    </w:p>
    <w:p w14:paraId="0C1B5F6D" w14:textId="77777777" w:rsidR="00CE58A5" w:rsidRPr="00263B58" w:rsidRDefault="00CE4466" w:rsidP="00F90A6D">
      <w:pPr>
        <w:tabs>
          <w:tab w:val="left" w:pos="4667"/>
        </w:tabs>
        <w:spacing w:after="0" w:line="360" w:lineRule="auto"/>
        <w:ind w:left="567" w:right="567"/>
        <w:contextualSpacing/>
        <w:rPr>
          <w:b/>
          <w:i/>
          <w:sz w:val="20"/>
          <w:szCs w:val="20"/>
        </w:rPr>
      </w:pPr>
      <w:r w:rsidRPr="00263B58">
        <w:rPr>
          <w:b/>
          <w:i/>
          <w:sz w:val="20"/>
          <w:szCs w:val="20"/>
        </w:rPr>
        <w:lastRenderedPageBreak/>
        <w:t>“MODALIDAD DE ENTREGA</w:t>
      </w:r>
    </w:p>
    <w:p w14:paraId="11287FA3" w14:textId="77777777" w:rsidR="00CE58A5" w:rsidRPr="00263B58" w:rsidRDefault="00CE4466" w:rsidP="00F90A6D">
      <w:pPr>
        <w:spacing w:after="0" w:line="360" w:lineRule="auto"/>
        <w:ind w:left="567" w:right="567"/>
        <w:contextualSpacing/>
        <w:rPr>
          <w:i/>
          <w:sz w:val="20"/>
          <w:szCs w:val="20"/>
        </w:rPr>
      </w:pPr>
      <w:r w:rsidRPr="00263B58">
        <w:rPr>
          <w:i/>
          <w:sz w:val="20"/>
          <w:szCs w:val="20"/>
        </w:rPr>
        <w:t>A través del SAIMEX”</w:t>
      </w:r>
    </w:p>
    <w:p w14:paraId="0CB055ED" w14:textId="77777777" w:rsidR="00C72C60" w:rsidRPr="00263B58" w:rsidRDefault="00C72C60" w:rsidP="00F90A6D">
      <w:pPr>
        <w:spacing w:after="0" w:line="360" w:lineRule="auto"/>
        <w:contextualSpacing/>
        <w:rPr>
          <w:b/>
        </w:rPr>
      </w:pPr>
    </w:p>
    <w:p w14:paraId="1D98E4F2" w14:textId="7C3EC496" w:rsidR="00CE58A5" w:rsidRPr="00263B58" w:rsidRDefault="00B40CD5" w:rsidP="00F90A6D">
      <w:pPr>
        <w:pStyle w:val="Ttulo2"/>
        <w:spacing w:before="0" w:after="0"/>
        <w:contextualSpacing/>
      </w:pPr>
      <w:bookmarkStart w:id="4" w:name="_Toc179975597"/>
      <w:bookmarkStart w:id="5" w:name="_Toc206067757"/>
      <w:r w:rsidRPr="00263B58">
        <w:t>I</w:t>
      </w:r>
      <w:r w:rsidR="001A54EF" w:rsidRPr="00263B58">
        <w:t>I. Respuesta del Sujeto Obligado</w:t>
      </w:r>
      <w:bookmarkEnd w:id="4"/>
      <w:bookmarkEnd w:id="5"/>
    </w:p>
    <w:p w14:paraId="0D93CE51" w14:textId="77777777" w:rsidR="00CE58A5" w:rsidRPr="00263B58" w:rsidRDefault="00CE58A5" w:rsidP="00F90A6D">
      <w:pPr>
        <w:spacing w:after="0" w:line="360" w:lineRule="auto"/>
        <w:contextualSpacing/>
        <w:rPr>
          <w:b/>
        </w:rPr>
      </w:pPr>
    </w:p>
    <w:p w14:paraId="3AD074F9" w14:textId="16E523CE" w:rsidR="007168F2" w:rsidRPr="00263B58" w:rsidRDefault="00CE4466" w:rsidP="00F90A6D">
      <w:pPr>
        <w:spacing w:after="0" w:line="360" w:lineRule="auto"/>
        <w:contextualSpacing/>
      </w:pPr>
      <w:r w:rsidRPr="00263B58">
        <w:t xml:space="preserve">Con fecha </w:t>
      </w:r>
      <w:r w:rsidR="0074348A" w:rsidRPr="00263B58">
        <w:t>cinco de agosto</w:t>
      </w:r>
      <w:r w:rsidR="0047501B" w:rsidRPr="00263B58">
        <w:t xml:space="preserve"> de dos mil veinticinco</w:t>
      </w:r>
      <w:r w:rsidRPr="00263B58">
        <w:t xml:space="preserve">, </w:t>
      </w:r>
      <w:r w:rsidR="00476CD5" w:rsidRPr="00263B58">
        <w:t>el Sujeto Obligado notificó, a través del Sistema de Acceso a la Información Mexiquense (SAIMEX), la respuesta a la solicitud de acceso a la información pública, a través de los documentos siguientes:</w:t>
      </w:r>
    </w:p>
    <w:p w14:paraId="249F0C36" w14:textId="77777777" w:rsidR="00476CD5" w:rsidRPr="00263B58" w:rsidRDefault="00476CD5" w:rsidP="00F90A6D">
      <w:pPr>
        <w:spacing w:after="0" w:line="360" w:lineRule="auto"/>
        <w:contextualSpacing/>
      </w:pPr>
    </w:p>
    <w:p w14:paraId="3F7567DF" w14:textId="46893E84" w:rsidR="00476CD5" w:rsidRPr="00263B58" w:rsidRDefault="00476CD5" w:rsidP="00F90A6D">
      <w:pPr>
        <w:pStyle w:val="Prrafodelista"/>
        <w:numPr>
          <w:ilvl w:val="0"/>
          <w:numId w:val="30"/>
        </w:numPr>
        <w:spacing w:line="360" w:lineRule="auto"/>
      </w:pPr>
      <w:r w:rsidRPr="00263B58">
        <w:t xml:space="preserve">Oficio número </w:t>
      </w:r>
      <w:r w:rsidR="0074348A" w:rsidRPr="00263B58">
        <w:t>INFOEM/UT/447/2025</w:t>
      </w:r>
      <w:r w:rsidRPr="00263B58">
        <w:t>, de fecha</w:t>
      </w:r>
      <w:r w:rsidR="0074348A" w:rsidRPr="00263B58">
        <w:t xml:space="preserve"> cuatro de agosto de dos mil veinticinco, signado por la Titular de la Unidad de Transparencia, mediante el cual informa que, se remite la información proporcionada por la Dirección General Jurídica y de Verificación. </w:t>
      </w:r>
    </w:p>
    <w:p w14:paraId="4353F55A" w14:textId="12FC836E" w:rsidR="0074348A" w:rsidRPr="00263B58" w:rsidRDefault="0074348A" w:rsidP="00F90A6D">
      <w:pPr>
        <w:pStyle w:val="Prrafodelista"/>
        <w:numPr>
          <w:ilvl w:val="0"/>
          <w:numId w:val="30"/>
        </w:numPr>
        <w:spacing w:line="360" w:lineRule="auto"/>
      </w:pPr>
      <w:r w:rsidRPr="00263B58">
        <w:t>Oficio número MM/INFOEM/DGJV/0096/2025 de fecha diecisiete de julio de dos mil veinticinco, signado por el Director General Jurídico y de Verificación, mediante el cual informa que, se realizó una búsqueda exhaustiva y razonable de la información solicitada en los archivos de esta Unidad Administrativa, de la que se desprende que no se cuenta con el Decreto solicitado por el peticionario, pues como lo refiere él mismo, el Decreto de su interés aún no ha sido publicado en el Periódico Oficial "Gaceta del Gobierno" del Estado de México.</w:t>
      </w:r>
    </w:p>
    <w:p w14:paraId="3355C6B8" w14:textId="77777777" w:rsidR="00B40CD5" w:rsidRPr="00263B58" w:rsidRDefault="00B40CD5" w:rsidP="00F90A6D">
      <w:pPr>
        <w:spacing w:after="0" w:line="360" w:lineRule="auto"/>
        <w:contextualSpacing/>
      </w:pPr>
    </w:p>
    <w:p w14:paraId="2FA06B09" w14:textId="55CC6DEE" w:rsidR="00CE58A5" w:rsidRPr="00263B58" w:rsidRDefault="00CE4466" w:rsidP="00F90A6D">
      <w:pPr>
        <w:pStyle w:val="Ttulo2"/>
        <w:spacing w:before="0" w:after="0"/>
        <w:contextualSpacing/>
      </w:pPr>
      <w:bookmarkStart w:id="6" w:name="_Toc179975598"/>
      <w:bookmarkStart w:id="7" w:name="_Toc206067758"/>
      <w:r w:rsidRPr="00263B58">
        <w:t>I</w:t>
      </w:r>
      <w:r w:rsidR="00BA7CA9" w:rsidRPr="00263B58">
        <w:t>II</w:t>
      </w:r>
      <w:r w:rsidRPr="00263B58">
        <w:t>. Interposición del Recurso de Revisión</w:t>
      </w:r>
      <w:bookmarkEnd w:id="6"/>
      <w:bookmarkEnd w:id="7"/>
    </w:p>
    <w:p w14:paraId="3837109C" w14:textId="77777777" w:rsidR="00CE58A5" w:rsidRPr="00263B58" w:rsidRDefault="00CE58A5" w:rsidP="00F90A6D">
      <w:pPr>
        <w:spacing w:after="0" w:line="360" w:lineRule="auto"/>
        <w:contextualSpacing/>
        <w:rPr>
          <w:b/>
        </w:rPr>
      </w:pPr>
    </w:p>
    <w:p w14:paraId="3385106E" w14:textId="164810D0" w:rsidR="00CE58A5" w:rsidRPr="00263B58" w:rsidRDefault="00CE4466" w:rsidP="00F90A6D">
      <w:pPr>
        <w:spacing w:after="0" w:line="360" w:lineRule="auto"/>
        <w:contextualSpacing/>
      </w:pPr>
      <w:r w:rsidRPr="00263B58">
        <w:t>Con fecha</w:t>
      </w:r>
      <w:r w:rsidR="00DD7C00" w:rsidRPr="00263B58">
        <w:t xml:space="preserve"> </w:t>
      </w:r>
      <w:r w:rsidR="0003344C" w:rsidRPr="00263B58">
        <w:t>ocho</w:t>
      </w:r>
      <w:r w:rsidR="00C72C60" w:rsidRPr="00263B58">
        <w:t xml:space="preserve"> de agosto</w:t>
      </w:r>
      <w:r w:rsidR="004F38AE" w:rsidRPr="00263B58">
        <w:t xml:space="preserve"> de dos mil veinticinco</w:t>
      </w:r>
      <w:r w:rsidRPr="00263B58">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263B58" w:rsidRDefault="00CE58A5" w:rsidP="00F90A6D">
      <w:pPr>
        <w:spacing w:after="0" w:line="360" w:lineRule="auto"/>
        <w:contextualSpacing/>
      </w:pPr>
    </w:p>
    <w:p w14:paraId="70843217" w14:textId="77777777" w:rsidR="00CE58A5" w:rsidRPr="00263B58" w:rsidRDefault="00CE4466" w:rsidP="00F90A6D">
      <w:pPr>
        <w:spacing w:after="0" w:line="360" w:lineRule="auto"/>
        <w:ind w:left="567" w:right="567"/>
        <w:contextualSpacing/>
        <w:rPr>
          <w:i/>
          <w:sz w:val="20"/>
          <w:szCs w:val="20"/>
        </w:rPr>
      </w:pPr>
      <w:r w:rsidRPr="00263B58">
        <w:rPr>
          <w:b/>
          <w:i/>
          <w:sz w:val="20"/>
          <w:szCs w:val="20"/>
        </w:rPr>
        <w:t>“ACTO IMPUGNADO”</w:t>
      </w:r>
    </w:p>
    <w:p w14:paraId="1A82882E" w14:textId="070ACF6C" w:rsidR="00CE58A5" w:rsidRPr="00263B58" w:rsidRDefault="0003344C" w:rsidP="00F90A6D">
      <w:pPr>
        <w:spacing w:after="0" w:line="360" w:lineRule="auto"/>
        <w:ind w:left="567" w:right="567"/>
        <w:contextualSpacing/>
        <w:rPr>
          <w:i/>
          <w:sz w:val="20"/>
          <w:szCs w:val="20"/>
        </w:rPr>
      </w:pPr>
      <w:r w:rsidRPr="00263B58">
        <w:rPr>
          <w:i/>
          <w:color w:val="000000"/>
          <w:sz w:val="20"/>
          <w:szCs w:val="20"/>
        </w:rPr>
        <w:t>La respuesta otorgada</w:t>
      </w:r>
      <w:r w:rsidR="00C72C60" w:rsidRPr="00263B58">
        <w:rPr>
          <w:i/>
          <w:color w:val="000000"/>
          <w:sz w:val="20"/>
          <w:szCs w:val="20"/>
        </w:rPr>
        <w:t xml:space="preserve">”.  </w:t>
      </w:r>
    </w:p>
    <w:p w14:paraId="1CAF0EE0" w14:textId="77777777" w:rsidR="00CE58A5" w:rsidRPr="00263B58" w:rsidRDefault="00CE58A5" w:rsidP="00F90A6D">
      <w:pPr>
        <w:spacing w:after="0" w:line="360" w:lineRule="auto"/>
        <w:ind w:left="567" w:right="567"/>
        <w:contextualSpacing/>
        <w:rPr>
          <w:i/>
          <w:sz w:val="20"/>
          <w:szCs w:val="20"/>
        </w:rPr>
      </w:pPr>
    </w:p>
    <w:p w14:paraId="02DA69C4" w14:textId="77777777" w:rsidR="00CE58A5" w:rsidRPr="00263B58" w:rsidRDefault="00CE4466" w:rsidP="00F90A6D">
      <w:pPr>
        <w:spacing w:after="0" w:line="360" w:lineRule="auto"/>
        <w:ind w:left="567" w:right="567"/>
        <w:contextualSpacing/>
        <w:rPr>
          <w:b/>
          <w:i/>
          <w:sz w:val="20"/>
          <w:szCs w:val="20"/>
        </w:rPr>
      </w:pPr>
      <w:r w:rsidRPr="00263B58">
        <w:rPr>
          <w:b/>
          <w:i/>
          <w:sz w:val="20"/>
          <w:szCs w:val="20"/>
        </w:rPr>
        <w:t>“RAZONES O MOTIVOS DE LA INCONFORMIDAD”</w:t>
      </w:r>
    </w:p>
    <w:p w14:paraId="7623DA51" w14:textId="226606F8" w:rsidR="00C72C60" w:rsidRPr="00263B58" w:rsidRDefault="0003344C" w:rsidP="00F90A6D">
      <w:pPr>
        <w:spacing w:after="0" w:line="360" w:lineRule="auto"/>
        <w:ind w:left="567" w:right="567"/>
        <w:contextualSpacing/>
        <w:rPr>
          <w:i/>
          <w:sz w:val="20"/>
          <w:szCs w:val="20"/>
        </w:rPr>
      </w:pPr>
      <w:r w:rsidRPr="00263B58">
        <w:rPr>
          <w:i/>
          <w:color w:val="000000"/>
          <w:sz w:val="20"/>
          <w:szCs w:val="20"/>
        </w:rPr>
        <w:t>No me proporcionaron lo solicitado, aunado a ello, se debió notificarme dentro de los 3 días, la incompetencia total, derivado de que la Consejería Jurídica es la encargada de publicar en el Periódico Oficial, Gaceta del Gobierno del Estado de México.</w:t>
      </w:r>
      <w:r w:rsidR="00674D7A" w:rsidRPr="00263B58">
        <w:rPr>
          <w:i/>
          <w:color w:val="000000"/>
          <w:sz w:val="20"/>
          <w:szCs w:val="20"/>
        </w:rPr>
        <w:t>.</w:t>
      </w:r>
      <w:r w:rsidR="00C72C60" w:rsidRPr="00263B58">
        <w:rPr>
          <w:i/>
          <w:sz w:val="20"/>
          <w:szCs w:val="20"/>
        </w:rPr>
        <w:t xml:space="preserve">” </w:t>
      </w:r>
    </w:p>
    <w:p w14:paraId="0BBB2449" w14:textId="587B4D16" w:rsidR="00CE58A5" w:rsidRPr="00263B58" w:rsidRDefault="00C72C60" w:rsidP="00F90A6D">
      <w:pPr>
        <w:spacing w:after="0" w:line="360" w:lineRule="auto"/>
        <w:ind w:left="567" w:right="567"/>
        <w:contextualSpacing/>
      </w:pPr>
      <w:r w:rsidRPr="00263B58">
        <w:t xml:space="preserve"> </w:t>
      </w:r>
    </w:p>
    <w:p w14:paraId="256BC137" w14:textId="764B430C" w:rsidR="00CE58A5" w:rsidRPr="00263B58" w:rsidRDefault="00674D7A" w:rsidP="00F90A6D">
      <w:pPr>
        <w:pStyle w:val="Ttulo2"/>
        <w:spacing w:before="0" w:after="0"/>
        <w:contextualSpacing/>
      </w:pPr>
      <w:bookmarkStart w:id="8" w:name="_Toc179975599"/>
      <w:bookmarkStart w:id="9" w:name="_Toc206067759"/>
      <w:r w:rsidRPr="00263B58">
        <w:t>I</w:t>
      </w:r>
      <w:r w:rsidR="00CE4466" w:rsidRPr="00263B58">
        <w:t>V. Trámite del Recurso de Revisión ante este Instituto</w:t>
      </w:r>
      <w:bookmarkEnd w:id="8"/>
      <w:bookmarkEnd w:id="9"/>
    </w:p>
    <w:p w14:paraId="08451C4E" w14:textId="77777777" w:rsidR="001A54EF" w:rsidRPr="00263B58" w:rsidRDefault="001A54EF" w:rsidP="00F90A6D">
      <w:pPr>
        <w:spacing w:after="0" w:line="360" w:lineRule="auto"/>
        <w:contextualSpacing/>
        <w:rPr>
          <w:b/>
        </w:rPr>
      </w:pPr>
    </w:p>
    <w:p w14:paraId="31E01367" w14:textId="3829DB5C" w:rsidR="00CE58A5" w:rsidRPr="00263B58" w:rsidRDefault="00CE4466" w:rsidP="00F90A6D">
      <w:pPr>
        <w:spacing w:after="0" w:line="360" w:lineRule="auto"/>
        <w:contextualSpacing/>
        <w:rPr>
          <w:b/>
        </w:rPr>
      </w:pPr>
      <w:r w:rsidRPr="00263B58">
        <w:rPr>
          <w:b/>
        </w:rPr>
        <w:t>a) Turno del Medio de Impugnación.</w:t>
      </w:r>
      <w:r w:rsidRPr="00263B58">
        <w:t xml:space="preserve"> El </w:t>
      </w:r>
      <w:r w:rsidR="00F90A6D" w:rsidRPr="00263B58">
        <w:t>ocho</w:t>
      </w:r>
      <w:r w:rsidR="00C72C60" w:rsidRPr="00263B58">
        <w:t xml:space="preserve"> de agosto</w:t>
      </w:r>
      <w:r w:rsidR="004F38AE" w:rsidRPr="00263B58">
        <w:t xml:space="preserve"> de dos mil veinticinco</w:t>
      </w:r>
      <w:r w:rsidRPr="00263B58">
        <w:t xml:space="preserve">, el Sistema de Acceso a la Información Mexiquense (SAIMEX), asignó el número de expediente </w:t>
      </w:r>
      <w:r w:rsidR="00C72C60" w:rsidRPr="00263B58">
        <w:rPr>
          <w:b/>
        </w:rPr>
        <w:t>09</w:t>
      </w:r>
      <w:r w:rsidR="0003344C" w:rsidRPr="00263B58">
        <w:rPr>
          <w:b/>
        </w:rPr>
        <w:t>356</w:t>
      </w:r>
      <w:r w:rsidR="004F38AE" w:rsidRPr="00263B58">
        <w:rPr>
          <w:b/>
        </w:rPr>
        <w:t>/INFOEM/IP/RR/2025</w:t>
      </w:r>
      <w:r w:rsidRPr="00263B58">
        <w:t xml:space="preserve">, al medio de impugnación que nos ocupa, con base en el sistema aprobado por el Pleno de este Órgano Garante y lo turnó al Comisionado </w:t>
      </w:r>
      <w:r w:rsidR="000E0A30" w:rsidRPr="00263B58">
        <w:t>Luis Gustavo Parra Noriega</w:t>
      </w:r>
      <w:r w:rsidR="00200A5F" w:rsidRPr="00263B58">
        <w:t xml:space="preserve">; </w:t>
      </w:r>
      <w:r w:rsidRPr="00263B58">
        <w:t>para los efectos del artículo 185, fracción I de la Ley de Transparencia y Acceso a la Información Pública del Estado de México y Municipios.</w:t>
      </w:r>
    </w:p>
    <w:p w14:paraId="7C5527A3" w14:textId="77777777" w:rsidR="00CE58A5" w:rsidRPr="00263B58" w:rsidRDefault="00CE58A5" w:rsidP="00F90A6D">
      <w:pPr>
        <w:spacing w:after="0" w:line="360" w:lineRule="auto"/>
        <w:contextualSpacing/>
      </w:pPr>
    </w:p>
    <w:p w14:paraId="2649B5C4" w14:textId="1C93C0BB" w:rsidR="00200A5F" w:rsidRPr="00263B58" w:rsidRDefault="00CE4466" w:rsidP="00F90A6D">
      <w:pPr>
        <w:spacing w:after="0" w:line="360" w:lineRule="auto"/>
        <w:contextualSpacing/>
      </w:pPr>
      <w:r w:rsidRPr="00263B58">
        <w:rPr>
          <w:b/>
        </w:rPr>
        <w:t>b) Admisión del Recurso de Revisión.</w:t>
      </w:r>
      <w:r w:rsidRPr="00263B58">
        <w:t xml:space="preserve"> El </w:t>
      </w:r>
      <w:r w:rsidR="0003344C" w:rsidRPr="00263B58">
        <w:t>trece</w:t>
      </w:r>
      <w:r w:rsidR="00C72C60" w:rsidRPr="00263B58">
        <w:t xml:space="preserve"> de agosto</w:t>
      </w:r>
      <w:r w:rsidR="004F38AE" w:rsidRPr="00263B58">
        <w:t xml:space="preserve"> de dos mil veinticinco</w:t>
      </w:r>
      <w:r w:rsidRPr="00263B58">
        <w:t>, se acordó la admisión del Recurso de Revisión interpuesto por el Recurrente en contra del Sujeto Obligado, en términos del artículo 185, fracciones I y II de la Ley de Transparencia y Acceso a la Información Pública del Estado de México y Municipios, el cua</w:t>
      </w:r>
      <w:r w:rsidR="005F5A86" w:rsidRPr="00263B58">
        <w:t xml:space="preserve">l fue notificado a las partes </w:t>
      </w:r>
      <w:r w:rsidRPr="00263B58">
        <w:t xml:space="preserve"> a través del Sistema de Acceso a la Información Mexiquense (SAIMEX), en el que se les otorgó un plazo de siete días hábiles posteriores a la misma, para que manifestaran lo que a su derecho conviniera y formularan alegatos</w:t>
      </w:r>
      <w:r w:rsidR="00200A5F" w:rsidRPr="00263B58">
        <w:t xml:space="preserve">; </w:t>
      </w:r>
    </w:p>
    <w:p w14:paraId="1AF49958" w14:textId="77777777" w:rsidR="00CE58A5" w:rsidRPr="00263B58" w:rsidRDefault="00CE58A5" w:rsidP="00F90A6D">
      <w:pPr>
        <w:spacing w:after="0" w:line="360" w:lineRule="auto"/>
        <w:contextualSpacing/>
        <w:rPr>
          <w:b/>
        </w:rPr>
      </w:pPr>
    </w:p>
    <w:p w14:paraId="373F6ED7" w14:textId="45DDA432" w:rsidR="0003344C" w:rsidRPr="00263B58" w:rsidRDefault="000E0A30" w:rsidP="00F90A6D">
      <w:pPr>
        <w:spacing w:after="0" w:line="360" w:lineRule="auto"/>
        <w:contextualSpacing/>
        <w:rPr>
          <w:bCs/>
        </w:rPr>
      </w:pPr>
      <w:r w:rsidRPr="00263B58">
        <w:rPr>
          <w:b/>
          <w:color w:val="000000"/>
        </w:rPr>
        <w:lastRenderedPageBreak/>
        <w:t>c</w:t>
      </w:r>
      <w:r w:rsidR="00CE4466" w:rsidRPr="00263B58">
        <w:rPr>
          <w:b/>
          <w:color w:val="000000"/>
        </w:rPr>
        <w:t xml:space="preserve">) </w:t>
      </w:r>
      <w:r w:rsidR="00CE4466" w:rsidRPr="00263B58">
        <w:rPr>
          <w:b/>
        </w:rPr>
        <w:t>Informe Justificado</w:t>
      </w:r>
      <w:r w:rsidR="0003344C" w:rsidRPr="00263B58">
        <w:rPr>
          <w:b/>
        </w:rPr>
        <w:t xml:space="preserve">. </w:t>
      </w:r>
      <w:r w:rsidR="00F90A6D" w:rsidRPr="00263B58">
        <w:rPr>
          <w:bCs/>
        </w:rPr>
        <w:t>El</w:t>
      </w:r>
      <w:r w:rsidR="0003344C" w:rsidRPr="00263B58">
        <w:rPr>
          <w:bCs/>
        </w:rPr>
        <w:t xml:space="preserve"> diecinueve de agosto de dos mil veinticinco, </w:t>
      </w:r>
      <w:r w:rsidR="00F90A6D" w:rsidRPr="00263B58">
        <w:t>se recibió, a través del Sistema de Acceso a la Información Mexiquense (SAIMEX), el Informe Justificado del Sujeto Obligado</w:t>
      </w:r>
      <w:r w:rsidR="0003344C" w:rsidRPr="00263B58">
        <w:rPr>
          <w:bCs/>
        </w:rPr>
        <w:t xml:space="preserve">, </w:t>
      </w:r>
      <w:r w:rsidR="00F90A6D" w:rsidRPr="00263B58">
        <w:rPr>
          <w:bCs/>
        </w:rPr>
        <w:t>por medio del ofic</w:t>
      </w:r>
      <w:r w:rsidR="0003344C" w:rsidRPr="00263B58">
        <w:rPr>
          <w:bCs/>
        </w:rPr>
        <w:t xml:space="preserve">io número MM/INFOEM/DGJV/0109/2025 de fecha dieciocho de agosto de dos mil </w:t>
      </w:r>
      <w:r w:rsidR="00F90A6D" w:rsidRPr="00263B58">
        <w:rPr>
          <w:bCs/>
        </w:rPr>
        <w:t>veinticinco, signado</w:t>
      </w:r>
      <w:r w:rsidR="0003344C" w:rsidRPr="00263B58">
        <w:rPr>
          <w:bCs/>
        </w:rPr>
        <w:t xml:space="preserve"> por el Director General Jurídico y de Verificación, mediante el cual ratificó su respuesta inicial. </w:t>
      </w:r>
    </w:p>
    <w:p w14:paraId="4AD2585A" w14:textId="77777777" w:rsidR="0003344C" w:rsidRPr="00263B58" w:rsidRDefault="0003344C" w:rsidP="00F90A6D">
      <w:pPr>
        <w:spacing w:after="0" w:line="360" w:lineRule="auto"/>
        <w:rPr>
          <w:bCs/>
        </w:rPr>
      </w:pPr>
    </w:p>
    <w:p w14:paraId="38CCE531" w14:textId="0D69A739" w:rsidR="0003344C" w:rsidRPr="00263B58" w:rsidRDefault="00FB5052" w:rsidP="00F90A6D">
      <w:pPr>
        <w:spacing w:after="0" w:line="360" w:lineRule="auto"/>
        <w:contextualSpacing/>
        <w:rPr>
          <w:bCs/>
        </w:rPr>
      </w:pPr>
      <w:r w:rsidRPr="00263B58">
        <w:rPr>
          <w:b/>
        </w:rPr>
        <w:t>d</w:t>
      </w:r>
      <w:r w:rsidR="00791585" w:rsidRPr="00263B58">
        <w:rPr>
          <w:b/>
        </w:rPr>
        <w:t xml:space="preserve">) </w:t>
      </w:r>
      <w:r w:rsidR="00F90A6D" w:rsidRPr="00263B58">
        <w:rPr>
          <w:b/>
        </w:rPr>
        <w:t>Vista del Informe Justificado.</w:t>
      </w:r>
      <w:r w:rsidR="00F90A6D" w:rsidRPr="00263B58">
        <w:t xml:space="preserve"> El veintiocho 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r w:rsidR="0003344C" w:rsidRPr="00263B58">
        <w:rPr>
          <w:bCs/>
        </w:rPr>
        <w:t xml:space="preserve"> </w:t>
      </w:r>
    </w:p>
    <w:p w14:paraId="27E05434" w14:textId="77777777" w:rsidR="0003344C" w:rsidRPr="00263B58" w:rsidRDefault="0003344C" w:rsidP="00F90A6D">
      <w:pPr>
        <w:spacing w:after="0" w:line="360" w:lineRule="auto"/>
        <w:contextualSpacing/>
        <w:rPr>
          <w:b/>
        </w:rPr>
      </w:pPr>
    </w:p>
    <w:p w14:paraId="13E25C12" w14:textId="30EDD854" w:rsidR="00CE58A5" w:rsidRPr="00263B58" w:rsidRDefault="0003344C" w:rsidP="00F90A6D">
      <w:pPr>
        <w:spacing w:after="0" w:line="360" w:lineRule="auto"/>
        <w:contextualSpacing/>
        <w:rPr>
          <w:b/>
        </w:rPr>
      </w:pPr>
      <w:r w:rsidRPr="00263B58">
        <w:rPr>
          <w:b/>
        </w:rPr>
        <w:t xml:space="preserve">e) </w:t>
      </w:r>
      <w:r w:rsidR="00791585" w:rsidRPr="00263B58">
        <w:rPr>
          <w:b/>
        </w:rPr>
        <w:t>Cierre de instrucción.</w:t>
      </w:r>
      <w:r w:rsidR="00791585" w:rsidRPr="00263B58">
        <w:t xml:space="preserve"> El </w:t>
      </w:r>
      <w:r w:rsidRPr="00263B58">
        <w:t>tres de septiembe</w:t>
      </w:r>
      <w:r w:rsidR="004B77C7" w:rsidRPr="00263B58">
        <w:t xml:space="preserve"> de dos mil veinticinco</w:t>
      </w:r>
      <w:r w:rsidR="00791585" w:rsidRPr="00263B58">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DF2E44B" w14:textId="77777777" w:rsidR="00CE58A5" w:rsidRPr="00263B58" w:rsidRDefault="00CE58A5" w:rsidP="00F90A6D">
      <w:pPr>
        <w:spacing w:after="0" w:line="360" w:lineRule="auto"/>
        <w:contextualSpacing/>
      </w:pPr>
    </w:p>
    <w:p w14:paraId="1A2D1592" w14:textId="77777777" w:rsidR="00CE58A5" w:rsidRPr="00263B58" w:rsidRDefault="00CE4466" w:rsidP="00F90A6D">
      <w:pPr>
        <w:spacing w:after="0" w:line="360" w:lineRule="auto"/>
        <w:contextualSpacing/>
      </w:pPr>
      <w:r w:rsidRPr="00263B58">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63B58" w:rsidRDefault="00CE58A5" w:rsidP="00F90A6D">
      <w:pPr>
        <w:spacing w:after="0" w:line="360" w:lineRule="auto"/>
        <w:contextualSpacing/>
      </w:pPr>
    </w:p>
    <w:p w14:paraId="1E06E728" w14:textId="69856E54" w:rsidR="00CE58A5" w:rsidRPr="00263B58" w:rsidRDefault="00CE4466" w:rsidP="00F90A6D">
      <w:pPr>
        <w:pStyle w:val="Ttulo1"/>
        <w:spacing w:before="0" w:after="0"/>
        <w:contextualSpacing/>
      </w:pPr>
      <w:bookmarkStart w:id="10" w:name="_Toc179975600"/>
      <w:bookmarkStart w:id="11" w:name="_Toc206067760"/>
      <w:r w:rsidRPr="00263B58">
        <w:t>C O N S I D E R A N D O S</w:t>
      </w:r>
      <w:bookmarkEnd w:id="10"/>
      <w:bookmarkEnd w:id="11"/>
    </w:p>
    <w:p w14:paraId="09DEA601" w14:textId="77777777" w:rsidR="00CE58A5" w:rsidRPr="00263B58" w:rsidRDefault="00CE58A5" w:rsidP="00F90A6D">
      <w:pPr>
        <w:spacing w:after="0" w:line="360" w:lineRule="auto"/>
        <w:contextualSpacing/>
        <w:rPr>
          <w:b/>
        </w:rPr>
      </w:pPr>
    </w:p>
    <w:p w14:paraId="3D9317E1" w14:textId="77777777" w:rsidR="00CE58A5" w:rsidRPr="00263B58" w:rsidRDefault="00CE4466" w:rsidP="00F90A6D">
      <w:pPr>
        <w:pStyle w:val="Ttulo2"/>
        <w:spacing w:before="0" w:after="0"/>
        <w:contextualSpacing/>
      </w:pPr>
      <w:bookmarkStart w:id="12" w:name="_Toc179975601"/>
      <w:bookmarkStart w:id="13" w:name="_Toc206067761"/>
      <w:r w:rsidRPr="00263B58">
        <w:lastRenderedPageBreak/>
        <w:t>PRIMERO. Competencia</w:t>
      </w:r>
      <w:bookmarkEnd w:id="12"/>
      <w:bookmarkEnd w:id="13"/>
    </w:p>
    <w:p w14:paraId="4F07F053" w14:textId="77777777" w:rsidR="00CE58A5" w:rsidRPr="00263B58" w:rsidRDefault="00CE58A5" w:rsidP="00F90A6D">
      <w:pPr>
        <w:spacing w:after="0" w:line="360" w:lineRule="auto"/>
        <w:contextualSpacing/>
        <w:rPr>
          <w:b/>
        </w:rPr>
      </w:pPr>
    </w:p>
    <w:p w14:paraId="470877DF" w14:textId="26D297D4" w:rsidR="003501B2" w:rsidRPr="00263B58" w:rsidRDefault="003501B2" w:rsidP="00F90A6D">
      <w:pPr>
        <w:spacing w:after="0" w:line="360" w:lineRule="auto"/>
        <w:contextualSpacing/>
      </w:pPr>
      <w:r w:rsidRPr="00263B58">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76122D" w:rsidRPr="00263B58">
        <w:t>noveno</w:t>
      </w:r>
      <w:r w:rsidRPr="00263B58">
        <w:t xml:space="preserve">, </w:t>
      </w:r>
      <w:r w:rsidR="0076122D" w:rsidRPr="00263B58">
        <w:t>cuadragésimo y cuadragésimo primero</w:t>
      </w:r>
      <w:r w:rsidRPr="00263B58">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CE33F9D" w14:textId="77777777" w:rsidR="00CE58A5" w:rsidRPr="00263B58" w:rsidRDefault="00CE58A5" w:rsidP="00F90A6D">
      <w:pPr>
        <w:spacing w:after="0" w:line="360" w:lineRule="auto"/>
        <w:contextualSpacing/>
      </w:pPr>
    </w:p>
    <w:p w14:paraId="250C24B5" w14:textId="77777777" w:rsidR="00CE58A5" w:rsidRPr="00263B58" w:rsidRDefault="00CE4466" w:rsidP="00F90A6D">
      <w:pPr>
        <w:pStyle w:val="Ttulo2"/>
        <w:spacing w:before="0" w:after="0"/>
        <w:contextualSpacing/>
      </w:pPr>
      <w:bookmarkStart w:id="14" w:name="_Toc179975602"/>
      <w:bookmarkStart w:id="15" w:name="_Toc206067762"/>
      <w:r w:rsidRPr="00263B58">
        <w:t>SEGUNDO. Causales de improcedencia y sobreseimiento</w:t>
      </w:r>
      <w:bookmarkEnd w:id="14"/>
      <w:bookmarkEnd w:id="15"/>
    </w:p>
    <w:p w14:paraId="5DE8EFD8" w14:textId="77777777" w:rsidR="00CE58A5" w:rsidRPr="00263B58" w:rsidRDefault="00CE58A5" w:rsidP="00F90A6D">
      <w:pPr>
        <w:spacing w:after="0" w:line="360" w:lineRule="auto"/>
        <w:contextualSpacing/>
      </w:pPr>
    </w:p>
    <w:p w14:paraId="4C46253C" w14:textId="77777777" w:rsidR="00CE58A5" w:rsidRPr="00263B58" w:rsidRDefault="00CE4466" w:rsidP="00F90A6D">
      <w:pPr>
        <w:spacing w:after="0" w:line="360" w:lineRule="auto"/>
        <w:contextualSpacing/>
      </w:pPr>
      <w:r w:rsidRPr="00263B58">
        <w:t xml:space="preserve">De las constancias que forma parte del Recurso de Revisión que se analiza, se advierte que previo al estudio del fondo de la </w:t>
      </w:r>
      <w:r w:rsidRPr="00263B58">
        <w:rPr>
          <w:i/>
        </w:rPr>
        <w:t>litis</w:t>
      </w:r>
      <w:r w:rsidRPr="00263B58">
        <w:t>, es necesario estudiar las causales de improcedencia y sobreseimiento que se adviertan, para determinar lo que en Derecho proceda.</w:t>
      </w:r>
    </w:p>
    <w:p w14:paraId="2AEB9176" w14:textId="77777777" w:rsidR="003501B2" w:rsidRPr="00263B58" w:rsidRDefault="003501B2" w:rsidP="00F90A6D">
      <w:pPr>
        <w:spacing w:after="0" w:line="360" w:lineRule="auto"/>
        <w:contextualSpacing/>
        <w:rPr>
          <w:b/>
        </w:rPr>
      </w:pPr>
    </w:p>
    <w:p w14:paraId="7548DF11" w14:textId="77777777" w:rsidR="00CE58A5" w:rsidRPr="00263B58" w:rsidRDefault="00CE4466" w:rsidP="00F90A6D">
      <w:pPr>
        <w:spacing w:after="0" w:line="360" w:lineRule="auto"/>
        <w:contextualSpacing/>
        <w:rPr>
          <w:b/>
        </w:rPr>
      </w:pPr>
      <w:r w:rsidRPr="00263B58">
        <w:rPr>
          <w:b/>
        </w:rPr>
        <w:t>Causales de improcedencia</w:t>
      </w:r>
    </w:p>
    <w:p w14:paraId="088E0FD3" w14:textId="77777777" w:rsidR="00C73479" w:rsidRPr="00263B58" w:rsidRDefault="00C73479" w:rsidP="00F90A6D">
      <w:pPr>
        <w:spacing w:after="0" w:line="360" w:lineRule="auto"/>
        <w:contextualSpacing/>
      </w:pPr>
    </w:p>
    <w:p w14:paraId="036ADEC6" w14:textId="6D5B9343" w:rsidR="00CE58A5" w:rsidRPr="00263B58" w:rsidRDefault="0050265B" w:rsidP="00F90A6D">
      <w:pPr>
        <w:spacing w:after="0" w:line="360" w:lineRule="auto"/>
        <w:contextualSpacing/>
      </w:pPr>
      <w:r w:rsidRPr="00263B58">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w:t>
      </w:r>
      <w:r w:rsidRPr="00263B58">
        <w:lastRenderedPageBreak/>
        <w:t>establecidos en el artículo 191 de la Ley de Transparencia y Acceso a la Información Pública del Estado de México y Municipios, por ser improcedente.</w:t>
      </w:r>
    </w:p>
    <w:p w14:paraId="6D2D572A" w14:textId="77777777" w:rsidR="0050265B" w:rsidRPr="00263B58" w:rsidRDefault="0050265B" w:rsidP="00F90A6D">
      <w:pPr>
        <w:spacing w:after="0" w:line="360" w:lineRule="auto"/>
        <w:contextualSpacing/>
      </w:pPr>
    </w:p>
    <w:p w14:paraId="35F10868" w14:textId="77777777" w:rsidR="00CE58A5" w:rsidRPr="00263B58" w:rsidRDefault="00CE4466" w:rsidP="00F90A6D">
      <w:pPr>
        <w:spacing w:after="0" w:line="360" w:lineRule="auto"/>
        <w:contextualSpacing/>
      </w:pPr>
      <w:r w:rsidRPr="00263B58">
        <w:t xml:space="preserve">En el presente caso, </w:t>
      </w:r>
      <w:r w:rsidRPr="00263B58">
        <w:rPr>
          <w:b/>
        </w:rPr>
        <w:t>no se actualiza ninguna de las causales de improcedencia</w:t>
      </w:r>
      <w:r w:rsidRPr="00263B58">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63B58" w:rsidRDefault="00CE58A5" w:rsidP="00F90A6D">
      <w:pPr>
        <w:spacing w:after="0" w:line="360" w:lineRule="auto"/>
        <w:contextualSpacing/>
        <w:rPr>
          <w:b/>
        </w:rPr>
      </w:pPr>
    </w:p>
    <w:p w14:paraId="701A6972" w14:textId="652DE890" w:rsidR="00CE58A5" w:rsidRPr="00263B58" w:rsidRDefault="00CE4466" w:rsidP="00F90A6D">
      <w:pPr>
        <w:spacing w:after="0" w:line="360" w:lineRule="auto"/>
        <w:contextualSpacing/>
      </w:pPr>
      <w:r w:rsidRPr="00263B58">
        <w:t>Asimismo, se actualiza la causal de procedencia del Recurso de Revisión señal</w:t>
      </w:r>
      <w:r w:rsidR="00D52F9F" w:rsidRPr="00263B58">
        <w:t>ada en el</w:t>
      </w:r>
      <w:r w:rsidR="00C503C4" w:rsidRPr="00263B58">
        <w:t xml:space="preserve"> artículo 179, fracci</w:t>
      </w:r>
      <w:r w:rsidR="00F90A6D" w:rsidRPr="00263B58">
        <w:t>ón</w:t>
      </w:r>
      <w:r w:rsidR="00C503C4" w:rsidRPr="00263B58">
        <w:t xml:space="preserve"> </w:t>
      </w:r>
      <w:r w:rsidR="001502EE" w:rsidRPr="00263B58">
        <w:t>I</w:t>
      </w:r>
      <w:r w:rsidR="00F90A6D" w:rsidRPr="00263B58">
        <w:t>V</w:t>
      </w:r>
      <w:r w:rsidRPr="00263B58">
        <w:t xml:space="preserve"> de la Ley en cita, pues la Recurrente se inconformó </w:t>
      </w:r>
      <w:r w:rsidR="00F90A6D" w:rsidRPr="00263B58">
        <w:t>con la incompetencia manifestada por el Sujeto Obligado.</w:t>
      </w:r>
    </w:p>
    <w:p w14:paraId="50E71CD8" w14:textId="77777777" w:rsidR="0050265B" w:rsidRPr="00263B58" w:rsidRDefault="0050265B" w:rsidP="00F90A6D">
      <w:pPr>
        <w:spacing w:after="0" w:line="360" w:lineRule="auto"/>
        <w:contextualSpacing/>
        <w:rPr>
          <w:b/>
        </w:rPr>
      </w:pPr>
    </w:p>
    <w:p w14:paraId="74D31774" w14:textId="77777777" w:rsidR="00922619" w:rsidRPr="00263B58" w:rsidRDefault="00922619" w:rsidP="00F90A6D">
      <w:pPr>
        <w:spacing w:after="0" w:line="360" w:lineRule="auto"/>
        <w:ind w:right="-28"/>
        <w:contextualSpacing/>
        <w:rPr>
          <w:rFonts w:eastAsia="Calibri" w:cs="Tahoma"/>
          <w:b/>
          <w:color w:val="auto"/>
          <w:lang w:val="es-ES" w:eastAsia="es-ES_tradnl"/>
        </w:rPr>
      </w:pPr>
      <w:r w:rsidRPr="00263B58">
        <w:rPr>
          <w:rFonts w:eastAsia="Calibri" w:cs="Tahoma"/>
          <w:b/>
          <w:color w:val="auto"/>
          <w:lang w:val="es-ES" w:eastAsia="es-ES_tradnl"/>
        </w:rPr>
        <w:t>Causales de sobreseimiento.</w:t>
      </w:r>
    </w:p>
    <w:p w14:paraId="46BAB4DD" w14:textId="77777777" w:rsidR="000837C4" w:rsidRPr="00263B58" w:rsidRDefault="000837C4" w:rsidP="00F90A6D">
      <w:pPr>
        <w:spacing w:after="0" w:line="360" w:lineRule="auto"/>
        <w:ind w:right="-28"/>
        <w:contextualSpacing/>
        <w:rPr>
          <w:rFonts w:eastAsia="Calibri" w:cs="Tahoma"/>
          <w:b/>
          <w:color w:val="auto"/>
          <w:lang w:val="es-ES" w:eastAsia="es-ES_tradnl"/>
        </w:rPr>
      </w:pPr>
    </w:p>
    <w:p w14:paraId="67BD3A7C" w14:textId="01125101" w:rsidR="000837C4" w:rsidRPr="00263B58" w:rsidRDefault="000837C4" w:rsidP="00F90A6D">
      <w:pPr>
        <w:spacing w:after="0" w:line="360" w:lineRule="auto"/>
        <w:contextualSpacing/>
        <w:rPr>
          <w:rFonts w:eastAsia="Calibri" w:cs="Tahoma"/>
          <w:color w:val="0D0D0D" w:themeColor="text1" w:themeTint="F2"/>
          <w:lang w:eastAsia="es-ES_tradnl"/>
        </w:rPr>
      </w:pPr>
      <w:r w:rsidRPr="00263B58">
        <w:rPr>
          <w:rFonts w:eastAsia="Times New Roman" w:cs="Tahoma"/>
          <w:color w:val="auto"/>
          <w:szCs w:val="24"/>
          <w:lang w:eastAsia="es-ES"/>
        </w:rPr>
        <w:t>Por ser de previo y especial pronunciamiento, este Instituto analiza si se actualiza alguna causal de sobreseimiento.</w:t>
      </w:r>
      <w:r w:rsidR="00F90A6D" w:rsidRPr="00263B58">
        <w:rPr>
          <w:rFonts w:eastAsia="Times New Roman" w:cs="Tahoma"/>
          <w:color w:val="auto"/>
          <w:szCs w:val="24"/>
          <w:lang w:eastAsia="es-ES"/>
        </w:rPr>
        <w:t xml:space="preserve"> </w:t>
      </w:r>
      <w:r w:rsidRPr="00263B58">
        <w:rPr>
          <w:color w:val="0D0D0D"/>
        </w:rPr>
        <w:t>Sobre el tema, e</w:t>
      </w:r>
      <w:r w:rsidRPr="00263B58">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r w:rsidR="00F90A6D" w:rsidRPr="00263B58">
        <w:rPr>
          <w:color w:val="000000"/>
        </w:rPr>
        <w:t xml:space="preserve"> </w:t>
      </w:r>
      <w:r w:rsidRPr="00263B58">
        <w:rPr>
          <w:rFonts w:eastAsia="Calibri" w:cs="Tahoma"/>
          <w:color w:val="0D0D0D" w:themeColor="text1" w:themeTint="F2"/>
          <w:lang w:eastAsia="es-ES_tradnl"/>
        </w:rPr>
        <w:t>Por tales motivos, se considera procedente entrar al fondo del presente asunto.</w:t>
      </w:r>
    </w:p>
    <w:p w14:paraId="5755F7BD" w14:textId="77777777" w:rsidR="00922619" w:rsidRPr="00263B58" w:rsidRDefault="00922619" w:rsidP="00F90A6D">
      <w:pPr>
        <w:spacing w:after="0" w:line="360" w:lineRule="auto"/>
        <w:contextualSpacing/>
        <w:rPr>
          <w:rFonts w:eastAsia="Times New Roman" w:cs="Tahoma"/>
          <w:color w:val="auto"/>
          <w:szCs w:val="24"/>
          <w:lang w:eastAsia="es-ES"/>
        </w:rPr>
      </w:pPr>
    </w:p>
    <w:p w14:paraId="1E0EBBE3" w14:textId="77777777" w:rsidR="00CE58A5" w:rsidRPr="00263B58" w:rsidRDefault="00CE4466" w:rsidP="00F90A6D">
      <w:pPr>
        <w:pStyle w:val="Ttulo2"/>
        <w:spacing w:before="0" w:after="0"/>
        <w:contextualSpacing/>
      </w:pPr>
      <w:bookmarkStart w:id="16" w:name="_Toc179975603"/>
      <w:bookmarkStart w:id="17" w:name="_Toc206067763"/>
      <w:r w:rsidRPr="00263B58">
        <w:lastRenderedPageBreak/>
        <w:t>TERCERO. Determinación de la Controversia.</w:t>
      </w:r>
      <w:bookmarkEnd w:id="16"/>
      <w:bookmarkEnd w:id="17"/>
      <w:r w:rsidRPr="00263B58">
        <w:t xml:space="preserve"> </w:t>
      </w:r>
    </w:p>
    <w:p w14:paraId="364AB4CE" w14:textId="77777777" w:rsidR="00CE58A5" w:rsidRPr="00263B58" w:rsidRDefault="00CE58A5" w:rsidP="00F90A6D">
      <w:pPr>
        <w:spacing w:after="0" w:line="360" w:lineRule="auto"/>
        <w:contextualSpacing/>
        <w:rPr>
          <w:b/>
        </w:rPr>
      </w:pPr>
    </w:p>
    <w:p w14:paraId="431C6851" w14:textId="2684A023" w:rsidR="007B507D" w:rsidRPr="00263B58" w:rsidRDefault="00CE4466" w:rsidP="00F90A6D">
      <w:pPr>
        <w:widowControl w:val="0"/>
        <w:spacing w:after="0" w:line="360" w:lineRule="auto"/>
        <w:contextualSpacing/>
        <w:rPr>
          <w:color w:val="000000"/>
        </w:rPr>
      </w:pPr>
      <w:r w:rsidRPr="00263B58">
        <w:t xml:space="preserve">Una vez realizado el estudio de las constancias que integran el expediente en que se actúa, se desprende que el Recurrente </w:t>
      </w:r>
      <w:r w:rsidR="001502EE" w:rsidRPr="00263B58">
        <w:t xml:space="preserve">requirió el Decreto de Reforma a la Constitución Política del Estado Libre y Soberano de México, en materia de transparencia, acceso a la información pública y protección de datos personales, ya que no está publicado en la Gaceta del Gobierno del Estado de México. </w:t>
      </w:r>
      <w:r w:rsidR="00C72C60" w:rsidRPr="00263B58">
        <w:rPr>
          <w:color w:val="000000"/>
        </w:rPr>
        <w:t xml:space="preserve"> </w:t>
      </w:r>
    </w:p>
    <w:p w14:paraId="047D4BA4" w14:textId="77777777" w:rsidR="0050265B" w:rsidRPr="00263B58" w:rsidRDefault="0050265B" w:rsidP="00F90A6D">
      <w:pPr>
        <w:widowControl w:val="0"/>
        <w:spacing w:after="0" w:line="360" w:lineRule="auto"/>
        <w:contextualSpacing/>
        <w:rPr>
          <w:color w:val="000000"/>
        </w:rPr>
      </w:pPr>
    </w:p>
    <w:p w14:paraId="1A3B8BC8" w14:textId="796E3C5D" w:rsidR="001502EE" w:rsidRPr="00263B58" w:rsidRDefault="005041FF" w:rsidP="00F90A6D">
      <w:pPr>
        <w:widowControl w:val="0"/>
        <w:spacing w:after="0" w:line="360" w:lineRule="auto"/>
        <w:contextualSpacing/>
        <w:rPr>
          <w:color w:val="000000"/>
        </w:rPr>
      </w:pPr>
      <w:r w:rsidRPr="00263B58">
        <w:rPr>
          <w:color w:val="000000"/>
        </w:rPr>
        <w:t>En respuesta, el Sujeto Obligado</w:t>
      </w:r>
      <w:r w:rsidR="000837C4" w:rsidRPr="00263B58">
        <w:rPr>
          <w:color w:val="000000"/>
        </w:rPr>
        <w:t>,</w:t>
      </w:r>
      <w:r w:rsidR="00552BA1" w:rsidRPr="00263B58">
        <w:rPr>
          <w:color w:val="000000"/>
        </w:rPr>
        <w:t xml:space="preserve"> </w:t>
      </w:r>
      <w:r w:rsidR="0050265B" w:rsidRPr="00263B58">
        <w:rPr>
          <w:color w:val="000000"/>
        </w:rPr>
        <w:t>por medio de</w:t>
      </w:r>
      <w:r w:rsidR="001502EE" w:rsidRPr="00263B58">
        <w:rPr>
          <w:color w:val="000000"/>
        </w:rPr>
        <w:t xml:space="preserve">l </w:t>
      </w:r>
      <w:r w:rsidR="001502EE" w:rsidRPr="00263B58">
        <w:t>Director General Jurídico y de Verificación, informó que se realizó una búsqueda exhaustiva y razonable de la información solicitada en los archivos de esta Unidad Administrativa, de la que se desprende que no se cuenta con el Decreto solicitado por el peticionario, pues como lo refiere el Particular, el Decreto de su interés aún no ha sido publicado en el Periódico Oficial "Gaceta del Gobierno" del Estado de México.</w:t>
      </w:r>
    </w:p>
    <w:p w14:paraId="6ECDA76B" w14:textId="77777777" w:rsidR="001502EE" w:rsidRPr="00263B58" w:rsidRDefault="001502EE" w:rsidP="00F90A6D">
      <w:pPr>
        <w:widowControl w:val="0"/>
        <w:spacing w:after="0" w:line="360" w:lineRule="auto"/>
        <w:contextualSpacing/>
        <w:rPr>
          <w:color w:val="000000"/>
        </w:rPr>
      </w:pPr>
    </w:p>
    <w:p w14:paraId="6A437B35" w14:textId="7098708F" w:rsidR="001502EE" w:rsidRPr="00263B58" w:rsidRDefault="001502EE" w:rsidP="00F90A6D">
      <w:pPr>
        <w:widowControl w:val="0"/>
        <w:spacing w:after="0" w:line="360" w:lineRule="auto"/>
        <w:contextualSpacing/>
        <w:rPr>
          <w:color w:val="000000"/>
        </w:rPr>
      </w:pPr>
      <w:r w:rsidRPr="00263B58">
        <w:rPr>
          <w:color w:val="000000"/>
        </w:rPr>
        <w:t xml:space="preserve">Derivado de ello, el Particular se inconformó refiriendo que, no le habían proporcionado lo solicitado, aunado que, se le debió notificar dentro de los tres días, la incompetencia total, derivado de que la Consejería Jurídica es la encargada de publicar en el Periódico Oficial, Gaceta del Gobierno del Estado de México. En atención a ello, el Sujeto Obligado ratificó su respuesta inicial y, el Particular no rindió manifestaciones. </w:t>
      </w:r>
    </w:p>
    <w:p w14:paraId="06F99E3E" w14:textId="77777777" w:rsidR="00C72C60" w:rsidRPr="00263B58" w:rsidRDefault="00C72C60" w:rsidP="00F90A6D">
      <w:pPr>
        <w:widowControl w:val="0"/>
        <w:spacing w:after="0" w:line="360" w:lineRule="auto"/>
        <w:contextualSpacing/>
        <w:rPr>
          <w:color w:val="000000"/>
        </w:rPr>
      </w:pPr>
    </w:p>
    <w:p w14:paraId="6DC5D7CF" w14:textId="77777777" w:rsidR="00CE58A5" w:rsidRPr="00263B58" w:rsidRDefault="00CE4466" w:rsidP="00F90A6D">
      <w:pPr>
        <w:spacing w:after="0" w:line="360" w:lineRule="auto"/>
        <w:contextualSpacing/>
      </w:pPr>
      <w:r w:rsidRPr="00263B58">
        <w:t>Lo anterior, se desprende de las documentales que obran en los expedientes de referencia, materia de la presente resolución, consistente en: la solicitud de acceso a la información; la respuesta del Sujeto Obligado;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276834F4" w14:textId="2C1ED29F" w:rsidR="00CE58A5" w:rsidRPr="00263B58" w:rsidRDefault="00CE4466" w:rsidP="00F90A6D">
      <w:pPr>
        <w:pStyle w:val="Ttulo2"/>
        <w:spacing w:before="0" w:after="0"/>
        <w:contextualSpacing/>
      </w:pPr>
      <w:bookmarkStart w:id="18" w:name="_Toc179975604"/>
      <w:bookmarkStart w:id="19" w:name="_Toc206067764"/>
      <w:r w:rsidRPr="00263B58">
        <w:lastRenderedPageBreak/>
        <w:t>CUARTO. Marco normativo aplicable en materia de transparencia y acceso a la información pública</w:t>
      </w:r>
      <w:bookmarkEnd w:id="18"/>
      <w:bookmarkEnd w:id="19"/>
    </w:p>
    <w:p w14:paraId="63C42A96" w14:textId="77777777" w:rsidR="00CE58A5" w:rsidRPr="00263B58" w:rsidRDefault="00CE58A5" w:rsidP="00F90A6D">
      <w:pPr>
        <w:spacing w:after="0" w:line="360" w:lineRule="auto"/>
        <w:contextualSpacing/>
        <w:rPr>
          <w:color w:val="000000"/>
        </w:rPr>
      </w:pPr>
    </w:p>
    <w:p w14:paraId="79F9C917" w14:textId="77777777" w:rsidR="005D0C59" w:rsidRPr="00263B58" w:rsidRDefault="005D0C59" w:rsidP="00F90A6D">
      <w:pPr>
        <w:spacing w:after="0" w:line="360" w:lineRule="auto"/>
        <w:contextualSpacing/>
      </w:pPr>
      <w:r w:rsidRPr="00263B58">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260E444" w14:textId="77777777" w:rsidR="00C148B9" w:rsidRPr="00263B58" w:rsidRDefault="00C148B9" w:rsidP="00F90A6D">
      <w:pPr>
        <w:spacing w:after="0" w:line="360" w:lineRule="auto"/>
        <w:contextualSpacing/>
      </w:pPr>
    </w:p>
    <w:p w14:paraId="7EA466FF" w14:textId="77777777" w:rsidR="005D0C59" w:rsidRPr="00263B58" w:rsidRDefault="005D0C59" w:rsidP="00F90A6D">
      <w:pPr>
        <w:spacing w:after="0" w:line="360" w:lineRule="auto"/>
        <w:contextualSpacing/>
      </w:pPr>
      <w:r w:rsidRPr="00263B58">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4937BEE" w14:textId="77777777" w:rsidR="00C148B9" w:rsidRPr="00263B58" w:rsidRDefault="00C148B9" w:rsidP="00F90A6D">
      <w:pPr>
        <w:spacing w:after="0" w:line="360" w:lineRule="auto"/>
        <w:contextualSpacing/>
      </w:pPr>
    </w:p>
    <w:p w14:paraId="0410375B" w14:textId="77777777" w:rsidR="005D0C59" w:rsidRPr="00263B58" w:rsidRDefault="005D0C59" w:rsidP="00F90A6D">
      <w:pPr>
        <w:spacing w:after="0" w:line="360" w:lineRule="auto"/>
        <w:contextualSpacing/>
      </w:pPr>
      <w:r w:rsidRPr="00263B58">
        <w:t>Por su parte, la Ley de Transparencia y Acceso a la Información Pública del Estado de México y Municipios (Reglamentaria del artículo 5° de la Constitución Local), establece lo siguiente:</w:t>
      </w:r>
    </w:p>
    <w:p w14:paraId="7D285521" w14:textId="77777777" w:rsidR="005D0C59" w:rsidRPr="00263B58" w:rsidRDefault="005D0C59" w:rsidP="00F90A6D">
      <w:pPr>
        <w:spacing w:after="0" w:line="360" w:lineRule="auto"/>
        <w:contextualSpacing/>
      </w:pPr>
      <w:r w:rsidRPr="00263B58">
        <w:t>El artículo 12, que, quienes generen, recopilen, administren, manejen, procesen, archiven o conserven información pública serán responsables de la misma.</w:t>
      </w:r>
    </w:p>
    <w:p w14:paraId="2D7507F3" w14:textId="77777777" w:rsidR="00C148B9" w:rsidRPr="00263B58" w:rsidRDefault="00C148B9" w:rsidP="00F90A6D">
      <w:pPr>
        <w:spacing w:after="0" w:line="360" w:lineRule="auto"/>
        <w:contextualSpacing/>
      </w:pPr>
    </w:p>
    <w:p w14:paraId="0F56C03D" w14:textId="77777777" w:rsidR="005D0C59" w:rsidRPr="00263B58" w:rsidRDefault="005D0C59" w:rsidP="00F90A6D">
      <w:pPr>
        <w:spacing w:after="0" w:line="360" w:lineRule="auto"/>
        <w:contextualSpacing/>
      </w:pPr>
      <w:r w:rsidRPr="00263B58">
        <w:t>El artículo 18, que, los Sujetos Obligados deberán documentar todo acto que derive del ejercicio de sus facultades, competencias o funciones, considerando desde su origen la eventual publicidad y reutilización de la información que generen.</w:t>
      </w:r>
    </w:p>
    <w:p w14:paraId="189E8BCB" w14:textId="77777777" w:rsidR="00C148B9" w:rsidRPr="00263B58" w:rsidRDefault="00C148B9" w:rsidP="00F90A6D">
      <w:pPr>
        <w:spacing w:after="0" w:line="360" w:lineRule="auto"/>
        <w:contextualSpacing/>
      </w:pPr>
    </w:p>
    <w:p w14:paraId="0E199158" w14:textId="77777777" w:rsidR="005D0C59" w:rsidRPr="00263B58" w:rsidRDefault="005D0C59" w:rsidP="00F90A6D">
      <w:pPr>
        <w:spacing w:after="0" w:line="360" w:lineRule="auto"/>
        <w:contextualSpacing/>
      </w:pPr>
      <w:r w:rsidRPr="00263B58">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DF82A1D" w14:textId="4C40B5A6" w:rsidR="00CE58A5" w:rsidRPr="00263B58" w:rsidRDefault="00CE4466" w:rsidP="00F90A6D">
      <w:pPr>
        <w:pStyle w:val="Ttulo2"/>
        <w:spacing w:before="0" w:after="0"/>
        <w:contextualSpacing/>
      </w:pPr>
      <w:bookmarkStart w:id="20" w:name="_Toc179975605"/>
      <w:bookmarkStart w:id="21" w:name="_Toc206067765"/>
      <w:r w:rsidRPr="00263B58">
        <w:rPr>
          <w:caps/>
        </w:rPr>
        <w:lastRenderedPageBreak/>
        <w:t>Quinto.</w:t>
      </w:r>
      <w:r w:rsidRPr="00263B58">
        <w:t xml:space="preserve"> Estudio de Fondo</w:t>
      </w:r>
      <w:bookmarkEnd w:id="20"/>
      <w:bookmarkEnd w:id="21"/>
    </w:p>
    <w:p w14:paraId="21D257DC" w14:textId="77777777" w:rsidR="0050265B" w:rsidRPr="00263B58" w:rsidRDefault="0050265B" w:rsidP="00F90A6D">
      <w:pPr>
        <w:spacing w:after="0" w:line="360" w:lineRule="auto"/>
      </w:pPr>
    </w:p>
    <w:p w14:paraId="547460E4" w14:textId="7F610157" w:rsidR="00CE58A5" w:rsidRPr="00263B58" w:rsidRDefault="0050265B" w:rsidP="00F90A6D">
      <w:pPr>
        <w:widowControl w:val="0"/>
        <w:spacing w:after="0" w:line="360" w:lineRule="auto"/>
        <w:contextualSpacing/>
        <w:rPr>
          <w:color w:val="000000"/>
        </w:rPr>
      </w:pPr>
      <w:r w:rsidRPr="00263B58">
        <w:rPr>
          <w:color w:val="000000"/>
        </w:rPr>
        <w:t xml:space="preserve">Expuestas las posturas de las partes, se procede a realizar el análisis del agravio hecho </w:t>
      </w:r>
      <w:r w:rsidR="00C72C60" w:rsidRPr="00263B58">
        <w:rPr>
          <w:color w:val="000000"/>
        </w:rPr>
        <w:t>valer por el ahora Recurrente</w:t>
      </w:r>
      <w:r w:rsidRPr="00263B58">
        <w:rPr>
          <w:color w:val="000000"/>
        </w:rPr>
        <w:t xml:space="preserve">, para lo cual resulta necesario contextualizar la solicitud de información relacionada con </w:t>
      </w:r>
      <w:r w:rsidR="00727A58" w:rsidRPr="00263B58">
        <w:rPr>
          <w:color w:val="000000"/>
        </w:rPr>
        <w:t xml:space="preserve">el Decreto de Reforma a la Constitución Política del Estado Libre y Soberano de México, en materia de transparencia, acceso a la información pública y protección de datos personales. </w:t>
      </w:r>
    </w:p>
    <w:p w14:paraId="5D405A10" w14:textId="77777777" w:rsidR="003115FC" w:rsidRPr="00263B58" w:rsidRDefault="003115FC" w:rsidP="00F90A6D">
      <w:pPr>
        <w:widowControl w:val="0"/>
        <w:spacing w:after="0" w:line="360" w:lineRule="auto"/>
        <w:contextualSpacing/>
        <w:rPr>
          <w:color w:val="000000"/>
        </w:rPr>
      </w:pPr>
    </w:p>
    <w:p w14:paraId="4455AB6E" w14:textId="6A632E4D" w:rsidR="00835A5F" w:rsidRPr="00263B58" w:rsidRDefault="00835A5F" w:rsidP="00F90A6D">
      <w:pPr>
        <w:widowControl w:val="0"/>
        <w:spacing w:after="0" w:line="360" w:lineRule="auto"/>
        <w:contextualSpacing/>
        <w:rPr>
          <w:color w:val="000000"/>
        </w:rPr>
      </w:pPr>
      <w:r w:rsidRPr="00263B58">
        <w:rPr>
          <w:color w:val="000000"/>
        </w:rPr>
        <w:t xml:space="preserve">Para ello, resulta dable traer a colación lo que establece el </w:t>
      </w:r>
      <w:r w:rsidR="00727A58" w:rsidRPr="00263B58">
        <w:rPr>
          <w:color w:val="000000"/>
        </w:rPr>
        <w:t>artículo 3</w:t>
      </w:r>
      <w:r w:rsidR="00F90A6D" w:rsidRPr="00263B58">
        <w:rPr>
          <w:color w:val="000000"/>
        </w:rPr>
        <w:t xml:space="preserve">º </w:t>
      </w:r>
      <w:r w:rsidR="00727A58" w:rsidRPr="00263B58">
        <w:rPr>
          <w:color w:val="000000"/>
        </w:rPr>
        <w:t xml:space="preserve">de la Ley del Periódico Oficial “Gaceta del Gobierno” del Estado de México que refiere que, el periódico oficial es un medio de difusión de carácter permanente e interés público dependiente de la Consejería Jurídica y órgano informativo del Gobierno del Estado de México cuyo objeto es publicas las leyes, decretos, reglamentos, acuerdos, notificaciones, avisos, manuales y demás disposiciones de carácter general de los poderes del Estado, organismos autónomos, organismos auxiliares, ayuntamientos y de particulares. </w:t>
      </w:r>
    </w:p>
    <w:p w14:paraId="2098820A" w14:textId="77777777" w:rsidR="00727A58" w:rsidRPr="00263B58" w:rsidRDefault="00727A58" w:rsidP="00F90A6D">
      <w:pPr>
        <w:widowControl w:val="0"/>
        <w:spacing w:after="0" w:line="360" w:lineRule="auto"/>
        <w:contextualSpacing/>
        <w:rPr>
          <w:color w:val="000000"/>
        </w:rPr>
      </w:pPr>
    </w:p>
    <w:p w14:paraId="384A1F6E" w14:textId="65EDF468" w:rsidR="00727A58" w:rsidRPr="00263B58" w:rsidRDefault="00727A58" w:rsidP="00F90A6D">
      <w:pPr>
        <w:widowControl w:val="0"/>
        <w:spacing w:after="0" w:line="360" w:lineRule="auto"/>
        <w:contextualSpacing/>
        <w:rPr>
          <w:color w:val="000000"/>
        </w:rPr>
      </w:pPr>
      <w:r w:rsidRPr="00263B58">
        <w:rPr>
          <w:color w:val="000000"/>
        </w:rPr>
        <w:t>Del mismo modo, el artículo 5</w:t>
      </w:r>
      <w:r w:rsidR="00F90A6D" w:rsidRPr="00263B58">
        <w:rPr>
          <w:color w:val="000000"/>
        </w:rPr>
        <w:t xml:space="preserve">º </w:t>
      </w:r>
      <w:r w:rsidRPr="00263B58">
        <w:rPr>
          <w:color w:val="000000"/>
        </w:rPr>
        <w:t xml:space="preserve">de la normatividad en cita, establece que, </w:t>
      </w:r>
      <w:r w:rsidR="001D32A1" w:rsidRPr="00263B58">
        <w:rPr>
          <w:color w:val="000000"/>
        </w:rPr>
        <w:t>es materia de publicación obligatoria en el periódico oficial; las leyes, decretos y acuerdos expedidos por la Legislatura del Estado, promulgados por el Titular del Poder Ejecutivo del Estado.</w:t>
      </w:r>
    </w:p>
    <w:p w14:paraId="07EAB5CB" w14:textId="77777777" w:rsidR="001D32A1" w:rsidRPr="00263B58" w:rsidRDefault="001D32A1" w:rsidP="00F90A6D">
      <w:pPr>
        <w:widowControl w:val="0"/>
        <w:spacing w:after="0" w:line="360" w:lineRule="auto"/>
        <w:contextualSpacing/>
        <w:rPr>
          <w:color w:val="000000"/>
        </w:rPr>
      </w:pPr>
    </w:p>
    <w:p w14:paraId="6C876241" w14:textId="032916BC" w:rsidR="001D32A1" w:rsidRPr="00263B58" w:rsidRDefault="001D32A1" w:rsidP="00F90A6D">
      <w:pPr>
        <w:spacing w:after="0" w:line="360" w:lineRule="auto"/>
        <w:contextualSpacing/>
        <w:rPr>
          <w:color w:val="000000"/>
        </w:rPr>
      </w:pPr>
      <w:r w:rsidRPr="00263B58">
        <w:rPr>
          <w:color w:val="000000"/>
        </w:rPr>
        <w:t xml:space="preserve">En lo que respecta al Sujeto Obligado, el Reglamento Interior del Instituto de Transparencia, Acceso a la Información Pública y Protección de Datos Personales del Estado de México y Municipios refiere que, el Instituto para el ejercicio de sus atribuciones contará con diversas unidades administrativas dentro de las que se encuentra la Dirección General Jurídica y de Verificación, la cual de conformidad con el artículo 23 de la normatividad en cita, tiene dentro </w:t>
      </w:r>
      <w:r w:rsidRPr="00263B58">
        <w:rPr>
          <w:color w:val="000000"/>
        </w:rPr>
        <w:lastRenderedPageBreak/>
        <w:t xml:space="preserve">de sus atribuciones compilar y emitir opinión respecto de las normas jurídicas relacionadas con el ejercicio de las atribuciones del instituto. </w:t>
      </w:r>
    </w:p>
    <w:p w14:paraId="3D7D2758" w14:textId="77777777" w:rsidR="003A225D" w:rsidRPr="00263B58" w:rsidRDefault="003A225D" w:rsidP="00F90A6D">
      <w:pPr>
        <w:spacing w:after="0" w:line="360" w:lineRule="auto"/>
      </w:pPr>
    </w:p>
    <w:p w14:paraId="055B2B85" w14:textId="678B0256" w:rsidR="003A225D" w:rsidRPr="00263B58" w:rsidRDefault="003A225D" w:rsidP="00F90A6D">
      <w:pPr>
        <w:widowControl w:val="0"/>
        <w:autoSpaceDE w:val="0"/>
        <w:autoSpaceDN w:val="0"/>
        <w:adjustRightInd w:val="0"/>
        <w:spacing w:after="0" w:line="360" w:lineRule="auto"/>
        <w:contextualSpacing/>
        <w:rPr>
          <w:color w:val="000000"/>
        </w:rPr>
      </w:pPr>
      <w:r w:rsidRPr="00263B58">
        <w:rPr>
          <w:color w:val="000000"/>
        </w:rPr>
        <w:t xml:space="preserve">Así, de lo plasmado en párrafos anteriores, </w:t>
      </w:r>
      <w:r w:rsidRPr="00263B58">
        <w:t xml:space="preserve">se logra colegir que el Sujeto Obligado cumplió con el procedimiento de búsqueda </w:t>
      </w:r>
      <w:r w:rsidRPr="00263B58">
        <w:rPr>
          <w:color w:val="000000"/>
        </w:rPr>
        <w:t>establecido en el artículo 162 de la Ley de Transparencia y Acceso a la Información Pública del Estado de México y Municipios, toda vez, que gestionó el requerimiento de información a</w:t>
      </w:r>
      <w:r w:rsidR="001D32A1" w:rsidRPr="00263B58">
        <w:rPr>
          <w:color w:val="000000"/>
        </w:rPr>
        <w:t xml:space="preserve">l área </w:t>
      </w:r>
      <w:r w:rsidRPr="00263B58">
        <w:rPr>
          <w:color w:val="000000"/>
        </w:rPr>
        <w:t>competente para conocer de lo peticionado.</w:t>
      </w:r>
    </w:p>
    <w:p w14:paraId="1364BE7F" w14:textId="77777777" w:rsidR="003A225D" w:rsidRPr="00263B58" w:rsidRDefault="003A225D" w:rsidP="00F90A6D">
      <w:pPr>
        <w:spacing w:after="0" w:line="360" w:lineRule="auto"/>
        <w:ind w:right="-28"/>
        <w:contextualSpacing/>
        <w:rPr>
          <w:color w:val="000000"/>
        </w:rPr>
      </w:pPr>
    </w:p>
    <w:p w14:paraId="1001FCF0" w14:textId="4B6AE407" w:rsidR="0064268A" w:rsidRPr="00263B58" w:rsidRDefault="003A225D" w:rsidP="00F90A6D">
      <w:pPr>
        <w:spacing w:after="0" w:line="360" w:lineRule="auto"/>
        <w:contextualSpacing/>
        <w:rPr>
          <w:rFonts w:eastAsia="Calibri" w:cs="Times New Roman"/>
          <w:bCs/>
          <w:color w:val="000000"/>
        </w:rPr>
      </w:pPr>
      <w:r w:rsidRPr="00263B58">
        <w:t xml:space="preserve">Ahora bien, en relación con </w:t>
      </w:r>
      <w:r w:rsidR="0064268A" w:rsidRPr="00263B58">
        <w:t xml:space="preserve">los agravios </w:t>
      </w:r>
      <w:r w:rsidRPr="00263B58">
        <w:t>hecho</w:t>
      </w:r>
      <w:r w:rsidR="0064268A" w:rsidRPr="00263B58">
        <w:t>s</w:t>
      </w:r>
      <w:r w:rsidRPr="00263B58">
        <w:t xml:space="preserve"> valer por el Particular, </w:t>
      </w:r>
      <w:r w:rsidR="001D32A1" w:rsidRPr="00263B58">
        <w:t>relativo</w:t>
      </w:r>
      <w:r w:rsidR="0064268A" w:rsidRPr="00263B58">
        <w:t>s</w:t>
      </w:r>
      <w:r w:rsidR="001D32A1" w:rsidRPr="00263B58">
        <w:t xml:space="preserve"> con la negativa de entrega de lo solicitado y, la incompetencia del Sujeto Obli</w:t>
      </w:r>
      <w:r w:rsidR="004363FB" w:rsidRPr="00263B58">
        <w:t>gado para poseer de la información requerida,</w:t>
      </w:r>
      <w:r w:rsidR="0064268A" w:rsidRPr="00263B58">
        <w:t xml:space="preserve"> es </w:t>
      </w:r>
      <w:r w:rsidR="004363FB" w:rsidRPr="00263B58">
        <w:t xml:space="preserve">menester precisar que, en cuanto hace a la </w:t>
      </w:r>
      <w:r w:rsidR="004363FB" w:rsidRPr="00263B58">
        <w:rPr>
          <w:b/>
          <w:bCs/>
        </w:rPr>
        <w:t>incompetencia</w:t>
      </w:r>
      <w:r w:rsidR="0064268A" w:rsidRPr="00263B58">
        <w:rPr>
          <w:rFonts w:eastAsia="Calibri" w:cs="Times New Roman"/>
          <w:color w:val="000000"/>
          <w:lang w:val="es-ES_tradnl"/>
        </w:rPr>
        <w:t xml:space="preserve">, </w:t>
      </w:r>
      <w:r w:rsidR="0064268A" w:rsidRPr="00263B58">
        <w:rPr>
          <w:rFonts w:eastAsia="Calibri" w:cs="Times New Roman"/>
          <w:bCs/>
          <w:color w:val="000000"/>
        </w:rPr>
        <w:t>Cabanellas, Guillermo (1993), en el “Diccionario Jurídico Elemental” (p. 32 y 161), precisó los siguientes conceptos:</w:t>
      </w:r>
    </w:p>
    <w:p w14:paraId="464FD313" w14:textId="77777777" w:rsidR="00F90A6D" w:rsidRPr="00263B58" w:rsidRDefault="00F90A6D" w:rsidP="00F90A6D">
      <w:pPr>
        <w:spacing w:after="0" w:line="360" w:lineRule="auto"/>
        <w:contextualSpacing/>
        <w:rPr>
          <w:rFonts w:eastAsia="Calibri" w:cs="Times New Roman"/>
          <w:bCs/>
          <w:color w:val="000000"/>
        </w:rPr>
      </w:pPr>
    </w:p>
    <w:p w14:paraId="375131B8" w14:textId="77777777" w:rsidR="0064268A" w:rsidRPr="00263B58" w:rsidRDefault="0064268A" w:rsidP="00F90A6D">
      <w:pPr>
        <w:numPr>
          <w:ilvl w:val="0"/>
          <w:numId w:val="33"/>
        </w:numPr>
        <w:spacing w:after="0" w:line="360" w:lineRule="auto"/>
        <w:contextualSpacing/>
        <w:jc w:val="left"/>
        <w:rPr>
          <w:rFonts w:eastAsia="Calibri" w:cs="Times New Roman"/>
          <w:bCs/>
          <w:color w:val="000000"/>
        </w:rPr>
      </w:pPr>
      <w:r w:rsidRPr="00263B58">
        <w:rPr>
          <w:rFonts w:eastAsia="Calibri" w:cs="Times New Roman"/>
          <w:b/>
          <w:bCs/>
          <w:color w:val="000000"/>
        </w:rPr>
        <w:t xml:space="preserve">Competencia: </w:t>
      </w:r>
      <w:r w:rsidRPr="00263B58">
        <w:rPr>
          <w:rFonts w:eastAsia="Calibri" w:cs="Times New Roman"/>
          <w:bCs/>
          <w:color w:val="000000"/>
        </w:rPr>
        <w:t>La capacidad de una autoridad para conocer sobre una materia o asunto.</w:t>
      </w:r>
    </w:p>
    <w:p w14:paraId="66A2AD91" w14:textId="77777777" w:rsidR="0064268A" w:rsidRPr="00263B58" w:rsidRDefault="0064268A" w:rsidP="00F90A6D">
      <w:pPr>
        <w:numPr>
          <w:ilvl w:val="0"/>
          <w:numId w:val="33"/>
        </w:numPr>
        <w:spacing w:after="0" w:line="360" w:lineRule="auto"/>
        <w:contextualSpacing/>
        <w:jc w:val="left"/>
        <w:rPr>
          <w:rFonts w:eastAsia="Calibri" w:cs="Times New Roman"/>
          <w:bCs/>
          <w:color w:val="000000"/>
        </w:rPr>
      </w:pPr>
      <w:r w:rsidRPr="00263B58">
        <w:rPr>
          <w:rFonts w:eastAsia="Calibri" w:cs="Times New Roman"/>
          <w:b/>
          <w:bCs/>
          <w:color w:val="000000"/>
        </w:rPr>
        <w:t>Incompetencia:</w:t>
      </w:r>
      <w:r w:rsidRPr="00263B58">
        <w:rPr>
          <w:rFonts w:eastAsia="Calibri" w:cs="Times New Roman"/>
          <w:bCs/>
          <w:color w:val="000000"/>
        </w:rPr>
        <w:t xml:space="preserve"> Falta de Competencia.</w:t>
      </w:r>
    </w:p>
    <w:p w14:paraId="09E96F8B" w14:textId="77777777" w:rsidR="0064268A" w:rsidRPr="00263B58" w:rsidRDefault="0064268A" w:rsidP="00F90A6D">
      <w:pPr>
        <w:spacing w:after="0" w:line="360" w:lineRule="auto"/>
        <w:contextualSpacing/>
        <w:rPr>
          <w:rFonts w:eastAsia="Calibri" w:cs="Times New Roman"/>
          <w:color w:val="000000"/>
        </w:rPr>
      </w:pPr>
    </w:p>
    <w:p w14:paraId="5B68CF22" w14:textId="77777777" w:rsidR="0064268A" w:rsidRPr="00263B58" w:rsidRDefault="0064268A" w:rsidP="00F90A6D">
      <w:pPr>
        <w:spacing w:after="0" w:line="360" w:lineRule="auto"/>
        <w:contextualSpacing/>
        <w:rPr>
          <w:rFonts w:eastAsia="Calibri" w:cs="Times New Roman"/>
          <w:color w:val="000000"/>
        </w:rPr>
      </w:pPr>
      <w:r w:rsidRPr="00263B58">
        <w:rPr>
          <w:rFonts w:eastAsia="Calibri" w:cs="Times New Roman"/>
          <w:color w:val="000000"/>
          <w:lang w:val="es-ES_tradnl"/>
        </w:rPr>
        <w:t xml:space="preserve">Por lo que, </w:t>
      </w:r>
      <w:r w:rsidRPr="00263B58">
        <w:rPr>
          <w:rFonts w:eastAsia="Calibri" w:cs="Times New Roman"/>
          <w:b/>
          <w:color w:val="000000"/>
          <w:lang w:val="es-ES_tradnl"/>
        </w:rPr>
        <w:t>la incompetencia</w:t>
      </w:r>
      <w:r w:rsidRPr="00263B58">
        <w:rPr>
          <w:rFonts w:eastAsia="Calibri" w:cs="Times New Roman"/>
          <w:color w:val="000000"/>
          <w:lang w:val="es-ES_tradnl"/>
        </w:rPr>
        <w:t xml:space="preserve">, radica en la </w:t>
      </w:r>
      <w:r w:rsidRPr="00263B58">
        <w:rPr>
          <w:rFonts w:eastAsia="Calibri" w:cs="Times New Roman"/>
          <w:b/>
          <w:bCs/>
          <w:color w:val="000000"/>
          <w:u w:val="single"/>
          <w:lang w:val="es-ES_tradnl"/>
        </w:rPr>
        <w:t>incapacidad de una autoridad para conocer de un tema o asunto</w:t>
      </w:r>
      <w:r w:rsidRPr="00263B58">
        <w:rPr>
          <w:rFonts w:eastAsia="Calibri" w:cs="Times New Roman"/>
          <w:color w:val="000000"/>
          <w:lang w:val="es-ES_tradnl"/>
        </w:rPr>
        <w:t>; en el mismo sentido, conviene traer a cuenta tesis</w:t>
      </w:r>
      <w:r w:rsidRPr="00263B58">
        <w:rPr>
          <w:rFonts w:eastAsia="Calibri" w:cs="Times New Roman"/>
          <w:color w:val="000000"/>
        </w:rPr>
        <w:t xml:space="preserve"> aislada número III.2o.P.11 K, publicada en el Semanario Judicial de la Federación y su Gaceta, Novena Época, Tomo XV, Mayo de 2002, Pág. 1243, ya que precisa lo siguiente: </w:t>
      </w:r>
    </w:p>
    <w:p w14:paraId="5EDF2890" w14:textId="77777777" w:rsidR="0064268A" w:rsidRPr="00263B58" w:rsidRDefault="0064268A" w:rsidP="00F90A6D">
      <w:pPr>
        <w:spacing w:after="0" w:line="360" w:lineRule="auto"/>
        <w:contextualSpacing/>
        <w:rPr>
          <w:rFonts w:eastAsia="Calibri" w:cs="Times New Roman"/>
          <w:color w:val="000000"/>
          <w:lang w:val="es-ES_tradnl"/>
        </w:rPr>
      </w:pPr>
    </w:p>
    <w:p w14:paraId="3223F4A7" w14:textId="77777777" w:rsidR="0064268A" w:rsidRPr="00263B58" w:rsidRDefault="0064268A" w:rsidP="00F90A6D">
      <w:pPr>
        <w:spacing w:after="0" w:line="360" w:lineRule="auto"/>
        <w:ind w:left="567" w:right="567"/>
        <w:contextualSpacing/>
        <w:rPr>
          <w:rFonts w:eastAsia="Calibri" w:cs="Times New Roman"/>
          <w:i/>
          <w:color w:val="000000"/>
          <w:sz w:val="20"/>
          <w:szCs w:val="20"/>
          <w:lang w:val="es-ES_tradnl"/>
        </w:rPr>
      </w:pPr>
      <w:r w:rsidRPr="00263B58">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w:t>
      </w:r>
      <w:r w:rsidRPr="00263B58">
        <w:rPr>
          <w:rFonts w:eastAsia="Calibri" w:cs="Times New Roman"/>
          <w:b/>
          <w:bCs/>
          <w:i/>
          <w:color w:val="000000"/>
          <w:sz w:val="20"/>
          <w:szCs w:val="20"/>
          <w:lang w:val="es-ES_tradnl"/>
        </w:rPr>
        <w:lastRenderedPageBreak/>
        <w:t xml:space="preserve">AQUÉLLA. </w:t>
      </w:r>
      <w:r w:rsidRPr="00263B58">
        <w:rPr>
          <w:rFonts w:eastAsia="Calibri" w:cs="Times New Roman"/>
          <w:i/>
          <w:color w:val="000000"/>
          <w:sz w:val="20"/>
          <w:szCs w:val="20"/>
          <w:lang w:val="es-ES_tradnl"/>
        </w:rPr>
        <w:t>El artículo </w:t>
      </w:r>
      <w:hyperlink r:id="rId9" w:history="1">
        <w:r w:rsidRPr="00263B58">
          <w:rPr>
            <w:rFonts w:eastAsia="Calibri" w:cs="Times New Roman"/>
            <w:i/>
            <w:color w:val="0563C1"/>
            <w:sz w:val="20"/>
            <w:szCs w:val="20"/>
            <w:u w:val="single"/>
            <w:lang w:val="es-ES_tradnl"/>
          </w:rPr>
          <w:t>16 constitucional</w:t>
        </w:r>
      </w:hyperlink>
      <w:r w:rsidRPr="00263B58">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86D8A6E" w14:textId="77777777" w:rsidR="0064268A" w:rsidRPr="00263B58" w:rsidRDefault="0064268A" w:rsidP="00F90A6D">
      <w:pPr>
        <w:spacing w:after="0" w:line="360" w:lineRule="auto"/>
        <w:contextualSpacing/>
        <w:rPr>
          <w:rFonts w:eastAsia="Calibri" w:cs="Times New Roman"/>
          <w:color w:val="000000"/>
          <w:lang w:val="es-ES_tradnl"/>
        </w:rPr>
      </w:pPr>
    </w:p>
    <w:p w14:paraId="0D6456AF" w14:textId="77777777" w:rsidR="0064268A" w:rsidRPr="00263B58" w:rsidRDefault="0064268A" w:rsidP="00F90A6D">
      <w:pPr>
        <w:spacing w:after="0" w:line="360" w:lineRule="auto"/>
        <w:contextualSpacing/>
        <w:rPr>
          <w:rFonts w:eastAsia="Calibri" w:cs="Times New Roman"/>
          <w:color w:val="000000"/>
        </w:rPr>
      </w:pPr>
      <w:r w:rsidRPr="00263B58">
        <w:rPr>
          <w:rFonts w:eastAsia="Calibri" w:cs="Times New Roman"/>
          <w:color w:val="000000"/>
          <w:lang w:val="es-ES_tradnl"/>
        </w:rPr>
        <w:t xml:space="preserve">De la misma manera, resulta necesario traer a colación, </w:t>
      </w:r>
      <w:r w:rsidRPr="00263B58">
        <w:rPr>
          <w:rFonts w:eastAsia="Calibri" w:cs="Tahoma"/>
          <w:bCs/>
          <w:color w:val="000000"/>
          <w:lang w:val="es-ES"/>
        </w:rPr>
        <w:t xml:space="preserve">Criterio de Interpretación, de la Segunda Época, con clave de control </w:t>
      </w:r>
      <w:r w:rsidRPr="00263B58">
        <w:rPr>
          <w:rFonts w:eastAsia="Calibri" w:cs="Tahoma"/>
          <w:bCs/>
          <w:color w:val="000000"/>
        </w:rPr>
        <w:t>SO/013/2017</w:t>
      </w:r>
      <w:r w:rsidRPr="00263B58">
        <w:rPr>
          <w:rFonts w:eastAsia="Calibri" w:cs="Times New Roman"/>
          <w:color w:val="000000"/>
          <w:lang w:val="es-ES"/>
        </w:rPr>
        <w:t xml:space="preserve">, </w:t>
      </w:r>
      <w:r w:rsidRPr="00263B58">
        <w:rPr>
          <w:rFonts w:eastAsia="Calibri" w:cs="Times New Roman"/>
          <w:color w:val="000000"/>
        </w:rPr>
        <w:t xml:space="preserve">emitido por el entonces Instituto Nacional de Transparencia, Acceso a la Información y Protección de Datos Personales, que dispone lo siguiente: </w:t>
      </w:r>
    </w:p>
    <w:p w14:paraId="5D5E3E4E" w14:textId="77777777" w:rsidR="0064268A" w:rsidRPr="00263B58" w:rsidRDefault="0064268A" w:rsidP="00F90A6D">
      <w:pPr>
        <w:spacing w:after="0" w:line="360" w:lineRule="auto"/>
        <w:contextualSpacing/>
        <w:rPr>
          <w:rFonts w:eastAsia="Calibri" w:cs="Times New Roman"/>
          <w:color w:val="000000"/>
        </w:rPr>
      </w:pPr>
    </w:p>
    <w:p w14:paraId="03892229" w14:textId="77777777" w:rsidR="0064268A" w:rsidRPr="00263B58" w:rsidRDefault="0064268A" w:rsidP="00F90A6D">
      <w:pPr>
        <w:spacing w:after="0" w:line="360" w:lineRule="auto"/>
        <w:ind w:left="567" w:right="567"/>
        <w:contextualSpacing/>
        <w:rPr>
          <w:rFonts w:eastAsia="Calibri" w:cs="Times New Roman"/>
          <w:i/>
          <w:color w:val="000000"/>
          <w:sz w:val="20"/>
          <w:szCs w:val="20"/>
        </w:rPr>
      </w:pPr>
      <w:r w:rsidRPr="00263B58">
        <w:rPr>
          <w:rFonts w:eastAsia="Calibri" w:cs="Times New Roman"/>
          <w:i/>
          <w:color w:val="000000"/>
          <w:sz w:val="20"/>
          <w:szCs w:val="20"/>
        </w:rPr>
        <w:t>“</w:t>
      </w:r>
      <w:r w:rsidRPr="00263B58">
        <w:rPr>
          <w:rFonts w:eastAsia="Calibri" w:cs="Times New Roman"/>
          <w:b/>
          <w:bCs/>
          <w:i/>
          <w:color w:val="000000"/>
          <w:sz w:val="20"/>
          <w:szCs w:val="20"/>
        </w:rPr>
        <w:t xml:space="preserve">Incompetencia. </w:t>
      </w:r>
      <w:r w:rsidRPr="00263B58">
        <w:rPr>
          <w:rFonts w:eastAsia="Calibri" w:cs="Times New Roman"/>
          <w:i/>
          <w:color w:val="000000"/>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EF040FB" w14:textId="77777777" w:rsidR="0064268A" w:rsidRPr="00263B58" w:rsidRDefault="0064268A" w:rsidP="00F90A6D">
      <w:pPr>
        <w:spacing w:after="0" w:line="360" w:lineRule="auto"/>
        <w:contextualSpacing/>
        <w:rPr>
          <w:rFonts w:eastAsia="Calibri" w:cs="Times New Roman"/>
          <w:color w:val="000000"/>
          <w:lang w:val="es-ES_tradnl"/>
        </w:rPr>
      </w:pPr>
    </w:p>
    <w:p w14:paraId="21F9BEF8" w14:textId="77777777" w:rsidR="0064268A" w:rsidRPr="00263B58" w:rsidRDefault="0064268A" w:rsidP="00F90A6D">
      <w:pPr>
        <w:spacing w:after="0" w:line="360" w:lineRule="auto"/>
        <w:contextualSpacing/>
        <w:rPr>
          <w:rFonts w:eastAsia="Calibri" w:cs="Times New Roman"/>
          <w:color w:val="000000"/>
          <w:lang w:val="es-ES_tradnl"/>
        </w:rPr>
      </w:pPr>
      <w:r w:rsidRPr="00263B58">
        <w:rPr>
          <w:rFonts w:eastAsia="Calibri" w:cs="Times New Roman"/>
          <w:color w:val="000000"/>
          <w:lang w:val="es-ES_tradnl"/>
        </w:rPr>
        <w:t xml:space="preserve">En tal virtud, la </w:t>
      </w:r>
      <w:r w:rsidRPr="00263B58">
        <w:rPr>
          <w:rFonts w:eastAsia="Calibri" w:cs="Times New Roman"/>
          <w:b/>
          <w:color w:val="000000"/>
          <w:lang w:val="es-ES_tradnl"/>
        </w:rPr>
        <w:t xml:space="preserve">incompetencia </w:t>
      </w:r>
      <w:r w:rsidRPr="00263B58">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051FE526" w14:textId="77777777" w:rsidR="0064268A" w:rsidRPr="00263B58" w:rsidRDefault="0064268A" w:rsidP="00F90A6D">
      <w:pPr>
        <w:spacing w:after="0" w:line="360" w:lineRule="auto"/>
        <w:contextualSpacing/>
        <w:rPr>
          <w:rFonts w:eastAsia="Calibri" w:cs="Times New Roman"/>
          <w:color w:val="000000"/>
          <w:lang w:val="es-ES_tradnl"/>
        </w:rPr>
      </w:pPr>
    </w:p>
    <w:p w14:paraId="1CB9B07D" w14:textId="5D89CE13" w:rsidR="004363FB" w:rsidRPr="00263B58" w:rsidRDefault="0064268A" w:rsidP="00F90A6D">
      <w:pPr>
        <w:spacing w:after="0" w:line="360" w:lineRule="auto"/>
        <w:ind w:right="-28"/>
        <w:contextualSpacing/>
        <w:rPr>
          <w:rFonts w:eastAsia="Calibri" w:cs="Times New Roman"/>
          <w:color w:val="000000"/>
          <w:lang w:val="es-ES_tradnl"/>
        </w:rPr>
      </w:pPr>
      <w:r w:rsidRPr="00263B58">
        <w:rPr>
          <w:rFonts w:eastAsia="Calibri" w:cs="Times New Roman"/>
          <w:color w:val="000000"/>
          <w:lang w:val="es-ES_tradnl"/>
        </w:rPr>
        <w:t xml:space="preserve">En otro orden de ideas, dicho concepto refiere a la </w:t>
      </w:r>
      <w:r w:rsidRPr="00263B58">
        <w:rPr>
          <w:rFonts w:eastAsia="Calibri" w:cs="Times New Roman"/>
          <w:b/>
          <w:bCs/>
          <w:color w:val="000000"/>
          <w:u w:val="single"/>
          <w:lang w:val="es-ES_tradnl"/>
        </w:rPr>
        <w:t>ausencia de atribuciones</w:t>
      </w:r>
      <w:r w:rsidRPr="00263B58">
        <w:rPr>
          <w:rFonts w:eastAsia="Calibri" w:cs="Times New Roman"/>
          <w:color w:val="000000"/>
          <w:lang w:val="es-ES_tradnl"/>
        </w:rPr>
        <w:t xml:space="preserve"> por parte de los Entes sujetos a las Leyes de Transparencia, para contar con la información que se requiere. </w:t>
      </w:r>
    </w:p>
    <w:p w14:paraId="26D65893" w14:textId="77777777" w:rsidR="0064268A" w:rsidRPr="00263B58" w:rsidRDefault="0064268A" w:rsidP="00F90A6D">
      <w:pPr>
        <w:spacing w:after="0" w:line="360" w:lineRule="auto"/>
        <w:ind w:right="-28"/>
        <w:contextualSpacing/>
        <w:rPr>
          <w:rFonts w:eastAsia="Calibri" w:cs="Times New Roman"/>
          <w:color w:val="000000"/>
          <w:lang w:val="es-ES_tradnl"/>
        </w:rPr>
      </w:pPr>
    </w:p>
    <w:p w14:paraId="0554A046" w14:textId="4D56D592" w:rsidR="0064268A" w:rsidRPr="00263B58" w:rsidRDefault="0064268A" w:rsidP="00F90A6D">
      <w:pPr>
        <w:spacing w:after="0" w:line="360" w:lineRule="auto"/>
        <w:ind w:right="-28"/>
        <w:contextualSpacing/>
        <w:rPr>
          <w:rFonts w:eastAsia="Calibri" w:cs="Times New Roman"/>
          <w:color w:val="000000"/>
          <w:lang w:val="es-ES_tradnl"/>
        </w:rPr>
      </w:pPr>
      <w:r w:rsidRPr="00263B58">
        <w:rPr>
          <w:rFonts w:eastAsia="Calibri" w:cs="Times New Roman"/>
          <w:color w:val="000000"/>
          <w:lang w:val="es-ES_tradnl"/>
        </w:rPr>
        <w:lastRenderedPageBreak/>
        <w:t xml:space="preserve">En el presente caso, contrario a lo que sostiene la parte Recurrente, el Sujeto Obligado no es incompetente para conocer y poseer la información requerida, debido a que, dentro de sus atribuciones se encuentra la de compilar las normas jurídicas relacionadas con el ejercicio de las atribuciones del Instituto y emitir opinión al respecto. </w:t>
      </w:r>
    </w:p>
    <w:p w14:paraId="413E1815" w14:textId="77777777" w:rsidR="0064268A" w:rsidRPr="00263B58" w:rsidRDefault="0064268A" w:rsidP="00F90A6D">
      <w:pPr>
        <w:spacing w:after="0" w:line="360" w:lineRule="auto"/>
        <w:ind w:right="-28"/>
        <w:contextualSpacing/>
        <w:rPr>
          <w:rFonts w:eastAsia="Calibri" w:cs="Times New Roman"/>
          <w:color w:val="000000"/>
          <w:lang w:val="es-ES_tradnl"/>
        </w:rPr>
      </w:pPr>
    </w:p>
    <w:p w14:paraId="496F4632" w14:textId="51511CDA" w:rsidR="0064268A" w:rsidRPr="00263B58" w:rsidRDefault="0064268A" w:rsidP="00F90A6D">
      <w:pPr>
        <w:spacing w:after="0" w:line="360" w:lineRule="auto"/>
        <w:ind w:right="-28"/>
        <w:contextualSpacing/>
      </w:pPr>
      <w:r w:rsidRPr="00263B58">
        <w:t xml:space="preserve">Por lo que, al contar con atribuciones para conocer y poseer la información </w:t>
      </w:r>
      <w:r w:rsidR="007E0B70" w:rsidRPr="00263B58">
        <w:t>solicitada</w:t>
      </w:r>
      <w:r w:rsidRPr="00263B58">
        <w:t xml:space="preserve">, se entiende que, el Sujeto Obligado es competente. </w:t>
      </w:r>
    </w:p>
    <w:p w14:paraId="0F06BFBF" w14:textId="77777777" w:rsidR="0064268A" w:rsidRPr="00263B58" w:rsidRDefault="0064268A" w:rsidP="00F90A6D">
      <w:pPr>
        <w:spacing w:after="0" w:line="360" w:lineRule="auto"/>
        <w:ind w:right="-28"/>
        <w:contextualSpacing/>
      </w:pPr>
    </w:p>
    <w:p w14:paraId="629D7D1D" w14:textId="5C1BDD4B" w:rsidR="0064268A" w:rsidRPr="00263B58" w:rsidRDefault="0064268A" w:rsidP="00F90A6D">
      <w:pPr>
        <w:spacing w:after="0" w:line="360" w:lineRule="auto"/>
        <w:ind w:right="-28"/>
        <w:contextualSpacing/>
        <w:rPr>
          <w:b/>
          <w:bCs/>
        </w:rPr>
      </w:pPr>
      <w:r w:rsidRPr="00263B58">
        <w:t>Por otro lado, es menester señalar que, en el presente caso se trata de información que no puede ser proporcionada por el Sujeto Obligado, en razón de que, si bien, cuenta con atribuciones para conocer los decretos de reformas en materia de transparencia, acceso a la información pública y protección de datos personales, también lo es que, en el caso que ahora nos ocupa, no puede proporcionar la información ya que no ha sido poseída y</w:t>
      </w:r>
      <w:r w:rsidR="007E0B70" w:rsidRPr="00263B58">
        <w:t xml:space="preserve">/o </w:t>
      </w:r>
      <w:r w:rsidRPr="00263B58">
        <w:t xml:space="preserve">administrada, derivado a que </w:t>
      </w:r>
      <w:r w:rsidRPr="00263B58">
        <w:rPr>
          <w:b/>
          <w:bCs/>
        </w:rPr>
        <w:t xml:space="preserve">a la fecha de la solicitud de información no existe un decreto de reforma en la materia publicado en la Gaceta del Gobierno del Estado de México. </w:t>
      </w:r>
    </w:p>
    <w:p w14:paraId="581D4833" w14:textId="77777777" w:rsidR="005534A8" w:rsidRPr="00263B58" w:rsidRDefault="005534A8" w:rsidP="00F90A6D">
      <w:pPr>
        <w:spacing w:after="0" w:line="360" w:lineRule="auto"/>
        <w:contextualSpacing/>
      </w:pPr>
    </w:p>
    <w:p w14:paraId="6BDC851A" w14:textId="1AEF4E10" w:rsidR="00D6344D" w:rsidRPr="00263B58" w:rsidRDefault="0064268A" w:rsidP="00F90A6D">
      <w:pPr>
        <w:spacing w:after="0" w:line="360" w:lineRule="auto"/>
        <w:contextualSpacing/>
      </w:pPr>
      <w:r w:rsidRPr="00263B58">
        <w:t>En ese sentido, se considera que, la entrega de la información solicitada resulta lógica y materialmente imposible al no obrar en los archivos del Sujeto Obligado</w:t>
      </w:r>
      <w:r w:rsidR="00F90A6D" w:rsidRPr="00263B58">
        <w:t xml:space="preserve">; por lo que, </w:t>
      </w:r>
      <w:r w:rsidR="00D6344D" w:rsidRPr="00263B58">
        <w:t>se considera que,</w:t>
      </w:r>
      <w:r w:rsidRPr="00263B58">
        <w:t xml:space="preserve"> </w:t>
      </w:r>
      <w:r w:rsidR="00D6344D" w:rsidRPr="00263B58">
        <w:t xml:space="preserve">los agravios hechos valer por el Recurrente devienen </w:t>
      </w:r>
      <w:r w:rsidR="00D6344D" w:rsidRPr="00263B58">
        <w:rPr>
          <w:b/>
        </w:rPr>
        <w:t>INFUNDADOS.</w:t>
      </w:r>
      <w:r w:rsidR="00D6344D" w:rsidRPr="00263B58">
        <w:t xml:space="preserve"> </w:t>
      </w:r>
    </w:p>
    <w:p w14:paraId="16D95251" w14:textId="77777777" w:rsidR="00D6344D" w:rsidRPr="00263B58" w:rsidRDefault="00D6344D" w:rsidP="00F90A6D">
      <w:pPr>
        <w:spacing w:after="0" w:line="360" w:lineRule="auto"/>
        <w:contextualSpacing/>
        <w:rPr>
          <w:rFonts w:cs="Tahoma"/>
        </w:rPr>
      </w:pPr>
    </w:p>
    <w:p w14:paraId="2C00E0FA" w14:textId="14528E54" w:rsidR="0050265B" w:rsidRPr="00263B58" w:rsidRDefault="005534A8" w:rsidP="00F90A6D">
      <w:pPr>
        <w:spacing w:after="0" w:line="360" w:lineRule="auto"/>
        <w:contextualSpacing/>
        <w:rPr>
          <w:rFonts w:cs="Tahoma"/>
        </w:rPr>
      </w:pPr>
      <w:r w:rsidRPr="00263B58">
        <w:rPr>
          <w:rFonts w:cs="Tahoma"/>
        </w:rPr>
        <w:t>D</w:t>
      </w:r>
      <w:r w:rsidR="0050265B" w:rsidRPr="00263B58">
        <w:rPr>
          <w:rFonts w:cs="Tahoma"/>
        </w:rPr>
        <w:t>icha determinación,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F61139E" w14:textId="77777777" w:rsidR="0064268A" w:rsidRPr="00263B58" w:rsidRDefault="0064268A" w:rsidP="00F90A6D">
      <w:pPr>
        <w:spacing w:after="0" w:line="360" w:lineRule="auto"/>
        <w:contextualSpacing/>
        <w:rPr>
          <w:rFonts w:cs="Tahoma"/>
        </w:rPr>
      </w:pPr>
    </w:p>
    <w:p w14:paraId="45C4BBEC" w14:textId="3397BC6F" w:rsidR="0050265B" w:rsidRPr="00263B58" w:rsidRDefault="0050265B" w:rsidP="00F90A6D">
      <w:pPr>
        <w:tabs>
          <w:tab w:val="left" w:pos="4962"/>
        </w:tabs>
        <w:spacing w:after="0" w:line="360" w:lineRule="auto"/>
        <w:rPr>
          <w:rFonts w:cs="Tahoma"/>
        </w:rPr>
      </w:pPr>
      <w:r w:rsidRPr="00263B58">
        <w:rPr>
          <w:rFonts w:cs="Tahoma"/>
        </w:rPr>
        <w:lastRenderedPageBreak/>
        <w:t xml:space="preserve">De esta manera, </w:t>
      </w:r>
      <w:r w:rsidRPr="00263B58">
        <w:rPr>
          <w:rFonts w:cs="Tahoma"/>
          <w:lang w:val="es-ES"/>
        </w:rPr>
        <w:t xml:space="preserve">el derecho de acceso a la información pública se satisface en aquellos casos en que se entregue el soporte documental en el que conste la información solicitada, sin necesidad de elaborar documentos </w:t>
      </w:r>
      <w:r w:rsidRPr="00263B58">
        <w:rPr>
          <w:rFonts w:cs="Tahoma"/>
          <w:i/>
        </w:rPr>
        <w:t>ad hoc</w:t>
      </w:r>
      <w:r w:rsidRPr="00263B58">
        <w:rPr>
          <w:rFonts w:cs="Tahoma"/>
        </w:rPr>
        <w:t>; lo cual, de conformidad con en el artículo 160 de la Ley de Transparencia y Acceso a la Información Pública del Estado de México y Municipios, el cual refiere que los sujetos obligados deberán entregar la informa</w:t>
      </w:r>
      <w:r w:rsidR="005534A8" w:rsidRPr="00263B58">
        <w:rPr>
          <w:rFonts w:cs="Tahoma"/>
        </w:rPr>
        <w:t xml:space="preserve">ción que obre en sus archivos. </w:t>
      </w:r>
    </w:p>
    <w:p w14:paraId="0052C7EA" w14:textId="77777777" w:rsidR="005534A8" w:rsidRPr="00263B58" w:rsidRDefault="005534A8" w:rsidP="00F90A6D">
      <w:pPr>
        <w:tabs>
          <w:tab w:val="left" w:pos="4962"/>
        </w:tabs>
        <w:spacing w:after="0" w:line="360" w:lineRule="auto"/>
        <w:rPr>
          <w:rFonts w:cs="Tahoma"/>
        </w:rPr>
      </w:pPr>
    </w:p>
    <w:p w14:paraId="2C821C28" w14:textId="19A7413E" w:rsidR="0050265B" w:rsidRPr="00263B58" w:rsidRDefault="0050265B" w:rsidP="00F90A6D">
      <w:pPr>
        <w:spacing w:after="0" w:line="360" w:lineRule="auto"/>
        <w:rPr>
          <w:rFonts w:cs="Tahoma"/>
          <w:lang w:val="es-ES"/>
        </w:rPr>
      </w:pPr>
      <w:r w:rsidRPr="00263B58">
        <w:rPr>
          <w:rFonts w:cs="Tahoma"/>
          <w:lang w:val="es-ES"/>
        </w:rPr>
        <w:t>De tales circunstancias, se concluye que los sujetos obligados únicamente se encuentran constreñidos a proporcionar la información que dé cuenta de lo peticionado, como obre en sus archivos, sin tener que elaborarlos conforme a l</w:t>
      </w:r>
      <w:r w:rsidR="00D6344D" w:rsidRPr="00263B58">
        <w:rPr>
          <w:rFonts w:cs="Tahoma"/>
          <w:lang w:val="es-ES"/>
        </w:rPr>
        <w:t xml:space="preserve">as necesidades del Recurrente. </w:t>
      </w:r>
    </w:p>
    <w:p w14:paraId="56D90762" w14:textId="77777777" w:rsidR="00F90A6D" w:rsidRPr="00263B58" w:rsidRDefault="00F90A6D" w:rsidP="00F90A6D">
      <w:pPr>
        <w:spacing w:after="0" w:line="360" w:lineRule="auto"/>
        <w:rPr>
          <w:rFonts w:cs="Tahoma"/>
          <w:lang w:val="es-ES"/>
        </w:rPr>
      </w:pPr>
    </w:p>
    <w:p w14:paraId="167EF11E" w14:textId="77777777" w:rsidR="0050265B" w:rsidRPr="00263B58" w:rsidRDefault="0050265B" w:rsidP="00F90A6D">
      <w:pPr>
        <w:spacing w:after="0" w:line="360" w:lineRule="auto"/>
        <w:contextualSpacing/>
        <w:rPr>
          <w:b/>
          <w:bCs/>
        </w:rPr>
      </w:pPr>
      <w:r w:rsidRPr="00263B58">
        <w:rPr>
          <w:b/>
          <w:bCs/>
        </w:rPr>
        <w:t>SEXTO. Decisión</w:t>
      </w:r>
    </w:p>
    <w:p w14:paraId="1EF4C36C" w14:textId="77777777" w:rsidR="0050265B" w:rsidRPr="00263B58" w:rsidRDefault="0050265B" w:rsidP="00F90A6D">
      <w:pPr>
        <w:spacing w:after="0" w:line="360" w:lineRule="auto"/>
        <w:contextualSpacing/>
      </w:pPr>
    </w:p>
    <w:p w14:paraId="2EF9D091" w14:textId="77777777" w:rsidR="0050265B" w:rsidRPr="00263B58" w:rsidRDefault="0050265B" w:rsidP="00F90A6D">
      <w:pPr>
        <w:spacing w:after="0" w:line="360" w:lineRule="auto"/>
        <w:contextualSpacing/>
        <w:rPr>
          <w:rFonts w:cs="Tahoma"/>
        </w:rPr>
      </w:pPr>
      <w:r w:rsidRPr="00263B58">
        <w:rPr>
          <w:rFonts w:cs="Tahoma"/>
        </w:rPr>
        <w:t xml:space="preserve">Con fundamento en el artículo 186, fracción II, de la Ley de Transparencia y Acceso a la Información Pública del Estado de México y Municipios, este Instituto considera procedente </w:t>
      </w:r>
      <w:r w:rsidRPr="00263B58">
        <w:rPr>
          <w:rFonts w:cs="Tahoma"/>
          <w:b/>
        </w:rPr>
        <w:t xml:space="preserve">CONFIRMAR </w:t>
      </w:r>
      <w:r w:rsidRPr="00263B58">
        <w:rPr>
          <w:rFonts w:cs="Tahoma"/>
        </w:rPr>
        <w:t xml:space="preserve">la respuesta otorgada por el Sujeto Obligado. </w:t>
      </w:r>
    </w:p>
    <w:p w14:paraId="40C30558" w14:textId="77777777" w:rsidR="0050265B" w:rsidRPr="00263B58" w:rsidRDefault="0050265B" w:rsidP="00F90A6D">
      <w:pPr>
        <w:tabs>
          <w:tab w:val="left" w:pos="4962"/>
        </w:tabs>
        <w:spacing w:after="0" w:line="360" w:lineRule="auto"/>
        <w:contextualSpacing/>
        <w:rPr>
          <w:rFonts w:cs="Tahoma"/>
        </w:rPr>
      </w:pPr>
    </w:p>
    <w:p w14:paraId="14B0E36D" w14:textId="075D3484" w:rsidR="0050265B" w:rsidRPr="00263B58" w:rsidRDefault="0050265B" w:rsidP="00F90A6D">
      <w:pPr>
        <w:spacing w:after="0" w:line="360" w:lineRule="auto"/>
        <w:contextualSpacing/>
        <w:rPr>
          <w:rFonts w:eastAsia="Calibri" w:cs="Tahoma"/>
          <w:b/>
          <w:bCs/>
        </w:rPr>
      </w:pPr>
      <w:r w:rsidRPr="00263B58">
        <w:rPr>
          <w:rFonts w:eastAsia="Calibri" w:cs="Tahoma"/>
          <w:b/>
          <w:bCs/>
        </w:rPr>
        <w:t>Términos de la Resolución p</w:t>
      </w:r>
      <w:r w:rsidR="00F95DAF" w:rsidRPr="00263B58">
        <w:rPr>
          <w:rFonts w:eastAsia="Calibri" w:cs="Tahoma"/>
          <w:b/>
          <w:bCs/>
        </w:rPr>
        <w:t>ara conocimiento del Particular</w:t>
      </w:r>
    </w:p>
    <w:p w14:paraId="611199FF" w14:textId="77777777" w:rsidR="0050265B" w:rsidRPr="00263B58" w:rsidRDefault="0050265B" w:rsidP="00F90A6D">
      <w:pPr>
        <w:spacing w:after="0" w:line="360" w:lineRule="auto"/>
        <w:contextualSpacing/>
        <w:rPr>
          <w:rFonts w:eastAsia="Calibri" w:cs="Tahoma"/>
          <w:b/>
          <w:bCs/>
        </w:rPr>
      </w:pPr>
    </w:p>
    <w:p w14:paraId="176936BE" w14:textId="70BC69BC" w:rsidR="005534A8" w:rsidRPr="00263B58" w:rsidRDefault="0050265B" w:rsidP="00F90A6D">
      <w:pPr>
        <w:widowControl w:val="0"/>
        <w:spacing w:after="0" w:line="360" w:lineRule="auto"/>
        <w:contextualSpacing/>
        <w:rPr>
          <w:rFonts w:eastAsia="Calibri" w:cs="Tahoma"/>
          <w:bCs/>
          <w:iCs/>
          <w:color w:val="000000"/>
        </w:rPr>
      </w:pPr>
      <w:r w:rsidRPr="00263B58">
        <w:rPr>
          <w:rFonts w:eastAsia="Calibri" w:cs="Tahoma"/>
          <w:bCs/>
          <w:iCs/>
          <w:color w:val="000000"/>
        </w:rPr>
        <w:t xml:space="preserve">Se le hace del conocimiento al Particular, que, en el presente caso, no se le da la razón pues el Sujeto Obligado, </w:t>
      </w:r>
      <w:r w:rsidR="00D6344D" w:rsidRPr="00263B58">
        <w:rPr>
          <w:rFonts w:eastAsia="Calibri" w:cs="Tahoma"/>
          <w:bCs/>
          <w:iCs/>
          <w:color w:val="000000"/>
        </w:rPr>
        <w:t xml:space="preserve">no </w:t>
      </w:r>
      <w:r w:rsidR="0064268A" w:rsidRPr="00263B58">
        <w:rPr>
          <w:rFonts w:eastAsia="Calibri" w:cs="Tahoma"/>
          <w:bCs/>
          <w:iCs/>
          <w:color w:val="000000"/>
        </w:rPr>
        <w:t xml:space="preserve"> cuenta </w:t>
      </w:r>
      <w:r w:rsidR="00D6344D" w:rsidRPr="00263B58">
        <w:rPr>
          <w:rFonts w:eastAsia="Calibri" w:cs="Tahoma"/>
          <w:bCs/>
          <w:iCs/>
          <w:color w:val="000000"/>
        </w:rPr>
        <w:t xml:space="preserve">con el documento requerido </w:t>
      </w:r>
      <w:r w:rsidR="0064268A" w:rsidRPr="00263B58">
        <w:rPr>
          <w:rFonts w:eastAsia="Calibri" w:cs="Tahoma"/>
          <w:bCs/>
          <w:iCs/>
          <w:color w:val="000000"/>
        </w:rPr>
        <w:t xml:space="preserve">en razón de que aún no ha sido publicado en la Gaceta de Gobierno del Estado de México. </w:t>
      </w:r>
    </w:p>
    <w:p w14:paraId="7004CBED" w14:textId="77777777" w:rsidR="005534A8" w:rsidRPr="00263B58" w:rsidRDefault="005534A8" w:rsidP="00F90A6D">
      <w:pPr>
        <w:widowControl w:val="0"/>
        <w:spacing w:after="0" w:line="360" w:lineRule="auto"/>
        <w:contextualSpacing/>
        <w:rPr>
          <w:rFonts w:eastAsia="Calibri" w:cs="Tahoma"/>
          <w:bCs/>
          <w:iCs/>
          <w:color w:val="000000"/>
        </w:rPr>
      </w:pPr>
    </w:p>
    <w:p w14:paraId="707840F5" w14:textId="33D15999" w:rsidR="0050265B" w:rsidRPr="00263B58" w:rsidRDefault="0050265B" w:rsidP="00F90A6D">
      <w:pPr>
        <w:widowControl w:val="0"/>
        <w:spacing w:after="0" w:line="360" w:lineRule="auto"/>
        <w:contextualSpacing/>
        <w:rPr>
          <w:rFonts w:eastAsia="Calibri" w:cs="Tahoma"/>
          <w:bCs/>
          <w:iCs/>
        </w:rPr>
      </w:pPr>
      <w:r w:rsidRPr="00263B58">
        <w:rPr>
          <w:rFonts w:eastAsia="Calibri" w:cs="Tahoma"/>
          <w:bCs/>
          <w:iCs/>
        </w:rPr>
        <w:t>La labor de este Instituto, es apoyar a la población a acceder a la información pública y garantizar la protección de sus datos personales.</w:t>
      </w:r>
    </w:p>
    <w:p w14:paraId="4FF9B94F" w14:textId="77777777" w:rsidR="00D6344D" w:rsidRPr="00263B58" w:rsidRDefault="00D6344D" w:rsidP="00F90A6D">
      <w:pPr>
        <w:widowControl w:val="0"/>
        <w:spacing w:after="0" w:line="360" w:lineRule="auto"/>
        <w:contextualSpacing/>
        <w:rPr>
          <w:rFonts w:eastAsia="Calibri" w:cs="Tahoma"/>
          <w:bCs/>
          <w:iCs/>
          <w:color w:val="000000"/>
        </w:rPr>
      </w:pPr>
    </w:p>
    <w:p w14:paraId="5060FA34" w14:textId="77777777" w:rsidR="0050265B" w:rsidRPr="00263B58" w:rsidRDefault="0050265B" w:rsidP="00F90A6D">
      <w:pPr>
        <w:spacing w:after="0" w:line="360" w:lineRule="auto"/>
        <w:contextualSpacing/>
        <w:rPr>
          <w:rFonts w:eastAsia="Calibri"/>
        </w:rPr>
      </w:pPr>
      <w:r w:rsidRPr="00263B58">
        <w:rPr>
          <w:rFonts w:eastAsia="Calibri"/>
        </w:rPr>
        <w:t>Por lo expuesto y fundado, este Pleno:</w:t>
      </w:r>
    </w:p>
    <w:p w14:paraId="3D0731FC" w14:textId="77777777" w:rsidR="0050265B" w:rsidRPr="00263B58" w:rsidRDefault="0050265B" w:rsidP="00F90A6D">
      <w:pPr>
        <w:pStyle w:val="Ttulo1"/>
        <w:spacing w:before="0" w:after="0"/>
        <w:contextualSpacing/>
        <w:rPr>
          <w:rFonts w:eastAsia="Calibri"/>
          <w:b w:val="0"/>
          <w:bCs/>
          <w:color w:val="auto"/>
          <w:sz w:val="22"/>
          <w:szCs w:val="22"/>
        </w:rPr>
      </w:pPr>
      <w:bookmarkStart w:id="22" w:name="_Toc203043404"/>
      <w:bookmarkStart w:id="23" w:name="_Toc206067766"/>
      <w:r w:rsidRPr="00263B58">
        <w:rPr>
          <w:rFonts w:eastAsia="Calibri"/>
          <w:bCs/>
          <w:color w:val="auto"/>
          <w:sz w:val="22"/>
          <w:szCs w:val="22"/>
        </w:rPr>
        <w:lastRenderedPageBreak/>
        <w:t>R E S U E L V E</w:t>
      </w:r>
      <w:bookmarkEnd w:id="22"/>
      <w:bookmarkEnd w:id="23"/>
    </w:p>
    <w:p w14:paraId="581569A3" w14:textId="77777777" w:rsidR="0050265B" w:rsidRPr="00263B58" w:rsidRDefault="0050265B" w:rsidP="00F90A6D">
      <w:pPr>
        <w:spacing w:after="0" w:line="360" w:lineRule="auto"/>
        <w:ind w:right="-28"/>
        <w:contextualSpacing/>
        <w:rPr>
          <w:rFonts w:cs="Tahoma"/>
          <w:b/>
          <w:bCs/>
        </w:rPr>
      </w:pPr>
    </w:p>
    <w:p w14:paraId="48826AEE" w14:textId="134DE860" w:rsidR="0050265B" w:rsidRPr="00263B58" w:rsidRDefault="0050265B" w:rsidP="00F90A6D">
      <w:pPr>
        <w:spacing w:after="0" w:line="360" w:lineRule="auto"/>
        <w:contextualSpacing/>
        <w:rPr>
          <w:rFonts w:eastAsia="Calibri" w:cs="Tahoma"/>
          <w:iCs/>
        </w:rPr>
      </w:pPr>
      <w:r w:rsidRPr="00263B58">
        <w:rPr>
          <w:rFonts w:eastAsia="Calibri" w:cs="Tahoma"/>
          <w:b/>
          <w:iCs/>
        </w:rPr>
        <w:t>PRIMERO.</w:t>
      </w:r>
      <w:r w:rsidRPr="00263B58">
        <w:rPr>
          <w:rFonts w:eastAsia="Calibri" w:cs="Tahoma"/>
          <w:bCs/>
          <w:iCs/>
        </w:rPr>
        <w:t xml:space="preserve"> Se </w:t>
      </w:r>
      <w:r w:rsidRPr="00263B58">
        <w:rPr>
          <w:rFonts w:eastAsia="Calibri" w:cs="Tahoma"/>
          <w:b/>
          <w:bCs/>
          <w:iCs/>
        </w:rPr>
        <w:t xml:space="preserve">CONFIRMA </w:t>
      </w:r>
      <w:r w:rsidRPr="00263B58">
        <w:rPr>
          <w:rFonts w:eastAsia="Calibri" w:cs="Tahoma"/>
          <w:iCs/>
        </w:rPr>
        <w:t xml:space="preserve">la respuesta entregada por el </w:t>
      </w:r>
      <w:r w:rsidR="007E0B70" w:rsidRPr="00263B58">
        <w:rPr>
          <w:rFonts w:eastAsia="Calibri" w:cs="Tahoma"/>
          <w:iCs/>
        </w:rPr>
        <w:t xml:space="preserve">Instituto de Transparencia, Acceso a la Información Pública y Protección de Datos Personales del Estado de México y Municipios </w:t>
      </w:r>
      <w:r w:rsidRPr="00263B58">
        <w:rPr>
          <w:rFonts w:eastAsia="Calibri" w:cs="Tahoma"/>
          <w:iCs/>
        </w:rPr>
        <w:t xml:space="preserve">a la solicitud de acceso a la información </w:t>
      </w:r>
      <w:r w:rsidRPr="00263B58">
        <w:rPr>
          <w:rFonts w:cs="Tahoma"/>
          <w:color w:val="0D0D0D" w:themeColor="text1" w:themeTint="F2"/>
        </w:rPr>
        <w:t>con número de folio</w:t>
      </w:r>
      <w:r w:rsidRPr="00263B58">
        <w:rPr>
          <w:b/>
          <w:bCs/>
          <w:color w:val="FF0000"/>
        </w:rPr>
        <w:t> </w:t>
      </w:r>
      <w:r w:rsidR="00D6344D" w:rsidRPr="00263B58">
        <w:rPr>
          <w:bCs/>
        </w:rPr>
        <w:t>00</w:t>
      </w:r>
      <w:r w:rsidR="0064268A" w:rsidRPr="00263B58">
        <w:rPr>
          <w:bCs/>
        </w:rPr>
        <w:t>624</w:t>
      </w:r>
      <w:r w:rsidR="00A868B1" w:rsidRPr="00263B58">
        <w:rPr>
          <w:bCs/>
        </w:rPr>
        <w:t>/</w:t>
      </w:r>
      <w:r w:rsidR="0064268A" w:rsidRPr="00263B58">
        <w:rPr>
          <w:bCs/>
        </w:rPr>
        <w:t>INFOEM</w:t>
      </w:r>
      <w:r w:rsidR="00A868B1" w:rsidRPr="00263B58">
        <w:rPr>
          <w:bCs/>
        </w:rPr>
        <w:t>/IP/2025</w:t>
      </w:r>
      <w:r w:rsidRPr="00263B58">
        <w:rPr>
          <w:rFonts w:cs="Tahoma"/>
          <w:bCs/>
          <w:color w:val="0D0D0D" w:themeColor="text1" w:themeTint="F2"/>
        </w:rPr>
        <w:t xml:space="preserve">, </w:t>
      </w:r>
      <w:r w:rsidRPr="00263B58">
        <w:rPr>
          <w:rFonts w:eastAsia="Calibri" w:cs="Tahoma"/>
          <w:bCs/>
          <w:iCs/>
        </w:rPr>
        <w:t xml:space="preserve">por resultar </w:t>
      </w:r>
      <w:r w:rsidRPr="00263B58">
        <w:rPr>
          <w:rFonts w:eastAsia="Calibri" w:cs="Tahoma"/>
          <w:b/>
          <w:bCs/>
          <w:iCs/>
        </w:rPr>
        <w:t>INFUNDADAS</w:t>
      </w:r>
      <w:r w:rsidRPr="00263B58">
        <w:rPr>
          <w:rFonts w:eastAsia="Calibri" w:cs="Tahoma"/>
          <w:bCs/>
          <w:iCs/>
        </w:rPr>
        <w:t xml:space="preserve"> las razón o motivo de inconformidad hecho valer por el Recurrente, en términos de los Considerandos </w:t>
      </w:r>
      <w:r w:rsidRPr="00263B58">
        <w:rPr>
          <w:rFonts w:eastAsia="Calibri" w:cs="Tahoma"/>
          <w:iCs/>
        </w:rPr>
        <w:t>QUINTO y SEXTO de esta Resolución.</w:t>
      </w:r>
    </w:p>
    <w:p w14:paraId="4E4D08B2" w14:textId="77777777" w:rsidR="0050265B" w:rsidRPr="00263B58" w:rsidRDefault="0050265B" w:rsidP="00F90A6D">
      <w:pPr>
        <w:spacing w:after="0" w:line="360" w:lineRule="auto"/>
        <w:contextualSpacing/>
        <w:rPr>
          <w:rFonts w:eastAsia="Calibri" w:cs="Tahoma"/>
          <w:bCs/>
          <w:iCs/>
        </w:rPr>
      </w:pPr>
    </w:p>
    <w:p w14:paraId="7C538581" w14:textId="77777777" w:rsidR="0050265B" w:rsidRPr="00263B58" w:rsidRDefault="0050265B" w:rsidP="00F90A6D">
      <w:pPr>
        <w:spacing w:after="0" w:line="360" w:lineRule="auto"/>
        <w:contextualSpacing/>
        <w:rPr>
          <w:rFonts w:eastAsia="Calibri" w:cs="Tahoma"/>
          <w:bCs/>
          <w:i/>
          <w:iCs/>
        </w:rPr>
      </w:pPr>
      <w:r w:rsidRPr="00263B58">
        <w:rPr>
          <w:rFonts w:eastAsia="Calibri" w:cs="Tahoma"/>
          <w:b/>
          <w:bCs/>
          <w:iCs/>
        </w:rPr>
        <w:t xml:space="preserve">SEGUNDO. NOTIFÍQUESE POR SAIMEX </w:t>
      </w:r>
      <w:r w:rsidRPr="00263B58">
        <w:rPr>
          <w:rFonts w:eastAsia="Calibri" w:cs="Tahoma"/>
          <w:bCs/>
          <w:iCs/>
        </w:rPr>
        <w:t>la presente resolución al Titular de la Unidad de Transparencia del Sujeto Obligado.</w:t>
      </w:r>
    </w:p>
    <w:p w14:paraId="2B3594D5" w14:textId="77777777" w:rsidR="0050265B" w:rsidRPr="00263B58" w:rsidRDefault="0050265B" w:rsidP="00F90A6D">
      <w:pPr>
        <w:spacing w:after="0" w:line="360" w:lineRule="auto"/>
        <w:contextualSpacing/>
        <w:rPr>
          <w:rFonts w:eastAsia="Calibri" w:cs="Tahoma"/>
          <w:bCs/>
          <w:iCs/>
        </w:rPr>
      </w:pPr>
    </w:p>
    <w:p w14:paraId="419B89AB" w14:textId="77777777" w:rsidR="0050265B" w:rsidRPr="00263B58" w:rsidRDefault="0050265B" w:rsidP="00F90A6D">
      <w:pPr>
        <w:spacing w:after="0" w:line="360" w:lineRule="auto"/>
        <w:contextualSpacing/>
        <w:rPr>
          <w:rFonts w:eastAsia="Calibri" w:cs="Tahoma"/>
          <w:bCs/>
          <w:iCs/>
        </w:rPr>
      </w:pPr>
      <w:r w:rsidRPr="00263B58">
        <w:rPr>
          <w:rFonts w:eastAsia="Calibri" w:cs="Tahoma"/>
          <w:b/>
          <w:bCs/>
          <w:iCs/>
        </w:rPr>
        <w:t>TERCERO. NOTIFÍQUESE POR SAIMEX</w:t>
      </w:r>
      <w:r w:rsidRPr="00263B58">
        <w:rPr>
          <w:rFonts w:eastAsia="Calibri" w:cs="Tahoma"/>
          <w:bCs/>
          <w:iC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6FD3A3E" w14:textId="77777777" w:rsidR="0050265B" w:rsidRPr="00263B58" w:rsidRDefault="0050265B" w:rsidP="00F90A6D">
      <w:pPr>
        <w:spacing w:after="0" w:line="360" w:lineRule="auto"/>
        <w:contextualSpacing/>
        <w:rPr>
          <w:rFonts w:eastAsia="Calibri" w:cs="Tahoma"/>
          <w:iCs/>
        </w:rPr>
      </w:pPr>
    </w:p>
    <w:p w14:paraId="3BB01D30" w14:textId="5864DBC0" w:rsidR="0050265B" w:rsidRPr="00DD2CF2" w:rsidRDefault="0050265B" w:rsidP="00F90A6D">
      <w:pPr>
        <w:spacing w:after="0" w:line="360" w:lineRule="auto"/>
        <w:contextualSpacing/>
        <w:rPr>
          <w:rFonts w:eastAsia="Calibri" w:cs="Tahoma"/>
          <w:iCs/>
        </w:rPr>
      </w:pPr>
      <w:r w:rsidRPr="00263B58">
        <w:rPr>
          <w:rFonts w:eastAsia="Calibri" w:cs="Tahoma"/>
          <w:iCs/>
        </w:rPr>
        <w:t xml:space="preserve">ASÍ LO RESUELVE, POR </w:t>
      </w:r>
      <w:r w:rsidRPr="00263B58">
        <w:rPr>
          <w:rFonts w:eastAsia="Calibri" w:cs="Tahoma"/>
          <w:b/>
          <w:bCs/>
          <w:iCs/>
        </w:rPr>
        <w:t>UNANIMIDAD</w:t>
      </w:r>
      <w:r w:rsidRPr="00263B58">
        <w:rPr>
          <w:rFonts w:eastAsia="Calibri" w:cs="Tahoma"/>
          <w:iCs/>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F90A6D" w:rsidRPr="00263B58">
        <w:rPr>
          <w:rFonts w:eastAsia="Calibri" w:cs="Tahoma"/>
          <w:iCs/>
        </w:rPr>
        <w:t xml:space="preserve"> (AUSENCIA JUSTIFICADA)</w:t>
      </w:r>
      <w:r w:rsidRPr="00263B58">
        <w:rPr>
          <w:rFonts w:eastAsia="Calibri" w:cs="Tahoma"/>
          <w:iCs/>
        </w:rPr>
        <w:t xml:space="preserve">, SHARON CRISTINA MORALES MARTÍNEZ, LUIS GUSTAVO PARRA NORIEGA Y GUADALUPE RAMÍREZ PEÑA, EN LA </w:t>
      </w:r>
      <w:r w:rsidR="00D6344D" w:rsidRPr="00263B58">
        <w:rPr>
          <w:rFonts w:eastAsia="Calibri" w:cs="Tahoma"/>
          <w:iCs/>
        </w:rPr>
        <w:t>TRIGÉSIMA</w:t>
      </w:r>
      <w:r w:rsidRPr="00263B58">
        <w:rPr>
          <w:rFonts w:eastAsia="Calibri" w:cs="Tahoma"/>
          <w:iCs/>
        </w:rPr>
        <w:t xml:space="preserve"> </w:t>
      </w:r>
      <w:r w:rsidR="007E0B70" w:rsidRPr="00263B58">
        <w:rPr>
          <w:rFonts w:eastAsia="Calibri" w:cs="Tahoma"/>
          <w:iCs/>
        </w:rPr>
        <w:t xml:space="preserve">PRIMERA </w:t>
      </w:r>
      <w:r w:rsidRPr="00263B58">
        <w:rPr>
          <w:rFonts w:eastAsia="Calibri" w:cs="Tahoma"/>
          <w:iCs/>
        </w:rPr>
        <w:t xml:space="preserve">SESIÓN ORDINARIA, CELEBRADA EL </w:t>
      </w:r>
      <w:r w:rsidR="007E0B70" w:rsidRPr="00263B58">
        <w:rPr>
          <w:rFonts w:eastAsia="Calibri" w:cs="Tahoma"/>
          <w:iCs/>
        </w:rPr>
        <w:t>TRES DE SEPTIEMBRE</w:t>
      </w:r>
      <w:r w:rsidRPr="00263B58">
        <w:rPr>
          <w:rFonts w:eastAsia="Calibri" w:cs="Tahoma"/>
          <w:iCs/>
        </w:rPr>
        <w:t xml:space="preserve"> DE DOS MIL VEINTICINCO, ANTE EL SECRETARIO TÉCNICO DEL PLENO, ALEXIS TAPIA RAMÍREZ.</w:t>
      </w:r>
    </w:p>
    <w:p w14:paraId="6E5C8AE8" w14:textId="77777777" w:rsidR="0050265B" w:rsidRPr="00DD2CF2" w:rsidRDefault="0050265B" w:rsidP="00F90A6D">
      <w:pPr>
        <w:spacing w:after="0" w:line="360" w:lineRule="auto"/>
        <w:contextualSpacing/>
        <w:rPr>
          <w:rFonts w:eastAsia="Calibri" w:cs="Tahoma"/>
          <w:color w:val="000000"/>
          <w:lang w:val="es-ES"/>
        </w:rPr>
      </w:pPr>
    </w:p>
    <w:p w14:paraId="6F49E9A1" w14:textId="77777777" w:rsidR="0050265B" w:rsidRDefault="0050265B" w:rsidP="00F90A6D">
      <w:pPr>
        <w:spacing w:after="0" w:line="360" w:lineRule="auto"/>
        <w:contextualSpacing/>
      </w:pPr>
    </w:p>
    <w:p w14:paraId="2713F9E3" w14:textId="77777777" w:rsidR="00526EAE" w:rsidRDefault="00526EAE" w:rsidP="00F90A6D">
      <w:pPr>
        <w:spacing w:after="0" w:line="360" w:lineRule="auto"/>
        <w:contextualSpacing/>
      </w:pPr>
    </w:p>
    <w:p w14:paraId="2A05D92E" w14:textId="77777777" w:rsidR="00526EAE" w:rsidRPr="00DD2CF2" w:rsidRDefault="00526EAE" w:rsidP="00F90A6D">
      <w:pPr>
        <w:spacing w:after="0" w:line="360" w:lineRule="auto"/>
        <w:contextualSpacing/>
      </w:pPr>
    </w:p>
    <w:p w14:paraId="5E68A960" w14:textId="31DC06F0" w:rsidR="00CE58A5" w:rsidRDefault="00CE58A5" w:rsidP="00F90A6D">
      <w:pPr>
        <w:spacing w:after="0" w:line="360" w:lineRule="auto"/>
        <w:contextualSpacing/>
      </w:pPr>
    </w:p>
    <w:p w14:paraId="16E95D6E" w14:textId="77777777" w:rsidR="00766BF3" w:rsidRDefault="00766BF3" w:rsidP="00F90A6D">
      <w:pPr>
        <w:spacing w:after="0" w:line="360" w:lineRule="auto"/>
        <w:contextualSpacing/>
      </w:pPr>
    </w:p>
    <w:p w14:paraId="11B21104" w14:textId="77777777" w:rsidR="00766BF3" w:rsidRDefault="00766BF3" w:rsidP="00F90A6D">
      <w:pPr>
        <w:spacing w:after="0" w:line="360" w:lineRule="auto"/>
        <w:contextualSpacing/>
      </w:pPr>
    </w:p>
    <w:p w14:paraId="774387F0" w14:textId="77777777" w:rsidR="00766BF3" w:rsidRDefault="00766BF3" w:rsidP="00F90A6D">
      <w:pPr>
        <w:spacing w:after="0" w:line="360" w:lineRule="auto"/>
        <w:contextualSpacing/>
      </w:pPr>
    </w:p>
    <w:p w14:paraId="74C2F8F2" w14:textId="77777777" w:rsidR="00766BF3" w:rsidRDefault="00766BF3" w:rsidP="00F90A6D">
      <w:pPr>
        <w:spacing w:after="0" w:line="360" w:lineRule="auto"/>
        <w:contextualSpacing/>
      </w:pPr>
    </w:p>
    <w:p w14:paraId="76D5585E" w14:textId="77777777" w:rsidR="00766BF3" w:rsidRDefault="00766BF3" w:rsidP="00F90A6D">
      <w:pPr>
        <w:spacing w:after="0" w:line="360" w:lineRule="auto"/>
        <w:contextualSpacing/>
      </w:pPr>
    </w:p>
    <w:p w14:paraId="71AC031C" w14:textId="77777777" w:rsidR="00766BF3" w:rsidRDefault="00766BF3" w:rsidP="00F90A6D">
      <w:pPr>
        <w:spacing w:after="0" w:line="360" w:lineRule="auto"/>
        <w:contextualSpacing/>
      </w:pPr>
    </w:p>
    <w:p w14:paraId="6F0037D7" w14:textId="77777777" w:rsidR="00766BF3" w:rsidRDefault="00766BF3" w:rsidP="00F90A6D">
      <w:pPr>
        <w:spacing w:after="0" w:line="360" w:lineRule="auto"/>
        <w:contextualSpacing/>
      </w:pPr>
    </w:p>
    <w:p w14:paraId="766B17E2" w14:textId="77777777" w:rsidR="00766BF3" w:rsidRDefault="00766BF3" w:rsidP="00F90A6D">
      <w:pPr>
        <w:spacing w:after="0" w:line="360" w:lineRule="auto"/>
        <w:contextualSpacing/>
      </w:pPr>
    </w:p>
    <w:p w14:paraId="05801EC8" w14:textId="77777777" w:rsidR="00766BF3" w:rsidRDefault="00766BF3" w:rsidP="00F90A6D">
      <w:pPr>
        <w:spacing w:after="0" w:line="360" w:lineRule="auto"/>
        <w:contextualSpacing/>
      </w:pPr>
    </w:p>
    <w:p w14:paraId="1F29A4DE" w14:textId="77777777" w:rsidR="00766BF3" w:rsidRDefault="00766BF3" w:rsidP="00F90A6D">
      <w:pPr>
        <w:spacing w:after="0" w:line="360" w:lineRule="auto"/>
        <w:contextualSpacing/>
      </w:pPr>
    </w:p>
    <w:p w14:paraId="1BA693B2" w14:textId="77777777" w:rsidR="00766BF3" w:rsidRDefault="00766BF3" w:rsidP="00F90A6D">
      <w:pPr>
        <w:spacing w:after="0" w:line="360" w:lineRule="auto"/>
        <w:contextualSpacing/>
      </w:pPr>
    </w:p>
    <w:p w14:paraId="607CCC3C" w14:textId="77777777" w:rsidR="00766BF3" w:rsidRDefault="00766BF3" w:rsidP="00F90A6D">
      <w:pPr>
        <w:spacing w:after="0" w:line="360" w:lineRule="auto"/>
        <w:contextualSpacing/>
      </w:pPr>
    </w:p>
    <w:p w14:paraId="2EB3F8F5" w14:textId="77777777" w:rsidR="00766BF3" w:rsidRDefault="00766BF3" w:rsidP="00F90A6D">
      <w:pPr>
        <w:spacing w:after="0" w:line="360" w:lineRule="auto"/>
        <w:contextualSpacing/>
      </w:pPr>
    </w:p>
    <w:p w14:paraId="49629CB4" w14:textId="77777777" w:rsidR="00766BF3" w:rsidRDefault="00766BF3" w:rsidP="00F90A6D">
      <w:pPr>
        <w:spacing w:after="0" w:line="360" w:lineRule="auto"/>
        <w:contextualSpacing/>
      </w:pPr>
    </w:p>
    <w:p w14:paraId="55374195" w14:textId="77777777" w:rsidR="00766BF3" w:rsidRDefault="00766BF3" w:rsidP="00F90A6D">
      <w:pPr>
        <w:spacing w:after="0" w:line="360" w:lineRule="auto"/>
        <w:contextualSpacing/>
      </w:pPr>
    </w:p>
    <w:p w14:paraId="43DBC92B" w14:textId="77777777" w:rsidR="00766BF3" w:rsidRDefault="00766BF3" w:rsidP="00F90A6D">
      <w:pPr>
        <w:spacing w:after="0" w:line="360" w:lineRule="auto"/>
        <w:contextualSpacing/>
      </w:pPr>
    </w:p>
    <w:p w14:paraId="61C160DE" w14:textId="77777777" w:rsidR="00766BF3" w:rsidRDefault="00766BF3" w:rsidP="00F90A6D">
      <w:pPr>
        <w:spacing w:after="0" w:line="360" w:lineRule="auto"/>
        <w:contextualSpacing/>
      </w:pPr>
    </w:p>
    <w:p w14:paraId="7B4A6D93" w14:textId="77777777" w:rsidR="00766BF3" w:rsidRDefault="00766BF3" w:rsidP="00F90A6D">
      <w:pPr>
        <w:spacing w:after="0" w:line="360" w:lineRule="auto"/>
        <w:contextualSpacing/>
      </w:pPr>
    </w:p>
    <w:sectPr w:rsidR="00766BF3" w:rsidSect="00F90A6D">
      <w:headerReference w:type="even" r:id="rId10"/>
      <w:headerReference w:type="default" r:id="rId11"/>
      <w:footerReference w:type="even" r:id="rId12"/>
      <w:footerReference w:type="default" r:id="rId13"/>
      <w:headerReference w:type="first" r:id="rId14"/>
      <w:footerReference w:type="first" r:id="rId15"/>
      <w:pgSz w:w="12240" w:h="15840"/>
      <w:pgMar w:top="1418" w:right="1325" w:bottom="1134" w:left="1701" w:header="568"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68B8" w14:textId="77777777" w:rsidR="00EB23C9" w:rsidRDefault="00EB23C9">
      <w:pPr>
        <w:spacing w:after="0" w:line="240" w:lineRule="auto"/>
      </w:pPr>
      <w:r>
        <w:separator/>
      </w:r>
    </w:p>
  </w:endnote>
  <w:endnote w:type="continuationSeparator" w:id="0">
    <w:p w14:paraId="0E40EF70" w14:textId="77777777" w:rsidR="00EB23C9" w:rsidRDefault="00EB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5151" w14:textId="34F5C375" w:rsidR="00835A5F" w:rsidRDefault="00835A5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25EC">
      <w:rPr>
        <w:b/>
        <w:noProof/>
        <w:color w:val="000000"/>
        <w:sz w:val="24"/>
        <w:szCs w:val="24"/>
      </w:rPr>
      <w:t>16</w:t>
    </w:r>
    <w:r>
      <w:rPr>
        <w:b/>
        <w:color w:val="000000"/>
        <w:sz w:val="24"/>
        <w:szCs w:val="24"/>
      </w:rPr>
      <w:fldChar w:fldCharType="end"/>
    </w:r>
  </w:p>
  <w:p w14:paraId="547C391C" w14:textId="77777777" w:rsidR="00835A5F" w:rsidRDefault="00835A5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7FE" w14:textId="593A2114" w:rsidR="00835A5F" w:rsidRDefault="00835A5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63B58">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63B58">
      <w:rPr>
        <w:b/>
        <w:noProof/>
        <w:color w:val="000000"/>
        <w:sz w:val="24"/>
        <w:szCs w:val="24"/>
      </w:rPr>
      <w:t>16</w:t>
    </w:r>
    <w:r>
      <w:rPr>
        <w:b/>
        <w:color w:val="000000"/>
        <w:sz w:val="24"/>
        <w:szCs w:val="24"/>
      </w:rPr>
      <w:fldChar w:fldCharType="end"/>
    </w:r>
  </w:p>
  <w:p w14:paraId="021EE9EB" w14:textId="77777777" w:rsidR="00835A5F" w:rsidRDefault="00835A5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3A60" w14:textId="77777777" w:rsidR="00835A5F" w:rsidRDefault="00835A5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63B5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63B58">
      <w:rPr>
        <w:b/>
        <w:noProof/>
        <w:color w:val="000000"/>
        <w:sz w:val="24"/>
        <w:szCs w:val="24"/>
      </w:rPr>
      <w:t>16</w:t>
    </w:r>
    <w:r>
      <w:rPr>
        <w:b/>
        <w:color w:val="000000"/>
        <w:sz w:val="24"/>
        <w:szCs w:val="24"/>
      </w:rPr>
      <w:fldChar w:fldCharType="end"/>
    </w:r>
  </w:p>
  <w:p w14:paraId="23D55011" w14:textId="77777777" w:rsidR="00835A5F" w:rsidRDefault="00835A5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7622" w14:textId="77777777" w:rsidR="00EB23C9" w:rsidRDefault="00EB23C9">
      <w:pPr>
        <w:spacing w:after="0" w:line="240" w:lineRule="auto"/>
      </w:pPr>
      <w:r>
        <w:separator/>
      </w:r>
    </w:p>
  </w:footnote>
  <w:footnote w:type="continuationSeparator" w:id="0">
    <w:p w14:paraId="68E4A9D7" w14:textId="77777777" w:rsidR="00EB23C9" w:rsidRDefault="00EB2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4C7" w14:textId="77777777" w:rsidR="00835A5F" w:rsidRDefault="00835A5F">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835A5F" w14:paraId="4913F089" w14:textId="77777777">
      <w:trPr>
        <w:trHeight w:val="141"/>
      </w:trPr>
      <w:tc>
        <w:tcPr>
          <w:tcW w:w="2404" w:type="dxa"/>
        </w:tcPr>
        <w:p w14:paraId="1D800919" w14:textId="77777777" w:rsidR="00835A5F" w:rsidRDefault="00835A5F">
          <w:pPr>
            <w:tabs>
              <w:tab w:val="right" w:pos="8838"/>
            </w:tabs>
            <w:ind w:right="-105"/>
            <w:rPr>
              <w:b/>
            </w:rPr>
          </w:pPr>
          <w:r>
            <w:rPr>
              <w:b/>
            </w:rPr>
            <w:t>Recurso de Revisión:</w:t>
          </w:r>
        </w:p>
      </w:tc>
      <w:tc>
        <w:tcPr>
          <w:tcW w:w="3587" w:type="dxa"/>
        </w:tcPr>
        <w:p w14:paraId="53E9BD67" w14:textId="77777777" w:rsidR="00835A5F" w:rsidRDefault="00835A5F">
          <w:pPr>
            <w:tabs>
              <w:tab w:val="right" w:pos="8838"/>
            </w:tabs>
            <w:ind w:left="-28" w:right="683"/>
          </w:pPr>
          <w:r>
            <w:t>04196/INFOEM/IP/RR/2020</w:t>
          </w:r>
        </w:p>
      </w:tc>
    </w:tr>
    <w:tr w:rsidR="00835A5F" w14:paraId="515F523A" w14:textId="77777777">
      <w:trPr>
        <w:trHeight w:val="276"/>
      </w:trPr>
      <w:tc>
        <w:tcPr>
          <w:tcW w:w="2404" w:type="dxa"/>
        </w:tcPr>
        <w:p w14:paraId="1CFF82A0" w14:textId="77777777" w:rsidR="00835A5F" w:rsidRDefault="00835A5F">
          <w:pPr>
            <w:tabs>
              <w:tab w:val="right" w:pos="8838"/>
            </w:tabs>
            <w:ind w:right="-105"/>
            <w:rPr>
              <w:b/>
            </w:rPr>
          </w:pPr>
          <w:r>
            <w:rPr>
              <w:b/>
            </w:rPr>
            <w:t>Sujeto Obligado:</w:t>
          </w:r>
        </w:p>
      </w:tc>
      <w:tc>
        <w:tcPr>
          <w:tcW w:w="3587" w:type="dxa"/>
        </w:tcPr>
        <w:p w14:paraId="1142F936" w14:textId="77777777" w:rsidR="00835A5F" w:rsidRDefault="00835A5F">
          <w:pPr>
            <w:tabs>
              <w:tab w:val="right" w:pos="8838"/>
            </w:tabs>
            <w:ind w:right="116"/>
          </w:pPr>
          <w:r>
            <w:t>Ayuntamiento de Chapultepec</w:t>
          </w:r>
        </w:p>
      </w:tc>
    </w:tr>
    <w:tr w:rsidR="00835A5F" w14:paraId="69080D23" w14:textId="77777777">
      <w:trPr>
        <w:trHeight w:val="276"/>
      </w:trPr>
      <w:tc>
        <w:tcPr>
          <w:tcW w:w="2404" w:type="dxa"/>
        </w:tcPr>
        <w:p w14:paraId="50E24B18" w14:textId="77777777" w:rsidR="00835A5F" w:rsidRDefault="00835A5F">
          <w:pPr>
            <w:tabs>
              <w:tab w:val="right" w:pos="8838"/>
            </w:tabs>
            <w:ind w:right="-105"/>
            <w:rPr>
              <w:b/>
            </w:rPr>
          </w:pPr>
          <w:r>
            <w:rPr>
              <w:b/>
            </w:rPr>
            <w:t>Comisionado Ponente:</w:t>
          </w:r>
        </w:p>
      </w:tc>
      <w:tc>
        <w:tcPr>
          <w:tcW w:w="3587" w:type="dxa"/>
        </w:tcPr>
        <w:p w14:paraId="1467B143" w14:textId="77777777" w:rsidR="00835A5F" w:rsidRDefault="00835A5F">
          <w:pPr>
            <w:tabs>
              <w:tab w:val="right" w:pos="8838"/>
            </w:tabs>
            <w:ind w:right="-32"/>
          </w:pPr>
          <w:r>
            <w:t>Luis Gustavo Parra Noriega</w:t>
          </w:r>
        </w:p>
      </w:tc>
    </w:tr>
  </w:tbl>
  <w:p w14:paraId="74ECE196" w14:textId="77777777" w:rsidR="00835A5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6FF8" w14:textId="54B8B22E" w:rsidR="00835A5F" w:rsidRDefault="00000000">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92.5pt;margin-top:-124.2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513"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404"/>
      <w:gridCol w:w="5109"/>
    </w:tblGrid>
    <w:tr w:rsidR="00835A5F" w14:paraId="087E2B73" w14:textId="77777777" w:rsidTr="00F90A6D">
      <w:trPr>
        <w:trHeight w:val="141"/>
      </w:trPr>
      <w:tc>
        <w:tcPr>
          <w:tcW w:w="2404" w:type="dxa"/>
        </w:tcPr>
        <w:p w14:paraId="44594EC4" w14:textId="77777777" w:rsidR="00835A5F" w:rsidRDefault="00835A5F">
          <w:pPr>
            <w:tabs>
              <w:tab w:val="right" w:pos="8838"/>
            </w:tabs>
            <w:ind w:left="-395" w:right="-105" w:firstLine="395"/>
            <w:rPr>
              <w:b/>
            </w:rPr>
          </w:pPr>
          <w:r>
            <w:rPr>
              <w:b/>
            </w:rPr>
            <w:t>Recurso de Revisión:</w:t>
          </w:r>
        </w:p>
      </w:tc>
      <w:tc>
        <w:tcPr>
          <w:tcW w:w="5109" w:type="dxa"/>
        </w:tcPr>
        <w:p w14:paraId="312F8E98" w14:textId="1EF83A9E" w:rsidR="00835A5F" w:rsidRDefault="00835A5F" w:rsidP="00672439">
          <w:pPr>
            <w:tabs>
              <w:tab w:val="right" w:pos="8838"/>
            </w:tabs>
            <w:ind w:left="-28" w:right="454"/>
          </w:pPr>
          <w:r>
            <w:t>09</w:t>
          </w:r>
          <w:r w:rsidR="0074348A">
            <w:t>356</w:t>
          </w:r>
          <w:r>
            <w:t>/INFOEM/IP/RR/2025</w:t>
          </w:r>
        </w:p>
      </w:tc>
    </w:tr>
    <w:tr w:rsidR="00835A5F" w14:paraId="31D07777" w14:textId="77777777" w:rsidTr="00F90A6D">
      <w:trPr>
        <w:trHeight w:val="276"/>
      </w:trPr>
      <w:tc>
        <w:tcPr>
          <w:tcW w:w="2404" w:type="dxa"/>
        </w:tcPr>
        <w:p w14:paraId="6B55802A" w14:textId="77777777" w:rsidR="00835A5F" w:rsidRDefault="00835A5F">
          <w:pPr>
            <w:tabs>
              <w:tab w:val="right" w:pos="8838"/>
            </w:tabs>
            <w:ind w:right="-105"/>
            <w:rPr>
              <w:b/>
            </w:rPr>
          </w:pPr>
          <w:r>
            <w:rPr>
              <w:b/>
            </w:rPr>
            <w:t>Sujeto Obligado:</w:t>
          </w:r>
        </w:p>
      </w:tc>
      <w:tc>
        <w:tcPr>
          <w:tcW w:w="5109" w:type="dxa"/>
        </w:tcPr>
        <w:p w14:paraId="4A22BD99" w14:textId="3FFC7C3A" w:rsidR="00835A5F" w:rsidRDefault="0074348A" w:rsidP="00C72C60">
          <w:pPr>
            <w:tabs>
              <w:tab w:val="left" w:pos="3158"/>
              <w:tab w:val="left" w:pos="4292"/>
              <w:tab w:val="right" w:pos="8838"/>
            </w:tabs>
            <w:ind w:right="601"/>
          </w:pPr>
          <w:r w:rsidRPr="0074348A">
            <w:t>Instituto de Transparencia, Acceso a la Información Pública y Protección de Datos Personales del Estado de México y Municipios</w:t>
          </w:r>
        </w:p>
      </w:tc>
    </w:tr>
    <w:tr w:rsidR="00835A5F" w14:paraId="161D40C6" w14:textId="77777777" w:rsidTr="00F90A6D">
      <w:trPr>
        <w:trHeight w:val="276"/>
      </w:trPr>
      <w:tc>
        <w:tcPr>
          <w:tcW w:w="2404" w:type="dxa"/>
        </w:tcPr>
        <w:p w14:paraId="2583E4C0" w14:textId="77777777" w:rsidR="00835A5F" w:rsidRDefault="00835A5F">
          <w:pPr>
            <w:tabs>
              <w:tab w:val="right" w:pos="8838"/>
            </w:tabs>
            <w:ind w:right="-105"/>
            <w:rPr>
              <w:b/>
            </w:rPr>
          </w:pPr>
          <w:r>
            <w:rPr>
              <w:b/>
            </w:rPr>
            <w:t>Comisionado Ponente:</w:t>
          </w:r>
        </w:p>
      </w:tc>
      <w:tc>
        <w:tcPr>
          <w:tcW w:w="5109" w:type="dxa"/>
        </w:tcPr>
        <w:p w14:paraId="4FEB6F64" w14:textId="77777777" w:rsidR="00835A5F" w:rsidRDefault="00835A5F">
          <w:pPr>
            <w:tabs>
              <w:tab w:val="right" w:pos="8838"/>
            </w:tabs>
            <w:ind w:right="454"/>
          </w:pPr>
          <w:r>
            <w:t>Luis Gustavo Parra Noriega</w:t>
          </w:r>
        </w:p>
      </w:tc>
    </w:tr>
  </w:tbl>
  <w:p w14:paraId="7B4A9F8D" w14:textId="5ECF6092" w:rsidR="00835A5F" w:rsidRDefault="00835A5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D355" w14:textId="1640A460" w:rsidR="00835A5F" w:rsidRDefault="00000000">
    <w:pPr>
      <w:widowControl w:val="0"/>
      <w:pBdr>
        <w:top w:val="nil"/>
        <w:left w:val="nil"/>
        <w:bottom w:val="nil"/>
        <w:right w:val="nil"/>
        <w:between w:val="nil"/>
      </w:pBdr>
      <w:spacing w:after="0" w:line="276" w:lineRule="auto"/>
      <w:jc w:val="left"/>
      <w:rPr>
        <w:color w:val="000000"/>
      </w:rPr>
    </w:pPr>
    <w:r>
      <w:rPr>
        <w:rFonts w:ascii="Garamond" w:eastAsia="Garamond" w:hAnsi="Garamond" w:cs="Garamond"/>
        <w:noProof/>
        <w:sz w:val="16"/>
        <w:szCs w:val="16"/>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85pt;margin-top:-127.35pt;width:663.5pt;height:12in;z-index:-251656704;mso-wrap-edited:f;mso-width-percent:0;mso-height-percent:0;mso-position-horizontal-relative:margin;mso-position-vertical-relative:margin;mso-width-percent:0;mso-height-percent:0">
          <v:imagedata r:id="rId1" o:title="image2"/>
          <w10:wrap anchorx="margin" anchory="margin"/>
        </v:shape>
      </w:pict>
    </w:r>
  </w:p>
  <w:tbl>
    <w:tblPr>
      <w:tblStyle w:val="a1"/>
      <w:tblW w:w="9214" w:type="dxa"/>
      <w:tblInd w:w="0" w:type="dxa"/>
      <w:tblLayout w:type="fixed"/>
      <w:tblLook w:val="0400" w:firstRow="0" w:lastRow="0" w:firstColumn="0" w:lastColumn="0" w:noHBand="0" w:noVBand="1"/>
    </w:tblPr>
    <w:tblGrid>
      <w:gridCol w:w="2127"/>
      <w:gridCol w:w="7087"/>
    </w:tblGrid>
    <w:tr w:rsidR="00835A5F" w14:paraId="11A312BD" w14:textId="77777777" w:rsidTr="00CE4466">
      <w:trPr>
        <w:trHeight w:val="1546"/>
      </w:trPr>
      <w:tc>
        <w:tcPr>
          <w:tcW w:w="2127" w:type="dxa"/>
        </w:tcPr>
        <w:p w14:paraId="02785A7F" w14:textId="1D2E5A08" w:rsidR="00835A5F" w:rsidRDefault="00835A5F">
          <w:pPr>
            <w:tabs>
              <w:tab w:val="right" w:pos="4273"/>
            </w:tabs>
            <w:rPr>
              <w:rFonts w:ascii="Garamond" w:eastAsia="Garamond" w:hAnsi="Garamond" w:cs="Garamond"/>
              <w:sz w:val="16"/>
              <w:szCs w:val="16"/>
            </w:rPr>
          </w:pPr>
        </w:p>
      </w:tc>
      <w:tc>
        <w:tcPr>
          <w:tcW w:w="7087" w:type="dxa"/>
        </w:tcPr>
        <w:tbl>
          <w:tblPr>
            <w:tblStyle w:val="a2"/>
            <w:tblW w:w="7513" w:type="dxa"/>
            <w:tblInd w:w="33" w:type="dxa"/>
            <w:tblBorders>
              <w:top w:val="nil"/>
              <w:left w:val="nil"/>
              <w:bottom w:val="nil"/>
              <w:right w:val="nil"/>
              <w:insideH w:val="nil"/>
              <w:insideV w:val="nil"/>
            </w:tblBorders>
            <w:tblLayout w:type="fixed"/>
            <w:tblLook w:val="0400" w:firstRow="0" w:lastRow="0" w:firstColumn="0" w:lastColumn="0" w:noHBand="0" w:noVBand="1"/>
          </w:tblPr>
          <w:tblGrid>
            <w:gridCol w:w="2404"/>
            <w:gridCol w:w="5109"/>
          </w:tblGrid>
          <w:tr w:rsidR="00835A5F" w14:paraId="4D093FE8" w14:textId="77777777" w:rsidTr="00F90A6D">
            <w:trPr>
              <w:trHeight w:val="141"/>
            </w:trPr>
            <w:tc>
              <w:tcPr>
                <w:tcW w:w="2404" w:type="dxa"/>
                <w:vAlign w:val="bottom"/>
              </w:tcPr>
              <w:p w14:paraId="19B4B05D" w14:textId="77777777" w:rsidR="00835A5F" w:rsidRDefault="00835A5F">
                <w:pPr>
                  <w:tabs>
                    <w:tab w:val="right" w:pos="8838"/>
                  </w:tabs>
                  <w:ind w:right="-105"/>
                  <w:rPr>
                    <w:b/>
                  </w:rPr>
                </w:pPr>
                <w:r>
                  <w:rPr>
                    <w:b/>
                  </w:rPr>
                  <w:t>Recurso de Revisión:</w:t>
                </w:r>
              </w:p>
            </w:tc>
            <w:tc>
              <w:tcPr>
                <w:tcW w:w="5109" w:type="dxa"/>
              </w:tcPr>
              <w:p w14:paraId="43DE950F" w14:textId="3E13437A" w:rsidR="00835A5F" w:rsidRDefault="00835A5F">
                <w:pPr>
                  <w:tabs>
                    <w:tab w:val="right" w:pos="8838"/>
                  </w:tabs>
                  <w:ind w:left="-28" w:right="-107"/>
                </w:pPr>
                <w:r>
                  <w:t>09</w:t>
                </w:r>
                <w:r w:rsidR="0074348A">
                  <w:t>356</w:t>
                </w:r>
                <w:r>
                  <w:t>/INFOEM/IP/RR/2025</w:t>
                </w:r>
              </w:p>
            </w:tc>
          </w:tr>
          <w:tr w:rsidR="00835A5F" w14:paraId="073EAE42" w14:textId="77777777" w:rsidTr="00F90A6D">
            <w:trPr>
              <w:trHeight w:val="141"/>
            </w:trPr>
            <w:tc>
              <w:tcPr>
                <w:tcW w:w="2404" w:type="dxa"/>
              </w:tcPr>
              <w:p w14:paraId="76E590DA" w14:textId="77777777" w:rsidR="00835A5F" w:rsidRDefault="00835A5F">
                <w:pPr>
                  <w:tabs>
                    <w:tab w:val="right" w:pos="8838"/>
                  </w:tabs>
                  <w:ind w:right="-105"/>
                  <w:rPr>
                    <w:b/>
                  </w:rPr>
                </w:pPr>
                <w:r>
                  <w:rPr>
                    <w:b/>
                  </w:rPr>
                  <w:t>Recurrente:</w:t>
                </w:r>
              </w:p>
            </w:tc>
            <w:tc>
              <w:tcPr>
                <w:tcW w:w="5109" w:type="dxa"/>
              </w:tcPr>
              <w:p w14:paraId="5FF2F8C6" w14:textId="0493B1C4" w:rsidR="00835A5F" w:rsidRDefault="00494820">
                <w:pPr>
                  <w:tabs>
                    <w:tab w:val="right" w:pos="8838"/>
                  </w:tabs>
                  <w:ind w:right="-107"/>
                </w:pPr>
                <w:r w:rsidRPr="00494820">
                  <w:rPr>
                    <w:highlight w:val="black"/>
                  </w:rPr>
                  <w:t>XXXXXXXXXXXXXXXXXXXX</w:t>
                </w:r>
              </w:p>
            </w:tc>
          </w:tr>
          <w:tr w:rsidR="00835A5F" w14:paraId="009C2510" w14:textId="77777777" w:rsidTr="00F90A6D">
            <w:trPr>
              <w:trHeight w:val="276"/>
            </w:trPr>
            <w:tc>
              <w:tcPr>
                <w:tcW w:w="2404" w:type="dxa"/>
              </w:tcPr>
              <w:p w14:paraId="0AAFC3CA" w14:textId="77777777" w:rsidR="00835A5F" w:rsidRDefault="00835A5F">
                <w:pPr>
                  <w:tabs>
                    <w:tab w:val="right" w:pos="8838"/>
                  </w:tabs>
                  <w:ind w:right="-105"/>
                  <w:rPr>
                    <w:b/>
                  </w:rPr>
                </w:pPr>
                <w:r>
                  <w:rPr>
                    <w:b/>
                  </w:rPr>
                  <w:t>Sujeto Obligado:</w:t>
                </w:r>
              </w:p>
            </w:tc>
            <w:tc>
              <w:tcPr>
                <w:tcW w:w="5109" w:type="dxa"/>
              </w:tcPr>
              <w:p w14:paraId="13F6DD80" w14:textId="657510FC" w:rsidR="00835A5F" w:rsidRDefault="0074348A" w:rsidP="0074348A">
                <w:pPr>
                  <w:tabs>
                    <w:tab w:val="right" w:pos="8838"/>
                  </w:tabs>
                  <w:ind w:right="467"/>
                </w:pPr>
                <w:r w:rsidRPr="0074348A">
                  <w:t>Instituto de Transparencia, Acceso a la Información Pública y Protección de Datos Personales del Estado de México y Municipios</w:t>
                </w:r>
              </w:p>
            </w:tc>
          </w:tr>
          <w:tr w:rsidR="00835A5F" w14:paraId="7A4EADF6" w14:textId="77777777" w:rsidTr="00F90A6D">
            <w:trPr>
              <w:trHeight w:val="276"/>
            </w:trPr>
            <w:tc>
              <w:tcPr>
                <w:tcW w:w="2404" w:type="dxa"/>
              </w:tcPr>
              <w:p w14:paraId="014674B7" w14:textId="77777777" w:rsidR="00835A5F" w:rsidRDefault="00835A5F">
                <w:pPr>
                  <w:tabs>
                    <w:tab w:val="right" w:pos="8838"/>
                  </w:tabs>
                  <w:ind w:right="-105"/>
                  <w:rPr>
                    <w:b/>
                  </w:rPr>
                </w:pPr>
                <w:r>
                  <w:rPr>
                    <w:b/>
                  </w:rPr>
                  <w:t>Comisionado Ponente:</w:t>
                </w:r>
              </w:p>
            </w:tc>
            <w:tc>
              <w:tcPr>
                <w:tcW w:w="5109" w:type="dxa"/>
              </w:tcPr>
              <w:p w14:paraId="06F82FCE" w14:textId="77777777" w:rsidR="00835A5F" w:rsidRDefault="00835A5F">
                <w:pPr>
                  <w:tabs>
                    <w:tab w:val="right" w:pos="8838"/>
                  </w:tabs>
                  <w:ind w:right="-107"/>
                </w:pPr>
                <w:r>
                  <w:t>Luis Gustavo Parra Noriega</w:t>
                </w:r>
              </w:p>
            </w:tc>
          </w:tr>
        </w:tbl>
        <w:p w14:paraId="3774A9CE" w14:textId="77777777" w:rsidR="00835A5F" w:rsidRDefault="00835A5F">
          <w:pPr>
            <w:tabs>
              <w:tab w:val="right" w:pos="8838"/>
            </w:tabs>
            <w:ind w:left="-28"/>
            <w:rPr>
              <w:rFonts w:ascii="Arial" w:eastAsia="Arial" w:hAnsi="Arial" w:cs="Arial"/>
              <w:b/>
            </w:rPr>
          </w:pPr>
        </w:p>
      </w:tc>
    </w:tr>
  </w:tbl>
  <w:p w14:paraId="38129A67" w14:textId="248B6D27" w:rsidR="00835A5F" w:rsidRDefault="00835A5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2F614F8"/>
    <w:multiLevelType w:val="hybridMultilevel"/>
    <w:tmpl w:val="25B017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E07292"/>
    <w:multiLevelType w:val="hybridMultilevel"/>
    <w:tmpl w:val="2AA8BC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681461"/>
    <w:multiLevelType w:val="hybridMultilevel"/>
    <w:tmpl w:val="B0A06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D3D2B60"/>
    <w:multiLevelType w:val="hybridMultilevel"/>
    <w:tmpl w:val="BEBCDB6E"/>
    <w:lvl w:ilvl="0" w:tplc="EB64DE1E">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52926A8B"/>
    <w:multiLevelType w:val="hybridMultilevel"/>
    <w:tmpl w:val="F588E3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9054158">
    <w:abstractNumId w:val="26"/>
  </w:num>
  <w:num w:numId="2" w16cid:durableId="6079304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677912">
    <w:abstractNumId w:val="30"/>
  </w:num>
  <w:num w:numId="4" w16cid:durableId="1411847246">
    <w:abstractNumId w:val="3"/>
  </w:num>
  <w:num w:numId="5" w16cid:durableId="466968781">
    <w:abstractNumId w:val="3"/>
  </w:num>
  <w:num w:numId="6" w16cid:durableId="1635213739">
    <w:abstractNumId w:val="29"/>
  </w:num>
  <w:num w:numId="7" w16cid:durableId="792862995">
    <w:abstractNumId w:val="4"/>
  </w:num>
  <w:num w:numId="8" w16cid:durableId="700204276">
    <w:abstractNumId w:val="18"/>
  </w:num>
  <w:num w:numId="9" w16cid:durableId="2032148813">
    <w:abstractNumId w:val="15"/>
  </w:num>
  <w:num w:numId="10" w16cid:durableId="1870291358">
    <w:abstractNumId w:val="19"/>
  </w:num>
  <w:num w:numId="11" w16cid:durableId="1560897251">
    <w:abstractNumId w:val="17"/>
  </w:num>
  <w:num w:numId="12" w16cid:durableId="1451632659">
    <w:abstractNumId w:val="5"/>
  </w:num>
  <w:num w:numId="13" w16cid:durableId="1271468390">
    <w:abstractNumId w:val="0"/>
  </w:num>
  <w:num w:numId="14" w16cid:durableId="63187457">
    <w:abstractNumId w:val="11"/>
  </w:num>
  <w:num w:numId="15" w16cid:durableId="1105619368">
    <w:abstractNumId w:val="13"/>
  </w:num>
  <w:num w:numId="16" w16cid:durableId="1843544633">
    <w:abstractNumId w:val="25"/>
  </w:num>
  <w:num w:numId="17" w16cid:durableId="1430153617">
    <w:abstractNumId w:val="24"/>
  </w:num>
  <w:num w:numId="18" w16cid:durableId="277834914">
    <w:abstractNumId w:val="6"/>
  </w:num>
  <w:num w:numId="19" w16cid:durableId="1841044284">
    <w:abstractNumId w:val="16"/>
  </w:num>
  <w:num w:numId="20" w16cid:durableId="1084228687">
    <w:abstractNumId w:val="23"/>
  </w:num>
  <w:num w:numId="21" w16cid:durableId="136722877">
    <w:abstractNumId w:val="28"/>
  </w:num>
  <w:num w:numId="22" w16cid:durableId="1082917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875379">
    <w:abstractNumId w:val="22"/>
  </w:num>
  <w:num w:numId="24" w16cid:durableId="646669929">
    <w:abstractNumId w:val="14"/>
  </w:num>
  <w:num w:numId="25" w16cid:durableId="2105105901">
    <w:abstractNumId w:val="1"/>
  </w:num>
  <w:num w:numId="26" w16cid:durableId="1493989829">
    <w:abstractNumId w:val="8"/>
  </w:num>
  <w:num w:numId="27" w16cid:durableId="188108521">
    <w:abstractNumId w:val="2"/>
  </w:num>
  <w:num w:numId="28" w16cid:durableId="216823911">
    <w:abstractNumId w:val="10"/>
  </w:num>
  <w:num w:numId="29" w16cid:durableId="940601976">
    <w:abstractNumId w:val="21"/>
  </w:num>
  <w:num w:numId="30" w16cid:durableId="1127090900">
    <w:abstractNumId w:val="9"/>
  </w:num>
  <w:num w:numId="31" w16cid:durableId="324748290">
    <w:abstractNumId w:val="7"/>
  </w:num>
  <w:num w:numId="32" w16cid:durableId="883255227">
    <w:abstractNumId w:val="12"/>
  </w:num>
  <w:num w:numId="33" w16cid:durableId="11982036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26643"/>
    <w:rsid w:val="00030A14"/>
    <w:rsid w:val="0003121B"/>
    <w:rsid w:val="000333F3"/>
    <w:rsid w:val="0003344C"/>
    <w:rsid w:val="000352B7"/>
    <w:rsid w:val="00037F4E"/>
    <w:rsid w:val="00061E62"/>
    <w:rsid w:val="000620C8"/>
    <w:rsid w:val="000678E8"/>
    <w:rsid w:val="000837C4"/>
    <w:rsid w:val="0008574F"/>
    <w:rsid w:val="000A1141"/>
    <w:rsid w:val="000A5247"/>
    <w:rsid w:val="000C03C1"/>
    <w:rsid w:val="000C30C0"/>
    <w:rsid w:val="000C455C"/>
    <w:rsid w:val="000D1FAD"/>
    <w:rsid w:val="000E0A30"/>
    <w:rsid w:val="000E51A2"/>
    <w:rsid w:val="000F1C66"/>
    <w:rsid w:val="001112B3"/>
    <w:rsid w:val="00116267"/>
    <w:rsid w:val="00123ED6"/>
    <w:rsid w:val="001502EE"/>
    <w:rsid w:val="00152404"/>
    <w:rsid w:val="001544A8"/>
    <w:rsid w:val="0015629A"/>
    <w:rsid w:val="0019691B"/>
    <w:rsid w:val="00196E30"/>
    <w:rsid w:val="001A043A"/>
    <w:rsid w:val="001A3FA2"/>
    <w:rsid w:val="001A4D72"/>
    <w:rsid w:val="001A518F"/>
    <w:rsid w:val="001A54EF"/>
    <w:rsid w:val="001B2B90"/>
    <w:rsid w:val="001B7720"/>
    <w:rsid w:val="001C3D22"/>
    <w:rsid w:val="001D32A1"/>
    <w:rsid w:val="001E3BEF"/>
    <w:rsid w:val="001E6E5F"/>
    <w:rsid w:val="001F1666"/>
    <w:rsid w:val="001F7131"/>
    <w:rsid w:val="00200A5F"/>
    <w:rsid w:val="00201106"/>
    <w:rsid w:val="00227BE3"/>
    <w:rsid w:val="00247679"/>
    <w:rsid w:val="0026093C"/>
    <w:rsid w:val="0026142D"/>
    <w:rsid w:val="00263B58"/>
    <w:rsid w:val="00267D04"/>
    <w:rsid w:val="00271EEF"/>
    <w:rsid w:val="0027405F"/>
    <w:rsid w:val="0027513C"/>
    <w:rsid w:val="00275206"/>
    <w:rsid w:val="00281A8C"/>
    <w:rsid w:val="002925EC"/>
    <w:rsid w:val="002A1E5F"/>
    <w:rsid w:val="002A4B9F"/>
    <w:rsid w:val="002A6C4A"/>
    <w:rsid w:val="002B3613"/>
    <w:rsid w:val="002B77FE"/>
    <w:rsid w:val="002C72B6"/>
    <w:rsid w:val="002D0172"/>
    <w:rsid w:val="002D4685"/>
    <w:rsid w:val="002F3650"/>
    <w:rsid w:val="0030191A"/>
    <w:rsid w:val="003115FC"/>
    <w:rsid w:val="00315EC9"/>
    <w:rsid w:val="00321F56"/>
    <w:rsid w:val="00330FB8"/>
    <w:rsid w:val="003313D5"/>
    <w:rsid w:val="00336813"/>
    <w:rsid w:val="003501B2"/>
    <w:rsid w:val="00350F8E"/>
    <w:rsid w:val="00352DFA"/>
    <w:rsid w:val="003545BA"/>
    <w:rsid w:val="00355945"/>
    <w:rsid w:val="00372769"/>
    <w:rsid w:val="0038068D"/>
    <w:rsid w:val="0038597C"/>
    <w:rsid w:val="003A0754"/>
    <w:rsid w:val="003A225D"/>
    <w:rsid w:val="003A6BE7"/>
    <w:rsid w:val="003B0222"/>
    <w:rsid w:val="003D1D15"/>
    <w:rsid w:val="003F772E"/>
    <w:rsid w:val="00400449"/>
    <w:rsid w:val="00416366"/>
    <w:rsid w:val="00432851"/>
    <w:rsid w:val="004363FB"/>
    <w:rsid w:val="00450A64"/>
    <w:rsid w:val="0045203D"/>
    <w:rsid w:val="00464E39"/>
    <w:rsid w:val="0046624D"/>
    <w:rsid w:val="0047270D"/>
    <w:rsid w:val="0047501B"/>
    <w:rsid w:val="00476CD5"/>
    <w:rsid w:val="00480823"/>
    <w:rsid w:val="00482F65"/>
    <w:rsid w:val="004834B7"/>
    <w:rsid w:val="00494820"/>
    <w:rsid w:val="004952B7"/>
    <w:rsid w:val="004B2592"/>
    <w:rsid w:val="004B503B"/>
    <w:rsid w:val="004B77C7"/>
    <w:rsid w:val="004C4B87"/>
    <w:rsid w:val="004C58ED"/>
    <w:rsid w:val="004D37D8"/>
    <w:rsid w:val="004D6AC0"/>
    <w:rsid w:val="004E16CA"/>
    <w:rsid w:val="004F38AE"/>
    <w:rsid w:val="00500D89"/>
    <w:rsid w:val="0050265B"/>
    <w:rsid w:val="005041FF"/>
    <w:rsid w:val="005055D1"/>
    <w:rsid w:val="00513971"/>
    <w:rsid w:val="00515931"/>
    <w:rsid w:val="00526EAE"/>
    <w:rsid w:val="00535DF8"/>
    <w:rsid w:val="00537AF2"/>
    <w:rsid w:val="00543995"/>
    <w:rsid w:val="00552BA1"/>
    <w:rsid w:val="005534A8"/>
    <w:rsid w:val="00553A55"/>
    <w:rsid w:val="00564A36"/>
    <w:rsid w:val="00573880"/>
    <w:rsid w:val="00574E42"/>
    <w:rsid w:val="005A42D8"/>
    <w:rsid w:val="005B5E7C"/>
    <w:rsid w:val="005C4CEA"/>
    <w:rsid w:val="005D0C59"/>
    <w:rsid w:val="005D7AEB"/>
    <w:rsid w:val="005F5A86"/>
    <w:rsid w:val="00600C74"/>
    <w:rsid w:val="00603C0C"/>
    <w:rsid w:val="0060513D"/>
    <w:rsid w:val="006269DD"/>
    <w:rsid w:val="00633756"/>
    <w:rsid w:val="0064268A"/>
    <w:rsid w:val="00647460"/>
    <w:rsid w:val="0064764C"/>
    <w:rsid w:val="00650254"/>
    <w:rsid w:val="006515E5"/>
    <w:rsid w:val="0065522B"/>
    <w:rsid w:val="00670439"/>
    <w:rsid w:val="00672439"/>
    <w:rsid w:val="00674D7A"/>
    <w:rsid w:val="006819BC"/>
    <w:rsid w:val="0068258C"/>
    <w:rsid w:val="006849B9"/>
    <w:rsid w:val="00687F86"/>
    <w:rsid w:val="00690242"/>
    <w:rsid w:val="00690DEB"/>
    <w:rsid w:val="006929EA"/>
    <w:rsid w:val="006A0303"/>
    <w:rsid w:val="006C4DBF"/>
    <w:rsid w:val="006D2C54"/>
    <w:rsid w:val="006D4068"/>
    <w:rsid w:val="006E46EA"/>
    <w:rsid w:val="006E6C38"/>
    <w:rsid w:val="00707721"/>
    <w:rsid w:val="007168F2"/>
    <w:rsid w:val="00727A58"/>
    <w:rsid w:val="00737341"/>
    <w:rsid w:val="0074348A"/>
    <w:rsid w:val="00750C88"/>
    <w:rsid w:val="00752F6F"/>
    <w:rsid w:val="00760CA6"/>
    <w:rsid w:val="0076122D"/>
    <w:rsid w:val="0076362A"/>
    <w:rsid w:val="00765E93"/>
    <w:rsid w:val="00766BF3"/>
    <w:rsid w:val="0078202B"/>
    <w:rsid w:val="00791585"/>
    <w:rsid w:val="007A54F7"/>
    <w:rsid w:val="007B507D"/>
    <w:rsid w:val="007C3790"/>
    <w:rsid w:val="007D30CD"/>
    <w:rsid w:val="007E0B70"/>
    <w:rsid w:val="007E1595"/>
    <w:rsid w:val="008022FE"/>
    <w:rsid w:val="00802E3A"/>
    <w:rsid w:val="008061A1"/>
    <w:rsid w:val="00812236"/>
    <w:rsid w:val="00827EA8"/>
    <w:rsid w:val="00835A5F"/>
    <w:rsid w:val="00836753"/>
    <w:rsid w:val="00840F5C"/>
    <w:rsid w:val="008457ED"/>
    <w:rsid w:val="00850D54"/>
    <w:rsid w:val="00851889"/>
    <w:rsid w:val="00851E17"/>
    <w:rsid w:val="00860CC6"/>
    <w:rsid w:val="00862C79"/>
    <w:rsid w:val="00876057"/>
    <w:rsid w:val="008822C1"/>
    <w:rsid w:val="008854E3"/>
    <w:rsid w:val="00891F79"/>
    <w:rsid w:val="00895704"/>
    <w:rsid w:val="00897C88"/>
    <w:rsid w:val="008A6CBA"/>
    <w:rsid w:val="008B1792"/>
    <w:rsid w:val="008B580E"/>
    <w:rsid w:val="008C369E"/>
    <w:rsid w:val="00901916"/>
    <w:rsid w:val="0090345F"/>
    <w:rsid w:val="009057AC"/>
    <w:rsid w:val="00921B80"/>
    <w:rsid w:val="00921BE0"/>
    <w:rsid w:val="00922619"/>
    <w:rsid w:val="00925DE5"/>
    <w:rsid w:val="00931903"/>
    <w:rsid w:val="00933D31"/>
    <w:rsid w:val="009354C9"/>
    <w:rsid w:val="0093706C"/>
    <w:rsid w:val="0098702F"/>
    <w:rsid w:val="009A0999"/>
    <w:rsid w:val="009C3A65"/>
    <w:rsid w:val="009D1BD7"/>
    <w:rsid w:val="009D5DFC"/>
    <w:rsid w:val="009E143C"/>
    <w:rsid w:val="009F177B"/>
    <w:rsid w:val="009F4781"/>
    <w:rsid w:val="00A012C4"/>
    <w:rsid w:val="00A169B3"/>
    <w:rsid w:val="00A31D29"/>
    <w:rsid w:val="00A340DF"/>
    <w:rsid w:val="00A3628B"/>
    <w:rsid w:val="00A36580"/>
    <w:rsid w:val="00A50615"/>
    <w:rsid w:val="00A6353E"/>
    <w:rsid w:val="00A7495B"/>
    <w:rsid w:val="00A767E0"/>
    <w:rsid w:val="00A868B1"/>
    <w:rsid w:val="00A876A7"/>
    <w:rsid w:val="00AA18F2"/>
    <w:rsid w:val="00AA681D"/>
    <w:rsid w:val="00AB525A"/>
    <w:rsid w:val="00AE3FEB"/>
    <w:rsid w:val="00AE68DB"/>
    <w:rsid w:val="00AF1546"/>
    <w:rsid w:val="00B12E36"/>
    <w:rsid w:val="00B2250B"/>
    <w:rsid w:val="00B23E4D"/>
    <w:rsid w:val="00B27A19"/>
    <w:rsid w:val="00B40CD5"/>
    <w:rsid w:val="00B439A5"/>
    <w:rsid w:val="00B44943"/>
    <w:rsid w:val="00B46A70"/>
    <w:rsid w:val="00B574FD"/>
    <w:rsid w:val="00B662E6"/>
    <w:rsid w:val="00B663EA"/>
    <w:rsid w:val="00B91BCB"/>
    <w:rsid w:val="00B94A33"/>
    <w:rsid w:val="00B97C98"/>
    <w:rsid w:val="00BA135D"/>
    <w:rsid w:val="00BA1C09"/>
    <w:rsid w:val="00BA599A"/>
    <w:rsid w:val="00BA7CA9"/>
    <w:rsid w:val="00BC37F6"/>
    <w:rsid w:val="00BD5CCE"/>
    <w:rsid w:val="00BD76D4"/>
    <w:rsid w:val="00BE3813"/>
    <w:rsid w:val="00BF4381"/>
    <w:rsid w:val="00C0117B"/>
    <w:rsid w:val="00C13CA5"/>
    <w:rsid w:val="00C148B9"/>
    <w:rsid w:val="00C150EF"/>
    <w:rsid w:val="00C23341"/>
    <w:rsid w:val="00C3469F"/>
    <w:rsid w:val="00C4170A"/>
    <w:rsid w:val="00C503C4"/>
    <w:rsid w:val="00C54A79"/>
    <w:rsid w:val="00C6112D"/>
    <w:rsid w:val="00C72C60"/>
    <w:rsid w:val="00C73479"/>
    <w:rsid w:val="00C74055"/>
    <w:rsid w:val="00C776C5"/>
    <w:rsid w:val="00C80616"/>
    <w:rsid w:val="00C9121A"/>
    <w:rsid w:val="00CA016E"/>
    <w:rsid w:val="00CA79CD"/>
    <w:rsid w:val="00CC263D"/>
    <w:rsid w:val="00CE19BD"/>
    <w:rsid w:val="00CE3B03"/>
    <w:rsid w:val="00CE3EFF"/>
    <w:rsid w:val="00CE4466"/>
    <w:rsid w:val="00CE58A5"/>
    <w:rsid w:val="00CF024F"/>
    <w:rsid w:val="00CF0CB5"/>
    <w:rsid w:val="00CF6EC8"/>
    <w:rsid w:val="00D21192"/>
    <w:rsid w:val="00D213E4"/>
    <w:rsid w:val="00D355F1"/>
    <w:rsid w:val="00D4464F"/>
    <w:rsid w:val="00D44EDE"/>
    <w:rsid w:val="00D457C1"/>
    <w:rsid w:val="00D51406"/>
    <w:rsid w:val="00D52F9F"/>
    <w:rsid w:val="00D6344D"/>
    <w:rsid w:val="00D6542E"/>
    <w:rsid w:val="00D7798F"/>
    <w:rsid w:val="00D93ABD"/>
    <w:rsid w:val="00DA56BB"/>
    <w:rsid w:val="00DB2DF7"/>
    <w:rsid w:val="00DB2E59"/>
    <w:rsid w:val="00DC1BF8"/>
    <w:rsid w:val="00DD7C00"/>
    <w:rsid w:val="00DE3BBD"/>
    <w:rsid w:val="00DF6F15"/>
    <w:rsid w:val="00E03F94"/>
    <w:rsid w:val="00E06EF7"/>
    <w:rsid w:val="00E12634"/>
    <w:rsid w:val="00E27D46"/>
    <w:rsid w:val="00E51F39"/>
    <w:rsid w:val="00E57161"/>
    <w:rsid w:val="00E57386"/>
    <w:rsid w:val="00E624D4"/>
    <w:rsid w:val="00E6706F"/>
    <w:rsid w:val="00E73A85"/>
    <w:rsid w:val="00E73EE5"/>
    <w:rsid w:val="00E763D9"/>
    <w:rsid w:val="00E87065"/>
    <w:rsid w:val="00EA18B6"/>
    <w:rsid w:val="00EB1C30"/>
    <w:rsid w:val="00EB23C9"/>
    <w:rsid w:val="00EC2F43"/>
    <w:rsid w:val="00ED280F"/>
    <w:rsid w:val="00F01C4C"/>
    <w:rsid w:val="00F03AF0"/>
    <w:rsid w:val="00F04222"/>
    <w:rsid w:val="00F1744F"/>
    <w:rsid w:val="00F30B48"/>
    <w:rsid w:val="00F44355"/>
    <w:rsid w:val="00F51842"/>
    <w:rsid w:val="00F62D02"/>
    <w:rsid w:val="00F64A35"/>
    <w:rsid w:val="00F84B60"/>
    <w:rsid w:val="00F8647F"/>
    <w:rsid w:val="00F90A6D"/>
    <w:rsid w:val="00F95DAF"/>
    <w:rsid w:val="00FA27E0"/>
    <w:rsid w:val="00FA4597"/>
    <w:rsid w:val="00FB5052"/>
    <w:rsid w:val="00FB5127"/>
    <w:rsid w:val="00FB5BD5"/>
    <w:rsid w:val="00FB6A6B"/>
    <w:rsid w:val="00FC14F1"/>
    <w:rsid w:val="00FD0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16245088">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568228110">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26820467">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12735206">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033578652">
      <w:bodyDiv w:val="1"/>
      <w:marLeft w:val="0"/>
      <w:marRight w:val="0"/>
      <w:marTop w:val="0"/>
      <w:marBottom w:val="0"/>
      <w:divBdr>
        <w:top w:val="none" w:sz="0" w:space="0" w:color="auto"/>
        <w:left w:val="none" w:sz="0" w:space="0" w:color="auto"/>
        <w:bottom w:val="none" w:sz="0" w:space="0" w:color="auto"/>
        <w:right w:val="none" w:sz="0" w:space="0" w:color="auto"/>
      </w:divBdr>
    </w:div>
    <w:div w:id="1061244647">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37934291">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437826720">
      <w:bodyDiv w:val="1"/>
      <w:marLeft w:val="0"/>
      <w:marRight w:val="0"/>
      <w:marTop w:val="0"/>
      <w:marBottom w:val="0"/>
      <w:divBdr>
        <w:top w:val="none" w:sz="0" w:space="0" w:color="auto"/>
        <w:left w:val="none" w:sz="0" w:space="0" w:color="auto"/>
        <w:bottom w:val="none" w:sz="0" w:space="0" w:color="auto"/>
        <w:right w:val="none" w:sz="0" w:space="0" w:color="auto"/>
      </w:divBdr>
    </w:div>
    <w:div w:id="1487821689">
      <w:bodyDiv w:val="1"/>
      <w:marLeft w:val="0"/>
      <w:marRight w:val="0"/>
      <w:marTop w:val="0"/>
      <w:marBottom w:val="0"/>
      <w:divBdr>
        <w:top w:val="none" w:sz="0" w:space="0" w:color="auto"/>
        <w:left w:val="none" w:sz="0" w:space="0" w:color="auto"/>
        <w:bottom w:val="none" w:sz="0" w:space="0" w:color="auto"/>
        <w:right w:val="none" w:sz="0" w:space="0" w:color="auto"/>
      </w:divBdr>
    </w:div>
    <w:div w:id="1546020627">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62526416">
      <w:bodyDiv w:val="1"/>
      <w:marLeft w:val="0"/>
      <w:marRight w:val="0"/>
      <w:marTop w:val="0"/>
      <w:marBottom w:val="0"/>
      <w:divBdr>
        <w:top w:val="none" w:sz="0" w:space="0" w:color="auto"/>
        <w:left w:val="none" w:sz="0" w:space="0" w:color="auto"/>
        <w:bottom w:val="none" w:sz="0" w:space="0" w:color="auto"/>
        <w:right w:val="none" w:sz="0" w:space="0" w:color="auto"/>
      </w:divBdr>
    </w:div>
    <w:div w:id="1767001860">
      <w:bodyDiv w:val="1"/>
      <w:marLeft w:val="0"/>
      <w:marRight w:val="0"/>
      <w:marTop w:val="0"/>
      <w:marBottom w:val="0"/>
      <w:divBdr>
        <w:top w:val="none" w:sz="0" w:space="0" w:color="auto"/>
        <w:left w:val="none" w:sz="0" w:space="0" w:color="auto"/>
        <w:bottom w:val="none" w:sz="0" w:space="0" w:color="auto"/>
        <w:right w:val="none" w:sz="0" w:space="0" w:color="auto"/>
      </w:divBdr>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52129865">
      <w:bodyDiv w:val="1"/>
      <w:marLeft w:val="0"/>
      <w:marRight w:val="0"/>
      <w:marTop w:val="0"/>
      <w:marBottom w:val="0"/>
      <w:divBdr>
        <w:top w:val="none" w:sz="0" w:space="0" w:color="auto"/>
        <w:left w:val="none" w:sz="0" w:space="0" w:color="auto"/>
        <w:bottom w:val="none" w:sz="0" w:space="0" w:color="auto"/>
        <w:right w:val="none" w:sz="0" w:space="0" w:color="auto"/>
      </w:divBdr>
    </w:div>
    <w:div w:id="1969971013">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 w:id="213073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Props1.xml><?xml version="1.0" encoding="utf-8"?>
<ds:datastoreItem xmlns:ds="http://schemas.openxmlformats.org/officeDocument/2006/customXml" ds:itemID="{E7D00F45-3D0A-41C8-AA3D-84D3AB355F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3920</Words>
  <Characters>20467</Characters>
  <Application>Microsoft Office Word</Application>
  <DocSecurity>0</DocSecurity>
  <Lines>417</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Roxana Lechuga</cp:lastModifiedBy>
  <cp:revision>4</cp:revision>
  <cp:lastPrinted>2025-09-05T04:03:00Z</cp:lastPrinted>
  <dcterms:created xsi:type="dcterms:W3CDTF">2025-09-05T04:03:00Z</dcterms:created>
  <dcterms:modified xsi:type="dcterms:W3CDTF">2025-11-28T02:26:00Z</dcterms:modified>
</cp:coreProperties>
</file>