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0C3F9" w14:textId="77777777" w:rsidR="00F163CD" w:rsidRPr="0024200F" w:rsidRDefault="00F163CD" w:rsidP="00F163CD">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w:t>
      </w:r>
      <w:bookmarkStart w:id="0" w:name="_GoBack"/>
      <w:bookmarkEnd w:id="0"/>
      <w:r w:rsidRPr="0024200F">
        <w:rPr>
          <w:rFonts w:ascii="Palatino Linotype" w:hAnsi="Palatino Linotype"/>
        </w:rPr>
        <w:t xml:space="preserve">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once de junio de dos mil veinticinco.</w:t>
      </w:r>
    </w:p>
    <w:p w14:paraId="1A1B24AA" w14:textId="77777777" w:rsidR="00F163CD" w:rsidRPr="0024200F" w:rsidRDefault="00F163CD" w:rsidP="00F163CD">
      <w:pPr>
        <w:spacing w:line="360" w:lineRule="auto"/>
        <w:jc w:val="both"/>
        <w:rPr>
          <w:rFonts w:ascii="Palatino Linotype" w:hAnsi="Palatino Linotype"/>
        </w:rPr>
      </w:pPr>
    </w:p>
    <w:p w14:paraId="1E5A5551" w14:textId="77777777" w:rsidR="00F163CD" w:rsidRPr="002C3EC8" w:rsidRDefault="00F163CD" w:rsidP="00F163CD">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03315/INFOEM/IP/RR/2025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E06CE6">
        <w:rPr>
          <w:rFonts w:ascii="Palatino Linotype" w:hAnsi="Palatino Linotype"/>
          <w:b/>
        </w:rPr>
        <w:t>Ayuntamiento de Toluca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0A87C9D0" w14:textId="77777777" w:rsidR="00F163CD" w:rsidRDefault="00F163CD" w:rsidP="00F163CD">
      <w:pPr>
        <w:pStyle w:val="infoemcitas"/>
        <w:jc w:val="center"/>
        <w:rPr>
          <w:b/>
          <w:bCs/>
          <w:i w:val="0"/>
          <w:iCs/>
          <w:sz w:val="28"/>
          <w:szCs w:val="28"/>
        </w:rPr>
      </w:pPr>
    </w:p>
    <w:p w14:paraId="1655EBAF" w14:textId="77777777" w:rsidR="00F163CD" w:rsidRDefault="00F163CD" w:rsidP="00F163CD">
      <w:pPr>
        <w:pStyle w:val="infoemcitas"/>
        <w:jc w:val="center"/>
        <w:rPr>
          <w:b/>
          <w:bCs/>
          <w:i w:val="0"/>
          <w:iCs/>
          <w:sz w:val="28"/>
          <w:szCs w:val="28"/>
        </w:rPr>
      </w:pPr>
      <w:r w:rsidRPr="002C3EC8">
        <w:rPr>
          <w:b/>
          <w:bCs/>
          <w:i w:val="0"/>
          <w:iCs/>
          <w:sz w:val="28"/>
          <w:szCs w:val="28"/>
        </w:rPr>
        <w:t>A N T E C E D E N T E S   D E L   A S U N T O</w:t>
      </w:r>
    </w:p>
    <w:p w14:paraId="793F581C" w14:textId="77777777" w:rsidR="00F163CD" w:rsidRPr="002C3EC8" w:rsidRDefault="00F163CD" w:rsidP="00F163CD">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0E242B94" w14:textId="77777777" w:rsidR="00F163CD" w:rsidRPr="00D705FF" w:rsidRDefault="00F163CD" w:rsidP="00F163CD">
      <w:pPr>
        <w:spacing w:before="240" w:line="360" w:lineRule="auto"/>
        <w:jc w:val="both"/>
        <w:rPr>
          <w:rFonts w:ascii="Palatino Linotype" w:hAnsi="Palatino Linotype" w:cs="Arial"/>
        </w:rPr>
      </w:pPr>
      <w:r w:rsidRPr="00D705FF">
        <w:rPr>
          <w:rFonts w:ascii="Palatino Linotype" w:hAnsi="Palatino Linotype" w:cs="Arial"/>
        </w:rPr>
        <w:t xml:space="preserve">Con fecha </w:t>
      </w:r>
      <w:r>
        <w:rPr>
          <w:rFonts w:ascii="Palatino Linotype" w:hAnsi="Palatino Linotype" w:cs="Arial"/>
          <w:b/>
        </w:rPr>
        <w:t>cinco de febrero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Pr>
          <w:rFonts w:ascii="Palatino Linotype" w:hAnsi="Palatino Linotype" w:cs="Arial"/>
          <w:b/>
        </w:rPr>
        <w:t>00684/TOLUCA/IP/2025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1CA8748E" w14:textId="77777777" w:rsidR="00F163CD" w:rsidRPr="001C7F6F" w:rsidRDefault="00F163CD" w:rsidP="00F163CD">
      <w:pPr>
        <w:pStyle w:val="INFOEM"/>
        <w:rPr>
          <w:lang w:val="es-ES_tradnl" w:eastAsia="es-ES"/>
        </w:rPr>
      </w:pPr>
      <w:r w:rsidRPr="00D705FF">
        <w:rPr>
          <w:lang w:val="es-ES_tradnl" w:eastAsia="es-ES"/>
        </w:rPr>
        <w:t>“</w:t>
      </w:r>
      <w:r w:rsidRPr="00F163CD">
        <w:rPr>
          <w:lang w:val="es-ES" w:eastAsia="es-ES"/>
        </w:rPr>
        <w:t xml:space="preserve">El Bando Municipal, manual de procedimientos, manual de organización de su administración 2025 en castellano, baile y </w:t>
      </w:r>
      <w:proofErr w:type="spellStart"/>
      <w:r w:rsidRPr="00F163CD">
        <w:rPr>
          <w:lang w:val="es-ES" w:eastAsia="es-ES"/>
        </w:rPr>
        <w:t>otomi</w:t>
      </w:r>
      <w:proofErr w:type="spellEnd"/>
      <w:r w:rsidRPr="00F163CD">
        <w:rPr>
          <w:lang w:val="es-ES" w:eastAsia="es-ES"/>
        </w:rPr>
        <w:t xml:space="preserve"> el nombre y costo que se </w:t>
      </w:r>
      <w:proofErr w:type="spellStart"/>
      <w:r w:rsidRPr="00F163CD">
        <w:rPr>
          <w:lang w:val="es-ES" w:eastAsia="es-ES"/>
        </w:rPr>
        <w:t>pago</w:t>
      </w:r>
      <w:proofErr w:type="spellEnd"/>
      <w:r w:rsidRPr="00F163CD">
        <w:rPr>
          <w:lang w:val="es-ES" w:eastAsia="es-ES"/>
        </w:rPr>
        <w:t xml:space="preserve"> a los traductores</w:t>
      </w:r>
      <w:r w:rsidRPr="00D705FF">
        <w:rPr>
          <w:lang w:val="es-ES_tradnl" w:eastAsia="es-ES"/>
        </w:rPr>
        <w:t>” (Sic)</w:t>
      </w:r>
    </w:p>
    <w:p w14:paraId="058C3060" w14:textId="77777777" w:rsidR="00F163CD" w:rsidRPr="002C3EC8" w:rsidRDefault="00F163CD" w:rsidP="00F163CD">
      <w:pPr>
        <w:spacing w:before="240" w:line="360" w:lineRule="auto"/>
        <w:jc w:val="both"/>
        <w:rPr>
          <w:rFonts w:ascii="Palatino Linotype" w:hAnsi="Palatino Linotype"/>
          <w:lang w:val="es-ES_tradnl"/>
        </w:rPr>
      </w:pPr>
      <w:r w:rsidRPr="002C3EC8">
        <w:rPr>
          <w:rFonts w:ascii="Palatino Linotype" w:hAnsi="Palatino Linotype"/>
          <w:b/>
          <w:lang w:val="es-ES_tradnl"/>
        </w:rPr>
        <w:lastRenderedPageBreak/>
        <w:t>Modalidad de entrega:</w:t>
      </w:r>
      <w:r w:rsidRPr="002C3EC8">
        <w:rPr>
          <w:rFonts w:ascii="Palatino Linotype" w:hAnsi="Palatino Linotype"/>
          <w:lang w:val="es-ES_tradnl"/>
        </w:rPr>
        <w:t xml:space="preserve"> A través del SAIMEX.</w:t>
      </w:r>
    </w:p>
    <w:p w14:paraId="6E287C9C" w14:textId="77777777" w:rsidR="00F163CD" w:rsidRDefault="00F163CD" w:rsidP="00F163CD">
      <w:pPr>
        <w:spacing w:before="240" w:line="360" w:lineRule="auto"/>
        <w:jc w:val="both"/>
        <w:rPr>
          <w:rFonts w:ascii="Palatino Linotype" w:hAnsi="Palatino Linotype" w:cs="Arial"/>
          <w:b/>
          <w:sz w:val="28"/>
        </w:rPr>
      </w:pPr>
    </w:p>
    <w:p w14:paraId="22414D2F" w14:textId="77777777" w:rsidR="00F163CD" w:rsidRDefault="00F163CD" w:rsidP="00F163CD">
      <w:pPr>
        <w:spacing w:before="240" w:line="360" w:lineRule="auto"/>
        <w:jc w:val="both"/>
        <w:rPr>
          <w:rFonts w:ascii="Palatino Linotype" w:hAnsi="Palatino Linotype"/>
        </w:rPr>
      </w:pPr>
      <w:r>
        <w:rPr>
          <w:rFonts w:ascii="Palatino Linotype" w:hAnsi="Palatino Linotype" w:cs="Arial"/>
          <w:b/>
          <w:sz w:val="28"/>
        </w:rPr>
        <w:t xml:space="preserve">SEGUNDO. De la </w:t>
      </w:r>
      <w:r>
        <w:rPr>
          <w:rFonts w:ascii="Palatino Linotype" w:hAnsi="Palatino Linotype" w:cs="Arial"/>
          <w:b/>
          <w:sz w:val="28"/>
          <w:szCs w:val="20"/>
        </w:rPr>
        <w:t>respuesta o entrega de la información</w:t>
      </w:r>
    </w:p>
    <w:p w14:paraId="3E3AB5C1" w14:textId="77777777" w:rsidR="00F163CD" w:rsidRPr="00C0731C" w:rsidRDefault="00F163CD" w:rsidP="00F163CD">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Pr>
          <w:rFonts w:ascii="Palatino Linotype" w:hAnsi="Palatino Linotype" w:cs="Arial"/>
          <w:b/>
          <w:sz w:val="24"/>
        </w:rPr>
        <w:t>veintiséis de febrero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6D5B70FF" w14:textId="77777777" w:rsidR="00F163CD" w:rsidRPr="00E818A5" w:rsidRDefault="00F163CD" w:rsidP="00F163CD">
      <w:pPr>
        <w:spacing w:line="360" w:lineRule="auto"/>
        <w:jc w:val="both"/>
        <w:rPr>
          <w:rFonts w:ascii="Palatino Linotype" w:hAnsi="Palatino Linotype" w:cs="Arial"/>
        </w:rPr>
      </w:pPr>
    </w:p>
    <w:p w14:paraId="680AD634" w14:textId="77777777" w:rsidR="00F163CD" w:rsidRPr="00F163CD" w:rsidRDefault="00F163CD" w:rsidP="00F163CD">
      <w:pPr>
        <w:ind w:left="567" w:right="567"/>
        <w:jc w:val="both"/>
        <w:rPr>
          <w:rFonts w:ascii="Palatino Linotype" w:hAnsi="Palatino Linotype" w:cs="Arial"/>
          <w:i/>
        </w:rPr>
      </w:pPr>
      <w:r>
        <w:rPr>
          <w:rFonts w:ascii="Palatino Linotype" w:hAnsi="Palatino Linotype" w:cs="Arial"/>
          <w:i/>
        </w:rPr>
        <w:t>“</w:t>
      </w:r>
      <w:r w:rsidRPr="00F163C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C87491" w14:textId="77777777" w:rsidR="00F163CD" w:rsidRDefault="00F163CD" w:rsidP="00F163CD">
      <w:pPr>
        <w:ind w:left="567" w:right="567"/>
        <w:jc w:val="both"/>
        <w:rPr>
          <w:rFonts w:ascii="Palatino Linotype" w:hAnsi="Palatino Linotype" w:cs="Arial"/>
          <w:i/>
        </w:rPr>
      </w:pPr>
      <w:r w:rsidRPr="00F163CD">
        <w:rPr>
          <w:rFonts w:ascii="Palatino Linotype" w:hAnsi="Palatino Linotype" w:cs="Arial"/>
          <w:i/>
        </w:rPr>
        <w:t>En atención a la solicitud con folio 0684/TOLUCA/IP/2025, me permito adjuntar al presente la respuesta correspondiente. Sin más por el momento, reciba un saludo.</w:t>
      </w:r>
      <w:r w:rsidRPr="00AB4967">
        <w:rPr>
          <w:rFonts w:ascii="Palatino Linotype" w:hAnsi="Palatino Linotype" w:cs="Arial"/>
          <w:i/>
        </w:rPr>
        <w:t xml:space="preserve"> </w:t>
      </w:r>
      <w:r w:rsidRPr="00667998">
        <w:rPr>
          <w:rFonts w:ascii="Palatino Linotype" w:hAnsi="Palatino Linotype" w:cs="Arial"/>
          <w:i/>
        </w:rPr>
        <w:t>“(Sic).</w:t>
      </w:r>
    </w:p>
    <w:p w14:paraId="5F2C92D3" w14:textId="77777777" w:rsidR="00F163CD" w:rsidRDefault="00F163CD" w:rsidP="00F163CD">
      <w:pPr>
        <w:spacing w:line="360" w:lineRule="auto"/>
        <w:ind w:right="567"/>
        <w:jc w:val="both"/>
        <w:rPr>
          <w:rFonts w:ascii="Palatino Linotype" w:hAnsi="Palatino Linotype" w:cs="Arial"/>
        </w:rPr>
      </w:pPr>
    </w:p>
    <w:p w14:paraId="4C0992AE" w14:textId="77777777" w:rsidR="00F163CD" w:rsidRDefault="00F163CD" w:rsidP="00F163CD">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w:t>
      </w:r>
      <w:r w:rsidR="0023185C">
        <w:rPr>
          <w:rFonts w:ascii="Palatino Linotype" w:hAnsi="Palatino Linotype" w:cs="Arial"/>
        </w:rPr>
        <w:t>los</w:t>
      </w:r>
      <w:r>
        <w:rPr>
          <w:rFonts w:ascii="Palatino Linotype" w:hAnsi="Palatino Linotype" w:cs="Arial"/>
        </w:rPr>
        <w:t xml:space="preserve"> archivo</w:t>
      </w:r>
      <w:r w:rsidR="0023185C">
        <w:rPr>
          <w:rFonts w:ascii="Palatino Linotype" w:hAnsi="Palatino Linotype" w:cs="Arial"/>
        </w:rPr>
        <w:t>s</w:t>
      </w:r>
      <w:r>
        <w:rPr>
          <w:rFonts w:ascii="Palatino Linotype" w:hAnsi="Palatino Linotype" w:cs="Arial"/>
        </w:rPr>
        <w:t xml:space="preserve"> electrónico</w:t>
      </w:r>
      <w:r w:rsidR="0023185C">
        <w:rPr>
          <w:rFonts w:ascii="Palatino Linotype" w:hAnsi="Palatino Linotype" w:cs="Arial"/>
        </w:rPr>
        <w:t>s</w:t>
      </w:r>
      <w:r>
        <w:rPr>
          <w:rFonts w:ascii="Palatino Linotype" w:hAnsi="Palatino Linotype" w:cs="Arial"/>
        </w:rPr>
        <w:t xml:space="preserve"> denominado</w:t>
      </w:r>
      <w:r w:rsidR="0023185C">
        <w:rPr>
          <w:rFonts w:ascii="Palatino Linotype" w:hAnsi="Palatino Linotype" w:cs="Arial"/>
        </w:rPr>
        <w:t>s</w:t>
      </w:r>
      <w:r>
        <w:rPr>
          <w:rFonts w:ascii="Palatino Linotype" w:hAnsi="Palatino Linotype" w:cs="Arial"/>
        </w:rPr>
        <w:t xml:space="preserve"> “</w:t>
      </w:r>
      <w:r w:rsidRPr="00F163CD">
        <w:rPr>
          <w:rFonts w:ascii="Palatino Linotype" w:hAnsi="Palatino Linotype" w:cs="Arial"/>
          <w:b/>
          <w:i/>
        </w:rPr>
        <w:t>BANDO-MUNICIPAL-2025-.pdf</w:t>
      </w:r>
      <w:r>
        <w:rPr>
          <w:rFonts w:ascii="Palatino Linotype" w:hAnsi="Palatino Linotype" w:cs="Arial"/>
          <w:b/>
          <w:i/>
        </w:rPr>
        <w:t>”, “</w:t>
      </w:r>
      <w:r w:rsidRPr="00F163CD">
        <w:rPr>
          <w:rFonts w:ascii="Palatino Linotype" w:hAnsi="Palatino Linotype" w:cs="Arial"/>
          <w:b/>
          <w:i/>
        </w:rPr>
        <w:t>BANDO-MUNICIPAL-OTOMI-2025_compressed.pdf</w:t>
      </w:r>
      <w:r>
        <w:rPr>
          <w:rFonts w:ascii="Palatino Linotype" w:hAnsi="Palatino Linotype" w:cs="Arial"/>
          <w:b/>
          <w:i/>
        </w:rPr>
        <w:t>” y “</w:t>
      </w:r>
      <w:r w:rsidRPr="00F163CD">
        <w:rPr>
          <w:rFonts w:ascii="Palatino Linotype" w:hAnsi="Palatino Linotype" w:cs="Arial"/>
          <w:b/>
          <w:i/>
        </w:rPr>
        <w:t>RESPUESTA 684. 2025</w:t>
      </w:r>
      <w:r w:rsidR="00A35076" w:rsidRPr="00F163CD">
        <w:rPr>
          <w:rFonts w:ascii="Palatino Linotype" w:hAnsi="Palatino Linotype" w:cs="Arial"/>
          <w:b/>
          <w:i/>
        </w:rPr>
        <w:t xml:space="preserve">. </w:t>
      </w:r>
      <w:proofErr w:type="spellStart"/>
      <w:proofErr w:type="gramStart"/>
      <w:r w:rsidR="00A35076" w:rsidRPr="00F163CD">
        <w:rPr>
          <w:rFonts w:ascii="Palatino Linotype" w:hAnsi="Palatino Linotype" w:cs="Arial"/>
          <w:b/>
          <w:i/>
        </w:rPr>
        <w:t>pdf</w:t>
      </w:r>
      <w:proofErr w:type="spellEnd"/>
      <w:proofErr w:type="gramEnd"/>
      <w:r>
        <w:rPr>
          <w:rFonts w:ascii="Palatino Linotype" w:hAnsi="Palatino Linotype" w:cs="Arial"/>
          <w:b/>
          <w:i/>
        </w:rPr>
        <w:t xml:space="preserve">”, </w:t>
      </w:r>
      <w:r>
        <w:rPr>
          <w:rFonts w:ascii="Palatino Linotype" w:hAnsi="Palatino Linotype" w:cs="Arial"/>
        </w:rPr>
        <w:t>mismo</w:t>
      </w:r>
      <w:r w:rsidR="0023185C">
        <w:rPr>
          <w:rFonts w:ascii="Palatino Linotype" w:hAnsi="Palatino Linotype" w:cs="Arial"/>
        </w:rPr>
        <w:t>s</w:t>
      </w:r>
      <w:r>
        <w:rPr>
          <w:rFonts w:ascii="Palatino Linotype" w:hAnsi="Palatino Linotype" w:cs="Arial"/>
        </w:rPr>
        <w:t xml:space="preserve"> que no se reproduce</w:t>
      </w:r>
      <w:r w:rsidR="0023185C">
        <w:rPr>
          <w:rFonts w:ascii="Palatino Linotype" w:hAnsi="Palatino Linotype" w:cs="Arial"/>
        </w:rPr>
        <w:t>n</w:t>
      </w:r>
      <w:r>
        <w:rPr>
          <w:rFonts w:ascii="Palatino Linotype" w:hAnsi="Palatino Linotype" w:cs="Arial"/>
        </w:rPr>
        <w:t xml:space="preserve"> por ser del conocimiento de las partes, sin embargo, será</w:t>
      </w:r>
      <w:r w:rsidR="0023185C">
        <w:rPr>
          <w:rFonts w:ascii="Palatino Linotype" w:hAnsi="Palatino Linotype" w:cs="Arial"/>
        </w:rPr>
        <w:t>n</w:t>
      </w:r>
      <w:r>
        <w:rPr>
          <w:rFonts w:ascii="Palatino Linotype" w:hAnsi="Palatino Linotype" w:cs="Arial"/>
        </w:rPr>
        <w:t xml:space="preserve"> materia de estudio en el considerando respectivo. </w:t>
      </w:r>
    </w:p>
    <w:p w14:paraId="264CE884" w14:textId="77777777" w:rsidR="00F163CD" w:rsidRDefault="00F163CD" w:rsidP="00F163CD">
      <w:pPr>
        <w:spacing w:line="360" w:lineRule="auto"/>
        <w:jc w:val="both"/>
        <w:rPr>
          <w:rFonts w:ascii="Palatino Linotype" w:hAnsi="Palatino Linotype" w:cs="Arial"/>
        </w:rPr>
      </w:pPr>
    </w:p>
    <w:p w14:paraId="6F80D87B" w14:textId="77777777" w:rsidR="00F163CD" w:rsidRPr="002C3EC8" w:rsidRDefault="00F163CD" w:rsidP="00F163CD">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3CFDE04B" w14:textId="77777777" w:rsidR="00F163CD" w:rsidRDefault="00F163CD" w:rsidP="00F163CD">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23185C">
        <w:rPr>
          <w:rFonts w:ascii="Palatino Linotype" w:hAnsi="Palatino Linotype" w:cs="Arial"/>
          <w:b/>
        </w:rPr>
        <w:t>veinte</w:t>
      </w:r>
      <w:r>
        <w:rPr>
          <w:rFonts w:ascii="Palatino Linotype" w:hAnsi="Palatino Linotype" w:cs="Arial"/>
          <w:b/>
        </w:rPr>
        <w:t xml:space="preserve"> de marzo de dos mil veinticinco</w:t>
      </w:r>
      <w:r w:rsidRPr="002C3EC8">
        <w:rPr>
          <w:rFonts w:ascii="Palatino Linotype" w:hAnsi="Palatino Linotype" w:cs="Arial"/>
        </w:rPr>
        <w:t xml:space="preserve">, </w:t>
      </w:r>
      <w:r>
        <w:rPr>
          <w:rFonts w:ascii="Palatino Linotype" w:hAnsi="Palatino Linotype" w:cs="Arial"/>
        </w:rPr>
        <w:t xml:space="preserve">el cual </w:t>
      </w:r>
      <w:r>
        <w:rPr>
          <w:rFonts w:ascii="Palatino Linotype" w:hAnsi="Palatino Linotype" w:cs="Arial"/>
        </w:rPr>
        <w:lastRenderedPageBreak/>
        <w:t>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03315/INFOEM/IP/RR/2025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72926F97" w14:textId="77777777" w:rsidR="00F163CD" w:rsidRDefault="00F163CD" w:rsidP="00F163CD">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76CFE598" w14:textId="77777777" w:rsidR="00F163CD" w:rsidRPr="007E4713" w:rsidRDefault="00F163CD" w:rsidP="00F163CD">
      <w:pPr>
        <w:pStyle w:val="INFOEM"/>
        <w:ind w:left="720"/>
      </w:pPr>
      <w:r w:rsidRPr="007E4713">
        <w:t>“</w:t>
      </w:r>
      <w:r w:rsidR="0023185C" w:rsidRPr="0023185C">
        <w:t>Sus archivos no abren y falta información</w:t>
      </w:r>
      <w:r>
        <w:t>” (sic)</w:t>
      </w:r>
    </w:p>
    <w:p w14:paraId="20A7EE3C" w14:textId="77777777" w:rsidR="00F163CD" w:rsidRPr="0033050B" w:rsidRDefault="00F163CD" w:rsidP="00F163CD">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656B2A91" w14:textId="77777777" w:rsidR="00F163CD" w:rsidRPr="007E4713" w:rsidRDefault="00F163CD" w:rsidP="00F163CD">
      <w:pPr>
        <w:pStyle w:val="INFOEM"/>
        <w:ind w:left="709"/>
      </w:pPr>
      <w:r w:rsidRPr="007E4713">
        <w:t>“</w:t>
      </w:r>
      <w:r w:rsidR="0023185C" w:rsidRPr="0023185C">
        <w:rPr>
          <w:lang w:val="es-ES"/>
        </w:rPr>
        <w:t>Sus archivos no abren y falta información</w:t>
      </w:r>
      <w:r w:rsidRPr="00DD2EDF">
        <w:t>”</w:t>
      </w:r>
      <w:r>
        <w:t xml:space="preserve"> (sic)</w:t>
      </w:r>
    </w:p>
    <w:p w14:paraId="5B4CF469" w14:textId="77777777" w:rsidR="00F163CD" w:rsidRDefault="00F163CD" w:rsidP="00F163CD">
      <w:pPr>
        <w:spacing w:before="240" w:line="360" w:lineRule="auto"/>
        <w:jc w:val="both"/>
        <w:rPr>
          <w:rFonts w:ascii="Palatino Linotype" w:hAnsi="Palatino Linotype" w:cs="Arial"/>
        </w:rPr>
      </w:pPr>
    </w:p>
    <w:p w14:paraId="32494406" w14:textId="77777777" w:rsidR="00F163CD" w:rsidRPr="002C3EC8" w:rsidRDefault="00F163CD" w:rsidP="00F163CD">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3FC378E4" w14:textId="77777777" w:rsidR="00F163CD" w:rsidRDefault="00F163CD" w:rsidP="00F163CD">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9A76A7">
        <w:rPr>
          <w:rFonts w:ascii="Palatino Linotype" w:hAnsi="Palatino Linotype"/>
          <w:b/>
        </w:rPr>
        <w:t>veinticuatro</w:t>
      </w:r>
      <w:r>
        <w:rPr>
          <w:rFonts w:ascii="Palatino Linotype" w:hAnsi="Palatino Linotype"/>
          <w:b/>
        </w:rPr>
        <w:t xml:space="preserve"> de marzo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49018D15" w14:textId="77777777" w:rsidR="00F163CD" w:rsidRPr="004C20B7" w:rsidRDefault="00F163CD" w:rsidP="00F163CD">
      <w:pPr>
        <w:spacing w:before="240" w:line="360" w:lineRule="auto"/>
        <w:jc w:val="both"/>
        <w:rPr>
          <w:rFonts w:ascii="Palatino Linotype" w:hAnsi="Palatino Linotype" w:cs="Arial"/>
          <w:sz w:val="28"/>
        </w:rPr>
      </w:pPr>
    </w:p>
    <w:p w14:paraId="5B8E38B1" w14:textId="77777777" w:rsidR="00F163CD" w:rsidRPr="00E52C83" w:rsidRDefault="00F163CD" w:rsidP="00F163CD">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7A21C4E0" w14:textId="77777777" w:rsidR="00F163CD" w:rsidRPr="00590166" w:rsidRDefault="00F163CD" w:rsidP="00F163CD">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9A76A7">
        <w:rPr>
          <w:rFonts w:ascii="Palatino Linotype" w:hAnsi="Palatino Linotype" w:cs="Arial"/>
        </w:rPr>
        <w:t>dos de abril</w:t>
      </w:r>
      <w:r>
        <w:rPr>
          <w:rFonts w:ascii="Palatino Linotype" w:hAnsi="Palatino Linotype" w:cs="Arial"/>
        </w:rPr>
        <w:t xml:space="preserve"> de dos mil veinticinco</w:t>
      </w:r>
      <w:r w:rsidRPr="00D32665">
        <w:rPr>
          <w:rFonts w:ascii="Palatino Linotype" w:hAnsi="Palatino Linotype" w:cs="Arial"/>
        </w:rPr>
        <w:t>, por medio de</w:t>
      </w:r>
      <w:r w:rsidR="009A76A7">
        <w:rPr>
          <w:rFonts w:ascii="Palatino Linotype" w:hAnsi="Palatino Linotype" w:cs="Arial"/>
        </w:rPr>
        <w:t xml:space="preserve"> </w:t>
      </w:r>
      <w:r w:rsidRPr="00D32665">
        <w:rPr>
          <w:rFonts w:ascii="Palatino Linotype" w:hAnsi="Palatino Linotype" w:cs="Arial"/>
        </w:rPr>
        <w:t>l</w:t>
      </w:r>
      <w:r w:rsidR="009A76A7">
        <w:rPr>
          <w:rFonts w:ascii="Palatino Linotype" w:hAnsi="Palatino Linotype" w:cs="Arial"/>
        </w:rPr>
        <w:t>os</w:t>
      </w:r>
      <w:r w:rsidRPr="00D32665">
        <w:rPr>
          <w:rFonts w:ascii="Palatino Linotype" w:hAnsi="Palatino Linotype" w:cs="Arial"/>
        </w:rPr>
        <w:t xml:space="preserve"> archivo</w:t>
      </w:r>
      <w:r w:rsidR="009A76A7">
        <w:rPr>
          <w:rFonts w:ascii="Palatino Linotype" w:hAnsi="Palatino Linotype" w:cs="Arial"/>
        </w:rPr>
        <w:t>s</w:t>
      </w:r>
      <w:r w:rsidRPr="00D32665">
        <w:rPr>
          <w:rFonts w:ascii="Palatino Linotype" w:hAnsi="Palatino Linotype" w:cs="Arial"/>
        </w:rPr>
        <w:t xml:space="preserve"> electrónico</w:t>
      </w:r>
      <w:r w:rsidR="009A76A7">
        <w:rPr>
          <w:rFonts w:ascii="Palatino Linotype" w:hAnsi="Palatino Linotype" w:cs="Arial"/>
        </w:rPr>
        <w:t>s</w:t>
      </w:r>
      <w:r w:rsidRPr="00D32665">
        <w:rPr>
          <w:rFonts w:ascii="Palatino Linotype" w:hAnsi="Palatino Linotype" w:cs="Arial"/>
        </w:rPr>
        <w:t xml:space="preserve"> “</w:t>
      </w:r>
      <w:r w:rsidR="009A76A7" w:rsidRPr="009A76A7">
        <w:rPr>
          <w:rFonts w:ascii="Palatino Linotype" w:hAnsi="Palatino Linotype" w:cs="Arial"/>
          <w:b/>
          <w:i/>
        </w:rPr>
        <w:t>Informe Justificado 03315.pdf</w:t>
      </w:r>
      <w:r>
        <w:rPr>
          <w:rFonts w:ascii="Palatino Linotype" w:hAnsi="Palatino Linotype" w:cs="Arial"/>
          <w:b/>
          <w:i/>
        </w:rPr>
        <w:t>”</w:t>
      </w:r>
      <w:r w:rsidR="009A76A7">
        <w:rPr>
          <w:rFonts w:ascii="Palatino Linotype" w:hAnsi="Palatino Linotype" w:cs="Arial"/>
          <w:b/>
          <w:i/>
        </w:rPr>
        <w:t xml:space="preserve"> y </w:t>
      </w:r>
      <w:r w:rsidR="009A76A7">
        <w:rPr>
          <w:rFonts w:ascii="Palatino Linotype" w:hAnsi="Palatino Linotype" w:cs="Arial"/>
          <w:b/>
          <w:i/>
        </w:rPr>
        <w:lastRenderedPageBreak/>
        <w:t>“</w:t>
      </w:r>
      <w:r w:rsidR="009A76A7" w:rsidRPr="009A76A7">
        <w:rPr>
          <w:rFonts w:ascii="Palatino Linotype" w:hAnsi="Palatino Linotype" w:cs="Arial"/>
          <w:b/>
          <w:i/>
        </w:rPr>
        <w:t>Ratificación 03315.pdf</w:t>
      </w:r>
      <w:r w:rsidR="009A76A7">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9A76A7">
        <w:rPr>
          <w:rFonts w:ascii="Palatino Linotype" w:hAnsi="Palatino Linotype" w:cs="Arial"/>
        </w:rPr>
        <w:t>veintinueve de mayo</w:t>
      </w:r>
      <w:r>
        <w:rPr>
          <w:rFonts w:ascii="Palatino Linotype" w:hAnsi="Palatino Linotype" w:cs="Arial"/>
        </w:rPr>
        <w:t xml:space="preserve"> de dos mil veinticinco</w:t>
      </w:r>
      <w:r w:rsidRPr="00D32665">
        <w:rPr>
          <w:rFonts w:ascii="Palatino Linotype" w:hAnsi="Palatino Linotype" w:cs="Arial"/>
          <w:b/>
          <w:i/>
        </w:rPr>
        <w:t>.</w:t>
      </w:r>
    </w:p>
    <w:p w14:paraId="7C8AB8C3" w14:textId="77777777" w:rsidR="00F163CD" w:rsidRPr="00D32665" w:rsidRDefault="00F163CD" w:rsidP="00F163CD">
      <w:pPr>
        <w:spacing w:line="360" w:lineRule="auto"/>
        <w:jc w:val="both"/>
        <w:rPr>
          <w:rFonts w:ascii="Palatino Linotype" w:hAnsi="Palatino Linotype"/>
        </w:rPr>
      </w:pPr>
    </w:p>
    <w:p w14:paraId="70DF068D" w14:textId="77777777" w:rsidR="00F163CD" w:rsidRPr="00D32665" w:rsidRDefault="00F163CD" w:rsidP="00F163CD">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370B36D9" w14:textId="77777777" w:rsidR="00F163CD" w:rsidRDefault="00F163CD" w:rsidP="00F163CD">
      <w:pPr>
        <w:spacing w:line="360" w:lineRule="auto"/>
        <w:jc w:val="both"/>
        <w:rPr>
          <w:rFonts w:ascii="Palatino Linotype" w:hAnsi="Palatino Linotype" w:cs="Arial"/>
          <w:b/>
          <w:sz w:val="28"/>
          <w:szCs w:val="28"/>
        </w:rPr>
      </w:pPr>
    </w:p>
    <w:p w14:paraId="444404C3" w14:textId="77777777" w:rsidR="009A76A7" w:rsidRPr="00821CCD" w:rsidRDefault="00F163CD" w:rsidP="009A76A7">
      <w:pPr>
        <w:spacing w:line="360" w:lineRule="auto"/>
        <w:jc w:val="both"/>
        <w:rPr>
          <w:rFonts w:ascii="Palatino Linotype" w:eastAsia="Calibri" w:hAnsi="Palatino Linotype" w:cs="Arial"/>
          <w:b/>
          <w:sz w:val="28"/>
          <w:lang w:val="es-ES_tradnl"/>
        </w:rPr>
      </w:pPr>
      <w:r>
        <w:rPr>
          <w:rFonts w:ascii="Palatino Linotype" w:hAnsi="Palatino Linotype" w:cs="Arial"/>
          <w:b/>
          <w:sz w:val="28"/>
          <w:szCs w:val="28"/>
        </w:rPr>
        <w:t>SEXTO</w:t>
      </w:r>
      <w:r w:rsidRPr="002C3EC8">
        <w:rPr>
          <w:rFonts w:ascii="Palatino Linotype" w:hAnsi="Palatino Linotype" w:cs="Arial"/>
          <w:b/>
          <w:sz w:val="28"/>
          <w:szCs w:val="28"/>
        </w:rPr>
        <w:t xml:space="preserve">. </w:t>
      </w:r>
      <w:r w:rsidR="009A76A7" w:rsidRPr="00821CCD">
        <w:rPr>
          <w:rFonts w:ascii="Palatino Linotype" w:eastAsia="Calibri" w:hAnsi="Palatino Linotype" w:cs="Arial"/>
          <w:b/>
          <w:sz w:val="28"/>
          <w:lang w:val="es-ES_tradnl"/>
        </w:rPr>
        <w:t>De la ampliación del término para resolver.</w:t>
      </w:r>
    </w:p>
    <w:p w14:paraId="00779631" w14:textId="77777777" w:rsidR="009A76A7" w:rsidRPr="001C7FB0" w:rsidRDefault="009A76A7" w:rsidP="009A76A7">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quince de mayo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6C9981E" w14:textId="77777777" w:rsidR="009A76A7" w:rsidRDefault="009A76A7" w:rsidP="00F163CD">
      <w:pPr>
        <w:spacing w:line="360" w:lineRule="auto"/>
        <w:jc w:val="both"/>
        <w:rPr>
          <w:rFonts w:ascii="Palatino Linotype" w:hAnsi="Palatino Linotype" w:cs="Arial"/>
          <w:b/>
          <w:sz w:val="28"/>
          <w:szCs w:val="28"/>
        </w:rPr>
      </w:pPr>
    </w:p>
    <w:p w14:paraId="7EDD60DB" w14:textId="77777777" w:rsidR="009A76A7" w:rsidRPr="002C3EC8" w:rsidRDefault="00F163CD" w:rsidP="009A76A7">
      <w:pPr>
        <w:spacing w:line="360" w:lineRule="auto"/>
        <w:jc w:val="both"/>
        <w:rPr>
          <w:rFonts w:ascii="Palatino Linotype" w:hAnsi="Palatino Linotype" w:cs="Arial"/>
          <w:b/>
          <w:sz w:val="28"/>
          <w:szCs w:val="28"/>
        </w:rPr>
      </w:pPr>
      <w:r w:rsidRPr="00821CCD">
        <w:rPr>
          <w:rFonts w:ascii="Palatino Linotype" w:eastAsia="Calibri" w:hAnsi="Palatino Linotype" w:cs="Arial"/>
          <w:b/>
          <w:sz w:val="28"/>
          <w:lang w:val="es-ES_tradnl"/>
        </w:rPr>
        <w:t xml:space="preserve">SÉPTIMO. </w:t>
      </w:r>
      <w:r w:rsidR="009A76A7" w:rsidRPr="002C3EC8">
        <w:rPr>
          <w:rFonts w:ascii="Palatino Linotype" w:hAnsi="Palatino Linotype" w:cs="Arial"/>
          <w:b/>
          <w:sz w:val="28"/>
          <w:szCs w:val="28"/>
        </w:rPr>
        <w:t>Del Cierre de Instrucción.</w:t>
      </w:r>
    </w:p>
    <w:p w14:paraId="0DD9B27A" w14:textId="77777777" w:rsidR="009A76A7" w:rsidRDefault="009A76A7" w:rsidP="009A76A7">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Pr>
          <w:rFonts w:ascii="Palatino Linotype" w:hAnsi="Palatino Linotype" w:cs="Arial"/>
          <w:b/>
        </w:rPr>
        <w:t>cuatro de junio de dos mil veinticinco</w:t>
      </w:r>
      <w:r w:rsidRPr="002C3EC8">
        <w:rPr>
          <w:rFonts w:ascii="Palatino Linotype" w:hAnsi="Palatino Linotype" w:cs="Arial"/>
        </w:rPr>
        <w:t xml:space="preserve">, en términos del artículo 185 fracción VI de la Ley de Transparencia y Acceso a la </w:t>
      </w:r>
      <w:r w:rsidRPr="002C3EC8">
        <w:rPr>
          <w:rFonts w:ascii="Palatino Linotype" w:hAnsi="Palatino Linotype" w:cs="Arial"/>
        </w:rPr>
        <w:lastRenderedPageBreak/>
        <w:t>Información Pública del Estado de México y Municipios, ordenándose turnar el expediente a la resolución que en derecho proceda.</w:t>
      </w:r>
    </w:p>
    <w:p w14:paraId="73A0A665" w14:textId="77777777" w:rsidR="00F163CD" w:rsidRDefault="00F163CD" w:rsidP="009A76A7">
      <w:pPr>
        <w:spacing w:line="360" w:lineRule="auto"/>
        <w:jc w:val="both"/>
        <w:rPr>
          <w:rFonts w:ascii="Palatino Linotype" w:hAnsi="Palatino Linotype" w:cs="Arial"/>
          <w:b/>
          <w:sz w:val="28"/>
          <w:szCs w:val="28"/>
        </w:rPr>
      </w:pPr>
    </w:p>
    <w:p w14:paraId="751C53BE" w14:textId="77777777" w:rsidR="00F163CD" w:rsidRPr="0024200F" w:rsidRDefault="00F163CD" w:rsidP="00F163C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5AC5A552" w14:textId="77777777" w:rsidR="00F163CD" w:rsidRPr="002C3EC8" w:rsidRDefault="00F163CD" w:rsidP="00F163CD">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6B641A05" w14:textId="77777777" w:rsidR="00F163CD" w:rsidRPr="007C6AB6" w:rsidRDefault="00F163CD" w:rsidP="00F163CD">
      <w:pPr>
        <w:tabs>
          <w:tab w:val="left" w:pos="3402"/>
        </w:tabs>
        <w:spacing w:line="360" w:lineRule="auto"/>
        <w:jc w:val="both"/>
        <w:rPr>
          <w:rFonts w:ascii="Palatino Linotype" w:hAnsi="Palatino Linotype"/>
        </w:rPr>
      </w:pPr>
      <w:r w:rsidRPr="006D4FA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7A472CD8" w14:textId="77777777" w:rsidR="00F163CD" w:rsidRPr="002C3EC8" w:rsidRDefault="00F163CD" w:rsidP="00F163CD">
      <w:pPr>
        <w:spacing w:before="240" w:line="360" w:lineRule="auto"/>
        <w:jc w:val="both"/>
        <w:rPr>
          <w:rFonts w:ascii="Palatino Linotype" w:eastAsia="Calibri" w:hAnsi="Palatino Linotype"/>
          <w:b/>
          <w:color w:val="000000" w:themeColor="text1"/>
        </w:rPr>
      </w:pPr>
    </w:p>
    <w:p w14:paraId="17906490" w14:textId="77777777" w:rsidR="00F163CD" w:rsidRPr="002C3EC8" w:rsidRDefault="00F163CD" w:rsidP="00F163CD">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196EB92A" w14:textId="77777777" w:rsidR="00F163CD" w:rsidRDefault="00F163CD" w:rsidP="00F163CD">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2C3EC8">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14:paraId="47C2335C" w14:textId="77777777" w:rsidR="00F163CD" w:rsidRPr="00821CCD" w:rsidRDefault="00F163CD" w:rsidP="00F163CD">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0039259F" w14:textId="77777777" w:rsidR="00F163CD" w:rsidRPr="00821CCD" w:rsidRDefault="00F163CD" w:rsidP="00F163CD">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2B64E608" w14:textId="77777777" w:rsidR="00F163CD" w:rsidRPr="00821CCD" w:rsidRDefault="00F163CD" w:rsidP="00F163CD">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58D98D42" w14:textId="77777777" w:rsidR="00F163CD" w:rsidRPr="00821CCD" w:rsidRDefault="00F163CD" w:rsidP="00F163CD">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2D0D08BA" w14:textId="77777777" w:rsidR="00F163CD" w:rsidRPr="00821CCD" w:rsidRDefault="00F163CD" w:rsidP="00F163CD">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681482B0" w14:textId="77777777" w:rsidR="00F163CD" w:rsidRPr="00821CCD" w:rsidRDefault="00F163CD" w:rsidP="00F163CD">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75E67FD6" w14:textId="77777777" w:rsidR="00F163CD" w:rsidRPr="00821CCD" w:rsidRDefault="00F163CD" w:rsidP="00F163CD">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26C33625" w14:textId="77777777" w:rsidR="00F163CD" w:rsidRPr="00821CCD" w:rsidRDefault="00F163CD" w:rsidP="00F163CD">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2A00F798" w14:textId="77777777" w:rsidR="00F163CD" w:rsidRPr="00821CCD" w:rsidRDefault="00F163CD" w:rsidP="00F163CD">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02274702" w14:textId="77777777" w:rsidR="00F163CD" w:rsidRPr="00821CCD" w:rsidRDefault="00F163CD" w:rsidP="00F163CD">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37DBC176" w14:textId="77777777" w:rsidR="00F163CD" w:rsidRPr="00821CCD" w:rsidRDefault="00F163CD" w:rsidP="00F163CD">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0499AC62" w14:textId="77777777" w:rsidR="00F163CD" w:rsidRPr="00821CCD" w:rsidRDefault="00F163CD" w:rsidP="00F163CD">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1676CDEC" w14:textId="77777777" w:rsidR="00F163CD" w:rsidRPr="00821CCD" w:rsidRDefault="00F163CD" w:rsidP="00F163CD">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66C6918D" w14:textId="77777777" w:rsidR="00F163CD" w:rsidRPr="00821CCD" w:rsidRDefault="00F163CD" w:rsidP="00F163CD">
      <w:pPr>
        <w:autoSpaceDE w:val="0"/>
        <w:autoSpaceDN w:val="0"/>
        <w:adjustRightInd w:val="0"/>
        <w:spacing w:before="240" w:line="360" w:lineRule="auto"/>
        <w:jc w:val="both"/>
        <w:rPr>
          <w:rFonts w:ascii="Palatino Linotype" w:hAnsi="Palatino Linotype"/>
        </w:rPr>
      </w:pPr>
    </w:p>
    <w:p w14:paraId="6ACABE9D" w14:textId="77777777" w:rsidR="00F163CD" w:rsidRPr="00821CCD" w:rsidRDefault="00F163CD" w:rsidP="00F163CD">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F163CD" w:rsidRPr="00821CCD" w14:paraId="29C0D29A" w14:textId="77777777" w:rsidTr="00F6473D">
        <w:trPr>
          <w:trHeight w:val="1360"/>
        </w:trPr>
        <w:tc>
          <w:tcPr>
            <w:tcW w:w="7982" w:type="dxa"/>
          </w:tcPr>
          <w:p w14:paraId="7EFF788E" w14:textId="77777777" w:rsidR="00F163CD" w:rsidRPr="00821CCD" w:rsidRDefault="00F163CD" w:rsidP="00F6473D">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655C30E4" w14:textId="77777777" w:rsidR="00F163CD" w:rsidRPr="00821CCD" w:rsidRDefault="00F163CD" w:rsidP="00F163CD">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F163CD" w:rsidRPr="00821CCD" w14:paraId="0BF2D3E8" w14:textId="77777777" w:rsidTr="00F6473D">
        <w:trPr>
          <w:jc w:val="center"/>
        </w:trPr>
        <w:tc>
          <w:tcPr>
            <w:tcW w:w="8075" w:type="dxa"/>
          </w:tcPr>
          <w:p w14:paraId="1CCC7798" w14:textId="77777777" w:rsidR="00F163CD" w:rsidRPr="00821CCD" w:rsidRDefault="00F163CD" w:rsidP="00F6473D">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6B14B0BF" w14:textId="77777777" w:rsidR="00F163CD" w:rsidRPr="00821CCD" w:rsidRDefault="00F163CD" w:rsidP="00F6473D">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3CD87E0" w14:textId="77777777" w:rsidR="00F163CD" w:rsidRPr="00821CCD" w:rsidRDefault="00F163CD" w:rsidP="00F6473D">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4EE252D9" w14:textId="77777777" w:rsidR="00F163CD" w:rsidRPr="00821CCD" w:rsidRDefault="00F163CD" w:rsidP="00F6473D">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5B912AB1" w14:textId="77777777" w:rsidR="00F163CD" w:rsidRPr="00821CCD" w:rsidRDefault="00F163CD" w:rsidP="00F6473D">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6B1FBCAA" w14:textId="77777777" w:rsidR="00F163CD" w:rsidRPr="00821CCD" w:rsidRDefault="00F163CD" w:rsidP="00F6473D">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3B95A2F8" w14:textId="77777777" w:rsidR="00F163CD" w:rsidRPr="00821CCD" w:rsidRDefault="00F163CD" w:rsidP="00F6473D">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7699DC6E" w14:textId="77777777" w:rsidR="00F163CD" w:rsidRPr="00821CCD" w:rsidRDefault="00F163CD" w:rsidP="00F6473D">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07AA6E16" w14:textId="77777777" w:rsidR="00F163CD" w:rsidRPr="00821CCD" w:rsidRDefault="00F163CD" w:rsidP="00F6473D">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304DFADD" w14:textId="77777777" w:rsidR="00F163CD" w:rsidRPr="00821CCD" w:rsidRDefault="00F163CD" w:rsidP="00F6473D">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3A9DC4F4" w14:textId="77777777" w:rsidR="00F163CD" w:rsidRPr="00821CCD" w:rsidRDefault="00F163CD" w:rsidP="00F6473D">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14:paraId="5199A838" w14:textId="77777777" w:rsidR="00F163CD" w:rsidRPr="00821CCD" w:rsidRDefault="00F163CD" w:rsidP="00F6473D">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0ED7558C" w14:textId="77777777" w:rsidR="00F163CD" w:rsidRPr="00821CCD" w:rsidRDefault="00F163CD" w:rsidP="00F6473D">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75F9903B" w14:textId="77777777" w:rsidR="00F163CD" w:rsidRPr="00821CCD" w:rsidRDefault="00F163CD" w:rsidP="00F6473D">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21F265E" w14:textId="77777777" w:rsidR="00F163CD" w:rsidRPr="00821CCD" w:rsidRDefault="00F163CD" w:rsidP="00F6473D">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000F8C3D" w14:textId="77777777" w:rsidR="00F163CD" w:rsidRPr="00821CCD" w:rsidRDefault="00F163CD" w:rsidP="00F6473D">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6F83BA74" w14:textId="77777777" w:rsidR="00F163CD" w:rsidRPr="00821CCD" w:rsidRDefault="00F163CD" w:rsidP="00F6473D">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2B94F11E" w14:textId="77777777" w:rsidR="00F163CD" w:rsidRPr="00821CCD" w:rsidRDefault="00F163CD" w:rsidP="00F6473D">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7DB8341C" w14:textId="77777777" w:rsidR="00F163CD" w:rsidRPr="00821CCD" w:rsidRDefault="00F163CD" w:rsidP="00F163CD">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1EB4054B" w14:textId="77777777" w:rsidR="00F163CD" w:rsidRPr="00821CCD" w:rsidRDefault="00F163CD" w:rsidP="00F163CD">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p>
    <w:p w14:paraId="7B3BD01B" w14:textId="77777777" w:rsidR="00F163CD" w:rsidRPr="00FF46DA" w:rsidRDefault="00F163CD" w:rsidP="00F163CD">
      <w:pPr>
        <w:pStyle w:val="Prrafodelista"/>
        <w:autoSpaceDE w:val="0"/>
        <w:autoSpaceDN w:val="0"/>
        <w:adjustRightInd w:val="0"/>
        <w:spacing w:before="240" w:after="160" w:line="360" w:lineRule="auto"/>
        <w:ind w:left="0"/>
        <w:jc w:val="both"/>
        <w:rPr>
          <w:rFonts w:ascii="Palatino Linotype" w:hAnsi="Palatino Linotype" w:cs="Arial"/>
        </w:rPr>
      </w:pPr>
    </w:p>
    <w:p w14:paraId="40AB8F0C" w14:textId="77777777" w:rsidR="00F163CD" w:rsidRPr="002C3EC8" w:rsidRDefault="00F163CD" w:rsidP="00F163C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109BA74A" w14:textId="77777777" w:rsidR="00F163CD" w:rsidRPr="002C3EC8" w:rsidRDefault="00F163CD" w:rsidP="00F163CD">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xml:space="preserve">, los cuales deben estudiarse con la finalidad de dar cumplimiento a los principios de legalidad y objetividad </w:t>
      </w:r>
      <w:r w:rsidRPr="002C3EC8">
        <w:rPr>
          <w:rFonts w:ascii="Palatino Linotype" w:hAnsi="Palatino Linotype" w:cs="Arial"/>
        </w:rPr>
        <w:lastRenderedPageBreak/>
        <w:t>inmersos en el artículo 9 de Ley de Transparencia y Acceso a la Información Pública del Estado de México y Municipios, en correlación con la seguridad jurídica que debe generar lo actuado ante este Organismo garante.</w:t>
      </w:r>
    </w:p>
    <w:p w14:paraId="3E6D72E3" w14:textId="77777777" w:rsidR="00F163CD" w:rsidRPr="002C3EC8" w:rsidRDefault="00F163CD" w:rsidP="00F163CD">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07DD405D" w14:textId="77777777" w:rsidR="00F163CD" w:rsidRDefault="00F163CD" w:rsidP="00F163CD">
      <w:pPr>
        <w:tabs>
          <w:tab w:val="left" w:pos="709"/>
        </w:tabs>
        <w:spacing w:before="240" w:line="360" w:lineRule="auto"/>
        <w:ind w:right="51"/>
        <w:jc w:val="both"/>
        <w:rPr>
          <w:rFonts w:ascii="Palatino Linotype" w:hAnsi="Palatino Linotype"/>
          <w:b/>
          <w:sz w:val="28"/>
          <w:szCs w:val="28"/>
        </w:rPr>
      </w:pPr>
    </w:p>
    <w:p w14:paraId="4DFAF7B7" w14:textId="77777777" w:rsidR="00F163CD" w:rsidRPr="002C3EC8" w:rsidRDefault="00F163CD" w:rsidP="00F163CD">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2FFE0FB5" w14:textId="77777777" w:rsidR="00F163CD" w:rsidRPr="007379EE" w:rsidRDefault="00F163CD" w:rsidP="00F163C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0AD5FA1" w14:textId="77777777" w:rsidR="00F163CD" w:rsidRDefault="00F163CD" w:rsidP="00F163CD">
      <w:pPr>
        <w:autoSpaceDE w:val="0"/>
        <w:autoSpaceDN w:val="0"/>
        <w:adjustRightInd w:val="0"/>
        <w:ind w:right="567"/>
        <w:rPr>
          <w:rFonts w:ascii="Palatino Linotype" w:eastAsia="Calibri" w:hAnsi="Palatino Linotype" w:cs="Arial"/>
        </w:rPr>
      </w:pPr>
    </w:p>
    <w:p w14:paraId="563A8B43" w14:textId="77777777" w:rsidR="00F163CD" w:rsidRDefault="00F163CD" w:rsidP="00F163C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1EFD7923" w14:textId="77777777" w:rsidR="00F163CD" w:rsidRDefault="00F163CD" w:rsidP="00F163CD">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7D1CE77D" w14:textId="77777777" w:rsidR="00F163CD" w:rsidRPr="009A76A7" w:rsidRDefault="00F163CD" w:rsidP="00F163CD">
      <w:pPr>
        <w:pStyle w:val="Citas"/>
        <w:numPr>
          <w:ilvl w:val="0"/>
          <w:numId w:val="3"/>
        </w:numPr>
        <w:spacing w:before="0" w:after="0" w:line="240" w:lineRule="auto"/>
      </w:pPr>
      <w:r w:rsidRPr="009A76A7">
        <w:t xml:space="preserve">La negativa a la información solicitada; </w:t>
      </w:r>
    </w:p>
    <w:p w14:paraId="58E993F4" w14:textId="77777777" w:rsidR="00F163CD" w:rsidRDefault="00F163CD" w:rsidP="00F163CD">
      <w:pPr>
        <w:pStyle w:val="Citas"/>
        <w:numPr>
          <w:ilvl w:val="0"/>
          <w:numId w:val="3"/>
        </w:numPr>
        <w:spacing w:before="0" w:after="0" w:line="240" w:lineRule="auto"/>
      </w:pPr>
      <w:r w:rsidRPr="002E7A81">
        <w:t xml:space="preserve">La clasificación de la información; </w:t>
      </w:r>
    </w:p>
    <w:p w14:paraId="13DDE710" w14:textId="77777777" w:rsidR="00F163CD" w:rsidRDefault="00F163CD" w:rsidP="00F163CD">
      <w:pPr>
        <w:pStyle w:val="Citas"/>
        <w:numPr>
          <w:ilvl w:val="0"/>
          <w:numId w:val="3"/>
        </w:numPr>
        <w:spacing w:before="0" w:after="0" w:line="240" w:lineRule="auto"/>
      </w:pPr>
      <w:r w:rsidRPr="002E7A81">
        <w:t xml:space="preserve">La declaración de inexistencia de la información; </w:t>
      </w:r>
    </w:p>
    <w:p w14:paraId="42F6081C" w14:textId="77777777" w:rsidR="00F163CD" w:rsidRDefault="00F163CD" w:rsidP="00F163CD">
      <w:pPr>
        <w:pStyle w:val="Citas"/>
        <w:numPr>
          <w:ilvl w:val="0"/>
          <w:numId w:val="3"/>
        </w:numPr>
        <w:spacing w:before="0" w:after="0" w:line="240" w:lineRule="auto"/>
      </w:pPr>
      <w:r w:rsidRPr="002E7A81">
        <w:t xml:space="preserve">La declaración de incompetencia por el sujeto obligado; </w:t>
      </w:r>
    </w:p>
    <w:p w14:paraId="73A1F5F5" w14:textId="77777777" w:rsidR="00F163CD" w:rsidRPr="009A76A7" w:rsidRDefault="00F163CD" w:rsidP="00F163CD">
      <w:pPr>
        <w:pStyle w:val="Citas"/>
        <w:numPr>
          <w:ilvl w:val="0"/>
          <w:numId w:val="3"/>
        </w:numPr>
        <w:spacing w:before="0" w:after="0" w:line="240" w:lineRule="auto"/>
        <w:rPr>
          <w:b/>
        </w:rPr>
      </w:pPr>
      <w:r w:rsidRPr="009A76A7">
        <w:rPr>
          <w:b/>
        </w:rPr>
        <w:t xml:space="preserve">La entrega de información incompleta; </w:t>
      </w:r>
    </w:p>
    <w:p w14:paraId="2765A567" w14:textId="77777777" w:rsidR="00F163CD" w:rsidRPr="00E06CE6" w:rsidRDefault="00F163CD" w:rsidP="00F163CD">
      <w:pPr>
        <w:pStyle w:val="Citas"/>
        <w:numPr>
          <w:ilvl w:val="0"/>
          <w:numId w:val="3"/>
        </w:numPr>
        <w:spacing w:before="0" w:after="0" w:line="240" w:lineRule="auto"/>
      </w:pPr>
      <w:r w:rsidRPr="00E06CE6">
        <w:t xml:space="preserve">La entrega de información que no corresponda con lo solicitado; </w:t>
      </w:r>
    </w:p>
    <w:p w14:paraId="01871B64" w14:textId="77777777" w:rsidR="00F163CD" w:rsidRDefault="00F163CD" w:rsidP="00F163CD">
      <w:pPr>
        <w:pStyle w:val="Citas"/>
        <w:numPr>
          <w:ilvl w:val="0"/>
          <w:numId w:val="3"/>
        </w:numPr>
        <w:spacing w:before="0" w:after="0" w:line="240" w:lineRule="auto"/>
      </w:pPr>
      <w:r w:rsidRPr="002E7A81">
        <w:t xml:space="preserve">La falta de respuesta a una solicitud de acceso a la información; </w:t>
      </w:r>
    </w:p>
    <w:p w14:paraId="37327CEE" w14:textId="77777777" w:rsidR="00F163CD" w:rsidRDefault="00F163CD" w:rsidP="00F163CD">
      <w:pPr>
        <w:pStyle w:val="Citas"/>
        <w:numPr>
          <w:ilvl w:val="0"/>
          <w:numId w:val="3"/>
        </w:numPr>
        <w:spacing w:before="0" w:after="0" w:line="240" w:lineRule="auto"/>
      </w:pPr>
      <w:r w:rsidRPr="002E7A81">
        <w:t xml:space="preserve">La notificación, entrega o puesta a disposición de información en una modalidad o formato distinto al solicitado; </w:t>
      </w:r>
    </w:p>
    <w:p w14:paraId="26EF99BE" w14:textId="77777777" w:rsidR="00F163CD" w:rsidRDefault="00F163CD" w:rsidP="00F163CD">
      <w:pPr>
        <w:pStyle w:val="Citas"/>
        <w:numPr>
          <w:ilvl w:val="0"/>
          <w:numId w:val="3"/>
        </w:numPr>
        <w:spacing w:before="0" w:after="0" w:line="240" w:lineRule="auto"/>
      </w:pPr>
      <w:r w:rsidRPr="002E7A81">
        <w:t xml:space="preserve">La entrega o puesta a disposición de información en un formato incomprensible y/o no accesible para el solicitante; </w:t>
      </w:r>
    </w:p>
    <w:p w14:paraId="50E9E6D0" w14:textId="77777777" w:rsidR="00F163CD" w:rsidRDefault="00F163CD" w:rsidP="00F163CD">
      <w:pPr>
        <w:pStyle w:val="Citas"/>
        <w:numPr>
          <w:ilvl w:val="0"/>
          <w:numId w:val="3"/>
        </w:numPr>
        <w:spacing w:before="0" w:after="0" w:line="240" w:lineRule="auto"/>
      </w:pPr>
      <w:r w:rsidRPr="002E7A81">
        <w:t xml:space="preserve">Los costos o tiempos de entrega de la información; </w:t>
      </w:r>
    </w:p>
    <w:p w14:paraId="38489CC5" w14:textId="77777777" w:rsidR="00F163CD" w:rsidRDefault="00F163CD" w:rsidP="00F163CD">
      <w:pPr>
        <w:pStyle w:val="Citas"/>
        <w:numPr>
          <w:ilvl w:val="0"/>
          <w:numId w:val="3"/>
        </w:numPr>
        <w:spacing w:before="0" w:after="0" w:line="240" w:lineRule="auto"/>
      </w:pPr>
      <w:r w:rsidRPr="002E7A81">
        <w:t xml:space="preserve">La falta de trámite a una solicitud; </w:t>
      </w:r>
    </w:p>
    <w:p w14:paraId="54B2F7EC" w14:textId="77777777" w:rsidR="00F163CD" w:rsidRDefault="00F163CD" w:rsidP="00F163CD">
      <w:pPr>
        <w:pStyle w:val="Citas"/>
        <w:numPr>
          <w:ilvl w:val="0"/>
          <w:numId w:val="3"/>
        </w:numPr>
        <w:spacing w:before="0" w:after="0" w:line="240" w:lineRule="auto"/>
      </w:pPr>
      <w:r w:rsidRPr="002E7A81">
        <w:t xml:space="preserve">La negativa a permitir la consulta directa de la información; </w:t>
      </w:r>
    </w:p>
    <w:p w14:paraId="70DE0813" w14:textId="77777777" w:rsidR="00F163CD" w:rsidRDefault="00F163CD" w:rsidP="00F163CD">
      <w:pPr>
        <w:pStyle w:val="Citas"/>
        <w:numPr>
          <w:ilvl w:val="0"/>
          <w:numId w:val="3"/>
        </w:numPr>
        <w:spacing w:before="0" w:after="0" w:line="240" w:lineRule="auto"/>
      </w:pPr>
      <w:r w:rsidRPr="002E7A81">
        <w:t xml:space="preserve">La falta, deficiencia o insuficiencia de la fundamentación y/o motivación en la respuesta; y </w:t>
      </w:r>
    </w:p>
    <w:p w14:paraId="10E8BDF6" w14:textId="77777777" w:rsidR="00F163CD" w:rsidRDefault="00F163CD" w:rsidP="00F163CD">
      <w:pPr>
        <w:pStyle w:val="Citas"/>
        <w:numPr>
          <w:ilvl w:val="0"/>
          <w:numId w:val="3"/>
        </w:numPr>
        <w:spacing w:before="0" w:after="0" w:line="240" w:lineRule="auto"/>
      </w:pPr>
      <w:r w:rsidRPr="002E7A81">
        <w:t xml:space="preserve">La orientación a un trámite específico. </w:t>
      </w:r>
    </w:p>
    <w:p w14:paraId="4BCC3FFD" w14:textId="77777777" w:rsidR="00F163CD" w:rsidRPr="007379EE" w:rsidRDefault="00F163CD" w:rsidP="00F163CD">
      <w:pPr>
        <w:pStyle w:val="Citas"/>
        <w:spacing w:before="0" w:after="0" w:line="240" w:lineRule="auto"/>
      </w:pPr>
      <w:r w:rsidRPr="002E7A81">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75BF9A88" w14:textId="77777777" w:rsidR="00F163CD" w:rsidRDefault="00F163CD" w:rsidP="00F163CD">
      <w:pPr>
        <w:autoSpaceDE w:val="0"/>
        <w:autoSpaceDN w:val="0"/>
        <w:adjustRightInd w:val="0"/>
        <w:ind w:right="567"/>
        <w:rPr>
          <w:rFonts w:ascii="Palatino Linotype" w:eastAsia="Calibri" w:hAnsi="Palatino Linotype" w:cs="Arial"/>
        </w:rPr>
      </w:pPr>
    </w:p>
    <w:p w14:paraId="52985A80" w14:textId="77777777" w:rsidR="00F163CD" w:rsidRDefault="00F163CD" w:rsidP="00F163CD">
      <w:pPr>
        <w:autoSpaceDE w:val="0"/>
        <w:autoSpaceDN w:val="0"/>
        <w:adjustRightInd w:val="0"/>
        <w:ind w:right="567"/>
        <w:rPr>
          <w:rFonts w:ascii="Palatino Linotype" w:eastAsia="Calibri" w:hAnsi="Palatino Linotype" w:cs="Arial"/>
        </w:rPr>
      </w:pPr>
    </w:p>
    <w:p w14:paraId="39D4CD85" w14:textId="77777777" w:rsidR="00F163CD" w:rsidRDefault="00F163CD" w:rsidP="00F163CD">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33DD4C2C" w14:textId="77777777" w:rsidR="00F163CD" w:rsidRDefault="00F163CD" w:rsidP="00F163CD">
      <w:pPr>
        <w:spacing w:line="360" w:lineRule="auto"/>
        <w:jc w:val="both"/>
        <w:rPr>
          <w:rFonts w:ascii="Palatino Linotype" w:hAnsi="Palatino Linotype" w:cs="Tahoma"/>
          <w:bCs/>
        </w:rPr>
      </w:pPr>
    </w:p>
    <w:p w14:paraId="4BBFFA31" w14:textId="77777777" w:rsidR="00F163CD" w:rsidRPr="00983697" w:rsidRDefault="009A76A7" w:rsidP="009A76A7">
      <w:pPr>
        <w:pStyle w:val="Prrafodelista"/>
        <w:numPr>
          <w:ilvl w:val="0"/>
          <w:numId w:val="4"/>
        </w:numPr>
        <w:spacing w:line="360" w:lineRule="auto"/>
        <w:jc w:val="both"/>
        <w:rPr>
          <w:rFonts w:ascii="Palatino Linotype" w:hAnsi="Palatino Linotype" w:cs="Arial"/>
        </w:rPr>
      </w:pPr>
      <w:r w:rsidRPr="009A76A7">
        <w:rPr>
          <w:rFonts w:ascii="Palatino Linotype" w:hAnsi="Palatino Linotype" w:cs="Arial"/>
        </w:rPr>
        <w:t xml:space="preserve">El Bando Municipal, manual de procedimientos, manual de organización de su administración 2025 en castellano, </w:t>
      </w:r>
      <w:r w:rsidR="00773861" w:rsidRPr="009A76A7">
        <w:rPr>
          <w:rFonts w:ascii="Palatino Linotype" w:hAnsi="Palatino Linotype" w:cs="Arial"/>
        </w:rPr>
        <w:t>b</w:t>
      </w:r>
      <w:r w:rsidR="00773861">
        <w:rPr>
          <w:rFonts w:ascii="Palatino Linotype" w:hAnsi="Palatino Linotype" w:cs="Arial"/>
        </w:rPr>
        <w:t>r</w:t>
      </w:r>
      <w:r w:rsidR="00773861" w:rsidRPr="009A76A7">
        <w:rPr>
          <w:rFonts w:ascii="Palatino Linotype" w:hAnsi="Palatino Linotype" w:cs="Arial"/>
        </w:rPr>
        <w:t>aille</w:t>
      </w:r>
      <w:r w:rsidRPr="009A76A7">
        <w:rPr>
          <w:rFonts w:ascii="Palatino Linotype" w:hAnsi="Palatino Linotype" w:cs="Arial"/>
        </w:rPr>
        <w:t xml:space="preserve"> y otomí el nombre y costo que se pagó a los traductores</w:t>
      </w:r>
      <w:r w:rsidR="00F163CD" w:rsidRPr="002E2390">
        <w:rPr>
          <w:rFonts w:ascii="Palatino Linotype" w:hAnsi="Palatino Linotype" w:cs="Arial"/>
        </w:rPr>
        <w:t>.</w:t>
      </w:r>
    </w:p>
    <w:p w14:paraId="1EEE0B36" w14:textId="77777777" w:rsidR="00F163CD" w:rsidRDefault="00F163CD" w:rsidP="00F163CD">
      <w:pPr>
        <w:spacing w:before="240" w:line="360" w:lineRule="auto"/>
        <w:jc w:val="both"/>
        <w:rPr>
          <w:rFonts w:ascii="Palatino Linotype" w:hAnsi="Palatino Linotype" w:cs="Arial"/>
        </w:rPr>
      </w:pPr>
    </w:p>
    <w:p w14:paraId="2D30CF31" w14:textId="77777777" w:rsidR="00F163CD" w:rsidRPr="001106D5" w:rsidRDefault="00F163CD" w:rsidP="00F163CD">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Pr>
          <w:rFonts w:ascii="Palatino Linotype" w:hAnsi="Palatino Linotype" w:cs="Arial"/>
          <w:b/>
        </w:rPr>
        <w:t>00684/TOLUCA/IP/2025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44894399" w14:textId="77777777" w:rsidR="00F6473D" w:rsidRPr="00F6473D" w:rsidRDefault="00F6473D" w:rsidP="00F6473D">
      <w:pPr>
        <w:pStyle w:val="Sinespaciado"/>
        <w:numPr>
          <w:ilvl w:val="0"/>
          <w:numId w:val="1"/>
        </w:numPr>
        <w:spacing w:before="240" w:line="360" w:lineRule="auto"/>
        <w:jc w:val="both"/>
        <w:rPr>
          <w:rFonts w:ascii="Palatino Linotype" w:hAnsi="Palatino Linotype" w:cs="Arial"/>
          <w:b/>
          <w:i/>
          <w:sz w:val="24"/>
        </w:rPr>
      </w:pPr>
      <w:r w:rsidRPr="00F6473D">
        <w:rPr>
          <w:rFonts w:ascii="Palatino Linotype" w:hAnsi="Palatino Linotype" w:cs="Arial"/>
          <w:b/>
          <w:i/>
          <w:sz w:val="24"/>
        </w:rPr>
        <w:t>BANDO-MUNICIPAL-2025-.pdf</w:t>
      </w:r>
      <w:r>
        <w:rPr>
          <w:rFonts w:ascii="Palatino Linotype" w:hAnsi="Palatino Linotype" w:cs="Arial"/>
          <w:b/>
          <w:i/>
          <w:sz w:val="24"/>
        </w:rPr>
        <w:t xml:space="preserve">: </w:t>
      </w:r>
      <w:r>
        <w:rPr>
          <w:rFonts w:ascii="Palatino Linotype" w:hAnsi="Palatino Linotype" w:cs="Arial"/>
          <w:sz w:val="24"/>
        </w:rPr>
        <w:t xml:space="preserve">constante de treinta y tres fojas, en formato </w:t>
      </w:r>
      <w:proofErr w:type="spellStart"/>
      <w:r>
        <w:rPr>
          <w:rFonts w:ascii="Palatino Linotype" w:hAnsi="Palatino Linotype" w:cs="Arial"/>
          <w:sz w:val="24"/>
        </w:rPr>
        <w:t>pdf</w:t>
      </w:r>
      <w:proofErr w:type="spellEnd"/>
      <w:r>
        <w:rPr>
          <w:rFonts w:ascii="Palatino Linotype" w:hAnsi="Palatino Linotype" w:cs="Arial"/>
          <w:sz w:val="24"/>
        </w:rPr>
        <w:t>, contiene el Bando Municipal de Toluca 2025.</w:t>
      </w:r>
    </w:p>
    <w:p w14:paraId="60F31248" w14:textId="77777777" w:rsidR="00F6473D" w:rsidRPr="00F6473D" w:rsidRDefault="00F6473D" w:rsidP="00773861">
      <w:pPr>
        <w:pStyle w:val="Sinespaciado"/>
        <w:spacing w:before="240" w:line="360" w:lineRule="auto"/>
        <w:ind w:left="720"/>
        <w:jc w:val="center"/>
        <w:rPr>
          <w:rFonts w:ascii="Palatino Linotype" w:hAnsi="Palatino Linotype" w:cs="Arial"/>
          <w:b/>
          <w:i/>
          <w:sz w:val="24"/>
        </w:rPr>
      </w:pPr>
      <w:r>
        <w:rPr>
          <w:rFonts w:ascii="Palatino Linotype" w:hAnsi="Palatino Linotype" w:cs="Arial"/>
          <w:b/>
          <w:i/>
          <w:noProof/>
          <w:sz w:val="24"/>
          <w:lang w:eastAsia="es-MX"/>
        </w:rPr>
        <w:drawing>
          <wp:inline distT="0" distB="0" distL="0" distR="0" wp14:anchorId="519FCDFE" wp14:editId="7AAE638F">
            <wp:extent cx="3276600" cy="1771136"/>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F4A730.tmp"/>
                    <pic:cNvPicPr/>
                  </pic:nvPicPr>
                  <pic:blipFill>
                    <a:blip r:embed="rId7">
                      <a:extLst>
                        <a:ext uri="{28A0092B-C50C-407E-A947-70E740481C1C}">
                          <a14:useLocalDpi xmlns:a14="http://schemas.microsoft.com/office/drawing/2010/main" val="0"/>
                        </a:ext>
                      </a:extLst>
                    </a:blip>
                    <a:stretch>
                      <a:fillRect/>
                    </a:stretch>
                  </pic:blipFill>
                  <pic:spPr>
                    <a:xfrm>
                      <a:off x="0" y="0"/>
                      <a:ext cx="3290846" cy="1778836"/>
                    </a:xfrm>
                    <a:prstGeom prst="rect">
                      <a:avLst/>
                    </a:prstGeom>
                  </pic:spPr>
                </pic:pic>
              </a:graphicData>
            </a:graphic>
          </wp:inline>
        </w:drawing>
      </w:r>
    </w:p>
    <w:p w14:paraId="68113BDB" w14:textId="77777777" w:rsidR="00F6473D" w:rsidRPr="00F6473D" w:rsidRDefault="00F6473D" w:rsidP="00F6473D">
      <w:pPr>
        <w:pStyle w:val="Sinespaciado"/>
        <w:numPr>
          <w:ilvl w:val="0"/>
          <w:numId w:val="1"/>
        </w:numPr>
        <w:spacing w:before="240" w:line="360" w:lineRule="auto"/>
        <w:jc w:val="both"/>
        <w:rPr>
          <w:rFonts w:ascii="Palatino Linotype" w:hAnsi="Palatino Linotype" w:cs="Arial"/>
          <w:b/>
          <w:i/>
          <w:sz w:val="24"/>
        </w:rPr>
      </w:pPr>
      <w:r w:rsidRPr="00F6473D">
        <w:rPr>
          <w:rFonts w:ascii="Palatino Linotype" w:hAnsi="Palatino Linotype" w:cs="Arial"/>
          <w:b/>
          <w:i/>
          <w:sz w:val="24"/>
        </w:rPr>
        <w:lastRenderedPageBreak/>
        <w:t>BANDO-MUNICIPAL-OTOMI-2025_compressed.pdf</w:t>
      </w:r>
      <w:r>
        <w:rPr>
          <w:rFonts w:ascii="Palatino Linotype" w:hAnsi="Palatino Linotype" w:cs="Arial"/>
          <w:b/>
          <w:i/>
          <w:sz w:val="24"/>
        </w:rPr>
        <w:t xml:space="preserve">: </w:t>
      </w:r>
      <w:proofErr w:type="gramStart"/>
      <w:r>
        <w:rPr>
          <w:rFonts w:ascii="Palatino Linotype" w:hAnsi="Palatino Linotype" w:cs="Arial"/>
          <w:sz w:val="24"/>
        </w:rPr>
        <w:t>constante  de</w:t>
      </w:r>
      <w:proofErr w:type="gramEnd"/>
      <w:r>
        <w:rPr>
          <w:rFonts w:ascii="Palatino Linotype" w:hAnsi="Palatino Linotype" w:cs="Arial"/>
          <w:sz w:val="24"/>
        </w:rPr>
        <w:t xml:space="preserve"> treinta y nueve fojas, en formato </w:t>
      </w:r>
      <w:proofErr w:type="spellStart"/>
      <w:r>
        <w:rPr>
          <w:rFonts w:ascii="Palatino Linotype" w:hAnsi="Palatino Linotype" w:cs="Arial"/>
          <w:sz w:val="24"/>
        </w:rPr>
        <w:t>pdf</w:t>
      </w:r>
      <w:proofErr w:type="spellEnd"/>
      <w:r>
        <w:rPr>
          <w:rFonts w:ascii="Palatino Linotype" w:hAnsi="Palatino Linotype" w:cs="Arial"/>
          <w:sz w:val="24"/>
        </w:rPr>
        <w:t xml:space="preserve">, contiene el Bando Municipal de Toluca 2025, en versión Otomí. </w:t>
      </w:r>
    </w:p>
    <w:p w14:paraId="78322961" w14:textId="77777777" w:rsidR="00F6473D" w:rsidRPr="00F6473D" w:rsidRDefault="00F6473D" w:rsidP="00F6473D">
      <w:pPr>
        <w:pStyle w:val="Sinespaciado"/>
        <w:spacing w:before="240" w:line="360" w:lineRule="auto"/>
        <w:ind w:left="720"/>
        <w:jc w:val="center"/>
        <w:rPr>
          <w:rFonts w:ascii="Palatino Linotype" w:hAnsi="Palatino Linotype" w:cs="Arial"/>
          <w:b/>
          <w:i/>
          <w:sz w:val="24"/>
        </w:rPr>
      </w:pPr>
      <w:r>
        <w:rPr>
          <w:rFonts w:ascii="Palatino Linotype" w:hAnsi="Palatino Linotype" w:cs="Arial"/>
          <w:b/>
          <w:i/>
          <w:noProof/>
          <w:sz w:val="24"/>
          <w:lang w:eastAsia="es-MX"/>
        </w:rPr>
        <w:drawing>
          <wp:inline distT="0" distB="0" distL="0" distR="0" wp14:anchorId="0F2E606F" wp14:editId="013642FE">
            <wp:extent cx="3333750" cy="2334339"/>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F4E37F.tmp"/>
                    <pic:cNvPicPr/>
                  </pic:nvPicPr>
                  <pic:blipFill>
                    <a:blip r:embed="rId8">
                      <a:extLst>
                        <a:ext uri="{28A0092B-C50C-407E-A947-70E740481C1C}">
                          <a14:useLocalDpi xmlns:a14="http://schemas.microsoft.com/office/drawing/2010/main" val="0"/>
                        </a:ext>
                      </a:extLst>
                    </a:blip>
                    <a:stretch>
                      <a:fillRect/>
                    </a:stretch>
                  </pic:blipFill>
                  <pic:spPr>
                    <a:xfrm>
                      <a:off x="0" y="0"/>
                      <a:ext cx="3342730" cy="2340627"/>
                    </a:xfrm>
                    <a:prstGeom prst="rect">
                      <a:avLst/>
                    </a:prstGeom>
                  </pic:spPr>
                </pic:pic>
              </a:graphicData>
            </a:graphic>
          </wp:inline>
        </w:drawing>
      </w:r>
    </w:p>
    <w:p w14:paraId="376A72DD" w14:textId="77777777" w:rsidR="00F163CD" w:rsidRPr="00633B26" w:rsidRDefault="00F6473D" w:rsidP="00F6473D">
      <w:pPr>
        <w:pStyle w:val="Sinespaciado"/>
        <w:numPr>
          <w:ilvl w:val="0"/>
          <w:numId w:val="1"/>
        </w:numPr>
        <w:spacing w:before="240" w:line="360" w:lineRule="auto"/>
        <w:jc w:val="both"/>
        <w:rPr>
          <w:rFonts w:ascii="Palatino Linotype" w:hAnsi="Palatino Linotype" w:cs="Arial"/>
          <w:b/>
          <w:i/>
          <w:sz w:val="24"/>
        </w:rPr>
      </w:pPr>
      <w:r w:rsidRPr="00F6473D">
        <w:rPr>
          <w:rFonts w:ascii="Palatino Linotype" w:hAnsi="Palatino Linotype" w:cs="Arial"/>
          <w:b/>
          <w:i/>
          <w:sz w:val="24"/>
        </w:rPr>
        <w:t>RESPUESTA 684. 2025.pdf</w:t>
      </w:r>
      <w:r w:rsidR="00F163CD" w:rsidRPr="00361D87">
        <w:rPr>
          <w:rFonts w:ascii="Palatino Linotype" w:hAnsi="Palatino Linotype" w:cs="Arial"/>
          <w:b/>
          <w:i/>
          <w:sz w:val="24"/>
        </w:rPr>
        <w:t xml:space="preserve">: </w:t>
      </w:r>
      <w:r w:rsidR="00F163CD" w:rsidRPr="00361D87">
        <w:rPr>
          <w:rFonts w:ascii="Palatino Linotype" w:hAnsi="Palatino Linotype" w:cs="Arial"/>
          <w:sz w:val="24"/>
        </w:rPr>
        <w:t xml:space="preserve">constante de </w:t>
      </w:r>
      <w:r>
        <w:rPr>
          <w:rFonts w:ascii="Palatino Linotype" w:hAnsi="Palatino Linotype" w:cs="Arial"/>
          <w:sz w:val="24"/>
        </w:rPr>
        <w:t xml:space="preserve">dos </w:t>
      </w:r>
      <w:r w:rsidR="00F163CD">
        <w:rPr>
          <w:rFonts w:ascii="Palatino Linotype" w:hAnsi="Palatino Linotype" w:cs="Arial"/>
          <w:sz w:val="24"/>
        </w:rPr>
        <w:t>fojas</w:t>
      </w:r>
      <w:r w:rsidR="00F163CD" w:rsidRPr="00361D87">
        <w:rPr>
          <w:rFonts w:ascii="Palatino Linotype" w:hAnsi="Palatino Linotype" w:cs="Arial"/>
          <w:sz w:val="24"/>
        </w:rPr>
        <w:t xml:space="preserve">, en formato </w:t>
      </w:r>
      <w:proofErr w:type="spellStart"/>
      <w:r w:rsidR="00F163CD" w:rsidRPr="00361D87">
        <w:rPr>
          <w:rFonts w:ascii="Palatino Linotype" w:hAnsi="Palatino Linotype" w:cs="Arial"/>
          <w:sz w:val="24"/>
        </w:rPr>
        <w:t>pdf</w:t>
      </w:r>
      <w:proofErr w:type="spellEnd"/>
      <w:r w:rsidR="00F163CD" w:rsidRPr="00361D87">
        <w:rPr>
          <w:rFonts w:ascii="Palatino Linotype" w:hAnsi="Palatino Linotype" w:cs="Arial"/>
          <w:sz w:val="24"/>
        </w:rPr>
        <w:t xml:space="preserve">, </w:t>
      </w:r>
      <w:r w:rsidR="00F163CD" w:rsidRPr="00633B26">
        <w:rPr>
          <w:rFonts w:ascii="Palatino Linotype" w:hAnsi="Palatino Linotype" w:cs="Arial"/>
          <w:sz w:val="24"/>
        </w:rPr>
        <w:t xml:space="preserve">de fecha </w:t>
      </w:r>
      <w:r>
        <w:rPr>
          <w:rFonts w:ascii="Palatino Linotype" w:hAnsi="Palatino Linotype" w:cs="Arial"/>
          <w:sz w:val="24"/>
        </w:rPr>
        <w:t>veintiséis</w:t>
      </w:r>
      <w:r w:rsidR="00F163CD">
        <w:rPr>
          <w:rFonts w:ascii="Palatino Linotype" w:hAnsi="Palatino Linotype" w:cs="Arial"/>
          <w:sz w:val="24"/>
        </w:rPr>
        <w:t xml:space="preserve"> de febrero</w:t>
      </w:r>
      <w:r w:rsidR="00F163CD" w:rsidRPr="00633B26">
        <w:rPr>
          <w:rFonts w:ascii="Palatino Linotype" w:hAnsi="Palatino Linotype" w:cs="Arial"/>
          <w:sz w:val="24"/>
        </w:rPr>
        <w:t xml:space="preserve"> de dos mil veinticinco, firmado por </w:t>
      </w:r>
      <w:r w:rsidR="00F163CD">
        <w:rPr>
          <w:rFonts w:ascii="Palatino Linotype" w:hAnsi="Palatino Linotype" w:cs="Arial"/>
          <w:sz w:val="24"/>
        </w:rPr>
        <w:t>el Titular de la Unidad de Transparencia</w:t>
      </w:r>
      <w:r w:rsidR="00F163CD" w:rsidRPr="00633B26">
        <w:rPr>
          <w:rFonts w:ascii="Palatino Linotype" w:hAnsi="Palatino Linotype" w:cs="Arial"/>
          <w:sz w:val="24"/>
        </w:rPr>
        <w:t>, en el que refiere lo siguiente:</w:t>
      </w:r>
    </w:p>
    <w:p w14:paraId="09C54F3F" w14:textId="77777777" w:rsidR="00F6473D" w:rsidRDefault="00F163CD" w:rsidP="00F163CD">
      <w:pPr>
        <w:pStyle w:val="INFOEM"/>
      </w:pPr>
      <w:r>
        <w:t xml:space="preserve">“… además de lo relativo al Manual de Organización de la Secretaría del Ayuntamiento y Manual de Procedimientos de la Secretaría del Ayuntamiento; hago de su conocimiento que </w:t>
      </w:r>
      <w:r w:rsidR="00F6473D">
        <w:rPr>
          <w:b/>
        </w:rPr>
        <w:t xml:space="preserve">Unidad de Información, Planeación, Programación y Evaluación y Servidor Público Habilitado, </w:t>
      </w:r>
      <w:r w:rsidR="00F6473D">
        <w:t>informó que se proporcionan los siguientes documentos con los que cuenta la Unidad Administrativa, consistentes en:</w:t>
      </w:r>
    </w:p>
    <w:p w14:paraId="717DD7E2" w14:textId="77777777" w:rsidR="00F6473D" w:rsidRPr="00F6473D" w:rsidRDefault="00F6473D" w:rsidP="00F6473D">
      <w:pPr>
        <w:pStyle w:val="INFOEM"/>
        <w:numPr>
          <w:ilvl w:val="0"/>
          <w:numId w:val="11"/>
        </w:numPr>
        <w:rPr>
          <w:b/>
        </w:rPr>
      </w:pPr>
      <w:r w:rsidRPr="00F6473D">
        <w:rPr>
          <w:b/>
        </w:rPr>
        <w:t>Bando Municipal de Toluca 2025</w:t>
      </w:r>
    </w:p>
    <w:p w14:paraId="03CFFB8E" w14:textId="77777777" w:rsidR="00F6473D" w:rsidRDefault="00F6473D" w:rsidP="00F6473D">
      <w:pPr>
        <w:pStyle w:val="INFOEM"/>
        <w:numPr>
          <w:ilvl w:val="0"/>
          <w:numId w:val="11"/>
        </w:numPr>
      </w:pPr>
      <w:r w:rsidRPr="00F6473D">
        <w:rPr>
          <w:b/>
        </w:rPr>
        <w:t>Bando Municipal de Toluca 2025 Versión Otomí, los cuales se adjuntan al presente en formato PDF</w:t>
      </w:r>
      <w:r>
        <w:t>.</w:t>
      </w:r>
    </w:p>
    <w:p w14:paraId="5CF23334" w14:textId="77777777" w:rsidR="00F163CD" w:rsidRDefault="00F6473D" w:rsidP="00F163CD">
      <w:pPr>
        <w:pStyle w:val="INFOEM"/>
      </w:pPr>
      <w:r>
        <w:lastRenderedPageBreak/>
        <w:t>Se informa que los Manuales de Organización y procedimiento de la administración 2025.2027, se encuentran</w:t>
      </w:r>
      <w:r w:rsidR="005F35D6">
        <w:t xml:space="preserve"> en proceso de integración por parte de esta Unidad Administrativa y de las demás áreas que integran el Ayuntamiento de Toluca, por lo que una vez se concluya esta actividad y se aprueben, serán publicados. </w:t>
      </w:r>
    </w:p>
    <w:p w14:paraId="52A329B5" w14:textId="77777777" w:rsidR="005F35D6" w:rsidRDefault="005F35D6" w:rsidP="00F163CD">
      <w:pPr>
        <w:pStyle w:val="INFOEM"/>
      </w:pPr>
      <w:r>
        <w:t xml:space="preserve">Por parte de la </w:t>
      </w:r>
      <w:r w:rsidRPr="00A35076">
        <w:rPr>
          <w:b/>
        </w:rPr>
        <w:t xml:space="preserve">Dirección </w:t>
      </w:r>
      <w:r>
        <w:rPr>
          <w:b/>
        </w:rPr>
        <w:t xml:space="preserve">General de Administración y Servidora Pública Habilitada, </w:t>
      </w:r>
      <w:r>
        <w:t xml:space="preserve">informó que después de realizar un análisis a la presente, anexa link de </w:t>
      </w:r>
      <w:r w:rsidRPr="005F35D6">
        <w:rPr>
          <w:u w:val="single"/>
        </w:rPr>
        <w:t>la página oficial del ayuntamiento de Toluca</w:t>
      </w:r>
      <w:r>
        <w:t xml:space="preserve">, a través de la cual se puede consultar la reglamentación municipal vigente, a la fecha de la presente solicitud. </w:t>
      </w:r>
    </w:p>
    <w:p w14:paraId="5883DA19" w14:textId="77777777" w:rsidR="005F35D6" w:rsidRDefault="005F35D6" w:rsidP="00F163CD">
      <w:pPr>
        <w:pStyle w:val="INFOEM"/>
      </w:pPr>
      <w:r>
        <w:rPr>
          <w:noProof/>
          <w:lang w:eastAsia="es-MX"/>
        </w:rPr>
        <w:drawing>
          <wp:inline distT="0" distB="0" distL="0" distR="0" wp14:anchorId="19B4B463" wp14:editId="4478F097">
            <wp:extent cx="1876425" cy="399239"/>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F4A51D.tmp"/>
                    <pic:cNvPicPr/>
                  </pic:nvPicPr>
                  <pic:blipFill>
                    <a:blip r:embed="rId9">
                      <a:extLst>
                        <a:ext uri="{28A0092B-C50C-407E-A947-70E740481C1C}">
                          <a14:useLocalDpi xmlns:a14="http://schemas.microsoft.com/office/drawing/2010/main" val="0"/>
                        </a:ext>
                      </a:extLst>
                    </a:blip>
                    <a:stretch>
                      <a:fillRect/>
                    </a:stretch>
                  </pic:blipFill>
                  <pic:spPr>
                    <a:xfrm>
                      <a:off x="0" y="0"/>
                      <a:ext cx="1942461" cy="413289"/>
                    </a:xfrm>
                    <a:prstGeom prst="rect">
                      <a:avLst/>
                    </a:prstGeom>
                  </pic:spPr>
                </pic:pic>
              </a:graphicData>
            </a:graphic>
          </wp:inline>
        </w:drawing>
      </w:r>
    </w:p>
    <w:p w14:paraId="5552C6A6" w14:textId="77777777" w:rsidR="00F163CD" w:rsidRPr="005F35D6" w:rsidRDefault="00F163CD" w:rsidP="00F163CD">
      <w:pPr>
        <w:pStyle w:val="INFOEM"/>
      </w:pPr>
      <w:r>
        <w:t xml:space="preserve">Así mismo la </w:t>
      </w:r>
      <w:r w:rsidR="005F35D6">
        <w:rPr>
          <w:b/>
        </w:rPr>
        <w:t xml:space="preserve">Tesorería Municipal y Servidor Público Habilitado, </w:t>
      </w:r>
      <w:r w:rsidR="005F35D6">
        <w:t xml:space="preserve">informó que la información relativa  a los pagos del ejercicio fiscal 2025, aún no ha sido procesada ya que forma parte del primer trimestre del año, por lo que no es posible hacer entrega de lo solicitado. </w:t>
      </w:r>
    </w:p>
    <w:p w14:paraId="639BB8C7" w14:textId="77777777" w:rsidR="00F163CD" w:rsidRDefault="00F163CD" w:rsidP="00F163CD">
      <w:pPr>
        <w:pStyle w:val="INFOEM"/>
      </w:pPr>
      <w:r>
        <w:t>…” (Sic)</w:t>
      </w:r>
    </w:p>
    <w:p w14:paraId="680C8867" w14:textId="77777777" w:rsidR="00F163CD" w:rsidRDefault="00F163CD" w:rsidP="00F163CD">
      <w:pPr>
        <w:spacing w:line="360" w:lineRule="auto"/>
        <w:jc w:val="both"/>
        <w:rPr>
          <w:rFonts w:ascii="Palatino Linotype" w:hAnsi="Palatino Linotype" w:cs="Arial"/>
          <w:bCs/>
        </w:rPr>
      </w:pPr>
    </w:p>
    <w:p w14:paraId="43D9B6A7" w14:textId="77777777" w:rsidR="00F163CD" w:rsidRPr="00AB3BF1" w:rsidRDefault="00F163CD" w:rsidP="00F163CD">
      <w:pPr>
        <w:spacing w:line="360" w:lineRule="auto"/>
        <w:jc w:val="both"/>
        <w:rPr>
          <w:rFonts w:ascii="Palatino Linotype" w:hAnsi="Palatino Linotype"/>
          <w:b/>
          <w:i/>
          <w:u w:val="single"/>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E70726" w:rsidRPr="00E70726">
        <w:rPr>
          <w:rFonts w:ascii="Palatino Linotype" w:hAnsi="Palatino Linotype"/>
          <w:i/>
        </w:rPr>
        <w:t>Sus archivos no abren y falta información</w:t>
      </w:r>
      <w:r w:rsidRPr="0076255E">
        <w:rPr>
          <w:rFonts w:ascii="Palatino Linotype" w:hAnsi="Palatino Linotype"/>
          <w:i/>
        </w:rPr>
        <w:t xml:space="preserve">” </w:t>
      </w:r>
      <w:r w:rsidRPr="00205720">
        <w:rPr>
          <w:rFonts w:ascii="Palatino Linotype" w:hAnsi="Palatino Linotype"/>
          <w:i/>
        </w:rPr>
        <w:t>(Sic).</w:t>
      </w:r>
    </w:p>
    <w:p w14:paraId="1240F957" w14:textId="77777777" w:rsidR="00F163CD" w:rsidRDefault="00F163CD" w:rsidP="00F163CD">
      <w:pPr>
        <w:widowControl w:val="0"/>
        <w:tabs>
          <w:tab w:val="left" w:pos="1701"/>
          <w:tab w:val="left" w:pos="1843"/>
        </w:tabs>
        <w:spacing w:before="360" w:after="240" w:line="360" w:lineRule="auto"/>
        <w:jc w:val="both"/>
        <w:rPr>
          <w:rFonts w:ascii="Palatino Linotype" w:hAnsi="Palatino Linotype" w:cs="Arial"/>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del archivo electrónico</w:t>
      </w:r>
      <w:r>
        <w:rPr>
          <w:rFonts w:ascii="Palatino Linotype" w:eastAsia="Calibri" w:hAnsi="Palatino Linotype" w:cs="Calibri"/>
          <w:lang w:val="es-ES_tradnl" w:eastAsia="es-MX"/>
        </w:rPr>
        <w:t xml:space="preserve"> denominado “</w:t>
      </w:r>
      <w:r w:rsidR="00E70726" w:rsidRPr="00E70726">
        <w:rPr>
          <w:rFonts w:ascii="Palatino Linotype" w:hAnsi="Palatino Linotype" w:cs="Arial"/>
          <w:b/>
          <w:i/>
        </w:rPr>
        <w:t>Informe Justificado 03315.pdf</w:t>
      </w:r>
      <w:r>
        <w:rPr>
          <w:rFonts w:ascii="Palatino Linotype" w:hAnsi="Palatino Linotype" w:cs="Arial"/>
        </w:rPr>
        <w:t>”</w:t>
      </w:r>
      <w:r w:rsidR="00E70726">
        <w:rPr>
          <w:rFonts w:ascii="Palatino Linotype" w:hAnsi="Palatino Linotype" w:cs="Arial"/>
        </w:rPr>
        <w:t xml:space="preserve"> y “</w:t>
      </w:r>
      <w:r w:rsidR="00E70726" w:rsidRPr="00E70726">
        <w:rPr>
          <w:rFonts w:ascii="Palatino Linotype" w:hAnsi="Palatino Linotype" w:cs="Arial"/>
          <w:b/>
          <w:i/>
        </w:rPr>
        <w:t>Ratificación 03315.pdf</w:t>
      </w:r>
      <w:r w:rsidR="00E70726">
        <w:rPr>
          <w:rFonts w:ascii="Palatino Linotype" w:hAnsi="Palatino Linotype" w:cs="Arial"/>
        </w:rPr>
        <w:t>”</w:t>
      </w:r>
      <w:r>
        <w:rPr>
          <w:rFonts w:ascii="Palatino Linotype" w:hAnsi="Palatino Linotype" w:cs="Arial"/>
        </w:rPr>
        <w:t xml:space="preserve">, en el que </w:t>
      </w:r>
      <w:r w:rsidR="00E70726">
        <w:rPr>
          <w:rFonts w:ascii="Palatino Linotype" w:hAnsi="Palatino Linotype" w:cs="Arial"/>
        </w:rPr>
        <w:lastRenderedPageBreak/>
        <w:t>ratifica su respuesta, por su parte la Directora General de Administración, adicionalmente informó que la información no obra en los archivos de su Unidad Administrativa.</w:t>
      </w:r>
    </w:p>
    <w:p w14:paraId="61AA3BD2" w14:textId="77777777" w:rsidR="00F163CD" w:rsidRPr="007C3560" w:rsidRDefault="00F163CD" w:rsidP="00F163CD">
      <w:pPr>
        <w:pStyle w:val="temp"/>
        <w:shd w:val="clear" w:color="auto" w:fill="FFFFFF"/>
        <w:spacing w:before="0" w:beforeAutospacing="0" w:after="0" w:afterAutospacing="0"/>
        <w:jc w:val="both"/>
        <w:rPr>
          <w:rStyle w:val="bold"/>
          <w:rFonts w:ascii="Palatino Linotype" w:eastAsiaTheme="minorEastAsia" w:hAnsi="Palatino Linotype" w:cs="Calibri"/>
          <w:color w:val="212529"/>
        </w:rPr>
      </w:pPr>
    </w:p>
    <w:p w14:paraId="5AC5D07D" w14:textId="77777777" w:rsidR="00F163CD" w:rsidRPr="007C3560" w:rsidRDefault="00F163CD" w:rsidP="00F163CD">
      <w:pPr>
        <w:pStyle w:val="temp"/>
        <w:shd w:val="clear" w:color="auto" w:fill="FFFFFF"/>
        <w:spacing w:before="0" w:beforeAutospacing="0" w:after="0" w:afterAutospacing="0" w:line="360" w:lineRule="auto"/>
        <w:jc w:val="both"/>
        <w:rPr>
          <w:rStyle w:val="bold"/>
          <w:rFonts w:ascii="Palatino Linotype" w:eastAsiaTheme="minorEastAsia" w:hAnsi="Palatino Linotype" w:cs="Calibri"/>
          <w:color w:val="212529"/>
        </w:rPr>
      </w:pPr>
      <w:r w:rsidRPr="007C3560">
        <w:rPr>
          <w:rStyle w:val="bold"/>
          <w:rFonts w:ascii="Palatino Linotype" w:eastAsiaTheme="minorEastAsia" w:hAnsi="Palatino Linotype" w:cs="Calibri"/>
          <w:color w:val="212529"/>
        </w:rPr>
        <w:t xml:space="preserve">La Ley de Transparencia y Acceso a la Información Pública del Estado de México y Municipios en su artículo 57 establece los requisitos que deberá reunir el Titular de la Unidad de Transparencia, como sigue: </w:t>
      </w:r>
    </w:p>
    <w:p w14:paraId="71DC2625" w14:textId="77777777" w:rsidR="00F163CD" w:rsidRPr="007C3560" w:rsidRDefault="00F163CD" w:rsidP="00F163CD">
      <w:pPr>
        <w:pStyle w:val="temp"/>
        <w:shd w:val="clear" w:color="auto" w:fill="FFFFFF"/>
        <w:spacing w:before="0" w:beforeAutospacing="0" w:after="0" w:afterAutospacing="0"/>
        <w:jc w:val="both"/>
        <w:rPr>
          <w:rStyle w:val="bold"/>
          <w:rFonts w:ascii="Palatino Linotype" w:eastAsiaTheme="minorEastAsia" w:hAnsi="Palatino Linotype" w:cs="Calibri"/>
          <w:color w:val="212529"/>
        </w:rPr>
      </w:pPr>
    </w:p>
    <w:p w14:paraId="25B0585F" w14:textId="77777777" w:rsidR="00F163CD" w:rsidRPr="007C3560" w:rsidRDefault="00F163CD" w:rsidP="00F163CD">
      <w:pPr>
        <w:pStyle w:val="temp"/>
        <w:shd w:val="clear" w:color="auto" w:fill="FFFFFF"/>
        <w:spacing w:before="0" w:beforeAutospacing="0" w:after="0" w:afterAutospacing="0" w:line="360" w:lineRule="auto"/>
        <w:ind w:left="567"/>
        <w:jc w:val="both"/>
        <w:rPr>
          <w:rFonts w:ascii="Palatino Linotype" w:hAnsi="Palatino Linotype"/>
          <w:b/>
          <w:bCs/>
          <w:i/>
          <w:iCs/>
        </w:rPr>
      </w:pPr>
      <w:r w:rsidRPr="007C3560">
        <w:rPr>
          <w:rFonts w:ascii="Palatino Linotype" w:hAnsi="Palatino Linotype"/>
          <w:b/>
          <w:bCs/>
          <w:i/>
          <w:iCs/>
        </w:rPr>
        <w:t xml:space="preserve">Artículo 57. </w:t>
      </w:r>
      <w:r w:rsidRPr="007C3560">
        <w:rPr>
          <w:rFonts w:ascii="Palatino Linotype" w:hAnsi="Palatino Linotype"/>
          <w:i/>
          <w:iCs/>
        </w:rPr>
        <w:t xml:space="preserve">El responsable de la Unidad de Transparencia deberá tener el perfil adecuado para el cumplimiento de las obligaciones que se derivan de la presente Ley. </w:t>
      </w:r>
      <w:r w:rsidRPr="007C3560">
        <w:rPr>
          <w:rFonts w:ascii="Palatino Linotype" w:hAnsi="Palatino Linotype"/>
          <w:b/>
          <w:bCs/>
          <w:i/>
          <w:iCs/>
          <w:u w:val="single"/>
        </w:rPr>
        <w:t>Para ser nombrado titular de la Unidad de Transparencia, deberá cumplir, por lo menos, con los siguientes requisitos</w:t>
      </w:r>
      <w:r w:rsidRPr="007C3560">
        <w:rPr>
          <w:rFonts w:ascii="Palatino Linotype" w:hAnsi="Palatino Linotype"/>
          <w:b/>
          <w:bCs/>
          <w:i/>
          <w:iCs/>
        </w:rPr>
        <w:t xml:space="preserve">: </w:t>
      </w:r>
    </w:p>
    <w:p w14:paraId="793B02F5" w14:textId="77777777" w:rsidR="00F163CD" w:rsidRPr="007C3560" w:rsidRDefault="00F163CD" w:rsidP="00F163CD">
      <w:pPr>
        <w:pStyle w:val="temp"/>
        <w:numPr>
          <w:ilvl w:val="0"/>
          <w:numId w:val="6"/>
        </w:numPr>
        <w:shd w:val="clear" w:color="auto" w:fill="FFFFFF"/>
        <w:spacing w:before="0" w:beforeAutospacing="0" w:after="0" w:afterAutospacing="0" w:line="360" w:lineRule="auto"/>
        <w:ind w:left="851" w:hanging="371"/>
        <w:jc w:val="both"/>
        <w:rPr>
          <w:rFonts w:ascii="Palatino Linotype" w:hAnsi="Palatino Linotype"/>
          <w:i/>
          <w:iCs/>
          <w:u w:val="single"/>
        </w:rPr>
      </w:pPr>
      <w:r w:rsidRPr="007C3560">
        <w:rPr>
          <w:rFonts w:ascii="Palatino Linotype" w:hAnsi="Palatino Linotype"/>
          <w:b/>
          <w:bCs/>
          <w:i/>
          <w:iCs/>
        </w:rPr>
        <w:t xml:space="preserve">Contar con conocimiento o, tratándose de las </w:t>
      </w:r>
      <w:r w:rsidRPr="007C3560">
        <w:rPr>
          <w:rFonts w:ascii="Palatino Linotype" w:hAnsi="Palatino Linotype"/>
          <w:b/>
          <w:bCs/>
          <w:i/>
          <w:iCs/>
          <w:u w:val="single"/>
        </w:rPr>
        <w:t>entidades gubernamentales estatales y los municipios certificación en materia de acceso a la información, transparencia y protección de datos personales, que para tal efecto emita el Instituto</w:t>
      </w:r>
      <w:r w:rsidRPr="007C3560">
        <w:rPr>
          <w:rFonts w:ascii="Palatino Linotype" w:hAnsi="Palatino Linotype"/>
          <w:i/>
          <w:iCs/>
          <w:u w:val="single"/>
        </w:rPr>
        <w:t xml:space="preserve">; </w:t>
      </w:r>
    </w:p>
    <w:p w14:paraId="67ED7806" w14:textId="77777777" w:rsidR="00F163CD" w:rsidRPr="007C3560" w:rsidRDefault="00F163CD" w:rsidP="00F163CD">
      <w:pPr>
        <w:pStyle w:val="temp"/>
        <w:numPr>
          <w:ilvl w:val="0"/>
          <w:numId w:val="6"/>
        </w:numPr>
        <w:shd w:val="clear" w:color="auto" w:fill="FFFFFF"/>
        <w:spacing w:before="0" w:beforeAutospacing="0" w:after="0" w:afterAutospacing="0" w:line="360" w:lineRule="auto"/>
        <w:ind w:left="851" w:hanging="371"/>
        <w:jc w:val="both"/>
        <w:rPr>
          <w:rFonts w:ascii="Palatino Linotype" w:hAnsi="Palatino Linotype" w:cs="Calibri"/>
          <w:b/>
          <w:bCs/>
          <w:i/>
          <w:iCs/>
          <w:color w:val="212529"/>
        </w:rPr>
      </w:pPr>
      <w:r w:rsidRPr="007C3560">
        <w:rPr>
          <w:rFonts w:ascii="Palatino Linotype" w:hAnsi="Palatino Linotype"/>
          <w:i/>
          <w:iCs/>
        </w:rPr>
        <w:t xml:space="preserve">Experiencia en materia de acceso a la información y protección de datos personales; y </w:t>
      </w:r>
    </w:p>
    <w:p w14:paraId="1C22644F" w14:textId="77777777" w:rsidR="00F163CD" w:rsidRPr="007C3560" w:rsidRDefault="00F163CD" w:rsidP="00F163CD">
      <w:pPr>
        <w:pStyle w:val="temp"/>
        <w:numPr>
          <w:ilvl w:val="0"/>
          <w:numId w:val="6"/>
        </w:numPr>
        <w:shd w:val="clear" w:color="auto" w:fill="FFFFFF"/>
        <w:spacing w:before="0" w:beforeAutospacing="0" w:after="0" w:afterAutospacing="0" w:line="360" w:lineRule="auto"/>
        <w:ind w:left="851" w:hanging="371"/>
        <w:jc w:val="both"/>
        <w:rPr>
          <w:rFonts w:ascii="Palatino Linotype" w:hAnsi="Palatino Linotype" w:cs="Calibri"/>
          <w:b/>
          <w:bCs/>
          <w:i/>
          <w:iCs/>
          <w:color w:val="212529"/>
        </w:rPr>
      </w:pPr>
      <w:r w:rsidRPr="007C3560">
        <w:rPr>
          <w:rFonts w:ascii="Palatino Linotype" w:hAnsi="Palatino Linotype"/>
          <w:i/>
          <w:iCs/>
        </w:rPr>
        <w:t>Habilidades de organización y comunicación, así como visión y liderazgo.</w:t>
      </w:r>
    </w:p>
    <w:p w14:paraId="6E6EF447" w14:textId="77777777" w:rsidR="00F163CD" w:rsidRPr="007C3560" w:rsidRDefault="00F163CD" w:rsidP="00F163CD">
      <w:pPr>
        <w:pStyle w:val="temp"/>
        <w:shd w:val="clear" w:color="auto" w:fill="FFFFFF"/>
        <w:spacing w:before="0" w:beforeAutospacing="0" w:after="0" w:afterAutospacing="0"/>
        <w:ind w:left="1080" w:hanging="371"/>
        <w:jc w:val="both"/>
        <w:rPr>
          <w:rStyle w:val="bold"/>
          <w:rFonts w:ascii="Palatino Linotype" w:eastAsiaTheme="minorEastAsia" w:hAnsi="Palatino Linotype" w:cs="Calibri"/>
          <w:b/>
          <w:bCs/>
          <w:i/>
          <w:iCs/>
          <w:color w:val="212529"/>
        </w:rPr>
      </w:pPr>
    </w:p>
    <w:p w14:paraId="319E2FDF" w14:textId="77777777" w:rsidR="00F163CD" w:rsidRPr="007C3560" w:rsidRDefault="00F163CD" w:rsidP="00F163CD">
      <w:pPr>
        <w:pStyle w:val="temp"/>
        <w:shd w:val="clear" w:color="auto" w:fill="FFFFFF"/>
        <w:spacing w:before="0" w:beforeAutospacing="0" w:after="0" w:afterAutospacing="0" w:line="360" w:lineRule="auto"/>
        <w:jc w:val="both"/>
        <w:rPr>
          <w:rStyle w:val="bold"/>
          <w:rFonts w:ascii="Palatino Linotype" w:eastAsiaTheme="minorEastAsia" w:hAnsi="Palatino Linotype" w:cs="Calibri"/>
          <w:color w:val="212529"/>
        </w:rPr>
      </w:pPr>
      <w:r w:rsidRPr="007C3560">
        <w:rPr>
          <w:rStyle w:val="bold"/>
          <w:rFonts w:ascii="Palatino Linotype" w:eastAsiaTheme="minorEastAsia" w:hAnsi="Palatino Linotype" w:cs="Calibri"/>
          <w:color w:val="212529"/>
        </w:rPr>
        <w:t xml:space="preserve">La referida Ley de Transparencia Local en su artículo 36 </w:t>
      </w:r>
      <w:proofErr w:type="gramStart"/>
      <w:r w:rsidRPr="007C3560">
        <w:rPr>
          <w:rStyle w:val="bold"/>
          <w:rFonts w:ascii="Palatino Linotype" w:eastAsiaTheme="minorEastAsia" w:hAnsi="Palatino Linotype" w:cs="Calibri"/>
          <w:color w:val="212529"/>
        </w:rPr>
        <w:t>fracción</w:t>
      </w:r>
      <w:proofErr w:type="gramEnd"/>
      <w:r w:rsidRPr="007C3560">
        <w:rPr>
          <w:rStyle w:val="bold"/>
          <w:rFonts w:ascii="Palatino Linotype" w:eastAsiaTheme="minorEastAsia" w:hAnsi="Palatino Linotype" w:cs="Calibri"/>
          <w:color w:val="212529"/>
        </w:rPr>
        <w:t xml:space="preserve"> XI establece que este Instituto tiene en el ámbito de su competencia certificar las competencias de los titulares de las unidades de Transparencia, como a continuación se muestra: </w:t>
      </w:r>
    </w:p>
    <w:p w14:paraId="1C9F3D07" w14:textId="77777777" w:rsidR="00F163CD" w:rsidRPr="007C3560" w:rsidRDefault="00F163CD" w:rsidP="00F163CD">
      <w:pPr>
        <w:pStyle w:val="temp"/>
        <w:shd w:val="clear" w:color="auto" w:fill="FFFFFF"/>
        <w:spacing w:before="0" w:beforeAutospacing="0" w:after="0" w:afterAutospacing="0"/>
        <w:jc w:val="both"/>
        <w:rPr>
          <w:rStyle w:val="bold"/>
          <w:rFonts w:ascii="Palatino Linotype" w:eastAsiaTheme="minorEastAsia" w:hAnsi="Palatino Linotype" w:cs="Calibri"/>
          <w:color w:val="212529"/>
        </w:rPr>
      </w:pPr>
    </w:p>
    <w:p w14:paraId="23F5062B" w14:textId="77777777" w:rsidR="00F163CD" w:rsidRPr="007C3560" w:rsidRDefault="00F163CD" w:rsidP="00F163CD">
      <w:pPr>
        <w:pStyle w:val="temp"/>
        <w:shd w:val="clear" w:color="auto" w:fill="FFFFFF"/>
        <w:spacing w:before="0" w:beforeAutospacing="0" w:after="0" w:afterAutospacing="0"/>
        <w:ind w:left="567"/>
        <w:jc w:val="both"/>
        <w:rPr>
          <w:rFonts w:ascii="Palatino Linotype" w:hAnsi="Palatino Linotype"/>
          <w:i/>
          <w:iCs/>
        </w:rPr>
      </w:pPr>
      <w:r w:rsidRPr="007C3560">
        <w:rPr>
          <w:rFonts w:ascii="Palatino Linotype" w:hAnsi="Palatino Linotype"/>
          <w:b/>
          <w:bCs/>
          <w:i/>
          <w:iCs/>
        </w:rPr>
        <w:t>Artículo 36.</w:t>
      </w:r>
      <w:r w:rsidRPr="007C3560">
        <w:rPr>
          <w:rFonts w:ascii="Palatino Linotype" w:hAnsi="Palatino Linotype"/>
          <w:i/>
          <w:iCs/>
        </w:rPr>
        <w:t xml:space="preserve"> El Instituto tendrá, en el ámbito de su competencia, las atribuciones siguientes:</w:t>
      </w:r>
    </w:p>
    <w:p w14:paraId="09FA642F" w14:textId="77777777" w:rsidR="00F163CD" w:rsidRPr="007C3560" w:rsidRDefault="00F163CD" w:rsidP="00F163CD">
      <w:pPr>
        <w:pStyle w:val="temp"/>
        <w:shd w:val="clear" w:color="auto" w:fill="FFFFFF"/>
        <w:spacing w:before="0" w:beforeAutospacing="0" w:after="0" w:afterAutospacing="0"/>
        <w:ind w:left="567"/>
        <w:jc w:val="both"/>
        <w:rPr>
          <w:rFonts w:ascii="Palatino Linotype" w:hAnsi="Palatino Linotype"/>
          <w:i/>
          <w:iCs/>
        </w:rPr>
      </w:pPr>
      <w:r w:rsidRPr="007C3560">
        <w:rPr>
          <w:rFonts w:ascii="Palatino Linotype" w:hAnsi="Palatino Linotype"/>
          <w:b/>
          <w:bCs/>
          <w:i/>
          <w:iCs/>
        </w:rPr>
        <w:t>XI.</w:t>
      </w:r>
      <w:r w:rsidRPr="007C3560">
        <w:rPr>
          <w:rFonts w:ascii="Palatino Linotype" w:hAnsi="Palatino Linotype"/>
          <w:i/>
          <w:iCs/>
        </w:rPr>
        <w:t xml:space="preserve"> Certificar las competencias de los titulares de las unidades de transparencia;</w:t>
      </w:r>
    </w:p>
    <w:p w14:paraId="65E21A44" w14:textId="77777777" w:rsidR="00F163CD" w:rsidRPr="007C3560" w:rsidRDefault="00F163CD" w:rsidP="00F163CD">
      <w:pPr>
        <w:pStyle w:val="temp"/>
        <w:shd w:val="clear" w:color="auto" w:fill="FFFFFF"/>
        <w:spacing w:before="0" w:beforeAutospacing="0" w:after="0" w:afterAutospacing="0"/>
        <w:ind w:left="993"/>
        <w:jc w:val="both"/>
        <w:rPr>
          <w:rStyle w:val="bold"/>
          <w:rFonts w:ascii="Palatino Linotype" w:eastAsiaTheme="minorEastAsia" w:hAnsi="Palatino Linotype" w:cs="Calibri"/>
          <w:b/>
          <w:bCs/>
          <w:i/>
          <w:iCs/>
          <w:color w:val="212529"/>
        </w:rPr>
      </w:pPr>
    </w:p>
    <w:p w14:paraId="2E168F93" w14:textId="77777777" w:rsidR="00F163CD" w:rsidRDefault="00F163CD" w:rsidP="00F163CD">
      <w:pPr>
        <w:pStyle w:val="temp"/>
        <w:shd w:val="clear" w:color="auto" w:fill="FFFFFF"/>
        <w:spacing w:before="0" w:beforeAutospacing="0" w:after="0" w:afterAutospacing="0" w:line="360" w:lineRule="auto"/>
        <w:jc w:val="both"/>
        <w:rPr>
          <w:rStyle w:val="bold"/>
          <w:rFonts w:ascii="Palatino Linotype" w:eastAsiaTheme="minorEastAsia" w:hAnsi="Palatino Linotype" w:cs="Calibri"/>
          <w:color w:val="212529"/>
        </w:rPr>
      </w:pPr>
    </w:p>
    <w:p w14:paraId="328ED152" w14:textId="77777777" w:rsidR="006C6471" w:rsidRDefault="00E70726" w:rsidP="00F163CD">
      <w:pPr>
        <w:pStyle w:val="Sinespaciado"/>
        <w:spacing w:line="360" w:lineRule="auto"/>
        <w:jc w:val="both"/>
        <w:rPr>
          <w:rFonts w:ascii="Palatino Linotype" w:eastAsia="Palatino Linotype" w:hAnsi="Palatino Linotype" w:cs="Palatino Linotype"/>
          <w:color w:val="000000"/>
          <w:sz w:val="24"/>
          <w:lang w:val="es-ES_tradnl" w:eastAsia="es-MX"/>
        </w:rPr>
      </w:pPr>
      <w:r>
        <w:rPr>
          <w:rFonts w:ascii="Palatino Linotype" w:eastAsia="Palatino Linotype" w:hAnsi="Palatino Linotype" w:cs="Palatino Linotype"/>
          <w:color w:val="000000"/>
          <w:sz w:val="24"/>
          <w:lang w:val="es-ES_tradnl" w:eastAsia="es-MX"/>
        </w:rPr>
        <w:t xml:space="preserve">Una vez sentado lo anterior, </w:t>
      </w:r>
      <w:r w:rsidR="003502CD">
        <w:rPr>
          <w:rFonts w:ascii="Palatino Linotype" w:eastAsia="Palatino Linotype" w:hAnsi="Palatino Linotype" w:cs="Palatino Linotype"/>
          <w:color w:val="000000"/>
          <w:sz w:val="24"/>
          <w:lang w:val="es-ES_tradnl" w:eastAsia="es-MX"/>
        </w:rPr>
        <w:t>resulta necesario delimitar competencias conforme a la Ley Orgánica Municipal del Estado de México, ya que establece co</w:t>
      </w:r>
      <w:r w:rsidR="006C6471">
        <w:rPr>
          <w:rFonts w:ascii="Palatino Linotype" w:eastAsia="Palatino Linotype" w:hAnsi="Palatino Linotype" w:cs="Palatino Linotype"/>
          <w:color w:val="000000"/>
          <w:sz w:val="24"/>
          <w:lang w:val="es-ES_tradnl" w:eastAsia="es-MX"/>
        </w:rPr>
        <w:t>mo facultad de los Ayuntamientos expedir y publicar el Bando Municipal, así como, reglamentos y disposiciones normativas que regulen el régimen de la Administración Pública:</w:t>
      </w:r>
    </w:p>
    <w:p w14:paraId="2C01053E" w14:textId="77777777" w:rsidR="006C6471" w:rsidRDefault="006C6471" w:rsidP="006C6471">
      <w:pPr>
        <w:pStyle w:val="Citas"/>
        <w:jc w:val="center"/>
      </w:pPr>
      <w:r w:rsidRPr="006C6471">
        <w:t>TITULO VI</w:t>
      </w:r>
    </w:p>
    <w:p w14:paraId="3E32D5D1" w14:textId="77777777" w:rsidR="006C6471" w:rsidRDefault="006C6471" w:rsidP="006C6471">
      <w:pPr>
        <w:pStyle w:val="Citas"/>
        <w:jc w:val="center"/>
      </w:pPr>
      <w:r w:rsidRPr="006C6471">
        <w:t>De la Reglamentación Municipal</w:t>
      </w:r>
    </w:p>
    <w:p w14:paraId="3F4198E7" w14:textId="77777777" w:rsidR="006C6471" w:rsidRDefault="006C6471" w:rsidP="006C6471">
      <w:pPr>
        <w:pStyle w:val="Citas"/>
        <w:jc w:val="center"/>
      </w:pPr>
      <w:r w:rsidRPr="006C6471">
        <w:t>CAPITULO PRIMERO Del Bando y los Reglamentos</w:t>
      </w:r>
    </w:p>
    <w:p w14:paraId="5293B7EC" w14:textId="77777777" w:rsidR="006C6471" w:rsidRDefault="006C6471" w:rsidP="006C6471">
      <w:pPr>
        <w:pStyle w:val="Citas"/>
      </w:pPr>
      <w:r w:rsidRPr="006C6471">
        <w:rPr>
          <w:b/>
        </w:rPr>
        <w:t>Artículo 160.- Los ayuntamientos expedirán el Bando Municipal y los presidentes municipales lo promulgarán y difundirán en la Gaceta Municipal</w:t>
      </w:r>
      <w:r w:rsidRPr="006C6471">
        <w:t xml:space="preserve"> y en los estrados de los Ayuntamientos, así como por los medios que estime conveniente. </w:t>
      </w:r>
      <w:r w:rsidRPr="006C6471">
        <w:rPr>
          <w:b/>
        </w:rPr>
        <w:t>El 5 de febrero de cada año el presidente municipal</w:t>
      </w:r>
      <w:r w:rsidRPr="006C6471">
        <w:t xml:space="preserve"> acompañado de los demás miembros del ayuntamiento en acto solemne dará publicidad al bando municipal o sus modificaciones. </w:t>
      </w:r>
    </w:p>
    <w:p w14:paraId="0803C90E" w14:textId="77777777" w:rsidR="006C6471" w:rsidRDefault="006C6471" w:rsidP="006C6471">
      <w:pPr>
        <w:pStyle w:val="Citas"/>
      </w:pPr>
      <w:r w:rsidRPr="006C6471">
        <w:t xml:space="preserve">Artículo 161.- El Bando Municipal regulará y deberá contener las normas de observancia general que requiera el gobierno y la administración municipales. </w:t>
      </w:r>
    </w:p>
    <w:p w14:paraId="1444DC48" w14:textId="77777777" w:rsidR="006C6471" w:rsidRDefault="006C6471" w:rsidP="006C6471">
      <w:pPr>
        <w:pStyle w:val="Citas"/>
        <w:spacing w:line="240" w:lineRule="auto"/>
      </w:pPr>
      <w:r w:rsidRPr="006C6471">
        <w:t xml:space="preserve">Artículo 162.- El Bando Municipal regulará al menos lo siguiente: </w:t>
      </w:r>
    </w:p>
    <w:p w14:paraId="30C3607E" w14:textId="77777777" w:rsidR="006C6471" w:rsidRDefault="006C6471" w:rsidP="006C6471">
      <w:pPr>
        <w:pStyle w:val="Citas"/>
        <w:numPr>
          <w:ilvl w:val="0"/>
          <w:numId w:val="12"/>
        </w:numPr>
        <w:spacing w:line="240" w:lineRule="auto"/>
      </w:pPr>
      <w:r w:rsidRPr="006C6471">
        <w:t xml:space="preserve">Nombre y escudo del municipio; </w:t>
      </w:r>
    </w:p>
    <w:p w14:paraId="52598D4D" w14:textId="77777777" w:rsidR="006C6471" w:rsidRDefault="006C6471" w:rsidP="006C6471">
      <w:pPr>
        <w:pStyle w:val="Citas"/>
        <w:numPr>
          <w:ilvl w:val="0"/>
          <w:numId w:val="12"/>
        </w:numPr>
        <w:spacing w:line="240" w:lineRule="auto"/>
      </w:pPr>
      <w:r w:rsidRPr="006C6471">
        <w:t xml:space="preserve">Territorio y organización territorial y administrativa del municipio; </w:t>
      </w:r>
    </w:p>
    <w:p w14:paraId="508EA068" w14:textId="77777777" w:rsidR="006C6471" w:rsidRDefault="006C6471" w:rsidP="006C6471">
      <w:pPr>
        <w:pStyle w:val="Citas"/>
        <w:numPr>
          <w:ilvl w:val="0"/>
          <w:numId w:val="12"/>
        </w:numPr>
        <w:spacing w:line="240" w:lineRule="auto"/>
      </w:pPr>
      <w:r w:rsidRPr="006C6471">
        <w:t xml:space="preserve">Población del municipio; </w:t>
      </w:r>
    </w:p>
    <w:p w14:paraId="0AACA308" w14:textId="77777777" w:rsidR="006C6471" w:rsidRDefault="006C6471" w:rsidP="006C6471">
      <w:pPr>
        <w:pStyle w:val="Citas"/>
        <w:numPr>
          <w:ilvl w:val="0"/>
          <w:numId w:val="12"/>
        </w:numPr>
        <w:spacing w:line="240" w:lineRule="auto"/>
      </w:pPr>
      <w:r w:rsidRPr="006C6471">
        <w:t xml:space="preserve">Gobierno Municipal, autoridades y organismos auxiliares del ayuntamiento; </w:t>
      </w:r>
    </w:p>
    <w:p w14:paraId="1BF716F1" w14:textId="77777777" w:rsidR="006C6471" w:rsidRDefault="006C6471" w:rsidP="006C6471">
      <w:pPr>
        <w:pStyle w:val="Citas"/>
        <w:numPr>
          <w:ilvl w:val="0"/>
          <w:numId w:val="12"/>
        </w:numPr>
        <w:spacing w:line="240" w:lineRule="auto"/>
      </w:pPr>
      <w:r w:rsidRPr="006C6471">
        <w:t>Servicios públicos municipales;</w:t>
      </w:r>
      <w:r>
        <w:t xml:space="preserve"> </w:t>
      </w:r>
    </w:p>
    <w:p w14:paraId="7137D565" w14:textId="77777777" w:rsidR="006C6471" w:rsidRDefault="006C6471" w:rsidP="006C6471">
      <w:pPr>
        <w:pStyle w:val="Citas"/>
        <w:spacing w:line="240" w:lineRule="auto"/>
        <w:ind w:left="1571"/>
      </w:pPr>
      <w:r w:rsidRPr="006C6471">
        <w:lastRenderedPageBreak/>
        <w:t xml:space="preserve">V Bis. Los principios, acciones, estrategias y lineamientos bajo los cuales se regirá la </w:t>
      </w:r>
      <w:r>
        <w:t>política de mejora regulatoria;</w:t>
      </w:r>
    </w:p>
    <w:p w14:paraId="0602663A" w14:textId="77777777" w:rsidR="006C6471" w:rsidRDefault="006C6471" w:rsidP="006C6471">
      <w:pPr>
        <w:pStyle w:val="Citas"/>
        <w:spacing w:line="240" w:lineRule="auto"/>
        <w:ind w:left="1571"/>
      </w:pPr>
      <w:r w:rsidRPr="006C6471">
        <w:t xml:space="preserve">V Ter. Los principios, acciones y lineamientos bajo los cuales se regirá la política de Gobierno Digital que se adoptará en el municipio. </w:t>
      </w:r>
    </w:p>
    <w:p w14:paraId="25186D27" w14:textId="77777777" w:rsidR="006C6471" w:rsidRDefault="006C6471" w:rsidP="006C6471">
      <w:pPr>
        <w:pStyle w:val="Citas"/>
        <w:numPr>
          <w:ilvl w:val="0"/>
          <w:numId w:val="12"/>
        </w:numPr>
        <w:spacing w:line="240" w:lineRule="auto"/>
      </w:pPr>
      <w:r w:rsidRPr="006C6471">
        <w:t xml:space="preserve">Desarrollo económico y bienestar social; </w:t>
      </w:r>
    </w:p>
    <w:p w14:paraId="35203FD8" w14:textId="77777777" w:rsidR="006C6471" w:rsidRDefault="006C6471" w:rsidP="006C6471">
      <w:pPr>
        <w:pStyle w:val="Citas"/>
        <w:numPr>
          <w:ilvl w:val="0"/>
          <w:numId w:val="12"/>
        </w:numPr>
        <w:spacing w:line="240" w:lineRule="auto"/>
      </w:pPr>
      <w:r w:rsidRPr="006C6471">
        <w:t xml:space="preserve">Los principios del Programa Estratégico para lograr la equidad de género, así como las infracciones administrativas y sanciones que por éstas deban imponerse en el ámbito de su competencia. </w:t>
      </w:r>
    </w:p>
    <w:p w14:paraId="313E10AB" w14:textId="77777777" w:rsidR="006C6471" w:rsidRDefault="006C6471" w:rsidP="006C6471">
      <w:pPr>
        <w:pStyle w:val="Citas"/>
        <w:numPr>
          <w:ilvl w:val="0"/>
          <w:numId w:val="12"/>
        </w:numPr>
        <w:spacing w:line="240" w:lineRule="auto"/>
      </w:pPr>
      <w:r w:rsidRPr="006C6471">
        <w:t xml:space="preserve">Protección ecológica y mejoramiento del medio ambiente; </w:t>
      </w:r>
    </w:p>
    <w:p w14:paraId="351249BC" w14:textId="77777777" w:rsidR="006C6471" w:rsidRDefault="006C6471" w:rsidP="006C6471">
      <w:pPr>
        <w:pStyle w:val="Citas"/>
        <w:numPr>
          <w:ilvl w:val="0"/>
          <w:numId w:val="12"/>
        </w:numPr>
        <w:spacing w:line="240" w:lineRule="auto"/>
      </w:pPr>
      <w:r w:rsidRPr="006C6471">
        <w:t xml:space="preserve">En los municipios identificados como destinos turísticos, deberán incluir disposiciones que regulen la materia turística y, en su caso, el reglamento respectivo. </w:t>
      </w:r>
    </w:p>
    <w:p w14:paraId="19A3946E" w14:textId="77777777" w:rsidR="006C6471" w:rsidRDefault="006C6471" w:rsidP="006C6471">
      <w:pPr>
        <w:pStyle w:val="Citas"/>
        <w:numPr>
          <w:ilvl w:val="0"/>
          <w:numId w:val="12"/>
        </w:numPr>
        <w:spacing w:line="240" w:lineRule="auto"/>
      </w:pPr>
      <w:r w:rsidRPr="006C6471">
        <w:t xml:space="preserve">Actividad industrial, comercial y de servicios a cargo de los particulares; </w:t>
      </w:r>
    </w:p>
    <w:p w14:paraId="3381FF5A" w14:textId="77777777" w:rsidR="006C6471" w:rsidRDefault="006C6471" w:rsidP="006C6471">
      <w:pPr>
        <w:pStyle w:val="Citas"/>
        <w:numPr>
          <w:ilvl w:val="0"/>
          <w:numId w:val="12"/>
        </w:numPr>
        <w:spacing w:line="240" w:lineRule="auto"/>
      </w:pPr>
      <w:r w:rsidRPr="006C6471">
        <w:t xml:space="preserve">Infracciones, sanciones y recursos; </w:t>
      </w:r>
    </w:p>
    <w:p w14:paraId="1D2DECCD" w14:textId="77777777" w:rsidR="006C6471" w:rsidRDefault="006C6471" w:rsidP="006C6471">
      <w:pPr>
        <w:pStyle w:val="Citas"/>
        <w:numPr>
          <w:ilvl w:val="0"/>
          <w:numId w:val="12"/>
        </w:numPr>
        <w:spacing w:line="240" w:lineRule="auto"/>
      </w:pPr>
      <w:r w:rsidRPr="006C6471">
        <w:t xml:space="preserve">Las demás que se estimen necesarias. </w:t>
      </w:r>
    </w:p>
    <w:p w14:paraId="05E2246E" w14:textId="77777777" w:rsidR="006C6471" w:rsidRDefault="006C6471" w:rsidP="006C6471">
      <w:pPr>
        <w:pStyle w:val="Citas"/>
      </w:pPr>
      <w:r w:rsidRPr="006C6471">
        <w:t xml:space="preserve">Artículo 163.- El Bando Municipal podrá modificarse en cualquier tiempo, siempre y cuando se cumplan los mismos requisitos de su aprobación y publicación. </w:t>
      </w:r>
    </w:p>
    <w:p w14:paraId="4F9C4D07" w14:textId="77777777" w:rsidR="006C6471" w:rsidRPr="006C6471" w:rsidRDefault="006C6471" w:rsidP="006C6471">
      <w:pPr>
        <w:pStyle w:val="Citas"/>
        <w:rPr>
          <w:b/>
          <w:u w:val="single"/>
        </w:rPr>
      </w:pPr>
      <w:r w:rsidRPr="006C6471">
        <w:rPr>
          <w:b/>
          <w:u w:val="single"/>
        </w:rPr>
        <w:t xml:space="preserve">Artículo 164.- Los ayuntamientos podrán expedir los reglamentos, circulares y disposiciones administrativas que regulen el régimen de las diversas esferas de competencia municipal. </w:t>
      </w:r>
    </w:p>
    <w:p w14:paraId="3A43E0CE" w14:textId="77777777" w:rsidR="006C6471" w:rsidRDefault="006C6471" w:rsidP="006C6471">
      <w:pPr>
        <w:pStyle w:val="Citas"/>
      </w:pPr>
      <w:r w:rsidRPr="006C6471">
        <w:t>Artículo 165.- Los Bandos, sus reformas y adiciones, así como los reglamentos municipales deberán promulgarse estableciendo su obligatoriedad y vigencia y darse a la publicidad en la Gaceta Municipal y en los estrados de los ayuntamientos, así como en los medios que se estime conveniente.</w:t>
      </w:r>
    </w:p>
    <w:p w14:paraId="591421D1" w14:textId="77777777" w:rsidR="003502CD" w:rsidRDefault="003502CD" w:rsidP="00F163CD">
      <w:pPr>
        <w:pStyle w:val="Sinespaciado"/>
        <w:spacing w:line="360" w:lineRule="auto"/>
        <w:jc w:val="both"/>
        <w:rPr>
          <w:rFonts w:ascii="Palatino Linotype" w:eastAsia="Palatino Linotype" w:hAnsi="Palatino Linotype" w:cs="Palatino Linotype"/>
          <w:color w:val="000000"/>
          <w:sz w:val="24"/>
          <w:lang w:val="es-ES_tradnl" w:eastAsia="es-MX"/>
        </w:rPr>
      </w:pPr>
    </w:p>
    <w:p w14:paraId="746226BD" w14:textId="77777777" w:rsidR="003502CD" w:rsidRDefault="003502CD" w:rsidP="00F163CD">
      <w:pPr>
        <w:pStyle w:val="Sinespaciado"/>
        <w:spacing w:line="360" w:lineRule="auto"/>
        <w:jc w:val="both"/>
        <w:rPr>
          <w:rFonts w:ascii="Palatino Linotype" w:eastAsia="Palatino Linotype" w:hAnsi="Palatino Linotype" w:cs="Palatino Linotype"/>
          <w:color w:val="000000"/>
          <w:sz w:val="24"/>
          <w:lang w:val="es-ES_tradnl" w:eastAsia="es-MX"/>
        </w:rPr>
      </w:pPr>
    </w:p>
    <w:p w14:paraId="74751C5D" w14:textId="77777777" w:rsidR="00F163CD" w:rsidRPr="006F1142" w:rsidRDefault="00F163CD" w:rsidP="00F163CD">
      <w:pPr>
        <w:pStyle w:val="Sinespaciado"/>
        <w:spacing w:line="360" w:lineRule="auto"/>
        <w:jc w:val="both"/>
        <w:rPr>
          <w:rFonts w:ascii="Palatino Linotype" w:eastAsia="Palatino Linotype" w:hAnsi="Palatino Linotype" w:cs="Palatino Linotype"/>
          <w:color w:val="000000"/>
          <w:sz w:val="24"/>
          <w:lang w:val="es-ES_tradnl" w:eastAsia="es-MX"/>
        </w:rPr>
      </w:pPr>
      <w:r>
        <w:rPr>
          <w:rFonts w:ascii="Palatino Linotype" w:eastAsia="Palatino Linotype" w:hAnsi="Palatino Linotype" w:cs="Palatino Linotype"/>
          <w:color w:val="000000"/>
          <w:sz w:val="24"/>
          <w:lang w:val="es-ES_tradnl" w:eastAsia="es-MX"/>
        </w:rPr>
        <w:lastRenderedPageBreak/>
        <w:t>Q</w:t>
      </w:r>
      <w:r w:rsidRPr="006F1142">
        <w:rPr>
          <w:rFonts w:ascii="Palatino Linotype" w:eastAsia="Palatino Linotype" w:hAnsi="Palatino Linotype" w:cs="Palatino Linotype"/>
          <w:color w:val="000000"/>
          <w:sz w:val="24"/>
          <w:lang w:val="es-ES_tradnl" w:eastAsia="es-MX"/>
        </w:rPr>
        <w:t xml:space="preserve">uedando establecido lo anterior, este Órgano Garante considera viable realizar el estudio en aras de establecer si la respuesta </w:t>
      </w:r>
      <w:r>
        <w:rPr>
          <w:rFonts w:ascii="Palatino Linotype" w:eastAsia="Palatino Linotype" w:hAnsi="Palatino Linotype" w:cs="Palatino Linotype"/>
          <w:color w:val="000000"/>
          <w:sz w:val="24"/>
          <w:lang w:val="es-ES_tradnl" w:eastAsia="es-MX"/>
        </w:rPr>
        <w:t>del Sujeto Obligado colma</w:t>
      </w:r>
      <w:r w:rsidRPr="006F1142">
        <w:rPr>
          <w:rFonts w:ascii="Palatino Linotype" w:eastAsia="Palatino Linotype" w:hAnsi="Palatino Linotype" w:cs="Palatino Linotype"/>
          <w:color w:val="000000"/>
          <w:sz w:val="24"/>
          <w:lang w:val="es-ES_tradnl" w:eastAsia="es-MX"/>
        </w:rPr>
        <w:t xml:space="preserve"> la pretensión del Recurrente, así como calificar los motivos de inconformidad del particular. </w:t>
      </w:r>
    </w:p>
    <w:p w14:paraId="4BCE17CB" w14:textId="77777777" w:rsidR="00F163CD" w:rsidRPr="00177253" w:rsidRDefault="00F163CD" w:rsidP="00F163CD">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97"/>
        <w:gridCol w:w="4333"/>
        <w:gridCol w:w="1824"/>
      </w:tblGrid>
      <w:tr w:rsidR="00F163CD" w14:paraId="371926CA" w14:textId="77777777" w:rsidTr="00F6473D">
        <w:trPr>
          <w:trHeight w:val="396"/>
        </w:trPr>
        <w:tc>
          <w:tcPr>
            <w:tcW w:w="2997" w:type="dxa"/>
            <w:shd w:val="clear" w:color="auto" w:fill="E7E6E6" w:themeFill="background2"/>
          </w:tcPr>
          <w:p w14:paraId="3C7391E6" w14:textId="77777777" w:rsidR="00F163CD" w:rsidRPr="00E80E99" w:rsidRDefault="00F163CD" w:rsidP="00F6473D">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4333" w:type="dxa"/>
            <w:shd w:val="clear" w:color="auto" w:fill="E7E6E6" w:themeFill="background2"/>
          </w:tcPr>
          <w:p w14:paraId="38B10583" w14:textId="77777777" w:rsidR="00F163CD" w:rsidRPr="00E80E99" w:rsidRDefault="00F163CD" w:rsidP="00F6473D">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1824" w:type="dxa"/>
            <w:shd w:val="clear" w:color="auto" w:fill="E7E6E6" w:themeFill="background2"/>
          </w:tcPr>
          <w:p w14:paraId="7A2D4E13" w14:textId="77777777" w:rsidR="00F163CD" w:rsidRPr="00E80E99" w:rsidRDefault="00F163CD" w:rsidP="00F6473D">
            <w:pPr>
              <w:spacing w:line="360" w:lineRule="auto"/>
              <w:jc w:val="center"/>
              <w:rPr>
                <w:rFonts w:ascii="Palatino Linotype" w:hAnsi="Palatino Linotype"/>
                <w:b/>
                <w:i/>
                <w:color w:val="000000"/>
              </w:rPr>
            </w:pPr>
            <w:r>
              <w:rPr>
                <w:rFonts w:ascii="Palatino Linotype" w:hAnsi="Palatino Linotype"/>
                <w:b/>
                <w:i/>
                <w:color w:val="000000"/>
              </w:rPr>
              <w:t>Colma</w:t>
            </w:r>
          </w:p>
        </w:tc>
      </w:tr>
      <w:tr w:rsidR="00F163CD" w14:paraId="59476262" w14:textId="77777777" w:rsidTr="00F6473D">
        <w:trPr>
          <w:trHeight w:val="1197"/>
        </w:trPr>
        <w:tc>
          <w:tcPr>
            <w:tcW w:w="2997" w:type="dxa"/>
          </w:tcPr>
          <w:p w14:paraId="5AF1DED6" w14:textId="77777777" w:rsidR="00F163CD" w:rsidRPr="007D6649" w:rsidRDefault="00773861" w:rsidP="00F6473D">
            <w:pPr>
              <w:tabs>
                <w:tab w:val="left" w:pos="1828"/>
              </w:tabs>
              <w:jc w:val="both"/>
              <w:rPr>
                <w:rFonts w:ascii="Palatino Linotype" w:hAnsi="Palatino Linotype" w:cs="Tahoma"/>
                <w:bCs/>
                <w:sz w:val="22"/>
              </w:rPr>
            </w:pPr>
            <w:r>
              <w:rPr>
                <w:rFonts w:ascii="Palatino Linotype" w:hAnsi="Palatino Linotype" w:cs="Tahoma"/>
                <w:bCs/>
                <w:sz w:val="22"/>
              </w:rPr>
              <w:t>Bando Municipal 2025 en español, otomí y braille.</w:t>
            </w:r>
          </w:p>
        </w:tc>
        <w:tc>
          <w:tcPr>
            <w:tcW w:w="4333" w:type="dxa"/>
          </w:tcPr>
          <w:p w14:paraId="0BFE8E37" w14:textId="77777777" w:rsidR="00F163CD" w:rsidRPr="00265709" w:rsidRDefault="00773861" w:rsidP="00F6473D">
            <w:pPr>
              <w:jc w:val="both"/>
              <w:rPr>
                <w:rFonts w:ascii="Palatino Linotype" w:hAnsi="Palatino Linotype"/>
                <w:color w:val="000000"/>
              </w:rPr>
            </w:pPr>
            <w:r>
              <w:rPr>
                <w:rFonts w:ascii="Palatino Linotype" w:hAnsi="Palatino Linotype"/>
                <w:color w:val="000000"/>
              </w:rPr>
              <w:t>Bando Municipal en español y otomí.</w:t>
            </w:r>
          </w:p>
        </w:tc>
        <w:tc>
          <w:tcPr>
            <w:tcW w:w="1824" w:type="dxa"/>
          </w:tcPr>
          <w:p w14:paraId="3FA2789F" w14:textId="77777777" w:rsidR="00F163CD" w:rsidRPr="00773861" w:rsidRDefault="00773861" w:rsidP="00F6473D">
            <w:pPr>
              <w:jc w:val="center"/>
              <w:rPr>
                <w:rFonts w:ascii="Palatino Linotype" w:hAnsi="Palatino Linotype"/>
                <w:b/>
                <w:i/>
              </w:rPr>
            </w:pPr>
            <w:r w:rsidRPr="00773861">
              <w:rPr>
                <w:rFonts w:ascii="Palatino Linotype" w:hAnsi="Palatino Linotype"/>
                <w:b/>
                <w:i/>
              </w:rPr>
              <w:t>Parcialmente</w:t>
            </w:r>
          </w:p>
          <w:p w14:paraId="56FA3EC8" w14:textId="77777777" w:rsidR="00773861" w:rsidRPr="004D4AB8" w:rsidRDefault="00773861" w:rsidP="00F6473D">
            <w:pPr>
              <w:jc w:val="center"/>
              <w:rPr>
                <w:rFonts w:ascii="Palatino Linotype" w:hAnsi="Palatino Linotype"/>
                <w:i/>
              </w:rPr>
            </w:pPr>
            <w:r>
              <w:rPr>
                <w:rFonts w:ascii="Palatino Linotype" w:hAnsi="Palatino Linotype"/>
                <w:i/>
              </w:rPr>
              <w:t>No se pronunció respecto al Bando en braille.</w:t>
            </w:r>
          </w:p>
        </w:tc>
      </w:tr>
      <w:tr w:rsidR="00773861" w14:paraId="5A7DB416" w14:textId="77777777" w:rsidTr="00F6473D">
        <w:trPr>
          <w:trHeight w:val="1197"/>
        </w:trPr>
        <w:tc>
          <w:tcPr>
            <w:tcW w:w="2997" w:type="dxa"/>
          </w:tcPr>
          <w:p w14:paraId="229640BD" w14:textId="77777777" w:rsidR="00773861" w:rsidRDefault="00773861" w:rsidP="00F6473D">
            <w:pPr>
              <w:tabs>
                <w:tab w:val="left" w:pos="1828"/>
              </w:tabs>
              <w:jc w:val="both"/>
              <w:rPr>
                <w:rFonts w:ascii="Palatino Linotype" w:hAnsi="Palatino Linotype" w:cs="Tahoma"/>
                <w:bCs/>
                <w:sz w:val="22"/>
              </w:rPr>
            </w:pPr>
            <w:r>
              <w:rPr>
                <w:rFonts w:ascii="Palatino Linotype" w:hAnsi="Palatino Linotype" w:cs="Tahoma"/>
                <w:bCs/>
                <w:sz w:val="22"/>
              </w:rPr>
              <w:t xml:space="preserve">Costó que se pagó a los traductores. </w:t>
            </w:r>
          </w:p>
        </w:tc>
        <w:tc>
          <w:tcPr>
            <w:tcW w:w="4333" w:type="dxa"/>
          </w:tcPr>
          <w:p w14:paraId="793E6527" w14:textId="77777777" w:rsidR="00773861" w:rsidRPr="00265709" w:rsidRDefault="00773861" w:rsidP="00773861">
            <w:pPr>
              <w:jc w:val="both"/>
              <w:rPr>
                <w:rFonts w:ascii="Palatino Linotype" w:hAnsi="Palatino Linotype"/>
                <w:color w:val="000000"/>
              </w:rPr>
            </w:pPr>
            <w:r>
              <w:rPr>
                <w:rFonts w:ascii="Palatino Linotype" w:hAnsi="Palatino Linotype"/>
                <w:color w:val="000000"/>
              </w:rPr>
              <w:t>L</w:t>
            </w:r>
            <w:r w:rsidRPr="00773861">
              <w:rPr>
                <w:rFonts w:ascii="Palatino Linotype" w:hAnsi="Palatino Linotype"/>
                <w:color w:val="000000"/>
              </w:rPr>
              <w:t xml:space="preserve">a </w:t>
            </w:r>
            <w:r w:rsidRPr="00773861">
              <w:rPr>
                <w:rFonts w:ascii="Palatino Linotype" w:hAnsi="Palatino Linotype"/>
                <w:b/>
                <w:color w:val="000000"/>
              </w:rPr>
              <w:t xml:space="preserve">Tesorería Municipal y Servidor Público Habilitado, </w:t>
            </w:r>
            <w:r>
              <w:rPr>
                <w:rFonts w:ascii="Palatino Linotype" w:hAnsi="Palatino Linotype"/>
                <w:color w:val="000000"/>
              </w:rPr>
              <w:t>manifestó</w:t>
            </w:r>
            <w:r w:rsidRPr="00773861">
              <w:rPr>
                <w:rFonts w:ascii="Palatino Linotype" w:hAnsi="Palatino Linotype"/>
                <w:color w:val="000000"/>
              </w:rPr>
              <w:t xml:space="preserve"> que la información </w:t>
            </w:r>
            <w:proofErr w:type="gramStart"/>
            <w:r w:rsidRPr="00773861">
              <w:rPr>
                <w:rFonts w:ascii="Palatino Linotype" w:hAnsi="Palatino Linotype"/>
                <w:color w:val="000000"/>
              </w:rPr>
              <w:t>relativa  a</w:t>
            </w:r>
            <w:proofErr w:type="gramEnd"/>
            <w:r w:rsidRPr="00773861">
              <w:rPr>
                <w:rFonts w:ascii="Palatino Linotype" w:hAnsi="Palatino Linotype"/>
                <w:color w:val="000000"/>
              </w:rPr>
              <w:t xml:space="preserve"> los pagos del ejercicio fiscal 2025, aún no ha sido procesada ya que forma parte del primer trimestre del año</w:t>
            </w:r>
            <w:r>
              <w:rPr>
                <w:rFonts w:ascii="Palatino Linotype" w:hAnsi="Palatino Linotype"/>
                <w:color w:val="000000"/>
              </w:rPr>
              <w:t>.</w:t>
            </w:r>
          </w:p>
        </w:tc>
        <w:tc>
          <w:tcPr>
            <w:tcW w:w="1824" w:type="dxa"/>
          </w:tcPr>
          <w:p w14:paraId="69BB88D8" w14:textId="77777777" w:rsidR="00773861" w:rsidRPr="00773861" w:rsidRDefault="00773861" w:rsidP="00F6473D">
            <w:pPr>
              <w:jc w:val="center"/>
              <w:rPr>
                <w:rFonts w:ascii="Palatino Linotype" w:hAnsi="Palatino Linotype"/>
                <w:b/>
                <w:i/>
              </w:rPr>
            </w:pPr>
            <w:r w:rsidRPr="00773861">
              <w:rPr>
                <w:rFonts w:ascii="Palatino Linotype" w:hAnsi="Palatino Linotype"/>
                <w:b/>
                <w:i/>
              </w:rPr>
              <w:t>No</w:t>
            </w:r>
          </w:p>
        </w:tc>
      </w:tr>
      <w:tr w:rsidR="00F163CD" w14:paraId="138A6FE8" w14:textId="77777777" w:rsidTr="00F6473D">
        <w:trPr>
          <w:trHeight w:val="1197"/>
        </w:trPr>
        <w:tc>
          <w:tcPr>
            <w:tcW w:w="2997" w:type="dxa"/>
          </w:tcPr>
          <w:p w14:paraId="2372A63B" w14:textId="77777777" w:rsidR="00F163CD" w:rsidRPr="007D6649" w:rsidRDefault="00773861" w:rsidP="00F6473D">
            <w:pPr>
              <w:tabs>
                <w:tab w:val="left" w:pos="1828"/>
              </w:tabs>
              <w:jc w:val="both"/>
              <w:rPr>
                <w:rFonts w:ascii="Palatino Linotype" w:hAnsi="Palatino Linotype" w:cs="Tahoma"/>
                <w:bCs/>
                <w:sz w:val="22"/>
              </w:rPr>
            </w:pPr>
            <w:r>
              <w:rPr>
                <w:rFonts w:ascii="Palatino Linotype" w:hAnsi="Palatino Linotype" w:cs="Tahoma"/>
                <w:bCs/>
                <w:sz w:val="22"/>
              </w:rPr>
              <w:t>Manual de Procedimientos y de Organización</w:t>
            </w:r>
          </w:p>
        </w:tc>
        <w:tc>
          <w:tcPr>
            <w:tcW w:w="4333" w:type="dxa"/>
          </w:tcPr>
          <w:p w14:paraId="005FF10A" w14:textId="77777777" w:rsidR="00F163CD" w:rsidRPr="00265709" w:rsidRDefault="00773861" w:rsidP="00773861">
            <w:pPr>
              <w:rPr>
                <w:rFonts w:ascii="Palatino Linotype" w:hAnsi="Palatino Linotype"/>
                <w:color w:val="000000"/>
              </w:rPr>
            </w:pPr>
            <w:r>
              <w:rPr>
                <w:rFonts w:ascii="Palatino Linotype" w:hAnsi="Palatino Linotype"/>
                <w:color w:val="000000"/>
              </w:rPr>
              <w:t>La UIPPE informó que los manuales están en proceso de integración.</w:t>
            </w:r>
          </w:p>
        </w:tc>
        <w:tc>
          <w:tcPr>
            <w:tcW w:w="1824" w:type="dxa"/>
          </w:tcPr>
          <w:p w14:paraId="7BAECAAC" w14:textId="77777777" w:rsidR="00F163CD" w:rsidRDefault="00773861" w:rsidP="00F6473D">
            <w:pPr>
              <w:jc w:val="center"/>
              <w:rPr>
                <w:rFonts w:ascii="Palatino Linotype" w:hAnsi="Palatino Linotype"/>
                <w:b/>
                <w:i/>
              </w:rPr>
            </w:pPr>
            <w:r>
              <w:rPr>
                <w:rFonts w:ascii="Palatino Linotype" w:hAnsi="Palatino Linotype"/>
                <w:b/>
                <w:i/>
              </w:rPr>
              <w:t>Sí</w:t>
            </w:r>
          </w:p>
          <w:p w14:paraId="7BA2119B" w14:textId="77777777" w:rsidR="00773861" w:rsidRPr="00773861" w:rsidRDefault="00773861" w:rsidP="00F6473D">
            <w:pPr>
              <w:jc w:val="center"/>
              <w:rPr>
                <w:rFonts w:ascii="Palatino Linotype" w:hAnsi="Palatino Linotype"/>
                <w:i/>
              </w:rPr>
            </w:pPr>
          </w:p>
        </w:tc>
      </w:tr>
    </w:tbl>
    <w:p w14:paraId="40F3CFDA" w14:textId="77777777" w:rsidR="00F163CD" w:rsidRDefault="00F163CD" w:rsidP="00F163CD">
      <w:pPr>
        <w:spacing w:line="360" w:lineRule="auto"/>
        <w:jc w:val="both"/>
        <w:rPr>
          <w:rFonts w:ascii="Palatino Linotype" w:hAnsi="Palatino Linotype"/>
          <w:color w:val="000000"/>
        </w:rPr>
      </w:pPr>
    </w:p>
    <w:p w14:paraId="6479BD5A" w14:textId="77777777" w:rsidR="00773861" w:rsidRDefault="00773861" w:rsidP="00F163CD">
      <w:p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En primer término, el Sujeto Obligado mediante su red social de Facebook “Ayuntamiento de Toluca”, realizó una publicación en la </w:t>
      </w:r>
      <w:r w:rsidR="00181C36">
        <w:rPr>
          <w:rFonts w:ascii="Palatino Linotype" w:hAnsi="Palatino Linotype" w:cs="Arial"/>
        </w:rPr>
        <w:t>que manifestaron haber publicado el Bando Municipal en español, otomí y braille, tal como se ilustra:</w:t>
      </w:r>
    </w:p>
    <w:p w14:paraId="2D6219C3" w14:textId="77777777" w:rsidR="00181C36" w:rsidRDefault="00181C36" w:rsidP="00181C36">
      <w:pPr>
        <w:autoSpaceDE w:val="0"/>
        <w:autoSpaceDN w:val="0"/>
        <w:adjustRightInd w:val="0"/>
        <w:spacing w:before="240" w:after="160" w:line="360" w:lineRule="auto"/>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14:anchorId="6EB29FCA" wp14:editId="7485F33F">
            <wp:extent cx="2753109" cy="3428635"/>
            <wp:effectExtent l="0" t="0" r="9525"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5-05-29 at 1.59.55 P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0199" cy="3449919"/>
                    </a:xfrm>
                    <a:prstGeom prst="rect">
                      <a:avLst/>
                    </a:prstGeom>
                  </pic:spPr>
                </pic:pic>
              </a:graphicData>
            </a:graphic>
          </wp:inline>
        </w:drawing>
      </w:r>
      <w:r>
        <w:rPr>
          <w:rFonts w:ascii="Palatino Linotype" w:hAnsi="Palatino Linotype" w:cs="Arial"/>
          <w:noProof/>
          <w:lang w:val="es-MX" w:eastAsia="es-MX"/>
        </w:rPr>
        <w:drawing>
          <wp:inline distT="0" distB="0" distL="0" distR="0" wp14:anchorId="4FE95DC1" wp14:editId="179970B8">
            <wp:extent cx="2524125" cy="3428504"/>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05-29 at 1.59.56 PM.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7653" cy="3460462"/>
                    </a:xfrm>
                    <a:prstGeom prst="rect">
                      <a:avLst/>
                    </a:prstGeom>
                  </pic:spPr>
                </pic:pic>
              </a:graphicData>
            </a:graphic>
          </wp:inline>
        </w:drawing>
      </w:r>
    </w:p>
    <w:p w14:paraId="27830F2E" w14:textId="77777777" w:rsidR="00F163CD" w:rsidRPr="00F4796C" w:rsidRDefault="00F163CD" w:rsidP="00F163CD">
      <w:p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El</w:t>
      </w:r>
      <w:r w:rsidRPr="00F4796C">
        <w:rPr>
          <w:rFonts w:ascii="Palatino Linotype" w:hAnsi="Palatino Linotype" w:cs="Arial"/>
        </w:rPr>
        <w:t xml:space="preserve"> derecho de acceso a la información pública estriba en la prerrogativa de carácter constitucional que reconoce la potestad de los ciudadanos para solicitar soportes documentales generados, poseídos o administrados por los </w:t>
      </w:r>
      <w:r w:rsidRPr="00F4796C">
        <w:rPr>
          <w:rFonts w:ascii="Palatino Linotype" w:hAnsi="Palatino Linotype" w:cs="Arial"/>
          <w:b/>
          <w:bCs/>
        </w:rPr>
        <w:t xml:space="preserve">Sujetos Obligados. </w:t>
      </w:r>
    </w:p>
    <w:p w14:paraId="69EA1A2C" w14:textId="77777777" w:rsidR="00181C36" w:rsidRPr="00566BA1" w:rsidRDefault="00181C36" w:rsidP="00181C36">
      <w:pPr>
        <w:spacing w:line="360" w:lineRule="auto"/>
        <w:jc w:val="both"/>
        <w:rPr>
          <w:rFonts w:ascii="Palatino Linotype" w:eastAsia="Palatino Linotype" w:hAnsi="Palatino Linotype" w:cs="Palatino Linotype"/>
        </w:rPr>
      </w:pPr>
      <w:r w:rsidRPr="00F12C09">
        <w:rPr>
          <w:rFonts w:ascii="Palatino Linotype" w:eastAsia="Palatino Linotype" w:hAnsi="Palatino Linotype" w:cs="Palatino Linotype"/>
        </w:rPr>
        <w:t xml:space="preserve">Con base a lo anterior, podemos concluir que </w:t>
      </w:r>
      <w:r>
        <w:rPr>
          <w:rFonts w:ascii="Palatino Linotype" w:eastAsia="Palatino Linotype" w:hAnsi="Palatino Linotype" w:cs="Palatino Linotype"/>
        </w:rPr>
        <w:t xml:space="preserve">el Sujeto Obligado generó la información, </w:t>
      </w:r>
      <w:r w:rsidRPr="00F12C09">
        <w:rPr>
          <w:rFonts w:ascii="Palatino Linotype" w:eastAsia="Palatino Linotype" w:hAnsi="Palatino Linotype" w:cs="Palatino Linotype"/>
        </w:rPr>
        <w:t xml:space="preserve">sirve de sustento a lo anterior </w:t>
      </w:r>
      <w:r w:rsidRPr="00F12C09">
        <w:rPr>
          <w:rFonts w:ascii="Palatino Linotype" w:eastAsia="Palatino Linotype" w:hAnsi="Palatino Linotype" w:cs="Palatino Linotype"/>
          <w:color w:val="000000"/>
        </w:rPr>
        <w:t>las siguientes tesis jurisprudenciales</w:t>
      </w:r>
      <w:r w:rsidRPr="00F12C09">
        <w:rPr>
          <w:rFonts w:ascii="Palatino Linotype" w:eastAsia="Palatino Linotype" w:hAnsi="Palatino Linotype" w:cs="Palatino Linotype"/>
        </w:rPr>
        <w:t>:</w:t>
      </w:r>
    </w:p>
    <w:p w14:paraId="54FAE83E" w14:textId="77777777" w:rsidR="00181C36" w:rsidRPr="00F12C09" w:rsidRDefault="00181C36" w:rsidP="00181C36">
      <w:pPr>
        <w:pStyle w:val="INFOEM"/>
        <w:jc w:val="center"/>
        <w:rPr>
          <w:b/>
        </w:rPr>
      </w:pPr>
      <w:r w:rsidRPr="00F12C09">
        <w:rPr>
          <w:b/>
        </w:rPr>
        <w:t>HECHOS NOTORIOS. CONCEPTOS GENERAL Y JURÍDICO</w:t>
      </w:r>
    </w:p>
    <w:p w14:paraId="38AC7FB2" w14:textId="77777777" w:rsidR="00181C36" w:rsidRPr="00F12C09" w:rsidRDefault="00181C36" w:rsidP="00181C36">
      <w:pPr>
        <w:pStyle w:val="INFOEM"/>
      </w:pPr>
      <w:r w:rsidRPr="00F12C09">
        <w:t xml:space="preserve">Conforme al artículo </w:t>
      </w:r>
      <w:hyperlink r:id="rId12">
        <w:r w:rsidRPr="00F12C09">
          <w:t>88 del Código Federal de Procedimientos Civiles</w:t>
        </w:r>
      </w:hyperlink>
      <w:r w:rsidRPr="00F12C09">
        <w:t xml:space="preserve">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w:t>
      </w:r>
      <w:r w:rsidRPr="00F12C09">
        <w:lastRenderedPageBreak/>
        <w:t>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4CAB9C17" w14:textId="77777777" w:rsidR="00181C36" w:rsidRPr="00F12C09" w:rsidRDefault="00181C36" w:rsidP="00181C36">
      <w:pPr>
        <w:pStyle w:val="INFOEM"/>
      </w:pPr>
      <w:r w:rsidRPr="00F12C09">
        <w:t>Controversia constitucional 24/2005. Cámara de Diputados del Congreso de la Unión. 9 de marzo de 2006. Once votos. Ponente: José Ramón Cossío Díaz. Secretarios: Raúl Manuel Mejía Garza y Laura Patricia Rojas Zamudio.</w:t>
      </w:r>
    </w:p>
    <w:p w14:paraId="6E9002AF" w14:textId="77777777" w:rsidR="00181C36" w:rsidRDefault="00181C36" w:rsidP="00181C36">
      <w:pPr>
        <w:pStyle w:val="INFOEM"/>
      </w:pPr>
      <w:r w:rsidRPr="00F12C09">
        <w:t>El Tribunal Pleno, el dieciséis de mayo en curso, aprobó, con el número 74/2006, la tesis jurisprudencial que antecede. México, Distrito Federal, a dieciséis de mayo de dos mil seis.</w:t>
      </w:r>
    </w:p>
    <w:p w14:paraId="25C3D5BB" w14:textId="77777777" w:rsidR="00181C36" w:rsidRPr="00F12C09" w:rsidRDefault="00181C36" w:rsidP="00181C36">
      <w:pPr>
        <w:pStyle w:val="INFOEM"/>
      </w:pPr>
      <w:r w:rsidRPr="00F12C09">
        <w:t>Nota: Esta tesis fue objeto de la denuncia relativa a la contradicción de tesis 91/2014, desechada por notoriamente improcedente, mediante acuerdo de 24 de marzo de 2014.”</w:t>
      </w:r>
    </w:p>
    <w:p w14:paraId="64EB3EF9" w14:textId="77777777" w:rsidR="00181C36" w:rsidRDefault="00181C36" w:rsidP="00181C36">
      <w:pPr>
        <w:pStyle w:val="INFOEM"/>
        <w:rPr>
          <w:sz w:val="24"/>
          <w:szCs w:val="24"/>
        </w:rPr>
      </w:pPr>
      <w:r w:rsidRPr="00923A83">
        <w:rPr>
          <w:b/>
          <w:sz w:val="24"/>
          <w:szCs w:val="24"/>
          <w:u w:val="single"/>
        </w:rPr>
        <w:t>PÁGINAS WEB O ELECTRÓNICAS. SU CONTENIDO ES UN HECHO NOTORIO Y SUSCEPTIBLE DE SER VALORADO EN UNA DECISIÓN JUDICIAL</w:t>
      </w:r>
      <w:r w:rsidRPr="00F12C09">
        <w:rPr>
          <w:b/>
          <w:sz w:val="24"/>
          <w:szCs w:val="24"/>
        </w:rPr>
        <w:t>.</w:t>
      </w:r>
      <w:r w:rsidRPr="00F12C09">
        <w:rPr>
          <w:rFonts w:ascii="Times New Roman" w:eastAsia="Times New Roman" w:hAnsi="Times New Roman" w:cs="Times New Roman"/>
          <w:b/>
          <w:sz w:val="24"/>
          <w:szCs w:val="24"/>
        </w:rPr>
        <w:t xml:space="preserve"> </w:t>
      </w:r>
      <w:r w:rsidRPr="00F12C09">
        <w:rPr>
          <w:sz w:val="24"/>
          <w:szCs w:val="24"/>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w:t>
      </w:r>
      <w:r w:rsidRPr="00F12C09">
        <w:rPr>
          <w:sz w:val="24"/>
          <w:szCs w:val="24"/>
        </w:rPr>
        <w:lastRenderedPageBreak/>
        <w:t xml:space="preserve">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w:t>
      </w:r>
    </w:p>
    <w:p w14:paraId="2FDBC0B5" w14:textId="77777777" w:rsidR="00181C36" w:rsidRDefault="00181C36" w:rsidP="00181C36">
      <w:pPr>
        <w:pStyle w:val="INFOEM"/>
        <w:rPr>
          <w:sz w:val="24"/>
          <w:szCs w:val="24"/>
        </w:rPr>
      </w:pPr>
      <w:r w:rsidRPr="00F12C09">
        <w:rPr>
          <w:sz w:val="24"/>
          <w:szCs w:val="24"/>
        </w:rPr>
        <w:t xml:space="preserve">TERCER TRIBUNAL COLEGIADO EN MATERIA CIVIL DEL PRIMER CIRCUITO. Amparo en revisión 365/2012. </w:t>
      </w:r>
      <w:proofErr w:type="spellStart"/>
      <w:r w:rsidRPr="00F12C09">
        <w:rPr>
          <w:sz w:val="24"/>
          <w:szCs w:val="24"/>
        </w:rPr>
        <w:t>Mardygras</w:t>
      </w:r>
      <w:proofErr w:type="spellEnd"/>
      <w:r w:rsidRPr="00F12C09">
        <w:rPr>
          <w:sz w:val="24"/>
          <w:szCs w:val="24"/>
        </w:rPr>
        <w:t xml:space="preserve">, S.A. de C.V. 7 de diciembre de 2012. Unanimidad de votos. Ponente: Neófito López Ramos. Secretaria: Ana Lilia Osorno Arroyo. </w:t>
      </w:r>
    </w:p>
    <w:p w14:paraId="1C7CA8F6" w14:textId="77777777" w:rsidR="007A27D4" w:rsidRPr="007A27D4" w:rsidRDefault="007A27D4" w:rsidP="007A27D4">
      <w:pPr>
        <w:spacing w:line="360" w:lineRule="auto"/>
        <w:jc w:val="both"/>
        <w:rPr>
          <w:rFonts w:ascii="Palatino Linotype" w:eastAsia="Palatino Linotype" w:hAnsi="Palatino Linotype" w:cs="Palatino Linotype"/>
          <w:szCs w:val="22"/>
          <w:lang w:val="es-ES_tradnl" w:eastAsia="es-MX"/>
        </w:rPr>
      </w:pPr>
      <w:r w:rsidRPr="007A27D4">
        <w:rPr>
          <w:rFonts w:ascii="Palatino Linotype" w:eastAsia="Calibri" w:hAnsi="Palatino Linotype" w:cs="Calibri"/>
          <w:szCs w:val="22"/>
          <w:lang w:val="es-ES_tradnl" w:eastAsia="es-MX"/>
        </w:rPr>
        <w:t>Para robustecer lo anterior, es dable referir lo dispuesto en el</w:t>
      </w:r>
      <w:r w:rsidRPr="007A27D4">
        <w:rPr>
          <w:rFonts w:ascii="Palatino Linotype" w:eastAsia="Palatino Linotype" w:hAnsi="Palatino Linotype" w:cs="Palatino Linotype"/>
          <w:szCs w:val="22"/>
          <w:lang w:val="es-ES_tradnl" w:eastAsia="es-MX"/>
        </w:rPr>
        <w:t xml:space="preserve"> Acuerdo ACT-PUB/05/11/2015.06 con el que se aprobaron los Lineamientos que los Sujetos Obligados deben seguir al momento de generar información, en un lenguaje sencillo, con accesibilidad y traducción a lenguas indígenas emitido por el Instituto Nacional de Transparencia, Acceso a la Información y Protección de Datos Personales, publicado en el Diario Oficial de la Federación el doce de febrero de dos mil dieciséis, que en sus artículos Décimo segundo, Décimo tercero y Décimo octavo establece lo siguiente:</w:t>
      </w:r>
    </w:p>
    <w:p w14:paraId="756AAA99" w14:textId="77777777" w:rsidR="007A27D4" w:rsidRPr="007A27D4" w:rsidRDefault="007A27D4" w:rsidP="007A27D4">
      <w:pPr>
        <w:spacing w:line="360" w:lineRule="auto"/>
        <w:jc w:val="both"/>
        <w:rPr>
          <w:rFonts w:ascii="Palatino Linotype" w:eastAsia="Palatino Linotype" w:hAnsi="Palatino Linotype" w:cs="Palatino Linotype"/>
          <w:szCs w:val="22"/>
          <w:lang w:val="es-ES_tradnl" w:eastAsia="es-MX"/>
        </w:rPr>
      </w:pPr>
    </w:p>
    <w:p w14:paraId="181FA97E" w14:textId="77777777" w:rsidR="007A27D4" w:rsidRPr="007A27D4" w:rsidRDefault="007A27D4" w:rsidP="007A27D4">
      <w:pPr>
        <w:ind w:left="567" w:right="567" w:firstLine="426"/>
        <w:jc w:val="both"/>
        <w:rPr>
          <w:rFonts w:ascii="Palatino Linotype" w:hAnsi="Palatino Linotype"/>
          <w:i/>
          <w:sz w:val="22"/>
          <w:lang w:val="es-MX"/>
        </w:rPr>
      </w:pPr>
      <w:r w:rsidRPr="007A27D4">
        <w:rPr>
          <w:rFonts w:ascii="Palatino Linotype" w:hAnsi="Palatino Linotype"/>
          <w:b/>
          <w:i/>
          <w:sz w:val="22"/>
          <w:lang w:val="es-MX"/>
        </w:rPr>
        <w:t>Décimo segundo.</w:t>
      </w:r>
      <w:r w:rsidRPr="007A27D4">
        <w:rPr>
          <w:rFonts w:ascii="Palatino Linotype" w:hAnsi="Palatino Linotype"/>
          <w:i/>
          <w:sz w:val="22"/>
          <w:lang w:val="es-MX"/>
        </w:rPr>
        <w:t xml:space="preserve"> Los sujetos obligados deberán tener disponibles, en la medida de lo posible, en forma impresa y medios electrónicos con los que cuenten, las leyes, reglamentos y todo el marco normativo aplicable, así como los contenidos relacionados con programas, obras y servicios, sociales y culturales incluyendo los formatos accesibles los cuales deberán estar en la lengua o lenguas de sus correspondientes poblaciones indígenas o por lo menos en la lengua que sea hablada preponderantemente.</w:t>
      </w:r>
    </w:p>
    <w:p w14:paraId="11B60EA2" w14:textId="77777777" w:rsidR="007A27D4" w:rsidRPr="007A27D4" w:rsidRDefault="007A27D4" w:rsidP="007A27D4">
      <w:pPr>
        <w:ind w:left="567" w:right="567" w:firstLine="426"/>
        <w:jc w:val="both"/>
        <w:rPr>
          <w:rFonts w:ascii="Palatino Linotype" w:hAnsi="Palatino Linotype"/>
          <w:i/>
          <w:sz w:val="22"/>
          <w:lang w:val="es-MX"/>
        </w:rPr>
      </w:pPr>
    </w:p>
    <w:p w14:paraId="105C17C0" w14:textId="77777777" w:rsidR="007A27D4" w:rsidRPr="007A27D4" w:rsidRDefault="007A27D4" w:rsidP="007A27D4">
      <w:pPr>
        <w:ind w:left="567" w:right="567" w:firstLine="426"/>
        <w:jc w:val="both"/>
        <w:rPr>
          <w:rFonts w:ascii="Palatino Linotype" w:hAnsi="Palatino Linotype"/>
          <w:i/>
          <w:sz w:val="22"/>
          <w:lang w:val="es-MX"/>
        </w:rPr>
      </w:pPr>
      <w:r w:rsidRPr="007A27D4">
        <w:rPr>
          <w:rFonts w:ascii="Palatino Linotype" w:hAnsi="Palatino Linotype"/>
          <w:b/>
          <w:i/>
          <w:sz w:val="22"/>
          <w:lang w:val="es-MX"/>
        </w:rPr>
        <w:t>Décimo tercero.</w:t>
      </w:r>
      <w:r w:rsidRPr="007A27D4">
        <w:rPr>
          <w:rFonts w:ascii="Palatino Linotype" w:hAnsi="Palatino Linotype"/>
          <w:i/>
          <w:sz w:val="22"/>
          <w:lang w:val="es-MX"/>
        </w:rPr>
        <w:t xml:space="preserve"> Cuando la información pública corresponda a las obligaciones de transparencia previstas en el Capítulo II, del Título Quinto de la Ley General y se encuentre vinculada de cualquier forma con alguna o diversas poblaciones indígenas comprendidas en uno o varios municipios del país, el sujeto obligado responsable de la misma, en un plazo que no exceda de tres meses para actualizar su información pública, deberá generar una versión de la información en la lengua o lenguas indígenas de las respectivas poblaciones.</w:t>
      </w:r>
    </w:p>
    <w:p w14:paraId="3807CB63" w14:textId="77777777" w:rsidR="007A27D4" w:rsidRPr="007A27D4" w:rsidRDefault="007A27D4" w:rsidP="007A27D4">
      <w:pPr>
        <w:ind w:left="567" w:right="567" w:firstLine="426"/>
        <w:jc w:val="both"/>
        <w:rPr>
          <w:rFonts w:ascii="Palatino Linotype" w:hAnsi="Palatino Linotype"/>
          <w:i/>
          <w:sz w:val="22"/>
          <w:lang w:val="es-MX"/>
        </w:rPr>
      </w:pPr>
    </w:p>
    <w:p w14:paraId="1E125601" w14:textId="77777777" w:rsidR="007A27D4" w:rsidRPr="007A27D4" w:rsidRDefault="007A27D4" w:rsidP="007A27D4">
      <w:pPr>
        <w:ind w:left="567" w:right="567" w:firstLine="426"/>
        <w:jc w:val="both"/>
        <w:rPr>
          <w:rFonts w:ascii="Palatino Linotype" w:hAnsi="Palatino Linotype"/>
          <w:i/>
          <w:sz w:val="22"/>
          <w:lang w:val="es-MX"/>
        </w:rPr>
      </w:pPr>
      <w:r w:rsidRPr="007A27D4">
        <w:rPr>
          <w:rFonts w:ascii="Palatino Linotype" w:hAnsi="Palatino Linotype"/>
          <w:i/>
          <w:sz w:val="22"/>
          <w:lang w:val="es-MX"/>
        </w:rPr>
        <w:t>En caso de que no pueda realizarse la traducción, el área que cuente con la información hará del conocimiento del Comité de Transparencia dicha circunstancia, de manera fundada y motivada, para que éste resuelva sobre la procedencia de la traducción de la información a lenguas indígenas conforme la progresiva incorporación de acuerdo con su disponibilidad presupuestaria.</w:t>
      </w:r>
    </w:p>
    <w:p w14:paraId="407A3151" w14:textId="77777777" w:rsidR="007A27D4" w:rsidRPr="007A27D4" w:rsidRDefault="007A27D4" w:rsidP="007A27D4">
      <w:pPr>
        <w:ind w:left="567" w:right="567" w:firstLine="426"/>
        <w:jc w:val="both"/>
        <w:rPr>
          <w:rFonts w:ascii="Palatino Linotype" w:hAnsi="Palatino Linotype"/>
          <w:i/>
          <w:sz w:val="22"/>
          <w:lang w:val="es-MX"/>
        </w:rPr>
      </w:pPr>
    </w:p>
    <w:p w14:paraId="2AC2B8CF" w14:textId="77777777" w:rsidR="007A27D4" w:rsidRPr="007A27D4" w:rsidRDefault="007A27D4" w:rsidP="007A27D4">
      <w:pPr>
        <w:ind w:left="567" w:right="567" w:firstLine="426"/>
        <w:jc w:val="both"/>
        <w:rPr>
          <w:rFonts w:ascii="Palatino Linotype" w:hAnsi="Palatino Linotype"/>
          <w:i/>
          <w:sz w:val="22"/>
          <w:lang w:val="es-MX"/>
        </w:rPr>
      </w:pPr>
      <w:r w:rsidRPr="007A27D4">
        <w:rPr>
          <w:rFonts w:ascii="Palatino Linotype" w:hAnsi="Palatino Linotype"/>
          <w:i/>
          <w:sz w:val="22"/>
          <w:lang w:val="es-MX"/>
        </w:rPr>
        <w:t>Por lo anterior, los sujetos obligados incorporarán gradual y progresivamente en su portal de Internet, los contenidos de información de mayor demanda, en la lengua o lenguas indígenas que sean empleadas en las solicitudes de acceso a la información que reciban, conforme a la previsión y disponibilidad presupuestaria.</w:t>
      </w:r>
    </w:p>
    <w:p w14:paraId="0B38A283" w14:textId="77777777" w:rsidR="007A27D4" w:rsidRPr="007A27D4" w:rsidRDefault="007A27D4" w:rsidP="007A27D4">
      <w:pPr>
        <w:ind w:left="567" w:right="567" w:firstLine="426"/>
        <w:jc w:val="both"/>
        <w:rPr>
          <w:rFonts w:ascii="Palatino Linotype" w:hAnsi="Palatino Linotype"/>
          <w:i/>
          <w:sz w:val="22"/>
          <w:lang w:val="es-MX"/>
        </w:rPr>
      </w:pPr>
    </w:p>
    <w:p w14:paraId="16BF2FBE" w14:textId="77777777" w:rsidR="007A27D4" w:rsidRPr="007A27D4" w:rsidRDefault="007A27D4" w:rsidP="007A27D4">
      <w:pPr>
        <w:ind w:left="567" w:right="567" w:firstLine="426"/>
        <w:jc w:val="both"/>
        <w:rPr>
          <w:rFonts w:ascii="Palatino Linotype" w:hAnsi="Palatino Linotype"/>
          <w:i/>
          <w:sz w:val="22"/>
          <w:lang w:val="es-MX"/>
        </w:rPr>
      </w:pPr>
      <w:r w:rsidRPr="007A27D4">
        <w:rPr>
          <w:rFonts w:ascii="Palatino Linotype" w:hAnsi="Palatino Linotype"/>
          <w:b/>
          <w:i/>
          <w:sz w:val="22"/>
          <w:lang w:val="es-MX"/>
        </w:rPr>
        <w:t>Décimo octavo.</w:t>
      </w:r>
      <w:r w:rsidRPr="007A27D4">
        <w:rPr>
          <w:rFonts w:ascii="Palatino Linotype" w:hAnsi="Palatino Linotype"/>
          <w:i/>
          <w:sz w:val="22"/>
          <w:lang w:val="es-MX"/>
        </w:rPr>
        <w:t xml:space="preserve"> Para la traducción de la información a una lengua indígena, el área requerida del sujeto obligado, conforme a su previsión podrá realizar internamente las gestiones necesarias para la contratación de peritos intérpretes o alguna de las personas incluidas en el Padrón Nacional de Intérpretes y Traductores en Lenguas Indígenas del Instituto Nacional de Lenguas Indígenas; para suscribir acuerdos o convenios con instituciones o personas especializadas, a fin de estar en condiciones adecuadas destinadas a la entrega de respuestas a solicitudes de acceso a la información en lengua indígena.</w:t>
      </w:r>
    </w:p>
    <w:p w14:paraId="3F974FAF" w14:textId="77777777" w:rsidR="007A27D4" w:rsidRPr="007A27D4" w:rsidRDefault="007A27D4" w:rsidP="007A27D4">
      <w:pPr>
        <w:spacing w:line="360" w:lineRule="auto"/>
        <w:jc w:val="both"/>
        <w:rPr>
          <w:rFonts w:ascii="Palatino Linotype" w:eastAsia="Calibri" w:hAnsi="Palatino Linotype" w:cs="Calibri"/>
          <w:szCs w:val="22"/>
          <w:lang w:val="es-ES_tradnl" w:eastAsia="es-MX"/>
        </w:rPr>
      </w:pPr>
    </w:p>
    <w:p w14:paraId="2AD8C73D" w14:textId="77777777" w:rsidR="007A27D4" w:rsidRDefault="007A27D4" w:rsidP="007A27D4">
      <w:pPr>
        <w:spacing w:line="360" w:lineRule="auto"/>
        <w:jc w:val="both"/>
        <w:rPr>
          <w:rFonts w:ascii="Palatino Linotype" w:eastAsia="Calibri" w:hAnsi="Palatino Linotype" w:cs="Calibri"/>
          <w:szCs w:val="22"/>
          <w:lang w:val="es-ES_tradnl" w:eastAsia="es-MX"/>
        </w:rPr>
      </w:pPr>
      <w:r w:rsidRPr="007A27D4">
        <w:rPr>
          <w:rFonts w:ascii="Palatino Linotype" w:eastAsia="Calibri" w:hAnsi="Palatino Linotype" w:cs="Calibri"/>
          <w:szCs w:val="22"/>
          <w:lang w:val="es-ES_tradnl" w:eastAsia="es-MX"/>
        </w:rPr>
        <w:t xml:space="preserve">Por tanto, dichos Lineamientos establecen que los sujetos obligados deben tener disponibles, en la medida de lo posible, el marco normativo y el contenido relacionados con programas, obras y servicios en la lengua o lenguas indígenas de sus </w:t>
      </w:r>
      <w:r w:rsidRPr="007A27D4">
        <w:rPr>
          <w:rFonts w:ascii="Palatino Linotype" w:eastAsia="Calibri" w:hAnsi="Palatino Linotype" w:cs="Calibri"/>
          <w:szCs w:val="22"/>
          <w:lang w:val="es-ES_tradnl" w:eastAsia="es-MX"/>
        </w:rPr>
        <w:lastRenderedPageBreak/>
        <w:t xml:space="preserve">correspondientes poblaciones, y para la traducción requerida podrán realizar las gestiones necesarias para la contratación de intérpretes o suscribir acuerdos o convenios con instituciones o personas especializadas para estar en condiciones de entregar las respuestas a las solicitudes de acceso a la información en lenguas indígenas, como lo es, en el presente caso, en lengua </w:t>
      </w:r>
      <w:r>
        <w:rPr>
          <w:rFonts w:ascii="Palatino Linotype" w:eastAsia="Calibri" w:hAnsi="Palatino Linotype" w:cs="Calibri"/>
          <w:szCs w:val="22"/>
          <w:lang w:val="es-ES_tradnl" w:eastAsia="es-MX"/>
        </w:rPr>
        <w:t xml:space="preserve">otomí y </w:t>
      </w:r>
      <w:r w:rsidR="006D10F7">
        <w:rPr>
          <w:rFonts w:ascii="Palatino Linotype" w:eastAsia="Calibri" w:hAnsi="Palatino Linotype" w:cs="Calibri"/>
          <w:szCs w:val="22"/>
          <w:lang w:val="es-ES_tradnl" w:eastAsia="es-MX"/>
        </w:rPr>
        <w:t>en el sistema de escritura táctil “Braille”.</w:t>
      </w:r>
    </w:p>
    <w:p w14:paraId="596040C1" w14:textId="77777777" w:rsidR="002731FB" w:rsidRDefault="002731FB" w:rsidP="007A27D4">
      <w:pPr>
        <w:spacing w:line="360" w:lineRule="auto"/>
        <w:jc w:val="both"/>
        <w:rPr>
          <w:rFonts w:ascii="Palatino Linotype" w:eastAsia="Calibri" w:hAnsi="Palatino Linotype" w:cs="Calibri"/>
          <w:szCs w:val="22"/>
          <w:lang w:val="es-ES_tradnl" w:eastAsia="es-MX"/>
        </w:rPr>
      </w:pPr>
    </w:p>
    <w:p w14:paraId="5CA124E5" w14:textId="77777777" w:rsidR="002731FB" w:rsidRPr="00C43CC7" w:rsidRDefault="002731FB" w:rsidP="007A27D4">
      <w:pPr>
        <w:spacing w:line="360" w:lineRule="auto"/>
        <w:jc w:val="both"/>
        <w:rPr>
          <w:rFonts w:ascii="Palatino Linotype" w:eastAsia="Calibri" w:hAnsi="Palatino Linotype" w:cs="Calibri"/>
          <w:szCs w:val="22"/>
          <w:lang w:val="es-ES_tradnl" w:eastAsia="es-MX"/>
        </w:rPr>
      </w:pPr>
      <w:r w:rsidRPr="00C43CC7">
        <w:rPr>
          <w:rFonts w:ascii="Palatino Linotype" w:eastAsia="Calibri" w:hAnsi="Palatino Linotype" w:cs="Calibri"/>
          <w:szCs w:val="22"/>
          <w:lang w:val="es-ES_tradnl" w:eastAsia="es-MX"/>
        </w:rPr>
        <w:t xml:space="preserve">Ahora bien, dada la naturaleza de la información este Instituto </w:t>
      </w:r>
      <w:r w:rsidR="005401BB" w:rsidRPr="00C43CC7">
        <w:rPr>
          <w:rFonts w:ascii="Palatino Linotype" w:eastAsia="Calibri" w:hAnsi="Palatino Linotype" w:cs="Calibri"/>
          <w:szCs w:val="22"/>
          <w:lang w:val="es-ES_tradnl" w:eastAsia="es-MX"/>
        </w:rPr>
        <w:t xml:space="preserve">considera que el Bando Municipal en Braille debe ser consultado en una modalidad </w:t>
      </w:r>
      <w:r w:rsidR="005401BB" w:rsidRPr="00C43CC7">
        <w:rPr>
          <w:rFonts w:ascii="Palatino Linotype" w:eastAsia="Calibri" w:hAnsi="Palatino Linotype" w:cs="Calibri"/>
          <w:i/>
          <w:szCs w:val="22"/>
          <w:lang w:val="es-ES_tradnl" w:eastAsia="es-MX"/>
        </w:rPr>
        <w:t xml:space="preserve">in situ </w:t>
      </w:r>
      <w:r w:rsidR="005401BB" w:rsidRPr="00C43CC7">
        <w:rPr>
          <w:rFonts w:ascii="Palatino Linotype" w:eastAsia="Calibri" w:hAnsi="Palatino Linotype" w:cs="Calibri"/>
          <w:szCs w:val="22"/>
          <w:lang w:val="es-ES_tradnl" w:eastAsia="es-MX"/>
        </w:rPr>
        <w:t>(</w:t>
      </w:r>
      <w:r w:rsidR="005401BB" w:rsidRPr="00C43CC7">
        <w:rPr>
          <w:rFonts w:ascii="Palatino Linotype" w:eastAsia="Calibri" w:hAnsi="Palatino Linotype" w:cs="Calibri"/>
          <w:b/>
          <w:szCs w:val="22"/>
          <w:lang w:val="es-ES_tradnl" w:eastAsia="es-MX"/>
        </w:rPr>
        <w:t>Consulta Directa</w:t>
      </w:r>
      <w:r w:rsidR="005401BB" w:rsidRPr="00C43CC7">
        <w:rPr>
          <w:rFonts w:ascii="Palatino Linotype" w:eastAsia="Calibri" w:hAnsi="Palatino Linotype" w:cs="Calibri"/>
          <w:szCs w:val="22"/>
          <w:lang w:val="es-ES_tradnl" w:eastAsia="es-MX"/>
        </w:rPr>
        <w:t xml:space="preserve">), por lo que, el Sujeto Obligado deberá proporcionar el lugar, horarios, nombre del servidor público que atenderá y el plazo (60 días), en que podrá acudir a consultar el Bando Municipal en sistema Braille. </w:t>
      </w:r>
    </w:p>
    <w:p w14:paraId="2D115DE7" w14:textId="77777777" w:rsidR="007A27D4" w:rsidRPr="00C43CC7" w:rsidRDefault="007A27D4" w:rsidP="00F163CD">
      <w:pPr>
        <w:spacing w:line="360" w:lineRule="auto"/>
        <w:jc w:val="both"/>
        <w:rPr>
          <w:rFonts w:ascii="Palatino Linotype" w:hAnsi="Palatino Linotype" w:cs="Arial"/>
        </w:rPr>
      </w:pPr>
    </w:p>
    <w:p w14:paraId="0E4C324D" w14:textId="77777777" w:rsidR="00F163CD" w:rsidRDefault="00181C36" w:rsidP="00F163CD">
      <w:pPr>
        <w:spacing w:line="360" w:lineRule="auto"/>
        <w:jc w:val="both"/>
        <w:rPr>
          <w:rFonts w:ascii="Palatino Linotype" w:hAnsi="Palatino Linotype" w:cs="Arial"/>
        </w:rPr>
      </w:pPr>
      <w:r w:rsidRPr="00C43CC7">
        <w:rPr>
          <w:rFonts w:ascii="Palatino Linotype" w:hAnsi="Palatino Linotype" w:cs="Arial"/>
        </w:rPr>
        <w:t xml:space="preserve">En segundo término, fueron requeridos los </w:t>
      </w:r>
      <w:r w:rsidR="002731FB" w:rsidRPr="00C43CC7">
        <w:rPr>
          <w:rFonts w:ascii="Palatino Linotype" w:hAnsi="Palatino Linotype" w:cs="Arial"/>
        </w:rPr>
        <w:t>nombres</w:t>
      </w:r>
      <w:r w:rsidR="002731FB">
        <w:rPr>
          <w:rFonts w:ascii="Palatino Linotype" w:hAnsi="Palatino Linotype" w:cs="Arial"/>
        </w:rPr>
        <w:t xml:space="preserve"> y </w:t>
      </w:r>
      <w:r>
        <w:rPr>
          <w:rFonts w:ascii="Palatino Linotype" w:hAnsi="Palatino Linotype" w:cs="Arial"/>
        </w:rPr>
        <w:t>montos pagados a los traductores, por lo que de manera enunciativa más no limitativa, los documentos que pueden dar cuenta son contratos</w:t>
      </w:r>
      <w:r w:rsidR="00F71303">
        <w:rPr>
          <w:rFonts w:ascii="Palatino Linotype" w:hAnsi="Palatino Linotype" w:cs="Arial"/>
        </w:rPr>
        <w:t xml:space="preserve"> por honorarios</w:t>
      </w:r>
      <w:r>
        <w:rPr>
          <w:rFonts w:ascii="Palatino Linotype" w:hAnsi="Palatino Linotype" w:cs="Arial"/>
        </w:rPr>
        <w:t>, facturas, cheques o transferencias.</w:t>
      </w:r>
    </w:p>
    <w:p w14:paraId="1C325D1C" w14:textId="77777777" w:rsidR="00F71303" w:rsidRDefault="00F71303" w:rsidP="007A27D4">
      <w:pPr>
        <w:spacing w:line="360" w:lineRule="auto"/>
        <w:ind w:right="49"/>
        <w:jc w:val="both"/>
        <w:rPr>
          <w:rFonts w:ascii="Palatino Linotype" w:eastAsia="Palatino Linotype" w:hAnsi="Palatino Linotype" w:cs="Palatino Linotype"/>
        </w:rPr>
      </w:pPr>
    </w:p>
    <w:p w14:paraId="532ACA4C" w14:textId="77777777" w:rsidR="00F71303" w:rsidRPr="00DD1502" w:rsidRDefault="00F71303" w:rsidP="00F71303">
      <w:pPr>
        <w:spacing w:line="360" w:lineRule="auto"/>
        <w:jc w:val="both"/>
        <w:rPr>
          <w:rFonts w:ascii="Palatino Linotype" w:eastAsia="Calibri" w:hAnsi="Palatino Linotype" w:cs="Arial"/>
          <w:bCs/>
          <w:lang w:val="es-ES_tradnl" w:eastAsia="es-MX"/>
        </w:rPr>
      </w:pPr>
      <w:r w:rsidRPr="00DD1502">
        <w:rPr>
          <w:rFonts w:ascii="Palatino Linotype" w:eastAsia="Calibri" w:hAnsi="Palatino Linotype" w:cs="Arial"/>
          <w:bCs/>
          <w:lang w:val="es-ES_tradnl" w:eastAsia="es-MX"/>
        </w:rPr>
        <w:t xml:space="preserve">Para ello, es conveniente precisar la diferencia entre régimen de sueldos y salarios, y bajo honorarios, de acuerdo con el Sistema de Administración Tributaria, se definen como a continuación se enuncia: </w:t>
      </w:r>
    </w:p>
    <w:p w14:paraId="2B9F9842" w14:textId="77777777" w:rsidR="00F71303" w:rsidRPr="00DD1502" w:rsidRDefault="00F71303" w:rsidP="00F71303">
      <w:pPr>
        <w:spacing w:line="360" w:lineRule="auto"/>
        <w:jc w:val="both"/>
        <w:rPr>
          <w:rFonts w:ascii="Palatino Linotype" w:eastAsia="Calibri" w:hAnsi="Palatino Linotype" w:cs="Arial"/>
          <w:bCs/>
          <w:lang w:val="es-ES_tradnl" w:eastAsia="es-MX"/>
        </w:rPr>
      </w:pPr>
    </w:p>
    <w:p w14:paraId="24A0DCDE" w14:textId="77777777" w:rsidR="00F71303" w:rsidRPr="00DD1502" w:rsidRDefault="00F71303" w:rsidP="00F71303">
      <w:pPr>
        <w:numPr>
          <w:ilvl w:val="0"/>
          <w:numId w:val="19"/>
        </w:numPr>
        <w:spacing w:line="360" w:lineRule="auto"/>
        <w:jc w:val="both"/>
        <w:rPr>
          <w:rFonts w:ascii="Palatino Linotype" w:hAnsi="Palatino Linotype" w:cs="Arial"/>
          <w:bCs/>
        </w:rPr>
      </w:pPr>
      <w:r w:rsidRPr="00DD1502">
        <w:rPr>
          <w:rFonts w:ascii="Palatino Linotype" w:hAnsi="Palatino Linotype" w:cs="Arial"/>
          <w:b/>
          <w:bCs/>
        </w:rPr>
        <w:t xml:space="preserve">Régimen de salarios: </w:t>
      </w:r>
      <w:r w:rsidRPr="00DD1502">
        <w:rPr>
          <w:rFonts w:ascii="Palatino Linotype" w:hAnsi="Palatino Linotype" w:cs="Arial"/>
          <w:bCs/>
        </w:rPr>
        <w:t xml:space="preserve">Los asalariados son personas contratadas por uno o varios empleadores, que les asigna una serie de actividades durante su jornada laboral, </w:t>
      </w:r>
      <w:r w:rsidRPr="00F71303">
        <w:rPr>
          <w:rFonts w:ascii="Palatino Linotype" w:hAnsi="Palatino Linotype" w:cs="Arial"/>
          <w:bCs/>
          <w:u w:val="single"/>
        </w:rPr>
        <w:t>les paga una cantidad en dinero periódicamente y les otorga ciertos beneficios</w:t>
      </w:r>
      <w:r w:rsidRPr="00DD1502">
        <w:rPr>
          <w:rFonts w:ascii="Palatino Linotype" w:hAnsi="Palatino Linotype" w:cs="Arial"/>
          <w:bCs/>
        </w:rPr>
        <w:t xml:space="preserve">, a esta paga se le conoce también como sueldo o salario. </w:t>
      </w:r>
    </w:p>
    <w:p w14:paraId="4A45EFAA" w14:textId="77777777" w:rsidR="00F71303" w:rsidRPr="00DD1502" w:rsidRDefault="00F71303" w:rsidP="00F71303">
      <w:pPr>
        <w:numPr>
          <w:ilvl w:val="0"/>
          <w:numId w:val="19"/>
        </w:numPr>
        <w:spacing w:line="360" w:lineRule="auto"/>
        <w:jc w:val="both"/>
        <w:rPr>
          <w:rFonts w:ascii="Palatino Linotype" w:hAnsi="Palatino Linotype" w:cs="Arial"/>
          <w:bCs/>
        </w:rPr>
      </w:pPr>
      <w:r w:rsidRPr="00DD1502">
        <w:rPr>
          <w:rFonts w:ascii="Palatino Linotype" w:hAnsi="Palatino Linotype" w:cs="Arial"/>
          <w:b/>
          <w:bCs/>
        </w:rPr>
        <w:lastRenderedPageBreak/>
        <w:t xml:space="preserve">Servicios profesionales (honorarios): </w:t>
      </w:r>
      <w:r w:rsidRPr="00DD1502">
        <w:rPr>
          <w:rFonts w:ascii="Palatino Linotype" w:hAnsi="Palatino Linotype" w:cs="Arial"/>
          <w:bCs/>
        </w:rPr>
        <w:t xml:space="preserve">Les corresponde tributar a este régimen a las personas físicas que </w:t>
      </w:r>
      <w:r w:rsidRPr="00DD1502">
        <w:rPr>
          <w:rFonts w:ascii="Palatino Linotype" w:hAnsi="Palatino Linotype" w:cs="Arial"/>
          <w:b/>
          <w:bCs/>
          <w:u w:val="single"/>
        </w:rPr>
        <w:t>obtengan ingresos por prestar servicios profesionales de manera independiente (no como asalariados) a</w:t>
      </w:r>
      <w:r w:rsidRPr="00DD1502">
        <w:rPr>
          <w:rFonts w:ascii="Palatino Linotype" w:hAnsi="Palatino Linotype" w:cs="Arial"/>
          <w:bCs/>
        </w:rPr>
        <w:t xml:space="preserve"> empresas, </w:t>
      </w:r>
      <w:r w:rsidRPr="00DD1502">
        <w:rPr>
          <w:rFonts w:ascii="Palatino Linotype" w:hAnsi="Palatino Linotype" w:cs="Arial"/>
          <w:b/>
          <w:bCs/>
          <w:u w:val="single"/>
        </w:rPr>
        <w:t>dependencias de gobierno</w:t>
      </w:r>
      <w:r w:rsidRPr="00DD1502">
        <w:rPr>
          <w:rFonts w:ascii="Palatino Linotype" w:hAnsi="Palatino Linotype" w:cs="Arial"/>
          <w:bCs/>
        </w:rPr>
        <w:t xml:space="preserve"> o a personas físicas en general. </w:t>
      </w:r>
    </w:p>
    <w:p w14:paraId="78081D61" w14:textId="77777777" w:rsidR="00F71303" w:rsidRDefault="00F71303" w:rsidP="007A27D4">
      <w:pPr>
        <w:spacing w:line="360" w:lineRule="auto"/>
        <w:ind w:right="49"/>
        <w:jc w:val="both"/>
        <w:rPr>
          <w:rFonts w:ascii="Palatino Linotype" w:eastAsia="Palatino Linotype" w:hAnsi="Palatino Linotype" w:cs="Palatino Linotype"/>
        </w:rPr>
      </w:pPr>
    </w:p>
    <w:p w14:paraId="6A5BFD29" w14:textId="77777777" w:rsidR="00F71303" w:rsidRDefault="00F71303" w:rsidP="007A27D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Robustece lo anterior, el Manual de Planeación, Programación y Presupuesto de Egresos Municipal para el Ejercicio Fiscal 2025, que establece rubros en el presupuesto de egresos respecto a servicios profesionales por traducción, tal como se indica:</w:t>
      </w:r>
    </w:p>
    <w:p w14:paraId="660BEF86" w14:textId="77777777" w:rsidR="00F71303" w:rsidRDefault="00F71303" w:rsidP="00F71303">
      <w:pPr>
        <w:pStyle w:val="Citas"/>
      </w:pPr>
      <w:r w:rsidRPr="00F71303">
        <w:rPr>
          <w:b/>
        </w:rPr>
        <w:t>Subcapítulo 3300</w:t>
      </w:r>
      <w:r w:rsidRPr="00F71303">
        <w:t xml:space="preserve"> </w:t>
      </w:r>
      <w:r w:rsidRPr="00F71303">
        <w:rPr>
          <w:b/>
          <w:u w:val="single"/>
        </w:rPr>
        <w:t>Servicios Profesionales</w:t>
      </w:r>
      <w:r w:rsidRPr="00F71303">
        <w:t xml:space="preserve">, Científicos, Técnicos y Otros Servicios. Asignaciones destinadas a cubrir erogaciones por contratación de personas físicas y morales para la prestación de servicios profesionales independientes tales como informáticos, de asesoría, consultoría, capacitación, estudios e investigaciones, protección y seguridad; incluye los servicios subrogados que se contraten; incluye los estudios de </w:t>
      </w:r>
      <w:proofErr w:type="spellStart"/>
      <w:r w:rsidRPr="00F71303">
        <w:t>preinversión</w:t>
      </w:r>
      <w:proofErr w:type="spellEnd"/>
      <w:r w:rsidRPr="00F71303">
        <w:t xml:space="preserve"> previstos en el Capítulo 6000 Inversión Pública, así como los honorarios asimilables a salarios considerados en capítulo1000 Servicios Personales.</w:t>
      </w:r>
    </w:p>
    <w:p w14:paraId="72F0DB84" w14:textId="77777777" w:rsidR="00F71303" w:rsidRDefault="00F71303" w:rsidP="00F71303">
      <w:pPr>
        <w:pStyle w:val="Citas"/>
      </w:pPr>
      <w:r w:rsidRPr="00F71303">
        <w:rPr>
          <w:b/>
          <w:u w:val="single"/>
        </w:rPr>
        <w:t>Servicios profesionales</w:t>
      </w:r>
      <w:r w:rsidRPr="00F71303">
        <w:rPr>
          <w:b/>
        </w:rPr>
        <w:t xml:space="preserve">, científicos y técnicos integrales. </w:t>
      </w:r>
      <w:r w:rsidRPr="00F71303">
        <w:rPr>
          <w:u w:val="single"/>
        </w:rPr>
        <w:t>Servicios profesionales</w:t>
      </w:r>
      <w:r w:rsidRPr="00F71303">
        <w:t xml:space="preserve"> de investigación de mercados, de fotografía</w:t>
      </w:r>
      <w:r w:rsidRPr="00F71303">
        <w:rPr>
          <w:b/>
          <w:u w:val="single"/>
        </w:rPr>
        <w:t>, todo tipo de traducciones escritas o verbales</w:t>
      </w:r>
      <w:r w:rsidRPr="00F71303">
        <w:t>, veterinarios, de valuación de metales, piedras preciosas, obras de arte y antigüedades, y otros servicios profesionales, científicos y técnicos no clasificados en otra parte.</w:t>
      </w:r>
    </w:p>
    <w:p w14:paraId="1D22501D" w14:textId="77777777" w:rsidR="00F71303" w:rsidRDefault="00F71303" w:rsidP="007A27D4">
      <w:pPr>
        <w:spacing w:line="360" w:lineRule="auto"/>
        <w:ind w:right="49"/>
        <w:jc w:val="both"/>
        <w:rPr>
          <w:rFonts w:ascii="Palatino Linotype" w:eastAsia="Palatino Linotype" w:hAnsi="Palatino Linotype" w:cs="Palatino Linotype"/>
        </w:rPr>
      </w:pPr>
    </w:p>
    <w:p w14:paraId="4868376F" w14:textId="77777777" w:rsidR="00A303CC" w:rsidRPr="008E6824" w:rsidRDefault="00A303CC" w:rsidP="007A27D4">
      <w:pPr>
        <w:spacing w:line="360" w:lineRule="auto"/>
        <w:ind w:right="49"/>
        <w:jc w:val="both"/>
        <w:rPr>
          <w:rFonts w:ascii="Palatino Linotype" w:eastAsia="Palatino Linotype" w:hAnsi="Palatino Linotype" w:cs="Palatino Linotype"/>
        </w:rPr>
      </w:pPr>
      <w:r w:rsidRPr="008E6824">
        <w:rPr>
          <w:rFonts w:ascii="Palatino Linotype" w:eastAsia="Palatino Linotype" w:hAnsi="Palatino Linotype" w:cs="Palatino Linotype"/>
        </w:rPr>
        <w:t xml:space="preserve">Ahora bien, sobre la naturaleza de la información, es de mencionar que el particular peticionó </w:t>
      </w:r>
      <w:r>
        <w:rPr>
          <w:rFonts w:ascii="Palatino Linotype" w:eastAsia="Palatino Linotype" w:hAnsi="Palatino Linotype" w:cs="Palatino Linotype"/>
        </w:rPr>
        <w:t>las facturas del multicitado evento</w:t>
      </w:r>
      <w:r w:rsidRPr="008E6824">
        <w:rPr>
          <w:rFonts w:ascii="Palatino Linotype" w:hAnsi="Palatino Linotype"/>
          <w:lang w:val="es-ES_tradnl"/>
        </w:rPr>
        <w:t xml:space="preserve">, </w:t>
      </w:r>
      <w:r w:rsidRPr="008E6824">
        <w:rPr>
          <w:rFonts w:ascii="Palatino Linotype" w:eastAsia="Palatino Linotype" w:hAnsi="Palatino Linotype" w:cs="Palatino Linotype"/>
        </w:rPr>
        <w:t xml:space="preserve">resulta importante señalar que este </w:t>
      </w:r>
      <w:r w:rsidRPr="008E6824">
        <w:rPr>
          <w:rFonts w:ascii="Palatino Linotype" w:eastAsia="Palatino Linotype" w:hAnsi="Palatino Linotype" w:cs="Palatino Linotype"/>
        </w:rPr>
        <w:lastRenderedPageBreak/>
        <w:t>término se encuentra definido en el Glosario de Términos Hacendarios que emite el Instituto Hacendario del Estado de México, el cual expresa lo siguiente:</w:t>
      </w:r>
    </w:p>
    <w:p w14:paraId="6123816D" w14:textId="77777777" w:rsidR="00A303CC" w:rsidRPr="008E6824" w:rsidRDefault="00A303CC" w:rsidP="00A303CC">
      <w:pPr>
        <w:ind w:left="851" w:right="851"/>
        <w:jc w:val="both"/>
        <w:rPr>
          <w:rFonts w:ascii="Palatino Linotype" w:eastAsia="Palatino Linotype" w:hAnsi="Palatino Linotype" w:cs="Palatino Linotype"/>
          <w:b/>
          <w:i/>
        </w:rPr>
      </w:pPr>
      <w:r w:rsidRPr="008E6824">
        <w:rPr>
          <w:rFonts w:ascii="Palatino Linotype" w:eastAsia="Palatino Linotype" w:hAnsi="Palatino Linotype" w:cs="Palatino Linotype"/>
          <w:i/>
        </w:rPr>
        <w:t>“</w:t>
      </w:r>
      <w:r w:rsidRPr="008E6824">
        <w:rPr>
          <w:rFonts w:ascii="Palatino Linotype" w:eastAsia="Palatino Linotype" w:hAnsi="Palatino Linotype" w:cs="Palatino Linotype"/>
          <w:b/>
          <w:i/>
        </w:rPr>
        <w:t>FACTURA</w:t>
      </w:r>
    </w:p>
    <w:p w14:paraId="2A292637" w14:textId="77777777" w:rsidR="00A303CC" w:rsidRPr="008E6824" w:rsidRDefault="00A303CC" w:rsidP="00A303CC">
      <w:pPr>
        <w:ind w:left="851" w:right="851"/>
        <w:jc w:val="both"/>
        <w:rPr>
          <w:rFonts w:ascii="Palatino Linotype" w:eastAsia="Palatino Linotype" w:hAnsi="Palatino Linotype" w:cs="Palatino Linotype"/>
          <w:i/>
        </w:rPr>
      </w:pPr>
      <w:r w:rsidRPr="008E6824">
        <w:rPr>
          <w:rFonts w:ascii="Palatino Linotype" w:eastAsia="Palatino Linotype" w:hAnsi="Palatino Linotype" w:cs="Palatino Linotype"/>
          <w:i/>
        </w:rPr>
        <w:t xml:space="preserve">Es el documento fiscal que emite la persona física o moral para </w:t>
      </w:r>
      <w:r w:rsidRPr="008E6824">
        <w:rPr>
          <w:rFonts w:ascii="Palatino Linotype" w:eastAsia="Palatino Linotype" w:hAnsi="Palatino Linotype" w:cs="Palatino Linotype"/>
          <w:b/>
          <w:i/>
          <w:u w:val="single"/>
        </w:rPr>
        <w:t>comprobar la venta o adquisición de un bien y/o servicio</w:t>
      </w:r>
      <w:r w:rsidRPr="008E6824">
        <w:rPr>
          <w:rFonts w:ascii="Palatino Linotype" w:eastAsia="Palatino Linotype" w:hAnsi="Palatino Linotype" w:cs="Palatino Linotype"/>
          <w:i/>
        </w:rPr>
        <w:t>.” (Sic) (Énfasis añadido)</w:t>
      </w:r>
    </w:p>
    <w:p w14:paraId="07ABC9E0" w14:textId="77777777" w:rsidR="00A303CC" w:rsidRDefault="00A303CC" w:rsidP="00A303CC">
      <w:pPr>
        <w:spacing w:line="360" w:lineRule="auto"/>
        <w:jc w:val="both"/>
        <w:rPr>
          <w:rFonts w:ascii="Palatino Linotype" w:eastAsia="Palatino Linotype" w:hAnsi="Palatino Linotype" w:cs="Palatino Linotype"/>
        </w:rPr>
      </w:pPr>
    </w:p>
    <w:p w14:paraId="646C4B33" w14:textId="77777777" w:rsidR="00A303CC" w:rsidRPr="008E6824" w:rsidRDefault="00A303CC" w:rsidP="00A303CC">
      <w:pPr>
        <w:spacing w:line="360" w:lineRule="auto"/>
        <w:jc w:val="both"/>
        <w:rPr>
          <w:rFonts w:ascii="Palatino Linotype" w:eastAsia="Palatino Linotype" w:hAnsi="Palatino Linotype" w:cs="Palatino Linotype"/>
        </w:rPr>
      </w:pPr>
      <w:r w:rsidRPr="008E6824">
        <w:rPr>
          <w:rFonts w:ascii="Palatino Linotype" w:eastAsia="Palatino Linotype" w:hAnsi="Palatino Linotype" w:cs="Palatino Linotype"/>
        </w:rPr>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8E6824">
        <w:rPr>
          <w:rFonts w:ascii="Palatino Linotype" w:eastAsia="Palatino Linotype" w:hAnsi="Palatino Linotype" w:cs="Palatino Linotype"/>
          <w:color w:val="000000"/>
        </w:rPr>
        <w:t xml:space="preserve">os recursos económicos del Estado, de los Municipios, así como de los Organismos Autónomos, se administrarán con eficiencia, eficacia y honradez, para cumplir con los objetivos y programas a los que estén destinados. </w:t>
      </w:r>
    </w:p>
    <w:p w14:paraId="298DBF8A" w14:textId="77777777" w:rsidR="00A303CC" w:rsidRDefault="00A303CC" w:rsidP="00A303CC">
      <w:pPr>
        <w:spacing w:line="360" w:lineRule="auto"/>
        <w:ind w:right="49"/>
        <w:contextualSpacing/>
        <w:jc w:val="both"/>
        <w:rPr>
          <w:rFonts w:ascii="Palatino Linotype" w:hAnsi="Palatino Linotype" w:cs="Arial"/>
        </w:rPr>
      </w:pPr>
    </w:p>
    <w:p w14:paraId="3DF9ED12" w14:textId="77777777" w:rsidR="00A303CC" w:rsidRDefault="00A303CC" w:rsidP="00A303CC">
      <w:pPr>
        <w:spacing w:line="360" w:lineRule="auto"/>
        <w:ind w:right="49"/>
        <w:contextualSpacing/>
        <w:jc w:val="both"/>
        <w:rPr>
          <w:rFonts w:ascii="Palatino Linotype" w:hAnsi="Palatino Linotype" w:cs="Arial"/>
        </w:rPr>
      </w:pPr>
      <w:r>
        <w:rPr>
          <w:rFonts w:ascii="Palatino Linotype" w:hAnsi="Palatino Linotype" w:cs="Arial"/>
        </w:rPr>
        <w:t>Ahora bien, el Código Fiscal de Federación en su artículo 29- A, establece los requisitos con los que debe contar un Comprobante Fiscal Digital</w:t>
      </w:r>
      <w:proofErr w:type="gramStart"/>
      <w:r>
        <w:rPr>
          <w:rFonts w:ascii="Palatino Linotype" w:hAnsi="Palatino Linotype" w:cs="Arial"/>
        </w:rPr>
        <w:t>,  el</w:t>
      </w:r>
      <w:proofErr w:type="gramEnd"/>
      <w:r>
        <w:rPr>
          <w:rFonts w:ascii="Palatino Linotype" w:hAnsi="Palatino Linotype" w:cs="Arial"/>
        </w:rPr>
        <w:t xml:space="preserve"> cual son los siguientes:</w:t>
      </w:r>
    </w:p>
    <w:p w14:paraId="3808A082" w14:textId="77777777" w:rsidR="00A303CC" w:rsidRDefault="00A303CC" w:rsidP="00A303CC">
      <w:pPr>
        <w:pStyle w:val="Citas"/>
        <w:numPr>
          <w:ilvl w:val="0"/>
          <w:numId w:val="13"/>
        </w:numPr>
        <w:spacing w:before="0" w:after="0" w:line="240" w:lineRule="auto"/>
        <w:ind w:right="474" w:hanging="153"/>
        <w:rPr>
          <w:lang w:eastAsia="es-ES"/>
        </w:rPr>
      </w:pPr>
      <w:r w:rsidRPr="00327237">
        <w:rPr>
          <w:lang w:eastAsia="es-ES"/>
        </w:rPr>
        <w:t xml:space="preserve">Clave del Registro Federal de Contribuyentes de quien los expida. </w:t>
      </w:r>
    </w:p>
    <w:p w14:paraId="3E027451" w14:textId="77777777" w:rsidR="00A303CC" w:rsidRDefault="00A303CC" w:rsidP="00A303CC">
      <w:pPr>
        <w:pStyle w:val="Citas"/>
        <w:numPr>
          <w:ilvl w:val="0"/>
          <w:numId w:val="13"/>
        </w:numPr>
        <w:spacing w:before="0" w:after="0" w:line="240" w:lineRule="auto"/>
        <w:ind w:right="474" w:hanging="153"/>
        <w:rPr>
          <w:lang w:eastAsia="es-ES"/>
        </w:rPr>
      </w:pPr>
      <w:r w:rsidRPr="00327237">
        <w:rPr>
          <w:lang w:eastAsia="es-ES"/>
        </w:rPr>
        <w:t>Régimen Fiscal en que tributen conforme a la Ley del ISR.</w:t>
      </w:r>
    </w:p>
    <w:p w14:paraId="7F352023" w14:textId="77777777" w:rsidR="00A303CC" w:rsidRDefault="00A303CC" w:rsidP="00A303CC">
      <w:pPr>
        <w:pStyle w:val="Citas"/>
        <w:numPr>
          <w:ilvl w:val="0"/>
          <w:numId w:val="13"/>
        </w:numPr>
        <w:spacing w:before="0" w:after="0" w:line="240" w:lineRule="auto"/>
        <w:ind w:right="474" w:hanging="153"/>
        <w:rPr>
          <w:lang w:eastAsia="es-ES"/>
        </w:rPr>
      </w:pPr>
      <w:r w:rsidRPr="00327237">
        <w:rPr>
          <w:lang w:eastAsia="es-ES"/>
        </w:rPr>
        <w:t xml:space="preserve">Sí se tiene más de un local o establecimiento, se deberá señalar el domicilio del local o establecimiento en el que se expidan las Facturas Electrónicas. </w:t>
      </w:r>
    </w:p>
    <w:p w14:paraId="341EE151" w14:textId="77777777" w:rsidR="00A303CC" w:rsidRDefault="00A303CC" w:rsidP="00A303CC">
      <w:pPr>
        <w:pStyle w:val="Citas"/>
        <w:numPr>
          <w:ilvl w:val="0"/>
          <w:numId w:val="13"/>
        </w:numPr>
        <w:spacing w:before="0" w:after="0" w:line="240" w:lineRule="auto"/>
        <w:ind w:right="474" w:hanging="153"/>
        <w:rPr>
          <w:lang w:eastAsia="es-ES"/>
        </w:rPr>
      </w:pPr>
      <w:r w:rsidRPr="00327237">
        <w:rPr>
          <w:lang w:eastAsia="es-ES"/>
        </w:rPr>
        <w:t xml:space="preserve">Contener el número de folio. </w:t>
      </w:r>
    </w:p>
    <w:p w14:paraId="1FB6AAFB" w14:textId="77777777" w:rsidR="00A303CC" w:rsidRDefault="00A303CC" w:rsidP="00A303CC">
      <w:pPr>
        <w:pStyle w:val="Citas"/>
        <w:numPr>
          <w:ilvl w:val="0"/>
          <w:numId w:val="13"/>
        </w:numPr>
        <w:spacing w:before="0" w:after="0" w:line="240" w:lineRule="auto"/>
        <w:ind w:right="474" w:hanging="153"/>
        <w:rPr>
          <w:lang w:eastAsia="es-ES"/>
        </w:rPr>
      </w:pPr>
      <w:r w:rsidRPr="00327237">
        <w:rPr>
          <w:lang w:eastAsia="es-ES"/>
        </w:rPr>
        <w:t xml:space="preserve">Sello digital del contribuyente que lo expide. </w:t>
      </w:r>
    </w:p>
    <w:p w14:paraId="3DCA2EC2" w14:textId="77777777" w:rsidR="00A303CC" w:rsidRDefault="00A303CC" w:rsidP="00A303CC">
      <w:pPr>
        <w:pStyle w:val="Citas"/>
        <w:numPr>
          <w:ilvl w:val="0"/>
          <w:numId w:val="13"/>
        </w:numPr>
        <w:spacing w:before="0" w:after="0" w:line="240" w:lineRule="auto"/>
        <w:ind w:right="474" w:hanging="153"/>
        <w:rPr>
          <w:lang w:eastAsia="es-ES"/>
        </w:rPr>
      </w:pPr>
      <w:r w:rsidRPr="00327237">
        <w:rPr>
          <w:lang w:eastAsia="es-ES"/>
        </w:rPr>
        <w:t xml:space="preserve">Lugar y fecha de expedición. </w:t>
      </w:r>
    </w:p>
    <w:p w14:paraId="10709E93" w14:textId="77777777" w:rsidR="00A303CC" w:rsidRDefault="00A303CC" w:rsidP="00A303CC">
      <w:pPr>
        <w:pStyle w:val="Citas"/>
        <w:numPr>
          <w:ilvl w:val="0"/>
          <w:numId w:val="13"/>
        </w:numPr>
        <w:spacing w:before="0" w:after="0" w:line="240" w:lineRule="auto"/>
        <w:ind w:right="474" w:hanging="153"/>
        <w:rPr>
          <w:lang w:eastAsia="es-ES"/>
        </w:rPr>
      </w:pPr>
      <w:r w:rsidRPr="00327237">
        <w:rPr>
          <w:lang w:eastAsia="es-ES"/>
        </w:rPr>
        <w:t xml:space="preserve"> Clave del Registro Federal de Contribuyentes de la persona a favor de quien se expida. </w:t>
      </w:r>
    </w:p>
    <w:p w14:paraId="4B801590" w14:textId="77777777" w:rsidR="00A303CC" w:rsidRDefault="00A303CC" w:rsidP="00A303CC">
      <w:pPr>
        <w:pStyle w:val="Citas"/>
        <w:numPr>
          <w:ilvl w:val="0"/>
          <w:numId w:val="13"/>
        </w:numPr>
        <w:spacing w:before="0" w:after="0" w:line="240" w:lineRule="auto"/>
        <w:ind w:right="474" w:hanging="153"/>
        <w:rPr>
          <w:lang w:eastAsia="es-ES"/>
        </w:rPr>
      </w:pPr>
      <w:r w:rsidRPr="00327237">
        <w:rPr>
          <w:lang w:eastAsia="es-ES"/>
        </w:rPr>
        <w:t xml:space="preserve">Cantidad, unidad de medida y clase de los bienes, mercancías o descripción del servicio o del uso o goce que amparen. </w:t>
      </w:r>
    </w:p>
    <w:p w14:paraId="0BC81CF1" w14:textId="77777777" w:rsidR="00A303CC" w:rsidRDefault="00A303CC" w:rsidP="00A303CC">
      <w:pPr>
        <w:pStyle w:val="Citas"/>
        <w:numPr>
          <w:ilvl w:val="0"/>
          <w:numId w:val="13"/>
        </w:numPr>
        <w:spacing w:before="0" w:after="0" w:line="240" w:lineRule="auto"/>
        <w:ind w:right="474" w:hanging="153"/>
        <w:rPr>
          <w:lang w:eastAsia="es-ES"/>
        </w:rPr>
      </w:pPr>
      <w:r w:rsidRPr="00327237">
        <w:rPr>
          <w:lang w:eastAsia="es-ES"/>
        </w:rPr>
        <w:t xml:space="preserve">Valor unitario consignado en número. </w:t>
      </w:r>
    </w:p>
    <w:p w14:paraId="170B050C" w14:textId="77777777" w:rsidR="00A303CC" w:rsidRDefault="00A303CC" w:rsidP="00A303CC">
      <w:pPr>
        <w:pStyle w:val="Citas"/>
        <w:numPr>
          <w:ilvl w:val="0"/>
          <w:numId w:val="13"/>
        </w:numPr>
        <w:spacing w:before="0" w:after="0" w:line="240" w:lineRule="auto"/>
        <w:ind w:right="474" w:hanging="153"/>
        <w:rPr>
          <w:lang w:eastAsia="es-ES"/>
        </w:rPr>
      </w:pPr>
      <w:r w:rsidRPr="00327237">
        <w:rPr>
          <w:lang w:eastAsia="es-ES"/>
        </w:rPr>
        <w:t xml:space="preserve">Importe total señalado en número o en letra. </w:t>
      </w:r>
    </w:p>
    <w:p w14:paraId="1CCD5961" w14:textId="77777777" w:rsidR="00A303CC" w:rsidRDefault="00A303CC" w:rsidP="00A303CC">
      <w:pPr>
        <w:pStyle w:val="Citas"/>
        <w:numPr>
          <w:ilvl w:val="0"/>
          <w:numId w:val="13"/>
        </w:numPr>
        <w:spacing w:before="0" w:after="0" w:line="240" w:lineRule="auto"/>
        <w:ind w:right="474" w:hanging="153"/>
        <w:rPr>
          <w:lang w:eastAsia="es-ES"/>
        </w:rPr>
      </w:pPr>
      <w:r w:rsidRPr="00327237">
        <w:rPr>
          <w:lang w:eastAsia="es-ES"/>
        </w:rPr>
        <w:t xml:space="preserve">Señalamiento expreso cuando la contraprestación se pague en una sola exhibición o en parcialidades. </w:t>
      </w:r>
    </w:p>
    <w:p w14:paraId="0CEAA4AD" w14:textId="77777777" w:rsidR="00A303CC" w:rsidRDefault="00A303CC" w:rsidP="00A303CC">
      <w:pPr>
        <w:pStyle w:val="Citas"/>
        <w:numPr>
          <w:ilvl w:val="0"/>
          <w:numId w:val="13"/>
        </w:numPr>
        <w:spacing w:before="0" w:after="0" w:line="240" w:lineRule="auto"/>
        <w:ind w:right="474" w:hanging="153"/>
        <w:rPr>
          <w:lang w:eastAsia="es-ES"/>
        </w:rPr>
      </w:pPr>
      <w:r w:rsidRPr="00327237">
        <w:rPr>
          <w:lang w:eastAsia="es-ES"/>
        </w:rPr>
        <w:t xml:space="preserve">Cuando proceda, se indicará el monto de los impuestos trasladados desglosados por tasa de impuesto y, en su caso, el monto de los impuestos retenidos. </w:t>
      </w:r>
    </w:p>
    <w:p w14:paraId="20BC2A6F" w14:textId="77777777" w:rsidR="00A303CC" w:rsidRDefault="00A303CC" w:rsidP="00A303CC">
      <w:pPr>
        <w:pStyle w:val="Citas"/>
        <w:numPr>
          <w:ilvl w:val="0"/>
          <w:numId w:val="13"/>
        </w:numPr>
        <w:spacing w:before="0" w:after="0" w:line="240" w:lineRule="auto"/>
        <w:ind w:right="474" w:hanging="153"/>
        <w:rPr>
          <w:lang w:eastAsia="es-ES"/>
        </w:rPr>
      </w:pPr>
      <w:r w:rsidRPr="00327237">
        <w:rPr>
          <w:lang w:eastAsia="es-ES"/>
        </w:rPr>
        <w:lastRenderedPageBreak/>
        <w:t xml:space="preserve">Forma en que se realizó el pago (efectivo, transferencia electrónica de fondos, cheque nominativo o tarjeta de débito, de crédito, de servicio o la denominada </w:t>
      </w:r>
      <w:proofErr w:type="gramStart"/>
      <w:r w:rsidRPr="00327237">
        <w:rPr>
          <w:lang w:eastAsia="es-ES"/>
        </w:rPr>
        <w:t>monedero electrónico</w:t>
      </w:r>
      <w:proofErr w:type="gramEnd"/>
      <w:r w:rsidRPr="00327237">
        <w:rPr>
          <w:lang w:eastAsia="es-ES"/>
        </w:rPr>
        <w:t xml:space="preserve">, indicando al menos los últimos cuatro dígitos del número de cuenta o de la tarjeta correspondiente). </w:t>
      </w:r>
    </w:p>
    <w:p w14:paraId="6DB4B6E5" w14:textId="77777777" w:rsidR="00A303CC" w:rsidRPr="00327237" w:rsidRDefault="00A303CC" w:rsidP="00A303CC">
      <w:pPr>
        <w:pStyle w:val="Citas"/>
        <w:numPr>
          <w:ilvl w:val="0"/>
          <w:numId w:val="13"/>
        </w:numPr>
        <w:spacing w:before="0" w:after="0" w:line="240" w:lineRule="auto"/>
        <w:ind w:right="474" w:hanging="153"/>
        <w:rPr>
          <w:lang w:eastAsia="es-ES"/>
        </w:rPr>
      </w:pPr>
      <w:r w:rsidRPr="00327237">
        <w:rPr>
          <w:lang w:eastAsia="es-ES"/>
        </w:rPr>
        <w:t>Número y fecha del documento aduanero, tratándose de ventas de primera mano de mercancías de importación.</w:t>
      </w:r>
    </w:p>
    <w:p w14:paraId="48D94F79" w14:textId="77777777" w:rsidR="00A303CC" w:rsidRDefault="00A303CC" w:rsidP="00A303CC">
      <w:pPr>
        <w:spacing w:line="360" w:lineRule="auto"/>
        <w:ind w:right="49"/>
        <w:contextualSpacing/>
        <w:jc w:val="both"/>
        <w:rPr>
          <w:rFonts w:ascii="Palatino Linotype" w:hAnsi="Palatino Linotype" w:cs="Arial"/>
        </w:rPr>
      </w:pPr>
    </w:p>
    <w:p w14:paraId="53CABE88" w14:textId="77777777" w:rsidR="00A303CC" w:rsidRDefault="00A303CC" w:rsidP="00A303CC">
      <w:pPr>
        <w:spacing w:line="360" w:lineRule="auto"/>
        <w:ind w:right="49"/>
        <w:contextualSpacing/>
        <w:jc w:val="both"/>
        <w:rPr>
          <w:rFonts w:ascii="Palatino Linotype" w:hAnsi="Palatino Linotype" w:cs="Arial"/>
        </w:rPr>
      </w:pPr>
      <w:r>
        <w:rPr>
          <w:rFonts w:ascii="Palatino Linotype" w:hAnsi="Palatino Linotype" w:cs="Arial"/>
        </w:rPr>
        <w:t>Por otro lado, en el portal de internet del Servicio de Administración Tributaria establece los requisitos de las facturas</w:t>
      </w:r>
      <w:r>
        <w:rPr>
          <w:rStyle w:val="Refdenotaalpie"/>
          <w:rFonts w:ascii="Palatino Linotype" w:hAnsi="Palatino Linotype" w:cs="Arial"/>
        </w:rPr>
        <w:footnoteReference w:id="2"/>
      </w:r>
      <w:r>
        <w:rPr>
          <w:rFonts w:ascii="Palatino Linotype" w:hAnsi="Palatino Linotype" w:cs="Arial"/>
        </w:rPr>
        <w:t>, tal como se desprende:</w:t>
      </w:r>
    </w:p>
    <w:p w14:paraId="23FC3EA0" w14:textId="77777777" w:rsidR="00A303CC" w:rsidRPr="008D208C" w:rsidRDefault="00A303CC" w:rsidP="00A303CC">
      <w:pPr>
        <w:pStyle w:val="INFOEM"/>
        <w:spacing w:before="0" w:after="0" w:line="240" w:lineRule="auto"/>
        <w:rPr>
          <w:sz w:val="24"/>
          <w:lang w:val="es-ES" w:eastAsia="es-ES"/>
        </w:rPr>
      </w:pPr>
      <w:r w:rsidRPr="008D208C">
        <w:rPr>
          <w:sz w:val="24"/>
          <w:lang w:val="es-ES" w:eastAsia="es-ES"/>
        </w:rPr>
        <w:t>Requisitos que deben reunir las facturas que recibas:</w:t>
      </w:r>
    </w:p>
    <w:p w14:paraId="1EFB4416"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t>Clave del Registro Federal de Contribuyentes de quien los expida.</w:t>
      </w:r>
    </w:p>
    <w:p w14:paraId="286FD02B"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t>Régimen Fiscal en que tributen conforme a la Ley del ISR.</w:t>
      </w:r>
    </w:p>
    <w:p w14:paraId="6491C2BB"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t>Sí se tiene más de un local o establecimiento, se deberá señalar el domicilio del local o establecimiento en el que se expidan las Facturas.</w:t>
      </w:r>
    </w:p>
    <w:p w14:paraId="46E87A37"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t>Contener el número de folio asignado por el SAT y el sello digital del SAT.</w:t>
      </w:r>
    </w:p>
    <w:p w14:paraId="5FA57A9A"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t>Sello digital del contribuyente que lo expide.</w:t>
      </w:r>
    </w:p>
    <w:p w14:paraId="6A5D51FD"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t>Lugar y fecha de expedición.</w:t>
      </w:r>
    </w:p>
    <w:p w14:paraId="191F5445"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t>Clave del Registro Federal de Contribuyentes de la persona a favor de quien se expida.</w:t>
      </w:r>
    </w:p>
    <w:p w14:paraId="61F08A1F"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t>Nombre denominación o razón social de la persona a favor de quien se expide el comprobante.</w:t>
      </w:r>
    </w:p>
    <w:p w14:paraId="63EFA3CC"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t>Régimen fiscal del receptor de comprobante.</w:t>
      </w:r>
    </w:p>
    <w:p w14:paraId="7B6BAF75"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t>Código postal del domicilio fiscal del receptor del comprobante.</w:t>
      </w:r>
    </w:p>
    <w:p w14:paraId="6D372059"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t>Uso del comprobante.</w:t>
      </w:r>
    </w:p>
    <w:p w14:paraId="76E0F87B"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t>Cantidad, unidad de medida y clase de los bienes, mercancías o descripción del servicio o del uso o goce que amparen*.</w:t>
      </w:r>
    </w:p>
    <w:p w14:paraId="2FA97428"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t>Valor unitario consignado en número.</w:t>
      </w:r>
    </w:p>
    <w:p w14:paraId="12D9E48C"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t>Importe total señalado en número o en letra.</w:t>
      </w:r>
    </w:p>
    <w:p w14:paraId="4C21834F"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t>Señalamiento expreso cuando la prestación se pague en una sola exhibición o en parcialidades.</w:t>
      </w:r>
    </w:p>
    <w:p w14:paraId="3CB74D3C"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t>Cuando proceda, se indicará el monto de los impuestos trasladados, desglosados por tasa de impuesto y, en su caso, el monto de los impuestos retenidos.</w:t>
      </w:r>
    </w:p>
    <w:p w14:paraId="5F1AC0F9"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lastRenderedPageBreak/>
        <w:t xml:space="preserve">Forma en que se realizó el pago (efectivo, transferencia electrónica de fondos, </w:t>
      </w:r>
      <w:proofErr w:type="gramStart"/>
      <w:r w:rsidRPr="008D208C">
        <w:rPr>
          <w:sz w:val="24"/>
          <w:lang w:val="es-ES" w:eastAsia="es-ES"/>
        </w:rPr>
        <w:t>cheque nominativos</w:t>
      </w:r>
      <w:proofErr w:type="gramEnd"/>
      <w:r w:rsidRPr="008D208C">
        <w:rPr>
          <w:sz w:val="24"/>
          <w:lang w:val="es-ES" w:eastAsia="es-ES"/>
        </w:rPr>
        <w:t xml:space="preserve"> o tarjeta de débito, de crédito, de servicio o la denominada monedero electrónico que autorice el Servicio de Administración Tributaria).</w:t>
      </w:r>
    </w:p>
    <w:p w14:paraId="206A09EB" w14:textId="77777777" w:rsidR="00A303CC" w:rsidRPr="008D208C" w:rsidRDefault="00A303CC" w:rsidP="00A303CC">
      <w:pPr>
        <w:pStyle w:val="INFOEM"/>
        <w:numPr>
          <w:ilvl w:val="1"/>
          <w:numId w:val="14"/>
        </w:numPr>
        <w:spacing w:before="0" w:after="0" w:line="240" w:lineRule="auto"/>
        <w:ind w:left="1276"/>
        <w:rPr>
          <w:sz w:val="24"/>
          <w:lang w:val="es-ES" w:eastAsia="es-ES"/>
        </w:rPr>
      </w:pPr>
      <w:r w:rsidRPr="008D208C">
        <w:rPr>
          <w:sz w:val="24"/>
          <w:lang w:val="es-ES" w:eastAsia="es-ES"/>
        </w:rPr>
        <w:t>Número y fecha del documento aduanero, tratándose de ventas de primera mano de mercancías de importación.</w:t>
      </w:r>
    </w:p>
    <w:p w14:paraId="1F0B40B5" w14:textId="77777777" w:rsidR="00A303CC" w:rsidRPr="008D208C" w:rsidRDefault="00A303CC" w:rsidP="00A303CC">
      <w:pPr>
        <w:pStyle w:val="INFOEM"/>
        <w:numPr>
          <w:ilvl w:val="0"/>
          <w:numId w:val="14"/>
        </w:numPr>
        <w:spacing w:before="0" w:after="0" w:line="240" w:lineRule="auto"/>
        <w:ind w:left="1276"/>
        <w:rPr>
          <w:sz w:val="24"/>
          <w:lang w:val="es-ES" w:eastAsia="es-ES"/>
        </w:rPr>
      </w:pPr>
      <w:r w:rsidRPr="008D208C">
        <w:rPr>
          <w:sz w:val="24"/>
          <w:lang w:val="es-ES" w:eastAsia="es-ES"/>
        </w:rPr>
        <w:t>*Nota: El SAT pone a tu disposición una herramienta en la que podrás identificar la clave del Producto o Servicio que deseas facturar, para lo cual, deberás dar clic aquí.</w:t>
      </w:r>
    </w:p>
    <w:p w14:paraId="0DBE2C69" w14:textId="77777777" w:rsidR="00A303CC" w:rsidRPr="008D208C" w:rsidRDefault="00A303CC" w:rsidP="00A303CC">
      <w:pPr>
        <w:pStyle w:val="INFOEM"/>
        <w:spacing w:before="0" w:after="0" w:line="240" w:lineRule="auto"/>
        <w:ind w:left="1276"/>
        <w:rPr>
          <w:sz w:val="24"/>
          <w:lang w:val="es-ES" w:eastAsia="es-ES"/>
        </w:rPr>
      </w:pPr>
    </w:p>
    <w:p w14:paraId="53BA64A7" w14:textId="77777777" w:rsidR="00A303CC" w:rsidRPr="008D208C" w:rsidRDefault="00A303CC" w:rsidP="00A303CC">
      <w:pPr>
        <w:pStyle w:val="INFOEM"/>
        <w:spacing w:before="0" w:after="0" w:line="240" w:lineRule="auto"/>
        <w:rPr>
          <w:b/>
          <w:sz w:val="24"/>
          <w:lang w:val="es-ES" w:eastAsia="es-ES"/>
        </w:rPr>
      </w:pPr>
      <w:r w:rsidRPr="008D208C">
        <w:rPr>
          <w:b/>
          <w:sz w:val="24"/>
          <w:lang w:val="es-ES" w:eastAsia="es-ES"/>
        </w:rPr>
        <w:t>Además, debe contener los siguientes datos:</w:t>
      </w:r>
    </w:p>
    <w:p w14:paraId="30B43076" w14:textId="77777777" w:rsidR="00A303CC" w:rsidRPr="008D208C" w:rsidRDefault="00A303CC" w:rsidP="00A303CC">
      <w:pPr>
        <w:pStyle w:val="INFOEM"/>
        <w:numPr>
          <w:ilvl w:val="1"/>
          <w:numId w:val="15"/>
        </w:numPr>
        <w:spacing w:before="0" w:after="0" w:line="240" w:lineRule="auto"/>
        <w:ind w:left="1418"/>
        <w:rPr>
          <w:sz w:val="24"/>
          <w:lang w:val="es-ES" w:eastAsia="es-ES"/>
        </w:rPr>
      </w:pPr>
      <w:r w:rsidRPr="008D208C">
        <w:rPr>
          <w:sz w:val="24"/>
          <w:lang w:val="es-ES" w:eastAsia="es-ES"/>
        </w:rPr>
        <w:t>Fecha y hora de certificación.</w:t>
      </w:r>
    </w:p>
    <w:p w14:paraId="0BB3F7E3" w14:textId="77777777" w:rsidR="00A303CC" w:rsidRPr="008D208C" w:rsidRDefault="00A303CC" w:rsidP="00A303CC">
      <w:pPr>
        <w:pStyle w:val="INFOEM"/>
        <w:numPr>
          <w:ilvl w:val="1"/>
          <w:numId w:val="15"/>
        </w:numPr>
        <w:spacing w:before="0" w:after="0" w:line="240" w:lineRule="auto"/>
        <w:ind w:left="1418"/>
        <w:rPr>
          <w:sz w:val="24"/>
          <w:lang w:val="es-ES" w:eastAsia="es-ES"/>
        </w:rPr>
      </w:pPr>
      <w:r w:rsidRPr="008D208C">
        <w:rPr>
          <w:sz w:val="24"/>
          <w:lang w:val="es-ES" w:eastAsia="es-ES"/>
        </w:rPr>
        <w:t>Número de serie del certificado digital del SAT con el que se realizó el sellado.</w:t>
      </w:r>
    </w:p>
    <w:p w14:paraId="12396ADA" w14:textId="77777777" w:rsidR="00A303CC" w:rsidRPr="008D208C" w:rsidRDefault="00A303CC" w:rsidP="00A303CC">
      <w:pPr>
        <w:pStyle w:val="INFOEM"/>
        <w:spacing w:before="0" w:after="0" w:line="240" w:lineRule="auto"/>
        <w:ind w:left="1276"/>
        <w:rPr>
          <w:sz w:val="24"/>
          <w:lang w:val="es-ES" w:eastAsia="es-ES"/>
        </w:rPr>
      </w:pPr>
    </w:p>
    <w:p w14:paraId="3FC4E731" w14:textId="77777777" w:rsidR="00A303CC" w:rsidRPr="008D208C" w:rsidRDefault="00A303CC" w:rsidP="00A303CC">
      <w:pPr>
        <w:pStyle w:val="INFOEM"/>
        <w:spacing w:before="0" w:after="0" w:line="240" w:lineRule="auto"/>
        <w:rPr>
          <w:b/>
          <w:sz w:val="24"/>
          <w:lang w:val="es-ES" w:eastAsia="es-ES"/>
        </w:rPr>
      </w:pPr>
      <w:r w:rsidRPr="008D208C">
        <w:rPr>
          <w:b/>
          <w:sz w:val="24"/>
          <w:lang w:val="es-ES" w:eastAsia="es-ES"/>
        </w:rPr>
        <w:t>La representación impresa además debe contener los requisitos contenidos en la Resolución Miscelánea Fiscal vigente:</w:t>
      </w:r>
    </w:p>
    <w:p w14:paraId="7FE60CE7" w14:textId="77777777" w:rsidR="00A303CC" w:rsidRPr="008D208C" w:rsidRDefault="00A303CC" w:rsidP="00A303CC">
      <w:pPr>
        <w:pStyle w:val="INFOEM"/>
        <w:numPr>
          <w:ilvl w:val="1"/>
          <w:numId w:val="16"/>
        </w:numPr>
        <w:spacing w:before="0" w:after="0" w:line="240" w:lineRule="auto"/>
        <w:ind w:left="1418"/>
        <w:rPr>
          <w:sz w:val="24"/>
          <w:lang w:val="es-ES" w:eastAsia="es-ES"/>
        </w:rPr>
      </w:pPr>
      <w:r w:rsidRPr="008D208C">
        <w:rPr>
          <w:sz w:val="24"/>
          <w:lang w:val="es-ES" w:eastAsia="es-ES"/>
        </w:rPr>
        <w:t>Código de barras generado conforme al rubro I.D del Anexo 20 o el número de folio fiscal del comprobante.</w:t>
      </w:r>
    </w:p>
    <w:p w14:paraId="3789EC69" w14:textId="77777777" w:rsidR="00A303CC" w:rsidRPr="008D208C" w:rsidRDefault="00A303CC" w:rsidP="00A303CC">
      <w:pPr>
        <w:pStyle w:val="INFOEM"/>
        <w:numPr>
          <w:ilvl w:val="1"/>
          <w:numId w:val="16"/>
        </w:numPr>
        <w:spacing w:before="0" w:after="0" w:line="240" w:lineRule="auto"/>
        <w:ind w:left="1418"/>
        <w:rPr>
          <w:sz w:val="24"/>
          <w:lang w:val="es-ES" w:eastAsia="es-ES"/>
        </w:rPr>
      </w:pPr>
      <w:r w:rsidRPr="008D208C">
        <w:rPr>
          <w:sz w:val="24"/>
          <w:lang w:val="es-ES" w:eastAsia="es-ES"/>
        </w:rPr>
        <w:t>Número de serie del CSD del emisor y del SAT.</w:t>
      </w:r>
    </w:p>
    <w:p w14:paraId="413F409A" w14:textId="77777777" w:rsidR="00A303CC" w:rsidRPr="008D208C" w:rsidRDefault="00A303CC" w:rsidP="00A303CC">
      <w:pPr>
        <w:pStyle w:val="INFOEM"/>
        <w:numPr>
          <w:ilvl w:val="1"/>
          <w:numId w:val="16"/>
        </w:numPr>
        <w:spacing w:before="0" w:after="0" w:line="240" w:lineRule="auto"/>
        <w:ind w:left="1418"/>
        <w:rPr>
          <w:b/>
          <w:sz w:val="24"/>
          <w:lang w:val="es-ES" w:eastAsia="es-ES"/>
        </w:rPr>
      </w:pPr>
      <w:r w:rsidRPr="008D208C">
        <w:rPr>
          <w:b/>
          <w:sz w:val="24"/>
          <w:lang w:val="es-ES" w:eastAsia="es-ES"/>
        </w:rPr>
        <w:t>La leyenda “Este documento es una representación impresa de un CFDI”.</w:t>
      </w:r>
    </w:p>
    <w:p w14:paraId="329E2039" w14:textId="77777777" w:rsidR="00A303CC" w:rsidRPr="008D208C" w:rsidRDefault="00A303CC" w:rsidP="00A303CC">
      <w:pPr>
        <w:pStyle w:val="INFOEM"/>
        <w:numPr>
          <w:ilvl w:val="1"/>
          <w:numId w:val="16"/>
        </w:numPr>
        <w:spacing w:before="0" w:after="0" w:line="240" w:lineRule="auto"/>
        <w:ind w:left="1418"/>
        <w:rPr>
          <w:sz w:val="24"/>
          <w:lang w:val="es-ES" w:eastAsia="es-ES"/>
        </w:rPr>
      </w:pPr>
      <w:r w:rsidRPr="008D208C">
        <w:rPr>
          <w:sz w:val="24"/>
          <w:lang w:val="es-ES" w:eastAsia="es-ES"/>
        </w:rPr>
        <w:t>Fecha y hora de emisión y de certificación de la Factura en adición a lo señalado en el artículo 29-A, fracción III del CFF.</w:t>
      </w:r>
    </w:p>
    <w:p w14:paraId="77470119" w14:textId="77777777" w:rsidR="00A303CC" w:rsidRPr="008D208C" w:rsidRDefault="00A303CC" w:rsidP="00A303CC">
      <w:pPr>
        <w:pStyle w:val="INFOEM"/>
        <w:numPr>
          <w:ilvl w:val="1"/>
          <w:numId w:val="16"/>
        </w:numPr>
        <w:spacing w:before="0" w:after="0" w:line="240" w:lineRule="auto"/>
        <w:ind w:left="1418"/>
        <w:rPr>
          <w:sz w:val="24"/>
          <w:lang w:val="es-ES" w:eastAsia="es-ES"/>
        </w:rPr>
      </w:pPr>
      <w:r w:rsidRPr="008D208C">
        <w:rPr>
          <w:sz w:val="24"/>
          <w:lang w:val="es-ES" w:eastAsia="es-ES"/>
        </w:rPr>
        <w:t>Cadena original del complemento de certificación digital del SAT.</w:t>
      </w:r>
    </w:p>
    <w:p w14:paraId="7A02067A" w14:textId="77777777" w:rsidR="00A303CC" w:rsidRDefault="00A303CC" w:rsidP="00A303CC">
      <w:pPr>
        <w:autoSpaceDE w:val="0"/>
        <w:autoSpaceDN w:val="0"/>
        <w:adjustRightInd w:val="0"/>
        <w:spacing w:before="240" w:line="360" w:lineRule="auto"/>
        <w:jc w:val="both"/>
        <w:rPr>
          <w:rFonts w:ascii="Palatino Linotype" w:hAnsi="Palatino Linotype" w:cs="Arial"/>
        </w:rPr>
      </w:pPr>
    </w:p>
    <w:p w14:paraId="3ABF73D3" w14:textId="77777777" w:rsidR="00A303CC" w:rsidRPr="009D44FC" w:rsidRDefault="00A303CC" w:rsidP="00A303CC">
      <w:pPr>
        <w:spacing w:line="360" w:lineRule="auto"/>
        <w:ind w:right="49"/>
        <w:contextualSpacing/>
        <w:jc w:val="both"/>
        <w:rPr>
          <w:rFonts w:ascii="Palatino Linotype" w:eastAsia="Calibri" w:hAnsi="Palatino Linotype" w:cs="Arial"/>
        </w:rPr>
      </w:pPr>
      <w:r w:rsidRPr="009D44FC">
        <w:rPr>
          <w:rFonts w:ascii="Palatino Linotype" w:eastAsia="Calibri"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5DCB4915" w14:textId="77777777" w:rsidR="00A303CC" w:rsidRPr="009D44FC" w:rsidRDefault="00A303CC" w:rsidP="00A303CC">
      <w:pPr>
        <w:spacing w:line="360" w:lineRule="auto"/>
        <w:ind w:right="49"/>
        <w:jc w:val="both"/>
        <w:rPr>
          <w:rFonts w:ascii="Palatino Linotype" w:eastAsia="Calibri" w:hAnsi="Palatino Linotype" w:cs="Arial"/>
        </w:rPr>
      </w:pPr>
    </w:p>
    <w:p w14:paraId="5ABF85E4" w14:textId="77777777" w:rsidR="00A303CC" w:rsidRPr="009D44FC" w:rsidRDefault="00A303CC" w:rsidP="00A303CC">
      <w:pPr>
        <w:ind w:left="567" w:right="567"/>
        <w:jc w:val="both"/>
        <w:rPr>
          <w:rFonts w:ascii="Palatino Linotype" w:eastAsia="Calibri" w:hAnsi="Palatino Linotype"/>
          <w:b/>
          <w:i/>
        </w:rPr>
      </w:pPr>
      <w:r w:rsidRPr="009D44FC">
        <w:rPr>
          <w:rFonts w:ascii="Palatino Linotype" w:eastAsia="Calibri" w:hAnsi="Palatino Linotype" w:cs="Arial"/>
          <w:bCs/>
          <w:i/>
          <w:color w:val="000000"/>
        </w:rPr>
        <w:t>“</w:t>
      </w:r>
      <w:r w:rsidRPr="009D44FC">
        <w:rPr>
          <w:rFonts w:ascii="Palatino Linotype" w:eastAsia="Calibri" w:hAnsi="Palatino Linotype"/>
          <w:b/>
          <w:i/>
        </w:rPr>
        <w:t>Artículo 342.-</w:t>
      </w:r>
      <w:r w:rsidRPr="009D44FC">
        <w:rPr>
          <w:rFonts w:ascii="Palatino Linotype" w:eastAsia="Calibri" w:hAnsi="Palatino Linotype"/>
          <w:i/>
        </w:rPr>
        <w:t xml:space="preserve"> </w:t>
      </w:r>
      <w:r w:rsidRPr="009D44FC">
        <w:rPr>
          <w:rFonts w:ascii="Palatino Linotype" w:eastAsia="Calibri" w:hAnsi="Palatino Linotype"/>
          <w:b/>
          <w:i/>
        </w:rPr>
        <w:t xml:space="preserve">El registro contable del efecto patrimonial y presupuestal de las operaciones financieras, se realizará conforme al sistema y a las </w:t>
      </w:r>
      <w:r w:rsidRPr="009D44FC">
        <w:rPr>
          <w:rFonts w:ascii="Palatino Linotype" w:eastAsia="Calibri" w:hAnsi="Palatino Linotype"/>
          <w:b/>
          <w:i/>
        </w:rPr>
        <w:lastRenderedPageBreak/>
        <w:t xml:space="preserve">disposiciones que se aprueben en materia </w:t>
      </w:r>
      <w:r w:rsidRPr="009D44FC">
        <w:rPr>
          <w:rFonts w:ascii="Palatino Linotype" w:eastAsia="Calibri" w:hAnsi="Palatino Linotype"/>
          <w:i/>
        </w:rPr>
        <w:t xml:space="preserve">de </w:t>
      </w:r>
      <w:r w:rsidRPr="009D44FC">
        <w:rPr>
          <w:rFonts w:ascii="Palatino Linotype" w:eastAsia="Calibri" w:hAnsi="Palatino Linotype" w:cs="Arial"/>
          <w:i/>
          <w:color w:val="000000"/>
        </w:rPr>
        <w:t>planeación</w:t>
      </w:r>
      <w:r w:rsidRPr="009D44FC">
        <w:rPr>
          <w:rFonts w:ascii="Palatino Linotype" w:eastAsia="Calibri" w:hAnsi="Palatino Linotype"/>
          <w:i/>
        </w:rPr>
        <w:t>,</w:t>
      </w:r>
      <w:r w:rsidRPr="009D44FC">
        <w:rPr>
          <w:rFonts w:ascii="Palatino Linotype" w:eastAsia="Calibri" w:hAnsi="Palatino Linotype"/>
          <w:b/>
          <w:i/>
        </w:rPr>
        <w:t xml:space="preserve"> programación, </w:t>
      </w:r>
      <w:proofErr w:type="spellStart"/>
      <w:r w:rsidRPr="009D44FC">
        <w:rPr>
          <w:rFonts w:ascii="Palatino Linotype" w:eastAsia="Calibri" w:hAnsi="Palatino Linotype"/>
          <w:b/>
          <w:i/>
        </w:rPr>
        <w:t>presupuestación</w:t>
      </w:r>
      <w:proofErr w:type="spellEnd"/>
      <w:r w:rsidRPr="009D44FC">
        <w:rPr>
          <w:rFonts w:ascii="Palatino Linotype" w:eastAsia="Calibri" w:hAnsi="Palatino Linotype"/>
          <w:i/>
        </w:rPr>
        <w:t xml:space="preserve">, evaluación y </w:t>
      </w:r>
      <w:r w:rsidRPr="009D44FC">
        <w:rPr>
          <w:rFonts w:ascii="Palatino Linotype" w:eastAsia="Calibri" w:hAnsi="Palatino Linotype" w:cs="Arial"/>
          <w:b/>
          <w:i/>
          <w:color w:val="000000"/>
        </w:rPr>
        <w:t>contabilidad</w:t>
      </w:r>
      <w:r w:rsidRPr="009D44FC">
        <w:rPr>
          <w:rFonts w:ascii="Palatino Linotype" w:eastAsia="Calibri" w:hAnsi="Palatino Linotype"/>
          <w:b/>
          <w:i/>
        </w:rPr>
        <w:t xml:space="preserve"> gubernamental.</w:t>
      </w:r>
      <w:r w:rsidRPr="009D44FC">
        <w:rPr>
          <w:rFonts w:ascii="Palatino Linotype" w:eastAsia="Calibri" w:hAnsi="Palatino Linotype"/>
          <w:i/>
        </w:rPr>
        <w:t xml:space="preserve"> </w:t>
      </w:r>
    </w:p>
    <w:p w14:paraId="00805ED0" w14:textId="77777777" w:rsidR="00A303CC" w:rsidRPr="009D44FC" w:rsidRDefault="00A303CC" w:rsidP="00A303CC">
      <w:pPr>
        <w:ind w:left="567" w:right="567"/>
        <w:jc w:val="both"/>
        <w:rPr>
          <w:rFonts w:ascii="Palatino Linotype" w:eastAsia="Calibri" w:hAnsi="Palatino Linotype"/>
          <w:b/>
          <w:i/>
        </w:rPr>
      </w:pPr>
      <w:r w:rsidRPr="009D44FC">
        <w:rPr>
          <w:rFonts w:ascii="Palatino Linotype" w:eastAsia="Calibri" w:hAnsi="Palatino Linotype" w:cs="Arial"/>
          <w:b/>
          <w:bCs/>
          <w:i/>
          <w:color w:val="000000"/>
        </w:rPr>
        <w:t>…</w:t>
      </w:r>
    </w:p>
    <w:p w14:paraId="57C20304" w14:textId="77777777" w:rsidR="00A303CC" w:rsidRPr="009D44FC" w:rsidRDefault="00A303CC" w:rsidP="00A303CC">
      <w:pPr>
        <w:ind w:left="567" w:right="567"/>
        <w:jc w:val="both"/>
        <w:rPr>
          <w:rFonts w:ascii="Palatino Linotype" w:eastAsia="Calibri" w:hAnsi="Palatino Linotype"/>
          <w:i/>
        </w:rPr>
      </w:pPr>
      <w:r w:rsidRPr="009D44FC">
        <w:rPr>
          <w:rFonts w:ascii="Palatino Linotype" w:eastAsia="Calibri" w:hAnsi="Palatino Linotype"/>
          <w:b/>
          <w:i/>
        </w:rPr>
        <w:t>Artículo 343.-</w:t>
      </w:r>
      <w:r w:rsidRPr="009D44FC">
        <w:rPr>
          <w:rFonts w:ascii="Palatino Linotype" w:eastAsia="Calibri" w:hAnsi="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48FA85CC" w14:textId="77777777" w:rsidR="00A303CC" w:rsidRPr="009D44FC" w:rsidRDefault="00A303CC" w:rsidP="00A303CC">
      <w:pPr>
        <w:ind w:left="567" w:right="567"/>
        <w:jc w:val="both"/>
        <w:rPr>
          <w:rFonts w:ascii="Palatino Linotype" w:eastAsia="Calibri" w:hAnsi="Palatino Linotype"/>
          <w:i/>
        </w:rPr>
      </w:pPr>
      <w:r w:rsidRPr="009D44FC">
        <w:rPr>
          <w:rFonts w:ascii="Palatino Linotype" w:eastAsia="Calibri" w:hAnsi="Palatino Linotype"/>
          <w:i/>
        </w:rPr>
        <w:t xml:space="preserve">El sistema de contabilidad sobre base acumulativa total se sustentará en los postulados básicos y el marco conceptual de la contabilidad gubernamental. </w:t>
      </w:r>
    </w:p>
    <w:p w14:paraId="4DEBC424" w14:textId="77777777" w:rsidR="00A303CC" w:rsidRPr="009D44FC" w:rsidRDefault="00A303CC" w:rsidP="00A303CC">
      <w:pPr>
        <w:ind w:left="567" w:right="567"/>
        <w:jc w:val="both"/>
        <w:rPr>
          <w:rFonts w:ascii="Palatino Linotype" w:eastAsia="Calibri" w:hAnsi="Palatino Linotype"/>
          <w:i/>
        </w:rPr>
      </w:pPr>
    </w:p>
    <w:p w14:paraId="68D07B88" w14:textId="77777777" w:rsidR="00A303CC" w:rsidRPr="009D44FC" w:rsidRDefault="00A303CC" w:rsidP="00A303CC">
      <w:pPr>
        <w:ind w:left="567" w:right="567"/>
        <w:jc w:val="both"/>
        <w:rPr>
          <w:rFonts w:ascii="Palatino Linotype" w:eastAsia="Calibri" w:hAnsi="Palatino Linotype"/>
          <w:i/>
        </w:rPr>
      </w:pPr>
      <w:r w:rsidRPr="009D44FC">
        <w:rPr>
          <w:rFonts w:ascii="Palatino Linotype" w:eastAsia="Calibri" w:hAnsi="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9D44FC">
        <w:rPr>
          <w:rFonts w:ascii="Palatino Linotype" w:eastAsia="Calibri" w:hAnsi="Palatino Linotype"/>
          <w:i/>
        </w:rPr>
        <w:t xml:space="preserve">en el caso de los Municipios se hará por la Tesorería. </w:t>
      </w:r>
    </w:p>
    <w:p w14:paraId="2120042C" w14:textId="77777777" w:rsidR="00A303CC" w:rsidRPr="009D44FC" w:rsidRDefault="00A303CC" w:rsidP="00A303CC">
      <w:pPr>
        <w:autoSpaceDE w:val="0"/>
        <w:autoSpaceDN w:val="0"/>
        <w:adjustRightInd w:val="0"/>
        <w:ind w:left="567" w:right="567"/>
        <w:jc w:val="both"/>
        <w:rPr>
          <w:rFonts w:ascii="Palatino Linotype" w:eastAsia="Calibri" w:hAnsi="Palatino Linotype"/>
          <w:i/>
        </w:rPr>
      </w:pPr>
      <w:r w:rsidRPr="009D44FC">
        <w:rPr>
          <w:rFonts w:ascii="Palatino Linotype" w:eastAsia="Calibri" w:hAnsi="Palatino Linotype"/>
          <w:i/>
        </w:rPr>
        <w:t xml:space="preserve">Derogado. </w:t>
      </w:r>
    </w:p>
    <w:p w14:paraId="644CD7CF" w14:textId="77777777" w:rsidR="00A303CC" w:rsidRPr="009D44FC" w:rsidRDefault="00A303CC" w:rsidP="00A303CC">
      <w:pPr>
        <w:autoSpaceDE w:val="0"/>
        <w:autoSpaceDN w:val="0"/>
        <w:adjustRightInd w:val="0"/>
        <w:ind w:left="567" w:right="567"/>
        <w:jc w:val="both"/>
        <w:rPr>
          <w:rFonts w:ascii="Palatino Linotype" w:eastAsia="Calibri" w:hAnsi="Palatino Linotype"/>
          <w:i/>
        </w:rPr>
      </w:pPr>
    </w:p>
    <w:p w14:paraId="73001981" w14:textId="77777777" w:rsidR="00A303CC" w:rsidRPr="009D44FC" w:rsidRDefault="00A303CC" w:rsidP="00A303CC">
      <w:pPr>
        <w:ind w:left="567" w:right="567"/>
        <w:jc w:val="both"/>
        <w:rPr>
          <w:rFonts w:ascii="Palatino Linotype" w:eastAsia="Calibri" w:hAnsi="Palatino Linotype"/>
          <w:i/>
        </w:rPr>
      </w:pPr>
      <w:r w:rsidRPr="009D44FC">
        <w:rPr>
          <w:rFonts w:ascii="Palatino Linotype" w:eastAsia="Calibri" w:hAnsi="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9D44FC">
        <w:rPr>
          <w:rFonts w:ascii="Palatino Linotype" w:eastAsia="Calibri" w:hAnsi="Palatino Linotype"/>
          <w:i/>
        </w:rPr>
        <w:t xml:space="preserve"> a partir del ejercicio presupuestal siguiente al que corresponda, en el caso de los municipios se hará por la Tesorería. </w:t>
      </w:r>
    </w:p>
    <w:p w14:paraId="65DF6CFC" w14:textId="77777777" w:rsidR="00A303CC" w:rsidRPr="009D44FC" w:rsidRDefault="00A303CC" w:rsidP="00A303CC">
      <w:pPr>
        <w:autoSpaceDE w:val="0"/>
        <w:autoSpaceDN w:val="0"/>
        <w:adjustRightInd w:val="0"/>
        <w:ind w:left="567" w:right="567"/>
        <w:jc w:val="both"/>
        <w:rPr>
          <w:rFonts w:ascii="Palatino Linotype" w:eastAsia="Calibri" w:hAnsi="Palatino Linotype"/>
          <w:i/>
        </w:rPr>
      </w:pPr>
      <w:r w:rsidRPr="009D44FC">
        <w:rPr>
          <w:rFonts w:ascii="Palatino Linotype" w:eastAsia="Calibri" w:hAnsi="Palatino Linotype"/>
          <w:i/>
        </w:rPr>
        <w:t>…</w:t>
      </w:r>
    </w:p>
    <w:p w14:paraId="4764FAF4" w14:textId="77777777" w:rsidR="00A303CC" w:rsidRPr="009D44FC" w:rsidRDefault="00A303CC" w:rsidP="00A303CC">
      <w:pPr>
        <w:ind w:left="567" w:right="567"/>
        <w:jc w:val="both"/>
        <w:rPr>
          <w:rFonts w:ascii="Palatino Linotype" w:eastAsia="Calibri" w:hAnsi="Palatino Linotype"/>
          <w:i/>
        </w:rPr>
      </w:pPr>
      <w:r w:rsidRPr="009D44FC">
        <w:rPr>
          <w:rFonts w:ascii="Palatino Linotype" w:eastAsia="Calibri" w:hAnsi="Palatino Linotype"/>
          <w:b/>
          <w:i/>
        </w:rPr>
        <w:t>Artículo 345.-</w:t>
      </w:r>
      <w:r w:rsidRPr="009D44FC">
        <w:rPr>
          <w:rFonts w:ascii="Palatino Linotype" w:eastAsia="Calibri" w:hAnsi="Palatino Linotype"/>
          <w:i/>
        </w:rPr>
        <w:t xml:space="preserve"> </w:t>
      </w:r>
      <w:r w:rsidRPr="009D44FC">
        <w:rPr>
          <w:rFonts w:ascii="Palatino Linotype" w:eastAsia="Calibri" w:hAnsi="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9D44FC">
        <w:rPr>
          <w:rFonts w:ascii="Palatino Linotype" w:eastAsia="Calibri" w:hAnsi="Palatino Linotype"/>
          <w:i/>
        </w:rPr>
        <w:t xml:space="preserve">, la remitirán en un plazo que no excederá de seis meses al Archivo Contable Gubernamental. </w:t>
      </w:r>
      <w:r w:rsidRPr="009D44FC">
        <w:rPr>
          <w:rFonts w:ascii="Palatino Linotype" w:eastAsia="Calibri" w:hAnsi="Palatino Linotype"/>
          <w:b/>
          <w:i/>
        </w:rPr>
        <w:t>Tratándose de los comprobantes fiscales digitales, estos deberán estar agregados en forma electrónica en cada póliza de registro contable</w:t>
      </w:r>
      <w:r w:rsidRPr="009D44FC">
        <w:rPr>
          <w:rFonts w:ascii="Palatino Linotype" w:eastAsia="Calibri" w:hAnsi="Palatino Linotype"/>
          <w:i/>
        </w:rPr>
        <w:t xml:space="preserve">. </w:t>
      </w:r>
    </w:p>
    <w:p w14:paraId="07FC42B4" w14:textId="77777777" w:rsidR="00A303CC" w:rsidRPr="009D44FC" w:rsidRDefault="00A303CC" w:rsidP="00A303CC">
      <w:pPr>
        <w:ind w:left="567" w:right="567"/>
        <w:jc w:val="both"/>
        <w:rPr>
          <w:rFonts w:ascii="Palatino Linotype" w:eastAsia="Calibri" w:hAnsi="Palatino Linotype" w:cs="Arial"/>
          <w:bCs/>
          <w:i/>
          <w:color w:val="000000"/>
        </w:rPr>
      </w:pPr>
      <w:r w:rsidRPr="009D44FC">
        <w:rPr>
          <w:rFonts w:ascii="Palatino Linotype" w:eastAsia="Calibri" w:hAnsi="Palatino Linotype"/>
          <w:i/>
        </w:rPr>
        <w:t>El plazo señalado en el párrafo anterior, empezará a contar a partir de la publicación en el Periódico Oficial, del decreto correspondiente.</w:t>
      </w:r>
      <w:r w:rsidRPr="009D44FC">
        <w:rPr>
          <w:rFonts w:ascii="Palatino Linotype" w:eastAsia="Calibri" w:hAnsi="Palatino Linotype" w:cs="Arial"/>
          <w:bCs/>
          <w:i/>
          <w:color w:val="000000"/>
        </w:rPr>
        <w:t xml:space="preserve"> “</w:t>
      </w:r>
      <w:r w:rsidRPr="009D44FC">
        <w:rPr>
          <w:rFonts w:ascii="Palatino Linotype" w:eastAsia="Calibri" w:hAnsi="Palatino Linotype" w:cs="Arial"/>
          <w:i/>
        </w:rPr>
        <w:t>(Sic)</w:t>
      </w:r>
      <w:r w:rsidRPr="009D44FC">
        <w:rPr>
          <w:rFonts w:ascii="Palatino Linotype" w:eastAsia="Calibri" w:hAnsi="Palatino Linotype" w:cs="Arial"/>
          <w:bCs/>
          <w:i/>
          <w:color w:val="000000"/>
        </w:rPr>
        <w:t xml:space="preserve"> </w:t>
      </w:r>
    </w:p>
    <w:p w14:paraId="7397A19E" w14:textId="77777777" w:rsidR="00A303CC" w:rsidRPr="009D44FC" w:rsidRDefault="00A303CC" w:rsidP="00A303CC">
      <w:pPr>
        <w:ind w:left="567" w:right="567"/>
        <w:jc w:val="both"/>
        <w:rPr>
          <w:rFonts w:ascii="Palatino Linotype" w:eastAsia="Calibri" w:hAnsi="Palatino Linotype" w:cs="Arial"/>
          <w:bCs/>
          <w:i/>
          <w:color w:val="000000"/>
        </w:rPr>
      </w:pPr>
    </w:p>
    <w:p w14:paraId="1B202D60" w14:textId="77777777" w:rsidR="00A303CC" w:rsidRPr="009D44FC" w:rsidRDefault="00A303CC" w:rsidP="00A303CC">
      <w:pPr>
        <w:ind w:left="567" w:right="567"/>
        <w:jc w:val="right"/>
        <w:rPr>
          <w:rFonts w:ascii="Palatino Linotype" w:eastAsia="Calibri" w:hAnsi="Palatino Linotype" w:cs="Arial"/>
          <w:bCs/>
          <w:color w:val="000000"/>
        </w:rPr>
      </w:pPr>
      <w:r w:rsidRPr="009D44FC">
        <w:rPr>
          <w:rFonts w:ascii="Palatino Linotype" w:eastAsia="Calibri" w:hAnsi="Palatino Linotype" w:cs="Arial"/>
          <w:bCs/>
          <w:color w:val="000000"/>
        </w:rPr>
        <w:t>(Énfasis añadido)</w:t>
      </w:r>
    </w:p>
    <w:p w14:paraId="3C7982D5" w14:textId="77777777" w:rsidR="00AC232D" w:rsidRPr="00E9605E" w:rsidRDefault="00AC232D" w:rsidP="00AC232D">
      <w:pPr>
        <w:spacing w:line="360" w:lineRule="auto"/>
        <w:ind w:right="142"/>
        <w:jc w:val="both"/>
        <w:rPr>
          <w:rFonts w:ascii="Palatino Linotype" w:hAnsi="Palatino Linotype"/>
          <w:lang w:val="es-ES_tradnl"/>
        </w:rPr>
      </w:pPr>
      <w:r w:rsidRPr="00E9605E">
        <w:rPr>
          <w:rFonts w:ascii="Palatino Linotype" w:hAnsi="Palatino Linotype"/>
        </w:rPr>
        <w:lastRenderedPageBreak/>
        <w:t>Aunado a lo antes expuesto,</w:t>
      </w:r>
      <w:r>
        <w:rPr>
          <w:rFonts w:ascii="Palatino Linotype" w:hAnsi="Palatino Linotype"/>
        </w:rPr>
        <w:t xml:space="preserve"> de manera enunciativa más no limitativa, el documento que puede dar cuenta del área que realizo la contratación del artista referido en la solicitud son el contrato, el procedimiento de contratación, convenio o facturas;</w:t>
      </w:r>
      <w:r w:rsidRPr="00E9605E">
        <w:rPr>
          <w:rFonts w:ascii="Palatino Linotype" w:hAnsi="Palatino Linotype"/>
        </w:rPr>
        <w:t xml:space="preserve"> cabe señalar que la información referida forma parte de las Obligaciones de Transparencia Comunes del </w:t>
      </w:r>
      <w:r w:rsidRPr="00E9605E">
        <w:rPr>
          <w:rFonts w:ascii="Palatino Linotype" w:hAnsi="Palatino Linotype"/>
          <w:b/>
        </w:rPr>
        <w:t>Sujeto Obligado</w:t>
      </w:r>
      <w:r w:rsidRPr="00E9605E">
        <w:rPr>
          <w:rFonts w:ascii="Palatino Linotype" w:hAnsi="Palatino Linotype"/>
        </w:rPr>
        <w:t xml:space="preserve">, lo que nos </w:t>
      </w:r>
      <w:r w:rsidRPr="00E9605E">
        <w:rPr>
          <w:rFonts w:ascii="Palatino Linotype" w:hAnsi="Palatino Linotype"/>
          <w:lang w:val="es-ES_tradnl"/>
        </w:rPr>
        <w:t xml:space="preserve">permite traer a colación lo dispuesto por </w:t>
      </w:r>
      <w:bookmarkStart w:id="1" w:name="_Hlk115810533"/>
      <w:r w:rsidRPr="00E9605E">
        <w:rPr>
          <w:rFonts w:ascii="Palatino Linotype" w:hAnsi="Palatino Linotype"/>
          <w:lang w:val="es-ES_tradnl"/>
        </w:rPr>
        <w:t xml:space="preserve">la fracción XXIX del artículo 92 de la Ley de Transparencia y Acceso a la Información Pública del Estado de México y Municipios </w:t>
      </w:r>
      <w:bookmarkEnd w:id="1"/>
      <w:r w:rsidRPr="00E9605E">
        <w:rPr>
          <w:rFonts w:ascii="Palatino Linotype" w:hAnsi="Palatino Linotype"/>
          <w:lang w:val="es-ES_tradnl"/>
        </w:rPr>
        <w:t>en el cual se aprecia lo siguiente:</w:t>
      </w:r>
    </w:p>
    <w:p w14:paraId="1C9CFFBF" w14:textId="77777777" w:rsidR="00AC232D" w:rsidRPr="00E9605E" w:rsidRDefault="00AC232D" w:rsidP="006D10F7">
      <w:pPr>
        <w:tabs>
          <w:tab w:val="left" w:pos="851"/>
        </w:tabs>
        <w:spacing w:before="120" w:after="120"/>
        <w:ind w:left="851" w:right="190"/>
        <w:jc w:val="both"/>
        <w:rPr>
          <w:rFonts w:ascii="Palatino Linotype" w:hAnsi="Palatino Linotype" w:cs="Arial"/>
          <w:i/>
          <w:lang w:eastAsia="en-US"/>
        </w:rPr>
      </w:pPr>
      <w:r w:rsidRPr="00E9605E">
        <w:rPr>
          <w:rFonts w:ascii="Palatino Linotype" w:hAnsi="Palatino Linotype" w:cs="Arial"/>
          <w:i/>
          <w:lang w:eastAsia="en-US"/>
        </w:rPr>
        <w:t>“</w:t>
      </w:r>
      <w:r w:rsidRPr="00E9605E">
        <w:rPr>
          <w:rFonts w:ascii="Palatino Linotype" w:hAnsi="Palatino Linotype" w:cs="Arial"/>
          <w:b/>
          <w:i/>
          <w:lang w:eastAsia="en-US"/>
        </w:rPr>
        <w:t>Artículo 92</w:t>
      </w:r>
      <w:r w:rsidRPr="00E9605E">
        <w:rPr>
          <w:rFonts w:ascii="Palatino Linotype" w:hAnsi="Palatino Linotype" w:cs="Arial"/>
          <w:i/>
          <w:lang w:eastAsia="en-US"/>
        </w:rPr>
        <w:t xml:space="preserve">. </w:t>
      </w:r>
      <w:r w:rsidRPr="00E9605E">
        <w:rPr>
          <w:rFonts w:ascii="Palatino Linotype" w:hAnsi="Palatino Linotype" w:cs="Arial"/>
          <w:b/>
          <w:i/>
          <w:u w:val="single"/>
          <w:lang w:eastAsia="en-US"/>
        </w:rPr>
        <w:t>Los sujetos obligados deberán poner a disposición del público de manera permanente y actualizada de forma sencilla, precisa y entendible, en los respectivos medios electrónicos</w:t>
      </w:r>
      <w:r w:rsidRPr="00E9605E">
        <w:rPr>
          <w:rFonts w:ascii="Palatino Linotype" w:hAnsi="Palatino Linotype" w:cs="Arial"/>
          <w:i/>
          <w:lang w:eastAsia="en-US"/>
        </w:rPr>
        <w:t xml:space="preserve">, de acuerdo con sus facultades, atribuciones, funciones u objeto social, según corresponda, la información, </w:t>
      </w:r>
      <w:r w:rsidRPr="00E9605E">
        <w:rPr>
          <w:rFonts w:ascii="Palatino Linotype" w:hAnsi="Palatino Linotype" w:cs="Arial"/>
          <w:b/>
          <w:i/>
          <w:u w:val="single"/>
          <w:lang w:eastAsia="en-US"/>
        </w:rPr>
        <w:t>por lo menos, de los temas, documentos y políticas que a continuación se señalan</w:t>
      </w:r>
      <w:r w:rsidRPr="00E9605E">
        <w:rPr>
          <w:rFonts w:ascii="Palatino Linotype" w:hAnsi="Palatino Linotype" w:cs="Arial"/>
          <w:i/>
          <w:lang w:eastAsia="en-US"/>
        </w:rPr>
        <w:t>:</w:t>
      </w:r>
    </w:p>
    <w:p w14:paraId="4E0BF81C" w14:textId="77777777" w:rsidR="00F71303" w:rsidRDefault="00F71303" w:rsidP="00F71303">
      <w:pPr>
        <w:autoSpaceDE w:val="0"/>
        <w:autoSpaceDN w:val="0"/>
        <w:adjustRightInd w:val="0"/>
        <w:spacing w:before="240"/>
        <w:ind w:left="851" w:right="851"/>
        <w:jc w:val="both"/>
        <w:rPr>
          <w:rFonts w:ascii="Palatino Linotype" w:hAnsi="Palatino Linotype"/>
          <w:b/>
          <w:i/>
          <w:u w:val="single"/>
        </w:rPr>
      </w:pPr>
      <w:r w:rsidRPr="0006745F">
        <w:rPr>
          <w:rFonts w:ascii="Palatino Linotype" w:hAnsi="Palatino Linotype"/>
          <w:b/>
          <w:bCs/>
          <w:i/>
          <w:iCs/>
        </w:rPr>
        <w:t xml:space="preserve">XI. </w:t>
      </w:r>
      <w:r w:rsidRPr="00DD1502">
        <w:rPr>
          <w:rFonts w:ascii="Palatino Linotype" w:hAnsi="Palatino Linotype"/>
          <w:b/>
          <w:bCs/>
          <w:i/>
          <w:iCs/>
          <w:u w:val="single"/>
        </w:rPr>
        <w:t>Las contrataciones de servicios profesionales por honorarios</w:t>
      </w:r>
      <w:r w:rsidRPr="0006745F">
        <w:rPr>
          <w:rFonts w:ascii="Palatino Linotype" w:hAnsi="Palatino Linotype"/>
          <w:b/>
          <w:bCs/>
          <w:i/>
          <w:iCs/>
        </w:rPr>
        <w:t>, señalando los nombres de los prestadores de servicios, los servicios contratados, el monto de los honorarios y el periodo de contratación;</w:t>
      </w:r>
    </w:p>
    <w:p w14:paraId="3C3A2D14" w14:textId="77777777" w:rsidR="00F71303" w:rsidRPr="00F71303" w:rsidRDefault="00F71303" w:rsidP="00F71303">
      <w:pPr>
        <w:autoSpaceDE w:val="0"/>
        <w:autoSpaceDN w:val="0"/>
        <w:adjustRightInd w:val="0"/>
        <w:spacing w:before="240"/>
        <w:ind w:left="851" w:right="851"/>
        <w:jc w:val="both"/>
        <w:rPr>
          <w:rFonts w:ascii="Palatino Linotype" w:hAnsi="Palatino Linotype"/>
          <w:b/>
          <w:i/>
        </w:rPr>
      </w:pPr>
      <w:r w:rsidRPr="00F71303">
        <w:rPr>
          <w:rFonts w:ascii="Palatino Linotype" w:hAnsi="Palatino Linotype"/>
          <w:b/>
          <w:i/>
        </w:rPr>
        <w:t xml:space="preserve"> (…)</w:t>
      </w:r>
    </w:p>
    <w:p w14:paraId="1EE0291E" w14:textId="77777777" w:rsidR="00AC232D" w:rsidRPr="00E9605E" w:rsidRDefault="00AC232D" w:rsidP="006D10F7">
      <w:pPr>
        <w:tabs>
          <w:tab w:val="left" w:pos="851"/>
        </w:tabs>
        <w:spacing w:before="120" w:after="120"/>
        <w:ind w:left="851" w:right="190"/>
        <w:jc w:val="both"/>
        <w:rPr>
          <w:lang w:eastAsia="en-US"/>
        </w:rPr>
      </w:pPr>
    </w:p>
    <w:p w14:paraId="18961701" w14:textId="77777777" w:rsidR="00AC232D" w:rsidRPr="00F71303" w:rsidRDefault="00AC232D" w:rsidP="006D10F7">
      <w:pPr>
        <w:tabs>
          <w:tab w:val="left" w:pos="851"/>
        </w:tabs>
        <w:spacing w:before="120" w:after="120"/>
        <w:ind w:left="851" w:right="190"/>
        <w:jc w:val="both"/>
        <w:rPr>
          <w:rFonts w:ascii="Palatino Linotype" w:hAnsi="Palatino Linotype"/>
          <w:bCs/>
          <w:i/>
          <w:iCs/>
          <w:lang w:eastAsia="en-US"/>
        </w:rPr>
      </w:pPr>
      <w:r w:rsidRPr="00F71303">
        <w:rPr>
          <w:rFonts w:ascii="Palatino Linotype" w:hAnsi="Palatino Linotype"/>
          <w:bCs/>
          <w:i/>
          <w:iCs/>
          <w:lang w:eastAsia="en-US"/>
        </w:rPr>
        <w:t xml:space="preserve">XXV. La información financiera sobre el presupuesto asignado, así como los informes del ejercicio trimestral del gasto, en términos de la Ley General de Contabilidad Gubernamental y demás disposiciones jurídicas aplicables; </w:t>
      </w:r>
    </w:p>
    <w:p w14:paraId="50FD3031" w14:textId="77777777" w:rsidR="00AC232D" w:rsidRDefault="00AC232D" w:rsidP="006D10F7">
      <w:pPr>
        <w:tabs>
          <w:tab w:val="left" w:pos="851"/>
        </w:tabs>
        <w:spacing w:before="120" w:after="120"/>
        <w:ind w:left="851" w:right="190"/>
        <w:jc w:val="both"/>
        <w:rPr>
          <w:rFonts w:ascii="Palatino Linotype" w:hAnsi="Palatino Linotype"/>
          <w:b/>
          <w:i/>
          <w:lang w:eastAsia="en-US"/>
        </w:rPr>
      </w:pPr>
    </w:p>
    <w:p w14:paraId="1C2EB5CC" w14:textId="77777777" w:rsidR="00181C36" w:rsidRDefault="00181C36" w:rsidP="00F163CD">
      <w:pPr>
        <w:spacing w:line="360" w:lineRule="auto"/>
        <w:jc w:val="both"/>
        <w:rPr>
          <w:rFonts w:ascii="Palatino Linotype" w:hAnsi="Palatino Linotype" w:cs="Arial"/>
        </w:rPr>
      </w:pPr>
    </w:p>
    <w:p w14:paraId="47011F76" w14:textId="77777777" w:rsidR="00F163CD" w:rsidRPr="009E63DA" w:rsidRDefault="00F163CD" w:rsidP="00F163CD">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1120CF3B" w14:textId="77777777" w:rsidR="00F163CD" w:rsidRPr="009E63DA" w:rsidRDefault="00F163CD" w:rsidP="00F163CD">
      <w:pPr>
        <w:ind w:left="567" w:right="567"/>
        <w:jc w:val="both"/>
        <w:rPr>
          <w:rFonts w:ascii="Palatino Linotype" w:hAnsi="Palatino Linotype"/>
        </w:rPr>
      </w:pPr>
    </w:p>
    <w:p w14:paraId="32BACA59" w14:textId="77777777" w:rsidR="00F163CD" w:rsidRPr="009E63DA" w:rsidRDefault="00F163CD" w:rsidP="00F163CD">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42F18FD9" w14:textId="77777777" w:rsidR="00F163CD" w:rsidRPr="009E63DA" w:rsidRDefault="00F163CD" w:rsidP="00F163CD">
      <w:pPr>
        <w:ind w:left="851" w:right="851"/>
        <w:jc w:val="both"/>
        <w:rPr>
          <w:rFonts w:ascii="Palatino Linotype" w:hAnsi="Palatino Linotype"/>
          <w:i/>
        </w:rPr>
      </w:pPr>
      <w:r w:rsidRPr="009E63DA">
        <w:rPr>
          <w:rFonts w:ascii="Palatino Linotype" w:hAnsi="Palatino Linotype"/>
          <w:i/>
        </w:rPr>
        <w:t>…</w:t>
      </w:r>
    </w:p>
    <w:p w14:paraId="482857AA" w14:textId="77777777" w:rsidR="00F163CD" w:rsidRPr="009E63DA" w:rsidRDefault="00F163CD" w:rsidP="00F163CD">
      <w:pPr>
        <w:ind w:left="851" w:right="851"/>
        <w:jc w:val="both"/>
        <w:rPr>
          <w:rFonts w:ascii="Palatino Linotype" w:hAnsi="Palatino Linotype"/>
          <w:i/>
        </w:rPr>
      </w:pPr>
      <w:r w:rsidRPr="009E63DA">
        <w:rPr>
          <w:rFonts w:ascii="Palatino Linotype" w:hAnsi="Palatino Linotype"/>
          <w:b/>
          <w:i/>
        </w:rPr>
        <w:lastRenderedPageBreak/>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w:t>
      </w:r>
      <w:r w:rsidRPr="007A27D4">
        <w:rPr>
          <w:rFonts w:ascii="Palatino Linotype" w:hAnsi="Palatino Linotype"/>
          <w:b/>
          <w:i/>
          <w:u w:val="single"/>
        </w:rPr>
        <w:t>contratos,</w:t>
      </w:r>
      <w:r w:rsidRPr="009E63DA">
        <w:rPr>
          <w:rFonts w:ascii="Palatino Linotype" w:hAnsi="Palatino Linotype"/>
          <w:i/>
        </w:rPr>
        <w:t xml:space="preserve">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4EB7FACF" w14:textId="77777777" w:rsidR="00F163CD" w:rsidRPr="009E63DA" w:rsidRDefault="00F163CD" w:rsidP="00F163CD">
      <w:pPr>
        <w:ind w:left="851" w:right="851"/>
        <w:jc w:val="both"/>
        <w:rPr>
          <w:rFonts w:ascii="Palatino Linotype" w:hAnsi="Palatino Linotype"/>
          <w:i/>
        </w:rPr>
      </w:pPr>
    </w:p>
    <w:p w14:paraId="031DC02E" w14:textId="77777777" w:rsidR="00F163CD" w:rsidRPr="009E63DA" w:rsidRDefault="00F163CD" w:rsidP="00F163CD">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62442F" w14:textId="77777777" w:rsidR="00F163CD" w:rsidRPr="009E63DA" w:rsidRDefault="00F163CD" w:rsidP="00F163CD">
      <w:pPr>
        <w:ind w:left="851" w:right="851"/>
        <w:jc w:val="both"/>
        <w:rPr>
          <w:rFonts w:ascii="Palatino Linotype" w:hAnsi="Palatino Linotype"/>
          <w:bCs/>
          <w:i/>
        </w:rPr>
      </w:pPr>
    </w:p>
    <w:p w14:paraId="7FDE7DA3" w14:textId="77777777" w:rsidR="00F163CD" w:rsidRPr="009E63DA" w:rsidRDefault="00F163CD" w:rsidP="00F163CD">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586E0C3" w14:textId="77777777" w:rsidR="00F163CD" w:rsidRPr="009E63DA" w:rsidRDefault="00F163CD" w:rsidP="00F163CD">
      <w:pPr>
        <w:ind w:left="851" w:right="851"/>
        <w:jc w:val="both"/>
        <w:rPr>
          <w:rFonts w:ascii="Palatino Linotype" w:hAnsi="Palatino Linotype"/>
          <w:bCs/>
          <w:i/>
        </w:rPr>
      </w:pPr>
    </w:p>
    <w:p w14:paraId="726946C5" w14:textId="77777777" w:rsidR="00F163CD" w:rsidRPr="009E63DA" w:rsidRDefault="00F163CD" w:rsidP="00F163CD">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4BCCDAAB" w14:textId="77777777" w:rsidR="00F163CD" w:rsidRPr="009E63DA" w:rsidRDefault="00F163CD" w:rsidP="00F163CD">
      <w:pPr>
        <w:ind w:left="851" w:right="851"/>
        <w:jc w:val="both"/>
        <w:rPr>
          <w:rFonts w:ascii="Palatino Linotype" w:hAnsi="Palatino Linotype"/>
          <w:i/>
        </w:rPr>
      </w:pPr>
    </w:p>
    <w:p w14:paraId="0CEDA991" w14:textId="77777777" w:rsidR="00F163CD" w:rsidRPr="009E63DA" w:rsidRDefault="00F163CD" w:rsidP="00F163CD">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48ED22E" w14:textId="77777777" w:rsidR="00F163CD" w:rsidRPr="009E63DA" w:rsidRDefault="00F163CD" w:rsidP="00F163CD">
      <w:pPr>
        <w:ind w:left="851" w:right="851"/>
        <w:jc w:val="both"/>
        <w:rPr>
          <w:rFonts w:ascii="Palatino Linotype" w:hAnsi="Palatino Linotype"/>
          <w:i/>
        </w:rPr>
      </w:pPr>
    </w:p>
    <w:p w14:paraId="4621F285" w14:textId="77777777" w:rsidR="00F163CD" w:rsidRPr="009E63DA" w:rsidRDefault="00F163CD" w:rsidP="00F163CD">
      <w:pPr>
        <w:ind w:left="851" w:right="851"/>
        <w:jc w:val="both"/>
        <w:rPr>
          <w:rFonts w:ascii="Palatino Linotype" w:hAnsi="Palatino Linotype"/>
          <w:i/>
          <w:u w:val="single"/>
        </w:rPr>
      </w:pPr>
      <w:r w:rsidRPr="009E63DA">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9E63DA">
        <w:rPr>
          <w:rFonts w:ascii="Palatino Linotype" w:hAnsi="Palatino Linotype"/>
          <w:b/>
          <w:i/>
          <w:u w:val="single"/>
        </w:rPr>
        <w:lastRenderedPageBreak/>
        <w:t>solicitante; no estarán obligados a generarla, resumirla, efectuar cálculos o practicar investigaciones</w:t>
      </w:r>
      <w:r w:rsidRPr="009E63DA">
        <w:rPr>
          <w:rFonts w:ascii="Palatino Linotype" w:hAnsi="Palatino Linotype"/>
          <w:i/>
        </w:rPr>
        <w:t>.</w:t>
      </w:r>
    </w:p>
    <w:p w14:paraId="1F61C0EB" w14:textId="77777777" w:rsidR="00F163CD" w:rsidRPr="009E63DA" w:rsidRDefault="00F163CD" w:rsidP="00F163CD">
      <w:pPr>
        <w:jc w:val="both"/>
        <w:rPr>
          <w:rFonts w:ascii="Palatino Linotype" w:hAnsi="Palatino Linotype"/>
        </w:rPr>
      </w:pPr>
    </w:p>
    <w:p w14:paraId="0432C0BB" w14:textId="77777777" w:rsidR="00F163CD" w:rsidRDefault="00F163CD" w:rsidP="00F163CD">
      <w:pPr>
        <w:spacing w:line="360" w:lineRule="auto"/>
        <w:jc w:val="both"/>
        <w:rPr>
          <w:rFonts w:ascii="Palatino Linotype" w:eastAsia="Calibri" w:hAnsi="Palatino Linotype" w:cs="Arial"/>
          <w:color w:val="000000"/>
          <w:lang w:val="es-ES_tradnl" w:eastAsia="es-MX"/>
        </w:rPr>
      </w:pPr>
    </w:p>
    <w:p w14:paraId="2A1872BE" w14:textId="77777777" w:rsidR="00F163CD" w:rsidRPr="00DC0E0E" w:rsidRDefault="00F163CD" w:rsidP="00F163CD">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06F6AE55" w14:textId="77777777" w:rsidR="00F163CD" w:rsidRDefault="00F163CD" w:rsidP="00F163CD">
      <w:pPr>
        <w:tabs>
          <w:tab w:val="left" w:pos="2130"/>
        </w:tabs>
        <w:spacing w:line="360" w:lineRule="auto"/>
        <w:jc w:val="both"/>
        <w:rPr>
          <w:rFonts w:ascii="Palatino Linotype" w:eastAsia="Calibri" w:hAnsi="Palatino Linotype" w:cs="Tahoma"/>
          <w:bCs/>
        </w:rPr>
      </w:pPr>
    </w:p>
    <w:p w14:paraId="408A950C" w14:textId="77777777" w:rsidR="00F163CD" w:rsidRPr="007C7D03" w:rsidRDefault="00F163CD" w:rsidP="00F163CD">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1F84C09B" w14:textId="77777777" w:rsidR="00F163CD" w:rsidRPr="00F54FF7" w:rsidRDefault="00F163CD" w:rsidP="00F163CD">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2DDCC94" w14:textId="77777777" w:rsidR="00F163CD" w:rsidRPr="00F54FF7" w:rsidRDefault="00F163CD" w:rsidP="00F163CD">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51FE348A" w14:textId="77777777" w:rsidR="00F163CD" w:rsidRPr="00F54FF7" w:rsidRDefault="00F163CD" w:rsidP="00F163CD">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203265C1" w14:textId="77777777" w:rsidR="00F163CD" w:rsidRPr="00F54FF7" w:rsidRDefault="00F163CD" w:rsidP="00F163CD">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lastRenderedPageBreak/>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48766BDD" w14:textId="77777777" w:rsidR="00F163CD" w:rsidRPr="00F54FF7" w:rsidRDefault="00F163CD" w:rsidP="00F163CD">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0214D375" w14:textId="77777777" w:rsidR="00F163CD" w:rsidRPr="00F54FF7" w:rsidRDefault="00F163CD" w:rsidP="00F163CD">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7400DEA2" w14:textId="77777777" w:rsidR="00F163CD" w:rsidRPr="00F54FF7" w:rsidRDefault="00F163CD" w:rsidP="00F163CD">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F54FF7">
        <w:rPr>
          <w:rFonts w:ascii="Palatino Linotype" w:eastAsia="Calibri" w:hAnsi="Palatino Linotype" w:cs="Arial"/>
          <w:b/>
          <w:i/>
          <w:u w:val="single"/>
          <w:lang w:val="es-ES_tradnl" w:eastAsia="es-MX"/>
        </w:rPr>
        <w:t>actualiza</w:t>
      </w:r>
      <w:proofErr w:type="spellEnd"/>
      <w:r w:rsidRPr="00F54FF7">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6069D05B" w14:textId="77777777" w:rsidR="00F163CD" w:rsidRPr="00F54FF7" w:rsidRDefault="00F163CD" w:rsidP="00F163CD">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566B2C5E" w14:textId="77777777" w:rsidR="00F163CD" w:rsidRPr="00F54FF7" w:rsidRDefault="00F163CD" w:rsidP="00F163CD">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6891EEE8" w14:textId="77777777" w:rsidR="00F163CD" w:rsidRPr="00F54FF7" w:rsidRDefault="00F163CD" w:rsidP="00F163CD">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4187358A" w14:textId="77777777" w:rsidR="00F163CD" w:rsidRPr="00F54FF7" w:rsidRDefault="00F163CD" w:rsidP="00F163CD">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7B1DC140" w14:textId="77777777" w:rsidR="00F163CD" w:rsidRPr="00F54FF7" w:rsidRDefault="00F163CD" w:rsidP="00F163CD">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3F8BB773" w14:textId="77777777" w:rsidR="00F163CD" w:rsidRPr="00C87581" w:rsidRDefault="00F163CD" w:rsidP="00F163CD">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w:t>
      </w:r>
      <w:r w:rsidRPr="00F54FF7">
        <w:rPr>
          <w:rFonts w:ascii="Palatino Linotype" w:eastAsia="Calibri" w:hAnsi="Palatino Linotype" w:cs="Arial"/>
          <w:i/>
          <w:lang w:val="es-ES_tradnl" w:eastAsia="es-MX"/>
        </w:rPr>
        <w:lastRenderedPageBreak/>
        <w:t>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Pr>
          <w:rFonts w:ascii="Palatino Linotype" w:eastAsia="Calibri" w:hAnsi="Palatino Linotype" w:cs="Arial"/>
          <w:b/>
          <w:i/>
          <w:lang w:val="es-ES_tradnl" w:eastAsia="es-MX"/>
        </w:rPr>
        <w:t>[Sic]</w:t>
      </w:r>
    </w:p>
    <w:p w14:paraId="6E0992B6" w14:textId="77777777" w:rsidR="00F163CD" w:rsidRDefault="00F163CD" w:rsidP="00F163CD">
      <w:pPr>
        <w:spacing w:line="360" w:lineRule="auto"/>
        <w:jc w:val="both"/>
        <w:rPr>
          <w:rFonts w:ascii="Palatino Linotype" w:eastAsia="Palatino Linotype" w:hAnsi="Palatino Linotype" w:cs="Palatino Linotype"/>
          <w:lang w:eastAsia="es-MX"/>
        </w:rPr>
      </w:pPr>
    </w:p>
    <w:p w14:paraId="004E4B74" w14:textId="77777777" w:rsidR="006D10F7" w:rsidRPr="00C9458E" w:rsidRDefault="006D10F7" w:rsidP="006D10F7">
      <w:pPr>
        <w:spacing w:line="360" w:lineRule="auto"/>
        <w:jc w:val="both"/>
        <w:rPr>
          <w:rFonts w:ascii="Palatino Linotype" w:eastAsia="Palatino Linotype" w:hAnsi="Palatino Linotype" w:cs="Palatino Linotype"/>
        </w:rPr>
      </w:pPr>
      <w:r w:rsidRPr="00C9458E">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número de OCR, CURP</w:t>
      </w:r>
      <w:r>
        <w:rPr>
          <w:rFonts w:ascii="Palatino Linotype" w:eastAsia="Palatino Linotype" w:hAnsi="Palatino Linotype" w:cs="Palatino Linotype"/>
        </w:rPr>
        <w:t xml:space="preserve">, el número de cuenta bancaria </w:t>
      </w:r>
      <w:r w:rsidRPr="00C9458E">
        <w:rPr>
          <w:rFonts w:ascii="Palatino Linotype" w:eastAsia="Palatino Linotype" w:hAnsi="Palatino Linotype" w:cs="Palatino Linotype"/>
        </w:rPr>
        <w:t>que sean exclusivamente de particulares, entre otros.</w:t>
      </w:r>
    </w:p>
    <w:p w14:paraId="56B15404" w14:textId="77777777" w:rsidR="006D10F7" w:rsidRPr="009132A0" w:rsidRDefault="006D10F7" w:rsidP="006D10F7">
      <w:pPr>
        <w:pStyle w:val="Prrafodelista"/>
        <w:numPr>
          <w:ilvl w:val="0"/>
          <w:numId w:val="17"/>
        </w:numPr>
        <w:spacing w:line="360" w:lineRule="auto"/>
        <w:jc w:val="both"/>
        <w:rPr>
          <w:rFonts w:ascii="Palatino Linotype" w:eastAsia="Palatino Linotype" w:hAnsi="Palatino Linotype" w:cs="Palatino Linotype"/>
        </w:rPr>
      </w:pPr>
      <w:r w:rsidRPr="009132A0">
        <w:rPr>
          <w:rFonts w:ascii="Palatino Linotype" w:eastAsia="Palatino Linotype" w:hAnsi="Palatino Linotype" w:cs="Palatino Linotype"/>
        </w:rPr>
        <w:t xml:space="preserve">La </w:t>
      </w:r>
      <w:r w:rsidRPr="009132A0">
        <w:rPr>
          <w:rFonts w:ascii="Palatino Linotype" w:eastAsia="Palatino Linotype" w:hAnsi="Palatino Linotype" w:cs="Palatino Linotype"/>
          <w:b/>
        </w:rPr>
        <w:t>clave de elector</w:t>
      </w:r>
      <w:r w:rsidRPr="009132A0">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9132A0">
        <w:rPr>
          <w:rFonts w:ascii="Palatino Linotype" w:eastAsia="Palatino Linotype" w:hAnsi="Palatino Linotype" w:cs="Palatino Linotype"/>
        </w:rPr>
        <w:t>homoclave</w:t>
      </w:r>
      <w:proofErr w:type="spellEnd"/>
      <w:r w:rsidRPr="009132A0">
        <w:rPr>
          <w:rFonts w:ascii="Palatino Linotype" w:eastAsia="Palatino Linotype" w:hAnsi="Palatino Linotype" w:cs="Palatino Linotype"/>
        </w:rPr>
        <w:t xml:space="preserve"> que distingue a su titular de cualquier otro homónimo, por lo tanto, se trata de un dato personal que debe ser protegido.</w:t>
      </w:r>
    </w:p>
    <w:p w14:paraId="6BF1041B" w14:textId="77777777" w:rsidR="006D10F7" w:rsidRDefault="006D10F7" w:rsidP="006D10F7">
      <w:pPr>
        <w:spacing w:line="360" w:lineRule="auto"/>
        <w:jc w:val="both"/>
        <w:rPr>
          <w:rFonts w:ascii="Palatino Linotype" w:eastAsia="Palatino Linotype" w:hAnsi="Palatino Linotype" w:cs="Palatino Linotype"/>
        </w:rPr>
      </w:pPr>
    </w:p>
    <w:p w14:paraId="18376231" w14:textId="77777777" w:rsidR="006D10F7" w:rsidRDefault="006D10F7" w:rsidP="006D10F7">
      <w:pPr>
        <w:pStyle w:val="Prrafodelista"/>
        <w:numPr>
          <w:ilvl w:val="0"/>
          <w:numId w:val="17"/>
        </w:numPr>
        <w:spacing w:line="360" w:lineRule="auto"/>
        <w:jc w:val="both"/>
        <w:rPr>
          <w:rFonts w:ascii="Palatino Linotype" w:eastAsia="Palatino Linotype" w:hAnsi="Palatino Linotype" w:cs="Palatino Linotype"/>
        </w:rPr>
      </w:pPr>
      <w:r w:rsidRPr="009132A0">
        <w:rPr>
          <w:rFonts w:ascii="Palatino Linotype" w:eastAsia="Palatino Linotype" w:hAnsi="Palatino Linotype" w:cs="Palatino Linotype"/>
        </w:rPr>
        <w:t xml:space="preserve">El </w:t>
      </w:r>
      <w:r w:rsidRPr="009132A0">
        <w:rPr>
          <w:rFonts w:ascii="Palatino Linotype" w:eastAsia="Palatino Linotype" w:hAnsi="Palatino Linotype" w:cs="Palatino Linotype"/>
          <w:b/>
        </w:rPr>
        <w:t>número de OCR,</w:t>
      </w:r>
      <w:r w:rsidRPr="009132A0">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9132A0">
        <w:rPr>
          <w:rFonts w:ascii="Palatino Linotype" w:eastAsia="Palatino Linotype" w:hAnsi="Palatino Linotype" w:cs="Palatino Linotype"/>
        </w:rPr>
        <w:t>geoelectoral</w:t>
      </w:r>
      <w:proofErr w:type="spellEnd"/>
      <w:r w:rsidRPr="009132A0">
        <w:rPr>
          <w:rFonts w:ascii="Palatino Linotype" w:eastAsia="Palatino Linotype" w:hAnsi="Palatino Linotype" w:cs="Palatino Linotype"/>
        </w:rPr>
        <w:t xml:space="preserve"> ahí contenida, por lo que es susceptible de resguardarse.</w:t>
      </w:r>
    </w:p>
    <w:p w14:paraId="1FBEB850" w14:textId="77777777" w:rsidR="006D10F7" w:rsidRPr="009132A0" w:rsidRDefault="006D10F7" w:rsidP="006D10F7">
      <w:pPr>
        <w:pStyle w:val="Prrafodelista"/>
        <w:rPr>
          <w:rFonts w:ascii="Palatino Linotype" w:eastAsia="Palatino Linotype" w:hAnsi="Palatino Linotype" w:cs="Palatino Linotype"/>
        </w:rPr>
      </w:pPr>
    </w:p>
    <w:p w14:paraId="72B1859D" w14:textId="77777777" w:rsidR="006D10F7" w:rsidRPr="006D10F7" w:rsidRDefault="006D10F7" w:rsidP="006D10F7">
      <w:pPr>
        <w:pStyle w:val="Prrafodelista"/>
        <w:numPr>
          <w:ilvl w:val="0"/>
          <w:numId w:val="17"/>
        </w:numPr>
        <w:spacing w:line="360" w:lineRule="auto"/>
        <w:ind w:right="50"/>
        <w:jc w:val="both"/>
        <w:rPr>
          <w:rFonts w:ascii="Palatino Linotype" w:eastAsia="Palatino Linotype" w:hAnsi="Palatino Linotype" w:cs="Palatino Linotype"/>
        </w:rPr>
      </w:pPr>
      <w:r w:rsidRPr="006D10F7">
        <w:rPr>
          <w:rFonts w:ascii="Palatino Linotype" w:eastAsiaTheme="minorHAnsi" w:hAnsi="Palatino Linotype" w:cstheme="minorBidi"/>
          <w:b/>
          <w:szCs w:val="14"/>
        </w:rPr>
        <w:t xml:space="preserve"> </w:t>
      </w:r>
      <w:r w:rsidRPr="006D10F7">
        <w:rPr>
          <w:rFonts w:ascii="Palatino Linotype" w:eastAsia="Palatino Linotype" w:hAnsi="Palatino Linotype" w:cs="Palatino Linotype"/>
        </w:rPr>
        <w:t xml:space="preserve">Igualmente, resulta importante destacar que el </w:t>
      </w:r>
      <w:r w:rsidRPr="006D10F7">
        <w:rPr>
          <w:rFonts w:ascii="Palatino Linotype" w:eastAsia="Palatino Linotype" w:hAnsi="Palatino Linotype" w:cs="Palatino Linotype"/>
          <w:b/>
          <w:i/>
        </w:rPr>
        <w:t>número de cuenta bancaria</w:t>
      </w:r>
      <w:r w:rsidRPr="006D10F7">
        <w:rPr>
          <w:rFonts w:ascii="Palatino Linotype" w:eastAsia="Palatino Linotype" w:hAnsi="Palatino Linotype" w:cs="Palatino Linotype"/>
          <w:b/>
        </w:rPr>
        <w:t xml:space="preserve"> de las personas físicas y morales privadas </w:t>
      </w:r>
      <w:r w:rsidRPr="006D10F7">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r>
        <w:rPr>
          <w:rFonts w:ascii="Palatino Linotype" w:eastAsia="Palatino Linotype" w:hAnsi="Palatino Linotype" w:cs="Palatino Linotype"/>
        </w:rPr>
        <w:t xml:space="preserve"> </w:t>
      </w:r>
      <w:r w:rsidRPr="006D10F7">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1F5FCCDA" w14:textId="77777777" w:rsidR="00F163CD" w:rsidRDefault="00F163CD" w:rsidP="00F163CD">
      <w:pPr>
        <w:spacing w:line="360" w:lineRule="auto"/>
        <w:ind w:right="51"/>
        <w:jc w:val="both"/>
        <w:rPr>
          <w:rFonts w:ascii="Palatino Linotype" w:eastAsia="Calibri" w:hAnsi="Palatino Linotype" w:cs="Arial"/>
          <w:lang w:val="es-ES_tradnl" w:eastAsia="es-MX"/>
        </w:rPr>
      </w:pPr>
    </w:p>
    <w:p w14:paraId="39428191" w14:textId="77777777" w:rsidR="00225FE9" w:rsidRPr="00032831" w:rsidRDefault="00225FE9" w:rsidP="00225FE9">
      <w:pPr>
        <w:spacing w:line="360" w:lineRule="auto"/>
        <w:jc w:val="both"/>
        <w:rPr>
          <w:rFonts w:ascii="Palatino Linotype" w:eastAsia="Calibri" w:hAnsi="Palatino Linotype" w:cs="Tahoma"/>
          <w:bCs/>
          <w:color w:val="000000"/>
        </w:rPr>
      </w:pPr>
      <w:r w:rsidRPr="00032831">
        <w:rPr>
          <w:rFonts w:ascii="Palatino Linotype" w:eastAsia="Calibri" w:hAnsi="Palatino Linotype" w:cs="Tahoma"/>
          <w:bCs/>
          <w:color w:val="000000"/>
        </w:rPr>
        <w:t xml:space="preserve">En relación a los </w:t>
      </w:r>
      <w:r w:rsidRPr="00032831">
        <w:rPr>
          <w:rFonts w:ascii="Palatino Linotype" w:eastAsia="Calibri" w:hAnsi="Palatino Linotype" w:cs="Tahoma"/>
          <w:b/>
          <w:bCs/>
          <w:color w:val="000000"/>
          <w:u w:val="single"/>
        </w:rPr>
        <w:t>números de cuenta bancarias</w:t>
      </w:r>
      <w:r w:rsidRPr="00032831">
        <w:rPr>
          <w:rFonts w:ascii="Palatino Linotype" w:eastAsia="Calibri" w:hAnsi="Palatino Linotype" w:cs="Tahoma"/>
          <w:bCs/>
          <w:color w:val="000000"/>
        </w:rPr>
        <w:t xml:space="preserve"> del </w:t>
      </w:r>
      <w:r w:rsidRPr="00032831">
        <w:rPr>
          <w:rFonts w:ascii="Palatino Linotype" w:eastAsia="Calibri" w:hAnsi="Palatino Linotype" w:cs="Tahoma"/>
          <w:b/>
          <w:bCs/>
          <w:color w:val="000000"/>
        </w:rPr>
        <w:t>Sujeto Obligado</w:t>
      </w:r>
      <w:r w:rsidRPr="00032831">
        <w:rPr>
          <w:rFonts w:ascii="Palatino Linotype" w:eastAsia="Calibri" w:hAnsi="Palatino Linotype" w:cs="Tahoma"/>
          <w:bCs/>
          <w:color w:val="000000"/>
        </w:rPr>
        <w:t xml:space="preserve">, en </w:t>
      </w:r>
      <w:r w:rsidRPr="00032831">
        <w:rPr>
          <w:rFonts w:ascii="Palatino Linotype" w:hAnsi="Palatino Linotype"/>
        </w:rPr>
        <w:t xml:space="preserve">donde se transfieren recursos públicos, </w:t>
      </w:r>
      <w:r w:rsidRPr="00032831">
        <w:rPr>
          <w:rFonts w:ascii="Palatino Linotype" w:hAnsi="Palatino Linotype"/>
          <w:b/>
          <w:u w:val="single"/>
        </w:rPr>
        <w:t>son considerados como información pública</w:t>
      </w:r>
      <w:r w:rsidRPr="00032831">
        <w:rPr>
          <w:rFonts w:ascii="Palatino Linotype" w:hAnsi="Palatino Linotype"/>
        </w:rPr>
        <w:t>, pues su difusión favorece la rendición de cuentas al transparentar la forma en que se administrar los recursos públicos; situación que se robustece con el Criterio</w:t>
      </w:r>
      <w:r>
        <w:rPr>
          <w:rFonts w:ascii="Palatino Linotype" w:hAnsi="Palatino Linotype"/>
        </w:rPr>
        <w:t xml:space="preserve"> orientador</w:t>
      </w:r>
      <w:r w:rsidRPr="00032831">
        <w:rPr>
          <w:rFonts w:ascii="Palatino Linotype" w:hAnsi="Palatino Linotype"/>
        </w:rPr>
        <w:t xml:space="preserve"> 11/17, del</w:t>
      </w:r>
      <w:r>
        <w:rPr>
          <w:rFonts w:ascii="Palatino Linotype" w:hAnsi="Palatino Linotype"/>
        </w:rPr>
        <w:t xml:space="preserve"> entonces</w:t>
      </w:r>
      <w:r w:rsidRPr="00032831">
        <w:rPr>
          <w:rFonts w:ascii="Palatino Linotype" w:hAnsi="Palatino Linotype"/>
        </w:rPr>
        <w:t xml:space="preserve"> Instituto Nacional de Transparencia, Acceso a la Información y Protección de Datos Personales, que a la letra precisa:</w:t>
      </w:r>
    </w:p>
    <w:p w14:paraId="47715E42" w14:textId="77777777" w:rsidR="00225FE9" w:rsidRPr="00C8686C" w:rsidRDefault="00225FE9" w:rsidP="00225FE9">
      <w:pPr>
        <w:ind w:left="567" w:right="567"/>
        <w:jc w:val="both"/>
        <w:rPr>
          <w:rFonts w:ascii="Palatino Linotype" w:hAnsi="Palatino Linotype"/>
          <w:i/>
          <w:iCs/>
          <w:szCs w:val="20"/>
        </w:rPr>
      </w:pPr>
      <w:r w:rsidRPr="00C8686C">
        <w:rPr>
          <w:rFonts w:ascii="Palatino Linotype" w:hAnsi="Palatino Linotype"/>
          <w:b/>
          <w:i/>
          <w:iCs/>
          <w:szCs w:val="20"/>
        </w:rPr>
        <w:t>“Cuentas bancarias y/o CLABE interbancaria de sujetos obligados que reciben y/o transfieren recursos públicos, son información pública.</w:t>
      </w:r>
      <w:r w:rsidRPr="00C8686C">
        <w:rPr>
          <w:rFonts w:ascii="Palatino Linotype" w:hAnsi="Palatino Linotype"/>
          <w:i/>
          <w:iCs/>
          <w:szCs w:val="20"/>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339E7DC" w14:textId="77777777" w:rsidR="00225FE9" w:rsidRPr="00C8686C" w:rsidRDefault="00225FE9" w:rsidP="00225FE9">
      <w:pPr>
        <w:spacing w:line="360" w:lineRule="auto"/>
        <w:ind w:right="51"/>
        <w:jc w:val="both"/>
        <w:rPr>
          <w:rFonts w:ascii="Palatino Linotype" w:hAnsi="Palatino Linotype" w:cs="Arial"/>
        </w:rPr>
      </w:pPr>
    </w:p>
    <w:p w14:paraId="3F80D39D" w14:textId="77777777" w:rsidR="00225FE9" w:rsidRPr="00032831" w:rsidRDefault="00225FE9" w:rsidP="00225FE9">
      <w:pPr>
        <w:spacing w:line="360" w:lineRule="auto"/>
        <w:jc w:val="both"/>
        <w:rPr>
          <w:rFonts w:ascii="Palatino Linotype" w:hAnsi="Palatino Linotype"/>
        </w:rPr>
      </w:pPr>
      <w:r w:rsidRPr="00032831">
        <w:rPr>
          <w:rFonts w:ascii="Palatino Linotype" w:hAnsi="Palatino Linotype" w:cs="Arial"/>
        </w:rPr>
        <w:t xml:space="preserve">Por otro lado, el </w:t>
      </w:r>
      <w:r w:rsidRPr="00032831">
        <w:rPr>
          <w:rFonts w:ascii="Palatino Linotype" w:hAnsi="Palatino Linotype"/>
        </w:rPr>
        <w:t xml:space="preserve">Criterio </w:t>
      </w:r>
      <w:r>
        <w:rPr>
          <w:rFonts w:ascii="Palatino Linotype" w:hAnsi="Palatino Linotype"/>
        </w:rPr>
        <w:t xml:space="preserve">orientador </w:t>
      </w:r>
      <w:r w:rsidRPr="00032831">
        <w:rPr>
          <w:rFonts w:ascii="Palatino Linotype" w:hAnsi="Palatino Linotype"/>
        </w:rPr>
        <w:t>11/17 establece que el número de cuenta de particulares es información confidencial, del</w:t>
      </w:r>
      <w:r>
        <w:rPr>
          <w:rFonts w:ascii="Palatino Linotype" w:hAnsi="Palatino Linotype"/>
        </w:rPr>
        <w:t xml:space="preserve"> entonces</w:t>
      </w:r>
      <w:r w:rsidRPr="00032831">
        <w:rPr>
          <w:rFonts w:ascii="Palatino Linotype" w:hAnsi="Palatino Linotype"/>
        </w:rPr>
        <w:t xml:space="preserve"> Instituto Nacional de </w:t>
      </w:r>
      <w:r w:rsidRPr="00032831">
        <w:rPr>
          <w:rFonts w:ascii="Palatino Linotype" w:hAnsi="Palatino Linotype"/>
        </w:rPr>
        <w:lastRenderedPageBreak/>
        <w:t>Transparencia, Acceso a la Información y Protección de Datos Personales, que a la letra precisa:</w:t>
      </w:r>
    </w:p>
    <w:p w14:paraId="4C430F11" w14:textId="77777777" w:rsidR="00225FE9" w:rsidRPr="00C8686C" w:rsidRDefault="00225FE9" w:rsidP="00225FE9">
      <w:pPr>
        <w:pStyle w:val="Citas"/>
        <w:rPr>
          <w:b/>
        </w:rPr>
      </w:pPr>
      <w:bookmarkStart w:id="2" w:name="_Toc103270313"/>
      <w:r w:rsidRPr="00C8686C">
        <w:rPr>
          <w:b/>
        </w:rPr>
        <w:t>CRITERIO: 10/17.- Cuentas bancarias y/o CLABE interbancaria de personas físicas y morales privadas.</w:t>
      </w:r>
      <w:bookmarkEnd w:id="2"/>
    </w:p>
    <w:p w14:paraId="43A5E1A2" w14:textId="77777777" w:rsidR="00225FE9" w:rsidRPr="00C8686C" w:rsidRDefault="00225FE9" w:rsidP="00225FE9">
      <w:pPr>
        <w:pStyle w:val="Citas"/>
      </w:pPr>
      <w:r w:rsidRPr="00220CF2">
        <w:rPr>
          <w:b/>
        </w:rPr>
        <w:t>El número de cuenta bancaria y/o CLABE interbancaria de particulares es información confidencial</w:t>
      </w:r>
      <w:r w:rsidRPr="00C8686C">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4DCDD141" w14:textId="77777777" w:rsidR="00225FE9" w:rsidRDefault="00225FE9" w:rsidP="00225FE9">
      <w:pPr>
        <w:spacing w:line="360" w:lineRule="auto"/>
        <w:jc w:val="both"/>
        <w:rPr>
          <w:rFonts w:ascii="Palatino Linotype" w:hAnsi="Palatino Linotype" w:cs="Arial"/>
          <w:lang w:val="es-ES_tradnl" w:eastAsia="es-MX"/>
        </w:rPr>
      </w:pPr>
      <w:r>
        <w:rPr>
          <w:rFonts w:ascii="Palatino Linotype" w:hAnsi="Palatino Linotype"/>
          <w:color w:val="000000"/>
        </w:rPr>
        <w:t xml:space="preserve">El RFC de las personas físicas proveedores o contratistas es público de conformidad con el Criterio Orientador del entonces INAI </w:t>
      </w:r>
      <w:r w:rsidRPr="008E6824">
        <w:rPr>
          <w:rFonts w:ascii="Palatino Linotype" w:hAnsi="Palatino Linotype" w:cs="Arial"/>
          <w:b/>
          <w:lang w:eastAsia="es-MX"/>
        </w:rPr>
        <w:t>004/2021</w:t>
      </w:r>
      <w:r w:rsidRPr="006C599E">
        <w:rPr>
          <w:rFonts w:ascii="Palatino Linotype" w:hAnsi="Palatino Linotype" w:cs="Arial"/>
          <w:b/>
          <w:lang w:val="es-ES_tradnl" w:eastAsia="es-MX"/>
        </w:rPr>
        <w:t>,</w:t>
      </w:r>
      <w:r w:rsidRPr="006C599E">
        <w:rPr>
          <w:rFonts w:ascii="Palatino Linotype" w:hAnsi="Palatino Linotype" w:cs="Arial"/>
          <w:lang w:val="es-ES_tradnl" w:eastAsia="es-MX"/>
        </w:rPr>
        <w:t xml:space="preserve"> el cual es del tenor literal siguiente:</w:t>
      </w:r>
    </w:p>
    <w:p w14:paraId="6BE17670" w14:textId="77777777" w:rsidR="00225FE9" w:rsidRDefault="00225FE9" w:rsidP="00225FE9">
      <w:pPr>
        <w:autoSpaceDE w:val="0"/>
        <w:autoSpaceDN w:val="0"/>
        <w:adjustRightInd w:val="0"/>
        <w:spacing w:before="240"/>
        <w:ind w:left="851" w:right="851"/>
        <w:jc w:val="center"/>
        <w:rPr>
          <w:rFonts w:ascii="Palatino Linotype" w:hAnsi="Palatino Linotype" w:cs="Arial"/>
          <w:b/>
          <w:bCs/>
          <w:i/>
        </w:rPr>
      </w:pPr>
      <w:r w:rsidRPr="001571EB">
        <w:rPr>
          <w:rFonts w:ascii="Palatino Linotype" w:hAnsi="Palatino Linotype" w:cs="Arial"/>
          <w:bCs/>
          <w:i/>
        </w:rPr>
        <w:t>“</w:t>
      </w:r>
      <w:r w:rsidRPr="00BA3B27">
        <w:rPr>
          <w:rFonts w:ascii="Palatino Linotype" w:hAnsi="Palatino Linotype" w:cs="Arial"/>
          <w:b/>
          <w:bCs/>
          <w:i/>
        </w:rPr>
        <w:t>Registro Federal de Contribuyentes (RFC) de personas fís</w:t>
      </w:r>
      <w:r>
        <w:rPr>
          <w:rFonts w:ascii="Palatino Linotype" w:hAnsi="Palatino Linotype" w:cs="Arial"/>
          <w:b/>
          <w:bCs/>
          <w:i/>
        </w:rPr>
        <w:t>icas proveedores o contratistas</w:t>
      </w:r>
      <w:r w:rsidRPr="001571EB">
        <w:rPr>
          <w:rFonts w:ascii="Palatino Linotype" w:hAnsi="Palatino Linotype" w:cs="Arial"/>
          <w:b/>
          <w:bCs/>
          <w:i/>
        </w:rPr>
        <w:t>.</w:t>
      </w:r>
    </w:p>
    <w:p w14:paraId="43899FFF" w14:textId="77777777" w:rsidR="00225FE9" w:rsidRDefault="00225FE9" w:rsidP="00225FE9">
      <w:pPr>
        <w:autoSpaceDE w:val="0"/>
        <w:autoSpaceDN w:val="0"/>
        <w:adjustRightInd w:val="0"/>
        <w:spacing w:before="240"/>
        <w:ind w:left="851" w:right="851"/>
        <w:jc w:val="both"/>
        <w:rPr>
          <w:rFonts w:ascii="Palatino Linotype" w:hAnsi="Palatino Linotype" w:cs="Arial"/>
          <w:bCs/>
          <w:i/>
        </w:rPr>
      </w:pPr>
      <w:r w:rsidRPr="00C31426">
        <w:rPr>
          <w:rFonts w:ascii="Palatino Linotype" w:hAnsi="Palatino Linotype" w:cs="Arial"/>
          <w:b/>
          <w:bCs/>
          <w:i/>
        </w:rPr>
        <w:t>El RFC de contratistas o proveedores de sujetos obligados debe ser público</w:t>
      </w:r>
      <w:r w:rsidRPr="00BA3B27">
        <w:rPr>
          <w:rFonts w:ascii="Palatino Linotype" w:hAnsi="Palatino Linotype" w:cs="Arial"/>
          <w:bCs/>
          <w:i/>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11CBD67A" w14:textId="77777777" w:rsidR="00225FE9" w:rsidRPr="00BA3B27" w:rsidRDefault="00225FE9" w:rsidP="00225FE9">
      <w:pPr>
        <w:autoSpaceDE w:val="0"/>
        <w:autoSpaceDN w:val="0"/>
        <w:adjustRightInd w:val="0"/>
        <w:spacing w:before="240"/>
        <w:ind w:left="851" w:right="851"/>
        <w:jc w:val="both"/>
        <w:rPr>
          <w:rFonts w:ascii="Palatino Linotype" w:hAnsi="Palatino Linotype" w:cs="Arial"/>
          <w:b/>
          <w:i/>
        </w:rPr>
      </w:pPr>
      <w:r w:rsidRPr="00BA3B27">
        <w:rPr>
          <w:rFonts w:ascii="Palatino Linotype" w:hAnsi="Palatino Linotype" w:cs="Arial"/>
          <w:b/>
          <w:i/>
        </w:rPr>
        <w:t>Precedentes:</w:t>
      </w:r>
    </w:p>
    <w:p w14:paraId="53EFBBD1" w14:textId="77777777" w:rsidR="00225FE9" w:rsidRPr="00BA3B27" w:rsidRDefault="00225FE9" w:rsidP="00225FE9">
      <w:pPr>
        <w:numPr>
          <w:ilvl w:val="0"/>
          <w:numId w:val="18"/>
        </w:numPr>
        <w:autoSpaceDE w:val="0"/>
        <w:autoSpaceDN w:val="0"/>
        <w:adjustRightInd w:val="0"/>
        <w:spacing w:before="240" w:after="160"/>
        <w:ind w:right="851"/>
        <w:jc w:val="both"/>
        <w:rPr>
          <w:rFonts w:ascii="Palatino Linotype" w:hAnsi="Palatino Linotype" w:cs="Arial"/>
          <w:i/>
        </w:rPr>
      </w:pPr>
      <w:r w:rsidRPr="00BA3B27">
        <w:rPr>
          <w:rFonts w:ascii="Palatino Linotype" w:hAnsi="Palatino Linotype" w:cs="Arial"/>
          <w:i/>
        </w:rPr>
        <w:t>Acceso a la información Pública. RRA 3639/19.</w:t>
      </w:r>
      <w:r w:rsidRPr="00BA3B27">
        <w:rPr>
          <w:rFonts w:ascii="Palatino Linotype" w:hAnsi="Palatino Linotype" w:cs="Arial"/>
          <w:bCs/>
          <w:i/>
        </w:rPr>
        <w:t xml:space="preserve"> </w:t>
      </w:r>
      <w:r w:rsidRPr="00BA3B27">
        <w:rPr>
          <w:rFonts w:ascii="Palatino Linotype" w:hAnsi="Palatino Linotype" w:cs="Arial"/>
          <w:i/>
        </w:rPr>
        <w:t xml:space="preserve">Sesión del 10 de julio de 2019. Votación por mayoría. Con voto disidente del Comisionado Joel Salas Suárez. </w:t>
      </w:r>
      <w:r w:rsidRPr="00BA3B27">
        <w:rPr>
          <w:rFonts w:ascii="Palatino Linotype" w:hAnsi="Palatino Linotype" w:cs="Arial"/>
          <w:i/>
        </w:rPr>
        <w:lastRenderedPageBreak/>
        <w:t xml:space="preserve">Instituto para la Protección del Ahorro Bancario. Comisionada Ponente María Patricia </w:t>
      </w:r>
      <w:proofErr w:type="spellStart"/>
      <w:r w:rsidRPr="00BA3B27">
        <w:rPr>
          <w:rFonts w:ascii="Palatino Linotype" w:hAnsi="Palatino Linotype" w:cs="Arial"/>
          <w:i/>
        </w:rPr>
        <w:t>Kurczyn</w:t>
      </w:r>
      <w:proofErr w:type="spellEnd"/>
      <w:r w:rsidRPr="00BA3B27">
        <w:rPr>
          <w:rFonts w:ascii="Palatino Linotype" w:hAnsi="Palatino Linotype" w:cs="Arial"/>
          <w:i/>
        </w:rPr>
        <w:t xml:space="preserve"> Villalobos.</w:t>
      </w:r>
    </w:p>
    <w:p w14:paraId="2F05354A" w14:textId="77777777" w:rsidR="00225FE9" w:rsidRPr="00BA3B27" w:rsidRDefault="00225FE9" w:rsidP="00225FE9">
      <w:pPr>
        <w:numPr>
          <w:ilvl w:val="0"/>
          <w:numId w:val="18"/>
        </w:numPr>
        <w:autoSpaceDE w:val="0"/>
        <w:autoSpaceDN w:val="0"/>
        <w:adjustRightInd w:val="0"/>
        <w:spacing w:before="240" w:after="160"/>
        <w:ind w:right="851"/>
        <w:jc w:val="both"/>
        <w:rPr>
          <w:rFonts w:ascii="Palatino Linotype" w:hAnsi="Palatino Linotype" w:cs="Arial"/>
          <w:bCs/>
          <w:i/>
        </w:rPr>
      </w:pPr>
      <w:r w:rsidRPr="00BA3B27">
        <w:rPr>
          <w:rFonts w:ascii="Palatino Linotype" w:hAnsi="Palatino Linotype" w:cs="Arial"/>
          <w:i/>
        </w:rPr>
        <w:t>Acceso a la información Pública. RRA 7709/19.</w:t>
      </w:r>
      <w:r w:rsidRPr="00BA3B27">
        <w:rPr>
          <w:rFonts w:ascii="Palatino Linotype" w:hAnsi="Palatino Linotype" w:cs="Arial"/>
          <w:bCs/>
          <w:i/>
        </w:rPr>
        <w:t xml:space="preserve"> </w:t>
      </w:r>
      <w:r w:rsidRPr="00BA3B27">
        <w:rPr>
          <w:rFonts w:ascii="Palatino Linotype" w:hAnsi="Palatino Linotype" w:cs="Arial"/>
          <w:i/>
        </w:rPr>
        <w:t>Sesión del 13 de agosto de 2019. Votación por unanimidad. Con voto particular de la Comisionada Josefina Román Vergara. Suprema Corte de Justicia de la Nación. Comisionada Ponente Josefina Román Vergara.</w:t>
      </w:r>
    </w:p>
    <w:p w14:paraId="75DA3517" w14:textId="77777777" w:rsidR="00225FE9" w:rsidRPr="00BA3B27" w:rsidRDefault="00225FE9" w:rsidP="00225FE9">
      <w:pPr>
        <w:numPr>
          <w:ilvl w:val="0"/>
          <w:numId w:val="18"/>
        </w:numPr>
        <w:autoSpaceDE w:val="0"/>
        <w:autoSpaceDN w:val="0"/>
        <w:adjustRightInd w:val="0"/>
        <w:spacing w:before="240" w:after="160"/>
        <w:ind w:left="851" w:right="851"/>
        <w:jc w:val="both"/>
        <w:rPr>
          <w:rFonts w:ascii="Palatino Linotype" w:hAnsi="Palatino Linotype" w:cs="Arial"/>
          <w:b/>
          <w:i/>
        </w:rPr>
      </w:pPr>
      <w:r w:rsidRPr="00BA3B27">
        <w:rPr>
          <w:rFonts w:ascii="Palatino Linotype" w:hAnsi="Palatino Linotype" w:cs="Arial"/>
          <w:i/>
        </w:rPr>
        <w:t>Acceso a la información Pública. RRA 5774/19.</w:t>
      </w:r>
      <w:r w:rsidRPr="00BA3B27">
        <w:rPr>
          <w:rFonts w:ascii="Palatino Linotype" w:hAnsi="Palatino Linotype" w:cs="Arial"/>
          <w:bCs/>
          <w:i/>
        </w:rPr>
        <w:t xml:space="preserve"> </w:t>
      </w:r>
      <w:r w:rsidRPr="00BA3B27">
        <w:rPr>
          <w:rFonts w:ascii="Palatino Linotype" w:hAnsi="Palatino Linotype" w:cs="Arial"/>
          <w:i/>
        </w:rPr>
        <w:t>Sesión del 21 de agosto de 2019. Votación por mayoría. Con voto disidente del Comisionado Joel Salas Suárez. Secretaría de Marina. Comisionada Ponente Blanca Lilia Ibarra Cadena.” [Sic]</w:t>
      </w:r>
    </w:p>
    <w:p w14:paraId="4F33B20F" w14:textId="77777777" w:rsidR="00225FE9" w:rsidRDefault="00225FE9" w:rsidP="00225FE9">
      <w:pPr>
        <w:spacing w:line="360" w:lineRule="auto"/>
        <w:ind w:right="50"/>
        <w:jc w:val="both"/>
        <w:rPr>
          <w:rFonts w:ascii="Palatino Linotype" w:eastAsia="Palatino Linotype" w:hAnsi="Palatino Linotype" w:cs="Palatino Linotype"/>
        </w:rPr>
      </w:pPr>
    </w:p>
    <w:p w14:paraId="0D42C949" w14:textId="77777777" w:rsidR="00F163CD" w:rsidRDefault="00F163CD" w:rsidP="00F163CD">
      <w:pPr>
        <w:spacing w:line="360" w:lineRule="auto"/>
        <w:ind w:right="51"/>
        <w:jc w:val="both"/>
        <w:rPr>
          <w:rFonts w:ascii="Palatino Linotype" w:eastAsia="Calibri" w:hAnsi="Palatino Linotype" w:cs="Arial"/>
          <w:lang w:val="es-ES_tradnl" w:eastAsia="es-MX"/>
        </w:rPr>
      </w:pPr>
    </w:p>
    <w:p w14:paraId="5630B535" w14:textId="77777777" w:rsidR="00F163CD" w:rsidRDefault="00F163CD" w:rsidP="00F163CD">
      <w:pPr>
        <w:spacing w:line="360" w:lineRule="auto"/>
        <w:ind w:right="51"/>
        <w:jc w:val="both"/>
        <w:rPr>
          <w:rFonts w:ascii="Palatino Linotype" w:eastAsia="Arial Unicode MS"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25A49B3B" w14:textId="77777777" w:rsidR="00F163CD" w:rsidRDefault="00F163CD" w:rsidP="00F163CD">
      <w:pPr>
        <w:spacing w:line="360" w:lineRule="auto"/>
        <w:jc w:val="both"/>
        <w:rPr>
          <w:rFonts w:ascii="Palatino Linotype" w:eastAsia="Palatino Linotype" w:hAnsi="Palatino Linotype" w:cs="Palatino Linotype"/>
          <w:lang w:eastAsia="es-MX"/>
        </w:rPr>
      </w:pPr>
    </w:p>
    <w:p w14:paraId="36E3EC45" w14:textId="77777777" w:rsidR="00F163CD" w:rsidRPr="002C3EC8" w:rsidRDefault="00F163CD" w:rsidP="00F163CD">
      <w:pPr>
        <w:spacing w:line="360" w:lineRule="auto"/>
        <w:jc w:val="both"/>
        <w:rPr>
          <w:rFonts w:ascii="Palatino Linotype" w:hAnsi="Palatino Linotype" w:cs="Arial"/>
        </w:rPr>
      </w:pPr>
      <w:r w:rsidRPr="002C3EC8">
        <w:rPr>
          <w:rFonts w:ascii="Palatino Linotype" w:hAnsi="Palatino Linotype"/>
        </w:rPr>
        <w:t xml:space="preserve">En mérito de lo expuesto en líneas anteriores, resultan </w:t>
      </w:r>
      <w:r>
        <w:rPr>
          <w:rFonts w:ascii="Palatino Linotype" w:hAnsi="Palatino Linotype"/>
        </w:rPr>
        <w:t xml:space="preserve">parcialmente </w:t>
      </w:r>
      <w:r w:rsidRPr="002C3EC8">
        <w:rPr>
          <w:rFonts w:ascii="Palatino Linotype" w:hAnsi="Palatino Linotype"/>
        </w:rPr>
        <w:t xml:space="preserve">fundados los motivos de inconformidad que arguye </w:t>
      </w:r>
      <w:r w:rsidRPr="002C3EC8">
        <w:rPr>
          <w:rFonts w:ascii="Palatino Linotype" w:hAnsi="Palatino Linotype"/>
          <w:bCs/>
        </w:rPr>
        <w:t>el</w:t>
      </w:r>
      <w:r w:rsidRPr="002C3EC8">
        <w:rPr>
          <w:rFonts w:ascii="Palatino Linotype" w:hAnsi="Palatino Linotype"/>
          <w:b/>
          <w:bCs/>
        </w:rPr>
        <w:t xml:space="preserve"> Recurrente </w:t>
      </w:r>
      <w:r w:rsidRPr="002C3EC8">
        <w:rPr>
          <w:rFonts w:ascii="Palatino Linotype" w:hAnsi="Palatino Linotype"/>
        </w:rPr>
        <w:t xml:space="preserve">en su medio de impugnación que fue materia de estudio, por ello </w:t>
      </w:r>
      <w:r w:rsidRPr="002C3EC8">
        <w:rPr>
          <w:rFonts w:ascii="Palatino Linotype" w:hAnsi="Palatino Linotype" w:cs="Arial"/>
        </w:rPr>
        <w:t>con fundamento en la</w:t>
      </w:r>
      <w:r w:rsidRPr="002C3EC8">
        <w:rPr>
          <w:rFonts w:ascii="Palatino Linotype" w:hAnsi="Palatino Linotype" w:cs="Arial"/>
          <w:b/>
        </w:rPr>
        <w:t xml:space="preserve"> </w:t>
      </w:r>
      <w:r>
        <w:rPr>
          <w:rFonts w:ascii="Palatino Linotype" w:hAnsi="Palatino Linotype" w:cs="Arial"/>
          <w:b/>
          <w:bCs/>
          <w:i/>
        </w:rPr>
        <w:t>segunda</w:t>
      </w:r>
      <w:r w:rsidRPr="002C3EC8">
        <w:rPr>
          <w:rFonts w:ascii="Palatino Linotype" w:hAnsi="Palatino Linotype" w:cs="Arial"/>
          <w:b/>
          <w:bCs/>
          <w:i/>
        </w:rPr>
        <w:t xml:space="preserve"> hipótesis</w:t>
      </w:r>
      <w:r w:rsidRPr="002C3EC8">
        <w:rPr>
          <w:rFonts w:ascii="Palatino Linotype" w:hAnsi="Palatino Linotype" w:cs="Arial"/>
          <w:b/>
        </w:rPr>
        <w:t xml:space="preserve"> </w:t>
      </w:r>
      <w:r w:rsidRPr="002C3EC8">
        <w:rPr>
          <w:rFonts w:ascii="Palatino Linotype" w:hAnsi="Palatino Linotype" w:cs="Arial"/>
        </w:rPr>
        <w:t>de la fracción</w:t>
      </w:r>
      <w:r w:rsidRPr="002C3EC8">
        <w:rPr>
          <w:rFonts w:ascii="Palatino Linotype" w:hAnsi="Palatino Linotype" w:cs="Arial"/>
          <w:b/>
        </w:rPr>
        <w:t xml:space="preserve"> </w:t>
      </w:r>
      <w:r w:rsidRPr="002C3EC8">
        <w:rPr>
          <w:rFonts w:ascii="Palatino Linotype" w:hAnsi="Palatino Linotype" w:cs="Arial"/>
        </w:rPr>
        <w:lastRenderedPageBreak/>
        <w:t>III, del artículo 186,</w:t>
      </w:r>
      <w:r w:rsidRPr="002C3EC8">
        <w:rPr>
          <w:rFonts w:ascii="Palatino Linotype" w:hAnsi="Palatino Linotype" w:cs="Arial"/>
          <w:b/>
        </w:rPr>
        <w:t xml:space="preserve"> </w:t>
      </w:r>
      <w:r w:rsidRPr="002C3EC8">
        <w:rPr>
          <w:rFonts w:ascii="Palatino Linotype" w:hAnsi="Palatino Linotype" w:cs="Arial"/>
        </w:rPr>
        <w:t xml:space="preserve">de la Ley de Transparencia y Acceso a la Información Pública del Estado de México y Municipios, se </w:t>
      </w:r>
      <w:r>
        <w:rPr>
          <w:rFonts w:ascii="Palatino Linotype" w:hAnsi="Palatino Linotype" w:cs="Arial"/>
          <w:b/>
        </w:rPr>
        <w:t>MODIFICA</w:t>
      </w:r>
      <w:r w:rsidRPr="002C3EC8">
        <w:rPr>
          <w:rFonts w:ascii="Palatino Linotype" w:hAnsi="Palatino Linotype" w:cs="Arial"/>
          <w:b/>
        </w:rPr>
        <w:t xml:space="preserve"> </w:t>
      </w:r>
      <w:r w:rsidRPr="002C3EC8">
        <w:rPr>
          <w:rFonts w:ascii="Palatino Linotype" w:hAnsi="Palatino Linotype" w:cs="Arial"/>
        </w:rPr>
        <w:t>la respuesta a la solicitud de información número</w:t>
      </w:r>
      <w:r w:rsidRPr="002C3EC8">
        <w:rPr>
          <w:rFonts w:ascii="Palatino Linotype" w:hAnsi="Palatino Linotype"/>
          <w:b/>
        </w:rPr>
        <w:t xml:space="preserve"> </w:t>
      </w:r>
      <w:r>
        <w:rPr>
          <w:rFonts w:ascii="Palatino Linotype" w:hAnsi="Palatino Linotype" w:cs="Arial"/>
          <w:b/>
        </w:rPr>
        <w:t xml:space="preserve">00684/TOLUCA/IP/2025, </w:t>
      </w:r>
      <w:r>
        <w:rPr>
          <w:rFonts w:ascii="Palatino Linotype" w:hAnsi="Palatino Linotype" w:cs="Arial"/>
        </w:rPr>
        <w:t>que ha</w:t>
      </w:r>
      <w:r w:rsidRPr="002C3EC8">
        <w:rPr>
          <w:rFonts w:ascii="Palatino Linotype" w:hAnsi="Palatino Linotype" w:cs="Arial"/>
        </w:rPr>
        <w:t xml:space="preserve"> sido materia del presente fallo. </w:t>
      </w:r>
    </w:p>
    <w:p w14:paraId="60EBD1A1" w14:textId="77777777" w:rsidR="00F163CD" w:rsidRPr="002C3EC8" w:rsidRDefault="00F163CD" w:rsidP="00F163CD">
      <w:pPr>
        <w:spacing w:line="360" w:lineRule="auto"/>
        <w:jc w:val="both"/>
        <w:rPr>
          <w:rFonts w:ascii="Palatino Linotype" w:hAnsi="Palatino Linotype"/>
        </w:rPr>
      </w:pPr>
      <w:r w:rsidRPr="002C3EC8">
        <w:rPr>
          <w:rFonts w:ascii="Palatino Linotype" w:hAnsi="Palatino Linotype"/>
        </w:rPr>
        <w:t>Por lo antes expuesto y fundado es de resolverse y,</w:t>
      </w:r>
    </w:p>
    <w:p w14:paraId="51D60107" w14:textId="77777777" w:rsidR="00F163CD" w:rsidRPr="009E63DA" w:rsidRDefault="00F163CD" w:rsidP="00F163CD">
      <w:pPr>
        <w:spacing w:line="360" w:lineRule="auto"/>
        <w:jc w:val="both"/>
        <w:rPr>
          <w:rFonts w:ascii="Palatino Linotype" w:hAnsi="Palatino Linotype"/>
        </w:rPr>
      </w:pPr>
    </w:p>
    <w:p w14:paraId="19F246D5" w14:textId="77777777" w:rsidR="00F163CD" w:rsidRPr="002C3EC8" w:rsidRDefault="00F163CD" w:rsidP="00F163CD">
      <w:pPr>
        <w:spacing w:before="240" w:after="240" w:line="360" w:lineRule="auto"/>
        <w:jc w:val="center"/>
        <w:rPr>
          <w:rFonts w:ascii="Palatino Linotype" w:hAnsi="Palatino Linotype"/>
          <w:b/>
          <w:spacing w:val="60"/>
          <w:sz w:val="28"/>
        </w:rPr>
      </w:pPr>
      <w:r w:rsidRPr="002C3EC8">
        <w:rPr>
          <w:rFonts w:ascii="Palatino Linotype" w:hAnsi="Palatino Linotype"/>
          <w:b/>
          <w:spacing w:val="60"/>
          <w:sz w:val="28"/>
        </w:rPr>
        <w:t>S E RESUELVE</w:t>
      </w:r>
    </w:p>
    <w:p w14:paraId="7E941252" w14:textId="77777777" w:rsidR="00F163CD" w:rsidRPr="008C27E8" w:rsidRDefault="00F163CD" w:rsidP="00F163CD">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Resultan </w:t>
      </w:r>
      <w:r w:rsidRPr="008C27E8">
        <w:rPr>
          <w:rFonts w:ascii="Palatino Linotype" w:hAnsi="Palatino Linotype" w:cs="Arial"/>
          <w:b/>
        </w:rPr>
        <w:t>fundadas</w:t>
      </w:r>
      <w:r w:rsidRPr="008C27E8">
        <w:rPr>
          <w:rFonts w:ascii="Palatino Linotype" w:hAnsi="Palatino Linotype" w:cs="Arial"/>
        </w:rPr>
        <w:t xml:space="preserve"> las razones o motivos de inconformidad planteadas por </w:t>
      </w:r>
      <w:r>
        <w:rPr>
          <w:rFonts w:ascii="Palatino Linotype" w:hAnsi="Palatino Linotype"/>
          <w:b/>
          <w:szCs w:val="17"/>
          <w:lang w:eastAsia="es-ES_tradnl"/>
        </w:rPr>
        <w:t>EL</w:t>
      </w:r>
      <w:r w:rsidRPr="008C27E8">
        <w:rPr>
          <w:rFonts w:ascii="Palatino Linotype" w:hAnsi="Palatino Linotype" w:cs="Arial"/>
          <w:b/>
        </w:rPr>
        <w:t xml:space="preserve"> RECURRENTE</w:t>
      </w:r>
      <w:r w:rsidRPr="008C27E8">
        <w:rPr>
          <w:rFonts w:ascii="Palatino Linotype" w:hAnsi="Palatino Linotype" w:cs="Arial"/>
        </w:rPr>
        <w:t xml:space="preserve">, en términos del Considerando </w:t>
      </w:r>
      <w:r>
        <w:rPr>
          <w:rFonts w:ascii="Palatino Linotype" w:hAnsi="Palatino Linotype" w:cs="Arial"/>
          <w:b/>
        </w:rPr>
        <w:t>Cuarto</w:t>
      </w:r>
      <w:r w:rsidRPr="008C27E8">
        <w:rPr>
          <w:rFonts w:ascii="Palatino Linotype" w:hAnsi="Palatino Linotype" w:cs="Arial"/>
        </w:rPr>
        <w:t xml:space="preserve"> de la presente resolución.</w:t>
      </w:r>
    </w:p>
    <w:p w14:paraId="118FD5CB" w14:textId="77777777" w:rsidR="00F163CD" w:rsidRPr="008C27E8" w:rsidRDefault="00F163CD" w:rsidP="00F163CD">
      <w:pPr>
        <w:spacing w:line="360" w:lineRule="auto"/>
        <w:jc w:val="both"/>
        <w:rPr>
          <w:rFonts w:ascii="Palatino Linotype" w:hAnsi="Palatino Linotype" w:cs="Arial"/>
          <w:b/>
          <w:szCs w:val="28"/>
        </w:rPr>
      </w:pPr>
    </w:p>
    <w:p w14:paraId="560985EA" w14:textId="77777777" w:rsidR="00F163CD" w:rsidRPr="00F82AF6" w:rsidRDefault="00F163CD" w:rsidP="00F163CD">
      <w:pPr>
        <w:spacing w:line="360" w:lineRule="auto"/>
        <w:ind w:right="49"/>
        <w:jc w:val="both"/>
        <w:rPr>
          <w:rFonts w:ascii="Palatino Linotype" w:hAnsi="Palatino Linotype" w:cs="Arial"/>
        </w:rPr>
      </w:pPr>
      <w:r w:rsidRPr="008C27E8">
        <w:rPr>
          <w:rFonts w:ascii="Palatino Linotype" w:hAnsi="Palatino Linotype" w:cs="Arial"/>
          <w:b/>
          <w:sz w:val="28"/>
          <w:szCs w:val="28"/>
        </w:rPr>
        <w:t>SEGUNDO</w:t>
      </w:r>
      <w:r w:rsidRPr="008C27E8">
        <w:rPr>
          <w:rFonts w:ascii="Palatino Linotype" w:hAnsi="Palatino Linotype" w:cs="Arial"/>
          <w:sz w:val="28"/>
          <w:szCs w:val="28"/>
        </w:rPr>
        <w:t>.</w:t>
      </w:r>
      <w:r w:rsidRPr="008C27E8">
        <w:rPr>
          <w:rFonts w:ascii="Palatino Linotype" w:hAnsi="Palatino Linotype" w:cs="Arial"/>
        </w:rPr>
        <w:t xml:space="preserve"> </w:t>
      </w:r>
      <w:r w:rsidRPr="008C27E8">
        <w:rPr>
          <w:rFonts w:ascii="Palatino Linotype" w:eastAsia="Calibri" w:hAnsi="Palatino Linotype" w:cs="Arial"/>
        </w:rPr>
        <w:t xml:space="preserve">Se </w:t>
      </w:r>
      <w:r>
        <w:rPr>
          <w:rFonts w:ascii="Palatino Linotype" w:eastAsia="Calibri" w:hAnsi="Palatino Linotype" w:cs="Arial"/>
          <w:b/>
        </w:rPr>
        <w:t>MODIFICA</w:t>
      </w:r>
      <w:r w:rsidRPr="008C27E8">
        <w:rPr>
          <w:rFonts w:ascii="Palatino Linotype" w:eastAsia="Calibri" w:hAnsi="Palatino Linotype" w:cs="Arial"/>
          <w:b/>
        </w:rPr>
        <w:t xml:space="preserve"> </w:t>
      </w:r>
      <w:r w:rsidRPr="008C27E8">
        <w:rPr>
          <w:rFonts w:ascii="Palatino Linotype" w:eastAsia="Calibri" w:hAnsi="Palatino Linotype" w:cs="Arial"/>
        </w:rPr>
        <w:t xml:space="preserve">la respuesta proporcionada por </w:t>
      </w:r>
      <w:r w:rsidRPr="008C27E8">
        <w:rPr>
          <w:rFonts w:ascii="Palatino Linotype" w:eastAsia="Calibri" w:hAnsi="Palatino Linotype" w:cs="Arial"/>
          <w:b/>
        </w:rPr>
        <w:t xml:space="preserve">EL SUJETO OBLIGADO </w:t>
      </w:r>
      <w:r>
        <w:rPr>
          <w:rFonts w:ascii="Palatino Linotype" w:hAnsi="Palatino Linotype" w:cs="Arial"/>
        </w:rPr>
        <w:t>en la solicitud de información número</w:t>
      </w:r>
      <w:r w:rsidRPr="002C3EC8">
        <w:rPr>
          <w:rFonts w:ascii="Palatino Linotype" w:hAnsi="Palatino Linotype" w:cs="Arial"/>
        </w:rPr>
        <w:t xml:space="preserve"> </w:t>
      </w:r>
      <w:r>
        <w:rPr>
          <w:rFonts w:ascii="Palatino Linotype" w:hAnsi="Palatino Linotype" w:cs="Arial"/>
          <w:b/>
        </w:rPr>
        <w:t xml:space="preserve">00684/TOLUCA/IP/2025 </w:t>
      </w:r>
      <w:r w:rsidRPr="008C27E8">
        <w:rPr>
          <w:rFonts w:ascii="Palatino Linotype" w:eastAsia="Calibri" w:hAnsi="Palatino Linotype" w:cs="Arial"/>
        </w:rPr>
        <w:t xml:space="preserve">y se </w:t>
      </w:r>
      <w:r w:rsidRPr="00297333">
        <w:rPr>
          <w:rFonts w:ascii="Palatino Linotype" w:eastAsia="Calibri" w:hAnsi="Palatino Linotype" w:cs="Arial"/>
          <w:b/>
        </w:rPr>
        <w:t>O</w:t>
      </w:r>
      <w:r>
        <w:rPr>
          <w:rFonts w:ascii="Palatino Linotype" w:eastAsia="Calibri" w:hAnsi="Palatino Linotype" w:cs="Arial"/>
          <w:b/>
        </w:rPr>
        <w:t>RDENA</w:t>
      </w:r>
      <w:r w:rsidRPr="00297333">
        <w:rPr>
          <w:rFonts w:ascii="Palatino Linotype" w:eastAsia="Calibri" w:hAnsi="Palatino Linotype" w:cs="Arial"/>
          <w:b/>
          <w:sz w:val="28"/>
        </w:rPr>
        <w:t xml:space="preserve"> </w:t>
      </w:r>
      <w:r w:rsidRPr="00297333">
        <w:rPr>
          <w:rFonts w:ascii="Palatino Linotype" w:hAnsi="Palatino Linotype" w:cs="Arial"/>
        </w:rPr>
        <w:t xml:space="preserve">al </w:t>
      </w:r>
      <w:r w:rsidRPr="00297333">
        <w:rPr>
          <w:rFonts w:ascii="Palatino Linotype" w:hAnsi="Palatino Linotype" w:cs="Arial"/>
          <w:b/>
        </w:rPr>
        <w:t>Sujeto Obligado</w:t>
      </w:r>
      <w:r w:rsidR="002731FB">
        <w:rPr>
          <w:rFonts w:ascii="Palatino Linotype" w:hAnsi="Palatino Linotype" w:cs="Arial"/>
        </w:rPr>
        <w:t xml:space="preserve">, </w:t>
      </w:r>
      <w:r w:rsidRPr="00297333">
        <w:rPr>
          <w:rFonts w:ascii="Palatino Linotype" w:hAnsi="Palatino Linotype" w:cs="Arial"/>
        </w:rPr>
        <w:t xml:space="preserve">en términos del considerando </w:t>
      </w:r>
      <w:r w:rsidRPr="00297333">
        <w:rPr>
          <w:rFonts w:ascii="Palatino Linotype" w:hAnsi="Palatino Linotype" w:cs="Arial"/>
          <w:b/>
        </w:rPr>
        <w:t>C</w:t>
      </w:r>
      <w:r>
        <w:rPr>
          <w:rFonts w:ascii="Palatino Linotype" w:hAnsi="Palatino Linotype" w:cs="Arial"/>
          <w:b/>
        </w:rPr>
        <w:t>UARTO</w:t>
      </w:r>
      <w:r w:rsidRPr="00297333">
        <w:rPr>
          <w:rFonts w:ascii="Palatino Linotype" w:hAnsi="Palatino Linotype" w:cs="Arial"/>
          <w:b/>
        </w:rPr>
        <w:t xml:space="preserve"> </w:t>
      </w:r>
      <w:r>
        <w:rPr>
          <w:rFonts w:ascii="Palatino Linotype" w:hAnsi="Palatino Linotype" w:cs="Arial"/>
        </w:rPr>
        <w:t xml:space="preserve">de esta resolución </w:t>
      </w:r>
      <w:r w:rsidRPr="00297333">
        <w:rPr>
          <w:rFonts w:ascii="Palatino Linotype" w:hAnsi="Palatino Linotype" w:cs="Arial"/>
        </w:rPr>
        <w:t>haga entre</w:t>
      </w:r>
      <w:r>
        <w:rPr>
          <w:rFonts w:ascii="Palatino Linotype" w:hAnsi="Palatino Linotype" w:cs="Arial"/>
        </w:rPr>
        <w:t xml:space="preserve">ga, en versión pública de ser procedente, </w:t>
      </w:r>
      <w:r w:rsidR="007A27D4">
        <w:rPr>
          <w:rFonts w:ascii="Palatino Linotype" w:hAnsi="Palatino Linotype" w:cs="Arial"/>
        </w:rPr>
        <w:t xml:space="preserve">al cinco de febrero de dos mil veinticinco, </w:t>
      </w:r>
      <w:r>
        <w:rPr>
          <w:rFonts w:ascii="Palatino Linotype" w:hAnsi="Palatino Linotype" w:cs="Arial"/>
        </w:rPr>
        <w:t>de lo siguiente:</w:t>
      </w:r>
    </w:p>
    <w:p w14:paraId="4663528D" w14:textId="77777777" w:rsidR="00F163CD" w:rsidRDefault="00F163CD" w:rsidP="00F163CD">
      <w:pPr>
        <w:spacing w:line="360" w:lineRule="auto"/>
        <w:jc w:val="both"/>
        <w:rPr>
          <w:rFonts w:ascii="Palatino Linotype" w:hAnsi="Palatino Linotype" w:cs="Arial"/>
        </w:rPr>
      </w:pPr>
    </w:p>
    <w:p w14:paraId="6B62BE51" w14:textId="77777777" w:rsidR="007A27D4" w:rsidRPr="00C43CC7" w:rsidRDefault="007A27D4" w:rsidP="00F163CD">
      <w:pPr>
        <w:pStyle w:val="Prrafodelista"/>
        <w:numPr>
          <w:ilvl w:val="0"/>
          <w:numId w:val="5"/>
        </w:numPr>
        <w:spacing w:line="360" w:lineRule="auto"/>
        <w:jc w:val="both"/>
        <w:rPr>
          <w:rFonts w:ascii="Palatino Linotype" w:hAnsi="Palatino Linotype" w:cs="Arial"/>
        </w:rPr>
      </w:pPr>
      <w:r w:rsidRPr="00C43CC7">
        <w:rPr>
          <w:rFonts w:ascii="Palatino Linotype" w:hAnsi="Palatino Linotype" w:cs="Arial"/>
        </w:rPr>
        <w:t>Bando Munic</w:t>
      </w:r>
      <w:r w:rsidR="002731FB" w:rsidRPr="00C43CC7">
        <w:rPr>
          <w:rFonts w:ascii="Palatino Linotype" w:hAnsi="Palatino Linotype" w:cs="Arial"/>
        </w:rPr>
        <w:t>ipal 2025, traducido al Braille,</w:t>
      </w:r>
      <w:r w:rsidR="005401BB" w:rsidRPr="00C43CC7">
        <w:rPr>
          <w:rFonts w:ascii="Palatino Linotype" w:hAnsi="Palatino Linotype" w:cs="Arial"/>
        </w:rPr>
        <w:t xml:space="preserve"> vía</w:t>
      </w:r>
      <w:r w:rsidR="002731FB" w:rsidRPr="00C43CC7">
        <w:rPr>
          <w:rFonts w:ascii="Palatino Linotype" w:hAnsi="Palatino Linotype" w:cs="Arial"/>
        </w:rPr>
        <w:t xml:space="preserve"> </w:t>
      </w:r>
      <w:r w:rsidR="005401BB" w:rsidRPr="00C43CC7">
        <w:rPr>
          <w:rFonts w:ascii="Palatino Linotype" w:hAnsi="Palatino Linotype" w:cs="Arial"/>
        </w:rPr>
        <w:t xml:space="preserve">consulta directa. </w:t>
      </w:r>
      <w:r w:rsidR="002731FB" w:rsidRPr="00C43CC7">
        <w:rPr>
          <w:rFonts w:ascii="Palatino Linotype" w:hAnsi="Palatino Linotype" w:cs="Arial"/>
        </w:rPr>
        <w:t xml:space="preserve"> </w:t>
      </w:r>
    </w:p>
    <w:p w14:paraId="462C1420" w14:textId="77777777" w:rsidR="00F163CD" w:rsidRPr="007A27D4" w:rsidRDefault="002731FB" w:rsidP="00F163CD">
      <w:pPr>
        <w:pStyle w:val="Prrafodelista"/>
        <w:numPr>
          <w:ilvl w:val="0"/>
          <w:numId w:val="5"/>
        </w:numPr>
        <w:spacing w:line="360" w:lineRule="auto"/>
        <w:jc w:val="both"/>
        <w:rPr>
          <w:rFonts w:ascii="Palatino Linotype" w:hAnsi="Palatino Linotype" w:cs="Arial"/>
        </w:rPr>
      </w:pPr>
      <w:r w:rsidRPr="00C43CC7">
        <w:rPr>
          <w:rFonts w:ascii="Palatino Linotype" w:hAnsi="Palatino Linotype" w:cs="Arial"/>
        </w:rPr>
        <w:t>Nombre de los traductores así como el</w:t>
      </w:r>
      <w:r>
        <w:rPr>
          <w:rFonts w:ascii="Palatino Linotype" w:hAnsi="Palatino Linotype" w:cs="Arial"/>
        </w:rPr>
        <w:t xml:space="preserve"> d</w:t>
      </w:r>
      <w:r w:rsidR="007A27D4" w:rsidRPr="007A27D4">
        <w:rPr>
          <w:rFonts w:ascii="Palatino Linotype" w:hAnsi="Palatino Linotype" w:cs="Arial"/>
        </w:rPr>
        <w:t xml:space="preserve">ocumentos donde conste </w:t>
      </w:r>
      <w:r w:rsidR="00F71303">
        <w:rPr>
          <w:rFonts w:ascii="Palatino Linotype" w:hAnsi="Palatino Linotype" w:cs="Arial"/>
        </w:rPr>
        <w:t>y de cuenta d</w:t>
      </w:r>
      <w:r>
        <w:rPr>
          <w:rFonts w:ascii="Palatino Linotype" w:hAnsi="Palatino Linotype" w:cs="Arial"/>
        </w:rPr>
        <w:t>el monto pagado a los mismos</w:t>
      </w:r>
      <w:r w:rsidR="007A27D4">
        <w:rPr>
          <w:rFonts w:ascii="Palatino Linotype" w:hAnsi="Palatino Linotype" w:cs="Arial"/>
        </w:rPr>
        <w:t>, por concepto de traducción del Bando Mun</w:t>
      </w:r>
      <w:r>
        <w:rPr>
          <w:rFonts w:ascii="Palatino Linotype" w:hAnsi="Palatino Linotype" w:cs="Arial"/>
        </w:rPr>
        <w:t xml:space="preserve">icipal 2025 en otomí y braille, vía </w:t>
      </w:r>
      <w:r w:rsidRPr="002731FB">
        <w:rPr>
          <w:rFonts w:ascii="Palatino Linotype" w:hAnsi="Palatino Linotype" w:cs="Arial"/>
          <w:b/>
        </w:rPr>
        <w:t>SAIMEX</w:t>
      </w:r>
      <w:r>
        <w:rPr>
          <w:rFonts w:ascii="Palatino Linotype" w:hAnsi="Palatino Linotype" w:cs="Arial"/>
        </w:rPr>
        <w:t>.</w:t>
      </w:r>
    </w:p>
    <w:p w14:paraId="240CDC47" w14:textId="77777777" w:rsidR="00F71303" w:rsidRDefault="00F71303" w:rsidP="00F71303">
      <w:pPr>
        <w:pStyle w:val="INFOEM"/>
        <w:spacing w:before="0" w:after="0"/>
        <w:ind w:left="720" w:right="567"/>
      </w:pPr>
    </w:p>
    <w:p w14:paraId="1C6B62AB" w14:textId="77777777" w:rsidR="00F71303" w:rsidRDefault="00F71303" w:rsidP="00F71303">
      <w:pPr>
        <w:pStyle w:val="INFOEM"/>
        <w:spacing w:before="0" w:after="0"/>
        <w:ind w:left="720" w:right="567"/>
      </w:pPr>
      <w:r w:rsidRPr="00A1193C">
        <w:t xml:space="preserve">Para la entrega en versión pública deberá emitir el Acuerdo del Comité de Transparencia en términos de los artículos 49, fracción VIII y 132 fracción II de la Ley de Transparencia </w:t>
      </w:r>
      <w:r w:rsidRPr="00A1193C">
        <w:lastRenderedPageBreak/>
        <w:t>y Acceso a la Información Pública del Estado de México y Municipios, en el que funde y motive las razones sobre los datos que se supriman o eliminen y se ponga a disposición del Recurrente.</w:t>
      </w:r>
    </w:p>
    <w:p w14:paraId="5EB4E98D" w14:textId="77777777" w:rsidR="00F163CD" w:rsidRPr="0039499D" w:rsidRDefault="00F163CD" w:rsidP="00F163CD">
      <w:pPr>
        <w:spacing w:line="360" w:lineRule="auto"/>
        <w:jc w:val="both"/>
        <w:rPr>
          <w:rFonts w:ascii="Palatino Linotype" w:hAnsi="Palatino Linotype" w:cs="Arial"/>
        </w:rPr>
      </w:pPr>
    </w:p>
    <w:p w14:paraId="5D709F3C" w14:textId="77777777" w:rsidR="00F163CD" w:rsidRPr="00DC5E29" w:rsidRDefault="00F163CD" w:rsidP="00F163CD">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99B8E8" w14:textId="77777777" w:rsidR="00F163CD" w:rsidRPr="00DC5E29" w:rsidRDefault="00F163CD" w:rsidP="00F163CD">
      <w:pPr>
        <w:spacing w:line="360" w:lineRule="auto"/>
        <w:ind w:right="-595"/>
        <w:jc w:val="both"/>
        <w:rPr>
          <w:rFonts w:ascii="Palatino Linotype" w:hAnsi="Palatino Linotype" w:cs="Tahoma"/>
          <w:bCs/>
        </w:rPr>
      </w:pPr>
    </w:p>
    <w:p w14:paraId="58577CA3" w14:textId="77777777" w:rsidR="00F163CD" w:rsidRDefault="00F163CD" w:rsidP="00F163CD">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2F5569AF" w14:textId="77777777" w:rsidR="00F163CD" w:rsidRPr="00DC5E29" w:rsidRDefault="00F163CD" w:rsidP="00F163CD">
      <w:pPr>
        <w:autoSpaceDE w:val="0"/>
        <w:autoSpaceDN w:val="0"/>
        <w:adjustRightInd w:val="0"/>
        <w:spacing w:line="360" w:lineRule="auto"/>
        <w:jc w:val="both"/>
        <w:rPr>
          <w:rFonts w:ascii="Palatino Linotype" w:hAnsi="Palatino Linotype" w:cs="Arial"/>
        </w:rPr>
      </w:pPr>
    </w:p>
    <w:p w14:paraId="7AC42AB3" w14:textId="77777777" w:rsidR="00F163CD" w:rsidRDefault="00F163CD" w:rsidP="00F163CD">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w:t>
      </w:r>
      <w:r w:rsidRPr="00DC5E29">
        <w:rPr>
          <w:rFonts w:ascii="Palatino Linotype" w:hAnsi="Palatino Linotype" w:cs="Arial"/>
        </w:rPr>
        <w:lastRenderedPageBreak/>
        <w:t>de Transparencia y Acceso a la Información Pública del Estado de México y Municipios.</w:t>
      </w:r>
    </w:p>
    <w:p w14:paraId="52A703D8" w14:textId="77777777" w:rsidR="00F163CD" w:rsidRDefault="00F163CD" w:rsidP="00F163CD">
      <w:pPr>
        <w:spacing w:line="360" w:lineRule="auto"/>
        <w:jc w:val="both"/>
        <w:rPr>
          <w:rFonts w:ascii="Palatino Linotype" w:hAnsi="Palatino Linotype" w:cs="Arial"/>
        </w:rPr>
      </w:pPr>
    </w:p>
    <w:p w14:paraId="6C4B682E" w14:textId="22CFC3DB" w:rsidR="00F163CD" w:rsidRPr="007C3942" w:rsidRDefault="00F163CD" w:rsidP="00F163CD">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EN LA </w:t>
      </w:r>
      <w:r w:rsidR="00F71303">
        <w:rPr>
          <w:rFonts w:ascii="Palatino Linotype" w:hAnsi="Palatino Linotype" w:cs="Arial"/>
        </w:rPr>
        <w:t>VIGÉSIMA</w:t>
      </w:r>
      <w:r>
        <w:rPr>
          <w:rFonts w:ascii="Palatino Linotype" w:hAnsi="Palatino Linotype" w:cs="Arial"/>
        </w:rPr>
        <w:t xml:space="preserve"> </w:t>
      </w:r>
      <w:r w:rsidR="00F71303">
        <w:rPr>
          <w:rFonts w:ascii="Palatino Linotype" w:hAnsi="Palatino Linotype" w:cs="Arial"/>
        </w:rPr>
        <w:t>PRIMERA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522C24">
        <w:rPr>
          <w:rFonts w:ascii="Palatino Linotype" w:hAnsi="Palatino Linotype" w:cs="Arial"/>
        </w:rPr>
        <w:t>ONCE DE JUNIO</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BF10CC">
        <w:rPr>
          <w:rFonts w:ascii="Palatino Linotype" w:hAnsi="Palatino Linotype" w:cs="Arial"/>
        </w:rPr>
        <w:t>------------------------------------------------------------------------------------------------------------------------------------------------------------------------------------------------------------------------------------------------------------------------------------------------------------------------------------------------------------------------------------------------------------------------------------------------------------------------------------------------------------------------------------------------------------------------------------------------------------------------------------------------------------------------------------------------------------------------------------------------------------------------------------------------------------------------------------------------------------------------------------------------------------------------------------------------</w:t>
      </w:r>
    </w:p>
    <w:p w14:paraId="23E8B070" w14:textId="77777777" w:rsidR="00F163CD" w:rsidRDefault="00522C24" w:rsidP="00F163CD">
      <w:pPr>
        <w:spacing w:line="360" w:lineRule="auto"/>
        <w:jc w:val="both"/>
        <w:rPr>
          <w:rFonts w:ascii="Palatino Linotype" w:hAnsi="Palatino Linotype" w:cs="Arial"/>
          <w:sz w:val="16"/>
        </w:rPr>
      </w:pPr>
      <w:r>
        <w:rPr>
          <w:rFonts w:ascii="Palatino Linotype" w:hAnsi="Palatino Linotype" w:cs="Arial"/>
          <w:sz w:val="16"/>
        </w:rPr>
        <w:t>JMV/CCR/</w:t>
      </w:r>
      <w:r w:rsidR="00D249B3">
        <w:rPr>
          <w:rFonts w:ascii="Palatino Linotype" w:hAnsi="Palatino Linotype" w:cs="Arial"/>
          <w:sz w:val="16"/>
        </w:rPr>
        <w:t>LMST</w:t>
      </w:r>
    </w:p>
    <w:p w14:paraId="30C578C1" w14:textId="77777777" w:rsidR="00F163CD" w:rsidRDefault="00F163CD" w:rsidP="00F163CD"/>
    <w:p w14:paraId="22B64334" w14:textId="77777777" w:rsidR="00F163CD" w:rsidRDefault="00F163CD" w:rsidP="00F163CD"/>
    <w:p w14:paraId="453CF97B" w14:textId="77777777" w:rsidR="00F163CD" w:rsidRDefault="00F163CD" w:rsidP="00F163CD"/>
    <w:p w14:paraId="4F3BCA7C" w14:textId="77777777" w:rsidR="00F163CD" w:rsidRDefault="00F163CD" w:rsidP="00F163CD"/>
    <w:p w14:paraId="43D3D8FA" w14:textId="77777777" w:rsidR="00F163CD" w:rsidRDefault="00F163CD" w:rsidP="00F163CD"/>
    <w:p w14:paraId="3137D82C" w14:textId="77777777" w:rsidR="00F163CD" w:rsidRDefault="00F163CD" w:rsidP="00F163CD"/>
    <w:p w14:paraId="466CD24C" w14:textId="77777777" w:rsidR="00F163CD" w:rsidRDefault="00F163CD" w:rsidP="00F163CD"/>
    <w:p w14:paraId="57CC7DEE" w14:textId="77777777" w:rsidR="00F163CD" w:rsidRDefault="00F163CD" w:rsidP="00F163CD"/>
    <w:p w14:paraId="5B0808DF" w14:textId="77777777" w:rsidR="00F163CD" w:rsidRDefault="00F163CD" w:rsidP="00F163CD"/>
    <w:p w14:paraId="5E49450D" w14:textId="77777777" w:rsidR="00F163CD" w:rsidRDefault="00F163CD" w:rsidP="00F163CD"/>
    <w:p w14:paraId="3BEAEF18" w14:textId="77777777" w:rsidR="00F163CD" w:rsidRDefault="00F163CD" w:rsidP="00F163CD"/>
    <w:p w14:paraId="3EE350B9" w14:textId="77777777" w:rsidR="00F163CD" w:rsidRDefault="00F163CD" w:rsidP="00F163CD"/>
    <w:p w14:paraId="319C9D5A" w14:textId="77777777" w:rsidR="00F163CD" w:rsidRDefault="00F163CD" w:rsidP="00F163CD"/>
    <w:p w14:paraId="604D5EDC" w14:textId="77777777" w:rsidR="00F163CD" w:rsidRDefault="00F163CD" w:rsidP="00F163CD"/>
    <w:p w14:paraId="133CFD9C" w14:textId="77777777" w:rsidR="00F163CD" w:rsidRDefault="00F163CD" w:rsidP="00F163CD"/>
    <w:p w14:paraId="25D9FB6D" w14:textId="77777777" w:rsidR="00F163CD" w:rsidRDefault="00F163CD" w:rsidP="00F163CD"/>
    <w:p w14:paraId="368F4F74" w14:textId="77777777" w:rsidR="00F163CD" w:rsidRDefault="00F163CD" w:rsidP="00F163CD"/>
    <w:p w14:paraId="32E7DA3A" w14:textId="77777777" w:rsidR="00F163CD" w:rsidRDefault="00F163CD" w:rsidP="00F163CD"/>
    <w:p w14:paraId="03ABA8AF" w14:textId="77777777" w:rsidR="00F163CD" w:rsidRDefault="00F163CD" w:rsidP="00F163CD"/>
    <w:p w14:paraId="6B72EB3B" w14:textId="77777777" w:rsidR="00F163CD" w:rsidRDefault="00F163CD" w:rsidP="00F163CD"/>
    <w:p w14:paraId="32B73656" w14:textId="77777777" w:rsidR="00F163CD" w:rsidRDefault="00F163CD" w:rsidP="00F163CD"/>
    <w:p w14:paraId="39AC5D7B" w14:textId="77777777" w:rsidR="00F163CD" w:rsidRDefault="00F163CD" w:rsidP="00F163CD"/>
    <w:p w14:paraId="248B022A" w14:textId="77777777" w:rsidR="00F163CD" w:rsidRDefault="00F163CD" w:rsidP="00F163CD"/>
    <w:p w14:paraId="03DECDDE" w14:textId="77777777" w:rsidR="00F163CD" w:rsidRDefault="00F163CD" w:rsidP="00F163CD"/>
    <w:p w14:paraId="158C7180" w14:textId="77777777" w:rsidR="00F163CD" w:rsidRDefault="00F163CD" w:rsidP="00F163CD"/>
    <w:p w14:paraId="47EB09A6" w14:textId="77777777" w:rsidR="00F163CD" w:rsidRDefault="00F163CD" w:rsidP="00F163CD"/>
    <w:p w14:paraId="1EDE1074" w14:textId="77777777" w:rsidR="00F163CD" w:rsidRDefault="00F163CD" w:rsidP="00F163CD"/>
    <w:p w14:paraId="482A023D" w14:textId="77777777" w:rsidR="00F163CD" w:rsidRDefault="00F163CD" w:rsidP="00F163CD"/>
    <w:p w14:paraId="0EA4BEAC" w14:textId="77777777" w:rsidR="00F163CD" w:rsidRDefault="00F163CD" w:rsidP="00F163CD"/>
    <w:p w14:paraId="61337E29" w14:textId="77777777" w:rsidR="00F163CD" w:rsidRDefault="00F163CD" w:rsidP="00F163CD"/>
    <w:p w14:paraId="0F7BD525" w14:textId="77777777" w:rsidR="00F163CD" w:rsidRDefault="00F163CD" w:rsidP="00F163CD"/>
    <w:p w14:paraId="1CACB5A6" w14:textId="77777777" w:rsidR="00F163CD" w:rsidRDefault="00F163CD" w:rsidP="00F163CD"/>
    <w:p w14:paraId="28C1668A" w14:textId="77777777" w:rsidR="00F163CD" w:rsidRDefault="00F163CD" w:rsidP="00F163CD"/>
    <w:p w14:paraId="1E878FAE" w14:textId="77777777" w:rsidR="004E2FA5" w:rsidRDefault="004E2FA5"/>
    <w:sectPr w:rsidR="004E2FA5" w:rsidSect="00F6473D">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443B8" w14:textId="77777777" w:rsidR="0058336D" w:rsidRDefault="0058336D" w:rsidP="00F163CD">
      <w:r>
        <w:separator/>
      </w:r>
    </w:p>
  </w:endnote>
  <w:endnote w:type="continuationSeparator" w:id="0">
    <w:p w14:paraId="027449E1" w14:textId="77777777" w:rsidR="0058336D" w:rsidRDefault="0058336D" w:rsidP="00F1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E24F3" w14:textId="77777777" w:rsidR="00181C36" w:rsidRPr="00A2780F" w:rsidRDefault="00181C36" w:rsidP="00F6473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F5AF3">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F5AF3">
      <w:rPr>
        <w:rFonts w:ascii="Arial" w:hAnsi="Arial" w:cs="Arial"/>
        <w:b/>
        <w:bCs/>
        <w:noProof/>
        <w:sz w:val="20"/>
        <w:szCs w:val="20"/>
      </w:rPr>
      <w:t>41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6F6FC" w14:textId="77777777" w:rsidR="00181C36" w:rsidRPr="00070856" w:rsidRDefault="00181C36" w:rsidP="00F6473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F5AF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F5AF3">
      <w:rPr>
        <w:rFonts w:ascii="Arial" w:hAnsi="Arial" w:cs="Arial"/>
        <w:b/>
        <w:bCs/>
        <w:noProof/>
        <w:sz w:val="20"/>
        <w:szCs w:val="20"/>
      </w:rPr>
      <w:t>41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34BF0" w14:textId="77777777" w:rsidR="0058336D" w:rsidRDefault="0058336D" w:rsidP="00F163CD">
      <w:r>
        <w:separator/>
      </w:r>
    </w:p>
  </w:footnote>
  <w:footnote w:type="continuationSeparator" w:id="0">
    <w:p w14:paraId="35D1986F" w14:textId="77777777" w:rsidR="0058336D" w:rsidRDefault="0058336D" w:rsidP="00F163CD">
      <w:r>
        <w:continuationSeparator/>
      </w:r>
    </w:p>
  </w:footnote>
  <w:footnote w:id="1">
    <w:p w14:paraId="4B2E11F6" w14:textId="77777777" w:rsidR="00181C36" w:rsidRPr="005552A8" w:rsidRDefault="00181C36" w:rsidP="00F163CD">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173E0D6" w14:textId="77777777" w:rsidR="00181C36" w:rsidRPr="005552A8" w:rsidRDefault="00181C36" w:rsidP="00F163C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5853CC0" w14:textId="77777777" w:rsidR="00A303CC" w:rsidRDefault="00A303CC" w:rsidP="00A303CC">
      <w:pPr>
        <w:pStyle w:val="Textonotapie"/>
      </w:pPr>
      <w:r>
        <w:rPr>
          <w:rStyle w:val="Refdenotaalpie"/>
        </w:rPr>
        <w:footnoteRef/>
      </w:r>
      <w:r>
        <w:t xml:space="preserve"> </w:t>
      </w:r>
      <w:hyperlink r:id="rId3" w:history="1">
        <w:r w:rsidRPr="00715EC3">
          <w:rPr>
            <w:rStyle w:val="Hipervnculo"/>
          </w:rPr>
          <w:t>http://omawww.sat.gob.mx/factura/Paginas/solicita_requisitos.htm</w:t>
        </w:r>
      </w:hyperlink>
    </w:p>
    <w:p w14:paraId="33783E69" w14:textId="77777777" w:rsidR="00A303CC" w:rsidRDefault="00A303CC" w:rsidP="00A303C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81C36" w:rsidRPr="008F2CCC" w14:paraId="152756EC" w14:textId="77777777" w:rsidTr="00F6473D">
      <w:tc>
        <w:tcPr>
          <w:tcW w:w="3620" w:type="dxa"/>
          <w:shd w:val="clear" w:color="auto" w:fill="auto"/>
        </w:tcPr>
        <w:p w14:paraId="3838F486" w14:textId="77777777" w:rsidR="00181C36" w:rsidRPr="007E5FC4" w:rsidRDefault="00181C36" w:rsidP="00F6473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7C098B06" w14:textId="77777777" w:rsidR="00181C36" w:rsidRPr="00664658" w:rsidRDefault="00181C36" w:rsidP="00F163C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03315/INFOEM/IP/RR/2025</w:t>
          </w:r>
        </w:p>
      </w:tc>
    </w:tr>
    <w:tr w:rsidR="00181C36" w:rsidRPr="008F2CCC" w14:paraId="0EF1232A" w14:textId="77777777" w:rsidTr="00F6473D">
      <w:tc>
        <w:tcPr>
          <w:tcW w:w="3620" w:type="dxa"/>
          <w:shd w:val="clear" w:color="auto" w:fill="auto"/>
        </w:tcPr>
        <w:p w14:paraId="213E6B63" w14:textId="77777777" w:rsidR="00181C36" w:rsidRPr="007E5FC4" w:rsidRDefault="00181C36" w:rsidP="00F6473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72AA6BA9" w14:textId="77777777" w:rsidR="00181C36" w:rsidRPr="00664658" w:rsidRDefault="00181C36" w:rsidP="00F6473D">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181C36" w:rsidRPr="008F2CCC" w14:paraId="3763A0B6" w14:textId="77777777" w:rsidTr="00F6473D">
      <w:trPr>
        <w:trHeight w:val="228"/>
      </w:trPr>
      <w:tc>
        <w:tcPr>
          <w:tcW w:w="3620" w:type="dxa"/>
          <w:shd w:val="clear" w:color="auto" w:fill="auto"/>
        </w:tcPr>
        <w:p w14:paraId="53DEC3F8" w14:textId="77777777" w:rsidR="00181C36" w:rsidRPr="007E5FC4" w:rsidRDefault="00181C36" w:rsidP="00F6473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2410E666" w14:textId="77777777" w:rsidR="00181C36" w:rsidRPr="00664658" w:rsidRDefault="00181C36" w:rsidP="00F6473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4192ECD" w14:textId="77777777" w:rsidR="00181C36" w:rsidRDefault="00181C36" w:rsidP="00F6473D">
    <w:pPr>
      <w:pStyle w:val="Encabezado"/>
      <w:tabs>
        <w:tab w:val="clear" w:pos="4252"/>
        <w:tab w:val="clear" w:pos="8504"/>
        <w:tab w:val="left" w:pos="2326"/>
      </w:tabs>
      <w:rPr>
        <w:rFonts w:ascii="Palatino Linotype" w:hAnsi="Palatino Linotype"/>
        <w:sz w:val="20"/>
      </w:rPr>
    </w:pPr>
  </w:p>
  <w:p w14:paraId="5525294A" w14:textId="77777777" w:rsidR="00181C36" w:rsidRPr="001779E0" w:rsidRDefault="00181C36" w:rsidP="00F6473D">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734CCAD" wp14:editId="6F9CF7BD">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81C36" w:rsidRPr="008F2CCC" w14:paraId="0D39581E" w14:textId="77777777" w:rsidTr="00F6473D">
      <w:tc>
        <w:tcPr>
          <w:tcW w:w="2977" w:type="dxa"/>
          <w:shd w:val="clear" w:color="auto" w:fill="auto"/>
        </w:tcPr>
        <w:p w14:paraId="1DC03D40" w14:textId="77777777" w:rsidR="00181C36" w:rsidRPr="007E5FC4" w:rsidRDefault="00181C36" w:rsidP="00F6473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72FA73CC" w14:textId="77777777" w:rsidR="00181C36" w:rsidRPr="008F2CCC" w:rsidRDefault="00181C36" w:rsidP="00F163C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03315/INFOEM/IP/RR/2025</w:t>
          </w:r>
        </w:p>
      </w:tc>
    </w:tr>
    <w:tr w:rsidR="00181C36" w:rsidRPr="008F2CCC" w14:paraId="7C83E0F5" w14:textId="77777777" w:rsidTr="00F6473D">
      <w:tc>
        <w:tcPr>
          <w:tcW w:w="2977" w:type="dxa"/>
          <w:shd w:val="clear" w:color="auto" w:fill="auto"/>
          <w:vAlign w:val="center"/>
        </w:tcPr>
        <w:p w14:paraId="6BF625E0" w14:textId="77777777" w:rsidR="00181C36" w:rsidRPr="007E5FC4" w:rsidRDefault="00181C36" w:rsidP="00F6473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5D17FE4E" w14:textId="64D15AA6" w:rsidR="00181C36" w:rsidRPr="008F2CCC" w:rsidRDefault="000F5AF3" w:rsidP="00F6473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181C36" w:rsidRPr="008F2CCC" w14:paraId="534661A4" w14:textId="77777777" w:rsidTr="00F6473D">
      <w:trPr>
        <w:trHeight w:val="228"/>
      </w:trPr>
      <w:tc>
        <w:tcPr>
          <w:tcW w:w="2977" w:type="dxa"/>
          <w:shd w:val="clear" w:color="auto" w:fill="auto"/>
        </w:tcPr>
        <w:p w14:paraId="6A5A030C" w14:textId="77777777" w:rsidR="00181C36" w:rsidRPr="007E5FC4" w:rsidRDefault="00181C36" w:rsidP="00F6473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1A33E0DE" w14:textId="77777777" w:rsidR="00181C36" w:rsidRPr="00DC41C8" w:rsidRDefault="00181C36" w:rsidP="00F6473D">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181C36" w:rsidRPr="008F2CCC" w14:paraId="30A1BDFA" w14:textId="77777777" w:rsidTr="00F6473D">
      <w:tc>
        <w:tcPr>
          <w:tcW w:w="2977" w:type="dxa"/>
          <w:shd w:val="clear" w:color="auto" w:fill="auto"/>
        </w:tcPr>
        <w:p w14:paraId="4E1CA4DF" w14:textId="77777777" w:rsidR="00181C36" w:rsidRPr="007E5FC4" w:rsidRDefault="00181C36" w:rsidP="00F6473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3BEDE61D" w14:textId="77777777" w:rsidR="00181C36" w:rsidRPr="008F2CCC" w:rsidRDefault="00181C36" w:rsidP="00F6473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801F8AF" w14:textId="77777777" w:rsidR="00181C36" w:rsidRPr="009F1AB6" w:rsidRDefault="00181C36">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3D90744" wp14:editId="67F8B469">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249B0836"/>
    <w:multiLevelType w:val="hybridMultilevel"/>
    <w:tmpl w:val="5FC80DAC"/>
    <w:lvl w:ilvl="0" w:tplc="F98AE1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A320B93"/>
    <w:multiLevelType w:val="hybridMultilevel"/>
    <w:tmpl w:val="90B295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3C9F62EE"/>
    <w:multiLevelType w:val="hybridMultilevel"/>
    <w:tmpl w:val="5ED81048"/>
    <w:lvl w:ilvl="0" w:tplc="080A0013">
      <w:start w:val="1"/>
      <w:numFmt w:val="upperRoman"/>
      <w:lvlText w:val="%1."/>
      <w:lvlJc w:val="right"/>
      <w:pPr>
        <w:ind w:left="720" w:hanging="360"/>
      </w:pPr>
    </w:lvl>
    <w:lvl w:ilvl="1" w:tplc="1EF8854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A029BF"/>
    <w:multiLevelType w:val="hybridMultilevel"/>
    <w:tmpl w:val="1D407262"/>
    <w:lvl w:ilvl="0" w:tplc="D2ACC1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E672ED"/>
    <w:multiLevelType w:val="hybridMultilevel"/>
    <w:tmpl w:val="653065BA"/>
    <w:lvl w:ilvl="0" w:tplc="D600720A">
      <w:start w:val="1"/>
      <w:numFmt w:val="decimal"/>
      <w:lvlText w:val="%1."/>
      <w:lvlJc w:val="left"/>
      <w:pPr>
        <w:ind w:left="720" w:hanging="360"/>
      </w:pPr>
      <w:rPr>
        <w:rFonts w:cs="Calibri" w:hint="default"/>
        <w:color w:val="21252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6F2DD2"/>
    <w:multiLevelType w:val="hybridMultilevel"/>
    <w:tmpl w:val="112AF38A"/>
    <w:lvl w:ilvl="0" w:tplc="DE20ED3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62CE50E5"/>
    <w:multiLevelType w:val="hybridMultilevel"/>
    <w:tmpl w:val="35C0811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6"/>
  </w:num>
  <w:num w:numId="2">
    <w:abstractNumId w:val="0"/>
  </w:num>
  <w:num w:numId="3">
    <w:abstractNumId w:val="2"/>
  </w:num>
  <w:num w:numId="4">
    <w:abstractNumId w:val="10"/>
  </w:num>
  <w:num w:numId="5">
    <w:abstractNumId w:val="16"/>
  </w:num>
  <w:num w:numId="6">
    <w:abstractNumId w:val="12"/>
  </w:num>
  <w:num w:numId="7">
    <w:abstractNumId w:val="13"/>
  </w:num>
  <w:num w:numId="8">
    <w:abstractNumId w:val="4"/>
  </w:num>
  <w:num w:numId="9">
    <w:abstractNumId w:val="11"/>
  </w:num>
  <w:num w:numId="10">
    <w:abstractNumId w:val="7"/>
  </w:num>
  <w:num w:numId="11">
    <w:abstractNumId w:val="15"/>
  </w:num>
  <w:num w:numId="12">
    <w:abstractNumId w:val="14"/>
  </w:num>
  <w:num w:numId="13">
    <w:abstractNumId w:val="9"/>
  </w:num>
  <w:num w:numId="14">
    <w:abstractNumId w:val="18"/>
  </w:num>
  <w:num w:numId="15">
    <w:abstractNumId w:val="8"/>
  </w:num>
  <w:num w:numId="16">
    <w:abstractNumId w:val="3"/>
  </w:num>
  <w:num w:numId="17">
    <w:abstractNumId w:val="17"/>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CD"/>
    <w:rsid w:val="0009573E"/>
    <w:rsid w:val="000F5AF3"/>
    <w:rsid w:val="00181C36"/>
    <w:rsid w:val="00225FE9"/>
    <w:rsid w:val="0023185C"/>
    <w:rsid w:val="002731FB"/>
    <w:rsid w:val="00286E93"/>
    <w:rsid w:val="003502CD"/>
    <w:rsid w:val="00445F82"/>
    <w:rsid w:val="004E2FA5"/>
    <w:rsid w:val="00522C24"/>
    <w:rsid w:val="005401BB"/>
    <w:rsid w:val="0058336D"/>
    <w:rsid w:val="005F35D6"/>
    <w:rsid w:val="006C6471"/>
    <w:rsid w:val="006D10F7"/>
    <w:rsid w:val="006E6BA1"/>
    <w:rsid w:val="00773861"/>
    <w:rsid w:val="007A27D4"/>
    <w:rsid w:val="009A76A7"/>
    <w:rsid w:val="00A303CC"/>
    <w:rsid w:val="00A35076"/>
    <w:rsid w:val="00AC232D"/>
    <w:rsid w:val="00BF10CC"/>
    <w:rsid w:val="00C43CC7"/>
    <w:rsid w:val="00D249B3"/>
    <w:rsid w:val="00DE70C8"/>
    <w:rsid w:val="00E70726"/>
    <w:rsid w:val="00F163CD"/>
    <w:rsid w:val="00F6473D"/>
    <w:rsid w:val="00F713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6347"/>
  <w15:chartTrackingRefBased/>
  <w15:docId w15:val="{3EA6A8E8-9156-493F-818A-75C288F4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3C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3C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163CD"/>
    <w:rPr>
      <w:rFonts w:eastAsiaTheme="minorEastAsia"/>
      <w:sz w:val="24"/>
      <w:szCs w:val="24"/>
      <w:lang w:val="es-ES_tradnl" w:eastAsia="es-ES"/>
    </w:rPr>
  </w:style>
  <w:style w:type="paragraph" w:styleId="Piedepgina">
    <w:name w:val="footer"/>
    <w:basedOn w:val="Normal"/>
    <w:link w:val="PiedepginaCar"/>
    <w:uiPriority w:val="99"/>
    <w:unhideWhenUsed/>
    <w:rsid w:val="00F163C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163C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163C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63CD"/>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163CD"/>
    <w:pPr>
      <w:spacing w:after="0" w:line="240" w:lineRule="auto"/>
    </w:pPr>
  </w:style>
  <w:style w:type="character" w:customStyle="1" w:styleId="SinespaciadoCar">
    <w:name w:val="Sin espaciado Car"/>
    <w:aliases w:val="Francesa Car,INAI Car"/>
    <w:link w:val="Sinespaciado"/>
    <w:uiPriority w:val="1"/>
    <w:locked/>
    <w:rsid w:val="00F163CD"/>
  </w:style>
  <w:style w:type="character" w:styleId="Hipervnculo">
    <w:name w:val="Hyperlink"/>
    <w:aliases w:val="Hipervínculo1,Hipervínculo11,Hipervínculo12,Hipervínculo13,Hipervínculo14,Hipervínculo15"/>
    <w:basedOn w:val="Fuentedeprrafopredeter"/>
    <w:uiPriority w:val="99"/>
    <w:unhideWhenUsed/>
    <w:rsid w:val="00F163CD"/>
    <w:rPr>
      <w:color w:val="0563C1" w:themeColor="hyperlink"/>
      <w:u w:val="single"/>
    </w:rPr>
  </w:style>
  <w:style w:type="paragraph" w:customStyle="1" w:styleId="INFOEM">
    <w:name w:val="INFOEM"/>
    <w:basedOn w:val="Normal"/>
    <w:qFormat/>
    <w:rsid w:val="00F163CD"/>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F163C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163CD"/>
    <w:rPr>
      <w:vertAlign w:val="superscript"/>
    </w:rPr>
  </w:style>
  <w:style w:type="paragraph" w:customStyle="1" w:styleId="infoemcitas">
    <w:name w:val="infoem citas"/>
    <w:basedOn w:val="Normal"/>
    <w:qFormat/>
    <w:rsid w:val="00F163CD"/>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F1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1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163CD"/>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F163CD"/>
    <w:pPr>
      <w:spacing w:before="100" w:beforeAutospacing="1" w:after="100" w:afterAutospacing="1"/>
    </w:pPr>
    <w:rPr>
      <w:lang w:val="es-MX" w:eastAsia="es-MX"/>
    </w:rPr>
  </w:style>
  <w:style w:type="character" w:customStyle="1" w:styleId="bold">
    <w:name w:val="bold"/>
    <w:basedOn w:val="Fuentedeprrafopredeter"/>
    <w:rsid w:val="00F163CD"/>
  </w:style>
  <w:style w:type="character" w:customStyle="1" w:styleId="ng-star-inserted">
    <w:name w:val="ng-star-inserted"/>
    <w:basedOn w:val="Fuentedeprrafopredeter"/>
    <w:rsid w:val="00F163CD"/>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F163CD"/>
    <w:rPr>
      <w:sz w:val="20"/>
      <w:szCs w:val="20"/>
      <w:lang w:val="es-MX" w:eastAsia="es-MX"/>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F163CD"/>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5F35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omawww.sat.gob.mx/factura/Paginas/solicita_requisitos.htm"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41</Pages>
  <Words>9394</Words>
  <Characters>51667</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14</cp:revision>
  <cp:lastPrinted>2025-06-13T16:34:00Z</cp:lastPrinted>
  <dcterms:created xsi:type="dcterms:W3CDTF">2025-05-29T17:53:00Z</dcterms:created>
  <dcterms:modified xsi:type="dcterms:W3CDTF">2025-06-25T20:19:00Z</dcterms:modified>
</cp:coreProperties>
</file>