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B8" w:rsidRDefault="004B7CB8">
      <w:pPr>
        <w:widowControl w:val="0"/>
        <w:pBdr>
          <w:top w:val="nil"/>
          <w:left w:val="nil"/>
          <w:bottom w:val="nil"/>
          <w:right w:val="nil"/>
          <w:between w:val="nil"/>
        </w:pBdr>
        <w:spacing w:after="0" w:line="276" w:lineRule="auto"/>
        <w:jc w:val="left"/>
      </w:pPr>
    </w:p>
    <w:p w:rsidR="004B7CB8" w:rsidRDefault="004B7CB8">
      <w:pPr>
        <w:keepNext/>
        <w:keepLines/>
        <w:pBdr>
          <w:top w:val="nil"/>
          <w:left w:val="nil"/>
          <w:bottom w:val="nil"/>
          <w:right w:val="nil"/>
          <w:between w:val="nil"/>
        </w:pBdr>
        <w:spacing w:after="0" w:line="360" w:lineRule="auto"/>
        <w:jc w:val="center"/>
        <w:rPr>
          <w:color w:val="000000"/>
          <w:sz w:val="20"/>
          <w:szCs w:val="20"/>
        </w:rPr>
      </w:pPr>
    </w:p>
    <w:p w:rsidR="004B7CB8" w:rsidRPr="002849EA" w:rsidRDefault="00805589" w:rsidP="002849EA">
      <w:pPr>
        <w:keepNext/>
        <w:keepLines/>
        <w:pBdr>
          <w:top w:val="nil"/>
          <w:left w:val="nil"/>
          <w:bottom w:val="nil"/>
          <w:right w:val="nil"/>
          <w:between w:val="nil"/>
        </w:pBdr>
        <w:spacing w:after="0" w:line="360" w:lineRule="auto"/>
        <w:jc w:val="center"/>
        <w:rPr>
          <w:color w:val="000000"/>
        </w:rPr>
      </w:pPr>
      <w:r>
        <w:rPr>
          <w:color w:val="000000"/>
        </w:rPr>
        <w:t>RESOLUCIÓN DEL RECURSO DE REVISIÓN 01771/INFOEM/IP/RR/2025</w:t>
      </w:r>
    </w:p>
    <w:p w:rsidR="004B7CB8" w:rsidRDefault="004B7CB8">
      <w:pPr>
        <w:tabs>
          <w:tab w:val="left" w:pos="8931"/>
        </w:tabs>
        <w:spacing w:after="0" w:line="360" w:lineRule="auto"/>
        <w:rPr>
          <w:color w:val="FF0000"/>
        </w:rPr>
      </w:pPr>
    </w:p>
    <w:sdt>
      <w:sdtPr>
        <w:rPr>
          <w:rFonts w:eastAsiaTheme="minorHAnsi" w:cstheme="minorBidi"/>
          <w:color w:val="FF0000"/>
          <w:lang w:val="es-ES" w:eastAsia="en-US"/>
        </w:rPr>
        <w:id w:val="-1872525245"/>
        <w:docPartObj>
          <w:docPartGallery w:val="Table of Contents"/>
          <w:docPartUnique/>
        </w:docPartObj>
      </w:sdtPr>
      <w:sdtEndPr>
        <w:rPr>
          <w:b/>
          <w:bCs/>
        </w:rPr>
      </w:sdtEndPr>
      <w:sdtContent>
        <w:p w:rsidR="002849EA" w:rsidRPr="002849EA" w:rsidRDefault="002849EA" w:rsidP="002849EA">
          <w:pPr>
            <w:keepNext/>
            <w:keepLines/>
            <w:spacing w:after="0" w:line="360" w:lineRule="auto"/>
            <w:rPr>
              <w:rFonts w:eastAsiaTheme="majorEastAsia" w:cstheme="majorBidi"/>
              <w:color w:val="auto"/>
            </w:rPr>
          </w:pPr>
        </w:p>
        <w:p w:rsidR="002849EA" w:rsidRPr="002849EA" w:rsidRDefault="002849EA">
          <w:pPr>
            <w:pStyle w:val="TDC1"/>
            <w:rPr>
              <w:rFonts w:ascii="Palatino Linotype" w:eastAsiaTheme="minorEastAsia" w:hAnsi="Palatino Linotype" w:cstheme="minorBidi"/>
              <w:noProof/>
              <w:sz w:val="22"/>
              <w:szCs w:val="22"/>
              <w:lang w:eastAsia="es-MX"/>
            </w:rPr>
          </w:pPr>
          <w:r w:rsidRPr="002849EA">
            <w:rPr>
              <w:rFonts w:eastAsiaTheme="minorHAnsi" w:cstheme="minorBidi"/>
              <w:lang w:eastAsia="en-US"/>
            </w:rPr>
            <w:fldChar w:fldCharType="begin"/>
          </w:r>
          <w:r w:rsidRPr="002849EA">
            <w:rPr>
              <w:rFonts w:eastAsiaTheme="minorHAnsi" w:cstheme="minorBidi"/>
              <w:lang w:eastAsia="en-US"/>
            </w:rPr>
            <w:instrText xml:space="preserve"> TOC \o "1-3" \h \z \u </w:instrText>
          </w:r>
          <w:r w:rsidRPr="002849EA">
            <w:rPr>
              <w:rFonts w:eastAsiaTheme="minorHAnsi" w:cstheme="minorBidi"/>
              <w:lang w:eastAsia="en-US"/>
            </w:rPr>
            <w:fldChar w:fldCharType="separate"/>
          </w:r>
          <w:hyperlink w:anchor="_Toc193384475" w:history="1">
            <w:r w:rsidRPr="002849EA">
              <w:rPr>
                <w:rStyle w:val="Hipervnculo"/>
                <w:rFonts w:ascii="Palatino Linotype" w:eastAsia="Palatino Linotype" w:hAnsi="Palatino Linotype" w:cs="Palatino Linotype"/>
                <w:noProof/>
                <w:sz w:val="22"/>
                <w:szCs w:val="22"/>
              </w:rPr>
              <w:t>A N T E C E D E N T E S</w:t>
            </w:r>
            <w:r w:rsidRPr="002849EA">
              <w:rPr>
                <w:rFonts w:ascii="Palatino Linotype" w:hAnsi="Palatino Linotype"/>
                <w:noProof/>
                <w:webHidden/>
                <w:sz w:val="22"/>
                <w:szCs w:val="22"/>
              </w:rPr>
              <w:tab/>
            </w:r>
            <w:r w:rsidRPr="002849EA">
              <w:rPr>
                <w:rFonts w:ascii="Palatino Linotype" w:hAnsi="Palatino Linotype"/>
                <w:noProof/>
                <w:webHidden/>
                <w:sz w:val="22"/>
                <w:szCs w:val="22"/>
              </w:rPr>
              <w:fldChar w:fldCharType="begin"/>
            </w:r>
            <w:r w:rsidRPr="002849EA">
              <w:rPr>
                <w:rFonts w:ascii="Palatino Linotype" w:hAnsi="Palatino Linotype"/>
                <w:noProof/>
                <w:webHidden/>
                <w:sz w:val="22"/>
                <w:szCs w:val="22"/>
              </w:rPr>
              <w:instrText xml:space="preserve"> PAGEREF _Toc193384475 \h </w:instrText>
            </w:r>
            <w:r w:rsidRPr="002849EA">
              <w:rPr>
                <w:rFonts w:ascii="Palatino Linotype" w:hAnsi="Palatino Linotype"/>
                <w:noProof/>
                <w:webHidden/>
                <w:sz w:val="22"/>
                <w:szCs w:val="22"/>
              </w:rPr>
            </w:r>
            <w:r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2</w:t>
            </w:r>
            <w:r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76" w:history="1">
            <w:r w:rsidR="002849EA" w:rsidRPr="002849EA">
              <w:rPr>
                <w:rStyle w:val="Hipervnculo"/>
                <w:rFonts w:ascii="Palatino Linotype" w:eastAsia="Palatino Linotype" w:hAnsi="Palatino Linotype" w:cs="Palatino Linotype"/>
                <w:noProof/>
                <w:sz w:val="22"/>
                <w:szCs w:val="22"/>
              </w:rPr>
              <w:t>I. Presentación de la solicitud de información</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_Toc193384476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2</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77" w:history="1">
            <w:r w:rsidR="002849EA" w:rsidRPr="002849EA">
              <w:rPr>
                <w:rStyle w:val="Hipervnculo"/>
                <w:rFonts w:ascii="Palatino Linotype" w:eastAsia="Palatino Linotype" w:hAnsi="Palatino Linotype" w:cs="Palatino Linotype"/>
                <w:noProof/>
                <w:sz w:val="22"/>
                <w:szCs w:val="22"/>
              </w:rPr>
              <w:t>II. Respuesta del Sujeto Obligado</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_Toc193384477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3</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78" w:history="1">
            <w:r w:rsidR="002849EA" w:rsidRPr="002849EA">
              <w:rPr>
                <w:rStyle w:val="Hipervnculo"/>
                <w:rFonts w:ascii="Palatino Linotype" w:eastAsia="Palatino Linotype" w:hAnsi="Palatino Linotype" w:cs="Palatino Linotype"/>
                <w:noProof/>
                <w:sz w:val="22"/>
                <w:szCs w:val="22"/>
              </w:rPr>
              <w:t>III. Interposición del Recurso de Revisión</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_Toc193384478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3</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79" w:history="1">
            <w:r w:rsidR="002849EA" w:rsidRPr="002849EA">
              <w:rPr>
                <w:rStyle w:val="Hipervnculo"/>
                <w:rFonts w:ascii="Palatino Linotype" w:eastAsia="Palatino Linotype" w:hAnsi="Palatino Linotype" w:cs="Palatino Linotype"/>
                <w:noProof/>
                <w:sz w:val="22"/>
                <w:szCs w:val="22"/>
              </w:rPr>
              <w:t>IV. Trámite del Recurso de Revisión ante este Instituto</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_Toc193384479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4</w:t>
            </w:r>
            <w:r w:rsidR="002849EA" w:rsidRPr="002849EA">
              <w:rPr>
                <w:rFonts w:ascii="Palatino Linotype" w:hAnsi="Palatino Linotype"/>
                <w:noProof/>
                <w:webHidden/>
                <w:sz w:val="22"/>
                <w:szCs w:val="22"/>
              </w:rPr>
              <w:fldChar w:fldCharType="end"/>
            </w:r>
          </w:hyperlink>
        </w:p>
        <w:p w:rsidR="002849EA" w:rsidRPr="002849EA" w:rsidRDefault="00740A53">
          <w:pPr>
            <w:pStyle w:val="TDC1"/>
            <w:rPr>
              <w:rFonts w:ascii="Palatino Linotype" w:eastAsiaTheme="minorEastAsia" w:hAnsi="Palatino Linotype" w:cstheme="minorBidi"/>
              <w:noProof/>
              <w:sz w:val="22"/>
              <w:szCs w:val="22"/>
              <w:lang w:eastAsia="es-MX"/>
            </w:rPr>
          </w:pPr>
          <w:hyperlink w:anchor="_Toc193384480" w:history="1">
            <w:r w:rsidR="002849EA" w:rsidRPr="002849EA">
              <w:rPr>
                <w:rStyle w:val="Hipervnculo"/>
                <w:rFonts w:ascii="Palatino Linotype" w:eastAsia="Palatino Linotype" w:hAnsi="Palatino Linotype" w:cs="Palatino Linotype"/>
                <w:noProof/>
                <w:sz w:val="22"/>
                <w:szCs w:val="22"/>
              </w:rPr>
              <w:t>C O N S I D E R A N D O S</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_Toc193384480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5</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81" w:history="1">
            <w:r w:rsidR="002849EA" w:rsidRPr="002849EA">
              <w:rPr>
                <w:rStyle w:val="Hipervnculo"/>
                <w:rFonts w:ascii="Palatino Linotype" w:eastAsia="Palatino Linotype" w:hAnsi="Palatino Linotype" w:cs="Palatino Linotype"/>
                <w:noProof/>
                <w:sz w:val="22"/>
                <w:szCs w:val="22"/>
              </w:rPr>
              <w:t>PRIMERO. Competencia</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_Toc193384481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6</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82" w:history="1">
            <w:r w:rsidR="002849EA" w:rsidRPr="002849EA">
              <w:rPr>
                <w:rStyle w:val="Hipervnculo"/>
                <w:rFonts w:ascii="Palatino Linotype" w:eastAsia="Palatino Linotype" w:hAnsi="Palatino Linotype" w:cs="Palatino Linotype"/>
                <w:noProof/>
                <w:sz w:val="22"/>
                <w:szCs w:val="22"/>
              </w:rPr>
              <w:t>SEGUNDO. Causales de improcedencia y sobreseimiento</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_Toc193384482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6</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83" w:history="1">
            <w:r w:rsidR="002849EA" w:rsidRPr="002849EA">
              <w:rPr>
                <w:rStyle w:val="Hipervnculo"/>
                <w:rFonts w:ascii="Palatino Linotype" w:eastAsia="Palatino Linotype" w:hAnsi="Palatino Linotype" w:cs="Palatino Linotype"/>
                <w:noProof/>
                <w:sz w:val="22"/>
                <w:szCs w:val="22"/>
              </w:rPr>
              <w:t>TERCERO. Determinación de la Controversia</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_Toc193384483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8</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84" w:history="1">
            <w:r w:rsidR="002849EA" w:rsidRPr="002849EA">
              <w:rPr>
                <w:rStyle w:val="Hipervnculo"/>
                <w:rFonts w:ascii="Palatino Linotype" w:eastAsia="Palatino Linotype" w:hAnsi="Palatino Linotype" w:cs="Palatino Linotype"/>
                <w:noProof/>
                <w:sz w:val="22"/>
                <w:szCs w:val="22"/>
              </w:rPr>
              <w:t>CUARTO. Marco normativo aplicable en materia de transparencia y acceso a la información pública</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_Toc193384484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9</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85" w:history="1">
            <w:r w:rsidR="002849EA" w:rsidRPr="002849EA">
              <w:rPr>
                <w:rStyle w:val="Hipervnculo"/>
                <w:rFonts w:ascii="Palatino Linotype" w:eastAsia="Palatino Linotype" w:hAnsi="Palatino Linotype" w:cs="Palatino Linotype"/>
                <w:noProof/>
                <w:sz w:val="22"/>
                <w:szCs w:val="22"/>
              </w:rPr>
              <w:t>QUINTO. Estudio de Fondo</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_Toc193384485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10</w:t>
            </w:r>
            <w:r w:rsidR="002849EA" w:rsidRPr="002849EA">
              <w:rPr>
                <w:rFonts w:ascii="Palatino Linotype" w:hAnsi="Palatino Linotype"/>
                <w:noProof/>
                <w:webHidden/>
                <w:sz w:val="22"/>
                <w:szCs w:val="22"/>
              </w:rPr>
              <w:fldChar w:fldCharType="end"/>
            </w:r>
          </w:hyperlink>
        </w:p>
        <w:p w:rsidR="002849EA" w:rsidRPr="002849EA" w:rsidRDefault="00740A53">
          <w:pPr>
            <w:pStyle w:val="TDC2"/>
            <w:tabs>
              <w:tab w:val="right" w:leader="dot" w:pos="8921"/>
            </w:tabs>
            <w:rPr>
              <w:rFonts w:ascii="Palatino Linotype" w:eastAsiaTheme="minorEastAsia" w:hAnsi="Palatino Linotype" w:cstheme="minorBidi"/>
              <w:noProof/>
              <w:sz w:val="22"/>
              <w:szCs w:val="22"/>
              <w:lang w:eastAsia="es-MX"/>
            </w:rPr>
          </w:pPr>
          <w:hyperlink w:anchor="_Toc193384486" w:history="1">
            <w:r w:rsidR="002849EA" w:rsidRPr="002849EA">
              <w:rPr>
                <w:rStyle w:val="Hipervnculo"/>
                <w:rFonts w:ascii="Palatino Linotype" w:eastAsia="Palatino Linotype" w:hAnsi="Palatino Linotype" w:cs="Palatino Linotype"/>
                <w:noProof/>
                <w:sz w:val="22"/>
                <w:szCs w:val="22"/>
              </w:rPr>
              <w:t>SEXTO. Decisión.</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_Toc193384486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32</w:t>
            </w:r>
            <w:r w:rsidR="002849EA" w:rsidRPr="002849EA">
              <w:rPr>
                <w:rFonts w:ascii="Palatino Linotype" w:hAnsi="Palatino Linotype"/>
                <w:noProof/>
                <w:webHidden/>
                <w:sz w:val="22"/>
                <w:szCs w:val="22"/>
              </w:rPr>
              <w:fldChar w:fldCharType="end"/>
            </w:r>
          </w:hyperlink>
        </w:p>
        <w:p w:rsidR="002849EA" w:rsidRPr="002849EA" w:rsidRDefault="00740A53">
          <w:pPr>
            <w:pStyle w:val="TDC1"/>
            <w:rPr>
              <w:rFonts w:ascii="Palatino Linotype" w:eastAsiaTheme="minorEastAsia" w:hAnsi="Palatino Linotype" w:cstheme="minorBidi"/>
              <w:noProof/>
              <w:sz w:val="22"/>
              <w:szCs w:val="22"/>
              <w:lang w:eastAsia="es-MX"/>
            </w:rPr>
          </w:pPr>
          <w:hyperlink w:anchor="_Toc193384487" w:history="1">
            <w:r w:rsidR="002849EA" w:rsidRPr="002849EA">
              <w:rPr>
                <w:rStyle w:val="Hipervnculo"/>
                <w:rFonts w:ascii="Palatino Linotype" w:eastAsia="Palatino Linotype" w:hAnsi="Palatino Linotype" w:cs="Palatino Linotype"/>
                <w:noProof/>
                <w:sz w:val="22"/>
                <w:szCs w:val="22"/>
              </w:rPr>
              <w:t>R E S U E L V E:</w:t>
            </w:r>
            <w:r w:rsidR="002849EA" w:rsidRPr="002849EA">
              <w:rPr>
                <w:rFonts w:ascii="Palatino Linotype" w:hAnsi="Palatino Linotype"/>
                <w:noProof/>
                <w:webHidden/>
                <w:sz w:val="22"/>
                <w:szCs w:val="22"/>
              </w:rPr>
              <w:tab/>
            </w:r>
            <w:r w:rsidR="002849EA" w:rsidRPr="002849EA">
              <w:rPr>
                <w:rFonts w:ascii="Palatino Linotype" w:hAnsi="Palatino Linotype"/>
                <w:noProof/>
                <w:webHidden/>
                <w:sz w:val="22"/>
                <w:szCs w:val="22"/>
              </w:rPr>
              <w:fldChar w:fldCharType="begin"/>
            </w:r>
            <w:r w:rsidR="002849EA" w:rsidRPr="002849EA">
              <w:rPr>
                <w:rFonts w:ascii="Palatino Linotype" w:hAnsi="Palatino Linotype"/>
                <w:noProof/>
                <w:webHidden/>
                <w:sz w:val="22"/>
                <w:szCs w:val="22"/>
              </w:rPr>
              <w:instrText xml:space="preserve"> PAGEREF _Toc193384487 \h </w:instrText>
            </w:r>
            <w:r w:rsidR="002849EA" w:rsidRPr="002849EA">
              <w:rPr>
                <w:rFonts w:ascii="Palatino Linotype" w:hAnsi="Palatino Linotype"/>
                <w:noProof/>
                <w:webHidden/>
                <w:sz w:val="22"/>
                <w:szCs w:val="22"/>
              </w:rPr>
            </w:r>
            <w:r w:rsidR="002849EA" w:rsidRPr="002849EA">
              <w:rPr>
                <w:rFonts w:ascii="Palatino Linotype" w:hAnsi="Palatino Linotype"/>
                <w:noProof/>
                <w:webHidden/>
                <w:sz w:val="22"/>
                <w:szCs w:val="22"/>
              </w:rPr>
              <w:fldChar w:fldCharType="separate"/>
            </w:r>
            <w:r w:rsidR="00CF58EA">
              <w:rPr>
                <w:rFonts w:ascii="Palatino Linotype" w:hAnsi="Palatino Linotype"/>
                <w:noProof/>
                <w:webHidden/>
                <w:sz w:val="22"/>
                <w:szCs w:val="22"/>
              </w:rPr>
              <w:t>33</w:t>
            </w:r>
            <w:r w:rsidR="002849EA" w:rsidRPr="002849EA">
              <w:rPr>
                <w:rFonts w:ascii="Palatino Linotype" w:hAnsi="Palatino Linotype"/>
                <w:noProof/>
                <w:webHidden/>
                <w:sz w:val="22"/>
                <w:szCs w:val="22"/>
              </w:rPr>
              <w:fldChar w:fldCharType="end"/>
            </w:r>
          </w:hyperlink>
        </w:p>
        <w:p w:rsidR="002849EA" w:rsidRPr="002849EA" w:rsidRDefault="002849EA" w:rsidP="002849EA">
          <w:pPr>
            <w:spacing w:after="0" w:line="360" w:lineRule="auto"/>
            <w:rPr>
              <w:rFonts w:eastAsiaTheme="minorHAnsi" w:cstheme="minorBidi"/>
              <w:b/>
              <w:bCs/>
              <w:color w:val="FF0000"/>
              <w:lang w:val="es-ES" w:eastAsia="en-US"/>
            </w:rPr>
          </w:pPr>
          <w:r w:rsidRPr="002849EA">
            <w:rPr>
              <w:rFonts w:eastAsiaTheme="minorHAnsi" w:cstheme="minorBidi"/>
              <w:bCs/>
              <w:color w:val="auto"/>
              <w:lang w:val="es-ES" w:eastAsia="en-US"/>
            </w:rPr>
            <w:fldChar w:fldCharType="end"/>
          </w:r>
        </w:p>
      </w:sdtContent>
    </w:sdt>
    <w:p w:rsidR="004B7CB8" w:rsidRDefault="004B7CB8">
      <w:pPr>
        <w:tabs>
          <w:tab w:val="left" w:pos="8931"/>
        </w:tabs>
        <w:spacing w:after="0" w:line="360" w:lineRule="auto"/>
        <w:rPr>
          <w:color w:val="FF0000"/>
        </w:rPr>
      </w:pPr>
    </w:p>
    <w:p w:rsidR="004B7CB8" w:rsidRDefault="004B7CB8">
      <w:pPr>
        <w:tabs>
          <w:tab w:val="left" w:pos="8931"/>
        </w:tabs>
        <w:spacing w:after="0" w:line="360" w:lineRule="auto"/>
        <w:rPr>
          <w:color w:val="FF0000"/>
        </w:rPr>
      </w:pPr>
    </w:p>
    <w:p w:rsidR="004B7CB8" w:rsidRDefault="004B7CB8">
      <w:pPr>
        <w:tabs>
          <w:tab w:val="left" w:pos="8931"/>
        </w:tabs>
        <w:spacing w:after="0" w:line="360" w:lineRule="auto"/>
        <w:rPr>
          <w:color w:val="000000"/>
        </w:rPr>
      </w:pPr>
    </w:p>
    <w:p w:rsidR="004B7CB8" w:rsidRDefault="004B7CB8">
      <w:pPr>
        <w:tabs>
          <w:tab w:val="left" w:pos="8931"/>
        </w:tabs>
        <w:spacing w:after="0" w:line="360" w:lineRule="auto"/>
        <w:rPr>
          <w:color w:val="000000"/>
        </w:rPr>
      </w:pPr>
    </w:p>
    <w:p w:rsidR="004B7CB8" w:rsidRDefault="004B7CB8">
      <w:pPr>
        <w:tabs>
          <w:tab w:val="left" w:pos="8931"/>
        </w:tabs>
        <w:spacing w:after="0" w:line="360" w:lineRule="auto"/>
        <w:rPr>
          <w:color w:val="000000"/>
        </w:rPr>
      </w:pPr>
    </w:p>
    <w:p w:rsidR="002849EA" w:rsidRDefault="002849EA">
      <w:pPr>
        <w:tabs>
          <w:tab w:val="left" w:pos="8931"/>
        </w:tabs>
        <w:spacing w:after="0" w:line="360" w:lineRule="auto"/>
        <w:rPr>
          <w:color w:val="000000"/>
        </w:rPr>
      </w:pPr>
    </w:p>
    <w:p w:rsidR="004B7CB8" w:rsidRDefault="00805589">
      <w:pPr>
        <w:tabs>
          <w:tab w:val="left" w:pos="8931"/>
        </w:tabs>
        <w:spacing w:after="0" w:line="360" w:lineRule="auto"/>
        <w:rPr>
          <w:color w:val="000000"/>
        </w:rPr>
      </w:pPr>
      <w:r>
        <w:rPr>
          <w:color w:val="000000"/>
        </w:rPr>
        <w:lastRenderedPageBreak/>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rsidR="004B7CB8" w:rsidRDefault="00805589">
      <w:pPr>
        <w:tabs>
          <w:tab w:val="left" w:pos="2340"/>
        </w:tabs>
        <w:spacing w:after="0" w:line="360" w:lineRule="auto"/>
        <w:rPr>
          <w:b/>
          <w:color w:val="FF0000"/>
        </w:rPr>
      </w:pPr>
      <w:r>
        <w:rPr>
          <w:b/>
          <w:color w:val="FF0000"/>
        </w:rPr>
        <w:tab/>
      </w:r>
    </w:p>
    <w:p w:rsidR="004B7CB8" w:rsidRDefault="00805589">
      <w:pPr>
        <w:spacing w:after="0" w:line="360" w:lineRule="auto"/>
        <w:rPr>
          <w:color w:val="000000"/>
        </w:rPr>
      </w:pPr>
      <w:bookmarkStart w:id="0" w:name="_heading=h.ac8py4qxqx" w:colFirst="0" w:colLast="0"/>
      <w:bookmarkEnd w:id="0"/>
      <w:r>
        <w:rPr>
          <w:b/>
          <w:color w:val="000000"/>
        </w:rPr>
        <w:t xml:space="preserve">VISTO </w:t>
      </w:r>
      <w:r>
        <w:rPr>
          <w:color w:val="000000"/>
        </w:rPr>
        <w:t xml:space="preserve">el expediente electrónico conformado con motivo del Recurso de Revisión </w:t>
      </w:r>
      <w:r w:rsidRPr="00205886">
        <w:rPr>
          <w:b/>
          <w:color w:val="000000"/>
        </w:rPr>
        <w:t>01771/INFOEM/IP/RR/2025,</w:t>
      </w:r>
      <w:r>
        <w:rPr>
          <w:color w:val="000000"/>
        </w:rPr>
        <w:t xml:space="preserve"> interpuesto por</w:t>
      </w:r>
      <w:bookmarkStart w:id="1" w:name="_GoBack"/>
      <w:bookmarkEnd w:id="1"/>
      <w:r>
        <w:rPr>
          <w:color w:val="000000"/>
        </w:rPr>
        <w:t xml:space="preserve"> la persona Particular o Recurrente, en contra de la respuesta del Sujeto Obligado, </w:t>
      </w:r>
      <w:r w:rsidRPr="00205886">
        <w:rPr>
          <w:b/>
          <w:color w:val="000000"/>
        </w:rPr>
        <w:t xml:space="preserve">Ayuntamiento de </w:t>
      </w:r>
      <w:proofErr w:type="spellStart"/>
      <w:r w:rsidRPr="00205886">
        <w:rPr>
          <w:b/>
          <w:color w:val="000000"/>
        </w:rPr>
        <w:t>Ocuilan</w:t>
      </w:r>
      <w:proofErr w:type="spellEnd"/>
      <w:r>
        <w:rPr>
          <w:color w:val="000000"/>
        </w:rPr>
        <w:t>, a la solicitud de acceso a la información pública 00040/OCUILAN/IP/2025 se emite la presente Resolución, con base en los Antecedentes y Considerandos que se exponen a continuación:</w:t>
      </w:r>
    </w:p>
    <w:p w:rsidR="004B7CB8" w:rsidRDefault="00805589">
      <w:pPr>
        <w:tabs>
          <w:tab w:val="left" w:pos="1965"/>
        </w:tabs>
        <w:spacing w:after="0" w:line="360" w:lineRule="auto"/>
        <w:rPr>
          <w:b/>
          <w:color w:val="FF0000"/>
        </w:rPr>
      </w:pPr>
      <w:r>
        <w:rPr>
          <w:b/>
          <w:color w:val="FF0000"/>
        </w:rPr>
        <w:tab/>
      </w:r>
    </w:p>
    <w:p w:rsidR="004B7CB8" w:rsidRDefault="00805589">
      <w:pPr>
        <w:pStyle w:val="Ttulo1"/>
        <w:spacing w:before="0" w:line="360" w:lineRule="auto"/>
        <w:jc w:val="center"/>
        <w:rPr>
          <w:rFonts w:ascii="Palatino Linotype" w:eastAsia="Palatino Linotype" w:hAnsi="Palatino Linotype" w:cs="Palatino Linotype"/>
          <w:b/>
          <w:color w:val="000000"/>
          <w:sz w:val="22"/>
          <w:szCs w:val="22"/>
        </w:rPr>
      </w:pPr>
      <w:bookmarkStart w:id="2" w:name="_Toc193384475"/>
      <w:r>
        <w:rPr>
          <w:rFonts w:ascii="Palatino Linotype" w:eastAsia="Palatino Linotype" w:hAnsi="Palatino Linotype" w:cs="Palatino Linotype"/>
          <w:b/>
          <w:color w:val="000000"/>
          <w:sz w:val="22"/>
          <w:szCs w:val="22"/>
        </w:rPr>
        <w:t>A N T E C E D E N T E S</w:t>
      </w:r>
      <w:bookmarkEnd w:id="2"/>
    </w:p>
    <w:p w:rsidR="004B7CB8" w:rsidRDefault="004B7CB8">
      <w:pPr>
        <w:spacing w:after="0" w:line="360" w:lineRule="auto"/>
        <w:jc w:val="center"/>
        <w:rPr>
          <w:b/>
          <w:color w:val="00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3" w:name="_Toc193384476"/>
      <w:r>
        <w:rPr>
          <w:rFonts w:ascii="Palatino Linotype" w:eastAsia="Palatino Linotype" w:hAnsi="Palatino Linotype" w:cs="Palatino Linotype"/>
          <w:b/>
          <w:color w:val="000000"/>
          <w:sz w:val="22"/>
          <w:szCs w:val="22"/>
        </w:rPr>
        <w:t>I. Presentación de la solicitud de información</w:t>
      </w:r>
      <w:bookmarkEnd w:id="3"/>
    </w:p>
    <w:p w:rsidR="004B7CB8" w:rsidRDefault="004B7CB8">
      <w:pPr>
        <w:spacing w:after="0" w:line="360" w:lineRule="auto"/>
        <w:rPr>
          <w:b/>
          <w:color w:val="000000"/>
        </w:rPr>
      </w:pPr>
    </w:p>
    <w:p w:rsidR="004B7CB8" w:rsidRDefault="00805589">
      <w:pPr>
        <w:spacing w:after="0" w:line="360" w:lineRule="auto"/>
        <w:rPr>
          <w:color w:val="000000"/>
        </w:rPr>
      </w:pPr>
      <w:r>
        <w:rPr>
          <w:color w:val="000000"/>
        </w:rPr>
        <w:t xml:space="preserve">Con fecha seis de febrero de dos mil veinticinco, la persona Solicitante presentó un requerimiento de acceso a la información, a través del Sistema de Acceso a la Información Mexiquense (SAIMEX), ante el Ayuntamiento de </w:t>
      </w:r>
      <w:proofErr w:type="spellStart"/>
      <w:r>
        <w:rPr>
          <w:color w:val="000000"/>
        </w:rPr>
        <w:t>Ocuilan</w:t>
      </w:r>
      <w:proofErr w:type="spellEnd"/>
      <w:r>
        <w:rPr>
          <w:color w:val="000000"/>
        </w:rPr>
        <w:t>,</w:t>
      </w:r>
      <w:r>
        <w:rPr>
          <w:b/>
          <w:color w:val="000000"/>
        </w:rPr>
        <w:t xml:space="preserve"> </w:t>
      </w:r>
      <w:r>
        <w:rPr>
          <w:color w:val="000000"/>
        </w:rPr>
        <w:t>en los siguientes términos:</w:t>
      </w:r>
    </w:p>
    <w:p w:rsidR="004B7CB8" w:rsidRDefault="004B7CB8">
      <w:pPr>
        <w:tabs>
          <w:tab w:val="left" w:pos="4667"/>
        </w:tabs>
        <w:spacing w:after="0" w:line="360" w:lineRule="auto"/>
        <w:ind w:right="567"/>
        <w:rPr>
          <w:b/>
          <w:i/>
          <w:color w:val="FF0000"/>
        </w:rPr>
      </w:pPr>
    </w:p>
    <w:p w:rsidR="004B7CB8" w:rsidRDefault="00805589">
      <w:pPr>
        <w:spacing w:after="0" w:line="360" w:lineRule="auto"/>
        <w:ind w:left="567" w:right="567"/>
        <w:rPr>
          <w:b/>
          <w:i/>
          <w:color w:val="000000"/>
          <w:sz w:val="20"/>
          <w:szCs w:val="20"/>
        </w:rPr>
      </w:pPr>
      <w:r>
        <w:rPr>
          <w:b/>
          <w:i/>
          <w:color w:val="000000"/>
          <w:sz w:val="20"/>
          <w:szCs w:val="20"/>
        </w:rPr>
        <w:t>“DESCRIPCIÓN CLARA Y PRECISA DE LA INFORMACIÓN SOLICITADA.</w:t>
      </w:r>
    </w:p>
    <w:p w:rsidR="004B7CB8" w:rsidRDefault="00805589">
      <w:pPr>
        <w:spacing w:after="0" w:line="360" w:lineRule="auto"/>
        <w:ind w:left="567" w:right="567"/>
        <w:rPr>
          <w:i/>
          <w:color w:val="000000"/>
          <w:sz w:val="20"/>
          <w:szCs w:val="20"/>
        </w:rPr>
      </w:pPr>
      <w:r>
        <w:rPr>
          <w:i/>
          <w:color w:val="000000"/>
          <w:sz w:val="20"/>
          <w:szCs w:val="20"/>
        </w:rPr>
        <w:t xml:space="preserve">Copia simple de la Constancia de No deudor Alimentario Moroso, de todos y cada uno de los Servidores y Servidoras Públicos del Ayuntamiento de </w:t>
      </w:r>
      <w:proofErr w:type="spellStart"/>
      <w:r>
        <w:rPr>
          <w:i/>
          <w:color w:val="000000"/>
          <w:sz w:val="20"/>
          <w:szCs w:val="20"/>
        </w:rPr>
        <w:t>Ocuilan</w:t>
      </w:r>
      <w:proofErr w:type="spellEnd"/>
      <w:r>
        <w:rPr>
          <w:i/>
          <w:color w:val="000000"/>
          <w:sz w:val="20"/>
          <w:szCs w:val="20"/>
        </w:rPr>
        <w:t xml:space="preserve">, Administración 2025-2027 con vigencia actualizada al 2025” (Sic) </w:t>
      </w:r>
    </w:p>
    <w:p w:rsidR="004B7CB8" w:rsidRDefault="004B7CB8">
      <w:pPr>
        <w:spacing w:after="0" w:line="360" w:lineRule="auto"/>
        <w:ind w:right="567"/>
        <w:rPr>
          <w:i/>
          <w:color w:val="000000"/>
          <w:sz w:val="20"/>
          <w:szCs w:val="20"/>
        </w:rPr>
      </w:pPr>
    </w:p>
    <w:p w:rsidR="004B7CB8" w:rsidRDefault="00805589">
      <w:pPr>
        <w:spacing w:after="0" w:line="360" w:lineRule="auto"/>
        <w:ind w:left="567" w:right="567"/>
        <w:rPr>
          <w:b/>
          <w:i/>
          <w:color w:val="000000"/>
          <w:sz w:val="20"/>
          <w:szCs w:val="20"/>
        </w:rPr>
      </w:pPr>
      <w:r>
        <w:rPr>
          <w:b/>
          <w:i/>
          <w:color w:val="000000"/>
          <w:sz w:val="20"/>
          <w:szCs w:val="20"/>
        </w:rPr>
        <w:t>“MODALIDAD DE ENTREGA</w:t>
      </w:r>
    </w:p>
    <w:p w:rsidR="004B7CB8" w:rsidRDefault="00805589">
      <w:pPr>
        <w:spacing w:after="0" w:line="360" w:lineRule="auto"/>
        <w:ind w:left="567" w:right="567"/>
        <w:rPr>
          <w:i/>
          <w:color w:val="000000"/>
          <w:sz w:val="20"/>
          <w:szCs w:val="20"/>
        </w:rPr>
      </w:pPr>
      <w:r>
        <w:rPr>
          <w:i/>
          <w:color w:val="000000"/>
          <w:sz w:val="20"/>
          <w:szCs w:val="20"/>
        </w:rPr>
        <w:t>A través del SAIMEX”</w:t>
      </w:r>
    </w:p>
    <w:p w:rsidR="004B7CB8" w:rsidRDefault="004B7CB8">
      <w:pPr>
        <w:spacing w:after="0" w:line="360" w:lineRule="auto"/>
        <w:rPr>
          <w:b/>
          <w:color w:val="00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4" w:name="_Toc193384477"/>
      <w:r>
        <w:rPr>
          <w:rFonts w:ascii="Palatino Linotype" w:eastAsia="Palatino Linotype" w:hAnsi="Palatino Linotype" w:cs="Palatino Linotype"/>
          <w:b/>
          <w:color w:val="000000"/>
          <w:sz w:val="22"/>
          <w:szCs w:val="22"/>
        </w:rPr>
        <w:lastRenderedPageBreak/>
        <w:t>II. Respuesta del Sujeto Obligado</w:t>
      </w:r>
      <w:bookmarkEnd w:id="4"/>
    </w:p>
    <w:p w:rsidR="004B7CB8" w:rsidRDefault="004B7CB8">
      <w:pPr>
        <w:spacing w:after="0" w:line="360" w:lineRule="auto"/>
        <w:rPr>
          <w:b/>
          <w:color w:val="FF0000"/>
        </w:rPr>
      </w:pPr>
    </w:p>
    <w:p w:rsidR="004B7CB8" w:rsidRDefault="00805589">
      <w:pPr>
        <w:spacing w:after="0" w:line="360" w:lineRule="auto"/>
        <w:rPr>
          <w:color w:val="000000"/>
        </w:rPr>
      </w:pPr>
      <w:bookmarkStart w:id="5" w:name="_heading=h.uyqxrmy2knnv" w:colFirst="0" w:colLast="0"/>
      <w:bookmarkEnd w:id="5"/>
      <w:r>
        <w:rPr>
          <w:color w:val="000000"/>
        </w:rPr>
        <w:t xml:space="preserve">Con fecha catorce de febrero de dos mil veinticinco, el Ayuntamiento de </w:t>
      </w:r>
      <w:proofErr w:type="spellStart"/>
      <w:r>
        <w:rPr>
          <w:color w:val="000000"/>
        </w:rPr>
        <w:t>Ocuilan</w:t>
      </w:r>
      <w:proofErr w:type="spellEnd"/>
      <w:r>
        <w:rPr>
          <w:color w:val="000000"/>
        </w:rPr>
        <w:t>, notificó la respuesta a la solicitud, a través del Sistema de Acceso a la Información Mexiquense (SAIMEX), mediante la digitalización de los siguientes documentos:</w:t>
      </w:r>
    </w:p>
    <w:p w:rsidR="004B7CB8" w:rsidRDefault="004B7CB8">
      <w:pPr>
        <w:spacing w:after="0" w:line="360" w:lineRule="auto"/>
        <w:rPr>
          <w:color w:val="FF0000"/>
        </w:rPr>
      </w:pPr>
    </w:p>
    <w:p w:rsidR="004B7CB8" w:rsidRDefault="00805589">
      <w:pPr>
        <w:spacing w:after="0" w:line="360" w:lineRule="auto"/>
        <w:rPr>
          <w:color w:val="000000"/>
        </w:rPr>
      </w:pPr>
      <w:r>
        <w:rPr>
          <w:color w:val="000000"/>
        </w:rPr>
        <w:t xml:space="preserve">i) Oficio número PM/UT/061/2025, del seis de febrero de dos mil veinticinco, suscrito por la Titular de la Unidad de Transparencia y dirigido al Director de Administración y Recursos Materiales, por medio del cual solicitó dar respuesta a lo solicitado. </w:t>
      </w:r>
    </w:p>
    <w:p w:rsidR="004B7CB8" w:rsidRDefault="004B7CB8">
      <w:pPr>
        <w:spacing w:after="0" w:line="360" w:lineRule="auto"/>
        <w:ind w:right="567"/>
        <w:rPr>
          <w:i/>
          <w:color w:val="FF0000"/>
          <w:sz w:val="20"/>
          <w:szCs w:val="20"/>
        </w:rPr>
      </w:pPr>
    </w:p>
    <w:p w:rsidR="004B7CB8" w:rsidRDefault="00805589">
      <w:pPr>
        <w:spacing w:after="0" w:line="360" w:lineRule="auto"/>
        <w:rPr>
          <w:color w:val="000000"/>
        </w:rPr>
      </w:pPr>
      <w:r>
        <w:rPr>
          <w:color w:val="000000"/>
        </w:rPr>
        <w:t xml:space="preserve">ii) Oficio número PMC/DARM/OI/168/25, del doce de febrero de dos mil veinticinco, suscrito por el Director de Administración y Recursos Materiales y dirigido a la Titular de la Unidad de Transparencia, por medio del cual preciso lo siguiente: </w:t>
      </w:r>
    </w:p>
    <w:p w:rsidR="004B7CB8" w:rsidRDefault="004B7CB8">
      <w:pPr>
        <w:spacing w:after="0" w:line="360" w:lineRule="auto"/>
        <w:rPr>
          <w:color w:val="000000"/>
        </w:rPr>
      </w:pPr>
    </w:p>
    <w:p w:rsidR="004B7CB8" w:rsidRDefault="00805589">
      <w:pPr>
        <w:spacing w:after="0" w:line="360" w:lineRule="auto"/>
        <w:ind w:left="567" w:right="567"/>
        <w:jc w:val="left"/>
        <w:rPr>
          <w:i/>
          <w:color w:val="000000"/>
        </w:rPr>
      </w:pPr>
      <w:r>
        <w:rPr>
          <w:i/>
          <w:color w:val="000000"/>
        </w:rPr>
        <w:t>“…</w:t>
      </w:r>
    </w:p>
    <w:p w:rsidR="004B7CB8" w:rsidRDefault="00805589">
      <w:pPr>
        <w:spacing w:after="0" w:line="360" w:lineRule="auto"/>
        <w:ind w:left="567" w:right="567"/>
        <w:rPr>
          <w:i/>
          <w:color w:val="000000"/>
        </w:rPr>
      </w:pPr>
      <w:r>
        <w:rPr>
          <w:i/>
          <w:color w:val="000000"/>
        </w:rPr>
        <w:t>Al respecto, me permito informarle que aún no se cuenta con toda la documentación, toda vez que aún no se integran por completo todos los expedientes del personal de esta administración.</w:t>
      </w:r>
    </w:p>
    <w:p w:rsidR="004B7CB8" w:rsidRDefault="00805589">
      <w:pPr>
        <w:spacing w:after="0" w:line="360" w:lineRule="auto"/>
        <w:ind w:left="567" w:right="567"/>
        <w:jc w:val="left"/>
        <w:rPr>
          <w:i/>
          <w:color w:val="000000"/>
        </w:rPr>
      </w:pPr>
      <w:r>
        <w:rPr>
          <w:i/>
          <w:color w:val="000000"/>
        </w:rPr>
        <w:t xml:space="preserve">…” </w:t>
      </w:r>
    </w:p>
    <w:p w:rsidR="004B7CB8" w:rsidRDefault="004B7CB8">
      <w:pPr>
        <w:spacing w:after="0" w:line="360" w:lineRule="auto"/>
        <w:ind w:right="567"/>
        <w:rPr>
          <w:color w:val="FF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6" w:name="_Toc193384478"/>
      <w:r>
        <w:rPr>
          <w:rFonts w:ascii="Palatino Linotype" w:eastAsia="Palatino Linotype" w:hAnsi="Palatino Linotype" w:cs="Palatino Linotype"/>
          <w:b/>
          <w:color w:val="000000"/>
          <w:sz w:val="22"/>
          <w:szCs w:val="22"/>
        </w:rPr>
        <w:t>III. Interposición del Recurso de Revisión</w:t>
      </w:r>
      <w:bookmarkEnd w:id="6"/>
    </w:p>
    <w:p w:rsidR="004B7CB8" w:rsidRDefault="004B7CB8">
      <w:pPr>
        <w:spacing w:after="0" w:line="360" w:lineRule="auto"/>
        <w:rPr>
          <w:color w:val="FF0000"/>
        </w:rPr>
      </w:pPr>
    </w:p>
    <w:p w:rsidR="004B7CB8" w:rsidRDefault="00805589">
      <w:pPr>
        <w:widowControl w:val="0"/>
        <w:spacing w:after="0" w:line="360" w:lineRule="auto"/>
        <w:rPr>
          <w:color w:val="000000"/>
        </w:rPr>
      </w:pPr>
      <w:r>
        <w:rPr>
          <w:color w:val="000000"/>
        </w:rPr>
        <w:t>Con fecha veinte de febrero de dos mil veinticinco, se recibió en este Instituto, a través del Sistema de Acceso a la Información Mexiquense (SAIMEX), el Recurso de Revisión interpuesto por la parte Recurrente, en contra de la respuesta del Sujeto Obligado, en los siguientes términos:</w:t>
      </w:r>
    </w:p>
    <w:p w:rsidR="004B7CB8" w:rsidRDefault="004B7CB8">
      <w:pPr>
        <w:tabs>
          <w:tab w:val="left" w:pos="4667"/>
        </w:tabs>
        <w:spacing w:after="0" w:line="360" w:lineRule="auto"/>
        <w:ind w:left="567" w:right="567"/>
        <w:rPr>
          <w:b/>
          <w:i/>
          <w:color w:val="FF0000"/>
          <w:sz w:val="20"/>
          <w:szCs w:val="20"/>
        </w:rPr>
      </w:pPr>
    </w:p>
    <w:p w:rsidR="004B7CB8" w:rsidRDefault="00805589">
      <w:pPr>
        <w:tabs>
          <w:tab w:val="left" w:pos="4667"/>
        </w:tabs>
        <w:spacing w:after="0" w:line="360" w:lineRule="auto"/>
        <w:ind w:left="567" w:right="567"/>
        <w:rPr>
          <w:b/>
          <w:i/>
          <w:color w:val="000000"/>
          <w:sz w:val="20"/>
          <w:szCs w:val="20"/>
        </w:rPr>
      </w:pPr>
      <w:r>
        <w:rPr>
          <w:b/>
          <w:i/>
          <w:color w:val="000000"/>
          <w:sz w:val="20"/>
          <w:szCs w:val="20"/>
        </w:rPr>
        <w:t>“ACTO IMPUGNADO</w:t>
      </w:r>
    </w:p>
    <w:p w:rsidR="004B7CB8" w:rsidRDefault="00805589">
      <w:pPr>
        <w:tabs>
          <w:tab w:val="left" w:pos="4667"/>
        </w:tabs>
        <w:spacing w:after="0" w:line="360" w:lineRule="auto"/>
        <w:ind w:left="567" w:right="567"/>
        <w:rPr>
          <w:i/>
          <w:color w:val="000000"/>
          <w:sz w:val="20"/>
          <w:szCs w:val="20"/>
        </w:rPr>
      </w:pPr>
      <w:r>
        <w:rPr>
          <w:i/>
          <w:color w:val="000000"/>
          <w:sz w:val="20"/>
          <w:szCs w:val="20"/>
        </w:rPr>
        <w:t xml:space="preserve">El sujeto obligado en </w:t>
      </w:r>
      <w:proofErr w:type="spellStart"/>
      <w:r>
        <w:rPr>
          <w:i/>
          <w:color w:val="000000"/>
          <w:sz w:val="20"/>
          <w:szCs w:val="20"/>
        </w:rPr>
        <w:t>terminos</w:t>
      </w:r>
      <w:proofErr w:type="spellEnd"/>
      <w:r>
        <w:rPr>
          <w:i/>
          <w:color w:val="000000"/>
          <w:sz w:val="20"/>
          <w:szCs w:val="20"/>
        </w:rPr>
        <w:t xml:space="preserve"> del </w:t>
      </w:r>
      <w:proofErr w:type="spellStart"/>
      <w:r>
        <w:rPr>
          <w:i/>
          <w:color w:val="000000"/>
          <w:sz w:val="20"/>
          <w:szCs w:val="20"/>
        </w:rPr>
        <w:t>articulo</w:t>
      </w:r>
      <w:proofErr w:type="spellEnd"/>
      <w:r>
        <w:rPr>
          <w:i/>
          <w:color w:val="000000"/>
          <w:sz w:val="20"/>
          <w:szCs w:val="20"/>
        </w:rPr>
        <w:t xml:space="preserve"> 12 de la LEY DE TRANSPARENCIA Y ACCESO A LA INFORMACIÓN PÚBLICA DEL ESTADO DE MÉXICO Y MUNICIPIOS, me sigue negando el acceso a la </w:t>
      </w:r>
      <w:proofErr w:type="spellStart"/>
      <w:r>
        <w:rPr>
          <w:i/>
          <w:color w:val="000000"/>
          <w:sz w:val="20"/>
          <w:szCs w:val="20"/>
        </w:rPr>
        <w:t>informacion</w:t>
      </w:r>
      <w:proofErr w:type="spellEnd"/>
      <w:r>
        <w:rPr>
          <w:i/>
          <w:color w:val="000000"/>
          <w:sz w:val="20"/>
          <w:szCs w:val="20"/>
        </w:rPr>
        <w:t xml:space="preserve"> publica, con argumentos que solo son atribuibles a su falta de responsabilidad y/o </w:t>
      </w:r>
      <w:proofErr w:type="spellStart"/>
      <w:r>
        <w:rPr>
          <w:i/>
          <w:color w:val="000000"/>
          <w:sz w:val="20"/>
          <w:szCs w:val="20"/>
        </w:rPr>
        <w:t>omision</w:t>
      </w:r>
      <w:proofErr w:type="spellEnd"/>
      <w:r>
        <w:rPr>
          <w:i/>
          <w:color w:val="000000"/>
          <w:sz w:val="20"/>
          <w:szCs w:val="20"/>
        </w:rPr>
        <w:t xml:space="preserve"> por realizar las funciones que le corresponden, lo que </w:t>
      </w:r>
      <w:proofErr w:type="spellStart"/>
      <w:r>
        <w:rPr>
          <w:i/>
          <w:color w:val="000000"/>
          <w:sz w:val="20"/>
          <w:szCs w:val="20"/>
        </w:rPr>
        <w:t>insinua</w:t>
      </w:r>
      <w:proofErr w:type="spellEnd"/>
      <w:r>
        <w:rPr>
          <w:i/>
          <w:color w:val="000000"/>
          <w:sz w:val="20"/>
          <w:szCs w:val="20"/>
        </w:rPr>
        <w:t xml:space="preserve"> una </w:t>
      </w:r>
      <w:proofErr w:type="spellStart"/>
      <w:r>
        <w:rPr>
          <w:i/>
          <w:color w:val="000000"/>
          <w:sz w:val="20"/>
          <w:szCs w:val="20"/>
        </w:rPr>
        <w:t>contratacion</w:t>
      </w:r>
      <w:proofErr w:type="spellEnd"/>
      <w:r>
        <w:rPr>
          <w:i/>
          <w:color w:val="000000"/>
          <w:sz w:val="20"/>
          <w:szCs w:val="20"/>
        </w:rPr>
        <w:t xml:space="preserve"> indebida de servidores </w:t>
      </w:r>
      <w:proofErr w:type="spellStart"/>
      <w:r>
        <w:rPr>
          <w:i/>
          <w:color w:val="000000"/>
          <w:sz w:val="20"/>
          <w:szCs w:val="20"/>
        </w:rPr>
        <w:t>publicos</w:t>
      </w:r>
      <w:proofErr w:type="spellEnd"/>
      <w:r>
        <w:rPr>
          <w:i/>
          <w:color w:val="000000"/>
          <w:sz w:val="20"/>
          <w:szCs w:val="20"/>
        </w:rPr>
        <w:t>.” (Sic.)</w:t>
      </w:r>
    </w:p>
    <w:p w:rsidR="004B7CB8" w:rsidRDefault="004B7CB8">
      <w:pPr>
        <w:tabs>
          <w:tab w:val="left" w:pos="4667"/>
        </w:tabs>
        <w:spacing w:after="0" w:line="360" w:lineRule="auto"/>
        <w:ind w:left="567" w:right="567"/>
        <w:rPr>
          <w:i/>
          <w:color w:val="FF0000"/>
          <w:sz w:val="20"/>
          <w:szCs w:val="20"/>
        </w:rPr>
      </w:pPr>
    </w:p>
    <w:p w:rsidR="004B7CB8" w:rsidRDefault="00805589">
      <w:pPr>
        <w:tabs>
          <w:tab w:val="left" w:pos="4667"/>
        </w:tabs>
        <w:spacing w:after="0" w:line="360" w:lineRule="auto"/>
        <w:ind w:left="567" w:right="567"/>
        <w:rPr>
          <w:b/>
          <w:i/>
          <w:color w:val="000000"/>
          <w:sz w:val="20"/>
          <w:szCs w:val="20"/>
        </w:rPr>
      </w:pPr>
      <w:r>
        <w:rPr>
          <w:b/>
          <w:i/>
          <w:color w:val="000000"/>
          <w:sz w:val="20"/>
          <w:szCs w:val="20"/>
        </w:rPr>
        <w:t>“RAZONES O MOTIVOS DE LA INCONFORMIDAD</w:t>
      </w:r>
    </w:p>
    <w:p w:rsidR="004B7CB8" w:rsidRDefault="00805589">
      <w:pPr>
        <w:tabs>
          <w:tab w:val="left" w:pos="4667"/>
        </w:tabs>
        <w:spacing w:after="0" w:line="360" w:lineRule="auto"/>
        <w:ind w:left="567" w:right="567"/>
        <w:rPr>
          <w:i/>
          <w:color w:val="000000"/>
          <w:sz w:val="20"/>
          <w:szCs w:val="20"/>
        </w:rPr>
      </w:pPr>
      <w:r>
        <w:rPr>
          <w:i/>
          <w:color w:val="000000"/>
          <w:sz w:val="20"/>
          <w:szCs w:val="20"/>
        </w:rPr>
        <w:t xml:space="preserve">Sigue informando que </w:t>
      </w:r>
      <w:r>
        <w:rPr>
          <w:i/>
          <w:color w:val="000000"/>
          <w:sz w:val="20"/>
          <w:szCs w:val="20"/>
          <w:u w:val="single"/>
        </w:rPr>
        <w:t xml:space="preserve">no cuenta con la </w:t>
      </w:r>
      <w:proofErr w:type="spellStart"/>
      <w:r>
        <w:rPr>
          <w:i/>
          <w:color w:val="000000"/>
          <w:sz w:val="20"/>
          <w:szCs w:val="20"/>
          <w:u w:val="single"/>
        </w:rPr>
        <w:t>informacion</w:t>
      </w:r>
      <w:proofErr w:type="spellEnd"/>
      <w:r>
        <w:rPr>
          <w:i/>
          <w:color w:val="000000"/>
          <w:sz w:val="20"/>
          <w:szCs w:val="20"/>
          <w:u w:val="single"/>
        </w:rPr>
        <w:t xml:space="preserve"> completa para darme una respuesta</w:t>
      </w:r>
      <w:r>
        <w:rPr>
          <w:i/>
          <w:color w:val="000000"/>
          <w:sz w:val="20"/>
          <w:szCs w:val="20"/>
        </w:rPr>
        <w:t xml:space="preserve">, cosa que resulta una consecuencia de su propia </w:t>
      </w:r>
      <w:proofErr w:type="spellStart"/>
      <w:r>
        <w:rPr>
          <w:i/>
          <w:color w:val="000000"/>
          <w:sz w:val="20"/>
          <w:szCs w:val="20"/>
        </w:rPr>
        <w:t>omision</w:t>
      </w:r>
      <w:proofErr w:type="spellEnd"/>
      <w:r>
        <w:rPr>
          <w:i/>
          <w:color w:val="000000"/>
          <w:sz w:val="20"/>
          <w:szCs w:val="20"/>
        </w:rPr>
        <w:t xml:space="preserve"> y no un factor externo que le impida el ejercicio de sus funciones, pese a que dicha información debería de existir a </w:t>
      </w:r>
      <w:proofErr w:type="spellStart"/>
      <w:r>
        <w:rPr>
          <w:i/>
          <w:color w:val="000000"/>
          <w:sz w:val="20"/>
          <w:szCs w:val="20"/>
        </w:rPr>
        <w:t>mas</w:t>
      </w:r>
      <w:proofErr w:type="spellEnd"/>
      <w:r>
        <w:rPr>
          <w:i/>
          <w:color w:val="000000"/>
          <w:sz w:val="20"/>
          <w:szCs w:val="20"/>
        </w:rPr>
        <w:t xml:space="preserve"> tardar en la primera quincena del mes de enero de 2025, y que a mediados de febrero, </w:t>
      </w:r>
      <w:r>
        <w:rPr>
          <w:i/>
          <w:color w:val="000000"/>
          <w:sz w:val="20"/>
          <w:szCs w:val="20"/>
          <w:u w:val="single"/>
        </w:rPr>
        <w:t xml:space="preserve">resulta ya injustificable que </w:t>
      </w:r>
      <w:proofErr w:type="spellStart"/>
      <w:r>
        <w:rPr>
          <w:i/>
          <w:color w:val="000000"/>
          <w:sz w:val="20"/>
          <w:szCs w:val="20"/>
          <w:u w:val="single"/>
        </w:rPr>
        <w:t>aun</w:t>
      </w:r>
      <w:proofErr w:type="spellEnd"/>
      <w:r>
        <w:rPr>
          <w:i/>
          <w:color w:val="000000"/>
          <w:sz w:val="20"/>
          <w:szCs w:val="20"/>
          <w:u w:val="single"/>
        </w:rPr>
        <w:t xml:space="preserve"> no la tenga,</w:t>
      </w:r>
      <w:r>
        <w:rPr>
          <w:i/>
          <w:color w:val="000000"/>
          <w:sz w:val="20"/>
          <w:szCs w:val="20"/>
        </w:rPr>
        <w:t xml:space="preserve"> ya que esta resulta necesaria previa </w:t>
      </w:r>
      <w:proofErr w:type="spellStart"/>
      <w:r>
        <w:rPr>
          <w:i/>
          <w:color w:val="000000"/>
          <w:sz w:val="20"/>
          <w:szCs w:val="20"/>
        </w:rPr>
        <w:t>contratacion</w:t>
      </w:r>
      <w:proofErr w:type="spellEnd"/>
      <w:r>
        <w:rPr>
          <w:i/>
          <w:color w:val="000000"/>
          <w:sz w:val="20"/>
          <w:szCs w:val="20"/>
        </w:rPr>
        <w:t xml:space="preserve"> de los servidores </w:t>
      </w:r>
      <w:proofErr w:type="spellStart"/>
      <w:r>
        <w:rPr>
          <w:i/>
          <w:color w:val="000000"/>
          <w:sz w:val="20"/>
          <w:szCs w:val="20"/>
        </w:rPr>
        <w:t>publicos</w:t>
      </w:r>
      <w:proofErr w:type="spellEnd"/>
      <w:r>
        <w:rPr>
          <w:i/>
          <w:color w:val="000000"/>
          <w:sz w:val="20"/>
          <w:szCs w:val="20"/>
        </w:rPr>
        <w:t xml:space="preserve">, por lo que se visualiza una posible contratación indebida por su </w:t>
      </w:r>
      <w:proofErr w:type="spellStart"/>
      <w:r>
        <w:rPr>
          <w:i/>
          <w:color w:val="000000"/>
          <w:sz w:val="20"/>
          <w:szCs w:val="20"/>
        </w:rPr>
        <w:t>omision</w:t>
      </w:r>
      <w:proofErr w:type="spellEnd"/>
      <w:r>
        <w:rPr>
          <w:i/>
          <w:color w:val="000000"/>
          <w:sz w:val="20"/>
          <w:szCs w:val="20"/>
        </w:rPr>
        <w:t>.” (Sic.)</w:t>
      </w:r>
    </w:p>
    <w:p w:rsidR="004B7CB8" w:rsidRDefault="004B7CB8">
      <w:pPr>
        <w:tabs>
          <w:tab w:val="left" w:pos="4667"/>
        </w:tabs>
        <w:spacing w:after="0" w:line="360" w:lineRule="auto"/>
        <w:ind w:right="567"/>
        <w:rPr>
          <w:i/>
          <w:color w:val="000000"/>
          <w:sz w:val="20"/>
          <w:szCs w:val="20"/>
        </w:rPr>
      </w:pPr>
    </w:p>
    <w:p w:rsidR="004B7CB8" w:rsidRDefault="00805589">
      <w:pPr>
        <w:tabs>
          <w:tab w:val="left" w:pos="4667"/>
        </w:tabs>
        <w:spacing w:after="0" w:line="360" w:lineRule="auto"/>
      </w:pPr>
      <w:r>
        <w:t xml:space="preserve">Así mismo adjuntó la digitalización de los oficios con números  PM/UT/063/2025 y PMC/DARM/OI/169/25 relacionados con la solicitud con número de folio 00043/OCUILAN/IP/2025. </w:t>
      </w:r>
    </w:p>
    <w:p w:rsidR="004B7CB8" w:rsidRDefault="004B7CB8">
      <w:pPr>
        <w:tabs>
          <w:tab w:val="left" w:pos="4667"/>
        </w:tabs>
        <w:spacing w:after="0" w:line="360" w:lineRule="auto"/>
        <w:ind w:right="567"/>
        <w:rPr>
          <w:i/>
          <w:color w:val="000000"/>
          <w:sz w:val="20"/>
          <w:szCs w:val="2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7" w:name="_Toc193384479"/>
      <w:r>
        <w:rPr>
          <w:rFonts w:ascii="Palatino Linotype" w:eastAsia="Palatino Linotype" w:hAnsi="Palatino Linotype" w:cs="Palatino Linotype"/>
          <w:b/>
          <w:color w:val="000000"/>
          <w:sz w:val="22"/>
          <w:szCs w:val="22"/>
        </w:rPr>
        <w:t>IV. Trámite del Recurso de Revisión ante este Instituto</w:t>
      </w:r>
      <w:bookmarkEnd w:id="7"/>
    </w:p>
    <w:p w:rsidR="004B7CB8" w:rsidRDefault="004B7CB8">
      <w:pPr>
        <w:spacing w:after="0" w:line="360" w:lineRule="auto"/>
        <w:rPr>
          <w:b/>
          <w:color w:val="FF0000"/>
        </w:rPr>
      </w:pPr>
    </w:p>
    <w:p w:rsidR="004B7CB8" w:rsidRDefault="00805589">
      <w:pPr>
        <w:spacing w:after="0" w:line="360" w:lineRule="auto"/>
        <w:rPr>
          <w:b/>
          <w:color w:val="000000"/>
        </w:rPr>
      </w:pPr>
      <w:r>
        <w:rPr>
          <w:b/>
        </w:rPr>
        <w:t>a) Turno del Medio de Impugnación.</w:t>
      </w:r>
      <w:r>
        <w:rPr>
          <w:b/>
          <w:color w:val="000000"/>
          <w:sz w:val="18"/>
          <w:szCs w:val="18"/>
        </w:rPr>
        <w:t xml:space="preserve"> </w:t>
      </w:r>
      <w:r>
        <w:rPr>
          <w:color w:val="000000"/>
        </w:rPr>
        <w:t xml:space="preserve">El veinte de febrero de dos mil veinticinco, el Sistema de Acceso a la Información Mexiquense (SAIMEX), asignó el número de expediente </w:t>
      </w:r>
      <w:r>
        <w:rPr>
          <w:b/>
          <w:color w:val="000000"/>
        </w:rPr>
        <w:t>01771/INFOEM/IP/RR/2025</w:t>
      </w:r>
      <w:r>
        <w:rPr>
          <w:color w:val="000000"/>
        </w:rPr>
        <w:t xml:space="preserve">, al Medio de Impugnación que nos ocupa, con base en el sistema aprobado por el Pleno de este Órgano Garante y lo turnó al </w:t>
      </w:r>
      <w:r>
        <w:rPr>
          <w:b/>
          <w:color w:val="000000"/>
        </w:rPr>
        <w:t>Comisionado Ponente Luis Gustavo Parra Noriega</w:t>
      </w:r>
      <w:r>
        <w:rPr>
          <w:color w:val="000000"/>
        </w:rPr>
        <w:t>, para los efectos del artículo 185, fracción I de la Ley de Transparencia y Acceso a la Información Pública del Estado de México y Municipios.</w:t>
      </w:r>
    </w:p>
    <w:p w:rsidR="004B7CB8" w:rsidRDefault="004B7CB8">
      <w:pPr>
        <w:spacing w:after="0" w:line="360" w:lineRule="auto"/>
        <w:rPr>
          <w:color w:val="FF0000"/>
        </w:rPr>
      </w:pPr>
    </w:p>
    <w:p w:rsidR="004B7CB8" w:rsidRDefault="00805589">
      <w:pPr>
        <w:spacing w:after="0" w:line="360" w:lineRule="auto"/>
        <w:rPr>
          <w:color w:val="000000"/>
        </w:rPr>
      </w:pPr>
      <w:r>
        <w:rPr>
          <w:b/>
        </w:rPr>
        <w:t>b) Admisión del Recurso de Revisión.</w:t>
      </w:r>
      <w:r>
        <w:rPr>
          <w:b/>
          <w:color w:val="000000"/>
          <w:sz w:val="18"/>
          <w:szCs w:val="18"/>
        </w:rPr>
        <w:t xml:space="preserve"> </w:t>
      </w:r>
      <w:r>
        <w:rPr>
          <w:color w:val="000000"/>
        </w:rPr>
        <w:t xml:space="preserve">El veinticinco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mismo día, a través del Sistema de Acceso a la Información Mexiquense (SAIMEX), en el que se les otorgó un plazo de siete días hábiles posteriores a la misma, para que manifestaran lo que a su derecho conviniera y formularan alegatos. </w:t>
      </w:r>
    </w:p>
    <w:p w:rsidR="004B7CB8" w:rsidRDefault="004B7CB8">
      <w:pPr>
        <w:spacing w:after="0" w:line="360" w:lineRule="auto"/>
        <w:rPr>
          <w:b/>
          <w:color w:val="000000"/>
        </w:rPr>
      </w:pPr>
    </w:p>
    <w:p w:rsidR="004B7CB8" w:rsidRDefault="00805589">
      <w:pPr>
        <w:spacing w:after="0" w:line="360" w:lineRule="auto"/>
      </w:pPr>
      <w:r>
        <w:rPr>
          <w:b/>
        </w:rPr>
        <w:t xml:space="preserve">c) Informe Justificado o manifestaciones. </w:t>
      </w:r>
      <w:r>
        <w:t>Las partes fueron omisas en emitir manifestaciones o alegatos.</w:t>
      </w:r>
    </w:p>
    <w:p w:rsidR="004B7CB8" w:rsidRDefault="004B7CB8">
      <w:pPr>
        <w:spacing w:after="0" w:line="360" w:lineRule="auto"/>
      </w:pPr>
    </w:p>
    <w:p w:rsidR="004B7CB8" w:rsidRDefault="00805589">
      <w:pPr>
        <w:spacing w:after="0" w:line="360" w:lineRule="auto"/>
        <w:ind w:right="-28"/>
        <w:rPr>
          <w:color w:val="000000"/>
        </w:rPr>
      </w:pPr>
      <w:r>
        <w:rPr>
          <w:b/>
        </w:rPr>
        <w:t>e) Cierre de instrucción.</w:t>
      </w:r>
      <w:r>
        <w:rPr>
          <w:color w:val="000000"/>
        </w:rPr>
        <w:t xml:space="preserve"> El doce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rsidR="004B7CB8" w:rsidRDefault="004B7CB8">
      <w:pPr>
        <w:spacing w:after="0" w:line="360" w:lineRule="auto"/>
        <w:ind w:right="-28"/>
        <w:rPr>
          <w:color w:val="000000"/>
        </w:rPr>
      </w:pPr>
    </w:p>
    <w:p w:rsidR="004B7CB8" w:rsidRDefault="00805589">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4B7CB8" w:rsidRDefault="00805589">
      <w:pPr>
        <w:tabs>
          <w:tab w:val="left" w:pos="2985"/>
        </w:tabs>
        <w:spacing w:after="0" w:line="360" w:lineRule="auto"/>
        <w:rPr>
          <w:b/>
          <w:color w:val="000000"/>
        </w:rPr>
      </w:pPr>
      <w:r>
        <w:rPr>
          <w:b/>
          <w:color w:val="000000"/>
        </w:rPr>
        <w:tab/>
      </w:r>
    </w:p>
    <w:p w:rsidR="004B7CB8" w:rsidRDefault="00805589">
      <w:pPr>
        <w:pStyle w:val="Ttulo1"/>
        <w:spacing w:before="0" w:line="360" w:lineRule="auto"/>
        <w:jc w:val="center"/>
        <w:rPr>
          <w:rFonts w:ascii="Palatino Linotype" w:eastAsia="Palatino Linotype" w:hAnsi="Palatino Linotype" w:cs="Palatino Linotype"/>
          <w:b/>
          <w:color w:val="000000"/>
          <w:sz w:val="22"/>
          <w:szCs w:val="22"/>
        </w:rPr>
      </w:pPr>
      <w:bookmarkStart w:id="8" w:name="_Toc193384480"/>
      <w:r>
        <w:rPr>
          <w:rFonts w:ascii="Palatino Linotype" w:eastAsia="Palatino Linotype" w:hAnsi="Palatino Linotype" w:cs="Palatino Linotype"/>
          <w:b/>
          <w:color w:val="000000"/>
          <w:sz w:val="22"/>
          <w:szCs w:val="22"/>
        </w:rPr>
        <w:t>C O N S I D E R A N D O S</w:t>
      </w:r>
      <w:bookmarkEnd w:id="8"/>
    </w:p>
    <w:p w:rsidR="004B7CB8" w:rsidRDefault="004B7CB8">
      <w:pPr>
        <w:spacing w:after="0" w:line="360" w:lineRule="auto"/>
        <w:jc w:val="center"/>
        <w:rPr>
          <w:b/>
          <w:color w:val="00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9" w:name="_Toc193384481"/>
      <w:r>
        <w:rPr>
          <w:rFonts w:ascii="Palatino Linotype" w:eastAsia="Palatino Linotype" w:hAnsi="Palatino Linotype" w:cs="Palatino Linotype"/>
          <w:b/>
          <w:color w:val="000000"/>
          <w:sz w:val="22"/>
          <w:szCs w:val="22"/>
        </w:rPr>
        <w:lastRenderedPageBreak/>
        <w:t>PRIMERO. Competencia</w:t>
      </w:r>
      <w:bookmarkEnd w:id="9"/>
    </w:p>
    <w:p w:rsidR="004B7CB8" w:rsidRDefault="004B7CB8">
      <w:pPr>
        <w:spacing w:after="0" w:line="360" w:lineRule="auto"/>
        <w:rPr>
          <w:b/>
          <w:color w:val="FF0000"/>
        </w:rPr>
      </w:pPr>
    </w:p>
    <w:p w:rsidR="004B7CB8" w:rsidRDefault="00805589">
      <w:pPr>
        <w:spacing w:after="0" w:line="360" w:lineRule="auto"/>
        <w:rPr>
          <w:color w:val="000000"/>
        </w:rPr>
      </w:pPr>
      <w:bookmarkStart w:id="10" w:name="_heading=h.5fpxmkh5pgfi" w:colFirst="0" w:colLast="0"/>
      <w:bookmarkEnd w:id="10"/>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B7CB8" w:rsidRDefault="004B7CB8">
      <w:pPr>
        <w:spacing w:after="0" w:line="360" w:lineRule="auto"/>
        <w:rPr>
          <w:b/>
          <w:color w:val="00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11" w:name="_Toc193384482"/>
      <w:r>
        <w:rPr>
          <w:rFonts w:ascii="Palatino Linotype" w:eastAsia="Palatino Linotype" w:hAnsi="Palatino Linotype" w:cs="Palatino Linotype"/>
          <w:b/>
          <w:color w:val="000000"/>
          <w:sz w:val="22"/>
          <w:szCs w:val="22"/>
        </w:rPr>
        <w:t>SEGUNDO. Causales de improcedencia y sobreseimiento</w:t>
      </w:r>
      <w:bookmarkEnd w:id="11"/>
      <w:r>
        <w:rPr>
          <w:rFonts w:ascii="Palatino Linotype" w:eastAsia="Palatino Linotype" w:hAnsi="Palatino Linotype" w:cs="Palatino Linotype"/>
          <w:b/>
          <w:color w:val="000000"/>
          <w:sz w:val="22"/>
          <w:szCs w:val="22"/>
        </w:rPr>
        <w:t xml:space="preserve">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4B7CB8" w:rsidRDefault="004B7CB8">
      <w:pPr>
        <w:spacing w:after="0" w:line="360" w:lineRule="auto"/>
        <w:rPr>
          <w:b/>
          <w:color w:val="000000"/>
        </w:rPr>
      </w:pPr>
    </w:p>
    <w:p w:rsidR="004B7CB8" w:rsidRDefault="00805589">
      <w:pPr>
        <w:spacing w:after="0" w:line="360" w:lineRule="auto"/>
        <w:rPr>
          <w:b/>
          <w:color w:val="000000"/>
        </w:rPr>
      </w:pPr>
      <w:r>
        <w:rPr>
          <w:b/>
          <w:color w:val="000000"/>
        </w:rPr>
        <w:t>Causales de improcedencia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Pr>
          <w:color w:val="000000"/>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Conforme a lo anterior, se actualizan las causales de procedencia señaladas en el artículo 179, fracciones III y VI, de la Ley de la materia, toda vez que el Solicitante se inconformó con la inexistencia de información y entrega de información que no corresponde con lo solicitado. </w:t>
      </w:r>
    </w:p>
    <w:p w:rsidR="004B7CB8" w:rsidRDefault="004B7CB8">
      <w:pPr>
        <w:spacing w:after="0" w:line="360" w:lineRule="auto"/>
        <w:rPr>
          <w:color w:val="000000"/>
        </w:rPr>
      </w:pPr>
    </w:p>
    <w:p w:rsidR="004B7CB8" w:rsidRDefault="00805589">
      <w:pPr>
        <w:spacing w:after="0" w:line="360" w:lineRule="auto"/>
        <w:rPr>
          <w:color w:val="000000"/>
        </w:rPr>
      </w:pPr>
      <w:r>
        <w:rPr>
          <w:b/>
          <w:color w:val="000000"/>
        </w:rPr>
        <w:t>Causales de sobreseimiento</w:t>
      </w:r>
    </w:p>
    <w:p w:rsidR="004B7CB8" w:rsidRDefault="004B7CB8">
      <w:pPr>
        <w:spacing w:after="0" w:line="360" w:lineRule="auto"/>
        <w:rPr>
          <w:color w:val="000000"/>
        </w:rPr>
      </w:pPr>
    </w:p>
    <w:p w:rsidR="004B7CB8" w:rsidRDefault="00805589">
      <w:pPr>
        <w:spacing w:after="0" w:line="360" w:lineRule="auto"/>
        <w:rPr>
          <w:color w:val="0D0D0D"/>
        </w:rPr>
      </w:pPr>
      <w:r>
        <w:rPr>
          <w:color w:val="0D0D0D"/>
        </w:rPr>
        <w:t>Por ser de previo y especial pronunciamiento, este Instituto analiza si se actualiza alguna causal de sobreseimiento.</w:t>
      </w:r>
    </w:p>
    <w:p w:rsidR="004B7CB8" w:rsidRDefault="004B7CB8">
      <w:pPr>
        <w:spacing w:after="0" w:line="360" w:lineRule="auto"/>
        <w:rPr>
          <w:color w:val="0D0D0D"/>
        </w:rPr>
      </w:pPr>
    </w:p>
    <w:p w:rsidR="004B7CB8" w:rsidRDefault="00805589">
      <w:pPr>
        <w:spacing w:after="0" w:line="360" w:lineRule="auto"/>
        <w:rPr>
          <w:color w:val="000000"/>
        </w:rPr>
      </w:pPr>
      <w:r>
        <w:rPr>
          <w:color w:val="0D0D0D"/>
        </w:rPr>
        <w:t>Sobre el tema, e</w:t>
      </w:r>
      <w:r>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w:t>
      </w:r>
      <w:r>
        <w:rPr>
          <w:color w:val="000000"/>
        </w:rPr>
        <w:lastRenderedPageBreak/>
        <w:t>del recurso, haya fallecido, sobreviniera alguna causal de improcedencia, que el Sujeto Obligado hubiese modificado o revocado el acto impugnado o bien, haya quedado sin materia.</w:t>
      </w:r>
    </w:p>
    <w:p w:rsidR="004B7CB8" w:rsidRDefault="004B7CB8">
      <w:pPr>
        <w:spacing w:after="0" w:line="360" w:lineRule="auto"/>
        <w:rPr>
          <w:color w:val="000000"/>
        </w:rPr>
      </w:pPr>
    </w:p>
    <w:p w:rsidR="004B7CB8" w:rsidRDefault="00805589">
      <w:pPr>
        <w:spacing w:after="0" w:line="360" w:lineRule="auto"/>
        <w:rPr>
          <w:color w:val="0D0D0D"/>
        </w:rPr>
      </w:pPr>
      <w:r>
        <w:rPr>
          <w:color w:val="0D0D0D"/>
        </w:rPr>
        <w:t xml:space="preserve">Por tales motivos, se considera procedente entrar al fondo del presente asunto. </w:t>
      </w:r>
    </w:p>
    <w:p w:rsidR="004B7CB8" w:rsidRDefault="004B7CB8">
      <w:pPr>
        <w:spacing w:after="0" w:line="360" w:lineRule="auto"/>
        <w:rPr>
          <w:b/>
          <w:color w:val="00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12" w:name="_Toc193384483"/>
      <w:r>
        <w:rPr>
          <w:rFonts w:ascii="Palatino Linotype" w:eastAsia="Palatino Linotype" w:hAnsi="Palatino Linotype" w:cs="Palatino Linotype"/>
          <w:b/>
          <w:color w:val="000000"/>
          <w:sz w:val="22"/>
          <w:szCs w:val="22"/>
        </w:rPr>
        <w:t>TERCERO. Determinación de la Controversia</w:t>
      </w:r>
      <w:bookmarkEnd w:id="12"/>
    </w:p>
    <w:p w:rsidR="004B7CB8" w:rsidRDefault="004B7CB8">
      <w:pPr>
        <w:spacing w:after="0" w:line="360" w:lineRule="auto"/>
        <w:rPr>
          <w:color w:val="FF0000"/>
        </w:rPr>
      </w:pPr>
    </w:p>
    <w:p w:rsidR="004B7CB8" w:rsidRDefault="00805589">
      <w:pPr>
        <w:spacing w:after="0" w:line="360" w:lineRule="auto"/>
        <w:rPr>
          <w:color w:val="000000"/>
        </w:rPr>
      </w:pPr>
      <w:r>
        <w:rPr>
          <w:color w:val="000000"/>
        </w:rPr>
        <w:t xml:space="preserve">Una vez realizado el estudio de las constancias que integran el expediente en que se actúa, se desprende que el Recurrente requirió la copia simple de la Constancia de No deudor Alimentario Moroso de todos los servidores públicos adscritos al Ayuntamiento de </w:t>
      </w:r>
      <w:proofErr w:type="spellStart"/>
      <w:r>
        <w:rPr>
          <w:color w:val="000000"/>
        </w:rPr>
        <w:t>Ocuilan</w:t>
      </w:r>
      <w:proofErr w:type="spellEnd"/>
      <w:r>
        <w:rPr>
          <w:color w:val="000000"/>
        </w:rPr>
        <w:t xml:space="preserve">, al seis de febrero de dos mil veinticinco. </w:t>
      </w:r>
    </w:p>
    <w:p w:rsidR="004B7CB8" w:rsidRDefault="004B7CB8">
      <w:pPr>
        <w:spacing w:after="0" w:line="360" w:lineRule="auto"/>
        <w:rPr>
          <w:color w:val="000000"/>
        </w:rPr>
      </w:pPr>
    </w:p>
    <w:p w:rsidR="004B7CB8" w:rsidRDefault="00805589">
      <w:pPr>
        <w:spacing w:after="0" w:line="360" w:lineRule="auto"/>
        <w:ind w:right="-28"/>
        <w:rPr>
          <w:color w:val="000000"/>
        </w:rPr>
      </w:pPr>
      <w:r>
        <w:rPr>
          <w:color w:val="000000"/>
        </w:rPr>
        <w:t xml:space="preserve">En respuesta, el Sujeto Obligado, por medio de la Dirección de Administración y Recursos Materiales precisó que no se contaba con toda la documentación toda vez que aún no se integraban por completo todos los expedientes del personal de la actual administración 2025-2027; ante dicha circunstancia, el Particular se inconformó de la declaración de inexistencia de la información y que no corresponde con lo solicitado, al señalar que resultaba injustificable que no tuvieran la información y que negaban el acceso a la información, lo cual, actualiza las causales de procedencia previstas en las fracciones III y VI, del artículo 179 de la Ley de Transparencia y Acceso a la Información Pública del Estado de México y Municipios. Así las cosas, una vez admitido y notificado el Recurso de Revisión a las partes, estas fueron omisas en manifestarse. </w:t>
      </w:r>
    </w:p>
    <w:p w:rsidR="004B7CB8" w:rsidRDefault="004B7CB8">
      <w:pPr>
        <w:spacing w:after="0" w:line="360" w:lineRule="auto"/>
        <w:ind w:right="-28"/>
        <w:rPr>
          <w:color w:val="000000"/>
        </w:rPr>
      </w:pPr>
    </w:p>
    <w:p w:rsidR="004B7CB8" w:rsidRDefault="00805589">
      <w:pPr>
        <w:tabs>
          <w:tab w:val="left" w:pos="4962"/>
        </w:tabs>
        <w:spacing w:after="0" w:line="360" w:lineRule="auto"/>
        <w:rPr>
          <w:color w:val="000000"/>
        </w:rPr>
      </w:pPr>
      <w:r>
        <w:rPr>
          <w:color w:val="000000"/>
        </w:rPr>
        <w:t xml:space="preserve">Lo anterior, se desprende de las documentales que obran en el expediente de referencia, materia de la presente resolución, consistente en: la solicitud de acceso a la información, la </w:t>
      </w:r>
      <w:r>
        <w:rPr>
          <w:color w:val="000000"/>
        </w:rPr>
        <w:lastRenderedPageBreak/>
        <w:t xml:space="preserve">respuesta y el escrito </w:t>
      </w:r>
      <w:proofErr w:type="spellStart"/>
      <w:r>
        <w:rPr>
          <w:color w:val="000000"/>
        </w:rPr>
        <w:t>recursal</w:t>
      </w:r>
      <w:proofErr w:type="spellEnd"/>
      <w:r>
        <w:rPr>
          <w:color w:val="000000"/>
        </w:rPr>
        <w:t>; instrumentales que se toman en cuenta a efecto de resolver el presente medio de impugnación, conforme a lo dispuesto por el artículo 185, fracción IV, de la Ley de Transparencia y Acceso a la Información Pública del Estado de México y Municipios.</w:t>
      </w:r>
    </w:p>
    <w:p w:rsidR="004B7CB8" w:rsidRDefault="004B7CB8">
      <w:pPr>
        <w:spacing w:after="0" w:line="360" w:lineRule="auto"/>
        <w:rPr>
          <w:b/>
          <w:color w:val="00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13" w:name="_Toc193384484"/>
      <w:r>
        <w:rPr>
          <w:rFonts w:ascii="Palatino Linotype" w:eastAsia="Palatino Linotype" w:hAnsi="Palatino Linotype" w:cs="Palatino Linotype"/>
          <w:b/>
          <w:color w:val="000000"/>
          <w:sz w:val="22"/>
          <w:szCs w:val="22"/>
        </w:rPr>
        <w:t>CUARTO. Marco normativo aplicable en materia de transparencia y acceso a la información pública</w:t>
      </w:r>
      <w:bookmarkEnd w:id="13"/>
    </w:p>
    <w:p w:rsidR="004B7CB8" w:rsidRDefault="004B7CB8">
      <w:pPr>
        <w:spacing w:after="0" w:line="360" w:lineRule="auto"/>
        <w:rPr>
          <w:color w:val="FF0000"/>
        </w:rPr>
      </w:pPr>
    </w:p>
    <w:p w:rsidR="004B7CB8" w:rsidRDefault="00805589">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lastRenderedPageBreak/>
        <w:t>El artículo 12, que, quienes generen, recopilen, administren, manejen, procesen, archiven o conserven información pública serán responsables de la misma.</w:t>
      </w:r>
    </w:p>
    <w:p w:rsidR="004B7CB8" w:rsidRDefault="004B7CB8">
      <w:pPr>
        <w:spacing w:after="0" w:line="360" w:lineRule="auto"/>
        <w:rPr>
          <w:color w:val="000000"/>
        </w:rPr>
      </w:pPr>
    </w:p>
    <w:p w:rsidR="004B7CB8" w:rsidRDefault="00805589">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B7CB8" w:rsidRDefault="004B7CB8">
      <w:pPr>
        <w:spacing w:after="0" w:line="360" w:lineRule="auto"/>
        <w:rPr>
          <w:color w:val="FF0000"/>
        </w:rPr>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14" w:name="_Toc193384485"/>
      <w:r>
        <w:rPr>
          <w:rFonts w:ascii="Palatino Linotype" w:eastAsia="Palatino Linotype" w:hAnsi="Palatino Linotype" w:cs="Palatino Linotype"/>
          <w:b/>
          <w:color w:val="000000"/>
          <w:sz w:val="22"/>
          <w:szCs w:val="22"/>
        </w:rPr>
        <w:t>QUINTO. Estudio de Fondo</w:t>
      </w:r>
      <w:bookmarkEnd w:id="14"/>
    </w:p>
    <w:p w:rsidR="004B7CB8" w:rsidRDefault="004B7CB8">
      <w:pPr>
        <w:spacing w:after="0" w:line="360" w:lineRule="auto"/>
        <w:rPr>
          <w:b/>
          <w:color w:val="000000"/>
        </w:rPr>
      </w:pPr>
    </w:p>
    <w:p w:rsidR="004B7CB8" w:rsidRDefault="00805589">
      <w:pPr>
        <w:spacing w:after="0" w:line="360" w:lineRule="auto"/>
        <w:rPr>
          <w:color w:val="000000"/>
        </w:rPr>
      </w:pPr>
      <w:r>
        <w:rPr>
          <w:color w:val="000000"/>
        </w:rPr>
        <w:t xml:space="preserve">Expuestas las posturas de las partes, se procede al análisis del agravio hecho valer por el Recurrente, concerniente a la inexistencia de la información y que no corresponde con lo solicitado, para lo cual en principio resulta necesario contextualizar la solicitud de información. </w:t>
      </w:r>
    </w:p>
    <w:p w:rsidR="004B7CB8" w:rsidRDefault="004B7CB8">
      <w:pPr>
        <w:spacing w:after="0" w:line="360" w:lineRule="auto"/>
        <w:rPr>
          <w:color w:val="000000"/>
        </w:rPr>
      </w:pPr>
    </w:p>
    <w:p w:rsidR="004B7CB8" w:rsidRDefault="00805589">
      <w:pPr>
        <w:tabs>
          <w:tab w:val="left" w:pos="4962"/>
        </w:tabs>
        <w:spacing w:after="0" w:line="360" w:lineRule="auto"/>
        <w:rPr>
          <w:b/>
          <w:color w:val="000000"/>
        </w:rPr>
      </w:pPr>
      <w:r>
        <w:rPr>
          <w:color w:val="000000"/>
        </w:rPr>
        <w:t xml:space="preserve">En principio, es de indicar que la Ley General de los Derechos de las Niñas, Niños y Adolescentes </w:t>
      </w:r>
      <w:hyperlink r:id="rId8">
        <w:r>
          <w:rPr>
            <w:color w:val="0563C1"/>
            <w:u w:val="single"/>
          </w:rPr>
          <w:t>https://www.diputados.gob.mx/LeyesBiblio/pdf/LGDNNA.pdf</w:t>
        </w:r>
      </w:hyperlink>
      <w:r>
        <w:rPr>
          <w:color w:val="000000"/>
        </w:rPr>
        <w:t xml:space="preserve">,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w:t>
      </w:r>
      <w:proofErr w:type="spellStart"/>
      <w:r>
        <w:rPr>
          <w:color w:val="000000"/>
        </w:rPr>
        <w:t>bio</w:t>
      </w:r>
      <w:proofErr w:type="spellEnd"/>
      <w:r>
        <w:rPr>
          <w:color w:val="000000"/>
        </w:rPr>
        <w:t>-</w:t>
      </w:r>
      <w:proofErr w:type="spellStart"/>
      <w:r>
        <w:rPr>
          <w:color w:val="000000"/>
        </w:rPr>
        <w:t>psico</w:t>
      </w:r>
      <w:proofErr w:type="spellEnd"/>
      <w:r>
        <w:rPr>
          <w:color w:val="000000"/>
        </w:rPr>
        <w:t xml:space="preserve">-social, y </w:t>
      </w:r>
      <w:r>
        <w:rPr>
          <w:b/>
          <w:color w:val="000000"/>
        </w:rPr>
        <w:t xml:space="preserve">establece como obligación de </w:t>
      </w:r>
      <w:r>
        <w:rPr>
          <w:b/>
          <w:color w:val="000000"/>
        </w:rPr>
        <w:lastRenderedPageBreak/>
        <w:t>los progenitores para con sus hijos, el proporcionarles, apoyo, cuidados, educación y protección a su salud.</w:t>
      </w:r>
    </w:p>
    <w:p w:rsidR="004B7CB8" w:rsidRDefault="004B7CB8">
      <w:pPr>
        <w:tabs>
          <w:tab w:val="left" w:pos="4962"/>
        </w:tabs>
        <w:spacing w:after="0" w:line="360" w:lineRule="auto"/>
        <w:rPr>
          <w:color w:val="000000"/>
        </w:rPr>
      </w:pPr>
    </w:p>
    <w:p w:rsidR="004B7CB8" w:rsidRDefault="00805589">
      <w:pPr>
        <w:tabs>
          <w:tab w:val="left" w:pos="4962"/>
        </w:tabs>
        <w:spacing w:after="0" w:line="360" w:lineRule="auto"/>
        <w:rPr>
          <w:color w:val="000000"/>
        </w:rPr>
      </w:pPr>
      <w:r>
        <w:rPr>
          <w:color w:val="000000"/>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rsidR="004B7CB8" w:rsidRDefault="004B7CB8">
      <w:pPr>
        <w:tabs>
          <w:tab w:val="left" w:pos="4962"/>
        </w:tabs>
        <w:spacing w:after="0" w:line="360" w:lineRule="auto"/>
        <w:rPr>
          <w:color w:val="000000"/>
        </w:rPr>
      </w:pPr>
    </w:p>
    <w:p w:rsidR="004B7CB8" w:rsidRDefault="00805589">
      <w:pPr>
        <w:tabs>
          <w:tab w:val="left" w:pos="4962"/>
        </w:tabs>
        <w:spacing w:after="0" w:line="360" w:lineRule="auto"/>
        <w:rPr>
          <w:color w:val="000000"/>
        </w:rPr>
      </w:pPr>
      <w:r>
        <w:rPr>
          <w:b/>
          <w:color w:val="000000"/>
        </w:rPr>
        <w:t>La calidad de deudor moroso se difundirá en el Registro Nacional de Obligaciones Alimentarias, el cual, será público con base en lo dispuesto en la Ley General de Protección de Datos Personales en Posesión de Sujetos Obligados.</w:t>
      </w:r>
      <w:r>
        <w:rPr>
          <w:color w:val="000000"/>
        </w:rPr>
        <w:t xml:space="preserve"> Es de recalcar que las Autoridades de los tres órdenes de gobierno (Federal, Estatal y Municipal) en el ámbito de sus competencias, dispondrán lo necesario a fin de </w:t>
      </w:r>
      <w:r>
        <w:rPr>
          <w:b/>
          <w:color w:val="000000"/>
        </w:rPr>
        <w:t>establecer como requisito la presentación del certificado de no inscripción en el Registro Nacional de Obligaciones Alimentarias</w:t>
      </w:r>
      <w:r>
        <w:rPr>
          <w:color w:val="000000"/>
        </w:rPr>
        <w:t>;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rsidR="004B7CB8" w:rsidRDefault="004B7CB8">
      <w:pPr>
        <w:tabs>
          <w:tab w:val="left" w:pos="4962"/>
        </w:tabs>
        <w:spacing w:after="0" w:line="360" w:lineRule="auto"/>
        <w:rPr>
          <w:color w:val="000000"/>
        </w:rPr>
      </w:pPr>
    </w:p>
    <w:p w:rsidR="004B7CB8" w:rsidRDefault="00805589">
      <w:pPr>
        <w:tabs>
          <w:tab w:val="left" w:pos="4962"/>
        </w:tabs>
        <w:spacing w:after="0" w:line="360" w:lineRule="auto"/>
        <w:rPr>
          <w:color w:val="000000"/>
        </w:rPr>
      </w:pPr>
      <w:r>
        <w:rPr>
          <w:color w:val="000000"/>
        </w:rPr>
        <w:t xml:space="preserve">Al respecto, en el Proyecto de Decreto por el que se Reforman y Adicionan Diversas Disposiciones para crear el Registro de Deudores Alimentarios del Estado de México, disponible en la dirección electrónica </w:t>
      </w:r>
      <w:hyperlink r:id="rId9">
        <w:r>
          <w:rPr>
            <w:color w:val="0563C1"/>
            <w:u w:val="single"/>
          </w:rPr>
          <w:t>https://legislacion.edomex.gob.mx/sites/legislacion.edomex.gob.mx/files/files/pdf/gct/2014/nov144.PDF</w:t>
        </w:r>
      </w:hyperlink>
      <w:r>
        <w:rPr>
          <w:color w:val="000000"/>
        </w:rPr>
        <w:t xml:space="preserve">, advierte lo siguiente: </w:t>
      </w:r>
    </w:p>
    <w:p w:rsidR="004B7CB8" w:rsidRDefault="004B7CB8">
      <w:pPr>
        <w:tabs>
          <w:tab w:val="left" w:pos="4962"/>
        </w:tabs>
        <w:spacing w:after="0" w:line="360" w:lineRule="auto"/>
        <w:rPr>
          <w:b/>
          <w:i/>
          <w:color w:val="000000"/>
        </w:rPr>
      </w:pPr>
    </w:p>
    <w:p w:rsidR="004B7CB8" w:rsidRDefault="00805589">
      <w:pPr>
        <w:tabs>
          <w:tab w:val="left" w:pos="4962"/>
        </w:tabs>
        <w:spacing w:after="0" w:line="360" w:lineRule="auto"/>
        <w:ind w:left="567" w:right="539"/>
        <w:rPr>
          <w:i/>
          <w:color w:val="000000"/>
          <w:sz w:val="20"/>
          <w:szCs w:val="20"/>
        </w:rPr>
      </w:pPr>
      <w:r>
        <w:rPr>
          <w:b/>
          <w:i/>
          <w:color w:val="000000"/>
          <w:sz w:val="20"/>
          <w:szCs w:val="20"/>
        </w:rPr>
        <w:t>“</w:t>
      </w:r>
      <w:r>
        <w:rPr>
          <w:i/>
          <w:color w:val="000000"/>
          <w:sz w:val="20"/>
          <w:szCs w:val="20"/>
        </w:rPr>
        <w:t xml:space="preserve">4.146 Bis.- El área del Registro de Deudores Alimentarios Morosos, es una unidad administrativa del Registro Civil. Actos inscribibles en el Registro de Deudores Alimentarios Morosos </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4.146 Ter.- En el Registro de Deudores Alimentarios Morosos se inscriben a las personas que el Juez de lo Familiar determina en términos del artículo 4.136 del presente Código. </w:t>
      </w:r>
    </w:p>
    <w:p w:rsidR="004B7CB8" w:rsidRDefault="00805589">
      <w:pPr>
        <w:tabs>
          <w:tab w:val="left" w:pos="4962"/>
        </w:tabs>
        <w:spacing w:after="0" w:line="360" w:lineRule="auto"/>
        <w:ind w:left="567" w:right="539"/>
        <w:rPr>
          <w:i/>
          <w:color w:val="000000"/>
          <w:sz w:val="20"/>
          <w:szCs w:val="20"/>
        </w:rPr>
      </w:pPr>
      <w:r>
        <w:rPr>
          <w:i/>
          <w:color w:val="000000"/>
          <w:sz w:val="20"/>
          <w:szCs w:val="20"/>
        </w:rPr>
        <w:t>Serán objeto de registro los empleadores que incumplan una orden de descuento para alimentos ordenada por el órgano jurisdiccional.</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De los datos que contendrá el Registro de Deudores Alimentarios Morosos </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Artículo. 4.146 </w:t>
      </w:r>
      <w:proofErr w:type="spellStart"/>
      <w:r>
        <w:rPr>
          <w:i/>
          <w:color w:val="000000"/>
          <w:sz w:val="20"/>
          <w:szCs w:val="20"/>
        </w:rPr>
        <w:t>Quáter</w:t>
      </w:r>
      <w:proofErr w:type="spellEnd"/>
      <w:r>
        <w:rPr>
          <w:i/>
          <w:color w:val="000000"/>
          <w:sz w:val="20"/>
          <w:szCs w:val="20"/>
        </w:rPr>
        <w:t xml:space="preserve">.- El Registro de Deudores Alimentarios Morosos contendrá: </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I. Nombre y Clave Única del Registro de Población del deudor alimentario; </w:t>
      </w: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II. Nombre del acreedor o acreedores alimentarios; </w:t>
      </w: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III. Datos del acta que acredite el vínculo entre deudor y acreedor alimentario, en su caso; </w:t>
      </w: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IV. Monto de la pensión decretada o convenida, en su caso, número de pagos incumplidos y monto del adeudo alimentario; </w:t>
      </w: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V. Órgano jurisdiccional que ordenó el registro; </w:t>
      </w: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VI. Datos del expediente jurisdiccional de la que deriva su inscripción. </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b/>
          <w:i/>
          <w:color w:val="000000"/>
          <w:sz w:val="20"/>
          <w:szCs w:val="20"/>
        </w:rPr>
      </w:pPr>
      <w:r>
        <w:rPr>
          <w:b/>
          <w:i/>
          <w:color w:val="000000"/>
          <w:sz w:val="20"/>
          <w:szCs w:val="20"/>
        </w:rPr>
        <w:t xml:space="preserve">Datos del Certificado expedido por la Unidad del Registro de Deudores Alimentarios Morosos </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Artículo 4.146 </w:t>
      </w:r>
      <w:proofErr w:type="spellStart"/>
      <w:r>
        <w:rPr>
          <w:i/>
          <w:color w:val="000000"/>
          <w:sz w:val="20"/>
          <w:szCs w:val="20"/>
        </w:rPr>
        <w:t>Quinquies</w:t>
      </w:r>
      <w:proofErr w:type="spellEnd"/>
      <w:r>
        <w:rPr>
          <w:i/>
          <w:color w:val="000000"/>
          <w:sz w:val="20"/>
          <w:szCs w:val="20"/>
        </w:rPr>
        <w:t xml:space="preserve">.- </w:t>
      </w:r>
      <w:r>
        <w:rPr>
          <w:b/>
          <w:i/>
          <w:color w:val="000000"/>
          <w:sz w:val="20"/>
          <w:szCs w:val="20"/>
        </w:rPr>
        <w:t>El Certificado expedido por la Unidad del Registro de Deudores Alimentarios Morosos contendrá lo siguiente:</w:t>
      </w:r>
      <w:r>
        <w:rPr>
          <w:i/>
          <w:color w:val="000000"/>
          <w:sz w:val="20"/>
          <w:szCs w:val="20"/>
        </w:rPr>
        <w:t xml:space="preserve"> </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 xml:space="preserve">I. Nombre y Clave Única de Registro de Población del solicitante; </w:t>
      </w:r>
    </w:p>
    <w:p w:rsidR="004B7CB8" w:rsidRDefault="00805589">
      <w:pPr>
        <w:tabs>
          <w:tab w:val="left" w:pos="4962"/>
        </w:tabs>
        <w:spacing w:after="0" w:line="360" w:lineRule="auto"/>
        <w:ind w:left="567" w:right="539"/>
        <w:rPr>
          <w:i/>
          <w:color w:val="000000"/>
          <w:sz w:val="20"/>
          <w:szCs w:val="20"/>
        </w:rPr>
      </w:pPr>
      <w:r>
        <w:rPr>
          <w:i/>
          <w:color w:val="000000"/>
          <w:sz w:val="20"/>
          <w:szCs w:val="20"/>
        </w:rPr>
        <w:t>II. La información sobre su inscripción o no en el registro de deudores alimentarios morosos.</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De ser el caso que el solicitante se encuentre inscrito en el registro, la constancia incluirá además lo siguiente:</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I. Número de acreedores alimentarios;</w:t>
      </w:r>
    </w:p>
    <w:p w:rsidR="004B7CB8" w:rsidRDefault="00805589">
      <w:pPr>
        <w:tabs>
          <w:tab w:val="left" w:pos="4962"/>
        </w:tabs>
        <w:spacing w:after="0" w:line="360" w:lineRule="auto"/>
        <w:ind w:left="567" w:right="539"/>
        <w:rPr>
          <w:i/>
          <w:color w:val="000000"/>
          <w:sz w:val="20"/>
          <w:szCs w:val="20"/>
        </w:rPr>
      </w:pPr>
      <w:r>
        <w:rPr>
          <w:i/>
          <w:color w:val="000000"/>
          <w:sz w:val="20"/>
          <w:szCs w:val="20"/>
        </w:rPr>
        <w:t>II. Monto de la pensión alimenticia decretada o convenida;</w:t>
      </w:r>
    </w:p>
    <w:p w:rsidR="004B7CB8" w:rsidRDefault="00805589">
      <w:pPr>
        <w:tabs>
          <w:tab w:val="left" w:pos="4962"/>
        </w:tabs>
        <w:spacing w:after="0" w:line="360" w:lineRule="auto"/>
        <w:ind w:left="567" w:right="539"/>
        <w:rPr>
          <w:i/>
          <w:color w:val="000000"/>
          <w:sz w:val="20"/>
          <w:szCs w:val="20"/>
        </w:rPr>
      </w:pPr>
      <w:r>
        <w:rPr>
          <w:i/>
          <w:color w:val="000000"/>
          <w:sz w:val="20"/>
          <w:szCs w:val="20"/>
        </w:rPr>
        <w:t>III. Órgano jurisdiccional que ordenó el registro;</w:t>
      </w:r>
    </w:p>
    <w:p w:rsidR="004B7CB8" w:rsidRDefault="00805589">
      <w:pPr>
        <w:tabs>
          <w:tab w:val="left" w:pos="4962"/>
        </w:tabs>
        <w:spacing w:after="0" w:line="360" w:lineRule="auto"/>
        <w:ind w:left="567" w:right="539"/>
        <w:rPr>
          <w:i/>
          <w:color w:val="000000"/>
          <w:sz w:val="20"/>
          <w:szCs w:val="20"/>
        </w:rPr>
      </w:pPr>
      <w:r>
        <w:rPr>
          <w:i/>
          <w:color w:val="000000"/>
          <w:sz w:val="20"/>
          <w:szCs w:val="20"/>
        </w:rPr>
        <w:t>IV. Datos del expediente jurisdiccional de la que deriva su inscripción.</w:t>
      </w:r>
    </w:p>
    <w:p w:rsidR="004B7CB8" w:rsidRDefault="004B7CB8">
      <w:pPr>
        <w:tabs>
          <w:tab w:val="left" w:pos="4962"/>
        </w:tabs>
        <w:spacing w:after="0" w:line="360" w:lineRule="auto"/>
        <w:ind w:left="567" w:right="539"/>
        <w:rPr>
          <w:i/>
          <w:color w:val="000000"/>
          <w:sz w:val="20"/>
          <w:szCs w:val="20"/>
        </w:rPr>
      </w:pPr>
    </w:p>
    <w:p w:rsidR="004B7CB8" w:rsidRDefault="00805589">
      <w:pPr>
        <w:tabs>
          <w:tab w:val="left" w:pos="4962"/>
        </w:tabs>
        <w:spacing w:after="0" w:line="360" w:lineRule="auto"/>
        <w:ind w:left="567" w:right="539"/>
        <w:rPr>
          <w:i/>
          <w:color w:val="000000"/>
          <w:sz w:val="20"/>
          <w:szCs w:val="20"/>
        </w:rPr>
      </w:pPr>
      <w:r>
        <w:rPr>
          <w:i/>
          <w:color w:val="000000"/>
          <w:sz w:val="20"/>
          <w:szCs w:val="20"/>
        </w:rPr>
        <w:t>El Certificado a que se refiere el presente artículo será expedido el mismo día hábil de su solicitud.</w:t>
      </w:r>
    </w:p>
    <w:p w:rsidR="004B7CB8" w:rsidRDefault="00805589">
      <w:pPr>
        <w:tabs>
          <w:tab w:val="left" w:pos="4962"/>
        </w:tabs>
        <w:spacing w:after="0" w:line="360" w:lineRule="auto"/>
        <w:ind w:left="567" w:right="539"/>
        <w:rPr>
          <w:i/>
          <w:color w:val="000000"/>
          <w:sz w:val="20"/>
          <w:szCs w:val="20"/>
        </w:rPr>
      </w:pPr>
      <w:r>
        <w:rPr>
          <w:i/>
          <w:color w:val="000000"/>
          <w:sz w:val="20"/>
          <w:szCs w:val="20"/>
        </w:rPr>
        <w:t>…”</w:t>
      </w:r>
    </w:p>
    <w:p w:rsidR="004B7CB8" w:rsidRDefault="004B7CB8">
      <w:pPr>
        <w:tabs>
          <w:tab w:val="left" w:pos="4962"/>
        </w:tabs>
        <w:spacing w:after="0" w:line="360" w:lineRule="auto"/>
        <w:rPr>
          <w:color w:val="000000"/>
        </w:rPr>
      </w:pPr>
    </w:p>
    <w:p w:rsidR="004B7CB8" w:rsidRDefault="00805589">
      <w:pPr>
        <w:spacing w:after="0" w:line="360" w:lineRule="auto"/>
        <w:rPr>
          <w:color w:val="0D0D0D"/>
        </w:rPr>
      </w:pPr>
      <w:r>
        <w:rPr>
          <w:color w:val="0D0D0D"/>
        </w:rPr>
        <w:t xml:space="preserve">En ese orden de ideas, el artículo 47 de la Ley de Trabajo de los Servidores Públicos del Estado de México y Municipios, establece que las </w:t>
      </w:r>
      <w:r>
        <w:rPr>
          <w:b/>
          <w:color w:val="0D0D0D"/>
        </w:rPr>
        <w:t>personas que quieran ingresar al servicio público deben cumplir diversos requisitos,</w:t>
      </w:r>
      <w:r>
        <w:rPr>
          <w:color w:val="0D0D0D"/>
        </w:rPr>
        <w:t xml:space="preserve"> tales como: </w:t>
      </w:r>
    </w:p>
    <w:p w:rsidR="004B7CB8" w:rsidRDefault="004B7CB8">
      <w:pPr>
        <w:spacing w:after="0" w:line="360" w:lineRule="auto"/>
        <w:rPr>
          <w:color w:val="0D0D0D"/>
        </w:rPr>
      </w:pPr>
    </w:p>
    <w:p w:rsidR="004B7CB8" w:rsidRDefault="00805589">
      <w:pPr>
        <w:numPr>
          <w:ilvl w:val="1"/>
          <w:numId w:val="1"/>
        </w:numPr>
        <w:spacing w:after="0" w:line="360" w:lineRule="auto"/>
        <w:ind w:left="851"/>
        <w:rPr>
          <w:color w:val="0D0D0D"/>
        </w:rPr>
      </w:pPr>
      <w:r>
        <w:rPr>
          <w:color w:val="0D0D0D"/>
        </w:rPr>
        <w:t xml:space="preserve">Presentar una solicitud autorizada por la institución de quien solicita el empleo </w:t>
      </w:r>
    </w:p>
    <w:p w:rsidR="004B7CB8" w:rsidRDefault="00805589">
      <w:pPr>
        <w:numPr>
          <w:ilvl w:val="1"/>
          <w:numId w:val="1"/>
        </w:numPr>
        <w:spacing w:after="0" w:line="360" w:lineRule="auto"/>
        <w:ind w:left="851"/>
        <w:rPr>
          <w:color w:val="0D0D0D"/>
        </w:rPr>
      </w:pPr>
      <w:r>
        <w:rPr>
          <w:color w:val="0D0D0D"/>
        </w:rPr>
        <w:t xml:space="preserve">Ser de nacionalidad mexicana </w:t>
      </w:r>
    </w:p>
    <w:p w:rsidR="004B7CB8" w:rsidRDefault="00805589">
      <w:pPr>
        <w:numPr>
          <w:ilvl w:val="1"/>
          <w:numId w:val="1"/>
        </w:numPr>
        <w:spacing w:after="0" w:line="360" w:lineRule="auto"/>
        <w:ind w:left="851"/>
        <w:rPr>
          <w:color w:val="0D0D0D"/>
        </w:rPr>
      </w:pPr>
      <w:r>
        <w:rPr>
          <w:color w:val="0D0D0D"/>
        </w:rPr>
        <w:t>Estar en pleno ejercicio de sus derechos civiles y políticos</w:t>
      </w:r>
    </w:p>
    <w:p w:rsidR="004B7CB8" w:rsidRDefault="00805589">
      <w:pPr>
        <w:numPr>
          <w:ilvl w:val="1"/>
          <w:numId w:val="1"/>
        </w:numPr>
        <w:spacing w:after="0" w:line="360" w:lineRule="auto"/>
        <w:ind w:left="851"/>
        <w:rPr>
          <w:color w:val="0D0D0D"/>
        </w:rPr>
      </w:pPr>
      <w:r>
        <w:rPr>
          <w:color w:val="0D0D0D"/>
        </w:rPr>
        <w:lastRenderedPageBreak/>
        <w:t xml:space="preserve">Acreditar, cuando proceda el Servicio Militar Nacional </w:t>
      </w:r>
    </w:p>
    <w:p w:rsidR="004B7CB8" w:rsidRDefault="00805589">
      <w:pPr>
        <w:numPr>
          <w:ilvl w:val="1"/>
          <w:numId w:val="1"/>
        </w:numPr>
        <w:spacing w:after="0" w:line="360" w:lineRule="auto"/>
        <w:ind w:left="851"/>
        <w:rPr>
          <w:color w:val="0D0D0D"/>
        </w:rPr>
      </w:pPr>
      <w:r>
        <w:rPr>
          <w:color w:val="0D0D0D"/>
        </w:rPr>
        <w:t>No haber sido separado anteriormente del servicio por las causas previstas en el artículo 93 de la presente ley</w:t>
      </w:r>
    </w:p>
    <w:p w:rsidR="004B7CB8" w:rsidRDefault="00805589">
      <w:pPr>
        <w:numPr>
          <w:ilvl w:val="1"/>
          <w:numId w:val="1"/>
        </w:numPr>
        <w:spacing w:after="0" w:line="360" w:lineRule="auto"/>
        <w:ind w:left="851"/>
        <w:rPr>
          <w:color w:val="0D0D0D"/>
        </w:rPr>
      </w:pPr>
      <w:r>
        <w:rPr>
          <w:color w:val="0D0D0D"/>
        </w:rPr>
        <w:t xml:space="preserve">Tener buena salud, que se comprobará con los certificados médicos </w:t>
      </w:r>
    </w:p>
    <w:p w:rsidR="004B7CB8" w:rsidRDefault="00805589">
      <w:pPr>
        <w:numPr>
          <w:ilvl w:val="1"/>
          <w:numId w:val="1"/>
        </w:numPr>
        <w:spacing w:after="0" w:line="360" w:lineRule="auto"/>
        <w:ind w:left="851"/>
        <w:rPr>
          <w:color w:val="0D0D0D"/>
        </w:rPr>
      </w:pPr>
      <w:r>
        <w:rPr>
          <w:color w:val="0D0D0D"/>
        </w:rPr>
        <w:t>Cumplir con los requisitos s que se establezcan para los diferentes puestos</w:t>
      </w:r>
    </w:p>
    <w:p w:rsidR="004B7CB8" w:rsidRDefault="00805589">
      <w:pPr>
        <w:numPr>
          <w:ilvl w:val="1"/>
          <w:numId w:val="1"/>
        </w:numPr>
        <w:spacing w:after="0" w:line="360" w:lineRule="auto"/>
        <w:ind w:left="851"/>
        <w:rPr>
          <w:color w:val="0D0D0D"/>
        </w:rPr>
      </w:pPr>
      <w:r>
        <w:rPr>
          <w:color w:val="0D0D0D"/>
        </w:rPr>
        <w:t>Acreditar por medio de los exámenes correspondientes los conocimientos y aptitudes necesarios para el desempeño del puesto</w:t>
      </w:r>
    </w:p>
    <w:p w:rsidR="004B7CB8" w:rsidRDefault="00805589">
      <w:pPr>
        <w:numPr>
          <w:ilvl w:val="1"/>
          <w:numId w:val="1"/>
        </w:numPr>
        <w:spacing w:after="0" w:line="360" w:lineRule="auto"/>
        <w:ind w:left="851"/>
        <w:rPr>
          <w:color w:val="0D0D0D"/>
        </w:rPr>
      </w:pPr>
      <w:r>
        <w:rPr>
          <w:color w:val="0D0D0D"/>
        </w:rPr>
        <w:t>No estar inhabilitado para el ejercicio del servicio público</w:t>
      </w:r>
    </w:p>
    <w:p w:rsidR="004B7CB8" w:rsidRDefault="00805589">
      <w:pPr>
        <w:numPr>
          <w:ilvl w:val="1"/>
          <w:numId w:val="1"/>
        </w:numPr>
        <w:spacing w:after="0" w:line="360" w:lineRule="auto"/>
        <w:ind w:left="851"/>
        <w:rPr>
          <w:b/>
          <w:color w:val="0D0D0D"/>
          <w:u w:val="single"/>
        </w:rPr>
      </w:pPr>
      <w:r>
        <w:rPr>
          <w:b/>
          <w:color w:val="0D0D0D"/>
          <w:u w:val="single"/>
        </w:rPr>
        <w:t>Presentar certificado expedido por la Unidad del Registro de Deudores Alimentarios Morosos en el que conste, si se encuentra inscrito o no en el mismo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Asimismo, el artículo 98, fracción XVII, de la Ley del Trabajo de los Servidores Públicos del Estado de México y Municipios, establece que es obligación de las instituciones públicas el integrar los expedientes de los servidores públicos y proporcionar las constancias que éstos soliciten para el trámite de los asuntos de su interés.</w:t>
      </w:r>
    </w:p>
    <w:p w:rsidR="004B7CB8" w:rsidRDefault="004B7CB8">
      <w:pPr>
        <w:tabs>
          <w:tab w:val="left" w:pos="4962"/>
        </w:tabs>
        <w:spacing w:after="0" w:line="360" w:lineRule="auto"/>
        <w:rPr>
          <w:color w:val="000000"/>
        </w:rPr>
      </w:pPr>
    </w:p>
    <w:p w:rsidR="004B7CB8" w:rsidRDefault="00805589">
      <w:pPr>
        <w:spacing w:after="0" w:line="360" w:lineRule="auto"/>
        <w:rPr>
          <w:color w:val="000000"/>
        </w:rPr>
      </w:pPr>
      <w:r>
        <w:rPr>
          <w:color w:val="000000"/>
        </w:rPr>
        <w:t>Además, es necesario precisar que el objetivo de un Expediente de Personal, es mantener actualizada la documentación personal y la histórica-laboral de los servidores públicos, a fin de que el expediente de cada uno de ellos contenga todas las incidencias que ocurren desde su alta hasta su baja.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Asimismo, estos se conformarán por los documentos que los servidores públicos entreguen para ingresar al cargo y se necesiten para causar su alta, así como, todos aquellos que se procesen dentro de la dependencia pública, sus reconocimientos y sanciones, los movimientos que les afecten. </w:t>
      </w:r>
    </w:p>
    <w:p w:rsidR="004B7CB8" w:rsidRDefault="004B7CB8">
      <w:pPr>
        <w:tabs>
          <w:tab w:val="left" w:pos="4962"/>
        </w:tabs>
        <w:spacing w:after="0" w:line="360" w:lineRule="auto"/>
        <w:rPr>
          <w:color w:val="000000"/>
        </w:rPr>
      </w:pPr>
    </w:p>
    <w:p w:rsidR="004B7CB8" w:rsidRDefault="00805589">
      <w:pPr>
        <w:tabs>
          <w:tab w:val="left" w:pos="4962"/>
        </w:tabs>
        <w:spacing w:after="0" w:line="360" w:lineRule="auto"/>
        <w:rPr>
          <w:color w:val="000000"/>
        </w:rPr>
      </w:pPr>
      <w:r>
        <w:rPr>
          <w:color w:val="000000"/>
        </w:rPr>
        <w:lastRenderedPageBreak/>
        <w:t xml:space="preserve">Ahora bien, respecto a aquellos servidores públicos que se encuentren o no inscritos en dicho registro, procede su entrega en versión pública, ya que al ser un requisito </w:t>
      </w:r>
      <w:r>
        <w:rPr>
          <w:b/>
          <w:i/>
          <w:color w:val="000000"/>
        </w:rPr>
        <w:t xml:space="preserve">sine qua non </w:t>
      </w:r>
      <w:r>
        <w:rPr>
          <w:color w:val="000000"/>
        </w:rPr>
        <w:t xml:space="preserve">para ingresar al servicio público, se convierte en información que da certeza a la ciudadanía de que el Servidor Público que ostenta un cargo dentro de la Administración Pública cumplió con los requisitos señalados </w:t>
      </w:r>
      <w:proofErr w:type="spellStart"/>
      <w:r>
        <w:rPr>
          <w:color w:val="000000"/>
        </w:rPr>
        <w:t>pro</w:t>
      </w:r>
      <w:proofErr w:type="spellEnd"/>
      <w:r>
        <w:rPr>
          <w:color w:val="000000"/>
        </w:rPr>
        <w:t xml:space="preserve"> la Ley.  </w:t>
      </w:r>
    </w:p>
    <w:p w:rsidR="004B7CB8" w:rsidRDefault="004B7CB8">
      <w:pPr>
        <w:tabs>
          <w:tab w:val="left" w:pos="4962"/>
        </w:tabs>
        <w:spacing w:after="0" w:line="360" w:lineRule="auto"/>
        <w:rPr>
          <w:color w:val="000000"/>
        </w:rPr>
      </w:pPr>
    </w:p>
    <w:p w:rsidR="004B7CB8" w:rsidRDefault="00805589">
      <w:pPr>
        <w:tabs>
          <w:tab w:val="left" w:pos="4962"/>
        </w:tabs>
        <w:spacing w:after="0" w:line="360" w:lineRule="auto"/>
        <w:rPr>
          <w:color w:val="000000"/>
        </w:rPr>
      </w:pPr>
      <w:r>
        <w:rPr>
          <w:color w:val="000000"/>
        </w:rPr>
        <w:t xml:space="preserve">En este sentido, se advierte que al ser un requisito indispensable y preponderante para ingresar al Servicio Público, el Sujeto Obligado deberá hacer entrega de dicho documento que dé cuenta de que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 </w:t>
      </w:r>
    </w:p>
    <w:p w:rsidR="004B7CB8" w:rsidRDefault="004B7CB8">
      <w:pPr>
        <w:tabs>
          <w:tab w:val="left" w:pos="4962"/>
        </w:tabs>
        <w:spacing w:after="0" w:line="360" w:lineRule="auto"/>
        <w:rPr>
          <w:color w:val="000000"/>
        </w:rPr>
      </w:pPr>
    </w:p>
    <w:p w:rsidR="004B7CB8" w:rsidRDefault="00805589">
      <w:pPr>
        <w:spacing w:after="0" w:line="360" w:lineRule="auto"/>
        <w:rPr>
          <w:color w:val="000000"/>
        </w:rPr>
      </w:pPr>
      <w:r>
        <w:rPr>
          <w:color w:val="000000"/>
        </w:rPr>
        <w:t xml:space="preserve">Conforme a lo anterior, se logra vislumbrar que la pretensión del ahora Recurrente, es obtener la copia simple del Certificado de No Deudor Alimentario Moroso de todos los servidores públicos adscritos a la Administración Pública Municipal 2025-2027, al seis de febrero de dos mil veinticinco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Establecida dicha circunstancia, se procede analizar la respuesta entregada, para lo cual, es de señalar que de las constancias que de las constancias que obran en el expediente, se logra vislumbrar que el Sujeto Obligado turno la solicitud de información a la Dirección de Administración y Recursos Materiales; así, resulta necesario hacer referencia al procedimiento de búsqueda que deben seguir los Sujetos Obligados para localizar la información, el cual se encuentra previsto en el artículo 162 de la Ley de Transparencia y </w:t>
      </w:r>
      <w:r>
        <w:rPr>
          <w:color w:val="000000"/>
        </w:rPr>
        <w:lastRenderedPageBreak/>
        <w:t>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Así, a efecto de determinar si el Sujeto Obligado cumplió con el procedimiento de búsqueda, resulta necesario citar el Manual General de Organización de la Administración Pública Municipal, precisa que la Dirección de Administración y de Recursos Materiales contará con la Subdirección de Recursos Humanos, encargada de la elaboración de los mecanismos de control para selección, contratación, inducción y promoción del personal, registrar las altas, bajas, cambios de categoría y adscripción, entre otras y registrar su correcta aplicación en el archivo de expedientes.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Conforme a lo anterior, se logra vislumbrar que el Sujeto Obligado cumplió con el procedimiento de búsqueda establecido en el artículo 162 de la Ley de Transparencia y Acceso a la Información Pública del Estado de México y Municipios, pues gestionó el requerimiento de información al área competente para conocer de lo peticionado.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Ahora bien en respuesta, la Director de Administración y Recursos Materiales indicó que al seis de febrero de dos mil veinticinco  aún no se contaba con toda la documentación toda vez que aún no se integraban por completo todos los expedientes del personal de la actual administración 2022-20227, situación que resulta </w:t>
      </w:r>
      <w:r>
        <w:rPr>
          <w:b/>
          <w:color w:val="000000"/>
        </w:rPr>
        <w:t xml:space="preserve">incongruente, </w:t>
      </w:r>
      <w:r>
        <w:rPr>
          <w:color w:val="000000"/>
        </w:rPr>
        <w:t xml:space="preserve">pues como quedó precisado en párrafos anteriores, se deben de cumplir ciertos requisitos para ingresar al Servicio Público, entre los cuales se encuentra el Certificado de No Deudor Alimentario Moroso, además de que a la fecha de la solicitud ya habían transcurrido treinta y seis días del actual </w:t>
      </w:r>
      <w:r>
        <w:rPr>
          <w:color w:val="000000"/>
        </w:rPr>
        <w:lastRenderedPageBreak/>
        <w:t xml:space="preserve">cambio de la Administración Pública Municipal 2025-2027 para la debida integración de los expedientes laborales.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Además, cabe precisar, que si bien se trata de un trámite personal, este se puede realizarse vía internet y se obtiene de forma inmediata al ingresar a la Ventanilla Única de Trámites t servicios tal como se muestra a continuación: </w:t>
      </w:r>
    </w:p>
    <w:p w:rsidR="004B7CB8" w:rsidRDefault="004B7CB8">
      <w:pPr>
        <w:spacing w:after="0" w:line="360" w:lineRule="auto"/>
        <w:rPr>
          <w:color w:val="000000"/>
        </w:rPr>
      </w:pPr>
    </w:p>
    <w:p w:rsidR="004B7CB8" w:rsidRDefault="00805589">
      <w:pPr>
        <w:spacing w:after="0" w:line="360" w:lineRule="auto"/>
        <w:jc w:val="center"/>
        <w:rPr>
          <w:color w:val="000000"/>
        </w:rPr>
      </w:pPr>
      <w:r>
        <w:rPr>
          <w:noProof/>
          <w:color w:val="000000"/>
        </w:rPr>
        <w:drawing>
          <wp:inline distT="0" distB="0" distL="0" distR="0">
            <wp:extent cx="5091781" cy="3220633"/>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1781" cy="3220633"/>
                    </a:xfrm>
                    <a:prstGeom prst="rect">
                      <a:avLst/>
                    </a:prstGeom>
                    <a:ln/>
                  </pic:spPr>
                </pic:pic>
              </a:graphicData>
            </a:graphic>
          </wp:inline>
        </w:drawing>
      </w:r>
    </w:p>
    <w:p w:rsidR="004B7CB8" w:rsidRDefault="004B7CB8">
      <w:pPr>
        <w:spacing w:after="0" w:line="360" w:lineRule="auto"/>
        <w:rPr>
          <w:color w:val="000000"/>
        </w:rPr>
      </w:pPr>
    </w:p>
    <w:p w:rsidR="004B7CB8" w:rsidRDefault="00805589">
      <w:pPr>
        <w:tabs>
          <w:tab w:val="left" w:pos="4962"/>
        </w:tabs>
        <w:spacing w:after="0" w:line="360" w:lineRule="auto"/>
        <w:rPr>
          <w:color w:val="000000"/>
        </w:rPr>
      </w:pPr>
      <w:r>
        <w:rPr>
          <w:color w:val="000000"/>
        </w:rPr>
        <w:t xml:space="preserve">Conforme a lo anterior, que se trae a colación lo señalado en la nota periodística </w:t>
      </w:r>
      <w:hyperlink r:id="rId11">
        <w:r>
          <w:rPr>
            <w:color w:val="0563C1"/>
            <w:u w:val="single"/>
          </w:rPr>
          <w:t>https://www.unionedomex.mx/2023/03/24/busqueda-de-deudores-alimentarios-morosos-estado-de-mexico-2023/</w:t>
        </w:r>
      </w:hyperlink>
      <w:r>
        <w:rPr>
          <w:color w:val="000000"/>
        </w:rPr>
        <w:t>, que a manera de referencia, se inserta:</w:t>
      </w:r>
    </w:p>
    <w:p w:rsidR="004B7CB8" w:rsidRDefault="004B7CB8">
      <w:pPr>
        <w:tabs>
          <w:tab w:val="left" w:pos="4962"/>
        </w:tabs>
        <w:spacing w:after="0" w:line="360" w:lineRule="auto"/>
        <w:jc w:val="center"/>
        <w:rPr>
          <w:color w:val="000000"/>
        </w:rPr>
      </w:pPr>
    </w:p>
    <w:p w:rsidR="004B7CB8" w:rsidRDefault="00805589">
      <w:pPr>
        <w:tabs>
          <w:tab w:val="left" w:pos="4962"/>
        </w:tabs>
        <w:spacing w:after="0" w:line="360" w:lineRule="auto"/>
        <w:jc w:val="center"/>
        <w:rPr>
          <w:color w:val="000000"/>
        </w:rPr>
      </w:pPr>
      <w:r>
        <w:rPr>
          <w:noProof/>
          <w:color w:val="000000"/>
        </w:rPr>
        <w:lastRenderedPageBreak/>
        <w:drawing>
          <wp:inline distT="0" distB="0" distL="0" distR="0">
            <wp:extent cx="5253604" cy="2030017"/>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20034" b="45302"/>
                    <a:stretch>
                      <a:fillRect/>
                    </a:stretch>
                  </pic:blipFill>
                  <pic:spPr>
                    <a:xfrm>
                      <a:off x="0" y="0"/>
                      <a:ext cx="5253604" cy="2030017"/>
                    </a:xfrm>
                    <a:prstGeom prst="rect">
                      <a:avLst/>
                    </a:prstGeom>
                    <a:ln/>
                  </pic:spPr>
                </pic:pic>
              </a:graphicData>
            </a:graphic>
          </wp:inline>
        </w:drawing>
      </w:r>
    </w:p>
    <w:p w:rsidR="004B7CB8" w:rsidRDefault="00805589">
      <w:pPr>
        <w:tabs>
          <w:tab w:val="left" w:pos="4962"/>
        </w:tabs>
        <w:spacing w:after="0" w:line="360" w:lineRule="auto"/>
        <w:jc w:val="center"/>
        <w:rPr>
          <w:color w:val="000000"/>
        </w:rPr>
      </w:pPr>
      <w:r>
        <w:rPr>
          <w:color w:val="000000"/>
        </w:rPr>
        <w:t>…</w:t>
      </w:r>
    </w:p>
    <w:p w:rsidR="004B7CB8" w:rsidRDefault="004B7CB8">
      <w:pPr>
        <w:tabs>
          <w:tab w:val="left" w:pos="4962"/>
        </w:tabs>
        <w:spacing w:after="0" w:line="360" w:lineRule="auto"/>
        <w:jc w:val="center"/>
        <w:rPr>
          <w:color w:val="000000"/>
        </w:rPr>
      </w:pPr>
    </w:p>
    <w:p w:rsidR="004B7CB8" w:rsidRDefault="00805589">
      <w:pPr>
        <w:tabs>
          <w:tab w:val="left" w:pos="4962"/>
        </w:tabs>
        <w:spacing w:after="0" w:line="360" w:lineRule="auto"/>
        <w:jc w:val="center"/>
        <w:rPr>
          <w:color w:val="000000"/>
        </w:rPr>
      </w:pPr>
      <w:r>
        <w:rPr>
          <w:noProof/>
          <w:color w:val="000000"/>
        </w:rPr>
        <w:drawing>
          <wp:inline distT="0" distB="0" distL="0" distR="0">
            <wp:extent cx="5239150" cy="2601823"/>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55063" b="699"/>
                    <a:stretch>
                      <a:fillRect/>
                    </a:stretch>
                  </pic:blipFill>
                  <pic:spPr>
                    <a:xfrm>
                      <a:off x="0" y="0"/>
                      <a:ext cx="5239150" cy="2601823"/>
                    </a:xfrm>
                    <a:prstGeom prst="rect">
                      <a:avLst/>
                    </a:prstGeom>
                    <a:ln/>
                  </pic:spPr>
                </pic:pic>
              </a:graphicData>
            </a:graphic>
          </wp:inline>
        </w:drawing>
      </w:r>
    </w:p>
    <w:p w:rsidR="004B7CB8" w:rsidRDefault="004B7CB8">
      <w:pPr>
        <w:tabs>
          <w:tab w:val="left" w:pos="4962"/>
        </w:tabs>
        <w:spacing w:after="0" w:line="360" w:lineRule="auto"/>
        <w:jc w:val="center"/>
        <w:rPr>
          <w:color w:val="000000"/>
        </w:rPr>
      </w:pPr>
    </w:p>
    <w:p w:rsidR="004B7CB8" w:rsidRDefault="00805589">
      <w:pPr>
        <w:tabs>
          <w:tab w:val="left" w:pos="4914"/>
        </w:tabs>
        <w:spacing w:after="0" w:line="360" w:lineRule="auto"/>
        <w:rPr>
          <w:color w:val="000000"/>
        </w:rPr>
      </w:pPr>
      <w:r>
        <w:rPr>
          <w:color w:val="000000"/>
        </w:rPr>
        <w:t xml:space="preserve">Conforme a lo anterior, se logra vislumbrar que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por lo que este Instituto considera que, para atender el requerimiento de información, el Sujeto Obligado deberá realizar una búsqueda exhaustiva y razonable en </w:t>
      </w:r>
      <w:r>
        <w:rPr>
          <w:color w:val="000000"/>
        </w:rPr>
        <w:lastRenderedPageBreak/>
        <w:t xml:space="preserve">los archivos de la Dirección de Administración y Recursos Materiales, a efecto de que proporcione el Certificado de No Deudor Alimentario Moroso de todos los servidores públicos adscritos a la Administración Pública Municipal 2025-2027, al seis de febrero de dos mil veinticinco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que dé cuenta de lo requerido.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Ahora bien, para el caso de que dentro de los expedientes laborales de los integrantes de Cabildo no obre los Certificados de No Deudor Alimentario Moroso, por ser servidores </w:t>
      </w:r>
      <w:r>
        <w:rPr>
          <w:color w:val="000000"/>
        </w:rPr>
        <w:lastRenderedPageBreak/>
        <w:t>públicos de elección popular y no tener obligación de entregarlo, deberá hacerlo del conocimiento de la parte Recurrente, de manera clara y precisa, en términos del artículo 19, párrafo segundo, de la Ley de Transparencia y Acceso a la Información Pública del Estado de México y Municipios.</w:t>
      </w:r>
    </w:p>
    <w:p w:rsidR="004B7CB8" w:rsidRDefault="004B7CB8">
      <w:pPr>
        <w:spacing w:after="0" w:line="360" w:lineRule="auto"/>
        <w:rPr>
          <w:color w:val="000000"/>
        </w:rPr>
      </w:pPr>
    </w:p>
    <w:p w:rsidR="004B7CB8" w:rsidRDefault="00805589">
      <w:pPr>
        <w:spacing w:after="0" w:line="360" w:lineRule="auto"/>
        <w:ind w:right="113"/>
        <w:rPr>
          <w:color w:val="000000"/>
        </w:rPr>
      </w:pPr>
      <w:r>
        <w:t xml:space="preserve">Ahora bien, para el caso que no cuente con la información que dé cuenta de lo solicitado del alguno de los servidores públicos, con excepción de los señalados en el párrafo anterior, deberá declarar formalmente la inexistencia. </w:t>
      </w:r>
      <w:r>
        <w:rPr>
          <w:color w:val="000000"/>
        </w:rPr>
        <w:t>Sobre el tema, el Criterio de Interpretación, con clave de control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w:t>
      </w:r>
    </w:p>
    <w:p w:rsidR="004B7CB8" w:rsidRDefault="00805589">
      <w:pPr>
        <w:spacing w:after="0" w:line="360" w:lineRule="auto"/>
        <w:rPr>
          <w:color w:val="000000"/>
        </w:rPr>
      </w:pPr>
      <w:r>
        <w:rPr>
          <w:color w:val="000000"/>
        </w:rPr>
        <w:t>En ese sentido,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Así, es posible concluir que la </w:t>
      </w:r>
      <w:r>
        <w:rPr>
          <w:b/>
          <w:color w:val="000000"/>
        </w:rPr>
        <w:t>inexistencia</w:t>
      </w:r>
      <w:r>
        <w:rPr>
          <w:color w:val="000000"/>
        </w:rPr>
        <w:t xml:space="preserve"> presupone la competencia del sujeto obligado para conocer de la información, pero por alguna circunstancia, la documentación solicitada no obra en sus archivos. Lo cual, retoma el artículo 19, párrafo tercero de la Ley de Transparencia y Acceso a la Información Pública del Estado de México y Municipios, que establece que cuando los sujetos obligados, en el ejercicio de sus atribuciones, debía generar, poseer, administrar la información, pero está no se encuentra, el Comité de Transparencia, deberá emitir el acuerdo de inexistencia.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lastRenderedPageBreak/>
        <w:t>En ese orden de ideas, el Criterio de interpretación, con clave de control SO/012/2010, emitido por el Pleno del Instituto Nacional de Transparencia, Acceso a la Información y Protección de Datos Personales, mismo que se cita por analogía, en el que se establece lo siguiente:</w:t>
      </w:r>
    </w:p>
    <w:p w:rsidR="004B7CB8" w:rsidRDefault="004B7CB8">
      <w:pPr>
        <w:tabs>
          <w:tab w:val="left" w:pos="4667"/>
        </w:tabs>
        <w:spacing w:after="0" w:line="360" w:lineRule="auto"/>
      </w:pPr>
    </w:p>
    <w:p w:rsidR="004B7CB8" w:rsidRDefault="00805589">
      <w:pPr>
        <w:tabs>
          <w:tab w:val="left" w:pos="4253"/>
        </w:tabs>
        <w:spacing w:after="0" w:line="360" w:lineRule="auto"/>
        <w:ind w:left="567" w:right="559"/>
        <w:rPr>
          <w:b/>
          <w:i/>
          <w:color w:val="000000"/>
          <w:sz w:val="20"/>
          <w:szCs w:val="20"/>
        </w:rPr>
      </w:pPr>
      <w:r>
        <w:rPr>
          <w:b/>
          <w:i/>
          <w:color w:val="000000"/>
          <w:sz w:val="20"/>
          <w:szCs w:val="20"/>
        </w:rPr>
        <w:t xml:space="preserve">“Propósito de la declaración formal de inexistencia. </w:t>
      </w:r>
      <w:r>
        <w:rPr>
          <w:i/>
          <w:color w:val="000000"/>
          <w:sz w:val="20"/>
          <w:szCs w:val="20"/>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Pr>
          <w:b/>
          <w:i/>
          <w:color w:val="000000"/>
          <w:sz w:val="20"/>
          <w:szCs w:val="2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rsidR="004B7CB8" w:rsidRDefault="004B7CB8">
      <w:pPr>
        <w:tabs>
          <w:tab w:val="left" w:pos="4667"/>
        </w:tabs>
        <w:spacing w:after="0" w:line="360" w:lineRule="auto"/>
      </w:pPr>
    </w:p>
    <w:p w:rsidR="004B7CB8" w:rsidRDefault="00805589">
      <w:pPr>
        <w:tabs>
          <w:tab w:val="left" w:pos="4667"/>
        </w:tabs>
        <w:spacing w:after="0" w:line="360" w:lineRule="auto"/>
      </w:pPr>
      <w:r>
        <w:t>De la misma manera, el Criterio de interpretación, con clave de control SO/014/2019 emitido por el Instituto de Transparencia, Acceso a la Información y Protección de Datos Personales, establece lo siguiente:</w:t>
      </w:r>
    </w:p>
    <w:p w:rsidR="004B7CB8" w:rsidRDefault="004B7CB8">
      <w:pPr>
        <w:tabs>
          <w:tab w:val="left" w:pos="4667"/>
        </w:tabs>
        <w:spacing w:after="0" w:line="360" w:lineRule="auto"/>
      </w:pPr>
    </w:p>
    <w:p w:rsidR="004B7CB8" w:rsidRDefault="00805589">
      <w:pPr>
        <w:tabs>
          <w:tab w:val="left" w:pos="4667"/>
        </w:tabs>
        <w:spacing w:after="0" w:line="360" w:lineRule="auto"/>
        <w:ind w:left="567" w:right="567"/>
        <w:rPr>
          <w:i/>
          <w:color w:val="000000"/>
          <w:sz w:val="20"/>
          <w:szCs w:val="20"/>
        </w:rPr>
      </w:pPr>
      <w:r>
        <w:rPr>
          <w:b/>
          <w:i/>
          <w:color w:val="000000"/>
          <w:sz w:val="20"/>
          <w:szCs w:val="20"/>
        </w:rPr>
        <w:t>“Propósito de la declaración formal de inexistencia.</w:t>
      </w:r>
      <w:r>
        <w:rPr>
          <w:i/>
          <w:color w:val="000000"/>
          <w:sz w:val="20"/>
          <w:szCs w:val="2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w:t>
      </w:r>
      <w:r>
        <w:rPr>
          <w:i/>
          <w:color w:val="000000"/>
          <w:sz w:val="20"/>
          <w:szCs w:val="20"/>
        </w:rPr>
        <w:lastRenderedPageBreak/>
        <w:t>inexistencia, debe contener los elementos suficientes para generar en los solicitantes la certeza del carácter exhaustivo de la búsqueda de lo solicitado.”</w:t>
      </w:r>
    </w:p>
    <w:p w:rsidR="004B7CB8" w:rsidRDefault="004B7CB8">
      <w:pPr>
        <w:tabs>
          <w:tab w:val="left" w:pos="4667"/>
        </w:tabs>
        <w:spacing w:after="0" w:line="360" w:lineRule="auto"/>
      </w:pPr>
    </w:p>
    <w:p w:rsidR="004B7CB8" w:rsidRDefault="00805589">
      <w:pPr>
        <w:tabs>
          <w:tab w:val="left" w:pos="4667"/>
        </w:tabs>
        <w:spacing w:after="0" w:line="360" w:lineRule="auto"/>
      </w:pPr>
      <w:r>
        <w:t>De los criterios citados,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w:t>
      </w:r>
    </w:p>
    <w:p w:rsidR="004B7CB8" w:rsidRDefault="004B7CB8">
      <w:pPr>
        <w:spacing w:after="0" w:line="360" w:lineRule="auto"/>
        <w:ind w:right="-93"/>
        <w:rPr>
          <w:color w:val="000000"/>
        </w:rPr>
      </w:pPr>
    </w:p>
    <w:p w:rsidR="004B7CB8" w:rsidRDefault="00805589">
      <w:pPr>
        <w:spacing w:after="0" w:line="360" w:lineRule="auto"/>
        <w:ind w:right="-93"/>
        <w:rPr>
          <w:color w:val="000000"/>
        </w:rPr>
      </w:pPr>
      <w:r>
        <w:rPr>
          <w:color w:val="000000"/>
        </w:rPr>
        <w:t>Además, según Calero, Natalia (2016), en la “Ley General de Transparencia y Acceso a la Información Pública Comentada” (p. 419), establece que las declaraciones de inexistencia, deben contener lo siguiente:</w:t>
      </w:r>
    </w:p>
    <w:p w:rsidR="004B7CB8" w:rsidRDefault="004B7CB8">
      <w:pPr>
        <w:spacing w:after="0" w:line="360" w:lineRule="auto"/>
        <w:ind w:right="-93"/>
        <w:jc w:val="left"/>
        <w:rPr>
          <w:color w:val="000000"/>
        </w:rPr>
      </w:pPr>
    </w:p>
    <w:p w:rsidR="004B7CB8" w:rsidRDefault="00805589">
      <w:pPr>
        <w:numPr>
          <w:ilvl w:val="0"/>
          <w:numId w:val="3"/>
        </w:numPr>
        <w:spacing w:after="0" w:line="360" w:lineRule="auto"/>
        <w:ind w:right="-93"/>
        <w:rPr>
          <w:b/>
          <w:color w:val="000000"/>
        </w:rPr>
      </w:pPr>
      <w:r>
        <w:rPr>
          <w:b/>
          <w:color w:val="000000"/>
        </w:rPr>
        <w:t>Los elementos que le permitan a los solicitantes tener certeza de que el Sujeto Obligado utilizó un criterio de búsqueda exhaustivo:</w:t>
      </w:r>
      <w:r>
        <w:rPr>
          <w:color w:val="000000"/>
        </w:rPr>
        <w:t xml:space="preserve"> Para atender dicho supuesto, se debe precisar en qué unidades administrativas buscó, así como en el tipo de archivos y la manera en que realizó la indagación;</w:t>
      </w:r>
    </w:p>
    <w:p w:rsidR="004B7CB8" w:rsidRDefault="004B7CB8">
      <w:pPr>
        <w:spacing w:after="0" w:line="360" w:lineRule="auto"/>
        <w:ind w:left="720" w:right="-93"/>
        <w:rPr>
          <w:b/>
          <w:color w:val="000000"/>
        </w:rPr>
      </w:pPr>
    </w:p>
    <w:p w:rsidR="004B7CB8" w:rsidRDefault="00805589">
      <w:pPr>
        <w:numPr>
          <w:ilvl w:val="0"/>
          <w:numId w:val="3"/>
        </w:numPr>
        <w:spacing w:after="0" w:line="360" w:lineRule="auto"/>
        <w:ind w:right="-93"/>
        <w:rPr>
          <w:b/>
          <w:color w:val="000000"/>
        </w:rPr>
      </w:pPr>
      <w:r>
        <w:rPr>
          <w:b/>
          <w:color w:val="000000"/>
        </w:rPr>
        <w:t xml:space="preserve">Las circunstancias de tiempo, modo y lugar que motiven las razones por las cuales la información es inexistente: </w:t>
      </w:r>
      <w:r>
        <w:rPr>
          <w:color w:val="000000"/>
        </w:rPr>
        <w:t>Al respecto, los sujetos obligados para acreditar dicho punto, deberán proveer la mayor cantidad de elementos posibles que permitan evidencia las razones por las cuales la información requerida no existe</w:t>
      </w:r>
      <w:r>
        <w:rPr>
          <w:b/>
          <w:color w:val="000000"/>
        </w:rPr>
        <w:t>,</w:t>
      </w:r>
      <w:r>
        <w:rPr>
          <w:color w:val="000000"/>
        </w:rPr>
        <w:t xml:space="preserve"> y</w:t>
      </w:r>
    </w:p>
    <w:p w:rsidR="004B7CB8" w:rsidRDefault="004B7CB8">
      <w:pPr>
        <w:spacing w:after="0" w:line="240" w:lineRule="auto"/>
        <w:ind w:left="720"/>
        <w:jc w:val="left"/>
        <w:rPr>
          <w:b/>
          <w:color w:val="000000"/>
        </w:rPr>
      </w:pPr>
    </w:p>
    <w:p w:rsidR="004B7CB8" w:rsidRDefault="00805589">
      <w:pPr>
        <w:numPr>
          <w:ilvl w:val="0"/>
          <w:numId w:val="3"/>
        </w:numPr>
        <w:spacing w:after="0" w:line="360" w:lineRule="auto"/>
        <w:ind w:right="-93"/>
        <w:rPr>
          <w:b/>
          <w:color w:val="000000"/>
        </w:rPr>
      </w:pPr>
      <w:r>
        <w:rPr>
          <w:b/>
          <w:color w:val="000000"/>
        </w:rPr>
        <w:t>El servidor público responsable de contar con ésta</w:t>
      </w:r>
      <w:r>
        <w:rPr>
          <w:color w:val="000000"/>
        </w:rPr>
        <w:t xml:space="preserve">: Es importante indicar, el cargo y las razones jurídicas por las cuales debió generar la información, es decir, que con base </w:t>
      </w:r>
      <w:r>
        <w:rPr>
          <w:color w:val="000000"/>
        </w:rPr>
        <w:lastRenderedPageBreak/>
        <w:t>a la normatividad interna las facultades por las cuales tuvo que elaborar el documento requerido.</w:t>
      </w:r>
    </w:p>
    <w:p w:rsidR="004B7CB8" w:rsidRDefault="004B7CB8">
      <w:pPr>
        <w:spacing w:after="0" w:line="360" w:lineRule="auto"/>
        <w:ind w:right="-93"/>
        <w:rPr>
          <w:color w:val="000000"/>
        </w:rPr>
      </w:pPr>
    </w:p>
    <w:p w:rsidR="004B7CB8" w:rsidRDefault="00805589">
      <w:pPr>
        <w:spacing w:after="0" w:line="360" w:lineRule="auto"/>
      </w:pPr>
      <w:r>
        <w:rPr>
          <w:color w:val="000000"/>
        </w:rPr>
        <w:t xml:space="preserve">Conforme a lo anterior, en el presente caso, se considera que será necesario que el Ayuntamiento de </w:t>
      </w:r>
      <w:proofErr w:type="spellStart"/>
      <w:r>
        <w:rPr>
          <w:color w:val="000000"/>
        </w:rPr>
        <w:t>Ocuilan</w:t>
      </w:r>
      <w:proofErr w:type="spellEnd"/>
      <w:r>
        <w:rPr>
          <w:color w:val="000000"/>
        </w:rPr>
        <w:t xml:space="preserve">, </w:t>
      </w:r>
      <w:r>
        <w:rPr>
          <w:b/>
          <w:color w:val="000000"/>
        </w:rPr>
        <w:t>declare por medio de su Comité de Transparencia, la inexistencia de la información previamente señalada.</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Finalmente, no pasa desapercibido para este Instituto que los documentos que dan cuenta de lo solicitado, pudieran contener  diversos datos, los cuales podrían ser considerados confidenciales, tales como:</w:t>
      </w:r>
    </w:p>
    <w:p w:rsidR="004B7CB8" w:rsidRDefault="004B7CB8">
      <w:pPr>
        <w:spacing w:after="0" w:line="360" w:lineRule="auto"/>
        <w:rPr>
          <w:color w:val="000000"/>
        </w:rPr>
      </w:pPr>
    </w:p>
    <w:p w:rsidR="004B7CB8" w:rsidRDefault="00805589">
      <w:pPr>
        <w:numPr>
          <w:ilvl w:val="0"/>
          <w:numId w:val="4"/>
        </w:numPr>
        <w:spacing w:after="0" w:line="360" w:lineRule="auto"/>
        <w:rPr>
          <w:color w:val="000000"/>
        </w:rPr>
      </w:pPr>
      <w:r>
        <w:rPr>
          <w:color w:val="000000"/>
        </w:rPr>
        <w:t>CURP (Clave Única de  Registro de Población); y</w:t>
      </w:r>
    </w:p>
    <w:p w:rsidR="004B7CB8" w:rsidRDefault="00805589">
      <w:pPr>
        <w:numPr>
          <w:ilvl w:val="0"/>
          <w:numId w:val="4"/>
        </w:numPr>
        <w:spacing w:after="0" w:line="360" w:lineRule="auto"/>
        <w:rPr>
          <w:color w:val="000000"/>
        </w:rPr>
      </w:pPr>
      <w:r>
        <w:rPr>
          <w:color w:val="000000"/>
        </w:rPr>
        <w:t>RFC (Registro Federal de Contribuyentes)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Conforme a lo anterior,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w:t>
      </w:r>
      <w:proofErr w:type="spellStart"/>
      <w:r>
        <w:rPr>
          <w:color w:val="000000"/>
        </w:rPr>
        <w:t>jurídco</w:t>
      </w:r>
      <w:proofErr w:type="spellEnd"/>
      <w:r>
        <w:rPr>
          <w:color w:val="000000"/>
        </w:rPr>
        <w:t xml:space="preserve"> rígido, de tratamiento y manejo de datos personales.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w:t>
      </w:r>
      <w:r>
        <w:rPr>
          <w:color w:val="000000"/>
        </w:rPr>
        <w:lastRenderedPageBreak/>
        <w:t>para proteger los derechos de terceros o cuando se transmita entre sujetos obligados en términos de los tratados y los acuerdos interinstitucionales.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rsidR="004B7CB8" w:rsidRDefault="004B7CB8">
      <w:pPr>
        <w:spacing w:after="0" w:line="360" w:lineRule="auto"/>
        <w:rPr>
          <w:color w:val="000000"/>
        </w:rPr>
      </w:pPr>
    </w:p>
    <w:p w:rsidR="004B7CB8" w:rsidRDefault="00805589">
      <w:pPr>
        <w:numPr>
          <w:ilvl w:val="0"/>
          <w:numId w:val="5"/>
        </w:numPr>
        <w:spacing w:after="0" w:line="360" w:lineRule="auto"/>
        <w:jc w:val="left"/>
        <w:rPr>
          <w:color w:val="000000"/>
        </w:rPr>
      </w:pPr>
      <w:r>
        <w:rPr>
          <w:color w:val="000000"/>
        </w:rPr>
        <w:t xml:space="preserve">Se trate de datos personales o información privada; esto es, información concerniente a una persona física o jurídico colectiva y que esta sea identificada o identificable. </w:t>
      </w:r>
    </w:p>
    <w:p w:rsidR="004B7CB8" w:rsidRDefault="004B7CB8">
      <w:pPr>
        <w:spacing w:after="0" w:line="360" w:lineRule="auto"/>
        <w:rPr>
          <w:color w:val="000000"/>
        </w:rPr>
      </w:pPr>
    </w:p>
    <w:p w:rsidR="004B7CB8" w:rsidRDefault="00805589">
      <w:pPr>
        <w:numPr>
          <w:ilvl w:val="0"/>
          <w:numId w:val="5"/>
        </w:numPr>
        <w:spacing w:after="0" w:line="360" w:lineRule="auto"/>
        <w:jc w:val="left"/>
        <w:rPr>
          <w:color w:val="000000"/>
        </w:rPr>
      </w:pPr>
      <w:r>
        <w:rPr>
          <w:color w:val="000000"/>
        </w:rPr>
        <w:t xml:space="preserve">Para la difusión de los datos, se requiera el consentimiento del titular.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Además, en el artículo 5° de dicho ordenamiento jurídico, establece que es la Ley aplicable para todo tratamiento de datos personales.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En ese orden de ideas, los artículos 6°, 7°, 8° y 14 de la Ley de Protección de Datos Personales en Posesión de Sujetos Obligados del Estado de México y Municipios disponen que los </w:t>
      </w:r>
      <w:r>
        <w:rPr>
          <w:color w:val="000000"/>
        </w:rPr>
        <w:lastRenderedPageBreak/>
        <w:t>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w:t>
      </w:r>
      <w:r>
        <w:rPr>
          <w:color w:val="000000"/>
        </w:rPr>
        <w:lastRenderedPageBreak/>
        <w:t>los datos esenciales para la transparencia y rendición de cuentas, sin afectar la vida privada de las personas.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Bajo ese contexto, se analizarán si los datos mencionados, deben ser considerados confidenciales, en términos del artículo 143, fracción I, de la Ley de Transparencia y Acceso a la Información Pública del Estado de México y Municipios, o públicos tal como se expone a continuación:</w:t>
      </w:r>
    </w:p>
    <w:p w:rsidR="004B7CB8" w:rsidRDefault="004B7CB8">
      <w:pPr>
        <w:spacing w:after="0" w:line="360" w:lineRule="auto"/>
        <w:rPr>
          <w:color w:val="0D0D0D"/>
        </w:rPr>
      </w:pPr>
    </w:p>
    <w:p w:rsidR="004B7CB8" w:rsidRDefault="00805589">
      <w:pPr>
        <w:widowControl w:val="0"/>
        <w:numPr>
          <w:ilvl w:val="0"/>
          <w:numId w:val="6"/>
        </w:numPr>
        <w:spacing w:after="0" w:line="360" w:lineRule="auto"/>
        <w:jc w:val="left"/>
        <w:rPr>
          <w:b/>
          <w:color w:val="000000"/>
        </w:rPr>
      </w:pPr>
      <w:r>
        <w:rPr>
          <w:b/>
          <w:color w:val="000000"/>
        </w:rPr>
        <w:t>Clave Única de Registro de Población</w:t>
      </w:r>
    </w:p>
    <w:p w:rsidR="004B7CB8" w:rsidRDefault="004B7CB8">
      <w:pPr>
        <w:widowControl w:val="0"/>
        <w:spacing w:after="0" w:line="360" w:lineRule="auto"/>
        <w:rPr>
          <w:b/>
          <w:color w:val="000000"/>
        </w:rPr>
      </w:pPr>
    </w:p>
    <w:p w:rsidR="004B7CB8" w:rsidRDefault="00805589">
      <w:pPr>
        <w:spacing w:after="0" w:line="360" w:lineRule="auto"/>
        <w:rPr>
          <w:color w:val="000000"/>
        </w:rPr>
      </w:pPr>
      <w:r>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En ese orden de ideas, la Secretaría de Gobernación en las direcciones </w:t>
      </w:r>
      <w:hyperlink r:id="rId13">
        <w:r>
          <w:rPr>
            <w:color w:val="0563C1"/>
            <w:u w:val="single"/>
          </w:rPr>
          <w:t>https://consultas.curp.gob.mx/CurpSP/html/informacionecurpPS.html</w:t>
        </w:r>
      </w:hyperlink>
      <w:r>
        <w:rPr>
          <w:color w:val="000000"/>
        </w:rPr>
        <w:t xml:space="preserve"> y </w:t>
      </w:r>
      <w:hyperlink r:id="rId14">
        <w:r>
          <w:rPr>
            <w:color w:val="0563C1"/>
            <w:u w:val="single"/>
          </w:rPr>
          <w:t>https://www.gob.mx/segob/renapo/acciones-y-programas/clave-unica-de-registro-de-poblacion-curp-142226</w:t>
        </w:r>
      </w:hyperlink>
      <w:r>
        <w:rPr>
          <w:color w:val="000000"/>
        </w:rPr>
        <w:t xml:space="preserve"> (</w:t>
      </w:r>
      <w:r>
        <w:rPr>
          <w:color w:val="000000"/>
          <w:sz w:val="20"/>
          <w:szCs w:val="20"/>
        </w:rPr>
        <w:t xml:space="preserve">consultadas el tres de noviembre de dos mil veintidós), </w:t>
      </w:r>
      <w:r>
        <w:rPr>
          <w:color w:val="000000"/>
        </w:rPr>
        <w:t xml:space="preserve">estableció que la </w:t>
      </w:r>
      <w:r>
        <w:rPr>
          <w:color w:val="000000"/>
        </w:rPr>
        <w:lastRenderedPageBreak/>
        <w:t>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4B7CB8" w:rsidRDefault="004B7CB8">
      <w:pPr>
        <w:spacing w:after="0" w:line="360" w:lineRule="auto"/>
        <w:rPr>
          <w:color w:val="000000"/>
        </w:rPr>
      </w:pPr>
    </w:p>
    <w:p w:rsidR="004B7CB8" w:rsidRDefault="00805589">
      <w:pPr>
        <w:numPr>
          <w:ilvl w:val="0"/>
          <w:numId w:val="7"/>
        </w:numPr>
        <w:spacing w:after="0" w:line="360" w:lineRule="auto"/>
        <w:jc w:val="left"/>
        <w:rPr>
          <w:color w:val="000000"/>
        </w:rPr>
      </w:pPr>
      <w:r>
        <w:rPr>
          <w:color w:val="000000"/>
        </w:rPr>
        <w:t>El primero y segundo apellidos, así como al nombre de pila;</w:t>
      </w:r>
    </w:p>
    <w:p w:rsidR="004B7CB8" w:rsidRDefault="00805589">
      <w:pPr>
        <w:numPr>
          <w:ilvl w:val="0"/>
          <w:numId w:val="7"/>
        </w:numPr>
        <w:spacing w:after="0" w:line="360" w:lineRule="auto"/>
        <w:jc w:val="left"/>
        <w:rPr>
          <w:color w:val="000000"/>
        </w:rPr>
      </w:pPr>
      <w:r>
        <w:rPr>
          <w:color w:val="000000"/>
        </w:rPr>
        <w:t>La fecha de nacimiento;</w:t>
      </w:r>
    </w:p>
    <w:p w:rsidR="004B7CB8" w:rsidRDefault="00805589">
      <w:pPr>
        <w:numPr>
          <w:ilvl w:val="0"/>
          <w:numId w:val="7"/>
        </w:numPr>
        <w:spacing w:after="0" w:line="360" w:lineRule="auto"/>
        <w:jc w:val="left"/>
        <w:rPr>
          <w:color w:val="000000"/>
        </w:rPr>
      </w:pPr>
      <w:r>
        <w:rPr>
          <w:color w:val="000000"/>
        </w:rPr>
        <w:t>El sexo, y</w:t>
      </w:r>
    </w:p>
    <w:p w:rsidR="004B7CB8" w:rsidRDefault="00805589">
      <w:pPr>
        <w:numPr>
          <w:ilvl w:val="0"/>
          <w:numId w:val="7"/>
        </w:numPr>
        <w:spacing w:after="0" w:line="360" w:lineRule="auto"/>
        <w:jc w:val="left"/>
        <w:rPr>
          <w:color w:val="000000"/>
        </w:rPr>
      </w:pPr>
      <w:r>
        <w:rPr>
          <w:color w:val="000000"/>
        </w:rPr>
        <w:t>La entidad federativa de nacimiento.</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Los dos últimos elementos de la Clave Única de Registro de Población evitan la duplicidad de la Clave y garantizan su correcta integración.</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Situación que se robustece, con el Criterio de interpretación, con clave de control SO/018/2017, emitido por el Instituto Nacional de Transparencia, Acceso a la Información y Protección de Datos Personales, que establece lo siguiente:</w:t>
      </w:r>
    </w:p>
    <w:p w:rsidR="004B7CB8" w:rsidRDefault="004B7CB8">
      <w:pPr>
        <w:spacing w:after="0" w:line="360" w:lineRule="auto"/>
        <w:ind w:left="567" w:right="567"/>
        <w:rPr>
          <w:color w:val="000000"/>
        </w:rPr>
      </w:pPr>
    </w:p>
    <w:p w:rsidR="004B7CB8" w:rsidRDefault="00805589">
      <w:pPr>
        <w:spacing w:after="0" w:line="360" w:lineRule="auto"/>
        <w:ind w:left="567" w:right="567"/>
        <w:rPr>
          <w:i/>
          <w:color w:val="000000"/>
          <w:sz w:val="20"/>
          <w:szCs w:val="20"/>
        </w:rPr>
      </w:pPr>
      <w:r>
        <w:rPr>
          <w:b/>
          <w:i/>
          <w:color w:val="000000"/>
          <w:sz w:val="20"/>
          <w:szCs w:val="20"/>
        </w:rPr>
        <w:lastRenderedPageBreak/>
        <w:t xml:space="preserve">“Clave Única de Registro de Población (CURP). </w:t>
      </w:r>
      <w:r>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4B7CB8" w:rsidRDefault="004B7CB8">
      <w:pPr>
        <w:spacing w:after="0" w:line="360" w:lineRule="auto"/>
        <w:rPr>
          <w:color w:val="000000"/>
        </w:rPr>
      </w:pPr>
    </w:p>
    <w:p w:rsidR="004B7CB8" w:rsidRDefault="00805589">
      <w:pPr>
        <w:spacing w:after="0" w:line="360" w:lineRule="auto"/>
        <w:rPr>
          <w:color w:val="000000"/>
        </w:rPr>
      </w:pPr>
      <w:r>
        <w:rPr>
          <w:color w:val="000000"/>
        </w:rPr>
        <w:t xml:space="preserve">De acuerdo con lo anterior, </w:t>
      </w:r>
      <w:r>
        <w:rPr>
          <w:b/>
          <w:color w:val="000000"/>
        </w:rPr>
        <w:t>resulta procedente la clasificación</w:t>
      </w:r>
      <w:r>
        <w:rPr>
          <w:color w:val="000000"/>
        </w:rPr>
        <w:t xml:space="preserve">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rsidR="004B7CB8" w:rsidRDefault="004B7CB8">
      <w:pPr>
        <w:spacing w:after="0" w:line="360" w:lineRule="auto"/>
        <w:rPr>
          <w:color w:val="000000"/>
        </w:rPr>
      </w:pPr>
    </w:p>
    <w:p w:rsidR="004B7CB8" w:rsidRDefault="00805589">
      <w:pPr>
        <w:numPr>
          <w:ilvl w:val="0"/>
          <w:numId w:val="8"/>
        </w:numPr>
        <w:pBdr>
          <w:top w:val="nil"/>
          <w:left w:val="nil"/>
          <w:bottom w:val="nil"/>
          <w:right w:val="nil"/>
          <w:between w:val="nil"/>
        </w:pBdr>
        <w:spacing w:after="0" w:line="360" w:lineRule="auto"/>
        <w:rPr>
          <w:b/>
          <w:color w:val="000000"/>
        </w:rPr>
      </w:pPr>
      <w:r>
        <w:rPr>
          <w:b/>
          <w:color w:val="000000"/>
        </w:rPr>
        <w:t>Registro Federal de Contribuyentes</w:t>
      </w:r>
    </w:p>
    <w:p w:rsidR="004B7CB8" w:rsidRDefault="004B7CB8">
      <w:pPr>
        <w:pBdr>
          <w:top w:val="nil"/>
          <w:left w:val="nil"/>
          <w:bottom w:val="nil"/>
          <w:right w:val="nil"/>
          <w:between w:val="nil"/>
        </w:pBdr>
        <w:spacing w:after="0" w:line="360" w:lineRule="auto"/>
        <w:ind w:left="720"/>
        <w:rPr>
          <w:b/>
          <w:color w:val="000000"/>
        </w:rPr>
      </w:pPr>
    </w:p>
    <w:p w:rsidR="004B7CB8" w:rsidRDefault="00805589">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4B7CB8" w:rsidRDefault="004B7CB8">
      <w:pPr>
        <w:spacing w:after="0" w:line="360" w:lineRule="auto"/>
      </w:pPr>
    </w:p>
    <w:p w:rsidR="004B7CB8" w:rsidRDefault="00805589">
      <w:pPr>
        <w:spacing w:after="0" w:line="360" w:lineRule="auto"/>
      </w:pPr>
      <w:r>
        <w:t xml:space="preserve">De acuerdo a lo establecido en el artículo en comento, esta clave se compone de trece caracteres alfanuméricos, con datos obtenidos de los apellidos, nombre(s), fecha de nacimiento del titular, más una </w:t>
      </w:r>
      <w:proofErr w:type="spellStart"/>
      <w:r>
        <w:t>homoclave</w:t>
      </w:r>
      <w:proofErr w:type="spellEnd"/>
      <w:r>
        <w:t xml:space="preserve"> que establece el sistema automático del Servicio de Administración Tributaria.</w:t>
      </w:r>
    </w:p>
    <w:p w:rsidR="004B7CB8" w:rsidRDefault="004B7CB8">
      <w:pPr>
        <w:spacing w:after="0" w:line="360" w:lineRule="auto"/>
      </w:pPr>
    </w:p>
    <w:p w:rsidR="004B7CB8" w:rsidRDefault="00805589">
      <w:pPr>
        <w:spacing w:after="0" w:line="360" w:lineRule="auto"/>
      </w:pPr>
      <w:r>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4B7CB8" w:rsidRDefault="004B7CB8">
      <w:pPr>
        <w:spacing w:after="0" w:line="360" w:lineRule="auto"/>
      </w:pPr>
    </w:p>
    <w:p w:rsidR="004B7CB8" w:rsidRDefault="00805589">
      <w:pPr>
        <w:spacing w:after="0" w:line="360" w:lineRule="auto"/>
      </w:pPr>
      <w: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4B7CB8" w:rsidRDefault="004B7CB8">
      <w:pPr>
        <w:spacing w:after="0" w:line="360" w:lineRule="auto"/>
      </w:pPr>
    </w:p>
    <w:p w:rsidR="004B7CB8" w:rsidRDefault="00805589">
      <w:pPr>
        <w:spacing w:after="0" w:line="360" w:lineRule="auto"/>
      </w:pPr>
      <w:r>
        <w:t>Lo anterior, resulta congruente con el Criterio SO/019/2017emitido por el Instituto Nacional de Transparencia, Acceso a la Información y Protección de Datos Personales, en el cual se señala lo siguiente:</w:t>
      </w:r>
    </w:p>
    <w:p w:rsidR="004B7CB8" w:rsidRDefault="004B7CB8">
      <w:pPr>
        <w:spacing w:after="0" w:line="360" w:lineRule="auto"/>
      </w:pPr>
    </w:p>
    <w:p w:rsidR="004B7CB8" w:rsidRDefault="00805589">
      <w:pPr>
        <w:spacing w:after="0" w:line="360" w:lineRule="auto"/>
        <w:ind w:left="567" w:right="567"/>
        <w:rPr>
          <w:i/>
          <w:sz w:val="20"/>
          <w:szCs w:val="20"/>
        </w:rPr>
      </w:pPr>
      <w:r>
        <w:rPr>
          <w:b/>
          <w:i/>
          <w:sz w:val="20"/>
          <w:szCs w:val="20"/>
        </w:rPr>
        <w:t>“Registro Federal de Contribuyentes (RFC) de personas físicas.</w:t>
      </w:r>
      <w:r>
        <w:rPr>
          <w:i/>
          <w:sz w:val="20"/>
          <w:szCs w:val="20"/>
        </w:rPr>
        <w:t xml:space="preserve"> El RFC es una clave de carácter fiscal, única e irrepetible, que permite identificar al titular, su edad y fecha de nacimiento, por lo que es un dato personal de carácter confidencial.”</w:t>
      </w:r>
    </w:p>
    <w:p w:rsidR="004B7CB8" w:rsidRDefault="004B7CB8">
      <w:pPr>
        <w:spacing w:after="0" w:line="360" w:lineRule="auto"/>
      </w:pPr>
    </w:p>
    <w:p w:rsidR="004B7CB8" w:rsidRDefault="00805589">
      <w:pPr>
        <w:spacing w:after="0" w:line="360" w:lineRule="auto"/>
      </w:pPr>
      <w: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4B7CB8" w:rsidRDefault="004B7CB8">
      <w:pPr>
        <w:spacing w:after="0" w:line="360" w:lineRule="auto"/>
      </w:pPr>
    </w:p>
    <w:p w:rsidR="004B7CB8" w:rsidRDefault="00805589">
      <w:pPr>
        <w:spacing w:after="0" w:line="360" w:lineRule="auto"/>
        <w:rPr>
          <w:color w:val="000000"/>
        </w:rPr>
      </w:pPr>
      <w:r>
        <w:rPr>
          <w:color w:val="000000"/>
        </w:rPr>
        <w:lastRenderedPageBreak/>
        <w:t>Conforme a lo anterior, se considera que deberá entregar los documentos que dan cuenta de lo solicitado, en versión pública;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4B7CB8" w:rsidRDefault="004B7CB8">
      <w:pPr>
        <w:spacing w:after="0" w:line="360" w:lineRule="auto"/>
      </w:pPr>
    </w:p>
    <w:p w:rsidR="004B7CB8" w:rsidRDefault="00805589">
      <w:pPr>
        <w:pStyle w:val="Ttulo2"/>
        <w:spacing w:before="0" w:line="360" w:lineRule="auto"/>
        <w:rPr>
          <w:rFonts w:ascii="Palatino Linotype" w:eastAsia="Palatino Linotype" w:hAnsi="Palatino Linotype" w:cs="Palatino Linotype"/>
          <w:b/>
          <w:color w:val="000000"/>
          <w:sz w:val="22"/>
          <w:szCs w:val="22"/>
        </w:rPr>
      </w:pPr>
      <w:bookmarkStart w:id="15" w:name="_Toc193384486"/>
      <w:r>
        <w:rPr>
          <w:rFonts w:ascii="Palatino Linotype" w:eastAsia="Palatino Linotype" w:hAnsi="Palatino Linotype" w:cs="Palatino Linotype"/>
          <w:b/>
          <w:color w:val="000000"/>
          <w:sz w:val="22"/>
          <w:szCs w:val="22"/>
        </w:rPr>
        <w:t>SEXTO. Decisión.</w:t>
      </w:r>
      <w:bookmarkEnd w:id="15"/>
      <w:r>
        <w:rPr>
          <w:rFonts w:ascii="Palatino Linotype" w:eastAsia="Palatino Linotype" w:hAnsi="Palatino Linotype" w:cs="Palatino Linotype"/>
          <w:b/>
          <w:color w:val="000000"/>
          <w:sz w:val="22"/>
          <w:szCs w:val="22"/>
        </w:rPr>
        <w:t xml:space="preserve"> </w:t>
      </w:r>
    </w:p>
    <w:p w:rsidR="004B7CB8" w:rsidRDefault="004B7CB8">
      <w:pPr>
        <w:spacing w:after="0" w:line="360" w:lineRule="auto"/>
        <w:rPr>
          <w:b/>
          <w:color w:val="000000"/>
        </w:rPr>
      </w:pPr>
    </w:p>
    <w:p w:rsidR="004B7CB8" w:rsidRDefault="00805589">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 xml:space="preserve">REVOCAR </w:t>
      </w:r>
      <w:r>
        <w:t xml:space="preserve">la respuesta otorgada por el Ayuntamiento de </w:t>
      </w:r>
      <w:proofErr w:type="spellStart"/>
      <w:r>
        <w:t>Ocuilan</w:t>
      </w:r>
      <w:proofErr w:type="spellEnd"/>
      <w:r>
        <w:t>, a efecto de que proporcione vía SAIMEX, la información solicitada.</w:t>
      </w:r>
    </w:p>
    <w:p w:rsidR="004B7CB8" w:rsidRDefault="004B7CB8">
      <w:pPr>
        <w:spacing w:after="0" w:line="360" w:lineRule="auto"/>
        <w:rPr>
          <w:color w:val="000000"/>
        </w:rPr>
      </w:pPr>
    </w:p>
    <w:p w:rsidR="004B7CB8" w:rsidRDefault="00805589">
      <w:pPr>
        <w:spacing w:after="0" w:line="360" w:lineRule="auto"/>
        <w:rPr>
          <w:b/>
          <w:color w:val="000000"/>
        </w:rPr>
      </w:pPr>
      <w:r>
        <w:rPr>
          <w:b/>
          <w:color w:val="000000"/>
        </w:rPr>
        <w:t>Términos de la Resolución para conocimiento del Particular.</w:t>
      </w:r>
    </w:p>
    <w:p w:rsidR="004B7CB8" w:rsidRDefault="004B7CB8">
      <w:pPr>
        <w:spacing w:after="0" w:line="360" w:lineRule="auto"/>
        <w:rPr>
          <w:b/>
          <w:color w:val="000000"/>
        </w:rPr>
      </w:pPr>
    </w:p>
    <w:p w:rsidR="004B7CB8" w:rsidRDefault="00805589">
      <w:pPr>
        <w:spacing w:after="0" w:line="360" w:lineRule="auto"/>
        <w:rPr>
          <w:color w:val="000000"/>
        </w:rPr>
      </w:pPr>
      <w:r>
        <w:t xml:space="preserve">Se le hace del conocimiento a la persona Recurrente que, en el presente asunto, se le da la razón, pues el Ayuntamiento de </w:t>
      </w:r>
      <w:proofErr w:type="spellStart"/>
      <w:r>
        <w:t>Ocuilan</w:t>
      </w:r>
      <w:proofErr w:type="spellEnd"/>
      <w:r>
        <w:t xml:space="preserve"> no acreditó la búsqueda exhaustiva y razonable de la información. Por ello, usted debe recibir a través del Sistema de Acceso a la Información Mexiquense (SAIMEX) la información solicitada. </w:t>
      </w:r>
      <w:r>
        <w:rPr>
          <w:color w:val="000000"/>
        </w:rPr>
        <w:t>La labor del Instituto, es apoyar a la población a acceder a la información pública y garantizar la protección de sus datos personales.</w:t>
      </w:r>
    </w:p>
    <w:p w:rsidR="004B7CB8" w:rsidRDefault="004B7CB8">
      <w:pPr>
        <w:spacing w:after="0" w:line="360" w:lineRule="auto"/>
      </w:pPr>
    </w:p>
    <w:p w:rsidR="004B7CB8" w:rsidRDefault="00805589">
      <w:pPr>
        <w:spacing w:after="0" w:line="360" w:lineRule="auto"/>
        <w:rPr>
          <w:color w:val="000000"/>
        </w:rPr>
      </w:pPr>
      <w:r>
        <w:rPr>
          <w:color w:val="000000"/>
        </w:rPr>
        <w:t>Por lo expuesto y fundado, este Pleno:</w:t>
      </w:r>
    </w:p>
    <w:p w:rsidR="004B7CB8" w:rsidRDefault="004B7CB8">
      <w:pPr>
        <w:spacing w:after="0" w:line="360" w:lineRule="auto"/>
        <w:rPr>
          <w:color w:val="000000"/>
        </w:rPr>
      </w:pPr>
    </w:p>
    <w:p w:rsidR="004B7CB8" w:rsidRDefault="00805589">
      <w:pPr>
        <w:pStyle w:val="Ttulo1"/>
        <w:spacing w:before="0" w:line="360" w:lineRule="auto"/>
        <w:jc w:val="center"/>
        <w:rPr>
          <w:rFonts w:ascii="Palatino Linotype" w:eastAsia="Palatino Linotype" w:hAnsi="Palatino Linotype" w:cs="Palatino Linotype"/>
          <w:b/>
          <w:color w:val="000000"/>
          <w:sz w:val="22"/>
          <w:szCs w:val="22"/>
        </w:rPr>
      </w:pPr>
      <w:bookmarkStart w:id="16" w:name="_Toc193384487"/>
      <w:r>
        <w:rPr>
          <w:rFonts w:ascii="Palatino Linotype" w:eastAsia="Palatino Linotype" w:hAnsi="Palatino Linotype" w:cs="Palatino Linotype"/>
          <w:b/>
          <w:color w:val="000000"/>
          <w:sz w:val="22"/>
          <w:szCs w:val="22"/>
        </w:rPr>
        <w:lastRenderedPageBreak/>
        <w:t>R E S U E L V E:</w:t>
      </w:r>
      <w:bookmarkEnd w:id="16"/>
    </w:p>
    <w:p w:rsidR="004B7CB8" w:rsidRDefault="004B7CB8">
      <w:pPr>
        <w:spacing w:after="0" w:line="360" w:lineRule="auto"/>
        <w:ind w:right="-91"/>
        <w:jc w:val="center"/>
        <w:rPr>
          <w:b/>
          <w:color w:val="000000"/>
        </w:rPr>
      </w:pPr>
    </w:p>
    <w:p w:rsidR="004B7CB8" w:rsidRDefault="00805589">
      <w:pPr>
        <w:spacing w:after="0" w:line="360" w:lineRule="auto"/>
      </w:pPr>
      <w:r>
        <w:rPr>
          <w:b/>
          <w:color w:val="000000"/>
        </w:rPr>
        <w:t xml:space="preserve">PRIMERO. </w:t>
      </w:r>
      <w:r>
        <w:t xml:space="preserve">Se </w:t>
      </w:r>
      <w:r>
        <w:rPr>
          <w:b/>
        </w:rPr>
        <w:t>REVOCA</w:t>
      </w:r>
      <w:r>
        <w:t xml:space="preserve"> la respuesta entregada por el Ayuntamiento de </w:t>
      </w:r>
      <w:proofErr w:type="spellStart"/>
      <w:r>
        <w:t>Ocuilan</w:t>
      </w:r>
      <w:proofErr w:type="spellEnd"/>
      <w:r>
        <w:t xml:space="preserve">, a la solicitud de información 00040/OCUILAN/IP/2025, por resultar </w:t>
      </w:r>
      <w:r>
        <w:rPr>
          <w:b/>
        </w:rPr>
        <w:t>FUNDADAS</w:t>
      </w:r>
      <w:r>
        <w:t xml:space="preserve"> las razones o motivos de inconformidad hechos valer por el Particular, en términos de los considerandos QUINTO y SEXTO de la presente Resolución.</w:t>
      </w:r>
    </w:p>
    <w:p w:rsidR="004B7CB8" w:rsidRDefault="004B7CB8">
      <w:pPr>
        <w:spacing w:after="0" w:line="360" w:lineRule="auto"/>
        <w:rPr>
          <w:b/>
          <w:color w:val="000000"/>
        </w:rPr>
      </w:pPr>
    </w:p>
    <w:p w:rsidR="004B7CB8" w:rsidRDefault="00805589">
      <w:pPr>
        <w:spacing w:after="0" w:line="360" w:lineRule="auto"/>
      </w:pPr>
      <w:r>
        <w:rPr>
          <w:b/>
          <w:color w:val="000000"/>
        </w:rPr>
        <w:t xml:space="preserve">SEGUNDO. </w:t>
      </w:r>
      <w:r>
        <w:rPr>
          <w:color w:val="000000"/>
        </w:rPr>
        <w:t xml:space="preserve">Se </w:t>
      </w:r>
      <w:r>
        <w:rPr>
          <w:b/>
          <w:color w:val="000000"/>
        </w:rPr>
        <w:t xml:space="preserve">ORDENA </w:t>
      </w:r>
      <w:r>
        <w:rPr>
          <w:color w:val="000000"/>
        </w:rPr>
        <w:t xml:space="preserve">al Ente Recurrido, a efecto de que previa búsqueda exhaustiva y razonable en las unidades administrativas competentes, entregue, a través del Sistema de Acceso a la Información Mexiquense (SAIMEX), en versión pública, </w:t>
      </w:r>
      <w:r>
        <w:t>los documentos con los que contara al seis de febrero de dos mil veinticinco, de lo siguiente:</w:t>
      </w:r>
    </w:p>
    <w:p w:rsidR="004B7CB8" w:rsidRDefault="004B7CB8">
      <w:pPr>
        <w:spacing w:after="0" w:line="360" w:lineRule="auto"/>
      </w:pPr>
    </w:p>
    <w:p w:rsidR="004B7CB8" w:rsidRDefault="00805589">
      <w:pPr>
        <w:numPr>
          <w:ilvl w:val="0"/>
          <w:numId w:val="2"/>
        </w:numPr>
        <w:spacing w:after="0" w:line="360" w:lineRule="auto"/>
        <w:rPr>
          <w:color w:val="000000"/>
        </w:rPr>
      </w:pPr>
      <w:r>
        <w:rPr>
          <w:color w:val="000000"/>
        </w:rPr>
        <w:t xml:space="preserve">Los Certificados de No Deudor Alimentario Moroso de todos los servidores públicos adscritos a la Administración Pública Municipal 2025-2027. </w:t>
      </w:r>
    </w:p>
    <w:p w:rsidR="004B7CB8" w:rsidRDefault="004B7CB8">
      <w:pPr>
        <w:spacing w:after="0" w:line="360" w:lineRule="auto"/>
        <w:ind w:left="720"/>
        <w:jc w:val="left"/>
        <w:rPr>
          <w:color w:val="000000"/>
        </w:rPr>
      </w:pPr>
    </w:p>
    <w:p w:rsidR="004B7CB8" w:rsidRDefault="00805589">
      <w:pPr>
        <w:spacing w:after="0" w:line="360" w:lineRule="auto"/>
        <w:rPr>
          <w:color w:val="000000"/>
        </w:rPr>
      </w:pPr>
      <w:r>
        <w:rPr>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4B7CB8" w:rsidRDefault="004B7CB8">
      <w:pPr>
        <w:spacing w:after="0" w:line="360" w:lineRule="auto"/>
        <w:rPr>
          <w:color w:val="000000"/>
        </w:rPr>
      </w:pPr>
    </w:p>
    <w:p w:rsidR="004B7CB8" w:rsidRDefault="00805589">
      <w:pPr>
        <w:spacing w:after="0" w:line="360" w:lineRule="auto"/>
        <w:ind w:right="-28"/>
      </w:pPr>
      <w:r>
        <w:t xml:space="preserve">Para el caso de que, dentro de los expedientes laborales de los integrantes de Cabildo no obre los </w:t>
      </w:r>
      <w:r>
        <w:rPr>
          <w:color w:val="000000"/>
        </w:rPr>
        <w:t>Certificados de No Deudor Alimentario Moroso</w:t>
      </w:r>
      <w:r>
        <w:t>, deberá hacerlo del conocimiento de la parte Recurrente, de manera clara y precisa.</w:t>
      </w:r>
    </w:p>
    <w:p w:rsidR="004B7CB8" w:rsidRDefault="004B7CB8">
      <w:pPr>
        <w:spacing w:after="0" w:line="360" w:lineRule="auto"/>
        <w:ind w:right="-28"/>
        <w:rPr>
          <w:color w:val="000000"/>
        </w:rPr>
      </w:pPr>
    </w:p>
    <w:p w:rsidR="004B7CB8" w:rsidRDefault="00805589">
      <w:pPr>
        <w:spacing w:after="0" w:line="360" w:lineRule="auto"/>
      </w:pPr>
      <w:r>
        <w:t xml:space="preserve">Para el caso, de que no cuente con la información de alguno de los servidores públicos (con excepción a los señalados en el párrafo anterior), deberá entregar el Acta del Comité de </w:t>
      </w:r>
      <w:r>
        <w:lastRenderedPageBreak/>
        <w:t>Transparencia, donde confirme la inexistencia de la información, de conformidad con lo previsto en los artículos 19, párrafo tercero y 169 de la Ley de Transparencia y Acceso a la Información Pública del Estado de México y Municipios.</w:t>
      </w:r>
    </w:p>
    <w:p w:rsidR="004B7CB8" w:rsidRDefault="004B7CB8">
      <w:pPr>
        <w:spacing w:after="0" w:line="360" w:lineRule="auto"/>
        <w:ind w:right="-28"/>
        <w:rPr>
          <w:color w:val="000000"/>
        </w:rPr>
      </w:pPr>
    </w:p>
    <w:p w:rsidR="004B7CB8" w:rsidRDefault="00805589">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4B7CB8" w:rsidRDefault="004B7CB8">
      <w:pPr>
        <w:spacing w:after="0" w:line="360" w:lineRule="auto"/>
        <w:ind w:right="-28"/>
        <w:rPr>
          <w:color w:val="000000"/>
        </w:rPr>
      </w:pPr>
    </w:p>
    <w:p w:rsidR="004B7CB8" w:rsidRDefault="00805589">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rsidR="004B7CB8" w:rsidRDefault="004B7CB8">
      <w:pPr>
        <w:spacing w:after="0" w:line="360" w:lineRule="auto"/>
        <w:rPr>
          <w:color w:val="000000"/>
        </w:rPr>
      </w:pPr>
    </w:p>
    <w:p w:rsidR="004B7CB8" w:rsidRDefault="00805589">
      <w:pPr>
        <w:spacing w:after="0" w:line="360" w:lineRule="auto"/>
        <w:rPr>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B7CB8" w:rsidRDefault="004B7CB8">
      <w:pPr>
        <w:spacing w:after="0" w:line="360" w:lineRule="auto"/>
        <w:ind w:right="-93"/>
        <w:rPr>
          <w:color w:val="0D0D0D"/>
        </w:rPr>
      </w:pPr>
    </w:p>
    <w:p w:rsidR="004B7CB8" w:rsidRDefault="00805589">
      <w:pPr>
        <w:spacing w:after="0" w:line="360" w:lineRule="auto"/>
        <w:rPr>
          <w:color w:val="000000"/>
        </w:rPr>
      </w:pPr>
      <w:r>
        <w:rPr>
          <w:color w:val="000000"/>
        </w:rPr>
        <w:t xml:space="preserve">ASÍ LO RESUELVE, POR </w:t>
      </w:r>
      <w:r w:rsidR="002849EA">
        <w:rPr>
          <w:b/>
          <w:color w:val="000000"/>
        </w:rPr>
        <w:t>MAYORÍA</w:t>
      </w:r>
      <w:r>
        <w:rPr>
          <w:color w:val="000000"/>
        </w:rPr>
        <w:t xml:space="preserve"> DE VOTOS EL PLENO DEL INSTITUTO DE TRANSPARENCIA, ACCESO A LA INFORMACIÓN PÚBLICA Y PROTECCIÓN DE DATOS PERSONALES DEL ESTADO DE MÉXICO Y MUNICIPIOS, CONFORMADO POR </w:t>
      </w:r>
      <w:r>
        <w:rPr>
          <w:color w:val="000000"/>
        </w:rPr>
        <w:lastRenderedPageBreak/>
        <w:t>LOS COMISIONADOS JOSÉ MARTÍNEZ VILCHIS, MARÍA DEL ROSARIO MEJÍA AYALA, SHARON CRISTINA MORALES MARTÍNEZ, LUIS GUSTAVO PARRA NORIEGA Y GUADALUPE RAMÍREZ PEÑA CON VOTO DISIDENTE, EN LA DÉCIMA SESIÓN ORDINARIA, CELEBRADA EL VEINTE DE MARZO DE DOS MIL VEINTICINCO, ANTE EL SECRETARIO TÉCNICO DEL PLENO, ALEXIS TAPIA RAMÍREZ.</w:t>
      </w:r>
    </w:p>
    <w:p w:rsidR="004B7CB8" w:rsidRDefault="00805589">
      <w:pPr>
        <w:spacing w:after="0"/>
        <w:jc w:val="left"/>
        <w:rPr>
          <w:color w:val="000000"/>
        </w:rPr>
      </w:pPr>
      <w:r>
        <w:br w:type="page"/>
      </w:r>
    </w:p>
    <w:p w:rsidR="004B7CB8" w:rsidRDefault="004B7CB8">
      <w:pPr>
        <w:spacing w:after="0" w:line="360" w:lineRule="auto"/>
        <w:rPr>
          <w:color w:val="00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p w:rsidR="004B7CB8" w:rsidRDefault="004B7CB8">
      <w:pPr>
        <w:spacing w:after="0" w:line="360" w:lineRule="auto"/>
        <w:rPr>
          <w:color w:val="FF0000"/>
        </w:rPr>
      </w:pPr>
    </w:p>
    <w:sectPr w:rsidR="004B7CB8">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74" w:rsidRDefault="00501174">
      <w:pPr>
        <w:spacing w:after="0" w:line="240" w:lineRule="auto"/>
      </w:pPr>
      <w:r>
        <w:separator/>
      </w:r>
    </w:p>
  </w:endnote>
  <w:endnote w:type="continuationSeparator" w:id="0">
    <w:p w:rsidR="00501174" w:rsidRDefault="0050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B8" w:rsidRDefault="0080558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F58EA">
      <w:rPr>
        <w:b/>
        <w:noProof/>
        <w:color w:val="000000"/>
        <w:sz w:val="24"/>
        <w:szCs w:val="24"/>
      </w:rPr>
      <w:t>36</w:t>
    </w:r>
    <w:r>
      <w:rPr>
        <w:b/>
        <w:color w:val="000000"/>
        <w:sz w:val="24"/>
        <w:szCs w:val="24"/>
      </w:rPr>
      <w:fldChar w:fldCharType="end"/>
    </w:r>
  </w:p>
  <w:p w:rsidR="004B7CB8" w:rsidRDefault="004B7C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B8" w:rsidRDefault="0080558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0A53">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0A53">
      <w:rPr>
        <w:b/>
        <w:noProof/>
        <w:color w:val="000000"/>
        <w:sz w:val="24"/>
        <w:szCs w:val="24"/>
      </w:rPr>
      <w:t>36</w:t>
    </w:r>
    <w:r>
      <w:rPr>
        <w:b/>
        <w:color w:val="000000"/>
        <w:sz w:val="24"/>
        <w:szCs w:val="24"/>
      </w:rPr>
      <w:fldChar w:fldCharType="end"/>
    </w:r>
  </w:p>
  <w:p w:rsidR="004B7CB8" w:rsidRDefault="004B7C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B8" w:rsidRDefault="0080558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0A5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0A53">
      <w:rPr>
        <w:b/>
        <w:noProof/>
        <w:color w:val="000000"/>
        <w:sz w:val="24"/>
        <w:szCs w:val="24"/>
      </w:rPr>
      <w:t>36</w:t>
    </w:r>
    <w:r>
      <w:rPr>
        <w:b/>
        <w:color w:val="000000"/>
        <w:sz w:val="24"/>
        <w:szCs w:val="24"/>
      </w:rPr>
      <w:fldChar w:fldCharType="end"/>
    </w:r>
  </w:p>
  <w:p w:rsidR="004B7CB8" w:rsidRDefault="004B7C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74" w:rsidRDefault="00501174">
      <w:pPr>
        <w:spacing w:after="0" w:line="240" w:lineRule="auto"/>
      </w:pPr>
      <w:r>
        <w:separator/>
      </w:r>
    </w:p>
  </w:footnote>
  <w:footnote w:type="continuationSeparator" w:id="0">
    <w:p w:rsidR="00501174" w:rsidRDefault="00501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B8" w:rsidRDefault="004B7CB8">
    <w:pPr>
      <w:widowControl w:val="0"/>
      <w:pBdr>
        <w:top w:val="nil"/>
        <w:left w:val="nil"/>
        <w:bottom w:val="nil"/>
        <w:right w:val="nil"/>
        <w:between w:val="nil"/>
      </w:pBdr>
      <w:spacing w:after="0" w:line="276" w:lineRule="auto"/>
      <w:jc w:val="left"/>
      <w:rPr>
        <w:color w:val="FF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B7CB8">
      <w:trPr>
        <w:trHeight w:val="132"/>
      </w:trPr>
      <w:tc>
        <w:tcPr>
          <w:tcW w:w="0" w:type="auto"/>
        </w:tcPr>
        <w:p w:rsidR="004B7CB8" w:rsidRDefault="00805589">
          <w:pPr>
            <w:tabs>
              <w:tab w:val="right" w:pos="8838"/>
            </w:tabs>
            <w:ind w:right="-105"/>
            <w:rPr>
              <w:b/>
            </w:rPr>
          </w:pPr>
          <w:r>
            <w:rPr>
              <w:b/>
            </w:rPr>
            <w:t>Recurso de Revisión:</w:t>
          </w:r>
        </w:p>
      </w:tc>
      <w:tc>
        <w:tcPr>
          <w:tcW w:w="0" w:type="auto"/>
        </w:tcPr>
        <w:p w:rsidR="004B7CB8" w:rsidRDefault="00805589">
          <w:pPr>
            <w:tabs>
              <w:tab w:val="right" w:pos="8838"/>
            </w:tabs>
            <w:ind w:left="-28" w:right="-32"/>
          </w:pPr>
          <w:r>
            <w:t>03846/INFOEM/IP/RR/2020</w:t>
          </w:r>
        </w:p>
      </w:tc>
    </w:tr>
    <w:tr w:rsidR="004B7CB8">
      <w:trPr>
        <w:trHeight w:val="261"/>
      </w:trPr>
      <w:tc>
        <w:tcPr>
          <w:tcW w:w="0" w:type="auto"/>
        </w:tcPr>
        <w:p w:rsidR="004B7CB8" w:rsidRDefault="00805589">
          <w:pPr>
            <w:tabs>
              <w:tab w:val="right" w:pos="8838"/>
            </w:tabs>
            <w:ind w:right="-105"/>
            <w:rPr>
              <w:b/>
            </w:rPr>
          </w:pPr>
          <w:r>
            <w:rPr>
              <w:b/>
            </w:rPr>
            <w:t>Sujeto Obligado:</w:t>
          </w:r>
        </w:p>
      </w:tc>
      <w:tc>
        <w:tcPr>
          <w:tcW w:w="0" w:type="auto"/>
        </w:tcPr>
        <w:p w:rsidR="004B7CB8" w:rsidRDefault="00805589">
          <w:pPr>
            <w:tabs>
              <w:tab w:val="right" w:pos="8838"/>
            </w:tabs>
            <w:ind w:right="-32"/>
          </w:pPr>
          <w:r>
            <w:t xml:space="preserve">Ayuntamiento de </w:t>
          </w:r>
          <w:proofErr w:type="spellStart"/>
          <w:r>
            <w:t>Temascalcingo</w:t>
          </w:r>
          <w:proofErr w:type="spellEnd"/>
        </w:p>
      </w:tc>
    </w:tr>
    <w:tr w:rsidR="004B7CB8">
      <w:trPr>
        <w:trHeight w:val="261"/>
      </w:trPr>
      <w:tc>
        <w:tcPr>
          <w:tcW w:w="0" w:type="auto"/>
        </w:tcPr>
        <w:p w:rsidR="004B7CB8" w:rsidRDefault="00805589">
          <w:pPr>
            <w:tabs>
              <w:tab w:val="right" w:pos="8838"/>
            </w:tabs>
            <w:ind w:right="-105"/>
            <w:rPr>
              <w:b/>
            </w:rPr>
          </w:pPr>
          <w:r>
            <w:rPr>
              <w:b/>
            </w:rPr>
            <w:t>Comisionado Ponente:</w:t>
          </w:r>
        </w:p>
      </w:tc>
      <w:tc>
        <w:tcPr>
          <w:tcW w:w="0" w:type="auto"/>
        </w:tcPr>
        <w:p w:rsidR="004B7CB8" w:rsidRDefault="00805589">
          <w:pPr>
            <w:tabs>
              <w:tab w:val="right" w:pos="8838"/>
            </w:tabs>
            <w:ind w:right="-32"/>
            <w:rPr>
              <w:b/>
            </w:rPr>
          </w:pPr>
          <w:r>
            <w:t>Luis Gustavo Parra Noriega</w:t>
          </w:r>
        </w:p>
      </w:tc>
    </w:tr>
  </w:tbl>
  <w:p w:rsidR="004B7CB8" w:rsidRDefault="00740A5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B8" w:rsidRDefault="004B7CB8">
    <w:pPr>
      <w:widowControl w:val="0"/>
      <w:pBdr>
        <w:top w:val="nil"/>
        <w:left w:val="nil"/>
        <w:bottom w:val="nil"/>
        <w:right w:val="nil"/>
        <w:between w:val="nil"/>
      </w:pBdr>
      <w:spacing w:after="0" w:line="276" w:lineRule="auto"/>
      <w:jc w:val="left"/>
      <w:rPr>
        <w:color w:val="000000"/>
      </w:rPr>
    </w:pPr>
  </w:p>
  <w:tbl>
    <w:tblPr>
      <w:tblStyle w:val="a0"/>
      <w:tblW w:w="6803"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2"/>
    </w:tblGrid>
    <w:tr w:rsidR="004B7CB8">
      <w:trPr>
        <w:trHeight w:val="138"/>
      </w:trPr>
      <w:tc>
        <w:tcPr>
          <w:tcW w:w="2551" w:type="dxa"/>
          <w:vAlign w:val="center"/>
        </w:tcPr>
        <w:p w:rsidR="004B7CB8" w:rsidRDefault="00805589">
          <w:pPr>
            <w:tabs>
              <w:tab w:val="right" w:pos="8838"/>
            </w:tabs>
            <w:ind w:right="-105"/>
            <w:jc w:val="left"/>
            <w:rPr>
              <w:b/>
            </w:rPr>
          </w:pPr>
          <w:r>
            <w:rPr>
              <w:b/>
            </w:rPr>
            <w:t>Recurso de Revisión:</w:t>
          </w:r>
        </w:p>
      </w:tc>
      <w:tc>
        <w:tcPr>
          <w:tcW w:w="4252" w:type="dxa"/>
        </w:tcPr>
        <w:p w:rsidR="004B7CB8" w:rsidRDefault="00805589">
          <w:pPr>
            <w:tabs>
              <w:tab w:val="right" w:pos="8838"/>
            </w:tabs>
            <w:ind w:left="-113" w:right="57"/>
          </w:pPr>
          <w:r>
            <w:t>01771/INFOEM/IP/RR/2025</w:t>
          </w:r>
        </w:p>
      </w:tc>
    </w:tr>
    <w:tr w:rsidR="004B7CB8">
      <w:trPr>
        <w:trHeight w:val="273"/>
      </w:trPr>
      <w:tc>
        <w:tcPr>
          <w:tcW w:w="2551" w:type="dxa"/>
        </w:tcPr>
        <w:p w:rsidR="004B7CB8" w:rsidRDefault="00805589">
          <w:pPr>
            <w:tabs>
              <w:tab w:val="right" w:pos="8838"/>
            </w:tabs>
            <w:ind w:right="-105"/>
            <w:rPr>
              <w:b/>
            </w:rPr>
          </w:pPr>
          <w:r>
            <w:rPr>
              <w:b/>
            </w:rPr>
            <w:t>Sujeto Obligado:</w:t>
          </w:r>
        </w:p>
      </w:tc>
      <w:tc>
        <w:tcPr>
          <w:tcW w:w="4252" w:type="dxa"/>
        </w:tcPr>
        <w:p w:rsidR="004B7CB8" w:rsidRDefault="00805589">
          <w:pPr>
            <w:tabs>
              <w:tab w:val="left" w:pos="2728"/>
              <w:tab w:val="right" w:pos="8838"/>
            </w:tabs>
            <w:ind w:left="-113" w:right="-170"/>
          </w:pPr>
          <w:r>
            <w:t xml:space="preserve">Ayuntamiento de </w:t>
          </w:r>
          <w:proofErr w:type="spellStart"/>
          <w:r>
            <w:t>Ocuilan</w:t>
          </w:r>
          <w:proofErr w:type="spellEnd"/>
        </w:p>
      </w:tc>
    </w:tr>
    <w:tr w:rsidR="004B7CB8">
      <w:trPr>
        <w:trHeight w:val="273"/>
      </w:trPr>
      <w:tc>
        <w:tcPr>
          <w:tcW w:w="2551" w:type="dxa"/>
        </w:tcPr>
        <w:p w:rsidR="004B7CB8" w:rsidRDefault="00805589">
          <w:pPr>
            <w:tabs>
              <w:tab w:val="right" w:pos="8838"/>
            </w:tabs>
            <w:ind w:right="-105"/>
            <w:rPr>
              <w:b/>
            </w:rPr>
          </w:pPr>
          <w:r>
            <w:rPr>
              <w:b/>
            </w:rPr>
            <w:t>Comisionado Ponente:</w:t>
          </w:r>
        </w:p>
      </w:tc>
      <w:tc>
        <w:tcPr>
          <w:tcW w:w="4252" w:type="dxa"/>
        </w:tcPr>
        <w:p w:rsidR="004B7CB8" w:rsidRDefault="00805589">
          <w:pPr>
            <w:tabs>
              <w:tab w:val="right" w:pos="8838"/>
            </w:tabs>
            <w:ind w:left="-113" w:right="-170"/>
            <w:rPr>
              <w:b/>
            </w:rPr>
          </w:pPr>
          <w:r>
            <w:t>Luis Gustavo Parra Noriega</w:t>
          </w:r>
        </w:p>
      </w:tc>
    </w:tr>
  </w:tbl>
  <w:p w:rsidR="004B7CB8" w:rsidRDefault="00740A5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B8" w:rsidRDefault="004B7CB8">
    <w:pPr>
      <w:widowControl w:val="0"/>
      <w:pBdr>
        <w:top w:val="nil"/>
        <w:left w:val="nil"/>
        <w:bottom w:val="nil"/>
        <w:right w:val="nil"/>
        <w:between w:val="nil"/>
      </w:pBdr>
      <w:spacing w:after="0" w:line="276" w:lineRule="auto"/>
      <w:jc w:val="left"/>
      <w:rPr>
        <w:color w:val="000000"/>
      </w:rPr>
    </w:pPr>
  </w:p>
  <w:tbl>
    <w:tblPr>
      <w:tblStyle w:val="a1"/>
      <w:tblW w:w="552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4B7CB8">
      <w:trPr>
        <w:trHeight w:val="132"/>
      </w:trPr>
      <w:tc>
        <w:tcPr>
          <w:tcW w:w="2551" w:type="dxa"/>
        </w:tcPr>
        <w:p w:rsidR="004B7CB8" w:rsidRDefault="00805589">
          <w:pPr>
            <w:tabs>
              <w:tab w:val="right" w:pos="8838"/>
            </w:tabs>
            <w:ind w:right="-105"/>
            <w:rPr>
              <w:b/>
            </w:rPr>
          </w:pPr>
          <w:r>
            <w:rPr>
              <w:b/>
            </w:rPr>
            <w:t>Recurso de Revisión:</w:t>
          </w:r>
        </w:p>
      </w:tc>
      <w:tc>
        <w:tcPr>
          <w:tcW w:w="2977" w:type="dxa"/>
        </w:tcPr>
        <w:p w:rsidR="004B7CB8" w:rsidRDefault="00805589">
          <w:pPr>
            <w:tabs>
              <w:tab w:val="right" w:pos="8838"/>
            </w:tabs>
            <w:ind w:left="-113" w:right="-32"/>
          </w:pPr>
          <w:r>
            <w:t>01771/INFOEM/IP/RR/2025</w:t>
          </w:r>
        </w:p>
      </w:tc>
    </w:tr>
    <w:tr w:rsidR="004B7CB8">
      <w:trPr>
        <w:trHeight w:val="132"/>
      </w:trPr>
      <w:tc>
        <w:tcPr>
          <w:tcW w:w="2551" w:type="dxa"/>
          <w:shd w:val="clear" w:color="auto" w:fill="auto"/>
        </w:tcPr>
        <w:p w:rsidR="004B7CB8" w:rsidRDefault="00805589">
          <w:pPr>
            <w:tabs>
              <w:tab w:val="left" w:pos="1875"/>
            </w:tabs>
            <w:ind w:right="-105"/>
            <w:rPr>
              <w:b/>
            </w:rPr>
          </w:pPr>
          <w:r>
            <w:rPr>
              <w:b/>
            </w:rPr>
            <w:t>Recurrente:</w:t>
          </w:r>
          <w:r>
            <w:rPr>
              <w:b/>
            </w:rPr>
            <w:tab/>
          </w:r>
        </w:p>
      </w:tc>
      <w:tc>
        <w:tcPr>
          <w:tcW w:w="2977" w:type="dxa"/>
          <w:shd w:val="clear" w:color="auto" w:fill="auto"/>
        </w:tcPr>
        <w:p w:rsidR="004B7CB8" w:rsidRDefault="00CF3EA2">
          <w:pPr>
            <w:tabs>
              <w:tab w:val="right" w:pos="8838"/>
            </w:tabs>
            <w:ind w:left="-113"/>
          </w:pPr>
          <w:r w:rsidRPr="00CF3EA2">
            <w:rPr>
              <w:highlight w:val="black"/>
            </w:rPr>
            <w:t>XXXXXXXXXXXXXXXXXX</w:t>
          </w:r>
        </w:p>
      </w:tc>
    </w:tr>
    <w:tr w:rsidR="004B7CB8">
      <w:trPr>
        <w:trHeight w:val="261"/>
      </w:trPr>
      <w:tc>
        <w:tcPr>
          <w:tcW w:w="2551" w:type="dxa"/>
        </w:tcPr>
        <w:p w:rsidR="004B7CB8" w:rsidRDefault="00805589">
          <w:pPr>
            <w:tabs>
              <w:tab w:val="right" w:pos="8838"/>
            </w:tabs>
            <w:ind w:right="-105"/>
            <w:rPr>
              <w:b/>
            </w:rPr>
          </w:pPr>
          <w:r>
            <w:rPr>
              <w:b/>
            </w:rPr>
            <w:t>Sujeto Obligado:</w:t>
          </w:r>
        </w:p>
      </w:tc>
      <w:tc>
        <w:tcPr>
          <w:tcW w:w="2977" w:type="dxa"/>
        </w:tcPr>
        <w:p w:rsidR="004B7CB8" w:rsidRDefault="00805589">
          <w:pPr>
            <w:tabs>
              <w:tab w:val="right" w:pos="8838"/>
            </w:tabs>
            <w:ind w:left="-113" w:right="-32"/>
          </w:pPr>
          <w:r>
            <w:t xml:space="preserve">Ayuntamiento de </w:t>
          </w:r>
          <w:proofErr w:type="spellStart"/>
          <w:r>
            <w:t>Ocuilan</w:t>
          </w:r>
          <w:proofErr w:type="spellEnd"/>
          <w:r>
            <w:t xml:space="preserve"> </w:t>
          </w:r>
        </w:p>
      </w:tc>
    </w:tr>
    <w:tr w:rsidR="004B7CB8">
      <w:trPr>
        <w:trHeight w:val="261"/>
      </w:trPr>
      <w:tc>
        <w:tcPr>
          <w:tcW w:w="2551" w:type="dxa"/>
        </w:tcPr>
        <w:p w:rsidR="004B7CB8" w:rsidRDefault="00805589">
          <w:pPr>
            <w:tabs>
              <w:tab w:val="right" w:pos="8838"/>
            </w:tabs>
            <w:ind w:right="-105"/>
            <w:rPr>
              <w:b/>
            </w:rPr>
          </w:pPr>
          <w:r>
            <w:rPr>
              <w:b/>
            </w:rPr>
            <w:t>Comisionado Ponente:</w:t>
          </w:r>
        </w:p>
      </w:tc>
      <w:tc>
        <w:tcPr>
          <w:tcW w:w="2977" w:type="dxa"/>
        </w:tcPr>
        <w:p w:rsidR="004B7CB8" w:rsidRDefault="00805589">
          <w:pPr>
            <w:tabs>
              <w:tab w:val="right" w:pos="8838"/>
            </w:tabs>
            <w:ind w:left="-113" w:right="-32"/>
            <w:rPr>
              <w:b/>
            </w:rPr>
          </w:pPr>
          <w:r>
            <w:t>Luis Gustavo Parra Noriega</w:t>
          </w:r>
        </w:p>
      </w:tc>
    </w:tr>
  </w:tbl>
  <w:p w:rsidR="004B7CB8" w:rsidRDefault="00740A53">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3.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40FE"/>
    <w:multiLevelType w:val="multilevel"/>
    <w:tmpl w:val="2892E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6403A0"/>
    <w:multiLevelType w:val="multilevel"/>
    <w:tmpl w:val="70E6AF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213E72"/>
    <w:multiLevelType w:val="multilevel"/>
    <w:tmpl w:val="D08E4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1D4945"/>
    <w:multiLevelType w:val="multilevel"/>
    <w:tmpl w:val="394EE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867136"/>
    <w:multiLevelType w:val="multilevel"/>
    <w:tmpl w:val="D9E4A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B0338"/>
    <w:multiLevelType w:val="multilevel"/>
    <w:tmpl w:val="4CEA2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040D07"/>
    <w:multiLevelType w:val="multilevel"/>
    <w:tmpl w:val="0608C07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8BE5C14"/>
    <w:multiLevelType w:val="multilevel"/>
    <w:tmpl w:val="87C87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B8"/>
    <w:rsid w:val="00205886"/>
    <w:rsid w:val="002849EA"/>
    <w:rsid w:val="004B7CB8"/>
    <w:rsid w:val="00501174"/>
    <w:rsid w:val="00740A53"/>
    <w:rsid w:val="00805589"/>
    <w:rsid w:val="00CF3EA2"/>
    <w:rsid w:val="00CF58EA"/>
    <w:rsid w:val="00D24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0C0191E-0DE7-48E5-9FF7-D44020B2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rPr>
      <w:color w:val="000000" w:themeColor="text1"/>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5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rPr>
  </w:style>
  <w:style w:type="paragraph" w:styleId="TtulodeTDC">
    <w:name w:val="TOC Heading"/>
    <w:basedOn w:val="Ttulo1"/>
    <w:next w:val="Normal"/>
    <w:uiPriority w:val="39"/>
    <w:unhideWhenUsed/>
    <w:qFormat/>
    <w:rsid w:val="00076681"/>
    <w:pPr>
      <w:jc w:val="left"/>
      <w:outlineLvl w:val="9"/>
    </w:p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LGDNNA.pdf" TargetMode="External"/><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nedomex.mx/2023/03/24/busqueda-de-deudores-alimentarios-morosos-estado-de-mexico-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14/nov144.PDF" TargetMode="External"/><Relationship Id="rId14" Type="http://schemas.openxmlformats.org/officeDocument/2006/relationships/hyperlink" Target="https://www.gob.mx/segob/renapo/acciones-y-programas/clave-unica-de-registro-de-poblacion-curp-14222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87Wjo1cIrm2d6J6E3li+TnUSAw==">CgMxLjAyDGguYWM4cHk0cXhxeDIOaC42YmZxNWQ2cjV6MDYyDWgudnZkazVscWVtdHcyDmguejJ0Y25qbnlmejF0Mg5oLnV5cXhybXkya25udjIOaC4zbndodXpnaDN5ZmEyDmgub2ZpcWNyNGNkMWdpMg5oLnhpM21ucWhkYTAybjINaC5waG90ajhvaXNreDIOaC41ZnB4bWtoNXBnZmkyDmguNGNleHYyMnB5YTV0Mg5oLmQ4cXNrMjlmODRxcDIOaC51ajZmOXUxZjgweWQyDmgudmtrcXVhbm53MGR2Mg5oLmU3dGc4ZGd4Y2M4ODIOaC53Nnl4YmtvbmpkNG84AHIhMTAycWR4WU91TWZMYU5JNVJYb0sxdzFDV2FtNS1pLX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8473</Words>
  <Characters>46606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Usuario</cp:lastModifiedBy>
  <cp:revision>5</cp:revision>
  <cp:lastPrinted>2025-03-21T20:52:00Z</cp:lastPrinted>
  <dcterms:created xsi:type="dcterms:W3CDTF">2025-03-21T20:52:00Z</dcterms:created>
  <dcterms:modified xsi:type="dcterms:W3CDTF">2025-04-08T20:48:00Z</dcterms:modified>
</cp:coreProperties>
</file>