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13B52C" w14:textId="77777777" w:rsidR="00914F94" w:rsidRPr="000D46AF" w:rsidRDefault="00030285">
      <w:pPr>
        <w:spacing w:before="240" w:after="240" w:line="360" w:lineRule="auto"/>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once de junio de dos mil veinticinco. </w:t>
      </w:r>
    </w:p>
    <w:p w14:paraId="361A32D3" w14:textId="4AB62C57" w:rsidR="00914F94" w:rsidRPr="000D46AF" w:rsidRDefault="00030285">
      <w:pPr>
        <w:spacing w:before="240" w:after="240" w:line="360" w:lineRule="auto"/>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b/>
          <w:sz w:val="22"/>
          <w:szCs w:val="22"/>
        </w:rPr>
        <w:t>VISTO</w:t>
      </w:r>
      <w:r w:rsidRPr="000D46AF">
        <w:rPr>
          <w:rFonts w:ascii="Palatino Linotype" w:eastAsia="Palatino Linotype" w:hAnsi="Palatino Linotype" w:cs="Palatino Linotype"/>
          <w:sz w:val="22"/>
          <w:szCs w:val="22"/>
        </w:rPr>
        <w:t xml:space="preserve"> el expediente formado con motivo del recurso de revisión </w:t>
      </w:r>
      <w:r w:rsidRPr="000D46AF">
        <w:rPr>
          <w:rFonts w:ascii="Palatino Linotype" w:eastAsia="Palatino Linotype" w:hAnsi="Palatino Linotype" w:cs="Palatino Linotype"/>
          <w:b/>
          <w:sz w:val="22"/>
          <w:szCs w:val="22"/>
        </w:rPr>
        <w:t>03494/INFOEM/IP/RR/2025</w:t>
      </w:r>
      <w:r w:rsidRPr="000D46AF">
        <w:rPr>
          <w:rFonts w:ascii="Palatino Linotype" w:eastAsia="Palatino Linotype" w:hAnsi="Palatino Linotype" w:cs="Palatino Linotype"/>
          <w:sz w:val="22"/>
          <w:szCs w:val="22"/>
        </w:rPr>
        <w:t>, interpuesto por</w:t>
      </w:r>
      <w:r w:rsidRPr="000D46AF">
        <w:rPr>
          <w:rFonts w:ascii="Palatino Linotype" w:eastAsia="Palatino Linotype" w:hAnsi="Palatino Linotype" w:cs="Palatino Linotype"/>
          <w:b/>
          <w:sz w:val="22"/>
          <w:szCs w:val="22"/>
        </w:rPr>
        <w:t xml:space="preserve"> </w:t>
      </w:r>
      <w:r w:rsidR="00CC508E">
        <w:rPr>
          <w:rFonts w:ascii="Palatino Linotype" w:eastAsia="Palatino Linotype" w:hAnsi="Palatino Linotype" w:cs="Palatino Linotype"/>
          <w:b/>
          <w:sz w:val="22"/>
          <w:szCs w:val="22"/>
        </w:rPr>
        <w:t>XXX</w:t>
      </w:r>
      <w:r w:rsidRPr="000D46AF">
        <w:rPr>
          <w:rFonts w:ascii="Palatino Linotype" w:eastAsia="Palatino Linotype" w:hAnsi="Palatino Linotype" w:cs="Palatino Linotype"/>
          <w:b/>
          <w:sz w:val="22"/>
          <w:szCs w:val="22"/>
        </w:rPr>
        <w:t>,</w:t>
      </w:r>
      <w:r w:rsidRPr="000D46AF">
        <w:rPr>
          <w:rFonts w:ascii="Palatino Linotype" w:eastAsia="Palatino Linotype" w:hAnsi="Palatino Linotype" w:cs="Palatino Linotype"/>
          <w:sz w:val="22"/>
          <w:szCs w:val="22"/>
        </w:rPr>
        <w:t xml:space="preserve"> en lo sucesivo</w:t>
      </w:r>
      <w:r w:rsidRPr="000D46AF">
        <w:rPr>
          <w:rFonts w:ascii="Palatino Linotype" w:eastAsia="Palatino Linotype" w:hAnsi="Palatino Linotype" w:cs="Palatino Linotype"/>
          <w:b/>
          <w:sz w:val="22"/>
          <w:szCs w:val="22"/>
        </w:rPr>
        <w:t xml:space="preserve"> </w:t>
      </w:r>
      <w:r w:rsidRPr="000D46AF">
        <w:rPr>
          <w:rFonts w:ascii="Palatino Linotype" w:eastAsia="Palatino Linotype" w:hAnsi="Palatino Linotype" w:cs="Palatino Linotype"/>
          <w:sz w:val="22"/>
          <w:szCs w:val="22"/>
        </w:rPr>
        <w:t xml:space="preserve">la parte </w:t>
      </w:r>
      <w:r w:rsidRPr="000D46AF">
        <w:rPr>
          <w:rFonts w:ascii="Palatino Linotype" w:eastAsia="Palatino Linotype" w:hAnsi="Palatino Linotype" w:cs="Palatino Linotype"/>
          <w:b/>
          <w:sz w:val="22"/>
          <w:szCs w:val="22"/>
        </w:rPr>
        <w:t>Recurrente,</w:t>
      </w:r>
      <w:r w:rsidRPr="000D46AF">
        <w:rPr>
          <w:rFonts w:ascii="Palatino Linotype" w:eastAsia="Palatino Linotype" w:hAnsi="Palatino Linotype" w:cs="Palatino Linotype"/>
          <w:sz w:val="22"/>
          <w:szCs w:val="22"/>
        </w:rPr>
        <w:t xml:space="preserve"> en contra de la respuesta a la solicitud de información con número de folio </w:t>
      </w:r>
      <w:r w:rsidRPr="000D46AF">
        <w:rPr>
          <w:rFonts w:ascii="Palatino Linotype" w:eastAsia="Palatino Linotype" w:hAnsi="Palatino Linotype" w:cs="Palatino Linotype"/>
          <w:b/>
          <w:sz w:val="22"/>
          <w:szCs w:val="22"/>
        </w:rPr>
        <w:t xml:space="preserve">00064/OASTLALNE/IP/2025, </w:t>
      </w:r>
      <w:r w:rsidRPr="000D46AF">
        <w:rPr>
          <w:rFonts w:ascii="Palatino Linotype" w:eastAsia="Palatino Linotype" w:hAnsi="Palatino Linotype" w:cs="Palatino Linotype"/>
          <w:sz w:val="22"/>
          <w:szCs w:val="22"/>
        </w:rPr>
        <w:t xml:space="preserve">por parte del </w:t>
      </w:r>
      <w:r w:rsidRPr="000D46AF">
        <w:rPr>
          <w:rFonts w:ascii="Palatino Linotype" w:eastAsia="Palatino Linotype" w:hAnsi="Palatino Linotype" w:cs="Palatino Linotype"/>
          <w:b/>
          <w:sz w:val="22"/>
          <w:szCs w:val="22"/>
        </w:rPr>
        <w:t xml:space="preserve">Organismo Público Descentralizado para la Prestación de Los Servicios de Agua Potable Alcantarillado y Saneamiento del Municipio de Tlalnepantla de Baz, </w:t>
      </w:r>
      <w:r w:rsidRPr="000D46AF">
        <w:rPr>
          <w:rFonts w:ascii="Palatino Linotype" w:eastAsia="Palatino Linotype" w:hAnsi="Palatino Linotype" w:cs="Palatino Linotype"/>
          <w:sz w:val="22"/>
          <w:szCs w:val="22"/>
        </w:rPr>
        <w:t xml:space="preserve">en lo sucesivo el </w:t>
      </w:r>
      <w:r w:rsidRPr="000D46AF">
        <w:rPr>
          <w:rFonts w:ascii="Palatino Linotype" w:eastAsia="Palatino Linotype" w:hAnsi="Palatino Linotype" w:cs="Palatino Linotype"/>
          <w:b/>
          <w:sz w:val="22"/>
          <w:szCs w:val="22"/>
        </w:rPr>
        <w:t xml:space="preserve">Sujeto Obligado, </w:t>
      </w:r>
      <w:r w:rsidRPr="000D46AF">
        <w:rPr>
          <w:rFonts w:ascii="Palatino Linotype" w:eastAsia="Palatino Linotype" w:hAnsi="Palatino Linotype" w:cs="Palatino Linotype"/>
          <w:sz w:val="22"/>
          <w:szCs w:val="22"/>
        </w:rPr>
        <w:t xml:space="preserve">se procede a dictar la presente resolución con base en los siguientes: </w:t>
      </w:r>
    </w:p>
    <w:p w14:paraId="261C9A53" w14:textId="77777777" w:rsidR="00914F94" w:rsidRPr="000D46AF" w:rsidRDefault="00030285">
      <w:pPr>
        <w:spacing w:before="240" w:after="240" w:line="360" w:lineRule="auto"/>
        <w:jc w:val="center"/>
        <w:rPr>
          <w:rFonts w:ascii="Palatino Linotype" w:eastAsia="Palatino Linotype" w:hAnsi="Palatino Linotype" w:cs="Palatino Linotype"/>
          <w:b/>
          <w:sz w:val="22"/>
          <w:szCs w:val="22"/>
        </w:rPr>
      </w:pPr>
      <w:r w:rsidRPr="000D46AF">
        <w:rPr>
          <w:rFonts w:ascii="Palatino Linotype" w:eastAsia="Palatino Linotype" w:hAnsi="Palatino Linotype" w:cs="Palatino Linotype"/>
          <w:b/>
          <w:sz w:val="22"/>
          <w:szCs w:val="22"/>
        </w:rPr>
        <w:t>I. A N T E C E D E N T E S</w:t>
      </w:r>
    </w:p>
    <w:p w14:paraId="32593B8B" w14:textId="77777777" w:rsidR="00914F94" w:rsidRPr="000D46AF" w:rsidRDefault="00030285">
      <w:pPr>
        <w:spacing w:before="240" w:after="240" w:line="360" w:lineRule="auto"/>
        <w:jc w:val="both"/>
        <w:rPr>
          <w:rFonts w:ascii="Palatino Linotype" w:eastAsia="Palatino Linotype" w:hAnsi="Palatino Linotype" w:cs="Palatino Linotype"/>
          <w:sz w:val="22"/>
          <w:szCs w:val="22"/>
        </w:rPr>
      </w:pPr>
      <w:bookmarkStart w:id="0" w:name="_heading=h.4d34og8" w:colFirst="0" w:colLast="0"/>
      <w:bookmarkEnd w:id="0"/>
      <w:r w:rsidRPr="000D46AF">
        <w:rPr>
          <w:rFonts w:ascii="Palatino Linotype" w:eastAsia="Palatino Linotype" w:hAnsi="Palatino Linotype" w:cs="Palatino Linotype"/>
          <w:b/>
          <w:sz w:val="22"/>
          <w:szCs w:val="22"/>
        </w:rPr>
        <w:t>1. Solicitud de acceso a la información.</w:t>
      </w:r>
      <w:r w:rsidRPr="000D46AF">
        <w:rPr>
          <w:rFonts w:ascii="Palatino Linotype" w:eastAsia="Palatino Linotype" w:hAnsi="Palatino Linotype" w:cs="Palatino Linotype"/>
          <w:sz w:val="22"/>
          <w:szCs w:val="22"/>
        </w:rPr>
        <w:t xml:space="preserve"> Con fecha </w:t>
      </w:r>
      <w:r w:rsidRPr="000D46AF">
        <w:rPr>
          <w:rFonts w:ascii="Palatino Linotype" w:eastAsia="Palatino Linotype" w:hAnsi="Palatino Linotype" w:cs="Palatino Linotype"/>
          <w:b/>
          <w:sz w:val="22"/>
          <w:szCs w:val="22"/>
        </w:rPr>
        <w:t xml:space="preserve">dos de marzo de dos mil veinticinco, </w:t>
      </w:r>
      <w:r w:rsidRPr="000D46AF">
        <w:rPr>
          <w:rFonts w:ascii="Palatino Linotype" w:eastAsia="Palatino Linotype" w:hAnsi="Palatino Linotype" w:cs="Palatino Linotype"/>
          <w:sz w:val="22"/>
          <w:szCs w:val="22"/>
        </w:rPr>
        <w:t xml:space="preserve">la parte </w:t>
      </w:r>
      <w:r w:rsidRPr="000D46AF">
        <w:rPr>
          <w:rFonts w:ascii="Palatino Linotype" w:eastAsia="Palatino Linotype" w:hAnsi="Palatino Linotype" w:cs="Palatino Linotype"/>
          <w:b/>
          <w:sz w:val="22"/>
          <w:szCs w:val="22"/>
        </w:rPr>
        <w:t xml:space="preserve">Recurrente </w:t>
      </w:r>
      <w:r w:rsidRPr="000D46AF">
        <w:rPr>
          <w:rFonts w:ascii="Palatino Linotype" w:eastAsia="Palatino Linotype" w:hAnsi="Palatino Linotype" w:cs="Palatino Linotype"/>
          <w:sz w:val="22"/>
          <w:szCs w:val="22"/>
        </w:rPr>
        <w:t xml:space="preserve">presentó, a través del Sistema de Acceso a la Información Mexiquense, en lo subsecuente el </w:t>
      </w:r>
      <w:r w:rsidRPr="000D46AF">
        <w:rPr>
          <w:rFonts w:ascii="Palatino Linotype" w:eastAsia="Palatino Linotype" w:hAnsi="Palatino Linotype" w:cs="Palatino Linotype"/>
          <w:b/>
          <w:sz w:val="22"/>
          <w:szCs w:val="22"/>
        </w:rPr>
        <w:t>SAIMEX</w:t>
      </w:r>
      <w:r w:rsidRPr="000D46AF">
        <w:rPr>
          <w:rFonts w:ascii="Palatino Linotype" w:eastAsia="Palatino Linotype" w:hAnsi="Palatino Linotype" w:cs="Palatino Linotype"/>
          <w:sz w:val="22"/>
          <w:szCs w:val="22"/>
        </w:rPr>
        <w:t xml:space="preserve">, ante el </w:t>
      </w:r>
      <w:r w:rsidRPr="000D46AF">
        <w:rPr>
          <w:rFonts w:ascii="Palatino Linotype" w:eastAsia="Palatino Linotype" w:hAnsi="Palatino Linotype" w:cs="Palatino Linotype"/>
          <w:b/>
          <w:sz w:val="22"/>
          <w:szCs w:val="22"/>
        </w:rPr>
        <w:t>Sujeto Obligado</w:t>
      </w:r>
      <w:r w:rsidRPr="000D46AF">
        <w:rPr>
          <w:rFonts w:ascii="Palatino Linotype" w:eastAsia="Palatino Linotype" w:hAnsi="Palatino Linotype" w:cs="Palatino Linotype"/>
          <w:sz w:val="22"/>
          <w:szCs w:val="22"/>
        </w:rPr>
        <w:t xml:space="preserve">, la solicitud de acceso a la información pública, sin embargo, al corresponder a un día inhábil se tuvo por presentada el día </w:t>
      </w:r>
      <w:r w:rsidRPr="000D46AF">
        <w:rPr>
          <w:rFonts w:ascii="Palatino Linotype" w:eastAsia="Palatino Linotype" w:hAnsi="Palatino Linotype" w:cs="Palatino Linotype"/>
          <w:b/>
          <w:sz w:val="22"/>
          <w:szCs w:val="22"/>
        </w:rPr>
        <w:t>cuatro de marzo de dos mil veinticinco</w:t>
      </w:r>
      <w:r w:rsidRPr="000D46AF">
        <w:rPr>
          <w:rFonts w:ascii="Palatino Linotype" w:eastAsia="Palatino Linotype" w:hAnsi="Palatino Linotype" w:cs="Palatino Linotype"/>
          <w:sz w:val="22"/>
          <w:szCs w:val="22"/>
        </w:rPr>
        <w:t xml:space="preserve">, mediante la cual requirió la información siguiente: </w:t>
      </w:r>
    </w:p>
    <w:p w14:paraId="244E11B9" w14:textId="77777777" w:rsidR="00914F94" w:rsidRPr="000D46AF" w:rsidRDefault="00030285">
      <w:pPr>
        <w:spacing w:before="120" w:after="120" w:line="276" w:lineRule="auto"/>
        <w:ind w:left="851" w:right="902"/>
        <w:jc w:val="both"/>
        <w:rPr>
          <w:rFonts w:ascii="Palatino Linotype" w:eastAsia="Palatino Linotype" w:hAnsi="Palatino Linotype" w:cs="Palatino Linotype"/>
          <w:b/>
          <w:i/>
          <w:sz w:val="22"/>
          <w:szCs w:val="22"/>
        </w:rPr>
      </w:pPr>
      <w:bookmarkStart w:id="1" w:name="_heading=h.gjdgxs" w:colFirst="0" w:colLast="0"/>
      <w:bookmarkEnd w:id="1"/>
      <w:r w:rsidRPr="000D46AF">
        <w:rPr>
          <w:rFonts w:ascii="Palatino Linotype" w:eastAsia="Palatino Linotype" w:hAnsi="Palatino Linotype" w:cs="Palatino Linotype"/>
          <w:i/>
          <w:sz w:val="22"/>
          <w:szCs w:val="22"/>
        </w:rPr>
        <w:t xml:space="preserve"> “QUIERO TODOS LOS PROCESOS DE ADQUISITIVOS DE DICIEMBRE 2024 Y LOS DE ENERO 2025 CON TODO EL SOPORTE DOCUMENTAL DE FACTURAS Y PAGOS REALIZADOS” (sic) </w:t>
      </w:r>
    </w:p>
    <w:p w14:paraId="620AB1F5" w14:textId="77777777" w:rsidR="00914F94" w:rsidRPr="000D46AF" w:rsidRDefault="00030285">
      <w:pPr>
        <w:spacing w:before="240" w:after="240" w:line="360" w:lineRule="auto"/>
        <w:rPr>
          <w:rFonts w:ascii="Palatino Linotype" w:eastAsia="Palatino Linotype" w:hAnsi="Palatino Linotype" w:cs="Palatino Linotype"/>
          <w:b/>
          <w:sz w:val="22"/>
          <w:szCs w:val="22"/>
        </w:rPr>
      </w:pPr>
      <w:bookmarkStart w:id="2" w:name="_heading=h.3dy6vkm" w:colFirst="0" w:colLast="0"/>
      <w:bookmarkEnd w:id="2"/>
      <w:r w:rsidRPr="000D46AF">
        <w:rPr>
          <w:rFonts w:ascii="Palatino Linotype" w:eastAsia="Palatino Linotype" w:hAnsi="Palatino Linotype" w:cs="Palatino Linotype"/>
          <w:b/>
          <w:sz w:val="22"/>
          <w:szCs w:val="22"/>
        </w:rPr>
        <w:t>Modalidad de Entrega</w:t>
      </w:r>
      <w:r w:rsidRPr="000D46AF">
        <w:rPr>
          <w:rFonts w:ascii="Palatino Linotype" w:eastAsia="Palatino Linotype" w:hAnsi="Palatino Linotype" w:cs="Palatino Linotype"/>
          <w:sz w:val="22"/>
          <w:szCs w:val="22"/>
        </w:rPr>
        <w:t>: a través de</w:t>
      </w:r>
      <w:r w:rsidRPr="000D46AF">
        <w:rPr>
          <w:rFonts w:ascii="Palatino Linotype" w:eastAsia="Palatino Linotype" w:hAnsi="Palatino Linotype" w:cs="Palatino Linotype"/>
          <w:b/>
          <w:sz w:val="22"/>
          <w:szCs w:val="22"/>
        </w:rPr>
        <w:t xml:space="preserve"> SAIMEX.</w:t>
      </w:r>
    </w:p>
    <w:p w14:paraId="4F59F658" w14:textId="77777777" w:rsidR="00914F94" w:rsidRPr="000D46AF" w:rsidRDefault="00030285">
      <w:pPr>
        <w:spacing w:before="240" w:after="240" w:line="360" w:lineRule="auto"/>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b/>
          <w:sz w:val="22"/>
          <w:szCs w:val="22"/>
        </w:rPr>
        <w:lastRenderedPageBreak/>
        <w:t xml:space="preserve">2. Respuesta. </w:t>
      </w:r>
      <w:r w:rsidRPr="000D46AF">
        <w:rPr>
          <w:rFonts w:ascii="Palatino Linotype" w:eastAsia="Palatino Linotype" w:hAnsi="Palatino Linotype" w:cs="Palatino Linotype"/>
          <w:sz w:val="22"/>
          <w:szCs w:val="22"/>
        </w:rPr>
        <w:t xml:space="preserve">Con fecha </w:t>
      </w:r>
      <w:r w:rsidRPr="000D46AF">
        <w:rPr>
          <w:rFonts w:ascii="Palatino Linotype" w:eastAsia="Palatino Linotype" w:hAnsi="Palatino Linotype" w:cs="Palatino Linotype"/>
          <w:b/>
          <w:sz w:val="22"/>
          <w:szCs w:val="22"/>
        </w:rPr>
        <w:t>veinticinco de marzo de dos mil veinticinco</w:t>
      </w:r>
      <w:r w:rsidRPr="000D46AF">
        <w:rPr>
          <w:rFonts w:ascii="Palatino Linotype" w:eastAsia="Palatino Linotype" w:hAnsi="Palatino Linotype" w:cs="Palatino Linotype"/>
          <w:sz w:val="22"/>
          <w:szCs w:val="22"/>
        </w:rPr>
        <w:t xml:space="preserve">, el </w:t>
      </w:r>
      <w:r w:rsidRPr="000D46AF">
        <w:rPr>
          <w:rFonts w:ascii="Palatino Linotype" w:eastAsia="Palatino Linotype" w:hAnsi="Palatino Linotype" w:cs="Palatino Linotype"/>
          <w:b/>
          <w:sz w:val="22"/>
          <w:szCs w:val="22"/>
        </w:rPr>
        <w:t xml:space="preserve">Sujeto Obligado </w:t>
      </w:r>
      <w:r w:rsidRPr="000D46AF">
        <w:rPr>
          <w:rFonts w:ascii="Palatino Linotype" w:eastAsia="Palatino Linotype" w:hAnsi="Palatino Linotype" w:cs="Palatino Linotype"/>
          <w:sz w:val="22"/>
          <w:szCs w:val="22"/>
        </w:rPr>
        <w:t xml:space="preserve">envió su respuesta a la solicitud de acceso a la información a través de SAIMEX, sustancialmente en los términos siguientes:   </w:t>
      </w:r>
    </w:p>
    <w:p w14:paraId="494C6EDA" w14:textId="77777777" w:rsidR="00914F94" w:rsidRPr="000D46AF" w:rsidRDefault="00030285">
      <w:pPr>
        <w:spacing w:line="276" w:lineRule="auto"/>
        <w:ind w:left="851" w:right="616"/>
        <w:jc w:val="both"/>
        <w:rPr>
          <w:rFonts w:ascii="Palatino Linotype" w:eastAsia="Palatino Linotype" w:hAnsi="Palatino Linotype" w:cs="Palatino Linotype"/>
          <w:i/>
          <w:sz w:val="22"/>
          <w:szCs w:val="22"/>
        </w:rPr>
      </w:pPr>
      <w:r w:rsidRPr="000D46AF">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44575B8" w14:textId="77777777" w:rsidR="00914F94" w:rsidRPr="000D46AF" w:rsidRDefault="00030285">
      <w:pPr>
        <w:spacing w:line="276" w:lineRule="auto"/>
        <w:ind w:left="851" w:right="616"/>
        <w:jc w:val="both"/>
        <w:rPr>
          <w:rFonts w:ascii="Palatino Linotype" w:eastAsia="Palatino Linotype" w:hAnsi="Palatino Linotype" w:cs="Palatino Linotype"/>
          <w:i/>
          <w:sz w:val="22"/>
          <w:szCs w:val="22"/>
        </w:rPr>
      </w:pPr>
      <w:r w:rsidRPr="000D46AF">
        <w:rPr>
          <w:rFonts w:ascii="Palatino Linotype" w:eastAsia="Palatino Linotype" w:hAnsi="Palatino Linotype" w:cs="Palatino Linotype"/>
          <w:i/>
          <w:sz w:val="22"/>
          <w:szCs w:val="22"/>
        </w:rPr>
        <w:t>Le envío archivos electrónicos con respuesta a su solicitud de información con número de folio SAIMEX 00064/OASTLALNE/IP/2025.</w:t>
      </w:r>
    </w:p>
    <w:p w14:paraId="47C1C320" w14:textId="77777777" w:rsidR="00914F94" w:rsidRPr="000D46AF" w:rsidRDefault="00030285">
      <w:pPr>
        <w:spacing w:line="276" w:lineRule="auto"/>
        <w:ind w:left="851" w:right="616"/>
        <w:jc w:val="both"/>
        <w:rPr>
          <w:rFonts w:ascii="Palatino Linotype" w:eastAsia="Palatino Linotype" w:hAnsi="Palatino Linotype" w:cs="Palatino Linotype"/>
          <w:i/>
          <w:sz w:val="22"/>
          <w:szCs w:val="22"/>
        </w:rPr>
      </w:pPr>
      <w:r w:rsidRPr="000D46AF">
        <w:rPr>
          <w:rFonts w:ascii="Palatino Linotype" w:eastAsia="Palatino Linotype" w:hAnsi="Palatino Linotype" w:cs="Palatino Linotype"/>
          <w:i/>
          <w:sz w:val="22"/>
          <w:szCs w:val="22"/>
        </w:rPr>
        <w:t>ATENTAMENTE</w:t>
      </w:r>
    </w:p>
    <w:p w14:paraId="6F676DB3" w14:textId="77777777" w:rsidR="00914F94" w:rsidRPr="000D46AF" w:rsidRDefault="00030285">
      <w:pPr>
        <w:spacing w:line="276" w:lineRule="auto"/>
        <w:ind w:left="851" w:right="616"/>
        <w:jc w:val="both"/>
        <w:rPr>
          <w:rFonts w:ascii="Palatino Linotype" w:eastAsia="Palatino Linotype" w:hAnsi="Palatino Linotype" w:cs="Palatino Linotype"/>
          <w:i/>
          <w:sz w:val="22"/>
          <w:szCs w:val="22"/>
        </w:rPr>
      </w:pPr>
      <w:r w:rsidRPr="000D46AF">
        <w:rPr>
          <w:rFonts w:ascii="Palatino Linotype" w:eastAsia="Palatino Linotype" w:hAnsi="Palatino Linotype" w:cs="Palatino Linotype"/>
          <w:i/>
          <w:sz w:val="22"/>
          <w:szCs w:val="22"/>
        </w:rPr>
        <w:t>Mtra. Viridiana González Vigueras.” (sic)</w:t>
      </w:r>
    </w:p>
    <w:p w14:paraId="6DE86C61" w14:textId="77777777" w:rsidR="00914F94" w:rsidRPr="000D46AF" w:rsidRDefault="00030285">
      <w:pPr>
        <w:spacing w:before="240" w:after="240" w:line="360" w:lineRule="auto"/>
        <w:ind w:right="49"/>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sz w:val="22"/>
          <w:szCs w:val="22"/>
        </w:rPr>
        <w:t xml:space="preserve">El </w:t>
      </w:r>
      <w:r w:rsidRPr="000D46AF">
        <w:rPr>
          <w:rFonts w:ascii="Palatino Linotype" w:eastAsia="Palatino Linotype" w:hAnsi="Palatino Linotype" w:cs="Palatino Linotype"/>
          <w:b/>
          <w:sz w:val="22"/>
          <w:szCs w:val="22"/>
        </w:rPr>
        <w:t>Sujeto Obligado</w:t>
      </w:r>
      <w:r w:rsidRPr="000D46AF">
        <w:rPr>
          <w:rFonts w:ascii="Palatino Linotype" w:eastAsia="Palatino Linotype" w:hAnsi="Palatino Linotype" w:cs="Palatino Linotype"/>
          <w:sz w:val="22"/>
          <w:szCs w:val="22"/>
        </w:rPr>
        <w:t xml:space="preserve"> adjuntó lo siguiente:</w:t>
      </w:r>
    </w:p>
    <w:p w14:paraId="0892A4ED" w14:textId="77777777" w:rsidR="00914F94" w:rsidRPr="000D46AF" w:rsidRDefault="00030285">
      <w:pPr>
        <w:numPr>
          <w:ilvl w:val="0"/>
          <w:numId w:val="3"/>
        </w:numPr>
        <w:pBdr>
          <w:top w:val="nil"/>
          <w:left w:val="nil"/>
          <w:bottom w:val="nil"/>
          <w:right w:val="nil"/>
          <w:between w:val="nil"/>
        </w:pBdr>
        <w:spacing w:before="240" w:line="360" w:lineRule="auto"/>
        <w:ind w:left="851" w:right="49"/>
        <w:jc w:val="both"/>
        <w:rPr>
          <w:rFonts w:ascii="Palatino Linotype" w:eastAsia="Palatino Linotype" w:hAnsi="Palatino Linotype" w:cs="Palatino Linotype"/>
          <w:i/>
          <w:sz w:val="22"/>
          <w:szCs w:val="22"/>
        </w:rPr>
      </w:pPr>
      <w:r w:rsidRPr="000D46AF">
        <w:rPr>
          <w:rFonts w:ascii="Palatino Linotype" w:eastAsia="Palatino Linotype" w:hAnsi="Palatino Linotype" w:cs="Palatino Linotype"/>
          <w:b/>
          <w:i/>
          <w:sz w:val="22"/>
          <w:szCs w:val="22"/>
        </w:rPr>
        <w:t>RESP_SAIMEX_6400650620250325134435.pdf</w:t>
      </w:r>
      <w:r w:rsidRPr="000D46AF">
        <w:rPr>
          <w:rFonts w:ascii="Palatino Linotype" w:eastAsia="Palatino Linotype" w:hAnsi="Palatino Linotype" w:cs="Palatino Linotype"/>
          <w:sz w:val="22"/>
          <w:szCs w:val="22"/>
        </w:rPr>
        <w:t>: Oficio número OPDM/OM-0285/2025 de fecha veintiuno de marzo de dos mil veinticinco, signado por el Titular de la Oficialía Mayor en el que informó que realizó una búsqueda y revisión exhaustiva у razonable en los archivos físicos y electrónicos del área de Adquisiciones y Recursos Materiales, resultando que posee y administra la información solicitada; por lo que hace entrega de los documentos con los que se tiene por satisfecho el derecho constitucional de acceso a la información del peticionario, aclarando que, en el mes de diciembre 2024, no se realizaron procedimientos adquisitivos en este Organismo:</w:t>
      </w:r>
    </w:p>
    <w:p w14:paraId="7CCDC9EC" w14:textId="77777777" w:rsidR="00914F94" w:rsidRPr="000D46AF" w:rsidRDefault="00030285">
      <w:pPr>
        <w:pBdr>
          <w:top w:val="nil"/>
          <w:left w:val="nil"/>
          <w:bottom w:val="nil"/>
          <w:right w:val="nil"/>
          <w:between w:val="nil"/>
        </w:pBdr>
        <w:spacing w:line="276" w:lineRule="auto"/>
        <w:ind w:left="1418" w:right="1041"/>
        <w:jc w:val="both"/>
        <w:rPr>
          <w:rFonts w:ascii="Palatino Linotype" w:eastAsia="Palatino Linotype" w:hAnsi="Palatino Linotype" w:cs="Palatino Linotype"/>
          <w:b/>
          <w:i/>
          <w:sz w:val="22"/>
          <w:szCs w:val="22"/>
        </w:rPr>
      </w:pPr>
      <w:r w:rsidRPr="000D46AF">
        <w:rPr>
          <w:rFonts w:ascii="Palatino Linotype" w:eastAsia="Palatino Linotype" w:hAnsi="Palatino Linotype" w:cs="Palatino Linotype"/>
          <w:i/>
          <w:sz w:val="22"/>
          <w:szCs w:val="22"/>
        </w:rPr>
        <w:t>“</w:t>
      </w:r>
      <w:r w:rsidRPr="000D46AF">
        <w:rPr>
          <w:rFonts w:ascii="Palatino Linotype" w:eastAsia="Palatino Linotype" w:hAnsi="Palatino Linotype" w:cs="Palatino Linotype"/>
          <w:b/>
          <w:i/>
          <w:sz w:val="22"/>
          <w:szCs w:val="22"/>
        </w:rPr>
        <w:t>Enero 2025.</w:t>
      </w:r>
    </w:p>
    <w:p w14:paraId="7DC85AEA" w14:textId="77777777" w:rsidR="00914F94" w:rsidRPr="000D46AF" w:rsidRDefault="00030285">
      <w:pPr>
        <w:pBdr>
          <w:top w:val="nil"/>
          <w:left w:val="nil"/>
          <w:bottom w:val="nil"/>
          <w:right w:val="nil"/>
          <w:between w:val="nil"/>
        </w:pBdr>
        <w:spacing w:line="276" w:lineRule="auto"/>
        <w:ind w:left="1418" w:right="1041"/>
        <w:jc w:val="both"/>
        <w:rPr>
          <w:rFonts w:ascii="Palatino Linotype" w:eastAsia="Palatino Linotype" w:hAnsi="Palatino Linotype" w:cs="Palatino Linotype"/>
          <w:i/>
          <w:sz w:val="22"/>
          <w:szCs w:val="22"/>
        </w:rPr>
      </w:pPr>
      <w:r w:rsidRPr="000D46AF">
        <w:rPr>
          <w:rFonts w:ascii="Palatino Linotype" w:eastAsia="Palatino Linotype" w:hAnsi="Palatino Linotype" w:cs="Palatino Linotype"/>
          <w:i/>
          <w:sz w:val="22"/>
          <w:szCs w:val="22"/>
        </w:rPr>
        <w:lastRenderedPageBreak/>
        <w:t>1. Servicio de recolección y traslado de valores, tecnología aplicada a la logística, gestión y seguridad de los valores (OPDM/OM/AD/01-01/2025).</w:t>
      </w:r>
    </w:p>
    <w:p w14:paraId="0A54D0B3" w14:textId="77777777" w:rsidR="00914F94" w:rsidRPr="000D46AF" w:rsidRDefault="00030285">
      <w:pPr>
        <w:pBdr>
          <w:top w:val="nil"/>
          <w:left w:val="nil"/>
          <w:bottom w:val="nil"/>
          <w:right w:val="nil"/>
          <w:between w:val="nil"/>
        </w:pBdr>
        <w:spacing w:line="276" w:lineRule="auto"/>
        <w:ind w:left="1418" w:right="1041"/>
        <w:jc w:val="both"/>
        <w:rPr>
          <w:rFonts w:ascii="Palatino Linotype" w:eastAsia="Palatino Linotype" w:hAnsi="Palatino Linotype" w:cs="Palatino Linotype"/>
          <w:i/>
          <w:sz w:val="22"/>
          <w:szCs w:val="22"/>
        </w:rPr>
      </w:pPr>
      <w:r w:rsidRPr="000D46AF">
        <w:rPr>
          <w:rFonts w:ascii="Palatino Linotype" w:eastAsia="Palatino Linotype" w:hAnsi="Palatino Linotype" w:cs="Palatino Linotype"/>
          <w:i/>
          <w:sz w:val="22"/>
          <w:szCs w:val="22"/>
        </w:rPr>
        <w:t>2. Contrato pedido por monto (OPDM/OM/ADM/01-02/2025).</w:t>
      </w:r>
    </w:p>
    <w:p w14:paraId="72D72915" w14:textId="77777777" w:rsidR="00914F94" w:rsidRPr="000D46AF" w:rsidRDefault="00030285">
      <w:pPr>
        <w:pBdr>
          <w:top w:val="nil"/>
          <w:left w:val="nil"/>
          <w:bottom w:val="nil"/>
          <w:right w:val="nil"/>
          <w:between w:val="nil"/>
        </w:pBdr>
        <w:spacing w:line="276" w:lineRule="auto"/>
        <w:ind w:left="1418" w:right="1041"/>
        <w:jc w:val="both"/>
        <w:rPr>
          <w:rFonts w:ascii="Palatino Linotype" w:eastAsia="Palatino Linotype" w:hAnsi="Palatino Linotype" w:cs="Palatino Linotype"/>
          <w:i/>
          <w:sz w:val="22"/>
          <w:szCs w:val="22"/>
        </w:rPr>
      </w:pPr>
      <w:r w:rsidRPr="000D46AF">
        <w:rPr>
          <w:rFonts w:ascii="Palatino Linotype" w:eastAsia="Palatino Linotype" w:hAnsi="Palatino Linotype" w:cs="Palatino Linotype"/>
          <w:i/>
          <w:sz w:val="22"/>
          <w:szCs w:val="22"/>
        </w:rPr>
        <w:t>3. Impresión de boletas (OPDM/OM/ADM/01-03/2025”</w:t>
      </w:r>
    </w:p>
    <w:p w14:paraId="43500476" w14:textId="77777777" w:rsidR="00914F94" w:rsidRPr="000D46AF" w:rsidRDefault="00914F94">
      <w:pPr>
        <w:pBdr>
          <w:top w:val="nil"/>
          <w:left w:val="nil"/>
          <w:bottom w:val="nil"/>
          <w:right w:val="nil"/>
          <w:between w:val="nil"/>
        </w:pBdr>
        <w:spacing w:line="360" w:lineRule="auto"/>
        <w:ind w:left="851" w:right="49"/>
        <w:jc w:val="both"/>
        <w:rPr>
          <w:rFonts w:ascii="Palatino Linotype" w:eastAsia="Palatino Linotype" w:hAnsi="Palatino Linotype" w:cs="Palatino Linotype"/>
          <w:sz w:val="22"/>
          <w:szCs w:val="22"/>
        </w:rPr>
      </w:pPr>
    </w:p>
    <w:p w14:paraId="6FC80A31" w14:textId="77777777" w:rsidR="00914F94" w:rsidRPr="000D46AF" w:rsidRDefault="00030285">
      <w:pPr>
        <w:numPr>
          <w:ilvl w:val="1"/>
          <w:numId w:val="4"/>
        </w:numPr>
        <w:pBdr>
          <w:top w:val="nil"/>
          <w:left w:val="nil"/>
          <w:bottom w:val="nil"/>
          <w:right w:val="nil"/>
          <w:between w:val="nil"/>
        </w:pBdr>
        <w:spacing w:line="360" w:lineRule="auto"/>
        <w:ind w:left="851" w:right="49"/>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sz w:val="22"/>
          <w:szCs w:val="22"/>
        </w:rPr>
        <w:t xml:space="preserve">Contrato-Pedido por monto número OPDM/OM/ADM/01-02/2025, celebrado en fecha nueve de enero de dos mil veinticinco, para la adquisición de bienes y servicios, testando datos del prestador de servicios, como son acta de nacimiento, clave de elector y folio IDMEX. </w:t>
      </w:r>
    </w:p>
    <w:p w14:paraId="683BE625" w14:textId="77777777" w:rsidR="00914F94" w:rsidRPr="000D46AF" w:rsidRDefault="00914F94">
      <w:pPr>
        <w:pBdr>
          <w:top w:val="nil"/>
          <w:left w:val="nil"/>
          <w:bottom w:val="nil"/>
          <w:right w:val="nil"/>
          <w:between w:val="nil"/>
        </w:pBdr>
        <w:spacing w:line="360" w:lineRule="auto"/>
        <w:ind w:left="851" w:right="49"/>
        <w:jc w:val="both"/>
        <w:rPr>
          <w:rFonts w:ascii="Palatino Linotype" w:eastAsia="Palatino Linotype" w:hAnsi="Palatino Linotype" w:cs="Palatino Linotype"/>
          <w:sz w:val="22"/>
          <w:szCs w:val="22"/>
        </w:rPr>
      </w:pPr>
    </w:p>
    <w:p w14:paraId="5CF90C74" w14:textId="77777777" w:rsidR="00914F94" w:rsidRPr="000D46AF" w:rsidRDefault="00030285">
      <w:pPr>
        <w:numPr>
          <w:ilvl w:val="1"/>
          <w:numId w:val="4"/>
        </w:numPr>
        <w:pBdr>
          <w:top w:val="nil"/>
          <w:left w:val="nil"/>
          <w:bottom w:val="nil"/>
          <w:right w:val="nil"/>
          <w:between w:val="nil"/>
        </w:pBdr>
        <w:spacing w:line="360" w:lineRule="auto"/>
        <w:ind w:left="851" w:right="49"/>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sz w:val="22"/>
          <w:szCs w:val="22"/>
        </w:rPr>
        <w:t xml:space="preserve">Contrato número OPDM/OM/AD/01-01-2025 de fecha cuatro de enero de dos mil veinticinco, relativo al servicio de recolección y traslado de valores, tecnología aplicada a la logística, gestión y seguridad de los valores, en su versión íntegra. </w:t>
      </w:r>
    </w:p>
    <w:p w14:paraId="595FB760" w14:textId="77777777" w:rsidR="00914F94" w:rsidRPr="000D46AF" w:rsidRDefault="00914F94">
      <w:pPr>
        <w:pBdr>
          <w:top w:val="nil"/>
          <w:left w:val="nil"/>
          <w:bottom w:val="nil"/>
          <w:right w:val="nil"/>
          <w:between w:val="nil"/>
        </w:pBdr>
        <w:ind w:left="720"/>
        <w:rPr>
          <w:rFonts w:ascii="Palatino Linotype" w:eastAsia="Palatino Linotype" w:hAnsi="Palatino Linotype" w:cs="Palatino Linotype"/>
          <w:sz w:val="22"/>
          <w:szCs w:val="22"/>
        </w:rPr>
      </w:pPr>
    </w:p>
    <w:p w14:paraId="480AB3AB" w14:textId="77777777" w:rsidR="00914F94" w:rsidRPr="000D46AF" w:rsidRDefault="00030285">
      <w:pPr>
        <w:numPr>
          <w:ilvl w:val="1"/>
          <w:numId w:val="4"/>
        </w:numPr>
        <w:pBdr>
          <w:top w:val="nil"/>
          <w:left w:val="nil"/>
          <w:bottom w:val="nil"/>
          <w:right w:val="nil"/>
          <w:between w:val="nil"/>
        </w:pBdr>
        <w:spacing w:after="240" w:line="360" w:lineRule="auto"/>
        <w:ind w:left="851" w:right="49"/>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sz w:val="22"/>
          <w:szCs w:val="22"/>
        </w:rPr>
        <w:t>Contrato Pedido número OPDM/OM/ADM/01-03/2025, de fecha veintidós de enero de dos mil veinticinco, relativo a la impresión de boletas bimestrales a color del primer y segundo bimestre 2025, testando datos del prestador de servicios, como clave de elector y folio IDMEX.</w:t>
      </w:r>
    </w:p>
    <w:p w14:paraId="5D9B8022" w14:textId="77777777" w:rsidR="00914F94" w:rsidRPr="000D46AF" w:rsidRDefault="00030285">
      <w:pPr>
        <w:spacing w:before="240" w:after="240" w:line="360" w:lineRule="auto"/>
        <w:ind w:right="49"/>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b/>
          <w:sz w:val="22"/>
          <w:szCs w:val="22"/>
        </w:rPr>
        <w:t xml:space="preserve">3. Interposición del recurso de revisión. </w:t>
      </w:r>
      <w:r w:rsidRPr="000D46AF">
        <w:rPr>
          <w:rFonts w:ascii="Palatino Linotype" w:eastAsia="Palatino Linotype" w:hAnsi="Palatino Linotype" w:cs="Palatino Linotype"/>
          <w:sz w:val="22"/>
          <w:szCs w:val="22"/>
        </w:rPr>
        <w:t xml:space="preserve">Inconforme con los términos de la respuesta emitida por parte del </w:t>
      </w:r>
      <w:r w:rsidRPr="000D46AF">
        <w:rPr>
          <w:rFonts w:ascii="Palatino Linotype" w:eastAsia="Palatino Linotype" w:hAnsi="Palatino Linotype" w:cs="Palatino Linotype"/>
          <w:b/>
          <w:sz w:val="22"/>
          <w:szCs w:val="22"/>
        </w:rPr>
        <w:t>Sujeto Obligado</w:t>
      </w:r>
      <w:r w:rsidRPr="000D46AF">
        <w:rPr>
          <w:rFonts w:ascii="Palatino Linotype" w:eastAsia="Palatino Linotype" w:hAnsi="Palatino Linotype" w:cs="Palatino Linotype"/>
          <w:sz w:val="22"/>
          <w:szCs w:val="22"/>
        </w:rPr>
        <w:t>, el</w:t>
      </w:r>
      <w:r w:rsidRPr="000D46AF">
        <w:rPr>
          <w:rFonts w:ascii="Palatino Linotype" w:eastAsia="Palatino Linotype" w:hAnsi="Palatino Linotype" w:cs="Palatino Linotype"/>
          <w:b/>
          <w:sz w:val="22"/>
          <w:szCs w:val="22"/>
        </w:rPr>
        <w:t xml:space="preserve"> veinticinco de marzo de dos mil veinticinco, </w:t>
      </w:r>
      <w:r w:rsidRPr="000D46AF">
        <w:rPr>
          <w:rFonts w:ascii="Palatino Linotype" w:eastAsia="Palatino Linotype" w:hAnsi="Palatino Linotype" w:cs="Palatino Linotype"/>
          <w:sz w:val="22"/>
          <w:szCs w:val="22"/>
        </w:rPr>
        <w:t xml:space="preserve">la parte </w:t>
      </w:r>
      <w:r w:rsidRPr="000D46AF">
        <w:rPr>
          <w:rFonts w:ascii="Palatino Linotype" w:eastAsia="Palatino Linotype" w:hAnsi="Palatino Linotype" w:cs="Palatino Linotype"/>
          <w:b/>
          <w:sz w:val="22"/>
          <w:szCs w:val="22"/>
        </w:rPr>
        <w:t>Recurrente</w:t>
      </w:r>
      <w:r w:rsidRPr="000D46AF">
        <w:rPr>
          <w:rFonts w:ascii="Palatino Linotype" w:eastAsia="Palatino Linotype" w:hAnsi="Palatino Linotype" w:cs="Palatino Linotype"/>
          <w:sz w:val="22"/>
          <w:szCs w:val="22"/>
        </w:rPr>
        <w:t xml:space="preserve"> interpuso el recurso de revisión a través de </w:t>
      </w:r>
      <w:r w:rsidRPr="000D46AF">
        <w:rPr>
          <w:rFonts w:ascii="Palatino Linotype" w:eastAsia="Palatino Linotype" w:hAnsi="Palatino Linotype" w:cs="Palatino Linotype"/>
          <w:b/>
          <w:sz w:val="22"/>
          <w:szCs w:val="22"/>
        </w:rPr>
        <w:t xml:space="preserve">SAIMEX, </w:t>
      </w:r>
      <w:r w:rsidRPr="000D46AF">
        <w:rPr>
          <w:rFonts w:ascii="Palatino Linotype" w:eastAsia="Palatino Linotype" w:hAnsi="Palatino Linotype" w:cs="Palatino Linotype"/>
          <w:sz w:val="22"/>
          <w:szCs w:val="22"/>
        </w:rPr>
        <w:t>en donde se manifestó de la siguiente manera:</w:t>
      </w:r>
    </w:p>
    <w:p w14:paraId="318F9076" w14:textId="77777777" w:rsidR="00914F94" w:rsidRPr="000D46AF" w:rsidRDefault="00030285">
      <w:pPr>
        <w:tabs>
          <w:tab w:val="left" w:pos="2745"/>
        </w:tabs>
        <w:spacing w:before="240" w:after="240" w:line="360" w:lineRule="auto"/>
        <w:jc w:val="both"/>
        <w:rPr>
          <w:rFonts w:ascii="Palatino Linotype" w:eastAsia="Palatino Linotype" w:hAnsi="Palatino Linotype" w:cs="Palatino Linotype"/>
          <w:b/>
          <w:sz w:val="22"/>
          <w:szCs w:val="22"/>
        </w:rPr>
      </w:pPr>
      <w:r w:rsidRPr="000D46AF">
        <w:rPr>
          <w:rFonts w:ascii="Palatino Linotype" w:eastAsia="Palatino Linotype" w:hAnsi="Palatino Linotype" w:cs="Palatino Linotype"/>
          <w:b/>
          <w:sz w:val="22"/>
          <w:szCs w:val="22"/>
        </w:rPr>
        <w:t xml:space="preserve">Acto impugnado: </w:t>
      </w:r>
    </w:p>
    <w:p w14:paraId="6BA5DF39" w14:textId="77777777" w:rsidR="00914F94" w:rsidRPr="000D46AF" w:rsidRDefault="00030285">
      <w:pPr>
        <w:tabs>
          <w:tab w:val="left" w:pos="2745"/>
        </w:tabs>
        <w:spacing w:before="240" w:after="240"/>
        <w:ind w:left="851" w:right="900"/>
        <w:jc w:val="both"/>
        <w:rPr>
          <w:rFonts w:ascii="Palatino Linotype" w:eastAsia="Palatino Linotype" w:hAnsi="Palatino Linotype" w:cs="Palatino Linotype"/>
          <w:i/>
          <w:sz w:val="22"/>
          <w:szCs w:val="22"/>
        </w:rPr>
      </w:pPr>
      <w:r w:rsidRPr="000D46AF">
        <w:rPr>
          <w:rFonts w:ascii="Palatino Linotype" w:eastAsia="Palatino Linotype" w:hAnsi="Palatino Linotype" w:cs="Palatino Linotype"/>
          <w:i/>
          <w:sz w:val="22"/>
          <w:szCs w:val="22"/>
        </w:rPr>
        <w:lastRenderedPageBreak/>
        <w:t>“REPSYESTA” (sic)</w:t>
      </w:r>
    </w:p>
    <w:p w14:paraId="55717E2C" w14:textId="77777777" w:rsidR="00914F94" w:rsidRPr="000D46AF" w:rsidRDefault="00030285">
      <w:pPr>
        <w:spacing w:line="360" w:lineRule="auto"/>
        <w:jc w:val="both"/>
        <w:rPr>
          <w:rFonts w:ascii="Palatino Linotype" w:eastAsia="Palatino Linotype" w:hAnsi="Palatino Linotype" w:cs="Palatino Linotype"/>
          <w:sz w:val="22"/>
          <w:szCs w:val="22"/>
        </w:rPr>
      </w:pPr>
      <w:bookmarkStart w:id="3" w:name="_heading=h.30j0zll" w:colFirst="0" w:colLast="0"/>
      <w:bookmarkEnd w:id="3"/>
      <w:r w:rsidRPr="000D46AF">
        <w:rPr>
          <w:rFonts w:ascii="Palatino Linotype" w:eastAsia="Palatino Linotype" w:hAnsi="Palatino Linotype" w:cs="Palatino Linotype"/>
          <w:b/>
          <w:sz w:val="22"/>
          <w:szCs w:val="22"/>
        </w:rPr>
        <w:t>Y, Razones o motivos de inconformidad</w:t>
      </w:r>
      <w:r w:rsidRPr="000D46AF">
        <w:rPr>
          <w:rFonts w:ascii="Palatino Linotype" w:eastAsia="Palatino Linotype" w:hAnsi="Palatino Linotype" w:cs="Palatino Linotype"/>
          <w:sz w:val="22"/>
          <w:szCs w:val="22"/>
        </w:rPr>
        <w:t>:</w:t>
      </w:r>
    </w:p>
    <w:p w14:paraId="7E02508C" w14:textId="77777777" w:rsidR="00914F94" w:rsidRPr="000D46AF" w:rsidRDefault="00030285">
      <w:pPr>
        <w:tabs>
          <w:tab w:val="left" w:pos="2745"/>
        </w:tabs>
        <w:spacing w:before="240" w:after="240"/>
        <w:ind w:left="851" w:right="900"/>
        <w:jc w:val="both"/>
        <w:rPr>
          <w:rFonts w:ascii="Palatino Linotype" w:eastAsia="Palatino Linotype" w:hAnsi="Palatino Linotype" w:cs="Palatino Linotype"/>
          <w:i/>
          <w:sz w:val="22"/>
          <w:szCs w:val="22"/>
        </w:rPr>
      </w:pPr>
      <w:r w:rsidRPr="000D46AF">
        <w:rPr>
          <w:rFonts w:ascii="Palatino Linotype" w:eastAsia="Palatino Linotype" w:hAnsi="Palatino Linotype" w:cs="Palatino Linotype"/>
          <w:i/>
          <w:sz w:val="22"/>
          <w:szCs w:val="22"/>
        </w:rPr>
        <w:t xml:space="preserve">“TAPAN DATOS Y NO ME DICEN POR QUE </w:t>
      </w:r>
      <w:proofErr w:type="spellStart"/>
      <w:r w:rsidRPr="000D46AF">
        <w:rPr>
          <w:rFonts w:ascii="Palatino Linotype" w:eastAsia="Palatino Linotype" w:hAnsi="Palatino Linotype" w:cs="Palatino Linotype"/>
          <w:i/>
          <w:sz w:val="22"/>
          <w:szCs w:val="22"/>
        </w:rPr>
        <w:t>QUE</w:t>
      </w:r>
      <w:proofErr w:type="spellEnd"/>
      <w:r w:rsidRPr="000D46AF">
        <w:rPr>
          <w:rFonts w:ascii="Palatino Linotype" w:eastAsia="Palatino Linotype" w:hAnsi="Palatino Linotype" w:cs="Palatino Linotype"/>
          <w:i/>
          <w:sz w:val="22"/>
          <w:szCs w:val="22"/>
        </w:rPr>
        <w:t xml:space="preserve"> ESCONDEN?” (sic)</w:t>
      </w:r>
    </w:p>
    <w:p w14:paraId="39D900A6" w14:textId="77777777" w:rsidR="00914F94" w:rsidRPr="000D46AF" w:rsidRDefault="00030285">
      <w:pPr>
        <w:spacing w:before="240" w:after="240" w:line="360" w:lineRule="auto"/>
        <w:ind w:right="51"/>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b/>
          <w:sz w:val="22"/>
          <w:szCs w:val="22"/>
        </w:rPr>
        <w:t xml:space="preserve">4. Turno. </w:t>
      </w:r>
      <w:r w:rsidRPr="000D46AF">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0D46AF">
        <w:rPr>
          <w:rFonts w:ascii="Palatino Linotype" w:eastAsia="Palatino Linotype" w:hAnsi="Palatino Linotype" w:cs="Palatino Linotype"/>
          <w:b/>
          <w:sz w:val="22"/>
          <w:szCs w:val="22"/>
        </w:rPr>
        <w:t xml:space="preserve">Guadalupe Ramírez Peña, </w:t>
      </w:r>
      <w:r w:rsidRPr="000D46AF">
        <w:rPr>
          <w:rFonts w:ascii="Palatino Linotype" w:eastAsia="Palatino Linotype" w:hAnsi="Palatino Linotype" w:cs="Palatino Linotype"/>
          <w:sz w:val="22"/>
          <w:szCs w:val="22"/>
        </w:rPr>
        <w:t xml:space="preserve">a efecto de que analizara sobre su admisión o su </w:t>
      </w:r>
      <w:proofErr w:type="spellStart"/>
      <w:r w:rsidRPr="000D46AF">
        <w:rPr>
          <w:rFonts w:ascii="Palatino Linotype" w:eastAsia="Palatino Linotype" w:hAnsi="Palatino Linotype" w:cs="Palatino Linotype"/>
          <w:sz w:val="22"/>
          <w:szCs w:val="22"/>
        </w:rPr>
        <w:t>desechamiento</w:t>
      </w:r>
      <w:proofErr w:type="spellEnd"/>
      <w:r w:rsidRPr="000D46AF">
        <w:rPr>
          <w:rFonts w:ascii="Palatino Linotype" w:eastAsia="Palatino Linotype" w:hAnsi="Palatino Linotype" w:cs="Palatino Linotype"/>
          <w:sz w:val="22"/>
          <w:szCs w:val="22"/>
        </w:rPr>
        <w:t>.</w:t>
      </w:r>
    </w:p>
    <w:p w14:paraId="54FAA876" w14:textId="77777777" w:rsidR="00914F94" w:rsidRPr="000D46AF" w:rsidRDefault="00030285">
      <w:pPr>
        <w:spacing w:before="240" w:after="240" w:line="360" w:lineRule="auto"/>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b/>
          <w:sz w:val="22"/>
          <w:szCs w:val="22"/>
        </w:rPr>
        <w:t>5. Admisión del Recurso de revisión.</w:t>
      </w:r>
      <w:r w:rsidRPr="000D46AF">
        <w:rPr>
          <w:rFonts w:ascii="Palatino Linotype" w:eastAsia="Palatino Linotype" w:hAnsi="Palatino Linotype" w:cs="Palatino Linotype"/>
          <w:sz w:val="22"/>
          <w:szCs w:val="22"/>
        </w:rPr>
        <w:t xml:space="preserve"> El </w:t>
      </w:r>
      <w:r w:rsidRPr="000D46AF">
        <w:rPr>
          <w:rFonts w:ascii="Palatino Linotype" w:eastAsia="Palatino Linotype" w:hAnsi="Palatino Linotype" w:cs="Palatino Linotype"/>
          <w:b/>
          <w:sz w:val="22"/>
          <w:szCs w:val="22"/>
        </w:rPr>
        <w:t xml:space="preserve">veintiocho de marzo de dos mil veinticinco, </w:t>
      </w:r>
      <w:r w:rsidRPr="000D46AF">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0D46AF">
        <w:rPr>
          <w:rFonts w:ascii="Palatino Linotype" w:eastAsia="Palatino Linotype" w:hAnsi="Palatino Linotype" w:cs="Palatino Linotype"/>
          <w:b/>
          <w:sz w:val="22"/>
          <w:szCs w:val="22"/>
        </w:rPr>
        <w:t xml:space="preserve">Sujeto Obligado </w:t>
      </w:r>
      <w:r w:rsidRPr="000D46AF">
        <w:rPr>
          <w:rFonts w:ascii="Palatino Linotype" w:eastAsia="Palatino Linotype" w:hAnsi="Palatino Linotype" w:cs="Palatino Linotype"/>
          <w:sz w:val="22"/>
          <w:szCs w:val="22"/>
        </w:rPr>
        <w:t>presentara su informe justificado.</w:t>
      </w:r>
    </w:p>
    <w:p w14:paraId="2F1D8DA3" w14:textId="77777777" w:rsidR="00914F94" w:rsidRPr="000D46AF" w:rsidRDefault="00030285">
      <w:pPr>
        <w:widowControl w:val="0"/>
        <w:spacing w:line="360" w:lineRule="auto"/>
        <w:ind w:right="49"/>
        <w:jc w:val="both"/>
        <w:rPr>
          <w:rFonts w:ascii="Palatino Linotype" w:eastAsia="Palatino Linotype" w:hAnsi="Palatino Linotype" w:cs="Palatino Linotype"/>
          <w:sz w:val="22"/>
          <w:szCs w:val="22"/>
        </w:rPr>
      </w:pPr>
      <w:bookmarkStart w:id="4" w:name="_heading=h.2s8eyo1" w:colFirst="0" w:colLast="0"/>
      <w:bookmarkEnd w:id="4"/>
      <w:r w:rsidRPr="000D46AF">
        <w:rPr>
          <w:rFonts w:ascii="Palatino Linotype" w:eastAsia="Palatino Linotype" w:hAnsi="Palatino Linotype" w:cs="Palatino Linotype"/>
          <w:b/>
          <w:sz w:val="22"/>
          <w:szCs w:val="22"/>
        </w:rPr>
        <w:t>6. Manifestaciones</w:t>
      </w:r>
      <w:r w:rsidRPr="000D46AF">
        <w:rPr>
          <w:rFonts w:ascii="Palatino Linotype" w:eastAsia="Palatino Linotype" w:hAnsi="Palatino Linotype" w:cs="Palatino Linotype"/>
          <w:sz w:val="22"/>
          <w:szCs w:val="22"/>
        </w:rPr>
        <w:t xml:space="preserve">. De constancias del expediente electrónico del SAIMEX, se observa que el </w:t>
      </w:r>
      <w:r w:rsidRPr="000D46AF">
        <w:rPr>
          <w:rFonts w:ascii="Palatino Linotype" w:eastAsia="Palatino Linotype" w:hAnsi="Palatino Linotype" w:cs="Palatino Linotype"/>
          <w:b/>
          <w:sz w:val="22"/>
          <w:szCs w:val="22"/>
        </w:rPr>
        <w:t>Sujeto Obligado</w:t>
      </w:r>
      <w:r w:rsidRPr="000D46AF">
        <w:rPr>
          <w:rFonts w:ascii="Palatino Linotype" w:eastAsia="Palatino Linotype" w:hAnsi="Palatino Linotype" w:cs="Palatino Linotype"/>
          <w:sz w:val="22"/>
          <w:szCs w:val="22"/>
        </w:rPr>
        <w:t xml:space="preserve"> fue omiso en rendir su informe justificado; así como, la parte </w:t>
      </w:r>
      <w:r w:rsidRPr="000D46AF">
        <w:rPr>
          <w:rFonts w:ascii="Palatino Linotype" w:eastAsia="Palatino Linotype" w:hAnsi="Palatino Linotype" w:cs="Palatino Linotype"/>
          <w:b/>
          <w:sz w:val="22"/>
          <w:szCs w:val="22"/>
        </w:rPr>
        <w:t xml:space="preserve">Recurrente </w:t>
      </w:r>
      <w:r w:rsidRPr="000D46AF">
        <w:rPr>
          <w:rFonts w:ascii="Palatino Linotype" w:eastAsia="Palatino Linotype" w:hAnsi="Palatino Linotype" w:cs="Palatino Linotype"/>
          <w:sz w:val="22"/>
          <w:szCs w:val="22"/>
        </w:rPr>
        <w:t>fue omisa en hacer valer manifestaciones o rendir alegatos que conforme a derecho resultaran procedentes, como se muestra:</w:t>
      </w:r>
    </w:p>
    <w:p w14:paraId="1BCF66BB" w14:textId="77777777" w:rsidR="00914F94" w:rsidRPr="000D46AF" w:rsidRDefault="00030285">
      <w:pPr>
        <w:spacing w:before="240" w:after="240" w:line="360" w:lineRule="auto"/>
        <w:ind w:right="49"/>
        <w:jc w:val="both"/>
        <w:rPr>
          <w:rFonts w:ascii="Palatino Linotype" w:eastAsia="Palatino Linotype" w:hAnsi="Palatino Linotype" w:cs="Palatino Linotype"/>
          <w:b/>
          <w:sz w:val="22"/>
          <w:szCs w:val="22"/>
        </w:rPr>
      </w:pPr>
      <w:r w:rsidRPr="000D46AF">
        <w:rPr>
          <w:rFonts w:ascii="Palatino Linotype" w:eastAsia="Palatino Linotype" w:hAnsi="Palatino Linotype" w:cs="Palatino Linotype"/>
          <w:b/>
          <w:noProof/>
          <w:sz w:val="22"/>
          <w:szCs w:val="22"/>
        </w:rPr>
        <w:lastRenderedPageBreak/>
        <w:drawing>
          <wp:inline distT="0" distB="0" distL="0" distR="0" wp14:anchorId="2F614C50" wp14:editId="42B97513">
            <wp:extent cx="5612130" cy="1240155"/>
            <wp:effectExtent l="0" t="0" r="0" b="0"/>
            <wp:docPr id="195208249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612130" cy="1240155"/>
                    </a:xfrm>
                    <a:prstGeom prst="rect">
                      <a:avLst/>
                    </a:prstGeom>
                    <a:ln/>
                  </pic:spPr>
                </pic:pic>
              </a:graphicData>
            </a:graphic>
          </wp:inline>
        </w:drawing>
      </w:r>
    </w:p>
    <w:p w14:paraId="7EA4D677" w14:textId="77777777" w:rsidR="00914F94" w:rsidRPr="000D46AF" w:rsidRDefault="00030285">
      <w:pPr>
        <w:spacing w:before="240" w:after="240" w:line="360" w:lineRule="auto"/>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b/>
          <w:sz w:val="22"/>
          <w:szCs w:val="22"/>
        </w:rPr>
        <w:t>7.</w:t>
      </w:r>
      <w:r w:rsidRPr="000D46AF">
        <w:rPr>
          <w:rFonts w:ascii="Palatino Linotype" w:eastAsia="Palatino Linotype" w:hAnsi="Palatino Linotype" w:cs="Palatino Linotype"/>
          <w:sz w:val="22"/>
          <w:szCs w:val="22"/>
        </w:rPr>
        <w:t xml:space="preserve"> </w:t>
      </w:r>
      <w:r w:rsidRPr="000D46AF">
        <w:rPr>
          <w:rFonts w:ascii="Palatino Linotype" w:eastAsia="Palatino Linotype" w:hAnsi="Palatino Linotype" w:cs="Palatino Linotype"/>
          <w:b/>
          <w:sz w:val="22"/>
          <w:szCs w:val="22"/>
        </w:rPr>
        <w:t>Ampliación de plazo:</w:t>
      </w:r>
      <w:r w:rsidRPr="000D46AF">
        <w:rPr>
          <w:rFonts w:ascii="Palatino Linotype" w:eastAsia="Palatino Linotype" w:hAnsi="Palatino Linotype" w:cs="Palatino Linotype"/>
          <w:sz w:val="22"/>
          <w:szCs w:val="22"/>
        </w:rPr>
        <w:t xml:space="preserve"> El</w:t>
      </w:r>
      <w:r w:rsidRPr="000D46AF">
        <w:rPr>
          <w:rFonts w:ascii="Palatino Linotype" w:eastAsia="Palatino Linotype" w:hAnsi="Palatino Linotype" w:cs="Palatino Linotype"/>
          <w:b/>
          <w:sz w:val="22"/>
          <w:szCs w:val="22"/>
        </w:rPr>
        <w:t xml:space="preserve"> tres de junio de dos mil veinticinco</w:t>
      </w:r>
      <w:r w:rsidRPr="000D46AF">
        <w:rPr>
          <w:rFonts w:ascii="Palatino Linotype" w:eastAsia="Palatino Linotype" w:hAnsi="Palatino Linotype" w:cs="Palatino Linotype"/>
          <w:sz w:val="22"/>
          <w:szCs w:val="22"/>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14C49ED3" w14:textId="77777777" w:rsidR="00914F94" w:rsidRPr="000D46AF" w:rsidRDefault="00030285">
      <w:pPr>
        <w:spacing w:line="360" w:lineRule="auto"/>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560DC76A" w14:textId="77777777" w:rsidR="00914F94" w:rsidRPr="000D46AF" w:rsidRDefault="00030285">
      <w:pPr>
        <w:spacing w:line="360" w:lineRule="auto"/>
        <w:ind w:right="49"/>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sz w:val="22"/>
          <w:szCs w:val="22"/>
        </w:rPr>
        <w:t xml:space="preserve"> </w:t>
      </w:r>
    </w:p>
    <w:p w14:paraId="69A80147" w14:textId="77777777" w:rsidR="00914F94" w:rsidRPr="000D46AF" w:rsidRDefault="00030285">
      <w:pPr>
        <w:spacing w:line="360" w:lineRule="auto"/>
        <w:ind w:right="49"/>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6D45DD7A" w14:textId="77777777" w:rsidR="00914F94" w:rsidRPr="000D46AF" w:rsidRDefault="00030285">
      <w:pPr>
        <w:spacing w:line="360" w:lineRule="auto"/>
        <w:ind w:right="49"/>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sz w:val="22"/>
          <w:szCs w:val="22"/>
        </w:rPr>
        <w:t xml:space="preserve"> </w:t>
      </w:r>
    </w:p>
    <w:p w14:paraId="2C4E859C" w14:textId="77777777" w:rsidR="00914F94" w:rsidRPr="000D46AF" w:rsidRDefault="00030285">
      <w:pPr>
        <w:spacing w:line="360" w:lineRule="auto"/>
        <w:ind w:right="49"/>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sz w:val="22"/>
          <w:szCs w:val="22"/>
        </w:rPr>
        <w:t xml:space="preserve">Así, en términos de lo que establecen los artículos 8.1 y 25 de la Convención Americana sobre Derechos Humanos, los recursos deben ser sencillos y resolverse en el menor tiempo </w:t>
      </w:r>
      <w:r w:rsidRPr="000D46AF">
        <w:rPr>
          <w:rFonts w:ascii="Palatino Linotype" w:eastAsia="Palatino Linotype" w:hAnsi="Palatino Linotype" w:cs="Palatino Linotype"/>
          <w:sz w:val="22"/>
          <w:szCs w:val="22"/>
        </w:rPr>
        <w:lastRenderedPageBreak/>
        <w:t>posible, tomando en consideración la dilación total del procedimiento; esto es, en un plazo razonable.</w:t>
      </w:r>
    </w:p>
    <w:p w14:paraId="5B6887EA" w14:textId="77777777" w:rsidR="00914F94" w:rsidRPr="000D46AF" w:rsidRDefault="00914F94">
      <w:pPr>
        <w:spacing w:line="360" w:lineRule="auto"/>
        <w:ind w:right="49"/>
        <w:jc w:val="both"/>
        <w:rPr>
          <w:rFonts w:ascii="Palatino Linotype" w:eastAsia="Palatino Linotype" w:hAnsi="Palatino Linotype" w:cs="Palatino Linotype"/>
          <w:sz w:val="22"/>
          <w:szCs w:val="22"/>
        </w:rPr>
      </w:pPr>
    </w:p>
    <w:p w14:paraId="5432F878" w14:textId="77777777" w:rsidR="00914F94" w:rsidRPr="000D46AF" w:rsidRDefault="00030285">
      <w:pPr>
        <w:spacing w:line="360" w:lineRule="auto"/>
        <w:ind w:right="49"/>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sz w:val="22"/>
          <w:szCs w:val="22"/>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272F2FA" w14:textId="77777777" w:rsidR="00914F94" w:rsidRPr="000D46AF" w:rsidRDefault="00914F94">
      <w:pPr>
        <w:spacing w:line="360" w:lineRule="auto"/>
        <w:ind w:right="49"/>
        <w:jc w:val="both"/>
        <w:rPr>
          <w:rFonts w:ascii="Palatino Linotype" w:eastAsia="Palatino Linotype" w:hAnsi="Palatino Linotype" w:cs="Palatino Linotype"/>
          <w:sz w:val="22"/>
          <w:szCs w:val="22"/>
        </w:rPr>
      </w:pPr>
    </w:p>
    <w:p w14:paraId="4EE0436D" w14:textId="77777777" w:rsidR="00914F94" w:rsidRPr="000D46AF" w:rsidRDefault="00030285">
      <w:pPr>
        <w:spacing w:line="360" w:lineRule="auto"/>
        <w:ind w:right="49"/>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0C8787F0" w14:textId="77777777" w:rsidR="00914F94" w:rsidRPr="000D46AF" w:rsidRDefault="00914F94">
      <w:pPr>
        <w:spacing w:line="360" w:lineRule="auto"/>
        <w:ind w:right="49"/>
        <w:jc w:val="both"/>
        <w:rPr>
          <w:rFonts w:ascii="Palatino Linotype" w:eastAsia="Palatino Linotype" w:hAnsi="Palatino Linotype" w:cs="Palatino Linotype"/>
          <w:sz w:val="22"/>
          <w:szCs w:val="22"/>
        </w:rPr>
      </w:pPr>
    </w:p>
    <w:p w14:paraId="4676C5C6" w14:textId="77777777" w:rsidR="00914F94" w:rsidRPr="000D46AF" w:rsidRDefault="00030285">
      <w:pPr>
        <w:tabs>
          <w:tab w:val="left" w:pos="709"/>
        </w:tabs>
        <w:spacing w:line="360" w:lineRule="auto"/>
        <w:ind w:left="567" w:right="560"/>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b/>
          <w:sz w:val="22"/>
          <w:szCs w:val="22"/>
        </w:rPr>
        <w:t>a)    Complejidad del asunto:</w:t>
      </w:r>
      <w:r w:rsidRPr="000D46AF">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w:t>
      </w:r>
    </w:p>
    <w:p w14:paraId="558E10A0" w14:textId="77777777" w:rsidR="00914F94" w:rsidRPr="000D46AF" w:rsidRDefault="00030285">
      <w:pPr>
        <w:tabs>
          <w:tab w:val="left" w:pos="709"/>
        </w:tabs>
        <w:spacing w:line="360" w:lineRule="auto"/>
        <w:ind w:left="567" w:right="560"/>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b/>
          <w:sz w:val="22"/>
          <w:szCs w:val="22"/>
        </w:rPr>
        <w:t>b)   Actividad Procesal del interesado</w:t>
      </w:r>
      <w:r w:rsidRPr="000D46AF">
        <w:rPr>
          <w:rFonts w:ascii="Palatino Linotype" w:eastAsia="Palatino Linotype" w:hAnsi="Palatino Linotype" w:cs="Palatino Linotype"/>
          <w:sz w:val="22"/>
          <w:szCs w:val="22"/>
        </w:rPr>
        <w:t>: Acciones u omisiones del interesado.</w:t>
      </w:r>
    </w:p>
    <w:p w14:paraId="46209FD8" w14:textId="77777777" w:rsidR="00914F94" w:rsidRPr="000D46AF" w:rsidRDefault="00030285">
      <w:pPr>
        <w:tabs>
          <w:tab w:val="left" w:pos="851"/>
        </w:tabs>
        <w:spacing w:line="360" w:lineRule="auto"/>
        <w:ind w:left="567" w:right="560"/>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b/>
          <w:sz w:val="22"/>
          <w:szCs w:val="22"/>
        </w:rPr>
        <w:t>c)  Conducta de la Autoridad:</w:t>
      </w:r>
      <w:r w:rsidRPr="000D46AF">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6CA0F383" w14:textId="77777777" w:rsidR="00914F94" w:rsidRPr="000D46AF" w:rsidRDefault="00030285">
      <w:pPr>
        <w:tabs>
          <w:tab w:val="left" w:pos="851"/>
        </w:tabs>
        <w:spacing w:line="360" w:lineRule="auto"/>
        <w:ind w:left="567" w:right="560"/>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b/>
          <w:sz w:val="22"/>
          <w:szCs w:val="22"/>
        </w:rPr>
        <w:t>d) La afectación generada en la situación jurídica de la persona involucrada en el proceso:</w:t>
      </w:r>
      <w:r w:rsidRPr="000D46AF">
        <w:rPr>
          <w:rFonts w:ascii="Palatino Linotype" w:eastAsia="Palatino Linotype" w:hAnsi="Palatino Linotype" w:cs="Palatino Linotype"/>
          <w:sz w:val="22"/>
          <w:szCs w:val="22"/>
        </w:rPr>
        <w:t xml:space="preserve"> Violación a sus derechos humanos.</w:t>
      </w:r>
    </w:p>
    <w:p w14:paraId="75AAE4D1" w14:textId="77777777" w:rsidR="00914F94" w:rsidRPr="000D46AF" w:rsidRDefault="00914F94">
      <w:pPr>
        <w:tabs>
          <w:tab w:val="left" w:pos="851"/>
        </w:tabs>
        <w:spacing w:line="360" w:lineRule="auto"/>
        <w:ind w:left="567" w:right="560"/>
        <w:jc w:val="both"/>
        <w:rPr>
          <w:rFonts w:ascii="Palatino Linotype" w:eastAsia="Palatino Linotype" w:hAnsi="Palatino Linotype" w:cs="Palatino Linotype"/>
          <w:sz w:val="22"/>
          <w:szCs w:val="22"/>
        </w:rPr>
      </w:pPr>
    </w:p>
    <w:p w14:paraId="38192C6C" w14:textId="77777777" w:rsidR="00914F94" w:rsidRPr="000D46AF" w:rsidRDefault="00030285">
      <w:pPr>
        <w:spacing w:line="360" w:lineRule="auto"/>
        <w:ind w:right="49"/>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sz w:val="22"/>
          <w:szCs w:val="22"/>
        </w:rPr>
        <w:t xml:space="preserve">De modo que, cuando se trate de un asunto excepcional, por alguna o todas las características mencionadas o bien, cuando el ingreso de asuntos al órgano jurisdiccional o </w:t>
      </w:r>
      <w:r w:rsidRPr="000D46AF">
        <w:rPr>
          <w:rFonts w:ascii="Palatino Linotype" w:eastAsia="Palatino Linotype" w:hAnsi="Palatino Linotype" w:cs="Palatino Linotype"/>
          <w:sz w:val="22"/>
          <w:szCs w:val="22"/>
        </w:rPr>
        <w:lastRenderedPageBreak/>
        <w:t>cuasi jurisdiccional respectivo supere notoriamente al que podría considerarse normal, debe concluirse que es una excluyente de responsabilidad en relación con la actuación del funcionario, como ha acontecido en el caso que nos ocupa.</w:t>
      </w:r>
    </w:p>
    <w:p w14:paraId="38CA06DF" w14:textId="77777777" w:rsidR="00914F94" w:rsidRPr="000D46AF" w:rsidRDefault="00030285">
      <w:pPr>
        <w:spacing w:line="360" w:lineRule="auto"/>
        <w:ind w:right="49"/>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sz w:val="22"/>
          <w:szCs w:val="22"/>
        </w:rPr>
        <w:t xml:space="preserve"> </w:t>
      </w:r>
    </w:p>
    <w:p w14:paraId="39767879" w14:textId="77777777" w:rsidR="00914F94" w:rsidRPr="000D46AF" w:rsidRDefault="00030285">
      <w:pPr>
        <w:spacing w:line="360" w:lineRule="auto"/>
        <w:ind w:right="49"/>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sz w:val="22"/>
          <w:szCs w:val="22"/>
        </w:rPr>
        <w:t>Argumento que encuentra sustento en la jurisprudencia P./J. 32/92 emitida por el Pleno de la Suprema Corte de Justicia de la Nación de rubro “</w:t>
      </w:r>
      <w:r w:rsidRPr="000D46AF">
        <w:rPr>
          <w:rFonts w:ascii="Palatino Linotype" w:eastAsia="Palatino Linotype" w:hAnsi="Palatino Linotype" w:cs="Palatino Linotype"/>
          <w:b/>
          <w:sz w:val="22"/>
          <w:szCs w:val="22"/>
        </w:rPr>
        <w:t>TÉRMINOS PROCESALES. PARA DETERMINAR SI UN FUNCIONARIO JUDICIAL ACTUÓ INDEBIDAMENTE POR NO RESPETARLOS SE DEBE ATENDER AL PRESUPUESTO QUE CONSIDERÓ EL LEGISLADOR AL FIJARLOS Y LAS CARACTERÍSTICAS DEL CASO.”</w:t>
      </w:r>
      <w:r w:rsidRPr="000D46AF">
        <w:rPr>
          <w:rFonts w:ascii="Palatino Linotype" w:eastAsia="Palatino Linotype" w:hAnsi="Palatino Linotype" w:cs="Palatino Linotype"/>
          <w:sz w:val="22"/>
          <w:szCs w:val="22"/>
        </w:rPr>
        <w:t>, visible en la Gaceta del Seminario Judicial de la Federación con el registro digital 205635.</w:t>
      </w:r>
    </w:p>
    <w:p w14:paraId="10F87D2C" w14:textId="77777777" w:rsidR="00914F94" w:rsidRPr="000D46AF" w:rsidRDefault="00030285">
      <w:pPr>
        <w:spacing w:line="360" w:lineRule="auto"/>
        <w:ind w:right="49"/>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sz w:val="22"/>
          <w:szCs w:val="22"/>
        </w:rPr>
        <w:t xml:space="preserve"> </w:t>
      </w:r>
    </w:p>
    <w:p w14:paraId="27E6B1D7" w14:textId="77777777" w:rsidR="00914F94" w:rsidRPr="000D46AF" w:rsidRDefault="00030285">
      <w:pPr>
        <w:spacing w:line="360" w:lineRule="auto"/>
        <w:ind w:right="49"/>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8414910" w14:textId="77777777" w:rsidR="00914F94" w:rsidRPr="000D46AF" w:rsidRDefault="00914F94">
      <w:pPr>
        <w:spacing w:line="360" w:lineRule="auto"/>
        <w:ind w:right="49"/>
        <w:jc w:val="both"/>
        <w:rPr>
          <w:rFonts w:ascii="Palatino Linotype" w:eastAsia="Palatino Linotype" w:hAnsi="Palatino Linotype" w:cs="Palatino Linotype"/>
          <w:sz w:val="22"/>
          <w:szCs w:val="22"/>
        </w:rPr>
      </w:pPr>
    </w:p>
    <w:p w14:paraId="5B9CE159" w14:textId="77777777" w:rsidR="00914F94" w:rsidRPr="000D46AF" w:rsidRDefault="00030285">
      <w:pPr>
        <w:spacing w:line="360" w:lineRule="auto"/>
        <w:ind w:right="49"/>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sz w:val="22"/>
          <w:szCs w:val="22"/>
        </w:rPr>
        <w:lastRenderedPageBreak/>
        <w:t>Al respecto, también son de considerar los criterios sostenidos por el Cuarto Tribunal Colegiado en Materia Administrativa del Primer Circuito, cuyos rubros y datos de identificación son los siguientes:</w:t>
      </w:r>
    </w:p>
    <w:p w14:paraId="2C7DFACF" w14:textId="77777777" w:rsidR="00914F94" w:rsidRPr="000D46AF" w:rsidRDefault="00914F94">
      <w:pPr>
        <w:spacing w:line="360" w:lineRule="auto"/>
        <w:ind w:right="49"/>
        <w:jc w:val="both"/>
        <w:rPr>
          <w:rFonts w:ascii="Palatino Linotype" w:eastAsia="Palatino Linotype" w:hAnsi="Palatino Linotype" w:cs="Palatino Linotype"/>
          <w:sz w:val="22"/>
          <w:szCs w:val="22"/>
        </w:rPr>
      </w:pPr>
    </w:p>
    <w:p w14:paraId="780BAB1E" w14:textId="77777777" w:rsidR="00914F94" w:rsidRPr="000D46AF" w:rsidRDefault="00030285">
      <w:pPr>
        <w:spacing w:line="276" w:lineRule="auto"/>
        <w:ind w:left="851" w:right="616"/>
        <w:jc w:val="both"/>
        <w:rPr>
          <w:rFonts w:ascii="Palatino Linotype" w:eastAsia="Palatino Linotype" w:hAnsi="Palatino Linotype" w:cs="Palatino Linotype"/>
          <w:i/>
          <w:sz w:val="22"/>
          <w:szCs w:val="22"/>
        </w:rPr>
      </w:pPr>
      <w:r w:rsidRPr="000D46AF">
        <w:rPr>
          <w:rFonts w:ascii="Palatino Linotype" w:eastAsia="Palatino Linotype" w:hAnsi="Palatino Linotype" w:cs="Palatino Linotype"/>
          <w:b/>
          <w:i/>
          <w:sz w:val="22"/>
          <w:szCs w:val="22"/>
        </w:rPr>
        <w:t>“PLAZO RAZONABLE PARA RESOLVER. DIMENSIÓN Y EFECTOS DE ESTE CONCEPTO CUANDO SE ADUCE EXCESIVA CARGA DE TRABAJO.”</w:t>
      </w:r>
      <w:r w:rsidRPr="000D46AF">
        <w:rPr>
          <w:rFonts w:ascii="Palatino Linotype" w:eastAsia="Palatino Linotype" w:hAnsi="Palatino Linotype" w:cs="Palatino Linotype"/>
          <w:i/>
          <w:sz w:val="22"/>
          <w:szCs w:val="22"/>
        </w:rPr>
        <w:t xml:space="preserve"> consultable en el Seminario Judicial de la Federación y su gaceta, con el registro digital 2002351.</w:t>
      </w:r>
    </w:p>
    <w:p w14:paraId="72B08885" w14:textId="77777777" w:rsidR="00914F94" w:rsidRPr="000D46AF" w:rsidRDefault="00914F94">
      <w:pPr>
        <w:spacing w:line="276" w:lineRule="auto"/>
        <w:ind w:left="851" w:right="616"/>
        <w:jc w:val="both"/>
        <w:rPr>
          <w:rFonts w:ascii="Palatino Linotype" w:eastAsia="Palatino Linotype" w:hAnsi="Palatino Linotype" w:cs="Palatino Linotype"/>
          <w:i/>
          <w:sz w:val="22"/>
          <w:szCs w:val="22"/>
        </w:rPr>
      </w:pPr>
    </w:p>
    <w:p w14:paraId="7972426F" w14:textId="77777777" w:rsidR="00914F94" w:rsidRPr="000D46AF" w:rsidRDefault="00030285">
      <w:pPr>
        <w:spacing w:line="276" w:lineRule="auto"/>
        <w:ind w:left="851" w:right="616"/>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0D46AF">
        <w:rPr>
          <w:rFonts w:ascii="Palatino Linotype" w:eastAsia="Palatino Linotype" w:hAnsi="Palatino Linotype" w:cs="Palatino Linotype"/>
          <w:i/>
          <w:sz w:val="22"/>
          <w:szCs w:val="22"/>
        </w:rPr>
        <w:t xml:space="preserve"> visible en el Seminario Judicial de la Federación y su gaceta, con el registro digital 2002350</w:t>
      </w:r>
      <w:r w:rsidRPr="000D46AF">
        <w:rPr>
          <w:rFonts w:ascii="Palatino Linotype" w:eastAsia="Palatino Linotype" w:hAnsi="Palatino Linotype" w:cs="Palatino Linotype"/>
          <w:sz w:val="22"/>
          <w:szCs w:val="22"/>
        </w:rPr>
        <w:t>.</w:t>
      </w:r>
    </w:p>
    <w:p w14:paraId="2F6BA0B9" w14:textId="77777777" w:rsidR="00914F94" w:rsidRPr="000D46AF" w:rsidRDefault="00914F94">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4F01B18C" w14:textId="77777777" w:rsidR="00914F94" w:rsidRPr="000D46AF" w:rsidRDefault="00030285">
      <w:pPr>
        <w:pBdr>
          <w:top w:val="nil"/>
          <w:left w:val="nil"/>
          <w:bottom w:val="nil"/>
          <w:right w:val="nil"/>
          <w:between w:val="nil"/>
        </w:pBdr>
        <w:tabs>
          <w:tab w:val="left" w:pos="284"/>
        </w:tabs>
        <w:spacing w:before="160" w:line="360" w:lineRule="auto"/>
        <w:ind w:right="49"/>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0F05279F" w14:textId="77777777" w:rsidR="00914F94" w:rsidRPr="000D46AF" w:rsidRDefault="00030285">
      <w:pPr>
        <w:spacing w:before="240" w:after="240" w:line="360" w:lineRule="auto"/>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b/>
          <w:sz w:val="22"/>
          <w:szCs w:val="22"/>
        </w:rPr>
        <w:t xml:space="preserve">8. Cierre de instrucción. </w:t>
      </w:r>
      <w:r w:rsidRPr="000D46AF">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el </w:t>
      </w:r>
      <w:r w:rsidRPr="000D46AF">
        <w:rPr>
          <w:rFonts w:ascii="Palatino Linotype" w:eastAsia="Palatino Linotype" w:hAnsi="Palatino Linotype" w:cs="Palatino Linotype"/>
          <w:b/>
          <w:sz w:val="22"/>
          <w:szCs w:val="22"/>
        </w:rPr>
        <w:t>tres de junio de dos mil veinticinco</w:t>
      </w:r>
      <w:r w:rsidRPr="000D46AF">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53CDB77B" w14:textId="77777777" w:rsidR="00914F94" w:rsidRPr="000D46AF" w:rsidRDefault="00030285">
      <w:pPr>
        <w:spacing w:before="240" w:after="240" w:line="360" w:lineRule="auto"/>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sz w:val="22"/>
          <w:szCs w:val="22"/>
        </w:rPr>
        <w:lastRenderedPageBreak/>
        <w:t xml:space="preserve">En razón de que fue debidamente sustanciado el expediente electrónico y no existe diligencia pendiente de desahogo, se emite la Resolución que conforme a Derecho proceda, de acuerdo con los siguientes: </w:t>
      </w:r>
    </w:p>
    <w:p w14:paraId="1604D6C8" w14:textId="77777777" w:rsidR="00914F94" w:rsidRPr="000D46AF" w:rsidRDefault="00030285">
      <w:pPr>
        <w:widowControl w:val="0"/>
        <w:spacing w:before="240" w:after="240" w:line="360" w:lineRule="auto"/>
        <w:jc w:val="center"/>
        <w:rPr>
          <w:rFonts w:ascii="Palatino Linotype" w:eastAsia="Palatino Linotype" w:hAnsi="Palatino Linotype" w:cs="Palatino Linotype"/>
          <w:b/>
          <w:sz w:val="22"/>
          <w:szCs w:val="22"/>
        </w:rPr>
      </w:pPr>
      <w:r w:rsidRPr="000D46AF">
        <w:rPr>
          <w:rFonts w:ascii="Palatino Linotype" w:eastAsia="Palatino Linotype" w:hAnsi="Palatino Linotype" w:cs="Palatino Linotype"/>
          <w:b/>
          <w:sz w:val="22"/>
          <w:szCs w:val="22"/>
        </w:rPr>
        <w:t>II. C O N S I D E R A N D O S</w:t>
      </w:r>
    </w:p>
    <w:p w14:paraId="52B07C1D" w14:textId="77777777" w:rsidR="00914F94" w:rsidRPr="000D46AF" w:rsidRDefault="00030285">
      <w:pPr>
        <w:spacing w:before="240" w:after="240" w:line="360" w:lineRule="auto"/>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b/>
          <w:sz w:val="22"/>
          <w:szCs w:val="22"/>
        </w:rPr>
        <w:t>Primero. Competencia.</w:t>
      </w:r>
      <w:r w:rsidRPr="000D46AF">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séptimo, trigésimo octavo y trigésimo noveno,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7964CFC" w14:textId="77777777" w:rsidR="00914F94" w:rsidRPr="000D46AF" w:rsidRDefault="00030285">
      <w:pPr>
        <w:spacing w:before="240" w:after="240" w:line="360" w:lineRule="auto"/>
        <w:jc w:val="both"/>
        <w:rPr>
          <w:rFonts w:ascii="Palatino Linotype" w:eastAsia="Palatino Linotype" w:hAnsi="Palatino Linotype" w:cs="Palatino Linotype"/>
          <w:sz w:val="22"/>
          <w:szCs w:val="22"/>
        </w:rPr>
      </w:pPr>
      <w:bookmarkStart w:id="5" w:name="_heading=h.tyjcwt" w:colFirst="0" w:colLast="0"/>
      <w:bookmarkEnd w:id="5"/>
      <w:r w:rsidRPr="000D46AF">
        <w:rPr>
          <w:rFonts w:ascii="Palatino Linotype" w:eastAsia="Palatino Linotype" w:hAnsi="Palatino Linotype" w:cs="Palatino Linotype"/>
          <w:b/>
          <w:sz w:val="22"/>
          <w:szCs w:val="22"/>
        </w:rPr>
        <w:t>Segundo. Oportunidad y Procedibilidad del Recurso de Revisión</w:t>
      </w:r>
      <w:r w:rsidRPr="000D46AF">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3C144154" w14:textId="77777777" w:rsidR="00914F94" w:rsidRPr="000D46AF" w:rsidRDefault="00030285">
      <w:pPr>
        <w:spacing w:before="240" w:after="240" w:line="360" w:lineRule="auto"/>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0D46AF">
        <w:rPr>
          <w:rFonts w:ascii="Palatino Linotype" w:eastAsia="Palatino Linotype" w:hAnsi="Palatino Linotype" w:cs="Palatino Linotype"/>
          <w:b/>
          <w:sz w:val="22"/>
          <w:szCs w:val="22"/>
        </w:rPr>
        <w:t xml:space="preserve">Sujeto Obligado </w:t>
      </w:r>
      <w:r w:rsidRPr="000D46AF">
        <w:rPr>
          <w:rFonts w:ascii="Palatino Linotype" w:eastAsia="Palatino Linotype" w:hAnsi="Palatino Linotype" w:cs="Palatino Linotype"/>
          <w:sz w:val="22"/>
          <w:szCs w:val="22"/>
        </w:rPr>
        <w:t xml:space="preserve">remitió la respuesta a la solicitud de </w:t>
      </w:r>
      <w:r w:rsidRPr="000D46AF">
        <w:rPr>
          <w:rFonts w:ascii="Palatino Linotype" w:eastAsia="Palatino Linotype" w:hAnsi="Palatino Linotype" w:cs="Palatino Linotype"/>
          <w:sz w:val="22"/>
          <w:szCs w:val="22"/>
        </w:rPr>
        <w:lastRenderedPageBreak/>
        <w:t xml:space="preserve">información el día </w:t>
      </w:r>
      <w:r w:rsidRPr="000D46AF">
        <w:rPr>
          <w:rFonts w:ascii="Palatino Linotype" w:eastAsia="Palatino Linotype" w:hAnsi="Palatino Linotype" w:cs="Palatino Linotype"/>
          <w:b/>
          <w:sz w:val="22"/>
          <w:szCs w:val="22"/>
        </w:rPr>
        <w:t>veinticinco de marzo de dos mil veinticinco</w:t>
      </w:r>
      <w:r w:rsidRPr="000D46AF">
        <w:rPr>
          <w:rFonts w:ascii="Palatino Linotype" w:eastAsia="Palatino Linotype" w:hAnsi="Palatino Linotype" w:cs="Palatino Linotype"/>
          <w:sz w:val="22"/>
          <w:szCs w:val="22"/>
        </w:rPr>
        <w:t>,</w:t>
      </w:r>
      <w:r w:rsidRPr="000D46AF">
        <w:rPr>
          <w:rFonts w:ascii="Palatino Linotype" w:eastAsia="Palatino Linotype" w:hAnsi="Palatino Linotype" w:cs="Palatino Linotype"/>
          <w:b/>
          <w:sz w:val="22"/>
          <w:szCs w:val="22"/>
        </w:rPr>
        <w:t xml:space="preserve"> </w:t>
      </w:r>
      <w:r w:rsidRPr="000D46AF">
        <w:rPr>
          <w:rFonts w:ascii="Palatino Linotype" w:eastAsia="Palatino Linotype" w:hAnsi="Palatino Linotype" w:cs="Palatino Linotype"/>
          <w:sz w:val="22"/>
          <w:szCs w:val="22"/>
        </w:rPr>
        <w:t xml:space="preserve">mientras que el recurso de revisión interpuesto por la parte </w:t>
      </w:r>
      <w:r w:rsidRPr="000D46AF">
        <w:rPr>
          <w:rFonts w:ascii="Palatino Linotype" w:eastAsia="Palatino Linotype" w:hAnsi="Palatino Linotype" w:cs="Palatino Linotype"/>
          <w:b/>
          <w:sz w:val="22"/>
          <w:szCs w:val="22"/>
        </w:rPr>
        <w:t>Recurrente</w:t>
      </w:r>
      <w:r w:rsidRPr="000D46AF">
        <w:rPr>
          <w:rFonts w:ascii="Palatino Linotype" w:eastAsia="Palatino Linotype" w:hAnsi="Palatino Linotype" w:cs="Palatino Linotype"/>
          <w:sz w:val="22"/>
          <w:szCs w:val="22"/>
        </w:rPr>
        <w:t xml:space="preserve">, se tuvo por presentado el día </w:t>
      </w:r>
      <w:r w:rsidRPr="000D46AF">
        <w:rPr>
          <w:rFonts w:ascii="Palatino Linotype" w:eastAsia="Palatino Linotype" w:hAnsi="Palatino Linotype" w:cs="Palatino Linotype"/>
          <w:b/>
          <w:sz w:val="22"/>
          <w:szCs w:val="22"/>
        </w:rPr>
        <w:t>veinticinco de marzo de dos mil veinticinco</w:t>
      </w:r>
      <w:r w:rsidRPr="000D46AF">
        <w:rPr>
          <w:rFonts w:ascii="Palatino Linotype" w:eastAsia="Palatino Linotype" w:hAnsi="Palatino Linotype" w:cs="Palatino Linotype"/>
          <w:sz w:val="22"/>
          <w:szCs w:val="22"/>
        </w:rPr>
        <w:t xml:space="preserve">, esto es al mismo día hábil en que tuvo conocimiento de la respuesta impugnada. </w:t>
      </w:r>
    </w:p>
    <w:p w14:paraId="701B0EED" w14:textId="77777777" w:rsidR="00914F94" w:rsidRPr="000D46AF" w:rsidRDefault="00030285">
      <w:pPr>
        <w:spacing w:line="360" w:lineRule="auto"/>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sz w:val="22"/>
          <w:szCs w:val="22"/>
        </w:rPr>
        <w:t xml:space="preserve">En este sentido, al considerar la fecha en que se formuló la solicitud y la fecha en que respondió a esta el </w:t>
      </w:r>
      <w:r w:rsidRPr="000D46AF">
        <w:rPr>
          <w:rFonts w:ascii="Palatino Linotype" w:eastAsia="Palatino Linotype" w:hAnsi="Palatino Linotype" w:cs="Palatino Linotype"/>
          <w:b/>
          <w:sz w:val="22"/>
          <w:szCs w:val="22"/>
        </w:rPr>
        <w:t>Sujeto Obligado</w:t>
      </w:r>
      <w:r w:rsidRPr="000D46AF">
        <w:rPr>
          <w:rFonts w:ascii="Palatino Linotype" w:eastAsia="Palatino Linotype" w:hAnsi="Palatino Linotype" w:cs="Palatino Linotype"/>
          <w:sz w:val="22"/>
          <w:szCs w:val="22"/>
        </w:rPr>
        <w:t>; así como la fecha en que se interpuso el recurso de revisión, se concluye que el presente recurso de revisión se encuentra dentro de los márgenes temporales previstos las disposiciones legales referidas.</w:t>
      </w:r>
    </w:p>
    <w:p w14:paraId="59188B03" w14:textId="77777777" w:rsidR="00914F94" w:rsidRPr="000D46AF" w:rsidRDefault="00030285">
      <w:pPr>
        <w:spacing w:before="240" w:after="240" w:line="360" w:lineRule="auto"/>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sz w:val="22"/>
          <w:szCs w:val="22"/>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1D99E81B" w14:textId="77777777" w:rsidR="00914F94" w:rsidRPr="000D46AF" w:rsidRDefault="00030285">
      <w:pPr>
        <w:spacing w:before="120" w:after="120"/>
        <w:ind w:left="851" w:right="902"/>
        <w:jc w:val="both"/>
        <w:rPr>
          <w:rFonts w:ascii="Palatino Linotype" w:eastAsia="Palatino Linotype" w:hAnsi="Palatino Linotype" w:cs="Palatino Linotype"/>
          <w:i/>
          <w:sz w:val="22"/>
          <w:szCs w:val="22"/>
        </w:rPr>
      </w:pPr>
      <w:r w:rsidRPr="000D46AF">
        <w:rPr>
          <w:rFonts w:ascii="Palatino Linotype" w:eastAsia="Palatino Linotype" w:hAnsi="Palatino Linotype" w:cs="Palatino Linotype"/>
          <w:b/>
          <w:i/>
          <w:sz w:val="22"/>
          <w:szCs w:val="22"/>
        </w:rPr>
        <w:t>“RECURSO DE RECLAMACIÓN. SU INTERPOSICIÓN NO ES EXTEMPORÁNEA SI SE REALIZA ANTES DE QUE INICIE EL PLAZO PARA HACERLO</w:t>
      </w:r>
      <w:r w:rsidRPr="000D46AF">
        <w:rPr>
          <w:rFonts w:ascii="Palatino Linotype" w:eastAsia="Palatino Linotype" w:hAnsi="Palatino Linotype" w:cs="Palatino Linotype"/>
          <w:i/>
          <w:sz w:val="22"/>
          <w:szCs w:val="22"/>
        </w:rPr>
        <w:t>.</w:t>
      </w:r>
    </w:p>
    <w:p w14:paraId="346A0A82" w14:textId="77777777" w:rsidR="00914F94" w:rsidRPr="000D46AF" w:rsidRDefault="00030285">
      <w:pPr>
        <w:spacing w:before="120" w:after="120"/>
        <w:ind w:left="851" w:right="902"/>
        <w:jc w:val="both"/>
        <w:rPr>
          <w:rFonts w:ascii="Palatino Linotype" w:eastAsia="Palatino Linotype" w:hAnsi="Palatino Linotype" w:cs="Palatino Linotype"/>
          <w:i/>
          <w:sz w:val="22"/>
          <w:szCs w:val="22"/>
        </w:rPr>
      </w:pPr>
      <w:r w:rsidRPr="000D46AF">
        <w:rPr>
          <w:rFonts w:ascii="Palatino Linotype" w:eastAsia="Palatino Linotype" w:hAnsi="Palatino Linotype" w:cs="Palatino Linotype"/>
          <w:i/>
          <w:sz w:val="22"/>
          <w:szCs w:val="22"/>
        </w:rPr>
        <w:t xml:space="preserve">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w:t>
      </w:r>
      <w:r w:rsidRPr="000D46AF">
        <w:rPr>
          <w:rFonts w:ascii="Palatino Linotype" w:eastAsia="Palatino Linotype" w:hAnsi="Palatino Linotype" w:cs="Palatino Linotype"/>
          <w:i/>
          <w:sz w:val="22"/>
          <w:szCs w:val="22"/>
        </w:rPr>
        <w:lastRenderedPageBreak/>
        <w:t>medio de defensa no puede hacerse valer después de tres días, por tanto, no impide que el escrito correspondiente se presente antes de iniciado ese término. De ahí que si dicho recurso se interpone antes de que inicie el plazo para hacerlo, su presentación no es extemporánea.”(Sic)</w:t>
      </w:r>
    </w:p>
    <w:p w14:paraId="6321E7A1" w14:textId="77777777" w:rsidR="00914F94" w:rsidRPr="000D46AF" w:rsidRDefault="00030285">
      <w:pPr>
        <w:spacing w:before="240" w:after="240" w:line="360" w:lineRule="auto"/>
        <w:jc w:val="both"/>
        <w:rPr>
          <w:rFonts w:ascii="Palatino Linotype" w:eastAsia="Palatino Linotype" w:hAnsi="Palatino Linotype" w:cs="Palatino Linotype"/>
          <w:sz w:val="22"/>
          <w:szCs w:val="22"/>
        </w:rPr>
      </w:pPr>
      <w:bookmarkStart w:id="6" w:name="_heading=h.3znysh7" w:colFirst="0" w:colLast="0"/>
      <w:bookmarkEnd w:id="6"/>
      <w:r w:rsidRPr="000D46AF">
        <w:rPr>
          <w:rFonts w:ascii="Palatino Linotype" w:eastAsia="Palatino Linotype" w:hAnsi="Palatino Linotype" w:cs="Palatino Linotype"/>
          <w:sz w:val="22"/>
          <w:szCs w:val="22"/>
        </w:rPr>
        <w:t>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26BFF37E" w14:textId="77777777" w:rsidR="00914F94" w:rsidRPr="000D46AF" w:rsidRDefault="00030285">
      <w:pPr>
        <w:spacing w:before="240" w:after="240" w:line="360" w:lineRule="auto"/>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sz w:val="22"/>
          <w:szCs w:val="22"/>
        </w:rPr>
        <w:t>A efecto de sustentar lo anterior, es de suma importancia mencionar que si bien la persona solicitante</w:t>
      </w:r>
      <w:r w:rsidRPr="000D46AF">
        <w:rPr>
          <w:rFonts w:ascii="Palatino Linotype" w:eastAsia="Palatino Linotype" w:hAnsi="Palatino Linotype" w:cs="Palatino Linotype"/>
          <w:b/>
          <w:sz w:val="22"/>
          <w:szCs w:val="22"/>
        </w:rPr>
        <w:t xml:space="preserve"> proporcionó un seudónimo, </w:t>
      </w:r>
      <w:r w:rsidRPr="000D46AF">
        <w:rPr>
          <w:rFonts w:ascii="Palatino Linotype" w:eastAsia="Palatino Linotype" w:hAnsi="Palatino Linotype" w:cs="Palatino Linotype"/>
          <w:sz w:val="22"/>
          <w:szCs w:val="22"/>
        </w:rPr>
        <w:t>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2CECE0BF" w14:textId="77777777" w:rsidR="00914F94" w:rsidRPr="000D46AF" w:rsidRDefault="00030285">
      <w:pPr>
        <w:spacing w:before="120" w:after="120"/>
        <w:ind w:left="851" w:right="902"/>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i/>
          <w:sz w:val="22"/>
          <w:szCs w:val="22"/>
        </w:rPr>
        <w:t>"</w:t>
      </w:r>
      <w:r w:rsidRPr="000D46AF">
        <w:rPr>
          <w:rFonts w:ascii="Palatino Linotype" w:eastAsia="Palatino Linotype" w:hAnsi="Palatino Linotype" w:cs="Palatino Linotype"/>
          <w:b/>
          <w:i/>
          <w:sz w:val="22"/>
          <w:szCs w:val="22"/>
        </w:rPr>
        <w:t xml:space="preserve">Las solicitudes </w:t>
      </w:r>
      <w:r w:rsidRPr="000D46AF">
        <w:rPr>
          <w:rFonts w:ascii="Palatino Linotype" w:eastAsia="Palatino Linotype" w:hAnsi="Palatino Linotype" w:cs="Palatino Linotype"/>
          <w:i/>
          <w:sz w:val="22"/>
          <w:szCs w:val="22"/>
        </w:rPr>
        <w:t xml:space="preserve">anónimas, con nombre incompleto </w:t>
      </w:r>
      <w:r w:rsidRPr="000D46AF">
        <w:rPr>
          <w:rFonts w:ascii="Palatino Linotype" w:eastAsia="Palatino Linotype" w:hAnsi="Palatino Linotype" w:cs="Palatino Linotype"/>
          <w:b/>
          <w:i/>
          <w:sz w:val="22"/>
          <w:szCs w:val="22"/>
        </w:rPr>
        <w:t>o seudónimo serán procedentes para su trámite por parte del sujeto obligado ante quien se presente</w:t>
      </w:r>
      <w:r w:rsidRPr="000D46AF">
        <w:rPr>
          <w:rFonts w:ascii="Palatino Linotype" w:eastAsia="Palatino Linotype" w:hAnsi="Palatino Linotype" w:cs="Palatino Linotype"/>
          <w:i/>
          <w:sz w:val="22"/>
          <w:szCs w:val="22"/>
        </w:rPr>
        <w:t>. No podrá requerirse información adicional con motivo del nombre proporcionado por el solicitante."</w:t>
      </w:r>
    </w:p>
    <w:p w14:paraId="1676CD2A" w14:textId="77777777" w:rsidR="00914F94" w:rsidRPr="000D46AF" w:rsidRDefault="00030285">
      <w:pPr>
        <w:spacing w:before="240" w:after="240" w:line="360" w:lineRule="auto"/>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sz w:val="22"/>
          <w:szCs w:val="22"/>
        </w:rPr>
        <w:t xml:space="preserve">En el mismo tenor, el propio artículo 180 de la Ley de Transparencia local citado, en su último párrafo establece que cuando el recurso se interponga de manera electrónica, no será indispensable que contenga determinados requisitos, entre ellos, el nombre de la parte </w:t>
      </w:r>
      <w:r w:rsidRPr="000D46AF">
        <w:rPr>
          <w:rFonts w:ascii="Palatino Linotype" w:eastAsia="Palatino Linotype" w:hAnsi="Palatino Linotype" w:cs="Palatino Linotype"/>
          <w:b/>
          <w:sz w:val="22"/>
          <w:szCs w:val="22"/>
        </w:rPr>
        <w:t>Recurrente</w:t>
      </w:r>
      <w:r w:rsidRPr="000D46AF">
        <w:rPr>
          <w:rFonts w:ascii="Palatino Linotype" w:eastAsia="Palatino Linotype" w:hAnsi="Palatino Linotype" w:cs="Palatino Linotype"/>
          <w:sz w:val="22"/>
          <w:szCs w:val="22"/>
        </w:rPr>
        <w:t>, por lo que, en el presente caso, al haber sido presentado el recurso de revisión vía SAIMEX, dicho requisito resulta innecesario.</w:t>
      </w:r>
    </w:p>
    <w:p w14:paraId="66A98C90" w14:textId="77777777" w:rsidR="00914F94" w:rsidRPr="000D46AF" w:rsidRDefault="00030285">
      <w:pPr>
        <w:spacing w:before="240" w:after="240" w:line="360" w:lineRule="auto"/>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sz w:val="22"/>
          <w:szCs w:val="22"/>
        </w:rPr>
        <w:lastRenderedPageBreak/>
        <w:t xml:space="preserve">Finalmente, se advierte que resulta procedente la interposición del recurso, según lo manifestado por la parte </w:t>
      </w:r>
      <w:r w:rsidRPr="000D46AF">
        <w:rPr>
          <w:rFonts w:ascii="Palatino Linotype" w:eastAsia="Palatino Linotype" w:hAnsi="Palatino Linotype" w:cs="Palatino Linotype"/>
          <w:b/>
          <w:sz w:val="22"/>
          <w:szCs w:val="22"/>
        </w:rPr>
        <w:t>Recurrente</w:t>
      </w:r>
      <w:r w:rsidRPr="000D46AF">
        <w:rPr>
          <w:rFonts w:ascii="Palatino Linotype" w:eastAsia="Palatino Linotype" w:hAnsi="Palatino Linotype" w:cs="Palatino Linotype"/>
          <w:sz w:val="22"/>
          <w:szCs w:val="22"/>
        </w:rPr>
        <w:t xml:space="preserve"> en sus motivos de inconformidad, de acuerdo al artículo 179, fracción II del ordenamiento legal citado, que a la letra dice: </w:t>
      </w:r>
    </w:p>
    <w:p w14:paraId="11825505" w14:textId="77777777" w:rsidR="00914F94" w:rsidRPr="000D46AF" w:rsidRDefault="00030285">
      <w:pPr>
        <w:spacing w:before="120" w:after="120"/>
        <w:ind w:left="851" w:right="902"/>
        <w:jc w:val="both"/>
        <w:rPr>
          <w:rFonts w:ascii="Palatino Linotype" w:eastAsia="Palatino Linotype" w:hAnsi="Palatino Linotype" w:cs="Palatino Linotype"/>
          <w:i/>
          <w:sz w:val="22"/>
          <w:szCs w:val="22"/>
        </w:rPr>
      </w:pPr>
      <w:r w:rsidRPr="000D46AF">
        <w:rPr>
          <w:rFonts w:ascii="Palatino Linotype" w:eastAsia="Palatino Linotype" w:hAnsi="Palatino Linotype" w:cs="Palatino Linotype"/>
          <w:i/>
          <w:sz w:val="22"/>
          <w:szCs w:val="22"/>
        </w:rPr>
        <w:t>“</w:t>
      </w:r>
      <w:r w:rsidRPr="000D46AF">
        <w:rPr>
          <w:rFonts w:ascii="Palatino Linotype" w:eastAsia="Palatino Linotype" w:hAnsi="Palatino Linotype" w:cs="Palatino Linotype"/>
          <w:b/>
          <w:i/>
          <w:sz w:val="22"/>
          <w:szCs w:val="22"/>
        </w:rPr>
        <w:t>Artículo 179.</w:t>
      </w:r>
      <w:r w:rsidRPr="000D46AF">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50045916" w14:textId="77777777" w:rsidR="00914F94" w:rsidRPr="000D46AF" w:rsidRDefault="00030285">
      <w:pPr>
        <w:spacing w:before="120" w:after="120"/>
        <w:ind w:left="851" w:right="902"/>
        <w:jc w:val="both"/>
        <w:rPr>
          <w:rFonts w:ascii="Palatino Linotype" w:eastAsia="Palatino Linotype" w:hAnsi="Palatino Linotype" w:cs="Palatino Linotype"/>
          <w:i/>
          <w:sz w:val="22"/>
          <w:szCs w:val="22"/>
        </w:rPr>
      </w:pPr>
      <w:r w:rsidRPr="000D46AF">
        <w:rPr>
          <w:rFonts w:ascii="Palatino Linotype" w:eastAsia="Palatino Linotype" w:hAnsi="Palatino Linotype" w:cs="Palatino Linotype"/>
          <w:i/>
          <w:sz w:val="22"/>
          <w:szCs w:val="22"/>
        </w:rPr>
        <w:t>…</w:t>
      </w:r>
    </w:p>
    <w:p w14:paraId="51DA8AA4" w14:textId="77777777" w:rsidR="00914F94" w:rsidRPr="000D46AF" w:rsidRDefault="00030285">
      <w:pPr>
        <w:spacing w:before="120" w:after="120"/>
        <w:ind w:left="851" w:right="902"/>
        <w:jc w:val="both"/>
        <w:rPr>
          <w:rFonts w:ascii="Palatino Linotype" w:eastAsia="Palatino Linotype" w:hAnsi="Palatino Linotype" w:cs="Palatino Linotype"/>
          <w:i/>
          <w:sz w:val="22"/>
          <w:szCs w:val="22"/>
        </w:rPr>
      </w:pPr>
      <w:r w:rsidRPr="000D46AF">
        <w:rPr>
          <w:rFonts w:ascii="Palatino Linotype" w:eastAsia="Palatino Linotype" w:hAnsi="Palatino Linotype" w:cs="Palatino Linotype"/>
          <w:b/>
          <w:i/>
          <w:sz w:val="22"/>
          <w:szCs w:val="22"/>
        </w:rPr>
        <w:t>II. La clasificación de la información</w:t>
      </w:r>
      <w:r w:rsidRPr="000D46AF">
        <w:rPr>
          <w:rFonts w:ascii="Palatino Linotype" w:eastAsia="Palatino Linotype" w:hAnsi="Palatino Linotype" w:cs="Palatino Linotype"/>
          <w:i/>
          <w:sz w:val="22"/>
          <w:szCs w:val="22"/>
        </w:rPr>
        <w:t>;</w:t>
      </w:r>
    </w:p>
    <w:p w14:paraId="480593C3" w14:textId="77777777" w:rsidR="00914F94" w:rsidRPr="000D46AF" w:rsidRDefault="00030285">
      <w:pPr>
        <w:spacing w:before="120" w:after="120"/>
        <w:ind w:left="851" w:right="902"/>
        <w:jc w:val="both"/>
        <w:rPr>
          <w:rFonts w:ascii="Palatino Linotype" w:eastAsia="Palatino Linotype" w:hAnsi="Palatino Linotype" w:cs="Palatino Linotype"/>
          <w:i/>
          <w:sz w:val="22"/>
          <w:szCs w:val="22"/>
        </w:rPr>
      </w:pPr>
      <w:r w:rsidRPr="000D46AF">
        <w:rPr>
          <w:rFonts w:ascii="Palatino Linotype" w:eastAsia="Palatino Linotype" w:hAnsi="Palatino Linotype" w:cs="Palatino Linotype"/>
          <w:i/>
          <w:sz w:val="22"/>
          <w:szCs w:val="22"/>
        </w:rPr>
        <w:t>…”</w:t>
      </w:r>
    </w:p>
    <w:p w14:paraId="1902860B" w14:textId="77777777" w:rsidR="00914F94" w:rsidRPr="000D46AF" w:rsidRDefault="00030285">
      <w:pPr>
        <w:spacing w:before="240" w:after="240" w:line="360" w:lineRule="auto"/>
        <w:jc w:val="both"/>
        <w:rPr>
          <w:rFonts w:ascii="Palatino Linotype" w:eastAsia="Palatino Linotype" w:hAnsi="Palatino Linotype" w:cs="Palatino Linotype"/>
          <w:b/>
          <w:sz w:val="22"/>
          <w:szCs w:val="22"/>
        </w:rPr>
      </w:pPr>
      <w:r w:rsidRPr="000D46AF">
        <w:rPr>
          <w:rFonts w:ascii="Palatino Linotype" w:eastAsia="Palatino Linotype" w:hAnsi="Palatino Linotype" w:cs="Palatino Linotype"/>
          <w:b/>
          <w:sz w:val="22"/>
          <w:szCs w:val="22"/>
        </w:rPr>
        <w:t xml:space="preserve">Tercero. Materia de la revisión. </w:t>
      </w:r>
      <w:r w:rsidRPr="000D46AF">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verificar si la información proporcionada por el Sujeto Obligado es adecuada y suficiente para satisfacer el derecho de acceso a la información pública de la parte </w:t>
      </w:r>
      <w:r w:rsidRPr="000D46AF">
        <w:rPr>
          <w:rFonts w:ascii="Palatino Linotype" w:eastAsia="Palatino Linotype" w:hAnsi="Palatino Linotype" w:cs="Palatino Linotype"/>
          <w:b/>
          <w:sz w:val="22"/>
          <w:szCs w:val="22"/>
        </w:rPr>
        <w:t>Recurrente</w:t>
      </w:r>
      <w:r w:rsidRPr="000D46AF">
        <w:rPr>
          <w:rFonts w:ascii="Palatino Linotype" w:eastAsia="Palatino Linotype" w:hAnsi="Palatino Linotype" w:cs="Palatino Linotype"/>
          <w:sz w:val="22"/>
          <w:szCs w:val="22"/>
        </w:rPr>
        <w:t>, o en su defecto, en caso de ser procedente, ordenar la entrega de información.</w:t>
      </w:r>
    </w:p>
    <w:p w14:paraId="10DD248C" w14:textId="77777777" w:rsidR="00914F94" w:rsidRPr="000D46AF" w:rsidRDefault="00030285">
      <w:pPr>
        <w:spacing w:before="240" w:after="240" w:line="360" w:lineRule="auto"/>
        <w:jc w:val="both"/>
        <w:rPr>
          <w:rFonts w:ascii="Palatino Linotype" w:eastAsia="Palatino Linotype" w:hAnsi="Palatino Linotype" w:cs="Palatino Linotype"/>
          <w:sz w:val="22"/>
          <w:szCs w:val="22"/>
        </w:rPr>
      </w:pPr>
      <w:bookmarkStart w:id="7" w:name="_heading=h.2et92p0" w:colFirst="0" w:colLast="0"/>
      <w:bookmarkEnd w:id="7"/>
      <w:r w:rsidRPr="000D46AF">
        <w:rPr>
          <w:rFonts w:ascii="Palatino Linotype" w:eastAsia="Palatino Linotype" w:hAnsi="Palatino Linotype" w:cs="Palatino Linotype"/>
          <w:b/>
          <w:sz w:val="22"/>
          <w:szCs w:val="22"/>
        </w:rPr>
        <w:t xml:space="preserve">Cuarto. Estudio del asunto. </w:t>
      </w:r>
      <w:r w:rsidRPr="000D46AF">
        <w:rPr>
          <w:rFonts w:ascii="Palatino Linotype" w:eastAsia="Palatino Linotype" w:hAnsi="Palatino Linotype" w:cs="Palatino Linotype"/>
          <w:sz w:val="22"/>
          <w:szCs w:val="22"/>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0ECFCC74" w14:textId="77777777" w:rsidR="00914F94" w:rsidRPr="000D46AF" w:rsidRDefault="00030285">
      <w:pPr>
        <w:spacing w:before="120" w:after="120"/>
        <w:ind w:left="851" w:right="902"/>
        <w:jc w:val="both"/>
        <w:rPr>
          <w:rFonts w:ascii="Palatino Linotype" w:eastAsia="Palatino Linotype" w:hAnsi="Palatino Linotype" w:cs="Palatino Linotype"/>
          <w:i/>
          <w:sz w:val="22"/>
          <w:szCs w:val="22"/>
        </w:rPr>
      </w:pPr>
      <w:r w:rsidRPr="000D46AF">
        <w:rPr>
          <w:rFonts w:ascii="Palatino Linotype" w:eastAsia="Palatino Linotype" w:hAnsi="Palatino Linotype" w:cs="Palatino Linotype"/>
          <w:i/>
          <w:sz w:val="22"/>
          <w:szCs w:val="22"/>
        </w:rPr>
        <w:lastRenderedPageBreak/>
        <w:t>“</w:t>
      </w:r>
      <w:r w:rsidRPr="000D46AF">
        <w:rPr>
          <w:rFonts w:ascii="Palatino Linotype" w:eastAsia="Palatino Linotype" w:hAnsi="Palatino Linotype" w:cs="Palatino Linotype"/>
          <w:b/>
          <w:i/>
          <w:sz w:val="22"/>
          <w:szCs w:val="22"/>
        </w:rPr>
        <w:t>Artículo 4</w:t>
      </w:r>
      <w:r w:rsidRPr="000D46AF">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4E33D74" w14:textId="77777777" w:rsidR="00914F94" w:rsidRPr="000D46AF" w:rsidRDefault="00030285">
      <w:pPr>
        <w:spacing w:before="120" w:after="120"/>
        <w:ind w:left="851" w:right="902"/>
        <w:jc w:val="both"/>
        <w:rPr>
          <w:rFonts w:ascii="Palatino Linotype" w:eastAsia="Palatino Linotype" w:hAnsi="Palatino Linotype" w:cs="Palatino Linotype"/>
          <w:i/>
          <w:sz w:val="22"/>
          <w:szCs w:val="22"/>
        </w:rPr>
      </w:pPr>
      <w:r w:rsidRPr="000D46AF">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0D46AF">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CB977A3" w14:textId="77777777" w:rsidR="00914F94" w:rsidRPr="000D46AF" w:rsidRDefault="00030285">
      <w:pPr>
        <w:spacing w:before="120" w:after="120"/>
        <w:ind w:left="851" w:right="902"/>
        <w:jc w:val="both"/>
        <w:rPr>
          <w:rFonts w:ascii="Palatino Linotype" w:eastAsia="Palatino Linotype" w:hAnsi="Palatino Linotype" w:cs="Palatino Linotype"/>
          <w:i/>
          <w:sz w:val="22"/>
          <w:szCs w:val="22"/>
        </w:rPr>
      </w:pPr>
      <w:r w:rsidRPr="000D46AF">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0D46AF">
        <w:rPr>
          <w:rFonts w:ascii="Palatino Linotype" w:eastAsia="Palatino Linotype" w:hAnsi="Palatino Linotype" w:cs="Palatino Linotype"/>
          <w:i/>
          <w:sz w:val="22"/>
          <w:szCs w:val="22"/>
        </w:rPr>
        <w:t>.”</w:t>
      </w:r>
    </w:p>
    <w:p w14:paraId="622F82A7" w14:textId="77777777" w:rsidR="00914F94" w:rsidRPr="000D46AF" w:rsidRDefault="00030285">
      <w:pPr>
        <w:spacing w:before="240" w:after="240" w:line="360" w:lineRule="auto"/>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53B423B9" w14:textId="77777777" w:rsidR="00914F94" w:rsidRPr="000D46AF" w:rsidRDefault="00030285">
      <w:pPr>
        <w:spacing w:before="120" w:after="120"/>
        <w:ind w:left="851" w:right="902"/>
        <w:jc w:val="both"/>
        <w:rPr>
          <w:rFonts w:ascii="Palatino Linotype" w:eastAsia="Palatino Linotype" w:hAnsi="Palatino Linotype" w:cs="Palatino Linotype"/>
          <w:i/>
          <w:sz w:val="22"/>
          <w:szCs w:val="22"/>
        </w:rPr>
      </w:pPr>
      <w:r w:rsidRPr="000D46AF">
        <w:rPr>
          <w:rFonts w:ascii="Palatino Linotype" w:eastAsia="Palatino Linotype" w:hAnsi="Palatino Linotype" w:cs="Palatino Linotype"/>
          <w:b/>
          <w:i/>
          <w:sz w:val="22"/>
          <w:szCs w:val="22"/>
        </w:rPr>
        <w:t>“Artículo 12.-</w:t>
      </w:r>
      <w:r w:rsidRPr="000D46AF">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40CB4EFE" w14:textId="77777777" w:rsidR="00914F94" w:rsidRPr="000D46AF" w:rsidRDefault="00030285">
      <w:pPr>
        <w:spacing w:before="120" w:after="120"/>
        <w:ind w:left="851" w:right="902"/>
        <w:jc w:val="both"/>
        <w:rPr>
          <w:rFonts w:ascii="Palatino Linotype" w:eastAsia="Palatino Linotype" w:hAnsi="Palatino Linotype" w:cs="Palatino Linotype"/>
          <w:i/>
          <w:sz w:val="22"/>
          <w:szCs w:val="22"/>
        </w:rPr>
      </w:pPr>
      <w:r w:rsidRPr="000D46AF">
        <w:rPr>
          <w:rFonts w:ascii="Palatino Linotype" w:eastAsia="Palatino Linotype" w:hAnsi="Palatino Linotype" w:cs="Palatino Linotype"/>
          <w:b/>
          <w:i/>
          <w:sz w:val="22"/>
          <w:szCs w:val="22"/>
        </w:rPr>
        <w:t xml:space="preserve">Los sujetos obligados sólo proporcionarán la información pública que se les requiera y que obre en sus archivos y en el estado en que ésta se </w:t>
      </w:r>
      <w:r w:rsidRPr="000D46AF">
        <w:rPr>
          <w:rFonts w:ascii="Palatino Linotype" w:eastAsia="Palatino Linotype" w:hAnsi="Palatino Linotype" w:cs="Palatino Linotype"/>
          <w:b/>
          <w:i/>
          <w:sz w:val="22"/>
          <w:szCs w:val="22"/>
        </w:rPr>
        <w:lastRenderedPageBreak/>
        <w:t>encuentre</w:t>
      </w:r>
      <w:r w:rsidRPr="000D46AF">
        <w:rPr>
          <w:rFonts w:ascii="Palatino Linotype" w:eastAsia="Palatino Linotype" w:hAnsi="Palatino Linotype" w:cs="Palatino Linotype"/>
          <w:i/>
          <w:sz w:val="22"/>
          <w:szCs w:val="22"/>
        </w:rPr>
        <w:t xml:space="preserve">. </w:t>
      </w:r>
      <w:r w:rsidRPr="000D46AF">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p>
    <w:p w14:paraId="52A2377F" w14:textId="77777777" w:rsidR="00914F94" w:rsidRPr="000D46AF" w:rsidRDefault="00030285">
      <w:pPr>
        <w:spacing w:before="240" w:after="240" w:line="360" w:lineRule="auto"/>
        <w:ind w:right="-93"/>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3437D915" w14:textId="77777777" w:rsidR="00914F94" w:rsidRPr="000D46AF" w:rsidRDefault="00030285">
      <w:pPr>
        <w:spacing w:before="240" w:after="240" w:line="360" w:lineRule="auto"/>
        <w:jc w:val="both"/>
        <w:rPr>
          <w:rFonts w:ascii="Palatino Linotype" w:eastAsia="Palatino Linotype" w:hAnsi="Palatino Linotype" w:cs="Palatino Linotype"/>
          <w:b/>
          <w:sz w:val="22"/>
          <w:szCs w:val="22"/>
        </w:rPr>
      </w:pPr>
      <w:r w:rsidRPr="000D46AF">
        <w:rPr>
          <w:rFonts w:ascii="Palatino Linotype" w:eastAsia="Palatino Linotype" w:hAnsi="Palatino Linotype" w:cs="Palatino Linotype"/>
          <w:sz w:val="22"/>
          <w:szCs w:val="22"/>
        </w:rPr>
        <w:t>Sirve de apoyo a lo anterior, el criterio 03/17, emitido por el Instituto Nacional de Transparencia, Acceso a la Información y Protección de Datos Personales, que por rubro y texto, dispone lo siguiente:</w:t>
      </w:r>
      <w:r w:rsidRPr="000D46AF">
        <w:rPr>
          <w:rFonts w:ascii="Palatino Linotype" w:eastAsia="Palatino Linotype" w:hAnsi="Palatino Linotype" w:cs="Palatino Linotype"/>
          <w:b/>
          <w:sz w:val="22"/>
          <w:szCs w:val="22"/>
        </w:rPr>
        <w:t xml:space="preserve"> </w:t>
      </w:r>
    </w:p>
    <w:p w14:paraId="5D8FBB37" w14:textId="77777777" w:rsidR="00914F94" w:rsidRPr="000D46AF" w:rsidRDefault="00030285">
      <w:pPr>
        <w:spacing w:before="120" w:after="120"/>
        <w:ind w:left="1134" w:right="902"/>
        <w:jc w:val="both"/>
        <w:rPr>
          <w:rFonts w:ascii="Palatino Linotype" w:eastAsia="Palatino Linotype" w:hAnsi="Palatino Linotype" w:cs="Palatino Linotype"/>
          <w:i/>
          <w:sz w:val="22"/>
          <w:szCs w:val="22"/>
        </w:rPr>
      </w:pPr>
      <w:r w:rsidRPr="000D46AF">
        <w:rPr>
          <w:rFonts w:ascii="Palatino Linotype" w:eastAsia="Palatino Linotype" w:hAnsi="Palatino Linotype" w:cs="Palatino Linotype"/>
          <w:i/>
          <w:sz w:val="22"/>
          <w:szCs w:val="22"/>
        </w:rPr>
        <w:t>“</w:t>
      </w:r>
      <w:r w:rsidRPr="000D46AF">
        <w:rPr>
          <w:rFonts w:ascii="Palatino Linotype" w:eastAsia="Palatino Linotype" w:hAnsi="Palatino Linotype" w:cs="Palatino Linotype"/>
          <w:b/>
          <w:i/>
          <w:sz w:val="22"/>
          <w:szCs w:val="22"/>
        </w:rPr>
        <w:t>No existe obligación de elaborar documentos ad hoc para atender las solicitudes de acceso a la información.</w:t>
      </w:r>
      <w:r w:rsidRPr="000D46AF">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(Sic)</w:t>
      </w:r>
    </w:p>
    <w:p w14:paraId="6E0E1CD9" w14:textId="77777777" w:rsidR="00914F94" w:rsidRPr="000D46AF" w:rsidRDefault="00030285">
      <w:pPr>
        <w:spacing w:before="120" w:after="120" w:line="360" w:lineRule="auto"/>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sz w:val="22"/>
          <w:szCs w:val="22"/>
        </w:rPr>
        <w:lastRenderedPageBreak/>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E7591F1" w14:textId="77777777" w:rsidR="00914F94" w:rsidRPr="000D46AF" w:rsidRDefault="00030285">
      <w:pPr>
        <w:spacing w:before="120" w:after="120" w:line="360" w:lineRule="auto"/>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F6C8D9C" w14:textId="77777777" w:rsidR="00914F94" w:rsidRPr="000D46AF" w:rsidRDefault="00030285">
      <w:pPr>
        <w:ind w:left="851" w:right="616"/>
        <w:jc w:val="both"/>
        <w:rPr>
          <w:rFonts w:ascii="Palatino Linotype" w:eastAsia="Palatino Linotype" w:hAnsi="Palatino Linotype" w:cs="Palatino Linotype"/>
          <w:i/>
          <w:sz w:val="22"/>
          <w:szCs w:val="22"/>
        </w:rPr>
      </w:pPr>
      <w:r w:rsidRPr="000D46AF">
        <w:rPr>
          <w:rFonts w:ascii="Palatino Linotype" w:eastAsia="Palatino Linotype" w:hAnsi="Palatino Linotype" w:cs="Palatino Linotype"/>
          <w:i/>
          <w:sz w:val="22"/>
          <w:szCs w:val="22"/>
        </w:rPr>
        <w:t>“</w:t>
      </w:r>
      <w:r w:rsidRPr="000D46AF">
        <w:rPr>
          <w:rFonts w:ascii="Palatino Linotype" w:eastAsia="Palatino Linotype" w:hAnsi="Palatino Linotype" w:cs="Palatino Linotype"/>
          <w:b/>
          <w:i/>
          <w:sz w:val="22"/>
          <w:szCs w:val="22"/>
        </w:rPr>
        <w:t xml:space="preserve">Artículo 3. </w:t>
      </w:r>
      <w:r w:rsidRPr="000D46AF">
        <w:rPr>
          <w:rFonts w:ascii="Palatino Linotype" w:eastAsia="Palatino Linotype" w:hAnsi="Palatino Linotype" w:cs="Palatino Linotype"/>
          <w:i/>
          <w:sz w:val="22"/>
          <w:szCs w:val="22"/>
        </w:rPr>
        <w:t>Para los efectos de la presente Ley se entenderá por:</w:t>
      </w:r>
    </w:p>
    <w:p w14:paraId="32818951" w14:textId="77777777" w:rsidR="00914F94" w:rsidRPr="000D46AF" w:rsidRDefault="00030285">
      <w:pPr>
        <w:ind w:left="851" w:right="616"/>
        <w:jc w:val="both"/>
        <w:rPr>
          <w:rFonts w:ascii="Palatino Linotype" w:eastAsia="Palatino Linotype" w:hAnsi="Palatino Linotype" w:cs="Palatino Linotype"/>
          <w:i/>
          <w:sz w:val="22"/>
          <w:szCs w:val="22"/>
        </w:rPr>
      </w:pPr>
      <w:r w:rsidRPr="000D46AF">
        <w:rPr>
          <w:rFonts w:ascii="Palatino Linotype" w:eastAsia="Palatino Linotype" w:hAnsi="Palatino Linotype" w:cs="Palatino Linotype"/>
          <w:i/>
          <w:sz w:val="22"/>
          <w:szCs w:val="22"/>
        </w:rPr>
        <w:t>…</w:t>
      </w:r>
    </w:p>
    <w:p w14:paraId="2E7DB4C7" w14:textId="77777777" w:rsidR="00914F94" w:rsidRPr="000D46AF" w:rsidRDefault="00030285">
      <w:pPr>
        <w:ind w:left="851" w:right="616"/>
        <w:jc w:val="both"/>
        <w:rPr>
          <w:rFonts w:ascii="Palatino Linotype" w:eastAsia="Palatino Linotype" w:hAnsi="Palatino Linotype" w:cs="Palatino Linotype"/>
          <w:i/>
          <w:sz w:val="22"/>
          <w:szCs w:val="22"/>
        </w:rPr>
      </w:pPr>
      <w:r w:rsidRPr="000D46AF">
        <w:rPr>
          <w:rFonts w:ascii="Palatino Linotype" w:eastAsia="Palatino Linotype" w:hAnsi="Palatino Linotype" w:cs="Palatino Linotype"/>
          <w:b/>
          <w:i/>
          <w:sz w:val="22"/>
          <w:szCs w:val="22"/>
        </w:rPr>
        <w:t>XI. Documento:</w:t>
      </w:r>
      <w:r w:rsidRPr="000D46AF">
        <w:rPr>
          <w:rFonts w:ascii="Palatino Linotype" w:eastAsia="Palatino Linotype" w:hAnsi="Palatino Linotype" w:cs="Palatino Linotype"/>
          <w:i/>
          <w:sz w:val="22"/>
          <w:szCs w:val="22"/>
        </w:rPr>
        <w:t xml:space="preserve"> Los expedientes, reportes, estudios, actas</w:t>
      </w:r>
      <w:r w:rsidRPr="000D46AF">
        <w:rPr>
          <w:rFonts w:ascii="Palatino Linotype" w:eastAsia="Palatino Linotype" w:hAnsi="Palatino Linotype" w:cs="Palatino Linotype"/>
          <w:b/>
          <w:i/>
          <w:sz w:val="22"/>
          <w:szCs w:val="22"/>
        </w:rPr>
        <w:t>,</w:t>
      </w:r>
      <w:r w:rsidRPr="000D46AF">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278D13A8" w14:textId="77777777" w:rsidR="00914F94" w:rsidRPr="000D46AF" w:rsidRDefault="00030285">
      <w:pPr>
        <w:spacing w:before="240" w:after="240" w:line="360" w:lineRule="auto"/>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sz w:val="22"/>
          <w:szCs w:val="22"/>
        </w:rPr>
        <w:t xml:space="preserve">Es aplicable, el Criterio de interpretación en el orden administrativo número 0002-11, emitido por Acuerdo del Pleno del Instituto de Transparencia y Acceso a la Información Pública del Estado de México y Municipios; publicado en el Periódico Oficial del Gobierno </w:t>
      </w:r>
      <w:r w:rsidRPr="000D46AF">
        <w:rPr>
          <w:rFonts w:ascii="Palatino Linotype" w:eastAsia="Palatino Linotype" w:hAnsi="Palatino Linotype" w:cs="Palatino Linotype"/>
          <w:sz w:val="22"/>
          <w:szCs w:val="22"/>
        </w:rPr>
        <w:lastRenderedPageBreak/>
        <w:t>del Estado Libre y Soberano de México “Gaceta del Gobierno”, el diecinueve de octubre de dos mil once, cuyo rubro y texto refieren lo siguiente:</w:t>
      </w:r>
    </w:p>
    <w:p w14:paraId="6A37D3F1" w14:textId="77777777" w:rsidR="00914F94" w:rsidRPr="000D46AF" w:rsidRDefault="00030285">
      <w:pPr>
        <w:spacing w:before="120" w:after="120"/>
        <w:ind w:left="851" w:right="902"/>
        <w:jc w:val="both"/>
        <w:rPr>
          <w:rFonts w:ascii="Palatino Linotype" w:eastAsia="Palatino Linotype" w:hAnsi="Palatino Linotype" w:cs="Palatino Linotype"/>
          <w:i/>
          <w:sz w:val="22"/>
          <w:szCs w:val="22"/>
        </w:rPr>
      </w:pPr>
      <w:r w:rsidRPr="000D46AF">
        <w:rPr>
          <w:rFonts w:ascii="Palatino Linotype" w:eastAsia="Palatino Linotype" w:hAnsi="Palatino Linotype" w:cs="Palatino Linotype"/>
          <w:b/>
          <w:sz w:val="22"/>
          <w:szCs w:val="22"/>
        </w:rPr>
        <w:t>“</w:t>
      </w:r>
      <w:r w:rsidRPr="000D46AF">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0D46AF">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ACAC26D" w14:textId="77777777" w:rsidR="00914F94" w:rsidRPr="000D46AF" w:rsidRDefault="00030285">
      <w:pPr>
        <w:spacing w:before="120" w:after="120"/>
        <w:ind w:left="851" w:right="902"/>
        <w:jc w:val="both"/>
        <w:rPr>
          <w:rFonts w:ascii="Palatino Linotype" w:eastAsia="Palatino Linotype" w:hAnsi="Palatino Linotype" w:cs="Palatino Linotype"/>
          <w:i/>
          <w:sz w:val="22"/>
          <w:szCs w:val="22"/>
        </w:rPr>
      </w:pPr>
      <w:r w:rsidRPr="000D46AF">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4F91D5CB" w14:textId="77777777" w:rsidR="00914F94" w:rsidRPr="000D46AF" w:rsidRDefault="00030285">
      <w:pPr>
        <w:spacing w:before="120" w:after="120"/>
        <w:ind w:left="1134" w:right="902"/>
        <w:jc w:val="both"/>
        <w:rPr>
          <w:rFonts w:ascii="Palatino Linotype" w:eastAsia="Palatino Linotype" w:hAnsi="Palatino Linotype" w:cs="Palatino Linotype"/>
          <w:i/>
          <w:sz w:val="22"/>
          <w:szCs w:val="22"/>
        </w:rPr>
      </w:pPr>
      <w:r w:rsidRPr="000D46AF">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28C3B2E0" w14:textId="77777777" w:rsidR="00914F94" w:rsidRPr="000D46AF" w:rsidRDefault="00030285">
      <w:pPr>
        <w:spacing w:before="120" w:after="120"/>
        <w:ind w:left="1134" w:right="902"/>
        <w:jc w:val="both"/>
        <w:rPr>
          <w:rFonts w:ascii="Palatino Linotype" w:eastAsia="Palatino Linotype" w:hAnsi="Palatino Linotype" w:cs="Palatino Linotype"/>
          <w:i/>
          <w:sz w:val="22"/>
          <w:szCs w:val="22"/>
        </w:rPr>
      </w:pPr>
      <w:r w:rsidRPr="000D46AF">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14:paraId="76B204F4" w14:textId="77777777" w:rsidR="00914F94" w:rsidRPr="000D46AF" w:rsidRDefault="00030285">
      <w:pPr>
        <w:spacing w:before="120" w:after="120"/>
        <w:ind w:left="1134" w:right="902"/>
        <w:jc w:val="both"/>
        <w:rPr>
          <w:rFonts w:ascii="Palatino Linotype" w:eastAsia="Palatino Linotype" w:hAnsi="Palatino Linotype" w:cs="Palatino Linotype"/>
          <w:i/>
          <w:sz w:val="22"/>
          <w:szCs w:val="22"/>
        </w:rPr>
      </w:pPr>
      <w:r w:rsidRPr="000D46AF">
        <w:rPr>
          <w:rFonts w:ascii="Palatino Linotype" w:eastAsia="Palatino Linotype" w:hAnsi="Palatino Linotype" w:cs="Palatino Linotype"/>
          <w:i/>
          <w:sz w:val="22"/>
          <w:szCs w:val="22"/>
        </w:rPr>
        <w:t xml:space="preserve">3) Que se trate de información registrada en cualquier soporte documental, que en ejercicio de las atribuciones conferidas, se encuentre en posesión de los Sujetos Obligados.” </w:t>
      </w:r>
    </w:p>
    <w:p w14:paraId="2674ECB8" w14:textId="77777777" w:rsidR="00914F94" w:rsidRPr="000D46AF" w:rsidRDefault="00030285">
      <w:pPr>
        <w:spacing w:before="240" w:after="240" w:line="360" w:lineRule="auto"/>
        <w:ind w:right="51"/>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sz w:val="22"/>
          <w:szCs w:val="22"/>
        </w:rPr>
        <w:t xml:space="preserve">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w:t>
      </w:r>
      <w:r w:rsidRPr="000D46AF">
        <w:rPr>
          <w:rFonts w:ascii="Palatino Linotype" w:eastAsia="Palatino Linotype" w:hAnsi="Palatino Linotype" w:cs="Palatino Linotype"/>
          <w:sz w:val="22"/>
          <w:szCs w:val="22"/>
        </w:rPr>
        <w:lastRenderedPageBreak/>
        <w:t>establece en la Ley de Transparencia y Acceso a la Información Pública del Estado de México y Municipios.</w:t>
      </w:r>
    </w:p>
    <w:p w14:paraId="6EAA0DDB" w14:textId="77777777" w:rsidR="00914F94" w:rsidRPr="000D46AF" w:rsidRDefault="00030285">
      <w:pPr>
        <w:spacing w:before="240" w:after="240" w:line="360" w:lineRule="auto"/>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sz w:val="22"/>
          <w:szCs w:val="22"/>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0CE2818C" w14:textId="77777777" w:rsidR="00914F94" w:rsidRPr="000D46AF" w:rsidRDefault="00030285">
      <w:pPr>
        <w:spacing w:before="240" w:after="240" w:line="360" w:lineRule="auto"/>
        <w:ind w:right="51"/>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sz w:val="22"/>
          <w:szCs w:val="22"/>
        </w:rPr>
        <w:t xml:space="preserve">Ahora bien, del análisis de la solicitud de información, motivo del recurso de revisión que ahora se resuelve, se advierte que la parte </w:t>
      </w:r>
      <w:r w:rsidRPr="000D46AF">
        <w:rPr>
          <w:rFonts w:ascii="Palatino Linotype" w:eastAsia="Palatino Linotype" w:hAnsi="Palatino Linotype" w:cs="Palatino Linotype"/>
          <w:b/>
          <w:sz w:val="22"/>
          <w:szCs w:val="22"/>
        </w:rPr>
        <w:t>Recurrente</w:t>
      </w:r>
      <w:r w:rsidRPr="000D46AF">
        <w:rPr>
          <w:rFonts w:ascii="Palatino Linotype" w:eastAsia="Palatino Linotype" w:hAnsi="Palatino Linotype" w:cs="Palatino Linotype"/>
          <w:sz w:val="22"/>
          <w:szCs w:val="22"/>
        </w:rPr>
        <w:t xml:space="preserve"> requirió al </w:t>
      </w:r>
      <w:r w:rsidRPr="000D46AF">
        <w:rPr>
          <w:rFonts w:ascii="Palatino Linotype" w:eastAsia="Palatino Linotype" w:hAnsi="Palatino Linotype" w:cs="Palatino Linotype"/>
          <w:b/>
          <w:sz w:val="22"/>
          <w:szCs w:val="22"/>
        </w:rPr>
        <w:t xml:space="preserve">Sujeto Obligado </w:t>
      </w:r>
      <w:r w:rsidRPr="000D46AF">
        <w:rPr>
          <w:rFonts w:ascii="Palatino Linotype" w:eastAsia="Palatino Linotype" w:hAnsi="Palatino Linotype" w:cs="Palatino Linotype"/>
          <w:sz w:val="22"/>
          <w:szCs w:val="22"/>
        </w:rPr>
        <w:t>le proporcione, información consistente en lo siguiente:</w:t>
      </w:r>
    </w:p>
    <w:p w14:paraId="68909C6B" w14:textId="77777777" w:rsidR="00914F94" w:rsidRPr="000D46AF" w:rsidRDefault="00030285">
      <w:pPr>
        <w:numPr>
          <w:ilvl w:val="0"/>
          <w:numId w:val="1"/>
        </w:numPr>
        <w:pBdr>
          <w:top w:val="nil"/>
          <w:left w:val="nil"/>
          <w:bottom w:val="nil"/>
          <w:right w:val="nil"/>
          <w:between w:val="nil"/>
        </w:pBdr>
        <w:spacing w:after="240" w:line="360" w:lineRule="auto"/>
        <w:ind w:right="51" w:hanging="359"/>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b/>
          <w:sz w:val="22"/>
          <w:szCs w:val="22"/>
        </w:rPr>
        <w:t>Los procesos adquisitivos de diciembre 2024 y de enero 2025, con el soporte documental de facturas y pagos realizados</w:t>
      </w:r>
      <w:r w:rsidRPr="000D46AF">
        <w:rPr>
          <w:rFonts w:ascii="Palatino Linotype" w:eastAsia="Palatino Linotype" w:hAnsi="Palatino Linotype" w:cs="Palatino Linotype"/>
          <w:sz w:val="22"/>
          <w:szCs w:val="22"/>
        </w:rPr>
        <w:t>.</w:t>
      </w:r>
    </w:p>
    <w:p w14:paraId="0ECD966E" w14:textId="77777777" w:rsidR="00914F94" w:rsidRPr="000D46AF" w:rsidRDefault="00030285">
      <w:pPr>
        <w:spacing w:before="240" w:after="240" w:line="360" w:lineRule="auto"/>
        <w:ind w:right="51"/>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sz w:val="22"/>
          <w:szCs w:val="22"/>
        </w:rPr>
        <w:t xml:space="preserve">En respuesta a la solicitud, el </w:t>
      </w:r>
      <w:r w:rsidRPr="000D46AF">
        <w:rPr>
          <w:rFonts w:ascii="Palatino Linotype" w:eastAsia="Palatino Linotype" w:hAnsi="Palatino Linotype" w:cs="Palatino Linotype"/>
          <w:b/>
          <w:sz w:val="22"/>
          <w:szCs w:val="22"/>
        </w:rPr>
        <w:t xml:space="preserve">Sujeto Obligado, </w:t>
      </w:r>
      <w:r w:rsidRPr="000D46AF">
        <w:rPr>
          <w:rFonts w:ascii="Palatino Linotype" w:eastAsia="Palatino Linotype" w:hAnsi="Palatino Linotype" w:cs="Palatino Linotype"/>
          <w:sz w:val="22"/>
          <w:szCs w:val="22"/>
        </w:rPr>
        <w:t xml:space="preserve">por conducto de la Oficialía Mayor, hizo del conocimiento de la persona solicitante que después de realizar una búsqueda exhaustiva у razonable en los archivos físicos y electrónicos del área de Adquisiciones y </w:t>
      </w:r>
      <w:r w:rsidRPr="000D46AF">
        <w:rPr>
          <w:rFonts w:ascii="Palatino Linotype" w:eastAsia="Palatino Linotype" w:hAnsi="Palatino Linotype" w:cs="Palatino Linotype"/>
          <w:sz w:val="22"/>
          <w:szCs w:val="22"/>
        </w:rPr>
        <w:lastRenderedPageBreak/>
        <w:t xml:space="preserve">Recursos Materiales, hace entrega de los documentos con los que se tiene por satisfecho el derecho constitucional de acceso a la información del peticionario, por lo que adjuntó tres contratos firmados en el mes de enero de dos mil veinticinco. </w:t>
      </w:r>
    </w:p>
    <w:p w14:paraId="0010C079" w14:textId="77777777" w:rsidR="00914F94" w:rsidRPr="000D46AF" w:rsidRDefault="00030285">
      <w:pPr>
        <w:spacing w:before="240" w:after="240" w:line="360" w:lineRule="auto"/>
        <w:ind w:right="51"/>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sz w:val="22"/>
          <w:szCs w:val="22"/>
        </w:rPr>
        <w:t xml:space="preserve">Asimismo informó que, en el mes de diciembre 2024, no se realizaron procedimientos adquisitivos en el Organismo. </w:t>
      </w:r>
    </w:p>
    <w:p w14:paraId="1DB49283" w14:textId="77777777" w:rsidR="00914F94" w:rsidRPr="000D46AF" w:rsidRDefault="00030285">
      <w:pPr>
        <w:spacing w:before="240" w:after="240" w:line="360" w:lineRule="auto"/>
        <w:ind w:right="51"/>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sz w:val="22"/>
          <w:szCs w:val="22"/>
        </w:rPr>
        <w:t xml:space="preserve">Sin embargo, al no estar conforme con los términos de dicha respuesta, la persona solicitante interpuso el recurso de revisión que nos ocupa, en el que se inconformó medularmente por la versión pública de la información remitida en respuesta. </w:t>
      </w:r>
    </w:p>
    <w:p w14:paraId="33657A0B" w14:textId="77777777" w:rsidR="00914F94" w:rsidRPr="000D46AF" w:rsidRDefault="00030285">
      <w:pPr>
        <w:spacing w:before="240" w:after="240" w:line="360" w:lineRule="auto"/>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sz w:val="22"/>
          <w:szCs w:val="22"/>
        </w:rPr>
        <w:t xml:space="preserve">En este orden de ideas, la parte de la respuesta que no fue impugnada, relativa a los procesos adquisitivos de diciembre dos mil veinticuatro y los soportes documentales como facturas y pagos realizados, deben declararse consentidos, toda vez que, al no haber realizado manifestaciones de inconformidad al respecto, no pueden producirse efectos jurídicos tendentes a revocar, confirmar o modificar el acto reclamado, ya que, en el caso concreto se infiere que la información proporcionada por el </w:t>
      </w:r>
      <w:r w:rsidRPr="000D46AF">
        <w:rPr>
          <w:rFonts w:ascii="Palatino Linotype" w:eastAsia="Palatino Linotype" w:hAnsi="Palatino Linotype" w:cs="Palatino Linotype"/>
          <w:b/>
          <w:sz w:val="22"/>
          <w:szCs w:val="22"/>
        </w:rPr>
        <w:t>Sujeto Obligado</w:t>
      </w:r>
      <w:r w:rsidRPr="000D46AF">
        <w:rPr>
          <w:rFonts w:ascii="Palatino Linotype" w:eastAsia="Palatino Linotype" w:hAnsi="Palatino Linotype" w:cs="Palatino Linotype"/>
          <w:sz w:val="22"/>
          <w:szCs w:val="22"/>
        </w:rPr>
        <w:t>, satisface la solicitud presentada, respecto de los requerimientos que no fueron combatidos.</w:t>
      </w:r>
    </w:p>
    <w:p w14:paraId="5707BFED" w14:textId="77777777" w:rsidR="00914F94" w:rsidRPr="000D46AF" w:rsidRDefault="00030285">
      <w:pPr>
        <w:spacing w:before="240" w:after="360" w:line="360" w:lineRule="auto"/>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sz w:val="22"/>
          <w:szCs w:val="22"/>
        </w:rPr>
        <w:t xml:space="preserve">Lo anterior es así, debido a que cuando la parte </w:t>
      </w:r>
      <w:r w:rsidRPr="000D46AF">
        <w:rPr>
          <w:rFonts w:ascii="Palatino Linotype" w:eastAsia="Palatino Linotype" w:hAnsi="Palatino Linotype" w:cs="Palatino Linotype"/>
          <w:b/>
          <w:sz w:val="22"/>
          <w:szCs w:val="22"/>
        </w:rPr>
        <w:t>Recurrente</w:t>
      </w:r>
      <w:r w:rsidRPr="000D46AF">
        <w:rPr>
          <w:rFonts w:ascii="Palatino Linotype" w:eastAsia="Palatino Linotype" w:hAnsi="Palatino Linotype" w:cs="Palatino Linotype"/>
          <w:sz w:val="22"/>
          <w:szCs w:val="22"/>
        </w:rPr>
        <w:t xml:space="preserve"> impugna la respuesta del </w:t>
      </w:r>
      <w:r w:rsidRPr="000D46AF">
        <w:rPr>
          <w:rFonts w:ascii="Palatino Linotype" w:eastAsia="Palatino Linotype" w:hAnsi="Palatino Linotype" w:cs="Palatino Linotype"/>
          <w:b/>
          <w:sz w:val="22"/>
          <w:szCs w:val="22"/>
        </w:rPr>
        <w:t>Sujeto Obligado</w:t>
      </w:r>
      <w:r w:rsidRPr="000D46AF">
        <w:rPr>
          <w:rFonts w:ascii="Palatino Linotype" w:eastAsia="Palatino Linotype" w:hAnsi="Palatino Linotype" w:cs="Palatino Linotype"/>
          <w:sz w:val="22"/>
          <w:szCs w:val="22"/>
        </w:rPr>
        <w:t xml:space="preserve">, y éste no expresa Razón o Motivo de Inconformidad en contra de todos los rubros solicitados, dichos rubros deben declararse atendidos, pues se entiende que la parte </w:t>
      </w:r>
      <w:r w:rsidRPr="000D46AF">
        <w:rPr>
          <w:rFonts w:ascii="Palatino Linotype" w:eastAsia="Palatino Linotype" w:hAnsi="Palatino Linotype" w:cs="Palatino Linotype"/>
          <w:b/>
          <w:sz w:val="22"/>
          <w:szCs w:val="22"/>
        </w:rPr>
        <w:t>Recurrente</w:t>
      </w:r>
      <w:r w:rsidRPr="000D46AF">
        <w:rPr>
          <w:rFonts w:ascii="Palatino Linotype" w:eastAsia="Palatino Linotype" w:hAnsi="Palatino Linotype" w:cs="Palatino Linotype"/>
          <w:sz w:val="22"/>
          <w:szCs w:val="22"/>
        </w:rPr>
        <w:t xml:space="preserve"> ésta conforme con la información entregada al no contravenir la misma. Sirve de Apoyo a lo anterior, por analogía la Tesis Jurisprudencial Número 3ª./J.7/91, Publicada </w:t>
      </w:r>
      <w:r w:rsidRPr="000D46AF">
        <w:rPr>
          <w:rFonts w:ascii="Palatino Linotype" w:eastAsia="Palatino Linotype" w:hAnsi="Palatino Linotype" w:cs="Palatino Linotype"/>
          <w:sz w:val="22"/>
          <w:szCs w:val="22"/>
        </w:rPr>
        <w:lastRenderedPageBreak/>
        <w:t>en el Semanario Judicial de la Federación y su Gaceta bajo el número de registro 174,177, que establece lo siguiente:</w:t>
      </w:r>
    </w:p>
    <w:p w14:paraId="5F5ACF52" w14:textId="77777777" w:rsidR="00914F94" w:rsidRPr="000D46AF" w:rsidRDefault="00030285">
      <w:pPr>
        <w:spacing w:before="240" w:after="360"/>
        <w:ind w:left="851" w:right="616"/>
        <w:jc w:val="both"/>
        <w:rPr>
          <w:rFonts w:ascii="Palatino Linotype" w:eastAsia="Palatino Linotype" w:hAnsi="Palatino Linotype" w:cs="Palatino Linotype"/>
          <w:i/>
          <w:sz w:val="22"/>
          <w:szCs w:val="22"/>
        </w:rPr>
      </w:pPr>
      <w:r w:rsidRPr="000D46AF">
        <w:rPr>
          <w:rFonts w:ascii="Palatino Linotype" w:eastAsia="Palatino Linotype" w:hAnsi="Palatino Linotype" w:cs="Palatino Linotype"/>
          <w:b/>
          <w:i/>
          <w:sz w:val="22"/>
          <w:szCs w:val="22"/>
        </w:rPr>
        <w:t xml:space="preserve">“REVISIÓN EN AMPARO. LOS RESOLUTIVOS NO COMBATIDOS DEBEN DECLARARSE FIRMES. </w:t>
      </w:r>
      <w:r w:rsidRPr="000D46AF">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39D07008" w14:textId="77777777" w:rsidR="00914F94" w:rsidRPr="000D46AF" w:rsidRDefault="00030285">
      <w:pPr>
        <w:spacing w:before="240" w:after="240" w:line="360" w:lineRule="auto"/>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sz w:val="22"/>
          <w:szCs w:val="22"/>
        </w:rPr>
        <w:t>Consecuentemente, se insiste, ante la falta de impugnación eficaz, la respuesta entregada debe declararse consentida por la persona solicitante.</w:t>
      </w:r>
    </w:p>
    <w:p w14:paraId="0C66A452" w14:textId="77777777" w:rsidR="00914F94" w:rsidRPr="000D46AF" w:rsidRDefault="00030285">
      <w:pPr>
        <w:spacing w:line="360" w:lineRule="auto"/>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sz w:val="22"/>
          <w:szCs w:val="22"/>
        </w:rPr>
        <w:t xml:space="preserve">Sirve de sustento lo plasmado en el Criterio de interpretación con clave de control SO/001/2020, emitido por el Pleno del Instituto Nacional de Transparencia, Acceso a la Información, y Protección de Datos Personales, INAI, que lleva por rubro y texto, lo siguiente: </w:t>
      </w:r>
    </w:p>
    <w:p w14:paraId="58BAA738" w14:textId="77777777" w:rsidR="00914F94" w:rsidRPr="000D46AF" w:rsidRDefault="00030285">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0D46AF">
        <w:rPr>
          <w:rFonts w:ascii="Palatino Linotype" w:eastAsia="Palatino Linotype" w:hAnsi="Palatino Linotype" w:cs="Palatino Linotype"/>
          <w:i/>
          <w:sz w:val="22"/>
          <w:szCs w:val="22"/>
        </w:rPr>
        <w:t>“</w:t>
      </w:r>
      <w:r w:rsidRPr="000D46AF">
        <w:rPr>
          <w:rFonts w:ascii="Palatino Linotype" w:eastAsia="Palatino Linotype" w:hAnsi="Palatino Linotype" w:cs="Palatino Linotype"/>
          <w:b/>
          <w:i/>
          <w:sz w:val="22"/>
          <w:szCs w:val="22"/>
        </w:rPr>
        <w:t xml:space="preserve">Actos consentidos tácitamente. Improcedencia de su análisis. </w:t>
      </w:r>
      <w:r w:rsidRPr="000D46AF">
        <w:rPr>
          <w:rFonts w:ascii="Palatino Linotype" w:eastAsia="Palatino Linotype" w:hAnsi="Palatino Linotype" w:cs="Palatino Linotype"/>
          <w:i/>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0BADE97C" w14:textId="77777777" w:rsidR="00914F94" w:rsidRPr="000D46AF" w:rsidRDefault="00030285">
      <w:pPr>
        <w:spacing w:before="240" w:after="240" w:line="360" w:lineRule="auto"/>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sz w:val="22"/>
          <w:szCs w:val="22"/>
        </w:rPr>
        <w:t>Asimismo, resulta aplicable por analogía la tesis jurisprudencial número VI.3o.C. J/60, publicada en el Semanario Judicial de la Federación y su Gaceta bajo el número de registro 176,608 que a la letra dice:</w:t>
      </w:r>
    </w:p>
    <w:p w14:paraId="29E3013B" w14:textId="77777777" w:rsidR="00914F94" w:rsidRPr="000D46AF" w:rsidRDefault="00030285">
      <w:pPr>
        <w:ind w:left="851" w:right="616"/>
        <w:jc w:val="both"/>
        <w:rPr>
          <w:rFonts w:ascii="Palatino Linotype" w:eastAsia="Palatino Linotype" w:hAnsi="Palatino Linotype" w:cs="Palatino Linotype"/>
          <w:i/>
          <w:sz w:val="22"/>
          <w:szCs w:val="22"/>
        </w:rPr>
      </w:pPr>
      <w:r w:rsidRPr="000D46AF">
        <w:rPr>
          <w:rFonts w:ascii="Palatino Linotype" w:eastAsia="Palatino Linotype" w:hAnsi="Palatino Linotype" w:cs="Palatino Linotype"/>
          <w:i/>
          <w:smallCaps/>
          <w:sz w:val="22"/>
          <w:szCs w:val="22"/>
        </w:rPr>
        <w:lastRenderedPageBreak/>
        <w:t>“</w:t>
      </w:r>
      <w:r w:rsidRPr="000D46AF">
        <w:rPr>
          <w:rFonts w:ascii="Palatino Linotype" w:eastAsia="Palatino Linotype" w:hAnsi="Palatino Linotype" w:cs="Palatino Linotype"/>
          <w:b/>
          <w:i/>
          <w:smallCaps/>
          <w:sz w:val="22"/>
          <w:szCs w:val="22"/>
        </w:rPr>
        <w:t xml:space="preserve">ACTOS CONSENTIDOS. SON LOS QUE NO SE IMPUGNAN MEDIANTE EL RECURSO IDÓNEO. </w:t>
      </w:r>
      <w:r w:rsidRPr="000D46AF">
        <w:rPr>
          <w:rFonts w:ascii="Palatino Linotype" w:eastAsia="Palatino Linotype" w:hAnsi="Palatino Linotype" w:cs="Palatino Linotype"/>
          <w:i/>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04B2FD58" w14:textId="77777777" w:rsidR="00914F94" w:rsidRPr="000D46AF" w:rsidRDefault="00030285">
      <w:pPr>
        <w:spacing w:before="240" w:after="240" w:line="360" w:lineRule="auto"/>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sz w:val="22"/>
          <w:szCs w:val="22"/>
        </w:rPr>
        <w:t>Por otro lado, una vez admitido el recurso de revisión e integrado el expediente, durante la etapa de manifestaciones las partes fueron omisas en remitir cualquier elemento que a su derecho conviniera, por lo tanto, se tiene por precluido su derecho para tal efecto y se procede a emitir la resolución que conforme a derecho corresponda.</w:t>
      </w:r>
    </w:p>
    <w:p w14:paraId="61ADC254" w14:textId="77777777" w:rsidR="00914F94" w:rsidRPr="000D46AF" w:rsidRDefault="00030285">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sz w:val="22"/>
          <w:szCs w:val="22"/>
        </w:rPr>
        <w:t xml:space="preserve">Acotado lo anterior, se procede al análisis de los requerimientos combatidos, así como la información proporcionada por el </w:t>
      </w:r>
      <w:r w:rsidRPr="000D46AF">
        <w:rPr>
          <w:rFonts w:ascii="Palatino Linotype" w:eastAsia="Palatino Linotype" w:hAnsi="Palatino Linotype" w:cs="Palatino Linotype"/>
          <w:b/>
          <w:sz w:val="22"/>
          <w:szCs w:val="22"/>
        </w:rPr>
        <w:t xml:space="preserve">Sujeto Obligado, </w:t>
      </w:r>
      <w:r w:rsidRPr="000D46AF">
        <w:rPr>
          <w:rFonts w:ascii="Palatino Linotype" w:eastAsia="Palatino Linotype" w:hAnsi="Palatino Linotype" w:cs="Palatino Linotype"/>
          <w:sz w:val="22"/>
          <w:szCs w:val="22"/>
        </w:rPr>
        <w:t>en contraposición con el motivo de inconformidad alegado por la parte</w:t>
      </w:r>
      <w:r w:rsidRPr="000D46AF">
        <w:rPr>
          <w:rFonts w:ascii="Palatino Linotype" w:eastAsia="Palatino Linotype" w:hAnsi="Palatino Linotype" w:cs="Palatino Linotype"/>
          <w:b/>
          <w:sz w:val="22"/>
          <w:szCs w:val="22"/>
        </w:rPr>
        <w:t xml:space="preserve"> Recurrente, </w:t>
      </w:r>
      <w:r w:rsidRPr="000D46AF">
        <w:rPr>
          <w:rFonts w:ascii="Palatino Linotype" w:eastAsia="Palatino Linotype" w:hAnsi="Palatino Linotype" w:cs="Palatino Linotype"/>
          <w:sz w:val="22"/>
          <w:szCs w:val="22"/>
        </w:rPr>
        <w:t>con la finalidad de determinar si su derecho de acceso se satisfizo o en su defecto ordenar las documentales correspondientes, en caso de ser procedente.</w:t>
      </w:r>
    </w:p>
    <w:p w14:paraId="6204F48B" w14:textId="77777777" w:rsidR="00914F94" w:rsidRPr="000D46AF" w:rsidRDefault="00030285">
      <w:pPr>
        <w:spacing w:before="240" w:after="240" w:line="360" w:lineRule="auto"/>
        <w:ind w:right="49"/>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sz w:val="22"/>
          <w:szCs w:val="22"/>
        </w:rPr>
        <w:t xml:space="preserve">En este contexto, tomando en consideración el motivo de inconformidad alegado por la parte </w:t>
      </w:r>
      <w:r w:rsidRPr="000D46AF">
        <w:rPr>
          <w:rFonts w:ascii="Palatino Linotype" w:eastAsia="Palatino Linotype" w:hAnsi="Palatino Linotype" w:cs="Palatino Linotype"/>
          <w:b/>
          <w:sz w:val="22"/>
          <w:szCs w:val="22"/>
        </w:rPr>
        <w:t xml:space="preserve">Recurrente, </w:t>
      </w:r>
      <w:r w:rsidRPr="000D46AF">
        <w:rPr>
          <w:rFonts w:ascii="Palatino Linotype" w:eastAsia="Palatino Linotype" w:hAnsi="Palatino Linotype" w:cs="Palatino Linotype"/>
          <w:sz w:val="22"/>
          <w:szCs w:val="22"/>
        </w:rPr>
        <w:t xml:space="preserve">se procedió al análisis de los documentos remitidos por el </w:t>
      </w:r>
      <w:r w:rsidRPr="000D46AF">
        <w:rPr>
          <w:rFonts w:ascii="Palatino Linotype" w:eastAsia="Palatino Linotype" w:hAnsi="Palatino Linotype" w:cs="Palatino Linotype"/>
          <w:b/>
          <w:sz w:val="22"/>
          <w:szCs w:val="22"/>
        </w:rPr>
        <w:t xml:space="preserve">Sujeto Obligado, </w:t>
      </w:r>
      <w:r w:rsidRPr="000D46AF">
        <w:rPr>
          <w:rFonts w:ascii="Palatino Linotype" w:eastAsia="Palatino Linotype" w:hAnsi="Palatino Linotype" w:cs="Palatino Linotype"/>
          <w:sz w:val="22"/>
          <w:szCs w:val="22"/>
        </w:rPr>
        <w:t>y, como resultado se advirtió que esos consisten en los contratos de adquisición de servicios por motivo de sellos de goma y vinil, hojas membretadas, lonas, banners y letreros; por el servicio de recolección y traslado de valores, tecnología aplicada a la logística, gestión y seguridad de los valores y finalmente por la impresión de boletas bimestrales a color del primer y segundo bimestre 2025, celebrados en el mes de enero de dos mil veinticinco.</w:t>
      </w:r>
    </w:p>
    <w:p w14:paraId="73266524" w14:textId="77777777" w:rsidR="00914F94" w:rsidRPr="000D46AF" w:rsidRDefault="00030285">
      <w:pPr>
        <w:spacing w:before="240" w:after="240" w:line="360" w:lineRule="auto"/>
        <w:ind w:right="49"/>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sz w:val="22"/>
          <w:szCs w:val="22"/>
        </w:rPr>
        <w:lastRenderedPageBreak/>
        <w:t>No obstante, no escapa de la óptica de este Organismo Garante que en los referidos documentos se eliminaron datos como: acta de nacimiento, clave de elector y folio IDMEX, como se ilustra a continuación para un mejor entendimiento:</w:t>
      </w:r>
    </w:p>
    <w:p w14:paraId="2302FE75" w14:textId="77777777" w:rsidR="00914F94" w:rsidRPr="000D46AF" w:rsidRDefault="00030285">
      <w:pPr>
        <w:pBdr>
          <w:top w:val="nil"/>
          <w:left w:val="nil"/>
          <w:bottom w:val="nil"/>
          <w:right w:val="nil"/>
          <w:between w:val="nil"/>
        </w:pBdr>
        <w:spacing w:line="360" w:lineRule="auto"/>
        <w:jc w:val="center"/>
        <w:rPr>
          <w:rFonts w:ascii="Palatino Linotype" w:eastAsia="Palatino Linotype" w:hAnsi="Palatino Linotype" w:cs="Palatino Linotype"/>
          <w:sz w:val="22"/>
          <w:szCs w:val="22"/>
        </w:rPr>
      </w:pPr>
      <w:r w:rsidRPr="000D46AF">
        <w:rPr>
          <w:rFonts w:ascii="Palatino Linotype" w:eastAsia="Palatino Linotype" w:hAnsi="Palatino Linotype" w:cs="Palatino Linotype"/>
          <w:noProof/>
          <w:sz w:val="22"/>
          <w:szCs w:val="22"/>
        </w:rPr>
        <w:drawing>
          <wp:inline distT="0" distB="0" distL="0" distR="0" wp14:anchorId="5FCD35D6" wp14:editId="5E974E13">
            <wp:extent cx="4864960" cy="3504225"/>
            <wp:effectExtent l="0" t="0" r="0" b="0"/>
            <wp:docPr id="1952082497" name="image3.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png" descr="Tabla&#10;&#10;El contenido generado por IA puede ser incorrecto."/>
                    <pic:cNvPicPr preferRelativeResize="0"/>
                  </pic:nvPicPr>
                  <pic:blipFill>
                    <a:blip r:embed="rId9"/>
                    <a:srcRect/>
                    <a:stretch>
                      <a:fillRect/>
                    </a:stretch>
                  </pic:blipFill>
                  <pic:spPr>
                    <a:xfrm>
                      <a:off x="0" y="0"/>
                      <a:ext cx="4864960" cy="3504225"/>
                    </a:xfrm>
                    <a:prstGeom prst="rect">
                      <a:avLst/>
                    </a:prstGeom>
                    <a:ln/>
                  </pic:spPr>
                </pic:pic>
              </a:graphicData>
            </a:graphic>
          </wp:inline>
        </w:drawing>
      </w:r>
    </w:p>
    <w:p w14:paraId="44E88307" w14:textId="77777777" w:rsidR="00914F94" w:rsidRPr="000D46AF" w:rsidRDefault="00030285">
      <w:pPr>
        <w:pBdr>
          <w:top w:val="nil"/>
          <w:left w:val="nil"/>
          <w:bottom w:val="nil"/>
          <w:right w:val="nil"/>
          <w:between w:val="nil"/>
        </w:pBdr>
        <w:spacing w:before="240" w:after="240" w:line="360" w:lineRule="auto"/>
        <w:jc w:val="center"/>
        <w:rPr>
          <w:rFonts w:ascii="Palatino Linotype" w:eastAsia="Palatino Linotype" w:hAnsi="Palatino Linotype" w:cs="Palatino Linotype"/>
          <w:sz w:val="22"/>
          <w:szCs w:val="22"/>
        </w:rPr>
      </w:pPr>
      <w:r w:rsidRPr="000D46AF">
        <w:rPr>
          <w:rFonts w:ascii="Palatino Linotype" w:eastAsia="Palatino Linotype" w:hAnsi="Palatino Linotype" w:cs="Palatino Linotype"/>
          <w:noProof/>
          <w:sz w:val="22"/>
          <w:szCs w:val="22"/>
        </w:rPr>
        <w:lastRenderedPageBreak/>
        <w:drawing>
          <wp:inline distT="0" distB="0" distL="0" distR="0" wp14:anchorId="6D9B07FD" wp14:editId="6F8E73FC">
            <wp:extent cx="5022144" cy="2903287"/>
            <wp:effectExtent l="0" t="0" r="0" b="0"/>
            <wp:docPr id="1952082495" name="image4.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4.png" descr="Tabla&#10;&#10;El contenido generado por IA puede ser incorrecto."/>
                    <pic:cNvPicPr preferRelativeResize="0"/>
                  </pic:nvPicPr>
                  <pic:blipFill>
                    <a:blip r:embed="rId10"/>
                    <a:srcRect/>
                    <a:stretch>
                      <a:fillRect/>
                    </a:stretch>
                  </pic:blipFill>
                  <pic:spPr>
                    <a:xfrm>
                      <a:off x="0" y="0"/>
                      <a:ext cx="5022144" cy="2903287"/>
                    </a:xfrm>
                    <a:prstGeom prst="rect">
                      <a:avLst/>
                    </a:prstGeom>
                    <a:ln/>
                  </pic:spPr>
                </pic:pic>
              </a:graphicData>
            </a:graphic>
          </wp:inline>
        </w:drawing>
      </w:r>
    </w:p>
    <w:p w14:paraId="26F78A0C" w14:textId="77777777" w:rsidR="00914F94" w:rsidRPr="000D46AF" w:rsidRDefault="00030285">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sz w:val="22"/>
          <w:szCs w:val="22"/>
        </w:rPr>
        <w:t xml:space="preserve">Sin embargo, es de señalar que en las constancias que obran en el expediente electrónico, no se advierte que el </w:t>
      </w:r>
      <w:r w:rsidRPr="000D46AF">
        <w:rPr>
          <w:rFonts w:ascii="Palatino Linotype" w:eastAsia="Palatino Linotype" w:hAnsi="Palatino Linotype" w:cs="Palatino Linotype"/>
          <w:b/>
          <w:sz w:val="22"/>
          <w:szCs w:val="22"/>
        </w:rPr>
        <w:t>Sujeto Obligado</w:t>
      </w:r>
      <w:r w:rsidRPr="000D46AF">
        <w:rPr>
          <w:rFonts w:ascii="Palatino Linotype" w:eastAsia="Palatino Linotype" w:hAnsi="Palatino Linotype" w:cs="Palatino Linotype"/>
          <w:sz w:val="22"/>
          <w:szCs w:val="22"/>
        </w:rPr>
        <w:t xml:space="preserve"> hubiera remitido el acuerdo del Comité de Transparencia, mediante el cual, de manera fundada y motivada, se clasificara la información que fue suprimida o borrada de los documentos.</w:t>
      </w:r>
    </w:p>
    <w:p w14:paraId="0177B46C" w14:textId="77777777" w:rsidR="00914F94" w:rsidRPr="000D46AF" w:rsidRDefault="00030285">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sz w:val="22"/>
          <w:szCs w:val="22"/>
        </w:rPr>
        <w:t xml:space="preserve">En este orden de ideas, es imprescindible mencionar que por regla general, el </w:t>
      </w:r>
      <w:r w:rsidRPr="000D46AF">
        <w:rPr>
          <w:rFonts w:ascii="Palatino Linotype" w:eastAsia="Palatino Linotype" w:hAnsi="Palatino Linotype" w:cs="Palatino Linotype"/>
          <w:b/>
          <w:sz w:val="22"/>
          <w:szCs w:val="22"/>
        </w:rPr>
        <w:t>Sujeto Obligado</w:t>
      </w:r>
      <w:r w:rsidRPr="000D46AF">
        <w:rPr>
          <w:rFonts w:ascii="Palatino Linotype" w:eastAsia="Palatino Linotype" w:hAnsi="Palatino Linotype" w:cs="Palatino Linotype"/>
          <w:sz w:val="22"/>
          <w:szCs w:val="22"/>
        </w:rPr>
        <w:t xml:space="preserve">, al ser al ser un ente que ejerce recursos públicos, tiene la obligación de transparentar sus actuaciones, garantizando el derecho humano de acceso a la información pública, no obstante, dicho derecho puede ser restringido de manera excepcional por razones de interés público, en los términos de las causas legítimas y estrictamente necesarias previstas por la Ley, </w:t>
      </w:r>
      <w:r w:rsidRPr="000D46AF">
        <w:rPr>
          <w:rFonts w:ascii="Palatino Linotype" w:eastAsia="Palatino Linotype" w:hAnsi="Palatino Linotype" w:cs="Palatino Linotype"/>
          <w:b/>
          <w:sz w:val="22"/>
          <w:szCs w:val="22"/>
        </w:rPr>
        <w:t>a través de la clasificación de la información como confidencial o reservada</w:t>
      </w:r>
      <w:r w:rsidRPr="000D46AF">
        <w:rPr>
          <w:rFonts w:ascii="Palatino Linotype" w:eastAsia="Palatino Linotype" w:hAnsi="Palatino Linotype" w:cs="Palatino Linotype"/>
          <w:sz w:val="22"/>
          <w:szCs w:val="22"/>
        </w:rPr>
        <w:t>, como se desprende del artículo 91 de la Ley de la Materia que es del tenor literal siguiente:</w:t>
      </w:r>
    </w:p>
    <w:p w14:paraId="68514057" w14:textId="77777777" w:rsidR="00914F94" w:rsidRPr="000D46AF" w:rsidRDefault="0003028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0D46AF">
        <w:rPr>
          <w:rFonts w:ascii="Palatino Linotype" w:eastAsia="Palatino Linotype" w:hAnsi="Palatino Linotype" w:cs="Palatino Linotype"/>
          <w:i/>
          <w:sz w:val="22"/>
          <w:szCs w:val="22"/>
        </w:rPr>
        <w:lastRenderedPageBreak/>
        <w:t>“</w:t>
      </w:r>
      <w:r w:rsidRPr="000D46AF">
        <w:rPr>
          <w:rFonts w:ascii="Palatino Linotype" w:eastAsia="Palatino Linotype" w:hAnsi="Palatino Linotype" w:cs="Palatino Linotype"/>
          <w:b/>
          <w:i/>
          <w:sz w:val="22"/>
          <w:szCs w:val="22"/>
        </w:rPr>
        <w:t xml:space="preserve">Artículo 91. </w:t>
      </w:r>
      <w:r w:rsidRPr="000D46AF">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101E30C9" w14:textId="77777777" w:rsidR="00914F94" w:rsidRPr="000D46AF" w:rsidRDefault="00030285">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sz w:val="22"/>
          <w:szCs w:val="22"/>
        </w:rPr>
        <w:t xml:space="preserve">De lo anterior se colige que </w:t>
      </w:r>
      <w:r w:rsidRPr="000D46AF">
        <w:rPr>
          <w:rFonts w:ascii="Palatino Linotype" w:eastAsia="Palatino Linotype" w:hAnsi="Palatino Linotype" w:cs="Palatino Linotype"/>
          <w:b/>
          <w:sz w:val="22"/>
          <w:szCs w:val="22"/>
        </w:rPr>
        <w:t xml:space="preserve">la restricción al derecho de acceso a la información </w:t>
      </w:r>
      <w:r w:rsidRPr="000D46AF">
        <w:rPr>
          <w:rFonts w:ascii="Palatino Linotype" w:eastAsia="Palatino Linotype" w:hAnsi="Palatino Linotype" w:cs="Palatino Linotype"/>
          <w:b/>
          <w:sz w:val="22"/>
          <w:szCs w:val="22"/>
          <w:u w:val="single"/>
        </w:rPr>
        <w:t>implica necesariamente una clasificación</w:t>
      </w:r>
      <w:r w:rsidRPr="000D46AF">
        <w:rPr>
          <w:rFonts w:ascii="Palatino Linotype" w:eastAsia="Palatino Linotype" w:hAnsi="Palatino Linotype" w:cs="Palatino Linotype"/>
          <w:sz w:val="22"/>
          <w:szCs w:val="22"/>
        </w:rPr>
        <w:t>, la cual debe entenderse como el proceso mediante el cual el Sujeto Obligado determina que la información en su poder, actualiza alguno de los supuestos de reserva o confidencialidad, de conformidad con las normas aplicables.</w:t>
      </w:r>
    </w:p>
    <w:p w14:paraId="71425287" w14:textId="77777777" w:rsidR="00914F94" w:rsidRPr="000D46AF" w:rsidRDefault="00030285">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sz w:val="22"/>
          <w:szCs w:val="22"/>
        </w:rPr>
        <w:t>Así, se entiende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 según lo dispuesto en los artículos 113 y 116 de la Ley General de Transparencia Acceso a la Información Pública y 140 y 143 de la Ley de Transparencia y Acceso a la Información Pública del Estado de México y Municipios.</w:t>
      </w:r>
    </w:p>
    <w:p w14:paraId="1864F823" w14:textId="77777777" w:rsidR="00914F94" w:rsidRPr="000D46AF" w:rsidRDefault="00030285">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sz w:val="22"/>
          <w:szCs w:val="22"/>
        </w:rPr>
        <w:t>No obstante, la clasificación de la información no se da por el simple mandato de la Ley, sino que es necesario que los Sujetos Obligados</w:t>
      </w:r>
      <w:r w:rsidRPr="000D46AF">
        <w:rPr>
          <w:rFonts w:ascii="Palatino Linotype" w:eastAsia="Palatino Linotype" w:hAnsi="Palatino Linotype" w:cs="Palatino Linotype"/>
          <w:b/>
          <w:sz w:val="22"/>
          <w:szCs w:val="22"/>
        </w:rPr>
        <w:t>,</w:t>
      </w:r>
      <w:r w:rsidRPr="000D46AF">
        <w:rPr>
          <w:rFonts w:ascii="Palatino Linotype" w:eastAsia="Palatino Linotype" w:hAnsi="Palatino Linotype" w:cs="Palatino Linotype"/>
          <w:sz w:val="22"/>
          <w:szCs w:val="22"/>
        </w:rPr>
        <w:t xml:space="preserve"> cuando clasifiquen algún documento o información, ya sea todo o en parte, atiendan lo dispuesto por la Ley de la materia, siendo que dicha clasificación es un trabajo en conjunto tanto de los Servidores Públicos Habilitados, de las Unidades de Transparencia y del Comité de Transparencia de los Sujetos Obligados, teniendo el deber los primeros de ellos de presentar ante la Unidad de Transparencia la propuesta de la clasificación de la información, para que luego esta se </w:t>
      </w:r>
      <w:r w:rsidRPr="000D46AF">
        <w:rPr>
          <w:rFonts w:ascii="Palatino Linotype" w:eastAsia="Palatino Linotype" w:hAnsi="Palatino Linotype" w:cs="Palatino Linotype"/>
          <w:sz w:val="22"/>
          <w:szCs w:val="22"/>
        </w:rPr>
        <w:lastRenderedPageBreak/>
        <w:t>presente ante al Comité de Transparencia de así resultar procedente el proyecto de clasificación de la información, y que, finalmente, sea éste último quien apruebe, modifique o revoque la misma, como se desprende de los artículos 49, fracciones II y VIII, 53, fracción X y 59, fracción V, de la Ley de Transparencia y Acceso a la Información Pública del Estado de México y Municipios, a saber:</w:t>
      </w:r>
    </w:p>
    <w:p w14:paraId="74900A30" w14:textId="77777777" w:rsidR="00914F94" w:rsidRPr="000D46AF" w:rsidRDefault="00030285">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0D46AF">
        <w:rPr>
          <w:rFonts w:ascii="Palatino Linotype" w:eastAsia="Palatino Linotype" w:hAnsi="Palatino Linotype" w:cs="Palatino Linotype"/>
          <w:i/>
          <w:sz w:val="22"/>
          <w:szCs w:val="22"/>
        </w:rPr>
        <w:t>“</w:t>
      </w:r>
      <w:r w:rsidRPr="000D46AF">
        <w:rPr>
          <w:rFonts w:ascii="Palatino Linotype" w:eastAsia="Palatino Linotype" w:hAnsi="Palatino Linotype" w:cs="Palatino Linotype"/>
          <w:b/>
          <w:i/>
          <w:sz w:val="22"/>
          <w:szCs w:val="22"/>
        </w:rPr>
        <w:t>Artículo 49</w:t>
      </w:r>
      <w:r w:rsidRPr="000D46AF">
        <w:rPr>
          <w:rFonts w:ascii="Palatino Linotype" w:eastAsia="Palatino Linotype" w:hAnsi="Palatino Linotype" w:cs="Palatino Linotype"/>
          <w:i/>
          <w:sz w:val="22"/>
          <w:szCs w:val="22"/>
        </w:rPr>
        <w:t xml:space="preserve">. Los </w:t>
      </w:r>
      <w:r w:rsidRPr="000D46AF">
        <w:rPr>
          <w:rFonts w:ascii="Palatino Linotype" w:eastAsia="Palatino Linotype" w:hAnsi="Palatino Linotype" w:cs="Palatino Linotype"/>
          <w:b/>
          <w:i/>
          <w:sz w:val="22"/>
          <w:szCs w:val="22"/>
        </w:rPr>
        <w:t>Comités de Transparencia</w:t>
      </w:r>
      <w:r w:rsidRPr="000D46AF">
        <w:rPr>
          <w:rFonts w:ascii="Palatino Linotype" w:eastAsia="Palatino Linotype" w:hAnsi="Palatino Linotype" w:cs="Palatino Linotype"/>
          <w:i/>
          <w:sz w:val="22"/>
          <w:szCs w:val="22"/>
        </w:rPr>
        <w:t xml:space="preserve"> tendrán las siguientes atribuciones:</w:t>
      </w:r>
    </w:p>
    <w:p w14:paraId="54E3CB79" w14:textId="77777777" w:rsidR="00914F94" w:rsidRPr="000D46AF" w:rsidRDefault="00030285">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0D46AF">
        <w:rPr>
          <w:rFonts w:ascii="Palatino Linotype" w:eastAsia="Palatino Linotype" w:hAnsi="Palatino Linotype" w:cs="Palatino Linotype"/>
          <w:i/>
          <w:sz w:val="22"/>
          <w:szCs w:val="22"/>
        </w:rPr>
        <w:t>...</w:t>
      </w:r>
    </w:p>
    <w:p w14:paraId="4201BA7F" w14:textId="77777777" w:rsidR="00914F94" w:rsidRPr="000D46AF" w:rsidRDefault="00030285">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0D46AF">
        <w:rPr>
          <w:rFonts w:ascii="Palatino Linotype" w:eastAsia="Palatino Linotype" w:hAnsi="Palatino Linotype" w:cs="Palatino Linotype"/>
          <w:b/>
          <w:i/>
          <w:sz w:val="22"/>
          <w:szCs w:val="22"/>
        </w:rPr>
        <w:t>II.</w:t>
      </w:r>
      <w:r w:rsidRPr="000D46AF">
        <w:rPr>
          <w:rFonts w:ascii="Palatino Linotype" w:eastAsia="Palatino Linotype" w:hAnsi="Palatino Linotype" w:cs="Palatino Linotype"/>
          <w:i/>
          <w:sz w:val="22"/>
          <w:szCs w:val="22"/>
        </w:rPr>
        <w:t xml:space="preserve"> Confirmar, modificar o revocar las determinaciones que en materia de ampliación del plazo de respuesta, clasificación de la información y declaración de inexistencia o de incompetencia realicen los titulares de las áreas de los sujetos obligados;</w:t>
      </w:r>
    </w:p>
    <w:p w14:paraId="575C764C" w14:textId="77777777" w:rsidR="00914F94" w:rsidRPr="000D46AF" w:rsidRDefault="00030285">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0D46AF">
        <w:rPr>
          <w:rFonts w:ascii="Palatino Linotype" w:eastAsia="Palatino Linotype" w:hAnsi="Palatino Linotype" w:cs="Palatino Linotype"/>
          <w:i/>
          <w:sz w:val="22"/>
          <w:szCs w:val="22"/>
        </w:rPr>
        <w:t>...</w:t>
      </w:r>
    </w:p>
    <w:p w14:paraId="11332B7C" w14:textId="77777777" w:rsidR="00914F94" w:rsidRPr="000D46AF" w:rsidRDefault="00030285">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0D46AF">
        <w:rPr>
          <w:rFonts w:ascii="Palatino Linotype" w:eastAsia="Palatino Linotype" w:hAnsi="Palatino Linotype" w:cs="Palatino Linotype"/>
          <w:b/>
          <w:i/>
          <w:sz w:val="22"/>
          <w:szCs w:val="22"/>
        </w:rPr>
        <w:t>VIII</w:t>
      </w:r>
      <w:r w:rsidRPr="000D46AF">
        <w:rPr>
          <w:rFonts w:ascii="Palatino Linotype" w:eastAsia="Palatino Linotype" w:hAnsi="Palatino Linotype" w:cs="Palatino Linotype"/>
          <w:i/>
          <w:sz w:val="22"/>
          <w:szCs w:val="22"/>
        </w:rPr>
        <w:t>. Aprobar, modificar o revocar la clasificación de la información</w:t>
      </w:r>
    </w:p>
    <w:p w14:paraId="731800C5" w14:textId="77777777" w:rsidR="00914F94" w:rsidRPr="000D46AF" w:rsidRDefault="00030285">
      <w:pPr>
        <w:pBdr>
          <w:top w:val="nil"/>
          <w:left w:val="nil"/>
          <w:bottom w:val="nil"/>
          <w:right w:val="nil"/>
          <w:between w:val="nil"/>
        </w:pBdr>
        <w:ind w:left="851" w:right="616"/>
        <w:jc w:val="both"/>
        <w:rPr>
          <w:rFonts w:ascii="Palatino Linotype" w:eastAsia="Palatino Linotype" w:hAnsi="Palatino Linotype" w:cs="Palatino Linotype"/>
          <w:b/>
          <w:i/>
          <w:sz w:val="22"/>
          <w:szCs w:val="22"/>
        </w:rPr>
      </w:pPr>
      <w:r w:rsidRPr="000D46AF">
        <w:rPr>
          <w:rFonts w:ascii="Palatino Linotype" w:eastAsia="Palatino Linotype" w:hAnsi="Palatino Linotype" w:cs="Palatino Linotype"/>
          <w:b/>
          <w:i/>
          <w:sz w:val="22"/>
          <w:szCs w:val="22"/>
        </w:rPr>
        <w:t>...</w:t>
      </w:r>
    </w:p>
    <w:p w14:paraId="7AE285C4" w14:textId="77777777" w:rsidR="00914F94" w:rsidRPr="000D46AF" w:rsidRDefault="00030285">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0D46AF">
        <w:rPr>
          <w:rFonts w:ascii="Palatino Linotype" w:eastAsia="Palatino Linotype" w:hAnsi="Palatino Linotype" w:cs="Palatino Linotype"/>
          <w:b/>
          <w:i/>
          <w:sz w:val="22"/>
          <w:szCs w:val="22"/>
        </w:rPr>
        <w:t>Artículo 53</w:t>
      </w:r>
      <w:r w:rsidRPr="000D46AF">
        <w:rPr>
          <w:rFonts w:ascii="Palatino Linotype" w:eastAsia="Palatino Linotype" w:hAnsi="Palatino Linotype" w:cs="Palatino Linotype"/>
          <w:i/>
          <w:sz w:val="22"/>
          <w:szCs w:val="22"/>
        </w:rPr>
        <w:t xml:space="preserve">. Las </w:t>
      </w:r>
      <w:r w:rsidRPr="000D46AF">
        <w:rPr>
          <w:rFonts w:ascii="Palatino Linotype" w:eastAsia="Palatino Linotype" w:hAnsi="Palatino Linotype" w:cs="Palatino Linotype"/>
          <w:b/>
          <w:i/>
          <w:sz w:val="22"/>
          <w:szCs w:val="22"/>
        </w:rPr>
        <w:t xml:space="preserve">Unidades de Transparencia </w:t>
      </w:r>
      <w:r w:rsidRPr="000D46AF">
        <w:rPr>
          <w:rFonts w:ascii="Palatino Linotype" w:eastAsia="Palatino Linotype" w:hAnsi="Palatino Linotype" w:cs="Palatino Linotype"/>
          <w:i/>
          <w:sz w:val="22"/>
          <w:szCs w:val="22"/>
        </w:rPr>
        <w:t>tendrán las siguientes funciones:</w:t>
      </w:r>
    </w:p>
    <w:p w14:paraId="5F32A850" w14:textId="77777777" w:rsidR="00914F94" w:rsidRPr="000D46AF" w:rsidRDefault="00030285">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0D46AF">
        <w:rPr>
          <w:rFonts w:ascii="Palatino Linotype" w:eastAsia="Palatino Linotype" w:hAnsi="Palatino Linotype" w:cs="Palatino Linotype"/>
          <w:i/>
          <w:sz w:val="22"/>
          <w:szCs w:val="22"/>
        </w:rPr>
        <w:t>...</w:t>
      </w:r>
    </w:p>
    <w:p w14:paraId="356FE57F" w14:textId="77777777" w:rsidR="00914F94" w:rsidRPr="000D46AF" w:rsidRDefault="00030285">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0D46AF">
        <w:rPr>
          <w:rFonts w:ascii="Palatino Linotype" w:eastAsia="Palatino Linotype" w:hAnsi="Palatino Linotype" w:cs="Palatino Linotype"/>
          <w:b/>
          <w:i/>
          <w:sz w:val="22"/>
          <w:szCs w:val="22"/>
        </w:rPr>
        <w:t>X.</w:t>
      </w:r>
      <w:r w:rsidRPr="000D46AF">
        <w:rPr>
          <w:rFonts w:ascii="Palatino Linotype" w:eastAsia="Palatino Linotype" w:hAnsi="Palatino Linotype" w:cs="Palatino Linotype"/>
          <w:i/>
          <w:sz w:val="22"/>
          <w:szCs w:val="22"/>
        </w:rPr>
        <w:t xml:space="preserve"> Presentar ante el Comité, el proyecto de clasificación de información;</w:t>
      </w:r>
    </w:p>
    <w:p w14:paraId="20C40A36" w14:textId="77777777" w:rsidR="00914F94" w:rsidRPr="000D46AF" w:rsidRDefault="00030285">
      <w:pPr>
        <w:pBdr>
          <w:top w:val="nil"/>
          <w:left w:val="nil"/>
          <w:bottom w:val="nil"/>
          <w:right w:val="nil"/>
          <w:between w:val="nil"/>
        </w:pBdr>
        <w:ind w:left="851" w:right="616"/>
        <w:jc w:val="both"/>
        <w:rPr>
          <w:rFonts w:ascii="Palatino Linotype" w:eastAsia="Palatino Linotype" w:hAnsi="Palatino Linotype" w:cs="Palatino Linotype"/>
          <w:b/>
          <w:i/>
          <w:sz w:val="22"/>
          <w:szCs w:val="22"/>
        </w:rPr>
      </w:pPr>
      <w:r w:rsidRPr="000D46AF">
        <w:rPr>
          <w:rFonts w:ascii="Palatino Linotype" w:eastAsia="Palatino Linotype" w:hAnsi="Palatino Linotype" w:cs="Palatino Linotype"/>
          <w:b/>
          <w:i/>
          <w:sz w:val="22"/>
          <w:szCs w:val="22"/>
        </w:rPr>
        <w:t>...</w:t>
      </w:r>
    </w:p>
    <w:p w14:paraId="1BC881A0" w14:textId="77777777" w:rsidR="00914F94" w:rsidRPr="000D46AF" w:rsidRDefault="00030285">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0D46AF">
        <w:rPr>
          <w:rFonts w:ascii="Palatino Linotype" w:eastAsia="Palatino Linotype" w:hAnsi="Palatino Linotype" w:cs="Palatino Linotype"/>
          <w:b/>
          <w:i/>
          <w:sz w:val="22"/>
          <w:szCs w:val="22"/>
        </w:rPr>
        <w:t>Artículo 59</w:t>
      </w:r>
      <w:r w:rsidRPr="000D46AF">
        <w:rPr>
          <w:rFonts w:ascii="Palatino Linotype" w:eastAsia="Palatino Linotype" w:hAnsi="Palatino Linotype" w:cs="Palatino Linotype"/>
          <w:i/>
          <w:sz w:val="22"/>
          <w:szCs w:val="22"/>
        </w:rPr>
        <w:t xml:space="preserve">. Los </w:t>
      </w:r>
      <w:r w:rsidRPr="000D46AF">
        <w:rPr>
          <w:rFonts w:ascii="Palatino Linotype" w:eastAsia="Palatino Linotype" w:hAnsi="Palatino Linotype" w:cs="Palatino Linotype"/>
          <w:b/>
          <w:i/>
          <w:sz w:val="22"/>
          <w:szCs w:val="22"/>
        </w:rPr>
        <w:t>servidores públicos habilitados</w:t>
      </w:r>
      <w:r w:rsidRPr="000D46AF">
        <w:rPr>
          <w:rFonts w:ascii="Palatino Linotype" w:eastAsia="Palatino Linotype" w:hAnsi="Palatino Linotype" w:cs="Palatino Linotype"/>
          <w:i/>
          <w:sz w:val="22"/>
          <w:szCs w:val="22"/>
        </w:rPr>
        <w:t xml:space="preserve"> tendrán las funciones siguientes:</w:t>
      </w:r>
    </w:p>
    <w:p w14:paraId="76219FF4" w14:textId="77777777" w:rsidR="00914F94" w:rsidRPr="000D46AF" w:rsidRDefault="00030285">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0D46AF">
        <w:rPr>
          <w:rFonts w:ascii="Palatino Linotype" w:eastAsia="Palatino Linotype" w:hAnsi="Palatino Linotype" w:cs="Palatino Linotype"/>
          <w:i/>
          <w:sz w:val="22"/>
          <w:szCs w:val="22"/>
        </w:rPr>
        <w:t>...</w:t>
      </w:r>
    </w:p>
    <w:p w14:paraId="030242C3" w14:textId="77777777" w:rsidR="00914F94" w:rsidRPr="000D46AF" w:rsidRDefault="00030285">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0D46AF">
        <w:rPr>
          <w:rFonts w:ascii="Palatino Linotype" w:eastAsia="Palatino Linotype" w:hAnsi="Palatino Linotype" w:cs="Palatino Linotype"/>
          <w:b/>
          <w:i/>
          <w:sz w:val="22"/>
          <w:szCs w:val="22"/>
        </w:rPr>
        <w:t>V.</w:t>
      </w:r>
      <w:r w:rsidRPr="000D46AF">
        <w:rPr>
          <w:rFonts w:ascii="Palatino Linotype" w:eastAsia="Palatino Linotype" w:hAnsi="Palatino Linotype" w:cs="Palatino Linotype"/>
          <w:i/>
          <w:sz w:val="22"/>
          <w:szCs w:val="22"/>
        </w:rPr>
        <w:t xml:space="preserve"> Integrar y presentar al responsable de la Unidad de Transparencia la propuesta de clasificación de información, la cual tendrá los fundamentos y argumentos en que se basa dicha propuesta;”</w:t>
      </w:r>
    </w:p>
    <w:p w14:paraId="08C7F4B5" w14:textId="77777777" w:rsidR="00914F94" w:rsidRPr="000D46AF" w:rsidRDefault="00030285">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sz w:val="22"/>
          <w:szCs w:val="22"/>
        </w:rPr>
        <w:t>Asimismo, resulta aplicable el contenido del artículo 168 de la Ley de la Materia, que dispone lo siguiente:</w:t>
      </w:r>
    </w:p>
    <w:p w14:paraId="7A036A44" w14:textId="77777777" w:rsidR="00914F94" w:rsidRPr="000D46AF" w:rsidRDefault="00030285">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0D46AF">
        <w:rPr>
          <w:rFonts w:ascii="Palatino Linotype" w:eastAsia="Palatino Linotype" w:hAnsi="Palatino Linotype" w:cs="Palatino Linotype"/>
          <w:i/>
          <w:sz w:val="22"/>
          <w:szCs w:val="22"/>
        </w:rPr>
        <w:t xml:space="preserve"> “</w:t>
      </w:r>
      <w:r w:rsidRPr="000D46AF">
        <w:rPr>
          <w:rFonts w:ascii="Palatino Linotype" w:eastAsia="Palatino Linotype" w:hAnsi="Palatino Linotype" w:cs="Palatino Linotype"/>
          <w:b/>
          <w:i/>
          <w:sz w:val="22"/>
          <w:szCs w:val="22"/>
        </w:rPr>
        <w:t>Artículo 168</w:t>
      </w:r>
      <w:r w:rsidRPr="000D46AF">
        <w:rPr>
          <w:rFonts w:ascii="Palatino Linotype" w:eastAsia="Palatino Linotype" w:hAnsi="Palatino Linotype" w:cs="Palatino Linotype"/>
          <w:i/>
          <w:sz w:val="22"/>
          <w:szCs w:val="22"/>
        </w:rPr>
        <w:t xml:space="preserve">. En caso de que los sujetos obligados consideren que los documentos o la información deban ser clasificados, se sujetará a lo siguiente: </w:t>
      </w:r>
    </w:p>
    <w:p w14:paraId="7010B178" w14:textId="77777777" w:rsidR="00914F94" w:rsidRPr="000D46AF" w:rsidRDefault="00030285">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0D46AF">
        <w:rPr>
          <w:rFonts w:ascii="Palatino Linotype" w:eastAsia="Palatino Linotype" w:hAnsi="Palatino Linotype" w:cs="Palatino Linotype"/>
          <w:b/>
          <w:i/>
          <w:sz w:val="22"/>
          <w:szCs w:val="22"/>
        </w:rPr>
        <w:lastRenderedPageBreak/>
        <w:t>I.</w:t>
      </w:r>
      <w:r w:rsidRPr="000D46AF">
        <w:rPr>
          <w:rFonts w:ascii="Palatino Linotype" w:eastAsia="Palatino Linotype" w:hAnsi="Palatino Linotype" w:cs="Palatino Linotype"/>
          <w:i/>
          <w:sz w:val="22"/>
          <w:szCs w:val="22"/>
        </w:rPr>
        <w:t xml:space="preserve"> El Área deberá remitir la solicitud, </w:t>
      </w:r>
      <w:r w:rsidRPr="000D46AF">
        <w:rPr>
          <w:rFonts w:ascii="Palatino Linotype" w:eastAsia="Palatino Linotype" w:hAnsi="Palatino Linotype" w:cs="Palatino Linotype"/>
          <w:b/>
          <w:i/>
          <w:sz w:val="22"/>
          <w:szCs w:val="22"/>
        </w:rPr>
        <w:t xml:space="preserve">así como un escrito en el </w:t>
      </w:r>
      <w:r w:rsidRPr="000D46AF">
        <w:rPr>
          <w:rFonts w:ascii="Palatino Linotype" w:eastAsia="Palatino Linotype" w:hAnsi="Palatino Linotype" w:cs="Palatino Linotype"/>
          <w:b/>
          <w:i/>
          <w:sz w:val="22"/>
          <w:szCs w:val="22"/>
          <w:u w:val="single"/>
        </w:rPr>
        <w:t>que funde y motive la clasificación</w:t>
      </w:r>
      <w:r w:rsidRPr="000D46AF">
        <w:rPr>
          <w:rFonts w:ascii="Palatino Linotype" w:eastAsia="Palatino Linotype" w:hAnsi="Palatino Linotype" w:cs="Palatino Linotype"/>
          <w:b/>
          <w:i/>
          <w:sz w:val="22"/>
          <w:szCs w:val="22"/>
        </w:rPr>
        <w:t xml:space="preserve"> al Comité de Transparencia</w:t>
      </w:r>
      <w:r w:rsidRPr="000D46AF">
        <w:rPr>
          <w:rFonts w:ascii="Palatino Linotype" w:eastAsia="Palatino Linotype" w:hAnsi="Palatino Linotype" w:cs="Palatino Linotype"/>
          <w:i/>
          <w:sz w:val="22"/>
          <w:szCs w:val="22"/>
        </w:rPr>
        <w:t>, mismo que deberá resolver para:</w:t>
      </w:r>
    </w:p>
    <w:p w14:paraId="4B75468C" w14:textId="77777777" w:rsidR="00914F94" w:rsidRPr="000D46AF" w:rsidRDefault="00030285">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0D46AF">
        <w:rPr>
          <w:rFonts w:ascii="Palatino Linotype" w:eastAsia="Palatino Linotype" w:hAnsi="Palatino Linotype" w:cs="Palatino Linotype"/>
          <w:b/>
          <w:i/>
          <w:sz w:val="22"/>
          <w:szCs w:val="22"/>
        </w:rPr>
        <w:t>a)</w:t>
      </w:r>
      <w:r w:rsidRPr="000D46AF">
        <w:rPr>
          <w:rFonts w:ascii="Palatino Linotype" w:eastAsia="Palatino Linotype" w:hAnsi="Palatino Linotype" w:cs="Palatino Linotype"/>
          <w:i/>
          <w:sz w:val="22"/>
          <w:szCs w:val="22"/>
        </w:rPr>
        <w:t xml:space="preserve"> </w:t>
      </w:r>
      <w:r w:rsidRPr="000D46AF">
        <w:rPr>
          <w:rFonts w:ascii="Palatino Linotype" w:eastAsia="Palatino Linotype" w:hAnsi="Palatino Linotype" w:cs="Palatino Linotype"/>
          <w:b/>
          <w:i/>
          <w:sz w:val="22"/>
          <w:szCs w:val="22"/>
        </w:rPr>
        <w:t>Confirmar la clasificación</w:t>
      </w:r>
      <w:r w:rsidRPr="000D46AF">
        <w:rPr>
          <w:rFonts w:ascii="Palatino Linotype" w:eastAsia="Palatino Linotype" w:hAnsi="Palatino Linotype" w:cs="Palatino Linotype"/>
          <w:i/>
          <w:sz w:val="22"/>
          <w:szCs w:val="22"/>
        </w:rPr>
        <w:t xml:space="preserve">; </w:t>
      </w:r>
    </w:p>
    <w:p w14:paraId="6D204FBC" w14:textId="77777777" w:rsidR="00914F94" w:rsidRPr="000D46AF" w:rsidRDefault="00030285">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0D46AF">
        <w:rPr>
          <w:rFonts w:ascii="Palatino Linotype" w:eastAsia="Palatino Linotype" w:hAnsi="Palatino Linotype" w:cs="Palatino Linotype"/>
          <w:b/>
          <w:i/>
          <w:sz w:val="22"/>
          <w:szCs w:val="22"/>
        </w:rPr>
        <w:t>b)</w:t>
      </w:r>
      <w:r w:rsidRPr="000D46AF">
        <w:rPr>
          <w:rFonts w:ascii="Palatino Linotype" w:eastAsia="Palatino Linotype" w:hAnsi="Palatino Linotype" w:cs="Palatino Linotype"/>
          <w:i/>
          <w:sz w:val="22"/>
          <w:szCs w:val="22"/>
        </w:rPr>
        <w:t xml:space="preserve"> </w:t>
      </w:r>
      <w:r w:rsidRPr="000D46AF">
        <w:rPr>
          <w:rFonts w:ascii="Palatino Linotype" w:eastAsia="Palatino Linotype" w:hAnsi="Palatino Linotype" w:cs="Palatino Linotype"/>
          <w:b/>
          <w:i/>
          <w:sz w:val="22"/>
          <w:szCs w:val="22"/>
        </w:rPr>
        <w:t xml:space="preserve">Modificar la clasificación y </w:t>
      </w:r>
      <w:r w:rsidRPr="000D46AF">
        <w:rPr>
          <w:rFonts w:ascii="Palatino Linotype" w:eastAsia="Palatino Linotype" w:hAnsi="Palatino Linotype" w:cs="Palatino Linotype"/>
          <w:b/>
          <w:i/>
          <w:sz w:val="22"/>
          <w:szCs w:val="22"/>
          <w:u w:val="single"/>
        </w:rPr>
        <w:t>otorgar</w:t>
      </w:r>
      <w:r w:rsidRPr="000D46AF">
        <w:rPr>
          <w:rFonts w:ascii="Palatino Linotype" w:eastAsia="Palatino Linotype" w:hAnsi="Palatino Linotype" w:cs="Palatino Linotype"/>
          <w:b/>
          <w:i/>
          <w:sz w:val="22"/>
          <w:szCs w:val="22"/>
        </w:rPr>
        <w:t xml:space="preserve"> total o </w:t>
      </w:r>
      <w:r w:rsidRPr="000D46AF">
        <w:rPr>
          <w:rFonts w:ascii="Palatino Linotype" w:eastAsia="Palatino Linotype" w:hAnsi="Palatino Linotype" w:cs="Palatino Linotype"/>
          <w:b/>
          <w:i/>
          <w:sz w:val="22"/>
          <w:szCs w:val="22"/>
          <w:u w:val="single"/>
        </w:rPr>
        <w:t>parcialmente el acceso a la informació</w:t>
      </w:r>
      <w:r w:rsidRPr="000D46AF">
        <w:rPr>
          <w:rFonts w:ascii="Palatino Linotype" w:eastAsia="Palatino Linotype" w:hAnsi="Palatino Linotype" w:cs="Palatino Linotype"/>
          <w:i/>
          <w:sz w:val="22"/>
          <w:szCs w:val="22"/>
          <w:u w:val="single"/>
        </w:rPr>
        <w:t>n</w:t>
      </w:r>
      <w:r w:rsidRPr="000D46AF">
        <w:rPr>
          <w:rFonts w:ascii="Palatino Linotype" w:eastAsia="Palatino Linotype" w:hAnsi="Palatino Linotype" w:cs="Palatino Linotype"/>
          <w:i/>
          <w:sz w:val="22"/>
          <w:szCs w:val="22"/>
        </w:rPr>
        <w:t xml:space="preserve">; y </w:t>
      </w:r>
    </w:p>
    <w:p w14:paraId="0B9FC833" w14:textId="77777777" w:rsidR="00914F94" w:rsidRPr="000D46AF" w:rsidRDefault="00030285">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0D46AF">
        <w:rPr>
          <w:rFonts w:ascii="Palatino Linotype" w:eastAsia="Palatino Linotype" w:hAnsi="Palatino Linotype" w:cs="Palatino Linotype"/>
          <w:b/>
          <w:i/>
          <w:sz w:val="22"/>
          <w:szCs w:val="22"/>
        </w:rPr>
        <w:t>c)</w:t>
      </w:r>
      <w:r w:rsidRPr="000D46AF">
        <w:rPr>
          <w:rFonts w:ascii="Palatino Linotype" w:eastAsia="Palatino Linotype" w:hAnsi="Palatino Linotype" w:cs="Palatino Linotype"/>
          <w:i/>
          <w:sz w:val="22"/>
          <w:szCs w:val="22"/>
        </w:rPr>
        <w:t xml:space="preserve"> Revocar la clasificación y conceder el acceso a la información. </w:t>
      </w:r>
    </w:p>
    <w:p w14:paraId="0BD00B65" w14:textId="77777777" w:rsidR="00914F94" w:rsidRPr="000D46AF" w:rsidRDefault="00030285">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0D46AF">
        <w:rPr>
          <w:rFonts w:ascii="Palatino Linotype" w:eastAsia="Palatino Linotype" w:hAnsi="Palatino Linotype" w:cs="Palatino Linotype"/>
          <w:b/>
          <w:i/>
          <w:sz w:val="22"/>
          <w:szCs w:val="22"/>
        </w:rPr>
        <w:t>II</w:t>
      </w:r>
      <w:r w:rsidRPr="000D46AF">
        <w:rPr>
          <w:rFonts w:ascii="Palatino Linotype" w:eastAsia="Palatino Linotype" w:hAnsi="Palatino Linotype" w:cs="Palatino Linotype"/>
          <w:i/>
          <w:sz w:val="22"/>
          <w:szCs w:val="22"/>
        </w:rPr>
        <w:t xml:space="preserve">. El Comité de Transparencia podrá tener acceso a la información que esté en poder del Área correspondiente, de la cual se haya solicitado su clasificación; y </w:t>
      </w:r>
    </w:p>
    <w:p w14:paraId="4751E461" w14:textId="77777777" w:rsidR="00914F94" w:rsidRPr="000D46AF" w:rsidRDefault="00030285">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0D46AF">
        <w:rPr>
          <w:rFonts w:ascii="Palatino Linotype" w:eastAsia="Palatino Linotype" w:hAnsi="Palatino Linotype" w:cs="Palatino Linotype"/>
          <w:b/>
          <w:i/>
          <w:sz w:val="22"/>
          <w:szCs w:val="22"/>
        </w:rPr>
        <w:t>III</w:t>
      </w:r>
      <w:r w:rsidRPr="000D46AF">
        <w:rPr>
          <w:rFonts w:ascii="Palatino Linotype" w:eastAsia="Palatino Linotype" w:hAnsi="Palatino Linotype" w:cs="Palatino Linotype"/>
          <w:i/>
          <w:sz w:val="22"/>
          <w:szCs w:val="22"/>
        </w:rPr>
        <w:t>. La resolución del Comité de Transparencia será notificada al interesado en el plazo de respuesta a la solicitud que establece esta Ley.”</w:t>
      </w:r>
    </w:p>
    <w:p w14:paraId="2BB32A0B" w14:textId="77777777" w:rsidR="00914F94" w:rsidRPr="000D46AF" w:rsidRDefault="00030285">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sz w:val="22"/>
          <w:szCs w:val="22"/>
        </w:rPr>
        <w:t>En el mismo orden de ideas, es de mencionar que, conforme al numeral Octavo de los Lineamientos Generales en materia de Clasificación y Desclasificación de la Información, así como para la elaboración de versiones públicas, para realizar la clasificación de la información se debe fundar y motivar señalando el artículo, fracción, inciso, párrafo o numeral de la Ley o tratado internacional suscrito por el Estado Mexicano que expresamente le otorgue el carácter de reservada o confidencial, así como especificando las razones o circunstancias especiales que lo llevaron a concluir que el caso particular se ajusta al supuesto previsto por la norma legal invocada como fundamento, como se lee:</w:t>
      </w:r>
    </w:p>
    <w:p w14:paraId="1360A271" w14:textId="77777777" w:rsidR="00914F94" w:rsidRPr="000D46AF" w:rsidRDefault="00030285">
      <w:pPr>
        <w:pBdr>
          <w:top w:val="nil"/>
          <w:left w:val="nil"/>
          <w:bottom w:val="nil"/>
          <w:right w:val="nil"/>
          <w:between w:val="nil"/>
        </w:pBdr>
        <w:ind w:left="851" w:right="616"/>
        <w:jc w:val="both"/>
        <w:rPr>
          <w:rFonts w:ascii="Palatino Linotype" w:eastAsia="Palatino Linotype" w:hAnsi="Palatino Linotype" w:cs="Palatino Linotype"/>
          <w:b/>
          <w:i/>
          <w:sz w:val="22"/>
          <w:szCs w:val="22"/>
        </w:rPr>
      </w:pPr>
      <w:r w:rsidRPr="000D46AF">
        <w:rPr>
          <w:rFonts w:ascii="Palatino Linotype" w:eastAsia="Palatino Linotype" w:hAnsi="Palatino Linotype" w:cs="Palatino Linotype"/>
          <w:b/>
          <w:i/>
          <w:sz w:val="22"/>
          <w:szCs w:val="22"/>
        </w:rPr>
        <w:t>“Octavo</w:t>
      </w:r>
      <w:r w:rsidRPr="000D46AF">
        <w:rPr>
          <w:rFonts w:ascii="Palatino Linotype" w:eastAsia="Palatino Linotype" w:hAnsi="Palatino Linotype" w:cs="Palatino Linotype"/>
          <w:i/>
          <w:sz w:val="22"/>
          <w:szCs w:val="22"/>
        </w:rPr>
        <w:t xml:space="preserve">. Para fundar la clasificación de la información </w:t>
      </w:r>
      <w:r w:rsidRPr="000D46AF">
        <w:rPr>
          <w:rFonts w:ascii="Palatino Linotype" w:eastAsia="Palatino Linotype" w:hAnsi="Palatino Linotype" w:cs="Palatino Linotype"/>
          <w:b/>
          <w:i/>
          <w:sz w:val="22"/>
          <w:szCs w:val="22"/>
        </w:rPr>
        <w:t xml:space="preserve">se debe señalar el artículo, fracción, inciso, párrafo o numeral de la ley o tratado internacional suscrito por el Estado mexicano que expresamente le otorga el </w:t>
      </w:r>
      <w:r w:rsidRPr="000D46AF">
        <w:rPr>
          <w:rFonts w:ascii="Palatino Linotype" w:eastAsia="Palatino Linotype" w:hAnsi="Palatino Linotype" w:cs="Palatino Linotype"/>
          <w:b/>
          <w:i/>
          <w:sz w:val="22"/>
          <w:szCs w:val="22"/>
          <w:u w:val="single"/>
        </w:rPr>
        <w:t>carácter</w:t>
      </w:r>
      <w:r w:rsidRPr="000D46AF">
        <w:rPr>
          <w:rFonts w:ascii="Palatino Linotype" w:eastAsia="Palatino Linotype" w:hAnsi="Palatino Linotype" w:cs="Palatino Linotype"/>
          <w:b/>
          <w:i/>
          <w:sz w:val="22"/>
          <w:szCs w:val="22"/>
        </w:rPr>
        <w:t xml:space="preserve"> de reservada o </w:t>
      </w:r>
      <w:r w:rsidRPr="000D46AF">
        <w:rPr>
          <w:rFonts w:ascii="Palatino Linotype" w:eastAsia="Palatino Linotype" w:hAnsi="Palatino Linotype" w:cs="Palatino Linotype"/>
          <w:b/>
          <w:i/>
          <w:sz w:val="22"/>
          <w:szCs w:val="22"/>
          <w:u w:val="single"/>
        </w:rPr>
        <w:t>confidencial</w:t>
      </w:r>
      <w:r w:rsidRPr="000D46AF">
        <w:rPr>
          <w:rFonts w:ascii="Palatino Linotype" w:eastAsia="Palatino Linotype" w:hAnsi="Palatino Linotype" w:cs="Palatino Linotype"/>
          <w:b/>
          <w:i/>
          <w:sz w:val="22"/>
          <w:szCs w:val="22"/>
        </w:rPr>
        <w:t>.</w:t>
      </w:r>
    </w:p>
    <w:p w14:paraId="7D449699" w14:textId="77777777" w:rsidR="00914F94" w:rsidRPr="000D46AF" w:rsidRDefault="00030285">
      <w:pPr>
        <w:pBdr>
          <w:top w:val="nil"/>
          <w:left w:val="nil"/>
          <w:bottom w:val="nil"/>
          <w:right w:val="nil"/>
          <w:between w:val="nil"/>
        </w:pBdr>
        <w:ind w:left="851" w:right="616"/>
        <w:jc w:val="both"/>
        <w:rPr>
          <w:rFonts w:ascii="Palatino Linotype" w:eastAsia="Palatino Linotype" w:hAnsi="Palatino Linotype" w:cs="Palatino Linotype"/>
          <w:b/>
          <w:i/>
          <w:sz w:val="22"/>
          <w:szCs w:val="22"/>
        </w:rPr>
      </w:pPr>
      <w:r w:rsidRPr="000D46AF">
        <w:rPr>
          <w:rFonts w:ascii="Palatino Linotype" w:eastAsia="Palatino Linotype" w:hAnsi="Palatino Linotype" w:cs="Palatino Linotype"/>
          <w:i/>
          <w:sz w:val="22"/>
          <w:szCs w:val="22"/>
        </w:rPr>
        <w:t xml:space="preserve">Para motivar la clasificación </w:t>
      </w:r>
      <w:r w:rsidRPr="000D46AF">
        <w:rPr>
          <w:rFonts w:ascii="Palatino Linotype" w:eastAsia="Palatino Linotype" w:hAnsi="Palatino Linotype" w:cs="Palatino Linotype"/>
          <w:b/>
          <w:i/>
          <w:sz w:val="22"/>
          <w:szCs w:val="22"/>
        </w:rPr>
        <w:t>se deberán señalar las razones o circunstancias especiales que lo llevaron a concluir que el caso particular se ajusta al supuesto previsto por la norma legal invocada como fundamento.</w:t>
      </w:r>
    </w:p>
    <w:p w14:paraId="4B526BB6" w14:textId="77777777" w:rsidR="00914F94" w:rsidRPr="000D46AF" w:rsidRDefault="00030285">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0D46AF">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33FAEFF9" w14:textId="77777777" w:rsidR="00914F94" w:rsidRPr="000D46AF" w:rsidRDefault="00030285">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0D46AF">
        <w:rPr>
          <w:rFonts w:ascii="Palatino Linotype" w:eastAsia="Palatino Linotype" w:hAnsi="Palatino Linotype" w:cs="Palatino Linotype"/>
          <w:i/>
          <w:sz w:val="22"/>
          <w:szCs w:val="22"/>
        </w:rPr>
        <w:lastRenderedPageBreak/>
        <w:t>Tratándose de información clasificada como confidencial respecto de la cual se haya determinado su conservación permanente por tener valor histórico, ésta conservará tal carácter de conformidad con la normativa aplicable en materia de archivos.</w:t>
      </w:r>
    </w:p>
    <w:p w14:paraId="3CD4E88B" w14:textId="77777777" w:rsidR="00914F94" w:rsidRPr="000D46AF" w:rsidRDefault="00030285">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0D46AF">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4EE9E21B" w14:textId="77777777" w:rsidR="00914F94" w:rsidRPr="000D46AF" w:rsidRDefault="00030285">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sz w:val="22"/>
          <w:szCs w:val="22"/>
        </w:rPr>
        <w:t>Sirve de sustento a lo anterior, la Tesis jurisprudencial número I.4º.A. J/43, publicada en el Semanario Judicial de la Federación y su Gaceta, bajo el número de registro 175,082; que a la letra dice:</w:t>
      </w:r>
    </w:p>
    <w:p w14:paraId="7D93F5D4" w14:textId="77777777" w:rsidR="00914F94" w:rsidRPr="000D46AF" w:rsidRDefault="00030285">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0D46AF">
        <w:rPr>
          <w:rFonts w:ascii="Palatino Linotype" w:eastAsia="Palatino Linotype" w:hAnsi="Palatino Linotype" w:cs="Palatino Linotype"/>
          <w:i/>
          <w:sz w:val="22"/>
          <w:szCs w:val="22"/>
        </w:rPr>
        <w:t>“</w:t>
      </w:r>
      <w:r w:rsidRPr="000D46AF">
        <w:rPr>
          <w:rFonts w:ascii="Palatino Linotype" w:eastAsia="Palatino Linotype" w:hAnsi="Palatino Linotype" w:cs="Palatino Linotype"/>
          <w:b/>
          <w:i/>
          <w:sz w:val="22"/>
          <w:szCs w:val="22"/>
        </w:rPr>
        <w:t>FUNDAMENTACIÓN Y MOTIVACIÓN. EL ASPECTO FORMAL DE LA GARANTÍA Y SU FINALIDAD SE TRADUCEN EN EXPLICAR, JUSTIFICAR, POSIBILITAR LA DEFENSA Y COMUNICAR LA DECISIÓN. </w:t>
      </w:r>
      <w:r w:rsidRPr="000D46AF">
        <w:rPr>
          <w:rFonts w:ascii="Palatino Linotype" w:eastAsia="Palatino Linotype" w:hAnsi="Palatino Linotype" w:cs="Palatino Linotype"/>
          <w:i/>
          <w:sz w:val="22"/>
          <w:szCs w:val="22"/>
        </w:rPr>
        <w:t>El contenido formal de la garantía de legalidad prevista en el artículo 16 constitucional relativa a la fundamentación y motivación tiene como propósito primordial y ratio que el justiciable </w:t>
      </w:r>
      <w:r w:rsidRPr="000D46AF">
        <w:rPr>
          <w:rFonts w:ascii="Palatino Linotype" w:eastAsia="Palatino Linotype" w:hAnsi="Palatino Linotype" w:cs="Palatino Linotype"/>
          <w:b/>
          <w:i/>
          <w:sz w:val="22"/>
          <w:szCs w:val="22"/>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0D46AF">
        <w:rPr>
          <w:rFonts w:ascii="Palatino Linotype" w:eastAsia="Palatino Linotype" w:hAnsi="Palatino Linotype" w:cs="Palatino Linotype"/>
          <w:i/>
          <w:sz w:val="22"/>
          <w:szCs w:val="22"/>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0D46AF">
        <w:rPr>
          <w:rFonts w:ascii="Palatino Linotype" w:eastAsia="Palatino Linotype" w:hAnsi="Palatino Linotype" w:cs="Palatino Linotype"/>
          <w:b/>
          <w:i/>
          <w:sz w:val="22"/>
          <w:szCs w:val="22"/>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0D46AF">
        <w:rPr>
          <w:rFonts w:ascii="Palatino Linotype" w:eastAsia="Palatino Linotype" w:hAnsi="Palatino Linotype" w:cs="Palatino Linotype"/>
          <w:i/>
          <w:sz w:val="22"/>
          <w:szCs w:val="22"/>
        </w:rPr>
        <w:t> del que se deduzca la relación de pertenencia lógica de los hechos al derecho invocado, que es la subsunción.”</w:t>
      </w:r>
    </w:p>
    <w:p w14:paraId="304AC5EB" w14:textId="77777777" w:rsidR="00914F94" w:rsidRPr="000D46AF" w:rsidRDefault="00030285">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sz w:val="22"/>
          <w:szCs w:val="22"/>
        </w:rPr>
        <w:lastRenderedPageBreak/>
        <w:t>En contraste con lo anterior, en el caso que nos ocupa, al no haber presentado acuerdo que contenga el razonamiento lógico con el que se demuestre que la información que se eliminó de los documentos remitidos, encuadra en alguna de las hipótesis que contempla la Ley de la Materia, se violentó el derecho de acceso a la información de la parte solicitante.</w:t>
      </w:r>
    </w:p>
    <w:p w14:paraId="3F97A49C" w14:textId="77777777" w:rsidR="00914F94" w:rsidRPr="000D46AF" w:rsidRDefault="00030285">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sz w:val="22"/>
          <w:szCs w:val="22"/>
        </w:rPr>
        <w:t xml:space="preserve">Lo anterior se estima así, ya que al no haber justificado el </w:t>
      </w:r>
      <w:r w:rsidRPr="000D46AF">
        <w:rPr>
          <w:rFonts w:ascii="Palatino Linotype" w:eastAsia="Palatino Linotype" w:hAnsi="Palatino Linotype" w:cs="Palatino Linotype"/>
          <w:b/>
          <w:sz w:val="22"/>
          <w:szCs w:val="22"/>
        </w:rPr>
        <w:t>Sujeto Obligado</w:t>
      </w:r>
      <w:r w:rsidRPr="000D46AF">
        <w:rPr>
          <w:rFonts w:ascii="Palatino Linotype" w:eastAsia="Palatino Linotype" w:hAnsi="Palatino Linotype" w:cs="Palatino Linotype"/>
          <w:sz w:val="22"/>
          <w:szCs w:val="22"/>
        </w:rPr>
        <w:t xml:space="preserve"> las causas o motivos por las que no se aprecian determinados datos -ya sea porque se testan o suprimen- deja a la persona solicitante en estado de incertidumbre, al no conocer o comprender porque no aparecen en la documentación respectiva, lo cual se traduce en que los documentos remitidos no tienen un sustento jurídico ni resulta ser una versión pública, sino más bien una documento ilegible </w:t>
      </w:r>
      <w:r w:rsidRPr="000D46AF">
        <w:rPr>
          <w:rFonts w:ascii="Palatino Linotype" w:eastAsia="Palatino Linotype" w:hAnsi="Palatino Linotype" w:cs="Palatino Linotype"/>
          <w:b/>
          <w:sz w:val="22"/>
          <w:szCs w:val="22"/>
          <w:u w:val="single"/>
        </w:rPr>
        <w:t>o incompleto</w:t>
      </w:r>
      <w:r w:rsidRPr="000D46AF">
        <w:rPr>
          <w:rFonts w:ascii="Palatino Linotype" w:eastAsia="Palatino Linotype" w:hAnsi="Palatino Linotype" w:cs="Palatino Linotype"/>
          <w:sz w:val="22"/>
          <w:szCs w:val="22"/>
        </w:rPr>
        <w:t>, como se hizo valer en el recurso de revisión.</w:t>
      </w:r>
    </w:p>
    <w:p w14:paraId="3792BF27" w14:textId="77777777" w:rsidR="00914F94" w:rsidRPr="000D46AF" w:rsidRDefault="00030285">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sz w:val="22"/>
          <w:szCs w:val="22"/>
        </w:rPr>
        <w:t xml:space="preserve">Asimismo, respecto de los datos testados, es imprescindible señalar que el </w:t>
      </w:r>
      <w:r w:rsidRPr="000D46AF">
        <w:rPr>
          <w:rFonts w:ascii="Palatino Linotype" w:eastAsia="Palatino Linotype" w:hAnsi="Palatino Linotype" w:cs="Palatino Linotype"/>
          <w:b/>
          <w:i/>
          <w:sz w:val="22"/>
          <w:szCs w:val="22"/>
        </w:rPr>
        <w:t>Acta de nacimiento</w:t>
      </w:r>
      <w:r w:rsidRPr="000D46AF">
        <w:rPr>
          <w:rFonts w:ascii="Palatino Linotype" w:eastAsia="Palatino Linotype" w:hAnsi="Palatino Linotype" w:cs="Palatino Linotype"/>
          <w:b/>
          <w:sz w:val="22"/>
          <w:szCs w:val="22"/>
        </w:rPr>
        <w:t xml:space="preserve"> </w:t>
      </w:r>
      <w:r w:rsidRPr="000D46AF">
        <w:rPr>
          <w:rFonts w:ascii="Palatino Linotype" w:eastAsia="Palatino Linotype" w:hAnsi="Palatino Linotype" w:cs="Palatino Linotype"/>
          <w:sz w:val="22"/>
          <w:szCs w:val="22"/>
        </w:rPr>
        <w:t xml:space="preserve">da cuenta de un atributo de la personalidad, tal como lo establece el artículo 2.3 del Código Civil del Estado México. En ese orden de ideas, el artículo 3.5 del citado Código Civil establece que el estado civil de las personas sólo se comprueba con las constancias relativas del Registro Civil, tal como lo es el Acta de Nacimiento. </w:t>
      </w:r>
    </w:p>
    <w:p w14:paraId="13BC03C7" w14:textId="77777777" w:rsidR="00914F94" w:rsidRPr="000D46AF" w:rsidRDefault="00030285">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sz w:val="22"/>
          <w:szCs w:val="22"/>
        </w:rPr>
        <w:t xml:space="preserve">Ahora bien, de acuerdo con el Formato Único del Acta de Nacimiento publicado por la Secretaría de Gobernación en el enlace </w:t>
      </w:r>
      <w:hyperlink r:id="rId11">
        <w:r w:rsidRPr="000D46AF">
          <w:rPr>
            <w:rFonts w:ascii="Palatino Linotype" w:eastAsia="Palatino Linotype" w:hAnsi="Palatino Linotype" w:cs="Palatino Linotype"/>
            <w:sz w:val="22"/>
            <w:szCs w:val="22"/>
            <w:u w:val="single"/>
          </w:rPr>
          <w:t>http://www.diputados.gob.mx/documentos/N_Acta_Nacimiento.pdf</w:t>
        </w:r>
      </w:hyperlink>
      <w:r w:rsidRPr="000D46AF">
        <w:rPr>
          <w:rFonts w:ascii="Palatino Linotype" w:eastAsia="Palatino Linotype" w:hAnsi="Palatino Linotype" w:cs="Palatino Linotype"/>
          <w:sz w:val="22"/>
          <w:szCs w:val="22"/>
        </w:rPr>
        <w:t xml:space="preserve">, se advierte que el Acta de Nacimiento se componte de quince elementos siendo los siguientes: </w:t>
      </w:r>
    </w:p>
    <w:p w14:paraId="2EE99D25" w14:textId="77777777" w:rsidR="00914F94" w:rsidRPr="000D46AF" w:rsidRDefault="00030285">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sz w:val="22"/>
          <w:szCs w:val="22"/>
        </w:rPr>
        <w:t>a)</w:t>
      </w:r>
      <w:r w:rsidRPr="000D46AF">
        <w:rPr>
          <w:rFonts w:ascii="Palatino Linotype" w:eastAsia="Palatino Linotype" w:hAnsi="Palatino Linotype" w:cs="Palatino Linotype"/>
          <w:sz w:val="22"/>
          <w:szCs w:val="22"/>
        </w:rPr>
        <w:tab/>
        <w:t>Folio de Impresión.</w:t>
      </w:r>
    </w:p>
    <w:p w14:paraId="533E6297" w14:textId="77777777" w:rsidR="00914F94" w:rsidRPr="000D46AF" w:rsidRDefault="00030285">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sz w:val="22"/>
          <w:szCs w:val="22"/>
        </w:rPr>
        <w:t>b)</w:t>
      </w:r>
      <w:r w:rsidRPr="000D46AF">
        <w:rPr>
          <w:rFonts w:ascii="Palatino Linotype" w:eastAsia="Palatino Linotype" w:hAnsi="Palatino Linotype" w:cs="Palatino Linotype"/>
          <w:sz w:val="22"/>
          <w:szCs w:val="22"/>
        </w:rPr>
        <w:tab/>
        <w:t>Denominación del Documento.</w:t>
      </w:r>
    </w:p>
    <w:p w14:paraId="1B592601" w14:textId="77777777" w:rsidR="00914F94" w:rsidRPr="000D46AF" w:rsidRDefault="00030285">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sz w:val="22"/>
          <w:szCs w:val="22"/>
        </w:rPr>
        <w:t>c)</w:t>
      </w:r>
      <w:r w:rsidRPr="000D46AF">
        <w:rPr>
          <w:rFonts w:ascii="Palatino Linotype" w:eastAsia="Palatino Linotype" w:hAnsi="Palatino Linotype" w:cs="Palatino Linotype"/>
          <w:sz w:val="22"/>
          <w:szCs w:val="22"/>
        </w:rPr>
        <w:tab/>
        <w:t xml:space="preserve">Identificador Electrónico. </w:t>
      </w:r>
    </w:p>
    <w:p w14:paraId="4613C476" w14:textId="77777777" w:rsidR="00914F94" w:rsidRPr="000D46AF" w:rsidRDefault="00030285">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sz w:val="22"/>
          <w:szCs w:val="22"/>
        </w:rPr>
        <w:lastRenderedPageBreak/>
        <w:t>d)</w:t>
      </w:r>
      <w:r w:rsidRPr="000D46AF">
        <w:rPr>
          <w:rFonts w:ascii="Palatino Linotype" w:eastAsia="Palatino Linotype" w:hAnsi="Palatino Linotype" w:cs="Palatino Linotype"/>
          <w:sz w:val="22"/>
          <w:szCs w:val="22"/>
        </w:rPr>
        <w:tab/>
        <w:t xml:space="preserve">Elementos del Registro. </w:t>
      </w:r>
    </w:p>
    <w:p w14:paraId="7F64C35F" w14:textId="77777777" w:rsidR="00914F94" w:rsidRPr="000D46AF" w:rsidRDefault="00030285">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sz w:val="22"/>
          <w:szCs w:val="22"/>
        </w:rPr>
        <w:t>e)</w:t>
      </w:r>
      <w:r w:rsidRPr="000D46AF">
        <w:rPr>
          <w:rFonts w:ascii="Palatino Linotype" w:eastAsia="Palatino Linotype" w:hAnsi="Palatino Linotype" w:cs="Palatino Linotype"/>
          <w:sz w:val="22"/>
          <w:szCs w:val="22"/>
        </w:rPr>
        <w:tab/>
        <w:t xml:space="preserve">Datos de la Persona Registrada. </w:t>
      </w:r>
    </w:p>
    <w:p w14:paraId="57A811EA" w14:textId="77777777" w:rsidR="00914F94" w:rsidRPr="000D46AF" w:rsidRDefault="00030285">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sz w:val="22"/>
          <w:szCs w:val="22"/>
        </w:rPr>
        <w:t>f)</w:t>
      </w:r>
      <w:r w:rsidRPr="000D46AF">
        <w:rPr>
          <w:rFonts w:ascii="Palatino Linotype" w:eastAsia="Palatino Linotype" w:hAnsi="Palatino Linotype" w:cs="Palatino Linotype"/>
          <w:sz w:val="22"/>
          <w:szCs w:val="22"/>
        </w:rPr>
        <w:tab/>
        <w:t xml:space="preserve">Datos de Filiación de la Persona Registrada. </w:t>
      </w:r>
    </w:p>
    <w:p w14:paraId="65C42854" w14:textId="77777777" w:rsidR="00914F94" w:rsidRPr="000D46AF" w:rsidRDefault="00030285">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sz w:val="22"/>
          <w:szCs w:val="22"/>
        </w:rPr>
        <w:t>g)</w:t>
      </w:r>
      <w:r w:rsidRPr="000D46AF">
        <w:rPr>
          <w:rFonts w:ascii="Palatino Linotype" w:eastAsia="Palatino Linotype" w:hAnsi="Palatino Linotype" w:cs="Palatino Linotype"/>
          <w:sz w:val="22"/>
          <w:szCs w:val="22"/>
        </w:rPr>
        <w:tab/>
        <w:t xml:space="preserve">Anotaciones Marginales. </w:t>
      </w:r>
    </w:p>
    <w:p w14:paraId="314C150E" w14:textId="77777777" w:rsidR="00914F94" w:rsidRPr="000D46AF" w:rsidRDefault="00030285">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sz w:val="22"/>
          <w:szCs w:val="22"/>
        </w:rPr>
        <w:t>h)</w:t>
      </w:r>
      <w:r w:rsidRPr="000D46AF">
        <w:rPr>
          <w:rFonts w:ascii="Palatino Linotype" w:eastAsia="Palatino Linotype" w:hAnsi="Palatino Linotype" w:cs="Palatino Linotype"/>
          <w:sz w:val="22"/>
          <w:szCs w:val="22"/>
        </w:rPr>
        <w:tab/>
        <w:t xml:space="preserve">Certificación. </w:t>
      </w:r>
    </w:p>
    <w:p w14:paraId="4ED07B33" w14:textId="77777777" w:rsidR="00914F94" w:rsidRPr="000D46AF" w:rsidRDefault="00030285">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sz w:val="22"/>
          <w:szCs w:val="22"/>
        </w:rPr>
        <w:t>i)</w:t>
      </w:r>
      <w:r w:rsidRPr="000D46AF">
        <w:rPr>
          <w:rFonts w:ascii="Palatino Linotype" w:eastAsia="Palatino Linotype" w:hAnsi="Palatino Linotype" w:cs="Palatino Linotype"/>
          <w:sz w:val="22"/>
          <w:szCs w:val="22"/>
        </w:rPr>
        <w:tab/>
        <w:t xml:space="preserve">Código Bidimensional QR que contiene información encriptada del acta. </w:t>
      </w:r>
    </w:p>
    <w:p w14:paraId="2F132773" w14:textId="77777777" w:rsidR="00914F94" w:rsidRPr="000D46AF" w:rsidRDefault="00030285">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sz w:val="22"/>
          <w:szCs w:val="22"/>
        </w:rPr>
        <w:t>j)</w:t>
      </w:r>
      <w:r w:rsidRPr="000D46AF">
        <w:rPr>
          <w:rFonts w:ascii="Palatino Linotype" w:eastAsia="Palatino Linotype" w:hAnsi="Palatino Linotype" w:cs="Palatino Linotype"/>
          <w:sz w:val="22"/>
          <w:szCs w:val="22"/>
        </w:rPr>
        <w:tab/>
        <w:t xml:space="preserve">Leyenda “Soy México” </w:t>
      </w:r>
    </w:p>
    <w:p w14:paraId="0CDD2B0A" w14:textId="77777777" w:rsidR="00914F94" w:rsidRPr="000D46AF" w:rsidRDefault="00030285">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sz w:val="22"/>
          <w:szCs w:val="22"/>
        </w:rPr>
        <w:t>k)</w:t>
      </w:r>
      <w:r w:rsidRPr="000D46AF">
        <w:rPr>
          <w:rFonts w:ascii="Palatino Linotype" w:eastAsia="Palatino Linotype" w:hAnsi="Palatino Linotype" w:cs="Palatino Linotype"/>
          <w:sz w:val="22"/>
          <w:szCs w:val="22"/>
        </w:rPr>
        <w:tab/>
        <w:t xml:space="preserve">Firma Electrónica Avanzada. </w:t>
      </w:r>
    </w:p>
    <w:p w14:paraId="1BC8E452" w14:textId="77777777" w:rsidR="00914F94" w:rsidRPr="000D46AF" w:rsidRDefault="00030285">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sz w:val="22"/>
          <w:szCs w:val="22"/>
        </w:rPr>
        <w:t>l)</w:t>
      </w:r>
      <w:r w:rsidRPr="000D46AF">
        <w:rPr>
          <w:rFonts w:ascii="Palatino Linotype" w:eastAsia="Palatino Linotype" w:hAnsi="Palatino Linotype" w:cs="Palatino Linotype"/>
          <w:sz w:val="22"/>
          <w:szCs w:val="22"/>
        </w:rPr>
        <w:tab/>
        <w:t xml:space="preserve">Firma y datos de la autoridad emisora. </w:t>
      </w:r>
    </w:p>
    <w:p w14:paraId="04EBCE6C" w14:textId="77777777" w:rsidR="00914F94" w:rsidRPr="000D46AF" w:rsidRDefault="00030285">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sz w:val="22"/>
          <w:szCs w:val="22"/>
        </w:rPr>
        <w:t>m)</w:t>
      </w:r>
      <w:r w:rsidRPr="000D46AF">
        <w:rPr>
          <w:rFonts w:ascii="Palatino Linotype" w:eastAsia="Palatino Linotype" w:hAnsi="Palatino Linotype" w:cs="Palatino Linotype"/>
          <w:sz w:val="22"/>
          <w:szCs w:val="22"/>
        </w:rPr>
        <w:tab/>
        <w:t xml:space="preserve">Código QR. </w:t>
      </w:r>
    </w:p>
    <w:p w14:paraId="655AB44A" w14:textId="77777777" w:rsidR="00914F94" w:rsidRPr="000D46AF" w:rsidRDefault="00030285">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sz w:val="22"/>
          <w:szCs w:val="22"/>
        </w:rPr>
        <w:t>n)</w:t>
      </w:r>
      <w:r w:rsidRPr="000D46AF">
        <w:rPr>
          <w:rFonts w:ascii="Palatino Linotype" w:eastAsia="Palatino Linotype" w:hAnsi="Palatino Linotype" w:cs="Palatino Linotype"/>
          <w:sz w:val="22"/>
          <w:szCs w:val="22"/>
        </w:rPr>
        <w:tab/>
        <w:t>Código de Verificación.</w:t>
      </w:r>
    </w:p>
    <w:p w14:paraId="63C3576B" w14:textId="77777777" w:rsidR="00914F94" w:rsidRPr="000D46AF" w:rsidRDefault="00030285">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sz w:val="22"/>
          <w:szCs w:val="22"/>
        </w:rPr>
        <w:t>o)</w:t>
      </w:r>
      <w:r w:rsidRPr="000D46AF">
        <w:rPr>
          <w:rFonts w:ascii="Palatino Linotype" w:eastAsia="Palatino Linotype" w:hAnsi="Palatino Linotype" w:cs="Palatino Linotype"/>
          <w:sz w:val="22"/>
          <w:szCs w:val="22"/>
        </w:rPr>
        <w:tab/>
        <w:t xml:space="preserve">Leyenda de instrucciones para la verificación del documento. </w:t>
      </w:r>
    </w:p>
    <w:p w14:paraId="57FD8A39" w14:textId="77777777" w:rsidR="00914F94" w:rsidRPr="000D46AF" w:rsidRDefault="00030285">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sz w:val="22"/>
          <w:szCs w:val="22"/>
        </w:rPr>
        <w:t xml:space="preserve">Como se advierte del análisis de los apartados d) elementos de registro, e) datos de la persona registrada y f) datos de filiación de la persona registrada, el Acta de Nacimiento, contiene la Clave Única de Registro de Población (CURP) de la persona registrada y de las personas que detenten la filiación, número de certificado que expide la Secretaría de Salud para acreditar el nacimiento de una persona, sexo, fecha de nacimiento, lugar de nacimiento, entre otros. </w:t>
      </w:r>
    </w:p>
    <w:p w14:paraId="34AC8B31" w14:textId="77777777" w:rsidR="00914F94" w:rsidRPr="000D46AF" w:rsidRDefault="00030285">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bookmarkStart w:id="8" w:name="_heading=h.pag87ruhy3h6" w:colFirst="0" w:colLast="0"/>
      <w:bookmarkEnd w:id="8"/>
      <w:r w:rsidRPr="000D46AF">
        <w:rPr>
          <w:rFonts w:ascii="Palatino Linotype" w:eastAsia="Palatino Linotype" w:hAnsi="Palatino Linotype" w:cs="Palatino Linotype"/>
          <w:sz w:val="22"/>
          <w:szCs w:val="22"/>
        </w:rPr>
        <w:t>De esta manera, se trata de un documento de naturaleza confidencial que tiene que ver únicamente con la vida privada de las personas, motivo por el cual se considera que actualiza la causal de clasificación establecida en el artículo 143, fracción I, de la Ley de Transparencia y Acceso a la Información Pública del Estado de México y Municipios, no obstante de la revisión a los contratos remitidos, se puede advertir que se suprimió un dato marcado como “</w:t>
      </w:r>
      <w:r w:rsidRPr="000D46AF">
        <w:rPr>
          <w:rFonts w:ascii="Palatino Linotype" w:eastAsia="Palatino Linotype" w:hAnsi="Palatino Linotype" w:cs="Palatino Linotype"/>
          <w:i/>
          <w:sz w:val="22"/>
          <w:szCs w:val="22"/>
        </w:rPr>
        <w:t>acta de nacimiento</w:t>
      </w:r>
      <w:r w:rsidRPr="000D46AF">
        <w:rPr>
          <w:rFonts w:ascii="Palatino Linotype" w:eastAsia="Palatino Linotype" w:hAnsi="Palatino Linotype" w:cs="Palatino Linotype"/>
          <w:sz w:val="22"/>
          <w:szCs w:val="22"/>
        </w:rPr>
        <w:t xml:space="preserve">”; </w:t>
      </w:r>
      <w:r w:rsidR="00EC264A" w:rsidRPr="000D46AF">
        <w:rPr>
          <w:rFonts w:ascii="Palatino Linotype" w:eastAsia="Palatino Linotype" w:hAnsi="Palatino Linotype" w:cs="Palatino Linotype"/>
          <w:sz w:val="22"/>
          <w:szCs w:val="22"/>
        </w:rPr>
        <w:t xml:space="preserve">el cual de manera enunciativa más no limitativa se trata </w:t>
      </w:r>
      <w:r w:rsidR="00EC264A" w:rsidRPr="000D46AF">
        <w:rPr>
          <w:rFonts w:ascii="Palatino Linotype" w:eastAsia="Palatino Linotype" w:hAnsi="Palatino Linotype" w:cs="Palatino Linotype"/>
          <w:sz w:val="22"/>
          <w:szCs w:val="22"/>
        </w:rPr>
        <w:lastRenderedPageBreak/>
        <w:t>del número de libro de registro</w:t>
      </w:r>
      <w:r w:rsidR="004A7C66" w:rsidRPr="000D46AF">
        <w:rPr>
          <w:rFonts w:ascii="Palatino Linotype" w:eastAsia="Palatino Linotype" w:hAnsi="Palatino Linotype" w:cs="Palatino Linotype"/>
          <w:sz w:val="22"/>
          <w:szCs w:val="22"/>
        </w:rPr>
        <w:t xml:space="preserve"> o número de acta</w:t>
      </w:r>
      <w:r w:rsidR="00EC264A" w:rsidRPr="000D46AF">
        <w:rPr>
          <w:rFonts w:ascii="Palatino Linotype" w:eastAsia="Palatino Linotype" w:hAnsi="Palatino Linotype" w:cs="Palatino Linotype"/>
          <w:sz w:val="22"/>
          <w:szCs w:val="22"/>
        </w:rPr>
        <w:t xml:space="preserve">, </w:t>
      </w:r>
      <w:r w:rsidR="004A7C66" w:rsidRPr="000D46AF">
        <w:rPr>
          <w:rFonts w:ascii="Palatino Linotype" w:eastAsia="Palatino Linotype" w:hAnsi="Palatino Linotype" w:cs="Palatino Linotype"/>
          <w:sz w:val="22"/>
          <w:szCs w:val="22"/>
        </w:rPr>
        <w:t xml:space="preserve">los cuales </w:t>
      </w:r>
      <w:r w:rsidR="00EC264A" w:rsidRPr="000D46AF">
        <w:rPr>
          <w:rFonts w:ascii="Palatino Linotype" w:eastAsia="Palatino Linotype" w:hAnsi="Palatino Linotype" w:cs="Palatino Linotype"/>
          <w:sz w:val="22"/>
          <w:szCs w:val="22"/>
        </w:rPr>
        <w:t>permite</w:t>
      </w:r>
      <w:r w:rsidR="004A7C66" w:rsidRPr="000D46AF">
        <w:rPr>
          <w:rFonts w:ascii="Palatino Linotype" w:eastAsia="Palatino Linotype" w:hAnsi="Palatino Linotype" w:cs="Palatino Linotype"/>
          <w:sz w:val="22"/>
          <w:szCs w:val="22"/>
        </w:rPr>
        <w:t>n</w:t>
      </w:r>
      <w:r w:rsidR="00EC264A" w:rsidRPr="000D46AF">
        <w:rPr>
          <w:rFonts w:ascii="Palatino Linotype" w:eastAsia="Palatino Linotype" w:hAnsi="Palatino Linotype" w:cs="Palatino Linotype"/>
          <w:sz w:val="22"/>
          <w:szCs w:val="22"/>
        </w:rPr>
        <w:t xml:space="preserve"> </w:t>
      </w:r>
      <w:r w:rsidRPr="000D46AF">
        <w:rPr>
          <w:rFonts w:ascii="Palatino Linotype" w:eastAsia="Palatino Linotype" w:hAnsi="Palatino Linotype" w:cs="Palatino Linotype"/>
          <w:sz w:val="22"/>
          <w:szCs w:val="22"/>
        </w:rPr>
        <w:t>la búsqueda y localización de</w:t>
      </w:r>
      <w:r w:rsidR="00EC264A" w:rsidRPr="000D46AF">
        <w:rPr>
          <w:rFonts w:ascii="Palatino Linotype" w:eastAsia="Palatino Linotype" w:hAnsi="Palatino Linotype" w:cs="Palatino Linotype"/>
          <w:sz w:val="22"/>
          <w:szCs w:val="22"/>
        </w:rPr>
        <w:t xml:space="preserve">l </w:t>
      </w:r>
      <w:r w:rsidRPr="000D46AF">
        <w:rPr>
          <w:rFonts w:ascii="Palatino Linotype" w:eastAsia="Palatino Linotype" w:hAnsi="Palatino Linotype" w:cs="Palatino Linotype"/>
          <w:sz w:val="22"/>
          <w:szCs w:val="22"/>
        </w:rPr>
        <w:t>acta de nacimiento,</w:t>
      </w:r>
      <w:r w:rsidR="00EC264A" w:rsidRPr="000D46AF">
        <w:rPr>
          <w:rFonts w:ascii="Palatino Linotype" w:eastAsia="Palatino Linotype" w:hAnsi="Palatino Linotype" w:cs="Palatino Linotype"/>
          <w:sz w:val="22"/>
          <w:szCs w:val="22"/>
        </w:rPr>
        <w:t xml:space="preserve"> por lo que debe de ser protegido</w:t>
      </w:r>
      <w:r w:rsidRPr="000D46AF">
        <w:rPr>
          <w:rFonts w:ascii="Palatino Linotype" w:eastAsia="Palatino Linotype" w:hAnsi="Palatino Linotype" w:cs="Palatino Linotype"/>
          <w:sz w:val="22"/>
          <w:szCs w:val="22"/>
        </w:rPr>
        <w:t xml:space="preserve">. </w:t>
      </w:r>
    </w:p>
    <w:p w14:paraId="5A64B283" w14:textId="77777777" w:rsidR="00914F94" w:rsidRPr="000D46AF" w:rsidRDefault="00030285">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sz w:val="22"/>
          <w:szCs w:val="22"/>
        </w:rPr>
        <w:t xml:space="preserve">Mientras que, en el caso de la </w:t>
      </w:r>
      <w:r w:rsidRPr="000D46AF">
        <w:rPr>
          <w:rFonts w:ascii="Palatino Linotype" w:eastAsia="Palatino Linotype" w:hAnsi="Palatino Linotype" w:cs="Palatino Linotype"/>
          <w:b/>
          <w:sz w:val="22"/>
          <w:szCs w:val="22"/>
        </w:rPr>
        <w:t>Clave de Elector y el Folio IDMEX</w:t>
      </w:r>
      <w:r w:rsidRPr="000D46AF">
        <w:rPr>
          <w:rFonts w:ascii="Palatino Linotype" w:eastAsia="Palatino Linotype" w:hAnsi="Palatino Linotype" w:cs="Palatino Linotype"/>
          <w:sz w:val="22"/>
          <w:szCs w:val="22"/>
        </w:rPr>
        <w:t xml:space="preserve">, es la composición alfanumérica compuesta de 18 caracteres, mismos que hacen identificable a una persona física, que se conforma por las primeras letras de los apellidos, año, mes, día, sexo, clave del estado en donde nació su titular, así como una </w:t>
      </w:r>
      <w:proofErr w:type="spellStart"/>
      <w:r w:rsidRPr="000D46AF">
        <w:rPr>
          <w:rFonts w:ascii="Palatino Linotype" w:eastAsia="Palatino Linotype" w:hAnsi="Palatino Linotype" w:cs="Palatino Linotype"/>
          <w:sz w:val="22"/>
          <w:szCs w:val="22"/>
        </w:rPr>
        <w:t>homoclave</w:t>
      </w:r>
      <w:proofErr w:type="spellEnd"/>
      <w:r w:rsidRPr="000D46AF">
        <w:rPr>
          <w:rFonts w:ascii="Palatino Linotype" w:eastAsia="Palatino Linotype" w:hAnsi="Palatino Linotype" w:cs="Palatino Linotype"/>
          <w:sz w:val="22"/>
          <w:szCs w:val="22"/>
        </w:rPr>
        <w:t xml:space="preserve"> que distingue a su titular de cualquier otro homónimo, por lo tanto, se trata de un dato personal que debe ser protegido.</w:t>
      </w:r>
    </w:p>
    <w:p w14:paraId="64213204" w14:textId="77777777" w:rsidR="00BB1F13" w:rsidRPr="000D46AF" w:rsidRDefault="00030285">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sz w:val="22"/>
          <w:szCs w:val="22"/>
        </w:rPr>
        <w:t xml:space="preserve">Atento a lo anterior, y toda vez que si bien el </w:t>
      </w:r>
      <w:r w:rsidRPr="000D46AF">
        <w:rPr>
          <w:rFonts w:ascii="Palatino Linotype" w:eastAsia="Palatino Linotype" w:hAnsi="Palatino Linotype" w:cs="Palatino Linotype"/>
          <w:b/>
          <w:sz w:val="22"/>
          <w:szCs w:val="22"/>
        </w:rPr>
        <w:t xml:space="preserve">Sujeto Obligado </w:t>
      </w:r>
      <w:r w:rsidR="00BB1F13" w:rsidRPr="000D46AF">
        <w:rPr>
          <w:rFonts w:ascii="Palatino Linotype" w:eastAsia="Palatino Linotype" w:hAnsi="Palatino Linotype" w:cs="Palatino Linotype"/>
          <w:sz w:val="22"/>
          <w:szCs w:val="22"/>
        </w:rPr>
        <w:t xml:space="preserve">testó </w:t>
      </w:r>
      <w:r w:rsidRPr="000D46AF">
        <w:rPr>
          <w:rFonts w:ascii="Palatino Linotype" w:eastAsia="Palatino Linotype" w:hAnsi="Palatino Linotype" w:cs="Palatino Linotype"/>
          <w:sz w:val="22"/>
          <w:szCs w:val="22"/>
        </w:rPr>
        <w:t xml:space="preserve">información que reviste el carácter de confidencial, lo cierto es que, </w:t>
      </w:r>
      <w:r w:rsidR="004A7C66" w:rsidRPr="000D46AF">
        <w:rPr>
          <w:rFonts w:ascii="Palatino Linotype" w:eastAsia="Palatino Linotype" w:hAnsi="Palatino Linotype" w:cs="Palatino Linotype"/>
          <w:sz w:val="22"/>
          <w:szCs w:val="22"/>
        </w:rPr>
        <w:t xml:space="preserve">fue omiso en hacer entrega del Acta del Comité que funde y motive la versión pública; por lo que, </w:t>
      </w:r>
      <w:r w:rsidRPr="000D46AF">
        <w:rPr>
          <w:rFonts w:ascii="Palatino Linotype" w:eastAsia="Palatino Linotype" w:hAnsi="Palatino Linotype" w:cs="Palatino Linotype"/>
          <w:sz w:val="22"/>
          <w:szCs w:val="22"/>
        </w:rPr>
        <w:t xml:space="preserve">se estima dable ordenar </w:t>
      </w:r>
      <w:r w:rsidR="004A7C66" w:rsidRPr="000D46AF">
        <w:rPr>
          <w:rFonts w:ascii="Palatino Linotype" w:eastAsia="Palatino Linotype" w:hAnsi="Palatino Linotype" w:cs="Palatino Linotype"/>
          <w:sz w:val="22"/>
          <w:szCs w:val="22"/>
        </w:rPr>
        <w:t xml:space="preserve">la </w:t>
      </w:r>
      <w:r w:rsidRPr="000D46AF">
        <w:rPr>
          <w:rFonts w:ascii="Palatino Linotype" w:eastAsia="Palatino Linotype" w:hAnsi="Palatino Linotype" w:cs="Palatino Linotype"/>
          <w:sz w:val="22"/>
          <w:szCs w:val="22"/>
        </w:rPr>
        <w:t xml:space="preserve">entrega </w:t>
      </w:r>
      <w:r w:rsidR="004A7C66" w:rsidRPr="000D46AF">
        <w:rPr>
          <w:rFonts w:ascii="Palatino Linotype" w:eastAsia="Palatino Linotype" w:hAnsi="Palatino Linotype" w:cs="Palatino Linotype"/>
          <w:sz w:val="22"/>
          <w:szCs w:val="22"/>
        </w:rPr>
        <w:t>del Acuerdo del Comité de Transparencia en términos de la Ley de Transparencia y Acceso a la Información Pública del Estado de México y Municipios, en el que funde y motive la clasificación de los datos que obran en los Contratos Pedido números OPDM/OM/ADM/01-02/2025 y OPDM/OM/ADM/01-03/2025 remitidos en respuesta.</w:t>
      </w:r>
    </w:p>
    <w:p w14:paraId="6888A8E7" w14:textId="77777777" w:rsidR="00914F94" w:rsidRPr="000D46AF" w:rsidRDefault="00030285">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sz w:val="22"/>
          <w:szCs w:val="22"/>
        </w:rPr>
        <w:t xml:space="preserve">De lo hasta aquí expuesto, se concluye que los motivos de inconformidad de la parte </w:t>
      </w:r>
      <w:r w:rsidRPr="000D46AF">
        <w:rPr>
          <w:rFonts w:ascii="Palatino Linotype" w:eastAsia="Palatino Linotype" w:hAnsi="Palatino Linotype" w:cs="Palatino Linotype"/>
          <w:b/>
          <w:sz w:val="22"/>
          <w:szCs w:val="22"/>
        </w:rPr>
        <w:t xml:space="preserve">Recurrente </w:t>
      </w:r>
      <w:r w:rsidRPr="000D46AF">
        <w:rPr>
          <w:rFonts w:ascii="Palatino Linotype" w:eastAsia="Palatino Linotype" w:hAnsi="Palatino Linotype" w:cs="Palatino Linotype"/>
          <w:sz w:val="22"/>
          <w:szCs w:val="22"/>
        </w:rPr>
        <w:t xml:space="preserve">devienen fundados, siendo procedente </w:t>
      </w:r>
      <w:r w:rsidRPr="000D46AF">
        <w:rPr>
          <w:rFonts w:ascii="Palatino Linotype" w:eastAsia="Palatino Linotype" w:hAnsi="Palatino Linotype" w:cs="Palatino Linotype"/>
          <w:i/>
          <w:sz w:val="22"/>
          <w:szCs w:val="22"/>
        </w:rPr>
        <w:t xml:space="preserve">Modificar </w:t>
      </w:r>
      <w:r w:rsidRPr="000D46AF">
        <w:rPr>
          <w:rFonts w:ascii="Palatino Linotype" w:eastAsia="Palatino Linotype" w:hAnsi="Palatino Linotype" w:cs="Palatino Linotype"/>
          <w:sz w:val="22"/>
          <w:szCs w:val="22"/>
        </w:rPr>
        <w:t xml:space="preserve">la respuesta proporcionada por el </w:t>
      </w:r>
      <w:r w:rsidRPr="000D46AF">
        <w:rPr>
          <w:rFonts w:ascii="Palatino Linotype" w:eastAsia="Palatino Linotype" w:hAnsi="Palatino Linotype" w:cs="Palatino Linotype"/>
          <w:b/>
          <w:sz w:val="22"/>
          <w:szCs w:val="22"/>
        </w:rPr>
        <w:t xml:space="preserve">Sujeto Obligado </w:t>
      </w:r>
      <w:r w:rsidRPr="000D46AF">
        <w:rPr>
          <w:rFonts w:ascii="Palatino Linotype" w:eastAsia="Palatino Linotype" w:hAnsi="Palatino Linotype" w:cs="Palatino Linotype"/>
          <w:sz w:val="22"/>
          <w:szCs w:val="22"/>
        </w:rPr>
        <w:t>en términos del artículo 186 fracción III de la Ley de Transparencia y Acceso a la Información Pública del Estado de México y Municipios.</w:t>
      </w:r>
    </w:p>
    <w:p w14:paraId="5DC4A3DF" w14:textId="77777777" w:rsidR="00914F94" w:rsidRPr="000D46AF" w:rsidRDefault="00030285">
      <w:pPr>
        <w:spacing w:before="240" w:after="240" w:line="360" w:lineRule="auto"/>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sz w:val="22"/>
          <w:szCs w:val="22"/>
        </w:rPr>
        <w:t xml:space="preserve">Así, con fundamento en lo prescrito en los artículos 5 párrafos trigésimo séptimo, trigésimo octavo y trigésimo noveno de la Constitución Política del Estado Libre y Soberano de México; 2, fracción II; 29, 36 fracciones I y II; 176, 178, 181, 185 y 186 fracción II de la Ley de </w:t>
      </w:r>
      <w:r w:rsidRPr="000D46AF">
        <w:rPr>
          <w:rFonts w:ascii="Palatino Linotype" w:eastAsia="Palatino Linotype" w:hAnsi="Palatino Linotype" w:cs="Palatino Linotype"/>
          <w:sz w:val="22"/>
          <w:szCs w:val="22"/>
        </w:rPr>
        <w:lastRenderedPageBreak/>
        <w:t>Transparencia y Acceso a la Información Pública del Estado de México y Municipios, este Pleno:</w:t>
      </w:r>
    </w:p>
    <w:p w14:paraId="5BCF88D0" w14:textId="77777777" w:rsidR="00914F94" w:rsidRPr="000D46AF" w:rsidRDefault="00030285">
      <w:p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r w:rsidRPr="000D46AF">
        <w:rPr>
          <w:rFonts w:ascii="Palatino Linotype" w:eastAsia="Palatino Linotype" w:hAnsi="Palatino Linotype" w:cs="Palatino Linotype"/>
          <w:b/>
          <w:sz w:val="22"/>
          <w:szCs w:val="22"/>
        </w:rPr>
        <w:t>III. R E S U E L V E</w:t>
      </w:r>
    </w:p>
    <w:p w14:paraId="43C0757E" w14:textId="77777777" w:rsidR="00914F94" w:rsidRPr="000D46AF" w:rsidRDefault="00030285">
      <w:pPr>
        <w:spacing w:before="240" w:after="240" w:line="336" w:lineRule="auto"/>
        <w:jc w:val="both"/>
        <w:rPr>
          <w:rFonts w:ascii="Palatino Linotype" w:eastAsia="Palatino Linotype" w:hAnsi="Palatino Linotype" w:cs="Palatino Linotype"/>
          <w:b/>
          <w:sz w:val="22"/>
          <w:szCs w:val="22"/>
        </w:rPr>
      </w:pPr>
      <w:bookmarkStart w:id="9" w:name="_heading=h.26in1rg" w:colFirst="0" w:colLast="0"/>
      <w:bookmarkEnd w:id="9"/>
      <w:r w:rsidRPr="000D46AF">
        <w:rPr>
          <w:rFonts w:ascii="Palatino Linotype" w:eastAsia="Palatino Linotype" w:hAnsi="Palatino Linotype" w:cs="Palatino Linotype"/>
          <w:b/>
          <w:sz w:val="22"/>
          <w:szCs w:val="22"/>
        </w:rPr>
        <w:t xml:space="preserve">Primero. </w:t>
      </w:r>
      <w:r w:rsidRPr="000D46AF">
        <w:rPr>
          <w:rFonts w:ascii="Palatino Linotype" w:eastAsia="Palatino Linotype" w:hAnsi="Palatino Linotype" w:cs="Palatino Linotype"/>
          <w:sz w:val="22"/>
          <w:szCs w:val="22"/>
        </w:rPr>
        <w:t>Resultan</w:t>
      </w:r>
      <w:r w:rsidRPr="000D46AF">
        <w:rPr>
          <w:rFonts w:ascii="Palatino Linotype" w:eastAsia="Palatino Linotype" w:hAnsi="Palatino Linotype" w:cs="Palatino Linotype"/>
          <w:b/>
          <w:sz w:val="22"/>
          <w:szCs w:val="22"/>
        </w:rPr>
        <w:t xml:space="preserve"> fundados</w:t>
      </w:r>
      <w:r w:rsidRPr="000D46AF">
        <w:rPr>
          <w:rFonts w:ascii="Palatino Linotype" w:eastAsia="Palatino Linotype" w:hAnsi="Palatino Linotype" w:cs="Palatino Linotype"/>
          <w:sz w:val="22"/>
          <w:szCs w:val="22"/>
        </w:rPr>
        <w:t xml:space="preserve"> los motivos de inconformidad hechos valer por la parte </w:t>
      </w:r>
      <w:r w:rsidRPr="000D46AF">
        <w:rPr>
          <w:rFonts w:ascii="Palatino Linotype" w:eastAsia="Palatino Linotype" w:hAnsi="Palatino Linotype" w:cs="Palatino Linotype"/>
          <w:b/>
          <w:sz w:val="22"/>
          <w:szCs w:val="22"/>
        </w:rPr>
        <w:t xml:space="preserve">Recurrente </w:t>
      </w:r>
      <w:r w:rsidRPr="000D46AF">
        <w:rPr>
          <w:rFonts w:ascii="Palatino Linotype" w:eastAsia="Palatino Linotype" w:hAnsi="Palatino Linotype" w:cs="Palatino Linotype"/>
          <w:sz w:val="22"/>
          <w:szCs w:val="22"/>
        </w:rPr>
        <w:t xml:space="preserve">en el recurso de revisión </w:t>
      </w:r>
      <w:r w:rsidRPr="000D46AF">
        <w:rPr>
          <w:rFonts w:ascii="Palatino Linotype" w:eastAsia="Palatino Linotype" w:hAnsi="Palatino Linotype" w:cs="Palatino Linotype"/>
          <w:b/>
          <w:sz w:val="22"/>
          <w:szCs w:val="22"/>
        </w:rPr>
        <w:t xml:space="preserve">03494/INFOEM/IP/RR/2025, </w:t>
      </w:r>
      <w:r w:rsidRPr="000D46AF">
        <w:rPr>
          <w:rFonts w:ascii="Palatino Linotype" w:eastAsia="Palatino Linotype" w:hAnsi="Palatino Linotype" w:cs="Palatino Linotype"/>
          <w:sz w:val="22"/>
          <w:szCs w:val="22"/>
        </w:rPr>
        <w:t xml:space="preserve">por lo que, en términos del Considerando </w:t>
      </w:r>
      <w:r w:rsidRPr="000D46AF">
        <w:rPr>
          <w:rFonts w:ascii="Palatino Linotype" w:eastAsia="Palatino Linotype" w:hAnsi="Palatino Linotype" w:cs="Palatino Linotype"/>
          <w:b/>
          <w:sz w:val="22"/>
          <w:szCs w:val="22"/>
        </w:rPr>
        <w:t>Cuarto</w:t>
      </w:r>
      <w:r w:rsidRPr="000D46AF">
        <w:rPr>
          <w:rFonts w:ascii="Palatino Linotype" w:eastAsia="Palatino Linotype" w:hAnsi="Palatino Linotype" w:cs="Palatino Linotype"/>
          <w:sz w:val="22"/>
          <w:szCs w:val="22"/>
        </w:rPr>
        <w:t xml:space="preserve"> de la presente resolución, se</w:t>
      </w:r>
      <w:r w:rsidRPr="000D46AF">
        <w:rPr>
          <w:rFonts w:ascii="Palatino Linotype" w:eastAsia="Palatino Linotype" w:hAnsi="Palatino Linotype" w:cs="Palatino Linotype"/>
          <w:b/>
          <w:sz w:val="22"/>
          <w:szCs w:val="22"/>
        </w:rPr>
        <w:t xml:space="preserve"> Modifica </w:t>
      </w:r>
      <w:r w:rsidRPr="000D46AF">
        <w:rPr>
          <w:rFonts w:ascii="Palatino Linotype" w:eastAsia="Palatino Linotype" w:hAnsi="Palatino Linotype" w:cs="Palatino Linotype"/>
          <w:sz w:val="22"/>
          <w:szCs w:val="22"/>
        </w:rPr>
        <w:t>la respuesta</w:t>
      </w:r>
      <w:r w:rsidRPr="000D46AF">
        <w:rPr>
          <w:rFonts w:ascii="Palatino Linotype" w:eastAsia="Palatino Linotype" w:hAnsi="Palatino Linotype" w:cs="Palatino Linotype"/>
          <w:b/>
          <w:sz w:val="22"/>
          <w:szCs w:val="22"/>
        </w:rPr>
        <w:t xml:space="preserve"> </w:t>
      </w:r>
      <w:r w:rsidRPr="000D46AF">
        <w:rPr>
          <w:rFonts w:ascii="Palatino Linotype" w:eastAsia="Palatino Linotype" w:hAnsi="Palatino Linotype" w:cs="Palatino Linotype"/>
          <w:sz w:val="22"/>
          <w:szCs w:val="22"/>
        </w:rPr>
        <w:t xml:space="preserve">del </w:t>
      </w:r>
      <w:r w:rsidRPr="000D46AF">
        <w:rPr>
          <w:rFonts w:ascii="Palatino Linotype" w:eastAsia="Palatino Linotype" w:hAnsi="Palatino Linotype" w:cs="Palatino Linotype"/>
          <w:b/>
          <w:sz w:val="22"/>
          <w:szCs w:val="22"/>
        </w:rPr>
        <w:t>Sujeto Obligado.</w:t>
      </w:r>
    </w:p>
    <w:p w14:paraId="49684C1F" w14:textId="77777777" w:rsidR="00914F94" w:rsidRPr="000D46AF" w:rsidRDefault="00030285">
      <w:pPr>
        <w:spacing w:before="240" w:after="240" w:line="336" w:lineRule="auto"/>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b/>
          <w:sz w:val="22"/>
          <w:szCs w:val="22"/>
        </w:rPr>
        <w:t xml:space="preserve">Segundo. </w:t>
      </w:r>
      <w:r w:rsidRPr="000D46AF">
        <w:rPr>
          <w:rFonts w:ascii="Palatino Linotype" w:eastAsia="Palatino Linotype" w:hAnsi="Palatino Linotype" w:cs="Palatino Linotype"/>
          <w:sz w:val="22"/>
          <w:szCs w:val="22"/>
        </w:rPr>
        <w:t xml:space="preserve">Se </w:t>
      </w:r>
      <w:r w:rsidRPr="000D46AF">
        <w:rPr>
          <w:rFonts w:ascii="Palatino Linotype" w:eastAsia="Palatino Linotype" w:hAnsi="Palatino Linotype" w:cs="Palatino Linotype"/>
          <w:b/>
          <w:sz w:val="22"/>
          <w:szCs w:val="22"/>
        </w:rPr>
        <w:t>Ordena</w:t>
      </w:r>
      <w:r w:rsidRPr="000D46AF">
        <w:rPr>
          <w:rFonts w:ascii="Palatino Linotype" w:eastAsia="Palatino Linotype" w:hAnsi="Palatino Linotype" w:cs="Palatino Linotype"/>
          <w:sz w:val="22"/>
          <w:szCs w:val="22"/>
        </w:rPr>
        <w:t xml:space="preserve"> al </w:t>
      </w:r>
      <w:r w:rsidRPr="000D46AF">
        <w:rPr>
          <w:rFonts w:ascii="Palatino Linotype" w:eastAsia="Palatino Linotype" w:hAnsi="Palatino Linotype" w:cs="Palatino Linotype"/>
          <w:b/>
          <w:sz w:val="22"/>
          <w:szCs w:val="22"/>
        </w:rPr>
        <w:t>Sujeto Obligado</w:t>
      </w:r>
      <w:r w:rsidRPr="000D46AF">
        <w:rPr>
          <w:rFonts w:ascii="Palatino Linotype" w:eastAsia="Palatino Linotype" w:hAnsi="Palatino Linotype" w:cs="Palatino Linotype"/>
          <w:sz w:val="22"/>
          <w:szCs w:val="22"/>
        </w:rPr>
        <w:t xml:space="preserve">, en términos de los Considerandos </w:t>
      </w:r>
      <w:r w:rsidRPr="000D46AF">
        <w:rPr>
          <w:rFonts w:ascii="Palatino Linotype" w:eastAsia="Palatino Linotype" w:hAnsi="Palatino Linotype" w:cs="Palatino Linotype"/>
          <w:b/>
          <w:sz w:val="22"/>
          <w:szCs w:val="22"/>
        </w:rPr>
        <w:t xml:space="preserve">Cuarto </w:t>
      </w:r>
      <w:r w:rsidRPr="000D46AF">
        <w:rPr>
          <w:rFonts w:ascii="Palatino Linotype" w:eastAsia="Palatino Linotype" w:hAnsi="Palatino Linotype" w:cs="Palatino Linotype"/>
          <w:sz w:val="22"/>
          <w:szCs w:val="22"/>
        </w:rPr>
        <w:t>y</w:t>
      </w:r>
      <w:r w:rsidRPr="000D46AF">
        <w:rPr>
          <w:rFonts w:ascii="Palatino Linotype" w:eastAsia="Palatino Linotype" w:hAnsi="Palatino Linotype" w:cs="Palatino Linotype"/>
          <w:b/>
          <w:sz w:val="22"/>
          <w:szCs w:val="22"/>
        </w:rPr>
        <w:t xml:space="preserve"> Quinto </w:t>
      </w:r>
      <w:r w:rsidRPr="000D46AF">
        <w:rPr>
          <w:rFonts w:ascii="Palatino Linotype" w:eastAsia="Palatino Linotype" w:hAnsi="Palatino Linotype" w:cs="Palatino Linotype"/>
          <w:sz w:val="22"/>
          <w:szCs w:val="22"/>
        </w:rPr>
        <w:t>de esta resolución, haga entrega, vía SAIMEX, de lo siguiente:</w:t>
      </w:r>
    </w:p>
    <w:p w14:paraId="413D29F0" w14:textId="77777777" w:rsidR="00914F94" w:rsidRPr="000D46AF" w:rsidRDefault="008A6013" w:rsidP="004A7C66">
      <w:pPr>
        <w:pStyle w:val="Listaconvietas3"/>
        <w:spacing w:line="276" w:lineRule="auto"/>
        <w:ind w:left="851" w:right="616"/>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i/>
          <w:sz w:val="22"/>
          <w:szCs w:val="22"/>
        </w:rPr>
        <w:t>Acuerdo emitido por el</w:t>
      </w:r>
      <w:r w:rsidR="004A7C66" w:rsidRPr="000D46AF">
        <w:rPr>
          <w:rFonts w:ascii="Palatino Linotype" w:eastAsia="Palatino Linotype" w:hAnsi="Palatino Linotype" w:cs="Palatino Linotype"/>
          <w:i/>
          <w:sz w:val="22"/>
          <w:szCs w:val="22"/>
        </w:rPr>
        <w:t xml:space="preserve"> Comité de Transparencia en el que funde y motive la clasificación</w:t>
      </w:r>
      <w:r w:rsidRPr="000D46AF">
        <w:rPr>
          <w:rFonts w:ascii="Palatino Linotype" w:eastAsia="Palatino Linotype" w:hAnsi="Palatino Linotype" w:cs="Palatino Linotype"/>
          <w:i/>
          <w:sz w:val="22"/>
          <w:szCs w:val="22"/>
        </w:rPr>
        <w:t xml:space="preserve"> como confidencial</w:t>
      </w:r>
      <w:r w:rsidR="004A7C66" w:rsidRPr="000D46AF">
        <w:rPr>
          <w:rFonts w:ascii="Palatino Linotype" w:eastAsia="Palatino Linotype" w:hAnsi="Palatino Linotype" w:cs="Palatino Linotype"/>
          <w:i/>
          <w:sz w:val="22"/>
          <w:szCs w:val="22"/>
        </w:rPr>
        <w:t xml:space="preserve"> </w:t>
      </w:r>
      <w:r w:rsidRPr="000D46AF">
        <w:rPr>
          <w:rFonts w:ascii="Palatino Linotype" w:eastAsia="Palatino Linotype" w:hAnsi="Palatino Linotype" w:cs="Palatino Linotype"/>
          <w:i/>
          <w:sz w:val="22"/>
          <w:szCs w:val="22"/>
        </w:rPr>
        <w:t xml:space="preserve">en términos de la fracción I del artículo 143 de la Ley de Transparencia y Acceso a la Información Pública del Estado de México y Municipios, </w:t>
      </w:r>
      <w:r w:rsidR="004A7C66" w:rsidRPr="000D46AF">
        <w:rPr>
          <w:rFonts w:ascii="Palatino Linotype" w:eastAsia="Palatino Linotype" w:hAnsi="Palatino Linotype" w:cs="Palatino Linotype"/>
          <w:i/>
          <w:sz w:val="22"/>
          <w:szCs w:val="22"/>
        </w:rPr>
        <w:t>de los datos que obran</w:t>
      </w:r>
      <w:r w:rsidR="00F524AC" w:rsidRPr="000D46AF">
        <w:rPr>
          <w:rFonts w:ascii="Palatino Linotype" w:eastAsia="Palatino Linotype" w:hAnsi="Palatino Linotype" w:cs="Palatino Linotype"/>
          <w:i/>
          <w:sz w:val="22"/>
          <w:szCs w:val="22"/>
        </w:rPr>
        <w:t xml:space="preserve"> en los Contratos Pedido números OPDM/OM/ADM/01-02/2025 y OPDM/OM/ADM/01-03/2025, remitidos</w:t>
      </w:r>
      <w:r w:rsidR="004A7C66" w:rsidRPr="000D46AF">
        <w:rPr>
          <w:rFonts w:ascii="Palatino Linotype" w:eastAsia="Palatino Linotype" w:hAnsi="Palatino Linotype" w:cs="Palatino Linotype"/>
          <w:i/>
          <w:sz w:val="22"/>
          <w:szCs w:val="22"/>
        </w:rPr>
        <w:t xml:space="preserve"> en respuesta</w:t>
      </w:r>
      <w:r w:rsidR="00030285" w:rsidRPr="000D46AF">
        <w:rPr>
          <w:rFonts w:ascii="Palatino Linotype" w:eastAsia="Palatino Linotype" w:hAnsi="Palatino Linotype" w:cs="Palatino Linotype"/>
          <w:sz w:val="22"/>
          <w:szCs w:val="22"/>
        </w:rPr>
        <w:t>.</w:t>
      </w:r>
      <w:bookmarkStart w:id="10" w:name="_heading=h.1ksv4uv" w:colFirst="0" w:colLast="0"/>
      <w:bookmarkEnd w:id="10"/>
    </w:p>
    <w:p w14:paraId="627EAC82" w14:textId="77777777" w:rsidR="00914F94" w:rsidRPr="000D46AF" w:rsidRDefault="00030285">
      <w:pPr>
        <w:spacing w:before="240" w:after="240" w:line="336" w:lineRule="auto"/>
        <w:jc w:val="both"/>
        <w:rPr>
          <w:rFonts w:ascii="Palatino Linotype" w:eastAsia="Palatino Linotype" w:hAnsi="Palatino Linotype" w:cs="Palatino Linotype"/>
          <w:b/>
          <w:sz w:val="22"/>
          <w:szCs w:val="22"/>
        </w:rPr>
      </w:pPr>
      <w:r w:rsidRPr="000D46AF">
        <w:rPr>
          <w:rFonts w:ascii="Palatino Linotype" w:eastAsia="Palatino Linotype" w:hAnsi="Palatino Linotype" w:cs="Palatino Linotype"/>
          <w:b/>
          <w:sz w:val="22"/>
          <w:szCs w:val="22"/>
        </w:rPr>
        <w:t xml:space="preserve">Tercero. Notifíquese </w:t>
      </w:r>
      <w:r w:rsidRPr="000D46AF">
        <w:rPr>
          <w:rFonts w:ascii="Palatino Linotype" w:eastAsia="Palatino Linotype" w:hAnsi="Palatino Linotype" w:cs="Palatino Linotype"/>
          <w:sz w:val="22"/>
          <w:szCs w:val="22"/>
        </w:rPr>
        <w:t xml:space="preserve">vía </w:t>
      </w:r>
      <w:r w:rsidRPr="000D46AF">
        <w:rPr>
          <w:rFonts w:ascii="Palatino Linotype" w:eastAsia="Palatino Linotype" w:hAnsi="Palatino Linotype" w:cs="Palatino Linotype"/>
          <w:b/>
          <w:sz w:val="22"/>
          <w:szCs w:val="22"/>
        </w:rPr>
        <w:t>SAIMEX</w:t>
      </w:r>
      <w:r w:rsidRPr="000D46AF">
        <w:rPr>
          <w:rFonts w:ascii="Palatino Linotype" w:eastAsia="Palatino Linotype" w:hAnsi="Palatino Linotype" w:cs="Palatino Linotype"/>
          <w:sz w:val="22"/>
          <w:szCs w:val="22"/>
        </w:rPr>
        <w:t xml:space="preserve">, al Titular de la Unidad de Transparencia del </w:t>
      </w:r>
      <w:r w:rsidRPr="000D46AF">
        <w:rPr>
          <w:rFonts w:ascii="Palatino Linotype" w:eastAsia="Palatino Linotype" w:hAnsi="Palatino Linotype" w:cs="Palatino Linotype"/>
          <w:b/>
          <w:sz w:val="22"/>
          <w:szCs w:val="22"/>
        </w:rPr>
        <w:t>Sujeto Obligado,</w:t>
      </w:r>
      <w:r w:rsidRPr="000D46AF">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w:t>
      </w:r>
      <w:r w:rsidRPr="000D46AF">
        <w:rPr>
          <w:rFonts w:ascii="Palatino Linotype" w:eastAsia="Palatino Linotype" w:hAnsi="Palatino Linotype" w:cs="Palatino Linotype"/>
          <w:sz w:val="22"/>
          <w:szCs w:val="22"/>
        </w:rPr>
        <w:lastRenderedPageBreak/>
        <w:t>conformidad con lo previsto en los artículos 198, 200, fracción III; 214, 215 y 216 de la Ley  de Transparencia y Acceso a la Información Pública del Estado de México y Municipios.</w:t>
      </w:r>
    </w:p>
    <w:p w14:paraId="30ACECA4" w14:textId="77777777" w:rsidR="00914F94" w:rsidRPr="000D46AF" w:rsidRDefault="00030285">
      <w:pPr>
        <w:spacing w:before="240" w:after="240" w:line="336" w:lineRule="auto"/>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b/>
          <w:sz w:val="22"/>
          <w:szCs w:val="22"/>
        </w:rPr>
        <w:t xml:space="preserve">Cuarto. </w:t>
      </w:r>
      <w:r w:rsidRPr="000D46AF">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0D46AF">
        <w:rPr>
          <w:rFonts w:ascii="Palatino Linotype" w:eastAsia="Palatino Linotype" w:hAnsi="Palatino Linotype" w:cs="Palatino Linotype"/>
          <w:b/>
          <w:sz w:val="22"/>
          <w:szCs w:val="22"/>
        </w:rPr>
        <w:t>Sujeto Obligado</w:t>
      </w:r>
      <w:r w:rsidRPr="000D46AF">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74FF1B41" w14:textId="77777777" w:rsidR="00914F94" w:rsidRPr="000D46AF" w:rsidRDefault="00030285">
      <w:pPr>
        <w:spacing w:before="240" w:after="240" w:line="336" w:lineRule="auto"/>
        <w:jc w:val="both"/>
        <w:rPr>
          <w:rFonts w:ascii="Palatino Linotype" w:eastAsia="Palatino Linotype" w:hAnsi="Palatino Linotype" w:cs="Palatino Linotype"/>
          <w:sz w:val="22"/>
          <w:szCs w:val="22"/>
        </w:rPr>
      </w:pPr>
      <w:r w:rsidRPr="000D46AF">
        <w:rPr>
          <w:rFonts w:ascii="Palatino Linotype" w:eastAsia="Palatino Linotype" w:hAnsi="Palatino Linotype" w:cs="Palatino Linotype"/>
          <w:b/>
          <w:sz w:val="22"/>
          <w:szCs w:val="22"/>
        </w:rPr>
        <w:t xml:space="preserve">Quinto. Notifíquese, </w:t>
      </w:r>
      <w:r w:rsidRPr="000D46AF">
        <w:rPr>
          <w:rFonts w:ascii="Palatino Linotype" w:eastAsia="Palatino Linotype" w:hAnsi="Palatino Linotype" w:cs="Palatino Linotype"/>
          <w:sz w:val="22"/>
          <w:szCs w:val="22"/>
        </w:rPr>
        <w:t xml:space="preserve">vía </w:t>
      </w:r>
      <w:r w:rsidRPr="000D46AF">
        <w:rPr>
          <w:rFonts w:ascii="Palatino Linotype" w:eastAsia="Palatino Linotype" w:hAnsi="Palatino Linotype" w:cs="Palatino Linotype"/>
          <w:b/>
          <w:sz w:val="22"/>
          <w:szCs w:val="22"/>
        </w:rPr>
        <w:t>SAIMEX</w:t>
      </w:r>
      <w:r w:rsidRPr="000D46AF">
        <w:rPr>
          <w:rFonts w:ascii="Palatino Linotype" w:eastAsia="Palatino Linotype" w:hAnsi="Palatino Linotype" w:cs="Palatino Linotype"/>
          <w:sz w:val="22"/>
          <w:szCs w:val="22"/>
        </w:rPr>
        <w:t xml:space="preserve">, a la parte </w:t>
      </w:r>
      <w:r w:rsidRPr="000D46AF">
        <w:rPr>
          <w:rFonts w:ascii="Palatino Linotype" w:eastAsia="Palatino Linotype" w:hAnsi="Palatino Linotype" w:cs="Palatino Linotype"/>
          <w:b/>
          <w:sz w:val="22"/>
          <w:szCs w:val="22"/>
        </w:rPr>
        <w:t xml:space="preserve">Recurrente </w:t>
      </w:r>
      <w:r w:rsidRPr="000D46AF">
        <w:rPr>
          <w:rFonts w:ascii="Palatino Linotype" w:eastAsia="Palatino Linotype" w:hAnsi="Palatino Linotype" w:cs="Palatino Linotype"/>
          <w:sz w:val="22"/>
          <w:szCs w:val="22"/>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79C577FB" w14:textId="77777777" w:rsidR="00914F94" w:rsidRPr="006D6237" w:rsidRDefault="00030285">
      <w:pPr>
        <w:spacing w:before="240" w:after="240" w:line="336" w:lineRule="auto"/>
        <w:jc w:val="both"/>
        <w:rPr>
          <w:rFonts w:ascii="Palatino Linotype" w:eastAsia="Palatino Linotype" w:hAnsi="Palatino Linotype" w:cs="Palatino Linotype"/>
          <w:sz w:val="22"/>
          <w:szCs w:val="22"/>
        </w:rPr>
        <w:sectPr w:rsidR="00914F94" w:rsidRPr="006D6237">
          <w:headerReference w:type="default" r:id="rId12"/>
          <w:footerReference w:type="default" r:id="rId13"/>
          <w:headerReference w:type="first" r:id="rId14"/>
          <w:footerReference w:type="first" r:id="rId15"/>
          <w:pgSz w:w="12240" w:h="15840"/>
          <w:pgMar w:top="1985" w:right="1701" w:bottom="1701" w:left="1701" w:header="709" w:footer="709" w:gutter="0"/>
          <w:pgNumType w:start="1"/>
          <w:cols w:space="720"/>
          <w:titlePg/>
        </w:sectPr>
      </w:pPr>
      <w:bookmarkStart w:id="11" w:name="_heading=h.lnxbz9" w:colFirst="0" w:colLast="0"/>
      <w:bookmarkEnd w:id="11"/>
      <w:r w:rsidRPr="000D46AF">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PRIMERA SESIÓN ORDINARIA CELEBRADA EL ONCE DE JUNIO DOS MIL VEINTICINCO, ANTE EL SECRETARIO TÉCNICO DEL PLENO ALEXIS TAPIA RAMÍREZ.</w:t>
      </w:r>
    </w:p>
    <w:p w14:paraId="2798E3A1" w14:textId="77777777" w:rsidR="00914F94" w:rsidRPr="006D6237" w:rsidRDefault="00914F94">
      <w:pPr>
        <w:spacing w:line="360" w:lineRule="auto"/>
        <w:jc w:val="both"/>
        <w:rPr>
          <w:rFonts w:ascii="Palatino Linotype" w:eastAsia="Palatino Linotype" w:hAnsi="Palatino Linotype" w:cs="Palatino Linotype"/>
          <w:sz w:val="22"/>
          <w:szCs w:val="22"/>
        </w:rPr>
      </w:pPr>
      <w:bookmarkStart w:id="12" w:name="_heading=h.1t3h5sf" w:colFirst="0" w:colLast="0"/>
      <w:bookmarkEnd w:id="12"/>
    </w:p>
    <w:sectPr w:rsidR="00914F94" w:rsidRPr="006D6237">
      <w:headerReference w:type="first" r:id="rId16"/>
      <w:footerReference w:type="first" r:id="rId17"/>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41175" w14:textId="77777777" w:rsidR="00F52D7A" w:rsidRDefault="00F52D7A">
      <w:r>
        <w:separator/>
      </w:r>
    </w:p>
  </w:endnote>
  <w:endnote w:type="continuationSeparator" w:id="0">
    <w:p w14:paraId="0E798902" w14:textId="77777777" w:rsidR="00F52D7A" w:rsidRDefault="00F52D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AE360" w14:textId="77777777" w:rsidR="00914F94" w:rsidRDefault="00030285">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D46AF">
      <w:rPr>
        <w:rFonts w:ascii="Palatino Linotype" w:eastAsia="Palatino Linotype" w:hAnsi="Palatino Linotype" w:cs="Palatino Linotype"/>
        <w:b/>
        <w:noProof/>
        <w:color w:val="000000"/>
        <w:sz w:val="20"/>
        <w:szCs w:val="20"/>
      </w:rPr>
      <w:t>30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D46AF">
      <w:rPr>
        <w:rFonts w:ascii="Palatino Linotype" w:eastAsia="Palatino Linotype" w:hAnsi="Palatino Linotype" w:cs="Palatino Linotype"/>
        <w:b/>
        <w:noProof/>
        <w:color w:val="000000"/>
        <w:sz w:val="20"/>
        <w:szCs w:val="20"/>
      </w:rPr>
      <w:t>32</w:t>
    </w:r>
    <w:r>
      <w:rPr>
        <w:rFonts w:ascii="Palatino Linotype" w:eastAsia="Palatino Linotype" w:hAnsi="Palatino Linotype" w:cs="Palatino Linotype"/>
        <w:b/>
        <w:color w:val="000000"/>
        <w:sz w:val="20"/>
        <w:szCs w:val="20"/>
      </w:rPr>
      <w:fldChar w:fldCharType="end"/>
    </w:r>
  </w:p>
  <w:p w14:paraId="3B11CE8A" w14:textId="77777777" w:rsidR="00914F94" w:rsidRDefault="00914F94">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65124" w14:textId="77777777" w:rsidR="00914F94" w:rsidRDefault="00030285">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D46AF">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D46AF">
      <w:rPr>
        <w:rFonts w:ascii="Palatino Linotype" w:eastAsia="Palatino Linotype" w:hAnsi="Palatino Linotype" w:cs="Palatino Linotype"/>
        <w:b/>
        <w:noProof/>
        <w:color w:val="000000"/>
        <w:sz w:val="20"/>
        <w:szCs w:val="20"/>
      </w:rPr>
      <w:t>32</w:t>
    </w:r>
    <w:r>
      <w:rPr>
        <w:rFonts w:ascii="Palatino Linotype" w:eastAsia="Palatino Linotype" w:hAnsi="Palatino Linotype" w:cs="Palatino Linotype"/>
        <w:b/>
        <w:color w:val="000000"/>
        <w:sz w:val="20"/>
        <w:szCs w:val="20"/>
      </w:rPr>
      <w:fldChar w:fldCharType="end"/>
    </w:r>
  </w:p>
  <w:p w14:paraId="2DB3D282" w14:textId="77777777" w:rsidR="00914F94" w:rsidRDefault="00914F94">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6F91E" w14:textId="77777777" w:rsidR="00914F94" w:rsidRDefault="00030285">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Página 3</w:t>
    </w:r>
    <w:r w:rsidR="006D6237">
      <w:rPr>
        <w:rFonts w:ascii="Palatino Linotype" w:eastAsia="Palatino Linotype" w:hAnsi="Palatino Linotype" w:cs="Palatino Linotype"/>
        <w:b/>
        <w:color w:val="000000"/>
        <w:sz w:val="20"/>
        <w:szCs w:val="20"/>
      </w:rPr>
      <w:t>2</w:t>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D46AF">
      <w:rPr>
        <w:rFonts w:ascii="Palatino Linotype" w:eastAsia="Palatino Linotype" w:hAnsi="Palatino Linotype" w:cs="Palatino Linotype"/>
        <w:b/>
        <w:noProof/>
        <w:color w:val="000000"/>
        <w:sz w:val="20"/>
        <w:szCs w:val="20"/>
      </w:rPr>
      <w:t>32</w:t>
    </w:r>
    <w:r>
      <w:rPr>
        <w:rFonts w:ascii="Palatino Linotype" w:eastAsia="Palatino Linotype" w:hAnsi="Palatino Linotype" w:cs="Palatino Linotype"/>
        <w:b/>
        <w:color w:val="000000"/>
        <w:sz w:val="20"/>
        <w:szCs w:val="20"/>
      </w:rPr>
      <w:fldChar w:fldCharType="end"/>
    </w:r>
  </w:p>
  <w:p w14:paraId="5EAFD78D" w14:textId="77777777" w:rsidR="00914F94" w:rsidRDefault="00914F94">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048D26" w14:textId="77777777" w:rsidR="00F52D7A" w:rsidRDefault="00F52D7A">
      <w:r>
        <w:separator/>
      </w:r>
    </w:p>
  </w:footnote>
  <w:footnote w:type="continuationSeparator" w:id="0">
    <w:p w14:paraId="00E55A00" w14:textId="77777777" w:rsidR="00F52D7A" w:rsidRDefault="00F52D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316BF" w14:textId="77777777" w:rsidR="00914F94" w:rsidRDefault="00030285">
    <w:pPr>
      <w:rPr>
        <w:rFonts w:ascii="Cambria" w:eastAsia="Cambria" w:hAnsi="Cambria" w:cs="Cambria"/>
        <w:color w:val="000000"/>
      </w:rPr>
    </w:pPr>
    <w:r>
      <w:rPr>
        <w:noProof/>
      </w:rPr>
      <w:drawing>
        <wp:anchor distT="0" distB="0" distL="0" distR="0" simplePos="0" relativeHeight="251658240" behindDoc="1" locked="0" layoutInCell="1" hidden="0" allowOverlap="1" wp14:anchorId="272BF2DB" wp14:editId="5C108656">
          <wp:simplePos x="0" y="0"/>
          <wp:positionH relativeFrom="column">
            <wp:posOffset>-1080104</wp:posOffset>
          </wp:positionH>
          <wp:positionV relativeFrom="paragraph">
            <wp:posOffset>-488279</wp:posOffset>
          </wp:positionV>
          <wp:extent cx="7809865" cy="10165715"/>
          <wp:effectExtent l="0" t="0" r="0" b="0"/>
          <wp:wrapNone/>
          <wp:docPr id="195208249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b"/>
      <w:tblW w:w="5953" w:type="dxa"/>
      <w:tblInd w:w="3261" w:type="dxa"/>
      <w:tblLayout w:type="fixed"/>
      <w:tblLook w:val="0400" w:firstRow="0" w:lastRow="0" w:firstColumn="0" w:lastColumn="0" w:noHBand="0" w:noVBand="1"/>
    </w:tblPr>
    <w:tblGrid>
      <w:gridCol w:w="2489"/>
      <w:gridCol w:w="3464"/>
    </w:tblGrid>
    <w:tr w:rsidR="00914F94" w14:paraId="600A7EF3" w14:textId="77777777">
      <w:tc>
        <w:tcPr>
          <w:tcW w:w="2489" w:type="dxa"/>
          <w:shd w:val="clear" w:color="auto" w:fill="auto"/>
        </w:tcPr>
        <w:p w14:paraId="67DC6876" w14:textId="77777777" w:rsidR="00914F94" w:rsidRDefault="0003028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0DA07739" w14:textId="77777777" w:rsidR="00914F94" w:rsidRDefault="00030285">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03494/INFOEM/IP/RR/2025</w:t>
          </w:r>
        </w:p>
      </w:tc>
    </w:tr>
    <w:tr w:rsidR="00914F94" w14:paraId="78BF7121" w14:textId="77777777">
      <w:trPr>
        <w:trHeight w:val="228"/>
      </w:trPr>
      <w:tc>
        <w:tcPr>
          <w:tcW w:w="2489" w:type="dxa"/>
          <w:shd w:val="clear" w:color="auto" w:fill="auto"/>
          <w:vAlign w:val="center"/>
        </w:tcPr>
        <w:p w14:paraId="0DB527CB" w14:textId="77777777" w:rsidR="00914F94" w:rsidRDefault="0003028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79C43F5B" w14:textId="77777777" w:rsidR="00914F94" w:rsidRDefault="00030285">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Organismo Público Descentralizado para la Prestación de Los Servicios de Agua Potable Alcantarillado y Saneamiento del Municipio de Tlalnepantla de Baz</w:t>
          </w:r>
        </w:p>
      </w:tc>
    </w:tr>
    <w:tr w:rsidR="00914F94" w14:paraId="6C41237D" w14:textId="77777777">
      <w:tc>
        <w:tcPr>
          <w:tcW w:w="2489" w:type="dxa"/>
          <w:shd w:val="clear" w:color="auto" w:fill="auto"/>
          <w:vAlign w:val="center"/>
        </w:tcPr>
        <w:p w14:paraId="6363EE8E" w14:textId="77777777" w:rsidR="00914F94" w:rsidRDefault="00030285">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0BC3A943" w14:textId="77777777" w:rsidR="00914F94" w:rsidRDefault="00030285">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9FB5C70" w14:textId="77777777" w:rsidR="00914F94" w:rsidRDefault="00030285">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CB74A" w14:textId="77777777" w:rsidR="00914F94" w:rsidRDefault="00030285">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 xml:space="preserve"> </w:t>
    </w:r>
    <w:r>
      <w:rPr>
        <w:noProof/>
      </w:rPr>
      <w:drawing>
        <wp:anchor distT="0" distB="0" distL="0" distR="0" simplePos="0" relativeHeight="251659264" behindDoc="1" locked="0" layoutInCell="1" hidden="0" allowOverlap="1" wp14:anchorId="00FE75BA" wp14:editId="3CF703F0">
          <wp:simplePos x="0" y="0"/>
          <wp:positionH relativeFrom="column">
            <wp:posOffset>-1080130</wp:posOffset>
          </wp:positionH>
          <wp:positionV relativeFrom="paragraph">
            <wp:posOffset>-369906</wp:posOffset>
          </wp:positionV>
          <wp:extent cx="7809865" cy="10165715"/>
          <wp:effectExtent l="0" t="0" r="0" b="0"/>
          <wp:wrapNone/>
          <wp:docPr id="195208249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c"/>
      <w:tblW w:w="5953" w:type="dxa"/>
      <w:tblInd w:w="3261" w:type="dxa"/>
      <w:tblLayout w:type="fixed"/>
      <w:tblLook w:val="0400" w:firstRow="0" w:lastRow="0" w:firstColumn="0" w:lastColumn="0" w:noHBand="0" w:noVBand="1"/>
    </w:tblPr>
    <w:tblGrid>
      <w:gridCol w:w="2489"/>
      <w:gridCol w:w="3464"/>
    </w:tblGrid>
    <w:tr w:rsidR="00914F94" w14:paraId="6FBE214B" w14:textId="77777777">
      <w:tc>
        <w:tcPr>
          <w:tcW w:w="2489" w:type="dxa"/>
          <w:shd w:val="clear" w:color="auto" w:fill="auto"/>
        </w:tcPr>
        <w:p w14:paraId="10C048A9" w14:textId="77777777" w:rsidR="00914F94" w:rsidRDefault="0003028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3BB02667" w14:textId="77777777" w:rsidR="00914F94" w:rsidRDefault="00030285">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03494/INFOEM/IP/RR/2025</w:t>
          </w:r>
        </w:p>
      </w:tc>
    </w:tr>
    <w:tr w:rsidR="00914F94" w14:paraId="04673B24" w14:textId="77777777">
      <w:tc>
        <w:tcPr>
          <w:tcW w:w="2489" w:type="dxa"/>
          <w:shd w:val="clear" w:color="auto" w:fill="auto"/>
        </w:tcPr>
        <w:p w14:paraId="6C103F51" w14:textId="77777777" w:rsidR="00914F94" w:rsidRDefault="0003028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64" w:type="dxa"/>
          <w:shd w:val="clear" w:color="auto" w:fill="auto"/>
          <w:vAlign w:val="center"/>
        </w:tcPr>
        <w:p w14:paraId="4659F70B" w14:textId="783D4E49" w:rsidR="00914F94" w:rsidRDefault="00CC508E">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w:t>
          </w:r>
        </w:p>
      </w:tc>
    </w:tr>
    <w:tr w:rsidR="00914F94" w14:paraId="25BBD298" w14:textId="77777777">
      <w:trPr>
        <w:trHeight w:val="228"/>
      </w:trPr>
      <w:tc>
        <w:tcPr>
          <w:tcW w:w="2489" w:type="dxa"/>
          <w:shd w:val="clear" w:color="auto" w:fill="auto"/>
          <w:vAlign w:val="center"/>
        </w:tcPr>
        <w:p w14:paraId="075474E7" w14:textId="77777777" w:rsidR="00914F94" w:rsidRDefault="0003028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4E156476" w14:textId="77777777" w:rsidR="00914F94" w:rsidRDefault="00030285">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Organismo Público Descentralizado para la Prestación de Los Servicios de Agua Potable Alcantarillado y Saneamiento del Municipio de Tlalnepantla de Baz</w:t>
          </w:r>
        </w:p>
      </w:tc>
    </w:tr>
    <w:tr w:rsidR="00914F94" w14:paraId="7F36A7C2" w14:textId="77777777">
      <w:tc>
        <w:tcPr>
          <w:tcW w:w="2489" w:type="dxa"/>
          <w:shd w:val="clear" w:color="auto" w:fill="auto"/>
          <w:vAlign w:val="center"/>
        </w:tcPr>
        <w:p w14:paraId="318ACEE3" w14:textId="77777777" w:rsidR="00914F94" w:rsidRDefault="00030285">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352FA0C0" w14:textId="77777777" w:rsidR="00914F94" w:rsidRDefault="00030285">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ECEBEA7" w14:textId="77777777" w:rsidR="00914F94" w:rsidRDefault="00914F9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4CCD2" w14:textId="77777777" w:rsidR="00914F94" w:rsidRDefault="00030285">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 xml:space="preserve"> </w:t>
    </w:r>
  </w:p>
  <w:p w14:paraId="4EC25B65" w14:textId="77777777" w:rsidR="00914F94" w:rsidRDefault="00914F9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6C2B9C"/>
    <w:multiLevelType w:val="multilevel"/>
    <w:tmpl w:val="91F634E4"/>
    <w:lvl w:ilvl="0">
      <w:start w:val="1"/>
      <w:numFmt w:val="decimal"/>
      <w:lvlText w:val="%1."/>
      <w:lvlJc w:val="left"/>
      <w:pPr>
        <w:ind w:left="644" w:hanging="358"/>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 w15:restartNumberingAfterBreak="0">
    <w:nsid w:val="31217D5C"/>
    <w:multiLevelType w:val="multilevel"/>
    <w:tmpl w:val="E89AD854"/>
    <w:lvl w:ilvl="0">
      <w:start w:val="1"/>
      <w:numFmt w:val="decimal"/>
      <w:pStyle w:val="Listaconvietas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7F043D1"/>
    <w:multiLevelType w:val="multilevel"/>
    <w:tmpl w:val="F22E5A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5F709E8"/>
    <w:multiLevelType w:val="multilevel"/>
    <w:tmpl w:val="5C8AB8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F94"/>
    <w:rsid w:val="00030285"/>
    <w:rsid w:val="000D46AF"/>
    <w:rsid w:val="002C35DD"/>
    <w:rsid w:val="004A7C66"/>
    <w:rsid w:val="006D6237"/>
    <w:rsid w:val="008A6013"/>
    <w:rsid w:val="00914F94"/>
    <w:rsid w:val="00B56727"/>
    <w:rsid w:val="00BB1F13"/>
    <w:rsid w:val="00CC508E"/>
    <w:rsid w:val="00EC264A"/>
    <w:rsid w:val="00F524AC"/>
    <w:rsid w:val="00F52D7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714345"/>
  <w15:docId w15:val="{CA34FDDC-9E3C-4FB1-B31E-815B59A58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3171"/>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5"/>
    <w:tblPr>
      <w:tblStyleRowBandSize w:val="1"/>
      <w:tblStyleColBandSize w:val="1"/>
      <w:tblCellMar>
        <w:left w:w="115" w:type="dxa"/>
        <w:right w:w="115" w:type="dxa"/>
      </w:tblCellMar>
    </w:tblPr>
  </w:style>
  <w:style w:type="table" w:customStyle="1" w:styleId="a0">
    <w:basedOn w:val="TableNormal5"/>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43334"/>
    <w:pPr>
      <w:ind w:left="720"/>
      <w:contextualSpacing/>
    </w:pPr>
  </w:style>
  <w:style w:type="paragraph" w:styleId="NormalWeb">
    <w:name w:val="Normal (Web)"/>
    <w:basedOn w:val="Normal"/>
    <w:uiPriority w:val="99"/>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806B5C"/>
    <w:rPr>
      <w:vertAlign w:val="superscript"/>
    </w:rPr>
  </w:style>
  <w:style w:type="table" w:customStyle="1" w:styleId="a1">
    <w:basedOn w:val="TableNormal5"/>
    <w:tblPr>
      <w:tblStyleRowBandSize w:val="1"/>
      <w:tblStyleColBandSize w:val="1"/>
      <w:tblCellMar>
        <w:left w:w="115" w:type="dxa"/>
        <w:right w:w="115" w:type="dxa"/>
      </w:tblCellMar>
    </w:tblPr>
  </w:style>
  <w:style w:type="table" w:customStyle="1" w:styleId="a2">
    <w:basedOn w:val="TableNormal5"/>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4"/>
    <w:tblPr>
      <w:tblStyleRowBandSize w:val="1"/>
      <w:tblStyleColBandSize w:val="1"/>
      <w:tblCellMar>
        <w:left w:w="115" w:type="dxa"/>
        <w:right w:w="115" w:type="dxa"/>
      </w:tblCellMar>
    </w:tblPr>
  </w:style>
  <w:style w:type="table" w:customStyle="1" w:styleId="a4">
    <w:basedOn w:val="TableNormal4"/>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2"/>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4D7E58"/>
    <w:rPr>
      <w:color w:val="605E5C"/>
      <w:shd w:val="clear" w:color="auto" w:fill="E1DFDD"/>
    </w:r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character" w:customStyle="1" w:styleId="object">
    <w:name w:val="object"/>
    <w:basedOn w:val="Fuentedeprrafopredeter"/>
    <w:rsid w:val="003E1B7B"/>
  </w:style>
  <w:style w:type="character" w:styleId="Textoennegrita">
    <w:name w:val="Strong"/>
    <w:basedOn w:val="Fuentedeprrafopredeter"/>
    <w:uiPriority w:val="22"/>
    <w:qFormat/>
    <w:rsid w:val="003E1B7B"/>
    <w:rPr>
      <w:b/>
      <w:bCs/>
    </w:r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 w:type="character" w:customStyle="1" w:styleId="Mencinsinresolver4">
    <w:name w:val="Mención sin resolver4"/>
    <w:basedOn w:val="Fuentedeprrafopredeter"/>
    <w:uiPriority w:val="99"/>
    <w:semiHidden/>
    <w:unhideWhenUsed/>
    <w:rsid w:val="00642816"/>
    <w:rPr>
      <w:color w:val="605E5C"/>
      <w:shd w:val="clear" w:color="auto" w:fill="E1DFDD"/>
    </w:r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iputados.gob.mx/documentos/N_Acta_Nacimiento.pdf"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oJIB2N5e3fgewdiVoXBBIvqpQ==">CgMxLjAyCWguNGQzNG9nODIIaC5namRneHMyCWguM2R5NnZrbTIJaC4zMGowemxsMgloLjJzOGV5bzEyCGgudHlqY3d0MgloLjN6bnlzaDcyCWguMmV0OTJwMDIOaC5wYWc4N3J1aHkzaDYyCWguMjZpbjFyZzIJaC4xa3N2NHV2MghoLmxueGJ6OTIJaC4xdDNoNXNmOAByITE5NEJFMTYxV3dpLXRram5Pcl9PamY5bEZaN1d2eDFyNA==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7539</Words>
  <Characters>41465</Characters>
  <Application>Microsoft Office Word</Application>
  <DocSecurity>0</DocSecurity>
  <Lines>345</Lines>
  <Paragraphs>97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48907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Maricela Villagómez Martínez</cp:lastModifiedBy>
  <cp:revision>2</cp:revision>
  <cp:lastPrinted>2025-06-13T20:02:00Z</cp:lastPrinted>
  <dcterms:created xsi:type="dcterms:W3CDTF">2025-06-27T17:59:00Z</dcterms:created>
  <dcterms:modified xsi:type="dcterms:W3CDTF">2025-06-27T17:59:00Z</dcterms:modified>
</cp:coreProperties>
</file>