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FF92" w14:textId="77777777" w:rsidR="005F40AF" w:rsidRPr="009D0A2F" w:rsidRDefault="007B2798">
      <w:pPr>
        <w:spacing w:after="0" w:line="360" w:lineRule="auto"/>
        <w:ind w:right="49"/>
        <w:jc w:val="both"/>
        <w:rPr>
          <w:rFonts w:ascii="Palatino Linotype" w:eastAsia="Palatino Linotype" w:hAnsi="Palatino Linotype" w:cs="Palatino Linotype"/>
        </w:rPr>
      </w:pPr>
      <w:bookmarkStart w:id="0" w:name="_heading=h.iu13zhuls7dx" w:colFirst="0" w:colLast="0"/>
      <w:bookmarkEnd w:id="0"/>
      <w:r w:rsidRPr="009D0A2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9D0A2F">
        <w:rPr>
          <w:rFonts w:ascii="Palatino Linotype" w:eastAsia="Palatino Linotype" w:hAnsi="Palatino Linotype" w:cs="Palatino Linotype"/>
          <w:b/>
        </w:rPr>
        <w:t xml:space="preserve">veintiuno de mayo de dos mil veinticinco. </w:t>
      </w:r>
      <w:r w:rsidRPr="009D0A2F">
        <w:rPr>
          <w:rFonts w:ascii="Palatino Linotype" w:eastAsia="Palatino Linotype" w:hAnsi="Palatino Linotype" w:cs="Palatino Linotype"/>
        </w:rPr>
        <w:t xml:space="preserve"> </w:t>
      </w:r>
    </w:p>
    <w:p w14:paraId="3DEE64D9" w14:textId="77777777" w:rsidR="005F40AF" w:rsidRPr="009D0A2F" w:rsidRDefault="005F40AF">
      <w:pPr>
        <w:spacing w:after="0" w:line="360" w:lineRule="auto"/>
        <w:ind w:right="49"/>
        <w:jc w:val="center"/>
        <w:rPr>
          <w:rFonts w:ascii="Palatino Linotype" w:eastAsia="Palatino Linotype" w:hAnsi="Palatino Linotype" w:cs="Palatino Linotype"/>
        </w:rPr>
      </w:pPr>
    </w:p>
    <w:p w14:paraId="7D9FA661" w14:textId="264E47FC"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Visto el expediente relativo al recurso de revisión </w:t>
      </w:r>
      <w:r w:rsidRPr="009D0A2F">
        <w:rPr>
          <w:rFonts w:ascii="Palatino Linotype" w:eastAsia="Palatino Linotype" w:hAnsi="Palatino Linotype" w:cs="Palatino Linotype"/>
          <w:b/>
        </w:rPr>
        <w:t>02679/INFOEM/IP/RR/2025</w:t>
      </w:r>
      <w:r w:rsidRPr="009D0A2F">
        <w:rPr>
          <w:rFonts w:ascii="Palatino Linotype" w:eastAsia="Palatino Linotype" w:hAnsi="Palatino Linotype" w:cs="Palatino Linotype"/>
        </w:rPr>
        <w:t xml:space="preserve">, interpuesto por </w:t>
      </w:r>
      <w:r w:rsidR="00DE4294" w:rsidRPr="00DE4294">
        <w:rPr>
          <w:rFonts w:ascii="Palatino Linotype" w:eastAsia="Palatino Linotype" w:hAnsi="Palatino Linotype" w:cs="Palatino Linotype"/>
          <w:b/>
        </w:rPr>
        <w:t xml:space="preserve">XXXXX XXXXXXXX XXXXXXX </w:t>
      </w:r>
      <w:r w:rsidRPr="009D0A2F">
        <w:rPr>
          <w:rFonts w:ascii="Palatino Linotype" w:eastAsia="Palatino Linotype" w:hAnsi="Palatino Linotype" w:cs="Palatino Linotype"/>
        </w:rPr>
        <w:t xml:space="preserve">al cual en lo sucesivo se le denominará la parte </w:t>
      </w:r>
      <w:r w:rsidRPr="009D0A2F">
        <w:rPr>
          <w:rFonts w:ascii="Palatino Linotype" w:eastAsia="Palatino Linotype" w:hAnsi="Palatino Linotype" w:cs="Palatino Linotype"/>
          <w:b/>
        </w:rPr>
        <w:t>RECURRENTE</w:t>
      </w:r>
      <w:r w:rsidRPr="009D0A2F">
        <w:rPr>
          <w:rFonts w:ascii="Palatino Linotype" w:eastAsia="Palatino Linotype" w:hAnsi="Palatino Linotype" w:cs="Palatino Linotype"/>
        </w:rPr>
        <w:t xml:space="preserve">, en contra de la respuesta a su solicitud de información identificada con número de folio </w:t>
      </w:r>
      <w:r w:rsidRPr="009D0A2F">
        <w:rPr>
          <w:rFonts w:ascii="Palatino Linotype" w:eastAsia="Palatino Linotype" w:hAnsi="Palatino Linotype" w:cs="Palatino Linotype"/>
          <w:b/>
        </w:rPr>
        <w:t>00069/HUEHUETO/IP/2025</w:t>
      </w:r>
      <w:r w:rsidRPr="009D0A2F">
        <w:rPr>
          <w:rFonts w:ascii="Palatino Linotype" w:eastAsia="Palatino Linotype" w:hAnsi="Palatino Linotype" w:cs="Palatino Linotype"/>
        </w:rPr>
        <w:t xml:space="preserve"> proporcionada por parte del </w:t>
      </w:r>
      <w:r w:rsidRPr="009D0A2F">
        <w:rPr>
          <w:rFonts w:ascii="Palatino Linotype" w:eastAsia="Palatino Linotype" w:hAnsi="Palatino Linotype" w:cs="Palatino Linotype"/>
          <w:b/>
        </w:rPr>
        <w:t xml:space="preserve">Ayuntamiento de Huehuetoca </w:t>
      </w:r>
      <w:r w:rsidRPr="009D0A2F">
        <w:rPr>
          <w:rFonts w:ascii="Palatino Linotype" w:eastAsia="Palatino Linotype" w:hAnsi="Palatino Linotype" w:cs="Palatino Linotype"/>
        </w:rPr>
        <w:t xml:space="preserve">en lo sucesivo el </w:t>
      </w:r>
      <w:r w:rsidRPr="009D0A2F">
        <w:rPr>
          <w:rFonts w:ascii="Palatino Linotype" w:eastAsia="Palatino Linotype" w:hAnsi="Palatino Linotype" w:cs="Palatino Linotype"/>
          <w:b/>
        </w:rPr>
        <w:t>SUJETO OBLIGADO</w:t>
      </w:r>
      <w:r w:rsidRPr="009D0A2F">
        <w:rPr>
          <w:rFonts w:ascii="Palatino Linotype" w:eastAsia="Palatino Linotype" w:hAnsi="Palatino Linotype" w:cs="Palatino Linotype"/>
        </w:rPr>
        <w:t>; se procede a dictar la presente resolución, con base en los siguientes:</w:t>
      </w:r>
    </w:p>
    <w:p w14:paraId="70BED75D" w14:textId="77777777" w:rsidR="005F40AF" w:rsidRPr="009D0A2F" w:rsidRDefault="005F40AF">
      <w:pPr>
        <w:spacing w:after="0" w:line="360" w:lineRule="auto"/>
        <w:ind w:right="49"/>
        <w:jc w:val="both"/>
        <w:rPr>
          <w:rFonts w:ascii="Palatino Linotype" w:eastAsia="Palatino Linotype" w:hAnsi="Palatino Linotype" w:cs="Palatino Linotype"/>
        </w:rPr>
      </w:pPr>
    </w:p>
    <w:p w14:paraId="6458FC00" w14:textId="77777777" w:rsidR="005F40AF" w:rsidRPr="009D0A2F" w:rsidRDefault="007B2798">
      <w:pPr>
        <w:spacing w:after="0" w:line="360" w:lineRule="auto"/>
        <w:ind w:right="49"/>
        <w:jc w:val="center"/>
        <w:rPr>
          <w:rFonts w:ascii="Palatino Linotype" w:eastAsia="Palatino Linotype" w:hAnsi="Palatino Linotype" w:cs="Palatino Linotype"/>
          <w:b/>
        </w:rPr>
      </w:pPr>
      <w:r w:rsidRPr="009D0A2F">
        <w:rPr>
          <w:rFonts w:ascii="Palatino Linotype" w:eastAsia="Palatino Linotype" w:hAnsi="Palatino Linotype" w:cs="Palatino Linotype"/>
          <w:b/>
        </w:rPr>
        <w:t>I.</w:t>
      </w:r>
      <w:r w:rsidRPr="009D0A2F">
        <w:rPr>
          <w:rFonts w:ascii="Palatino Linotype" w:eastAsia="Palatino Linotype" w:hAnsi="Palatino Linotype" w:cs="Palatino Linotype"/>
          <w:b/>
        </w:rPr>
        <w:tab/>
        <w:t>A N T E C E D E N T E S</w:t>
      </w:r>
    </w:p>
    <w:p w14:paraId="44C87786" w14:textId="77777777" w:rsidR="005F40AF" w:rsidRPr="009D0A2F" w:rsidRDefault="005F40AF">
      <w:pPr>
        <w:spacing w:after="0" w:line="360" w:lineRule="auto"/>
        <w:ind w:right="49"/>
        <w:jc w:val="both"/>
        <w:rPr>
          <w:rFonts w:ascii="Palatino Linotype" w:eastAsia="Palatino Linotype" w:hAnsi="Palatino Linotype" w:cs="Palatino Linotype"/>
        </w:rPr>
      </w:pPr>
      <w:bookmarkStart w:id="1" w:name="_heading=h.3znysh7" w:colFirst="0" w:colLast="0"/>
      <w:bookmarkEnd w:id="1"/>
    </w:p>
    <w:p w14:paraId="599E1C41" w14:textId="77777777" w:rsidR="005F40AF" w:rsidRPr="009D0A2F" w:rsidRDefault="007B27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D0A2F">
        <w:rPr>
          <w:rFonts w:ascii="Palatino Linotype" w:eastAsia="Palatino Linotype" w:hAnsi="Palatino Linotype" w:cs="Palatino Linotype"/>
          <w:b/>
        </w:rPr>
        <w:t>Solicitud de acceso a la información.</w:t>
      </w:r>
      <w:r w:rsidRPr="009D0A2F">
        <w:rPr>
          <w:rFonts w:ascii="Palatino Linotype" w:eastAsia="Palatino Linotype" w:hAnsi="Palatino Linotype" w:cs="Palatino Linotype"/>
        </w:rPr>
        <w:t xml:space="preserve"> Con fecha </w:t>
      </w:r>
      <w:r w:rsidRPr="009D0A2F">
        <w:rPr>
          <w:rFonts w:ascii="Palatino Linotype" w:eastAsia="Palatino Linotype" w:hAnsi="Palatino Linotype" w:cs="Palatino Linotype"/>
          <w:b/>
        </w:rPr>
        <w:t xml:space="preserve">veintiuno de febrero de dos mil veinticinco </w:t>
      </w:r>
      <w:r w:rsidRPr="009D0A2F">
        <w:rPr>
          <w:rFonts w:ascii="Palatino Linotype" w:eastAsia="Palatino Linotype" w:hAnsi="Palatino Linotype" w:cs="Palatino Linotype"/>
        </w:rPr>
        <w:t xml:space="preserve">el Recurrente formuló solicitud de acceso a información pública al </w:t>
      </w:r>
      <w:r w:rsidRPr="009D0A2F">
        <w:rPr>
          <w:rFonts w:ascii="Palatino Linotype" w:eastAsia="Palatino Linotype" w:hAnsi="Palatino Linotype" w:cs="Palatino Linotype"/>
          <w:b/>
        </w:rPr>
        <w:t>SUJETO OBLIGADO</w:t>
      </w:r>
      <w:r w:rsidRPr="009D0A2F">
        <w:rPr>
          <w:rFonts w:ascii="Palatino Linotype" w:eastAsia="Palatino Linotype" w:hAnsi="Palatino Linotype" w:cs="Palatino Linotype"/>
        </w:rPr>
        <w:t xml:space="preserve"> a través del Sistema de Acceso a la Información Mexiquense, en adelante </w:t>
      </w:r>
      <w:r w:rsidRPr="009D0A2F">
        <w:rPr>
          <w:rFonts w:ascii="Palatino Linotype" w:eastAsia="Palatino Linotype" w:hAnsi="Palatino Linotype" w:cs="Palatino Linotype"/>
          <w:b/>
        </w:rPr>
        <w:t>SAIMEX</w:t>
      </w:r>
      <w:r w:rsidRPr="009D0A2F">
        <w:rPr>
          <w:rFonts w:ascii="Palatino Linotype" w:eastAsia="Palatino Linotype" w:hAnsi="Palatino Linotype" w:cs="Palatino Linotype"/>
        </w:rPr>
        <w:t xml:space="preserve">, en la que requirió lo siguiente: </w:t>
      </w:r>
    </w:p>
    <w:p w14:paraId="21AEDBE2" w14:textId="77777777" w:rsidR="005F40AF" w:rsidRPr="009D0A2F" w:rsidRDefault="007B2798">
      <w:pPr>
        <w:tabs>
          <w:tab w:val="left" w:pos="1530"/>
        </w:tabs>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ab/>
      </w:r>
    </w:p>
    <w:p w14:paraId="4C3620A7" w14:textId="77777777" w:rsidR="005F40AF" w:rsidRPr="009D0A2F" w:rsidRDefault="007B2798">
      <w:pPr>
        <w:spacing w:after="0"/>
        <w:ind w:left="567" w:right="560"/>
        <w:jc w:val="both"/>
        <w:rPr>
          <w:rFonts w:ascii="Palatino Linotype" w:eastAsia="Palatino Linotype" w:hAnsi="Palatino Linotype" w:cs="Palatino Linotype"/>
          <w:i/>
        </w:rPr>
      </w:pPr>
      <w:bookmarkStart w:id="2" w:name="_heading=h.30j0zll" w:colFirst="0" w:colLast="0"/>
      <w:bookmarkEnd w:id="2"/>
      <w:r w:rsidRPr="009D0A2F">
        <w:rPr>
          <w:rFonts w:ascii="Palatino Linotype" w:eastAsia="Palatino Linotype" w:hAnsi="Palatino Linotype" w:cs="Palatino Linotype"/>
          <w:i/>
        </w:rPr>
        <w:t xml:space="preserve">“1. Seguimiento a las acciones previas: o ¿Qué acciones ha realizado el Ayuntamiento para dar seguimiento al retiro de estructuras y cazos en banquetas y avenidas anunciado recientemente? o ¿Se han realizado inspecciones para verificar el cumplimiento de esta medida? 2. Sanciones a negocios reincidentes: o ¿Qué sanciones se contemplan para los negocios que han vuelto a colocar cazos en las banquetas después de haber sido retirados? o ¿Cuántos negocios han sido identificados como reincidentes y qué medidas se han tomado contra ellos? 3. Medidas de control y regulación: o ¿Qué acciones implementará el Ayuntamiento para evitar que estas prácticas continúen en el futuro? o ¿Se tiene planeada </w:t>
      </w:r>
      <w:r w:rsidRPr="009D0A2F">
        <w:rPr>
          <w:rFonts w:ascii="Palatino Linotype" w:eastAsia="Palatino Linotype" w:hAnsi="Palatino Linotype" w:cs="Palatino Linotype"/>
          <w:i/>
        </w:rPr>
        <w:lastRenderedPageBreak/>
        <w:t xml:space="preserve">alguna campaña de concientización o programa de reordenamiento para garantizar el uso adecuado del espacio público?”. </w:t>
      </w:r>
    </w:p>
    <w:p w14:paraId="538F7F4F" w14:textId="77777777" w:rsidR="005F40AF" w:rsidRPr="009D0A2F" w:rsidRDefault="007B2798">
      <w:pPr>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 </w:t>
      </w:r>
    </w:p>
    <w:p w14:paraId="4313CEF8"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b/>
        </w:rPr>
        <w:t>Modalidad elegida para la entrega de la información:</w:t>
      </w:r>
      <w:r w:rsidRPr="009D0A2F">
        <w:rPr>
          <w:rFonts w:ascii="Palatino Linotype" w:eastAsia="Palatino Linotype" w:hAnsi="Palatino Linotype" w:cs="Palatino Linotype"/>
        </w:rPr>
        <w:t xml:space="preserve"> a través del Sistema de Acceso a la Información Mexiquense (SAIMEX). </w:t>
      </w:r>
    </w:p>
    <w:p w14:paraId="69F7CEB1" w14:textId="77777777" w:rsidR="005F40AF" w:rsidRPr="009D0A2F" w:rsidRDefault="005F40AF">
      <w:pPr>
        <w:spacing w:after="0" w:line="360" w:lineRule="auto"/>
        <w:ind w:right="49"/>
        <w:jc w:val="both"/>
        <w:rPr>
          <w:rFonts w:ascii="Palatino Linotype" w:eastAsia="Palatino Linotype" w:hAnsi="Palatino Linotype" w:cs="Palatino Linotype"/>
        </w:rPr>
      </w:pPr>
    </w:p>
    <w:p w14:paraId="62C14AE5"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Asimismo, adjuntó a su solicitud de información lo siguiente:</w:t>
      </w:r>
    </w:p>
    <w:p w14:paraId="2C6310EE" w14:textId="77777777" w:rsidR="005F40AF" w:rsidRPr="009D0A2F" w:rsidRDefault="005F40AF">
      <w:pPr>
        <w:spacing w:after="0" w:line="360" w:lineRule="auto"/>
        <w:ind w:right="49"/>
        <w:jc w:val="both"/>
        <w:rPr>
          <w:rFonts w:ascii="Palatino Linotype" w:eastAsia="Palatino Linotype" w:hAnsi="Palatino Linotype" w:cs="Palatino Linotype"/>
        </w:rPr>
      </w:pPr>
    </w:p>
    <w:p w14:paraId="6F8D36DA" w14:textId="77777777" w:rsidR="005F40AF" w:rsidRPr="009D0A2F" w:rsidRDefault="007B2798">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Imagen relacionada con una publicación del Ayuntamiento, en el que se menciona que se están llevando acciones de limpieza en el centro del municipio, incluyendo la remoción de estructuras y cazos que obstruyen las banquetas. </w:t>
      </w:r>
    </w:p>
    <w:p w14:paraId="177E3279" w14:textId="77777777" w:rsidR="005F40AF" w:rsidRPr="009D0A2F" w:rsidRDefault="007B2798">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Imagen donde se observa un negocio de comida corrida. </w:t>
      </w:r>
    </w:p>
    <w:p w14:paraId="5F630760" w14:textId="77777777" w:rsidR="005F40AF" w:rsidRPr="009D0A2F" w:rsidRDefault="005F40A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51EC949" w14:textId="77777777" w:rsidR="005F40AF" w:rsidRPr="009D0A2F" w:rsidRDefault="007B27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D0A2F">
        <w:rPr>
          <w:rFonts w:ascii="Palatino Linotype" w:eastAsia="Palatino Linotype" w:hAnsi="Palatino Linotype" w:cs="Palatino Linotype"/>
          <w:b/>
        </w:rPr>
        <w:t xml:space="preserve">Respuesta. </w:t>
      </w:r>
      <w:r w:rsidRPr="009D0A2F">
        <w:rPr>
          <w:rFonts w:ascii="Palatino Linotype" w:eastAsia="Palatino Linotype" w:hAnsi="Palatino Linotype" w:cs="Palatino Linotype"/>
        </w:rPr>
        <w:t xml:space="preserve">En fecha </w:t>
      </w:r>
      <w:r w:rsidRPr="009D0A2F">
        <w:rPr>
          <w:rFonts w:ascii="Palatino Linotype" w:eastAsia="Palatino Linotype" w:hAnsi="Palatino Linotype" w:cs="Palatino Linotype"/>
          <w:b/>
        </w:rPr>
        <w:t>siete de marzo de dos mil veinticinco</w:t>
      </w:r>
      <w:r w:rsidRPr="009D0A2F">
        <w:rPr>
          <w:rFonts w:ascii="Palatino Linotype" w:eastAsia="Palatino Linotype" w:hAnsi="Palatino Linotype" w:cs="Palatino Linotype"/>
        </w:rPr>
        <w:t xml:space="preserve">, el </w:t>
      </w:r>
      <w:r w:rsidRPr="009D0A2F">
        <w:rPr>
          <w:rFonts w:ascii="Palatino Linotype" w:eastAsia="Palatino Linotype" w:hAnsi="Palatino Linotype" w:cs="Palatino Linotype"/>
          <w:b/>
        </w:rPr>
        <w:t xml:space="preserve">SUJETO OBLIGADO </w:t>
      </w:r>
      <w:r w:rsidRPr="009D0A2F">
        <w:rPr>
          <w:rFonts w:ascii="Palatino Linotype" w:eastAsia="Palatino Linotype" w:hAnsi="Palatino Linotype" w:cs="Palatino Linotype"/>
        </w:rPr>
        <w:t xml:space="preserve">emitió respuesta al tenor de lo siguiente: </w:t>
      </w:r>
    </w:p>
    <w:p w14:paraId="391CE670" w14:textId="77777777" w:rsidR="005F40AF" w:rsidRPr="009D0A2F" w:rsidRDefault="005F40AF">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rPr>
      </w:pPr>
    </w:p>
    <w:p w14:paraId="24C12657" w14:textId="77777777" w:rsidR="005F40AF" w:rsidRPr="009D0A2F" w:rsidRDefault="007B2798">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E88E4E" w14:textId="77777777" w:rsidR="005F40AF" w:rsidRPr="009D0A2F" w:rsidRDefault="007B2798">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b/>
          <w:i/>
          <w:u w:val="single"/>
        </w:rPr>
        <w:t>En la primera semana de enero del 2025, se implementó parte del Programa de Reordenamiento Comercial. Se liberó la explanada municipal y la Ave. Juárez con excepciones que se encuentran en proceso legal; motivo por el cual se reserva la información hasta la conclusión de la Litis</w:t>
      </w:r>
      <w:r w:rsidRPr="009D0A2F">
        <w:rPr>
          <w:rFonts w:ascii="Palatino Linotype" w:eastAsia="Palatino Linotype" w:hAnsi="Palatino Linotype" w:cs="Palatino Linotype"/>
          <w:i/>
        </w:rPr>
        <w:t>.</w:t>
      </w:r>
    </w:p>
    <w:p w14:paraId="14A810BE" w14:textId="77777777" w:rsidR="005F40AF" w:rsidRPr="009D0A2F" w:rsidRDefault="005F40A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E970AAA" w14:textId="77777777" w:rsidR="005F40AF" w:rsidRPr="009D0A2F" w:rsidRDefault="007B27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D0A2F">
        <w:rPr>
          <w:rFonts w:ascii="Palatino Linotype" w:eastAsia="Palatino Linotype" w:hAnsi="Palatino Linotype" w:cs="Palatino Linotype"/>
          <w:b/>
        </w:rPr>
        <w:t xml:space="preserve">Recurso de Revisión. </w:t>
      </w:r>
      <w:r w:rsidRPr="009D0A2F">
        <w:rPr>
          <w:rFonts w:ascii="Palatino Linotype" w:eastAsia="Palatino Linotype" w:hAnsi="Palatino Linotype" w:cs="Palatino Linotype"/>
        </w:rPr>
        <w:t xml:space="preserve">En fecha </w:t>
      </w:r>
      <w:r w:rsidRPr="009D0A2F">
        <w:rPr>
          <w:rFonts w:ascii="Palatino Linotype" w:eastAsia="Palatino Linotype" w:hAnsi="Palatino Linotype" w:cs="Palatino Linotype"/>
          <w:b/>
        </w:rPr>
        <w:t xml:space="preserve">en fecha diez de marzo de dos mil veinticinco </w:t>
      </w:r>
      <w:r w:rsidRPr="009D0A2F">
        <w:rPr>
          <w:rFonts w:ascii="Palatino Linotype" w:eastAsia="Palatino Linotype" w:hAnsi="Palatino Linotype" w:cs="Palatino Linotype"/>
        </w:rPr>
        <w:t>el Recurrente interpuso su Recurso de Revisión, a través del cual expresó lo siguiente:</w:t>
      </w:r>
    </w:p>
    <w:p w14:paraId="5380D3BA" w14:textId="77777777" w:rsidR="005F40AF" w:rsidRPr="009D0A2F" w:rsidRDefault="005F40A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0477AB6" w14:textId="77777777" w:rsidR="005F40AF" w:rsidRPr="009D0A2F" w:rsidRDefault="007B2798">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9D0A2F">
        <w:rPr>
          <w:rFonts w:ascii="Palatino Linotype" w:eastAsia="Palatino Linotype" w:hAnsi="Palatino Linotype" w:cs="Palatino Linotype"/>
          <w:b/>
        </w:rPr>
        <w:lastRenderedPageBreak/>
        <w:t>Acto impugnado</w:t>
      </w:r>
      <w:r w:rsidRPr="009D0A2F">
        <w:rPr>
          <w:rFonts w:ascii="Palatino Linotype" w:eastAsia="Palatino Linotype" w:hAnsi="Palatino Linotype" w:cs="Palatino Linotype"/>
          <w:b/>
          <w:i/>
        </w:rPr>
        <w:t xml:space="preserve">. </w:t>
      </w:r>
      <w:r w:rsidRPr="009D0A2F">
        <w:rPr>
          <w:rFonts w:ascii="Palatino Linotype" w:eastAsia="Palatino Linotype" w:hAnsi="Palatino Linotype" w:cs="Palatino Linotype"/>
          <w:i/>
        </w:rPr>
        <w:t>“La respuesta emitida por la autoridad, que se limita a reproducir literalmente las preguntas formuladas en la solicitud de transparencia sin proporcionar ningún dato o información sustancial.”.</w:t>
      </w:r>
    </w:p>
    <w:p w14:paraId="213B606D" w14:textId="77777777" w:rsidR="005F40AF" w:rsidRPr="009D0A2F" w:rsidRDefault="005F40AF">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7DEEF3EF" w14:textId="77777777" w:rsidR="005F40AF" w:rsidRPr="009D0A2F" w:rsidRDefault="007B2798">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9D0A2F">
        <w:rPr>
          <w:rFonts w:ascii="Palatino Linotype" w:eastAsia="Palatino Linotype" w:hAnsi="Palatino Linotype" w:cs="Palatino Linotype"/>
          <w:b/>
        </w:rPr>
        <w:t xml:space="preserve">Razones o motivos de la inconformidad: </w:t>
      </w:r>
      <w:r w:rsidRPr="009D0A2F">
        <w:rPr>
          <w:rFonts w:ascii="Palatino Linotype" w:eastAsia="Palatino Linotype" w:hAnsi="Palatino Linotype" w:cs="Palatino Linotype"/>
          <w:i/>
        </w:rPr>
        <w:t xml:space="preserve">“Falta de respuesta sustantiva: La respuesta no contiene datos, acciones, o resultados específicos respecto a las preguntas sobre seguimiento, sanciones y medidas de control y regulación. Al limitarse a repetir las mismas interrogantes, se incumple con la obligación de informar y proporcionar claridad sobre las acciones emprendidas por el Ayuntamiento. Incumplimiento del deber de transparencia: La autoridad no ha ofrecido la información solicitada, lo que vulnera el derecho de acceso a la información pública establecido en la Ley de Transparencia y Acceso a la Información Pública del Estado de México y Municipios. Omisión en el contenido requerido: Se omite el detalle de las inspecciones realizadas, las sanciones aplicadas, el número de negocios reincidentes, las medidas adoptadas para prevenir futuras infracciones, y cualquier campaña de concientización o reordenamiento del espacio público”. </w:t>
      </w:r>
    </w:p>
    <w:p w14:paraId="53111CD2" w14:textId="77777777" w:rsidR="005F40AF" w:rsidRPr="009D0A2F" w:rsidRDefault="005F40AF">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28B8E03" w14:textId="77777777" w:rsidR="005F40AF" w:rsidRPr="009D0A2F" w:rsidRDefault="007B27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D0A2F">
        <w:rPr>
          <w:rFonts w:ascii="Palatino Linotype" w:eastAsia="Palatino Linotype" w:hAnsi="Palatino Linotype" w:cs="Palatino Linotype"/>
          <w:b/>
        </w:rPr>
        <w:t>Turno.</w:t>
      </w:r>
      <w:r w:rsidRPr="009D0A2F">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9D0A2F">
        <w:rPr>
          <w:rFonts w:ascii="Palatino Linotype" w:eastAsia="Palatino Linotype" w:hAnsi="Palatino Linotype" w:cs="Palatino Linotype"/>
          <w:b/>
        </w:rPr>
        <w:t>02679/INFOEM/IP/RR/2025</w:t>
      </w:r>
      <w:r w:rsidRPr="009D0A2F">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ED3EE3E" w14:textId="77777777" w:rsidR="005F40AF" w:rsidRPr="009D0A2F" w:rsidRDefault="005F40A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367A29B" w14:textId="77777777" w:rsidR="005F40AF" w:rsidRPr="009D0A2F" w:rsidRDefault="007B27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D0A2F">
        <w:rPr>
          <w:rFonts w:ascii="Palatino Linotype" w:eastAsia="Palatino Linotype" w:hAnsi="Palatino Linotype" w:cs="Palatino Linotype"/>
          <w:b/>
        </w:rPr>
        <w:t>Admisión del recurso de revisión</w:t>
      </w:r>
      <w:r w:rsidRPr="009D0A2F">
        <w:rPr>
          <w:rFonts w:ascii="Palatino Linotype" w:eastAsia="Palatino Linotype" w:hAnsi="Palatino Linotype" w:cs="Palatino Linotype"/>
        </w:rPr>
        <w:t xml:space="preserve">: En fecha </w:t>
      </w:r>
      <w:r w:rsidRPr="009D0A2F">
        <w:rPr>
          <w:rFonts w:ascii="Palatino Linotype" w:eastAsia="Palatino Linotype" w:hAnsi="Palatino Linotype" w:cs="Palatino Linotype"/>
          <w:b/>
        </w:rPr>
        <w:t>trece de marzo de dos mil veinticinco</w:t>
      </w:r>
      <w:r w:rsidRPr="009D0A2F">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9D5E53C" w14:textId="77777777" w:rsidR="005F40AF" w:rsidRPr="009D0A2F" w:rsidRDefault="005F40AF">
      <w:pPr>
        <w:pBdr>
          <w:top w:val="nil"/>
          <w:left w:val="nil"/>
          <w:bottom w:val="nil"/>
          <w:right w:val="nil"/>
          <w:between w:val="nil"/>
        </w:pBdr>
        <w:spacing w:after="0"/>
        <w:ind w:left="720"/>
        <w:rPr>
          <w:rFonts w:ascii="Palatino Linotype" w:eastAsia="Palatino Linotype" w:hAnsi="Palatino Linotype" w:cs="Palatino Linotype"/>
        </w:rPr>
      </w:pPr>
    </w:p>
    <w:p w14:paraId="0DC7E8DF" w14:textId="77777777" w:rsidR="005F40AF" w:rsidRPr="009D0A2F" w:rsidRDefault="007B27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D0A2F">
        <w:rPr>
          <w:rFonts w:ascii="Palatino Linotype" w:eastAsia="Palatino Linotype" w:hAnsi="Palatino Linotype" w:cs="Palatino Linotype"/>
          <w:b/>
        </w:rPr>
        <w:lastRenderedPageBreak/>
        <w:t xml:space="preserve">Manifestaciones. </w:t>
      </w:r>
      <w:r w:rsidRPr="009D0A2F">
        <w:rPr>
          <w:rFonts w:ascii="Palatino Linotype" w:eastAsia="Palatino Linotype" w:hAnsi="Palatino Linotype" w:cs="Palatino Linotype"/>
        </w:rPr>
        <w:t xml:space="preserve">En fecha </w:t>
      </w:r>
      <w:r w:rsidRPr="009D0A2F">
        <w:rPr>
          <w:rFonts w:ascii="Palatino Linotype" w:eastAsia="Palatino Linotype" w:hAnsi="Palatino Linotype" w:cs="Palatino Linotype"/>
          <w:b/>
        </w:rPr>
        <w:t>veintiuno de marzo de dos mil veinticinco</w:t>
      </w:r>
      <w:r w:rsidRPr="009D0A2F">
        <w:rPr>
          <w:rFonts w:ascii="Palatino Linotype" w:eastAsia="Palatino Linotype" w:hAnsi="Palatino Linotype" w:cs="Palatino Linotype"/>
        </w:rPr>
        <w:t xml:space="preserve">, el </w:t>
      </w:r>
      <w:r w:rsidRPr="009D0A2F">
        <w:rPr>
          <w:rFonts w:ascii="Palatino Linotype" w:eastAsia="Palatino Linotype" w:hAnsi="Palatino Linotype" w:cs="Palatino Linotype"/>
          <w:b/>
        </w:rPr>
        <w:t xml:space="preserve">SUJETO OBLIGADO </w:t>
      </w:r>
      <w:r w:rsidRPr="009D0A2F">
        <w:rPr>
          <w:rFonts w:ascii="Palatino Linotype" w:eastAsia="Palatino Linotype" w:hAnsi="Palatino Linotype" w:cs="Palatino Linotype"/>
        </w:rPr>
        <w:t>rindió su informe justificado al tenor de lo siguiente:</w:t>
      </w:r>
    </w:p>
    <w:p w14:paraId="493D5DB8" w14:textId="77777777" w:rsidR="005F40AF" w:rsidRPr="009D0A2F" w:rsidRDefault="005F40A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2414A36" w14:textId="77777777" w:rsidR="005F40AF" w:rsidRPr="009D0A2F" w:rsidRDefault="007B2798">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Oficio de fecha diecinueve de marzo de dos mil veinticinco, signado por el Coordinador de Regulación Comercial, mediante el cual informa que, se ha sostenido el diálogo permanente con cada uno de los comerciantes que contaban con estructuras y cazos en banquetas. Se logró el retiro de la mayoría (con excepción de dos) que se colocaron dentro de las propiedades particulares, dejando libres las banquetas. A la fecha se cuenta con dos procedimientos legales al respecto en el primer cuadro municipal. Se implementaron patrullajes permanentes en dicho perímetro. La reubicación de comerciantes en la avenida Juárez y del primer cuadro han tenido una muy positiva aceptación en la ciudadanía, muestra de esto es el apoyo popular en redes sociales, las pláticas (vox </w:t>
      </w:r>
      <w:proofErr w:type="spellStart"/>
      <w:r w:rsidRPr="009D0A2F">
        <w:rPr>
          <w:rFonts w:ascii="Palatino Linotype" w:eastAsia="Palatino Linotype" w:hAnsi="Palatino Linotype" w:cs="Palatino Linotype"/>
        </w:rPr>
        <w:t>pupuli</w:t>
      </w:r>
      <w:proofErr w:type="spellEnd"/>
      <w:r w:rsidRPr="009D0A2F">
        <w:rPr>
          <w:rFonts w:ascii="Palatino Linotype" w:eastAsia="Palatino Linotype" w:hAnsi="Palatino Linotype" w:cs="Palatino Linotype"/>
        </w:rPr>
        <w:t>) de transeúntes y usuarios de la avenida Juárez y de la explanada municipal.</w:t>
      </w:r>
    </w:p>
    <w:p w14:paraId="2DC8E8D0" w14:textId="77777777" w:rsidR="005F40AF" w:rsidRPr="009D0A2F" w:rsidRDefault="005F40A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F983C52" w14:textId="77777777" w:rsidR="005F40AF" w:rsidRPr="009D0A2F" w:rsidRDefault="007B2798">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9D0A2F">
        <w:rPr>
          <w:rFonts w:ascii="Palatino Linotype" w:eastAsia="Palatino Linotype" w:hAnsi="Palatino Linotype" w:cs="Palatino Linotype"/>
        </w:rPr>
        <w:t xml:space="preserve">Documento que se hizo del conocimiento de la parte Recurrente en fecha </w:t>
      </w:r>
      <w:r w:rsidRPr="009D0A2F">
        <w:rPr>
          <w:rFonts w:ascii="Palatino Linotype" w:eastAsia="Palatino Linotype" w:hAnsi="Palatino Linotype" w:cs="Palatino Linotype"/>
          <w:b/>
        </w:rPr>
        <w:t xml:space="preserve">catorce de mayo de dos mil veinticinco. </w:t>
      </w:r>
    </w:p>
    <w:p w14:paraId="5E4ED793" w14:textId="77777777" w:rsidR="005F40AF" w:rsidRPr="009D0A2F" w:rsidRDefault="005F40AF">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11B10EAD" w14:textId="77777777" w:rsidR="005F40AF" w:rsidRPr="009D0A2F" w:rsidRDefault="007B279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La parte Recurrente fue omisa en rendir manifestaciones</w:t>
      </w:r>
    </w:p>
    <w:p w14:paraId="508CC861" w14:textId="77777777" w:rsidR="005F40AF" w:rsidRPr="009D0A2F" w:rsidRDefault="005F40AF">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43F020A8" w14:textId="77777777" w:rsidR="005F40AF" w:rsidRPr="009D0A2F" w:rsidRDefault="007B2798">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9D0A2F">
        <w:rPr>
          <w:rFonts w:ascii="Palatino Linotype" w:eastAsia="Palatino Linotype" w:hAnsi="Palatino Linotype" w:cs="Palatino Linotype"/>
          <w:b/>
        </w:rPr>
        <w:t>Amp</w:t>
      </w:r>
      <w:r w:rsidRPr="009D0A2F">
        <w:rPr>
          <w:rFonts w:ascii="Palatino Linotype" w:eastAsia="Palatino Linotype" w:hAnsi="Palatino Linotype" w:cs="Palatino Linotype"/>
        </w:rPr>
        <w:t>l</w:t>
      </w:r>
      <w:r w:rsidRPr="009D0A2F">
        <w:rPr>
          <w:rFonts w:ascii="Palatino Linotype" w:eastAsia="Palatino Linotype" w:hAnsi="Palatino Linotype" w:cs="Palatino Linotype"/>
          <w:b/>
        </w:rPr>
        <w:t>iación de plazo:</w:t>
      </w:r>
      <w:r w:rsidRPr="009D0A2F">
        <w:rPr>
          <w:rFonts w:ascii="Palatino Linotype" w:eastAsia="Palatino Linotype" w:hAnsi="Palatino Linotype" w:cs="Palatino Linotype"/>
        </w:rPr>
        <w:t xml:space="preserve"> El </w:t>
      </w:r>
      <w:r w:rsidRPr="009D0A2F">
        <w:rPr>
          <w:rFonts w:ascii="Palatino Linotype" w:eastAsia="Palatino Linotype" w:hAnsi="Palatino Linotype" w:cs="Palatino Linotype"/>
          <w:b/>
        </w:rPr>
        <w:t>quince de mayo de dos mil veinticinco</w:t>
      </w:r>
      <w:r w:rsidRPr="009D0A2F">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E21AAB0" w14:textId="77777777" w:rsidR="005F40AF" w:rsidRPr="009D0A2F" w:rsidRDefault="005F40AF">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1C9E2417" w14:textId="77777777" w:rsidR="005F40AF" w:rsidRPr="009D0A2F" w:rsidRDefault="007B2798">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D0A2F">
        <w:rPr>
          <w:rFonts w:ascii="Palatino Linotype" w:eastAsia="Palatino Linotype" w:hAnsi="Palatino Linotype" w:cs="Palatino Linotype"/>
          <w:b/>
        </w:rPr>
        <w:lastRenderedPageBreak/>
        <w:t>Cierre de instrucción</w:t>
      </w:r>
      <w:r w:rsidRPr="009D0A2F">
        <w:rPr>
          <w:rFonts w:ascii="Palatino Linotype" w:eastAsia="Palatino Linotype" w:hAnsi="Palatino Linotype" w:cs="Palatino Linotype"/>
        </w:rPr>
        <w:t xml:space="preserve">. En fecha </w:t>
      </w:r>
      <w:r w:rsidRPr="009D0A2F">
        <w:rPr>
          <w:rFonts w:ascii="Palatino Linotype" w:eastAsia="Palatino Linotype" w:hAnsi="Palatino Linotype" w:cs="Palatino Linotype"/>
          <w:b/>
        </w:rPr>
        <w:t>veinte de mayo de dos mil veinticinco</w:t>
      </w:r>
      <w:r w:rsidRPr="009D0A2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9DB4D76" w14:textId="77777777" w:rsidR="005F40AF" w:rsidRPr="009D0A2F" w:rsidRDefault="005F40A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37902A"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7A29578" w14:textId="77777777" w:rsidR="005F40AF" w:rsidRPr="009D0A2F" w:rsidRDefault="007B2798">
      <w:pPr>
        <w:spacing w:after="0" w:line="360" w:lineRule="auto"/>
        <w:ind w:right="49"/>
        <w:jc w:val="center"/>
        <w:rPr>
          <w:rFonts w:ascii="Palatino Linotype" w:eastAsia="Palatino Linotype" w:hAnsi="Palatino Linotype" w:cs="Palatino Linotype"/>
          <w:b/>
        </w:rPr>
      </w:pPr>
      <w:r w:rsidRPr="009D0A2F">
        <w:rPr>
          <w:rFonts w:ascii="Palatino Linotype" w:eastAsia="Palatino Linotype" w:hAnsi="Palatino Linotype" w:cs="Palatino Linotype"/>
          <w:b/>
        </w:rPr>
        <w:t>II.</w:t>
      </w:r>
      <w:r w:rsidRPr="009D0A2F">
        <w:rPr>
          <w:rFonts w:ascii="Palatino Linotype" w:eastAsia="Palatino Linotype" w:hAnsi="Palatino Linotype" w:cs="Palatino Linotype"/>
          <w:b/>
        </w:rPr>
        <w:tab/>
        <w:t>C O N S I D E R A N D O:</w:t>
      </w:r>
    </w:p>
    <w:p w14:paraId="034CD9F7" w14:textId="77777777" w:rsidR="005F40AF" w:rsidRPr="009D0A2F" w:rsidRDefault="005F40AF">
      <w:pPr>
        <w:spacing w:after="0" w:line="360" w:lineRule="auto"/>
        <w:ind w:right="49"/>
        <w:jc w:val="both"/>
        <w:rPr>
          <w:rFonts w:ascii="Palatino Linotype" w:eastAsia="Palatino Linotype" w:hAnsi="Palatino Linotype" w:cs="Palatino Linotype"/>
        </w:rPr>
      </w:pPr>
    </w:p>
    <w:p w14:paraId="36528324"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b/>
        </w:rPr>
        <w:t xml:space="preserve">Primero. Competencia. </w:t>
      </w:r>
      <w:r w:rsidRPr="009D0A2F">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67DCE94" w14:textId="77777777" w:rsidR="005F40AF" w:rsidRPr="009D0A2F" w:rsidRDefault="005F40AF">
      <w:pPr>
        <w:spacing w:after="0" w:line="360" w:lineRule="auto"/>
        <w:jc w:val="both"/>
        <w:rPr>
          <w:rFonts w:ascii="Palatino Linotype" w:eastAsia="Palatino Linotype" w:hAnsi="Palatino Linotype" w:cs="Palatino Linotype"/>
        </w:rPr>
      </w:pPr>
    </w:p>
    <w:p w14:paraId="736ACDB8"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b/>
        </w:rPr>
        <w:t>Segundo. Oportunidad y Procedibilidad del Recurso de Revisión</w:t>
      </w:r>
      <w:r w:rsidRPr="009D0A2F">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362F065" w14:textId="77777777" w:rsidR="005F40AF" w:rsidRPr="009D0A2F" w:rsidRDefault="005F40AF">
      <w:pPr>
        <w:spacing w:after="0" w:line="360" w:lineRule="auto"/>
        <w:jc w:val="both"/>
        <w:rPr>
          <w:rFonts w:ascii="Palatino Linotype" w:eastAsia="Palatino Linotype" w:hAnsi="Palatino Linotype" w:cs="Palatino Linotype"/>
        </w:rPr>
      </w:pPr>
    </w:p>
    <w:p w14:paraId="65AD49E6"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9D0A2F">
        <w:rPr>
          <w:rFonts w:ascii="Palatino Linotype" w:eastAsia="Palatino Linotype" w:hAnsi="Palatino Linotype" w:cs="Palatino Linotype"/>
          <w:b/>
        </w:rPr>
        <w:t>SUJETO OBLIGADO</w:t>
      </w:r>
      <w:r w:rsidRPr="009D0A2F">
        <w:rPr>
          <w:rFonts w:ascii="Palatino Linotype" w:eastAsia="Palatino Linotype" w:hAnsi="Palatino Linotype" w:cs="Palatino Linotype"/>
        </w:rPr>
        <w:t xml:space="preserve"> proporcionó su respuesta a la solicitud de información el </w:t>
      </w:r>
      <w:r w:rsidRPr="009D0A2F">
        <w:rPr>
          <w:rFonts w:ascii="Palatino Linotype" w:eastAsia="Palatino Linotype" w:hAnsi="Palatino Linotype" w:cs="Palatino Linotype"/>
          <w:b/>
        </w:rPr>
        <w:t>siete de marzo de dos mil veinticinco</w:t>
      </w:r>
      <w:r w:rsidRPr="009D0A2F">
        <w:rPr>
          <w:rFonts w:ascii="Palatino Linotype" w:eastAsia="Palatino Linotype" w:hAnsi="Palatino Linotype" w:cs="Palatino Linotype"/>
        </w:rPr>
        <w:t xml:space="preserve"> y la parte </w:t>
      </w:r>
      <w:r w:rsidRPr="009D0A2F">
        <w:rPr>
          <w:rFonts w:ascii="Palatino Linotype" w:eastAsia="Palatino Linotype" w:hAnsi="Palatino Linotype" w:cs="Palatino Linotype"/>
          <w:b/>
        </w:rPr>
        <w:t>RECURRENTE</w:t>
      </w:r>
      <w:r w:rsidRPr="009D0A2F">
        <w:rPr>
          <w:rFonts w:ascii="Palatino Linotype" w:eastAsia="Palatino Linotype" w:hAnsi="Palatino Linotype" w:cs="Palatino Linotype"/>
        </w:rPr>
        <w:t xml:space="preserve"> presentó su recurso de revisión el </w:t>
      </w:r>
      <w:r w:rsidRPr="009D0A2F">
        <w:rPr>
          <w:rFonts w:ascii="Palatino Linotype" w:eastAsia="Palatino Linotype" w:hAnsi="Palatino Linotype" w:cs="Palatino Linotype"/>
          <w:b/>
        </w:rPr>
        <w:t>diez de marzo de dos mil veinticinco</w:t>
      </w:r>
      <w:r w:rsidRPr="009D0A2F">
        <w:rPr>
          <w:rFonts w:ascii="Palatino Linotype" w:eastAsia="Palatino Linotype" w:hAnsi="Palatino Linotype" w:cs="Palatino Linotype"/>
        </w:rPr>
        <w:t xml:space="preserve">, esto es al siguiente día hábil en que tuvo conocimiento de la respuesta. </w:t>
      </w:r>
    </w:p>
    <w:p w14:paraId="43F8FC62" w14:textId="77777777" w:rsidR="005F40AF" w:rsidRPr="009D0A2F" w:rsidRDefault="005F40AF">
      <w:pPr>
        <w:spacing w:after="0" w:line="360" w:lineRule="auto"/>
        <w:ind w:right="49"/>
        <w:jc w:val="both"/>
        <w:rPr>
          <w:rFonts w:ascii="Palatino Linotype" w:eastAsia="Palatino Linotype" w:hAnsi="Palatino Linotype" w:cs="Palatino Linotype"/>
        </w:rPr>
      </w:pPr>
    </w:p>
    <w:p w14:paraId="41F710CC"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E4C29BE" w14:textId="77777777" w:rsidR="005F40AF" w:rsidRPr="009D0A2F" w:rsidRDefault="005F40AF">
      <w:pPr>
        <w:spacing w:after="0" w:line="360" w:lineRule="auto"/>
        <w:ind w:left="426"/>
        <w:jc w:val="both"/>
        <w:rPr>
          <w:rFonts w:ascii="Palatino Linotype" w:eastAsia="Palatino Linotype" w:hAnsi="Palatino Linotype" w:cs="Palatino Linotype"/>
        </w:rPr>
      </w:pPr>
    </w:p>
    <w:p w14:paraId="0AEA2A61"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I de la ley de la materia, que a la letra dice:</w:t>
      </w:r>
    </w:p>
    <w:p w14:paraId="5468823C" w14:textId="77777777" w:rsidR="005F40AF" w:rsidRPr="009D0A2F" w:rsidRDefault="005F40AF">
      <w:pPr>
        <w:spacing w:after="0" w:line="360" w:lineRule="auto"/>
        <w:jc w:val="both"/>
        <w:rPr>
          <w:rFonts w:ascii="Palatino Linotype" w:eastAsia="Palatino Linotype" w:hAnsi="Palatino Linotype" w:cs="Palatino Linotype"/>
        </w:rPr>
      </w:pPr>
    </w:p>
    <w:p w14:paraId="48591E13"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r w:rsidRPr="009D0A2F">
        <w:rPr>
          <w:rFonts w:ascii="Palatino Linotype" w:eastAsia="Palatino Linotype" w:hAnsi="Palatino Linotype" w:cs="Palatino Linotype"/>
          <w:b/>
          <w:i/>
        </w:rPr>
        <w:t xml:space="preserve">Artículo 179. </w:t>
      </w:r>
      <w:r w:rsidRPr="009D0A2F">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1DE3966C"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p>
    <w:p w14:paraId="3F0E66B4"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 La negativa de entrega de la información;</w:t>
      </w:r>
    </w:p>
    <w:p w14:paraId="2686ED72" w14:textId="77777777" w:rsidR="005F40AF" w:rsidRPr="009D0A2F" w:rsidRDefault="007B2798">
      <w:pPr>
        <w:spacing w:after="0" w:line="360" w:lineRule="auto"/>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 </w:t>
      </w:r>
    </w:p>
    <w:p w14:paraId="214FF107" w14:textId="77777777" w:rsidR="005F40AF" w:rsidRPr="009D0A2F" w:rsidRDefault="005F40AF">
      <w:pPr>
        <w:spacing w:after="0" w:line="360" w:lineRule="auto"/>
        <w:jc w:val="both"/>
        <w:rPr>
          <w:rFonts w:ascii="Palatino Linotype" w:eastAsia="Palatino Linotype" w:hAnsi="Palatino Linotype" w:cs="Palatino Linotype"/>
          <w:b/>
        </w:rPr>
      </w:pPr>
    </w:p>
    <w:p w14:paraId="12DE5F61"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b/>
        </w:rPr>
        <w:t>Tercero. Materia de Revisión</w:t>
      </w:r>
      <w:r w:rsidRPr="009D0A2F">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77FDCACD"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b/>
        </w:rPr>
        <w:lastRenderedPageBreak/>
        <w:t>Cuarto.</w:t>
      </w:r>
      <w:r w:rsidRPr="009D0A2F">
        <w:rPr>
          <w:rFonts w:ascii="Palatino Linotype" w:eastAsia="Palatino Linotype" w:hAnsi="Palatino Linotype" w:cs="Palatino Linotype"/>
        </w:rPr>
        <w:t xml:space="preserve"> </w:t>
      </w:r>
      <w:r w:rsidRPr="009D0A2F">
        <w:rPr>
          <w:rFonts w:ascii="Palatino Linotype" w:eastAsia="Palatino Linotype" w:hAnsi="Palatino Linotype" w:cs="Palatino Linotype"/>
          <w:b/>
        </w:rPr>
        <w:t>Estudio de fondo del asunto.</w:t>
      </w:r>
      <w:r w:rsidRPr="009D0A2F">
        <w:rPr>
          <w:rFonts w:ascii="Palatino Linotype" w:eastAsia="Palatino Linotype" w:hAnsi="Palatino Linotype" w:cs="Palatino Linotype"/>
        </w:rPr>
        <w:t xml:space="preserve">  Es conveniente analizar si la respuesta del Sujeto Obligado</w:t>
      </w:r>
      <w:r w:rsidRPr="009D0A2F">
        <w:rPr>
          <w:rFonts w:ascii="Palatino Linotype" w:eastAsia="Palatino Linotype" w:hAnsi="Palatino Linotype" w:cs="Palatino Linotype"/>
          <w:b/>
        </w:rPr>
        <w:t xml:space="preserve"> </w:t>
      </w:r>
      <w:r w:rsidRPr="009D0A2F">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E5A0E03" w14:textId="77777777" w:rsidR="005F40AF" w:rsidRPr="009D0A2F" w:rsidRDefault="005F40AF">
      <w:pPr>
        <w:spacing w:after="0" w:line="360" w:lineRule="auto"/>
        <w:ind w:right="49"/>
        <w:jc w:val="both"/>
        <w:rPr>
          <w:rFonts w:ascii="Palatino Linotype" w:eastAsia="Palatino Linotype" w:hAnsi="Palatino Linotype" w:cs="Palatino Linotype"/>
        </w:rPr>
      </w:pPr>
    </w:p>
    <w:p w14:paraId="3FD86687" w14:textId="77777777" w:rsidR="005F40AF" w:rsidRPr="009D0A2F" w:rsidRDefault="007B2798">
      <w:pPr>
        <w:tabs>
          <w:tab w:val="left" w:pos="851"/>
        </w:tabs>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r w:rsidRPr="009D0A2F">
        <w:rPr>
          <w:rFonts w:ascii="Palatino Linotype" w:eastAsia="Palatino Linotype" w:hAnsi="Palatino Linotype" w:cs="Palatino Linotype"/>
          <w:b/>
          <w:i/>
        </w:rPr>
        <w:t>Artículo 4</w:t>
      </w:r>
      <w:r w:rsidRPr="009D0A2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BE20FEC" w14:textId="77777777" w:rsidR="005F40AF" w:rsidRPr="009D0A2F" w:rsidRDefault="007B2798">
      <w:pPr>
        <w:tabs>
          <w:tab w:val="left" w:pos="851"/>
        </w:tabs>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D0A2F">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A89CA7E" w14:textId="77777777" w:rsidR="005F40AF" w:rsidRPr="009D0A2F" w:rsidRDefault="007B2798">
      <w:pPr>
        <w:tabs>
          <w:tab w:val="left" w:pos="851"/>
        </w:tabs>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D0A2F">
        <w:rPr>
          <w:rFonts w:ascii="Palatino Linotype" w:eastAsia="Palatino Linotype" w:hAnsi="Palatino Linotype" w:cs="Palatino Linotype"/>
          <w:i/>
        </w:rPr>
        <w:t>.”</w:t>
      </w:r>
    </w:p>
    <w:p w14:paraId="732A240E" w14:textId="77777777" w:rsidR="005F40AF" w:rsidRPr="009D0A2F" w:rsidRDefault="005F40AF">
      <w:pPr>
        <w:spacing w:after="0" w:line="360" w:lineRule="auto"/>
        <w:jc w:val="both"/>
        <w:rPr>
          <w:rFonts w:ascii="Palatino Linotype" w:eastAsia="Palatino Linotype" w:hAnsi="Palatino Linotype" w:cs="Palatino Linotype"/>
        </w:rPr>
      </w:pPr>
    </w:p>
    <w:p w14:paraId="32B61696"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9D0A2F">
        <w:rPr>
          <w:rFonts w:ascii="Palatino Linotype" w:eastAsia="Palatino Linotype" w:hAnsi="Palatino Linotype" w:cs="Palatino Linotype"/>
        </w:rPr>
        <w:lastRenderedPageBreak/>
        <w:t>establece el artículo 12 de la Ley de Transparencia y Acceso a la Información Pública del Estado de México y Municipios, que a la letra dice:</w:t>
      </w:r>
    </w:p>
    <w:p w14:paraId="0E8D48BE" w14:textId="77777777" w:rsidR="005F40AF" w:rsidRPr="009D0A2F" w:rsidRDefault="005F40AF">
      <w:pPr>
        <w:spacing w:after="0" w:line="360" w:lineRule="auto"/>
        <w:jc w:val="both"/>
        <w:rPr>
          <w:rFonts w:ascii="Palatino Linotype" w:eastAsia="Palatino Linotype" w:hAnsi="Palatino Linotype" w:cs="Palatino Linotype"/>
        </w:rPr>
      </w:pPr>
    </w:p>
    <w:p w14:paraId="5D2C691A"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r w:rsidRPr="009D0A2F">
        <w:rPr>
          <w:rFonts w:ascii="Palatino Linotype" w:eastAsia="Palatino Linotype" w:hAnsi="Palatino Linotype" w:cs="Palatino Linotype"/>
          <w:b/>
          <w:i/>
        </w:rPr>
        <w:t>Artículo 12.-</w:t>
      </w:r>
      <w:r w:rsidRPr="009D0A2F">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BC9009C" w14:textId="77777777" w:rsidR="005F40AF" w:rsidRPr="009D0A2F" w:rsidRDefault="005F40AF">
      <w:pPr>
        <w:spacing w:after="0"/>
        <w:ind w:left="567" w:right="616"/>
        <w:jc w:val="both"/>
        <w:rPr>
          <w:rFonts w:ascii="Palatino Linotype" w:eastAsia="Palatino Linotype" w:hAnsi="Palatino Linotype" w:cs="Palatino Linotype"/>
          <w:i/>
        </w:rPr>
      </w:pPr>
    </w:p>
    <w:p w14:paraId="3929254F"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D0A2F">
        <w:rPr>
          <w:rFonts w:ascii="Palatino Linotype" w:eastAsia="Palatino Linotype" w:hAnsi="Palatino Linotype" w:cs="Palatino Linotype"/>
          <w:i/>
        </w:rPr>
        <w:t xml:space="preserve">. </w:t>
      </w:r>
      <w:r w:rsidRPr="009D0A2F">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9D0A2F">
        <w:rPr>
          <w:rFonts w:ascii="Palatino Linotype" w:eastAsia="Palatino Linotype" w:hAnsi="Palatino Linotype" w:cs="Palatino Linotype"/>
          <w:i/>
        </w:rPr>
        <w:t xml:space="preserve">.” </w:t>
      </w:r>
    </w:p>
    <w:p w14:paraId="7A8909DC" w14:textId="77777777" w:rsidR="005F40AF" w:rsidRPr="009D0A2F" w:rsidRDefault="005F40AF">
      <w:pPr>
        <w:spacing w:after="0"/>
        <w:ind w:left="567" w:right="616"/>
        <w:jc w:val="both"/>
        <w:rPr>
          <w:rFonts w:ascii="Palatino Linotype" w:eastAsia="Palatino Linotype" w:hAnsi="Palatino Linotype" w:cs="Palatino Linotype"/>
          <w:i/>
        </w:rPr>
      </w:pPr>
    </w:p>
    <w:p w14:paraId="764C25AB" w14:textId="77777777" w:rsidR="005F40AF" w:rsidRPr="009D0A2F" w:rsidRDefault="007B2798">
      <w:pPr>
        <w:spacing w:after="0" w:line="360" w:lineRule="auto"/>
        <w:ind w:right="-93"/>
        <w:jc w:val="both"/>
        <w:rPr>
          <w:rFonts w:ascii="Palatino Linotype" w:eastAsia="Palatino Linotype" w:hAnsi="Palatino Linotype" w:cs="Palatino Linotype"/>
        </w:rPr>
      </w:pPr>
      <w:r w:rsidRPr="009D0A2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24E0EED" w14:textId="77777777" w:rsidR="005F40AF" w:rsidRPr="009D0A2F" w:rsidRDefault="005F40AF">
      <w:pPr>
        <w:spacing w:after="0" w:line="360" w:lineRule="auto"/>
        <w:ind w:right="-93"/>
        <w:jc w:val="both"/>
        <w:rPr>
          <w:rFonts w:ascii="Palatino Linotype" w:eastAsia="Palatino Linotype" w:hAnsi="Palatino Linotype" w:cs="Palatino Linotype"/>
        </w:rPr>
      </w:pPr>
    </w:p>
    <w:p w14:paraId="679F7309" w14:textId="77777777" w:rsidR="005F40AF" w:rsidRPr="009D0A2F" w:rsidRDefault="007B2798">
      <w:pPr>
        <w:spacing w:after="0" w:line="360" w:lineRule="auto"/>
        <w:jc w:val="both"/>
        <w:rPr>
          <w:rFonts w:ascii="Palatino Linotype" w:eastAsia="Palatino Linotype" w:hAnsi="Palatino Linotype" w:cs="Palatino Linotype"/>
          <w:b/>
        </w:rPr>
      </w:pPr>
      <w:r w:rsidRPr="009D0A2F">
        <w:rPr>
          <w:rFonts w:ascii="Palatino Linotype" w:eastAsia="Palatino Linotype" w:hAnsi="Palatino Linotype" w:cs="Palatino Linotype"/>
        </w:rPr>
        <w:t>Sirve de apoyo a lo anterior, el criterio 03-17, expuesto por el entonces Instituto Nacional de Transparencia, Acceso a la Información y Protección de Datos Personales, que dice:</w:t>
      </w:r>
      <w:r w:rsidRPr="009D0A2F">
        <w:rPr>
          <w:rFonts w:ascii="Palatino Linotype" w:eastAsia="Palatino Linotype" w:hAnsi="Palatino Linotype" w:cs="Palatino Linotype"/>
          <w:b/>
        </w:rPr>
        <w:t xml:space="preserve"> </w:t>
      </w:r>
    </w:p>
    <w:p w14:paraId="6B0D1169" w14:textId="77777777" w:rsidR="005F40AF" w:rsidRPr="009D0A2F" w:rsidRDefault="005F40AF">
      <w:pPr>
        <w:spacing w:after="0"/>
        <w:ind w:left="851" w:right="850"/>
        <w:jc w:val="both"/>
        <w:rPr>
          <w:rFonts w:ascii="Palatino Linotype" w:eastAsia="Palatino Linotype" w:hAnsi="Palatino Linotype" w:cs="Palatino Linotype"/>
        </w:rPr>
      </w:pPr>
    </w:p>
    <w:p w14:paraId="6F61CD9F"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r w:rsidRPr="009D0A2F">
        <w:rPr>
          <w:rFonts w:ascii="Palatino Linotype" w:eastAsia="Palatino Linotype" w:hAnsi="Palatino Linotype" w:cs="Palatino Linotype"/>
          <w:b/>
          <w:i/>
        </w:rPr>
        <w:t>No existe obligación de elaborar documentos ad hoc para atender las solicitudes de acceso a la información.</w:t>
      </w:r>
      <w:r w:rsidRPr="009D0A2F">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w:t>
      </w:r>
      <w:r w:rsidRPr="009D0A2F">
        <w:rPr>
          <w:rFonts w:ascii="Palatino Linotype" w:eastAsia="Palatino Linotype" w:hAnsi="Palatino Linotype" w:cs="Palatino Linotype"/>
          <w:i/>
        </w:rPr>
        <w:lastRenderedPageBreak/>
        <w:t xml:space="preserve">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61A3CEF" w14:textId="77777777" w:rsidR="005F40AF" w:rsidRPr="009D0A2F" w:rsidRDefault="005F40AF">
      <w:pPr>
        <w:spacing w:after="0"/>
        <w:ind w:left="567" w:right="616"/>
        <w:jc w:val="both"/>
        <w:rPr>
          <w:rFonts w:ascii="Palatino Linotype" w:eastAsia="Palatino Linotype" w:hAnsi="Palatino Linotype" w:cs="Palatino Linotype"/>
          <w:i/>
        </w:rPr>
      </w:pPr>
    </w:p>
    <w:p w14:paraId="07A04D28"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BBCB114" w14:textId="77777777" w:rsidR="005F40AF" w:rsidRPr="009D0A2F" w:rsidRDefault="005F40AF">
      <w:pPr>
        <w:spacing w:after="0" w:line="360" w:lineRule="auto"/>
        <w:jc w:val="both"/>
        <w:rPr>
          <w:rFonts w:ascii="Palatino Linotype" w:eastAsia="Palatino Linotype" w:hAnsi="Palatino Linotype" w:cs="Palatino Linotype"/>
        </w:rPr>
      </w:pPr>
    </w:p>
    <w:p w14:paraId="00E212ED"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FCCC96" w14:textId="77777777" w:rsidR="005F40AF" w:rsidRPr="009D0A2F" w:rsidRDefault="005F40AF">
      <w:pPr>
        <w:spacing w:after="0" w:line="360" w:lineRule="auto"/>
        <w:ind w:right="49"/>
        <w:jc w:val="both"/>
        <w:rPr>
          <w:rFonts w:ascii="Palatino Linotype" w:eastAsia="Palatino Linotype" w:hAnsi="Palatino Linotype" w:cs="Palatino Linotype"/>
        </w:rPr>
      </w:pPr>
    </w:p>
    <w:p w14:paraId="2C418311"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84DE9D5" w14:textId="77777777" w:rsidR="005F40AF" w:rsidRPr="009D0A2F" w:rsidRDefault="005F40AF">
      <w:pPr>
        <w:spacing w:after="0" w:line="360" w:lineRule="auto"/>
        <w:jc w:val="both"/>
        <w:rPr>
          <w:rFonts w:ascii="Palatino Linotype" w:eastAsia="Palatino Linotype" w:hAnsi="Palatino Linotype" w:cs="Palatino Linotype"/>
        </w:rPr>
      </w:pPr>
    </w:p>
    <w:p w14:paraId="1010753C"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lastRenderedPageBreak/>
        <w:t>“</w:t>
      </w:r>
      <w:r w:rsidRPr="009D0A2F">
        <w:rPr>
          <w:rFonts w:ascii="Palatino Linotype" w:eastAsia="Palatino Linotype" w:hAnsi="Palatino Linotype" w:cs="Palatino Linotype"/>
          <w:b/>
          <w:i/>
        </w:rPr>
        <w:t xml:space="preserve">Artículo 3. </w:t>
      </w:r>
      <w:r w:rsidRPr="009D0A2F">
        <w:rPr>
          <w:rFonts w:ascii="Palatino Linotype" w:eastAsia="Palatino Linotype" w:hAnsi="Palatino Linotype" w:cs="Palatino Linotype"/>
          <w:i/>
        </w:rPr>
        <w:t>Para los efectos de la presente Ley se entenderá por:</w:t>
      </w:r>
    </w:p>
    <w:p w14:paraId="626E4501"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p>
    <w:p w14:paraId="3B5A18C5"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XI. Documento:</w:t>
      </w:r>
      <w:r w:rsidRPr="009D0A2F">
        <w:rPr>
          <w:rFonts w:ascii="Palatino Linotype" w:eastAsia="Palatino Linotype" w:hAnsi="Palatino Linotype" w:cs="Palatino Linotype"/>
          <w:i/>
        </w:rPr>
        <w:t xml:space="preserve"> Los expedientes, reportes, estudios, actas</w:t>
      </w:r>
      <w:r w:rsidRPr="009D0A2F">
        <w:rPr>
          <w:rFonts w:ascii="Palatino Linotype" w:eastAsia="Palatino Linotype" w:hAnsi="Palatino Linotype" w:cs="Palatino Linotype"/>
          <w:b/>
          <w:i/>
        </w:rPr>
        <w:t>,</w:t>
      </w:r>
      <w:r w:rsidRPr="009D0A2F">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A751C81" w14:textId="77777777" w:rsidR="005F40AF" w:rsidRPr="009D0A2F" w:rsidRDefault="005F40AF">
      <w:pPr>
        <w:spacing w:after="0" w:line="360" w:lineRule="auto"/>
        <w:ind w:left="851" w:right="899"/>
        <w:jc w:val="both"/>
        <w:rPr>
          <w:rFonts w:ascii="Palatino Linotype" w:eastAsia="Palatino Linotype" w:hAnsi="Palatino Linotype" w:cs="Palatino Linotype"/>
        </w:rPr>
      </w:pPr>
    </w:p>
    <w:p w14:paraId="49D339A9"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757D618" w14:textId="77777777" w:rsidR="005F40AF" w:rsidRPr="009D0A2F" w:rsidRDefault="005F40AF">
      <w:pPr>
        <w:spacing w:after="0" w:line="360" w:lineRule="auto"/>
        <w:ind w:left="851" w:right="899"/>
        <w:jc w:val="both"/>
        <w:rPr>
          <w:rFonts w:ascii="Palatino Linotype" w:eastAsia="Palatino Linotype" w:hAnsi="Palatino Linotype" w:cs="Palatino Linotype"/>
        </w:rPr>
      </w:pPr>
    </w:p>
    <w:p w14:paraId="0FBD3E6C" w14:textId="77777777" w:rsidR="005F40AF" w:rsidRPr="009D0A2F" w:rsidRDefault="007B2798">
      <w:pPr>
        <w:tabs>
          <w:tab w:val="left" w:pos="7797"/>
        </w:tabs>
        <w:spacing w:after="0"/>
        <w:ind w:left="709" w:right="616"/>
        <w:jc w:val="both"/>
        <w:rPr>
          <w:rFonts w:ascii="Palatino Linotype" w:eastAsia="Palatino Linotype" w:hAnsi="Palatino Linotype" w:cs="Palatino Linotype"/>
          <w:b/>
          <w:i/>
        </w:rPr>
      </w:pPr>
      <w:r w:rsidRPr="009D0A2F">
        <w:rPr>
          <w:rFonts w:ascii="Palatino Linotype" w:eastAsia="Palatino Linotype" w:hAnsi="Palatino Linotype" w:cs="Palatino Linotype"/>
          <w:b/>
        </w:rPr>
        <w:t>“</w:t>
      </w:r>
      <w:r w:rsidRPr="009D0A2F">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D0A2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A1077B2" w14:textId="77777777" w:rsidR="005F40AF" w:rsidRPr="009D0A2F" w:rsidRDefault="007B2798">
      <w:pPr>
        <w:tabs>
          <w:tab w:val="left" w:pos="7797"/>
        </w:tabs>
        <w:spacing w:after="0"/>
        <w:ind w:left="709"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En consecuencia el acceso a la información se refiere a que se cumplan cualquiera de los siguientes tres supuestos:</w:t>
      </w:r>
    </w:p>
    <w:p w14:paraId="14CCC5ED" w14:textId="77777777" w:rsidR="005F40AF" w:rsidRPr="009D0A2F" w:rsidRDefault="007B2798">
      <w:pPr>
        <w:tabs>
          <w:tab w:val="left" w:pos="7797"/>
        </w:tabs>
        <w:spacing w:after="0"/>
        <w:ind w:left="709"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ED1DBE9" w14:textId="77777777" w:rsidR="005F40AF" w:rsidRPr="009D0A2F" w:rsidRDefault="007B2798">
      <w:pPr>
        <w:tabs>
          <w:tab w:val="left" w:pos="7797"/>
        </w:tabs>
        <w:spacing w:after="0"/>
        <w:ind w:left="709" w:right="616"/>
        <w:jc w:val="both"/>
        <w:rPr>
          <w:rFonts w:ascii="Palatino Linotype" w:eastAsia="Palatino Linotype" w:hAnsi="Palatino Linotype" w:cs="Palatino Linotype"/>
          <w:b/>
          <w:i/>
        </w:rPr>
      </w:pPr>
      <w:r w:rsidRPr="009D0A2F">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3EE1FB6" w14:textId="77777777" w:rsidR="005F40AF" w:rsidRPr="009D0A2F" w:rsidRDefault="007B2798">
      <w:pPr>
        <w:tabs>
          <w:tab w:val="left" w:pos="7797"/>
        </w:tabs>
        <w:spacing w:after="0"/>
        <w:ind w:left="709" w:right="616"/>
        <w:jc w:val="both"/>
        <w:rPr>
          <w:rFonts w:ascii="Palatino Linotype" w:eastAsia="Palatino Linotype" w:hAnsi="Palatino Linotype" w:cs="Palatino Linotype"/>
          <w:b/>
          <w:i/>
        </w:rPr>
      </w:pPr>
      <w:r w:rsidRPr="009D0A2F">
        <w:rPr>
          <w:rFonts w:ascii="Palatino Linotype" w:eastAsia="Palatino Linotype" w:hAnsi="Palatino Linotype" w:cs="Palatino Linotype"/>
          <w:b/>
          <w:i/>
        </w:rPr>
        <w:lastRenderedPageBreak/>
        <w:t xml:space="preserve">3) Que se trate de información registrada en cualquier soporte documental, que en ejercicio de las atribuciones conferidas, se encuentre en posesión de los Sujetos Obligados.” </w:t>
      </w:r>
    </w:p>
    <w:p w14:paraId="01434716" w14:textId="77777777" w:rsidR="005F40AF" w:rsidRPr="009D0A2F" w:rsidRDefault="005F40AF">
      <w:pPr>
        <w:spacing w:after="0" w:line="360" w:lineRule="auto"/>
        <w:jc w:val="both"/>
        <w:rPr>
          <w:rFonts w:ascii="Palatino Linotype" w:eastAsia="Palatino Linotype" w:hAnsi="Palatino Linotype" w:cs="Palatino Linotype"/>
        </w:rPr>
      </w:pPr>
    </w:p>
    <w:p w14:paraId="0D0AD2CA"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Dicho lo anterior, es de recordar lo que obra en el expediente electrónico, para ello, se realizó un cuadro de análisis, tal como se advierte a continuación:</w:t>
      </w:r>
    </w:p>
    <w:p w14:paraId="734540E9" w14:textId="77777777" w:rsidR="005F40AF" w:rsidRPr="009D0A2F" w:rsidRDefault="005F40AF">
      <w:pPr>
        <w:spacing w:after="0" w:line="360" w:lineRule="auto"/>
        <w:jc w:val="both"/>
        <w:rPr>
          <w:rFonts w:ascii="Palatino Linotype" w:eastAsia="Palatino Linotype" w:hAnsi="Palatino Linotype" w:cs="Palatino Linotype"/>
        </w:rPr>
      </w:pPr>
    </w:p>
    <w:tbl>
      <w:tblPr>
        <w:tblStyle w:val="aa"/>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
        <w:gridCol w:w="2140"/>
        <w:gridCol w:w="2298"/>
        <w:gridCol w:w="2304"/>
        <w:gridCol w:w="2090"/>
      </w:tblGrid>
      <w:tr w:rsidR="00D04B11" w:rsidRPr="009D0A2F" w14:paraId="09482952" w14:textId="77777777">
        <w:tc>
          <w:tcPr>
            <w:tcW w:w="377" w:type="dxa"/>
            <w:tcBorders>
              <w:top w:val="nil"/>
              <w:left w:val="nil"/>
            </w:tcBorders>
          </w:tcPr>
          <w:p w14:paraId="42D81275" w14:textId="77777777" w:rsidR="005F40AF" w:rsidRPr="009D0A2F" w:rsidRDefault="005F40AF">
            <w:pPr>
              <w:rPr>
                <w:rFonts w:ascii="Palatino Linotype" w:eastAsia="Palatino Linotype" w:hAnsi="Palatino Linotype" w:cs="Palatino Linotype"/>
                <w:sz w:val="20"/>
                <w:szCs w:val="20"/>
              </w:rPr>
            </w:pPr>
          </w:p>
        </w:tc>
        <w:tc>
          <w:tcPr>
            <w:tcW w:w="2140" w:type="dxa"/>
            <w:shd w:val="clear" w:color="auto" w:fill="E7E6E6"/>
          </w:tcPr>
          <w:p w14:paraId="7648F2A2" w14:textId="77777777" w:rsidR="005F40AF" w:rsidRPr="009D0A2F" w:rsidRDefault="007B2798">
            <w:pPr>
              <w:jc w:val="center"/>
              <w:rPr>
                <w:rFonts w:ascii="Palatino Linotype" w:eastAsia="Palatino Linotype" w:hAnsi="Palatino Linotype" w:cs="Palatino Linotype"/>
                <w:b/>
                <w:sz w:val="20"/>
                <w:szCs w:val="20"/>
              </w:rPr>
            </w:pPr>
            <w:r w:rsidRPr="009D0A2F">
              <w:rPr>
                <w:rFonts w:ascii="Palatino Linotype" w:eastAsia="Palatino Linotype" w:hAnsi="Palatino Linotype" w:cs="Palatino Linotype"/>
                <w:b/>
                <w:sz w:val="20"/>
                <w:szCs w:val="20"/>
              </w:rPr>
              <w:t>Requerimiento</w:t>
            </w:r>
          </w:p>
        </w:tc>
        <w:tc>
          <w:tcPr>
            <w:tcW w:w="2298" w:type="dxa"/>
            <w:shd w:val="clear" w:color="auto" w:fill="E7E6E6"/>
          </w:tcPr>
          <w:p w14:paraId="679132C6" w14:textId="77777777" w:rsidR="005F40AF" w:rsidRPr="009D0A2F" w:rsidRDefault="007B2798">
            <w:pPr>
              <w:jc w:val="center"/>
              <w:rPr>
                <w:rFonts w:ascii="Palatino Linotype" w:eastAsia="Palatino Linotype" w:hAnsi="Palatino Linotype" w:cs="Palatino Linotype"/>
                <w:b/>
                <w:sz w:val="20"/>
                <w:szCs w:val="20"/>
              </w:rPr>
            </w:pPr>
            <w:r w:rsidRPr="009D0A2F">
              <w:rPr>
                <w:rFonts w:ascii="Palatino Linotype" w:eastAsia="Palatino Linotype" w:hAnsi="Palatino Linotype" w:cs="Palatino Linotype"/>
                <w:b/>
                <w:sz w:val="20"/>
                <w:szCs w:val="20"/>
              </w:rPr>
              <w:t>Respuesta</w:t>
            </w:r>
          </w:p>
        </w:tc>
        <w:tc>
          <w:tcPr>
            <w:tcW w:w="2304" w:type="dxa"/>
            <w:shd w:val="clear" w:color="auto" w:fill="E7E6E6"/>
          </w:tcPr>
          <w:p w14:paraId="4855D4EF" w14:textId="77777777" w:rsidR="005F40AF" w:rsidRPr="009D0A2F" w:rsidRDefault="007B2798">
            <w:pPr>
              <w:jc w:val="center"/>
              <w:rPr>
                <w:rFonts w:ascii="Palatino Linotype" w:eastAsia="Palatino Linotype" w:hAnsi="Palatino Linotype" w:cs="Palatino Linotype"/>
                <w:b/>
                <w:sz w:val="20"/>
                <w:szCs w:val="20"/>
              </w:rPr>
            </w:pPr>
            <w:r w:rsidRPr="009D0A2F">
              <w:rPr>
                <w:rFonts w:ascii="Palatino Linotype" w:eastAsia="Palatino Linotype" w:hAnsi="Palatino Linotype" w:cs="Palatino Linotype"/>
                <w:b/>
                <w:sz w:val="20"/>
                <w:szCs w:val="20"/>
              </w:rPr>
              <w:t>Informe Justificado</w:t>
            </w:r>
          </w:p>
        </w:tc>
        <w:tc>
          <w:tcPr>
            <w:tcW w:w="2090" w:type="dxa"/>
            <w:shd w:val="clear" w:color="auto" w:fill="E7E6E6"/>
          </w:tcPr>
          <w:p w14:paraId="1FD6AA18" w14:textId="77777777" w:rsidR="005F40AF" w:rsidRPr="009D0A2F" w:rsidRDefault="007B2798">
            <w:pPr>
              <w:jc w:val="center"/>
              <w:rPr>
                <w:rFonts w:ascii="Palatino Linotype" w:eastAsia="Palatino Linotype" w:hAnsi="Palatino Linotype" w:cs="Palatino Linotype"/>
                <w:b/>
                <w:sz w:val="20"/>
                <w:szCs w:val="20"/>
              </w:rPr>
            </w:pPr>
            <w:r w:rsidRPr="009D0A2F">
              <w:rPr>
                <w:rFonts w:ascii="Palatino Linotype" w:eastAsia="Palatino Linotype" w:hAnsi="Palatino Linotype" w:cs="Palatino Linotype"/>
                <w:b/>
                <w:sz w:val="20"/>
                <w:szCs w:val="20"/>
              </w:rPr>
              <w:t>Observaciones</w:t>
            </w:r>
          </w:p>
        </w:tc>
      </w:tr>
      <w:tr w:rsidR="00D04B11" w:rsidRPr="009D0A2F" w14:paraId="189ACC37" w14:textId="77777777">
        <w:tc>
          <w:tcPr>
            <w:tcW w:w="377" w:type="dxa"/>
            <w:shd w:val="clear" w:color="auto" w:fill="E7E6E6"/>
          </w:tcPr>
          <w:p w14:paraId="3065F705" w14:textId="77777777" w:rsidR="005F40AF" w:rsidRPr="009D0A2F" w:rsidRDefault="007B2798">
            <w:pPr>
              <w:rPr>
                <w:rFonts w:ascii="Palatino Linotype" w:eastAsia="Palatino Linotype" w:hAnsi="Palatino Linotype" w:cs="Palatino Linotype"/>
                <w:b/>
                <w:sz w:val="20"/>
                <w:szCs w:val="20"/>
              </w:rPr>
            </w:pPr>
            <w:r w:rsidRPr="009D0A2F">
              <w:rPr>
                <w:rFonts w:ascii="Palatino Linotype" w:eastAsia="Palatino Linotype" w:hAnsi="Palatino Linotype" w:cs="Palatino Linotype"/>
                <w:b/>
                <w:sz w:val="20"/>
                <w:szCs w:val="20"/>
              </w:rPr>
              <w:t>1</w:t>
            </w:r>
          </w:p>
          <w:p w14:paraId="52C2588D" w14:textId="77777777" w:rsidR="005F40AF" w:rsidRPr="009D0A2F" w:rsidRDefault="005F40AF">
            <w:pPr>
              <w:rPr>
                <w:rFonts w:ascii="Palatino Linotype" w:eastAsia="Palatino Linotype" w:hAnsi="Palatino Linotype" w:cs="Palatino Linotype"/>
                <w:b/>
                <w:sz w:val="20"/>
                <w:szCs w:val="20"/>
              </w:rPr>
            </w:pPr>
          </w:p>
        </w:tc>
        <w:tc>
          <w:tcPr>
            <w:tcW w:w="2140" w:type="dxa"/>
          </w:tcPr>
          <w:p w14:paraId="04CBFBFB"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¿Qué acciones ha realizado el Ayuntamiento para dar seguimiento al retiro de estructuras y cazos en banquetas y avenidas anunciado recientemente? o ¿Se han realizado inspecciones para verificar el cumplimiento de esta medida?</w:t>
            </w:r>
          </w:p>
        </w:tc>
        <w:tc>
          <w:tcPr>
            <w:tcW w:w="2298" w:type="dxa"/>
          </w:tcPr>
          <w:p w14:paraId="208E8F19"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En la primera semana de enero del 2025, se implementó parte del Programa de Reordenamiento Comercial. Se liberó la explanada municipal y la Ave. Juárez con excepciones que se encuentran en proceso legal; motivo por el cual se reserva la información hasta la conclusión de la Litis.</w:t>
            </w:r>
          </w:p>
        </w:tc>
        <w:tc>
          <w:tcPr>
            <w:tcW w:w="2304" w:type="dxa"/>
          </w:tcPr>
          <w:p w14:paraId="18146D6E"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Esta Coordinación de Regulación Comercial ha sostenido el diálogo permanente con cada uno de los comerciantes que contaban con estructuras y cazos en banquetas. Se logró el retiro de la mayoría (con excepción de dos) que se colocaron dentro de las propiedades particulares, dejando libres las banquetas.</w:t>
            </w:r>
          </w:p>
        </w:tc>
        <w:tc>
          <w:tcPr>
            <w:tcW w:w="2090" w:type="dxa"/>
          </w:tcPr>
          <w:p w14:paraId="62B6C30A" w14:textId="77777777" w:rsidR="005F40AF" w:rsidRPr="009D0A2F" w:rsidRDefault="007B2798">
            <w:pPr>
              <w:jc w:val="center"/>
              <w:rPr>
                <w:rFonts w:ascii="Palatino Linotype" w:eastAsia="Palatino Linotype" w:hAnsi="Palatino Linotype" w:cs="Palatino Linotype"/>
                <w:sz w:val="20"/>
                <w:szCs w:val="20"/>
              </w:rPr>
            </w:pPr>
            <w:r w:rsidRPr="009D0A2F">
              <w:rPr>
                <w:rFonts w:ascii="Palatino Linotype" w:eastAsia="Palatino Linotype" w:hAnsi="Palatino Linotype" w:cs="Palatino Linotype"/>
                <w:b/>
                <w:sz w:val="20"/>
                <w:szCs w:val="20"/>
              </w:rPr>
              <w:t>Parcialmente</w:t>
            </w:r>
            <w:r w:rsidRPr="009D0A2F">
              <w:rPr>
                <w:rFonts w:ascii="Palatino Linotype" w:eastAsia="Palatino Linotype" w:hAnsi="Palatino Linotype" w:cs="Palatino Linotype"/>
                <w:sz w:val="20"/>
                <w:szCs w:val="20"/>
              </w:rPr>
              <w:t>.</w:t>
            </w:r>
          </w:p>
          <w:p w14:paraId="18654BAC" w14:textId="77777777" w:rsidR="005F40AF" w:rsidRPr="009D0A2F" w:rsidRDefault="005F40AF">
            <w:pPr>
              <w:jc w:val="both"/>
              <w:rPr>
                <w:rFonts w:ascii="Palatino Linotype" w:eastAsia="Palatino Linotype" w:hAnsi="Palatino Linotype" w:cs="Palatino Linotype"/>
                <w:sz w:val="20"/>
                <w:szCs w:val="20"/>
              </w:rPr>
            </w:pPr>
          </w:p>
          <w:p w14:paraId="0114D4B0"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Se informó que, se ha sostenido el diálogo permanente con los comerciantes que contaban con estructuras y cazos en banquetas.</w:t>
            </w:r>
          </w:p>
          <w:p w14:paraId="17301731" w14:textId="77777777" w:rsidR="005F40AF" w:rsidRPr="009D0A2F" w:rsidRDefault="005F40AF">
            <w:pPr>
              <w:jc w:val="both"/>
              <w:rPr>
                <w:rFonts w:ascii="Palatino Linotype" w:eastAsia="Palatino Linotype" w:hAnsi="Palatino Linotype" w:cs="Palatino Linotype"/>
                <w:sz w:val="20"/>
                <w:szCs w:val="20"/>
              </w:rPr>
            </w:pPr>
          </w:p>
          <w:p w14:paraId="2AF66F92"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 xml:space="preserve">El Sujeto Obligado no se pronunció respecto de las inspecciones. </w:t>
            </w:r>
          </w:p>
          <w:p w14:paraId="4B22FEEE" w14:textId="77777777" w:rsidR="005F40AF" w:rsidRPr="009D0A2F" w:rsidRDefault="005F40AF">
            <w:pPr>
              <w:jc w:val="both"/>
              <w:rPr>
                <w:rFonts w:ascii="Palatino Linotype" w:eastAsia="Palatino Linotype" w:hAnsi="Palatino Linotype" w:cs="Palatino Linotype"/>
                <w:sz w:val="20"/>
                <w:szCs w:val="20"/>
              </w:rPr>
            </w:pPr>
          </w:p>
        </w:tc>
      </w:tr>
      <w:tr w:rsidR="00D04B11" w:rsidRPr="009D0A2F" w14:paraId="446A9F76" w14:textId="77777777">
        <w:tc>
          <w:tcPr>
            <w:tcW w:w="377" w:type="dxa"/>
            <w:shd w:val="clear" w:color="auto" w:fill="E7E6E6"/>
          </w:tcPr>
          <w:p w14:paraId="05990A63" w14:textId="77777777" w:rsidR="005F40AF" w:rsidRPr="009D0A2F" w:rsidRDefault="007B2798">
            <w:pPr>
              <w:rPr>
                <w:rFonts w:ascii="Palatino Linotype" w:eastAsia="Palatino Linotype" w:hAnsi="Palatino Linotype" w:cs="Palatino Linotype"/>
                <w:b/>
                <w:sz w:val="20"/>
                <w:szCs w:val="20"/>
              </w:rPr>
            </w:pPr>
            <w:r w:rsidRPr="009D0A2F">
              <w:rPr>
                <w:rFonts w:ascii="Palatino Linotype" w:eastAsia="Palatino Linotype" w:hAnsi="Palatino Linotype" w:cs="Palatino Linotype"/>
                <w:b/>
                <w:sz w:val="20"/>
                <w:szCs w:val="20"/>
              </w:rPr>
              <w:t>2</w:t>
            </w:r>
          </w:p>
        </w:tc>
        <w:tc>
          <w:tcPr>
            <w:tcW w:w="2140" w:type="dxa"/>
          </w:tcPr>
          <w:p w14:paraId="5B30387A"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Sanciones a negocios reincidentes: o ¿Qué sanciones se contemplan para los negocios que han vuelto a colocar cazos en las banquetas después de haber sido retirados? o ¿Cuántos negocios han sido identificados como reincidentes y qué medidas se han tomado contra ellos?</w:t>
            </w:r>
          </w:p>
        </w:tc>
        <w:tc>
          <w:tcPr>
            <w:tcW w:w="2298" w:type="dxa"/>
          </w:tcPr>
          <w:p w14:paraId="63F38938"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En la primera semana de enero del 2025, se implementó parte del Programa de Reordenamiento Comercial. Se liberó la explanada municipal y la Ave. Juárez con excepciones que se encuentran en proceso legal; motivo por el cual se reserva la información hasta la conclusión de la Litis.</w:t>
            </w:r>
          </w:p>
        </w:tc>
        <w:tc>
          <w:tcPr>
            <w:tcW w:w="2304" w:type="dxa"/>
          </w:tcPr>
          <w:p w14:paraId="10E40E93"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A la fecha se cuenta con dos procedimientos legales al respecto en el primer cuadro municipal.</w:t>
            </w:r>
          </w:p>
        </w:tc>
        <w:tc>
          <w:tcPr>
            <w:tcW w:w="2090" w:type="dxa"/>
          </w:tcPr>
          <w:p w14:paraId="180FE017" w14:textId="77777777" w:rsidR="005F40AF" w:rsidRPr="009D0A2F" w:rsidRDefault="007B2798">
            <w:pPr>
              <w:jc w:val="center"/>
              <w:rPr>
                <w:rFonts w:ascii="Palatino Linotype" w:eastAsia="Palatino Linotype" w:hAnsi="Palatino Linotype" w:cs="Palatino Linotype"/>
                <w:sz w:val="20"/>
                <w:szCs w:val="20"/>
              </w:rPr>
            </w:pPr>
            <w:r w:rsidRPr="009D0A2F">
              <w:rPr>
                <w:rFonts w:ascii="Palatino Linotype" w:eastAsia="Palatino Linotype" w:hAnsi="Palatino Linotype" w:cs="Palatino Linotype"/>
                <w:b/>
                <w:sz w:val="20"/>
                <w:szCs w:val="20"/>
              </w:rPr>
              <w:t>Parcialmente</w:t>
            </w:r>
            <w:r w:rsidRPr="009D0A2F">
              <w:rPr>
                <w:rFonts w:ascii="Palatino Linotype" w:eastAsia="Palatino Linotype" w:hAnsi="Palatino Linotype" w:cs="Palatino Linotype"/>
                <w:sz w:val="20"/>
                <w:szCs w:val="20"/>
              </w:rPr>
              <w:t>.</w:t>
            </w:r>
          </w:p>
          <w:p w14:paraId="34149F28" w14:textId="77777777" w:rsidR="005F40AF" w:rsidRPr="009D0A2F" w:rsidRDefault="005F40AF">
            <w:pPr>
              <w:jc w:val="both"/>
              <w:rPr>
                <w:rFonts w:ascii="Palatino Linotype" w:eastAsia="Palatino Linotype" w:hAnsi="Palatino Linotype" w:cs="Palatino Linotype"/>
                <w:sz w:val="20"/>
                <w:szCs w:val="20"/>
              </w:rPr>
            </w:pPr>
          </w:p>
          <w:p w14:paraId="162AA257"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El Sujeto Obligado refirió que, se tiene dos procedimientos legales.</w:t>
            </w:r>
          </w:p>
          <w:p w14:paraId="7CA2B127" w14:textId="77777777" w:rsidR="005F40AF" w:rsidRPr="009D0A2F" w:rsidRDefault="005F40AF">
            <w:pPr>
              <w:jc w:val="both"/>
              <w:rPr>
                <w:rFonts w:ascii="Palatino Linotype" w:eastAsia="Palatino Linotype" w:hAnsi="Palatino Linotype" w:cs="Palatino Linotype"/>
                <w:sz w:val="20"/>
                <w:szCs w:val="20"/>
              </w:rPr>
            </w:pPr>
          </w:p>
          <w:p w14:paraId="0873254D"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 xml:space="preserve">El Sujeto Obligado no señaló las sanciones que existen a reincidentes. </w:t>
            </w:r>
          </w:p>
        </w:tc>
      </w:tr>
      <w:tr w:rsidR="00D04B11" w:rsidRPr="009D0A2F" w14:paraId="592677C7" w14:textId="77777777">
        <w:tc>
          <w:tcPr>
            <w:tcW w:w="377" w:type="dxa"/>
            <w:shd w:val="clear" w:color="auto" w:fill="E7E6E6"/>
          </w:tcPr>
          <w:p w14:paraId="49745D50" w14:textId="77777777" w:rsidR="005F40AF" w:rsidRPr="009D0A2F" w:rsidRDefault="007B2798">
            <w:pPr>
              <w:rPr>
                <w:rFonts w:ascii="Palatino Linotype" w:eastAsia="Palatino Linotype" w:hAnsi="Palatino Linotype" w:cs="Palatino Linotype"/>
                <w:b/>
                <w:sz w:val="20"/>
                <w:szCs w:val="20"/>
              </w:rPr>
            </w:pPr>
            <w:r w:rsidRPr="009D0A2F">
              <w:rPr>
                <w:rFonts w:ascii="Palatino Linotype" w:eastAsia="Palatino Linotype" w:hAnsi="Palatino Linotype" w:cs="Palatino Linotype"/>
                <w:b/>
                <w:sz w:val="20"/>
                <w:szCs w:val="20"/>
              </w:rPr>
              <w:lastRenderedPageBreak/>
              <w:t>3</w:t>
            </w:r>
          </w:p>
        </w:tc>
        <w:tc>
          <w:tcPr>
            <w:tcW w:w="2140" w:type="dxa"/>
          </w:tcPr>
          <w:p w14:paraId="102CB20A"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Medidas de control y regulación: o ¿Qué acciones implementará el Ayuntamiento para evitar que estas prácticas continúen en el futuro? o ¿Se tiene planeada alguna campaña de concientización o programa de reordenamiento para garantizar el uso adecuado del espacio público?</w:t>
            </w:r>
          </w:p>
        </w:tc>
        <w:tc>
          <w:tcPr>
            <w:tcW w:w="2298" w:type="dxa"/>
          </w:tcPr>
          <w:p w14:paraId="1DB6D34C"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En la primera semana de enero del 2025, se implementó parte del Programa de Reordenamiento Comercial. Se liberó la explanada municipal y la Ave. Juárez con excepciones que se encuentran en proceso legal; motivo por el cual se reserva la información hasta la conclusión de la Litis.</w:t>
            </w:r>
          </w:p>
        </w:tc>
        <w:tc>
          <w:tcPr>
            <w:tcW w:w="2304" w:type="dxa"/>
          </w:tcPr>
          <w:p w14:paraId="09D4BDCA"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 xml:space="preserve">Se implementaron patrullajes permanentes en dicho perímetro. La reubicación de comerciantes en la avenida Juárez y del primer cuadro han tenido una muy positiva aceptación en la ciudadanía, muestra de esto es el apoyo popular en redes sociales, las pláticas (vox </w:t>
            </w:r>
            <w:proofErr w:type="spellStart"/>
            <w:r w:rsidRPr="009D0A2F">
              <w:rPr>
                <w:rFonts w:ascii="Palatino Linotype" w:eastAsia="Palatino Linotype" w:hAnsi="Palatino Linotype" w:cs="Palatino Linotype"/>
                <w:sz w:val="20"/>
                <w:szCs w:val="20"/>
              </w:rPr>
              <w:t>pupuli</w:t>
            </w:r>
            <w:proofErr w:type="spellEnd"/>
            <w:r w:rsidRPr="009D0A2F">
              <w:rPr>
                <w:rFonts w:ascii="Palatino Linotype" w:eastAsia="Palatino Linotype" w:hAnsi="Palatino Linotype" w:cs="Palatino Linotype"/>
                <w:sz w:val="20"/>
                <w:szCs w:val="20"/>
              </w:rPr>
              <w:t>) de transeúntes y usuarios de la avenida Juárez y de la explanada municipal.</w:t>
            </w:r>
          </w:p>
        </w:tc>
        <w:tc>
          <w:tcPr>
            <w:tcW w:w="2090" w:type="dxa"/>
          </w:tcPr>
          <w:p w14:paraId="4181A42E" w14:textId="77777777" w:rsidR="005F40AF" w:rsidRPr="009D0A2F" w:rsidRDefault="007B2798">
            <w:pPr>
              <w:jc w:val="center"/>
              <w:rPr>
                <w:rFonts w:ascii="Palatino Linotype" w:eastAsia="Palatino Linotype" w:hAnsi="Palatino Linotype" w:cs="Palatino Linotype"/>
                <w:b/>
                <w:sz w:val="20"/>
                <w:szCs w:val="20"/>
              </w:rPr>
            </w:pPr>
            <w:r w:rsidRPr="009D0A2F">
              <w:rPr>
                <w:rFonts w:ascii="Palatino Linotype" w:eastAsia="Palatino Linotype" w:hAnsi="Palatino Linotype" w:cs="Palatino Linotype"/>
                <w:b/>
                <w:sz w:val="20"/>
                <w:szCs w:val="20"/>
              </w:rPr>
              <w:t>Colmó</w:t>
            </w:r>
          </w:p>
          <w:p w14:paraId="25846296" w14:textId="77777777" w:rsidR="005F40AF" w:rsidRPr="009D0A2F" w:rsidRDefault="005F40AF">
            <w:pPr>
              <w:jc w:val="both"/>
              <w:rPr>
                <w:rFonts w:ascii="Palatino Linotype" w:eastAsia="Palatino Linotype" w:hAnsi="Palatino Linotype" w:cs="Palatino Linotype"/>
                <w:sz w:val="20"/>
                <w:szCs w:val="20"/>
              </w:rPr>
            </w:pPr>
          </w:p>
          <w:p w14:paraId="62C6E138"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El Sujeto Obligado señaló las acciones que se implementaron y se pronunció respecto de su programa de reordenamiento.</w:t>
            </w:r>
          </w:p>
          <w:p w14:paraId="02BAFB30" w14:textId="77777777" w:rsidR="005F40AF" w:rsidRPr="009D0A2F" w:rsidRDefault="005F40AF">
            <w:pPr>
              <w:jc w:val="both"/>
              <w:rPr>
                <w:rFonts w:ascii="Palatino Linotype" w:eastAsia="Palatino Linotype" w:hAnsi="Palatino Linotype" w:cs="Palatino Linotype"/>
                <w:sz w:val="20"/>
                <w:szCs w:val="20"/>
              </w:rPr>
            </w:pPr>
          </w:p>
          <w:p w14:paraId="5A430BBF" w14:textId="77777777" w:rsidR="005F40AF" w:rsidRPr="009D0A2F" w:rsidRDefault="007B2798">
            <w:pPr>
              <w:jc w:val="both"/>
              <w:rPr>
                <w:rFonts w:ascii="Palatino Linotype" w:eastAsia="Palatino Linotype" w:hAnsi="Palatino Linotype" w:cs="Palatino Linotype"/>
                <w:sz w:val="20"/>
                <w:szCs w:val="20"/>
              </w:rPr>
            </w:pPr>
            <w:r w:rsidRPr="009D0A2F">
              <w:rPr>
                <w:rFonts w:ascii="Palatino Linotype" w:eastAsia="Palatino Linotype" w:hAnsi="Palatino Linotype" w:cs="Palatino Linotype"/>
                <w:sz w:val="20"/>
                <w:szCs w:val="20"/>
              </w:rPr>
              <w:t xml:space="preserve">Aunado a ello, se advierte que los requerimientos se relacionan con hechos futuros.   </w:t>
            </w:r>
          </w:p>
        </w:tc>
      </w:tr>
    </w:tbl>
    <w:p w14:paraId="33CDF286" w14:textId="77777777" w:rsidR="005F40AF" w:rsidRPr="009D0A2F" w:rsidRDefault="005F40AF">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7EDDC15D" w14:textId="77777777" w:rsidR="005F40AF" w:rsidRPr="009D0A2F" w:rsidRDefault="007B2798">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Derivado de lo anterior, se procede a contextualizar la información solicitada, por lo que, de conformidad con el Bando Municipal 2024, se tiene que, para el desarrollo de los asuntos administrativos y la prestación de los servicios públicos, la Administración Pública Municipal Centralizada, se integra de las siguientes dependencias: </w:t>
      </w:r>
    </w:p>
    <w:p w14:paraId="1C4FFFF4"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441AEE29"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b/>
          <w:i/>
        </w:rPr>
        <w:t>Artículo 93.-</w:t>
      </w:r>
      <w:r w:rsidRPr="009D0A2F">
        <w:rPr>
          <w:rFonts w:ascii="Palatino Linotype" w:eastAsia="Palatino Linotype" w:hAnsi="Palatino Linotype" w:cs="Palatino Linotype"/>
          <w:i/>
        </w:rPr>
        <w:t xml:space="preserve"> Para el desarrollo de los asuntos administrativos y la prestación de los servicios públicos, la Administración Pública Municipal Centralizada se integra con las dependencias administrativas siguientes: </w:t>
      </w:r>
    </w:p>
    <w:p w14:paraId="582F6F6A"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p>
    <w:p w14:paraId="2ED20B27"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i/>
        </w:rPr>
        <w:t>XIII. Dirección de Desarrollo Económico y Ordenamiento Comercial;</w:t>
      </w:r>
    </w:p>
    <w:p w14:paraId="4B02A23F"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p>
    <w:p w14:paraId="3F1724E0"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75EE84FB"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Asimismo, el Bando Municipal en comento, establece lo siguiente: </w:t>
      </w:r>
    </w:p>
    <w:p w14:paraId="5A7088B1"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2A38E3B7"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b/>
          <w:i/>
        </w:rPr>
        <w:t>Artículo 159</w:t>
      </w:r>
      <w:r w:rsidRPr="009D0A2F">
        <w:rPr>
          <w:rFonts w:ascii="Palatino Linotype" w:eastAsia="Palatino Linotype" w:hAnsi="Palatino Linotype" w:cs="Palatino Linotype"/>
          <w:i/>
        </w:rPr>
        <w:t xml:space="preserve">.- El Ayuntamiento, a través de las dependencias y/o unidades administrativas correspondientes, </w:t>
      </w:r>
      <w:r w:rsidRPr="009D0A2F">
        <w:rPr>
          <w:rFonts w:ascii="Palatino Linotype" w:eastAsia="Palatino Linotype" w:hAnsi="Palatino Linotype" w:cs="Palatino Linotype"/>
          <w:b/>
          <w:i/>
          <w:u w:val="single"/>
        </w:rPr>
        <w:t xml:space="preserve">ordenará, controlará y recaudará el derecho por </w:t>
      </w:r>
      <w:r w:rsidRPr="009D0A2F">
        <w:rPr>
          <w:rFonts w:ascii="Palatino Linotype" w:eastAsia="Palatino Linotype" w:hAnsi="Palatino Linotype" w:cs="Palatino Linotype"/>
          <w:b/>
          <w:i/>
          <w:u w:val="single"/>
        </w:rPr>
        <w:lastRenderedPageBreak/>
        <w:t>uso de vías y áreas públicas para el ejercicio de actividades comerciales</w:t>
      </w:r>
      <w:r w:rsidRPr="009D0A2F">
        <w:rPr>
          <w:rFonts w:ascii="Palatino Linotype" w:eastAsia="Palatino Linotype" w:hAnsi="Palatino Linotype" w:cs="Palatino Linotype"/>
          <w:i/>
        </w:rPr>
        <w:t xml:space="preserve"> o de servicios en los mercados, tianguis, puestos fijos y semifijos, así como espacios públicos destinados al comercio, teniendo en todo momento la facultad para ordenar, retirar y, en su caso, reubicar a los vendedores conforme a la reglamentación correspondiente.</w:t>
      </w:r>
    </w:p>
    <w:p w14:paraId="6384AF28"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74407CE7"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b/>
          <w:i/>
        </w:rPr>
        <w:t>Artículo 160.-</w:t>
      </w:r>
      <w:r w:rsidRPr="009D0A2F">
        <w:rPr>
          <w:rFonts w:ascii="Palatino Linotype" w:eastAsia="Palatino Linotype" w:hAnsi="Palatino Linotype" w:cs="Palatino Linotype"/>
          <w:i/>
        </w:rPr>
        <w:t xml:space="preserve"> El Ayuntamiento, a través de las dependencias y/o unidades administrativas correspondientes, </w:t>
      </w:r>
      <w:r w:rsidRPr="009D0A2F">
        <w:rPr>
          <w:rFonts w:ascii="Palatino Linotype" w:eastAsia="Palatino Linotype" w:hAnsi="Palatino Linotype" w:cs="Palatino Linotype"/>
          <w:b/>
          <w:i/>
          <w:u w:val="single"/>
        </w:rPr>
        <w:t>está facultado para verificar e inspeccionar el cumplimiento de todas las disposiciones de carácter administrativo</w:t>
      </w:r>
      <w:r w:rsidRPr="009D0A2F">
        <w:rPr>
          <w:rFonts w:ascii="Palatino Linotype" w:eastAsia="Palatino Linotype" w:hAnsi="Palatino Linotype" w:cs="Palatino Linotype"/>
          <w:i/>
        </w:rPr>
        <w:t>, así como requerir, en su caso, a quienes presenten irregularidad en su giro o rezago en sus obligaciones contributivas con el Municipio, en coordinación con la Tesorería Municipal.</w:t>
      </w:r>
    </w:p>
    <w:p w14:paraId="69048EEB"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6EEBC7E0"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i/>
        </w:rPr>
        <w:t>Para coadyuvar al cumplimiento de esta disposición, se faculta a la Coordinación de Ordenamiento Comercial, para que, en el marco de sus atribuciones</w:t>
      </w:r>
      <w:r w:rsidRPr="009D0A2F">
        <w:rPr>
          <w:rFonts w:ascii="Palatino Linotype" w:eastAsia="Palatino Linotype" w:hAnsi="Palatino Linotype" w:cs="Palatino Linotype"/>
          <w:b/>
          <w:i/>
        </w:rPr>
        <w:t>, amoneste y conmine a los particulares a cumplir con la regulación del giro comercial que indique su licencia o permiso según sea el caso, notificándoles el citatorio para desahogar la garantía de audiencia y seguridad jurídica</w:t>
      </w:r>
      <w:r w:rsidRPr="009D0A2F">
        <w:rPr>
          <w:rFonts w:ascii="Palatino Linotype" w:eastAsia="Palatino Linotype" w:hAnsi="Palatino Linotype" w:cs="Palatino Linotype"/>
          <w:i/>
        </w:rPr>
        <w:t xml:space="preserve">, con arreglo a las formalidades esenciales del procedimiento administrativo común, contemplado en el Código de Procedimientos Administrativos del Estado de México y en términos del artículo 95 fracción II de la Ley Orgánica Municipal del Estado de México. </w:t>
      </w:r>
    </w:p>
    <w:p w14:paraId="665FDBE7"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06840CC1"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b/>
          <w:i/>
        </w:rPr>
        <w:t>Artículo 164.-</w:t>
      </w:r>
      <w:r w:rsidRPr="009D0A2F">
        <w:rPr>
          <w:rFonts w:ascii="Palatino Linotype" w:eastAsia="Palatino Linotype" w:hAnsi="Palatino Linotype" w:cs="Palatino Linotype"/>
          <w:i/>
        </w:rPr>
        <w:t xml:space="preserve"> Se prohíbe el comercio fijo, semifijo y ambulante en los centros urbanos, frente a los edificios públicos y en los demás lugares que determine la autoridad municipal, con apego a la normatividad aplicable, por lo cual el Ayuntamiento, a través de la Coordinación de Ordenamiento Comercial, tiene la facultad para reubicar o retirar a quienes ejerzan el comercio en la vía pública.</w:t>
      </w:r>
    </w:p>
    <w:p w14:paraId="12EA07CE"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373A2C73"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b/>
          <w:i/>
        </w:rPr>
        <w:t>Artículo 206.-</w:t>
      </w:r>
      <w:r w:rsidRPr="009D0A2F">
        <w:rPr>
          <w:rFonts w:ascii="Palatino Linotype" w:eastAsia="Palatino Linotype" w:hAnsi="Palatino Linotype" w:cs="Palatino Linotype"/>
          <w:i/>
        </w:rPr>
        <w:t xml:space="preserve"> La persona que se instale en vías públicas o lugares de uso común para ejercer actividades comerciales o de prestación de servicios, o que las ejerza de manera ambulante sin contar con la autorización del titular de la Subdirección de Licencias y Permisos se hará acreedora a las medidas de seguridad y sanciones previstas en la Ley de Competitividad y Ordenamiento Comercial del Estado de México, su Reglamento, el presente Bando, el Reglamento de Actividades Comerciales y de Servicios en Vía Pública y Espectáculos Públicos y demás disposiciones legales vigentes aplicables.</w:t>
      </w:r>
    </w:p>
    <w:p w14:paraId="4DC7FD9C"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0C592E9B" w14:textId="77777777" w:rsidR="005F40AF" w:rsidRPr="009D0A2F" w:rsidRDefault="007B2798">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b/>
          <w:i/>
        </w:rPr>
        <w:lastRenderedPageBreak/>
        <w:t>Artículo 215.-</w:t>
      </w:r>
      <w:r w:rsidRPr="009D0A2F">
        <w:rPr>
          <w:rFonts w:ascii="Palatino Linotype" w:eastAsia="Palatino Linotype" w:hAnsi="Palatino Linotype" w:cs="Palatino Linotype"/>
          <w:i/>
        </w:rPr>
        <w:t xml:space="preserve"> Para la determinación de las sanciones administrativas, la Dirección de Desarrollo Económico instruirá a la Coordinación de Ordenamiento Comercial para su resolución considerando las circunstancias previstas en el Código de Procedimientos Administrativos del Estado de México.</w:t>
      </w:r>
    </w:p>
    <w:p w14:paraId="545D971F" w14:textId="77777777" w:rsidR="005F40AF" w:rsidRPr="009D0A2F" w:rsidRDefault="005F40AF">
      <w:pPr>
        <w:pBdr>
          <w:top w:val="nil"/>
          <w:left w:val="nil"/>
          <w:bottom w:val="nil"/>
          <w:right w:val="nil"/>
          <w:between w:val="nil"/>
        </w:pBdr>
        <w:tabs>
          <w:tab w:val="left" w:pos="1276"/>
        </w:tabs>
        <w:spacing w:after="0"/>
        <w:ind w:left="567" w:right="560"/>
        <w:jc w:val="both"/>
        <w:rPr>
          <w:rFonts w:ascii="Palatino Linotype" w:eastAsia="Palatino Linotype" w:hAnsi="Palatino Linotype" w:cs="Palatino Linotype"/>
          <w:i/>
        </w:rPr>
      </w:pPr>
    </w:p>
    <w:p w14:paraId="257B5D8D" w14:textId="77777777" w:rsidR="005F40AF" w:rsidRPr="009D0A2F" w:rsidRDefault="007B2798">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De lo anterior, se colige que, el Ayuntamiento, a través de sus unidades administrativas, ordenarán, controlarán y recaudarán el derecho por uso de vías y áreas públicas para el ejercicio de actividades comerciales, así como espacios públicos destinados al comercio, asimismo, estas unidades contarán con la facultad de ordenar, retirar y en su caso, reubicar a los vendedores conforme a la reglamentación correspondiente. </w:t>
      </w:r>
    </w:p>
    <w:p w14:paraId="08C0A32C" w14:textId="77777777" w:rsidR="005F40AF" w:rsidRPr="009D0A2F" w:rsidRDefault="005F40AF">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61408442" w14:textId="77777777" w:rsidR="005F40AF" w:rsidRPr="009D0A2F" w:rsidRDefault="007B2798">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En el mismo orden de ideas, se advierte que el Ayuntamiento, está facultado para verificar e inspeccionar el cumplimiento de todas las disposiciones de carácter administrativo y por ello, faculta a la Coordinación de Ordenamiento Comercial, para que amoneste y conmine a los particulares a cumplir con la regulación correspondiente o bien, reubique y retire a quienes ejerzan el comercio en la vía pública. </w:t>
      </w:r>
    </w:p>
    <w:p w14:paraId="031EB770" w14:textId="77777777" w:rsidR="005F40AF" w:rsidRPr="009D0A2F" w:rsidRDefault="005F40AF">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4C7006E6" w14:textId="77777777" w:rsidR="005F40AF" w:rsidRPr="009D0A2F" w:rsidRDefault="007B2798">
      <w:pPr>
        <w:pBdr>
          <w:top w:val="nil"/>
          <w:left w:val="nil"/>
          <w:bottom w:val="nil"/>
          <w:right w:val="nil"/>
          <w:between w:val="nil"/>
        </w:pBdr>
        <w:spacing w:after="0" w:line="360" w:lineRule="auto"/>
        <w:ind w:right="-7"/>
        <w:jc w:val="both"/>
        <w:rPr>
          <w:rFonts w:ascii="Palatino Linotype" w:eastAsia="Palatino Linotype" w:hAnsi="Palatino Linotype" w:cs="Palatino Linotype"/>
          <w:b/>
        </w:rPr>
      </w:pPr>
      <w:r w:rsidRPr="009D0A2F">
        <w:rPr>
          <w:rFonts w:ascii="Palatino Linotype" w:eastAsia="Palatino Linotype" w:hAnsi="Palatino Linotype" w:cs="Palatino Linotype"/>
        </w:rPr>
        <w:t>Ahora bien, es necesario precisar que de las constancias que obran en el expediente se logra vislumbrar que el Sujeto Obligado turnó la solicitud de información a la unidad administrativa competente, a saber la Coordinación de Regulación Comercial,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0C57CC7" w14:textId="77777777" w:rsidR="005F40AF" w:rsidRPr="009D0A2F" w:rsidRDefault="005F40AF">
      <w:pPr>
        <w:spacing w:after="0" w:line="360" w:lineRule="auto"/>
        <w:ind w:right="560"/>
        <w:jc w:val="both"/>
        <w:rPr>
          <w:rFonts w:ascii="Palatino Linotype" w:eastAsia="Palatino Linotype" w:hAnsi="Palatino Linotype" w:cs="Palatino Linotype"/>
        </w:rPr>
      </w:pPr>
    </w:p>
    <w:p w14:paraId="335092E5" w14:textId="77777777" w:rsidR="005F40AF" w:rsidRPr="009D0A2F" w:rsidRDefault="007B2798">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Las Unidades de Transparencia garantizarán que las solicitudes de acceso a la información se turnen a todas las áreas competentes que cuenten con la </w:t>
      </w:r>
      <w:r w:rsidRPr="009D0A2F">
        <w:rPr>
          <w:rFonts w:ascii="Palatino Linotype" w:eastAsia="Palatino Linotype" w:hAnsi="Palatino Linotype" w:cs="Palatino Linotype"/>
        </w:rPr>
        <w:lastRenderedPageBreak/>
        <w:t>información o deban tenerla -de acuerdo a las facultades, competencias y funciones-, con el objeto de que dichas áreas realicen una búsqueda exhaustiva y razonable de la información requerida, y</w:t>
      </w:r>
    </w:p>
    <w:p w14:paraId="3520224D" w14:textId="77777777" w:rsidR="005F40AF" w:rsidRPr="009D0A2F" w:rsidRDefault="005F40AF">
      <w:pPr>
        <w:spacing w:after="0" w:line="360" w:lineRule="auto"/>
        <w:ind w:left="567" w:right="560"/>
        <w:jc w:val="both"/>
        <w:rPr>
          <w:rFonts w:ascii="Palatino Linotype" w:eastAsia="Palatino Linotype" w:hAnsi="Palatino Linotype" w:cs="Palatino Linotype"/>
        </w:rPr>
      </w:pPr>
    </w:p>
    <w:p w14:paraId="2CD0B16A" w14:textId="77777777" w:rsidR="005F40AF" w:rsidRPr="009D0A2F" w:rsidRDefault="007B2798">
      <w:pPr>
        <w:numPr>
          <w:ilvl w:val="3"/>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9D0A2F">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5D32EBA3" w14:textId="77777777" w:rsidR="005F40AF" w:rsidRPr="009D0A2F" w:rsidRDefault="005F40AF">
      <w:pPr>
        <w:spacing w:after="0" w:line="360" w:lineRule="auto"/>
        <w:ind w:right="560"/>
        <w:jc w:val="both"/>
        <w:rPr>
          <w:rFonts w:ascii="Palatino Linotype" w:eastAsia="Palatino Linotype" w:hAnsi="Palatino Linotype" w:cs="Palatino Linotype"/>
        </w:rPr>
      </w:pPr>
    </w:p>
    <w:p w14:paraId="0586B049"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w:t>
      </w:r>
    </w:p>
    <w:p w14:paraId="1B259712" w14:textId="77777777" w:rsidR="005F40AF" w:rsidRPr="009D0A2F" w:rsidRDefault="005F40AF">
      <w:pPr>
        <w:spacing w:after="0" w:line="360" w:lineRule="auto"/>
        <w:ind w:right="49"/>
        <w:jc w:val="both"/>
        <w:rPr>
          <w:rFonts w:ascii="Palatino Linotype" w:eastAsia="Palatino Linotype" w:hAnsi="Palatino Linotype" w:cs="Palatino Linotype"/>
        </w:rPr>
      </w:pPr>
    </w:p>
    <w:p w14:paraId="0C214A02"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Ahora bien, en cuanto hace a los agravios hechos valer por la parte Recurrente, es de referir que, de la lectura a su requerimiento, se desprende que estos se hicieron a modo de cuestionamiento, no obstante, de conformidad con el Criterio 06/17 emitido por el entonces Instituto Nacional de Transparencia, cuando los particulares realicen una solicitud de información que constituya una consulta, se les deberá otorgar una expresión documental, tal como se observa a continuación: </w:t>
      </w:r>
    </w:p>
    <w:p w14:paraId="7420F89A" w14:textId="77777777" w:rsidR="005F40AF" w:rsidRPr="009D0A2F" w:rsidRDefault="005F40AF">
      <w:pPr>
        <w:spacing w:after="0" w:line="360" w:lineRule="auto"/>
        <w:jc w:val="both"/>
      </w:pPr>
    </w:p>
    <w:p w14:paraId="2FEE2FE5" w14:textId="77777777" w:rsidR="005F40AF" w:rsidRPr="009D0A2F" w:rsidRDefault="007B2798">
      <w:pPr>
        <w:spacing w:after="0"/>
        <w:ind w:left="567" w:right="560"/>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 “</w:t>
      </w:r>
      <w:r w:rsidRPr="009D0A2F">
        <w:rPr>
          <w:rFonts w:ascii="Palatino Linotype" w:eastAsia="Palatino Linotype" w:hAnsi="Palatino Linotype" w:cs="Palatino Linotype"/>
          <w:b/>
          <w:i/>
        </w:rPr>
        <w:t>Expresión documental.</w:t>
      </w:r>
      <w:r w:rsidRPr="009D0A2F">
        <w:rPr>
          <w:rFonts w:ascii="Palatino Linotype" w:eastAsia="Palatino Linotype" w:hAnsi="Palatino Linotype" w:cs="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FB03915" w14:textId="77777777" w:rsidR="005F40AF" w:rsidRPr="009D0A2F" w:rsidRDefault="005F40AF">
      <w:pPr>
        <w:spacing w:after="0" w:line="360" w:lineRule="auto"/>
        <w:jc w:val="both"/>
        <w:rPr>
          <w:rFonts w:ascii="Palatino Linotype" w:eastAsia="Palatino Linotype" w:hAnsi="Palatino Linotype" w:cs="Palatino Linotype"/>
        </w:rPr>
      </w:pPr>
    </w:p>
    <w:p w14:paraId="068AD31E" w14:textId="77777777" w:rsidR="005F40AF" w:rsidRPr="009D0A2F" w:rsidRDefault="007B2798">
      <w:pPr>
        <w:spacing w:after="0" w:line="360" w:lineRule="auto"/>
        <w:jc w:val="both"/>
        <w:rPr>
          <w:rFonts w:ascii="Palatino Linotype" w:eastAsia="Palatino Linotype" w:hAnsi="Palatino Linotype" w:cs="Palatino Linotype"/>
          <w:b/>
          <w:u w:val="single"/>
        </w:rPr>
      </w:pPr>
      <w:r w:rsidRPr="009D0A2F">
        <w:rPr>
          <w:rFonts w:ascii="Palatino Linotype" w:eastAsia="Palatino Linotype" w:hAnsi="Palatino Linotype" w:cs="Palatino Linotype"/>
        </w:rPr>
        <w:lastRenderedPageBreak/>
        <w:t xml:space="preserve">En ese sentido, se procedió al análisis de sus cuestionamientos y con lo que respecta al punto 1) de la solicitud relativo a </w:t>
      </w:r>
      <w:r w:rsidRPr="009D0A2F">
        <w:rPr>
          <w:rFonts w:ascii="Palatino Linotype" w:eastAsia="Palatino Linotype" w:hAnsi="Palatino Linotype" w:cs="Palatino Linotype"/>
          <w:b/>
          <w:u w:val="single"/>
        </w:rPr>
        <w:t>¿Qué acciones ha realizado el Ayuntamiento para dar seguimiento al retiro de estructuras y cazos en banquetas y avenidas anunciado recientemente? o ¿Se han realizado inspecciones para verificar el cumplimiento de esta medida?</w:t>
      </w:r>
    </w:p>
    <w:p w14:paraId="16D1DC60" w14:textId="77777777" w:rsidR="005F40AF" w:rsidRPr="009D0A2F" w:rsidRDefault="005F40AF">
      <w:pPr>
        <w:spacing w:after="0" w:line="360" w:lineRule="auto"/>
        <w:jc w:val="both"/>
        <w:rPr>
          <w:rFonts w:ascii="Palatino Linotype" w:eastAsia="Palatino Linotype" w:hAnsi="Palatino Linotype" w:cs="Palatino Linotype"/>
        </w:rPr>
      </w:pPr>
    </w:p>
    <w:p w14:paraId="0C000461"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En respuesta, el Sujeto Obligado, a través de la unidad administrativa competente, señaló que, se había implementado parte del Programa de Reordenamiento Comercial y se había liberado la explanada municipal, asimismo, mediante informe justificado, señaló que, se había sostenido el diálogo permanente con cada uno de los comerciantes que contaban con estructuras y cazos en las banquetas y se había logrado el retiro de la mayoría, quienes se colocaron dentro de las propiedades particulares, dejando libres las banquetas. </w:t>
      </w:r>
    </w:p>
    <w:p w14:paraId="77B4A4DF" w14:textId="77777777" w:rsidR="005F40AF" w:rsidRPr="009D0A2F" w:rsidRDefault="005F40AF">
      <w:pPr>
        <w:spacing w:after="0" w:line="360" w:lineRule="auto"/>
        <w:jc w:val="both"/>
        <w:rPr>
          <w:rFonts w:ascii="Palatino Linotype" w:eastAsia="Palatino Linotype" w:hAnsi="Palatino Linotype" w:cs="Palatino Linotype"/>
        </w:rPr>
      </w:pPr>
    </w:p>
    <w:p w14:paraId="68260295"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En ese sentido, se advierte que, el Sujeto Obligado dio una expresión documental al haber dado atención al cuestionamiento relacionado con las acciones realizadas, no obstante, no se advierte que se haya pronunciado respecto de las </w:t>
      </w:r>
      <w:r w:rsidRPr="009D0A2F">
        <w:rPr>
          <w:rFonts w:ascii="Palatino Linotype" w:eastAsia="Palatino Linotype" w:hAnsi="Palatino Linotype" w:cs="Palatino Linotype"/>
          <w:b/>
          <w:u w:val="single"/>
        </w:rPr>
        <w:t>inspecciones llevadas a cabo para verificar el cumplimiento del retiro de estructuras y cazos en baquetas y avenidas</w:t>
      </w:r>
      <w:r w:rsidRPr="009D0A2F">
        <w:rPr>
          <w:rFonts w:ascii="Palatino Linotype" w:eastAsia="Palatino Linotype" w:hAnsi="Palatino Linotype" w:cs="Palatino Linotype"/>
        </w:rPr>
        <w:t>, información que obra, de manera enunciativa más no limitativa en un acta circunstanciada, es por lo que, resulta conveniente traer a colación el Criterio 02/17 emitido por el entonces Instituto Nacional de Transparencia, Acceso a la Información y Protección de Datos Personales el cual establece lo siguiente:</w:t>
      </w:r>
    </w:p>
    <w:p w14:paraId="153E0CD6" w14:textId="77777777" w:rsidR="005F40AF" w:rsidRPr="009D0A2F" w:rsidRDefault="005F40AF">
      <w:pPr>
        <w:pBdr>
          <w:top w:val="nil"/>
          <w:left w:val="nil"/>
          <w:bottom w:val="nil"/>
          <w:right w:val="nil"/>
          <w:between w:val="nil"/>
        </w:pBdr>
        <w:spacing w:after="0"/>
        <w:ind w:left="567" w:right="701"/>
        <w:jc w:val="both"/>
        <w:rPr>
          <w:rFonts w:ascii="Palatino Linotype" w:eastAsia="Palatino Linotype" w:hAnsi="Palatino Linotype" w:cs="Palatino Linotype"/>
          <w:i/>
        </w:rPr>
      </w:pPr>
    </w:p>
    <w:p w14:paraId="087F2724" w14:textId="77777777" w:rsidR="005F40AF" w:rsidRPr="009D0A2F" w:rsidRDefault="007B2798">
      <w:pPr>
        <w:pBdr>
          <w:top w:val="nil"/>
          <w:left w:val="nil"/>
          <w:bottom w:val="nil"/>
          <w:right w:val="nil"/>
          <w:between w:val="nil"/>
        </w:pBdr>
        <w:spacing w:after="0"/>
        <w:ind w:left="567" w:right="701"/>
        <w:jc w:val="both"/>
        <w:rPr>
          <w:rFonts w:ascii="Palatino Linotype" w:eastAsia="Palatino Linotype" w:hAnsi="Palatino Linotype" w:cs="Palatino Linotype"/>
          <w:i/>
        </w:rPr>
      </w:pPr>
      <w:r w:rsidRPr="009D0A2F">
        <w:rPr>
          <w:rFonts w:ascii="Palatino Linotype" w:eastAsia="Palatino Linotype" w:hAnsi="Palatino Linotype" w:cs="Palatino Linotype"/>
          <w:b/>
          <w:i/>
        </w:rPr>
        <w:t>Congruencia y exhaustividad. Sus alcances para garantizar el derecho de acceso a la información.</w:t>
      </w:r>
      <w:r w:rsidRPr="009D0A2F">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w:t>
      </w:r>
      <w:r w:rsidRPr="009D0A2F">
        <w:rPr>
          <w:rFonts w:ascii="Palatino Linotype" w:eastAsia="Palatino Linotype" w:hAnsi="Palatino Linotype" w:cs="Palatino Linotype"/>
          <w:i/>
        </w:rPr>
        <w:lastRenderedPageBreak/>
        <w:t>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10D48CD" w14:textId="77777777" w:rsidR="005F40AF" w:rsidRPr="009D0A2F" w:rsidRDefault="005F40AF">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45AEA734" w14:textId="77777777" w:rsidR="005F40AF" w:rsidRPr="009D0A2F" w:rsidRDefault="007B2798">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w:t>
      </w:r>
      <w:r w:rsidRPr="009D0A2F">
        <w:rPr>
          <w:rFonts w:ascii="Palatino Linotype" w:eastAsia="Palatino Linotype" w:hAnsi="Palatino Linotype" w:cs="Palatino Linotype"/>
          <w:b/>
        </w:rPr>
        <w:t>implica que exista concordancia entre el requerimiento formulado por el particular y la respuesta proporcionada por el sujeto obligado</w:t>
      </w:r>
      <w:r w:rsidRPr="009D0A2F">
        <w:rPr>
          <w:rFonts w:ascii="Palatino Linotype" w:eastAsia="Palatino Linotype" w:hAnsi="Palatino Linotype" w:cs="Palatino Linotype"/>
        </w:rPr>
        <w:t xml:space="preserve">, mientras que la exhaustividad establece que el sujeto obligado </w:t>
      </w:r>
      <w:r w:rsidRPr="009D0A2F">
        <w:rPr>
          <w:rFonts w:ascii="Palatino Linotype" w:eastAsia="Palatino Linotype" w:hAnsi="Palatino Linotype" w:cs="Palatino Linotype"/>
          <w:b/>
        </w:rPr>
        <w:t>deberá atender de manera expresa cada uno de los puntos solicitados</w:t>
      </w:r>
      <w:r w:rsidRPr="009D0A2F">
        <w:rPr>
          <w:rFonts w:ascii="Palatino Linotype" w:eastAsia="Palatino Linotype" w:hAnsi="Palatino Linotype" w:cs="Palatino Linotype"/>
        </w:rPr>
        <w:t xml:space="preserve">, situación que en el presente caso </w:t>
      </w:r>
      <w:r w:rsidRPr="009D0A2F">
        <w:rPr>
          <w:rFonts w:ascii="Palatino Linotype" w:eastAsia="Palatino Linotype" w:hAnsi="Palatino Linotype" w:cs="Palatino Linotype"/>
          <w:b/>
          <w:u w:val="single"/>
        </w:rPr>
        <w:t>no aconteció</w:t>
      </w:r>
      <w:r w:rsidRPr="009D0A2F">
        <w:rPr>
          <w:rFonts w:ascii="Palatino Linotype" w:eastAsia="Palatino Linotype" w:hAnsi="Palatino Linotype" w:cs="Palatino Linotype"/>
        </w:rPr>
        <w:t xml:space="preserve">, pues el Sujeto Obligado fue omiso en pronunciarse respecto de las inspecciones realizadas. </w:t>
      </w:r>
    </w:p>
    <w:p w14:paraId="585161B6" w14:textId="77777777" w:rsidR="005F40AF" w:rsidRPr="009D0A2F" w:rsidRDefault="005F40AF">
      <w:pPr>
        <w:spacing w:after="0" w:line="360" w:lineRule="auto"/>
        <w:jc w:val="both"/>
        <w:rPr>
          <w:rFonts w:ascii="Palatino Linotype" w:eastAsia="Palatino Linotype" w:hAnsi="Palatino Linotype" w:cs="Palatino Linotype"/>
        </w:rPr>
      </w:pPr>
    </w:p>
    <w:p w14:paraId="451E6B91"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Por lo que, resulta dable ordenar, una nueva búsqueda exhaustiva y razonable de la información, con la finalidad de que se proporcione el documento que dé cuenta de las inspecciones realizadas relacionadas con el cumplimiento del retiro de estructuras y cazos en baquetas y avenidas del uno de enero al veintiuno de febrero de dos mil veinticinco</w:t>
      </w:r>
    </w:p>
    <w:p w14:paraId="3B117B75" w14:textId="77777777" w:rsidR="005F40AF" w:rsidRPr="009D0A2F" w:rsidRDefault="005F40AF">
      <w:pPr>
        <w:spacing w:after="0" w:line="360" w:lineRule="auto"/>
        <w:jc w:val="both"/>
        <w:rPr>
          <w:rFonts w:ascii="Palatino Linotype" w:eastAsia="Palatino Linotype" w:hAnsi="Palatino Linotype" w:cs="Palatino Linotype"/>
        </w:rPr>
      </w:pPr>
    </w:p>
    <w:p w14:paraId="28BA12EB"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Siendo que, para el caso de que no se hayan realizado inspecciones, el Sujeto Obligado deberá hacerlo del conocimiento de la parte Recurrente, en términos del párrafo segundo del artículo 19 de la Ley de Transparencia y Acceso a la Información Pública del Estado de México y Municipios. </w:t>
      </w:r>
    </w:p>
    <w:p w14:paraId="05748BEE" w14:textId="77777777" w:rsidR="005F40AF" w:rsidRPr="009D0A2F" w:rsidRDefault="005F40AF">
      <w:pPr>
        <w:spacing w:after="0" w:line="360" w:lineRule="auto"/>
        <w:jc w:val="both"/>
        <w:rPr>
          <w:rFonts w:ascii="Palatino Linotype" w:eastAsia="Palatino Linotype" w:hAnsi="Palatino Linotype" w:cs="Palatino Linotype"/>
        </w:rPr>
      </w:pPr>
    </w:p>
    <w:p w14:paraId="6328D2AB" w14:textId="77777777" w:rsidR="005F40AF" w:rsidRPr="009D0A2F" w:rsidRDefault="007B2798">
      <w:pPr>
        <w:spacing w:after="0" w:line="360" w:lineRule="auto"/>
        <w:jc w:val="both"/>
        <w:rPr>
          <w:rFonts w:ascii="Palatino Linotype" w:eastAsia="Palatino Linotype" w:hAnsi="Palatino Linotype" w:cs="Palatino Linotype"/>
          <w:b/>
        </w:rPr>
      </w:pPr>
      <w:r w:rsidRPr="009D0A2F">
        <w:rPr>
          <w:rFonts w:ascii="Palatino Linotype" w:eastAsia="Palatino Linotype" w:hAnsi="Palatino Linotype" w:cs="Palatino Linotype"/>
        </w:rPr>
        <w:lastRenderedPageBreak/>
        <w:t xml:space="preserve">Con lo que respecta al requerimiento marcado con el numeral 2), relativo a </w:t>
      </w:r>
      <w:r w:rsidRPr="009D0A2F">
        <w:rPr>
          <w:rFonts w:ascii="Palatino Linotype" w:eastAsia="Palatino Linotype" w:hAnsi="Palatino Linotype" w:cs="Palatino Linotype"/>
          <w:b/>
          <w:u w:val="single"/>
        </w:rPr>
        <w:t>¿Qué sanciones se contemplan para los negocios que han vuelto a colocar cazos en las banquetas después de haber sido retirados? o ¿Cuántos negocios han sido identificados como reincidentes y qué medidas se han tomado contra ellos?</w:t>
      </w:r>
    </w:p>
    <w:p w14:paraId="3026E694" w14:textId="77777777" w:rsidR="005F40AF" w:rsidRPr="009D0A2F" w:rsidRDefault="005F40AF">
      <w:pPr>
        <w:spacing w:after="0" w:line="360" w:lineRule="auto"/>
        <w:jc w:val="both"/>
        <w:rPr>
          <w:rFonts w:ascii="Palatino Linotype" w:eastAsia="Palatino Linotype" w:hAnsi="Palatino Linotype" w:cs="Palatino Linotype"/>
        </w:rPr>
      </w:pPr>
    </w:p>
    <w:p w14:paraId="5F688A4A"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En respuesta, el Sujeto Obligado señaló que, se había implementado parte del Programa de Reordenamiento Comercial y se había liberado la explanada municipal, no obstante, fue en informe justificado que mencionó que a la fecha del mismo se contaban con dos procedimientos legales. </w:t>
      </w:r>
    </w:p>
    <w:p w14:paraId="488E2082" w14:textId="77777777" w:rsidR="005F40AF" w:rsidRPr="009D0A2F" w:rsidRDefault="005F40AF">
      <w:pPr>
        <w:spacing w:after="0" w:line="360" w:lineRule="auto"/>
        <w:jc w:val="both"/>
        <w:rPr>
          <w:rFonts w:ascii="Palatino Linotype" w:eastAsia="Palatino Linotype" w:hAnsi="Palatino Linotype" w:cs="Palatino Linotype"/>
        </w:rPr>
      </w:pPr>
    </w:p>
    <w:p w14:paraId="0F81FD16"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En ese sentido, se considera que, del pronunciamiento realizado por la unidad administrativa competente en informe justificado se advierte que han sido dos negocios identificados como reincidentes y, por ende, se están llevando a cabo dos procedimientos legales, por lo que, se colige que se da atención al punto relacionado con ¿Cuántos negocios han sido identificados como reincidentes y qué medidas se han tomado contra ellos?</w:t>
      </w:r>
    </w:p>
    <w:p w14:paraId="08D6F103" w14:textId="77777777" w:rsidR="005F40AF" w:rsidRPr="009D0A2F" w:rsidRDefault="005F40AF">
      <w:pPr>
        <w:spacing w:after="0" w:line="360" w:lineRule="auto"/>
        <w:jc w:val="both"/>
        <w:rPr>
          <w:rFonts w:ascii="Palatino Linotype" w:eastAsia="Palatino Linotype" w:hAnsi="Palatino Linotype" w:cs="Palatino Linotype"/>
        </w:rPr>
      </w:pPr>
    </w:p>
    <w:p w14:paraId="38E8C686"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Ahora bien, por cuanto hace al requerimiento relacionado con ¿Qué sanciones se contemplan para los negocios que han vuelto a colocar cazos en las banquetas después de haber sido retirados?, no se advierte que el Sujeto Obligado se haya pronunciado expresamente sobre este punto, por lo que, se colige que, el Ente Recurrido no fue exhaustivo en brindar atención a este requerimiento. </w:t>
      </w:r>
    </w:p>
    <w:p w14:paraId="5514D2A1" w14:textId="77777777" w:rsidR="005F40AF" w:rsidRPr="009D0A2F" w:rsidRDefault="005F40AF">
      <w:pPr>
        <w:spacing w:after="0" w:line="360" w:lineRule="auto"/>
        <w:jc w:val="both"/>
        <w:rPr>
          <w:rFonts w:ascii="Palatino Linotype" w:eastAsia="Palatino Linotype" w:hAnsi="Palatino Linotype" w:cs="Palatino Linotype"/>
        </w:rPr>
      </w:pPr>
    </w:p>
    <w:p w14:paraId="1AE13D10"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Aunado a ello, como se analizó anteriormente, la Coordinación de Ordenamiento Comercial tiene dentro de sus facultades interponer sanciones administrativas a comercios que incumplan con lo establecido en las disposiciones de ordenamiento comercial.</w:t>
      </w:r>
    </w:p>
    <w:p w14:paraId="4DF048BB" w14:textId="77777777" w:rsidR="005F40AF" w:rsidRPr="009D0A2F" w:rsidRDefault="005F40AF">
      <w:pPr>
        <w:spacing w:after="0" w:line="360" w:lineRule="auto"/>
        <w:jc w:val="both"/>
        <w:rPr>
          <w:rFonts w:ascii="Palatino Linotype" w:eastAsia="Palatino Linotype" w:hAnsi="Palatino Linotype" w:cs="Palatino Linotype"/>
        </w:rPr>
      </w:pPr>
    </w:p>
    <w:p w14:paraId="1623176F"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lastRenderedPageBreak/>
        <w:t xml:space="preserve">En ese sentido, se considera procedente, ordenar una nueva búsqueda exhaustiva y razonable, con la finalidad de ordenar el documento donde consten las sanciones que se contemplan para los negocios reincidentes, al veintiuno de febrero de dos mil veinticinco, las cuales de manera enunciativa más no limitativa pudieran encontrarse en los ordenamientos normativos aplicables. </w:t>
      </w:r>
    </w:p>
    <w:p w14:paraId="5B46CD92" w14:textId="77777777" w:rsidR="005F40AF" w:rsidRPr="009D0A2F" w:rsidRDefault="005F40AF">
      <w:pPr>
        <w:spacing w:after="0" w:line="360" w:lineRule="auto"/>
        <w:jc w:val="both"/>
        <w:rPr>
          <w:rFonts w:ascii="Palatino Linotype" w:eastAsia="Palatino Linotype" w:hAnsi="Palatino Linotype" w:cs="Palatino Linotype"/>
        </w:rPr>
      </w:pPr>
    </w:p>
    <w:p w14:paraId="4649487C" w14:textId="77777777" w:rsidR="005F40AF" w:rsidRPr="009D0A2F" w:rsidRDefault="007B2798">
      <w:pPr>
        <w:spacing w:after="0" w:line="360" w:lineRule="auto"/>
        <w:jc w:val="both"/>
        <w:rPr>
          <w:rFonts w:ascii="Palatino Linotype" w:eastAsia="Palatino Linotype" w:hAnsi="Palatino Linotype" w:cs="Palatino Linotype"/>
          <w:b/>
          <w:u w:val="single"/>
        </w:rPr>
      </w:pPr>
      <w:r w:rsidRPr="009D0A2F">
        <w:rPr>
          <w:rFonts w:ascii="Palatino Linotype" w:eastAsia="Palatino Linotype" w:hAnsi="Palatino Linotype" w:cs="Palatino Linotype"/>
        </w:rPr>
        <w:t xml:space="preserve">Finalmente, en lo que corresponde al requerimiento identificado con el numeral 3) relativo a </w:t>
      </w:r>
      <w:r w:rsidRPr="009D0A2F">
        <w:rPr>
          <w:rFonts w:ascii="Palatino Linotype" w:eastAsia="Palatino Linotype" w:hAnsi="Palatino Linotype" w:cs="Palatino Linotype"/>
          <w:b/>
          <w:u w:val="single"/>
        </w:rPr>
        <w:t>¿Qué acciones implementará el Ayuntamiento para evitar que estas prácticas continúen en el futuro? o ¿Se tiene planeada alguna campaña de concientización o programa de reordenamiento para garantizar el uso adecuado del espacio público?</w:t>
      </w:r>
    </w:p>
    <w:p w14:paraId="046E8CD9" w14:textId="77777777" w:rsidR="005F40AF" w:rsidRPr="009D0A2F" w:rsidRDefault="005F40AF">
      <w:pPr>
        <w:spacing w:after="0" w:line="360" w:lineRule="auto"/>
        <w:jc w:val="both"/>
        <w:rPr>
          <w:rFonts w:ascii="Palatino Linotype" w:eastAsia="Palatino Linotype" w:hAnsi="Palatino Linotype" w:cs="Palatino Linotype"/>
        </w:rPr>
      </w:pPr>
    </w:p>
    <w:p w14:paraId="201E2578"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Es de destacar que del análisis a este requerimiento, se advierte que este, se trata de hechos futuros, es decir, se trata de información que aún no se ha generado; por lo que no es procedente que los sujetos obligados den atención a requerimientos cuya información no obra en sus archivos. </w:t>
      </w:r>
    </w:p>
    <w:p w14:paraId="3F902EC1" w14:textId="77777777" w:rsidR="005F40AF" w:rsidRPr="009D0A2F" w:rsidRDefault="005F40AF">
      <w:pPr>
        <w:spacing w:after="0" w:line="360" w:lineRule="auto"/>
        <w:jc w:val="both"/>
        <w:rPr>
          <w:rFonts w:ascii="Palatino Linotype" w:eastAsia="Palatino Linotype" w:hAnsi="Palatino Linotype" w:cs="Palatino Linotype"/>
        </w:rPr>
      </w:pPr>
    </w:p>
    <w:p w14:paraId="195E8ADE"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No obstante, en un ejercicio de máxima publicidad, el Sujeto Obligado a través de la unidad administrativa competente, mediante informe justificado mencionó que se implementaron patrullajes permanentes en dicho perímetro y la reubicación de comerciantes en la avenida Juárez y del primer cuadro han tenido una muy positiva aceptación en la ciudadanía, muestra de esto es el apoyo popular en redes sociales, las pláticas (vox </w:t>
      </w:r>
      <w:proofErr w:type="spellStart"/>
      <w:r w:rsidRPr="009D0A2F">
        <w:rPr>
          <w:rFonts w:ascii="Palatino Linotype" w:eastAsia="Palatino Linotype" w:hAnsi="Palatino Linotype" w:cs="Palatino Linotype"/>
        </w:rPr>
        <w:t>pupuli</w:t>
      </w:r>
      <w:proofErr w:type="spellEnd"/>
      <w:r w:rsidRPr="009D0A2F">
        <w:rPr>
          <w:rFonts w:ascii="Palatino Linotype" w:eastAsia="Palatino Linotype" w:hAnsi="Palatino Linotype" w:cs="Palatino Linotype"/>
        </w:rPr>
        <w:t xml:space="preserve">) de transeúntes y usuarios de la avenida Juárez y de la explanada municipal. </w:t>
      </w:r>
    </w:p>
    <w:p w14:paraId="5B021793" w14:textId="77777777" w:rsidR="005F40AF" w:rsidRPr="009D0A2F" w:rsidRDefault="005F40AF">
      <w:pPr>
        <w:spacing w:after="0" w:line="360" w:lineRule="auto"/>
        <w:jc w:val="both"/>
        <w:rPr>
          <w:rFonts w:ascii="Palatino Linotype" w:eastAsia="Palatino Linotype" w:hAnsi="Palatino Linotype" w:cs="Palatino Linotype"/>
        </w:rPr>
      </w:pPr>
    </w:p>
    <w:p w14:paraId="7A4F53B1" w14:textId="77777777" w:rsidR="005F40AF" w:rsidRPr="009D0A2F" w:rsidRDefault="007B2798">
      <w:pPr>
        <w:spacing w:after="0" w:line="360" w:lineRule="auto"/>
        <w:jc w:val="both"/>
        <w:rPr>
          <w:rFonts w:ascii="Palatino Linotype" w:eastAsia="Palatino Linotype" w:hAnsi="Palatino Linotype" w:cs="Palatino Linotype"/>
          <w:b/>
        </w:rPr>
      </w:pPr>
      <w:r w:rsidRPr="009D0A2F">
        <w:rPr>
          <w:rFonts w:ascii="Palatino Linotype" w:eastAsia="Palatino Linotype" w:hAnsi="Palatino Linotype" w:cs="Palatino Linotype"/>
        </w:rPr>
        <w:t xml:space="preserve">Por lo que se considera, que este punto de la solicitud de información, se tienen por </w:t>
      </w:r>
      <w:r w:rsidRPr="009D0A2F">
        <w:rPr>
          <w:rFonts w:ascii="Palatino Linotype" w:eastAsia="Palatino Linotype" w:hAnsi="Palatino Linotype" w:cs="Palatino Linotype"/>
          <w:b/>
        </w:rPr>
        <w:t>colmado.</w:t>
      </w:r>
    </w:p>
    <w:p w14:paraId="504A9FB7" w14:textId="77777777" w:rsidR="005F40AF" w:rsidRPr="009D0A2F" w:rsidRDefault="005F40A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9DE1768"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lastRenderedPageBreak/>
        <w:t xml:space="preserve">Es así como, en mérito de lo expuesto en líneas anteriores, resulta procedente </w:t>
      </w:r>
      <w:r w:rsidRPr="009D0A2F">
        <w:rPr>
          <w:rFonts w:ascii="Palatino Linotype" w:eastAsia="Palatino Linotype" w:hAnsi="Palatino Linotype" w:cs="Palatino Linotype"/>
          <w:b/>
        </w:rPr>
        <w:t>MODIFICAR</w:t>
      </w:r>
      <w:r w:rsidRPr="009D0A2F">
        <w:rPr>
          <w:rFonts w:ascii="Palatino Linotype" w:eastAsia="Palatino Linotype" w:hAnsi="Palatino Linotype" w:cs="Palatino Linotype"/>
        </w:rPr>
        <w:t xml:space="preserve"> la respuesta del </w:t>
      </w:r>
      <w:r w:rsidRPr="009D0A2F">
        <w:rPr>
          <w:rFonts w:ascii="Palatino Linotype" w:eastAsia="Palatino Linotype" w:hAnsi="Palatino Linotype" w:cs="Palatino Linotype"/>
          <w:b/>
        </w:rPr>
        <w:t xml:space="preserve">Sujeto Obligado </w:t>
      </w:r>
      <w:r w:rsidRPr="009D0A2F">
        <w:rPr>
          <w:rFonts w:ascii="Palatino Linotype" w:eastAsia="Palatino Linotype" w:hAnsi="Palatino Linotype" w:cs="Palatino Linotype"/>
        </w:rPr>
        <w:t xml:space="preserve">y </w:t>
      </w:r>
      <w:r w:rsidRPr="009D0A2F">
        <w:rPr>
          <w:rFonts w:ascii="Palatino Linotype" w:eastAsia="Palatino Linotype" w:hAnsi="Palatino Linotype" w:cs="Palatino Linotype"/>
          <w:b/>
        </w:rPr>
        <w:t>ORDENAR</w:t>
      </w:r>
      <w:r w:rsidRPr="009D0A2F">
        <w:rPr>
          <w:rFonts w:ascii="Palatino Linotype" w:eastAsia="Palatino Linotype" w:hAnsi="Palatino Linotype" w:cs="Palatino Linotype"/>
        </w:rPr>
        <w:t xml:space="preserve"> la entrega, de ser el caso, en versión pública, vía Sistema de Acceso a la Información Mexiquense, de lo siguiente:</w:t>
      </w:r>
    </w:p>
    <w:p w14:paraId="3834C826" w14:textId="77777777" w:rsidR="005F40AF" w:rsidRPr="009D0A2F" w:rsidRDefault="005F40AF">
      <w:pPr>
        <w:spacing w:after="0" w:line="360" w:lineRule="auto"/>
        <w:ind w:right="49"/>
        <w:jc w:val="both"/>
        <w:rPr>
          <w:rFonts w:ascii="Palatino Linotype" w:eastAsia="Palatino Linotype" w:hAnsi="Palatino Linotype" w:cs="Palatino Linotype"/>
        </w:rPr>
      </w:pPr>
    </w:p>
    <w:p w14:paraId="5BEF2BB3" w14:textId="77777777" w:rsidR="005F40AF" w:rsidRPr="009D0A2F" w:rsidRDefault="007B2798">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Documento que dé cuenta de las inspecciones realizadas relacionadas con el cumplimiento del retiro de estructuras y cazos en banquetas y avenidas, del uno de enero al veintiuno de febrero de dos mil veinticinco. </w:t>
      </w:r>
    </w:p>
    <w:p w14:paraId="016C6053" w14:textId="77777777" w:rsidR="005F40AF" w:rsidRPr="009D0A2F" w:rsidRDefault="007B2798">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Documento donde consten las sanciones que se contemplan para los negocios reincidentes, al veintiuno de febrero de dos mil veinticinco. </w:t>
      </w:r>
    </w:p>
    <w:p w14:paraId="35B81204" w14:textId="77777777" w:rsidR="005F40AF" w:rsidRPr="009D0A2F" w:rsidRDefault="005F40A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7197F054" w14:textId="77777777" w:rsidR="005F40AF" w:rsidRPr="009D0A2F" w:rsidRDefault="007B279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D0A2F">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CEBB9C1" w14:textId="77777777" w:rsidR="005F40AF" w:rsidRPr="009D0A2F" w:rsidRDefault="005F40AF">
      <w:pPr>
        <w:pBdr>
          <w:top w:val="nil"/>
          <w:left w:val="nil"/>
          <w:bottom w:val="nil"/>
          <w:right w:val="nil"/>
          <w:between w:val="nil"/>
        </w:pBdr>
        <w:spacing w:after="0"/>
        <w:ind w:left="720" w:right="49"/>
        <w:jc w:val="both"/>
        <w:rPr>
          <w:rFonts w:ascii="Palatino Linotype" w:eastAsia="Palatino Linotype" w:hAnsi="Palatino Linotype" w:cs="Palatino Linotype"/>
          <w:i/>
        </w:rPr>
      </w:pPr>
    </w:p>
    <w:p w14:paraId="2A42090A" w14:textId="77777777" w:rsidR="005F40AF" w:rsidRPr="009D0A2F" w:rsidRDefault="007B2798">
      <w:pPr>
        <w:tabs>
          <w:tab w:val="left" w:pos="720"/>
        </w:tabs>
        <w:spacing w:after="0"/>
        <w:ind w:left="567" w:right="-28"/>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Siendo que, en el supuesto que la información ordenada en el inciso a) no obre en los archivos del </w:t>
      </w:r>
      <w:r w:rsidRPr="009D0A2F">
        <w:rPr>
          <w:rFonts w:ascii="Palatino Linotype" w:eastAsia="Palatino Linotype" w:hAnsi="Palatino Linotype" w:cs="Palatino Linotype"/>
          <w:b/>
          <w:i/>
        </w:rPr>
        <w:t>SUJETO OBLIGADO</w:t>
      </w:r>
      <w:r w:rsidRPr="009D0A2F">
        <w:rPr>
          <w:rFonts w:ascii="Palatino Linotype" w:eastAsia="Palatino Linotype" w:hAnsi="Palatino Linotype" w:cs="Palatino Linotype"/>
          <w:i/>
        </w:rPr>
        <w:t xml:space="preserve">, por no haberse generado,  bastará con que este así se haga del conocimiento de </w:t>
      </w:r>
      <w:r w:rsidRPr="009D0A2F">
        <w:rPr>
          <w:rFonts w:ascii="Palatino Linotype" w:eastAsia="Palatino Linotype" w:hAnsi="Palatino Linotype" w:cs="Palatino Linotype"/>
          <w:b/>
          <w:i/>
        </w:rPr>
        <w:t>LA PARTE</w:t>
      </w:r>
      <w:r w:rsidRPr="009D0A2F">
        <w:rPr>
          <w:rFonts w:ascii="Palatino Linotype" w:eastAsia="Palatino Linotype" w:hAnsi="Palatino Linotype" w:cs="Palatino Linotype"/>
          <w:i/>
        </w:rPr>
        <w:t xml:space="preserve"> </w:t>
      </w:r>
      <w:r w:rsidRPr="009D0A2F">
        <w:rPr>
          <w:rFonts w:ascii="Palatino Linotype" w:eastAsia="Palatino Linotype" w:hAnsi="Palatino Linotype" w:cs="Palatino Linotype"/>
          <w:b/>
          <w:i/>
        </w:rPr>
        <w:t>RECURRENTE</w:t>
      </w:r>
      <w:r w:rsidRPr="009D0A2F">
        <w:rPr>
          <w:rFonts w:ascii="Palatino Linotype" w:eastAsia="Palatino Linotype" w:hAnsi="Palatino Linotype" w:cs="Palatino Linotype"/>
          <w:i/>
        </w:rPr>
        <w:t>, en términos del artículo 19, párrafo segundo de la Ley de Transparencia y Acceso a la Información Pública del Estado de México y Municipios.</w:t>
      </w:r>
    </w:p>
    <w:p w14:paraId="42619C13" w14:textId="77777777" w:rsidR="005F40AF" w:rsidRPr="009D0A2F" w:rsidRDefault="005F40AF">
      <w:pPr>
        <w:spacing w:after="0" w:line="360" w:lineRule="auto"/>
        <w:ind w:right="49"/>
        <w:jc w:val="both"/>
        <w:rPr>
          <w:rFonts w:ascii="Palatino Linotype" w:eastAsia="Palatino Linotype" w:hAnsi="Palatino Linotype" w:cs="Palatino Linotype"/>
        </w:rPr>
      </w:pPr>
    </w:p>
    <w:p w14:paraId="35AD5DC5"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b/>
        </w:rPr>
        <w:t xml:space="preserve">Quinto. Versión Pública. </w:t>
      </w:r>
      <w:r w:rsidRPr="009D0A2F">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6F31260" w14:textId="77777777" w:rsidR="005F40AF" w:rsidRPr="009D0A2F" w:rsidRDefault="005F40AF">
      <w:pPr>
        <w:spacing w:after="0" w:line="360" w:lineRule="auto"/>
        <w:jc w:val="both"/>
        <w:rPr>
          <w:rFonts w:ascii="Palatino Linotype" w:eastAsia="Palatino Linotype" w:hAnsi="Palatino Linotype" w:cs="Palatino Linotype"/>
        </w:rPr>
      </w:pPr>
    </w:p>
    <w:p w14:paraId="4614D57A"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En ese sentido, el Sujeto Obligado tendrá que elaborar la versión pública de los documentos que vaya a entregar para dar cumplimiento a esta resolución a fin de satisfacer el derecho de </w:t>
      </w:r>
      <w:r w:rsidRPr="009D0A2F">
        <w:rPr>
          <w:rFonts w:ascii="Palatino Linotype" w:eastAsia="Palatino Linotype" w:hAnsi="Palatino Linotype" w:cs="Palatino Linotype"/>
        </w:rPr>
        <w:lastRenderedPageBreak/>
        <w:t>acceso a la información pública del recurrente sin menoscabar el derecho a la protección de los datos personales de terceros.</w:t>
      </w:r>
    </w:p>
    <w:p w14:paraId="284E72AD" w14:textId="77777777" w:rsidR="005F40AF" w:rsidRPr="009D0A2F" w:rsidRDefault="005F40AF">
      <w:pPr>
        <w:spacing w:after="0" w:line="360" w:lineRule="auto"/>
        <w:jc w:val="both"/>
        <w:rPr>
          <w:rFonts w:ascii="Palatino Linotype" w:eastAsia="Palatino Linotype" w:hAnsi="Palatino Linotype" w:cs="Palatino Linotype"/>
        </w:rPr>
      </w:pPr>
    </w:p>
    <w:p w14:paraId="64922A04" w14:textId="77777777" w:rsidR="005F40AF" w:rsidRPr="009D0A2F" w:rsidRDefault="007B2798">
      <w:pPr>
        <w:spacing w:after="0" w:line="360" w:lineRule="auto"/>
        <w:ind w:right="50"/>
        <w:jc w:val="both"/>
        <w:rPr>
          <w:rFonts w:ascii="Palatino Linotype" w:eastAsia="Palatino Linotype" w:hAnsi="Palatino Linotype" w:cs="Palatino Linotype"/>
        </w:rPr>
      </w:pPr>
      <w:r w:rsidRPr="009D0A2F">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5662CD1E" w14:textId="77777777" w:rsidR="005F40AF" w:rsidRPr="009D0A2F" w:rsidRDefault="005F40AF">
      <w:pPr>
        <w:spacing w:after="0" w:line="360" w:lineRule="auto"/>
        <w:ind w:right="50"/>
        <w:jc w:val="both"/>
        <w:rPr>
          <w:rFonts w:ascii="Palatino Linotype" w:eastAsia="Palatino Linotype" w:hAnsi="Palatino Linotype" w:cs="Palatino Linotype"/>
        </w:rPr>
      </w:pPr>
    </w:p>
    <w:p w14:paraId="2763E6CB"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r w:rsidRPr="009D0A2F">
        <w:rPr>
          <w:rFonts w:ascii="Palatino Linotype" w:eastAsia="Palatino Linotype" w:hAnsi="Palatino Linotype" w:cs="Palatino Linotype"/>
          <w:b/>
          <w:i/>
        </w:rPr>
        <w:t>Artículo 3.</w:t>
      </w:r>
      <w:r w:rsidRPr="009D0A2F">
        <w:rPr>
          <w:rFonts w:ascii="Palatino Linotype" w:eastAsia="Palatino Linotype" w:hAnsi="Palatino Linotype" w:cs="Palatino Linotype"/>
          <w:i/>
        </w:rPr>
        <w:t xml:space="preserve"> Para los efectos de la presente Ley se entenderá por:</w:t>
      </w:r>
    </w:p>
    <w:p w14:paraId="3E99CCFE"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p>
    <w:p w14:paraId="2D59FE8C"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0870544"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XX. Información clasificada: Aquella considerada por la presente Ley como reservada o confidencial;</w:t>
      </w:r>
    </w:p>
    <w:p w14:paraId="06E1FBB1"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6815DB0"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4BF3FF1B"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p>
    <w:p w14:paraId="6A8E844D"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Artículo 91.</w:t>
      </w:r>
      <w:r w:rsidRPr="009D0A2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8766179"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Artículo 132.</w:t>
      </w:r>
      <w:r w:rsidRPr="009D0A2F">
        <w:rPr>
          <w:rFonts w:ascii="Palatino Linotype" w:eastAsia="Palatino Linotype" w:hAnsi="Palatino Linotype" w:cs="Palatino Linotype"/>
          <w:i/>
        </w:rPr>
        <w:t xml:space="preserve"> La clasificación de la información se llevará a cabo en el momento en que:</w:t>
      </w:r>
    </w:p>
    <w:p w14:paraId="7086678C" w14:textId="77777777" w:rsidR="005F40AF" w:rsidRPr="009D0A2F" w:rsidRDefault="007B2798">
      <w:pPr>
        <w:tabs>
          <w:tab w:val="left" w:pos="1134"/>
        </w:tabs>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 Se reciba una solicitud de acceso a la información;</w:t>
      </w:r>
    </w:p>
    <w:p w14:paraId="6F3F6B27" w14:textId="77777777" w:rsidR="005F40AF" w:rsidRPr="009D0A2F" w:rsidRDefault="007B2798">
      <w:pPr>
        <w:tabs>
          <w:tab w:val="left" w:pos="1134"/>
        </w:tabs>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II. Se determine mediante resolución de autoridad competente; o</w:t>
      </w:r>
    </w:p>
    <w:p w14:paraId="6EFEBCC3" w14:textId="77777777" w:rsidR="005F40AF" w:rsidRPr="009D0A2F" w:rsidRDefault="007B2798">
      <w:pPr>
        <w:tabs>
          <w:tab w:val="left" w:pos="1134"/>
        </w:tabs>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III. Se generen versiones públicas para dar cumplimiento a las obligaciones de transparencia previstas en esta Ley.</w:t>
      </w:r>
    </w:p>
    <w:p w14:paraId="3D9C7FF3"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p>
    <w:p w14:paraId="37E5518A"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Artículo 143</w:t>
      </w:r>
      <w:r w:rsidRPr="009D0A2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375E0D0"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lastRenderedPageBreak/>
        <w:t>I. Se refiera a la información privada y los datos personales concernientes a una persona física o jurídico colectiva identificada o identificable;</w:t>
      </w:r>
    </w:p>
    <w:p w14:paraId="0C3E88EC"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61774DD"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CEB25CA"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415989D"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B8C9DE6" w14:textId="77777777" w:rsidR="005F40AF" w:rsidRPr="009D0A2F" w:rsidRDefault="005F40AF">
      <w:pPr>
        <w:spacing w:after="0"/>
        <w:ind w:left="567" w:right="616"/>
        <w:jc w:val="both"/>
        <w:rPr>
          <w:rFonts w:ascii="Palatino Linotype" w:eastAsia="Palatino Linotype" w:hAnsi="Palatino Linotype" w:cs="Palatino Linotype"/>
          <w:i/>
        </w:rPr>
      </w:pPr>
    </w:p>
    <w:p w14:paraId="2C923262"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A3AB6B" w14:textId="77777777" w:rsidR="005F40AF" w:rsidRPr="009D0A2F" w:rsidRDefault="005F40AF">
      <w:pPr>
        <w:spacing w:after="0"/>
        <w:jc w:val="both"/>
        <w:rPr>
          <w:rFonts w:ascii="Palatino Linotype" w:eastAsia="Palatino Linotype" w:hAnsi="Palatino Linotype" w:cs="Palatino Linotype"/>
        </w:rPr>
      </w:pPr>
    </w:p>
    <w:p w14:paraId="44F4358F"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67B79B5E" w14:textId="77777777" w:rsidR="005F40AF" w:rsidRPr="009D0A2F" w:rsidRDefault="005F40AF">
      <w:pPr>
        <w:spacing w:after="0" w:line="360" w:lineRule="auto"/>
        <w:jc w:val="both"/>
        <w:rPr>
          <w:rFonts w:ascii="Palatino Linotype" w:eastAsia="Palatino Linotype" w:hAnsi="Palatino Linotype" w:cs="Palatino Linotype"/>
        </w:rPr>
      </w:pPr>
    </w:p>
    <w:p w14:paraId="09D05EFC"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 “</w:t>
      </w:r>
      <w:r w:rsidRPr="009D0A2F">
        <w:rPr>
          <w:rFonts w:ascii="Palatino Linotype" w:eastAsia="Palatino Linotype" w:hAnsi="Palatino Linotype" w:cs="Palatino Linotype"/>
          <w:b/>
          <w:i/>
        </w:rPr>
        <w:t>Quincuagésimo</w:t>
      </w:r>
      <w:r w:rsidRPr="009D0A2F">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w:t>
      </w:r>
      <w:r w:rsidRPr="009D0A2F">
        <w:rPr>
          <w:rFonts w:ascii="Palatino Linotype" w:eastAsia="Palatino Linotype" w:hAnsi="Palatino Linotype" w:cs="Palatino Linotype"/>
          <w:i/>
        </w:rPr>
        <w:lastRenderedPageBreak/>
        <w:t xml:space="preserve">expedientes, siempre y cuando cumplan lo establecido en los presentes Lineamientos, así como en las correspondientes Leyes Generales. </w:t>
      </w:r>
    </w:p>
    <w:p w14:paraId="19D8AA5D"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Quincuagésimo primero.</w:t>
      </w:r>
      <w:r w:rsidRPr="009D0A2F">
        <w:rPr>
          <w:rFonts w:ascii="Palatino Linotype" w:eastAsia="Palatino Linotype" w:hAnsi="Palatino Linotype" w:cs="Palatino Linotype"/>
          <w:i/>
        </w:rPr>
        <w:t xml:space="preserve"> Toda acta del Comité de Transparencia deberá contener: </w:t>
      </w:r>
    </w:p>
    <w:p w14:paraId="280C69D5"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 El número de sesión y fecha; </w:t>
      </w:r>
    </w:p>
    <w:p w14:paraId="7F44E51F"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II. El nombre del área que solicitó la clasificación de información; </w:t>
      </w:r>
    </w:p>
    <w:p w14:paraId="1116C0D0"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III. La fundamentación legal y motivación correspondiente; </w:t>
      </w:r>
    </w:p>
    <w:p w14:paraId="30EFAA6E"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IV. La resolución o resoluciones aprobadas; y </w:t>
      </w:r>
    </w:p>
    <w:p w14:paraId="756A00A5"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V. La rúbrica o firma digital de cada integrante del Comité de Transparencia. </w:t>
      </w:r>
    </w:p>
    <w:p w14:paraId="7EA7AD1A"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1A8C5B2"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 Los motivos y razonamientos que sustenten la confirmación o modificación de la prueba de daño;</w:t>
      </w:r>
    </w:p>
    <w:p w14:paraId="42B4EBE5"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II. Descripción de las partes o secciones reservadas, en caso de clasificación parcial; </w:t>
      </w:r>
    </w:p>
    <w:p w14:paraId="31CA8CCE"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III. El periodo por el que mantendrá su clasificación y fecha de expiración; y </w:t>
      </w:r>
    </w:p>
    <w:p w14:paraId="42888D42"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IV. El nombre del titular y área encargada de realizar la versión pública del documento, en su caso. </w:t>
      </w:r>
    </w:p>
    <w:p w14:paraId="0B9FEF54"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1AD0E89"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71346E8"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Quincuagésimo segundo.</w:t>
      </w:r>
      <w:r w:rsidRPr="009D0A2F">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9940167"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3E06C56D"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 Fijar la fecha en que se elaboró la versión pública y la fecha en la cual el Comité de Transparencia confirmó dicha versión;</w:t>
      </w:r>
    </w:p>
    <w:p w14:paraId="24D0CDED"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978C314"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III. Señalar las personas o instancias autorizadas a acceder a la información clasificada.</w:t>
      </w:r>
    </w:p>
    <w:p w14:paraId="28E0C922"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lastRenderedPageBreak/>
        <w:t>En los documentos de difusión electrónica, señalar en la primera hoja y en el nombre del archivo, que la versión pública corresponde a un documento que contiene información confidencial.”</w:t>
      </w:r>
    </w:p>
    <w:p w14:paraId="5290E25C"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1B48C86E" w14:textId="77777777" w:rsidR="005F40AF" w:rsidRPr="009D0A2F" w:rsidRDefault="005F40AF">
      <w:pPr>
        <w:spacing w:after="0" w:line="360" w:lineRule="auto"/>
        <w:jc w:val="both"/>
        <w:rPr>
          <w:rFonts w:ascii="Palatino Linotype" w:eastAsia="Palatino Linotype" w:hAnsi="Palatino Linotype" w:cs="Palatino Linotype"/>
        </w:rPr>
      </w:pPr>
    </w:p>
    <w:p w14:paraId="523DD1BE" w14:textId="77777777" w:rsidR="005F40AF" w:rsidRPr="009D0A2F" w:rsidRDefault="007B279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r w:rsidRPr="009D0A2F">
        <w:rPr>
          <w:rFonts w:ascii="Palatino Linotype" w:eastAsia="Palatino Linotype" w:hAnsi="Palatino Linotype" w:cs="Palatino Linotype"/>
          <w:b/>
          <w:i/>
        </w:rPr>
        <w:t>Quincuagésimo cuarto.</w:t>
      </w:r>
      <w:r w:rsidRPr="009D0A2F">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8A43F31"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Quincuagésimo quinto.</w:t>
      </w:r>
      <w:r w:rsidRPr="009D0A2F">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9D0A2F">
        <w:rPr>
          <w:rFonts w:ascii="Palatino Linotype" w:eastAsia="Palatino Linotype" w:hAnsi="Palatino Linotype" w:cs="Palatino Linotype"/>
          <w:i/>
        </w:rPr>
        <w:t>testado</w:t>
      </w:r>
      <w:proofErr w:type="spellEnd"/>
      <w:r w:rsidRPr="009D0A2F">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018F41F"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w:t>
      </w:r>
    </w:p>
    <w:p w14:paraId="185A2161"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b/>
          <w:i/>
        </w:rPr>
        <w:t>Quincuagésimo séptimo.</w:t>
      </w:r>
      <w:r w:rsidRPr="009D0A2F">
        <w:rPr>
          <w:rFonts w:ascii="Palatino Linotype" w:eastAsia="Palatino Linotype" w:hAnsi="Palatino Linotype" w:cs="Palatino Linotype"/>
          <w:i/>
        </w:rPr>
        <w:t xml:space="preserve"> Se considera, en principio, como información pública y no podrá omitirse de las versiones públicas la siguiente: </w:t>
      </w:r>
    </w:p>
    <w:p w14:paraId="54BF5117"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A96CACD"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15EF0672"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DD71371"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F11893B" w14:textId="77777777" w:rsidR="005F40AF" w:rsidRPr="009D0A2F" w:rsidRDefault="007B2798">
      <w:pPr>
        <w:spacing w:after="0"/>
        <w:ind w:left="567" w:right="616"/>
        <w:jc w:val="both"/>
        <w:rPr>
          <w:rFonts w:ascii="Palatino Linotype" w:eastAsia="Palatino Linotype" w:hAnsi="Palatino Linotype" w:cs="Palatino Linotype"/>
          <w:i/>
        </w:rPr>
      </w:pPr>
      <w:r w:rsidRPr="009D0A2F">
        <w:rPr>
          <w:rFonts w:ascii="Palatino Linotype" w:eastAsia="Palatino Linotype" w:hAnsi="Palatino Linotype" w:cs="Palatino Linotype"/>
          <w:i/>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14:paraId="2ECA523C" w14:textId="77777777" w:rsidR="005F40AF" w:rsidRPr="009D0A2F" w:rsidRDefault="005F40AF">
      <w:pPr>
        <w:spacing w:after="0" w:line="360" w:lineRule="auto"/>
        <w:jc w:val="both"/>
        <w:rPr>
          <w:rFonts w:ascii="Palatino Linotype" w:eastAsia="Palatino Linotype" w:hAnsi="Palatino Linotype" w:cs="Palatino Linotype"/>
        </w:rPr>
      </w:pPr>
    </w:p>
    <w:p w14:paraId="22C18B4F" w14:textId="77777777" w:rsidR="005F40AF" w:rsidRPr="009D0A2F" w:rsidRDefault="007B2798">
      <w:pPr>
        <w:spacing w:after="0" w:line="360" w:lineRule="auto"/>
        <w:jc w:val="both"/>
        <w:rPr>
          <w:rFonts w:ascii="Palatino Linotype" w:eastAsia="Palatino Linotype" w:hAnsi="Palatino Linotype" w:cs="Palatino Linotype"/>
        </w:rPr>
      </w:pPr>
      <w:r w:rsidRPr="009D0A2F">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60A226C" w14:textId="77777777" w:rsidR="005F40AF" w:rsidRPr="009D0A2F" w:rsidRDefault="005F40AF">
      <w:pPr>
        <w:spacing w:after="0" w:line="360" w:lineRule="auto"/>
        <w:ind w:right="49"/>
        <w:jc w:val="both"/>
        <w:rPr>
          <w:rFonts w:ascii="Palatino Linotype" w:eastAsia="Palatino Linotype" w:hAnsi="Palatino Linotype" w:cs="Palatino Linotype"/>
        </w:rPr>
      </w:pPr>
    </w:p>
    <w:p w14:paraId="7DD7896F" w14:textId="77777777" w:rsidR="005F40AF" w:rsidRPr="009D0A2F" w:rsidRDefault="007B2798">
      <w:pPr>
        <w:spacing w:after="0" w:line="360" w:lineRule="auto"/>
        <w:ind w:right="49"/>
        <w:jc w:val="both"/>
        <w:rPr>
          <w:rFonts w:ascii="Palatino Linotype" w:eastAsia="Palatino Linotype" w:hAnsi="Palatino Linotype" w:cs="Palatino Linotype"/>
          <w:b/>
        </w:rPr>
      </w:pPr>
      <w:r w:rsidRPr="009D0A2F">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Pr="009D0A2F">
        <w:rPr>
          <w:rFonts w:ascii="Palatino Linotype" w:eastAsia="Palatino Linotype" w:hAnsi="Palatino Linotype" w:cs="Palatino Linotype"/>
          <w:b/>
        </w:rPr>
        <w:t>la parte</w:t>
      </w:r>
      <w:r w:rsidRPr="009D0A2F">
        <w:rPr>
          <w:rFonts w:ascii="Palatino Linotype" w:eastAsia="Palatino Linotype" w:hAnsi="Palatino Linotype" w:cs="Palatino Linotype"/>
        </w:rPr>
        <w:t xml:space="preserve"> </w:t>
      </w:r>
      <w:r w:rsidRPr="009D0A2F">
        <w:rPr>
          <w:rFonts w:ascii="Palatino Linotype" w:eastAsia="Palatino Linotype" w:hAnsi="Palatino Linotype" w:cs="Palatino Linotype"/>
          <w:b/>
        </w:rPr>
        <w:t>Recurrente</w:t>
      </w:r>
      <w:r w:rsidRPr="009D0A2F">
        <w:rPr>
          <w:rFonts w:ascii="Palatino Linotype" w:eastAsia="Palatino Linotype" w:hAnsi="Palatino Linotype" w:cs="Palatino Linotype"/>
        </w:rPr>
        <w:t xml:space="preserve"> dentro del recurso de revisión </w:t>
      </w:r>
      <w:r w:rsidRPr="009D0A2F">
        <w:rPr>
          <w:rFonts w:ascii="Palatino Linotype" w:eastAsia="Palatino Linotype" w:hAnsi="Palatino Linotype" w:cs="Palatino Linotype"/>
          <w:b/>
        </w:rPr>
        <w:t>02679/INFOEM/IP/RR/2025</w:t>
      </w:r>
      <w:r w:rsidRPr="009D0A2F">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9D0A2F">
        <w:rPr>
          <w:rFonts w:ascii="Palatino Linotype" w:eastAsia="Palatino Linotype" w:hAnsi="Palatino Linotype" w:cs="Palatino Linotype"/>
          <w:b/>
        </w:rPr>
        <w:t xml:space="preserve"> MODIFICA </w:t>
      </w:r>
      <w:r w:rsidRPr="009D0A2F">
        <w:rPr>
          <w:rFonts w:ascii="Palatino Linotype" w:eastAsia="Palatino Linotype" w:hAnsi="Palatino Linotype" w:cs="Palatino Linotype"/>
        </w:rPr>
        <w:t xml:space="preserve">la respuesta a la solicitud de información número </w:t>
      </w:r>
      <w:r w:rsidRPr="009D0A2F">
        <w:rPr>
          <w:rFonts w:ascii="Palatino Linotype" w:eastAsia="Palatino Linotype" w:hAnsi="Palatino Linotype" w:cs="Palatino Linotype"/>
          <w:b/>
        </w:rPr>
        <w:t xml:space="preserve">00069/HUEHUTO/IP/2025. </w:t>
      </w:r>
    </w:p>
    <w:p w14:paraId="50C05F6F" w14:textId="77777777" w:rsidR="005F40AF" w:rsidRPr="009D0A2F" w:rsidRDefault="005F40AF">
      <w:pPr>
        <w:spacing w:after="0" w:line="360" w:lineRule="auto"/>
        <w:ind w:right="49"/>
        <w:jc w:val="both"/>
        <w:rPr>
          <w:rFonts w:ascii="Palatino Linotype" w:eastAsia="Palatino Linotype" w:hAnsi="Palatino Linotype" w:cs="Palatino Linotype"/>
          <w:b/>
        </w:rPr>
      </w:pPr>
    </w:p>
    <w:p w14:paraId="7F1A05C1"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45BB48D" w14:textId="77777777" w:rsidR="005F40AF" w:rsidRPr="009D0A2F" w:rsidRDefault="005F40AF">
      <w:pPr>
        <w:spacing w:after="0" w:line="360" w:lineRule="auto"/>
        <w:ind w:right="49"/>
        <w:jc w:val="both"/>
        <w:rPr>
          <w:rFonts w:ascii="Palatino Linotype" w:eastAsia="Palatino Linotype" w:hAnsi="Palatino Linotype" w:cs="Palatino Linotype"/>
        </w:rPr>
      </w:pPr>
      <w:bookmarkStart w:id="3" w:name="_heading=h.iq69b6iyosld" w:colFirst="0" w:colLast="0"/>
      <w:bookmarkEnd w:id="3"/>
    </w:p>
    <w:p w14:paraId="6D2A4D60" w14:textId="77777777" w:rsidR="005F40AF" w:rsidRPr="009D0A2F" w:rsidRDefault="005F40AF">
      <w:pPr>
        <w:spacing w:after="0" w:line="360" w:lineRule="auto"/>
        <w:ind w:right="49"/>
        <w:jc w:val="both"/>
        <w:rPr>
          <w:rFonts w:ascii="Palatino Linotype" w:eastAsia="Palatino Linotype" w:hAnsi="Palatino Linotype" w:cs="Palatino Linotype"/>
        </w:rPr>
      </w:pPr>
    </w:p>
    <w:p w14:paraId="0AE75902" w14:textId="77777777" w:rsidR="005F40AF" w:rsidRPr="009D0A2F" w:rsidRDefault="007B2798">
      <w:pPr>
        <w:spacing w:after="0" w:line="360" w:lineRule="auto"/>
        <w:ind w:right="49"/>
        <w:jc w:val="center"/>
        <w:rPr>
          <w:rFonts w:ascii="Palatino Linotype" w:eastAsia="Palatino Linotype" w:hAnsi="Palatino Linotype" w:cs="Palatino Linotype"/>
          <w:b/>
        </w:rPr>
      </w:pPr>
      <w:r w:rsidRPr="009D0A2F">
        <w:rPr>
          <w:rFonts w:ascii="Palatino Linotype" w:eastAsia="Palatino Linotype" w:hAnsi="Palatino Linotype" w:cs="Palatino Linotype"/>
          <w:b/>
        </w:rPr>
        <w:lastRenderedPageBreak/>
        <w:t>III.</w:t>
      </w:r>
      <w:r w:rsidRPr="009D0A2F">
        <w:rPr>
          <w:rFonts w:ascii="Palatino Linotype" w:eastAsia="Palatino Linotype" w:hAnsi="Palatino Linotype" w:cs="Palatino Linotype"/>
          <w:b/>
        </w:rPr>
        <w:tab/>
        <w:t>R E S U E L V E:</w:t>
      </w:r>
    </w:p>
    <w:p w14:paraId="684E6263" w14:textId="77777777" w:rsidR="005F40AF" w:rsidRPr="009D0A2F" w:rsidRDefault="005F40AF">
      <w:pPr>
        <w:spacing w:after="0" w:line="360" w:lineRule="auto"/>
        <w:ind w:right="49"/>
        <w:jc w:val="center"/>
        <w:rPr>
          <w:rFonts w:ascii="Palatino Linotype" w:eastAsia="Palatino Linotype" w:hAnsi="Palatino Linotype" w:cs="Palatino Linotype"/>
          <w:b/>
        </w:rPr>
      </w:pPr>
    </w:p>
    <w:p w14:paraId="222166CE"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b/>
        </w:rPr>
        <w:t>Primero.</w:t>
      </w:r>
      <w:r w:rsidRPr="009D0A2F">
        <w:rPr>
          <w:rFonts w:ascii="Palatino Linotype" w:eastAsia="Palatino Linotype" w:hAnsi="Palatino Linotype" w:cs="Palatino Linotype"/>
        </w:rPr>
        <w:t xml:space="preserve"> Resultan</w:t>
      </w:r>
      <w:r w:rsidRPr="009D0A2F">
        <w:rPr>
          <w:rFonts w:ascii="Palatino Linotype" w:eastAsia="Palatino Linotype" w:hAnsi="Palatino Linotype" w:cs="Palatino Linotype"/>
          <w:b/>
        </w:rPr>
        <w:t xml:space="preserve"> fundados</w:t>
      </w:r>
      <w:r w:rsidRPr="009D0A2F">
        <w:rPr>
          <w:rFonts w:ascii="Palatino Linotype" w:eastAsia="Palatino Linotype" w:hAnsi="Palatino Linotype" w:cs="Palatino Linotype"/>
        </w:rPr>
        <w:t xml:space="preserve"> los motivos de inconformidad hechos valer por </w:t>
      </w:r>
      <w:r w:rsidRPr="009D0A2F">
        <w:rPr>
          <w:rFonts w:ascii="Palatino Linotype" w:eastAsia="Palatino Linotype" w:hAnsi="Palatino Linotype" w:cs="Palatino Linotype"/>
          <w:b/>
        </w:rPr>
        <w:t>la parte</w:t>
      </w:r>
      <w:r w:rsidRPr="009D0A2F">
        <w:rPr>
          <w:rFonts w:ascii="Palatino Linotype" w:eastAsia="Palatino Linotype" w:hAnsi="Palatino Linotype" w:cs="Palatino Linotype"/>
        </w:rPr>
        <w:t xml:space="preserve"> </w:t>
      </w:r>
      <w:r w:rsidRPr="009D0A2F">
        <w:rPr>
          <w:rFonts w:ascii="Palatino Linotype" w:eastAsia="Palatino Linotype" w:hAnsi="Palatino Linotype" w:cs="Palatino Linotype"/>
          <w:b/>
        </w:rPr>
        <w:t>Recurrente</w:t>
      </w:r>
      <w:r w:rsidRPr="009D0A2F">
        <w:rPr>
          <w:rFonts w:ascii="Palatino Linotype" w:eastAsia="Palatino Linotype" w:hAnsi="Palatino Linotype" w:cs="Palatino Linotype"/>
        </w:rPr>
        <w:t xml:space="preserve"> en el Recurso de Revisión </w:t>
      </w:r>
      <w:r w:rsidRPr="009D0A2F">
        <w:rPr>
          <w:rFonts w:ascii="Palatino Linotype" w:eastAsia="Palatino Linotype" w:hAnsi="Palatino Linotype" w:cs="Palatino Linotype"/>
          <w:b/>
        </w:rPr>
        <w:t>02679/INFOEM/IP/RR/2025</w:t>
      </w:r>
      <w:r w:rsidRPr="009D0A2F">
        <w:rPr>
          <w:rFonts w:ascii="Palatino Linotype" w:eastAsia="Palatino Linotype" w:hAnsi="Palatino Linotype" w:cs="Palatino Linotype"/>
        </w:rPr>
        <w:t xml:space="preserve">, por lo que, en términos del </w:t>
      </w:r>
      <w:r w:rsidRPr="009D0A2F">
        <w:rPr>
          <w:rFonts w:ascii="Palatino Linotype" w:eastAsia="Palatino Linotype" w:hAnsi="Palatino Linotype" w:cs="Palatino Linotype"/>
          <w:b/>
        </w:rPr>
        <w:t>Considerando Cuarto</w:t>
      </w:r>
      <w:r w:rsidRPr="009D0A2F">
        <w:rPr>
          <w:rFonts w:ascii="Palatino Linotype" w:eastAsia="Palatino Linotype" w:hAnsi="Palatino Linotype" w:cs="Palatino Linotype"/>
        </w:rPr>
        <w:t xml:space="preserve"> de esta resolución, se </w:t>
      </w:r>
      <w:r w:rsidRPr="009D0A2F">
        <w:rPr>
          <w:rFonts w:ascii="Palatino Linotype" w:eastAsia="Palatino Linotype" w:hAnsi="Palatino Linotype" w:cs="Palatino Linotype"/>
          <w:b/>
        </w:rPr>
        <w:t xml:space="preserve">MODIFICA </w:t>
      </w:r>
      <w:r w:rsidRPr="009D0A2F">
        <w:rPr>
          <w:rFonts w:ascii="Palatino Linotype" w:eastAsia="Palatino Linotype" w:hAnsi="Palatino Linotype" w:cs="Palatino Linotype"/>
        </w:rPr>
        <w:t xml:space="preserve">la respuesta emitida por el </w:t>
      </w:r>
      <w:r w:rsidRPr="009D0A2F">
        <w:rPr>
          <w:rFonts w:ascii="Palatino Linotype" w:eastAsia="Palatino Linotype" w:hAnsi="Palatino Linotype" w:cs="Palatino Linotype"/>
          <w:b/>
        </w:rPr>
        <w:t>Sujeto Obligado</w:t>
      </w:r>
      <w:r w:rsidRPr="009D0A2F">
        <w:rPr>
          <w:rFonts w:ascii="Palatino Linotype" w:eastAsia="Palatino Linotype" w:hAnsi="Palatino Linotype" w:cs="Palatino Linotype"/>
        </w:rPr>
        <w:t>.</w:t>
      </w:r>
    </w:p>
    <w:p w14:paraId="7671A375" w14:textId="77777777" w:rsidR="005F40AF" w:rsidRPr="009D0A2F" w:rsidRDefault="005F40AF">
      <w:pPr>
        <w:spacing w:after="0" w:line="360" w:lineRule="auto"/>
        <w:ind w:right="49"/>
        <w:jc w:val="both"/>
        <w:rPr>
          <w:rFonts w:ascii="Palatino Linotype" w:eastAsia="Palatino Linotype" w:hAnsi="Palatino Linotype" w:cs="Palatino Linotype"/>
        </w:rPr>
      </w:pPr>
    </w:p>
    <w:p w14:paraId="0098A94F"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b/>
        </w:rPr>
        <w:t>Segundo</w:t>
      </w:r>
      <w:r w:rsidRPr="009D0A2F">
        <w:rPr>
          <w:rFonts w:ascii="Palatino Linotype" w:eastAsia="Palatino Linotype" w:hAnsi="Palatino Linotype" w:cs="Palatino Linotype"/>
        </w:rPr>
        <w:t xml:space="preserve">. Se </w:t>
      </w:r>
      <w:r w:rsidRPr="009D0A2F">
        <w:rPr>
          <w:rFonts w:ascii="Palatino Linotype" w:eastAsia="Palatino Linotype" w:hAnsi="Palatino Linotype" w:cs="Palatino Linotype"/>
          <w:b/>
        </w:rPr>
        <w:t>ORDENA</w:t>
      </w:r>
      <w:r w:rsidRPr="009D0A2F">
        <w:rPr>
          <w:rFonts w:ascii="Palatino Linotype" w:eastAsia="Palatino Linotype" w:hAnsi="Palatino Linotype" w:cs="Palatino Linotype"/>
        </w:rPr>
        <w:t xml:space="preserve"> al </w:t>
      </w:r>
      <w:r w:rsidRPr="009D0A2F">
        <w:rPr>
          <w:rFonts w:ascii="Palatino Linotype" w:eastAsia="Palatino Linotype" w:hAnsi="Palatino Linotype" w:cs="Palatino Linotype"/>
          <w:b/>
        </w:rPr>
        <w:t xml:space="preserve">Sujeto Obligado </w:t>
      </w:r>
      <w:r w:rsidRPr="009D0A2F">
        <w:rPr>
          <w:rFonts w:ascii="Palatino Linotype" w:eastAsia="Palatino Linotype" w:hAnsi="Palatino Linotype" w:cs="Palatino Linotype"/>
        </w:rPr>
        <w:t xml:space="preserve">a que, en observancia de los </w:t>
      </w:r>
      <w:r w:rsidRPr="009D0A2F">
        <w:rPr>
          <w:rFonts w:ascii="Palatino Linotype" w:eastAsia="Palatino Linotype" w:hAnsi="Palatino Linotype" w:cs="Palatino Linotype"/>
          <w:b/>
        </w:rPr>
        <w:t>Considerandos Cuarto y Quinto</w:t>
      </w:r>
      <w:r w:rsidRPr="009D0A2F">
        <w:rPr>
          <w:rFonts w:ascii="Palatino Linotype" w:eastAsia="Palatino Linotype" w:hAnsi="Palatino Linotype" w:cs="Palatino Linotype"/>
        </w:rPr>
        <w:t xml:space="preserve">, haga entrega, de ser el caso en versión pública, vía Sistema de Acceso a la Información Mexiquense </w:t>
      </w:r>
      <w:r w:rsidRPr="009D0A2F">
        <w:rPr>
          <w:rFonts w:ascii="Palatino Linotype" w:eastAsia="Palatino Linotype" w:hAnsi="Palatino Linotype" w:cs="Palatino Linotype"/>
          <w:b/>
        </w:rPr>
        <w:t>(SAIMEX)</w:t>
      </w:r>
      <w:r w:rsidRPr="009D0A2F">
        <w:rPr>
          <w:rFonts w:ascii="Palatino Linotype" w:eastAsia="Palatino Linotype" w:hAnsi="Palatino Linotype" w:cs="Palatino Linotype"/>
        </w:rPr>
        <w:t>, de lo siguiente:</w:t>
      </w:r>
    </w:p>
    <w:p w14:paraId="7BA3DB17" w14:textId="77777777" w:rsidR="005F40AF" w:rsidRPr="009D0A2F" w:rsidRDefault="005F40AF">
      <w:pPr>
        <w:spacing w:after="0" w:line="360" w:lineRule="auto"/>
        <w:ind w:right="49"/>
        <w:jc w:val="both"/>
        <w:rPr>
          <w:rFonts w:ascii="Palatino Linotype" w:eastAsia="Palatino Linotype" w:hAnsi="Palatino Linotype" w:cs="Palatino Linotype"/>
        </w:rPr>
      </w:pPr>
    </w:p>
    <w:p w14:paraId="581905AE" w14:textId="77777777" w:rsidR="005F40AF" w:rsidRPr="009D0A2F" w:rsidRDefault="007B279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Documento que dé cuenta de las inspecciones realizadas relacionadas con el cumplimiento del retiro de estructuras y cazos en banquetas y avenidas del uno de enero al veintiuno de febrero de dos mil veinticinco.</w:t>
      </w:r>
    </w:p>
    <w:p w14:paraId="52FBC10C" w14:textId="77777777" w:rsidR="005F40AF" w:rsidRPr="009D0A2F" w:rsidRDefault="007B279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 xml:space="preserve">Documento donde consten las sanciones que se contemplan para los negocios reincidentes, al veintiuno de febrero de dos mil veinticinco. </w:t>
      </w:r>
    </w:p>
    <w:p w14:paraId="1F29C539" w14:textId="77777777" w:rsidR="005F40AF" w:rsidRPr="009D0A2F" w:rsidRDefault="005F40A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07FE9B6" w14:textId="77777777" w:rsidR="005F40AF" w:rsidRPr="009D0A2F" w:rsidRDefault="007B2798">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D0A2F">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635A1F6" w14:textId="77777777" w:rsidR="005F40AF" w:rsidRPr="009D0A2F" w:rsidRDefault="005F40AF">
      <w:pPr>
        <w:pBdr>
          <w:top w:val="nil"/>
          <w:left w:val="nil"/>
          <w:bottom w:val="nil"/>
          <w:right w:val="nil"/>
          <w:between w:val="nil"/>
        </w:pBdr>
        <w:spacing w:after="0"/>
        <w:ind w:left="720" w:right="49"/>
        <w:jc w:val="both"/>
        <w:rPr>
          <w:rFonts w:ascii="Palatino Linotype" w:eastAsia="Palatino Linotype" w:hAnsi="Palatino Linotype" w:cs="Palatino Linotype"/>
          <w:i/>
        </w:rPr>
      </w:pPr>
    </w:p>
    <w:p w14:paraId="32935912" w14:textId="77777777" w:rsidR="005F40AF" w:rsidRPr="009D0A2F" w:rsidRDefault="007B2798">
      <w:pPr>
        <w:tabs>
          <w:tab w:val="left" w:pos="720"/>
        </w:tabs>
        <w:spacing w:after="0"/>
        <w:ind w:left="567" w:right="-28"/>
        <w:jc w:val="both"/>
        <w:rPr>
          <w:rFonts w:ascii="Palatino Linotype" w:eastAsia="Palatino Linotype" w:hAnsi="Palatino Linotype" w:cs="Palatino Linotype"/>
          <w:i/>
        </w:rPr>
      </w:pPr>
      <w:r w:rsidRPr="009D0A2F">
        <w:rPr>
          <w:rFonts w:ascii="Palatino Linotype" w:eastAsia="Palatino Linotype" w:hAnsi="Palatino Linotype" w:cs="Palatino Linotype"/>
          <w:i/>
        </w:rPr>
        <w:t xml:space="preserve">Siendo que, en el supuesto que la información ordenada en el inciso a) no obre en los archivos del </w:t>
      </w:r>
      <w:r w:rsidRPr="009D0A2F">
        <w:rPr>
          <w:rFonts w:ascii="Palatino Linotype" w:eastAsia="Palatino Linotype" w:hAnsi="Palatino Linotype" w:cs="Palatino Linotype"/>
          <w:b/>
          <w:i/>
        </w:rPr>
        <w:t>SUJETO OBLIGADO</w:t>
      </w:r>
      <w:r w:rsidRPr="009D0A2F">
        <w:rPr>
          <w:rFonts w:ascii="Palatino Linotype" w:eastAsia="Palatino Linotype" w:hAnsi="Palatino Linotype" w:cs="Palatino Linotype"/>
          <w:i/>
        </w:rPr>
        <w:t xml:space="preserve">, por no haberse generado,  bastará con que este así se haga del conocimiento de </w:t>
      </w:r>
      <w:r w:rsidRPr="009D0A2F">
        <w:rPr>
          <w:rFonts w:ascii="Palatino Linotype" w:eastAsia="Palatino Linotype" w:hAnsi="Palatino Linotype" w:cs="Palatino Linotype"/>
          <w:b/>
          <w:i/>
        </w:rPr>
        <w:t>LA PARTE</w:t>
      </w:r>
      <w:r w:rsidRPr="009D0A2F">
        <w:rPr>
          <w:rFonts w:ascii="Palatino Linotype" w:eastAsia="Palatino Linotype" w:hAnsi="Palatino Linotype" w:cs="Palatino Linotype"/>
          <w:i/>
        </w:rPr>
        <w:t xml:space="preserve"> </w:t>
      </w:r>
      <w:r w:rsidRPr="009D0A2F">
        <w:rPr>
          <w:rFonts w:ascii="Palatino Linotype" w:eastAsia="Palatino Linotype" w:hAnsi="Palatino Linotype" w:cs="Palatino Linotype"/>
          <w:b/>
          <w:i/>
        </w:rPr>
        <w:t>RECURRENTE</w:t>
      </w:r>
      <w:r w:rsidRPr="009D0A2F">
        <w:rPr>
          <w:rFonts w:ascii="Palatino Linotype" w:eastAsia="Palatino Linotype" w:hAnsi="Palatino Linotype" w:cs="Palatino Linotype"/>
          <w:i/>
        </w:rPr>
        <w:t>, en términos del artículo 19, párrafo segundo de la Ley de Transparencia y Acceso a la Información Pública del Estado de México y Municipios.</w:t>
      </w:r>
    </w:p>
    <w:p w14:paraId="59CCE74C" w14:textId="77777777" w:rsidR="005F40AF" w:rsidRPr="009D0A2F" w:rsidRDefault="005F40AF">
      <w:pPr>
        <w:pBdr>
          <w:top w:val="nil"/>
          <w:left w:val="nil"/>
          <w:bottom w:val="nil"/>
          <w:right w:val="nil"/>
          <w:between w:val="nil"/>
        </w:pBdr>
        <w:tabs>
          <w:tab w:val="left" w:pos="567"/>
          <w:tab w:val="left" w:pos="993"/>
        </w:tabs>
        <w:spacing w:after="0" w:line="360" w:lineRule="auto"/>
        <w:ind w:right="560"/>
        <w:jc w:val="both"/>
        <w:rPr>
          <w:rFonts w:ascii="Palatino Linotype" w:eastAsia="Palatino Linotype" w:hAnsi="Palatino Linotype" w:cs="Palatino Linotype"/>
          <w:b/>
          <w:i/>
        </w:rPr>
      </w:pPr>
    </w:p>
    <w:p w14:paraId="24D22DB2"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b/>
        </w:rPr>
        <w:lastRenderedPageBreak/>
        <w:t>Tercero.</w:t>
      </w:r>
      <w:r w:rsidRPr="009D0A2F">
        <w:rPr>
          <w:rFonts w:ascii="Palatino Linotype" w:eastAsia="Palatino Linotype" w:hAnsi="Palatino Linotype" w:cs="Palatino Linotype"/>
        </w:rPr>
        <w:t xml:space="preserve"> </w:t>
      </w:r>
      <w:r w:rsidRPr="009D0A2F">
        <w:rPr>
          <w:rFonts w:ascii="Palatino Linotype" w:eastAsia="Palatino Linotype" w:hAnsi="Palatino Linotype" w:cs="Palatino Linotype"/>
          <w:b/>
        </w:rPr>
        <w:t xml:space="preserve">Notifíquese vía SAIMEX </w:t>
      </w:r>
      <w:r w:rsidRPr="009D0A2F">
        <w:rPr>
          <w:rFonts w:ascii="Palatino Linotype" w:eastAsia="Palatino Linotype" w:hAnsi="Palatino Linotype" w:cs="Palatino Linotype"/>
        </w:rPr>
        <w:t>la presente resolución al T</w:t>
      </w:r>
      <w:r w:rsidRPr="009D0A2F">
        <w:rPr>
          <w:rFonts w:ascii="Palatino Linotype" w:eastAsia="Palatino Linotype" w:hAnsi="Palatino Linotype" w:cs="Palatino Linotype"/>
          <w:b/>
        </w:rPr>
        <w:t xml:space="preserve">itular de la Unidad de Transparencia </w:t>
      </w:r>
      <w:r w:rsidRPr="009D0A2F">
        <w:rPr>
          <w:rFonts w:ascii="Palatino Linotype" w:eastAsia="Palatino Linotype" w:hAnsi="Palatino Linotype" w:cs="Palatino Linotype"/>
        </w:rPr>
        <w:t xml:space="preserve">del </w:t>
      </w:r>
      <w:r w:rsidRPr="009D0A2F">
        <w:rPr>
          <w:rFonts w:ascii="Palatino Linotype" w:eastAsia="Palatino Linotype" w:hAnsi="Palatino Linotype" w:cs="Palatino Linotype"/>
          <w:b/>
        </w:rPr>
        <w:t>Sujeto Obligado</w:t>
      </w:r>
      <w:r w:rsidRPr="009D0A2F">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E2FCC66" w14:textId="77777777" w:rsidR="005F40AF" w:rsidRPr="009D0A2F" w:rsidRDefault="005F40AF">
      <w:pPr>
        <w:spacing w:after="0" w:line="360" w:lineRule="auto"/>
        <w:ind w:right="49"/>
        <w:jc w:val="both"/>
        <w:rPr>
          <w:rFonts w:ascii="Palatino Linotype" w:eastAsia="Palatino Linotype" w:hAnsi="Palatino Linotype" w:cs="Palatino Linotype"/>
        </w:rPr>
      </w:pPr>
    </w:p>
    <w:p w14:paraId="7AC12A83"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b/>
        </w:rPr>
        <w:t>Cuarto.</w:t>
      </w:r>
      <w:r w:rsidRPr="009D0A2F">
        <w:rPr>
          <w:rFonts w:ascii="Palatino Linotype" w:eastAsia="Palatino Linotype" w:hAnsi="Palatino Linotype" w:cs="Palatino Linotype"/>
        </w:rPr>
        <w:t xml:space="preserve"> </w:t>
      </w:r>
      <w:r w:rsidRPr="009D0A2F">
        <w:rPr>
          <w:rFonts w:ascii="Palatino Linotype" w:eastAsia="Palatino Linotype" w:hAnsi="Palatino Linotype" w:cs="Palatino Linotype"/>
          <w:b/>
        </w:rPr>
        <w:t>Notifíquese vía SAIMEX</w:t>
      </w:r>
      <w:r w:rsidRPr="009D0A2F">
        <w:rPr>
          <w:rFonts w:ascii="Palatino Linotype" w:eastAsia="Palatino Linotype" w:hAnsi="Palatino Linotype" w:cs="Palatino Linotype"/>
        </w:rPr>
        <w:t xml:space="preserve"> a </w:t>
      </w:r>
      <w:r w:rsidRPr="009D0A2F">
        <w:rPr>
          <w:rFonts w:ascii="Palatino Linotype" w:eastAsia="Palatino Linotype" w:hAnsi="Palatino Linotype" w:cs="Palatino Linotype"/>
          <w:b/>
        </w:rPr>
        <w:t>la parte</w:t>
      </w:r>
      <w:r w:rsidRPr="009D0A2F">
        <w:rPr>
          <w:rFonts w:ascii="Palatino Linotype" w:eastAsia="Palatino Linotype" w:hAnsi="Palatino Linotype" w:cs="Palatino Linotype"/>
        </w:rPr>
        <w:t xml:space="preserve"> </w:t>
      </w:r>
      <w:r w:rsidRPr="009D0A2F">
        <w:rPr>
          <w:rFonts w:ascii="Palatino Linotype" w:eastAsia="Palatino Linotype" w:hAnsi="Palatino Linotype" w:cs="Palatino Linotype"/>
          <w:b/>
        </w:rPr>
        <w:t xml:space="preserve">Recurrente </w:t>
      </w:r>
      <w:r w:rsidRPr="009D0A2F">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F88CC0A" w14:textId="77777777" w:rsidR="005F40AF" w:rsidRPr="009D0A2F" w:rsidRDefault="005F40AF">
      <w:pPr>
        <w:spacing w:after="0" w:line="360" w:lineRule="auto"/>
        <w:ind w:right="49"/>
        <w:jc w:val="both"/>
        <w:rPr>
          <w:rFonts w:ascii="Palatino Linotype" w:eastAsia="Palatino Linotype" w:hAnsi="Palatino Linotype" w:cs="Palatino Linotype"/>
        </w:rPr>
      </w:pPr>
    </w:p>
    <w:p w14:paraId="1E087D91" w14:textId="77777777" w:rsidR="005F40AF" w:rsidRPr="009D0A2F"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b/>
        </w:rPr>
        <w:t>Quinto.</w:t>
      </w:r>
      <w:r w:rsidRPr="009D0A2F">
        <w:rPr>
          <w:rFonts w:ascii="Palatino Linotype" w:eastAsia="Palatino Linotype" w:hAnsi="Palatino Linotype" w:cs="Palatino Linotype"/>
        </w:rPr>
        <w:t xml:space="preserve"> </w:t>
      </w:r>
      <w:r w:rsidRPr="009D0A2F">
        <w:rPr>
          <w:rFonts w:ascii="Palatino Linotype" w:eastAsia="Palatino Linotype" w:hAnsi="Palatino Linotype" w:cs="Palatino Linotype"/>
          <w:b/>
        </w:rPr>
        <w:t xml:space="preserve">Notifíquese vía SAIMEX </w:t>
      </w:r>
      <w:r w:rsidRPr="009D0A2F">
        <w:rPr>
          <w:rFonts w:ascii="Palatino Linotype" w:eastAsia="Palatino Linotype" w:hAnsi="Palatino Linotype" w:cs="Palatino Linotype"/>
        </w:rPr>
        <w:t>la presente resolución al T</w:t>
      </w:r>
      <w:r w:rsidRPr="009D0A2F">
        <w:rPr>
          <w:rFonts w:ascii="Palatino Linotype" w:eastAsia="Palatino Linotype" w:hAnsi="Palatino Linotype" w:cs="Palatino Linotype"/>
          <w:b/>
        </w:rPr>
        <w:t xml:space="preserve">itular de la Unidad de Transparencia </w:t>
      </w:r>
      <w:r w:rsidRPr="009D0A2F">
        <w:rPr>
          <w:rFonts w:ascii="Palatino Linotype" w:eastAsia="Palatino Linotype" w:hAnsi="Palatino Linotype" w:cs="Palatino Linotype"/>
        </w:rPr>
        <w:t xml:space="preserve">del </w:t>
      </w:r>
      <w:r w:rsidRPr="009D0A2F">
        <w:rPr>
          <w:rFonts w:ascii="Palatino Linotype" w:eastAsia="Palatino Linotype" w:hAnsi="Palatino Linotype" w:cs="Palatino Linotype"/>
          <w:b/>
        </w:rPr>
        <w:t>Sujeto Obligado</w:t>
      </w:r>
      <w:r w:rsidRPr="009D0A2F">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6C5E6A9" w14:textId="77777777" w:rsidR="005F40AF" w:rsidRPr="009D0A2F" w:rsidRDefault="005F40AF">
      <w:pPr>
        <w:spacing w:after="0" w:line="360" w:lineRule="auto"/>
        <w:ind w:right="49"/>
        <w:jc w:val="both"/>
        <w:rPr>
          <w:rFonts w:ascii="Palatino Linotype" w:eastAsia="Palatino Linotype" w:hAnsi="Palatino Linotype" w:cs="Palatino Linotype"/>
        </w:rPr>
      </w:pPr>
    </w:p>
    <w:p w14:paraId="312ECA12" w14:textId="5BAABEDE" w:rsidR="005F40AF" w:rsidRPr="00D04B11" w:rsidRDefault="007B2798">
      <w:pPr>
        <w:spacing w:after="0" w:line="360" w:lineRule="auto"/>
        <w:ind w:right="49"/>
        <w:jc w:val="both"/>
        <w:rPr>
          <w:rFonts w:ascii="Palatino Linotype" w:eastAsia="Palatino Linotype" w:hAnsi="Palatino Linotype" w:cs="Palatino Linotype"/>
        </w:rPr>
      </w:pPr>
      <w:r w:rsidRPr="009D0A2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9D0A2F">
        <w:rPr>
          <w:rFonts w:ascii="Palatino Linotype" w:eastAsia="Palatino Linotype" w:hAnsi="Palatino Linotype" w:cs="Palatino Linotype"/>
        </w:rPr>
        <w:t xml:space="preserve">ARON CRISTINA MORALES MARTÍNEZ; </w:t>
      </w:r>
      <w:r w:rsidRPr="009D0A2F">
        <w:rPr>
          <w:rFonts w:ascii="Palatino Linotype" w:eastAsia="Palatino Linotype" w:hAnsi="Palatino Linotype" w:cs="Palatino Linotype"/>
        </w:rPr>
        <w:t xml:space="preserve">Y GUADALUPE RAMÍREZ PEÑA; EN LA </w:t>
      </w:r>
      <w:r w:rsidRPr="009D0A2F">
        <w:rPr>
          <w:rFonts w:ascii="Palatino Linotype" w:eastAsia="Palatino Linotype" w:hAnsi="Palatino Linotype" w:cs="Palatino Linotype"/>
        </w:rPr>
        <w:lastRenderedPageBreak/>
        <w:t>DÉCIMA OCTAVA SESIÓN ORDINARIA CELEBRADA EL VEINTIUNO DE MAYO DE DOS MIL VEINTICINCO, ANTE EL SECRETARIO TÉCNICO DEL PLENO ALEXIS TAPIA RAMÍREZ.</w:t>
      </w:r>
      <w:r w:rsidRPr="00D04B11">
        <w:rPr>
          <w:rFonts w:ascii="Palatino Linotype" w:eastAsia="Palatino Linotype" w:hAnsi="Palatino Linotype" w:cs="Palatino Linotype"/>
        </w:rPr>
        <w:t xml:space="preserve"> </w:t>
      </w:r>
    </w:p>
    <w:p w14:paraId="6B0AE4DC" w14:textId="25554908" w:rsidR="005F40AF" w:rsidRPr="00D04B11" w:rsidRDefault="005F40AF">
      <w:pPr>
        <w:spacing w:after="0" w:line="360" w:lineRule="auto"/>
        <w:ind w:right="49"/>
        <w:jc w:val="both"/>
        <w:rPr>
          <w:rFonts w:ascii="Palatino Linotype" w:eastAsia="Palatino Linotype" w:hAnsi="Palatino Linotype" w:cs="Palatino Linotype"/>
        </w:rPr>
      </w:pPr>
      <w:bookmarkStart w:id="4" w:name="_heading=h.2et92p0" w:colFirst="0" w:colLast="0"/>
      <w:bookmarkEnd w:id="4"/>
    </w:p>
    <w:p w14:paraId="53DF890D" w14:textId="4199AD10" w:rsidR="00D04B11" w:rsidRPr="00D04B11" w:rsidRDefault="00D04B11">
      <w:pPr>
        <w:spacing w:after="0" w:line="360" w:lineRule="auto"/>
        <w:ind w:right="49"/>
        <w:jc w:val="both"/>
        <w:rPr>
          <w:rFonts w:ascii="Palatino Linotype" w:eastAsia="Palatino Linotype" w:hAnsi="Palatino Linotype" w:cs="Palatino Linotype"/>
        </w:rPr>
      </w:pPr>
    </w:p>
    <w:p w14:paraId="3F910386" w14:textId="3940F4CF" w:rsidR="00D04B11" w:rsidRPr="00D04B11" w:rsidRDefault="00D04B11">
      <w:pPr>
        <w:spacing w:after="0" w:line="360" w:lineRule="auto"/>
        <w:ind w:right="49"/>
        <w:jc w:val="both"/>
        <w:rPr>
          <w:rFonts w:ascii="Palatino Linotype" w:eastAsia="Palatino Linotype" w:hAnsi="Palatino Linotype" w:cs="Palatino Linotype"/>
        </w:rPr>
      </w:pPr>
    </w:p>
    <w:p w14:paraId="0BFC8DD5" w14:textId="72D9D5AE" w:rsidR="00D04B11" w:rsidRPr="00D04B11" w:rsidRDefault="00D04B11">
      <w:pPr>
        <w:spacing w:after="0" w:line="360" w:lineRule="auto"/>
        <w:ind w:right="49"/>
        <w:jc w:val="both"/>
        <w:rPr>
          <w:rFonts w:ascii="Palatino Linotype" w:eastAsia="Palatino Linotype" w:hAnsi="Palatino Linotype" w:cs="Palatino Linotype"/>
        </w:rPr>
      </w:pPr>
    </w:p>
    <w:p w14:paraId="29E761FC" w14:textId="2CA6B812" w:rsidR="00D04B11" w:rsidRPr="00D04B11" w:rsidRDefault="00D04B11">
      <w:pPr>
        <w:spacing w:after="0" w:line="360" w:lineRule="auto"/>
        <w:ind w:right="49"/>
        <w:jc w:val="both"/>
        <w:rPr>
          <w:rFonts w:ascii="Palatino Linotype" w:eastAsia="Palatino Linotype" w:hAnsi="Palatino Linotype" w:cs="Palatino Linotype"/>
        </w:rPr>
      </w:pPr>
    </w:p>
    <w:p w14:paraId="12F054DF" w14:textId="28F4A9AF" w:rsidR="00D04B11" w:rsidRPr="00D04B11" w:rsidRDefault="00D04B11">
      <w:pPr>
        <w:spacing w:after="0" w:line="360" w:lineRule="auto"/>
        <w:ind w:right="49"/>
        <w:jc w:val="both"/>
        <w:rPr>
          <w:rFonts w:ascii="Palatino Linotype" w:eastAsia="Palatino Linotype" w:hAnsi="Palatino Linotype" w:cs="Palatino Linotype"/>
        </w:rPr>
      </w:pPr>
    </w:p>
    <w:p w14:paraId="4D1E5AAB" w14:textId="20891F86" w:rsidR="00D04B11" w:rsidRPr="00D04B11" w:rsidRDefault="00D04B11">
      <w:pPr>
        <w:spacing w:after="0" w:line="360" w:lineRule="auto"/>
        <w:ind w:right="49"/>
        <w:jc w:val="both"/>
        <w:rPr>
          <w:rFonts w:ascii="Palatino Linotype" w:eastAsia="Palatino Linotype" w:hAnsi="Palatino Linotype" w:cs="Palatino Linotype"/>
        </w:rPr>
      </w:pPr>
    </w:p>
    <w:p w14:paraId="478B2382" w14:textId="3FDE052C" w:rsidR="00D04B11" w:rsidRPr="00D04B11" w:rsidRDefault="00D04B11">
      <w:pPr>
        <w:spacing w:after="0" w:line="360" w:lineRule="auto"/>
        <w:ind w:right="49"/>
        <w:jc w:val="both"/>
        <w:rPr>
          <w:rFonts w:ascii="Palatino Linotype" w:eastAsia="Palatino Linotype" w:hAnsi="Palatino Linotype" w:cs="Palatino Linotype"/>
        </w:rPr>
      </w:pPr>
    </w:p>
    <w:p w14:paraId="437945BF" w14:textId="1E758548" w:rsidR="00D04B11" w:rsidRPr="00D04B11" w:rsidRDefault="00D04B11">
      <w:pPr>
        <w:spacing w:after="0" w:line="360" w:lineRule="auto"/>
        <w:ind w:right="49"/>
        <w:jc w:val="both"/>
        <w:rPr>
          <w:rFonts w:ascii="Palatino Linotype" w:eastAsia="Palatino Linotype" w:hAnsi="Palatino Linotype" w:cs="Palatino Linotype"/>
        </w:rPr>
      </w:pPr>
    </w:p>
    <w:p w14:paraId="1D86ED48" w14:textId="5C4999A1" w:rsidR="00D04B11" w:rsidRPr="00D04B11" w:rsidRDefault="00D04B11">
      <w:pPr>
        <w:spacing w:after="0" w:line="360" w:lineRule="auto"/>
        <w:ind w:right="49"/>
        <w:jc w:val="both"/>
        <w:rPr>
          <w:rFonts w:ascii="Palatino Linotype" w:eastAsia="Palatino Linotype" w:hAnsi="Palatino Linotype" w:cs="Palatino Linotype"/>
        </w:rPr>
      </w:pPr>
    </w:p>
    <w:p w14:paraId="0E97915B" w14:textId="67AFF7B2" w:rsidR="00D04B11" w:rsidRPr="00D04B11" w:rsidRDefault="00D04B11">
      <w:pPr>
        <w:spacing w:after="0" w:line="360" w:lineRule="auto"/>
        <w:ind w:right="49"/>
        <w:jc w:val="both"/>
        <w:rPr>
          <w:rFonts w:ascii="Palatino Linotype" w:eastAsia="Palatino Linotype" w:hAnsi="Palatino Linotype" w:cs="Palatino Linotype"/>
        </w:rPr>
      </w:pPr>
    </w:p>
    <w:p w14:paraId="64BE44DF" w14:textId="72651DB6" w:rsidR="00D04B11" w:rsidRPr="00D04B11" w:rsidRDefault="00D04B11">
      <w:pPr>
        <w:spacing w:after="0" w:line="360" w:lineRule="auto"/>
        <w:ind w:right="49"/>
        <w:jc w:val="both"/>
        <w:rPr>
          <w:rFonts w:ascii="Palatino Linotype" w:eastAsia="Palatino Linotype" w:hAnsi="Palatino Linotype" w:cs="Palatino Linotype"/>
        </w:rPr>
      </w:pPr>
    </w:p>
    <w:p w14:paraId="2C31D53E" w14:textId="0ECE6466" w:rsidR="00D04B11" w:rsidRPr="00D04B11" w:rsidRDefault="00D04B11">
      <w:pPr>
        <w:spacing w:after="0" w:line="360" w:lineRule="auto"/>
        <w:ind w:right="49"/>
        <w:jc w:val="both"/>
        <w:rPr>
          <w:rFonts w:ascii="Palatino Linotype" w:eastAsia="Palatino Linotype" w:hAnsi="Palatino Linotype" w:cs="Palatino Linotype"/>
        </w:rPr>
      </w:pPr>
    </w:p>
    <w:p w14:paraId="1EEE4B5D" w14:textId="36CDEC01" w:rsidR="00D04B11" w:rsidRPr="00D04B11" w:rsidRDefault="00D04B11">
      <w:pPr>
        <w:spacing w:after="0" w:line="360" w:lineRule="auto"/>
        <w:ind w:right="49"/>
        <w:jc w:val="both"/>
        <w:rPr>
          <w:rFonts w:ascii="Palatino Linotype" w:eastAsia="Palatino Linotype" w:hAnsi="Palatino Linotype" w:cs="Palatino Linotype"/>
        </w:rPr>
      </w:pPr>
    </w:p>
    <w:p w14:paraId="14E3A534" w14:textId="7C457043" w:rsidR="00D04B11" w:rsidRPr="00D04B11" w:rsidRDefault="00D04B11">
      <w:pPr>
        <w:spacing w:after="0" w:line="360" w:lineRule="auto"/>
        <w:ind w:right="49"/>
        <w:jc w:val="both"/>
        <w:rPr>
          <w:rFonts w:ascii="Palatino Linotype" w:eastAsia="Palatino Linotype" w:hAnsi="Palatino Linotype" w:cs="Palatino Linotype"/>
        </w:rPr>
      </w:pPr>
    </w:p>
    <w:p w14:paraId="0EF0B946" w14:textId="44005A84" w:rsidR="00D04B11" w:rsidRPr="00D04B11" w:rsidRDefault="00D04B11">
      <w:pPr>
        <w:spacing w:after="0" w:line="360" w:lineRule="auto"/>
        <w:ind w:right="49"/>
        <w:jc w:val="both"/>
        <w:rPr>
          <w:rFonts w:ascii="Palatino Linotype" w:eastAsia="Palatino Linotype" w:hAnsi="Palatino Linotype" w:cs="Palatino Linotype"/>
        </w:rPr>
      </w:pPr>
    </w:p>
    <w:p w14:paraId="5C9D5A9C" w14:textId="1BA9F8A7" w:rsidR="00D04B11" w:rsidRPr="00D04B11" w:rsidRDefault="00D04B11">
      <w:pPr>
        <w:spacing w:after="0" w:line="360" w:lineRule="auto"/>
        <w:ind w:right="49"/>
        <w:jc w:val="both"/>
        <w:rPr>
          <w:rFonts w:ascii="Palatino Linotype" w:eastAsia="Palatino Linotype" w:hAnsi="Palatino Linotype" w:cs="Palatino Linotype"/>
        </w:rPr>
      </w:pPr>
    </w:p>
    <w:p w14:paraId="62B4DA4F" w14:textId="4F27F904" w:rsidR="00D04B11" w:rsidRPr="00D04B11" w:rsidRDefault="00D04B11">
      <w:pPr>
        <w:spacing w:after="0" w:line="360" w:lineRule="auto"/>
        <w:ind w:right="49"/>
        <w:jc w:val="both"/>
        <w:rPr>
          <w:rFonts w:ascii="Palatino Linotype" w:eastAsia="Palatino Linotype" w:hAnsi="Palatino Linotype" w:cs="Palatino Linotype"/>
        </w:rPr>
      </w:pPr>
    </w:p>
    <w:p w14:paraId="4B88F302" w14:textId="5FDF646C" w:rsidR="00D04B11" w:rsidRPr="00D04B11" w:rsidRDefault="00D04B11">
      <w:pPr>
        <w:spacing w:after="0" w:line="360" w:lineRule="auto"/>
        <w:ind w:right="49"/>
        <w:jc w:val="both"/>
        <w:rPr>
          <w:rFonts w:ascii="Palatino Linotype" w:eastAsia="Palatino Linotype" w:hAnsi="Palatino Linotype" w:cs="Palatino Linotype"/>
        </w:rPr>
      </w:pPr>
    </w:p>
    <w:p w14:paraId="181C7521" w14:textId="16C62A10" w:rsidR="00D04B11" w:rsidRPr="00D04B11" w:rsidRDefault="00D04B11">
      <w:pPr>
        <w:spacing w:after="0" w:line="360" w:lineRule="auto"/>
        <w:ind w:right="49"/>
        <w:jc w:val="both"/>
        <w:rPr>
          <w:rFonts w:ascii="Palatino Linotype" w:eastAsia="Palatino Linotype" w:hAnsi="Palatino Linotype" w:cs="Palatino Linotype"/>
        </w:rPr>
      </w:pPr>
    </w:p>
    <w:p w14:paraId="4B486EB2" w14:textId="34CB760F" w:rsidR="00D04B11" w:rsidRPr="00D04B11" w:rsidRDefault="00D04B11">
      <w:pPr>
        <w:spacing w:after="0" w:line="360" w:lineRule="auto"/>
        <w:ind w:right="49"/>
        <w:jc w:val="both"/>
        <w:rPr>
          <w:rFonts w:ascii="Palatino Linotype" w:eastAsia="Palatino Linotype" w:hAnsi="Palatino Linotype" w:cs="Palatino Linotype"/>
        </w:rPr>
      </w:pPr>
    </w:p>
    <w:p w14:paraId="7C7CFDA7" w14:textId="621BF88F" w:rsidR="00D04B11" w:rsidRPr="00D04B11" w:rsidRDefault="00D04B11">
      <w:pPr>
        <w:spacing w:after="0" w:line="360" w:lineRule="auto"/>
        <w:ind w:right="49"/>
        <w:jc w:val="both"/>
        <w:rPr>
          <w:rFonts w:ascii="Palatino Linotype" w:eastAsia="Palatino Linotype" w:hAnsi="Palatino Linotype" w:cs="Palatino Linotype"/>
        </w:rPr>
      </w:pPr>
    </w:p>
    <w:p w14:paraId="661B80C1" w14:textId="48276127" w:rsidR="00D04B11" w:rsidRPr="00D04B11" w:rsidRDefault="00D04B11">
      <w:pPr>
        <w:spacing w:after="0" w:line="360" w:lineRule="auto"/>
        <w:ind w:right="49"/>
        <w:jc w:val="both"/>
        <w:rPr>
          <w:rFonts w:ascii="Palatino Linotype" w:eastAsia="Palatino Linotype" w:hAnsi="Palatino Linotype" w:cs="Palatino Linotype"/>
        </w:rPr>
      </w:pPr>
    </w:p>
    <w:p w14:paraId="29C6E45E" w14:textId="4E33C3C3" w:rsidR="00D04B11" w:rsidRPr="00D04B11" w:rsidRDefault="00D04B11">
      <w:pPr>
        <w:spacing w:after="0" w:line="360" w:lineRule="auto"/>
        <w:ind w:right="49"/>
        <w:jc w:val="both"/>
        <w:rPr>
          <w:rFonts w:ascii="Palatino Linotype" w:eastAsia="Palatino Linotype" w:hAnsi="Palatino Linotype" w:cs="Palatino Linotype"/>
        </w:rPr>
      </w:pPr>
    </w:p>
    <w:p w14:paraId="32E9F2F9" w14:textId="541AF9D8" w:rsidR="00D04B11" w:rsidRPr="00D04B11" w:rsidRDefault="00D04B11">
      <w:pPr>
        <w:spacing w:after="0" w:line="360" w:lineRule="auto"/>
        <w:ind w:right="49"/>
        <w:jc w:val="both"/>
        <w:rPr>
          <w:rFonts w:ascii="Palatino Linotype" w:eastAsia="Palatino Linotype" w:hAnsi="Palatino Linotype" w:cs="Palatino Linotype"/>
        </w:rPr>
      </w:pPr>
    </w:p>
    <w:p w14:paraId="29EFC6EF" w14:textId="6EAF9524" w:rsidR="00D04B11" w:rsidRPr="00D04B11" w:rsidRDefault="00D04B11">
      <w:pPr>
        <w:spacing w:after="0" w:line="360" w:lineRule="auto"/>
        <w:ind w:right="49"/>
        <w:jc w:val="both"/>
        <w:rPr>
          <w:rFonts w:ascii="Palatino Linotype" w:eastAsia="Palatino Linotype" w:hAnsi="Palatino Linotype" w:cs="Palatino Linotype"/>
        </w:rPr>
      </w:pPr>
    </w:p>
    <w:p w14:paraId="60F96982" w14:textId="5B517B90" w:rsidR="00D04B11" w:rsidRPr="00D04B11" w:rsidRDefault="00D04B11">
      <w:pPr>
        <w:spacing w:after="0" w:line="360" w:lineRule="auto"/>
        <w:ind w:right="49"/>
        <w:jc w:val="both"/>
        <w:rPr>
          <w:rFonts w:ascii="Palatino Linotype" w:eastAsia="Palatino Linotype" w:hAnsi="Palatino Linotype" w:cs="Palatino Linotype"/>
        </w:rPr>
      </w:pPr>
    </w:p>
    <w:p w14:paraId="5FFE2D42" w14:textId="77777777" w:rsidR="00D04B11" w:rsidRPr="00D04B11" w:rsidRDefault="00D04B11">
      <w:pPr>
        <w:spacing w:after="0" w:line="360" w:lineRule="auto"/>
        <w:ind w:right="49"/>
        <w:jc w:val="both"/>
        <w:rPr>
          <w:rFonts w:ascii="Palatino Linotype" w:eastAsia="Palatino Linotype" w:hAnsi="Palatino Linotype" w:cs="Palatino Linotype"/>
        </w:rPr>
      </w:pPr>
    </w:p>
    <w:sectPr w:rsidR="00D04B11" w:rsidRPr="00D04B11">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2C2E" w14:textId="77777777" w:rsidR="0096064B" w:rsidRDefault="0096064B">
      <w:pPr>
        <w:spacing w:after="0" w:line="240" w:lineRule="auto"/>
      </w:pPr>
      <w:r>
        <w:separator/>
      </w:r>
    </w:p>
  </w:endnote>
  <w:endnote w:type="continuationSeparator" w:id="0">
    <w:p w14:paraId="10BE3E60" w14:textId="77777777" w:rsidR="0096064B" w:rsidRDefault="0096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A549" w14:textId="77777777" w:rsidR="005F40AF" w:rsidRDefault="007B27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842D3">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842D3">
      <w:rPr>
        <w:b/>
        <w:noProof/>
        <w:color w:val="000000"/>
        <w:sz w:val="24"/>
        <w:szCs w:val="24"/>
      </w:rPr>
      <w:t>29</w:t>
    </w:r>
    <w:r>
      <w:rPr>
        <w:b/>
        <w:color w:val="000000"/>
        <w:sz w:val="24"/>
        <w:szCs w:val="24"/>
      </w:rPr>
      <w:fldChar w:fldCharType="end"/>
    </w:r>
  </w:p>
  <w:p w14:paraId="1AD2E76B" w14:textId="77777777" w:rsidR="005F40AF" w:rsidRDefault="005F40A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5804" w14:textId="77777777" w:rsidR="005F40AF" w:rsidRDefault="007B279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842D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842D3">
      <w:rPr>
        <w:b/>
        <w:noProof/>
        <w:color w:val="000000"/>
        <w:sz w:val="24"/>
        <w:szCs w:val="24"/>
      </w:rPr>
      <w:t>29</w:t>
    </w:r>
    <w:r>
      <w:rPr>
        <w:b/>
        <w:color w:val="000000"/>
        <w:sz w:val="24"/>
        <w:szCs w:val="24"/>
      </w:rPr>
      <w:fldChar w:fldCharType="end"/>
    </w:r>
  </w:p>
  <w:p w14:paraId="4B036260" w14:textId="77777777" w:rsidR="005F40AF" w:rsidRDefault="005F40A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83BA4" w14:textId="77777777" w:rsidR="0096064B" w:rsidRDefault="0096064B">
      <w:pPr>
        <w:spacing w:after="0" w:line="240" w:lineRule="auto"/>
      </w:pPr>
      <w:r>
        <w:separator/>
      </w:r>
    </w:p>
  </w:footnote>
  <w:footnote w:type="continuationSeparator" w:id="0">
    <w:p w14:paraId="0FA4FE79" w14:textId="77777777" w:rsidR="0096064B" w:rsidRDefault="00960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1466" w14:textId="77777777" w:rsidR="005F40AF" w:rsidRDefault="007B2798">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6368A3EF" wp14:editId="4065F705">
          <wp:simplePos x="0" y="0"/>
          <wp:positionH relativeFrom="column">
            <wp:posOffset>-716276</wp:posOffset>
          </wp:positionH>
          <wp:positionV relativeFrom="paragraph">
            <wp:posOffset>-401951</wp:posOffset>
          </wp:positionV>
          <wp:extent cx="7809876" cy="10165823"/>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b"/>
      <w:tblW w:w="5603" w:type="dxa"/>
      <w:tblInd w:w="3611" w:type="dxa"/>
      <w:tblLayout w:type="fixed"/>
      <w:tblLook w:val="0400" w:firstRow="0" w:lastRow="0" w:firstColumn="0" w:lastColumn="0" w:noHBand="0" w:noVBand="1"/>
    </w:tblPr>
    <w:tblGrid>
      <w:gridCol w:w="2551"/>
      <w:gridCol w:w="3052"/>
    </w:tblGrid>
    <w:tr w:rsidR="005F40AF" w14:paraId="44AA1AE4" w14:textId="77777777">
      <w:tc>
        <w:tcPr>
          <w:tcW w:w="2551" w:type="dxa"/>
          <w:vAlign w:val="center"/>
        </w:tcPr>
        <w:p w14:paraId="210A61F3"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5C7967"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02679/INFOEM/IP/RR/2025</w:t>
          </w:r>
        </w:p>
      </w:tc>
    </w:tr>
    <w:tr w:rsidR="005F40AF" w14:paraId="0F109A6B" w14:textId="77777777">
      <w:trPr>
        <w:trHeight w:val="217"/>
      </w:trPr>
      <w:tc>
        <w:tcPr>
          <w:tcW w:w="2551" w:type="dxa"/>
          <w:vAlign w:val="center"/>
        </w:tcPr>
        <w:p w14:paraId="4CD678B1"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AE0EC4D" w14:textId="77777777" w:rsidR="005F40AF" w:rsidRDefault="005F40A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01D62330" w14:textId="77777777" w:rsidR="005F40AF" w:rsidRDefault="007B2798">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Huehuetoca</w:t>
          </w:r>
        </w:p>
      </w:tc>
    </w:tr>
    <w:tr w:rsidR="005F40AF" w14:paraId="56A94B69" w14:textId="77777777">
      <w:tc>
        <w:tcPr>
          <w:tcW w:w="2551" w:type="dxa"/>
          <w:vAlign w:val="center"/>
        </w:tcPr>
        <w:p w14:paraId="0B00B446"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5108ACB"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7BEE7CB" w14:textId="77777777" w:rsidR="005F40AF" w:rsidRDefault="005F40AF">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ABB0" w14:textId="77777777" w:rsidR="005F40AF" w:rsidRDefault="007B2798">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2C25A94" wp14:editId="1519987D">
          <wp:simplePos x="0" y="0"/>
          <wp:positionH relativeFrom="column">
            <wp:posOffset>-692147</wp:posOffset>
          </wp:positionH>
          <wp:positionV relativeFrom="paragraph">
            <wp:posOffset>-248281</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603" w:type="dxa"/>
      <w:tblInd w:w="3611" w:type="dxa"/>
      <w:tblLayout w:type="fixed"/>
      <w:tblLook w:val="0400" w:firstRow="0" w:lastRow="0" w:firstColumn="0" w:lastColumn="0" w:noHBand="0" w:noVBand="1"/>
    </w:tblPr>
    <w:tblGrid>
      <w:gridCol w:w="2551"/>
      <w:gridCol w:w="3052"/>
    </w:tblGrid>
    <w:tr w:rsidR="005F40AF" w14:paraId="7A157D88" w14:textId="77777777">
      <w:tc>
        <w:tcPr>
          <w:tcW w:w="2551" w:type="dxa"/>
          <w:vAlign w:val="center"/>
        </w:tcPr>
        <w:p w14:paraId="3D0D6584"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5FC45FB"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02679/INFOEM/IP/RR/2025</w:t>
          </w:r>
        </w:p>
      </w:tc>
    </w:tr>
    <w:tr w:rsidR="005F40AF" w14:paraId="22197713" w14:textId="77777777">
      <w:tc>
        <w:tcPr>
          <w:tcW w:w="2551" w:type="dxa"/>
          <w:vAlign w:val="center"/>
        </w:tcPr>
        <w:p w14:paraId="257DB1F6"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6220DF0A" w14:textId="3F4CC9C3" w:rsidR="005F40AF" w:rsidRDefault="00DE429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 XXXXXXXX XXXXXXX </w:t>
          </w:r>
        </w:p>
      </w:tc>
    </w:tr>
    <w:tr w:rsidR="005F40AF" w14:paraId="7FE82479" w14:textId="77777777">
      <w:trPr>
        <w:trHeight w:val="152"/>
      </w:trPr>
      <w:tc>
        <w:tcPr>
          <w:tcW w:w="2551" w:type="dxa"/>
          <w:vAlign w:val="center"/>
        </w:tcPr>
        <w:p w14:paraId="45F9D1B8" w14:textId="77777777" w:rsidR="005F40AF" w:rsidRDefault="007B2798">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BEF5411" w14:textId="77777777" w:rsidR="005F40AF" w:rsidRDefault="005F40AF">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4778C9F2" w14:textId="77777777" w:rsidR="005F40AF" w:rsidRDefault="007B2798">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Pr>
              <w:rFonts w:ascii="Palatino Linotype" w:eastAsia="Palatino Linotype" w:hAnsi="Palatino Linotype" w:cs="Palatino Linotype"/>
              <w:b/>
            </w:rPr>
            <w:t>Huehuetoca</w:t>
          </w:r>
        </w:p>
      </w:tc>
    </w:tr>
    <w:tr w:rsidR="005F40AF" w14:paraId="2DCDC5E8" w14:textId="77777777">
      <w:tc>
        <w:tcPr>
          <w:tcW w:w="2551" w:type="dxa"/>
          <w:vAlign w:val="center"/>
        </w:tcPr>
        <w:p w14:paraId="07CC34D0"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12D6F8" w14:textId="77777777" w:rsidR="005F40AF" w:rsidRDefault="007B279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A2E18A4" w14:textId="77777777" w:rsidR="005F40AF" w:rsidRDefault="007B279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F4953"/>
    <w:multiLevelType w:val="multilevel"/>
    <w:tmpl w:val="6C42C294"/>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836CE0"/>
    <w:multiLevelType w:val="multilevel"/>
    <w:tmpl w:val="5922D55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FC5040"/>
    <w:multiLevelType w:val="multilevel"/>
    <w:tmpl w:val="FC829EDC"/>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BD79A5"/>
    <w:multiLevelType w:val="multilevel"/>
    <w:tmpl w:val="0C568236"/>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7A66992"/>
    <w:multiLevelType w:val="multilevel"/>
    <w:tmpl w:val="A8B840D2"/>
    <w:lvl w:ilvl="0">
      <w:start w:val="1"/>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E275B7"/>
    <w:multiLevelType w:val="multilevel"/>
    <w:tmpl w:val="6EC27EF2"/>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AF"/>
    <w:rsid w:val="005F40AF"/>
    <w:rsid w:val="007B2798"/>
    <w:rsid w:val="0096064B"/>
    <w:rsid w:val="009D0A2F"/>
    <w:rsid w:val="00D04B11"/>
    <w:rsid w:val="00DE4294"/>
    <w:rsid w:val="00F842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E2E7"/>
  <w15:docId w15:val="{0D38FD6E-FABF-4CC5-A15C-3BABBC72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4"/>
    <w:pPr>
      <w:spacing w:after="0" w:line="240" w:lineRule="auto"/>
    </w:p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top w:w="15" w:type="dxa"/>
        <w:left w:w="115" w:type="dxa"/>
        <w:bottom w:w="15" w:type="dxa"/>
        <w:right w:w="115" w:type="dxa"/>
      </w:tblCellMar>
    </w:tblPr>
  </w:style>
  <w:style w:type="table" w:customStyle="1" w:styleId="a1">
    <w:basedOn w:val="TableNormal4"/>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3"/>
    <w:pPr>
      <w:spacing w:after="0" w:line="240" w:lineRule="auto"/>
    </w:pPr>
    <w:tblPr>
      <w:tblStyleRowBandSize w:val="1"/>
      <w:tblStyleColBandSize w:val="1"/>
      <w:tblCellMar>
        <w:top w:w="15" w:type="dxa"/>
        <w:left w:w="115" w:type="dxa"/>
        <w:bottom w:w="15" w:type="dxa"/>
        <w:right w:w="115" w:type="dxa"/>
      </w:tblCellMar>
    </w:tblPr>
  </w:style>
  <w:style w:type="character" w:customStyle="1" w:styleId="apple-tab-span">
    <w:name w:val="apple-tab-span"/>
    <w:basedOn w:val="Fuentedeprrafopredeter"/>
    <w:rsid w:val="003D3C1C"/>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6">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9">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c">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aszWXSXIft6f5ppaR4AwVH5ig==">CgMxLjAyDmguaXUxM3podWxzN2R4MgloLjN6bnlzaDcyCWguMzBqMHpsbDIOaC5pcTY5YjZpeW9zbGQyCWguMmV0OTJwMDgAciExTG43OGVrazZPUGRFV1NTOEZHUDlDS0JKbGFlQXpJWGs=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7939</Words>
  <Characters>43669</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2025-05-23T19:06:00Z</cp:lastPrinted>
  <dcterms:created xsi:type="dcterms:W3CDTF">2025-06-04T19:14:00Z</dcterms:created>
  <dcterms:modified xsi:type="dcterms:W3CDTF">2025-06-04T19:14:00Z</dcterms:modified>
</cp:coreProperties>
</file>