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03CA"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1601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416015">
        <w:rPr>
          <w:rFonts w:ascii="Palatino Linotype" w:eastAsia="Palatino Linotype" w:hAnsi="Palatino Linotype" w:cs="Palatino Linotype"/>
          <w:b/>
          <w:sz w:val="22"/>
          <w:szCs w:val="22"/>
        </w:rPr>
        <w:t>dos de abril de dos mil veinticinco</w:t>
      </w:r>
      <w:r w:rsidRPr="00416015">
        <w:rPr>
          <w:rFonts w:ascii="Palatino Linotype" w:eastAsia="Palatino Linotype" w:hAnsi="Palatino Linotype" w:cs="Palatino Linotype"/>
          <w:sz w:val="22"/>
          <w:szCs w:val="22"/>
        </w:rPr>
        <w:t xml:space="preserve">. </w:t>
      </w:r>
    </w:p>
    <w:p w14:paraId="792A4D99"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Visto</w:t>
      </w:r>
      <w:r w:rsidRPr="00416015">
        <w:rPr>
          <w:rFonts w:ascii="Palatino Linotype" w:eastAsia="Palatino Linotype" w:hAnsi="Palatino Linotype" w:cs="Palatino Linotype"/>
          <w:sz w:val="22"/>
          <w:szCs w:val="22"/>
        </w:rPr>
        <w:t xml:space="preserve"> el expediente formado con motivo del recurso de revisión </w:t>
      </w:r>
      <w:r w:rsidRPr="00416015">
        <w:rPr>
          <w:rFonts w:ascii="Palatino Linotype" w:eastAsia="Palatino Linotype" w:hAnsi="Palatino Linotype" w:cs="Palatino Linotype"/>
          <w:b/>
          <w:sz w:val="22"/>
          <w:szCs w:val="22"/>
        </w:rPr>
        <w:t>01274/INFOEM/IP/RR/2025</w:t>
      </w:r>
      <w:r w:rsidRPr="00416015">
        <w:rPr>
          <w:rFonts w:ascii="Palatino Linotype" w:eastAsia="Palatino Linotype" w:hAnsi="Palatino Linotype" w:cs="Palatino Linotype"/>
          <w:sz w:val="22"/>
          <w:szCs w:val="22"/>
        </w:rPr>
        <w:t>, interpuesto por</w:t>
      </w:r>
      <w:r w:rsidRPr="00416015">
        <w:rPr>
          <w:rFonts w:ascii="Palatino Linotype" w:eastAsia="Palatino Linotype" w:hAnsi="Palatino Linotype" w:cs="Palatino Linotype"/>
          <w:b/>
          <w:sz w:val="22"/>
          <w:szCs w:val="22"/>
        </w:rPr>
        <w:t xml:space="preserve"> un particular de manera anónima,</w:t>
      </w:r>
      <w:r w:rsidRPr="00416015">
        <w:rPr>
          <w:rFonts w:ascii="Palatino Linotype" w:eastAsia="Palatino Linotype" w:hAnsi="Palatino Linotype" w:cs="Palatino Linotype"/>
          <w:sz w:val="22"/>
          <w:szCs w:val="22"/>
        </w:rPr>
        <w:t xml:space="preserve"> en lo sucesivo</w:t>
      </w:r>
      <w:r w:rsidRPr="00416015">
        <w:rPr>
          <w:rFonts w:ascii="Palatino Linotype" w:eastAsia="Palatino Linotype" w:hAnsi="Palatino Linotype" w:cs="Palatino Linotype"/>
          <w:b/>
          <w:sz w:val="22"/>
          <w:szCs w:val="22"/>
        </w:rPr>
        <w:t xml:space="preserve"> 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en contra de la respuesta a su solicitud por parte del </w:t>
      </w:r>
      <w:r w:rsidRPr="00416015">
        <w:rPr>
          <w:rFonts w:ascii="Palatino Linotype" w:eastAsia="Palatino Linotype" w:hAnsi="Palatino Linotype" w:cs="Palatino Linotype"/>
          <w:b/>
          <w:sz w:val="22"/>
          <w:szCs w:val="22"/>
        </w:rPr>
        <w:t xml:space="preserve">Instituto de Transparencia, Acceso a la Información Pública y Protección de Datos Personales del Estado de México y Municipios, </w:t>
      </w:r>
      <w:r w:rsidRPr="00416015">
        <w:rPr>
          <w:rFonts w:ascii="Palatino Linotype" w:eastAsia="Palatino Linotype" w:hAnsi="Palatino Linotype" w:cs="Palatino Linotype"/>
          <w:sz w:val="22"/>
          <w:szCs w:val="22"/>
        </w:rPr>
        <w:t xml:space="preserve">en lo sucesivo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 xml:space="preserve">se procede a dictar la presente resolución con base en los siguientes: </w:t>
      </w:r>
    </w:p>
    <w:p w14:paraId="66EFD207" w14:textId="77777777" w:rsidR="007E6EBE" w:rsidRPr="00416015" w:rsidRDefault="00BA3E20">
      <w:pPr>
        <w:spacing w:before="240" w:after="240" w:line="360" w:lineRule="auto"/>
        <w:jc w:val="center"/>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I. A N T E C E D E N T E S</w:t>
      </w:r>
    </w:p>
    <w:p w14:paraId="195942AB"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1. Solicitud de acceso a la información.</w:t>
      </w:r>
      <w:r w:rsidRPr="00416015">
        <w:rPr>
          <w:rFonts w:ascii="Palatino Linotype" w:eastAsia="Palatino Linotype" w:hAnsi="Palatino Linotype" w:cs="Palatino Linotype"/>
          <w:sz w:val="22"/>
          <w:szCs w:val="22"/>
        </w:rPr>
        <w:t xml:space="preserve"> El </w:t>
      </w:r>
      <w:r w:rsidRPr="00416015">
        <w:rPr>
          <w:rFonts w:ascii="Palatino Linotype" w:eastAsia="Palatino Linotype" w:hAnsi="Palatino Linotype" w:cs="Palatino Linotype"/>
          <w:b/>
          <w:sz w:val="22"/>
          <w:szCs w:val="22"/>
        </w:rPr>
        <w:t>veintinueve de enero de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dos mil veinticinco,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 xml:space="preserve">Recurrente </w:t>
      </w:r>
      <w:r w:rsidRPr="00416015">
        <w:rPr>
          <w:rFonts w:ascii="Palatino Linotype" w:eastAsia="Palatino Linotype" w:hAnsi="Palatino Linotype" w:cs="Palatino Linotype"/>
          <w:sz w:val="22"/>
          <w:szCs w:val="22"/>
        </w:rPr>
        <w:t xml:space="preserve">presentó, a través del Sistema de Acceso a la Información Mexiquense, en lo subsecuente el </w:t>
      </w:r>
      <w:r w:rsidRPr="00416015">
        <w:rPr>
          <w:rFonts w:ascii="Palatino Linotype" w:eastAsia="Palatino Linotype" w:hAnsi="Palatino Linotype" w:cs="Palatino Linotype"/>
          <w:b/>
          <w:sz w:val="22"/>
          <w:szCs w:val="22"/>
        </w:rPr>
        <w:t>SAIMEX,</w:t>
      </w:r>
      <w:r w:rsidRPr="00416015">
        <w:rPr>
          <w:rFonts w:ascii="Palatino Linotype" w:eastAsia="Palatino Linotype" w:hAnsi="Palatino Linotype" w:cs="Palatino Linotype"/>
          <w:sz w:val="22"/>
          <w:szCs w:val="22"/>
        </w:rPr>
        <w:t xml:space="preserve"> ante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la solicitud de acceso a la información pública, a la que se le asignó el número</w:t>
      </w:r>
      <w:r w:rsidRPr="00416015">
        <w:rPr>
          <w:rFonts w:ascii="Palatino Linotype" w:eastAsia="Palatino Linotype" w:hAnsi="Palatino Linotype" w:cs="Palatino Linotype"/>
          <w:b/>
          <w:sz w:val="22"/>
          <w:szCs w:val="22"/>
        </w:rPr>
        <w:t xml:space="preserve"> 00083/INFOEM/IP/2025, </w:t>
      </w:r>
      <w:r w:rsidRPr="00416015">
        <w:rPr>
          <w:rFonts w:ascii="Palatino Linotype" w:eastAsia="Palatino Linotype" w:hAnsi="Palatino Linotype" w:cs="Palatino Linotype"/>
          <w:sz w:val="22"/>
          <w:szCs w:val="22"/>
        </w:rPr>
        <w:t xml:space="preserve">mediante la cual requirió la información siguiente: </w:t>
      </w:r>
    </w:p>
    <w:p w14:paraId="105F51B9" w14:textId="77777777" w:rsidR="007E6EBE" w:rsidRPr="00416015" w:rsidRDefault="00BA3E20">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416015">
        <w:rPr>
          <w:rFonts w:ascii="Palatino Linotype" w:eastAsia="Palatino Linotype" w:hAnsi="Palatino Linotype" w:cs="Palatino Linotype"/>
          <w:i/>
          <w:sz w:val="22"/>
          <w:szCs w:val="22"/>
        </w:rPr>
        <w:t xml:space="preserve">“Deseo que me compartan </w:t>
      </w:r>
      <w:r w:rsidRPr="00416015">
        <w:rPr>
          <w:rFonts w:ascii="Palatino Linotype" w:eastAsia="Palatino Linotype" w:hAnsi="Palatino Linotype" w:cs="Palatino Linotype"/>
          <w:b/>
          <w:i/>
          <w:sz w:val="22"/>
          <w:szCs w:val="22"/>
          <w:u w:val="single"/>
        </w:rPr>
        <w:t>los contratos de arrendamiento, adquisiciones de bienes y contratación de servicios realizados durante los meses de noviembre y diciembre 2024, así como enero 2025; también el pago y factura de cada uno de los mismos y en caso de que aplique su garantía</w:t>
      </w:r>
      <w:r w:rsidRPr="00416015">
        <w:rPr>
          <w:rFonts w:ascii="Palatino Linotype" w:eastAsia="Palatino Linotype" w:hAnsi="Palatino Linotype" w:cs="Palatino Linotype"/>
          <w:i/>
          <w:sz w:val="22"/>
          <w:szCs w:val="22"/>
        </w:rPr>
        <w:t xml:space="preserve">. Además de compartirme los contratos respectivos ya que a la fecha no se encuentran en la plataforma IPOMEX” (Sic) </w:t>
      </w:r>
    </w:p>
    <w:p w14:paraId="33CED124" w14:textId="77777777" w:rsidR="007E6EBE" w:rsidRPr="00416015" w:rsidRDefault="00BA3E20">
      <w:pPr>
        <w:spacing w:before="240" w:after="240" w:line="360" w:lineRule="auto"/>
        <w:ind w:right="49"/>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Modalidad de Entrega:</w:t>
      </w:r>
      <w:r w:rsidRPr="00416015">
        <w:rPr>
          <w:rFonts w:ascii="Palatino Linotype" w:eastAsia="Palatino Linotype" w:hAnsi="Palatino Linotype" w:cs="Palatino Linotype"/>
          <w:sz w:val="22"/>
          <w:szCs w:val="22"/>
        </w:rPr>
        <w:t xml:space="preserve"> A través </w:t>
      </w:r>
      <w:r w:rsidRPr="00416015">
        <w:rPr>
          <w:rFonts w:ascii="Palatino Linotype" w:eastAsia="Palatino Linotype" w:hAnsi="Palatino Linotype" w:cs="Palatino Linotype"/>
          <w:b/>
          <w:sz w:val="22"/>
          <w:szCs w:val="22"/>
        </w:rPr>
        <w:t>del SAIMEX.</w:t>
      </w:r>
    </w:p>
    <w:p w14:paraId="203A2EFE" w14:textId="77777777" w:rsidR="007E6EBE" w:rsidRPr="00416015" w:rsidRDefault="00BA3E20">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416015">
        <w:rPr>
          <w:rFonts w:ascii="Palatino Linotype" w:eastAsia="Palatino Linotype" w:hAnsi="Palatino Linotype" w:cs="Palatino Linotype"/>
          <w:b/>
          <w:sz w:val="22"/>
          <w:szCs w:val="22"/>
        </w:rPr>
        <w:lastRenderedPageBreak/>
        <w:t xml:space="preserve">2. Respuesta. </w:t>
      </w:r>
      <w:r w:rsidRPr="00416015">
        <w:rPr>
          <w:rFonts w:ascii="Palatino Linotype" w:eastAsia="Palatino Linotype" w:hAnsi="Palatino Linotype" w:cs="Palatino Linotype"/>
          <w:sz w:val="22"/>
          <w:szCs w:val="22"/>
        </w:rPr>
        <w:t xml:space="preserve">El </w:t>
      </w:r>
      <w:r w:rsidRPr="00416015">
        <w:rPr>
          <w:rFonts w:ascii="Palatino Linotype" w:eastAsia="Palatino Linotype" w:hAnsi="Palatino Linotype" w:cs="Palatino Linotype"/>
          <w:b/>
          <w:sz w:val="22"/>
          <w:szCs w:val="22"/>
        </w:rPr>
        <w:t>seis de febrero de dos mil veinticinco</w:t>
      </w:r>
      <w:r w:rsidRPr="00416015">
        <w:rPr>
          <w:rFonts w:ascii="Palatino Linotype" w:eastAsia="Palatino Linotype" w:hAnsi="Palatino Linotype" w:cs="Palatino Linotype"/>
          <w:sz w:val="22"/>
          <w:szCs w:val="22"/>
        </w:rPr>
        <w:t xml:space="preserve">,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732982BD" w14:textId="77777777" w:rsidR="007E6EBE" w:rsidRPr="00416015" w:rsidRDefault="00BA3E20">
      <w:pPr>
        <w:spacing w:before="240" w:after="240"/>
        <w:ind w:left="567" w:right="902"/>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897CE8" w14:textId="77777777" w:rsidR="007E6EBE" w:rsidRPr="00416015" w:rsidRDefault="00BA3E20">
      <w:pPr>
        <w:spacing w:before="240" w:after="240"/>
        <w:ind w:left="567" w:right="902"/>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información pública.</w:t>
      </w:r>
    </w:p>
    <w:p w14:paraId="278987A8" w14:textId="77777777" w:rsidR="007E6EBE" w:rsidRPr="00416015" w:rsidRDefault="00BA3E20">
      <w:pPr>
        <w:spacing w:before="240" w:after="240"/>
        <w:ind w:left="567" w:right="902"/>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ATENTAMENTE</w:t>
      </w:r>
    </w:p>
    <w:p w14:paraId="6225F46C" w14:textId="77777777" w:rsidR="007E6EBE" w:rsidRPr="00416015" w:rsidRDefault="00BA3E20">
      <w:pPr>
        <w:spacing w:before="240" w:after="240"/>
        <w:ind w:left="567" w:right="902"/>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Mtro. Juan Salvador V. Hernández Flores” (Sic) (Énfasis añadido)</w:t>
      </w:r>
    </w:p>
    <w:p w14:paraId="651EBC82" w14:textId="77777777" w:rsidR="007E6EBE" w:rsidRPr="00416015" w:rsidRDefault="00BA3E20">
      <w:pPr>
        <w:spacing w:before="240" w:after="240"/>
        <w:ind w:left="567" w:right="902"/>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 xml:space="preserve">Archivos adjuntos: </w:t>
      </w:r>
    </w:p>
    <w:p w14:paraId="6732A8EE" w14:textId="77777777" w:rsidR="007E6EBE" w:rsidRPr="00416015" w:rsidRDefault="00BA3E20">
      <w:pPr>
        <w:spacing w:before="240" w:after="240" w:line="360" w:lineRule="auto"/>
        <w:ind w:left="567" w:right="1134"/>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i/>
          <w:sz w:val="22"/>
          <w:szCs w:val="22"/>
        </w:rPr>
        <w:t xml:space="preserve">“ResumenRespuesta00083.pdf”: </w:t>
      </w:r>
      <w:r w:rsidRPr="00416015">
        <w:rPr>
          <w:rFonts w:ascii="Palatino Linotype" w:eastAsia="Palatino Linotype" w:hAnsi="Palatino Linotype" w:cs="Palatino Linotype"/>
          <w:sz w:val="22"/>
          <w:szCs w:val="22"/>
        </w:rPr>
        <w:t>Documento en el que consta el resumen de la respuesta otorgada a la presente solicitud de información.</w:t>
      </w:r>
    </w:p>
    <w:p w14:paraId="1D87AD45" w14:textId="77777777" w:rsidR="007E6EBE" w:rsidRPr="00416015" w:rsidRDefault="00BA3E20">
      <w:pPr>
        <w:spacing w:before="240" w:after="240" w:line="360" w:lineRule="auto"/>
        <w:ind w:left="567" w:right="902"/>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i/>
          <w:sz w:val="22"/>
          <w:szCs w:val="22"/>
        </w:rPr>
        <w:t xml:space="preserve">“RespuestaSolictud00083.zip”: </w:t>
      </w:r>
      <w:r w:rsidRPr="00416015">
        <w:rPr>
          <w:rFonts w:ascii="Palatino Linotype" w:eastAsia="Palatino Linotype" w:hAnsi="Palatino Linotype" w:cs="Palatino Linotype"/>
          <w:sz w:val="22"/>
          <w:szCs w:val="22"/>
        </w:rPr>
        <w:t>Carpeta comprimida que contiene los siguientes archivos electrónicos:</w:t>
      </w:r>
    </w:p>
    <w:p w14:paraId="790EFEBD" w14:textId="77777777" w:rsidR="007E6EBE" w:rsidRPr="00416015" w:rsidRDefault="00BA3E20">
      <w:pPr>
        <w:spacing w:before="240" w:after="240"/>
        <w:ind w:left="567" w:right="902"/>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drawing>
          <wp:inline distT="0" distB="0" distL="0" distR="0" wp14:anchorId="633F1B2C" wp14:editId="07026385">
            <wp:extent cx="4327410" cy="181447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327410" cy="1814475"/>
                    </a:xfrm>
                    <a:prstGeom prst="rect">
                      <a:avLst/>
                    </a:prstGeom>
                    <a:ln/>
                  </pic:spPr>
                </pic:pic>
              </a:graphicData>
            </a:graphic>
          </wp:inline>
        </w:drawing>
      </w:r>
    </w:p>
    <w:p w14:paraId="4F4F8E39" w14:textId="77777777" w:rsidR="007E6EBE" w:rsidRPr="00416015" w:rsidRDefault="00BA3E20">
      <w:pPr>
        <w:spacing w:before="240" w:after="240" w:line="360" w:lineRule="auto"/>
        <w:ind w:left="567" w:right="902"/>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i/>
          <w:sz w:val="22"/>
          <w:szCs w:val="22"/>
        </w:rPr>
        <w:lastRenderedPageBreak/>
        <w:t xml:space="preserve">“RespuestaSolicitud00083_2025.docx”: </w:t>
      </w:r>
      <w:r w:rsidRPr="00416015">
        <w:rPr>
          <w:rFonts w:ascii="Palatino Linotype" w:eastAsia="Palatino Linotype" w:hAnsi="Palatino Linotype" w:cs="Palatino Linotype"/>
          <w:sz w:val="22"/>
          <w:szCs w:val="22"/>
        </w:rPr>
        <w:t xml:space="preserve">Documento en formato Word que contiene el Oficio INFOEM/DGAF/065/2025, suscrito por el Director General de Administración y Finanzas, mediante el cual refiere que dicha información es pública y podrá ser consultada en nuestra plataforma </w:t>
      </w:r>
      <w:proofErr w:type="spellStart"/>
      <w:r w:rsidRPr="00416015">
        <w:rPr>
          <w:rFonts w:ascii="Palatino Linotype" w:eastAsia="Palatino Linotype" w:hAnsi="Palatino Linotype" w:cs="Palatino Linotype"/>
          <w:sz w:val="22"/>
          <w:szCs w:val="22"/>
        </w:rPr>
        <w:t>Ipomex</w:t>
      </w:r>
      <w:proofErr w:type="spellEnd"/>
      <w:r w:rsidRPr="00416015">
        <w:rPr>
          <w:rFonts w:ascii="Palatino Linotype" w:eastAsia="Palatino Linotype" w:hAnsi="Palatino Linotype" w:cs="Palatino Linotype"/>
          <w:sz w:val="22"/>
          <w:szCs w:val="22"/>
        </w:rPr>
        <w:t xml:space="preserve">, Fracción XXIX o bien en el siguiente link: </w:t>
      </w:r>
      <w:hyperlink r:id="rId9" w:anchor="/info-fraccion/676/1/12">
        <w:r w:rsidRPr="00416015">
          <w:rPr>
            <w:rFonts w:ascii="Palatino Linotype" w:eastAsia="Palatino Linotype" w:hAnsi="Palatino Linotype" w:cs="Palatino Linotype"/>
            <w:color w:val="0000FF"/>
            <w:sz w:val="22"/>
            <w:szCs w:val="22"/>
            <w:u w:val="single"/>
          </w:rPr>
          <w:t>https://infoem2.ipomex.org.mx/ipomex/#/info-fraccion/676/1/12</w:t>
        </w:r>
      </w:hyperlink>
      <w:r w:rsidRPr="00416015">
        <w:rPr>
          <w:rFonts w:ascii="Palatino Linotype" w:eastAsia="Palatino Linotype" w:hAnsi="Palatino Linotype" w:cs="Palatino Linotype"/>
          <w:sz w:val="22"/>
          <w:szCs w:val="22"/>
        </w:rPr>
        <w:t xml:space="preserve"> , es de precisar que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también proporcionó los pasos a seguir para consultar la información solicitada.</w:t>
      </w:r>
    </w:p>
    <w:p w14:paraId="3A0FFA66" w14:textId="77777777" w:rsidR="007E6EBE" w:rsidRPr="00416015" w:rsidRDefault="00BA3E20">
      <w:pPr>
        <w:spacing w:before="240" w:after="240" w:line="360" w:lineRule="auto"/>
        <w:ind w:left="567" w:right="902"/>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i/>
          <w:sz w:val="22"/>
          <w:szCs w:val="22"/>
        </w:rPr>
        <w:t xml:space="preserve">“RespuestaSolicitud00083DGAF.pdf”: </w:t>
      </w:r>
      <w:r w:rsidRPr="00416015">
        <w:rPr>
          <w:rFonts w:ascii="Palatino Linotype" w:eastAsia="Palatino Linotype" w:hAnsi="Palatino Linotype" w:cs="Palatino Linotype"/>
          <w:sz w:val="22"/>
          <w:szCs w:val="22"/>
        </w:rPr>
        <w:t xml:space="preserve">Documento en formato PDF que contiene el Oficio INFOEM/DGAF/065/2025, suscrito por el </w:t>
      </w:r>
      <w:proofErr w:type="gramStart"/>
      <w:r w:rsidRPr="00416015">
        <w:rPr>
          <w:rFonts w:ascii="Palatino Linotype" w:eastAsia="Palatino Linotype" w:hAnsi="Palatino Linotype" w:cs="Palatino Linotype"/>
          <w:sz w:val="22"/>
          <w:szCs w:val="22"/>
        </w:rPr>
        <w:t>Director General</w:t>
      </w:r>
      <w:proofErr w:type="gramEnd"/>
      <w:r w:rsidRPr="00416015">
        <w:rPr>
          <w:rFonts w:ascii="Palatino Linotype" w:eastAsia="Palatino Linotype" w:hAnsi="Palatino Linotype" w:cs="Palatino Linotype"/>
          <w:sz w:val="22"/>
          <w:szCs w:val="22"/>
        </w:rPr>
        <w:t xml:space="preserve"> de Administración y Finanzas, previamente descrito.</w:t>
      </w:r>
    </w:p>
    <w:p w14:paraId="1205DECB" w14:textId="77777777" w:rsidR="007E6EBE" w:rsidRPr="00416015" w:rsidRDefault="00BA3E20">
      <w:pPr>
        <w:spacing w:before="240" w:after="240" w:line="360" w:lineRule="auto"/>
        <w:ind w:left="567" w:right="902"/>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i/>
          <w:sz w:val="22"/>
          <w:szCs w:val="22"/>
        </w:rPr>
        <w:t xml:space="preserve">“RespuestaSolictud00083UT2025.pdf”: </w:t>
      </w:r>
      <w:r w:rsidRPr="00416015">
        <w:rPr>
          <w:rFonts w:ascii="Palatino Linotype" w:eastAsia="Palatino Linotype" w:hAnsi="Palatino Linotype" w:cs="Palatino Linotype"/>
          <w:sz w:val="22"/>
          <w:szCs w:val="22"/>
        </w:rPr>
        <w:t>Oficio INFOEM/UT/065/2025, por el cual, el Titular de la Unidad de Transparencia notifica a la persona solicitante, la respuesta a la presente solicitud de información.</w:t>
      </w:r>
    </w:p>
    <w:p w14:paraId="0640CD05"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 xml:space="preserve">3. Interposición del recurso de revisión. </w:t>
      </w:r>
      <w:r w:rsidRPr="00416015">
        <w:rPr>
          <w:rFonts w:ascii="Palatino Linotype" w:eastAsia="Palatino Linotype" w:hAnsi="Palatino Linotype" w:cs="Palatino Linotype"/>
          <w:sz w:val="22"/>
          <w:szCs w:val="22"/>
        </w:rPr>
        <w:t xml:space="preserve">Inconforme con los términos de la respuesta emitida por parte del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el</w:t>
      </w:r>
      <w:r w:rsidRPr="00416015">
        <w:rPr>
          <w:rFonts w:ascii="Palatino Linotype" w:eastAsia="Palatino Linotype" w:hAnsi="Palatino Linotype" w:cs="Palatino Linotype"/>
          <w:b/>
          <w:sz w:val="22"/>
          <w:szCs w:val="22"/>
        </w:rPr>
        <w:t xml:space="preserve"> doce de febrero de dos mil veinticinco,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interpuso el recurso de revisión a través de </w:t>
      </w:r>
      <w:r w:rsidRPr="00416015">
        <w:rPr>
          <w:rFonts w:ascii="Palatino Linotype" w:eastAsia="Palatino Linotype" w:hAnsi="Palatino Linotype" w:cs="Palatino Linotype"/>
          <w:b/>
          <w:sz w:val="22"/>
          <w:szCs w:val="22"/>
        </w:rPr>
        <w:t xml:space="preserve">SAIMEX, </w:t>
      </w:r>
      <w:r w:rsidRPr="00416015">
        <w:rPr>
          <w:rFonts w:ascii="Palatino Linotype" w:eastAsia="Palatino Linotype" w:hAnsi="Palatino Linotype" w:cs="Palatino Linotype"/>
          <w:sz w:val="22"/>
          <w:szCs w:val="22"/>
        </w:rPr>
        <w:t>en donde se manifestó de la siguiente manera:</w:t>
      </w:r>
    </w:p>
    <w:p w14:paraId="7F05DFED" w14:textId="77777777" w:rsidR="007E6EBE" w:rsidRPr="00416015" w:rsidRDefault="00BA3E20">
      <w:pPr>
        <w:tabs>
          <w:tab w:val="left" w:pos="2745"/>
        </w:tabs>
        <w:spacing w:before="240" w:after="240"/>
        <w:ind w:left="567" w:right="900"/>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 xml:space="preserve">a) Acto impugnado: </w:t>
      </w:r>
      <w:r w:rsidRPr="00416015">
        <w:rPr>
          <w:rFonts w:ascii="Palatino Linotype" w:eastAsia="Palatino Linotype" w:hAnsi="Palatino Linotype" w:cs="Palatino Linotype"/>
          <w:i/>
          <w:sz w:val="22"/>
          <w:szCs w:val="22"/>
        </w:rPr>
        <w:t xml:space="preserve">“FALTA DE INFORMACIÓN, YA QUE </w:t>
      </w:r>
      <w:r w:rsidRPr="00416015">
        <w:rPr>
          <w:rFonts w:ascii="Palatino Linotype" w:eastAsia="Palatino Linotype" w:hAnsi="Palatino Linotype" w:cs="Palatino Linotype"/>
          <w:b/>
          <w:i/>
          <w:sz w:val="22"/>
          <w:szCs w:val="22"/>
          <w:u w:val="single"/>
        </w:rPr>
        <w:t>SOLICITE ADEMÁS DE LOS CONTRATOS LOS PAGOS, FACTURAS Y GARANTÍAS DE CADA UNO DE ELLOS. Y SOLO ME COMPARTEN EL LINK PARA REVISAR LOS CONTRATOS MENCIONADOS, ADEMÁS DE QUE NO ME COMPARTEN CONTRATOS DE ENERO, SIENDO QUE EN MI SOLICITUD INDICO EXPRESAMENTE CONTRATOS DE ENERO 2025</w:t>
      </w:r>
      <w:r w:rsidRPr="00416015">
        <w:rPr>
          <w:rFonts w:ascii="Palatino Linotype" w:eastAsia="Palatino Linotype" w:hAnsi="Palatino Linotype" w:cs="Palatino Linotype"/>
          <w:i/>
          <w:sz w:val="22"/>
          <w:szCs w:val="22"/>
        </w:rPr>
        <w:t>.” (Sic)</w:t>
      </w:r>
    </w:p>
    <w:p w14:paraId="1F6C8042" w14:textId="77777777" w:rsidR="007E6EBE" w:rsidRPr="00416015" w:rsidRDefault="00BA3E20">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416015">
        <w:rPr>
          <w:rFonts w:ascii="Palatino Linotype" w:eastAsia="Palatino Linotype" w:hAnsi="Palatino Linotype" w:cs="Palatino Linotype"/>
          <w:b/>
          <w:sz w:val="22"/>
          <w:szCs w:val="22"/>
        </w:rPr>
        <w:lastRenderedPageBreak/>
        <w:t>b) Razones o motivos de inconformidad</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i/>
          <w:sz w:val="22"/>
          <w:szCs w:val="22"/>
        </w:rPr>
        <w:t>“ME INTERESA LA INFORMACIÓN COMPLETA Y VERIFICAR SI LOS RECURSOS QUE INDICAN EN SUS CONTRATOS CORRESPONDEN A LO PAGADO POR SU INSTITUTO Y SI ES QUE SE CUENTA CON LAS GARANTIAS QUE MARCA LA LEY.” (Sic) (Énfasis añadido)</w:t>
      </w:r>
    </w:p>
    <w:p w14:paraId="208132E1" w14:textId="77777777" w:rsidR="007E6EBE" w:rsidRPr="00416015" w:rsidRDefault="007E6EBE">
      <w:pPr>
        <w:spacing w:line="276" w:lineRule="auto"/>
        <w:ind w:left="567" w:right="900"/>
        <w:jc w:val="both"/>
        <w:rPr>
          <w:rFonts w:ascii="Palatino Linotype" w:eastAsia="Palatino Linotype" w:hAnsi="Palatino Linotype" w:cs="Palatino Linotype"/>
          <w:i/>
          <w:sz w:val="22"/>
          <w:szCs w:val="22"/>
        </w:rPr>
      </w:pPr>
    </w:p>
    <w:p w14:paraId="17899F7B" w14:textId="77777777" w:rsidR="007E6EBE" w:rsidRPr="00416015" w:rsidRDefault="00BA3E20">
      <w:pPr>
        <w:spacing w:line="360" w:lineRule="auto"/>
        <w:ind w:left="567" w:right="1134"/>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Archivos adjuntos: “</w:t>
      </w:r>
      <w:r w:rsidRPr="00416015">
        <w:rPr>
          <w:rFonts w:ascii="Palatino Linotype" w:eastAsia="Palatino Linotype" w:hAnsi="Palatino Linotype" w:cs="Palatino Linotype"/>
          <w:b/>
          <w:i/>
          <w:sz w:val="22"/>
          <w:szCs w:val="22"/>
        </w:rPr>
        <w:t xml:space="preserve">RespuestaSolictud00083.zip”: </w:t>
      </w:r>
      <w:r w:rsidRPr="00416015">
        <w:rPr>
          <w:rFonts w:ascii="Palatino Linotype" w:eastAsia="Palatino Linotype" w:hAnsi="Palatino Linotype" w:cs="Palatino Linotype"/>
          <w:sz w:val="22"/>
          <w:szCs w:val="22"/>
        </w:rPr>
        <w:t xml:space="preserve">Carpeta comprimida que contiene la respuesta del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la cual fue previamente descrita.</w:t>
      </w:r>
    </w:p>
    <w:p w14:paraId="15B7FEF0" w14:textId="77777777" w:rsidR="007E6EBE" w:rsidRPr="00416015" w:rsidRDefault="00BA3E20">
      <w:pPr>
        <w:spacing w:before="240" w:after="240" w:line="360" w:lineRule="auto"/>
        <w:ind w:right="283"/>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 xml:space="preserve">4. Turno. </w:t>
      </w:r>
      <w:r w:rsidRPr="0041601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16015">
        <w:rPr>
          <w:rFonts w:ascii="Palatino Linotype" w:eastAsia="Palatino Linotype" w:hAnsi="Palatino Linotype" w:cs="Palatino Linotype"/>
          <w:b/>
          <w:sz w:val="22"/>
          <w:szCs w:val="22"/>
        </w:rPr>
        <w:t xml:space="preserve">Guadalupe Ramírez Peña, </w:t>
      </w:r>
      <w:r w:rsidRPr="00416015">
        <w:rPr>
          <w:rFonts w:ascii="Palatino Linotype" w:eastAsia="Palatino Linotype" w:hAnsi="Palatino Linotype" w:cs="Palatino Linotype"/>
          <w:sz w:val="22"/>
          <w:szCs w:val="22"/>
        </w:rPr>
        <w:t xml:space="preserve">a efecto de que analizara sobre su admisión o su </w:t>
      </w:r>
      <w:proofErr w:type="spellStart"/>
      <w:r w:rsidRPr="00416015">
        <w:rPr>
          <w:rFonts w:ascii="Palatino Linotype" w:eastAsia="Palatino Linotype" w:hAnsi="Palatino Linotype" w:cs="Palatino Linotype"/>
          <w:sz w:val="22"/>
          <w:szCs w:val="22"/>
        </w:rPr>
        <w:t>desechamiento</w:t>
      </w:r>
      <w:proofErr w:type="spellEnd"/>
      <w:r w:rsidRPr="00416015">
        <w:rPr>
          <w:rFonts w:ascii="Palatino Linotype" w:eastAsia="Palatino Linotype" w:hAnsi="Palatino Linotype" w:cs="Palatino Linotype"/>
          <w:sz w:val="22"/>
          <w:szCs w:val="22"/>
        </w:rPr>
        <w:t>.</w:t>
      </w:r>
    </w:p>
    <w:p w14:paraId="4EBBFB14" w14:textId="77777777" w:rsidR="007E6EBE" w:rsidRPr="00416015" w:rsidRDefault="00BA3E20">
      <w:pPr>
        <w:spacing w:before="240" w:after="240" w:line="360" w:lineRule="auto"/>
        <w:ind w:right="283"/>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5. Admisión del Recurso de revisión.</w:t>
      </w:r>
      <w:r w:rsidRPr="00416015">
        <w:rPr>
          <w:rFonts w:ascii="Palatino Linotype" w:eastAsia="Palatino Linotype" w:hAnsi="Palatino Linotype" w:cs="Palatino Linotype"/>
          <w:sz w:val="22"/>
          <w:szCs w:val="22"/>
        </w:rPr>
        <w:t xml:space="preserve"> El </w:t>
      </w:r>
      <w:r w:rsidRPr="00416015">
        <w:rPr>
          <w:rFonts w:ascii="Palatino Linotype" w:eastAsia="Palatino Linotype" w:hAnsi="Palatino Linotype" w:cs="Palatino Linotype"/>
          <w:b/>
          <w:sz w:val="22"/>
          <w:szCs w:val="22"/>
        </w:rPr>
        <w:t xml:space="preserve">diecisiete de febrero de dos mil veinticinco, </w:t>
      </w:r>
      <w:r w:rsidRPr="0041601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presentara su informe justificado.</w:t>
      </w:r>
    </w:p>
    <w:p w14:paraId="1C9C0975" w14:textId="77777777" w:rsidR="007E6EBE" w:rsidRPr="00416015" w:rsidRDefault="00BA3E20">
      <w:pPr>
        <w:pBdr>
          <w:top w:val="nil"/>
          <w:left w:val="nil"/>
          <w:bottom w:val="nil"/>
          <w:right w:val="nil"/>
          <w:between w:val="nil"/>
        </w:pBdr>
        <w:tabs>
          <w:tab w:val="left" w:pos="284"/>
        </w:tabs>
        <w:spacing w:line="360" w:lineRule="auto"/>
        <w:ind w:right="283"/>
        <w:jc w:val="both"/>
        <w:rPr>
          <w:rFonts w:ascii="Palatino Linotype" w:eastAsia="Palatino Linotype" w:hAnsi="Palatino Linotype" w:cs="Palatino Linotype"/>
          <w:color w:val="000000"/>
          <w:sz w:val="22"/>
          <w:szCs w:val="22"/>
        </w:rPr>
      </w:pPr>
      <w:bookmarkStart w:id="4" w:name="_heading=h.2s8eyo1" w:colFirst="0" w:colLast="0"/>
      <w:bookmarkEnd w:id="4"/>
      <w:r w:rsidRPr="00416015">
        <w:rPr>
          <w:rFonts w:ascii="Palatino Linotype" w:eastAsia="Palatino Linotype" w:hAnsi="Palatino Linotype" w:cs="Palatino Linotype"/>
          <w:b/>
          <w:sz w:val="22"/>
          <w:szCs w:val="22"/>
        </w:rPr>
        <w:t>6. Manifestaciones e Informe Justificado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 informe justificado,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remitió su informe justificado, el </w:t>
      </w:r>
      <w:r w:rsidRPr="00416015">
        <w:rPr>
          <w:rFonts w:ascii="Palatino Linotype" w:eastAsia="Palatino Linotype" w:hAnsi="Palatino Linotype" w:cs="Palatino Linotype"/>
          <w:b/>
          <w:color w:val="000000"/>
          <w:sz w:val="22"/>
          <w:szCs w:val="22"/>
        </w:rPr>
        <w:t>cuatro de marzo de dos mil veinticinco</w:t>
      </w:r>
      <w:r w:rsidRPr="00416015">
        <w:rPr>
          <w:rFonts w:ascii="Palatino Linotype" w:eastAsia="Palatino Linotype" w:hAnsi="Palatino Linotype" w:cs="Palatino Linotype"/>
          <w:color w:val="000000"/>
          <w:sz w:val="22"/>
          <w:szCs w:val="22"/>
        </w:rPr>
        <w:t xml:space="preserve">, </w:t>
      </w:r>
      <w:r w:rsidRPr="00416015">
        <w:rPr>
          <w:rFonts w:ascii="Palatino Linotype" w:eastAsia="Palatino Linotype" w:hAnsi="Palatino Linotype" w:cs="Palatino Linotype"/>
          <w:color w:val="000000"/>
          <w:sz w:val="22"/>
          <w:szCs w:val="22"/>
        </w:rPr>
        <w:lastRenderedPageBreak/>
        <w:t xml:space="preserve">mediante los archivos electrónicos denominados </w:t>
      </w:r>
      <w:r w:rsidRPr="00416015">
        <w:rPr>
          <w:rFonts w:ascii="Palatino Linotype" w:eastAsia="Palatino Linotype" w:hAnsi="Palatino Linotype" w:cs="Palatino Linotype"/>
          <w:b/>
          <w:i/>
          <w:color w:val="000000"/>
          <w:sz w:val="22"/>
          <w:szCs w:val="22"/>
        </w:rPr>
        <w:t xml:space="preserve">“RES-01-INFOEM-EXT-COMT-07-2025.pdf”, “Cuadro de clasificación firmado RR_01274_2025.pdf”, </w:t>
      </w:r>
      <w:r w:rsidRPr="00416015">
        <w:rPr>
          <w:rFonts w:ascii="Palatino Linotype" w:eastAsia="Palatino Linotype" w:hAnsi="Palatino Linotype" w:cs="Palatino Linotype"/>
          <w:b/>
          <w:i/>
          <w:color w:val="000000"/>
          <w:sz w:val="22"/>
          <w:szCs w:val="22"/>
        </w:rPr>
        <w:tab/>
        <w:t>“requerimiento informe Justificado RR 01274-2025.pdf”, “Anexo único_Censurado.pdf”, “Informe justificado RR_1274_2025.pdf”, e “InformeJustificado01274UT.pdf”</w:t>
      </w:r>
      <w:r w:rsidRPr="00416015">
        <w:rPr>
          <w:rFonts w:ascii="Palatino Linotype" w:eastAsia="Palatino Linotype" w:hAnsi="Palatino Linotype" w:cs="Palatino Linotype"/>
          <w:color w:val="000000"/>
          <w:sz w:val="22"/>
          <w:szCs w:val="22"/>
        </w:rPr>
        <w:t>, los cuales se describen de manera pormenorizada a continuación:</w:t>
      </w:r>
    </w:p>
    <w:p w14:paraId="29238327" w14:textId="77777777" w:rsidR="007E6EBE" w:rsidRPr="00416015" w:rsidRDefault="007E6E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526B4B1B" w14:textId="77777777" w:rsidR="007E6EBE" w:rsidRPr="00416015" w:rsidRDefault="00BA3E20">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t xml:space="preserve">“RES-01-INFOEM-EXT-COMT-07-2025.pdf”: </w:t>
      </w:r>
      <w:r w:rsidRPr="00416015">
        <w:rPr>
          <w:rFonts w:ascii="Palatino Linotype" w:eastAsia="Palatino Linotype" w:hAnsi="Palatino Linotype" w:cs="Palatino Linotype"/>
          <w:color w:val="000000"/>
          <w:sz w:val="22"/>
          <w:szCs w:val="22"/>
        </w:rPr>
        <w:t>Resolución RES/01/INFOEM/EXT/COMT/07ª/2025, del Comité de Transparencia, emitida el 28 de febrero de 2025, por la cual, se determina la clasificación como confidencial de nombres de particulares, firma, número de cuenta e institución bancaria pertenecientes a un particular.</w:t>
      </w:r>
    </w:p>
    <w:p w14:paraId="792D1FC6" w14:textId="77777777" w:rsidR="007E6EBE" w:rsidRPr="00416015" w:rsidRDefault="007E6EBE">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p>
    <w:p w14:paraId="5328EE62" w14:textId="77777777" w:rsidR="007E6EBE" w:rsidRPr="00416015" w:rsidRDefault="00BA3E20">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t xml:space="preserve"> “Cuadro de clasificación firmado RR_01274_2025.pdf”: </w:t>
      </w:r>
      <w:r w:rsidRPr="00416015">
        <w:rPr>
          <w:rFonts w:ascii="Palatino Linotype" w:eastAsia="Palatino Linotype" w:hAnsi="Palatino Linotype" w:cs="Palatino Linotype"/>
          <w:color w:val="000000"/>
          <w:sz w:val="22"/>
          <w:szCs w:val="22"/>
        </w:rPr>
        <w:t xml:space="preserve">Cuadro de clasificación signado por el </w:t>
      </w:r>
      <w:proofErr w:type="gramStart"/>
      <w:r w:rsidRPr="00416015">
        <w:rPr>
          <w:rFonts w:ascii="Palatino Linotype" w:eastAsia="Palatino Linotype" w:hAnsi="Palatino Linotype" w:cs="Palatino Linotype"/>
          <w:color w:val="000000"/>
          <w:sz w:val="22"/>
          <w:szCs w:val="22"/>
        </w:rPr>
        <w:t>Director General</w:t>
      </w:r>
      <w:proofErr w:type="gramEnd"/>
      <w:r w:rsidRPr="00416015">
        <w:rPr>
          <w:rFonts w:ascii="Palatino Linotype" w:eastAsia="Palatino Linotype" w:hAnsi="Palatino Linotype" w:cs="Palatino Linotype"/>
          <w:color w:val="000000"/>
          <w:sz w:val="22"/>
          <w:szCs w:val="22"/>
        </w:rPr>
        <w:t xml:space="preserve"> de Administración y Finanzas. </w:t>
      </w:r>
    </w:p>
    <w:p w14:paraId="644DFE64" w14:textId="77777777" w:rsidR="007E6EBE" w:rsidRPr="00416015" w:rsidRDefault="007E6EBE">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p>
    <w:p w14:paraId="1F252589" w14:textId="77777777" w:rsidR="007E6EBE" w:rsidRPr="00416015" w:rsidRDefault="00BA3E20">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t xml:space="preserve">“requerimiento informe Justificado RR 01274-2025.pdf”: </w:t>
      </w:r>
      <w:r w:rsidRPr="00416015">
        <w:rPr>
          <w:rFonts w:ascii="Palatino Linotype" w:eastAsia="Palatino Linotype" w:hAnsi="Palatino Linotype" w:cs="Palatino Linotype"/>
          <w:color w:val="000000"/>
          <w:sz w:val="22"/>
          <w:szCs w:val="22"/>
        </w:rPr>
        <w:t xml:space="preserve">Documento que se compone de tres fojas, suscrito por el Titular de la Unidad de Transparencia, quien requiere al </w:t>
      </w:r>
      <w:proofErr w:type="gramStart"/>
      <w:r w:rsidRPr="00416015">
        <w:rPr>
          <w:rFonts w:ascii="Palatino Linotype" w:eastAsia="Palatino Linotype" w:hAnsi="Palatino Linotype" w:cs="Palatino Linotype"/>
          <w:color w:val="000000"/>
          <w:sz w:val="22"/>
          <w:szCs w:val="22"/>
        </w:rPr>
        <w:t>Director General</w:t>
      </w:r>
      <w:proofErr w:type="gramEnd"/>
      <w:r w:rsidRPr="00416015">
        <w:rPr>
          <w:rFonts w:ascii="Palatino Linotype" w:eastAsia="Palatino Linotype" w:hAnsi="Palatino Linotype" w:cs="Palatino Linotype"/>
          <w:color w:val="000000"/>
          <w:sz w:val="22"/>
          <w:szCs w:val="22"/>
        </w:rPr>
        <w:t xml:space="preserve"> de Administración y Finanzas, la presentación del informe justificado.</w:t>
      </w:r>
    </w:p>
    <w:p w14:paraId="6F1DBF20" w14:textId="77777777" w:rsidR="007E6EBE" w:rsidRPr="00416015" w:rsidRDefault="007E6EBE">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p>
    <w:p w14:paraId="633A1DF7" w14:textId="77777777" w:rsidR="007E6EBE" w:rsidRPr="00416015" w:rsidRDefault="00BA3E20">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t xml:space="preserve"> “Anexo único_Censurado.pdf”: </w:t>
      </w:r>
      <w:r w:rsidRPr="00416015">
        <w:rPr>
          <w:rFonts w:ascii="Palatino Linotype" w:eastAsia="Palatino Linotype" w:hAnsi="Palatino Linotype" w:cs="Palatino Linotype"/>
          <w:color w:val="000000"/>
          <w:sz w:val="22"/>
          <w:szCs w:val="22"/>
        </w:rPr>
        <w:t>Documento que se compone de once fojas, en el que se aprecian las garantías generadas con motivo de los contratos remitidos en respuesta, en versión pública.</w:t>
      </w:r>
    </w:p>
    <w:p w14:paraId="479C89EF" w14:textId="77777777" w:rsidR="007E6EBE" w:rsidRPr="00416015" w:rsidRDefault="00BA3E20">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 </w:t>
      </w:r>
    </w:p>
    <w:p w14:paraId="5B6483AB" w14:textId="77777777" w:rsidR="007E6EBE" w:rsidRPr="00416015" w:rsidRDefault="00BA3E20">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lastRenderedPageBreak/>
        <w:t xml:space="preserve"> “Informe justificado RR_1274_2025.pdf”: </w:t>
      </w:r>
      <w:r w:rsidRPr="00416015">
        <w:rPr>
          <w:rFonts w:ascii="Palatino Linotype" w:eastAsia="Palatino Linotype" w:hAnsi="Palatino Linotype" w:cs="Palatino Linotype"/>
          <w:color w:val="000000"/>
          <w:sz w:val="22"/>
          <w:szCs w:val="22"/>
        </w:rPr>
        <w:t xml:space="preserve">Memorándum No. - INFOEM/DGAF/037/2025, suscrito por el Director General de Administración y Finanzas, por el cual medularmente señala que se direccionó a la información requerida, misma que se encuentra publicada en la plataforma </w:t>
      </w:r>
      <w:proofErr w:type="spellStart"/>
      <w:r w:rsidRPr="00416015">
        <w:rPr>
          <w:rFonts w:ascii="Palatino Linotype" w:eastAsia="Palatino Linotype" w:hAnsi="Palatino Linotype" w:cs="Palatino Linotype"/>
          <w:color w:val="000000"/>
          <w:sz w:val="22"/>
          <w:szCs w:val="22"/>
        </w:rPr>
        <w:t>Ipomex</w:t>
      </w:r>
      <w:proofErr w:type="spellEnd"/>
      <w:r w:rsidRPr="00416015">
        <w:rPr>
          <w:rFonts w:ascii="Palatino Linotype" w:eastAsia="Palatino Linotype" w:hAnsi="Palatino Linotype" w:cs="Palatino Linotype"/>
          <w:color w:val="000000"/>
          <w:sz w:val="22"/>
          <w:szCs w:val="22"/>
        </w:rPr>
        <w:t xml:space="preserve"> fracción XXIX, tal y como se prevé en el artículo 161 de la Ley de Transparencia local, informando en la solicitud inicial la manera de consultar y obtener los documentos solicitados; fracción en la cual se encuentran los contratos del ejercicio 2024, Por lo que respecta al mes de enero de 2025 no se cuenta con contratos en dicho periodo, motivo por el cual no es posible brindar la información solicitada.</w:t>
      </w:r>
    </w:p>
    <w:p w14:paraId="3A1C1BE6" w14:textId="77777777" w:rsidR="007E6EBE" w:rsidRPr="00416015" w:rsidRDefault="007E6EBE">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color w:val="000000"/>
          <w:sz w:val="22"/>
          <w:szCs w:val="22"/>
        </w:rPr>
      </w:pPr>
    </w:p>
    <w:p w14:paraId="63672C28" w14:textId="77777777" w:rsidR="007E6EBE" w:rsidRPr="00416015" w:rsidRDefault="00BA3E20">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Por lo que hace a las garantías de dichos contratos desglosa los contratos en los que se generaron dichos documentos, asimismo envía dichos documentos en versión pública.</w:t>
      </w:r>
    </w:p>
    <w:p w14:paraId="0815E010" w14:textId="77777777" w:rsidR="007E6EBE" w:rsidRPr="00416015" w:rsidRDefault="007E6EBE">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color w:val="000000"/>
          <w:sz w:val="22"/>
          <w:szCs w:val="22"/>
        </w:rPr>
      </w:pPr>
    </w:p>
    <w:p w14:paraId="4A417E02" w14:textId="77777777" w:rsidR="007E6EBE" w:rsidRPr="00416015" w:rsidRDefault="00BA3E20">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i/>
          <w:color w:val="000000"/>
          <w:sz w:val="22"/>
          <w:szCs w:val="22"/>
        </w:rPr>
        <w:t xml:space="preserve">“InformeJustificado01274UT.pdf”: </w:t>
      </w:r>
      <w:r w:rsidRPr="00416015">
        <w:rPr>
          <w:rFonts w:ascii="Palatino Linotype" w:eastAsia="Palatino Linotype" w:hAnsi="Palatino Linotype" w:cs="Palatino Linotype"/>
          <w:color w:val="000000"/>
          <w:sz w:val="22"/>
          <w:szCs w:val="22"/>
        </w:rPr>
        <w:t>Oficio número: INFOEM/UT/109/2025, suscrito por el Titular de la Unidad de Transparencia, dirigido a la Comisionada Ponente, mediante el cual hace de su conocimiento la presentación del presente informe justificado.</w:t>
      </w:r>
    </w:p>
    <w:p w14:paraId="4D8BF568" w14:textId="77777777" w:rsidR="007E6EBE" w:rsidRPr="00416015" w:rsidRDefault="007E6EBE">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b/>
          <w:i/>
          <w:color w:val="000000"/>
          <w:sz w:val="22"/>
          <w:szCs w:val="22"/>
        </w:rPr>
      </w:pPr>
    </w:p>
    <w:p w14:paraId="0D527917" w14:textId="77777777" w:rsidR="007E6EBE" w:rsidRPr="00416015" w:rsidRDefault="00BA3E2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Posteriormente el </w:t>
      </w:r>
      <w:r w:rsidRPr="00416015">
        <w:rPr>
          <w:rFonts w:ascii="Palatino Linotype" w:eastAsia="Palatino Linotype" w:hAnsi="Palatino Linotype" w:cs="Palatino Linotype"/>
          <w:b/>
          <w:color w:val="000000"/>
          <w:sz w:val="22"/>
          <w:szCs w:val="22"/>
        </w:rPr>
        <w:t>veintiséis de marzo de dos mil veinticinco</w:t>
      </w:r>
      <w:r w:rsidRPr="00416015">
        <w:rPr>
          <w:rFonts w:ascii="Palatino Linotype" w:eastAsia="Palatino Linotype" w:hAnsi="Palatino Linotype" w:cs="Palatino Linotype"/>
          <w:color w:val="000000"/>
          <w:sz w:val="22"/>
          <w:szCs w:val="22"/>
        </w:rPr>
        <w:t xml:space="preserve">, en alcance al informe justificado,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adjuntó el documento “</w:t>
      </w:r>
      <w:r w:rsidRPr="00416015">
        <w:rPr>
          <w:rFonts w:ascii="Palatino Linotype" w:eastAsia="Palatino Linotype" w:hAnsi="Palatino Linotype" w:cs="Palatino Linotype"/>
          <w:b/>
          <w:i/>
          <w:color w:val="000000"/>
          <w:sz w:val="22"/>
          <w:szCs w:val="22"/>
        </w:rPr>
        <w:t xml:space="preserve">Alcance al Informe Justificado.pdf”, </w:t>
      </w:r>
      <w:r w:rsidRPr="00416015">
        <w:rPr>
          <w:rFonts w:ascii="Palatino Linotype" w:eastAsia="Palatino Linotype" w:hAnsi="Palatino Linotype" w:cs="Palatino Linotype"/>
          <w:color w:val="000000"/>
          <w:sz w:val="22"/>
          <w:szCs w:val="22"/>
        </w:rPr>
        <w:t>en el cual otorga un instructivo en el que detalla al particular, los pasos para poder acceder a las facturas generadas por los contratos remitidos en respuesta.</w:t>
      </w:r>
    </w:p>
    <w:p w14:paraId="2FFC26D2" w14:textId="77777777" w:rsidR="007E6EBE" w:rsidRPr="00416015" w:rsidRDefault="007E6E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776A1A5B" w14:textId="77777777" w:rsidR="007E6EBE" w:rsidRPr="00416015" w:rsidRDefault="00BA3E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Es de precisar </w:t>
      </w:r>
      <w:proofErr w:type="gramStart"/>
      <w:r w:rsidRPr="00416015">
        <w:rPr>
          <w:rFonts w:ascii="Palatino Linotype" w:eastAsia="Palatino Linotype" w:hAnsi="Palatino Linotype" w:cs="Palatino Linotype"/>
          <w:color w:val="000000"/>
          <w:sz w:val="22"/>
          <w:szCs w:val="22"/>
        </w:rPr>
        <w:t>que</w:t>
      </w:r>
      <w:proofErr w:type="gramEnd"/>
      <w:r w:rsidRPr="00416015">
        <w:rPr>
          <w:rFonts w:ascii="Palatino Linotype" w:eastAsia="Palatino Linotype" w:hAnsi="Palatino Linotype" w:cs="Palatino Linotype"/>
          <w:color w:val="000000"/>
          <w:sz w:val="22"/>
          <w:szCs w:val="22"/>
        </w:rPr>
        <w:t xml:space="preserve"> una vez analizada esta documentación, se procedió a ponerla a disposición de </w:t>
      </w:r>
      <w:r w:rsidRPr="00416015">
        <w:rPr>
          <w:rFonts w:ascii="Palatino Linotype" w:eastAsia="Palatino Linotype" w:hAnsi="Palatino Linotype" w:cs="Palatino Linotype"/>
          <w:b/>
          <w:color w:val="000000"/>
          <w:sz w:val="22"/>
          <w:szCs w:val="22"/>
        </w:rPr>
        <w:t>la parte Recurrente</w:t>
      </w:r>
      <w:r w:rsidRPr="00416015">
        <w:rPr>
          <w:rFonts w:ascii="Palatino Linotype" w:eastAsia="Palatino Linotype" w:hAnsi="Palatino Linotype" w:cs="Palatino Linotype"/>
          <w:color w:val="000000"/>
          <w:sz w:val="22"/>
          <w:szCs w:val="22"/>
        </w:rPr>
        <w:t xml:space="preserve">, mediante acuerdo signado por la Comisionada Ponente, los días </w:t>
      </w:r>
      <w:r w:rsidRPr="00416015">
        <w:rPr>
          <w:rFonts w:ascii="Palatino Linotype" w:eastAsia="Palatino Linotype" w:hAnsi="Palatino Linotype" w:cs="Palatino Linotype"/>
          <w:b/>
          <w:color w:val="000000"/>
          <w:sz w:val="22"/>
          <w:szCs w:val="22"/>
        </w:rPr>
        <w:t>diecinueve y veintiséis de marzo de dos mil veinticinco</w:t>
      </w:r>
      <w:r w:rsidRPr="00416015">
        <w:rPr>
          <w:rFonts w:ascii="Palatino Linotype" w:eastAsia="Palatino Linotype" w:hAnsi="Palatino Linotype" w:cs="Palatino Linotype"/>
          <w:color w:val="000000"/>
          <w:sz w:val="22"/>
          <w:szCs w:val="22"/>
        </w:rPr>
        <w:t xml:space="preserve">, cabe señalar que una vez conocido este pronunciamiento, </w:t>
      </w:r>
      <w:r w:rsidRPr="00416015">
        <w:rPr>
          <w:rFonts w:ascii="Palatino Linotype" w:eastAsia="Palatino Linotype" w:hAnsi="Palatino Linotype" w:cs="Palatino Linotype"/>
          <w:b/>
          <w:color w:val="000000"/>
          <w:sz w:val="22"/>
          <w:szCs w:val="22"/>
        </w:rPr>
        <w:t>la parte Recurrente</w:t>
      </w:r>
      <w:r w:rsidRPr="00416015">
        <w:rPr>
          <w:rFonts w:ascii="Palatino Linotype" w:eastAsia="Palatino Linotype" w:hAnsi="Palatino Linotype" w:cs="Palatino Linotype"/>
          <w:color w:val="000000"/>
          <w:sz w:val="22"/>
          <w:szCs w:val="22"/>
        </w:rPr>
        <w:t xml:space="preserve"> no adjuntó archivo alguno en esta etapa, por lo que se tiene por precluido su derecho y se procede a emitir la resolución que conforme a derecho corresponda.</w:t>
      </w:r>
    </w:p>
    <w:p w14:paraId="3C820D9E" w14:textId="77777777" w:rsidR="007E6EBE" w:rsidRPr="00416015" w:rsidRDefault="007E6E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64514A47" w14:textId="77777777" w:rsidR="007E6EBE" w:rsidRPr="00416015" w:rsidRDefault="00BA3E20">
      <w:pPr>
        <w:spacing w:after="240" w:line="360" w:lineRule="auto"/>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 xml:space="preserve">7. Cierre de instrucción. </w:t>
      </w:r>
      <w:r w:rsidRPr="0041601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416015">
        <w:rPr>
          <w:rFonts w:ascii="Palatino Linotype" w:eastAsia="Palatino Linotype" w:hAnsi="Palatino Linotype" w:cs="Palatino Linotype"/>
          <w:b/>
          <w:sz w:val="22"/>
          <w:szCs w:val="22"/>
        </w:rPr>
        <w:t>primero de abril de dos mil veinticinco,</w:t>
      </w:r>
      <w:r w:rsidRPr="0041601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D9B6481"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D6B731D" w14:textId="77777777" w:rsidR="007E6EBE" w:rsidRPr="00416015" w:rsidRDefault="00BA3E20">
      <w:pPr>
        <w:widowControl w:val="0"/>
        <w:spacing w:before="240" w:after="240" w:line="360" w:lineRule="auto"/>
        <w:jc w:val="center"/>
        <w:rPr>
          <w:rFonts w:ascii="Palatino Linotype" w:eastAsia="Palatino Linotype" w:hAnsi="Palatino Linotype" w:cs="Palatino Linotype"/>
          <w:b/>
        </w:rPr>
      </w:pPr>
      <w:r w:rsidRPr="00416015">
        <w:rPr>
          <w:rFonts w:ascii="Palatino Linotype" w:eastAsia="Palatino Linotype" w:hAnsi="Palatino Linotype" w:cs="Palatino Linotype"/>
          <w:b/>
        </w:rPr>
        <w:t>II. C O N S I D E R A N D O S</w:t>
      </w:r>
    </w:p>
    <w:p w14:paraId="4E2C1FF6"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Primero. Competencia.</w:t>
      </w:r>
      <w:r w:rsidRPr="0041601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w:t>
      </w:r>
      <w:r w:rsidRPr="00416015">
        <w:rPr>
          <w:rFonts w:ascii="Palatino Linotype" w:eastAsia="Palatino Linotype" w:hAnsi="Palatino Linotype" w:cs="Palatino Linotype"/>
          <w:sz w:val="22"/>
          <w:szCs w:val="22"/>
        </w:rPr>
        <w:lastRenderedPageBreak/>
        <w:t>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DD30719"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416015">
        <w:rPr>
          <w:rFonts w:ascii="Palatino Linotype" w:eastAsia="Palatino Linotype" w:hAnsi="Palatino Linotype" w:cs="Palatino Linotype"/>
          <w:b/>
          <w:sz w:val="22"/>
          <w:szCs w:val="22"/>
        </w:rPr>
        <w:t>Segundo. Oportunidad y Procedibilidad del Recurso de Revisión</w:t>
      </w:r>
      <w:r w:rsidRPr="0041601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C3FEAE"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 xml:space="preserve">remitió la respuesta a la solicitud de información el </w:t>
      </w:r>
      <w:r w:rsidRPr="00416015">
        <w:rPr>
          <w:rFonts w:ascii="Palatino Linotype" w:eastAsia="Palatino Linotype" w:hAnsi="Palatino Linotype" w:cs="Palatino Linotype"/>
          <w:b/>
          <w:sz w:val="22"/>
          <w:szCs w:val="22"/>
        </w:rPr>
        <w:t xml:space="preserve">seis de febrero del dos mil veinticinco, </w:t>
      </w:r>
      <w:r w:rsidRPr="00416015">
        <w:rPr>
          <w:rFonts w:ascii="Palatino Linotype" w:eastAsia="Palatino Linotype" w:hAnsi="Palatino Linotype" w:cs="Palatino Linotype"/>
          <w:sz w:val="22"/>
          <w:szCs w:val="22"/>
        </w:rPr>
        <w:t xml:space="preserve">mientras que el recurso de revisión interpuesto por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se tuvo por presentado el día </w:t>
      </w:r>
      <w:r w:rsidRPr="00416015">
        <w:rPr>
          <w:rFonts w:ascii="Palatino Linotype" w:eastAsia="Palatino Linotype" w:hAnsi="Palatino Linotype" w:cs="Palatino Linotype"/>
          <w:b/>
          <w:sz w:val="22"/>
          <w:szCs w:val="22"/>
        </w:rPr>
        <w:t xml:space="preserve">doce de febrero del dos mil veinticinco, </w:t>
      </w:r>
      <w:r w:rsidRPr="00416015">
        <w:rPr>
          <w:rFonts w:ascii="Palatino Linotype" w:eastAsia="Palatino Linotype" w:hAnsi="Palatino Linotype" w:cs="Palatino Linotype"/>
          <w:sz w:val="22"/>
          <w:szCs w:val="22"/>
        </w:rPr>
        <w:t xml:space="preserve">esto es, al </w:t>
      </w:r>
      <w:r w:rsidRPr="00416015">
        <w:rPr>
          <w:rFonts w:ascii="Palatino Linotype" w:eastAsia="Palatino Linotype" w:hAnsi="Palatino Linotype" w:cs="Palatino Linotype"/>
          <w:b/>
          <w:sz w:val="22"/>
          <w:szCs w:val="22"/>
        </w:rPr>
        <w:t>cuarto día hábil en</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el que tuvo conocimiento de la respuesta impugnada.</w:t>
      </w:r>
      <w:r w:rsidRPr="00416015">
        <w:rPr>
          <w:rFonts w:ascii="Palatino Linotype" w:eastAsia="Palatino Linotype" w:hAnsi="Palatino Linotype" w:cs="Palatino Linotype"/>
          <w:sz w:val="22"/>
          <w:szCs w:val="22"/>
        </w:rPr>
        <w:t xml:space="preserve"> </w:t>
      </w:r>
    </w:p>
    <w:p w14:paraId="410E46AE"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BBA6996"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color w:val="000000"/>
          <w:sz w:val="22"/>
          <w:szCs w:val="22"/>
        </w:rPr>
        <w:t>Al mismo tiempo, tras la revisión del formato de interposición del presente recurso de revisión</w:t>
      </w:r>
      <w:r w:rsidRPr="00416015">
        <w:rPr>
          <w:rFonts w:ascii="Palatino Linotype" w:eastAsia="Palatino Linotype" w:hAnsi="Palatino Linotype" w:cs="Palatino Linotype"/>
          <w:sz w:val="22"/>
          <w:szCs w:val="22"/>
        </w:rPr>
        <w:t xml:space="preserve">, es de suma importancia señalar que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no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 xml:space="preserve">proporcionó nombre completo con el que desee ser identificado, </w:t>
      </w:r>
      <w:r w:rsidRPr="00416015">
        <w:rPr>
          <w:rFonts w:ascii="Palatino Linotype" w:eastAsia="Palatino Linotype" w:hAnsi="Palatino Linotype" w:cs="Palatino Linotype"/>
          <w:sz w:val="22"/>
          <w:szCs w:val="22"/>
        </w:rPr>
        <w:t xml:space="preserve">como se advierte en el detalle de seguimiento del SAIMEX, no obstante lo anterior, proporcionar el nombre o no, no es motivo para archivar las </w:t>
      </w:r>
      <w:r w:rsidRPr="00416015">
        <w:rPr>
          <w:rFonts w:ascii="Palatino Linotype" w:eastAsia="Palatino Linotype" w:hAnsi="Palatino Linotype" w:cs="Palatino Linotype"/>
          <w:sz w:val="22"/>
          <w:szCs w:val="22"/>
        </w:rPr>
        <w:lastRenderedPageBreak/>
        <w:t>solicitudes de acceso a la información pública como concluida, conforme a lo previsto en el artículo 155, penúltimo párrafo de la Ley de Transparencia y Acceso a la Información Pública del Estado de México y Municipios que establece lo siguiente:</w:t>
      </w:r>
    </w:p>
    <w:p w14:paraId="19717A4F" w14:textId="77777777" w:rsidR="007E6EBE" w:rsidRPr="00416015" w:rsidRDefault="007E6EBE">
      <w:pPr>
        <w:spacing w:line="276" w:lineRule="auto"/>
        <w:ind w:left="851" w:right="900"/>
        <w:jc w:val="both"/>
        <w:rPr>
          <w:rFonts w:ascii="Palatino Linotype" w:eastAsia="Palatino Linotype" w:hAnsi="Palatino Linotype" w:cs="Palatino Linotype"/>
          <w:i/>
          <w:sz w:val="22"/>
          <w:szCs w:val="22"/>
        </w:rPr>
      </w:pPr>
    </w:p>
    <w:p w14:paraId="316DE1DF" w14:textId="77777777" w:rsidR="007E6EBE" w:rsidRPr="00416015" w:rsidRDefault="00BA3E20">
      <w:pPr>
        <w:spacing w:line="276" w:lineRule="auto"/>
        <w:ind w:left="851" w:right="900"/>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w:t>
      </w:r>
      <w:r w:rsidRPr="00416015">
        <w:rPr>
          <w:rFonts w:ascii="Palatino Linotype" w:eastAsia="Palatino Linotype" w:hAnsi="Palatino Linotype" w:cs="Palatino Linotype"/>
          <w:b/>
          <w:i/>
          <w:sz w:val="22"/>
          <w:szCs w:val="22"/>
        </w:rPr>
        <w:t>Las solicitudes anónimas</w:t>
      </w:r>
      <w:r w:rsidRPr="00416015">
        <w:rPr>
          <w:rFonts w:ascii="Palatino Linotype" w:eastAsia="Palatino Linotype" w:hAnsi="Palatino Linotype" w:cs="Palatino Linotype"/>
          <w:i/>
          <w:sz w:val="22"/>
          <w:szCs w:val="22"/>
        </w:rPr>
        <w:t xml:space="preserve">, con nombre incompleto o seudónimo </w:t>
      </w:r>
      <w:r w:rsidRPr="00416015">
        <w:rPr>
          <w:rFonts w:ascii="Palatino Linotype" w:eastAsia="Palatino Linotype" w:hAnsi="Palatino Linotype" w:cs="Palatino Linotype"/>
          <w:b/>
          <w:i/>
          <w:sz w:val="22"/>
          <w:szCs w:val="22"/>
        </w:rPr>
        <w:t>serán procedentes para su trámite por parte del sujeto obligado ante quien se presente</w:t>
      </w:r>
      <w:r w:rsidRPr="00416015">
        <w:rPr>
          <w:rFonts w:ascii="Palatino Linotype" w:eastAsia="Palatino Linotype" w:hAnsi="Palatino Linotype" w:cs="Palatino Linotype"/>
          <w:i/>
          <w:sz w:val="22"/>
          <w:szCs w:val="22"/>
        </w:rPr>
        <w:t>. No podrá requerirse información adicional con motivo del nombre proporcionado por el solicitante."</w:t>
      </w:r>
    </w:p>
    <w:p w14:paraId="5F7EF230" w14:textId="77777777" w:rsidR="007E6EBE" w:rsidRPr="00416015" w:rsidRDefault="00BA3E20">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416015">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41E14E6" w14:textId="77777777" w:rsidR="007E6EBE" w:rsidRPr="00416015" w:rsidRDefault="00BA3E20">
      <w:pPr>
        <w:spacing w:before="240" w:after="240"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en sus motivos de inconformidad, de acuerdo </w:t>
      </w:r>
      <w:r w:rsidRPr="00416015">
        <w:rPr>
          <w:rFonts w:ascii="Palatino Linotype" w:eastAsia="Palatino Linotype" w:hAnsi="Palatino Linotype" w:cs="Palatino Linotype"/>
          <w:color w:val="000000"/>
          <w:sz w:val="22"/>
          <w:szCs w:val="22"/>
        </w:rPr>
        <w:t xml:space="preserve">al artículo 179, fracción </w:t>
      </w:r>
      <w:proofErr w:type="gramStart"/>
      <w:r w:rsidRPr="00416015">
        <w:rPr>
          <w:rFonts w:ascii="Palatino Linotype" w:eastAsia="Palatino Linotype" w:hAnsi="Palatino Linotype" w:cs="Palatino Linotype"/>
          <w:color w:val="000000"/>
          <w:sz w:val="22"/>
          <w:szCs w:val="22"/>
        </w:rPr>
        <w:t>V  del</w:t>
      </w:r>
      <w:proofErr w:type="gramEnd"/>
      <w:r w:rsidRPr="00416015">
        <w:rPr>
          <w:rFonts w:ascii="Palatino Linotype" w:eastAsia="Palatino Linotype" w:hAnsi="Palatino Linotype" w:cs="Palatino Linotype"/>
          <w:color w:val="000000"/>
          <w:sz w:val="22"/>
          <w:szCs w:val="22"/>
        </w:rPr>
        <w:t xml:space="preserve"> ordenamiento legal citado, que a la letra dice: </w:t>
      </w:r>
    </w:p>
    <w:p w14:paraId="31147FE4" w14:textId="77777777" w:rsidR="007E6EBE" w:rsidRPr="00416015" w:rsidRDefault="00BA3E20">
      <w:pPr>
        <w:spacing w:before="120" w:after="120"/>
        <w:ind w:left="567" w:right="902"/>
        <w:jc w:val="both"/>
        <w:rPr>
          <w:rFonts w:ascii="Palatino Linotype" w:eastAsia="Palatino Linotype" w:hAnsi="Palatino Linotype" w:cs="Palatino Linotype"/>
          <w:i/>
          <w:color w:val="000000"/>
          <w:sz w:val="22"/>
          <w:szCs w:val="22"/>
        </w:rPr>
      </w:pPr>
      <w:r w:rsidRPr="00416015">
        <w:rPr>
          <w:rFonts w:ascii="Palatino Linotype" w:eastAsia="Palatino Linotype" w:hAnsi="Palatino Linotype" w:cs="Palatino Linotype"/>
          <w:i/>
          <w:color w:val="000000"/>
          <w:sz w:val="22"/>
          <w:szCs w:val="22"/>
        </w:rPr>
        <w:t>“</w:t>
      </w:r>
      <w:r w:rsidRPr="00416015">
        <w:rPr>
          <w:rFonts w:ascii="Palatino Linotype" w:eastAsia="Palatino Linotype" w:hAnsi="Palatino Linotype" w:cs="Palatino Linotype"/>
          <w:b/>
          <w:i/>
          <w:color w:val="000000"/>
          <w:sz w:val="22"/>
          <w:szCs w:val="22"/>
        </w:rPr>
        <w:t>Artículo 179.</w:t>
      </w:r>
      <w:r w:rsidRPr="00416015">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7A7B1A7A" w14:textId="77777777" w:rsidR="007E6EBE" w:rsidRPr="00416015" w:rsidRDefault="00BA3E20">
      <w:pPr>
        <w:spacing w:before="120" w:after="120"/>
        <w:ind w:left="567" w:right="902"/>
        <w:jc w:val="both"/>
        <w:rPr>
          <w:rFonts w:ascii="Palatino Linotype" w:eastAsia="Palatino Linotype" w:hAnsi="Palatino Linotype" w:cs="Palatino Linotype"/>
          <w:i/>
          <w:color w:val="000000"/>
          <w:sz w:val="22"/>
          <w:szCs w:val="22"/>
        </w:rPr>
      </w:pPr>
      <w:r w:rsidRPr="00416015">
        <w:rPr>
          <w:rFonts w:ascii="Palatino Linotype" w:eastAsia="Palatino Linotype" w:hAnsi="Palatino Linotype" w:cs="Palatino Linotype"/>
          <w:i/>
          <w:color w:val="000000"/>
          <w:sz w:val="22"/>
          <w:szCs w:val="22"/>
        </w:rPr>
        <w:t>…</w:t>
      </w:r>
    </w:p>
    <w:p w14:paraId="5FB3B38D" w14:textId="77777777" w:rsidR="007E6EBE" w:rsidRPr="00416015" w:rsidRDefault="00BA3E20">
      <w:pPr>
        <w:spacing w:before="120" w:after="120"/>
        <w:ind w:left="567" w:right="902"/>
        <w:jc w:val="both"/>
        <w:rPr>
          <w:rFonts w:ascii="Palatino Linotype" w:eastAsia="Palatino Linotype" w:hAnsi="Palatino Linotype" w:cs="Palatino Linotype"/>
          <w:i/>
          <w:color w:val="000000"/>
          <w:sz w:val="22"/>
          <w:szCs w:val="22"/>
        </w:rPr>
      </w:pPr>
      <w:r w:rsidRPr="00416015">
        <w:rPr>
          <w:rFonts w:ascii="Palatino Linotype" w:eastAsia="Palatino Linotype" w:hAnsi="Palatino Linotype" w:cs="Palatino Linotype"/>
          <w:b/>
          <w:i/>
          <w:color w:val="000000"/>
          <w:sz w:val="22"/>
          <w:szCs w:val="22"/>
        </w:rPr>
        <w:t>V. La entrega de información incompleta</w:t>
      </w:r>
      <w:r w:rsidRPr="00416015">
        <w:rPr>
          <w:rFonts w:ascii="Palatino Linotype" w:eastAsia="Palatino Linotype" w:hAnsi="Palatino Linotype" w:cs="Palatino Linotype"/>
          <w:i/>
          <w:color w:val="000000"/>
          <w:sz w:val="22"/>
          <w:szCs w:val="22"/>
        </w:rPr>
        <w:t>;</w:t>
      </w:r>
      <w:r w:rsidRPr="00416015">
        <w:rPr>
          <w:rFonts w:ascii="Palatino Linotype" w:eastAsia="Palatino Linotype" w:hAnsi="Palatino Linotype" w:cs="Palatino Linotype"/>
          <w:b/>
          <w:i/>
          <w:sz w:val="22"/>
          <w:szCs w:val="22"/>
        </w:rPr>
        <w:t xml:space="preserve">” </w:t>
      </w:r>
      <w:r w:rsidRPr="00416015">
        <w:rPr>
          <w:rFonts w:ascii="Palatino Linotype" w:eastAsia="Palatino Linotype" w:hAnsi="Palatino Linotype" w:cs="Palatino Linotype"/>
          <w:i/>
          <w:sz w:val="22"/>
          <w:szCs w:val="22"/>
        </w:rPr>
        <w:t>(Énfasis añadido)</w:t>
      </w:r>
    </w:p>
    <w:p w14:paraId="0BFC2488"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 xml:space="preserve">Tercero. Análisis de las causas de sobreseimiento del recurso de revisión. </w:t>
      </w:r>
      <w:r w:rsidRPr="00416015">
        <w:rPr>
          <w:rFonts w:ascii="Palatino Linotype" w:eastAsia="Palatino Linotype" w:hAnsi="Palatino Linotype" w:cs="Palatino Linotype"/>
          <w:sz w:val="22"/>
          <w:szCs w:val="22"/>
        </w:rPr>
        <w:t xml:space="preserve">En primera instancia, debe apuntarse que del análisis al recurso de revisión que ahora se resuelve, se tiene que se actualiza la causal de sobreseimiento del recurso de revisión establecido en la fracción </w:t>
      </w:r>
      <w:r w:rsidRPr="00416015">
        <w:rPr>
          <w:rFonts w:ascii="Palatino Linotype" w:eastAsia="Palatino Linotype" w:hAnsi="Palatino Linotype" w:cs="Palatino Linotype"/>
          <w:sz w:val="22"/>
          <w:szCs w:val="22"/>
        </w:rPr>
        <w:lastRenderedPageBreak/>
        <w:t>III del artículo 192</w:t>
      </w:r>
      <w:r w:rsidRPr="00416015">
        <w:rPr>
          <w:rFonts w:ascii="Palatino Linotype" w:eastAsia="Palatino Linotype" w:hAnsi="Palatino Linotype" w:cs="Palatino Linotype"/>
          <w:sz w:val="22"/>
          <w:szCs w:val="22"/>
          <w:vertAlign w:val="superscript"/>
        </w:rPr>
        <w:footnoteReference w:id="1"/>
      </w:r>
      <w:r w:rsidRPr="00416015">
        <w:rPr>
          <w:rFonts w:ascii="Palatino Linotype" w:eastAsia="Palatino Linotype" w:hAnsi="Palatino Linotype" w:cs="Palatino Linotype"/>
          <w:sz w:val="22"/>
          <w:szCs w:val="22"/>
        </w:rPr>
        <w:t xml:space="preserve"> en relación con el diverso 186 fracción I</w:t>
      </w:r>
      <w:r w:rsidRPr="00416015">
        <w:rPr>
          <w:rFonts w:ascii="Palatino Linotype" w:eastAsia="Palatino Linotype" w:hAnsi="Palatino Linotype" w:cs="Palatino Linotype"/>
          <w:sz w:val="22"/>
          <w:szCs w:val="22"/>
          <w:vertAlign w:val="superscript"/>
        </w:rPr>
        <w:footnoteReference w:id="2"/>
      </w:r>
      <w:r w:rsidRPr="00416015">
        <w:rPr>
          <w:rFonts w:ascii="Palatino Linotype" w:eastAsia="Palatino Linotype" w:hAnsi="Palatino Linotype" w:cs="Palatino Linotype"/>
          <w:sz w:val="22"/>
          <w:szCs w:val="22"/>
        </w:rPr>
        <w:t xml:space="preserve">, ambos de la Ley de Transparencia y Acceso a la Información Pública del Estado de México y Municipios, derivado del contenido del informe justificado rendido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w:t>
      </w:r>
    </w:p>
    <w:p w14:paraId="631235FE" w14:textId="77777777" w:rsidR="007E6EBE" w:rsidRPr="00416015" w:rsidRDefault="00BA3E2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Ahora bien, para profundizar en el estudio del presente asunto, es conveniente recordar </w:t>
      </w:r>
      <w:proofErr w:type="gramStart"/>
      <w:r w:rsidRPr="00416015">
        <w:rPr>
          <w:rFonts w:ascii="Palatino Linotype" w:eastAsia="Palatino Linotype" w:hAnsi="Palatino Linotype" w:cs="Palatino Linotype"/>
          <w:color w:val="000000"/>
          <w:sz w:val="22"/>
          <w:szCs w:val="22"/>
        </w:rPr>
        <w:t>que</w:t>
      </w:r>
      <w:proofErr w:type="gramEnd"/>
      <w:r w:rsidRPr="00416015">
        <w:rPr>
          <w:rFonts w:ascii="Palatino Linotype" w:eastAsia="Palatino Linotype" w:hAnsi="Palatino Linotype" w:cs="Palatino Linotype"/>
          <w:color w:val="000000"/>
          <w:sz w:val="22"/>
          <w:szCs w:val="22"/>
        </w:rPr>
        <w:t xml:space="preserve"> de un análisis a la solicitud de información, se advierte que la parte solicitante requirió al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le proporcionara lo siguiente:</w:t>
      </w:r>
    </w:p>
    <w:p w14:paraId="4CAE4124" w14:textId="77777777" w:rsidR="007E6EBE" w:rsidRPr="00416015" w:rsidRDefault="00BA3E20">
      <w:pPr>
        <w:numPr>
          <w:ilvl w:val="0"/>
          <w:numId w:val="2"/>
        </w:numPr>
        <w:pBdr>
          <w:top w:val="nil"/>
          <w:left w:val="nil"/>
          <w:bottom w:val="nil"/>
          <w:right w:val="nil"/>
          <w:between w:val="nil"/>
        </w:pBdr>
        <w:spacing w:before="240" w:after="240" w:line="360" w:lineRule="auto"/>
        <w:ind w:left="567" w:right="1134" w:hanging="141"/>
        <w:jc w:val="both"/>
        <w:rPr>
          <w:rFonts w:ascii="Palatino Linotype" w:eastAsia="Palatino Linotype" w:hAnsi="Palatino Linotype" w:cs="Palatino Linotype"/>
          <w:b/>
          <w:color w:val="000000"/>
          <w:sz w:val="22"/>
          <w:szCs w:val="22"/>
        </w:rPr>
      </w:pPr>
      <w:r w:rsidRPr="00416015">
        <w:rPr>
          <w:rFonts w:ascii="Palatino Linotype" w:eastAsia="Palatino Linotype" w:hAnsi="Palatino Linotype" w:cs="Palatino Linotype"/>
          <w:b/>
          <w:color w:val="000000"/>
          <w:sz w:val="22"/>
          <w:szCs w:val="22"/>
        </w:rPr>
        <w:t>Los contratos de arrendamiento, adquisiciones de bienes y contratación de servicios realizados durante los meses de noviembre y diciembre 2024, así como enero 2025, también el pago y factura de cada uno de los mismos y en caso de que aplique su garantía.</w:t>
      </w:r>
    </w:p>
    <w:p w14:paraId="5405E32F" w14:textId="77777777" w:rsidR="007E6EBE" w:rsidRPr="00416015" w:rsidRDefault="00BA3E20">
      <w:pPr>
        <w:spacing w:before="240" w:after="240"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En respuesta,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se pronunció por conducto de la Dirección General de Administración y Finanzas, quien refirió que dicha información es pública y podrá ser consultada en nuestra plataforma </w:t>
      </w:r>
      <w:proofErr w:type="spellStart"/>
      <w:r w:rsidRPr="00416015">
        <w:rPr>
          <w:rFonts w:ascii="Palatino Linotype" w:eastAsia="Palatino Linotype" w:hAnsi="Palatino Linotype" w:cs="Palatino Linotype"/>
          <w:color w:val="000000"/>
          <w:sz w:val="22"/>
          <w:szCs w:val="22"/>
        </w:rPr>
        <w:t>Ipomex</w:t>
      </w:r>
      <w:proofErr w:type="spellEnd"/>
      <w:r w:rsidRPr="00416015">
        <w:rPr>
          <w:rFonts w:ascii="Palatino Linotype" w:eastAsia="Palatino Linotype" w:hAnsi="Palatino Linotype" w:cs="Palatino Linotype"/>
          <w:color w:val="000000"/>
          <w:sz w:val="22"/>
          <w:szCs w:val="22"/>
        </w:rPr>
        <w:t xml:space="preserve">, Fracción XXIX o bien en el siguiente link: </w:t>
      </w:r>
      <w:hyperlink r:id="rId10" w:anchor="/info-fraccion/676/1/12">
        <w:r w:rsidRPr="00416015">
          <w:rPr>
            <w:rFonts w:ascii="Palatino Linotype" w:eastAsia="Palatino Linotype" w:hAnsi="Palatino Linotype" w:cs="Palatino Linotype"/>
            <w:color w:val="0000FF"/>
            <w:sz w:val="22"/>
            <w:szCs w:val="22"/>
            <w:u w:val="single"/>
          </w:rPr>
          <w:t>https://infoem2.ipomex.org.mx/ipomex/#/info-fraccion/676/1/12</w:t>
        </w:r>
      </w:hyperlink>
      <w:r w:rsidRPr="00416015">
        <w:rPr>
          <w:rFonts w:ascii="Palatino Linotype" w:eastAsia="Palatino Linotype" w:hAnsi="Palatino Linotype" w:cs="Palatino Linotype"/>
          <w:color w:val="000000"/>
          <w:sz w:val="22"/>
          <w:szCs w:val="22"/>
        </w:rPr>
        <w:t xml:space="preserve">, es de precisar que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también proporcionó  los pasos a seguir para consultar la información solicitada.</w:t>
      </w:r>
    </w:p>
    <w:p w14:paraId="00E96B81"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En esta tesitura, una vez conocida la respuesta emitida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al no estar conforme con los términos de la misma, interpuso el recurso de revisión </w:t>
      </w:r>
      <w:r w:rsidRPr="00416015">
        <w:rPr>
          <w:rFonts w:ascii="Palatino Linotype" w:eastAsia="Palatino Linotype" w:hAnsi="Palatino Linotype" w:cs="Palatino Linotype"/>
          <w:sz w:val="22"/>
          <w:szCs w:val="22"/>
        </w:rPr>
        <w:lastRenderedPageBreak/>
        <w:t xml:space="preserve">que nos ocupa, inconformándose medularmente por la entrega de información incompleta, toda vez que a su consideración, además de los contratos, solicitó los pagos, facturas y garantías de cada uno de ellos, además de que no se le compartieron los contratos del mes </w:t>
      </w:r>
      <w:proofErr w:type="gramStart"/>
      <w:r w:rsidRPr="00416015">
        <w:rPr>
          <w:rFonts w:ascii="Palatino Linotype" w:eastAsia="Palatino Linotype" w:hAnsi="Palatino Linotype" w:cs="Palatino Linotype"/>
          <w:sz w:val="22"/>
          <w:szCs w:val="22"/>
        </w:rPr>
        <w:t>de  enero</w:t>
      </w:r>
      <w:proofErr w:type="gramEnd"/>
      <w:r w:rsidRPr="00416015">
        <w:rPr>
          <w:rFonts w:ascii="Palatino Linotype" w:eastAsia="Palatino Linotype" w:hAnsi="Palatino Linotype" w:cs="Palatino Linotype"/>
          <w:sz w:val="22"/>
          <w:szCs w:val="22"/>
        </w:rPr>
        <w:t xml:space="preserve"> del año 2025.</w:t>
      </w:r>
    </w:p>
    <w:p w14:paraId="15CDD6C8"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Así las cosas, durante la etapa de manifestaciones e informe justificado, se tiene que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 xml:space="preserve">por conducto del Director General de Administración y Finanzas, manifestó que desde respuesta, se direccionó a la información requerida, misma que se encuentra publicada en la plataforma </w:t>
      </w:r>
      <w:proofErr w:type="spellStart"/>
      <w:r w:rsidRPr="00416015">
        <w:rPr>
          <w:rFonts w:ascii="Palatino Linotype" w:eastAsia="Palatino Linotype" w:hAnsi="Palatino Linotype" w:cs="Palatino Linotype"/>
          <w:sz w:val="22"/>
          <w:szCs w:val="22"/>
        </w:rPr>
        <w:t>Ipomex</w:t>
      </w:r>
      <w:proofErr w:type="spellEnd"/>
      <w:r w:rsidRPr="00416015">
        <w:rPr>
          <w:rFonts w:ascii="Palatino Linotype" w:eastAsia="Palatino Linotype" w:hAnsi="Palatino Linotype" w:cs="Palatino Linotype"/>
          <w:sz w:val="22"/>
          <w:szCs w:val="22"/>
        </w:rPr>
        <w:t xml:space="preserve"> fracción XXIX, tal y como se prevé en el artículo 161 de la Ley de Transparencia local, informando en la solicitud inicial la manera de consultar y obtener los documentos solicitados; fracción en la cual se encuentran los contratos del ejercicio 2024, asimismo por lo que respecta al mes de enero de 2025 no se cuenta con contratos en dicho periodo, motivo por el cual no es posible brindar la información solicitada.</w:t>
      </w:r>
    </w:p>
    <w:p w14:paraId="14B582DD"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Por otra parte, por cuanto hace a las garantías de dichos contratos desglosa los contratos en los que se generaron dichos documentos, asimismo envía dichos documentos en versión pública, mientras que </w:t>
      </w:r>
      <w:r w:rsidRPr="00416015">
        <w:rPr>
          <w:rFonts w:ascii="Palatino Linotype" w:eastAsia="Palatino Linotype" w:hAnsi="Palatino Linotype" w:cs="Palatino Linotype"/>
          <w:b/>
          <w:sz w:val="22"/>
          <w:szCs w:val="22"/>
        </w:rPr>
        <w:t xml:space="preserve">la parte Recurrente </w:t>
      </w:r>
      <w:r w:rsidRPr="00416015">
        <w:rPr>
          <w:rFonts w:ascii="Palatino Linotype" w:eastAsia="Palatino Linotype" w:hAnsi="Palatino Linotype" w:cs="Palatino Linotype"/>
          <w:sz w:val="22"/>
          <w:szCs w:val="22"/>
        </w:rPr>
        <w:t>fue omisa en pronunciarse en esta etapa, por lo que se tiene por precluido su derecho para tal efecto.</w:t>
      </w:r>
    </w:p>
    <w:p w14:paraId="126A0CDA"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Finalmente, en alcance al informe justificado,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otorga un instructivo en el que detalla al particular, los pasos para poder acceder a las facturas generadas por los contratos remitidos en respuesta.</w:t>
      </w:r>
    </w:p>
    <w:p w14:paraId="097BB7A4" w14:textId="77777777" w:rsidR="007E6EBE" w:rsidRPr="00416015" w:rsidRDefault="00BA3E20">
      <w:pPr>
        <w:spacing w:line="360" w:lineRule="auto"/>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sz w:val="22"/>
          <w:szCs w:val="22"/>
        </w:rPr>
        <w:t xml:space="preserve">Una vez expuestas las posturas de las partes, resulta pertinente señalar que de una interpretación a los motivos de inconformidad de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se advierte que únicamente impugna lo concerniente a </w:t>
      </w:r>
      <w:r w:rsidRPr="00416015">
        <w:rPr>
          <w:rFonts w:ascii="Palatino Linotype" w:eastAsia="Palatino Linotype" w:hAnsi="Palatino Linotype" w:cs="Palatino Linotype"/>
          <w:b/>
          <w:sz w:val="22"/>
          <w:szCs w:val="22"/>
          <w:u w:val="single"/>
        </w:rPr>
        <w:t xml:space="preserve">los pagos, facturas, garantías generadas con motivo </w:t>
      </w:r>
      <w:r w:rsidRPr="00416015">
        <w:rPr>
          <w:rFonts w:ascii="Palatino Linotype" w:eastAsia="Palatino Linotype" w:hAnsi="Palatino Linotype" w:cs="Palatino Linotype"/>
          <w:b/>
          <w:sz w:val="22"/>
          <w:szCs w:val="22"/>
          <w:u w:val="single"/>
        </w:rPr>
        <w:lastRenderedPageBreak/>
        <w:t>de la celebración de los contratos y los contratos relativos al mes de enero de 2025</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color w:val="000000"/>
          <w:sz w:val="22"/>
          <w:szCs w:val="22"/>
        </w:rPr>
        <w:t xml:space="preserve">por lo tanto, el punto concerniente a </w:t>
      </w:r>
      <w:r w:rsidRPr="00416015">
        <w:rPr>
          <w:rFonts w:ascii="Palatino Linotype" w:eastAsia="Palatino Linotype" w:hAnsi="Palatino Linotype" w:cs="Palatino Linotype"/>
          <w:b/>
          <w:color w:val="000000"/>
          <w:sz w:val="22"/>
          <w:szCs w:val="22"/>
        </w:rPr>
        <w:t>los contratos de arrendamiento, adquisiciones de bienes y contratación de servicios realizados durante los meses de noviembre y diciembre 2024</w:t>
      </w:r>
      <w:r w:rsidRPr="00416015">
        <w:rPr>
          <w:rFonts w:ascii="Palatino Linotype" w:eastAsia="Palatino Linotype" w:hAnsi="Palatino Linotype" w:cs="Palatino Linotype"/>
          <w:color w:val="000000"/>
          <w:sz w:val="22"/>
          <w:szCs w:val="22"/>
        </w:rPr>
        <w:t xml:space="preserve">, </w:t>
      </w:r>
      <w:r w:rsidRPr="00416015">
        <w:rPr>
          <w:rFonts w:ascii="Palatino Linotype" w:eastAsia="Palatino Linotype" w:hAnsi="Palatino Linotype" w:cs="Palatino Linotype"/>
          <w:b/>
          <w:color w:val="000000"/>
          <w:sz w:val="22"/>
          <w:szCs w:val="22"/>
          <w:u w:val="single"/>
        </w:rPr>
        <w:t>no fue materia de la impugnación del particular</w:t>
      </w:r>
      <w:r w:rsidRPr="00416015">
        <w:rPr>
          <w:rFonts w:ascii="Palatino Linotype" w:eastAsia="Palatino Linotype" w:hAnsi="Palatino Linotype" w:cs="Palatino Linotype"/>
          <w:color w:val="000000"/>
          <w:sz w:val="22"/>
          <w:szCs w:val="22"/>
        </w:rPr>
        <w:t xml:space="preserve">, en consecuencia, dicho punto se considera consentido por </w:t>
      </w:r>
      <w:r w:rsidRPr="00416015">
        <w:rPr>
          <w:rFonts w:ascii="Palatino Linotype" w:eastAsia="Palatino Linotype" w:hAnsi="Palatino Linotype" w:cs="Palatino Linotype"/>
          <w:b/>
          <w:color w:val="000000"/>
          <w:sz w:val="22"/>
          <w:szCs w:val="22"/>
        </w:rPr>
        <w:t>la parte Recurrente</w:t>
      </w:r>
      <w:r w:rsidRPr="00416015">
        <w:rPr>
          <w:rFonts w:ascii="Palatino Linotype" w:eastAsia="Palatino Linotype" w:hAnsi="Palatino Linotype" w:cs="Palatino Linotype"/>
          <w:color w:val="000000"/>
          <w:sz w:val="22"/>
          <w:szCs w:val="22"/>
        </w:rPr>
        <w:t xml:space="preserve"> y no será materia del presente análisis. </w:t>
      </w:r>
    </w:p>
    <w:p w14:paraId="6A40BF64" w14:textId="77777777" w:rsidR="007E6EBE" w:rsidRPr="00416015" w:rsidRDefault="007E6EBE">
      <w:pPr>
        <w:spacing w:line="360" w:lineRule="auto"/>
        <w:jc w:val="both"/>
        <w:rPr>
          <w:rFonts w:ascii="Palatino Linotype" w:eastAsia="Palatino Linotype" w:hAnsi="Palatino Linotype" w:cs="Palatino Linotype"/>
          <w:sz w:val="22"/>
          <w:szCs w:val="22"/>
        </w:rPr>
      </w:pPr>
    </w:p>
    <w:p w14:paraId="50FB5959"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color w:val="000000"/>
          <w:sz w:val="22"/>
          <w:szCs w:val="22"/>
        </w:rPr>
        <w:t>Lo anterior se afirma así,</w:t>
      </w:r>
      <w:r w:rsidRPr="00416015">
        <w:rPr>
          <w:rFonts w:ascii="Palatino Linotype" w:eastAsia="Palatino Linotype" w:hAnsi="Palatino Linotype" w:cs="Palatino Linotype"/>
          <w:b/>
          <w:color w:val="000000"/>
          <w:sz w:val="22"/>
          <w:szCs w:val="22"/>
        </w:rPr>
        <w:t xml:space="preserve"> </w:t>
      </w:r>
      <w:r w:rsidRPr="00416015">
        <w:rPr>
          <w:rFonts w:ascii="Palatino Linotype" w:eastAsia="Palatino Linotype" w:hAnsi="Palatino Linotype" w:cs="Palatino Linotype"/>
          <w:sz w:val="22"/>
          <w:szCs w:val="22"/>
        </w:rPr>
        <w:t xml:space="preserve">toda vez que, al no haber realizado manifestaciones de inconformidad al respecto, no pueden producirse efectos jurídicos tendentes a revocar, confirmar o modificar el acto reclamado, ya que, en el caso concreto se infiere que la información proporcionada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satisface parte de la solicitud presentada.</w:t>
      </w:r>
    </w:p>
    <w:p w14:paraId="559F90C9" w14:textId="77777777" w:rsidR="007E6EBE" w:rsidRPr="00416015" w:rsidRDefault="007E6EBE">
      <w:pPr>
        <w:spacing w:line="360" w:lineRule="auto"/>
        <w:jc w:val="both"/>
        <w:rPr>
          <w:rFonts w:ascii="Palatino Linotype" w:eastAsia="Palatino Linotype" w:hAnsi="Palatino Linotype" w:cs="Palatino Linotype"/>
          <w:sz w:val="22"/>
          <w:szCs w:val="22"/>
        </w:rPr>
      </w:pPr>
    </w:p>
    <w:p w14:paraId="6582469C"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Lo anterior es así, debido a que cuando un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impugna la información entregada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1DBB579" w14:textId="77777777" w:rsidR="007E6EBE" w:rsidRPr="00416015" w:rsidRDefault="007E6EBE">
      <w:pPr>
        <w:spacing w:line="360" w:lineRule="auto"/>
        <w:jc w:val="both"/>
        <w:rPr>
          <w:rFonts w:ascii="Palatino Linotype" w:eastAsia="Palatino Linotype" w:hAnsi="Palatino Linotype" w:cs="Palatino Linotype"/>
          <w:sz w:val="22"/>
          <w:szCs w:val="22"/>
        </w:rPr>
      </w:pPr>
    </w:p>
    <w:p w14:paraId="74CDC4E3" w14:textId="77777777" w:rsidR="007E6EBE" w:rsidRPr="00416015" w:rsidRDefault="00BA3E20">
      <w:pPr>
        <w:spacing w:after="160" w:line="259" w:lineRule="auto"/>
        <w:ind w:left="567" w:right="900"/>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z w:val="22"/>
          <w:szCs w:val="22"/>
        </w:rPr>
        <w:t xml:space="preserve">“REVISIÓN EN AMPARO. LOS RESOLUTIVOS NO COMBATIDOS DEBEN DECLARARSE FIRMES. </w:t>
      </w:r>
      <w:r w:rsidRPr="00416015">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w:t>
      </w:r>
      <w:r w:rsidRPr="00416015">
        <w:rPr>
          <w:rFonts w:ascii="Palatino Linotype" w:eastAsia="Palatino Linotype" w:hAnsi="Palatino Linotype" w:cs="Palatino Linotype"/>
          <w:i/>
          <w:sz w:val="22"/>
          <w:szCs w:val="22"/>
        </w:rPr>
        <w:lastRenderedPageBreak/>
        <w:t>agravio y dicha declaración de firmeza debe reflejarse en la parte considerativa y en los resolutivos debe confirmarse la sentencia recurrida en la parte correspondiente.”</w:t>
      </w:r>
    </w:p>
    <w:p w14:paraId="150721D1" w14:textId="77777777" w:rsidR="007E6EBE" w:rsidRPr="00416015" w:rsidRDefault="007E6EBE">
      <w:pPr>
        <w:spacing w:after="160" w:line="276" w:lineRule="auto"/>
        <w:ind w:left="851" w:right="900"/>
        <w:jc w:val="both"/>
        <w:rPr>
          <w:rFonts w:ascii="Palatino Linotype" w:eastAsia="Palatino Linotype" w:hAnsi="Palatino Linotype" w:cs="Palatino Linotype"/>
          <w:i/>
          <w:sz w:val="10"/>
          <w:szCs w:val="10"/>
        </w:rPr>
      </w:pPr>
    </w:p>
    <w:p w14:paraId="4DA91163"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Consecuentemente, se reitera que la parte de </w:t>
      </w:r>
      <w:r w:rsidRPr="00416015">
        <w:rPr>
          <w:rFonts w:ascii="Palatino Linotype" w:eastAsia="Palatino Linotype" w:hAnsi="Palatino Linotype" w:cs="Palatino Linotype"/>
          <w:color w:val="000000"/>
          <w:sz w:val="22"/>
          <w:szCs w:val="22"/>
        </w:rPr>
        <w:t xml:space="preserve">la solicitud que no fue impugnada debe declararse consentida </w:t>
      </w:r>
      <w:r w:rsidRPr="00416015">
        <w:rPr>
          <w:rFonts w:ascii="Palatino Linotype" w:eastAsia="Palatino Linotype" w:hAnsi="Palatino Linotype" w:cs="Palatino Linotype"/>
          <w:sz w:val="22"/>
          <w:szCs w:val="22"/>
        </w:rPr>
        <w:t xml:space="preserve">por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en razón de que no se realizaron manifestaciones de inconformidad, por lo que no pueden producirse efectos jurídicos tendentes a revocar, confirmar o modificar el acto reclamado ya que se infiere un consentimiento de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ante la falta de impugnación eficaz. </w:t>
      </w:r>
    </w:p>
    <w:p w14:paraId="6A0CE139" w14:textId="77777777" w:rsidR="007E6EBE" w:rsidRPr="00416015" w:rsidRDefault="007E6EBE">
      <w:pPr>
        <w:spacing w:line="360" w:lineRule="auto"/>
        <w:jc w:val="both"/>
        <w:rPr>
          <w:rFonts w:ascii="Palatino Linotype" w:eastAsia="Palatino Linotype" w:hAnsi="Palatino Linotype" w:cs="Palatino Linotype"/>
          <w:sz w:val="22"/>
          <w:szCs w:val="22"/>
        </w:rPr>
      </w:pPr>
    </w:p>
    <w:p w14:paraId="0B2934E2"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46DE682A" w14:textId="77777777" w:rsidR="007E6EBE" w:rsidRPr="00416015" w:rsidRDefault="007E6EBE">
      <w:pPr>
        <w:spacing w:line="360" w:lineRule="auto"/>
        <w:jc w:val="both"/>
        <w:rPr>
          <w:rFonts w:ascii="Palatino Linotype" w:eastAsia="Palatino Linotype" w:hAnsi="Palatino Linotype" w:cs="Palatino Linotype"/>
          <w:sz w:val="22"/>
          <w:szCs w:val="22"/>
        </w:rPr>
      </w:pPr>
    </w:p>
    <w:p w14:paraId="5D4EF796" w14:textId="77777777" w:rsidR="007E6EBE" w:rsidRPr="00416015" w:rsidRDefault="00BA3E20">
      <w:pPr>
        <w:spacing w:after="160" w:line="259" w:lineRule="auto"/>
        <w:ind w:left="567" w:right="900"/>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mallCaps/>
          <w:sz w:val="22"/>
          <w:szCs w:val="22"/>
        </w:rPr>
        <w:t xml:space="preserve">“ACTOS CONSENTIDOS. SON LOS QUE NO SE IMPUGNAN MEDIANTE EL RECURSO IDÓNEO. </w:t>
      </w:r>
      <w:r w:rsidRPr="00416015">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416015">
        <w:rPr>
          <w:rFonts w:ascii="Palatino Linotype" w:eastAsia="Palatino Linotype" w:hAnsi="Palatino Linotype" w:cs="Palatino Linotype"/>
          <w:i/>
          <w:sz w:val="22"/>
          <w:szCs w:val="22"/>
        </w:rPr>
        <w:t>ya que</w:t>
      </w:r>
      <w:proofErr w:type="gramEnd"/>
      <w:r w:rsidRPr="00416015">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97D17A6"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sz w:val="22"/>
          <w:szCs w:val="22"/>
        </w:rPr>
        <w:t xml:space="preserve">Ahora bien, a efecto de garantizar el efectivo ejercicio del derecho de acceso a la información pública que asiste a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resulta conveniente señalar que </w:t>
      </w:r>
      <w:r w:rsidRPr="00416015">
        <w:rPr>
          <w:rFonts w:ascii="Palatino Linotype" w:eastAsia="Palatino Linotype" w:hAnsi="Palatino Linotype" w:cs="Palatino Linotype"/>
          <w:b/>
          <w:sz w:val="22"/>
          <w:szCs w:val="22"/>
        </w:rPr>
        <w:t>el presente análisis versará respecto a los pagos, facturas, garantías generadas con motivo de la celebración de los contratos y los contratos relativos al mes de enero de 2025.</w:t>
      </w:r>
    </w:p>
    <w:p w14:paraId="0F011333"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Establecidas estas consideraciones resulta importante iniciar el presente estudio, delimitando el ámbito competencial del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para ello, debemos recordar que desde la </w:t>
      </w:r>
      <w:r w:rsidRPr="00416015">
        <w:rPr>
          <w:rFonts w:ascii="Palatino Linotype" w:eastAsia="Palatino Linotype" w:hAnsi="Palatino Linotype" w:cs="Palatino Linotype"/>
          <w:sz w:val="22"/>
          <w:szCs w:val="22"/>
        </w:rPr>
        <w:lastRenderedPageBreak/>
        <w:t>respuesta obra el pronunciamiento de la Dirección General de Administración y Finanzas, unidad administrativa que de conformidad con el Reglamento Interior del Instituto de Transparencia, Acceso a la Información Pública y Protección de Datos Personales del Estado de México y Municipios, cuenta con las siguientes atribuciones:</w:t>
      </w:r>
    </w:p>
    <w:p w14:paraId="374A417A" w14:textId="77777777" w:rsidR="007E6EBE" w:rsidRPr="00416015" w:rsidRDefault="00BA3E20">
      <w:pPr>
        <w:spacing w:before="240" w:after="240" w:line="276" w:lineRule="auto"/>
        <w:ind w:left="567" w:right="49"/>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“Sección Décima Segunda</w:t>
      </w:r>
    </w:p>
    <w:p w14:paraId="36BEB6C5" w14:textId="77777777" w:rsidR="007E6EBE" w:rsidRPr="00416015" w:rsidRDefault="00BA3E20">
      <w:pPr>
        <w:spacing w:before="240" w:after="240" w:line="276" w:lineRule="auto"/>
        <w:ind w:left="567" w:right="49"/>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Dirección General de Administración y Finanzas</w:t>
      </w:r>
    </w:p>
    <w:p w14:paraId="4D76680D"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Artículo 26. Corresponde a la Dirección General de Administración y Finanzas ejercer las atribuciones siguientes:</w:t>
      </w:r>
    </w:p>
    <w:p w14:paraId="5282954F"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w:t>
      </w:r>
    </w:p>
    <w:p w14:paraId="76A6E8B0" w14:textId="77777777" w:rsidR="007E6EBE" w:rsidRPr="00416015" w:rsidRDefault="00BA3E20">
      <w:pPr>
        <w:spacing w:before="240" w:after="240" w:line="276" w:lineRule="auto"/>
        <w:ind w:left="567" w:right="1134"/>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b/>
          <w:i/>
          <w:sz w:val="22"/>
          <w:szCs w:val="22"/>
        </w:rPr>
        <w:t>XVI. Llevar a cabo los procesos relacionados con la administración, adquisición y suministro de los recursos materiales y emitir los dictámenes correspondientes;</w:t>
      </w:r>
    </w:p>
    <w:p w14:paraId="7C39A4D7"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z w:val="22"/>
          <w:szCs w:val="22"/>
        </w:rPr>
        <w:t>XVII. Suscribir los contratos y convenios derivados de los procesos adquisitivos de los bienes y las contrataciones de servicios, con base en la normatividad aplicable, vigilar su cumplimiento y, en general, cualquier otro relativo al ejercicio de sus atribuciones</w:t>
      </w:r>
      <w:r w:rsidRPr="00416015">
        <w:rPr>
          <w:rFonts w:ascii="Palatino Linotype" w:eastAsia="Palatino Linotype" w:hAnsi="Palatino Linotype" w:cs="Palatino Linotype"/>
          <w:i/>
          <w:sz w:val="22"/>
          <w:szCs w:val="22"/>
        </w:rPr>
        <w:t>;” (Énfasis añadido)</w:t>
      </w:r>
    </w:p>
    <w:p w14:paraId="4A75C484"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Del precepto anteriormente citado, se advierte que compete a la Dirección General de Administración, es la unidad administrativa encargada de llevar a cabo los procesos relacionados con la adquisición y suministro de recursos materiales, así como de suscribir los contratos derivado de los procesos adquisitivos  y contrataciones de servicios, por consiguiente, toda vez que se turnó el requerimiento de información a dicha unidad administrativa, es dable afirmar que en el presente asunto</w:t>
      </w:r>
      <w:r w:rsidRPr="00416015">
        <w:rPr>
          <w:rFonts w:ascii="Palatino Linotype" w:eastAsia="Palatino Linotype" w:hAnsi="Palatino Linotype" w:cs="Palatino Linotype"/>
          <w:color w:val="222222"/>
          <w:sz w:val="22"/>
          <w:szCs w:val="22"/>
        </w:rPr>
        <w:t xml:space="preserve"> obra un pronunciamiento de la unidad administrativa competente, por lo que se determina que el </w:t>
      </w:r>
      <w:r w:rsidRPr="00416015">
        <w:rPr>
          <w:rFonts w:ascii="Palatino Linotype" w:eastAsia="Palatino Linotype" w:hAnsi="Palatino Linotype" w:cs="Palatino Linotype"/>
          <w:b/>
          <w:color w:val="222222"/>
          <w:sz w:val="22"/>
          <w:szCs w:val="22"/>
        </w:rPr>
        <w:t>Sujeto Obligado</w:t>
      </w:r>
      <w:r w:rsidRPr="00416015">
        <w:rPr>
          <w:rFonts w:ascii="Palatino Linotype" w:eastAsia="Palatino Linotype" w:hAnsi="Palatino Linotype" w:cs="Palatino Linotype"/>
          <w:color w:val="222222"/>
          <w:sz w:val="22"/>
          <w:szCs w:val="22"/>
        </w:rPr>
        <w:t xml:space="preserve"> siguió </w:t>
      </w:r>
      <w:r w:rsidRPr="00416015">
        <w:rPr>
          <w:rFonts w:ascii="Palatino Linotype" w:eastAsia="Palatino Linotype" w:hAnsi="Palatino Linotype" w:cs="Palatino Linotype"/>
          <w:color w:val="000000"/>
          <w:sz w:val="22"/>
          <w:szCs w:val="22"/>
        </w:rPr>
        <w:t xml:space="preserve">el </w:t>
      </w:r>
      <w:r w:rsidRPr="00416015">
        <w:rPr>
          <w:rFonts w:ascii="Palatino Linotype" w:eastAsia="Palatino Linotype" w:hAnsi="Palatino Linotype" w:cs="Palatino Linotype"/>
          <w:color w:val="000000"/>
          <w:sz w:val="22"/>
          <w:szCs w:val="22"/>
        </w:rPr>
        <w:lastRenderedPageBreak/>
        <w:t>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300D1E6" w14:textId="77777777" w:rsidR="007E6EBE" w:rsidRPr="00416015" w:rsidRDefault="007E6EBE"/>
    <w:p w14:paraId="71812524" w14:textId="77777777" w:rsidR="007E6EBE" w:rsidRPr="00416015" w:rsidRDefault="00BA3E20">
      <w:pPr>
        <w:pBdr>
          <w:top w:val="nil"/>
          <w:left w:val="nil"/>
          <w:bottom w:val="nil"/>
          <w:right w:val="nil"/>
          <w:between w:val="nil"/>
        </w:pBdr>
        <w:ind w:left="864" w:right="864"/>
        <w:jc w:val="both"/>
        <w:rPr>
          <w:color w:val="000000"/>
        </w:rPr>
      </w:pPr>
      <w:r w:rsidRPr="00416015">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27AC5F3" w14:textId="77777777" w:rsidR="007E6EBE" w:rsidRPr="00416015" w:rsidRDefault="007E6EBE"/>
    <w:p w14:paraId="3B08B619" w14:textId="77777777" w:rsidR="007E6EBE" w:rsidRPr="00416015" w:rsidRDefault="00BA3E20">
      <w:pPr>
        <w:pBdr>
          <w:top w:val="nil"/>
          <w:left w:val="nil"/>
          <w:bottom w:val="nil"/>
          <w:right w:val="nil"/>
          <w:between w:val="nil"/>
        </w:pBdr>
        <w:shd w:val="clear" w:color="auto" w:fill="FFFFFF"/>
        <w:spacing w:line="360" w:lineRule="auto"/>
        <w:jc w:val="both"/>
        <w:rPr>
          <w:color w:val="000000"/>
          <w:sz w:val="22"/>
          <w:szCs w:val="22"/>
        </w:rPr>
      </w:pPr>
      <w:r w:rsidRPr="00416015">
        <w:rPr>
          <w:rFonts w:ascii="Palatino Linotype" w:eastAsia="Palatino Linotype" w:hAnsi="Palatino Linotype" w:cs="Palatino Linotype"/>
          <w:color w:val="000000"/>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83EA71D" w14:textId="77777777" w:rsidR="007E6EBE" w:rsidRPr="00416015" w:rsidRDefault="007E6EBE"/>
    <w:p w14:paraId="769DDFB2" w14:textId="77777777" w:rsidR="007E6EBE" w:rsidRPr="00416015" w:rsidRDefault="00BA3E20">
      <w:pPr>
        <w:pBdr>
          <w:top w:val="nil"/>
          <w:left w:val="nil"/>
          <w:bottom w:val="nil"/>
          <w:right w:val="nil"/>
          <w:between w:val="nil"/>
        </w:pBdr>
        <w:ind w:left="864" w:right="864"/>
        <w:jc w:val="both"/>
        <w:rPr>
          <w:color w:val="000000"/>
        </w:rPr>
      </w:pPr>
      <w:r w:rsidRPr="00416015">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416015">
        <w:rPr>
          <w:rFonts w:ascii="Palatino Linotype" w:eastAsia="Palatino Linotype" w:hAnsi="Palatino Linotype" w:cs="Palatino Linotype"/>
          <w:b/>
          <w:i/>
          <w:color w:val="000000"/>
          <w:sz w:val="22"/>
          <w:szCs w:val="22"/>
        </w:rPr>
        <w:t xml:space="preserve">se turnen a todas las Áreas competentes </w:t>
      </w:r>
      <w:r w:rsidRPr="00416015">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219B998A"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Bajo otro orden de ideas, para un mejor entendimiento del presente análisis, se procederá a subdividir el presente análisis en los siguientes apartados:</w:t>
      </w:r>
    </w:p>
    <w:p w14:paraId="695E0FEF" w14:textId="77777777" w:rsidR="007E6EBE" w:rsidRPr="00416015" w:rsidRDefault="00BA3E20">
      <w:pPr>
        <w:numPr>
          <w:ilvl w:val="0"/>
          <w:numId w:val="3"/>
        </w:numPr>
        <w:pBdr>
          <w:top w:val="nil"/>
          <w:left w:val="nil"/>
          <w:bottom w:val="nil"/>
          <w:right w:val="nil"/>
          <w:between w:val="nil"/>
        </w:pBdr>
        <w:spacing w:before="240" w:line="360" w:lineRule="auto"/>
        <w:ind w:right="1134"/>
        <w:jc w:val="both"/>
        <w:rPr>
          <w:rFonts w:ascii="Palatino Linotype" w:eastAsia="Palatino Linotype" w:hAnsi="Palatino Linotype" w:cs="Palatino Linotype"/>
          <w:b/>
          <w:color w:val="000000"/>
          <w:sz w:val="22"/>
          <w:szCs w:val="22"/>
        </w:rPr>
      </w:pPr>
      <w:r w:rsidRPr="00416015">
        <w:rPr>
          <w:rFonts w:ascii="Palatino Linotype" w:eastAsia="Palatino Linotype" w:hAnsi="Palatino Linotype" w:cs="Palatino Linotype"/>
          <w:b/>
          <w:color w:val="000000"/>
          <w:sz w:val="22"/>
          <w:szCs w:val="22"/>
        </w:rPr>
        <w:t>De los contratos relativos al mes de enero de 2025.</w:t>
      </w:r>
    </w:p>
    <w:p w14:paraId="589624A1" w14:textId="77777777" w:rsidR="007E6EBE" w:rsidRPr="00416015" w:rsidRDefault="00BA3E20">
      <w:pPr>
        <w:numPr>
          <w:ilvl w:val="0"/>
          <w:numId w:val="3"/>
        </w:numPr>
        <w:pBdr>
          <w:top w:val="nil"/>
          <w:left w:val="nil"/>
          <w:bottom w:val="nil"/>
          <w:right w:val="nil"/>
          <w:between w:val="nil"/>
        </w:pBdr>
        <w:spacing w:line="360" w:lineRule="auto"/>
        <w:ind w:right="1134"/>
        <w:jc w:val="both"/>
        <w:rPr>
          <w:rFonts w:ascii="Palatino Linotype" w:eastAsia="Palatino Linotype" w:hAnsi="Palatino Linotype" w:cs="Palatino Linotype"/>
          <w:b/>
          <w:color w:val="000000"/>
          <w:sz w:val="22"/>
          <w:szCs w:val="22"/>
        </w:rPr>
      </w:pPr>
      <w:r w:rsidRPr="00416015">
        <w:rPr>
          <w:rFonts w:ascii="Palatino Linotype" w:eastAsia="Palatino Linotype" w:hAnsi="Palatino Linotype" w:cs="Palatino Linotype"/>
          <w:b/>
          <w:color w:val="000000"/>
          <w:sz w:val="22"/>
          <w:szCs w:val="22"/>
        </w:rPr>
        <w:t>De los pagos y facturas de los contratos proporcionados en respuesta.</w:t>
      </w:r>
    </w:p>
    <w:p w14:paraId="13082868" w14:textId="77777777" w:rsidR="007E6EBE" w:rsidRPr="00416015" w:rsidRDefault="00BA3E20">
      <w:pPr>
        <w:numPr>
          <w:ilvl w:val="0"/>
          <w:numId w:val="3"/>
        </w:numPr>
        <w:pBdr>
          <w:top w:val="nil"/>
          <w:left w:val="nil"/>
          <w:bottom w:val="nil"/>
          <w:right w:val="nil"/>
          <w:between w:val="nil"/>
        </w:pBdr>
        <w:spacing w:line="360" w:lineRule="auto"/>
        <w:ind w:right="1134"/>
        <w:jc w:val="both"/>
        <w:rPr>
          <w:rFonts w:ascii="Palatino Linotype" w:eastAsia="Palatino Linotype" w:hAnsi="Palatino Linotype" w:cs="Palatino Linotype"/>
          <w:b/>
          <w:color w:val="000000"/>
          <w:sz w:val="22"/>
          <w:szCs w:val="22"/>
        </w:rPr>
      </w:pPr>
      <w:r w:rsidRPr="00416015">
        <w:rPr>
          <w:rFonts w:ascii="Palatino Linotype" w:eastAsia="Palatino Linotype" w:hAnsi="Palatino Linotype" w:cs="Palatino Linotype"/>
          <w:b/>
          <w:color w:val="000000"/>
          <w:sz w:val="22"/>
          <w:szCs w:val="22"/>
        </w:rPr>
        <w:t>De las garantías generadas con motivo de la celebración de los contratos, remitidos en respuesta.</w:t>
      </w:r>
    </w:p>
    <w:p w14:paraId="3B02D12F" w14:textId="77777777" w:rsidR="007E6EBE" w:rsidRPr="00416015" w:rsidRDefault="007E6EBE">
      <w:pPr>
        <w:pBdr>
          <w:top w:val="nil"/>
          <w:left w:val="nil"/>
          <w:bottom w:val="nil"/>
          <w:right w:val="nil"/>
          <w:between w:val="nil"/>
        </w:pBdr>
        <w:spacing w:after="240" w:line="360" w:lineRule="auto"/>
        <w:ind w:left="720" w:right="1134"/>
        <w:jc w:val="both"/>
        <w:rPr>
          <w:rFonts w:ascii="Palatino Linotype" w:eastAsia="Palatino Linotype" w:hAnsi="Palatino Linotype" w:cs="Palatino Linotype"/>
          <w:b/>
          <w:color w:val="000000"/>
          <w:sz w:val="22"/>
          <w:szCs w:val="22"/>
        </w:rPr>
      </w:pPr>
    </w:p>
    <w:p w14:paraId="761FC2C6"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lastRenderedPageBreak/>
        <w:t>1. De los contratos relativos al mes de enero de 2025.</w:t>
      </w:r>
    </w:p>
    <w:p w14:paraId="3B8029CE" w14:textId="77777777" w:rsidR="007E6EBE" w:rsidRPr="00416015" w:rsidRDefault="00BA3E20">
      <w:pPr>
        <w:spacing w:before="240" w:after="240" w:line="360" w:lineRule="auto"/>
        <w:ind w:right="49"/>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sz w:val="22"/>
          <w:szCs w:val="22"/>
        </w:rPr>
        <w:t xml:space="preserve">En lo tocante a este punto, debemos recordar que si bien es cierto, en respuesta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por conducto de la Dirección General de Administración y Finanzas, de manera general refirió que la información solicitada es pública y es susceptible de ser consultada en la plataforma </w:t>
      </w:r>
      <w:proofErr w:type="spellStart"/>
      <w:r w:rsidRPr="00416015">
        <w:rPr>
          <w:rFonts w:ascii="Palatino Linotype" w:eastAsia="Palatino Linotype" w:hAnsi="Palatino Linotype" w:cs="Palatino Linotype"/>
          <w:sz w:val="22"/>
          <w:szCs w:val="22"/>
        </w:rPr>
        <w:t>Ipomex</w:t>
      </w:r>
      <w:proofErr w:type="spellEnd"/>
      <w:r w:rsidRPr="00416015">
        <w:rPr>
          <w:rFonts w:ascii="Palatino Linotype" w:eastAsia="Palatino Linotype" w:hAnsi="Palatino Linotype" w:cs="Palatino Linotype"/>
          <w:sz w:val="22"/>
          <w:szCs w:val="22"/>
        </w:rPr>
        <w:t>, no menos cierto es que de manera posterior, en informe justificado, el servidor público habilitado realiza una precisión, por lo que respecta a los contratos celebrados durante el ejercicio 2025, la cual versa de la siguiente manera: “</w:t>
      </w:r>
      <w:r w:rsidRPr="00416015">
        <w:rPr>
          <w:rFonts w:ascii="Palatino Linotype" w:eastAsia="Palatino Linotype" w:hAnsi="Palatino Linotype" w:cs="Palatino Linotype"/>
          <w:b/>
          <w:i/>
          <w:sz w:val="22"/>
          <w:szCs w:val="22"/>
        </w:rPr>
        <w:t>Por lo que respecta al ejercicio 2025 no se cuenta con contratos en dicho periodo, motivo por el cual no es posible brindar la información solicitada.”</w:t>
      </w:r>
    </w:p>
    <w:p w14:paraId="3ED091B0" w14:textId="77777777" w:rsidR="007E6EBE" w:rsidRPr="00416015" w:rsidRDefault="00BA3E20">
      <w:pPr>
        <w:pBdr>
          <w:top w:val="nil"/>
          <w:left w:val="nil"/>
          <w:bottom w:val="nil"/>
          <w:right w:val="nil"/>
          <w:between w:val="nil"/>
        </w:pBdr>
        <w:spacing w:before="240" w:after="240" w:line="360" w:lineRule="auto"/>
        <w:jc w:val="both"/>
        <w:rPr>
          <w:color w:val="000000"/>
        </w:rPr>
      </w:pPr>
      <w:r w:rsidRPr="00416015">
        <w:rPr>
          <w:rFonts w:ascii="Palatino Linotype" w:eastAsia="Palatino Linotype" w:hAnsi="Palatino Linotype" w:cs="Palatino Linotype"/>
          <w:color w:val="000000"/>
          <w:sz w:val="22"/>
          <w:szCs w:val="22"/>
        </w:rPr>
        <w:t xml:space="preserve">Por </w:t>
      </w:r>
      <w:proofErr w:type="gramStart"/>
      <w:r w:rsidRPr="00416015">
        <w:rPr>
          <w:rFonts w:ascii="Palatino Linotype" w:eastAsia="Palatino Linotype" w:hAnsi="Palatino Linotype" w:cs="Palatino Linotype"/>
          <w:color w:val="000000"/>
          <w:sz w:val="22"/>
          <w:szCs w:val="22"/>
        </w:rPr>
        <w:t>consiguiente</w:t>
      </w:r>
      <w:proofErr w:type="gramEnd"/>
      <w:r w:rsidRPr="00416015">
        <w:rPr>
          <w:rFonts w:ascii="Palatino Linotype" w:eastAsia="Palatino Linotype" w:hAnsi="Palatino Linotype" w:cs="Palatino Linotype"/>
          <w:color w:val="000000"/>
          <w:sz w:val="22"/>
          <w:szCs w:val="22"/>
        </w:rPr>
        <w:t xml:space="preserve"> toda vez que obra un pronunciamiento del servidor público habilitado en sentido negativo, tenemos que en consecuencia, no posee, administra ni genera la información requerida por el particular, lo cual constituye un hecho negativo; entonces, si se considera el hecho negativo, es obvio que éste no puede fácticamente obrar en los archivos del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ya que no puede probarse por ser lógica y materialmente imposible.</w:t>
      </w:r>
    </w:p>
    <w:p w14:paraId="6271DC36" w14:textId="77777777" w:rsidR="007E6EBE" w:rsidRPr="00416015" w:rsidRDefault="00BA3E20">
      <w:pPr>
        <w:pBdr>
          <w:top w:val="nil"/>
          <w:left w:val="nil"/>
          <w:bottom w:val="nil"/>
          <w:right w:val="nil"/>
          <w:between w:val="nil"/>
        </w:pBdr>
        <w:spacing w:before="240" w:after="240" w:line="360" w:lineRule="auto"/>
        <w:jc w:val="both"/>
        <w:rPr>
          <w:color w:val="000000"/>
        </w:rPr>
      </w:pPr>
      <w:r w:rsidRPr="00416015">
        <w:rPr>
          <w:rFonts w:ascii="Palatino Linotype" w:eastAsia="Palatino Linotype" w:hAnsi="Palatino Linotype" w:cs="Palatino Linotype"/>
          <w:color w:val="000000"/>
          <w:sz w:val="22"/>
          <w:szCs w:val="22"/>
        </w:rPr>
        <w:t>Asimismo, no se trata de un caso por el cual la negación del hecho implique la afirmación del mismo, simplemente se está ante una notoria y evidente inexistencia fáctica de la información solicitada.</w:t>
      </w:r>
    </w:p>
    <w:p w14:paraId="4519E433" w14:textId="77777777" w:rsidR="007E6EBE" w:rsidRPr="00416015" w:rsidRDefault="00BA3E20">
      <w:pPr>
        <w:pBdr>
          <w:top w:val="nil"/>
          <w:left w:val="nil"/>
          <w:bottom w:val="nil"/>
          <w:right w:val="nil"/>
          <w:between w:val="nil"/>
        </w:pBdr>
        <w:spacing w:before="240" w:after="240" w:line="360" w:lineRule="auto"/>
        <w:jc w:val="both"/>
        <w:rPr>
          <w:color w:val="000000"/>
        </w:rPr>
      </w:pPr>
      <w:r w:rsidRPr="00416015">
        <w:rPr>
          <w:rFonts w:ascii="Palatino Linotype" w:eastAsia="Palatino Linotype" w:hAnsi="Palatino Linotype" w:cs="Palatino Linotype"/>
          <w:color w:val="000000"/>
          <w:sz w:val="22"/>
          <w:szCs w:val="22"/>
        </w:rPr>
        <w:t xml:space="preserve">Encontrándonos ante un hecho negativo, destacando entonces que el Pleno de este Organismo Garante, ha sostenido </w:t>
      </w:r>
      <w:proofErr w:type="gramStart"/>
      <w:r w:rsidRPr="00416015">
        <w:rPr>
          <w:rFonts w:ascii="Palatino Linotype" w:eastAsia="Palatino Linotype" w:hAnsi="Palatino Linotype" w:cs="Palatino Linotype"/>
          <w:color w:val="000000"/>
          <w:sz w:val="22"/>
          <w:szCs w:val="22"/>
        </w:rPr>
        <w:t>que</w:t>
      </w:r>
      <w:proofErr w:type="gramEnd"/>
      <w:r w:rsidRPr="00416015">
        <w:rPr>
          <w:rFonts w:ascii="Palatino Linotype" w:eastAsia="Palatino Linotype" w:hAnsi="Palatino Linotype" w:cs="Palatino Linotype"/>
          <w:color w:val="000000"/>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D54578A" w14:textId="77777777" w:rsidR="007E6EBE" w:rsidRPr="00416015" w:rsidRDefault="00BA3E20">
      <w:pPr>
        <w:pBdr>
          <w:top w:val="nil"/>
          <w:left w:val="nil"/>
          <w:bottom w:val="nil"/>
          <w:right w:val="nil"/>
          <w:between w:val="nil"/>
        </w:pBdr>
        <w:spacing w:line="276" w:lineRule="auto"/>
        <w:ind w:left="567" w:right="560"/>
        <w:jc w:val="both"/>
        <w:rPr>
          <w:color w:val="000000"/>
        </w:rPr>
      </w:pPr>
      <w:r w:rsidRPr="00416015">
        <w:rPr>
          <w:rFonts w:ascii="Palatino Linotype" w:eastAsia="Palatino Linotype" w:hAnsi="Palatino Linotype" w:cs="Palatino Linotype"/>
          <w:b/>
          <w:i/>
          <w:color w:val="000000"/>
          <w:sz w:val="22"/>
          <w:szCs w:val="22"/>
        </w:rPr>
        <w:lastRenderedPageBreak/>
        <w:t>“HECHOS NEGATIVOS, NO SON SUSCEPTIBLES DE DEMOSTRACIÓN.</w:t>
      </w:r>
    </w:p>
    <w:p w14:paraId="77AF08E5" w14:textId="77777777" w:rsidR="007E6EBE" w:rsidRPr="00416015" w:rsidRDefault="00BA3E20">
      <w:pPr>
        <w:pBdr>
          <w:top w:val="nil"/>
          <w:left w:val="nil"/>
          <w:bottom w:val="nil"/>
          <w:right w:val="nil"/>
          <w:between w:val="nil"/>
        </w:pBdr>
        <w:spacing w:line="276" w:lineRule="auto"/>
        <w:ind w:left="567" w:right="560"/>
        <w:jc w:val="both"/>
        <w:rPr>
          <w:color w:val="000000"/>
        </w:rPr>
      </w:pPr>
      <w:r w:rsidRPr="00416015">
        <w:rPr>
          <w:rFonts w:ascii="Palatino Linotype" w:eastAsia="Palatino Linotype" w:hAnsi="Palatino Linotype" w:cs="Palatino Linotype"/>
          <w:i/>
          <w:color w:val="000000"/>
          <w:sz w:val="22"/>
          <w:szCs w:val="22"/>
        </w:rPr>
        <w:t xml:space="preserve">Tratándose de un hecho negativo, el Juez no tiene </w:t>
      </w:r>
      <w:proofErr w:type="spellStart"/>
      <w:r w:rsidRPr="00416015">
        <w:rPr>
          <w:rFonts w:ascii="Palatino Linotype" w:eastAsia="Palatino Linotype" w:hAnsi="Palatino Linotype" w:cs="Palatino Linotype"/>
          <w:i/>
          <w:color w:val="000000"/>
          <w:sz w:val="22"/>
          <w:szCs w:val="22"/>
        </w:rPr>
        <w:t>por que</w:t>
      </w:r>
      <w:proofErr w:type="spellEnd"/>
      <w:r w:rsidRPr="00416015">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14:paraId="10F52923" w14:textId="77777777" w:rsidR="007E6EBE" w:rsidRPr="00416015" w:rsidRDefault="00BA3E20">
      <w:pPr>
        <w:pBdr>
          <w:top w:val="nil"/>
          <w:left w:val="nil"/>
          <w:bottom w:val="nil"/>
          <w:right w:val="nil"/>
          <w:between w:val="nil"/>
        </w:pBdr>
        <w:spacing w:line="276" w:lineRule="auto"/>
        <w:ind w:left="567" w:right="560"/>
        <w:jc w:val="both"/>
        <w:rPr>
          <w:color w:val="000000"/>
        </w:rPr>
      </w:pPr>
      <w:r w:rsidRPr="00416015">
        <w:rPr>
          <w:rFonts w:ascii="Palatino Linotype" w:eastAsia="Palatino Linotype" w:hAnsi="Palatino Linotype" w:cs="Palatino Linotype"/>
          <w:i/>
          <w:color w:val="000000"/>
          <w:sz w:val="22"/>
          <w:szCs w:val="22"/>
        </w:rPr>
        <w:t xml:space="preserve">Amparo en revisión 2022/61. José García </w:t>
      </w:r>
      <w:proofErr w:type="gramStart"/>
      <w:r w:rsidRPr="00416015">
        <w:rPr>
          <w:rFonts w:ascii="Palatino Linotype" w:eastAsia="Palatino Linotype" w:hAnsi="Palatino Linotype" w:cs="Palatino Linotype"/>
          <w:i/>
          <w:color w:val="000000"/>
          <w:sz w:val="22"/>
          <w:szCs w:val="22"/>
        </w:rPr>
        <w:t>Florín</w:t>
      </w:r>
      <w:proofErr w:type="gramEnd"/>
      <w:r w:rsidRPr="00416015">
        <w:rPr>
          <w:rFonts w:ascii="Palatino Linotype" w:eastAsia="Palatino Linotype" w:hAnsi="Palatino Linotype" w:cs="Palatino Linotype"/>
          <w:i/>
          <w:color w:val="000000"/>
          <w:sz w:val="22"/>
          <w:szCs w:val="22"/>
        </w:rPr>
        <w:t xml:space="preserve"> (Menor). 9 de octubre de 1961. Cinco votos. Ponente: José Rivera Pérez Campos.”</w:t>
      </w:r>
    </w:p>
    <w:p w14:paraId="2837E594" w14:textId="77777777" w:rsidR="007E6EBE" w:rsidRPr="00416015" w:rsidRDefault="00BA3E20">
      <w:pPr>
        <w:pBdr>
          <w:top w:val="nil"/>
          <w:left w:val="nil"/>
          <w:bottom w:val="nil"/>
          <w:right w:val="nil"/>
          <w:between w:val="nil"/>
        </w:pBdr>
        <w:spacing w:before="240" w:after="240" w:line="360" w:lineRule="auto"/>
        <w:jc w:val="both"/>
        <w:rPr>
          <w:color w:val="000000"/>
        </w:rPr>
      </w:pPr>
      <w:r w:rsidRPr="00416015">
        <w:rPr>
          <w:rFonts w:ascii="Palatino Linotype" w:eastAsia="Palatino Linotype" w:hAnsi="Palatino Linotype" w:cs="Palatino Linotype"/>
          <w:color w:val="000000"/>
          <w:sz w:val="22"/>
          <w:szCs w:val="22"/>
        </w:rPr>
        <w:t xml:space="preserve">Además, y de conformidad con lo establecido en el artículo 12 de la Ley de Transparencia y Acceso a la Información Pública del Estado de México y Municipios, anteriormente invocado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sólo proporcionará la información que obra en sus archivos, lo que a</w:t>
      </w:r>
      <w:r w:rsidRPr="00416015">
        <w:rPr>
          <w:rFonts w:ascii="Palatino Linotype" w:eastAsia="Palatino Linotype" w:hAnsi="Palatino Linotype" w:cs="Palatino Linotype"/>
          <w:i/>
          <w:color w:val="000000"/>
          <w:sz w:val="22"/>
          <w:szCs w:val="22"/>
        </w:rPr>
        <w:t xml:space="preserve"> contrario sensu</w:t>
      </w:r>
      <w:r w:rsidRPr="00416015">
        <w:rPr>
          <w:rFonts w:ascii="Palatino Linotype" w:eastAsia="Palatino Linotype" w:hAnsi="Palatino Linotype" w:cs="Palatino Linotype"/>
          <w:color w:val="000000"/>
          <w:sz w:val="22"/>
          <w:szCs w:val="22"/>
        </w:rPr>
        <w:t xml:space="preserve"> significa que no se está obligado a proporcionar lo que no obre en sus archivos; por ende, en este punto de la solicitud no es posible ordenarse entrega de información alguna pues, se insiste, el servidor público habilitado competente modificó los términos de su respuesta inicial y puntualizó mediante el informe justificado que del periodo 2025, no se cuentan con contratos en dicho periodo, por tanto, con esta manifestación resulta suficiente para tenerse por atendido este punto de la solicitud de información.</w:t>
      </w:r>
    </w:p>
    <w:p w14:paraId="036F2BA5"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2. De los pagos y facturas de los contratos proporcionados en respuesta.</w:t>
      </w:r>
    </w:p>
    <w:p w14:paraId="5AEA1A5A"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Continuando en estudio, procedemos al análisis del punto concerniente a los pagos y facturas de los contratos remitidos en respuesta; en primera instancia, para ello debemos recordar que desde la respuesta, el Director General de Administración y Finanzas aseveró contar con la información solicitada, tan es así que proporcionó un enlace electrónico en formato abierto, sin embargo, no pasa desapercibido para este Organismo Garante que dentro del documento “</w:t>
      </w:r>
      <w:r w:rsidRPr="00416015">
        <w:rPr>
          <w:rFonts w:ascii="Palatino Linotype" w:eastAsia="Palatino Linotype" w:hAnsi="Palatino Linotype" w:cs="Palatino Linotype"/>
          <w:b/>
          <w:i/>
          <w:sz w:val="22"/>
          <w:szCs w:val="22"/>
        </w:rPr>
        <w:t xml:space="preserve">RespuestaSolicitud00083_2025.docx”, </w:t>
      </w:r>
      <w:r w:rsidRPr="00416015">
        <w:rPr>
          <w:rFonts w:ascii="Palatino Linotype" w:eastAsia="Palatino Linotype" w:hAnsi="Palatino Linotype" w:cs="Palatino Linotype"/>
          <w:sz w:val="22"/>
          <w:szCs w:val="22"/>
        </w:rPr>
        <w:t>sólo se proporcionó la siguiente indicación para acceder a las facturas generadas para llevar a cabo los pagos de los contratos:</w:t>
      </w:r>
    </w:p>
    <w:p w14:paraId="6201DE7D"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lastRenderedPageBreak/>
        <w:drawing>
          <wp:inline distT="0" distB="0" distL="0" distR="0" wp14:anchorId="01B09473" wp14:editId="6E3BBCEB">
            <wp:extent cx="5303348" cy="2395041"/>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03348" cy="2395041"/>
                    </a:xfrm>
                    <a:prstGeom prst="rect">
                      <a:avLst/>
                    </a:prstGeom>
                    <a:ln/>
                  </pic:spPr>
                </pic:pic>
              </a:graphicData>
            </a:graphic>
          </wp:inline>
        </w:drawing>
      </w:r>
    </w:p>
    <w:p w14:paraId="7CC13B8C"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drawing>
          <wp:inline distT="0" distB="0" distL="0" distR="0" wp14:anchorId="04CB659C" wp14:editId="0A05BAD0">
            <wp:extent cx="5275062" cy="215432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275062" cy="2154320"/>
                    </a:xfrm>
                    <a:prstGeom prst="rect">
                      <a:avLst/>
                    </a:prstGeom>
                    <a:ln/>
                  </pic:spPr>
                </pic:pic>
              </a:graphicData>
            </a:graphic>
          </wp:inline>
        </w:drawing>
      </w:r>
    </w:p>
    <w:p w14:paraId="1C165768"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No </w:t>
      </w:r>
      <w:proofErr w:type="gramStart"/>
      <w:r w:rsidRPr="00416015">
        <w:rPr>
          <w:rFonts w:ascii="Palatino Linotype" w:eastAsia="Palatino Linotype" w:hAnsi="Palatino Linotype" w:cs="Palatino Linotype"/>
          <w:sz w:val="22"/>
          <w:szCs w:val="22"/>
        </w:rPr>
        <w:t>obstante</w:t>
      </w:r>
      <w:proofErr w:type="gramEnd"/>
      <w:r w:rsidRPr="00416015">
        <w:rPr>
          <w:rFonts w:ascii="Palatino Linotype" w:eastAsia="Palatino Linotype" w:hAnsi="Palatino Linotype" w:cs="Palatino Linotype"/>
          <w:sz w:val="22"/>
          <w:szCs w:val="22"/>
        </w:rPr>
        <w:t xml:space="preserve"> lo anterior, al intentar realizar la consulta de la información, este Instituto se vio imposibilitado a obtener las facturas pues no se precisa con claridad el proceso a seguir para que no se realice una búsqueda dentro del portal y, por el contrario, la documentación sea observada por el particular.</w:t>
      </w:r>
    </w:p>
    <w:p w14:paraId="2023F9D7"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lastRenderedPageBreak/>
        <w:t xml:space="preserve">Sin embargo, debemos resaltar </w:t>
      </w:r>
      <w:proofErr w:type="gramStart"/>
      <w:r w:rsidRPr="00416015">
        <w:rPr>
          <w:rFonts w:ascii="Palatino Linotype" w:eastAsia="Palatino Linotype" w:hAnsi="Palatino Linotype" w:cs="Palatino Linotype"/>
          <w:sz w:val="22"/>
          <w:szCs w:val="22"/>
        </w:rPr>
        <w:t>que</w:t>
      </w:r>
      <w:proofErr w:type="gramEnd"/>
      <w:r w:rsidRPr="00416015">
        <w:rPr>
          <w:rFonts w:ascii="Palatino Linotype" w:eastAsia="Palatino Linotype" w:hAnsi="Palatino Linotype" w:cs="Palatino Linotype"/>
          <w:sz w:val="22"/>
          <w:szCs w:val="22"/>
        </w:rPr>
        <w:t xml:space="preserve"> en alcance al informe justificado,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señala de manera pormenorizada, el proceso para obtener las facturas, mismo que este Instituto cotejó para obtener lo siguiente:</w:t>
      </w:r>
    </w:p>
    <w:p w14:paraId="1F346468" w14:textId="77777777" w:rsidR="007E6EBE" w:rsidRPr="00416015" w:rsidRDefault="00BA3E20">
      <w:pPr>
        <w:numPr>
          <w:ilvl w:val="0"/>
          <w:numId w:val="4"/>
        </w:numPr>
        <w:pBdr>
          <w:top w:val="nil"/>
          <w:left w:val="nil"/>
          <w:bottom w:val="nil"/>
          <w:right w:val="nil"/>
          <w:between w:val="nil"/>
        </w:pBdr>
        <w:spacing w:before="240" w:line="360" w:lineRule="auto"/>
        <w:ind w:left="0" w:right="49" w:hanging="284"/>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En el alcance al informe justificado, hace referencia a la liga electrónica que fue proporcionada en respuesta, en formato abierto: </w:t>
      </w:r>
      <w:hyperlink r:id="rId13" w:anchor="/info-fraccion/676/1/12">
        <w:r w:rsidRPr="00416015">
          <w:rPr>
            <w:rFonts w:ascii="Palatino Linotype" w:eastAsia="Palatino Linotype" w:hAnsi="Palatino Linotype" w:cs="Palatino Linotype"/>
            <w:color w:val="0000FF"/>
            <w:sz w:val="22"/>
            <w:szCs w:val="22"/>
            <w:u w:val="single"/>
          </w:rPr>
          <w:t>https://infoem2.ipomex.org.mx/ipomex/#/info-fraccion/676/1/12</w:t>
        </w:r>
      </w:hyperlink>
      <w:r w:rsidRPr="00416015">
        <w:rPr>
          <w:rFonts w:ascii="Palatino Linotype" w:eastAsia="Palatino Linotype" w:hAnsi="Palatino Linotype" w:cs="Palatino Linotype"/>
          <w:color w:val="000000"/>
          <w:sz w:val="22"/>
          <w:szCs w:val="22"/>
        </w:rPr>
        <w:t xml:space="preserve">  , la cual se consultó y nos condujo al siguiente portal:</w:t>
      </w:r>
    </w:p>
    <w:p w14:paraId="37FC9F35" w14:textId="77777777" w:rsidR="007E6EBE" w:rsidRPr="00416015" w:rsidRDefault="00BA3E20">
      <w:pPr>
        <w:pBdr>
          <w:top w:val="nil"/>
          <w:left w:val="nil"/>
          <w:bottom w:val="nil"/>
          <w:right w:val="nil"/>
          <w:between w:val="nil"/>
        </w:pBdr>
        <w:spacing w:line="360" w:lineRule="auto"/>
        <w:ind w:left="567"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drawing>
          <wp:inline distT="0" distB="0" distL="0" distR="0" wp14:anchorId="18DC6654" wp14:editId="5A4E50CC">
            <wp:extent cx="5187905" cy="2394374"/>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87905" cy="2394374"/>
                    </a:xfrm>
                    <a:prstGeom prst="rect">
                      <a:avLst/>
                    </a:prstGeom>
                    <a:ln/>
                  </pic:spPr>
                </pic:pic>
              </a:graphicData>
            </a:graphic>
          </wp:inline>
        </w:drawing>
      </w:r>
    </w:p>
    <w:p w14:paraId="71747B49" w14:textId="77777777" w:rsidR="007E6EBE" w:rsidRPr="00416015" w:rsidRDefault="00BA3E20">
      <w:pPr>
        <w:numPr>
          <w:ilvl w:val="0"/>
          <w:numId w:val="4"/>
        </w:numPr>
        <w:pBdr>
          <w:top w:val="nil"/>
          <w:left w:val="nil"/>
          <w:bottom w:val="nil"/>
          <w:right w:val="nil"/>
          <w:between w:val="nil"/>
        </w:pBdr>
        <w:spacing w:line="360" w:lineRule="auto"/>
        <w:ind w:left="-142" w:right="49" w:hanging="142"/>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Una vez ahí, seleccionamos un registro, en el </w:t>
      </w:r>
      <w:proofErr w:type="gramStart"/>
      <w:r w:rsidRPr="00416015">
        <w:rPr>
          <w:rFonts w:ascii="Palatino Linotype" w:eastAsia="Palatino Linotype" w:hAnsi="Palatino Linotype" w:cs="Palatino Linotype"/>
          <w:color w:val="000000"/>
          <w:sz w:val="22"/>
          <w:szCs w:val="22"/>
        </w:rPr>
        <w:t>cual</w:t>
      </w:r>
      <w:proofErr w:type="gramEnd"/>
      <w:r w:rsidRPr="00416015">
        <w:rPr>
          <w:rFonts w:ascii="Palatino Linotype" w:eastAsia="Palatino Linotype" w:hAnsi="Palatino Linotype" w:cs="Palatino Linotype"/>
          <w:color w:val="000000"/>
          <w:sz w:val="22"/>
          <w:szCs w:val="22"/>
        </w:rPr>
        <w:t xml:space="preserve"> al deslizar el cursor, se visualiza el apartado “</w:t>
      </w:r>
      <w:r w:rsidRPr="00416015">
        <w:rPr>
          <w:rFonts w:ascii="Palatino Linotype" w:eastAsia="Palatino Linotype" w:hAnsi="Palatino Linotype" w:cs="Palatino Linotype"/>
          <w:b/>
          <w:i/>
          <w:color w:val="000000"/>
          <w:sz w:val="22"/>
          <w:szCs w:val="22"/>
        </w:rPr>
        <w:t>Contratos ya sea de obra pública, servicios relacionados con la misma; adquisiciones; arrendamientos y servicios de orden administrativo</w:t>
      </w:r>
      <w:r w:rsidRPr="00416015">
        <w:rPr>
          <w:rFonts w:ascii="Palatino Linotype" w:eastAsia="Palatino Linotype" w:hAnsi="Palatino Linotype" w:cs="Palatino Linotype"/>
          <w:color w:val="000000"/>
          <w:sz w:val="22"/>
          <w:szCs w:val="22"/>
        </w:rPr>
        <w:t xml:space="preserve">”, sobre el cual se deberá dar </w:t>
      </w:r>
      <w:proofErr w:type="spellStart"/>
      <w:r w:rsidRPr="00416015">
        <w:rPr>
          <w:rFonts w:ascii="Palatino Linotype" w:eastAsia="Palatino Linotype" w:hAnsi="Palatino Linotype" w:cs="Palatino Linotype"/>
          <w:color w:val="000000"/>
          <w:sz w:val="22"/>
          <w:szCs w:val="22"/>
        </w:rPr>
        <w:t>click</w:t>
      </w:r>
      <w:proofErr w:type="spellEnd"/>
      <w:r w:rsidRPr="00416015">
        <w:rPr>
          <w:rFonts w:ascii="Palatino Linotype" w:eastAsia="Palatino Linotype" w:hAnsi="Palatino Linotype" w:cs="Palatino Linotype"/>
          <w:color w:val="000000"/>
          <w:sz w:val="22"/>
          <w:szCs w:val="22"/>
        </w:rPr>
        <w:t xml:space="preserve"> para obtener lo siguiente:</w:t>
      </w:r>
    </w:p>
    <w:p w14:paraId="1CAA80DB" w14:textId="77777777" w:rsidR="007E6EBE" w:rsidRPr="00416015" w:rsidRDefault="00BA3E2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drawing>
          <wp:inline distT="0" distB="0" distL="0" distR="0" wp14:anchorId="097E895D" wp14:editId="566873CC">
            <wp:extent cx="5760720" cy="4699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60720" cy="469900"/>
                    </a:xfrm>
                    <a:prstGeom prst="rect">
                      <a:avLst/>
                    </a:prstGeom>
                    <a:ln/>
                  </pic:spPr>
                </pic:pic>
              </a:graphicData>
            </a:graphic>
          </wp:inline>
        </w:drawing>
      </w:r>
    </w:p>
    <w:p w14:paraId="541E033C" w14:textId="77777777" w:rsidR="007E6EBE" w:rsidRPr="00416015" w:rsidRDefault="00BA3E2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lastRenderedPageBreak/>
        <w:drawing>
          <wp:inline distT="0" distB="0" distL="0" distR="0" wp14:anchorId="002F501A" wp14:editId="322093A5">
            <wp:extent cx="5760720" cy="1391920"/>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60720" cy="1391920"/>
                    </a:xfrm>
                    <a:prstGeom prst="rect">
                      <a:avLst/>
                    </a:prstGeom>
                    <a:ln/>
                  </pic:spPr>
                </pic:pic>
              </a:graphicData>
            </a:graphic>
          </wp:inline>
        </w:drawing>
      </w:r>
    </w:p>
    <w:p w14:paraId="1E6EFF0C" w14:textId="77777777" w:rsidR="007E6EBE" w:rsidRPr="00416015" w:rsidRDefault="00BA3E20">
      <w:pPr>
        <w:numPr>
          <w:ilvl w:val="0"/>
          <w:numId w:val="4"/>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b/>
          <w:i/>
          <w:color w:val="000000"/>
          <w:sz w:val="22"/>
          <w:szCs w:val="22"/>
        </w:rPr>
      </w:pPr>
      <w:r w:rsidRPr="00416015">
        <w:rPr>
          <w:rFonts w:ascii="Palatino Linotype" w:eastAsia="Palatino Linotype" w:hAnsi="Palatino Linotype" w:cs="Palatino Linotype"/>
          <w:color w:val="000000"/>
          <w:sz w:val="22"/>
          <w:szCs w:val="22"/>
        </w:rPr>
        <w:t xml:space="preserve">Finalmente, al seguir la instrucción de dar </w:t>
      </w:r>
      <w:proofErr w:type="spellStart"/>
      <w:r w:rsidRPr="00416015">
        <w:rPr>
          <w:rFonts w:ascii="Palatino Linotype" w:eastAsia="Palatino Linotype" w:hAnsi="Palatino Linotype" w:cs="Palatino Linotype"/>
          <w:color w:val="000000"/>
          <w:sz w:val="22"/>
          <w:szCs w:val="22"/>
        </w:rPr>
        <w:t>click</w:t>
      </w:r>
      <w:proofErr w:type="spellEnd"/>
      <w:r w:rsidRPr="00416015">
        <w:rPr>
          <w:rFonts w:ascii="Palatino Linotype" w:eastAsia="Palatino Linotype" w:hAnsi="Palatino Linotype" w:cs="Palatino Linotype"/>
          <w:color w:val="000000"/>
          <w:sz w:val="22"/>
          <w:szCs w:val="22"/>
        </w:rPr>
        <w:t xml:space="preserve"> sobre dicho apartado, tenemos que se despliega la siguiente ventana; es de precisar que la siguiente indicación versa sobre posicionarse en la opción “</w:t>
      </w:r>
      <w:r w:rsidRPr="00416015">
        <w:rPr>
          <w:rFonts w:ascii="Palatino Linotype" w:eastAsia="Palatino Linotype" w:hAnsi="Palatino Linotype" w:cs="Palatino Linotype"/>
          <w:b/>
          <w:i/>
          <w:color w:val="000000"/>
          <w:sz w:val="22"/>
          <w:szCs w:val="22"/>
        </w:rPr>
        <w:t>Hipervínculo a la factura o documento que cumpla con requisitos fiscales”</w:t>
      </w:r>
      <w:r w:rsidRPr="00416015">
        <w:rPr>
          <w:rFonts w:ascii="Palatino Linotype" w:eastAsia="Palatino Linotype" w:hAnsi="Palatino Linotype" w:cs="Palatino Linotype"/>
          <w:color w:val="000000"/>
          <w:sz w:val="22"/>
          <w:szCs w:val="22"/>
        </w:rPr>
        <w:t>, la cual de manera automática descarga la factura, tal como se observa a continuación:</w:t>
      </w:r>
    </w:p>
    <w:p w14:paraId="233B3891" w14:textId="77777777" w:rsidR="007E6EBE" w:rsidRPr="00416015" w:rsidRDefault="00BA3E20">
      <w:p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drawing>
          <wp:inline distT="0" distB="0" distL="0" distR="0" wp14:anchorId="26CCDC23" wp14:editId="1C25FF9C">
            <wp:extent cx="5543608" cy="2273674"/>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543608" cy="2273674"/>
                    </a:xfrm>
                    <a:prstGeom prst="rect">
                      <a:avLst/>
                    </a:prstGeom>
                    <a:ln/>
                  </pic:spPr>
                </pic:pic>
              </a:graphicData>
            </a:graphic>
          </wp:inline>
        </w:drawing>
      </w:r>
    </w:p>
    <w:p w14:paraId="31F5D7E9"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lastRenderedPageBreak/>
        <w:drawing>
          <wp:inline distT="0" distB="0" distL="0" distR="0" wp14:anchorId="78CBD5CA" wp14:editId="3ED5A995">
            <wp:extent cx="5500703" cy="4173277"/>
            <wp:effectExtent l="9525" t="9525" r="9525" b="9525"/>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r="1031" b="14681"/>
                    <a:stretch>
                      <a:fillRect/>
                    </a:stretch>
                  </pic:blipFill>
                  <pic:spPr>
                    <a:xfrm>
                      <a:off x="0" y="0"/>
                      <a:ext cx="5500703" cy="4173277"/>
                    </a:xfrm>
                    <a:prstGeom prst="rect">
                      <a:avLst/>
                    </a:prstGeom>
                    <a:ln w="9525">
                      <a:solidFill>
                        <a:srgbClr val="000000"/>
                      </a:solidFill>
                      <a:prstDash val="solid"/>
                    </a:ln>
                  </pic:spPr>
                </pic:pic>
              </a:graphicData>
            </a:graphic>
          </wp:inline>
        </w:drawing>
      </w:r>
    </w:p>
    <w:p w14:paraId="3F68D931"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Por lo anteriormente analizado en este punto, se determina </w:t>
      </w:r>
      <w:proofErr w:type="gramStart"/>
      <w:r w:rsidRPr="00416015">
        <w:rPr>
          <w:rFonts w:ascii="Palatino Linotype" w:eastAsia="Palatino Linotype" w:hAnsi="Palatino Linotype" w:cs="Palatino Linotype"/>
          <w:sz w:val="22"/>
          <w:szCs w:val="22"/>
        </w:rPr>
        <w:t>que</w:t>
      </w:r>
      <w:proofErr w:type="gramEnd"/>
      <w:r w:rsidRPr="00416015">
        <w:rPr>
          <w:rFonts w:ascii="Palatino Linotype" w:eastAsia="Palatino Linotype" w:hAnsi="Palatino Linotype" w:cs="Palatino Linotype"/>
          <w:sz w:val="22"/>
          <w:szCs w:val="22"/>
        </w:rPr>
        <w:t xml:space="preserve"> si bien es cierto, la respuesta inicial del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no era suficiente para tener por satisfecho lo relativo a las facturas, con el pronunciamiento otorgado en el alcance al informe justificado, se señala de manera clara y precisa los pasos a seguir para que el particular pueda consultar la información que obra en cada uno de los registros de los contratos celebrados durante los meses de noviembre y diciembre de 2024.</w:t>
      </w:r>
    </w:p>
    <w:p w14:paraId="3460F495" w14:textId="77777777" w:rsidR="007E6EBE" w:rsidRPr="00416015" w:rsidRDefault="00BA3E20">
      <w:pPr>
        <w:pBdr>
          <w:top w:val="nil"/>
          <w:left w:val="nil"/>
          <w:bottom w:val="nil"/>
          <w:right w:val="nil"/>
          <w:between w:val="nil"/>
        </w:pBdr>
        <w:spacing w:line="360" w:lineRule="auto"/>
        <w:jc w:val="both"/>
        <w:rPr>
          <w:color w:val="000000"/>
          <w:sz w:val="22"/>
          <w:szCs w:val="22"/>
        </w:rPr>
      </w:pPr>
      <w:r w:rsidRPr="00416015">
        <w:rPr>
          <w:rFonts w:ascii="Palatino Linotype" w:eastAsia="Palatino Linotype" w:hAnsi="Palatino Linotype" w:cs="Palatino Linotype"/>
          <w:color w:val="000000"/>
          <w:sz w:val="22"/>
          <w:szCs w:val="22"/>
        </w:rPr>
        <w:t xml:space="preserve">Por consiguiente, se afirma que este pronunciamiento se emitió conforme lo establecido por los artículos 11 y 161 de la Ley de Transparencia y Acceso a la Información Pública del Estado </w:t>
      </w:r>
      <w:r w:rsidRPr="00416015">
        <w:rPr>
          <w:rFonts w:ascii="Palatino Linotype" w:eastAsia="Palatino Linotype" w:hAnsi="Palatino Linotype" w:cs="Palatino Linotype"/>
          <w:color w:val="000000"/>
          <w:sz w:val="22"/>
          <w:szCs w:val="22"/>
        </w:rPr>
        <w:lastRenderedPageBreak/>
        <w:t>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693D26C" w14:textId="77777777" w:rsidR="007E6EBE" w:rsidRPr="00416015" w:rsidRDefault="007E6EBE">
      <w:pPr>
        <w:spacing w:line="360" w:lineRule="auto"/>
      </w:pPr>
    </w:p>
    <w:p w14:paraId="6FFC27FD" w14:textId="77777777" w:rsidR="007E6EBE" w:rsidRPr="00416015" w:rsidRDefault="00BA3E20">
      <w:pPr>
        <w:pBdr>
          <w:top w:val="nil"/>
          <w:left w:val="nil"/>
          <w:bottom w:val="nil"/>
          <w:right w:val="nil"/>
          <w:between w:val="nil"/>
        </w:pBdr>
        <w:ind w:left="567" w:right="1276"/>
        <w:jc w:val="both"/>
        <w:rPr>
          <w:color w:val="000000"/>
        </w:rPr>
      </w:pPr>
      <w:r w:rsidRPr="00416015">
        <w:rPr>
          <w:rFonts w:ascii="Palatino Linotype" w:eastAsia="Palatino Linotype" w:hAnsi="Palatino Linotype" w:cs="Palatino Linotype"/>
          <w:b/>
          <w:i/>
          <w:color w:val="000000"/>
          <w:sz w:val="22"/>
          <w:szCs w:val="22"/>
        </w:rPr>
        <w:t>“Artículo 11.</w:t>
      </w:r>
      <w:r w:rsidRPr="00416015">
        <w:rPr>
          <w:rFonts w:ascii="Palatino Linotype" w:eastAsia="Palatino Linotype" w:hAnsi="Palatino Linotype" w:cs="Palatino Linotype"/>
          <w:i/>
          <w:color w:val="000000"/>
          <w:sz w:val="22"/>
          <w:szCs w:val="22"/>
        </w:rPr>
        <w:t xml:space="preserve"> </w:t>
      </w:r>
      <w:r w:rsidRPr="00416015">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416015">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3796FBF0" w14:textId="77777777" w:rsidR="007E6EBE" w:rsidRPr="00416015" w:rsidRDefault="00BA3E20">
      <w:pPr>
        <w:pBdr>
          <w:top w:val="nil"/>
          <w:left w:val="nil"/>
          <w:bottom w:val="nil"/>
          <w:right w:val="nil"/>
          <w:between w:val="nil"/>
        </w:pBdr>
        <w:ind w:left="567" w:right="1276"/>
        <w:jc w:val="both"/>
        <w:rPr>
          <w:color w:val="000000"/>
        </w:rPr>
      </w:pPr>
      <w:r w:rsidRPr="00416015">
        <w:rPr>
          <w:rFonts w:ascii="Palatino Linotype" w:eastAsia="Palatino Linotype" w:hAnsi="Palatino Linotype" w:cs="Palatino Linotype"/>
          <w:i/>
          <w:color w:val="000000"/>
          <w:sz w:val="22"/>
          <w:szCs w:val="22"/>
        </w:rPr>
        <w:t>[…]</w:t>
      </w:r>
    </w:p>
    <w:p w14:paraId="364BF6BD" w14:textId="77777777" w:rsidR="007E6EBE" w:rsidRPr="00416015" w:rsidRDefault="007E6EBE">
      <w:pPr>
        <w:ind w:right="1276"/>
      </w:pPr>
    </w:p>
    <w:p w14:paraId="1B456E41" w14:textId="77777777" w:rsidR="007E6EBE" w:rsidRPr="00416015" w:rsidRDefault="00BA3E20">
      <w:pPr>
        <w:pBdr>
          <w:top w:val="nil"/>
          <w:left w:val="nil"/>
          <w:bottom w:val="nil"/>
          <w:right w:val="nil"/>
          <w:between w:val="nil"/>
        </w:pBdr>
        <w:ind w:left="567" w:right="1276"/>
        <w:jc w:val="both"/>
        <w:rPr>
          <w:color w:val="000000"/>
        </w:rPr>
      </w:pPr>
      <w:r w:rsidRPr="00416015">
        <w:rPr>
          <w:rFonts w:ascii="Palatino Linotype" w:eastAsia="Palatino Linotype" w:hAnsi="Palatino Linotype" w:cs="Palatino Linotype"/>
          <w:b/>
          <w:i/>
          <w:color w:val="000000"/>
          <w:sz w:val="22"/>
          <w:szCs w:val="22"/>
        </w:rPr>
        <w:t>Artículo 161.</w:t>
      </w:r>
      <w:r w:rsidRPr="00416015">
        <w:rPr>
          <w:rFonts w:ascii="Palatino Linotype" w:eastAsia="Palatino Linotype" w:hAnsi="Palatino Linotype" w:cs="Palatino Linotype"/>
          <w:i/>
          <w:color w:val="000000"/>
          <w:sz w:val="22"/>
          <w:szCs w:val="22"/>
        </w:rPr>
        <w:t xml:space="preserve"> </w:t>
      </w:r>
      <w:r w:rsidRPr="00416015">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416015">
        <w:rPr>
          <w:rFonts w:ascii="Palatino Linotype" w:eastAsia="Palatino Linotype" w:hAnsi="Palatino Linotype" w:cs="Palatino Linotype"/>
          <w:i/>
          <w:color w:val="000000"/>
          <w:sz w:val="22"/>
          <w:szCs w:val="22"/>
        </w:rPr>
        <w:t xml:space="preserve"> en medios impresos, tales como libros, compendios, trípticos, registros públicos, </w:t>
      </w:r>
      <w:r w:rsidRPr="00416015">
        <w:rPr>
          <w:rFonts w:ascii="Palatino Linotype" w:eastAsia="Palatino Linotype" w:hAnsi="Palatino Linotype" w:cs="Palatino Linotype"/>
          <w:b/>
          <w:i/>
          <w:color w:val="000000"/>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51A372ED" w14:textId="77777777" w:rsidR="007E6EBE" w:rsidRPr="00416015" w:rsidRDefault="007E6EBE"/>
    <w:p w14:paraId="067CDA99" w14:textId="77777777" w:rsidR="007E6EBE" w:rsidRPr="00416015" w:rsidRDefault="00BA3E20">
      <w:pPr>
        <w:pBdr>
          <w:top w:val="nil"/>
          <w:left w:val="nil"/>
          <w:bottom w:val="nil"/>
          <w:right w:val="nil"/>
          <w:between w:val="nil"/>
        </w:pBdr>
        <w:spacing w:line="360" w:lineRule="auto"/>
        <w:jc w:val="both"/>
        <w:rPr>
          <w:color w:val="000000"/>
          <w:sz w:val="22"/>
          <w:szCs w:val="22"/>
        </w:rPr>
      </w:pPr>
      <w:r w:rsidRPr="00416015">
        <w:rPr>
          <w:rFonts w:ascii="Palatino Linotype" w:eastAsia="Palatino Linotype" w:hAnsi="Palatino Linotype" w:cs="Palatino Linotype"/>
          <w:color w:val="000000"/>
          <w:sz w:val="22"/>
          <w:szCs w:val="22"/>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EDAD3A7" w14:textId="77777777" w:rsidR="007E6EBE" w:rsidRPr="00416015" w:rsidRDefault="007E6EBE">
      <w:pPr>
        <w:spacing w:line="360" w:lineRule="auto"/>
        <w:rPr>
          <w:sz w:val="22"/>
          <w:szCs w:val="22"/>
        </w:rPr>
      </w:pPr>
    </w:p>
    <w:p w14:paraId="2BF6B717" w14:textId="77777777" w:rsidR="007E6EBE" w:rsidRPr="00416015" w:rsidRDefault="007E6EBE">
      <w:pPr>
        <w:spacing w:line="360" w:lineRule="auto"/>
        <w:rPr>
          <w:sz w:val="22"/>
          <w:szCs w:val="22"/>
        </w:rPr>
      </w:pPr>
    </w:p>
    <w:p w14:paraId="32DAA5ED" w14:textId="77777777" w:rsidR="007E6EBE" w:rsidRPr="00416015" w:rsidRDefault="00BA3E20">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lastRenderedPageBreak/>
        <w:t>La fuente</w:t>
      </w:r>
    </w:p>
    <w:p w14:paraId="091C5443" w14:textId="77777777" w:rsidR="007E6EBE" w:rsidRPr="00416015" w:rsidRDefault="00BA3E20">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El lugar y</w:t>
      </w:r>
    </w:p>
    <w:p w14:paraId="1ED935AE" w14:textId="77777777" w:rsidR="007E6EBE" w:rsidRPr="00416015" w:rsidRDefault="00BA3E20">
      <w:pPr>
        <w:numPr>
          <w:ilvl w:val="0"/>
          <w:numId w:val="6"/>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La forma </w:t>
      </w:r>
    </w:p>
    <w:p w14:paraId="0DED158D" w14:textId="77777777" w:rsidR="007E6EBE" w:rsidRPr="00416015" w:rsidRDefault="007E6EBE">
      <w:pPr>
        <w:rPr>
          <w:sz w:val="22"/>
          <w:szCs w:val="22"/>
        </w:rPr>
      </w:pPr>
    </w:p>
    <w:p w14:paraId="5B6084AF" w14:textId="77777777" w:rsidR="007E6EBE" w:rsidRPr="00416015" w:rsidRDefault="00BA3E20">
      <w:pPr>
        <w:pBdr>
          <w:top w:val="nil"/>
          <w:left w:val="nil"/>
          <w:bottom w:val="nil"/>
          <w:right w:val="nil"/>
          <w:between w:val="nil"/>
        </w:pBdr>
        <w:jc w:val="both"/>
        <w:rPr>
          <w:color w:val="000000"/>
          <w:sz w:val="22"/>
          <w:szCs w:val="22"/>
        </w:rPr>
      </w:pPr>
      <w:r w:rsidRPr="00416015">
        <w:rPr>
          <w:rFonts w:ascii="Palatino Linotype" w:eastAsia="Palatino Linotype" w:hAnsi="Palatino Linotype" w:cs="Palatino Linotype"/>
          <w:color w:val="000000"/>
          <w:sz w:val="22"/>
          <w:szCs w:val="22"/>
        </w:rPr>
        <w:t>Asimismo, se establece que la fuente de la información deberá ser:</w:t>
      </w:r>
    </w:p>
    <w:p w14:paraId="20CF0BD6" w14:textId="77777777" w:rsidR="007E6EBE" w:rsidRPr="00416015" w:rsidRDefault="00BA3E20">
      <w:pPr>
        <w:rPr>
          <w:sz w:val="22"/>
          <w:szCs w:val="22"/>
        </w:rPr>
      </w:pPr>
      <w:r w:rsidRPr="00416015">
        <w:rPr>
          <w:sz w:val="22"/>
          <w:szCs w:val="22"/>
        </w:rPr>
        <w:br/>
      </w:r>
    </w:p>
    <w:p w14:paraId="4205D78D" w14:textId="77777777" w:rsidR="007E6EBE" w:rsidRPr="00416015" w:rsidRDefault="00BA3E20">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Precisa</w:t>
      </w:r>
    </w:p>
    <w:p w14:paraId="752B08A6" w14:textId="77777777" w:rsidR="007E6EBE" w:rsidRPr="00416015" w:rsidRDefault="00BA3E20">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Concreta</w:t>
      </w:r>
    </w:p>
    <w:p w14:paraId="0EF7ACA3" w14:textId="77777777" w:rsidR="007E6EBE" w:rsidRPr="00416015" w:rsidRDefault="00BA3E20">
      <w:pPr>
        <w:numPr>
          <w:ilvl w:val="0"/>
          <w:numId w:val="5"/>
        </w:numPr>
        <w:pBdr>
          <w:top w:val="nil"/>
          <w:left w:val="nil"/>
          <w:bottom w:val="nil"/>
          <w:right w:val="nil"/>
          <w:between w:val="nil"/>
        </w:pBdr>
        <w:ind w:left="426" w:right="1276"/>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color w:val="000000"/>
          <w:sz w:val="22"/>
          <w:szCs w:val="22"/>
        </w:rPr>
        <w:t>Y no debe implicar que el solicitante realice una búsqueda en toda la información que se encuentre disponible</w:t>
      </w:r>
      <w:r w:rsidRPr="00416015">
        <w:rPr>
          <w:rFonts w:ascii="Palatino Linotype" w:eastAsia="Palatino Linotype" w:hAnsi="Palatino Linotype" w:cs="Palatino Linotype"/>
          <w:color w:val="000000"/>
          <w:sz w:val="22"/>
          <w:szCs w:val="22"/>
        </w:rPr>
        <w:t>.</w:t>
      </w:r>
    </w:p>
    <w:p w14:paraId="4EA6A515" w14:textId="77777777" w:rsidR="007E6EBE" w:rsidRPr="00416015" w:rsidRDefault="007E6EBE">
      <w:pPr>
        <w:rPr>
          <w:sz w:val="22"/>
          <w:szCs w:val="22"/>
        </w:rPr>
      </w:pPr>
    </w:p>
    <w:p w14:paraId="6A17F57C" w14:textId="77777777" w:rsidR="007E6EBE" w:rsidRPr="00416015" w:rsidRDefault="00BA3E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color w:val="000000"/>
          <w:sz w:val="22"/>
          <w:szCs w:val="22"/>
        </w:rPr>
        <w:t xml:space="preserve">Imperativos legales que establecen el procedimiento que debe seguir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para que pueda tomarse como válida su orientación sobre la forma en que puede consultar la información requerida, y que, en el caso en concreto, si acontece; en virtud de que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indica la dirección electrónica para consultar la información y de manera específica otorga los pasos para consultar lo relativo a las facturas, lo que implica que  la fuente es precisa y  concreta, por lo tanto, </w:t>
      </w:r>
      <w:r w:rsidRPr="00416015">
        <w:rPr>
          <w:rFonts w:ascii="Palatino Linotype" w:eastAsia="Palatino Linotype" w:hAnsi="Palatino Linotype" w:cs="Palatino Linotype"/>
          <w:sz w:val="22"/>
          <w:szCs w:val="22"/>
        </w:rPr>
        <w:t xml:space="preserve">se tiene por atendido este punto, pues se insiste, con las indicaciones proporcionadas es posible obtener la información solicitada, es decir, la factura; asimismo, debe precisarse que estos documentos dan cuenta de que el pago con motivo de la celebración del contrato fue erogado, lo anterior encuentra sustento en que las propias facturas cuentan con un sello que acredita que dicho monto ya fue cubierto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en su carácter de contratante, por lo tanto, se estima que con estos soportes documentales se da cuenta de  los pagos realizados con motivo del contrato y a su vez se obtiene el documento fuente solicitado que es la factura.</w:t>
      </w:r>
    </w:p>
    <w:p w14:paraId="3431949A"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3. De las garantías generadas con motivo de la celebración de los contratos, remitidos en respuesta.</w:t>
      </w:r>
    </w:p>
    <w:p w14:paraId="6D1EA9C4" w14:textId="77777777" w:rsidR="007E6EBE" w:rsidRPr="00416015" w:rsidRDefault="00BA3E20">
      <w:pPr>
        <w:spacing w:before="240" w:after="240" w:line="360" w:lineRule="auto"/>
        <w:ind w:right="49"/>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sz w:val="22"/>
          <w:szCs w:val="22"/>
        </w:rPr>
        <w:lastRenderedPageBreak/>
        <w:t xml:space="preserve">Finalmente, por lo que respecta a las garantías generadas con motivo de la celebración de contratos, tenemos </w:t>
      </w:r>
      <w:proofErr w:type="gramStart"/>
      <w:r w:rsidRPr="00416015">
        <w:rPr>
          <w:rFonts w:ascii="Palatino Linotype" w:eastAsia="Palatino Linotype" w:hAnsi="Palatino Linotype" w:cs="Palatino Linotype"/>
          <w:sz w:val="22"/>
          <w:szCs w:val="22"/>
        </w:rPr>
        <w:t>que</w:t>
      </w:r>
      <w:proofErr w:type="gramEnd"/>
      <w:r w:rsidRPr="00416015">
        <w:rPr>
          <w:rFonts w:ascii="Palatino Linotype" w:eastAsia="Palatino Linotype" w:hAnsi="Palatino Linotype" w:cs="Palatino Linotype"/>
          <w:sz w:val="22"/>
          <w:szCs w:val="22"/>
        </w:rPr>
        <w:t xml:space="preserve"> en respuesta, la persona servidora pública habilitada de la Dirección General de Administración y Finanzas, manifestó que “</w:t>
      </w:r>
      <w:r w:rsidRPr="00416015">
        <w:rPr>
          <w:rFonts w:ascii="Palatino Linotype" w:eastAsia="Palatino Linotype" w:hAnsi="Palatino Linotype" w:cs="Palatino Linotype"/>
          <w:b/>
          <w:i/>
          <w:sz w:val="22"/>
          <w:szCs w:val="22"/>
        </w:rPr>
        <w:t>Por lo que hace a las garantías, se hace de su conocimiento que se encuentran en proceso.”</w:t>
      </w:r>
    </w:p>
    <w:p w14:paraId="4C63AB87"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Posteriormente en informe justificado, la persona servidora pública habilitada de la Dirección General de Administración y Finanzas, enlista los contratos en los cuales se otorgó la garantía:</w:t>
      </w:r>
    </w:p>
    <w:p w14:paraId="26B84677"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drawing>
          <wp:inline distT="0" distB="0" distL="0" distR="0" wp14:anchorId="25D79511" wp14:editId="5A7E8225">
            <wp:extent cx="4732353" cy="2423688"/>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732353" cy="2423688"/>
                    </a:xfrm>
                    <a:prstGeom prst="rect">
                      <a:avLst/>
                    </a:prstGeom>
                    <a:ln/>
                  </pic:spPr>
                </pic:pic>
              </a:graphicData>
            </a:graphic>
          </wp:inline>
        </w:drawing>
      </w:r>
    </w:p>
    <w:p w14:paraId="067416B4"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lastRenderedPageBreak/>
        <w:drawing>
          <wp:inline distT="0" distB="0" distL="0" distR="0" wp14:anchorId="42539E88" wp14:editId="1CF5A020">
            <wp:extent cx="4593833" cy="2816598"/>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593833" cy="2816598"/>
                    </a:xfrm>
                    <a:prstGeom prst="rect">
                      <a:avLst/>
                    </a:prstGeom>
                    <a:ln/>
                  </pic:spPr>
                </pic:pic>
              </a:graphicData>
            </a:graphic>
          </wp:inline>
        </w:drawing>
      </w:r>
    </w:p>
    <w:p w14:paraId="2E97B834"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Asimismo, envía estas garantías en versión pública:</w:t>
      </w:r>
    </w:p>
    <w:p w14:paraId="0D82814E" w14:textId="77777777" w:rsidR="007E6EBE" w:rsidRPr="00416015" w:rsidRDefault="00BA3E20">
      <w:pPr>
        <w:spacing w:before="240" w:after="240" w:line="360" w:lineRule="auto"/>
        <w:ind w:right="49"/>
        <w:jc w:val="center"/>
        <w:rPr>
          <w:rFonts w:ascii="Palatino Linotype" w:eastAsia="Palatino Linotype" w:hAnsi="Palatino Linotype" w:cs="Palatino Linotype"/>
          <w:sz w:val="22"/>
          <w:szCs w:val="22"/>
        </w:rPr>
      </w:pPr>
      <w:r w:rsidRPr="00416015">
        <w:rPr>
          <w:rFonts w:ascii="Palatino Linotype" w:eastAsia="Palatino Linotype" w:hAnsi="Palatino Linotype" w:cs="Palatino Linotype"/>
          <w:noProof/>
          <w:sz w:val="22"/>
          <w:szCs w:val="22"/>
        </w:rPr>
        <w:lastRenderedPageBreak/>
        <w:drawing>
          <wp:inline distT="0" distB="0" distL="0" distR="0" wp14:anchorId="160CA180" wp14:editId="7D9C75FA">
            <wp:extent cx="4522521" cy="3890905"/>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522521" cy="3890905"/>
                    </a:xfrm>
                    <a:prstGeom prst="rect">
                      <a:avLst/>
                    </a:prstGeom>
                    <a:ln/>
                  </pic:spPr>
                </pic:pic>
              </a:graphicData>
            </a:graphic>
          </wp:inline>
        </w:drawing>
      </w:r>
    </w:p>
    <w:p w14:paraId="62A73BB7"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En tal tesitura, resulta pertinente traer a colación lo dispuesto por la Ley de Contratación Pública del Estado de México y Municipios y el Reglamento de la Ley de Contratación Pública del Estado de México y Municipios:</w:t>
      </w:r>
    </w:p>
    <w:p w14:paraId="44AAC607"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Ley de Contratación Pública del Estado de México y Municipios:</w:t>
      </w:r>
    </w:p>
    <w:p w14:paraId="667BDF9F"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“CAPITULO NOVENO</w:t>
      </w:r>
    </w:p>
    <w:p w14:paraId="393EB1E0"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DE LAS GARANTÍAS</w:t>
      </w:r>
    </w:p>
    <w:p w14:paraId="353AB36B" w14:textId="77777777" w:rsidR="007E6EBE" w:rsidRPr="00416015" w:rsidRDefault="00BA3E20">
      <w:pPr>
        <w:spacing w:before="240" w:after="240" w:line="276" w:lineRule="auto"/>
        <w:ind w:left="567" w:right="1134"/>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i/>
          <w:sz w:val="22"/>
          <w:szCs w:val="22"/>
        </w:rPr>
        <w:lastRenderedPageBreak/>
        <w:t xml:space="preserve">Artículo 76.- </w:t>
      </w:r>
      <w:r w:rsidRPr="00416015">
        <w:rPr>
          <w:rFonts w:ascii="Palatino Linotype" w:eastAsia="Palatino Linotype" w:hAnsi="Palatino Linotype" w:cs="Palatino Linotype"/>
          <w:b/>
          <w:i/>
          <w:sz w:val="22"/>
          <w:szCs w:val="22"/>
        </w:rPr>
        <w:t>Los proveedores o prestadores de servicios que celebren los contratos de adquisiciones y servicios a que se refiere esta Ley deberán garantizar, a favor de la contratante:</w:t>
      </w:r>
    </w:p>
    <w:p w14:paraId="2801EFEE"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 El anticipo que reciban.</w:t>
      </w:r>
    </w:p>
    <w:p w14:paraId="6D5E520D"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 Los bienes o materiales que reciban.</w:t>
      </w:r>
    </w:p>
    <w:p w14:paraId="567EBFB2"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III. El cumplimiento de los contratos.</w:t>
      </w:r>
    </w:p>
    <w:p w14:paraId="578CFCFC"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IV. En su caso, los defectos o vicios ocultos de los bienes.</w:t>
      </w:r>
    </w:p>
    <w:p w14:paraId="56D229E9"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Las garantías a que se refieren las fracciones I y II deberán constituirse por la totalidad del monto del anticipo o del importe de los bienes o materiales. En el caso de la fracción III, las garantías se constituirán por el diez por ciento del importe total del contrato, sin incluir el impuesto al Valor Agregado, y en la hipótesis de la fracción IV, las garantías se constituirán hasta por el diez por ciento del importe total del contrato, sin incluir el Impuesto al Valor Agregado.</w:t>
      </w:r>
    </w:p>
    <w:p w14:paraId="579EABBB"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Tratándose de contratos abiertos, la garantía de cumplimiento se constituirá por el diez por ciento de la cantidad máxima o del importe del plazo máximo, y la garantía de defectos o vicios ocultos se constituirá hasta por el diez por ciento de la cantidad máxima o del importe del plazo máximo, sin incluir el Impuesto al Valor Agregado.</w:t>
      </w:r>
    </w:p>
    <w:p w14:paraId="7D2F07D6"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Las clases, constitución, reajustes y devolución de las garantías a que se refiere este artículo, serán establecidas por el reglamento de esta Ley.</w:t>
      </w:r>
    </w:p>
    <w:p w14:paraId="104C93F5"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Artículo 77. Las contratantes podrán exceptuar a los proveedores o prestadores de servicios de otorgar la garantía de cumplimiento del contrato, siempre que suministren antes de la suscripción del contrato la totalidad de los bienes o de los servicios, y el monto del contrato no exceda de dos mil veces el valor diario de la Unidad de Medida y Actualización vigente.”</w:t>
      </w:r>
    </w:p>
    <w:p w14:paraId="64D4D12E" w14:textId="77777777" w:rsidR="007E6EBE" w:rsidRPr="00416015" w:rsidRDefault="007E6EBE">
      <w:pPr>
        <w:spacing w:before="240" w:after="240" w:line="276" w:lineRule="auto"/>
        <w:ind w:left="567" w:right="1134"/>
        <w:jc w:val="both"/>
        <w:rPr>
          <w:rFonts w:ascii="Palatino Linotype" w:eastAsia="Palatino Linotype" w:hAnsi="Palatino Linotype" w:cs="Palatino Linotype"/>
          <w:i/>
          <w:sz w:val="22"/>
          <w:szCs w:val="22"/>
        </w:rPr>
      </w:pPr>
    </w:p>
    <w:p w14:paraId="5369ADDF"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lastRenderedPageBreak/>
        <w:t>Reglamento de la Ley de Contratación Pública del Estado de México y Municipios:</w:t>
      </w:r>
    </w:p>
    <w:p w14:paraId="18402DE3"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w:t>
      </w:r>
      <w:r w:rsidRPr="00416015">
        <w:rPr>
          <w:rFonts w:ascii="Palatino Linotype" w:eastAsia="Palatino Linotype" w:hAnsi="Palatino Linotype" w:cs="Palatino Linotype"/>
          <w:b/>
          <w:i/>
          <w:sz w:val="22"/>
          <w:szCs w:val="22"/>
        </w:rPr>
        <w:t>Artículo 128.- Las garantías a que se refiere la Ley serán exhibidas</w:t>
      </w:r>
      <w:r w:rsidRPr="00416015">
        <w:rPr>
          <w:rFonts w:ascii="Palatino Linotype" w:eastAsia="Palatino Linotype" w:hAnsi="Palatino Linotype" w:cs="Palatino Linotype"/>
          <w:i/>
          <w:sz w:val="22"/>
          <w:szCs w:val="22"/>
        </w:rPr>
        <w:t>:</w:t>
      </w:r>
    </w:p>
    <w:p w14:paraId="712D2A30"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 La de anticipo y por los bienes o materiales que reciban los proveedores, dentro del plazo de diez días hábiles posteriores a la suscripción del contrato;</w:t>
      </w:r>
    </w:p>
    <w:p w14:paraId="6CB873A3"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 La de cumplimiento, dentro del plazo de diez días hábiles posteriores a la suscripción del contrato respectivo, salvo que el objeto del contrato se cumpla dentro de dicho plazo;</w:t>
      </w:r>
    </w:p>
    <w:p w14:paraId="7B392C52"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III. La de defectos o vicios ocultos de los bienes, dentro del plazo de cinco días hábiles siguientes a la recepción de los bienes;</w:t>
      </w:r>
    </w:p>
    <w:p w14:paraId="5B664C95"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IV. La derivada de la instancia de inconformidad, será exhibida al momento de solicitar la suspensión del acto motivo de la inconformidad; la de la contra garantía, dentro de los tres días siguientes al que tenga conocimiento el adjudicado afectado con la suspensión solicitada por el inconforme; y</w:t>
      </w:r>
    </w:p>
    <w:p w14:paraId="7E94E7A3"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V. La de seriedad de la postura, en el acto de presentación, apertura y evaluación de posturas, dictamen y fallo de adjudicación.</w:t>
      </w:r>
    </w:p>
    <w:p w14:paraId="31874D8E"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CAPÍTULO SEGUNDO</w:t>
      </w:r>
    </w:p>
    <w:p w14:paraId="2EB70572"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DE LA CONSTITUCIÓN DE LAS GARANTÍAS</w:t>
      </w:r>
    </w:p>
    <w:p w14:paraId="3E58BD7B"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Artículo 129.- Las garantías se constituirán, en su caso, a favor del Gobierno del Estado de México, entidad, tribunal administrativo o municipio convocante.</w:t>
      </w:r>
    </w:p>
    <w:p w14:paraId="6D69F411"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Las garantías a que se refiere la Ley, únicamente se harán efectivas por el concepto garantizado.</w:t>
      </w:r>
    </w:p>
    <w:p w14:paraId="14C52EF5" w14:textId="77777777" w:rsidR="007E6EBE" w:rsidRPr="00416015" w:rsidRDefault="00BA3E20">
      <w:pPr>
        <w:spacing w:before="240" w:after="240" w:line="276" w:lineRule="auto"/>
        <w:ind w:left="567" w:right="1134"/>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i/>
          <w:sz w:val="22"/>
          <w:szCs w:val="22"/>
        </w:rPr>
        <w:lastRenderedPageBreak/>
        <w:t xml:space="preserve">Artículo 130.- </w:t>
      </w:r>
      <w:r w:rsidRPr="00416015">
        <w:rPr>
          <w:rFonts w:ascii="Palatino Linotype" w:eastAsia="Palatino Linotype" w:hAnsi="Palatino Linotype" w:cs="Palatino Linotype"/>
          <w:b/>
          <w:i/>
          <w:sz w:val="22"/>
          <w:szCs w:val="22"/>
        </w:rPr>
        <w:t>Las garantías deberán exhibirse a través de fianza, cheque certificado o cheque de caja, en su caso, otorgadas por institución debidamente autorizada y estarán vigentes:</w:t>
      </w:r>
    </w:p>
    <w:p w14:paraId="6BA72D5D"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 La de anticipo, hasta la total amortización del mismo;</w:t>
      </w:r>
    </w:p>
    <w:p w14:paraId="07844A1D"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 La de bienes o materiales que reciban los proveedores o prestadores, hasta la devolución o pago a satisfacción del bien, producto o servicio;</w:t>
      </w:r>
    </w:p>
    <w:p w14:paraId="791C01CA"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III. La de cumplimiento, hasta la total extinción de las obligaciones pactadas a cargo del proveedor o prestador del servicio;</w:t>
      </w:r>
    </w:p>
    <w:p w14:paraId="427D989F"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IV. La de defectos o vicios ocultos, por lo menos un año contado a partir de la recepción de los bienes, atendiendo a su propia naturaleza; y</w:t>
      </w:r>
    </w:p>
    <w:p w14:paraId="6754D783" w14:textId="77777777" w:rsidR="007E6EBE" w:rsidRPr="00416015" w:rsidRDefault="00BA3E20">
      <w:pPr>
        <w:spacing w:before="240" w:after="240" w:line="276" w:lineRule="auto"/>
        <w:ind w:left="567" w:right="1134"/>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V. La derivada de la instancia de inconformidad, hasta que se resuelva en definitiva dicho procedimiento.”</w:t>
      </w:r>
    </w:p>
    <w:p w14:paraId="3CDCAEEE"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De los preceptos legales previamente insertados, se observa que las garantías son montos que reciben los contratantes por parte de los proveedores o prestadores de servicios y estas pueden constar en fianzas, cheques o por una institución debidamente autorizada; cabe resaltar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vigentes a la fecha de la solicitud, que deben de difundir los sujetos obligados en los portales de Internet y en la Plataforma Nacional de Transparencia, contemplan en la fracción </w:t>
      </w:r>
      <w:proofErr w:type="spellStart"/>
      <w:r w:rsidRPr="00416015">
        <w:rPr>
          <w:rFonts w:ascii="Palatino Linotype" w:eastAsia="Palatino Linotype" w:hAnsi="Palatino Linotype" w:cs="Palatino Linotype"/>
          <w:b/>
          <w:i/>
          <w:sz w:val="22"/>
          <w:szCs w:val="22"/>
        </w:rPr>
        <w:t>XXVIII.La</w:t>
      </w:r>
      <w:proofErr w:type="spellEnd"/>
      <w:r w:rsidRPr="00416015">
        <w:rPr>
          <w:rFonts w:ascii="Palatino Linotype" w:eastAsia="Palatino Linotype" w:hAnsi="Palatino Linotype" w:cs="Palatino Linotype"/>
          <w:b/>
          <w:i/>
          <w:sz w:val="22"/>
          <w:szCs w:val="22"/>
        </w:rPr>
        <w:t xml:space="preserve"> información sobre los resultados sobre procedimientos de adjudicación directa, invitación restringida y licitación de cualquier naturaleza, </w:t>
      </w:r>
      <w:r w:rsidRPr="00416015">
        <w:rPr>
          <w:rFonts w:ascii="Palatino Linotype" w:eastAsia="Palatino Linotype" w:hAnsi="Palatino Linotype" w:cs="Palatino Linotype"/>
          <w:sz w:val="22"/>
          <w:szCs w:val="22"/>
        </w:rPr>
        <w:t>que se publicará lo relativo a las garantías.</w:t>
      </w:r>
    </w:p>
    <w:p w14:paraId="792FC157" w14:textId="77777777" w:rsidR="007E6EBE" w:rsidRPr="00416015" w:rsidRDefault="007E6EBE">
      <w:pPr>
        <w:spacing w:before="240" w:after="240" w:line="360" w:lineRule="auto"/>
        <w:jc w:val="both"/>
        <w:rPr>
          <w:rFonts w:ascii="Palatino Linotype" w:eastAsia="Palatino Linotype" w:hAnsi="Palatino Linotype" w:cs="Palatino Linotype"/>
          <w:sz w:val="22"/>
          <w:szCs w:val="22"/>
        </w:rPr>
      </w:pPr>
    </w:p>
    <w:p w14:paraId="3819217D"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lastRenderedPageBreak/>
        <w:t xml:space="preserve">Acotado lo anterior, sobre las garantías proporcionadas en versión pública, se observa que en estas se están testando los siguientes datos: </w:t>
      </w:r>
      <w:r w:rsidRPr="00416015">
        <w:rPr>
          <w:rFonts w:ascii="Palatino Linotype" w:eastAsia="Palatino Linotype" w:hAnsi="Palatino Linotype" w:cs="Palatino Linotype"/>
          <w:b/>
          <w:sz w:val="22"/>
          <w:szCs w:val="22"/>
        </w:rPr>
        <w:t xml:space="preserve">nombre de particular, firma de particular, número de cuenta de particular, </w:t>
      </w:r>
      <w:r w:rsidRPr="00416015">
        <w:rPr>
          <w:rFonts w:ascii="Palatino Linotype" w:eastAsia="Palatino Linotype" w:hAnsi="Palatino Linotype" w:cs="Palatino Linotype"/>
          <w:sz w:val="22"/>
          <w:szCs w:val="22"/>
        </w:rPr>
        <w:t>los cuales se analizan a continuación.</w:t>
      </w:r>
    </w:p>
    <w:p w14:paraId="37268E0E"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Nombres de particulares</w:t>
      </w:r>
    </w:p>
    <w:p w14:paraId="5D247A2A" w14:textId="77777777" w:rsidR="007E6EBE" w:rsidRPr="00416015" w:rsidRDefault="00BA3E2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2"/>
          <w:szCs w:val="22"/>
        </w:rPr>
      </w:pPr>
      <w:r w:rsidRPr="00416015">
        <w:rPr>
          <w:rFonts w:ascii="Palatino Linotype" w:eastAsia="Palatino Linotype" w:hAnsi="Palatino Linotype" w:cs="Palatino Linotype"/>
          <w:sz w:val="22"/>
          <w:szCs w:val="22"/>
        </w:rPr>
        <w:t xml:space="preserve">Dentro de las garantías, </w:t>
      </w:r>
      <w:r w:rsidRPr="00416015">
        <w:rPr>
          <w:rFonts w:ascii="Palatino Linotype" w:eastAsia="Palatino Linotype" w:hAnsi="Palatino Linotype" w:cs="Palatino Linotype"/>
          <w:b/>
          <w:sz w:val="22"/>
          <w:szCs w:val="22"/>
        </w:rPr>
        <w:t>se observa que se clasificaron nombres de gerentes de las aseguradoras</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los cuales no participaron en el contrato como proveedores</w:t>
      </w:r>
      <w:r w:rsidRPr="00416015">
        <w:rPr>
          <w:rFonts w:ascii="Palatino Linotype" w:eastAsia="Palatino Linotype" w:hAnsi="Palatino Linotype" w:cs="Palatino Linotype"/>
          <w:sz w:val="22"/>
          <w:szCs w:val="22"/>
        </w:rPr>
        <w:t>, por lo que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B6F773F" w14:textId="77777777" w:rsidR="007E6EBE" w:rsidRPr="00416015" w:rsidRDefault="00BA3E20">
      <w:pPr>
        <w:spacing w:before="240"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w:t>
      </w:r>
      <w:proofErr w:type="gramStart"/>
      <w:r w:rsidRPr="00416015">
        <w:rPr>
          <w:rFonts w:ascii="Palatino Linotype" w:eastAsia="Palatino Linotype" w:hAnsi="Palatino Linotype" w:cs="Palatino Linotype"/>
          <w:sz w:val="22"/>
          <w:szCs w:val="22"/>
        </w:rPr>
        <w:t>y</w:t>
      </w:r>
      <w:proofErr w:type="gramEnd"/>
      <w:r w:rsidRPr="00416015">
        <w:rPr>
          <w:rFonts w:ascii="Palatino Linotype" w:eastAsia="Palatino Linotype" w:hAnsi="Palatino Linotype" w:cs="Palatino Linotype"/>
          <w:sz w:val="22"/>
          <w:szCs w:val="22"/>
        </w:rPr>
        <w:t xml:space="preserve"> por tanto, procede su eliminación de las versiones públicas.</w:t>
      </w:r>
    </w:p>
    <w:p w14:paraId="5E3E8B7E"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 xml:space="preserve"> Firma de particular</w:t>
      </w:r>
    </w:p>
    <w:p w14:paraId="207A5849" w14:textId="77777777" w:rsidR="007E6EBE" w:rsidRPr="00416015" w:rsidRDefault="00BA3E20">
      <w:pPr>
        <w:spacing w:line="360" w:lineRule="auto"/>
        <w:ind w:right="51"/>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Dentro de las garantías, </w:t>
      </w:r>
      <w:r w:rsidRPr="00416015">
        <w:rPr>
          <w:rFonts w:ascii="Palatino Linotype" w:eastAsia="Palatino Linotype" w:hAnsi="Palatino Linotype" w:cs="Palatino Linotype"/>
          <w:b/>
          <w:sz w:val="22"/>
          <w:szCs w:val="22"/>
        </w:rPr>
        <w:t>se observa que se clasificaron nombres de gerentes de las aseguradoras</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los cuales no participaron en el contrato como proveedores</w:t>
      </w:r>
      <w:r w:rsidRPr="00416015">
        <w:rPr>
          <w:rFonts w:ascii="Palatino Linotype" w:eastAsia="Palatino Linotype" w:hAnsi="Palatino Linotype" w:cs="Palatino Linotype"/>
          <w:sz w:val="22"/>
          <w:szCs w:val="22"/>
        </w:rPr>
        <w:t xml:space="preserve">, por lo que resulta pertinente señalar que la firma es un conjunto de rasgos propios de su titular, un atributo de </w:t>
      </w:r>
      <w:r w:rsidRPr="00416015">
        <w:rPr>
          <w:rFonts w:ascii="Palatino Linotype" w:eastAsia="Palatino Linotype" w:hAnsi="Palatino Linotype" w:cs="Palatino Linotype"/>
          <w:sz w:val="22"/>
          <w:szCs w:val="22"/>
        </w:rPr>
        <w:lastRenderedPageBreak/>
        <w:t>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1099B77F" w14:textId="77777777" w:rsidR="007E6EBE" w:rsidRPr="00416015" w:rsidRDefault="00BA3E20">
      <w:pPr>
        <w:spacing w:before="240" w:after="240" w:line="360" w:lineRule="auto"/>
        <w:ind w:right="49"/>
        <w:jc w:val="both"/>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 xml:space="preserve">Número de cuenta de particular </w:t>
      </w:r>
    </w:p>
    <w:p w14:paraId="742147D8" w14:textId="77777777" w:rsidR="007E6EBE" w:rsidRPr="00416015" w:rsidRDefault="00BA3E20">
      <w:pPr>
        <w:spacing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Dentro de las garantías, se observan dos cheques en los que se testaron los números de cuenta, los cuales fueron testados por este Organismo Garante, en razón de que no se tiene certeza que pertenezcan a proveedores, en tal sentido, se estima que dicho dato se relaciona con hechos y actos de carácter económico, pues los mismos darían cuenta, de la relación que tiene una institución financiero con un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3BCE18F6" w14:textId="77777777" w:rsidR="007E6EBE" w:rsidRPr="00416015" w:rsidRDefault="007E6EBE">
      <w:pPr>
        <w:spacing w:line="360" w:lineRule="auto"/>
        <w:jc w:val="both"/>
        <w:rPr>
          <w:rFonts w:ascii="Palatino Linotype" w:eastAsia="Palatino Linotype" w:hAnsi="Palatino Linotype" w:cs="Palatino Linotype"/>
          <w:color w:val="000000"/>
          <w:sz w:val="22"/>
          <w:szCs w:val="22"/>
        </w:rPr>
      </w:pPr>
    </w:p>
    <w:p w14:paraId="6CA079FE" w14:textId="77777777" w:rsidR="007E6EBE" w:rsidRPr="00416015" w:rsidRDefault="00BA3E20">
      <w:pPr>
        <w:spacing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A mayor abundamiento, resulta necesario traer a colación el Criterio de Interpretación, de la Segunda Época, con número de registro SO/010/2017, emitido por el entonces Instituto Nacional de Transparencia, Acceso a la Información y Protección de Datos Personales, mismo que establece lo siguiente:</w:t>
      </w:r>
    </w:p>
    <w:p w14:paraId="6375034D" w14:textId="77777777" w:rsidR="007E6EBE" w:rsidRPr="00416015" w:rsidRDefault="007E6EBE">
      <w:pPr>
        <w:spacing w:line="360" w:lineRule="auto"/>
        <w:jc w:val="both"/>
        <w:rPr>
          <w:rFonts w:ascii="Palatino Linotype" w:eastAsia="Palatino Linotype" w:hAnsi="Palatino Linotype" w:cs="Palatino Linotype"/>
          <w:color w:val="000000"/>
          <w:sz w:val="22"/>
          <w:szCs w:val="22"/>
        </w:rPr>
      </w:pPr>
    </w:p>
    <w:p w14:paraId="1B0C8EE5" w14:textId="77777777" w:rsidR="007E6EBE" w:rsidRPr="00416015" w:rsidRDefault="00BA3E20">
      <w:pPr>
        <w:spacing w:line="276" w:lineRule="auto"/>
        <w:ind w:left="567" w:right="567"/>
        <w:jc w:val="both"/>
        <w:rPr>
          <w:rFonts w:ascii="Palatino Linotype" w:eastAsia="Palatino Linotype" w:hAnsi="Palatino Linotype" w:cs="Palatino Linotype"/>
          <w:i/>
          <w:color w:val="000000"/>
          <w:sz w:val="20"/>
          <w:szCs w:val="20"/>
        </w:rPr>
      </w:pPr>
      <w:r w:rsidRPr="00416015">
        <w:rPr>
          <w:rFonts w:ascii="Palatino Linotype" w:eastAsia="Palatino Linotype" w:hAnsi="Palatino Linotype" w:cs="Palatino Linotype"/>
          <w:b/>
          <w:i/>
          <w:color w:val="000000"/>
          <w:sz w:val="20"/>
          <w:szCs w:val="20"/>
        </w:rPr>
        <w:lastRenderedPageBreak/>
        <w:t>“Cuentas bancarias y/o CLABE interbancaria de personas físicas y morales privadas.</w:t>
      </w:r>
      <w:r w:rsidRPr="00416015">
        <w:rPr>
          <w:rFonts w:ascii="Palatino Linotype" w:eastAsia="Palatino Linotype" w:hAnsi="Palatino Linotype" w:cs="Palatino Linotype"/>
          <w:i/>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BD2AC93" w14:textId="77777777" w:rsidR="007E6EBE" w:rsidRPr="00416015" w:rsidRDefault="007E6EBE">
      <w:pPr>
        <w:spacing w:line="360" w:lineRule="auto"/>
        <w:ind w:right="567"/>
        <w:jc w:val="both"/>
        <w:rPr>
          <w:rFonts w:ascii="Palatino Linotype" w:eastAsia="Palatino Linotype" w:hAnsi="Palatino Linotype" w:cs="Palatino Linotype"/>
          <w:b/>
          <w:i/>
          <w:color w:val="000000"/>
          <w:sz w:val="20"/>
          <w:szCs w:val="20"/>
        </w:rPr>
      </w:pPr>
    </w:p>
    <w:p w14:paraId="6C3364E2" w14:textId="77777777" w:rsidR="007E6EBE" w:rsidRPr="00416015" w:rsidRDefault="00BA3E20">
      <w:pPr>
        <w:spacing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AB21802" w14:textId="77777777" w:rsidR="007E6EBE" w:rsidRPr="00416015" w:rsidRDefault="00BA3E20">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De lo anteriormente expuesto, se aprecia que 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realizó una clasificación correcta de la información, toda vez que, se insiste, los datos que testó en el documento constituyen información confidencial que no abonan a la transparencia, sin embargo, para mejor proveer del presente asunto, debe analizarse el acuerdo emitido por el Comité de Transparencia, con el propósito de determinar si se realizó conforme a derecho, para esto se inserta el siguiente cuadro de análisis que contempla únicamente los </w:t>
      </w:r>
      <w:r w:rsidRPr="00416015">
        <w:rPr>
          <w:rFonts w:ascii="Palatino Linotype" w:eastAsia="Palatino Linotype" w:hAnsi="Palatino Linotype" w:cs="Palatino Linotype"/>
          <w:b/>
          <w:color w:val="000000"/>
          <w:sz w:val="22"/>
          <w:szCs w:val="22"/>
        </w:rPr>
        <w:t>elementos de forma del acuerdo en comento</w:t>
      </w:r>
      <w:r w:rsidRPr="00416015">
        <w:rPr>
          <w:rFonts w:ascii="Palatino Linotype" w:eastAsia="Palatino Linotype" w:hAnsi="Palatino Linotype" w:cs="Palatino Linotype"/>
          <w:color w:val="000000"/>
          <w:sz w:val="22"/>
          <w:szCs w:val="22"/>
        </w:rPr>
        <w:t>:</w:t>
      </w:r>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7E6EBE" w:rsidRPr="00416015" w14:paraId="384B379A" w14:textId="77777777">
        <w:trPr>
          <w:trHeight w:val="569"/>
        </w:trPr>
        <w:tc>
          <w:tcPr>
            <w:tcW w:w="1548" w:type="dxa"/>
            <w:shd w:val="clear" w:color="auto" w:fill="EEECE1"/>
          </w:tcPr>
          <w:p w14:paraId="6D4FB966" w14:textId="77777777" w:rsidR="007E6EBE" w:rsidRPr="00416015" w:rsidRDefault="00BA3E20">
            <w:pPr>
              <w:spacing w:before="100" w:after="200" w:line="276" w:lineRule="auto"/>
              <w:jc w:val="center"/>
              <w:rPr>
                <w:rFonts w:ascii="Palatino Linotype" w:eastAsia="Palatino Linotype" w:hAnsi="Palatino Linotype" w:cs="Palatino Linotype"/>
                <w:b/>
                <w:sz w:val="18"/>
                <w:szCs w:val="18"/>
              </w:rPr>
            </w:pPr>
            <w:r w:rsidRPr="00416015">
              <w:rPr>
                <w:rFonts w:ascii="Palatino Linotype" w:eastAsia="Palatino Linotype" w:hAnsi="Palatino Linotype" w:cs="Palatino Linotype"/>
                <w:b/>
                <w:sz w:val="18"/>
                <w:szCs w:val="18"/>
              </w:rPr>
              <w:t>Elementos del acuerdo de clasificación</w:t>
            </w:r>
          </w:p>
        </w:tc>
        <w:tc>
          <w:tcPr>
            <w:tcW w:w="6020" w:type="dxa"/>
            <w:gridSpan w:val="2"/>
            <w:shd w:val="clear" w:color="auto" w:fill="EEECE1"/>
          </w:tcPr>
          <w:p w14:paraId="2688727F" w14:textId="77777777" w:rsidR="007E6EBE" w:rsidRPr="00416015" w:rsidRDefault="00BA3E20">
            <w:pPr>
              <w:spacing w:before="100" w:after="200" w:line="276" w:lineRule="auto"/>
              <w:jc w:val="center"/>
              <w:rPr>
                <w:rFonts w:ascii="Palatino Linotype" w:eastAsia="Palatino Linotype" w:hAnsi="Palatino Linotype" w:cs="Palatino Linotype"/>
                <w:b/>
                <w:sz w:val="18"/>
                <w:szCs w:val="18"/>
              </w:rPr>
            </w:pPr>
            <w:r w:rsidRPr="00416015">
              <w:rPr>
                <w:rFonts w:ascii="Palatino Linotype" w:eastAsia="Palatino Linotype" w:hAnsi="Palatino Linotype" w:cs="Palatino Linotype"/>
                <w:b/>
                <w:sz w:val="18"/>
                <w:szCs w:val="18"/>
              </w:rPr>
              <w:t>Contenido</w:t>
            </w:r>
          </w:p>
        </w:tc>
        <w:tc>
          <w:tcPr>
            <w:tcW w:w="1499" w:type="dxa"/>
            <w:shd w:val="clear" w:color="auto" w:fill="EEECE1"/>
          </w:tcPr>
          <w:p w14:paraId="5B9D301A" w14:textId="77777777" w:rsidR="007E6EBE" w:rsidRPr="00416015" w:rsidRDefault="00BA3E20">
            <w:pPr>
              <w:spacing w:before="100" w:after="200" w:line="276" w:lineRule="auto"/>
              <w:jc w:val="center"/>
              <w:rPr>
                <w:rFonts w:ascii="Palatino Linotype" w:eastAsia="Palatino Linotype" w:hAnsi="Palatino Linotype" w:cs="Palatino Linotype"/>
                <w:b/>
                <w:sz w:val="18"/>
                <w:szCs w:val="18"/>
              </w:rPr>
            </w:pPr>
            <w:r w:rsidRPr="00416015">
              <w:rPr>
                <w:rFonts w:ascii="Palatino Linotype" w:eastAsia="Palatino Linotype" w:hAnsi="Palatino Linotype" w:cs="Palatino Linotype"/>
                <w:b/>
                <w:sz w:val="18"/>
                <w:szCs w:val="18"/>
              </w:rPr>
              <w:t>¿Cumple?</w:t>
            </w:r>
          </w:p>
        </w:tc>
      </w:tr>
      <w:tr w:rsidR="007E6EBE" w:rsidRPr="00416015" w14:paraId="1B19AA42" w14:textId="77777777">
        <w:tc>
          <w:tcPr>
            <w:tcW w:w="1548" w:type="dxa"/>
          </w:tcPr>
          <w:p w14:paraId="38A0E6D6" w14:textId="77777777" w:rsidR="007E6EBE" w:rsidRPr="00416015" w:rsidRDefault="00BA3E20">
            <w:pPr>
              <w:spacing w:before="100" w:after="200" w:line="276" w:lineRule="auto"/>
              <w:jc w:val="center"/>
              <w:rPr>
                <w:rFonts w:ascii="Palatino Linotype" w:eastAsia="Palatino Linotype" w:hAnsi="Palatino Linotype" w:cs="Palatino Linotype"/>
                <w:sz w:val="18"/>
                <w:szCs w:val="18"/>
              </w:rPr>
            </w:pPr>
            <w:r w:rsidRPr="00416015">
              <w:rPr>
                <w:rFonts w:ascii="Palatino Linotype" w:eastAsia="Palatino Linotype" w:hAnsi="Palatino Linotype" w:cs="Palatino Linotype"/>
                <w:b/>
                <w:sz w:val="18"/>
                <w:szCs w:val="18"/>
              </w:rPr>
              <w:lastRenderedPageBreak/>
              <w:t>Referencia de la información solicitada</w:t>
            </w:r>
          </w:p>
        </w:tc>
        <w:tc>
          <w:tcPr>
            <w:tcW w:w="6020" w:type="dxa"/>
            <w:gridSpan w:val="2"/>
          </w:tcPr>
          <w:p w14:paraId="0FC47C0F" w14:textId="77777777" w:rsidR="007E6EBE" w:rsidRPr="00416015" w:rsidRDefault="00BA3E20">
            <w:pPr>
              <w:spacing w:before="100" w:after="200" w:line="276" w:lineRule="auto"/>
              <w:rPr>
                <w:rFonts w:ascii="Palatino Linotype" w:eastAsia="Palatino Linotype" w:hAnsi="Palatino Linotype" w:cs="Palatino Linotype"/>
              </w:rPr>
            </w:pPr>
            <w:r w:rsidRPr="00416015">
              <w:rPr>
                <w:rFonts w:ascii="Palatino Linotype" w:eastAsia="Palatino Linotype" w:hAnsi="Palatino Linotype" w:cs="Palatino Linotype"/>
                <w:noProof/>
              </w:rPr>
              <w:drawing>
                <wp:inline distT="0" distB="0" distL="0" distR="0" wp14:anchorId="7666E6C9" wp14:editId="64B0ADAB">
                  <wp:extent cx="3676650" cy="59309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676650" cy="593090"/>
                          </a:xfrm>
                          <a:prstGeom prst="rect">
                            <a:avLst/>
                          </a:prstGeom>
                          <a:ln/>
                        </pic:spPr>
                      </pic:pic>
                    </a:graphicData>
                  </a:graphic>
                </wp:inline>
              </w:drawing>
            </w:r>
          </w:p>
        </w:tc>
        <w:tc>
          <w:tcPr>
            <w:tcW w:w="1499" w:type="dxa"/>
          </w:tcPr>
          <w:p w14:paraId="7FD7F688" w14:textId="77777777" w:rsidR="007E6EBE" w:rsidRPr="00416015" w:rsidRDefault="00BA3E20">
            <w:pPr>
              <w:spacing w:before="100" w:after="200" w:line="276" w:lineRule="auto"/>
              <w:jc w:val="center"/>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Sí</w:t>
            </w:r>
          </w:p>
        </w:tc>
      </w:tr>
      <w:tr w:rsidR="007E6EBE" w:rsidRPr="00416015" w14:paraId="285A1AD5" w14:textId="77777777">
        <w:tc>
          <w:tcPr>
            <w:tcW w:w="1555" w:type="dxa"/>
            <w:gridSpan w:val="2"/>
            <w:shd w:val="clear" w:color="auto" w:fill="auto"/>
          </w:tcPr>
          <w:p w14:paraId="42A55A5A" w14:textId="77777777" w:rsidR="007E6EBE" w:rsidRPr="00416015" w:rsidRDefault="00BA3E20">
            <w:pPr>
              <w:spacing w:before="100" w:after="200" w:line="276" w:lineRule="auto"/>
              <w:jc w:val="center"/>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18"/>
                <w:szCs w:val="18"/>
              </w:rPr>
              <w:t>Firma de las autoridades competentes.</w:t>
            </w:r>
          </w:p>
        </w:tc>
        <w:tc>
          <w:tcPr>
            <w:tcW w:w="6013" w:type="dxa"/>
            <w:shd w:val="clear" w:color="auto" w:fill="auto"/>
          </w:tcPr>
          <w:p w14:paraId="5C880742" w14:textId="77777777" w:rsidR="007E6EBE" w:rsidRPr="00416015" w:rsidRDefault="00BA3E20">
            <w:pPr>
              <w:spacing w:before="100" w:after="200" w:line="276" w:lineRule="auto"/>
              <w:jc w:val="center"/>
              <w:rPr>
                <w:rFonts w:ascii="Cambria" w:eastAsia="Cambria" w:hAnsi="Cambria" w:cs="Cambria"/>
              </w:rPr>
            </w:pPr>
            <w:r w:rsidRPr="00416015">
              <w:rPr>
                <w:rFonts w:ascii="Cambria" w:eastAsia="Cambria" w:hAnsi="Cambria" w:cs="Cambria"/>
                <w:noProof/>
              </w:rPr>
              <w:drawing>
                <wp:inline distT="0" distB="0" distL="0" distR="0" wp14:anchorId="690374AD" wp14:editId="449FFED8">
                  <wp:extent cx="2362530" cy="1695687"/>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362530" cy="1695687"/>
                          </a:xfrm>
                          <a:prstGeom prst="rect">
                            <a:avLst/>
                          </a:prstGeom>
                          <a:ln/>
                        </pic:spPr>
                      </pic:pic>
                    </a:graphicData>
                  </a:graphic>
                </wp:inline>
              </w:drawing>
            </w:r>
          </w:p>
          <w:p w14:paraId="698B63A3" w14:textId="77777777" w:rsidR="007E6EBE" w:rsidRPr="00416015" w:rsidRDefault="00BA3E20">
            <w:pPr>
              <w:spacing w:before="100" w:after="200" w:line="276" w:lineRule="auto"/>
              <w:jc w:val="center"/>
              <w:rPr>
                <w:rFonts w:ascii="Cambria" w:eastAsia="Cambria" w:hAnsi="Cambria" w:cs="Cambria"/>
              </w:rPr>
            </w:pPr>
            <w:r w:rsidRPr="00416015">
              <w:rPr>
                <w:rFonts w:ascii="Cambria" w:eastAsia="Cambria" w:hAnsi="Cambria" w:cs="Cambria"/>
                <w:noProof/>
              </w:rPr>
              <w:drawing>
                <wp:inline distT="0" distB="0" distL="0" distR="0" wp14:anchorId="490070D2" wp14:editId="30F505A7">
                  <wp:extent cx="3298024" cy="379076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298024" cy="3790760"/>
                          </a:xfrm>
                          <a:prstGeom prst="rect">
                            <a:avLst/>
                          </a:prstGeom>
                          <a:ln/>
                        </pic:spPr>
                      </pic:pic>
                    </a:graphicData>
                  </a:graphic>
                </wp:inline>
              </w:drawing>
            </w:r>
          </w:p>
        </w:tc>
        <w:tc>
          <w:tcPr>
            <w:tcW w:w="1499" w:type="dxa"/>
            <w:shd w:val="clear" w:color="auto" w:fill="auto"/>
          </w:tcPr>
          <w:p w14:paraId="237A5D4D" w14:textId="77777777" w:rsidR="007E6EBE" w:rsidRPr="00416015" w:rsidRDefault="00BA3E20">
            <w:pPr>
              <w:spacing w:before="100" w:after="200" w:line="276" w:lineRule="auto"/>
              <w:jc w:val="center"/>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18"/>
                <w:szCs w:val="18"/>
              </w:rPr>
              <w:t>Si</w:t>
            </w:r>
          </w:p>
        </w:tc>
      </w:tr>
    </w:tbl>
    <w:p w14:paraId="23C41846" w14:textId="77777777" w:rsidR="007E6EBE" w:rsidRPr="00416015" w:rsidRDefault="00BA3E20">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lastRenderedPageBreak/>
        <w:t>Como se desprende del cuadro previamente insertado, por cuanto hace a los elementos de forma, se aprecia que este hace referencia a la información solicitada y cuenta con las firmas de los integrantes del Comité de Transparencia, por lo tanto, es dable afirmar que estos elementos si los satisface el acuerdo en análisis.</w:t>
      </w:r>
    </w:p>
    <w:p w14:paraId="34E4066E" w14:textId="77777777" w:rsidR="007E6EBE" w:rsidRPr="00416015" w:rsidRDefault="007E6E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2AD76B00" w14:textId="77777777" w:rsidR="007E6EBE" w:rsidRPr="00416015" w:rsidRDefault="00BA3E2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Ahora bien, respecto a los </w:t>
      </w:r>
      <w:r w:rsidRPr="00416015">
        <w:rPr>
          <w:rFonts w:ascii="Palatino Linotype" w:eastAsia="Palatino Linotype" w:hAnsi="Palatino Linotype" w:cs="Palatino Linotype"/>
          <w:b/>
          <w:color w:val="000000"/>
          <w:sz w:val="22"/>
          <w:szCs w:val="22"/>
        </w:rPr>
        <w:t>elementos de fondo</w:t>
      </w:r>
      <w:r w:rsidRPr="00416015">
        <w:rPr>
          <w:rFonts w:ascii="Palatino Linotype" w:eastAsia="Palatino Linotype" w:hAnsi="Palatino Linotype" w:cs="Palatino Linotype"/>
          <w:color w:val="000000"/>
          <w:sz w:val="22"/>
          <w:szCs w:val="22"/>
        </w:rPr>
        <w:t xml:space="preserve">, este Instituto advierte que dentro del acuerdo, se expresa el artículo, inciso, párrafo o numeral de la ley que le otorga el carácter de confidencial, al referir que los datos testados previamente analizados son confidenciales de conformidad con el artículo 143 fracción I de la Ley de Transparencia Local y 4, fracción XI de la Ley de Protección de Datos Local, relacionados con el numeral Trigésimo Octavo, fracción I de los Lineamientos Generales en Materia de Clasificación y Desclasificación de la Información, vigentes a </w:t>
      </w:r>
      <w:r w:rsidRPr="00416015">
        <w:rPr>
          <w:rFonts w:ascii="Palatino Linotype" w:eastAsia="Palatino Linotype" w:hAnsi="Palatino Linotype" w:cs="Palatino Linotype"/>
          <w:sz w:val="22"/>
          <w:szCs w:val="22"/>
        </w:rPr>
        <w:t>la fecha de la solicitud</w:t>
      </w:r>
      <w:r w:rsidRPr="00416015">
        <w:rPr>
          <w:rFonts w:ascii="Palatino Linotype" w:eastAsia="Palatino Linotype" w:hAnsi="Palatino Linotype" w:cs="Palatino Linotype"/>
          <w:color w:val="000000"/>
          <w:sz w:val="22"/>
          <w:szCs w:val="22"/>
        </w:rPr>
        <w:t>.</w:t>
      </w:r>
    </w:p>
    <w:p w14:paraId="2530ABF4" w14:textId="77777777" w:rsidR="007E6EBE" w:rsidRPr="00416015" w:rsidRDefault="007E6E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57417805" w14:textId="77777777" w:rsidR="007E6EBE" w:rsidRPr="00416015" w:rsidRDefault="00BA3E2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color w:val="000000"/>
          <w:sz w:val="22"/>
          <w:szCs w:val="22"/>
        </w:rPr>
        <w:t xml:space="preserve">Ahora bien, respecto a la </w:t>
      </w:r>
      <w:r w:rsidRPr="00416015">
        <w:rPr>
          <w:rFonts w:ascii="Palatino Linotype" w:eastAsia="Palatino Linotype" w:hAnsi="Palatino Linotype" w:cs="Palatino Linotype"/>
          <w:b/>
          <w:color w:val="000000"/>
          <w:sz w:val="22"/>
          <w:szCs w:val="22"/>
        </w:rPr>
        <w:t>fundamentación y motivación</w:t>
      </w:r>
      <w:r w:rsidRPr="00416015">
        <w:rPr>
          <w:rFonts w:ascii="Palatino Linotype" w:eastAsia="Palatino Linotype" w:hAnsi="Palatino Linotype" w:cs="Palatino Linotype"/>
          <w:color w:val="000000"/>
          <w:sz w:val="22"/>
          <w:szCs w:val="22"/>
        </w:rPr>
        <w:t>, tenemos que el</w:t>
      </w:r>
      <w:r w:rsidRPr="00416015">
        <w:rPr>
          <w:rFonts w:ascii="Palatino Linotype" w:eastAsia="Palatino Linotype" w:hAnsi="Palatino Linotype" w:cs="Palatino Linotype"/>
          <w:b/>
          <w:color w:val="000000"/>
          <w:sz w:val="22"/>
          <w:szCs w:val="22"/>
        </w:rPr>
        <w:t xml:space="preserve"> Sujeto Obligado </w:t>
      </w:r>
      <w:r w:rsidRPr="00416015">
        <w:rPr>
          <w:rFonts w:ascii="Palatino Linotype" w:eastAsia="Palatino Linotype" w:hAnsi="Palatino Linotype" w:cs="Palatino Linotype"/>
          <w:color w:val="000000"/>
          <w:sz w:val="22"/>
          <w:szCs w:val="22"/>
        </w:rPr>
        <w:t>aporta las razones por las que a los datos testados les reviste la calidad de confidenciales:</w:t>
      </w:r>
    </w:p>
    <w:p w14:paraId="05A6437E" w14:textId="77777777" w:rsidR="007E6EBE" w:rsidRPr="00416015" w:rsidRDefault="007E6EB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5677ECEC" w14:textId="77777777" w:rsidR="007E6EBE" w:rsidRPr="00416015" w:rsidRDefault="00BA3E20">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drawing>
          <wp:inline distT="0" distB="0" distL="0" distR="0" wp14:anchorId="42E69795" wp14:editId="235206A6">
            <wp:extent cx="4296375" cy="150516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296375" cy="1505160"/>
                    </a:xfrm>
                    <a:prstGeom prst="rect">
                      <a:avLst/>
                    </a:prstGeom>
                    <a:ln/>
                  </pic:spPr>
                </pic:pic>
              </a:graphicData>
            </a:graphic>
          </wp:inline>
        </w:drawing>
      </w:r>
    </w:p>
    <w:p w14:paraId="51C903C2" w14:textId="77777777" w:rsidR="007E6EBE" w:rsidRPr="00416015" w:rsidRDefault="00BA3E20">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noProof/>
          <w:color w:val="000000"/>
          <w:sz w:val="22"/>
          <w:szCs w:val="22"/>
        </w:rPr>
        <w:lastRenderedPageBreak/>
        <w:drawing>
          <wp:inline distT="0" distB="0" distL="0" distR="0" wp14:anchorId="1CD5C7C7" wp14:editId="505DDCFB">
            <wp:extent cx="3846533" cy="3569382"/>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846533" cy="3569382"/>
                    </a:xfrm>
                    <a:prstGeom prst="rect">
                      <a:avLst/>
                    </a:prstGeom>
                    <a:ln/>
                  </pic:spPr>
                </pic:pic>
              </a:graphicData>
            </a:graphic>
          </wp:inline>
        </w:drawing>
      </w:r>
    </w:p>
    <w:p w14:paraId="27A20424" w14:textId="77777777" w:rsidR="007E6EBE" w:rsidRPr="00416015" w:rsidRDefault="00BA3E20">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Por ende, es que se determina </w:t>
      </w:r>
      <w:proofErr w:type="gramStart"/>
      <w:r w:rsidRPr="00416015">
        <w:rPr>
          <w:rFonts w:ascii="Palatino Linotype" w:eastAsia="Palatino Linotype" w:hAnsi="Palatino Linotype" w:cs="Palatino Linotype"/>
          <w:sz w:val="22"/>
          <w:szCs w:val="22"/>
        </w:rPr>
        <w:t>que</w:t>
      </w:r>
      <w:proofErr w:type="gramEnd"/>
      <w:r w:rsidRPr="00416015">
        <w:rPr>
          <w:rFonts w:ascii="Palatino Linotype" w:eastAsia="Palatino Linotype" w:hAnsi="Palatino Linotype" w:cs="Palatino Linotype"/>
          <w:sz w:val="22"/>
          <w:szCs w:val="22"/>
        </w:rPr>
        <w:t xml:space="preserve"> en cuanto a </w:t>
      </w:r>
      <w:r w:rsidRPr="00416015">
        <w:rPr>
          <w:rFonts w:ascii="Palatino Linotype" w:eastAsia="Palatino Linotype" w:hAnsi="Palatino Linotype" w:cs="Palatino Linotype"/>
          <w:b/>
          <w:sz w:val="22"/>
          <w:szCs w:val="22"/>
        </w:rPr>
        <w:t>cuestiones de fondo</w:t>
      </w:r>
      <w:r w:rsidRPr="00416015">
        <w:rPr>
          <w:rFonts w:ascii="Palatino Linotype" w:eastAsia="Palatino Linotype" w:hAnsi="Palatino Linotype" w:cs="Palatino Linotype"/>
          <w:sz w:val="22"/>
          <w:szCs w:val="22"/>
        </w:rPr>
        <w:t xml:space="preserve">, el acuerdo de clasificación si fue emitido con las formalidades de derecho, por lo que abordamos a la conclusión de que el acuerdo que da sustento a la versión pública, es correcto pues contiene los fundamentos y motivos por los que resulta pertinente clasificar la información. </w:t>
      </w:r>
    </w:p>
    <w:p w14:paraId="0D85AAAE" w14:textId="77777777" w:rsidR="007E6EBE" w:rsidRPr="00416015" w:rsidRDefault="00BA3E20">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u w:val="single"/>
        </w:rPr>
      </w:pPr>
      <w:r w:rsidRPr="00416015">
        <w:rPr>
          <w:rFonts w:ascii="Palatino Linotype" w:eastAsia="Palatino Linotype" w:hAnsi="Palatino Linotype" w:cs="Palatino Linotype"/>
          <w:sz w:val="22"/>
          <w:szCs w:val="22"/>
        </w:rPr>
        <w:t xml:space="preserve">Por lo anteriormente expuesto, se tiene por satisfecho el requerimiento de información de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w:t>
      </w:r>
      <w:proofErr w:type="gramStart"/>
      <w:r w:rsidRPr="00416015">
        <w:rPr>
          <w:rFonts w:ascii="Palatino Linotype" w:eastAsia="Palatino Linotype" w:hAnsi="Palatino Linotype" w:cs="Palatino Linotype"/>
          <w:sz w:val="22"/>
          <w:szCs w:val="22"/>
        </w:rPr>
        <w:t>y</w:t>
      </w:r>
      <w:proofErr w:type="gramEnd"/>
      <w:r w:rsidRPr="00416015">
        <w:rPr>
          <w:rFonts w:ascii="Palatino Linotype" w:eastAsia="Palatino Linotype" w:hAnsi="Palatino Linotype" w:cs="Palatino Linotype"/>
          <w:sz w:val="22"/>
          <w:szCs w:val="22"/>
        </w:rPr>
        <w:t xml:space="preserve"> por consiguiente, al haber colmado lo peticionado en la solicitud mediante el alcance al informe justificado es que se actualiza la causal de sobreseimiento prevista en la fracción III del artículo 192 de la Ley de Transparencia y Acceso a la Información Pública del Estado de México y Municipios, que dispone lo siguiente:</w:t>
      </w:r>
    </w:p>
    <w:p w14:paraId="5BF18144" w14:textId="77777777" w:rsidR="007E6EBE" w:rsidRPr="00416015" w:rsidRDefault="00BA3E20">
      <w:pPr>
        <w:spacing w:line="276" w:lineRule="auto"/>
        <w:ind w:left="567" w:right="901"/>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z w:val="22"/>
          <w:szCs w:val="22"/>
        </w:rPr>
        <w:lastRenderedPageBreak/>
        <w:t xml:space="preserve">“Artículo 192. </w:t>
      </w:r>
      <w:r w:rsidRPr="00416015">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AF90669" w14:textId="77777777" w:rsidR="007E6EBE" w:rsidRPr="00416015" w:rsidRDefault="00BA3E20">
      <w:pPr>
        <w:spacing w:line="276" w:lineRule="auto"/>
        <w:ind w:left="567" w:right="901"/>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z w:val="22"/>
          <w:szCs w:val="22"/>
        </w:rPr>
        <w:t>…</w:t>
      </w:r>
    </w:p>
    <w:p w14:paraId="1E77DBE3" w14:textId="77777777" w:rsidR="007E6EBE" w:rsidRPr="00416015" w:rsidRDefault="00BA3E20">
      <w:pPr>
        <w:spacing w:line="276" w:lineRule="auto"/>
        <w:ind w:left="567" w:right="901"/>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b/>
          <w:i/>
          <w:sz w:val="22"/>
          <w:szCs w:val="22"/>
        </w:rPr>
        <w:t xml:space="preserve">III. El sujeto obligado responsable del acto lo modifique o revoque de tal manera que el recurso de revisión quede sin materia…”. </w:t>
      </w:r>
      <w:r w:rsidRPr="00416015">
        <w:rPr>
          <w:rFonts w:ascii="Palatino Linotype" w:eastAsia="Palatino Linotype" w:hAnsi="Palatino Linotype" w:cs="Palatino Linotype"/>
          <w:i/>
          <w:sz w:val="22"/>
          <w:szCs w:val="22"/>
        </w:rPr>
        <w:t>(Énfasis añadido)</w:t>
      </w:r>
    </w:p>
    <w:p w14:paraId="773B62F6" w14:textId="77777777" w:rsidR="007E6EBE" w:rsidRPr="00416015" w:rsidRDefault="007E6EBE">
      <w:pPr>
        <w:spacing w:line="360" w:lineRule="auto"/>
        <w:jc w:val="both"/>
        <w:rPr>
          <w:rFonts w:ascii="Palatino Linotype" w:eastAsia="Palatino Linotype" w:hAnsi="Palatino Linotype" w:cs="Palatino Linotype"/>
          <w:b/>
          <w:i/>
          <w:sz w:val="22"/>
          <w:szCs w:val="22"/>
        </w:rPr>
      </w:pPr>
    </w:p>
    <w:p w14:paraId="3C506CDB" w14:textId="77777777" w:rsidR="007E6EBE" w:rsidRPr="00416015" w:rsidRDefault="00BA3E20">
      <w:pPr>
        <w:spacing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746CE034"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a) Cuando el sujeto obligado modifique el acto impugnado.</w:t>
      </w:r>
    </w:p>
    <w:p w14:paraId="0FE21225"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b) Cuando el sujeto obligado revoque el acto impugnado.</w:t>
      </w:r>
    </w:p>
    <w:p w14:paraId="6EDED49A"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Quedando en ambos casos el acto combatido sin materia o sin efectos.</w:t>
      </w:r>
    </w:p>
    <w:p w14:paraId="758F1CDD"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Como se observa de lo anterior, un acto impugnado es modificado en aquellos casos en los que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w:t>
      </w:r>
      <w:r w:rsidRPr="00416015">
        <w:rPr>
          <w:rFonts w:ascii="Palatino Linotype" w:eastAsia="Palatino Linotype" w:hAnsi="Palatino Linotype" w:cs="Palatino Linotype"/>
          <w:b/>
          <w:sz w:val="22"/>
          <w:szCs w:val="22"/>
        </w:rPr>
        <w:t>la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w:t>
      </w:r>
    </w:p>
    <w:p w14:paraId="0E53537B"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Por lo que hace a la revocación, esta se actualiza cuando el </w:t>
      </w:r>
      <w:r w:rsidRPr="00416015">
        <w:rPr>
          <w:rFonts w:ascii="Palatino Linotype" w:eastAsia="Palatino Linotype" w:hAnsi="Palatino Linotype" w:cs="Palatino Linotype"/>
          <w:b/>
          <w:sz w:val="22"/>
          <w:szCs w:val="22"/>
        </w:rPr>
        <w:t xml:space="preserve">Sujeto Obligado </w:t>
      </w:r>
      <w:r w:rsidRPr="00416015">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2DB65FA4" w14:textId="77777777" w:rsidR="007E6EBE" w:rsidRPr="00416015" w:rsidRDefault="00BA3E20">
      <w:pPr>
        <w:spacing w:before="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487FD4C5" w14:textId="77777777" w:rsidR="007E6EBE" w:rsidRPr="00416015" w:rsidRDefault="00BA3E20">
      <w:pPr>
        <w:spacing w:before="240" w:after="240" w:line="360" w:lineRule="auto"/>
        <w:ind w:right="49"/>
        <w:jc w:val="both"/>
        <w:rPr>
          <w:rFonts w:ascii="Palatino Linotype" w:eastAsia="Palatino Linotype" w:hAnsi="Palatino Linotype" w:cs="Palatino Linotype"/>
          <w:b/>
          <w:color w:val="000000"/>
          <w:sz w:val="22"/>
          <w:szCs w:val="22"/>
          <w:u w:val="single"/>
        </w:rPr>
      </w:pPr>
      <w:r w:rsidRPr="00416015">
        <w:rPr>
          <w:rFonts w:ascii="Palatino Linotype" w:eastAsia="Palatino Linotype" w:hAnsi="Palatino Linotype" w:cs="Palatino Linotype"/>
          <w:sz w:val="22"/>
          <w:szCs w:val="22"/>
        </w:rPr>
        <w:lastRenderedPageBreak/>
        <w:t xml:space="preserve">En tanto, en el presente caso queda sin materia, toda vez </w:t>
      </w:r>
      <w:proofErr w:type="gramStart"/>
      <w:r w:rsidRPr="00416015">
        <w:rPr>
          <w:rFonts w:ascii="Palatino Linotype" w:eastAsia="Palatino Linotype" w:hAnsi="Palatino Linotype" w:cs="Palatino Linotype"/>
          <w:sz w:val="22"/>
          <w:szCs w:val="22"/>
        </w:rPr>
        <w:t>que</w:t>
      </w:r>
      <w:proofErr w:type="gramEnd"/>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color w:val="000000"/>
          <w:sz w:val="22"/>
          <w:szCs w:val="22"/>
        </w:rPr>
        <w:t xml:space="preserve">con el </w:t>
      </w:r>
      <w:r w:rsidRPr="00416015">
        <w:rPr>
          <w:rFonts w:ascii="Palatino Linotype" w:eastAsia="Palatino Linotype" w:hAnsi="Palatino Linotype" w:cs="Palatino Linotype"/>
          <w:sz w:val="22"/>
          <w:szCs w:val="22"/>
        </w:rPr>
        <w:t xml:space="preserve">Informe Justificado,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color w:val="000000"/>
          <w:sz w:val="22"/>
          <w:szCs w:val="22"/>
        </w:rPr>
        <w:t xml:space="preserve">modificó los términos de la respuesta inicial </w:t>
      </w:r>
      <w:r w:rsidRPr="00416015">
        <w:rPr>
          <w:rFonts w:ascii="Palatino Linotype" w:eastAsia="Palatino Linotype" w:hAnsi="Palatino Linotype" w:cs="Palatino Linotype"/>
          <w:b/>
          <w:color w:val="000000"/>
          <w:sz w:val="22"/>
          <w:szCs w:val="22"/>
          <w:u w:val="single"/>
        </w:rPr>
        <w:t>al pronunciarse respecto de los contratos de enero 2025, indicar concretamente los pasos para acceder a las facturas y proporcionar las garantías generadas con motivo de la celebración de los contratos.</w:t>
      </w:r>
    </w:p>
    <w:p w14:paraId="6B125A43" w14:textId="77777777" w:rsidR="007E6EBE" w:rsidRPr="00416015" w:rsidRDefault="00BA3E20">
      <w:pPr>
        <w:spacing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color w:val="000000"/>
          <w:sz w:val="22"/>
          <w:szCs w:val="22"/>
        </w:rPr>
        <w:t>Por lo que t</w:t>
      </w:r>
      <w:r w:rsidRPr="00416015">
        <w:rPr>
          <w:rFonts w:ascii="Palatino Linotype" w:eastAsia="Palatino Linotype" w:hAnsi="Palatino Linotype" w:cs="Palatino Linotype"/>
          <w:sz w:val="22"/>
          <w:szCs w:val="22"/>
        </w:rPr>
        <w:t xml:space="preserve">omando en consideración que la información proporcionada por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satisface el requerimiento de información y fue puesta a la vista de la parte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3A1DAE3B"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En resumen, el </w:t>
      </w:r>
      <w:r w:rsidRPr="00416015">
        <w:rPr>
          <w:rFonts w:ascii="Palatino Linotype" w:eastAsia="Palatino Linotype" w:hAnsi="Palatino Linotype" w:cs="Palatino Linotype"/>
          <w:b/>
          <w:sz w:val="22"/>
          <w:szCs w:val="22"/>
        </w:rPr>
        <w:t>Sujeto Obligado</w:t>
      </w:r>
      <w:r w:rsidRPr="00416015">
        <w:rPr>
          <w:rFonts w:ascii="Palatino Linotype" w:eastAsia="Palatino Linotype" w:hAnsi="Palatino Linotype" w:cs="Palatino Linotype"/>
          <w:sz w:val="22"/>
          <w:szCs w:val="22"/>
        </w:rPr>
        <w:t xml:space="preserve"> dio respuesta completa a la solicitud de acceso a la información pública de </w:t>
      </w:r>
      <w:r w:rsidRPr="00416015">
        <w:rPr>
          <w:rFonts w:ascii="Palatino Linotype" w:eastAsia="Palatino Linotype" w:hAnsi="Palatino Linotype" w:cs="Palatino Linotype"/>
          <w:b/>
          <w:sz w:val="22"/>
          <w:szCs w:val="22"/>
        </w:rPr>
        <w:t>la ahora parte</w:t>
      </w: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1FB1EADF"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 xml:space="preserve">Siendo el </w:t>
      </w:r>
      <w:r w:rsidRPr="00416015">
        <w:rPr>
          <w:rFonts w:ascii="Palatino Linotype" w:eastAsia="Palatino Linotype" w:hAnsi="Palatino Linotype" w:cs="Palatino Linotype"/>
          <w:i/>
          <w:sz w:val="22"/>
          <w:szCs w:val="22"/>
        </w:rPr>
        <w:t>sobreseimiento</w:t>
      </w:r>
      <w:r w:rsidRPr="00416015">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w:t>
      </w:r>
      <w:r w:rsidRPr="00416015">
        <w:rPr>
          <w:rFonts w:ascii="Palatino Linotype" w:eastAsia="Palatino Linotype" w:hAnsi="Palatino Linotype" w:cs="Palatino Linotype"/>
          <w:b/>
          <w:sz w:val="22"/>
          <w:szCs w:val="22"/>
        </w:rPr>
        <w:t>Recurrente</w:t>
      </w:r>
      <w:r w:rsidRPr="00416015">
        <w:rPr>
          <w:rFonts w:ascii="Palatino Linotype" w:eastAsia="Palatino Linotype" w:hAnsi="Palatino Linotype" w:cs="Palatino Linotype"/>
          <w:sz w:val="22"/>
          <w:szCs w:val="22"/>
        </w:rPr>
        <w:t>, los efectos del sobreseimiento son los dar por concluido el recurso administrativo sin entrar al estudio de fondo del asunto de que se trate; lo anterior con apoyo en el criterio del Poder Judicial de la Federación con rubro:</w:t>
      </w:r>
    </w:p>
    <w:p w14:paraId="078C33E6" w14:textId="77777777" w:rsidR="007E6EBE" w:rsidRPr="00416015" w:rsidRDefault="00BA3E20">
      <w:pPr>
        <w:spacing w:before="240"/>
        <w:ind w:left="567" w:right="567"/>
        <w:jc w:val="both"/>
        <w:rPr>
          <w:rFonts w:ascii="Palatino Linotype" w:eastAsia="Palatino Linotype" w:hAnsi="Palatino Linotype" w:cs="Palatino Linotype"/>
          <w:b/>
          <w:i/>
          <w:sz w:val="22"/>
          <w:szCs w:val="22"/>
        </w:rPr>
      </w:pPr>
      <w:r w:rsidRPr="00416015">
        <w:rPr>
          <w:rFonts w:ascii="Palatino Linotype" w:eastAsia="Palatino Linotype" w:hAnsi="Palatino Linotype" w:cs="Palatino Linotype"/>
          <w:i/>
          <w:sz w:val="22"/>
          <w:szCs w:val="22"/>
        </w:rPr>
        <w:t>“</w:t>
      </w:r>
      <w:r w:rsidRPr="00416015">
        <w:rPr>
          <w:rFonts w:ascii="Palatino Linotype" w:eastAsia="Palatino Linotype" w:hAnsi="Palatino Linotype" w:cs="Palatino Linotype"/>
          <w:b/>
          <w:i/>
          <w:sz w:val="22"/>
          <w:szCs w:val="22"/>
        </w:rPr>
        <w:t>SOBRESEIMIENTO, NO PERMITE ENTRAR AL ESTUDIO DE LAS CUESTIONES DE FONDO</w:t>
      </w:r>
    </w:p>
    <w:p w14:paraId="28AFAB97" w14:textId="77777777" w:rsidR="007E6EBE" w:rsidRPr="00416015" w:rsidRDefault="00BA3E20">
      <w:pPr>
        <w:ind w:left="567" w:right="567"/>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lastRenderedPageBreak/>
        <w:t xml:space="preserve">Localización: 213609. II.2o.183 K. Tribunales Colegiados de Circuito. Octava Época. Semanario Judicial de la Federación. Tomo XIII, </w:t>
      </w:r>
      <w:proofErr w:type="gramStart"/>
      <w:r w:rsidRPr="00416015">
        <w:rPr>
          <w:rFonts w:ascii="Palatino Linotype" w:eastAsia="Palatino Linotype" w:hAnsi="Palatino Linotype" w:cs="Palatino Linotype"/>
          <w:i/>
          <w:sz w:val="22"/>
          <w:szCs w:val="22"/>
        </w:rPr>
        <w:t>Febrero</w:t>
      </w:r>
      <w:proofErr w:type="gramEnd"/>
      <w:r w:rsidRPr="00416015">
        <w:rPr>
          <w:rFonts w:ascii="Palatino Linotype" w:eastAsia="Palatino Linotype" w:hAnsi="Palatino Linotype" w:cs="Palatino Linotype"/>
          <w:i/>
          <w:sz w:val="22"/>
          <w:szCs w:val="22"/>
        </w:rPr>
        <w:t xml:space="preserve"> de 1994, Pág. 420</w:t>
      </w:r>
    </w:p>
    <w:p w14:paraId="765679B2" w14:textId="77777777" w:rsidR="007E6EBE" w:rsidRPr="00416015" w:rsidRDefault="00BA3E20">
      <w:pPr>
        <w:ind w:left="567" w:right="567"/>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6E87AA8E" w14:textId="77777777" w:rsidR="007E6EBE" w:rsidRPr="00416015" w:rsidRDefault="007E6EBE">
      <w:pPr>
        <w:ind w:left="567" w:right="567"/>
        <w:jc w:val="both"/>
        <w:rPr>
          <w:rFonts w:ascii="Palatino Linotype" w:eastAsia="Palatino Linotype" w:hAnsi="Palatino Linotype" w:cs="Palatino Linotype"/>
          <w:i/>
          <w:sz w:val="22"/>
          <w:szCs w:val="22"/>
        </w:rPr>
      </w:pPr>
    </w:p>
    <w:p w14:paraId="65A70464" w14:textId="77777777" w:rsidR="007E6EBE" w:rsidRPr="00416015" w:rsidRDefault="00BA3E20">
      <w:pPr>
        <w:spacing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3606571" w14:textId="77777777" w:rsidR="007E6EBE" w:rsidRPr="00416015" w:rsidRDefault="00BA3E20">
      <w:pPr>
        <w:spacing w:before="240"/>
        <w:ind w:left="567" w:right="567"/>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sz w:val="22"/>
          <w:szCs w:val="22"/>
        </w:rPr>
        <w:t xml:space="preserve"> </w:t>
      </w:r>
      <w:r w:rsidRPr="00416015">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4207638" w14:textId="77777777" w:rsidR="007E6EBE" w:rsidRPr="00416015" w:rsidRDefault="00BA3E20">
      <w:pPr>
        <w:ind w:left="567" w:right="567"/>
        <w:jc w:val="both"/>
        <w:rPr>
          <w:rFonts w:ascii="Palatino Linotype" w:eastAsia="Palatino Linotype" w:hAnsi="Palatino Linotype" w:cs="Palatino Linotype"/>
          <w:i/>
          <w:sz w:val="22"/>
          <w:szCs w:val="22"/>
        </w:rPr>
      </w:pPr>
      <w:r w:rsidRPr="00416015">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5C6417D6" w14:textId="77777777" w:rsidR="007E6EBE" w:rsidRPr="00416015" w:rsidRDefault="007E6EBE">
      <w:pPr>
        <w:ind w:left="567" w:right="567"/>
        <w:jc w:val="both"/>
        <w:rPr>
          <w:rFonts w:ascii="Palatino Linotype" w:eastAsia="Palatino Linotype" w:hAnsi="Palatino Linotype" w:cs="Palatino Linotype"/>
          <w:i/>
          <w:sz w:val="22"/>
          <w:szCs w:val="22"/>
        </w:rPr>
      </w:pPr>
    </w:p>
    <w:p w14:paraId="06F35040" w14:textId="77777777" w:rsidR="007E6EBE" w:rsidRPr="00416015" w:rsidRDefault="007E6EBE">
      <w:pPr>
        <w:ind w:left="567" w:right="567"/>
        <w:jc w:val="both"/>
        <w:rPr>
          <w:rFonts w:ascii="Palatino Linotype" w:eastAsia="Palatino Linotype" w:hAnsi="Palatino Linotype" w:cs="Palatino Linotype"/>
          <w:color w:val="FF0000"/>
          <w:sz w:val="22"/>
          <w:szCs w:val="22"/>
        </w:rPr>
      </w:pPr>
    </w:p>
    <w:p w14:paraId="3F5A631E" w14:textId="77777777" w:rsidR="007E6EBE" w:rsidRPr="00416015" w:rsidRDefault="00BA3E20">
      <w:pPr>
        <w:spacing w:line="360" w:lineRule="auto"/>
        <w:ind w:right="50"/>
        <w:jc w:val="both"/>
        <w:rPr>
          <w:rFonts w:ascii="Palatino Linotype" w:eastAsia="Palatino Linotype" w:hAnsi="Palatino Linotype" w:cs="Palatino Linotype"/>
          <w:sz w:val="22"/>
          <w:szCs w:val="22"/>
        </w:rPr>
      </w:pPr>
      <w:bookmarkStart w:id="7" w:name="_heading=h.17dp8vu" w:colFirst="0" w:colLast="0"/>
      <w:bookmarkEnd w:id="7"/>
      <w:r w:rsidRPr="00416015">
        <w:rPr>
          <w:rFonts w:ascii="Palatino Linotype" w:eastAsia="Palatino Linotype" w:hAnsi="Palatino Linotype" w:cs="Palatino Linotype"/>
          <w:sz w:val="22"/>
          <w:szCs w:val="22"/>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de la Ley de </w:t>
      </w:r>
      <w:r w:rsidRPr="00416015">
        <w:rPr>
          <w:rFonts w:ascii="Palatino Linotype" w:eastAsia="Palatino Linotype" w:hAnsi="Palatino Linotype" w:cs="Palatino Linotype"/>
          <w:sz w:val="22"/>
          <w:szCs w:val="22"/>
        </w:rPr>
        <w:lastRenderedPageBreak/>
        <w:t>Transparencia y Acceso a la Información Pública del Estado de México y Municipios, este Pleno:</w:t>
      </w:r>
    </w:p>
    <w:p w14:paraId="099954C3" w14:textId="77777777" w:rsidR="007E6EBE" w:rsidRPr="00416015" w:rsidRDefault="00BA3E20">
      <w:pPr>
        <w:numPr>
          <w:ilvl w:val="0"/>
          <w:numId w:val="1"/>
        </w:numPr>
        <w:spacing w:before="280" w:after="280" w:line="360" w:lineRule="auto"/>
        <w:ind w:left="284" w:hanging="426"/>
        <w:jc w:val="center"/>
        <w:rPr>
          <w:rFonts w:ascii="Palatino Linotype" w:eastAsia="Palatino Linotype" w:hAnsi="Palatino Linotype" w:cs="Palatino Linotype"/>
          <w:b/>
          <w:sz w:val="22"/>
          <w:szCs w:val="22"/>
        </w:rPr>
      </w:pPr>
      <w:r w:rsidRPr="00416015">
        <w:rPr>
          <w:rFonts w:ascii="Palatino Linotype" w:eastAsia="Palatino Linotype" w:hAnsi="Palatino Linotype" w:cs="Palatino Linotype"/>
          <w:b/>
          <w:sz w:val="22"/>
          <w:szCs w:val="22"/>
        </w:rPr>
        <w:t>R E S U E L V E:</w:t>
      </w:r>
    </w:p>
    <w:p w14:paraId="5A556EAA" w14:textId="77777777" w:rsidR="007E6EBE" w:rsidRPr="00416015" w:rsidRDefault="00BA3E20">
      <w:pPr>
        <w:spacing w:line="360" w:lineRule="auto"/>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sz w:val="22"/>
          <w:szCs w:val="22"/>
        </w:rPr>
        <w:t>Primero.</w:t>
      </w:r>
      <w:r w:rsidRPr="00416015">
        <w:rPr>
          <w:rFonts w:ascii="Palatino Linotype" w:eastAsia="Palatino Linotype" w:hAnsi="Palatino Linotype" w:cs="Palatino Linotype"/>
          <w:sz w:val="22"/>
          <w:szCs w:val="22"/>
        </w:rPr>
        <w:t xml:space="preserve"> Se </w:t>
      </w:r>
      <w:r w:rsidRPr="00416015">
        <w:rPr>
          <w:rFonts w:ascii="Palatino Linotype" w:eastAsia="Palatino Linotype" w:hAnsi="Palatino Linotype" w:cs="Palatino Linotype"/>
          <w:b/>
          <w:sz w:val="22"/>
          <w:szCs w:val="22"/>
        </w:rPr>
        <w:t>SOBRESEE</w:t>
      </w:r>
      <w:r w:rsidRPr="00416015">
        <w:rPr>
          <w:rFonts w:ascii="Palatino Linotype" w:eastAsia="Palatino Linotype" w:hAnsi="Palatino Linotype" w:cs="Palatino Linotype"/>
          <w:sz w:val="22"/>
          <w:szCs w:val="22"/>
        </w:rPr>
        <w:t xml:space="preserve"> el recurso de revisión </w:t>
      </w:r>
      <w:r w:rsidRPr="00416015">
        <w:rPr>
          <w:rFonts w:ascii="Palatino Linotype" w:eastAsia="Palatino Linotype" w:hAnsi="Palatino Linotype" w:cs="Palatino Linotype"/>
          <w:b/>
          <w:sz w:val="22"/>
          <w:szCs w:val="22"/>
        </w:rPr>
        <w:t xml:space="preserve">01274/INFOEM/IP/RR/2025, </w:t>
      </w:r>
      <w:r w:rsidRPr="00416015">
        <w:rPr>
          <w:rFonts w:ascii="Palatino Linotype" w:eastAsia="Palatino Linotype" w:hAnsi="Palatino Linotype" w:cs="Palatino Linotype"/>
          <w:color w:val="000000"/>
          <w:sz w:val="22"/>
          <w:szCs w:val="22"/>
        </w:rPr>
        <w:t xml:space="preserve">porque al </w:t>
      </w:r>
      <w:r w:rsidRPr="00416015">
        <w:rPr>
          <w:rFonts w:ascii="Palatino Linotype" w:eastAsia="Palatino Linotype" w:hAnsi="Palatino Linotype" w:cs="Palatino Linotype"/>
          <w:b/>
          <w:color w:val="000000"/>
          <w:sz w:val="22"/>
          <w:szCs w:val="22"/>
        </w:rPr>
        <w:t>modificar la respuesta</w:t>
      </w:r>
      <w:r w:rsidRPr="00416015">
        <w:rPr>
          <w:rFonts w:ascii="Palatino Linotype" w:eastAsia="Palatino Linotype" w:hAnsi="Palatino Linotype" w:cs="Palatino Linotype"/>
          <w:color w:val="000000"/>
          <w:sz w:val="22"/>
          <w:szCs w:val="22"/>
        </w:rPr>
        <w:t xml:space="preserve"> se actualizó la causal prevista en el artículo 192, fracción III, de la Ley de Transparencia y Acceso a la Información Pública del Estado de México y Municipios, quedando sin materia en términos del </w:t>
      </w:r>
      <w:r w:rsidRPr="00416015">
        <w:rPr>
          <w:rFonts w:ascii="Palatino Linotype" w:eastAsia="Palatino Linotype" w:hAnsi="Palatino Linotype" w:cs="Palatino Linotype"/>
          <w:b/>
          <w:color w:val="000000"/>
          <w:sz w:val="22"/>
          <w:szCs w:val="22"/>
        </w:rPr>
        <w:t>Considerando</w:t>
      </w:r>
      <w:r w:rsidRPr="00416015">
        <w:rPr>
          <w:rFonts w:ascii="Palatino Linotype" w:eastAsia="Palatino Linotype" w:hAnsi="Palatino Linotype" w:cs="Palatino Linotype"/>
          <w:color w:val="000000"/>
          <w:sz w:val="22"/>
          <w:szCs w:val="22"/>
        </w:rPr>
        <w:t xml:space="preserve"> </w:t>
      </w:r>
      <w:r w:rsidRPr="00416015">
        <w:rPr>
          <w:rFonts w:ascii="Palatino Linotype" w:eastAsia="Palatino Linotype" w:hAnsi="Palatino Linotype" w:cs="Palatino Linotype"/>
          <w:b/>
          <w:color w:val="000000"/>
          <w:sz w:val="22"/>
          <w:szCs w:val="22"/>
        </w:rPr>
        <w:t xml:space="preserve">Tercero </w:t>
      </w:r>
      <w:r w:rsidRPr="00416015">
        <w:rPr>
          <w:rFonts w:ascii="Palatino Linotype" w:eastAsia="Palatino Linotype" w:hAnsi="Palatino Linotype" w:cs="Palatino Linotype"/>
          <w:color w:val="000000"/>
          <w:sz w:val="22"/>
          <w:szCs w:val="22"/>
        </w:rPr>
        <w:t>de la presente Resolución.</w:t>
      </w:r>
    </w:p>
    <w:p w14:paraId="1A8367F2" w14:textId="77777777" w:rsidR="007E6EBE" w:rsidRPr="00416015" w:rsidRDefault="00BA3E20">
      <w:pPr>
        <w:spacing w:before="240" w:after="240" w:line="360" w:lineRule="auto"/>
        <w:ind w:right="49"/>
        <w:jc w:val="both"/>
        <w:rPr>
          <w:rFonts w:ascii="Palatino Linotype" w:eastAsia="Palatino Linotype" w:hAnsi="Palatino Linotype" w:cs="Palatino Linotype"/>
          <w:color w:val="000000"/>
          <w:sz w:val="22"/>
          <w:szCs w:val="22"/>
        </w:rPr>
      </w:pPr>
      <w:r w:rsidRPr="00416015">
        <w:rPr>
          <w:rFonts w:ascii="Palatino Linotype" w:eastAsia="Palatino Linotype" w:hAnsi="Palatino Linotype" w:cs="Palatino Linotype"/>
          <w:b/>
          <w:color w:val="000000"/>
          <w:sz w:val="22"/>
          <w:szCs w:val="22"/>
        </w:rPr>
        <w:t>Segundo. Notifíquese vía Sistema de Acceso a la Información Mexiquense</w:t>
      </w:r>
      <w:r w:rsidRPr="00416015">
        <w:rPr>
          <w:rFonts w:ascii="Palatino Linotype" w:eastAsia="Palatino Linotype" w:hAnsi="Palatino Linotype" w:cs="Palatino Linotype"/>
          <w:color w:val="000000"/>
          <w:sz w:val="22"/>
          <w:szCs w:val="22"/>
        </w:rPr>
        <w:t xml:space="preserve"> (</w:t>
      </w:r>
      <w:r w:rsidRPr="00416015">
        <w:rPr>
          <w:rFonts w:ascii="Palatino Linotype" w:eastAsia="Palatino Linotype" w:hAnsi="Palatino Linotype" w:cs="Palatino Linotype"/>
          <w:b/>
          <w:color w:val="000000"/>
          <w:sz w:val="22"/>
          <w:szCs w:val="22"/>
        </w:rPr>
        <w:t>SAIMEX)</w:t>
      </w:r>
      <w:r w:rsidRPr="00416015">
        <w:rPr>
          <w:rFonts w:ascii="Palatino Linotype" w:eastAsia="Palatino Linotype" w:hAnsi="Palatino Linotype" w:cs="Palatino Linotype"/>
          <w:b/>
          <w:i/>
          <w:color w:val="000000"/>
          <w:sz w:val="22"/>
          <w:szCs w:val="22"/>
        </w:rPr>
        <w:t xml:space="preserve">, </w:t>
      </w:r>
      <w:r w:rsidRPr="00416015">
        <w:rPr>
          <w:rFonts w:ascii="Palatino Linotype" w:eastAsia="Palatino Linotype" w:hAnsi="Palatino Linotype" w:cs="Palatino Linotype"/>
          <w:color w:val="000000"/>
          <w:sz w:val="22"/>
          <w:szCs w:val="22"/>
        </w:rPr>
        <w:t xml:space="preserve">al Titular de la Unidad de Transparencia del </w:t>
      </w:r>
      <w:r w:rsidRPr="00416015">
        <w:rPr>
          <w:rFonts w:ascii="Palatino Linotype" w:eastAsia="Palatino Linotype" w:hAnsi="Palatino Linotype" w:cs="Palatino Linotype"/>
          <w:b/>
          <w:color w:val="000000"/>
          <w:sz w:val="22"/>
          <w:szCs w:val="22"/>
        </w:rPr>
        <w:t>Sujeto Obligado</w:t>
      </w:r>
      <w:r w:rsidRPr="00416015">
        <w:rPr>
          <w:rFonts w:ascii="Palatino Linotype" w:eastAsia="Palatino Linotype" w:hAnsi="Palatino Linotype" w:cs="Palatino Linotype"/>
          <w:color w:val="000000"/>
          <w:sz w:val="22"/>
          <w:szCs w:val="22"/>
        </w:rPr>
        <w:t xml:space="preserve"> la presente resolución, para su conocimiento.</w:t>
      </w:r>
    </w:p>
    <w:p w14:paraId="3E376FE1" w14:textId="77777777" w:rsidR="007E6EBE" w:rsidRPr="00416015" w:rsidRDefault="00BA3E20">
      <w:pPr>
        <w:spacing w:before="240" w:after="240" w:line="360" w:lineRule="auto"/>
        <w:jc w:val="both"/>
        <w:rPr>
          <w:rFonts w:ascii="Palatino Linotype" w:eastAsia="Palatino Linotype" w:hAnsi="Palatino Linotype" w:cs="Palatino Linotype"/>
          <w:sz w:val="22"/>
          <w:szCs w:val="22"/>
        </w:rPr>
      </w:pPr>
      <w:r w:rsidRPr="00416015">
        <w:rPr>
          <w:rFonts w:ascii="Palatino Linotype" w:eastAsia="Palatino Linotype" w:hAnsi="Palatino Linotype" w:cs="Palatino Linotype"/>
          <w:b/>
          <w:sz w:val="22"/>
          <w:szCs w:val="22"/>
        </w:rPr>
        <w:t xml:space="preserve">Tercero. Notifíquese vía Sistema de Acceso a la Información Mexiquense (SAIMEX), </w:t>
      </w:r>
      <w:r w:rsidRPr="00416015">
        <w:rPr>
          <w:rFonts w:ascii="Palatino Linotype" w:eastAsia="Palatino Linotype" w:hAnsi="Palatino Linotype" w:cs="Palatino Linotype"/>
          <w:sz w:val="22"/>
          <w:szCs w:val="22"/>
        </w:rPr>
        <w:t xml:space="preserve">la presente resolución a </w:t>
      </w:r>
      <w:r w:rsidRPr="00416015">
        <w:rPr>
          <w:rFonts w:ascii="Palatino Linotype" w:eastAsia="Palatino Linotype" w:hAnsi="Palatino Linotype" w:cs="Palatino Linotype"/>
          <w:b/>
          <w:sz w:val="22"/>
          <w:szCs w:val="22"/>
        </w:rPr>
        <w:t>la parte Recurrente</w:t>
      </w:r>
      <w:r w:rsidRPr="00416015">
        <w:rPr>
          <w:rFonts w:ascii="Palatino Linotype" w:eastAsia="Palatino Linotype" w:hAnsi="Palatino Linotype" w:cs="Palatino Linotype"/>
          <w:sz w:val="22"/>
          <w:szCs w:val="22"/>
        </w:rPr>
        <w:t xml:space="preserve">, así como que podrá impugnarla vía </w:t>
      </w:r>
      <w:r w:rsidRPr="00416015">
        <w:rPr>
          <w:rFonts w:ascii="Palatino Linotype" w:eastAsia="Palatino Linotype" w:hAnsi="Palatino Linotype" w:cs="Palatino Linotype"/>
          <w:b/>
          <w:sz w:val="22"/>
          <w:szCs w:val="22"/>
        </w:rPr>
        <w:t>Juicio de Amparo</w:t>
      </w:r>
      <w:r w:rsidRPr="00416015">
        <w:rPr>
          <w:rFonts w:ascii="Palatino Linotype" w:eastAsia="Palatino Linotype" w:hAnsi="Palatino Linotype" w:cs="Palatino Linotype"/>
          <w:sz w:val="22"/>
          <w:szCs w:val="22"/>
        </w:rPr>
        <w:t xml:space="preserve"> en los términos de las leyes aplicables, de conformidad con lo establecido en el artículo 196 de la Ley de Transparencia y Acceso a la Información Pública del Estado de México y Municipios. </w:t>
      </w:r>
    </w:p>
    <w:p w14:paraId="6FCBD0B8" w14:textId="77777777" w:rsidR="007E6EBE" w:rsidRDefault="00BA3E20">
      <w:pPr>
        <w:spacing w:line="360" w:lineRule="auto"/>
        <w:jc w:val="both"/>
        <w:rPr>
          <w:rFonts w:ascii="Palatino Linotype" w:eastAsia="Palatino Linotype" w:hAnsi="Palatino Linotype" w:cs="Palatino Linotype"/>
        </w:rPr>
      </w:pPr>
      <w:bookmarkStart w:id="8" w:name="_heading=h.lnxbz9" w:colFirst="0" w:colLast="0"/>
      <w:bookmarkEnd w:id="8"/>
      <w:r w:rsidRPr="0041601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Pr="00416015">
        <w:rPr>
          <w:rFonts w:ascii="Palatino Linotype" w:eastAsia="Palatino Linotype" w:hAnsi="Palatino Linotype" w:cs="Palatino Linotype"/>
        </w:rPr>
        <w:lastRenderedPageBreak/>
        <w:t>SEGUNDA SESIÓN ORDINARIA, CELEBRADA EL DOS DE ABRIL DE DOS MIL VEINTICINCO, ANTE EL SECRETARIO TÉCNICO DEL PLENO ALEXIS TAPIA RAMÍREZ.</w:t>
      </w:r>
      <w:r>
        <w:rPr>
          <w:rFonts w:ascii="Palatino Linotype" w:eastAsia="Palatino Linotype" w:hAnsi="Palatino Linotype" w:cs="Palatino Linotype"/>
        </w:rPr>
        <w:t xml:space="preserve"> </w:t>
      </w:r>
    </w:p>
    <w:p w14:paraId="791315B5" w14:textId="77777777" w:rsidR="007E6EBE" w:rsidRDefault="007E6EBE">
      <w:pPr>
        <w:rPr>
          <w:rFonts w:ascii="Palatino Linotype" w:eastAsia="Palatino Linotype" w:hAnsi="Palatino Linotype" w:cs="Palatino Linotype"/>
        </w:rPr>
      </w:pPr>
    </w:p>
    <w:p w14:paraId="6C34AC20" w14:textId="77777777" w:rsidR="007E6EBE" w:rsidRDefault="007E6EBE">
      <w:pPr>
        <w:rPr>
          <w:rFonts w:ascii="Palatino Linotype" w:eastAsia="Palatino Linotype" w:hAnsi="Palatino Linotype" w:cs="Palatino Linotype"/>
        </w:rPr>
      </w:pPr>
    </w:p>
    <w:p w14:paraId="3BBC2CB4" w14:textId="77777777" w:rsidR="007E6EBE" w:rsidRDefault="007E6EBE">
      <w:pPr>
        <w:spacing w:line="360" w:lineRule="auto"/>
        <w:jc w:val="both"/>
        <w:rPr>
          <w:rFonts w:ascii="Palatino Linotype" w:eastAsia="Palatino Linotype" w:hAnsi="Palatino Linotype" w:cs="Palatino Linotype"/>
        </w:rPr>
      </w:pPr>
      <w:bookmarkStart w:id="9" w:name="_heading=h.3rdcrjn" w:colFirst="0" w:colLast="0"/>
      <w:bookmarkEnd w:id="9"/>
    </w:p>
    <w:p w14:paraId="3D0BD094" w14:textId="77777777" w:rsidR="007E6EBE" w:rsidRDefault="007E6EBE">
      <w:pPr>
        <w:spacing w:line="360" w:lineRule="auto"/>
        <w:jc w:val="both"/>
        <w:rPr>
          <w:rFonts w:ascii="Palatino Linotype" w:eastAsia="Palatino Linotype" w:hAnsi="Palatino Linotype" w:cs="Palatino Linotype"/>
        </w:rPr>
      </w:pPr>
    </w:p>
    <w:p w14:paraId="094D99C8" w14:textId="77777777" w:rsidR="007E6EBE" w:rsidRDefault="007E6EBE">
      <w:pPr>
        <w:spacing w:line="360" w:lineRule="auto"/>
        <w:jc w:val="both"/>
        <w:rPr>
          <w:rFonts w:ascii="Palatino Linotype" w:eastAsia="Palatino Linotype" w:hAnsi="Palatino Linotype" w:cs="Palatino Linotype"/>
        </w:rPr>
      </w:pPr>
    </w:p>
    <w:p w14:paraId="0111433C" w14:textId="77777777" w:rsidR="007E6EBE" w:rsidRDefault="007E6EBE">
      <w:pPr>
        <w:spacing w:line="360" w:lineRule="auto"/>
        <w:jc w:val="both"/>
        <w:rPr>
          <w:rFonts w:ascii="Palatino Linotype" w:eastAsia="Palatino Linotype" w:hAnsi="Palatino Linotype" w:cs="Palatino Linotype"/>
        </w:rPr>
      </w:pPr>
      <w:bookmarkStart w:id="10" w:name="_heading=h.1t3h5sf" w:colFirst="0" w:colLast="0"/>
      <w:bookmarkEnd w:id="10"/>
    </w:p>
    <w:p w14:paraId="0E4D0368" w14:textId="77777777" w:rsidR="007E6EBE" w:rsidRDefault="007E6EBE">
      <w:pPr>
        <w:spacing w:line="360" w:lineRule="auto"/>
        <w:jc w:val="both"/>
        <w:rPr>
          <w:rFonts w:ascii="Palatino Linotype" w:eastAsia="Palatino Linotype" w:hAnsi="Palatino Linotype" w:cs="Palatino Linotype"/>
        </w:rPr>
      </w:pPr>
    </w:p>
    <w:p w14:paraId="3B885F82" w14:textId="77777777" w:rsidR="007E6EBE" w:rsidRDefault="007E6EBE">
      <w:pPr>
        <w:spacing w:line="360" w:lineRule="auto"/>
        <w:jc w:val="both"/>
        <w:rPr>
          <w:rFonts w:ascii="Palatino Linotype" w:eastAsia="Palatino Linotype" w:hAnsi="Palatino Linotype" w:cs="Palatino Linotype"/>
        </w:rPr>
      </w:pPr>
    </w:p>
    <w:p w14:paraId="79C4E271" w14:textId="77777777" w:rsidR="007E6EBE" w:rsidRDefault="007E6EBE">
      <w:pPr>
        <w:spacing w:line="360" w:lineRule="auto"/>
        <w:jc w:val="both"/>
        <w:rPr>
          <w:rFonts w:ascii="Palatino Linotype" w:eastAsia="Palatino Linotype" w:hAnsi="Palatino Linotype" w:cs="Palatino Linotype"/>
        </w:rPr>
      </w:pPr>
    </w:p>
    <w:p w14:paraId="112FF3E7" w14:textId="77777777" w:rsidR="007E6EBE" w:rsidRDefault="007E6EBE">
      <w:pPr>
        <w:spacing w:line="360" w:lineRule="auto"/>
        <w:jc w:val="both"/>
        <w:rPr>
          <w:rFonts w:ascii="Palatino Linotype" w:eastAsia="Palatino Linotype" w:hAnsi="Palatino Linotype" w:cs="Palatino Linotype"/>
        </w:rPr>
      </w:pPr>
    </w:p>
    <w:p w14:paraId="77AC994A" w14:textId="77777777" w:rsidR="007E6EBE" w:rsidRDefault="007E6EBE">
      <w:pPr>
        <w:spacing w:line="360" w:lineRule="auto"/>
        <w:jc w:val="both"/>
        <w:rPr>
          <w:rFonts w:ascii="Palatino Linotype" w:eastAsia="Palatino Linotype" w:hAnsi="Palatino Linotype" w:cs="Palatino Linotype"/>
        </w:rPr>
      </w:pPr>
    </w:p>
    <w:p w14:paraId="3381AAD0" w14:textId="77777777" w:rsidR="007E6EBE" w:rsidRDefault="007E6EBE">
      <w:pPr>
        <w:spacing w:line="360" w:lineRule="auto"/>
        <w:jc w:val="both"/>
        <w:rPr>
          <w:rFonts w:ascii="Palatino Linotype" w:eastAsia="Palatino Linotype" w:hAnsi="Palatino Linotype" w:cs="Palatino Linotype"/>
        </w:rPr>
      </w:pPr>
    </w:p>
    <w:p w14:paraId="1082BC04" w14:textId="77777777" w:rsidR="007E6EBE" w:rsidRDefault="007E6EBE">
      <w:pPr>
        <w:spacing w:line="360" w:lineRule="auto"/>
        <w:jc w:val="both"/>
        <w:rPr>
          <w:rFonts w:ascii="Palatino Linotype" w:eastAsia="Palatino Linotype" w:hAnsi="Palatino Linotype" w:cs="Palatino Linotype"/>
        </w:rPr>
      </w:pPr>
    </w:p>
    <w:p w14:paraId="02739FC0" w14:textId="77777777" w:rsidR="007E6EBE" w:rsidRDefault="007E6EBE">
      <w:pPr>
        <w:spacing w:line="360" w:lineRule="auto"/>
        <w:jc w:val="both"/>
        <w:rPr>
          <w:rFonts w:ascii="Palatino Linotype" w:eastAsia="Palatino Linotype" w:hAnsi="Palatino Linotype" w:cs="Palatino Linotype"/>
        </w:rPr>
      </w:pPr>
    </w:p>
    <w:p w14:paraId="28C4485E" w14:textId="77777777" w:rsidR="007E6EBE" w:rsidRDefault="007E6EBE">
      <w:pPr>
        <w:spacing w:line="360" w:lineRule="auto"/>
        <w:jc w:val="both"/>
        <w:rPr>
          <w:rFonts w:ascii="Palatino Linotype" w:eastAsia="Palatino Linotype" w:hAnsi="Palatino Linotype" w:cs="Palatino Linotype"/>
        </w:rPr>
      </w:pPr>
    </w:p>
    <w:p w14:paraId="0D18F9CC" w14:textId="77777777" w:rsidR="007E6EBE" w:rsidRDefault="007E6EBE">
      <w:pPr>
        <w:spacing w:line="360" w:lineRule="auto"/>
        <w:jc w:val="both"/>
        <w:rPr>
          <w:rFonts w:ascii="Palatino Linotype" w:eastAsia="Palatino Linotype" w:hAnsi="Palatino Linotype" w:cs="Palatino Linotype"/>
        </w:rPr>
      </w:pPr>
    </w:p>
    <w:p w14:paraId="1233C1B5" w14:textId="77777777" w:rsidR="007E6EBE" w:rsidRDefault="007E6EBE">
      <w:pPr>
        <w:spacing w:line="360" w:lineRule="auto"/>
        <w:jc w:val="both"/>
        <w:rPr>
          <w:rFonts w:ascii="Palatino Linotype" w:eastAsia="Palatino Linotype" w:hAnsi="Palatino Linotype" w:cs="Palatino Linotype"/>
        </w:rPr>
      </w:pPr>
    </w:p>
    <w:p w14:paraId="669AF1E0" w14:textId="77777777" w:rsidR="007E6EBE" w:rsidRDefault="007E6EBE">
      <w:pPr>
        <w:spacing w:line="360" w:lineRule="auto"/>
        <w:jc w:val="both"/>
        <w:rPr>
          <w:rFonts w:ascii="Palatino Linotype" w:eastAsia="Palatino Linotype" w:hAnsi="Palatino Linotype" w:cs="Palatino Linotype"/>
        </w:rPr>
      </w:pPr>
    </w:p>
    <w:p w14:paraId="613E1642" w14:textId="77777777" w:rsidR="007E6EBE" w:rsidRDefault="007E6EBE">
      <w:pPr>
        <w:spacing w:line="360" w:lineRule="auto"/>
        <w:jc w:val="both"/>
        <w:rPr>
          <w:rFonts w:ascii="Palatino Linotype" w:eastAsia="Palatino Linotype" w:hAnsi="Palatino Linotype" w:cs="Palatino Linotype"/>
        </w:rPr>
      </w:pPr>
    </w:p>
    <w:p w14:paraId="25E8D3CB" w14:textId="77777777" w:rsidR="007E6EBE" w:rsidRDefault="007E6EBE">
      <w:pPr>
        <w:spacing w:line="360" w:lineRule="auto"/>
        <w:jc w:val="both"/>
        <w:rPr>
          <w:rFonts w:ascii="Palatino Linotype" w:eastAsia="Palatino Linotype" w:hAnsi="Palatino Linotype" w:cs="Palatino Linotype"/>
        </w:rPr>
      </w:pPr>
    </w:p>
    <w:p w14:paraId="7011E936" w14:textId="77777777" w:rsidR="007E6EBE" w:rsidRDefault="007E6EBE">
      <w:pPr>
        <w:spacing w:line="360" w:lineRule="auto"/>
        <w:jc w:val="both"/>
        <w:rPr>
          <w:rFonts w:ascii="Palatino Linotype" w:eastAsia="Palatino Linotype" w:hAnsi="Palatino Linotype" w:cs="Palatino Linotype"/>
        </w:rPr>
      </w:pPr>
    </w:p>
    <w:p w14:paraId="7A2CADFB" w14:textId="77777777" w:rsidR="007E6EBE" w:rsidRDefault="007E6EBE">
      <w:pPr>
        <w:spacing w:line="360" w:lineRule="auto"/>
        <w:jc w:val="both"/>
        <w:rPr>
          <w:rFonts w:ascii="Palatino Linotype" w:eastAsia="Palatino Linotype" w:hAnsi="Palatino Linotype" w:cs="Palatino Linotype"/>
        </w:rPr>
      </w:pPr>
    </w:p>
    <w:p w14:paraId="1F1B6FA5" w14:textId="77777777" w:rsidR="007E6EBE" w:rsidRDefault="007E6EBE">
      <w:pPr>
        <w:spacing w:line="360" w:lineRule="auto"/>
        <w:jc w:val="both"/>
        <w:rPr>
          <w:rFonts w:ascii="Palatino Linotype" w:eastAsia="Palatino Linotype" w:hAnsi="Palatino Linotype" w:cs="Palatino Linotype"/>
        </w:rPr>
      </w:pPr>
    </w:p>
    <w:p w14:paraId="7A96D159" w14:textId="77777777" w:rsidR="007E6EBE" w:rsidRDefault="007E6EBE">
      <w:pPr>
        <w:spacing w:line="360" w:lineRule="auto"/>
        <w:jc w:val="both"/>
        <w:rPr>
          <w:rFonts w:ascii="Palatino Linotype" w:eastAsia="Palatino Linotype" w:hAnsi="Palatino Linotype" w:cs="Palatino Linotype"/>
        </w:rPr>
      </w:pPr>
    </w:p>
    <w:p w14:paraId="06EA3D52" w14:textId="77777777" w:rsidR="007E6EBE" w:rsidRDefault="007E6EBE">
      <w:pPr>
        <w:spacing w:line="360" w:lineRule="auto"/>
        <w:jc w:val="both"/>
        <w:rPr>
          <w:rFonts w:ascii="Palatino Linotype" w:eastAsia="Palatino Linotype" w:hAnsi="Palatino Linotype" w:cs="Palatino Linotype"/>
        </w:rPr>
      </w:pPr>
    </w:p>
    <w:sectPr w:rsidR="007E6EBE">
      <w:headerReference w:type="default" r:id="rId27"/>
      <w:footerReference w:type="default" r:id="rId28"/>
      <w:headerReference w:type="first" r:id="rId29"/>
      <w:footerReference w:type="first" r:id="rId30"/>
      <w:pgSz w:w="12240" w:h="15840"/>
      <w:pgMar w:top="1985" w:right="1467"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98123" w14:textId="77777777" w:rsidR="00BA3E20" w:rsidRDefault="00BA3E20">
      <w:r>
        <w:separator/>
      </w:r>
    </w:p>
  </w:endnote>
  <w:endnote w:type="continuationSeparator" w:id="0">
    <w:p w14:paraId="1F8A3309" w14:textId="77777777" w:rsidR="00BA3E20" w:rsidRDefault="00BA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8109" w14:textId="77777777" w:rsidR="007E6EBE" w:rsidRDefault="00BA3E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16015">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16015">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1502457" w14:textId="77777777" w:rsidR="007E6EBE" w:rsidRDefault="007E6EB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9F42" w14:textId="77777777" w:rsidR="007E6EBE" w:rsidRDefault="00BA3E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1601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16015">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10989546" w14:textId="77777777" w:rsidR="007E6EBE" w:rsidRDefault="007E6EB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7229" w14:textId="77777777" w:rsidR="00BA3E20" w:rsidRDefault="00BA3E20">
      <w:r>
        <w:separator/>
      </w:r>
    </w:p>
  </w:footnote>
  <w:footnote w:type="continuationSeparator" w:id="0">
    <w:p w14:paraId="1B124880" w14:textId="77777777" w:rsidR="00BA3E20" w:rsidRDefault="00BA3E20">
      <w:r>
        <w:continuationSeparator/>
      </w:r>
    </w:p>
  </w:footnote>
  <w:footnote w:id="1">
    <w:p w14:paraId="336AA58F" w14:textId="77777777" w:rsidR="007E6EBE" w:rsidRDefault="00BA3E2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1D5E2EC0" w14:textId="77777777" w:rsidR="007E6EBE" w:rsidRDefault="00BA3E2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41344062" w14:textId="77777777" w:rsidR="007E6EBE" w:rsidRDefault="00BA3E2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0C96D821" w14:textId="77777777" w:rsidR="007E6EBE" w:rsidRDefault="00BA3E2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11EE2C61" w14:textId="77777777" w:rsidR="007E6EBE" w:rsidRDefault="00BA3E20">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6E5C" w14:textId="77777777" w:rsidR="007E6EBE" w:rsidRDefault="00BA3E20">
    <w:pPr>
      <w:rPr>
        <w:rFonts w:ascii="Cambria" w:eastAsia="Cambria" w:hAnsi="Cambria" w:cs="Cambria"/>
        <w:color w:val="000000"/>
      </w:rPr>
    </w:pPr>
    <w:r>
      <w:rPr>
        <w:noProof/>
      </w:rPr>
      <w:drawing>
        <wp:anchor distT="0" distB="0" distL="0" distR="0" simplePos="0" relativeHeight="251658240" behindDoc="1" locked="0" layoutInCell="1" hidden="0" allowOverlap="1" wp14:anchorId="4A6F8F09" wp14:editId="34CF3C10">
          <wp:simplePos x="0" y="0"/>
          <wp:positionH relativeFrom="column">
            <wp:posOffset>-1080108</wp:posOffset>
          </wp:positionH>
          <wp:positionV relativeFrom="paragraph">
            <wp:posOffset>-488282</wp:posOffset>
          </wp:positionV>
          <wp:extent cx="7809865" cy="10165715"/>
          <wp:effectExtent l="0" t="0" r="0" b="0"/>
          <wp:wrapNone/>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7087" w:type="dxa"/>
      <w:tblInd w:w="3261" w:type="dxa"/>
      <w:tblLayout w:type="fixed"/>
      <w:tblLook w:val="0400" w:firstRow="0" w:lastRow="0" w:firstColumn="0" w:lastColumn="0" w:noHBand="0" w:noVBand="1"/>
    </w:tblPr>
    <w:tblGrid>
      <w:gridCol w:w="2489"/>
      <w:gridCol w:w="4598"/>
    </w:tblGrid>
    <w:tr w:rsidR="007E6EBE" w14:paraId="08D1DF4F" w14:textId="77777777">
      <w:tc>
        <w:tcPr>
          <w:tcW w:w="2489" w:type="dxa"/>
          <w:shd w:val="clear" w:color="auto" w:fill="auto"/>
        </w:tcPr>
        <w:p w14:paraId="1DF296A4"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E89D589" w14:textId="77777777" w:rsidR="007E6EBE" w:rsidRDefault="00BA3E2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01274/INFOEM/IP/RR/2025</w:t>
          </w:r>
        </w:p>
      </w:tc>
    </w:tr>
    <w:tr w:rsidR="007E6EBE" w14:paraId="649CBA3C" w14:textId="77777777">
      <w:trPr>
        <w:trHeight w:val="228"/>
      </w:trPr>
      <w:tc>
        <w:tcPr>
          <w:tcW w:w="2489" w:type="dxa"/>
          <w:shd w:val="clear" w:color="auto" w:fill="auto"/>
          <w:vAlign w:val="center"/>
        </w:tcPr>
        <w:p w14:paraId="76709AF5"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8F5B139" w14:textId="77777777" w:rsidR="007E6EBE" w:rsidRDefault="00BA3E20">
          <w:pPr>
            <w:ind w:left="-45" w:right="11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7E6EBE" w14:paraId="1CEA6AEF" w14:textId="77777777">
      <w:tc>
        <w:tcPr>
          <w:tcW w:w="2489" w:type="dxa"/>
          <w:shd w:val="clear" w:color="auto" w:fill="auto"/>
          <w:vAlign w:val="center"/>
        </w:tcPr>
        <w:p w14:paraId="6BA18A87" w14:textId="77777777" w:rsidR="007E6EBE" w:rsidRDefault="00BA3E2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F4C4B1D" w14:textId="77777777" w:rsidR="007E6EBE" w:rsidRDefault="00BA3E2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150CAB" w14:textId="77777777" w:rsidR="007E6EBE" w:rsidRDefault="00BA3E2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8D57" w14:textId="77777777" w:rsidR="007E6EBE" w:rsidRDefault="00BA3E2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D400BF4" wp14:editId="6D1756D2">
          <wp:simplePos x="0" y="0"/>
          <wp:positionH relativeFrom="column">
            <wp:posOffset>-1079486</wp:posOffset>
          </wp:positionH>
          <wp:positionV relativeFrom="paragraph">
            <wp:posOffset>-328914</wp:posOffset>
          </wp:positionV>
          <wp:extent cx="7809865" cy="10165715"/>
          <wp:effectExtent l="0" t="0" r="0" b="0"/>
          <wp:wrapNone/>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d"/>
      <w:tblW w:w="6945" w:type="dxa"/>
      <w:tblInd w:w="3261" w:type="dxa"/>
      <w:tblLayout w:type="fixed"/>
      <w:tblLook w:val="0400" w:firstRow="0" w:lastRow="0" w:firstColumn="0" w:lastColumn="0" w:noHBand="0" w:noVBand="1"/>
    </w:tblPr>
    <w:tblGrid>
      <w:gridCol w:w="2551"/>
      <w:gridCol w:w="4394"/>
    </w:tblGrid>
    <w:tr w:rsidR="007E6EBE" w14:paraId="3B31FFBE" w14:textId="77777777">
      <w:tc>
        <w:tcPr>
          <w:tcW w:w="2551" w:type="dxa"/>
          <w:shd w:val="clear" w:color="auto" w:fill="auto"/>
          <w:vAlign w:val="center"/>
        </w:tcPr>
        <w:p w14:paraId="6AE402E4"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84FDF30" w14:textId="77777777" w:rsidR="007E6EBE" w:rsidRDefault="00BA3E2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01274/INFOEM/IP/RR/2025</w:t>
          </w:r>
        </w:p>
      </w:tc>
    </w:tr>
    <w:tr w:rsidR="007E6EBE" w14:paraId="31FF33A7" w14:textId="77777777">
      <w:trPr>
        <w:trHeight w:val="130"/>
      </w:trPr>
      <w:tc>
        <w:tcPr>
          <w:tcW w:w="2551" w:type="dxa"/>
          <w:shd w:val="clear" w:color="auto" w:fill="auto"/>
          <w:vAlign w:val="center"/>
        </w:tcPr>
        <w:p w14:paraId="082CE48F"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D48EED5" w14:textId="77777777" w:rsidR="007E6EBE" w:rsidRDefault="007E6EBE">
          <w:pPr>
            <w:ind w:left="-45" w:right="1302"/>
            <w:jc w:val="both"/>
            <w:rPr>
              <w:rFonts w:ascii="Palatino Linotype" w:eastAsia="Palatino Linotype" w:hAnsi="Palatino Linotype" w:cs="Palatino Linotype"/>
              <w:b/>
              <w:sz w:val="22"/>
              <w:szCs w:val="22"/>
            </w:rPr>
          </w:pPr>
        </w:p>
      </w:tc>
    </w:tr>
    <w:tr w:rsidR="007E6EBE" w14:paraId="58797F37" w14:textId="77777777">
      <w:trPr>
        <w:trHeight w:val="228"/>
      </w:trPr>
      <w:tc>
        <w:tcPr>
          <w:tcW w:w="2551" w:type="dxa"/>
          <w:shd w:val="clear" w:color="auto" w:fill="auto"/>
          <w:vAlign w:val="center"/>
        </w:tcPr>
        <w:p w14:paraId="266D5214"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4AF29CE3" w14:textId="77777777" w:rsidR="007E6EBE" w:rsidRDefault="00BA3E20">
          <w:pPr>
            <w:ind w:left="-4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7E6EBE" w14:paraId="42C5811D" w14:textId="77777777">
      <w:tc>
        <w:tcPr>
          <w:tcW w:w="2551" w:type="dxa"/>
          <w:shd w:val="clear" w:color="auto" w:fill="auto"/>
          <w:vAlign w:val="center"/>
        </w:tcPr>
        <w:p w14:paraId="48123726" w14:textId="77777777" w:rsidR="007E6EBE" w:rsidRDefault="00BA3E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DDA824B" w14:textId="77777777" w:rsidR="007E6EBE" w:rsidRDefault="00BA3E2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F717C4" w14:textId="77777777" w:rsidR="007E6EBE" w:rsidRDefault="007E6EBE">
    <w:pPr>
      <w:pBdr>
        <w:top w:val="nil"/>
        <w:left w:val="nil"/>
        <w:bottom w:val="nil"/>
        <w:right w:val="nil"/>
        <w:between w:val="nil"/>
      </w:pBdr>
      <w:tabs>
        <w:tab w:val="center" w:pos="4252"/>
        <w:tab w:val="right" w:pos="8504"/>
      </w:tabs>
      <w:rPr>
        <w:rFonts w:ascii="Cambria" w:eastAsia="Cambria" w:hAnsi="Cambria" w:cs="Cambria"/>
        <w:color w:val="000000"/>
      </w:rPr>
    </w:pPr>
  </w:p>
  <w:p w14:paraId="7B57990F" w14:textId="77777777" w:rsidR="007E6EBE" w:rsidRDefault="007E6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D8"/>
    <w:multiLevelType w:val="multilevel"/>
    <w:tmpl w:val="1140133C"/>
    <w:lvl w:ilvl="0">
      <w:start w:val="1"/>
      <w:numFmt w:val="upperLetter"/>
      <w:lvlText w:val="%1)"/>
      <w:lvlJc w:val="left"/>
      <w:pPr>
        <w:ind w:left="502"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22FB5"/>
    <w:multiLevelType w:val="multilevel"/>
    <w:tmpl w:val="043AA5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8B3B3D"/>
    <w:multiLevelType w:val="multilevel"/>
    <w:tmpl w:val="B1EE88C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1AE0FEF"/>
    <w:multiLevelType w:val="multilevel"/>
    <w:tmpl w:val="E186950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46D78AB"/>
    <w:multiLevelType w:val="multilevel"/>
    <w:tmpl w:val="1A42C3E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FF40AAB"/>
    <w:multiLevelType w:val="multilevel"/>
    <w:tmpl w:val="F6781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592B0D"/>
    <w:multiLevelType w:val="multilevel"/>
    <w:tmpl w:val="8B501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EBE"/>
    <w:rsid w:val="003A7A57"/>
    <w:rsid w:val="00416015"/>
    <w:rsid w:val="007E6EBE"/>
    <w:rsid w:val="00BA3E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01F47"/>
  <w15:docId w15:val="{9FF39DA5-30F4-47CB-81CE-56E6A91E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22"/>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610FDA"/>
    <w:pPr>
      <w:numPr>
        <w:numId w:val="7"/>
      </w:numPr>
      <w:contextualSpacing/>
    </w:pPr>
    <w:rPr>
      <w:lang w:val="es-ES"/>
    </w:r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em2.ipomex.org.mx/ipomex/"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infoem2.ipomex.org.mx/ipomex/"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zJUlbS+2VauTBKLyhn5dwXGA==">CgMxLjAyCWguMWZvYjl0ZTIIaC5namRneHMyCWguM2R5NnZrbTIJaC4zMGowemxsMgloLjJzOGV5bzEyCGgudHlqY3d0MgloLjN6bnlzaDcyCWguMTdkcDh2dTIIaC5sbnhiejkyCWguM3JkY3JqbjIJaC4xdDNoNXNmOAByITFqc3RXRUowTWRiSDNaMjlEVWdDTzRkdzF3OUl4eHVSbA==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8120</Words>
  <Characters>44665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2025-04-04T16:00:00Z</cp:lastPrinted>
  <dcterms:created xsi:type="dcterms:W3CDTF">2025-04-21T20:23:00Z</dcterms:created>
  <dcterms:modified xsi:type="dcterms:W3CDTF">2025-04-21T20:23:00Z</dcterms:modified>
</cp:coreProperties>
</file>