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6FA1" w:rsidRPr="00360A9A" w:rsidRDefault="00920AA1" w:rsidP="00B810E8">
      <w:pPr>
        <w:tabs>
          <w:tab w:val="left" w:pos="3465"/>
        </w:tabs>
        <w:spacing w:line="360" w:lineRule="auto"/>
        <w:jc w:val="both"/>
        <w:rPr>
          <w:rFonts w:ascii="Palatino Linotype" w:eastAsia="Palatino Linotype" w:hAnsi="Palatino Linotype" w:cs="Palatino Linotype"/>
        </w:rPr>
      </w:pPr>
      <w:r w:rsidRPr="00360A9A">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w:t>
      </w:r>
      <w:r w:rsidR="001713C0" w:rsidRPr="00360A9A">
        <w:rPr>
          <w:rFonts w:ascii="Palatino Linotype" w:eastAsia="Palatino Linotype" w:hAnsi="Palatino Linotype" w:cs="Palatino Linotype"/>
        </w:rPr>
        <w:t xml:space="preserve">ado de México; de fecha </w:t>
      </w:r>
      <w:r w:rsidR="005A41AF" w:rsidRPr="00360A9A">
        <w:rPr>
          <w:rFonts w:ascii="Palatino Linotype" w:eastAsia="Palatino Linotype" w:hAnsi="Palatino Linotype" w:cs="Palatino Linotype"/>
        </w:rPr>
        <w:t>seis</w:t>
      </w:r>
      <w:r w:rsidRPr="00360A9A">
        <w:rPr>
          <w:rFonts w:ascii="Palatino Linotype" w:eastAsia="Palatino Linotype" w:hAnsi="Palatino Linotype" w:cs="Palatino Linotype"/>
        </w:rPr>
        <w:t xml:space="preserve"> de </w:t>
      </w:r>
      <w:r w:rsidR="005A41AF" w:rsidRPr="00360A9A">
        <w:rPr>
          <w:rFonts w:ascii="Palatino Linotype" w:eastAsia="Palatino Linotype" w:hAnsi="Palatino Linotype" w:cs="Palatino Linotype"/>
        </w:rPr>
        <w:t>febre</w:t>
      </w:r>
      <w:r w:rsidRPr="00360A9A">
        <w:rPr>
          <w:rFonts w:ascii="Palatino Linotype" w:eastAsia="Palatino Linotype" w:hAnsi="Palatino Linotype" w:cs="Palatino Linotype"/>
        </w:rPr>
        <w:t>ro de dos mil veinticinco.</w:t>
      </w:r>
    </w:p>
    <w:p w:rsidR="006D6FA1" w:rsidRPr="00360A9A" w:rsidRDefault="006D6FA1" w:rsidP="00B810E8">
      <w:pPr>
        <w:tabs>
          <w:tab w:val="left" w:pos="3465"/>
        </w:tabs>
        <w:spacing w:line="360" w:lineRule="auto"/>
        <w:jc w:val="both"/>
        <w:rPr>
          <w:rFonts w:ascii="Palatino Linotype" w:eastAsia="Palatino Linotype" w:hAnsi="Palatino Linotype" w:cs="Palatino Linotype"/>
        </w:rPr>
      </w:pPr>
    </w:p>
    <w:p w:rsidR="006D6FA1" w:rsidRPr="00360A9A" w:rsidRDefault="00920AA1" w:rsidP="00B810E8">
      <w:pPr>
        <w:spacing w:line="360" w:lineRule="auto"/>
        <w:jc w:val="both"/>
        <w:rPr>
          <w:rFonts w:ascii="Palatino Linotype" w:eastAsia="Palatino Linotype" w:hAnsi="Palatino Linotype" w:cs="Palatino Linotype"/>
        </w:rPr>
      </w:pPr>
      <w:r w:rsidRPr="00360A9A">
        <w:rPr>
          <w:rFonts w:ascii="Palatino Linotype" w:eastAsia="Palatino Linotype" w:hAnsi="Palatino Linotype" w:cs="Palatino Linotype"/>
          <w:b/>
        </w:rPr>
        <w:t xml:space="preserve">VISTAS </w:t>
      </w:r>
      <w:r w:rsidRPr="00360A9A">
        <w:rPr>
          <w:rFonts w:ascii="Palatino Linotype" w:eastAsia="Palatino Linotype" w:hAnsi="Palatino Linotype" w:cs="Palatino Linotype"/>
        </w:rPr>
        <w:t xml:space="preserve">las constancias para resolver el Recurso de Revisión </w:t>
      </w:r>
      <w:r w:rsidR="005A41AF" w:rsidRPr="00360A9A">
        <w:rPr>
          <w:rFonts w:ascii="Palatino Linotype" w:eastAsia="Palatino Linotype" w:hAnsi="Palatino Linotype" w:cs="Palatino Linotype"/>
          <w:b/>
        </w:rPr>
        <w:t>05613/INFOEM</w:t>
      </w:r>
      <w:r w:rsidR="003B6E4C" w:rsidRPr="00360A9A">
        <w:rPr>
          <w:rFonts w:ascii="Palatino Linotype" w:eastAsia="Palatino Linotype" w:hAnsi="Palatino Linotype" w:cs="Palatino Linotype"/>
          <w:b/>
        </w:rPr>
        <w:t>/IP/RR/2024</w:t>
      </w:r>
      <w:r w:rsidRPr="00360A9A">
        <w:rPr>
          <w:rFonts w:ascii="Palatino Linotype" w:eastAsia="Palatino Linotype" w:hAnsi="Palatino Linotype" w:cs="Palatino Linotype"/>
          <w:b/>
        </w:rPr>
        <w:t>,</w:t>
      </w:r>
      <w:r w:rsidRPr="00360A9A">
        <w:rPr>
          <w:rFonts w:ascii="Palatino Linotype" w:eastAsia="Palatino Linotype" w:hAnsi="Palatino Linotype" w:cs="Palatino Linotype"/>
        </w:rPr>
        <w:t xml:space="preserve"> presentado por </w:t>
      </w:r>
      <w:r w:rsidR="00C26672">
        <w:rPr>
          <w:rFonts w:ascii="Palatino Linotype" w:eastAsia="Palatino Linotype" w:hAnsi="Palatino Linotype" w:cs="Palatino Linotype"/>
          <w:b/>
          <w:i/>
          <w:color w:val="000000"/>
        </w:rPr>
        <w:t xml:space="preserve">XXXX </w:t>
      </w:r>
      <w:proofErr w:type="spellStart"/>
      <w:r w:rsidR="00C26672">
        <w:rPr>
          <w:rFonts w:ascii="Palatino Linotype" w:eastAsia="Palatino Linotype" w:hAnsi="Palatino Linotype" w:cs="Palatino Linotype"/>
          <w:b/>
          <w:i/>
          <w:color w:val="000000"/>
        </w:rPr>
        <w:t>XXXX</w:t>
      </w:r>
      <w:proofErr w:type="spellEnd"/>
      <w:r w:rsidR="00C26672">
        <w:rPr>
          <w:rFonts w:ascii="Palatino Linotype" w:eastAsia="Palatino Linotype" w:hAnsi="Palatino Linotype" w:cs="Palatino Linotype"/>
          <w:b/>
          <w:i/>
          <w:color w:val="000000"/>
        </w:rPr>
        <w:t xml:space="preserve"> </w:t>
      </w:r>
      <w:proofErr w:type="spellStart"/>
      <w:r w:rsidR="00C26672">
        <w:rPr>
          <w:rFonts w:ascii="Palatino Linotype" w:eastAsia="Palatino Linotype" w:hAnsi="Palatino Linotype" w:cs="Palatino Linotype"/>
          <w:b/>
          <w:i/>
          <w:color w:val="000000"/>
        </w:rPr>
        <w:t>XXXX</w:t>
      </w:r>
      <w:proofErr w:type="spellEnd"/>
      <w:r w:rsidR="005A41AF" w:rsidRPr="00360A9A">
        <w:rPr>
          <w:rFonts w:ascii="Palatino Linotype" w:eastAsia="Palatino Linotype" w:hAnsi="Palatino Linotype" w:cs="Palatino Linotype"/>
          <w:b/>
          <w:i/>
          <w:color w:val="000000"/>
        </w:rPr>
        <w:t xml:space="preserve"> </w:t>
      </w:r>
      <w:r w:rsidRPr="00360A9A">
        <w:rPr>
          <w:rFonts w:ascii="Palatino Linotype" w:eastAsia="Palatino Linotype" w:hAnsi="Palatino Linotype" w:cs="Palatino Linotype"/>
          <w:b/>
          <w:color w:val="000000"/>
        </w:rPr>
        <w:t xml:space="preserve"> </w:t>
      </w:r>
      <w:r w:rsidRPr="00360A9A">
        <w:rPr>
          <w:rFonts w:ascii="Palatino Linotype" w:eastAsia="Palatino Linotype" w:hAnsi="Palatino Linotype" w:cs="Palatino Linotype"/>
        </w:rPr>
        <w:t xml:space="preserve">en lo sucesivo el </w:t>
      </w:r>
      <w:r w:rsidRPr="00360A9A">
        <w:rPr>
          <w:rFonts w:ascii="Palatino Linotype" w:eastAsia="Palatino Linotype" w:hAnsi="Palatino Linotype" w:cs="Palatino Linotype"/>
          <w:b/>
        </w:rPr>
        <w:t>Recurrente</w:t>
      </w:r>
      <w:r w:rsidRPr="00360A9A">
        <w:rPr>
          <w:rFonts w:ascii="Palatino Linotype" w:eastAsia="Palatino Linotype" w:hAnsi="Palatino Linotype" w:cs="Palatino Linotype"/>
        </w:rPr>
        <w:t xml:space="preserve">, en contra de la respuesta otorgada a la solicitud de información con número de folio </w:t>
      </w:r>
      <w:r w:rsidR="005A41AF" w:rsidRPr="00360A9A">
        <w:rPr>
          <w:rFonts w:ascii="Palatino Linotype" w:eastAsia="Palatino Linotype" w:hAnsi="Palatino Linotype" w:cs="Palatino Linotype"/>
          <w:b/>
        </w:rPr>
        <w:t>00221/OASCUATIZC/IP/2024</w:t>
      </w:r>
      <w:r w:rsidRPr="00360A9A">
        <w:rPr>
          <w:rFonts w:ascii="Palatino Linotype" w:eastAsia="Palatino Linotype" w:hAnsi="Palatino Linotype" w:cs="Palatino Linotype"/>
        </w:rPr>
        <w:t xml:space="preserve">, por parte del </w:t>
      </w:r>
      <w:r w:rsidR="005A41AF" w:rsidRPr="00360A9A">
        <w:rPr>
          <w:rFonts w:ascii="Palatino Linotype" w:eastAsia="Palatino Linotype" w:hAnsi="Palatino Linotype" w:cs="Palatino Linotype"/>
          <w:b/>
        </w:rPr>
        <w:t>Organismo Público Descentralizado Municipal para la Prestación de Los Servicios de Agua Potable Alcantarillado y Saneamiento de Cuautitlán Izcalli denominado OPERAGUA, O.P.</w:t>
      </w:r>
      <w:r w:rsidRPr="00360A9A">
        <w:rPr>
          <w:rFonts w:ascii="Palatino Linotype" w:eastAsia="Palatino Linotype" w:hAnsi="Palatino Linotype" w:cs="Palatino Linotype"/>
          <w:b/>
        </w:rPr>
        <w:t xml:space="preserve"> </w:t>
      </w:r>
      <w:r w:rsidRPr="00360A9A">
        <w:rPr>
          <w:rFonts w:ascii="Palatino Linotype" w:eastAsia="Palatino Linotype" w:hAnsi="Palatino Linotype" w:cs="Palatino Linotype"/>
        </w:rPr>
        <w:t xml:space="preserve">en adelante el Sujeto Obligado; Se emite la presente </w:t>
      </w:r>
      <w:r w:rsidR="005A41AF" w:rsidRPr="00360A9A">
        <w:rPr>
          <w:rFonts w:ascii="Palatino Linotype" w:eastAsia="Palatino Linotype" w:hAnsi="Palatino Linotype" w:cs="Palatino Linotype"/>
        </w:rPr>
        <w:t>R</w:t>
      </w:r>
      <w:r w:rsidRPr="00360A9A">
        <w:rPr>
          <w:rFonts w:ascii="Palatino Linotype" w:eastAsia="Palatino Linotype" w:hAnsi="Palatino Linotype" w:cs="Palatino Linotype"/>
        </w:rPr>
        <w:t>esolución con base en los siguientes:</w:t>
      </w:r>
    </w:p>
    <w:p w:rsidR="006D6FA1" w:rsidRPr="00360A9A" w:rsidRDefault="006D6FA1" w:rsidP="00B810E8">
      <w:pPr>
        <w:spacing w:line="360" w:lineRule="auto"/>
        <w:jc w:val="both"/>
        <w:rPr>
          <w:rFonts w:ascii="Palatino Linotype" w:eastAsia="Palatino Linotype" w:hAnsi="Palatino Linotype" w:cs="Palatino Linotype"/>
        </w:rPr>
      </w:pPr>
    </w:p>
    <w:p w:rsidR="006D6FA1" w:rsidRPr="00360A9A" w:rsidRDefault="00920AA1" w:rsidP="00B810E8">
      <w:pPr>
        <w:pStyle w:val="Ttulo1"/>
        <w:spacing w:before="0" w:line="360" w:lineRule="auto"/>
        <w:jc w:val="center"/>
        <w:rPr>
          <w:rFonts w:ascii="Palatino Linotype" w:eastAsia="Palatino Linotype" w:hAnsi="Palatino Linotype" w:cs="Palatino Linotype"/>
          <w:b/>
          <w:color w:val="000000"/>
          <w:sz w:val="24"/>
          <w:szCs w:val="24"/>
        </w:rPr>
      </w:pPr>
      <w:bookmarkStart w:id="0" w:name="_heading=h.gjdgxs" w:colFirst="0" w:colLast="0"/>
      <w:bookmarkEnd w:id="0"/>
      <w:r w:rsidRPr="00360A9A">
        <w:rPr>
          <w:rFonts w:ascii="Palatino Linotype" w:eastAsia="Palatino Linotype" w:hAnsi="Palatino Linotype" w:cs="Palatino Linotype"/>
          <w:b/>
          <w:color w:val="000000"/>
          <w:sz w:val="24"/>
          <w:szCs w:val="24"/>
        </w:rPr>
        <w:t>ANTECEDENTES</w:t>
      </w:r>
    </w:p>
    <w:p w:rsidR="006D6FA1" w:rsidRPr="00360A9A" w:rsidRDefault="006D6FA1" w:rsidP="00B810E8">
      <w:pPr>
        <w:spacing w:line="360" w:lineRule="auto"/>
        <w:rPr>
          <w:rFonts w:ascii="Palatino Linotype" w:eastAsia="Palatino Linotype" w:hAnsi="Palatino Linotype" w:cs="Palatino Linotype"/>
        </w:rPr>
      </w:pPr>
    </w:p>
    <w:p w:rsidR="006D6FA1" w:rsidRPr="00360A9A" w:rsidRDefault="00920AA1" w:rsidP="00B810E8">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b/>
          <w:color w:val="000000"/>
          <w:u w:val="single"/>
        </w:rPr>
      </w:pPr>
      <w:r w:rsidRPr="00360A9A">
        <w:rPr>
          <w:rFonts w:ascii="Palatino Linotype" w:eastAsia="Palatino Linotype" w:hAnsi="Palatino Linotype" w:cs="Palatino Linotype"/>
          <w:b/>
          <w:color w:val="000000"/>
          <w:u w:val="single"/>
        </w:rPr>
        <w:t>Solicitud de acceso a la información pública.</w:t>
      </w:r>
    </w:p>
    <w:p w:rsidR="006D6FA1" w:rsidRPr="00360A9A" w:rsidRDefault="00920AA1" w:rsidP="00B810E8">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rPr>
      </w:pPr>
      <w:r w:rsidRPr="00360A9A">
        <w:rPr>
          <w:rFonts w:ascii="Palatino Linotype" w:eastAsia="Palatino Linotype" w:hAnsi="Palatino Linotype" w:cs="Palatino Linotype"/>
          <w:color w:val="000000"/>
        </w:rPr>
        <w:t>El día</w:t>
      </w:r>
      <w:r w:rsidRPr="00360A9A">
        <w:rPr>
          <w:rFonts w:ascii="Palatino Linotype" w:eastAsia="Palatino Linotype" w:hAnsi="Palatino Linotype" w:cs="Palatino Linotype"/>
          <w:b/>
          <w:color w:val="000000"/>
        </w:rPr>
        <w:t xml:space="preserve"> </w:t>
      </w:r>
      <w:r w:rsidR="005A41AF" w:rsidRPr="00360A9A">
        <w:rPr>
          <w:rFonts w:ascii="Palatino Linotype" w:eastAsia="Palatino Linotype" w:hAnsi="Palatino Linotype" w:cs="Palatino Linotype"/>
          <w:b/>
          <w:color w:val="000000"/>
        </w:rPr>
        <w:t>veintiuno</w:t>
      </w:r>
      <w:r w:rsidR="000636F5" w:rsidRPr="00360A9A">
        <w:rPr>
          <w:rFonts w:ascii="Palatino Linotype" w:eastAsia="Palatino Linotype" w:hAnsi="Palatino Linotype" w:cs="Palatino Linotype"/>
          <w:b/>
          <w:color w:val="000000"/>
        </w:rPr>
        <w:t xml:space="preserve"> de septiem</w:t>
      </w:r>
      <w:r w:rsidR="005A41AF" w:rsidRPr="00360A9A">
        <w:rPr>
          <w:rFonts w:ascii="Palatino Linotype" w:eastAsia="Palatino Linotype" w:hAnsi="Palatino Linotype" w:cs="Palatino Linotype"/>
          <w:b/>
          <w:color w:val="000000"/>
        </w:rPr>
        <w:t>bre de dos mil veinticuatro</w:t>
      </w:r>
      <w:r w:rsidRPr="00360A9A">
        <w:rPr>
          <w:rFonts w:ascii="Palatino Linotype" w:eastAsia="Palatino Linotype" w:hAnsi="Palatino Linotype" w:cs="Palatino Linotype"/>
          <w:color w:val="000000"/>
        </w:rPr>
        <w:t>,</w:t>
      </w:r>
      <w:r w:rsidRPr="00360A9A">
        <w:rPr>
          <w:rFonts w:ascii="Palatino Linotype" w:eastAsia="Palatino Linotype" w:hAnsi="Palatino Linotype" w:cs="Palatino Linotype"/>
          <w:b/>
          <w:color w:val="000000"/>
        </w:rPr>
        <w:t xml:space="preserve"> </w:t>
      </w:r>
      <w:r w:rsidRPr="00360A9A">
        <w:rPr>
          <w:rFonts w:ascii="Palatino Linotype" w:eastAsia="Palatino Linotype" w:hAnsi="Palatino Linotype" w:cs="Palatino Linotype"/>
          <w:color w:val="000000"/>
        </w:rPr>
        <w:t>se presentó ante el Sujeto Obligado vía Sistema de Acceso a la Información Mexiquense, en adelante (SAIMEX), la siguiente solicitud de información pública:</w:t>
      </w:r>
    </w:p>
    <w:p w:rsidR="006D6FA1" w:rsidRPr="00360A9A" w:rsidRDefault="006D6FA1" w:rsidP="00B810E8">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6D6FA1" w:rsidRPr="00360A9A" w:rsidRDefault="00920AA1" w:rsidP="00B810E8">
      <w:pPr>
        <w:pBdr>
          <w:top w:val="nil"/>
          <w:left w:val="nil"/>
          <w:bottom w:val="nil"/>
          <w:right w:val="nil"/>
          <w:between w:val="nil"/>
        </w:pBdr>
        <w:spacing w:line="360" w:lineRule="auto"/>
        <w:ind w:left="425" w:right="474"/>
        <w:jc w:val="both"/>
        <w:rPr>
          <w:rFonts w:ascii="Palatino Linotype" w:eastAsia="Palatino Linotype" w:hAnsi="Palatino Linotype" w:cs="Palatino Linotype"/>
          <w:color w:val="000000"/>
        </w:rPr>
      </w:pPr>
      <w:r w:rsidRPr="00360A9A">
        <w:rPr>
          <w:rFonts w:ascii="Palatino Linotype" w:eastAsia="Palatino Linotype" w:hAnsi="Palatino Linotype" w:cs="Palatino Linotype"/>
          <w:i/>
          <w:color w:val="000000"/>
        </w:rPr>
        <w:lastRenderedPageBreak/>
        <w:t>“</w:t>
      </w:r>
      <w:r w:rsidR="005A41AF" w:rsidRPr="00360A9A">
        <w:rPr>
          <w:rFonts w:ascii="Palatino Linotype" w:eastAsia="Palatino Linotype" w:hAnsi="Palatino Linotype" w:cs="Palatino Linotype"/>
          <w:i/>
          <w:color w:val="000000"/>
        </w:rPr>
        <w:t xml:space="preserve">En ejercicio de mi derecho de acceso a la información, consagrado en el artículo 6 de la Constitución Política de los Estados Unidos Mexicanos y en los artículos 2, 3 y 7 de la Ley de Transparencia y Acceso a la Información Pública del Estado de México y Municipios, solicito la siguiente información: Me sea proporcionado de la licitación OPERAGUA/DAYF/LPN/003/2024 referente a la contratación de prestación de servicios para la regularización y seguimiento a la recaudación de pagos en cartera vencida por concepto de "derechos de agua" y descargas para el organismo denominado OPERAGUA IZCALLI O.P.D.M, lo siguiente: 1- bases 2- comprobante recibo y/o factura de la venta de bases 3- todas las propuestas </w:t>
      </w:r>
      <w:proofErr w:type="spellStart"/>
      <w:r w:rsidR="005A41AF" w:rsidRPr="00360A9A">
        <w:rPr>
          <w:rFonts w:ascii="Palatino Linotype" w:eastAsia="Palatino Linotype" w:hAnsi="Palatino Linotype" w:cs="Palatino Linotype"/>
          <w:i/>
          <w:color w:val="000000"/>
        </w:rPr>
        <w:t>tecnicas</w:t>
      </w:r>
      <w:proofErr w:type="spellEnd"/>
      <w:r w:rsidR="005A41AF" w:rsidRPr="00360A9A">
        <w:rPr>
          <w:rFonts w:ascii="Palatino Linotype" w:eastAsia="Palatino Linotype" w:hAnsi="Palatino Linotype" w:cs="Palatino Linotype"/>
          <w:i/>
          <w:color w:val="000000"/>
        </w:rPr>
        <w:t xml:space="preserve"> (completas) presentada por los proveedores 4- todas las propuestas </w:t>
      </w:r>
      <w:proofErr w:type="spellStart"/>
      <w:r w:rsidR="005A41AF" w:rsidRPr="00360A9A">
        <w:rPr>
          <w:rFonts w:ascii="Palatino Linotype" w:eastAsia="Palatino Linotype" w:hAnsi="Palatino Linotype" w:cs="Palatino Linotype"/>
          <w:i/>
          <w:color w:val="000000"/>
        </w:rPr>
        <w:t>economicas</w:t>
      </w:r>
      <w:proofErr w:type="spellEnd"/>
      <w:r w:rsidR="005A41AF" w:rsidRPr="00360A9A">
        <w:rPr>
          <w:rFonts w:ascii="Palatino Linotype" w:eastAsia="Palatino Linotype" w:hAnsi="Palatino Linotype" w:cs="Palatino Linotype"/>
          <w:i/>
          <w:color w:val="000000"/>
        </w:rPr>
        <w:t xml:space="preserve"> (completas) presentada por los proveedores 5- acta del comité donde se presentaron las propuestas 6- acta de fallo 7- contrato completo. Fundamento esta solicitud en los siguientes artículos de la Ley de Transparencia y Acceso a la Información Pública del Estado de México y Municipios: • Artículo 2: Establece el derecho de toda persona al acceso a la información pública en posesión de cualquier autoridad, entidad, órgano u organismo del Estado de México y sus municipios, y de cualquier otro sujeto obligado. • Artículo 3: Define la información pública como cualquier documento que los sujetos obligados generen, obtengan, adquieran, transformen o conserven en ejercicio de sus funciones. • Artículo 7: Establece la obligación de los sujetos obligados de permitir el acceso a la información pública de forma completa, veraz, oportuna y gratuita, con excepción de aquellos casos señalados por la ley. • </w:t>
      </w:r>
      <w:r w:rsidR="005A41AF" w:rsidRPr="00360A9A">
        <w:rPr>
          <w:rFonts w:ascii="Palatino Linotype" w:eastAsia="Palatino Linotype" w:hAnsi="Palatino Linotype" w:cs="Palatino Linotype"/>
          <w:i/>
          <w:color w:val="000000"/>
        </w:rPr>
        <w:lastRenderedPageBreak/>
        <w:t xml:space="preserve">Artículo 17: Indica que toda persona tiene derecho a que se le informe sobre el estado que guardan sus solicitudes y, en su caso, a que se le entregue la información solicitada dentro de los plazos que la ley establece. • Artículo 24: Señala que el acceso a la información será gratuito, salvo los costos de reproducción de los documentos solicitados. Además, manifiesto que mi solicitud no recae en ningún supuesto de información clasificada como reservada o confidencial, con base en los siguientes artículos: • Artículo 109: Establece que la información podrá ser clasificada como reservada cuando su divulgación pueda comprometer la seguridad pública, la defensa nacional, las negociaciones internacionales, la seguridad del Estado, entre otras causales. La información solicitada no compromete ninguno de estos supuestos. • Artículo 110: Define la información confidencial como aquella que </w:t>
      </w:r>
      <w:bookmarkStart w:id="1" w:name="_GoBack"/>
      <w:r w:rsidR="005A41AF" w:rsidRPr="00360A9A">
        <w:rPr>
          <w:rFonts w:ascii="Palatino Linotype" w:eastAsia="Palatino Linotype" w:hAnsi="Palatino Linotype" w:cs="Palatino Linotype"/>
          <w:i/>
          <w:color w:val="000000"/>
        </w:rPr>
        <w:t xml:space="preserve">contenga datos personales o que esté protegida por el derecho a la privacidad de las personas. El contenido solicitado corresponde a un contrato y documentos relacionados que son de naturaleza pública por tratarse de recursos públicos. Por lo tanto, solicito que la información me sea entregada a la brevedad en su TOTALIDAD, incluyendo sus documentos anexos que den fiabilidad y certeza a su respuesta, respetando los plazos estipulados por el Instituto de Transparencia, el cual manifiesta máximo 15 días hábiles. </w:t>
      </w:r>
      <w:bookmarkEnd w:id="1"/>
      <w:r w:rsidR="005A41AF" w:rsidRPr="00360A9A">
        <w:rPr>
          <w:rFonts w:ascii="Palatino Linotype" w:eastAsia="Palatino Linotype" w:hAnsi="Palatino Linotype" w:cs="Palatino Linotype"/>
          <w:i/>
          <w:color w:val="000000"/>
        </w:rPr>
        <w:t>Agradezco de antemano su atención a la presente solicitud.</w:t>
      </w:r>
      <w:r w:rsidRPr="00360A9A">
        <w:rPr>
          <w:rFonts w:ascii="Palatino Linotype" w:eastAsia="Palatino Linotype" w:hAnsi="Palatino Linotype" w:cs="Palatino Linotype"/>
          <w:i/>
          <w:color w:val="000000"/>
        </w:rPr>
        <w:t>”</w:t>
      </w:r>
    </w:p>
    <w:p w:rsidR="006D6FA1" w:rsidRPr="00360A9A" w:rsidRDefault="006D6FA1" w:rsidP="00B810E8">
      <w:pPr>
        <w:pBdr>
          <w:top w:val="nil"/>
          <w:left w:val="nil"/>
          <w:bottom w:val="nil"/>
          <w:right w:val="nil"/>
          <w:between w:val="nil"/>
        </w:pBdr>
        <w:spacing w:line="360" w:lineRule="auto"/>
        <w:ind w:left="851"/>
        <w:jc w:val="both"/>
        <w:rPr>
          <w:rFonts w:ascii="Palatino Linotype" w:eastAsia="Palatino Linotype" w:hAnsi="Palatino Linotype" w:cs="Palatino Linotype"/>
          <w:color w:val="000000"/>
        </w:rPr>
      </w:pPr>
    </w:p>
    <w:p w:rsidR="006D6FA1" w:rsidRPr="00360A9A" w:rsidRDefault="00920AA1" w:rsidP="00B810E8">
      <w:pPr>
        <w:numPr>
          <w:ilvl w:val="0"/>
          <w:numId w:val="10"/>
        </w:numPr>
        <w:pBdr>
          <w:top w:val="nil"/>
          <w:left w:val="nil"/>
          <w:bottom w:val="nil"/>
          <w:right w:val="nil"/>
          <w:between w:val="nil"/>
        </w:pBdr>
        <w:tabs>
          <w:tab w:val="left" w:pos="0"/>
        </w:tabs>
        <w:spacing w:line="360" w:lineRule="auto"/>
        <w:ind w:left="709"/>
        <w:jc w:val="both"/>
        <w:rPr>
          <w:rFonts w:ascii="Palatino Linotype" w:eastAsia="Palatino Linotype" w:hAnsi="Palatino Linotype" w:cs="Palatino Linotype"/>
          <w:color w:val="000000"/>
        </w:rPr>
      </w:pPr>
      <w:r w:rsidRPr="00360A9A">
        <w:rPr>
          <w:rFonts w:ascii="Palatino Linotype" w:eastAsia="Palatino Linotype" w:hAnsi="Palatino Linotype" w:cs="Palatino Linotype"/>
          <w:color w:val="000000"/>
        </w:rPr>
        <w:lastRenderedPageBreak/>
        <w:t xml:space="preserve">Se eligió como modalidad de entrega de la información: A través del </w:t>
      </w:r>
      <w:r w:rsidRPr="00360A9A">
        <w:rPr>
          <w:rFonts w:ascii="Palatino Linotype" w:eastAsia="Palatino Linotype" w:hAnsi="Palatino Linotype" w:cs="Palatino Linotype"/>
          <w:b/>
          <w:color w:val="000000"/>
        </w:rPr>
        <w:t>SAIMEX.</w:t>
      </w:r>
    </w:p>
    <w:p w:rsidR="006D6FA1" w:rsidRPr="00360A9A" w:rsidRDefault="006D6FA1" w:rsidP="00B810E8">
      <w:pPr>
        <w:pBdr>
          <w:top w:val="nil"/>
          <w:left w:val="nil"/>
          <w:bottom w:val="nil"/>
          <w:right w:val="nil"/>
          <w:between w:val="nil"/>
        </w:pBdr>
        <w:tabs>
          <w:tab w:val="left" w:pos="0"/>
        </w:tabs>
        <w:spacing w:line="360" w:lineRule="auto"/>
        <w:ind w:left="709"/>
        <w:jc w:val="both"/>
        <w:rPr>
          <w:rFonts w:ascii="Palatino Linotype" w:eastAsia="Palatino Linotype" w:hAnsi="Palatino Linotype" w:cs="Palatino Linotype"/>
          <w:color w:val="000000"/>
        </w:rPr>
      </w:pPr>
    </w:p>
    <w:p w:rsidR="006D6FA1" w:rsidRPr="00360A9A" w:rsidRDefault="00920AA1" w:rsidP="00B810E8">
      <w:pPr>
        <w:numPr>
          <w:ilvl w:val="0"/>
          <w:numId w:val="3"/>
        </w:numPr>
        <w:pBdr>
          <w:top w:val="nil"/>
          <w:left w:val="nil"/>
          <w:bottom w:val="nil"/>
          <w:right w:val="nil"/>
          <w:between w:val="nil"/>
        </w:pBdr>
        <w:tabs>
          <w:tab w:val="left" w:pos="0"/>
        </w:tabs>
        <w:spacing w:line="360" w:lineRule="auto"/>
        <w:ind w:left="709"/>
        <w:jc w:val="both"/>
        <w:rPr>
          <w:rFonts w:ascii="Palatino Linotype" w:eastAsia="Palatino Linotype" w:hAnsi="Palatino Linotype" w:cs="Palatino Linotype"/>
          <w:b/>
          <w:color w:val="000000"/>
          <w:u w:val="single"/>
        </w:rPr>
      </w:pPr>
      <w:r w:rsidRPr="00360A9A">
        <w:rPr>
          <w:rFonts w:ascii="Palatino Linotype" w:eastAsia="Palatino Linotype" w:hAnsi="Palatino Linotype" w:cs="Palatino Linotype"/>
          <w:b/>
          <w:color w:val="000000"/>
          <w:u w:val="single"/>
        </w:rPr>
        <w:t xml:space="preserve">De la respuesta del Sujeto Obligado. </w:t>
      </w:r>
    </w:p>
    <w:p w:rsidR="006D6FA1" w:rsidRPr="00360A9A" w:rsidRDefault="00920AA1" w:rsidP="00AB122A">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b/>
          <w:color w:val="000000"/>
        </w:rPr>
      </w:pPr>
      <w:r w:rsidRPr="00360A9A">
        <w:rPr>
          <w:rFonts w:ascii="Palatino Linotype" w:eastAsia="Palatino Linotype" w:hAnsi="Palatino Linotype" w:cs="Palatino Linotype"/>
          <w:color w:val="000000"/>
        </w:rPr>
        <w:t xml:space="preserve">El </w:t>
      </w:r>
      <w:r w:rsidR="005A41AF" w:rsidRPr="00360A9A">
        <w:rPr>
          <w:rFonts w:ascii="Palatino Linotype" w:eastAsia="Palatino Linotype" w:hAnsi="Palatino Linotype" w:cs="Palatino Linotype"/>
          <w:b/>
          <w:color w:val="000000"/>
        </w:rPr>
        <w:t>cinco de septiembre</w:t>
      </w:r>
      <w:r w:rsidRPr="00360A9A">
        <w:rPr>
          <w:rFonts w:ascii="Palatino Linotype" w:eastAsia="Palatino Linotype" w:hAnsi="Palatino Linotype" w:cs="Palatino Linotype"/>
          <w:b/>
          <w:color w:val="000000"/>
        </w:rPr>
        <w:t xml:space="preserve"> de dos mil veinticuatro</w:t>
      </w:r>
      <w:r w:rsidRPr="00360A9A">
        <w:rPr>
          <w:rFonts w:ascii="Palatino Linotype" w:eastAsia="Palatino Linotype" w:hAnsi="Palatino Linotype" w:cs="Palatino Linotype"/>
          <w:color w:val="000000"/>
        </w:rPr>
        <w:t>, el Sujeto Obligado</w:t>
      </w:r>
      <w:r w:rsidRPr="00360A9A">
        <w:rPr>
          <w:rFonts w:ascii="Palatino Linotype" w:eastAsia="Palatino Linotype" w:hAnsi="Palatino Linotype" w:cs="Palatino Linotype"/>
          <w:b/>
          <w:color w:val="000000"/>
        </w:rPr>
        <w:t>,</w:t>
      </w:r>
      <w:r w:rsidRPr="00360A9A">
        <w:rPr>
          <w:rFonts w:ascii="Palatino Linotype" w:eastAsia="Palatino Linotype" w:hAnsi="Palatino Linotype" w:cs="Palatino Linotype"/>
          <w:color w:val="000000"/>
        </w:rPr>
        <w:t xml:space="preserve"> dio respuesta a través del archivo denominado </w:t>
      </w:r>
      <w:r w:rsidR="00AB122A" w:rsidRPr="00360A9A">
        <w:rPr>
          <w:rFonts w:ascii="Palatino Linotype" w:eastAsia="Palatino Linotype" w:hAnsi="Palatino Linotype" w:cs="Palatino Linotype"/>
          <w:b/>
          <w:i/>
          <w:color w:val="000000"/>
        </w:rPr>
        <w:t>CONTESTACIÓN SAIMEX 221.pdf</w:t>
      </w:r>
      <w:r w:rsidRPr="00360A9A">
        <w:rPr>
          <w:rFonts w:ascii="Palatino Linotype" w:eastAsia="Palatino Linotype" w:hAnsi="Palatino Linotype" w:cs="Palatino Linotype"/>
          <w:color w:val="000000"/>
        </w:rPr>
        <w:t xml:space="preserve">, </w:t>
      </w:r>
      <w:r w:rsidR="00AB122A" w:rsidRPr="00360A9A">
        <w:rPr>
          <w:rFonts w:ascii="Palatino Linotype" w:eastAsia="Palatino Linotype" w:hAnsi="Palatino Linotype" w:cs="Palatino Linotype"/>
          <w:color w:val="000000"/>
        </w:rPr>
        <w:t>a través de un oficio signado por el Titular de la Dirección de Administración y Finanzas, mediante el cual informa que lo solicitado ya obra en el Sistema de Información Pública de Oficio Mexiquense (IPOMEX), señalando el enlace en que se acceder así como los pasos a seguir para allegarse de lo solicitado.</w:t>
      </w:r>
    </w:p>
    <w:p w:rsidR="00DB746F" w:rsidRPr="00360A9A" w:rsidRDefault="00DB746F" w:rsidP="00947F2D">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b/>
          <w:i/>
          <w:color w:val="000000"/>
        </w:rPr>
      </w:pPr>
    </w:p>
    <w:p w:rsidR="006D6FA1" w:rsidRPr="00360A9A" w:rsidRDefault="00920AA1" w:rsidP="00B810E8">
      <w:pPr>
        <w:numPr>
          <w:ilvl w:val="0"/>
          <w:numId w:val="9"/>
        </w:numPr>
        <w:pBdr>
          <w:top w:val="nil"/>
          <w:left w:val="nil"/>
          <w:bottom w:val="nil"/>
          <w:right w:val="nil"/>
          <w:between w:val="nil"/>
        </w:pBdr>
        <w:tabs>
          <w:tab w:val="left" w:pos="0"/>
        </w:tabs>
        <w:spacing w:line="360" w:lineRule="auto"/>
        <w:ind w:left="709"/>
        <w:jc w:val="both"/>
        <w:rPr>
          <w:rFonts w:ascii="Palatino Linotype" w:eastAsia="Palatino Linotype" w:hAnsi="Palatino Linotype" w:cs="Palatino Linotype"/>
          <w:i/>
          <w:color w:val="000000"/>
          <w:u w:val="single"/>
        </w:rPr>
      </w:pPr>
      <w:r w:rsidRPr="00360A9A">
        <w:rPr>
          <w:rFonts w:ascii="Palatino Linotype" w:eastAsia="Palatino Linotype" w:hAnsi="Palatino Linotype" w:cs="Palatino Linotype"/>
          <w:b/>
          <w:color w:val="000000"/>
          <w:u w:val="single"/>
        </w:rPr>
        <w:t>Recurso de Revisión (razones o motivos de inconformidad)</w:t>
      </w:r>
    </w:p>
    <w:p w:rsidR="006D6FA1" w:rsidRPr="00360A9A" w:rsidRDefault="00920AA1" w:rsidP="00B810E8">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i/>
          <w:color w:val="000000"/>
        </w:rPr>
      </w:pPr>
      <w:r w:rsidRPr="00360A9A">
        <w:rPr>
          <w:rFonts w:ascii="Palatino Linotype" w:eastAsia="Palatino Linotype" w:hAnsi="Palatino Linotype" w:cs="Palatino Linotype"/>
          <w:color w:val="000000"/>
        </w:rPr>
        <w:t>El</w:t>
      </w:r>
      <w:r w:rsidRPr="00360A9A">
        <w:rPr>
          <w:rFonts w:ascii="Palatino Linotype" w:eastAsia="Palatino Linotype" w:hAnsi="Palatino Linotype" w:cs="Palatino Linotype"/>
          <w:b/>
          <w:color w:val="000000"/>
        </w:rPr>
        <w:t xml:space="preserve"> </w:t>
      </w:r>
      <w:r w:rsidR="00AB122A" w:rsidRPr="00360A9A">
        <w:rPr>
          <w:rFonts w:ascii="Palatino Linotype" w:eastAsia="Palatino Linotype" w:hAnsi="Palatino Linotype" w:cs="Palatino Linotype"/>
          <w:b/>
          <w:color w:val="000000"/>
        </w:rPr>
        <w:t>doce de septiembre</w:t>
      </w:r>
      <w:r w:rsidRPr="00360A9A">
        <w:rPr>
          <w:rFonts w:ascii="Palatino Linotype" w:eastAsia="Palatino Linotype" w:hAnsi="Palatino Linotype" w:cs="Palatino Linotype"/>
          <w:b/>
          <w:color w:val="000000"/>
        </w:rPr>
        <w:t xml:space="preserve"> dos mil veinticuatro</w:t>
      </w:r>
      <w:r w:rsidRPr="00360A9A">
        <w:rPr>
          <w:rFonts w:ascii="Palatino Linotype" w:eastAsia="Palatino Linotype" w:hAnsi="Palatino Linotype" w:cs="Palatino Linotype"/>
          <w:color w:val="000000"/>
        </w:rPr>
        <w:t>, el particular interpuso el recurso de revisión en contra de la respuesta, realizando las siguientes manifestaciones:</w:t>
      </w:r>
    </w:p>
    <w:p w:rsidR="006D6FA1" w:rsidRPr="00360A9A" w:rsidRDefault="006D6FA1" w:rsidP="00B810E8">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i/>
          <w:color w:val="000000"/>
        </w:rPr>
      </w:pPr>
    </w:p>
    <w:p w:rsidR="006D6FA1" w:rsidRPr="00360A9A" w:rsidRDefault="00920AA1" w:rsidP="00AB122A">
      <w:pPr>
        <w:numPr>
          <w:ilvl w:val="0"/>
          <w:numId w:val="8"/>
        </w:numPr>
        <w:pBdr>
          <w:top w:val="nil"/>
          <w:left w:val="nil"/>
          <w:bottom w:val="nil"/>
          <w:right w:val="nil"/>
          <w:between w:val="nil"/>
        </w:pBdr>
        <w:spacing w:line="360" w:lineRule="auto"/>
        <w:ind w:right="474"/>
        <w:jc w:val="both"/>
        <w:rPr>
          <w:rFonts w:ascii="Palatino Linotype" w:eastAsia="Palatino Linotype" w:hAnsi="Palatino Linotype" w:cs="Palatino Linotype"/>
          <w:i/>
          <w:color w:val="000000"/>
        </w:rPr>
      </w:pPr>
      <w:bookmarkStart w:id="2" w:name="_heading=h.30j0zll" w:colFirst="0" w:colLast="0"/>
      <w:bookmarkEnd w:id="2"/>
      <w:r w:rsidRPr="00360A9A">
        <w:rPr>
          <w:rFonts w:ascii="Palatino Linotype" w:eastAsia="Palatino Linotype" w:hAnsi="Palatino Linotype" w:cs="Palatino Linotype"/>
          <w:b/>
          <w:color w:val="000000"/>
        </w:rPr>
        <w:t xml:space="preserve">ACTO IMPUGNADO: </w:t>
      </w:r>
      <w:r w:rsidRPr="00360A9A">
        <w:rPr>
          <w:rFonts w:ascii="Palatino Linotype" w:eastAsia="Palatino Linotype" w:hAnsi="Palatino Linotype" w:cs="Palatino Linotype"/>
          <w:i/>
          <w:color w:val="000000"/>
        </w:rPr>
        <w:t>“</w:t>
      </w:r>
      <w:r w:rsidR="00AB122A" w:rsidRPr="00360A9A">
        <w:rPr>
          <w:rFonts w:ascii="Palatino Linotype" w:eastAsia="Palatino Linotype" w:hAnsi="Palatino Linotype" w:cs="Palatino Linotype"/>
          <w:i/>
          <w:color w:val="000000"/>
        </w:rPr>
        <w:t>Información incompleta</w:t>
      </w:r>
      <w:r w:rsidRPr="00360A9A">
        <w:rPr>
          <w:rFonts w:ascii="Palatino Linotype" w:eastAsia="Palatino Linotype" w:hAnsi="Palatino Linotype" w:cs="Palatino Linotype"/>
          <w:i/>
          <w:color w:val="000000"/>
        </w:rPr>
        <w:t>”</w:t>
      </w:r>
    </w:p>
    <w:p w:rsidR="006D6FA1" w:rsidRPr="00360A9A" w:rsidRDefault="006D6FA1" w:rsidP="00B810E8">
      <w:pPr>
        <w:pBdr>
          <w:top w:val="nil"/>
          <w:left w:val="nil"/>
          <w:bottom w:val="nil"/>
          <w:right w:val="nil"/>
          <w:between w:val="nil"/>
        </w:pBdr>
        <w:spacing w:line="360" w:lineRule="auto"/>
        <w:ind w:left="709" w:right="474"/>
        <w:jc w:val="both"/>
        <w:rPr>
          <w:rFonts w:ascii="Palatino Linotype" w:eastAsia="Palatino Linotype" w:hAnsi="Palatino Linotype" w:cs="Palatino Linotype"/>
          <w:i/>
          <w:color w:val="000000"/>
        </w:rPr>
      </w:pPr>
    </w:p>
    <w:p w:rsidR="006D6FA1" w:rsidRPr="00360A9A" w:rsidRDefault="00920AA1" w:rsidP="00AB122A">
      <w:pPr>
        <w:numPr>
          <w:ilvl w:val="0"/>
          <w:numId w:val="8"/>
        </w:numPr>
        <w:pBdr>
          <w:top w:val="nil"/>
          <w:left w:val="nil"/>
          <w:bottom w:val="nil"/>
          <w:right w:val="nil"/>
          <w:between w:val="nil"/>
        </w:pBdr>
        <w:spacing w:line="360" w:lineRule="auto"/>
        <w:ind w:right="474"/>
        <w:jc w:val="both"/>
        <w:rPr>
          <w:rFonts w:ascii="Palatino Linotype" w:eastAsia="Palatino Linotype" w:hAnsi="Palatino Linotype" w:cs="Palatino Linotype"/>
          <w:i/>
          <w:color w:val="000000"/>
        </w:rPr>
      </w:pPr>
      <w:r w:rsidRPr="00360A9A">
        <w:rPr>
          <w:rFonts w:ascii="Palatino Linotype" w:eastAsia="Palatino Linotype" w:hAnsi="Palatino Linotype" w:cs="Palatino Linotype"/>
          <w:b/>
          <w:color w:val="000000"/>
        </w:rPr>
        <w:t xml:space="preserve">RAZONES O MOTIVOS DE LA INCONFORMIDAD: </w:t>
      </w:r>
      <w:r w:rsidRPr="00360A9A">
        <w:rPr>
          <w:rFonts w:ascii="Palatino Linotype" w:eastAsia="Palatino Linotype" w:hAnsi="Palatino Linotype" w:cs="Palatino Linotype"/>
          <w:i/>
          <w:color w:val="000000"/>
        </w:rPr>
        <w:t>“</w:t>
      </w:r>
      <w:r w:rsidR="00AB122A" w:rsidRPr="00360A9A">
        <w:rPr>
          <w:rFonts w:ascii="Palatino Linotype" w:eastAsia="Palatino Linotype" w:hAnsi="Palatino Linotype" w:cs="Palatino Linotype"/>
          <w:i/>
          <w:color w:val="000000"/>
        </w:rPr>
        <w:t>No entregan información completa requerida</w:t>
      </w:r>
      <w:r w:rsidRPr="00360A9A">
        <w:rPr>
          <w:rFonts w:ascii="Palatino Linotype" w:eastAsia="Palatino Linotype" w:hAnsi="Palatino Linotype" w:cs="Palatino Linotype"/>
          <w:i/>
          <w:color w:val="000000"/>
        </w:rPr>
        <w:t>”</w:t>
      </w:r>
    </w:p>
    <w:p w:rsidR="006D6FA1" w:rsidRPr="00360A9A" w:rsidRDefault="006D6FA1" w:rsidP="00B810E8">
      <w:pPr>
        <w:pBdr>
          <w:top w:val="nil"/>
          <w:left w:val="nil"/>
          <w:bottom w:val="nil"/>
          <w:right w:val="nil"/>
          <w:between w:val="nil"/>
        </w:pBdr>
        <w:spacing w:line="360" w:lineRule="auto"/>
        <w:ind w:left="720"/>
        <w:rPr>
          <w:rFonts w:ascii="Palatino Linotype" w:eastAsia="Palatino Linotype" w:hAnsi="Palatino Linotype" w:cs="Palatino Linotype"/>
          <w:i/>
          <w:color w:val="000000"/>
        </w:rPr>
      </w:pPr>
    </w:p>
    <w:p w:rsidR="006D6FA1" w:rsidRPr="00360A9A" w:rsidRDefault="00920AA1" w:rsidP="00B810E8">
      <w:pPr>
        <w:numPr>
          <w:ilvl w:val="0"/>
          <w:numId w:val="9"/>
        </w:numPr>
        <w:pBdr>
          <w:top w:val="nil"/>
          <w:left w:val="nil"/>
          <w:bottom w:val="nil"/>
          <w:right w:val="nil"/>
          <w:between w:val="nil"/>
        </w:pBdr>
        <w:tabs>
          <w:tab w:val="left" w:pos="0"/>
        </w:tabs>
        <w:spacing w:line="360" w:lineRule="auto"/>
        <w:ind w:left="709"/>
        <w:jc w:val="both"/>
        <w:rPr>
          <w:rFonts w:ascii="Palatino Linotype" w:eastAsia="Palatino Linotype" w:hAnsi="Palatino Linotype" w:cs="Palatino Linotype"/>
          <w:i/>
          <w:color w:val="000000"/>
          <w:u w:val="single"/>
        </w:rPr>
      </w:pPr>
      <w:r w:rsidRPr="00360A9A">
        <w:rPr>
          <w:rFonts w:ascii="Palatino Linotype" w:eastAsia="Palatino Linotype" w:hAnsi="Palatino Linotype" w:cs="Palatino Linotype"/>
          <w:b/>
          <w:color w:val="000000"/>
          <w:u w:val="single"/>
        </w:rPr>
        <w:t>Manifestaciones, alegatos y respuesta complementaría.</w:t>
      </w:r>
    </w:p>
    <w:p w:rsidR="006D6FA1" w:rsidRPr="00360A9A" w:rsidRDefault="00920AA1" w:rsidP="00B810E8">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rPr>
      </w:pPr>
      <w:r w:rsidRPr="00360A9A">
        <w:rPr>
          <w:rFonts w:ascii="Palatino Linotype" w:eastAsia="Palatino Linotype" w:hAnsi="Palatino Linotype" w:cs="Palatino Linotype"/>
          <w:color w:val="000000"/>
        </w:rPr>
        <w:lastRenderedPageBreak/>
        <w:t>Con fundamento en lo dispuesto por el artículo 185 fracción II de la ley de la materia, se acordó a las partes a efecto de que en un plazo máximo de siete días, el Recurrente manifestara lo que a su derecho conviniera, ofrecieran pruebas y alegatos, y el Sujeto Obligado presentará el Informe Justificado.</w:t>
      </w:r>
    </w:p>
    <w:p w:rsidR="006D6FA1" w:rsidRPr="00360A9A" w:rsidRDefault="006D6FA1" w:rsidP="00B810E8">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6D6FA1" w:rsidRPr="00360A9A" w:rsidRDefault="00920AA1" w:rsidP="00AB122A">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sidRPr="00360A9A">
        <w:rPr>
          <w:rFonts w:ascii="Palatino Linotype" w:eastAsia="Palatino Linotype" w:hAnsi="Palatino Linotype" w:cs="Palatino Linotype"/>
          <w:color w:val="000000"/>
        </w:rPr>
        <w:t>El Recurrente</w:t>
      </w:r>
      <w:r w:rsidRPr="00360A9A">
        <w:rPr>
          <w:rFonts w:ascii="Palatino Linotype" w:eastAsia="Palatino Linotype" w:hAnsi="Palatino Linotype" w:cs="Palatino Linotype"/>
          <w:b/>
          <w:color w:val="000000"/>
        </w:rPr>
        <w:t xml:space="preserve"> </w:t>
      </w:r>
      <w:r w:rsidRPr="00360A9A">
        <w:rPr>
          <w:rFonts w:ascii="Palatino Linotype" w:eastAsia="Palatino Linotype" w:hAnsi="Palatino Linotype" w:cs="Palatino Linotype"/>
          <w:color w:val="000000" w:themeColor="text1"/>
        </w:rPr>
        <w:t>dejó</w:t>
      </w:r>
      <w:r w:rsidRPr="00360A9A">
        <w:rPr>
          <w:rFonts w:ascii="Palatino Linotype" w:eastAsia="Palatino Linotype" w:hAnsi="Palatino Linotype" w:cs="Palatino Linotype"/>
          <w:color w:val="000000"/>
        </w:rPr>
        <w:t xml:space="preserve"> de realizar manifestaciones que a su derecho conviniera y asistiera. Por su parte el Sujeto Obligado, rindió su informe justific</w:t>
      </w:r>
      <w:r w:rsidR="000A4ACD" w:rsidRPr="00360A9A">
        <w:rPr>
          <w:rFonts w:ascii="Palatino Linotype" w:eastAsia="Palatino Linotype" w:hAnsi="Palatino Linotype" w:cs="Palatino Linotype"/>
          <w:color w:val="000000"/>
        </w:rPr>
        <w:t xml:space="preserve">ado mediante oficio signado </w:t>
      </w:r>
      <w:r w:rsidR="00AB122A" w:rsidRPr="00360A9A">
        <w:rPr>
          <w:rFonts w:ascii="Palatino Linotype" w:eastAsia="Palatino Linotype" w:hAnsi="Palatino Linotype" w:cs="Palatino Linotype"/>
          <w:color w:val="000000"/>
        </w:rPr>
        <w:t>por el Titular de la Dirección de Administración y Finanzas, a través del cual confirma su respuesta inicial, sin agregar elementos novedosos.</w:t>
      </w:r>
    </w:p>
    <w:p w:rsidR="00AB122A" w:rsidRPr="00360A9A" w:rsidRDefault="00AB122A" w:rsidP="00AB122A">
      <w:pPr>
        <w:pStyle w:val="Prrafodelista"/>
        <w:rPr>
          <w:rFonts w:ascii="Palatino Linotype" w:eastAsia="Palatino Linotype" w:hAnsi="Palatino Linotype" w:cs="Palatino Linotype"/>
          <w:b/>
          <w:color w:val="000000"/>
        </w:rPr>
      </w:pPr>
    </w:p>
    <w:p w:rsidR="009F45EB" w:rsidRPr="00360A9A" w:rsidRDefault="00D90EFB" w:rsidP="009F45EB">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bookmarkStart w:id="3" w:name="_heading=h.1fob9te" w:colFirst="0" w:colLast="0"/>
      <w:bookmarkEnd w:id="3"/>
      <w:r w:rsidRPr="00360A9A">
        <w:rPr>
          <w:rFonts w:ascii="Palatino Linotype" w:eastAsia="Palatino Linotype" w:hAnsi="Palatino Linotype" w:cs="Palatino Linotype"/>
          <w:color w:val="000000" w:themeColor="text1"/>
        </w:rPr>
        <w:t>En fecha veintinueve de enero del año en curso, s</w:t>
      </w:r>
      <w:r w:rsidR="009F45EB" w:rsidRPr="00360A9A">
        <w:rPr>
          <w:rFonts w:ascii="Palatino Linotype" w:eastAsia="Palatino Linotype" w:hAnsi="Palatino Linotype" w:cs="Palatino Linotype"/>
          <w:color w:val="000000" w:themeColor="text1"/>
        </w:rPr>
        <w:t xml:space="preserve">e </w:t>
      </w:r>
      <w:r w:rsidR="009F45EB" w:rsidRPr="00360A9A">
        <w:rPr>
          <w:rFonts w:ascii="Palatino Linotype" w:eastAsia="Palatino Linotype" w:hAnsi="Palatino Linotype" w:cs="Palatino Linotype"/>
          <w:color w:val="000000"/>
        </w:rPr>
        <w:t>amplió</w:t>
      </w:r>
      <w:r w:rsidR="009F45EB" w:rsidRPr="00360A9A">
        <w:rPr>
          <w:rFonts w:ascii="Palatino Linotype" w:eastAsia="Palatino Linotype" w:hAnsi="Palatino Linotype" w:cs="Palatino Linotype"/>
          <w:color w:val="000000" w:themeColor="text1"/>
        </w:rPr>
        <w:t xml:space="preserve"> el término para resolver el Recurso de Revisión por un periodo de quince días hábiles adicionales al lapso ordinario. Al respecto 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 </w:t>
      </w:r>
    </w:p>
    <w:p w:rsidR="009F45EB" w:rsidRPr="00360A9A" w:rsidRDefault="009F45EB" w:rsidP="009F45EB">
      <w:pPr>
        <w:pStyle w:val="Prrafodelista"/>
        <w:spacing w:line="360" w:lineRule="auto"/>
        <w:ind w:left="0"/>
        <w:jc w:val="both"/>
        <w:rPr>
          <w:rFonts w:ascii="Palatino Linotype" w:eastAsia="Palatino Linotype" w:hAnsi="Palatino Linotype" w:cs="Palatino Linotype"/>
          <w:color w:val="000000" w:themeColor="text1"/>
        </w:rPr>
      </w:pPr>
    </w:p>
    <w:p w:rsidR="009F45EB" w:rsidRPr="00360A9A" w:rsidRDefault="009F45EB" w:rsidP="000A4ACD">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360A9A">
        <w:rPr>
          <w:rFonts w:ascii="Palatino Linotype" w:eastAsia="Palatino Linotype" w:hAnsi="Palatino Linotype" w:cs="Palatino Linotype"/>
          <w:color w:val="000000" w:themeColor="text1"/>
        </w:rPr>
        <w:t>Por ello, es menester precisar que, si bien se ha excedido el plazo para resolver el presente medio de impugnación, de conformidad con la ley de la materia, el plazo</w:t>
      </w:r>
      <w:r w:rsidRPr="00360A9A">
        <w:rPr>
          <w:rFonts w:ascii="Palatino Linotype" w:hAnsi="Palatino Linotype"/>
          <w:color w:val="000000" w:themeColor="text1"/>
        </w:rPr>
        <w:t xml:space="preserve"> </w:t>
      </w:r>
      <w:r w:rsidRPr="00360A9A">
        <w:rPr>
          <w:rFonts w:ascii="Palatino Linotype" w:eastAsia="Palatino Linotype" w:hAnsi="Palatino Linotype" w:cs="Palatino Linotype"/>
          <w:color w:val="000000" w:themeColor="text1"/>
        </w:rPr>
        <w:t xml:space="preserve">para emitir la resolución se encuentra justificado en los elementos para medir la </w:t>
      </w:r>
      <w:r w:rsidRPr="00360A9A">
        <w:rPr>
          <w:rFonts w:ascii="Palatino Linotype" w:eastAsia="Palatino Linotype" w:hAnsi="Palatino Linotype" w:cs="Palatino Linotype"/>
          <w:color w:val="000000" w:themeColor="text1"/>
        </w:rPr>
        <w:lastRenderedPageBreak/>
        <w:t xml:space="preserve">razonabilidad de asuntos conforme a los parámetros establecidos por diversos órganos jurisdiccionales federales, aplicables también en procedimientos análogos, como el que nos ocupa. </w:t>
      </w:r>
    </w:p>
    <w:p w:rsidR="005F156A" w:rsidRPr="00360A9A" w:rsidRDefault="005F156A" w:rsidP="005F156A">
      <w:pPr>
        <w:pStyle w:val="Prrafodelista"/>
        <w:rPr>
          <w:rFonts w:ascii="Palatino Linotype" w:eastAsia="Palatino Linotype" w:hAnsi="Palatino Linotype" w:cs="Palatino Linotype"/>
          <w:color w:val="000000" w:themeColor="text1"/>
        </w:rPr>
      </w:pPr>
    </w:p>
    <w:p w:rsidR="009F45EB" w:rsidRPr="00360A9A" w:rsidRDefault="009F45EB" w:rsidP="005F156A">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360A9A">
        <w:rPr>
          <w:rFonts w:ascii="Palatino Linotype" w:eastAsia="Palatino Linotype" w:hAnsi="Palatino Linotype" w:cs="Palatino Linotype"/>
          <w:color w:val="000000" w:themeColor="text1"/>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 </w:t>
      </w:r>
    </w:p>
    <w:p w:rsidR="009F45EB" w:rsidRPr="00360A9A" w:rsidRDefault="009F45EB" w:rsidP="009F45EB">
      <w:pPr>
        <w:pStyle w:val="Prrafodelista"/>
        <w:spacing w:line="360" w:lineRule="auto"/>
        <w:rPr>
          <w:rFonts w:ascii="Palatino Linotype" w:eastAsia="Palatino Linotype" w:hAnsi="Palatino Linotype" w:cs="Palatino Linotype"/>
          <w:color w:val="000000" w:themeColor="text1"/>
        </w:rPr>
      </w:pPr>
    </w:p>
    <w:p w:rsidR="009F45EB" w:rsidRPr="00360A9A" w:rsidRDefault="009F45EB" w:rsidP="005F156A">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360A9A">
        <w:rPr>
          <w:rFonts w:ascii="Palatino Linotype" w:eastAsia="Palatino Linotype" w:hAnsi="Palatino Linotype" w:cs="Palatino Linotype"/>
          <w:color w:val="000000" w:themeColor="text1"/>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9F45EB" w:rsidRPr="00360A9A" w:rsidRDefault="009F45EB" w:rsidP="009F45EB">
      <w:pPr>
        <w:pStyle w:val="Prrafodelista"/>
        <w:rPr>
          <w:rFonts w:ascii="Palatino Linotype" w:eastAsia="Palatino Linotype" w:hAnsi="Palatino Linotype" w:cs="Palatino Linotype"/>
          <w:color w:val="000000" w:themeColor="text1"/>
        </w:rPr>
      </w:pPr>
    </w:p>
    <w:p w:rsidR="009F45EB" w:rsidRPr="00360A9A" w:rsidRDefault="009F45EB" w:rsidP="005F156A">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360A9A">
        <w:rPr>
          <w:rFonts w:ascii="Palatino Linotype" w:eastAsia="Palatino Linotype" w:hAnsi="Palatino Linotype" w:cs="Palatino Linotype"/>
          <w:color w:val="000000" w:themeColor="text1"/>
        </w:rPr>
        <w:t xml:space="preserve">Por ello, excepcionalmente, si un asunto es resuelto con posterioridad a los plazos señalados por la norma debe analizarse la razonabilidad del tiempo necesario para su resolución, atentos a los siguientes criterios: </w:t>
      </w:r>
    </w:p>
    <w:p w:rsidR="009F45EB" w:rsidRPr="00360A9A" w:rsidRDefault="009F45EB" w:rsidP="009F45EB">
      <w:pPr>
        <w:pStyle w:val="Prrafodelista"/>
        <w:rPr>
          <w:rFonts w:ascii="Palatino Linotype" w:eastAsia="Palatino Linotype" w:hAnsi="Palatino Linotype" w:cs="Palatino Linotype"/>
          <w:color w:val="000000" w:themeColor="text1"/>
        </w:rPr>
      </w:pPr>
    </w:p>
    <w:p w:rsidR="009F45EB" w:rsidRPr="00360A9A" w:rsidRDefault="009F45EB" w:rsidP="00D90EFB">
      <w:pPr>
        <w:pStyle w:val="Prrafodelista"/>
        <w:numPr>
          <w:ilvl w:val="0"/>
          <w:numId w:val="20"/>
        </w:numPr>
        <w:spacing w:line="360" w:lineRule="auto"/>
        <w:jc w:val="both"/>
        <w:rPr>
          <w:rFonts w:ascii="Palatino Linotype" w:eastAsia="Palatino Linotype" w:hAnsi="Palatino Linotype" w:cs="Palatino Linotype"/>
          <w:color w:val="000000" w:themeColor="text1"/>
        </w:rPr>
      </w:pPr>
      <w:r w:rsidRPr="00360A9A">
        <w:rPr>
          <w:rFonts w:ascii="Palatino Linotype" w:eastAsia="Palatino Linotype" w:hAnsi="Palatino Linotype" w:cs="Palatino Linotype"/>
          <w:color w:val="000000" w:themeColor="text1"/>
        </w:rPr>
        <w:t xml:space="preserve">Complejidad del Asunto: La complejidad de la prueba, la pluralidad de sujetos procesales, el tiempo transcurrido, las características y contexto del recurso. </w:t>
      </w:r>
    </w:p>
    <w:p w:rsidR="00D90EFB" w:rsidRPr="00360A9A" w:rsidRDefault="00D90EFB" w:rsidP="00D90EFB">
      <w:pPr>
        <w:pStyle w:val="Prrafodelista"/>
        <w:spacing w:line="360" w:lineRule="auto"/>
        <w:ind w:left="1353"/>
        <w:jc w:val="both"/>
        <w:rPr>
          <w:rFonts w:ascii="Palatino Linotype" w:eastAsia="Palatino Linotype" w:hAnsi="Palatino Linotype" w:cs="Palatino Linotype"/>
          <w:color w:val="000000" w:themeColor="text1"/>
        </w:rPr>
      </w:pPr>
    </w:p>
    <w:p w:rsidR="009F45EB" w:rsidRPr="00360A9A" w:rsidRDefault="009F45EB" w:rsidP="00D90EFB">
      <w:pPr>
        <w:pStyle w:val="Prrafodelista"/>
        <w:numPr>
          <w:ilvl w:val="0"/>
          <w:numId w:val="20"/>
        </w:numPr>
        <w:spacing w:line="360" w:lineRule="auto"/>
        <w:jc w:val="both"/>
        <w:rPr>
          <w:rFonts w:ascii="Palatino Linotype" w:eastAsia="Palatino Linotype" w:hAnsi="Palatino Linotype" w:cs="Palatino Linotype"/>
          <w:color w:val="000000" w:themeColor="text1"/>
        </w:rPr>
      </w:pPr>
      <w:r w:rsidRPr="00360A9A">
        <w:rPr>
          <w:rFonts w:ascii="Palatino Linotype" w:eastAsia="Palatino Linotype" w:hAnsi="Palatino Linotype" w:cs="Palatino Linotype"/>
          <w:color w:val="000000" w:themeColor="text1"/>
        </w:rPr>
        <w:lastRenderedPageBreak/>
        <w:t>Actividad Procesal del interesado. Acciones u omisiones del interesado.</w:t>
      </w:r>
    </w:p>
    <w:p w:rsidR="00D90EFB" w:rsidRPr="00360A9A" w:rsidRDefault="00D90EFB" w:rsidP="00D90EFB">
      <w:pPr>
        <w:pStyle w:val="Prrafodelista"/>
        <w:rPr>
          <w:rFonts w:ascii="Palatino Linotype" w:eastAsia="Palatino Linotype" w:hAnsi="Palatino Linotype" w:cs="Palatino Linotype"/>
          <w:color w:val="000000" w:themeColor="text1"/>
        </w:rPr>
      </w:pPr>
    </w:p>
    <w:p w:rsidR="009F45EB" w:rsidRPr="00360A9A" w:rsidRDefault="009F45EB" w:rsidP="00D90EFB">
      <w:pPr>
        <w:spacing w:line="360" w:lineRule="auto"/>
        <w:ind w:left="1276" w:hanging="283"/>
        <w:jc w:val="both"/>
        <w:rPr>
          <w:rFonts w:ascii="Palatino Linotype" w:eastAsia="Palatino Linotype" w:hAnsi="Palatino Linotype" w:cs="Palatino Linotype"/>
          <w:color w:val="000000" w:themeColor="text1"/>
        </w:rPr>
      </w:pPr>
      <w:r w:rsidRPr="00360A9A">
        <w:rPr>
          <w:rFonts w:ascii="Palatino Linotype" w:eastAsia="Palatino Linotype" w:hAnsi="Palatino Linotype" w:cs="Palatino Linotype"/>
          <w:color w:val="000000" w:themeColor="text1"/>
        </w:rPr>
        <w:t xml:space="preserve">c) Conducta de la Autoridad: Las Acciones u omisiones realizadas en el procedimiento. Así como si la autoridad actuó con la debida diligencia. </w:t>
      </w:r>
    </w:p>
    <w:p w:rsidR="009F45EB" w:rsidRPr="00360A9A" w:rsidRDefault="009F45EB" w:rsidP="00D90EFB">
      <w:pPr>
        <w:spacing w:line="360" w:lineRule="auto"/>
        <w:ind w:left="1276" w:hanging="283"/>
        <w:jc w:val="both"/>
        <w:rPr>
          <w:rFonts w:ascii="Palatino Linotype" w:eastAsia="Palatino Linotype" w:hAnsi="Palatino Linotype" w:cs="Palatino Linotype"/>
          <w:color w:val="000000" w:themeColor="text1"/>
        </w:rPr>
      </w:pPr>
    </w:p>
    <w:p w:rsidR="009F45EB" w:rsidRPr="00360A9A" w:rsidRDefault="009F45EB" w:rsidP="00D90EFB">
      <w:pPr>
        <w:spacing w:line="360" w:lineRule="auto"/>
        <w:ind w:left="1276" w:hanging="283"/>
        <w:jc w:val="both"/>
        <w:rPr>
          <w:rFonts w:ascii="Palatino Linotype" w:eastAsia="Palatino Linotype" w:hAnsi="Palatino Linotype" w:cs="Palatino Linotype"/>
          <w:color w:val="000000" w:themeColor="text1"/>
        </w:rPr>
      </w:pPr>
      <w:r w:rsidRPr="00360A9A">
        <w:rPr>
          <w:rFonts w:ascii="Palatino Linotype" w:eastAsia="Palatino Linotype" w:hAnsi="Palatino Linotype" w:cs="Palatino Linotype"/>
          <w:color w:val="000000" w:themeColor="text1"/>
        </w:rPr>
        <w:t xml:space="preserve">d) La afectación generada en la situación jurídica de la persona involucrada en el proceso: Violación a sus derechos humanos. </w:t>
      </w:r>
    </w:p>
    <w:p w:rsidR="009F45EB" w:rsidRPr="00360A9A" w:rsidRDefault="009F45EB" w:rsidP="009F45EB">
      <w:pPr>
        <w:spacing w:line="360" w:lineRule="auto"/>
        <w:jc w:val="both"/>
        <w:rPr>
          <w:rFonts w:ascii="Palatino Linotype" w:eastAsia="Palatino Linotype" w:hAnsi="Palatino Linotype" w:cs="Palatino Linotype"/>
          <w:color w:val="000000" w:themeColor="text1"/>
        </w:rPr>
      </w:pPr>
    </w:p>
    <w:p w:rsidR="009F45EB" w:rsidRPr="00360A9A" w:rsidRDefault="009F45EB" w:rsidP="005F156A">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360A9A">
        <w:rPr>
          <w:rFonts w:ascii="Palatino Linotype" w:eastAsia="Palatino Linotype" w:hAnsi="Palatino Linotype" w:cs="Palatino Linotype"/>
          <w:color w:val="000000" w:themeColor="text1"/>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 </w:t>
      </w:r>
    </w:p>
    <w:p w:rsidR="009F45EB" w:rsidRPr="00360A9A" w:rsidRDefault="009F45EB" w:rsidP="009F45EB">
      <w:pPr>
        <w:spacing w:line="360" w:lineRule="auto"/>
        <w:jc w:val="both"/>
        <w:rPr>
          <w:rFonts w:ascii="Palatino Linotype" w:eastAsia="Palatino Linotype" w:hAnsi="Palatino Linotype" w:cs="Palatino Linotype"/>
          <w:color w:val="000000" w:themeColor="text1"/>
        </w:rPr>
      </w:pPr>
    </w:p>
    <w:p w:rsidR="009F45EB" w:rsidRPr="00360A9A" w:rsidRDefault="009F45EB" w:rsidP="005F156A">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360A9A">
        <w:rPr>
          <w:rFonts w:ascii="Palatino Linotype" w:eastAsia="Palatino Linotype" w:hAnsi="Palatino Linotype" w:cs="Palatino Linotype"/>
          <w:color w:val="000000" w:themeColor="text1"/>
        </w:rPr>
        <w:t>Argumento que encuentra sustento en la jurisprudencia P</w:t>
      </w:r>
      <w:proofErr w:type="gramStart"/>
      <w:r w:rsidRPr="00360A9A">
        <w:rPr>
          <w:rFonts w:ascii="Palatino Linotype" w:eastAsia="Palatino Linotype" w:hAnsi="Palatino Linotype" w:cs="Palatino Linotype"/>
          <w:color w:val="000000" w:themeColor="text1"/>
        </w:rPr>
        <w:t>./</w:t>
      </w:r>
      <w:proofErr w:type="gramEnd"/>
      <w:r w:rsidRPr="00360A9A">
        <w:rPr>
          <w:rFonts w:ascii="Palatino Linotype" w:eastAsia="Palatino Linotype" w:hAnsi="Palatino Linotype" w:cs="Palatino Linotype"/>
          <w:color w:val="000000" w:themeColor="text1"/>
        </w:rPr>
        <w:t xml:space="preserve">J. 32/92 emitida por el Pleno de la Suprema Corte de Justicia de la Nación de rubro “TÉRMINOS PROCESALES. PARA DETERMINAR SI UN FUNCIONARIO JUDICIAL ACTUÓ INDEBIDAMENTE POR NO RESPETARLOS SE DEBE ATENDER AL PRESUPUESTO QUE CONSIDERÓ EL LEGISLADOR AL FIJARLOS Y LAS </w:t>
      </w:r>
      <w:r w:rsidRPr="00360A9A">
        <w:rPr>
          <w:rFonts w:ascii="Palatino Linotype" w:eastAsia="Palatino Linotype" w:hAnsi="Palatino Linotype" w:cs="Palatino Linotype"/>
          <w:color w:val="000000" w:themeColor="text1"/>
        </w:rPr>
        <w:lastRenderedPageBreak/>
        <w:t xml:space="preserve">CARACTERÍSTICAS DEL CASO.”, visible en la Gaceta del Seminario Judicial de la Federación con el registro digital 205635. </w:t>
      </w:r>
    </w:p>
    <w:p w:rsidR="009F45EB" w:rsidRPr="00360A9A" w:rsidRDefault="009F45EB" w:rsidP="009F45EB">
      <w:pPr>
        <w:spacing w:line="360" w:lineRule="auto"/>
        <w:jc w:val="both"/>
        <w:rPr>
          <w:rFonts w:ascii="Palatino Linotype" w:eastAsia="Palatino Linotype" w:hAnsi="Palatino Linotype" w:cs="Palatino Linotype"/>
          <w:color w:val="000000" w:themeColor="text1"/>
        </w:rPr>
      </w:pPr>
    </w:p>
    <w:p w:rsidR="009F45EB" w:rsidRPr="00360A9A" w:rsidRDefault="009F45EB" w:rsidP="005F156A">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360A9A">
        <w:rPr>
          <w:rFonts w:ascii="Palatino Linotype" w:eastAsia="Palatino Linotype" w:hAnsi="Palatino Linotype" w:cs="Palatino Linotype"/>
          <w:color w:val="000000" w:themeColor="text1"/>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w:t>
      </w:r>
      <w:r w:rsidRPr="00360A9A">
        <w:rPr>
          <w:rFonts w:ascii="Palatino Linotype" w:hAnsi="Palatino Linotype"/>
          <w:color w:val="000000" w:themeColor="text1"/>
        </w:rPr>
        <w:t xml:space="preserve"> </w:t>
      </w:r>
      <w:r w:rsidRPr="00360A9A">
        <w:rPr>
          <w:rFonts w:ascii="Palatino Linotype" w:eastAsia="Palatino Linotype" w:hAnsi="Palatino Linotype" w:cs="Palatino Linotype"/>
          <w:color w:val="000000" w:themeColor="text1"/>
        </w:rPr>
        <w:t xml:space="preserve">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 </w:t>
      </w:r>
    </w:p>
    <w:p w:rsidR="009F45EB" w:rsidRPr="00360A9A" w:rsidRDefault="009F45EB" w:rsidP="009F45EB">
      <w:pPr>
        <w:spacing w:line="360" w:lineRule="auto"/>
        <w:jc w:val="both"/>
        <w:rPr>
          <w:rFonts w:ascii="Palatino Linotype" w:eastAsia="Palatino Linotype" w:hAnsi="Palatino Linotype" w:cs="Palatino Linotype"/>
          <w:color w:val="000000" w:themeColor="text1"/>
        </w:rPr>
      </w:pPr>
    </w:p>
    <w:p w:rsidR="009F45EB" w:rsidRPr="00360A9A" w:rsidRDefault="009F45EB" w:rsidP="005F156A">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360A9A">
        <w:rPr>
          <w:rFonts w:ascii="Palatino Linotype" w:eastAsia="Palatino Linotype" w:hAnsi="Palatino Linotype" w:cs="Palatino Linotype"/>
          <w:color w:val="000000" w:themeColor="text1"/>
        </w:rPr>
        <w:t>Al respecto, también son de considerar los criterios sostenidos por el Cuarto Tribunal Colegiado en Materia Administrativa del Primer Circuito, cuyos rubros y datos de identificación son los siguientes:</w:t>
      </w:r>
    </w:p>
    <w:p w:rsidR="009F45EB" w:rsidRPr="00360A9A" w:rsidRDefault="009F45EB" w:rsidP="009F45EB">
      <w:pPr>
        <w:pStyle w:val="Prrafodelista"/>
        <w:spacing w:line="360" w:lineRule="auto"/>
        <w:rPr>
          <w:rFonts w:ascii="Palatino Linotype" w:eastAsia="Palatino Linotype" w:hAnsi="Palatino Linotype" w:cs="Palatino Linotype"/>
          <w:color w:val="000000" w:themeColor="text1"/>
        </w:rPr>
      </w:pPr>
    </w:p>
    <w:p w:rsidR="009F45EB" w:rsidRPr="00360A9A" w:rsidRDefault="009F45EB" w:rsidP="009F45EB">
      <w:pPr>
        <w:pStyle w:val="Prrafodelista"/>
        <w:spacing w:line="360" w:lineRule="auto"/>
        <w:ind w:left="425" w:right="474"/>
        <w:jc w:val="both"/>
        <w:rPr>
          <w:rFonts w:ascii="Palatino Linotype" w:eastAsia="Palatino Linotype" w:hAnsi="Palatino Linotype" w:cs="Palatino Linotype"/>
          <w:i/>
          <w:color w:val="000000" w:themeColor="text1"/>
        </w:rPr>
      </w:pPr>
      <w:r w:rsidRPr="00360A9A">
        <w:rPr>
          <w:rFonts w:ascii="Palatino Linotype" w:eastAsia="Palatino Linotype" w:hAnsi="Palatino Linotype" w:cs="Palatino Linotype"/>
          <w:i/>
          <w:color w:val="000000" w:themeColor="text1"/>
        </w:rPr>
        <w:t xml:space="preserve">“PLAZO RAZONABLE PARA RESOLVER. DIMENSIÓN Y EFECTOS DE ESTE CONCEPTO CUANDO SE ADUCE EXCESIVA CARGA DE </w:t>
      </w:r>
      <w:r w:rsidRPr="00360A9A">
        <w:rPr>
          <w:rFonts w:ascii="Palatino Linotype" w:eastAsia="Palatino Linotype" w:hAnsi="Palatino Linotype" w:cs="Palatino Linotype"/>
          <w:i/>
          <w:color w:val="000000" w:themeColor="text1"/>
        </w:rPr>
        <w:lastRenderedPageBreak/>
        <w:t xml:space="preserve">TRABAJO.” consultable en el Seminario Judicial de la Federación y su gaceta, con el registro digital 2002351. </w:t>
      </w:r>
    </w:p>
    <w:p w:rsidR="009F45EB" w:rsidRPr="00360A9A" w:rsidRDefault="009F45EB" w:rsidP="009F45EB">
      <w:pPr>
        <w:spacing w:line="360" w:lineRule="auto"/>
        <w:ind w:left="567"/>
        <w:jc w:val="both"/>
        <w:rPr>
          <w:rFonts w:ascii="Palatino Linotype" w:eastAsia="Palatino Linotype" w:hAnsi="Palatino Linotype" w:cs="Palatino Linotype"/>
          <w:i/>
          <w:color w:val="000000" w:themeColor="text1"/>
        </w:rPr>
      </w:pPr>
    </w:p>
    <w:p w:rsidR="009F45EB" w:rsidRPr="00360A9A" w:rsidRDefault="009F45EB" w:rsidP="009F45EB">
      <w:pPr>
        <w:pStyle w:val="Prrafodelista"/>
        <w:spacing w:line="360" w:lineRule="auto"/>
        <w:ind w:left="425" w:right="474"/>
        <w:jc w:val="both"/>
        <w:rPr>
          <w:rFonts w:ascii="Palatino Linotype" w:eastAsia="Palatino Linotype" w:hAnsi="Palatino Linotype" w:cs="Palatino Linotype"/>
          <w:i/>
          <w:color w:val="000000" w:themeColor="text1"/>
        </w:rPr>
      </w:pPr>
      <w:r w:rsidRPr="00360A9A">
        <w:rPr>
          <w:rFonts w:ascii="Palatino Linotype" w:eastAsia="Palatino Linotype" w:hAnsi="Palatino Linotype" w:cs="Palatino Linotype"/>
          <w:i/>
          <w:color w:val="000000" w:themeColor="text1"/>
        </w:rPr>
        <w:t xml:space="preserve">“PLAZO RAZONABLE PARA RESOLVER. CONCEPTO Y ELEMENTOS QUE LO INTEGRAN A LA LUZ DEL DERECHO INTERNACIONAL DE LOS DERECHOS HUMANOS.”, visible en el Seminario Judicial de la Federación y su gaceta, con el registro digital 2002350. </w:t>
      </w:r>
    </w:p>
    <w:p w:rsidR="009F45EB" w:rsidRPr="00360A9A" w:rsidRDefault="009F45EB" w:rsidP="009F45EB">
      <w:pPr>
        <w:spacing w:line="360" w:lineRule="auto"/>
        <w:ind w:left="567"/>
        <w:jc w:val="both"/>
        <w:rPr>
          <w:rFonts w:ascii="Palatino Linotype" w:eastAsia="Palatino Linotype" w:hAnsi="Palatino Linotype" w:cs="Palatino Linotype"/>
          <w:i/>
          <w:color w:val="000000" w:themeColor="text1"/>
        </w:rPr>
      </w:pPr>
    </w:p>
    <w:p w:rsidR="009F45EB" w:rsidRPr="00360A9A" w:rsidRDefault="009F45EB" w:rsidP="005F156A">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360A9A">
        <w:rPr>
          <w:rFonts w:ascii="Palatino Linotype" w:eastAsia="Palatino Linotype" w:hAnsi="Palatino Linotype" w:cs="Palatino Linotype"/>
          <w:color w:val="000000" w:themeColor="text1"/>
        </w:rPr>
        <w:t xml:space="preserve">Por ello, este Organismo Garante comprometido con la tutela de los derechos humanos confiados, señala que este exceso del plazo legal para resolver el presente asunto, resulta de carácter excepcional. </w:t>
      </w:r>
    </w:p>
    <w:p w:rsidR="009F45EB" w:rsidRPr="00360A9A" w:rsidRDefault="009F45EB" w:rsidP="009F45EB">
      <w:pPr>
        <w:pStyle w:val="Prrafodelista"/>
        <w:spacing w:line="360" w:lineRule="auto"/>
        <w:rPr>
          <w:rFonts w:ascii="Palatino Linotype" w:hAnsi="Palatino Linotype"/>
        </w:rPr>
      </w:pPr>
    </w:p>
    <w:p w:rsidR="00725D92" w:rsidRPr="00360A9A" w:rsidRDefault="009F45EB" w:rsidP="00B810E8">
      <w:pPr>
        <w:numPr>
          <w:ilvl w:val="0"/>
          <w:numId w:val="1"/>
        </w:numPr>
        <w:pBdr>
          <w:top w:val="nil"/>
          <w:left w:val="nil"/>
          <w:bottom w:val="nil"/>
          <w:right w:val="nil"/>
          <w:between w:val="nil"/>
        </w:pBdr>
        <w:spacing w:line="360" w:lineRule="auto"/>
        <w:ind w:left="0" w:firstLine="0"/>
        <w:jc w:val="both"/>
        <w:rPr>
          <w:rFonts w:ascii="Palatino Linotype" w:hAnsi="Palatino Linotype"/>
          <w:b/>
          <w:color w:val="000000" w:themeColor="text1"/>
        </w:rPr>
      </w:pPr>
      <w:r w:rsidRPr="00360A9A">
        <w:rPr>
          <w:rFonts w:ascii="Palatino Linotype" w:hAnsi="Palatino Linotype"/>
        </w:rPr>
        <w:t>Seguidamente</w:t>
      </w:r>
      <w:r w:rsidR="00725D92" w:rsidRPr="00360A9A">
        <w:rPr>
          <w:rFonts w:ascii="Palatino Linotype" w:hAnsi="Palatino Linotype" w:cs="Tahoma"/>
        </w:rPr>
        <w:t xml:space="preserve"> mediante acuerdo de día</w:t>
      </w:r>
      <w:r w:rsidR="00725D92" w:rsidRPr="00360A9A">
        <w:rPr>
          <w:rFonts w:ascii="Palatino Linotype" w:hAnsi="Palatino Linotype"/>
        </w:rPr>
        <w:t xml:space="preserve"> </w:t>
      </w:r>
      <w:r w:rsidR="00D90EFB" w:rsidRPr="00360A9A">
        <w:rPr>
          <w:rFonts w:ascii="Palatino Linotype" w:hAnsi="Palatino Linotype"/>
          <w:b/>
          <w:color w:val="000000" w:themeColor="text1"/>
        </w:rPr>
        <w:t>cuatro de febrero de dos mil veinticinco</w:t>
      </w:r>
      <w:r w:rsidR="00725D92" w:rsidRPr="00360A9A">
        <w:rPr>
          <w:rFonts w:ascii="Palatino Linotype" w:hAnsi="Palatino Linotype"/>
        </w:rPr>
        <w:t xml:space="preserve">, la Comisionada Ponente dictó el cierre del periodo de </w:t>
      </w:r>
      <w:r w:rsidR="00725D92" w:rsidRPr="00360A9A">
        <w:rPr>
          <w:rFonts w:ascii="Palatino Linotype" w:hAnsi="Palatino Linotype"/>
          <w:color w:val="000000" w:themeColor="text1"/>
        </w:rPr>
        <w:t>instrucción</w:t>
      </w:r>
      <w:r w:rsidR="00725D92" w:rsidRPr="00360A9A">
        <w:rPr>
          <w:rFonts w:ascii="Palatino Linotype" w:hAnsi="Palatino Linotype"/>
        </w:rPr>
        <w:t xml:space="preserve"> y, ordenó la resolución que conforme a Derecho proceda, de acuerdo a las siguientes:</w:t>
      </w:r>
    </w:p>
    <w:p w:rsidR="006D6FA1" w:rsidRPr="00360A9A" w:rsidRDefault="006D6FA1" w:rsidP="00B810E8">
      <w:pPr>
        <w:pBdr>
          <w:top w:val="nil"/>
          <w:left w:val="nil"/>
          <w:bottom w:val="nil"/>
          <w:right w:val="nil"/>
          <w:between w:val="nil"/>
        </w:pBdr>
        <w:spacing w:line="360" w:lineRule="auto"/>
        <w:ind w:left="720"/>
        <w:rPr>
          <w:rFonts w:ascii="Palatino Linotype" w:eastAsia="Palatino Linotype" w:hAnsi="Palatino Linotype" w:cs="Palatino Linotype"/>
          <w:b/>
          <w:color w:val="000000"/>
        </w:rPr>
      </w:pPr>
    </w:p>
    <w:p w:rsidR="006D6FA1" w:rsidRPr="00360A9A" w:rsidRDefault="00920AA1" w:rsidP="00B810E8">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r w:rsidRPr="00360A9A">
        <w:rPr>
          <w:rFonts w:ascii="Palatino Linotype" w:eastAsia="Palatino Linotype" w:hAnsi="Palatino Linotype" w:cs="Palatino Linotype"/>
          <w:b/>
          <w:color w:val="000000"/>
        </w:rPr>
        <w:t>C O N S I D E R A C I O N E S</w:t>
      </w:r>
    </w:p>
    <w:p w:rsidR="00C6056D" w:rsidRPr="00360A9A" w:rsidRDefault="00C6056D" w:rsidP="00B810E8">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p>
    <w:p w:rsidR="006D6FA1" w:rsidRPr="00360A9A" w:rsidRDefault="00920AA1" w:rsidP="00B810E8">
      <w:pPr>
        <w:pStyle w:val="Ttulo2"/>
        <w:spacing w:before="0" w:line="360" w:lineRule="auto"/>
        <w:rPr>
          <w:rFonts w:ascii="Palatino Linotype" w:eastAsia="Palatino Linotype" w:hAnsi="Palatino Linotype" w:cs="Palatino Linotype"/>
          <w:b/>
          <w:color w:val="000000"/>
          <w:sz w:val="24"/>
          <w:szCs w:val="24"/>
        </w:rPr>
      </w:pPr>
      <w:bookmarkStart w:id="4" w:name="_heading=h.3znysh7" w:colFirst="0" w:colLast="0"/>
      <w:bookmarkEnd w:id="4"/>
      <w:r w:rsidRPr="00360A9A">
        <w:rPr>
          <w:rFonts w:ascii="Palatino Linotype" w:eastAsia="Palatino Linotype" w:hAnsi="Palatino Linotype" w:cs="Palatino Linotype"/>
          <w:b/>
          <w:color w:val="000000"/>
          <w:sz w:val="24"/>
          <w:szCs w:val="24"/>
        </w:rPr>
        <w:t>PRIMERA. Competencia</w:t>
      </w:r>
    </w:p>
    <w:p w:rsidR="006D6FA1" w:rsidRPr="00360A9A" w:rsidRDefault="00920AA1" w:rsidP="00B810E8">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360A9A">
        <w:rPr>
          <w:rFonts w:ascii="Palatino Linotype" w:eastAsia="Palatino Linotype" w:hAnsi="Palatino Linotype" w:cs="Palatino Linotype"/>
          <w:color w:val="000000"/>
        </w:rPr>
        <w:t xml:space="preserve">El Instituto de Transparencia, Acceso a la Información Pública y Protección de Datos Personales del Estado de México y Municipios, es competente para conocer </w:t>
      </w:r>
      <w:r w:rsidRPr="00360A9A">
        <w:rPr>
          <w:rFonts w:ascii="Palatino Linotype" w:eastAsia="Palatino Linotype" w:hAnsi="Palatino Linotype" w:cs="Palatino Linotype"/>
          <w:color w:val="000000"/>
        </w:rPr>
        <w:lastRenderedPageBreak/>
        <w:t>y resolver el presente recurso de revisión interpuesto por la parte recurrente, conforme a lo dispuesto en los artículos 6°, apartado A, de la Constitución Política de los Estados Unidos Mexicanos; 5°, párrafos trigésimo segundo, trigésimo tercero y trigésimo cuarto,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rsidR="006D6FA1" w:rsidRPr="00360A9A" w:rsidRDefault="006D6FA1" w:rsidP="00B810E8">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6D6FA1" w:rsidRPr="00360A9A" w:rsidRDefault="00920AA1" w:rsidP="00B810E8">
      <w:pPr>
        <w:pStyle w:val="Ttulo2"/>
        <w:spacing w:before="0" w:line="360" w:lineRule="auto"/>
        <w:rPr>
          <w:rFonts w:ascii="Palatino Linotype" w:eastAsia="Palatino Linotype" w:hAnsi="Palatino Linotype" w:cs="Palatino Linotype"/>
          <w:b/>
          <w:color w:val="000000"/>
          <w:sz w:val="24"/>
          <w:szCs w:val="24"/>
        </w:rPr>
      </w:pPr>
      <w:bookmarkStart w:id="5" w:name="_heading=h.2et92p0" w:colFirst="0" w:colLast="0"/>
      <w:bookmarkEnd w:id="5"/>
      <w:r w:rsidRPr="00360A9A">
        <w:rPr>
          <w:rFonts w:ascii="Palatino Linotype" w:eastAsia="Palatino Linotype" w:hAnsi="Palatino Linotype" w:cs="Palatino Linotype"/>
          <w:b/>
          <w:color w:val="000000"/>
          <w:sz w:val="24"/>
          <w:szCs w:val="24"/>
        </w:rPr>
        <w:t>SEGUNDA. Procedencia.</w:t>
      </w:r>
    </w:p>
    <w:p w:rsidR="00DE1DC4" w:rsidRPr="00360A9A" w:rsidRDefault="00DE1DC4" w:rsidP="00B810E8">
      <w:pPr>
        <w:numPr>
          <w:ilvl w:val="0"/>
          <w:numId w:val="1"/>
        </w:numPr>
        <w:pBdr>
          <w:top w:val="nil"/>
          <w:left w:val="nil"/>
          <w:bottom w:val="nil"/>
          <w:right w:val="nil"/>
          <w:between w:val="nil"/>
        </w:pBdr>
        <w:spacing w:line="360" w:lineRule="auto"/>
        <w:ind w:left="0" w:firstLine="0"/>
        <w:jc w:val="both"/>
        <w:rPr>
          <w:rFonts w:ascii="Palatino Linotype" w:hAnsi="Palatino Linotype"/>
        </w:rPr>
      </w:pPr>
      <w:r w:rsidRPr="00360A9A">
        <w:rPr>
          <w:rFonts w:ascii="Palatino Linotype" w:eastAsia="Calibri" w:hAnsi="Palatino Linotype" w:cs="Arial"/>
        </w:rPr>
        <w:t xml:space="preserve">Este Órgano Garante considera que el medio de impugnación reúne los requisitos de </w:t>
      </w:r>
      <w:r w:rsidRPr="00360A9A">
        <w:rPr>
          <w:rFonts w:ascii="Palatino Linotype" w:eastAsia="Palatino Linotype" w:hAnsi="Palatino Linotype" w:cs="Palatino Linotype"/>
          <w:color w:val="000000"/>
        </w:rPr>
        <w:t>procedencia</w:t>
      </w:r>
      <w:r w:rsidRPr="00360A9A">
        <w:rPr>
          <w:rFonts w:ascii="Palatino Linotype" w:eastAsia="Calibri" w:hAnsi="Palatino Linotype" w:cs="Arial"/>
        </w:rPr>
        <w:t xml:space="preserve"> </w:t>
      </w:r>
      <w:r w:rsidRPr="00360A9A">
        <w:rPr>
          <w:rFonts w:ascii="Palatino Linotype" w:eastAsia="Calibri" w:hAnsi="Palatino Linotype" w:cs="Tahoma"/>
          <w:color w:val="000000"/>
          <w:lang w:eastAsia="es-MX"/>
        </w:rPr>
        <w:t>toda vez que: el recurso fue presentado dentro del plazo establecido en el artículo 178 de la Ley de Transparencia y Acceso a la Información Pública del Estado de México y Municipios; asimismo no se tiene conocimiento de que se encuentre en trámite algún medio de defensa presentado por el Recurrente ante otra instancia.</w:t>
      </w:r>
    </w:p>
    <w:p w:rsidR="00DE1DC4" w:rsidRPr="00360A9A" w:rsidRDefault="00DE1DC4" w:rsidP="00B810E8">
      <w:pPr>
        <w:spacing w:line="360" w:lineRule="auto"/>
        <w:ind w:left="360"/>
        <w:contextualSpacing/>
        <w:jc w:val="both"/>
        <w:rPr>
          <w:rFonts w:ascii="Palatino Linotype" w:hAnsi="Palatino Linotype"/>
        </w:rPr>
      </w:pPr>
    </w:p>
    <w:p w:rsidR="00DE1DC4" w:rsidRPr="00360A9A" w:rsidRDefault="00DE1DC4" w:rsidP="00B810E8">
      <w:pPr>
        <w:numPr>
          <w:ilvl w:val="0"/>
          <w:numId w:val="1"/>
        </w:numPr>
        <w:pBdr>
          <w:top w:val="nil"/>
          <w:left w:val="nil"/>
          <w:bottom w:val="nil"/>
          <w:right w:val="nil"/>
          <w:between w:val="nil"/>
        </w:pBdr>
        <w:spacing w:line="360" w:lineRule="auto"/>
        <w:ind w:left="0" w:firstLine="0"/>
        <w:jc w:val="both"/>
        <w:rPr>
          <w:rFonts w:ascii="Palatino Linotype" w:hAnsi="Palatino Linotype"/>
        </w:rPr>
      </w:pPr>
      <w:r w:rsidRPr="00360A9A">
        <w:rPr>
          <w:rFonts w:ascii="Palatino Linotype" w:eastAsia="Palatino Linotype" w:hAnsi="Palatino Linotype" w:cs="Palatino Linotype"/>
        </w:rPr>
        <w:lastRenderedPageBreak/>
        <w:t xml:space="preserve">Por otro lado, es de suma importancia señalar que la parte recurrente no proporciona un nombre o datos de identificación como se advierte en el detalle de seguimiento </w:t>
      </w:r>
      <w:r w:rsidRPr="00360A9A">
        <w:rPr>
          <w:rFonts w:ascii="Palatino Linotype" w:eastAsia="Calibri" w:hAnsi="Palatino Linotype" w:cs="Arial"/>
        </w:rPr>
        <w:t>del</w:t>
      </w:r>
      <w:r w:rsidRPr="00360A9A">
        <w:rPr>
          <w:rFonts w:ascii="Palatino Linotype" w:eastAsia="Palatino Linotype" w:hAnsi="Palatino Linotype" w:cs="Palatino Linotype"/>
        </w:rPr>
        <w:t xml:space="preserve"> SAIMEX, no </w:t>
      </w:r>
      <w:r w:rsidRPr="00360A9A">
        <w:rPr>
          <w:rFonts w:ascii="Palatino Linotype" w:eastAsia="Calibri" w:hAnsi="Palatino Linotype" w:cs="Arial"/>
        </w:rPr>
        <w:t>obstante</w:t>
      </w:r>
      <w:r w:rsidRPr="00360A9A">
        <w:rPr>
          <w:rFonts w:ascii="Palatino Linotype" w:eastAsia="Palatino Linotype" w:hAnsi="Palatino Linotype" w:cs="Palatino Linotype"/>
        </w:rPr>
        <w:t xml:space="preserv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DE1DC4" w:rsidRPr="00360A9A" w:rsidRDefault="00DE1DC4" w:rsidP="00B810E8">
      <w:pPr>
        <w:spacing w:line="360" w:lineRule="auto"/>
        <w:contextualSpacing/>
        <w:jc w:val="both"/>
        <w:rPr>
          <w:rFonts w:ascii="Palatino Linotype" w:hAnsi="Palatino Linotype"/>
        </w:rPr>
      </w:pPr>
    </w:p>
    <w:p w:rsidR="00DE1DC4" w:rsidRPr="00360A9A" w:rsidRDefault="00DE1DC4" w:rsidP="005F156A">
      <w:pPr>
        <w:spacing w:line="360" w:lineRule="auto"/>
        <w:ind w:left="709" w:right="616"/>
        <w:jc w:val="both"/>
        <w:rPr>
          <w:rFonts w:ascii="Palatino Linotype" w:eastAsia="Palatino Linotype" w:hAnsi="Palatino Linotype" w:cs="Palatino Linotype"/>
          <w:i/>
        </w:rPr>
      </w:pPr>
      <w:r w:rsidRPr="00360A9A">
        <w:rPr>
          <w:rFonts w:ascii="Palatino Linotype" w:eastAsia="Palatino Linotype" w:hAnsi="Palatino Linotype" w:cs="Palatino Linotype"/>
          <w:i/>
        </w:rPr>
        <w:t>"</w:t>
      </w:r>
      <w:r w:rsidRPr="00360A9A">
        <w:rPr>
          <w:rFonts w:ascii="Palatino Linotype" w:eastAsia="Palatino Linotype" w:hAnsi="Palatino Linotype" w:cs="Palatino Linotype"/>
          <w:b/>
          <w:i/>
        </w:rPr>
        <w:t>Las solicitudes anónimas</w:t>
      </w:r>
      <w:r w:rsidRPr="00360A9A">
        <w:rPr>
          <w:rFonts w:ascii="Palatino Linotype" w:eastAsia="Palatino Linotype" w:hAnsi="Palatino Linotype" w:cs="Palatino Linotype"/>
          <w:i/>
        </w:rPr>
        <w:t xml:space="preserve">, con nombre incompleto o seudónimo </w:t>
      </w:r>
      <w:r w:rsidRPr="00360A9A">
        <w:rPr>
          <w:rFonts w:ascii="Palatino Linotype" w:eastAsia="Palatino Linotype" w:hAnsi="Palatino Linotype" w:cs="Palatino Linotype"/>
          <w:b/>
          <w:i/>
        </w:rPr>
        <w:t>serán procedentes para su trámite por parte del sujeto obligado ante quien se presente</w:t>
      </w:r>
      <w:r w:rsidRPr="00360A9A">
        <w:rPr>
          <w:rFonts w:ascii="Palatino Linotype" w:eastAsia="Palatino Linotype" w:hAnsi="Palatino Linotype" w:cs="Palatino Linotype"/>
          <w:i/>
        </w:rPr>
        <w:t>. No podrá requerirse información adicional con motivo del nombre proporcionado por el solicitante."</w:t>
      </w:r>
    </w:p>
    <w:p w:rsidR="00DE1DC4" w:rsidRPr="00360A9A" w:rsidRDefault="00DE1DC4" w:rsidP="00B810E8">
      <w:pPr>
        <w:spacing w:line="360" w:lineRule="auto"/>
        <w:jc w:val="both"/>
        <w:rPr>
          <w:rFonts w:ascii="Palatino Linotype" w:eastAsia="Palatino Linotype" w:hAnsi="Palatino Linotype" w:cs="Palatino Linotype"/>
        </w:rPr>
      </w:pPr>
    </w:p>
    <w:p w:rsidR="00DE1DC4" w:rsidRPr="00360A9A" w:rsidRDefault="00DE1DC4" w:rsidP="00B810E8">
      <w:pPr>
        <w:numPr>
          <w:ilvl w:val="0"/>
          <w:numId w:val="1"/>
        </w:numPr>
        <w:pBdr>
          <w:top w:val="nil"/>
          <w:left w:val="nil"/>
          <w:bottom w:val="nil"/>
          <w:right w:val="nil"/>
          <w:between w:val="nil"/>
        </w:pBdr>
        <w:spacing w:line="360" w:lineRule="auto"/>
        <w:ind w:left="0" w:firstLine="0"/>
        <w:jc w:val="both"/>
        <w:rPr>
          <w:rFonts w:ascii="Palatino Linotype" w:hAnsi="Palatino Linotype"/>
        </w:rPr>
      </w:pPr>
      <w:r w:rsidRPr="00360A9A">
        <w:rPr>
          <w:rFonts w:ascii="Palatino Linotype" w:eastAsia="Palatino Linotype" w:hAnsi="Palatino Linotype" w:cs="Palatino Linotype"/>
        </w:rPr>
        <w:t>Robusteciendo lo anterior se encuentra lo dispuesto en el artículo 6, Apartado A, fracciones III de la Constitución Política de los Estados Unidos Mexicanos que establece:</w:t>
      </w:r>
    </w:p>
    <w:p w:rsidR="00DE1DC4" w:rsidRPr="00360A9A" w:rsidRDefault="00DE1DC4" w:rsidP="00B810E8">
      <w:pPr>
        <w:spacing w:line="360" w:lineRule="auto"/>
        <w:contextualSpacing/>
        <w:jc w:val="both"/>
        <w:rPr>
          <w:rFonts w:ascii="Palatino Linotype" w:hAnsi="Palatino Linotype"/>
        </w:rPr>
      </w:pPr>
    </w:p>
    <w:p w:rsidR="00DE1DC4" w:rsidRPr="00360A9A" w:rsidRDefault="00DE1DC4" w:rsidP="00B810E8">
      <w:pPr>
        <w:pStyle w:val="Prrafodelista"/>
        <w:spacing w:line="360" w:lineRule="auto"/>
        <w:ind w:left="425" w:right="474"/>
        <w:jc w:val="both"/>
        <w:rPr>
          <w:rFonts w:ascii="Palatino Linotype" w:eastAsia="Palatino Linotype" w:hAnsi="Palatino Linotype" w:cs="Palatino Linotype"/>
          <w:i/>
        </w:rPr>
      </w:pPr>
      <w:r w:rsidRPr="00360A9A">
        <w:rPr>
          <w:rFonts w:ascii="Palatino Linotype" w:eastAsia="Palatino Linotype" w:hAnsi="Palatino Linotype" w:cs="Palatino Linotype"/>
          <w:i/>
        </w:rPr>
        <w:t>"</w:t>
      </w:r>
      <w:r w:rsidRPr="00360A9A">
        <w:rPr>
          <w:rFonts w:ascii="Palatino Linotype" w:eastAsia="Palatino Linotype" w:hAnsi="Palatino Linotype" w:cs="Palatino Linotype"/>
          <w:b/>
          <w:i/>
        </w:rPr>
        <w:t>Artículo 6.-</w:t>
      </w:r>
      <w:r w:rsidRPr="00360A9A">
        <w:rPr>
          <w:rFonts w:ascii="Palatino Linotype" w:eastAsia="Palatino Linotype" w:hAnsi="Palatino Linotype" w:cs="Palatino Linotype"/>
          <w:i/>
        </w:rPr>
        <w:t xml:space="preserve"> La manifestación de las ideas no será objeto de ninguna inquisición judicial o administrativa, sino en el caso de que ataque a la moral, la vida privada o los derechos de terceros, provoque </w:t>
      </w:r>
      <w:r w:rsidRPr="00360A9A">
        <w:rPr>
          <w:rFonts w:ascii="Palatino Linotype" w:eastAsia="Palatino Linotype" w:hAnsi="Palatino Linotype" w:cs="Palatino Linotype"/>
          <w:i/>
          <w:color w:val="000000" w:themeColor="text1"/>
        </w:rPr>
        <w:t>algún</w:t>
      </w:r>
      <w:r w:rsidRPr="00360A9A">
        <w:rPr>
          <w:rFonts w:ascii="Palatino Linotype" w:eastAsia="Palatino Linotype" w:hAnsi="Palatino Linotype" w:cs="Palatino Linotype"/>
          <w:i/>
        </w:rPr>
        <w:t xml:space="preserve"> delito, o perturbe el orden público; el </w:t>
      </w:r>
      <w:r w:rsidRPr="00360A9A">
        <w:rPr>
          <w:rFonts w:ascii="Palatino Linotype" w:eastAsia="Palatino Linotype" w:hAnsi="Palatino Linotype" w:cs="Palatino Linotype"/>
          <w:i/>
        </w:rPr>
        <w:lastRenderedPageBreak/>
        <w:t>derecho de réplica será ejercido en los términos dispuestos por la ley. El derecho a la información será garantizado por el Estado.</w:t>
      </w:r>
    </w:p>
    <w:p w:rsidR="00DE1DC4" w:rsidRPr="00360A9A" w:rsidRDefault="00DE1DC4" w:rsidP="00B810E8">
      <w:pPr>
        <w:pStyle w:val="Prrafodelista"/>
        <w:spacing w:line="360" w:lineRule="auto"/>
        <w:ind w:left="425" w:right="474"/>
        <w:jc w:val="both"/>
        <w:rPr>
          <w:rFonts w:ascii="Palatino Linotype" w:eastAsia="Palatino Linotype" w:hAnsi="Palatino Linotype" w:cs="Palatino Linotype"/>
          <w:i/>
        </w:rPr>
      </w:pPr>
      <w:r w:rsidRPr="00360A9A">
        <w:rPr>
          <w:rFonts w:ascii="Palatino Linotype" w:eastAsia="Palatino Linotype" w:hAnsi="Palatino Linotype" w:cs="Palatino Linotype"/>
          <w:i/>
        </w:rPr>
        <w:t xml:space="preserve">Para efectos de lo dispuesto en el </w:t>
      </w:r>
      <w:r w:rsidRPr="00360A9A">
        <w:rPr>
          <w:rFonts w:ascii="Palatino Linotype" w:eastAsia="Palatino Linotype" w:hAnsi="Palatino Linotype" w:cs="Palatino Linotype"/>
          <w:i/>
          <w:color w:val="000000" w:themeColor="text1"/>
        </w:rPr>
        <w:t>presente</w:t>
      </w:r>
      <w:r w:rsidRPr="00360A9A">
        <w:rPr>
          <w:rFonts w:ascii="Palatino Linotype" w:eastAsia="Palatino Linotype" w:hAnsi="Palatino Linotype" w:cs="Palatino Linotype"/>
          <w:i/>
        </w:rPr>
        <w:t xml:space="preserve"> artículo se observará lo siguiente:</w:t>
      </w:r>
    </w:p>
    <w:p w:rsidR="00DE1DC4" w:rsidRPr="00360A9A" w:rsidRDefault="00DE1DC4" w:rsidP="00B810E8">
      <w:pPr>
        <w:pStyle w:val="Prrafodelista"/>
        <w:spacing w:line="360" w:lineRule="auto"/>
        <w:ind w:left="425" w:right="474"/>
        <w:jc w:val="both"/>
        <w:rPr>
          <w:rFonts w:ascii="Palatino Linotype" w:eastAsia="Palatino Linotype" w:hAnsi="Palatino Linotype" w:cs="Palatino Linotype"/>
          <w:i/>
        </w:rPr>
      </w:pPr>
      <w:r w:rsidRPr="00360A9A">
        <w:rPr>
          <w:rFonts w:ascii="Palatino Linotype" w:eastAsia="Palatino Linotype" w:hAnsi="Palatino Linotype" w:cs="Palatino Linotype"/>
          <w:i/>
        </w:rPr>
        <w:t xml:space="preserve">A. Para el ejercicio del </w:t>
      </w:r>
      <w:r w:rsidRPr="00360A9A">
        <w:rPr>
          <w:rFonts w:ascii="Palatino Linotype" w:eastAsia="Palatino Linotype" w:hAnsi="Palatino Linotype" w:cs="Palatino Linotype"/>
          <w:i/>
          <w:color w:val="000000" w:themeColor="text1"/>
        </w:rPr>
        <w:t>derecho</w:t>
      </w:r>
      <w:r w:rsidRPr="00360A9A">
        <w:rPr>
          <w:rFonts w:ascii="Palatino Linotype" w:eastAsia="Palatino Linotype" w:hAnsi="Palatino Linotype" w:cs="Palatino Linotype"/>
          <w:i/>
        </w:rPr>
        <w:t xml:space="preserve"> de acceso a la información, la Federación, los Estados y el Distrito Federal, en el ámbito de sus respectivas competencias, se regirán por los siguientes principios y bases:</w:t>
      </w:r>
    </w:p>
    <w:p w:rsidR="00DE1DC4" w:rsidRPr="00360A9A" w:rsidRDefault="00DE1DC4" w:rsidP="00B810E8">
      <w:pPr>
        <w:pStyle w:val="Prrafodelista"/>
        <w:spacing w:line="360" w:lineRule="auto"/>
        <w:ind w:left="425" w:right="474"/>
        <w:jc w:val="both"/>
        <w:rPr>
          <w:rFonts w:ascii="Palatino Linotype" w:eastAsia="Palatino Linotype" w:hAnsi="Palatino Linotype" w:cs="Palatino Linotype"/>
          <w:i/>
        </w:rPr>
      </w:pPr>
      <w:r w:rsidRPr="00360A9A">
        <w:rPr>
          <w:rFonts w:ascii="Palatino Linotype" w:eastAsia="Palatino Linotype" w:hAnsi="Palatino Linotype" w:cs="Palatino Linotype"/>
          <w:i/>
        </w:rPr>
        <w:t xml:space="preserve">III. Toda persona, sin necesidad de acreditar interés alguno o justificar su utilización, tendrá acceso gratuito a la información pública, a sus datos personales o a la rectificación de éstos.” </w:t>
      </w:r>
    </w:p>
    <w:p w:rsidR="00DE1DC4" w:rsidRPr="00360A9A" w:rsidRDefault="00DE1DC4" w:rsidP="00B810E8">
      <w:pPr>
        <w:spacing w:line="360" w:lineRule="auto"/>
        <w:ind w:left="567"/>
        <w:jc w:val="both"/>
        <w:rPr>
          <w:rFonts w:ascii="Palatino Linotype" w:eastAsia="Palatino Linotype" w:hAnsi="Palatino Linotype" w:cs="Palatino Linotype"/>
          <w:i/>
        </w:rPr>
      </w:pPr>
    </w:p>
    <w:p w:rsidR="00DE1DC4" w:rsidRPr="00360A9A" w:rsidRDefault="00DE1DC4" w:rsidP="00B810E8">
      <w:pPr>
        <w:numPr>
          <w:ilvl w:val="0"/>
          <w:numId w:val="1"/>
        </w:numPr>
        <w:pBdr>
          <w:top w:val="nil"/>
          <w:left w:val="nil"/>
          <w:bottom w:val="nil"/>
          <w:right w:val="nil"/>
          <w:between w:val="nil"/>
        </w:pBdr>
        <w:spacing w:line="360" w:lineRule="auto"/>
        <w:ind w:left="0" w:firstLine="0"/>
        <w:jc w:val="both"/>
        <w:rPr>
          <w:rFonts w:ascii="Palatino Linotype" w:hAnsi="Palatino Linotype"/>
        </w:rPr>
      </w:pPr>
      <w:r w:rsidRPr="00360A9A">
        <w:rPr>
          <w:rFonts w:ascii="Palatino Linotype" w:eastAsia="Palatino Linotype" w:hAnsi="Palatino Linotype" w:cs="Palatino Linotype"/>
        </w:rPr>
        <w:t>Así como el artículo 5 fracción III, párrafo vigésimo noveno, trigésimo y trigésimo primero, de la Constitución Política del Estado Libre y Soberano de México, que determina lo siguiente:</w:t>
      </w:r>
    </w:p>
    <w:p w:rsidR="00DE1DC4" w:rsidRPr="00360A9A" w:rsidRDefault="00DE1DC4" w:rsidP="00B810E8">
      <w:pPr>
        <w:spacing w:line="360" w:lineRule="auto"/>
        <w:contextualSpacing/>
        <w:jc w:val="both"/>
        <w:rPr>
          <w:rFonts w:ascii="Palatino Linotype" w:hAnsi="Palatino Linotype"/>
        </w:rPr>
      </w:pPr>
    </w:p>
    <w:p w:rsidR="00DE1DC4" w:rsidRPr="00360A9A" w:rsidRDefault="00DE1DC4" w:rsidP="00B810E8">
      <w:pPr>
        <w:pStyle w:val="Prrafodelista"/>
        <w:spacing w:line="360" w:lineRule="auto"/>
        <w:ind w:left="425" w:right="474"/>
        <w:jc w:val="both"/>
        <w:rPr>
          <w:rFonts w:ascii="Palatino Linotype" w:eastAsia="Palatino Linotype" w:hAnsi="Palatino Linotype" w:cs="Palatino Linotype"/>
          <w:i/>
        </w:rPr>
      </w:pPr>
      <w:r w:rsidRPr="00360A9A">
        <w:rPr>
          <w:rFonts w:ascii="Palatino Linotype" w:eastAsia="Palatino Linotype" w:hAnsi="Palatino Linotype" w:cs="Palatino Linotype"/>
          <w:i/>
        </w:rPr>
        <w:t>"</w:t>
      </w:r>
      <w:r w:rsidRPr="00360A9A">
        <w:rPr>
          <w:rFonts w:ascii="Palatino Linotype" w:eastAsia="Palatino Linotype" w:hAnsi="Palatino Linotype" w:cs="Palatino Linotype"/>
          <w:b/>
          <w:i/>
        </w:rPr>
        <w:t>Artículo 5.-</w:t>
      </w:r>
      <w:r w:rsidRPr="00360A9A">
        <w:rPr>
          <w:rFonts w:ascii="Palatino Linotype" w:eastAsia="Palatino Linotype" w:hAnsi="Palatino Linotype" w:cs="Palatino Linotype"/>
          <w:i/>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rsidR="00DE1DC4" w:rsidRPr="00360A9A" w:rsidRDefault="00DE1DC4" w:rsidP="00B810E8">
      <w:pPr>
        <w:spacing w:line="360" w:lineRule="auto"/>
        <w:ind w:left="1134"/>
        <w:jc w:val="both"/>
        <w:rPr>
          <w:rFonts w:ascii="Palatino Linotype" w:eastAsia="Palatino Linotype" w:hAnsi="Palatino Linotype" w:cs="Palatino Linotype"/>
          <w:i/>
        </w:rPr>
      </w:pPr>
      <w:r w:rsidRPr="00360A9A">
        <w:rPr>
          <w:rFonts w:ascii="Palatino Linotype" w:eastAsia="Palatino Linotype" w:hAnsi="Palatino Linotype" w:cs="Palatino Linotype"/>
          <w:i/>
        </w:rPr>
        <w:lastRenderedPageBreak/>
        <w:t>…</w:t>
      </w:r>
    </w:p>
    <w:p w:rsidR="00DE1DC4" w:rsidRPr="00360A9A" w:rsidRDefault="00DE1DC4" w:rsidP="00B810E8">
      <w:pPr>
        <w:pStyle w:val="Prrafodelista"/>
        <w:spacing w:line="360" w:lineRule="auto"/>
        <w:ind w:left="425" w:right="474"/>
        <w:jc w:val="both"/>
        <w:rPr>
          <w:rFonts w:ascii="Palatino Linotype" w:eastAsia="Palatino Linotype" w:hAnsi="Palatino Linotype" w:cs="Palatino Linotype"/>
          <w:i/>
        </w:rPr>
      </w:pPr>
      <w:r w:rsidRPr="00360A9A">
        <w:rPr>
          <w:rFonts w:ascii="Palatino Linotype" w:eastAsia="Palatino Linotype" w:hAnsi="Palatino Linotype" w:cs="Palatino Linotype"/>
          <w:i/>
        </w:rPr>
        <w:t>Toda persona en el Estado de México, tiene derecho al libre acceso a la información plural y oportuna, así como a buscar recibir y difundir información e ideas de toda índole por cualquier medio de expresión.</w:t>
      </w:r>
    </w:p>
    <w:p w:rsidR="00DE1DC4" w:rsidRPr="00360A9A" w:rsidRDefault="00DE1DC4" w:rsidP="00B810E8">
      <w:pPr>
        <w:spacing w:line="360" w:lineRule="auto"/>
        <w:ind w:left="1134"/>
        <w:jc w:val="both"/>
        <w:rPr>
          <w:rFonts w:ascii="Palatino Linotype" w:eastAsia="Palatino Linotype" w:hAnsi="Palatino Linotype" w:cs="Palatino Linotype"/>
          <w:i/>
        </w:rPr>
      </w:pPr>
      <w:r w:rsidRPr="00360A9A">
        <w:rPr>
          <w:rFonts w:ascii="Palatino Linotype" w:eastAsia="Palatino Linotype" w:hAnsi="Palatino Linotype" w:cs="Palatino Linotype"/>
          <w:i/>
        </w:rPr>
        <w:t>...</w:t>
      </w:r>
    </w:p>
    <w:p w:rsidR="00DE1DC4" w:rsidRPr="00360A9A" w:rsidRDefault="00DE1DC4" w:rsidP="00B810E8">
      <w:pPr>
        <w:pStyle w:val="Prrafodelista"/>
        <w:spacing w:line="360" w:lineRule="auto"/>
        <w:ind w:left="425" w:right="474"/>
        <w:jc w:val="both"/>
        <w:rPr>
          <w:rFonts w:ascii="Palatino Linotype" w:eastAsia="Palatino Linotype" w:hAnsi="Palatino Linotype" w:cs="Palatino Linotype"/>
          <w:i/>
        </w:rPr>
      </w:pPr>
      <w:r w:rsidRPr="00360A9A">
        <w:rPr>
          <w:rFonts w:ascii="Palatino Linotype" w:eastAsia="Palatino Linotype" w:hAnsi="Palatino Linotype" w:cs="Palatino Linotype"/>
          <w:i/>
        </w:rPr>
        <w:t>El derecho a la información será garantizado por el Estado. La ley establecerá las previsiones que permitan asegurar la protección, el respeto y la difusión de este derecho.</w:t>
      </w:r>
    </w:p>
    <w:p w:rsidR="00DE1DC4" w:rsidRPr="00360A9A" w:rsidRDefault="00DE1DC4" w:rsidP="00B810E8">
      <w:pPr>
        <w:pStyle w:val="Prrafodelista"/>
        <w:spacing w:line="360" w:lineRule="auto"/>
        <w:ind w:left="425" w:right="474"/>
        <w:jc w:val="both"/>
        <w:rPr>
          <w:rFonts w:ascii="Palatino Linotype" w:eastAsia="Palatino Linotype" w:hAnsi="Palatino Linotype" w:cs="Palatino Linotype"/>
          <w:i/>
        </w:rPr>
      </w:pPr>
      <w:r w:rsidRPr="00360A9A">
        <w:rPr>
          <w:rFonts w:ascii="Palatino Linotype" w:eastAsia="Palatino Linotype" w:hAnsi="Palatino Linotype" w:cs="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DE1DC4" w:rsidRPr="00360A9A" w:rsidRDefault="00DE1DC4" w:rsidP="00B810E8">
      <w:pPr>
        <w:pStyle w:val="Prrafodelista"/>
        <w:spacing w:line="360" w:lineRule="auto"/>
        <w:ind w:left="425" w:right="474"/>
        <w:jc w:val="both"/>
        <w:rPr>
          <w:rFonts w:ascii="Palatino Linotype" w:eastAsia="Palatino Linotype" w:hAnsi="Palatino Linotype" w:cs="Palatino Linotype"/>
          <w:i/>
        </w:rPr>
      </w:pPr>
      <w:r w:rsidRPr="00360A9A">
        <w:rPr>
          <w:rFonts w:ascii="Palatino Linotype" w:eastAsia="Palatino Linotype" w:hAnsi="Palatino Linotype" w:cs="Palatino Linotype"/>
          <w:i/>
        </w:rPr>
        <w:t>III. Toda persona, sin necesidad de acreditar interés alguno o justificar su utilización, tendrá acceso gratuito a la información pública, a sus datos personales o a la rectificación de éstos;</w:t>
      </w:r>
    </w:p>
    <w:p w:rsidR="00DE1DC4" w:rsidRPr="00360A9A" w:rsidRDefault="00DE1DC4" w:rsidP="00B810E8">
      <w:pPr>
        <w:spacing w:line="360" w:lineRule="auto"/>
        <w:ind w:left="1134"/>
        <w:jc w:val="both"/>
        <w:rPr>
          <w:rFonts w:ascii="Palatino Linotype" w:eastAsia="Palatino Linotype" w:hAnsi="Palatino Linotype" w:cs="Palatino Linotype"/>
          <w:i/>
        </w:rPr>
      </w:pPr>
      <w:r w:rsidRPr="00360A9A">
        <w:rPr>
          <w:rFonts w:ascii="Palatino Linotype" w:eastAsia="Palatino Linotype" w:hAnsi="Palatino Linotype" w:cs="Palatino Linotype"/>
          <w:i/>
        </w:rPr>
        <w:t>...</w:t>
      </w:r>
    </w:p>
    <w:p w:rsidR="00DE1DC4" w:rsidRPr="00360A9A" w:rsidRDefault="00DE1DC4" w:rsidP="00B810E8">
      <w:pPr>
        <w:pStyle w:val="Prrafodelista"/>
        <w:spacing w:line="360" w:lineRule="auto"/>
        <w:ind w:left="425" w:right="474"/>
        <w:jc w:val="both"/>
        <w:rPr>
          <w:rFonts w:ascii="Palatino Linotype" w:eastAsia="Palatino Linotype" w:hAnsi="Palatino Linotype" w:cs="Palatino Linotype"/>
          <w:i/>
        </w:rPr>
      </w:pPr>
      <w:r w:rsidRPr="00360A9A">
        <w:rPr>
          <w:rFonts w:ascii="Palatino Linotype" w:eastAsia="Palatino Linotype" w:hAnsi="Palatino Linotype" w:cs="Palatino Linotype"/>
          <w:i/>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w:t>
      </w:r>
      <w:r w:rsidRPr="00360A9A">
        <w:rPr>
          <w:rFonts w:ascii="Palatino Linotype" w:eastAsia="Palatino Linotype" w:hAnsi="Palatino Linotype" w:cs="Palatino Linotype"/>
          <w:i/>
        </w:rPr>
        <w:lastRenderedPageBreak/>
        <w:t>del derecho de transparencia, acceso a la información pública y a la protección de datos personales en posesión de los sujetos obligados en los términos que establezca la ley.”</w:t>
      </w:r>
    </w:p>
    <w:p w:rsidR="00DE1DC4" w:rsidRPr="00360A9A" w:rsidRDefault="00DE1DC4" w:rsidP="00B810E8">
      <w:pPr>
        <w:spacing w:line="360" w:lineRule="auto"/>
        <w:ind w:left="426"/>
        <w:jc w:val="both"/>
        <w:rPr>
          <w:rFonts w:ascii="Palatino Linotype" w:eastAsia="Palatino Linotype" w:hAnsi="Palatino Linotype" w:cs="Palatino Linotype"/>
          <w:i/>
        </w:rPr>
      </w:pPr>
    </w:p>
    <w:p w:rsidR="00DE1DC4" w:rsidRPr="00360A9A" w:rsidRDefault="00DE1DC4" w:rsidP="00B810E8">
      <w:pPr>
        <w:numPr>
          <w:ilvl w:val="0"/>
          <w:numId w:val="1"/>
        </w:numPr>
        <w:pBdr>
          <w:top w:val="nil"/>
          <w:left w:val="nil"/>
          <w:bottom w:val="nil"/>
          <w:right w:val="nil"/>
          <w:between w:val="nil"/>
        </w:pBdr>
        <w:spacing w:line="360" w:lineRule="auto"/>
        <w:ind w:left="0" w:firstLine="0"/>
        <w:jc w:val="both"/>
        <w:rPr>
          <w:rFonts w:ascii="Palatino Linotype" w:hAnsi="Palatino Linotype"/>
        </w:rPr>
      </w:pPr>
      <w:r w:rsidRPr="00360A9A">
        <w:rPr>
          <w:rFonts w:ascii="Palatino Linotype" w:eastAsia="Palatino Linotype" w:hAnsi="Palatino Linotype" w:cs="Palatino Linotype"/>
        </w:rPr>
        <w:t>Por otra parte, del contenido del artículo 1 de la Constitución Política de los Estados Unidos mexicanos, se destaca lo siguiente:</w:t>
      </w:r>
    </w:p>
    <w:p w:rsidR="00DE1DC4" w:rsidRPr="00360A9A" w:rsidRDefault="00DE1DC4" w:rsidP="00B810E8">
      <w:pPr>
        <w:pStyle w:val="Prrafodelista"/>
        <w:spacing w:line="360" w:lineRule="auto"/>
        <w:ind w:left="425" w:right="474"/>
        <w:jc w:val="both"/>
        <w:rPr>
          <w:rFonts w:ascii="Palatino Linotype" w:eastAsia="Palatino Linotype" w:hAnsi="Palatino Linotype" w:cs="Palatino Linotype"/>
          <w:i/>
        </w:rPr>
      </w:pPr>
      <w:r w:rsidRPr="00360A9A">
        <w:rPr>
          <w:rFonts w:ascii="Palatino Linotype" w:eastAsia="Palatino Linotype" w:hAnsi="Palatino Linotype" w:cs="Palatino Linotype"/>
          <w:i/>
        </w:rPr>
        <w:t>"</w:t>
      </w:r>
      <w:r w:rsidRPr="00360A9A">
        <w:rPr>
          <w:rFonts w:ascii="Palatino Linotype" w:eastAsia="Palatino Linotype" w:hAnsi="Palatino Linotype" w:cs="Palatino Linotype"/>
          <w:b/>
          <w:i/>
        </w:rPr>
        <w:t>Artículo 1</w:t>
      </w:r>
      <w:r w:rsidRPr="00360A9A">
        <w:rPr>
          <w:rFonts w:ascii="Palatino Linotype" w:eastAsia="Palatino Linotype" w:hAnsi="Palatino Linotype" w:cs="Palatino Linotype"/>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DE1DC4" w:rsidRPr="00360A9A" w:rsidRDefault="00DE1DC4" w:rsidP="00B810E8">
      <w:pPr>
        <w:pStyle w:val="Prrafodelista"/>
        <w:spacing w:line="360" w:lineRule="auto"/>
        <w:ind w:left="425" w:right="474"/>
        <w:jc w:val="both"/>
        <w:rPr>
          <w:rFonts w:ascii="Palatino Linotype" w:eastAsia="Palatino Linotype" w:hAnsi="Palatino Linotype" w:cs="Palatino Linotype"/>
          <w:i/>
        </w:rPr>
      </w:pPr>
      <w:r w:rsidRPr="00360A9A">
        <w:rPr>
          <w:rFonts w:ascii="Palatino Linotype" w:eastAsia="Palatino Linotype" w:hAnsi="Palatino Linotype" w:cs="Palatino Linotype"/>
          <w:i/>
        </w:rPr>
        <w:t>Las normas relativas a los derechos humanos se interpretarán de conformidad con esta Constitución y con los tratados internacionales de la materia favoreciendo en todo tiempo a las personas la protección más amplia.</w:t>
      </w:r>
    </w:p>
    <w:p w:rsidR="00DE1DC4" w:rsidRPr="00360A9A" w:rsidRDefault="00DE1DC4" w:rsidP="00B810E8">
      <w:pPr>
        <w:pStyle w:val="Prrafodelista"/>
        <w:spacing w:line="360" w:lineRule="auto"/>
        <w:ind w:left="425" w:right="474"/>
        <w:jc w:val="both"/>
        <w:rPr>
          <w:rFonts w:ascii="Palatino Linotype" w:eastAsia="Palatino Linotype" w:hAnsi="Palatino Linotype" w:cs="Palatino Linotype"/>
          <w:i/>
        </w:rPr>
      </w:pPr>
      <w:r w:rsidRPr="00360A9A">
        <w:rPr>
          <w:rFonts w:ascii="Palatino Linotype" w:eastAsia="Palatino Linotype" w:hAnsi="Palatino Linotype" w:cs="Palatino Linotype"/>
          <w:i/>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DE1DC4" w:rsidRPr="00360A9A" w:rsidRDefault="00DE1DC4" w:rsidP="00B810E8">
      <w:pPr>
        <w:spacing w:line="360" w:lineRule="auto"/>
        <w:ind w:right="474"/>
        <w:jc w:val="both"/>
        <w:rPr>
          <w:rFonts w:ascii="Palatino Linotype" w:eastAsia="Palatino Linotype" w:hAnsi="Palatino Linotype" w:cs="Palatino Linotype"/>
        </w:rPr>
      </w:pPr>
    </w:p>
    <w:p w:rsidR="00DE1DC4" w:rsidRPr="00360A9A" w:rsidRDefault="00DE1DC4" w:rsidP="00B810E8">
      <w:pPr>
        <w:numPr>
          <w:ilvl w:val="0"/>
          <w:numId w:val="1"/>
        </w:numPr>
        <w:pBdr>
          <w:top w:val="nil"/>
          <w:left w:val="nil"/>
          <w:bottom w:val="nil"/>
          <w:right w:val="nil"/>
          <w:between w:val="nil"/>
        </w:pBdr>
        <w:spacing w:line="360" w:lineRule="auto"/>
        <w:ind w:left="0" w:firstLine="0"/>
        <w:jc w:val="both"/>
        <w:rPr>
          <w:rFonts w:ascii="Palatino Linotype" w:hAnsi="Palatino Linotype"/>
        </w:rPr>
      </w:pPr>
      <w:r w:rsidRPr="00360A9A">
        <w:rPr>
          <w:rFonts w:ascii="Palatino Linotype" w:eastAsia="Palatino Linotype" w:hAnsi="Palatino Linotype" w:cs="Palatino Linotype"/>
        </w:rPr>
        <w:lastRenderedPageBreak/>
        <w:t xml:space="preserve">Esto es, que el derecho humano de acceso a la información pública, se aprecia que toda persona, sin necesidad de acreditar interés alguno o justificar su interposición, deberá tener acceso a la información pública, es decir, dicho </w:t>
      </w:r>
      <w:r w:rsidRPr="00360A9A">
        <w:rPr>
          <w:rFonts w:ascii="Palatino Linotype" w:eastAsia="Palatino Linotype" w:hAnsi="Palatino Linotype" w:cs="Palatino Linotype"/>
          <w:i/>
        </w:rPr>
        <w:t>derecho fundamental exime a quien lo ejerce</w:t>
      </w:r>
      <w:r w:rsidRPr="00360A9A">
        <w:rPr>
          <w:rFonts w:ascii="Palatino Linotype" w:eastAsia="Palatino Linotype" w:hAnsi="Palatino Linotype" w:cs="Palatino Linotype"/>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DE1DC4" w:rsidRPr="00360A9A" w:rsidRDefault="00DE1DC4" w:rsidP="00B810E8">
      <w:pPr>
        <w:spacing w:line="360" w:lineRule="auto"/>
        <w:jc w:val="both"/>
        <w:rPr>
          <w:rFonts w:ascii="Palatino Linotype" w:eastAsia="Palatino Linotype" w:hAnsi="Palatino Linotype" w:cs="Palatino Linotype"/>
        </w:rPr>
      </w:pPr>
    </w:p>
    <w:p w:rsidR="00DE1DC4" w:rsidRPr="00360A9A" w:rsidRDefault="00DE1DC4" w:rsidP="00B810E8">
      <w:pPr>
        <w:numPr>
          <w:ilvl w:val="0"/>
          <w:numId w:val="1"/>
        </w:numPr>
        <w:pBdr>
          <w:top w:val="nil"/>
          <w:left w:val="nil"/>
          <w:bottom w:val="nil"/>
          <w:right w:val="nil"/>
          <w:between w:val="nil"/>
        </w:pBdr>
        <w:spacing w:line="360" w:lineRule="auto"/>
        <w:ind w:left="0" w:firstLine="0"/>
        <w:jc w:val="both"/>
        <w:rPr>
          <w:rFonts w:ascii="Palatino Linotype" w:hAnsi="Palatino Linotype"/>
        </w:rPr>
      </w:pPr>
      <w:r w:rsidRPr="00360A9A">
        <w:rPr>
          <w:rFonts w:ascii="Palatino Linotype" w:eastAsia="Palatino Linotype" w:hAnsi="Palatino Linotype" w:cs="Palatino Linotype"/>
        </w:rPr>
        <w:t xml:space="preserve">En consecuencia, dado lo expuesto y fundado con anterioridad, se estima que el requisito relativo al nombre del </w:t>
      </w:r>
      <w:r w:rsidRPr="00360A9A">
        <w:rPr>
          <w:rFonts w:ascii="Palatino Linotype" w:eastAsia="Palatino Linotype" w:hAnsi="Palatino Linotype" w:cs="Palatino Linotype"/>
          <w:b/>
        </w:rPr>
        <w:t>RECURRENTE</w:t>
      </w:r>
      <w:r w:rsidRPr="00360A9A">
        <w:rPr>
          <w:rFonts w:ascii="Palatino Linotype" w:eastAsia="Palatino Linotype" w:hAnsi="Palatino Linotype" w:cs="Palatino Linotype"/>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rsidR="00DE1DC4" w:rsidRPr="00360A9A" w:rsidRDefault="00DE1DC4" w:rsidP="00B810E8">
      <w:pPr>
        <w:numPr>
          <w:ilvl w:val="0"/>
          <w:numId w:val="1"/>
        </w:numPr>
        <w:pBdr>
          <w:top w:val="nil"/>
          <w:left w:val="nil"/>
          <w:bottom w:val="nil"/>
          <w:right w:val="nil"/>
          <w:between w:val="nil"/>
        </w:pBdr>
        <w:spacing w:line="360" w:lineRule="auto"/>
        <w:ind w:left="0" w:firstLine="0"/>
        <w:jc w:val="both"/>
        <w:rPr>
          <w:rFonts w:ascii="Palatino Linotype" w:hAnsi="Palatino Linotype"/>
          <w:color w:val="000000"/>
        </w:rPr>
      </w:pPr>
      <w:r w:rsidRPr="00360A9A">
        <w:rPr>
          <w:rFonts w:ascii="Palatino Linotype" w:eastAsia="Palatino Linotype" w:hAnsi="Palatino Linotype" w:cs="Palatino Linotype"/>
          <w:color w:val="000000"/>
        </w:rPr>
        <w:lastRenderedPageBreak/>
        <w:t xml:space="preserve">Consecuencia de lo anterior, este Órgano Garante advierte que el escrito contiene las </w:t>
      </w:r>
      <w:r w:rsidRPr="00360A9A">
        <w:rPr>
          <w:rFonts w:ascii="Palatino Linotype" w:eastAsia="Palatino Linotype" w:hAnsi="Palatino Linotype" w:cs="Palatino Linotype"/>
        </w:rPr>
        <w:t>formalidades</w:t>
      </w:r>
      <w:r w:rsidRPr="00360A9A">
        <w:rPr>
          <w:rFonts w:ascii="Palatino Linotype" w:eastAsia="Palatino Linotype" w:hAnsi="Palatino Linotype" w:cs="Palatino Linotype"/>
          <w:color w:val="000000"/>
        </w:rPr>
        <w:t xml:space="preserve"> previstas por el artículo 180 último párrafo de la Ley de Transparencia y Acceso a la </w:t>
      </w:r>
      <w:r w:rsidRPr="00360A9A">
        <w:rPr>
          <w:rFonts w:ascii="Palatino Linotype" w:eastAsia="Palatino Linotype" w:hAnsi="Palatino Linotype" w:cs="Palatino Linotype"/>
        </w:rPr>
        <w:t>Información</w:t>
      </w:r>
      <w:r w:rsidRPr="00360A9A">
        <w:rPr>
          <w:rFonts w:ascii="Palatino Linotype" w:eastAsia="Palatino Linotype" w:hAnsi="Palatino Linotype" w:cs="Palatino Linotype"/>
          <w:color w:val="000000"/>
        </w:rPr>
        <w:t xml:space="preserve"> Pública del Estado de México y Municipios, por lo que es procedente que este Instituto de Transparencia, Acceso a la Información Pública y Protección de Datos Personales del Estado de México y Municipios, conozca y resuelva el presente recurso.</w:t>
      </w:r>
    </w:p>
    <w:p w:rsidR="00DE1DC4" w:rsidRPr="00360A9A" w:rsidRDefault="00DE1DC4" w:rsidP="00B810E8">
      <w:pPr>
        <w:spacing w:line="360" w:lineRule="auto"/>
        <w:contextualSpacing/>
        <w:jc w:val="both"/>
        <w:rPr>
          <w:rFonts w:ascii="Palatino Linotype" w:eastAsia="Calibri" w:hAnsi="Palatino Linotype" w:cs="Arial"/>
        </w:rPr>
      </w:pPr>
    </w:p>
    <w:p w:rsidR="00DE1DC4" w:rsidRPr="00360A9A" w:rsidRDefault="00DE1DC4" w:rsidP="00B810E8">
      <w:pPr>
        <w:numPr>
          <w:ilvl w:val="0"/>
          <w:numId w:val="1"/>
        </w:numPr>
        <w:pBdr>
          <w:top w:val="nil"/>
          <w:left w:val="nil"/>
          <w:bottom w:val="nil"/>
          <w:right w:val="nil"/>
          <w:between w:val="nil"/>
        </w:pBdr>
        <w:spacing w:line="360" w:lineRule="auto"/>
        <w:ind w:left="0" w:firstLine="0"/>
        <w:jc w:val="both"/>
        <w:rPr>
          <w:rFonts w:ascii="Palatino Linotype" w:eastAsia="Calibri" w:hAnsi="Palatino Linotype" w:cs="Arial"/>
        </w:rPr>
      </w:pPr>
      <w:r w:rsidRPr="00360A9A">
        <w:rPr>
          <w:rFonts w:ascii="Palatino Linotype" w:eastAsia="Calibri" w:hAnsi="Palatino Linotype" w:cs="Arial"/>
        </w:rPr>
        <w:t>Finalmente, el escrito contiene las formalidades previstas por el artículo 180 último párrafo de la citada Ley de la materia, por lo que es procedente que este Instituto conozca y resuelva el presente Recurso de Revisión.</w:t>
      </w:r>
    </w:p>
    <w:p w:rsidR="006D6FA1" w:rsidRPr="00360A9A" w:rsidRDefault="006D6FA1" w:rsidP="00B810E8">
      <w:pPr>
        <w:pBdr>
          <w:top w:val="nil"/>
          <w:left w:val="nil"/>
          <w:bottom w:val="nil"/>
          <w:right w:val="nil"/>
          <w:between w:val="nil"/>
        </w:pBdr>
        <w:spacing w:line="360" w:lineRule="auto"/>
        <w:rPr>
          <w:rFonts w:ascii="Palatino Linotype" w:eastAsia="Palatino Linotype" w:hAnsi="Palatino Linotype" w:cs="Palatino Linotype"/>
          <w:color w:val="000000"/>
        </w:rPr>
      </w:pPr>
    </w:p>
    <w:p w:rsidR="006D6FA1" w:rsidRPr="00360A9A" w:rsidRDefault="00920AA1" w:rsidP="00B810E8">
      <w:pPr>
        <w:pStyle w:val="Ttulo1"/>
        <w:spacing w:before="0" w:line="360" w:lineRule="auto"/>
        <w:rPr>
          <w:rFonts w:ascii="Palatino Linotype" w:eastAsia="Palatino Linotype" w:hAnsi="Palatino Linotype" w:cs="Palatino Linotype"/>
          <w:b/>
          <w:color w:val="000000"/>
          <w:sz w:val="24"/>
          <w:szCs w:val="24"/>
        </w:rPr>
      </w:pPr>
      <w:bookmarkStart w:id="6" w:name="_heading=h.tyjcwt" w:colFirst="0" w:colLast="0"/>
      <w:bookmarkEnd w:id="6"/>
      <w:r w:rsidRPr="00360A9A">
        <w:rPr>
          <w:rFonts w:ascii="Palatino Linotype" w:eastAsia="Palatino Linotype" w:hAnsi="Palatino Linotype" w:cs="Palatino Linotype"/>
          <w:b/>
          <w:color w:val="000000"/>
          <w:sz w:val="24"/>
          <w:szCs w:val="24"/>
        </w:rPr>
        <w:t>TERCERA. Descripción de hechos y planteamiento de la controversia.</w:t>
      </w:r>
    </w:p>
    <w:p w:rsidR="006D6FA1" w:rsidRPr="00360A9A" w:rsidRDefault="006D6FA1" w:rsidP="00B810E8">
      <w:pPr>
        <w:spacing w:line="360" w:lineRule="auto"/>
        <w:rPr>
          <w:rFonts w:ascii="Palatino Linotype" w:eastAsia="Palatino Linotype" w:hAnsi="Palatino Linotype" w:cs="Palatino Linotype"/>
        </w:rPr>
      </w:pPr>
    </w:p>
    <w:p w:rsidR="006D6FA1" w:rsidRPr="00360A9A" w:rsidRDefault="00920AA1" w:rsidP="00B810E8">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360A9A">
        <w:rPr>
          <w:rFonts w:ascii="Palatino Linotype" w:eastAsia="Palatino Linotype" w:hAnsi="Palatino Linotype" w:cs="Palatino Linotype"/>
          <w:color w:val="000000"/>
        </w:rPr>
        <w:t>Se solicitó tener acceso, a la información que a continuación se simplifica:</w:t>
      </w:r>
    </w:p>
    <w:p w:rsidR="006D6FA1" w:rsidRPr="00360A9A" w:rsidRDefault="006D6FA1" w:rsidP="00B810E8">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143D4B" w:rsidRPr="00360A9A" w:rsidRDefault="00143D4B" w:rsidP="00143D4B">
      <w:pPr>
        <w:pBdr>
          <w:top w:val="nil"/>
          <w:left w:val="nil"/>
          <w:bottom w:val="nil"/>
          <w:right w:val="nil"/>
          <w:between w:val="nil"/>
        </w:pBdr>
        <w:spacing w:line="360" w:lineRule="auto"/>
        <w:ind w:left="1068"/>
        <w:jc w:val="both"/>
        <w:rPr>
          <w:rFonts w:ascii="Palatino Linotype" w:eastAsia="Palatino Linotype" w:hAnsi="Palatino Linotype" w:cs="Palatino Linotype"/>
          <w:b/>
          <w:color w:val="000000"/>
        </w:rPr>
      </w:pPr>
      <w:r w:rsidRPr="00360A9A">
        <w:rPr>
          <w:rFonts w:ascii="Palatino Linotype" w:eastAsia="Palatino Linotype" w:hAnsi="Palatino Linotype" w:cs="Palatino Linotype"/>
          <w:b/>
          <w:color w:val="000000"/>
        </w:rPr>
        <w:t xml:space="preserve">De la licitación OPERAGUA/DAYF/LPN/003/2024 referente a la contratación de prestación de servicios para la regularización y seguimiento a la recaudación de pagos en cartera vencida por concepto de "derechos de agua" y descargas para el organismo denominado OPERAGUA IZCALLI O.P.D.M, lo siguiente: </w:t>
      </w:r>
    </w:p>
    <w:p w:rsidR="00143D4B" w:rsidRPr="00360A9A" w:rsidRDefault="00143D4B" w:rsidP="00143D4B">
      <w:pPr>
        <w:pStyle w:val="Prrafodelista"/>
        <w:numPr>
          <w:ilvl w:val="0"/>
          <w:numId w:val="21"/>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360A9A">
        <w:rPr>
          <w:rFonts w:ascii="Palatino Linotype" w:eastAsia="Palatino Linotype" w:hAnsi="Palatino Linotype" w:cs="Palatino Linotype"/>
          <w:b/>
          <w:color w:val="000000"/>
        </w:rPr>
        <w:t>Bases</w:t>
      </w:r>
    </w:p>
    <w:p w:rsidR="00143D4B" w:rsidRPr="00360A9A" w:rsidRDefault="00143D4B" w:rsidP="00143D4B">
      <w:pPr>
        <w:pStyle w:val="Prrafodelista"/>
        <w:numPr>
          <w:ilvl w:val="0"/>
          <w:numId w:val="21"/>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360A9A">
        <w:rPr>
          <w:rFonts w:ascii="Palatino Linotype" w:eastAsia="Palatino Linotype" w:hAnsi="Palatino Linotype" w:cs="Palatino Linotype"/>
          <w:b/>
          <w:color w:val="000000"/>
        </w:rPr>
        <w:lastRenderedPageBreak/>
        <w:t>Comprobante recibo y/o factura de la venta de bases</w:t>
      </w:r>
    </w:p>
    <w:p w:rsidR="00143D4B" w:rsidRPr="00360A9A" w:rsidRDefault="00143D4B" w:rsidP="00143D4B">
      <w:pPr>
        <w:pStyle w:val="Prrafodelista"/>
        <w:numPr>
          <w:ilvl w:val="0"/>
          <w:numId w:val="21"/>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360A9A">
        <w:rPr>
          <w:rFonts w:ascii="Palatino Linotype" w:eastAsia="Palatino Linotype" w:hAnsi="Palatino Linotype" w:cs="Palatino Linotype"/>
          <w:b/>
          <w:color w:val="000000"/>
        </w:rPr>
        <w:t>Propuestas técnicas presentada por los proveedores</w:t>
      </w:r>
    </w:p>
    <w:p w:rsidR="00143D4B" w:rsidRPr="00360A9A" w:rsidRDefault="00143D4B" w:rsidP="00143D4B">
      <w:pPr>
        <w:pStyle w:val="Prrafodelista"/>
        <w:numPr>
          <w:ilvl w:val="0"/>
          <w:numId w:val="21"/>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360A9A">
        <w:rPr>
          <w:rFonts w:ascii="Palatino Linotype" w:eastAsia="Palatino Linotype" w:hAnsi="Palatino Linotype" w:cs="Palatino Linotype"/>
          <w:b/>
          <w:color w:val="000000"/>
        </w:rPr>
        <w:t>Propuestas económicas presentada por los proveedores</w:t>
      </w:r>
    </w:p>
    <w:p w:rsidR="00143D4B" w:rsidRPr="00360A9A" w:rsidRDefault="00143D4B" w:rsidP="00143D4B">
      <w:pPr>
        <w:pStyle w:val="Prrafodelista"/>
        <w:numPr>
          <w:ilvl w:val="0"/>
          <w:numId w:val="21"/>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360A9A">
        <w:rPr>
          <w:rFonts w:ascii="Palatino Linotype" w:eastAsia="Palatino Linotype" w:hAnsi="Palatino Linotype" w:cs="Palatino Linotype"/>
          <w:b/>
          <w:color w:val="000000"/>
        </w:rPr>
        <w:t>Acta del comité donde se presentaron las propuestas</w:t>
      </w:r>
    </w:p>
    <w:p w:rsidR="00143D4B" w:rsidRPr="00360A9A" w:rsidRDefault="00143D4B" w:rsidP="00143D4B">
      <w:pPr>
        <w:pStyle w:val="Prrafodelista"/>
        <w:numPr>
          <w:ilvl w:val="0"/>
          <w:numId w:val="21"/>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360A9A">
        <w:rPr>
          <w:rFonts w:ascii="Palatino Linotype" w:eastAsia="Palatino Linotype" w:hAnsi="Palatino Linotype" w:cs="Palatino Linotype"/>
          <w:b/>
          <w:color w:val="000000"/>
        </w:rPr>
        <w:t>Acta de fallo</w:t>
      </w:r>
    </w:p>
    <w:p w:rsidR="00143D4B" w:rsidRPr="00360A9A" w:rsidRDefault="00143D4B" w:rsidP="00143D4B">
      <w:pPr>
        <w:pStyle w:val="Prrafodelista"/>
        <w:numPr>
          <w:ilvl w:val="0"/>
          <w:numId w:val="21"/>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360A9A">
        <w:rPr>
          <w:rFonts w:ascii="Palatino Linotype" w:eastAsia="Palatino Linotype" w:hAnsi="Palatino Linotype" w:cs="Palatino Linotype"/>
          <w:b/>
          <w:color w:val="000000"/>
        </w:rPr>
        <w:t>Contrato</w:t>
      </w:r>
    </w:p>
    <w:p w:rsidR="006D6FA1" w:rsidRPr="00360A9A" w:rsidRDefault="006D6FA1" w:rsidP="00B810E8">
      <w:pPr>
        <w:pBdr>
          <w:top w:val="nil"/>
          <w:left w:val="nil"/>
          <w:bottom w:val="nil"/>
          <w:right w:val="nil"/>
          <w:between w:val="nil"/>
        </w:pBdr>
        <w:spacing w:line="360" w:lineRule="auto"/>
        <w:ind w:left="778"/>
        <w:jc w:val="both"/>
        <w:rPr>
          <w:rFonts w:ascii="Palatino Linotype" w:eastAsia="Palatino Linotype" w:hAnsi="Palatino Linotype" w:cs="Palatino Linotype"/>
          <w:b/>
          <w:color w:val="000000"/>
        </w:rPr>
      </w:pPr>
    </w:p>
    <w:p w:rsidR="006D6FA1" w:rsidRPr="00360A9A" w:rsidRDefault="00920AA1" w:rsidP="00B810E8">
      <w:pPr>
        <w:numPr>
          <w:ilvl w:val="0"/>
          <w:numId w:val="1"/>
        </w:numPr>
        <w:spacing w:line="360" w:lineRule="auto"/>
        <w:ind w:left="0" w:firstLine="0"/>
        <w:jc w:val="both"/>
        <w:rPr>
          <w:rFonts w:ascii="Palatino Linotype" w:eastAsia="Palatino Linotype" w:hAnsi="Palatino Linotype" w:cs="Palatino Linotype"/>
          <w:i/>
          <w:color w:val="000000"/>
        </w:rPr>
      </w:pPr>
      <w:r w:rsidRPr="00360A9A">
        <w:rPr>
          <w:rFonts w:ascii="Palatino Linotype" w:eastAsia="Palatino Linotype" w:hAnsi="Palatino Linotype" w:cs="Palatino Linotype"/>
        </w:rPr>
        <w:t>En respuesta, el Sujeto Obligado</w:t>
      </w:r>
      <w:r w:rsidRPr="00360A9A">
        <w:rPr>
          <w:rFonts w:ascii="Palatino Linotype" w:eastAsia="Palatino Linotype" w:hAnsi="Palatino Linotype" w:cs="Palatino Linotype"/>
          <w:b/>
        </w:rPr>
        <w:t xml:space="preserve"> </w:t>
      </w:r>
      <w:r w:rsidR="00725D92" w:rsidRPr="00360A9A">
        <w:rPr>
          <w:rFonts w:ascii="Palatino Linotype" w:eastAsia="Palatino Linotype" w:hAnsi="Palatino Linotype" w:cs="Palatino Linotype"/>
        </w:rPr>
        <w:t>remitió el</w:t>
      </w:r>
      <w:r w:rsidRPr="00360A9A">
        <w:rPr>
          <w:rFonts w:ascii="Palatino Linotype" w:eastAsia="Palatino Linotype" w:hAnsi="Palatino Linotype" w:cs="Palatino Linotype"/>
        </w:rPr>
        <w:t xml:space="preserve"> </w:t>
      </w:r>
      <w:r w:rsidR="00725D92" w:rsidRPr="00360A9A">
        <w:rPr>
          <w:rFonts w:ascii="Palatino Linotype" w:eastAsia="Palatino Linotype" w:hAnsi="Palatino Linotype" w:cs="Palatino Linotype"/>
        </w:rPr>
        <w:t>oficio</w:t>
      </w:r>
      <w:r w:rsidRPr="00360A9A">
        <w:rPr>
          <w:rFonts w:ascii="Palatino Linotype" w:eastAsia="Palatino Linotype" w:hAnsi="Palatino Linotype" w:cs="Palatino Linotype"/>
        </w:rPr>
        <w:t xml:space="preserve"> ya descritos en el anterior Párrafo 2. Inconforme con la respuesta, se interpuso recurso de revisión argumentando de manera general la entrega de la información incompleta.</w:t>
      </w:r>
    </w:p>
    <w:p w:rsidR="006D6FA1" w:rsidRPr="00360A9A" w:rsidRDefault="006D6FA1" w:rsidP="00B810E8">
      <w:pPr>
        <w:spacing w:line="360" w:lineRule="auto"/>
        <w:jc w:val="both"/>
        <w:rPr>
          <w:rFonts w:ascii="Palatino Linotype" w:eastAsia="Palatino Linotype" w:hAnsi="Palatino Linotype" w:cs="Palatino Linotype"/>
          <w:i/>
          <w:color w:val="000000"/>
        </w:rPr>
      </w:pPr>
    </w:p>
    <w:p w:rsidR="006D6FA1" w:rsidRPr="00360A9A" w:rsidRDefault="00920AA1" w:rsidP="00B810E8">
      <w:pPr>
        <w:numPr>
          <w:ilvl w:val="0"/>
          <w:numId w:val="1"/>
        </w:numPr>
        <w:spacing w:line="360" w:lineRule="auto"/>
        <w:ind w:left="0" w:firstLine="0"/>
        <w:jc w:val="both"/>
        <w:rPr>
          <w:rFonts w:ascii="Palatino Linotype" w:eastAsia="Palatino Linotype" w:hAnsi="Palatino Linotype" w:cs="Palatino Linotype"/>
        </w:rPr>
      </w:pPr>
      <w:r w:rsidRPr="00360A9A">
        <w:rPr>
          <w:rFonts w:ascii="Palatino Linotype" w:eastAsia="Palatino Linotype" w:hAnsi="Palatino Linotype" w:cs="Palatino Linotype"/>
        </w:rPr>
        <w:t>En dichas condiciones, la controversia a resolver en el presente proveído, corresponde a determinar si se actualiza la causal de procedencia prevista en el artículo 179, fracción V</w:t>
      </w:r>
      <w:r w:rsidRPr="00360A9A">
        <w:rPr>
          <w:rFonts w:ascii="Palatino Linotype" w:eastAsia="Palatino Linotype" w:hAnsi="Palatino Linotype" w:cs="Palatino Linotype"/>
          <w:b/>
        </w:rPr>
        <w:t xml:space="preserve"> </w:t>
      </w:r>
      <w:r w:rsidRPr="00360A9A">
        <w:rPr>
          <w:rFonts w:ascii="Palatino Linotype" w:eastAsia="Palatino Linotype" w:hAnsi="Palatino Linotype" w:cs="Palatino Linotype"/>
        </w:rPr>
        <w:t>de la Ley de Transparencia y Acceso a la Información Pública del Estado de</w:t>
      </w:r>
      <w:r w:rsidRPr="00360A9A">
        <w:rPr>
          <w:rFonts w:ascii="Palatino Linotype" w:eastAsia="Palatino Linotype" w:hAnsi="Palatino Linotype" w:cs="Palatino Linotype"/>
          <w:b/>
        </w:rPr>
        <w:t xml:space="preserve"> </w:t>
      </w:r>
      <w:r w:rsidRPr="00360A9A">
        <w:rPr>
          <w:rFonts w:ascii="Palatino Linotype" w:eastAsia="Palatino Linotype" w:hAnsi="Palatino Linotype" w:cs="Palatino Linotype"/>
        </w:rPr>
        <w:t>México</w:t>
      </w:r>
      <w:r w:rsidRPr="00360A9A">
        <w:rPr>
          <w:rFonts w:ascii="Palatino Linotype" w:eastAsia="Palatino Linotype" w:hAnsi="Palatino Linotype" w:cs="Palatino Linotype"/>
          <w:b/>
        </w:rPr>
        <w:t xml:space="preserve"> </w:t>
      </w:r>
      <w:r w:rsidRPr="00360A9A">
        <w:rPr>
          <w:rFonts w:ascii="Palatino Linotype" w:eastAsia="Palatino Linotype" w:hAnsi="Palatino Linotype" w:cs="Palatino Linotype"/>
        </w:rPr>
        <w:t>y</w:t>
      </w:r>
      <w:r w:rsidRPr="00360A9A">
        <w:rPr>
          <w:rFonts w:ascii="Palatino Linotype" w:eastAsia="Palatino Linotype" w:hAnsi="Palatino Linotype" w:cs="Palatino Linotype"/>
          <w:b/>
        </w:rPr>
        <w:t xml:space="preserve"> </w:t>
      </w:r>
      <w:r w:rsidRPr="00360A9A">
        <w:rPr>
          <w:rFonts w:ascii="Palatino Linotype" w:eastAsia="Palatino Linotype" w:hAnsi="Palatino Linotype" w:cs="Palatino Linotype"/>
        </w:rPr>
        <w:t xml:space="preserve">Municipios; </w:t>
      </w:r>
      <w:r w:rsidRPr="00360A9A">
        <w:rPr>
          <w:rFonts w:ascii="Palatino Linotype" w:eastAsia="Palatino Linotype" w:hAnsi="Palatino Linotype" w:cs="Palatino Linotype"/>
          <w:color w:val="000000"/>
        </w:rPr>
        <w:t>fracción que determina la hipótesis relativa a la entrega de información incompleta</w:t>
      </w:r>
      <w:r w:rsidRPr="00360A9A">
        <w:rPr>
          <w:rFonts w:ascii="Palatino Linotype" w:eastAsia="Palatino Linotype" w:hAnsi="Palatino Linotype" w:cs="Palatino Linotype"/>
        </w:rPr>
        <w:t>.</w:t>
      </w:r>
      <w:r w:rsidRPr="00360A9A">
        <w:rPr>
          <w:rFonts w:ascii="Palatino Linotype" w:eastAsia="Palatino Linotype" w:hAnsi="Palatino Linotype" w:cs="Palatino Linotype"/>
          <w:color w:val="000000"/>
        </w:rPr>
        <w:t xml:space="preserve"> De modo tal que el presente recurso de revisión se abocara en determinar si el Sujeto Obligado con su respuesta ciertamente actualiza la causal de procedencia</w:t>
      </w:r>
      <w:r w:rsidRPr="00360A9A">
        <w:rPr>
          <w:rFonts w:ascii="Palatino Linotype" w:eastAsia="Palatino Linotype" w:hAnsi="Palatino Linotype" w:cs="Palatino Linotype"/>
          <w:b/>
          <w:color w:val="000000"/>
        </w:rPr>
        <w:t xml:space="preserve"> </w:t>
      </w:r>
      <w:r w:rsidR="00143D4B" w:rsidRPr="00360A9A">
        <w:rPr>
          <w:rFonts w:ascii="Palatino Linotype" w:eastAsia="Palatino Linotype" w:hAnsi="Palatino Linotype" w:cs="Palatino Linotype"/>
          <w:color w:val="000000"/>
        </w:rPr>
        <w:t>señalada.</w:t>
      </w:r>
    </w:p>
    <w:p w:rsidR="00143D4B" w:rsidRPr="00360A9A" w:rsidRDefault="00143D4B" w:rsidP="00143D4B">
      <w:pPr>
        <w:pStyle w:val="Prrafodelista"/>
        <w:rPr>
          <w:rFonts w:ascii="Palatino Linotype" w:eastAsia="Palatino Linotype" w:hAnsi="Palatino Linotype" w:cs="Palatino Linotype"/>
        </w:rPr>
      </w:pPr>
    </w:p>
    <w:p w:rsidR="00143D4B" w:rsidRPr="00360A9A" w:rsidRDefault="00143D4B" w:rsidP="00143D4B">
      <w:pPr>
        <w:spacing w:line="360" w:lineRule="auto"/>
        <w:jc w:val="both"/>
        <w:rPr>
          <w:rFonts w:ascii="Palatino Linotype" w:eastAsia="Palatino Linotype" w:hAnsi="Palatino Linotype" w:cs="Palatino Linotype"/>
        </w:rPr>
      </w:pPr>
    </w:p>
    <w:p w:rsidR="006D6FA1" w:rsidRPr="00360A9A" w:rsidRDefault="00920AA1" w:rsidP="00B810E8">
      <w:pPr>
        <w:pStyle w:val="Ttulo2"/>
        <w:spacing w:before="0" w:line="360" w:lineRule="auto"/>
        <w:rPr>
          <w:rFonts w:ascii="Palatino Linotype" w:eastAsia="Palatino Linotype" w:hAnsi="Palatino Linotype" w:cs="Palatino Linotype"/>
          <w:b/>
          <w:color w:val="000000"/>
          <w:sz w:val="24"/>
          <w:szCs w:val="24"/>
        </w:rPr>
      </w:pPr>
      <w:bookmarkStart w:id="7" w:name="_heading=h.3dy6vkm" w:colFirst="0" w:colLast="0"/>
      <w:bookmarkEnd w:id="7"/>
      <w:r w:rsidRPr="00360A9A">
        <w:rPr>
          <w:rFonts w:ascii="Palatino Linotype" w:eastAsia="Palatino Linotype" w:hAnsi="Palatino Linotype" w:cs="Palatino Linotype"/>
          <w:b/>
          <w:color w:val="000000"/>
          <w:sz w:val="24"/>
          <w:szCs w:val="24"/>
        </w:rPr>
        <w:lastRenderedPageBreak/>
        <w:t>CUARTA. Del estudio y resolución.</w:t>
      </w:r>
    </w:p>
    <w:p w:rsidR="006D6FA1" w:rsidRPr="00360A9A" w:rsidRDefault="006D6FA1" w:rsidP="00B810E8">
      <w:pPr>
        <w:spacing w:line="360" w:lineRule="auto"/>
        <w:rPr>
          <w:rFonts w:ascii="Palatino Linotype" w:eastAsia="Palatino Linotype" w:hAnsi="Palatino Linotype" w:cs="Palatino Linotype"/>
        </w:rPr>
      </w:pPr>
    </w:p>
    <w:p w:rsidR="006D6FA1" w:rsidRPr="00360A9A" w:rsidRDefault="00920AA1" w:rsidP="00B810E8">
      <w:pPr>
        <w:numPr>
          <w:ilvl w:val="0"/>
          <w:numId w:val="1"/>
        </w:numPr>
        <w:spacing w:line="360" w:lineRule="auto"/>
        <w:ind w:left="0" w:firstLine="0"/>
        <w:jc w:val="both"/>
        <w:rPr>
          <w:rFonts w:ascii="Palatino Linotype" w:eastAsia="Palatino Linotype" w:hAnsi="Palatino Linotype" w:cs="Palatino Linotype"/>
        </w:rPr>
      </w:pPr>
      <w:r w:rsidRPr="00360A9A">
        <w:rPr>
          <w:rFonts w:ascii="Palatino Linotype" w:eastAsia="Palatino Linotype" w:hAnsi="Palatino Linotype" w:cs="Palatino Linotype"/>
        </w:rPr>
        <w:t>Determinado lo anterior; revisaremos la atención otorgada por el Sujeto Obligado a la solicitud que dio origen a este recurso, considerando imprescindible establecer lo que la regulación determina, por ello, en primer lugar, vamos a revisar lo que mandata nuestra Ley de Transparencia local, en su artículo 12, el cual establece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rsidR="006D6FA1" w:rsidRPr="00360A9A" w:rsidRDefault="006D6FA1" w:rsidP="00B810E8">
      <w:pPr>
        <w:spacing w:line="360" w:lineRule="auto"/>
        <w:jc w:val="both"/>
        <w:rPr>
          <w:rFonts w:ascii="Palatino Linotype" w:eastAsia="Palatino Linotype" w:hAnsi="Palatino Linotype" w:cs="Palatino Linotype"/>
        </w:rPr>
      </w:pPr>
    </w:p>
    <w:p w:rsidR="006D6FA1" w:rsidRPr="00360A9A" w:rsidRDefault="00920AA1" w:rsidP="00B810E8">
      <w:pPr>
        <w:numPr>
          <w:ilvl w:val="0"/>
          <w:numId w:val="1"/>
        </w:numPr>
        <w:spacing w:line="360" w:lineRule="auto"/>
        <w:ind w:left="0" w:firstLine="0"/>
        <w:jc w:val="both"/>
        <w:rPr>
          <w:rFonts w:ascii="Palatino Linotype" w:eastAsia="Palatino Linotype" w:hAnsi="Palatino Linotype" w:cs="Palatino Linotype"/>
        </w:rPr>
      </w:pPr>
      <w:r w:rsidRPr="00360A9A">
        <w:rPr>
          <w:rFonts w:ascii="Palatino Linotype" w:eastAsia="Palatino Linotype" w:hAnsi="Palatino Linotype" w:cs="Palatino Linotype"/>
        </w:rPr>
        <w:t>Asimismo,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6D6FA1" w:rsidRPr="00360A9A" w:rsidRDefault="006D6FA1" w:rsidP="00B810E8">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6D6FA1" w:rsidRPr="00360A9A" w:rsidRDefault="00920AA1" w:rsidP="00B810E8">
      <w:pPr>
        <w:numPr>
          <w:ilvl w:val="0"/>
          <w:numId w:val="1"/>
        </w:numPr>
        <w:spacing w:line="360" w:lineRule="auto"/>
        <w:ind w:left="0" w:firstLine="0"/>
        <w:jc w:val="both"/>
        <w:rPr>
          <w:rFonts w:ascii="Palatino Linotype" w:eastAsia="Palatino Linotype" w:hAnsi="Palatino Linotype" w:cs="Palatino Linotype"/>
        </w:rPr>
      </w:pPr>
      <w:r w:rsidRPr="00360A9A">
        <w:rPr>
          <w:rFonts w:ascii="Palatino Linotype" w:eastAsia="Palatino Linotype" w:hAnsi="Palatino Linotype" w:cs="Palatino Linotype"/>
        </w:rPr>
        <w:t xml:space="preserve">Los artículos antes citados, refieren que el derecho de acceso a la información pública es un derecho humano que abarca el solicitar, investigar, difundir y buscar </w:t>
      </w:r>
      <w:r w:rsidRPr="00360A9A">
        <w:rPr>
          <w:rFonts w:ascii="Palatino Linotype" w:eastAsia="Palatino Linotype" w:hAnsi="Palatino Linotype" w:cs="Palatino Linotype"/>
        </w:rPr>
        <w:lastRenderedPageBreak/>
        <w:t>información que se encuentre en los archivos de los sujetos obligados, ya sea porque estos las generaron o la poseen en atención a sus funciones, por lo que se le considera un bien común de dominio público, toda vez que al tratarse de acciones ejercidas por un servidor público, este lo hace en representación del Estado, por lo que le pertenece a todos y debe ser accesible a cualquier persona, ya sea que los particulares la puedan consultar por encontrarse publicada en cualquier medio de difusión o porque la requieren a través de una solicitud de acceso a la información, siempre y cuando no encuadre en una de las excepciones contempladas por la ley.</w:t>
      </w:r>
    </w:p>
    <w:p w:rsidR="006D6FA1" w:rsidRPr="00360A9A" w:rsidRDefault="006D6FA1" w:rsidP="00B810E8">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455EA9" w:rsidRPr="00360A9A" w:rsidRDefault="00920AA1" w:rsidP="00455EA9">
      <w:pPr>
        <w:numPr>
          <w:ilvl w:val="0"/>
          <w:numId w:val="1"/>
        </w:numPr>
        <w:spacing w:line="360" w:lineRule="auto"/>
        <w:ind w:left="0" w:firstLine="0"/>
        <w:jc w:val="both"/>
        <w:rPr>
          <w:rFonts w:ascii="Palatino Linotype" w:hAnsi="Palatino Linotype" w:cs="Arial"/>
        </w:rPr>
      </w:pPr>
      <w:r w:rsidRPr="00360A9A">
        <w:rPr>
          <w:rFonts w:ascii="Palatino Linotype" w:eastAsia="Palatino Linotype" w:hAnsi="Palatino Linotype" w:cs="Palatino Linotype"/>
        </w:rPr>
        <w:t xml:space="preserve">Acotado lo anterior, es dable primeramente </w:t>
      </w:r>
      <w:r w:rsidR="00AF7124" w:rsidRPr="00360A9A">
        <w:rPr>
          <w:rFonts w:ascii="Palatino Linotype" w:eastAsia="Palatino Linotype" w:hAnsi="Palatino Linotype" w:cs="Palatino Linotype"/>
        </w:rPr>
        <w:t xml:space="preserve">traer a contexto la respuesta emitida por el </w:t>
      </w:r>
      <w:r w:rsidR="00AF7124" w:rsidRPr="00360A9A">
        <w:rPr>
          <w:rFonts w:ascii="Palatino Linotype" w:eastAsia="Palatino Linotype" w:hAnsi="Palatino Linotype" w:cs="Palatino Linotype"/>
          <w:b/>
        </w:rPr>
        <w:t>SUJETO OBLIGADO</w:t>
      </w:r>
      <w:r w:rsidR="00AF7124" w:rsidRPr="00360A9A">
        <w:rPr>
          <w:rFonts w:ascii="Palatino Linotype" w:eastAsia="Palatino Linotype" w:hAnsi="Palatino Linotype" w:cs="Palatino Linotype"/>
        </w:rPr>
        <w:t xml:space="preserve"> </w:t>
      </w:r>
      <w:r w:rsidR="00706093" w:rsidRPr="00360A9A">
        <w:rPr>
          <w:rFonts w:ascii="Palatino Linotype" w:eastAsia="Palatino Linotype" w:hAnsi="Palatino Linotype" w:cs="Palatino Linotype"/>
        </w:rPr>
        <w:t xml:space="preserve">que versó en la entrega de un enlace. </w:t>
      </w:r>
      <w:r w:rsidR="00455EA9" w:rsidRPr="00360A9A">
        <w:rPr>
          <w:rFonts w:ascii="Palatino Linotype" w:hAnsi="Palatino Linotype" w:cs="Arial"/>
        </w:rPr>
        <w:t xml:space="preserve">Contexto que ciertamente puede atender la </w:t>
      </w:r>
      <w:r w:rsidR="00455EA9" w:rsidRPr="00360A9A">
        <w:rPr>
          <w:rFonts w:ascii="Palatino Linotype" w:eastAsia="Palatino Linotype" w:hAnsi="Palatino Linotype" w:cs="Palatino Linotype"/>
        </w:rPr>
        <w:t>solicitud</w:t>
      </w:r>
      <w:r w:rsidR="00455EA9" w:rsidRPr="00360A9A">
        <w:rPr>
          <w:rFonts w:ascii="Palatino Linotype" w:hAnsi="Palatino Linotype" w:cs="Arial"/>
        </w:rPr>
        <w:t xml:space="preserve"> de información</w:t>
      </w:r>
      <w:r w:rsidR="003B3896" w:rsidRPr="00360A9A">
        <w:rPr>
          <w:rFonts w:ascii="Palatino Linotype" w:hAnsi="Palatino Linotype" w:cs="Arial"/>
        </w:rPr>
        <w:t>;</w:t>
      </w:r>
      <w:r w:rsidR="00455EA9" w:rsidRPr="00360A9A">
        <w:rPr>
          <w:rFonts w:ascii="Palatino Linotype" w:hAnsi="Palatino Linotype" w:cs="Arial"/>
        </w:rPr>
        <w:t xml:space="preserve"> sin embargo para que un enlace de Internet colme una solicitud de información debe cumplir lo establecido en la ley de la materia en sus articulo 11 y 161, a saber:</w:t>
      </w:r>
    </w:p>
    <w:p w:rsidR="00455EA9" w:rsidRPr="00360A9A" w:rsidRDefault="00455EA9" w:rsidP="00455EA9">
      <w:pPr>
        <w:pStyle w:val="Prrafodelista"/>
        <w:spacing w:line="360" w:lineRule="auto"/>
        <w:rPr>
          <w:rFonts w:ascii="Palatino Linotype" w:hAnsi="Palatino Linotype" w:cs="Arial"/>
        </w:rPr>
      </w:pPr>
    </w:p>
    <w:p w:rsidR="00455EA9" w:rsidRPr="00360A9A" w:rsidRDefault="00455EA9" w:rsidP="00455EA9">
      <w:pPr>
        <w:spacing w:line="360" w:lineRule="auto"/>
        <w:ind w:left="567" w:right="567"/>
        <w:jc w:val="both"/>
        <w:rPr>
          <w:rFonts w:ascii="Palatino Linotype" w:hAnsi="Palatino Linotype"/>
          <w:i/>
        </w:rPr>
      </w:pPr>
      <w:r w:rsidRPr="00360A9A">
        <w:rPr>
          <w:rFonts w:ascii="Palatino Linotype" w:hAnsi="Palatino Linotype"/>
          <w:b/>
          <w:i/>
        </w:rPr>
        <w:t>“Artículo 11.</w:t>
      </w:r>
      <w:r w:rsidRPr="00360A9A">
        <w:rPr>
          <w:rFonts w:ascii="Palatino Linotype" w:hAnsi="Palatino Linotype"/>
          <w:i/>
        </w:rPr>
        <w:t xml:space="preserve"> En la generación, publicación y</w:t>
      </w:r>
      <w:r w:rsidRPr="00360A9A">
        <w:rPr>
          <w:rFonts w:ascii="Palatino Linotype" w:hAnsi="Palatino Linotype"/>
          <w:b/>
          <w:i/>
        </w:rPr>
        <w:t xml:space="preserve"> </w:t>
      </w:r>
      <w:r w:rsidRPr="00360A9A">
        <w:rPr>
          <w:rFonts w:ascii="Palatino Linotype" w:hAnsi="Palatino Linotype"/>
          <w:b/>
          <w:i/>
          <w:u w:val="single"/>
        </w:rPr>
        <w:t>entrega de información se deberá</w:t>
      </w:r>
      <w:r w:rsidRPr="00360A9A">
        <w:rPr>
          <w:rFonts w:ascii="Palatino Linotype" w:hAnsi="Palatino Linotype"/>
          <w:i/>
        </w:rPr>
        <w:t xml:space="preserve"> </w:t>
      </w:r>
      <w:r w:rsidRPr="00360A9A">
        <w:rPr>
          <w:rFonts w:ascii="Palatino Linotype" w:hAnsi="Palatino Linotype"/>
          <w:b/>
          <w:i/>
          <w:u w:val="single"/>
        </w:rPr>
        <w:t>garantizar que ésta sea accesible, actualizada, completa, congruente, confiable, verificable, veraz, integral, oportuna y expedita</w:t>
      </w:r>
      <w:r w:rsidRPr="00360A9A">
        <w:rPr>
          <w:rFonts w:ascii="Palatino Linotype" w:hAnsi="Palatino Linotype"/>
          <w:i/>
        </w:rPr>
        <w:t>, sujeta a un claro régimen de excepciones que deberá estar definido y ser además legítima y estrictamente necesaria en una sociedad democrática, por lo que atenderá las necesidades del derecho de acceso a la información de toda persona.</w:t>
      </w:r>
    </w:p>
    <w:p w:rsidR="00455EA9" w:rsidRPr="00360A9A" w:rsidRDefault="00455EA9" w:rsidP="00455EA9">
      <w:pPr>
        <w:spacing w:line="360" w:lineRule="auto"/>
        <w:ind w:left="567" w:right="567"/>
        <w:jc w:val="both"/>
        <w:rPr>
          <w:rFonts w:ascii="Palatino Linotype" w:hAnsi="Palatino Linotype"/>
          <w:i/>
        </w:rPr>
      </w:pPr>
      <w:r w:rsidRPr="00360A9A">
        <w:rPr>
          <w:rFonts w:ascii="Palatino Linotype" w:hAnsi="Palatino Linotype"/>
          <w:i/>
        </w:rPr>
        <w:lastRenderedPageBreak/>
        <w:t>(…)</w:t>
      </w:r>
    </w:p>
    <w:p w:rsidR="00455EA9" w:rsidRPr="00360A9A" w:rsidRDefault="00455EA9" w:rsidP="00455EA9">
      <w:pPr>
        <w:spacing w:line="360" w:lineRule="auto"/>
        <w:ind w:left="567" w:right="567"/>
        <w:jc w:val="both"/>
        <w:rPr>
          <w:rFonts w:ascii="Palatino Linotype" w:hAnsi="Palatino Linotype"/>
          <w:i/>
        </w:rPr>
      </w:pPr>
    </w:p>
    <w:p w:rsidR="00455EA9" w:rsidRPr="00360A9A" w:rsidRDefault="00455EA9" w:rsidP="00455EA9">
      <w:pPr>
        <w:spacing w:line="360" w:lineRule="auto"/>
        <w:ind w:left="567" w:right="567"/>
        <w:jc w:val="both"/>
        <w:rPr>
          <w:rFonts w:ascii="Palatino Linotype" w:hAnsi="Palatino Linotype"/>
        </w:rPr>
      </w:pPr>
      <w:r w:rsidRPr="00360A9A">
        <w:rPr>
          <w:rFonts w:ascii="Palatino Linotype" w:hAnsi="Palatino Linotype"/>
          <w:b/>
          <w:i/>
        </w:rPr>
        <w:t>Artículo 161.</w:t>
      </w:r>
      <w:r w:rsidRPr="00360A9A">
        <w:rPr>
          <w:rFonts w:ascii="Palatino Linotype" w:hAnsi="Palatino Linotype"/>
          <w:i/>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w:t>
      </w:r>
      <w:r w:rsidRPr="00360A9A">
        <w:rPr>
          <w:rFonts w:ascii="Palatino Linotype" w:hAnsi="Palatino Linotype"/>
          <w:b/>
          <w:i/>
        </w:rPr>
        <w:t xml:space="preserve">la fuente, el lugar y la forma en que puede consultar, reproducir o adquirir dicha información en un plazo no mayor a cinco días hábiles. </w:t>
      </w:r>
      <w:r w:rsidRPr="00360A9A">
        <w:rPr>
          <w:rFonts w:ascii="Palatino Linotype" w:hAnsi="Palatino Linotype"/>
          <w:b/>
          <w:i/>
          <w:u w:val="single"/>
        </w:rPr>
        <w:t>La fuente deberá ser precisa y concreta y no debe implicar que el solicitante realice una búsqueda en toda la información que se encuentre disponible.</w:t>
      </w:r>
    </w:p>
    <w:p w:rsidR="00455EA9" w:rsidRPr="00360A9A" w:rsidRDefault="00455EA9" w:rsidP="00455EA9">
      <w:pPr>
        <w:spacing w:line="360" w:lineRule="auto"/>
        <w:ind w:left="567" w:right="567"/>
        <w:rPr>
          <w:rFonts w:ascii="Palatino Linotype" w:hAnsi="Palatino Linotype"/>
        </w:rPr>
      </w:pPr>
      <w:r w:rsidRPr="00360A9A">
        <w:rPr>
          <w:rFonts w:ascii="Palatino Linotype" w:hAnsi="Palatino Linotype"/>
        </w:rPr>
        <w:t>(Énfasis añadido)</w:t>
      </w:r>
    </w:p>
    <w:p w:rsidR="00455EA9" w:rsidRPr="00360A9A" w:rsidRDefault="00455EA9" w:rsidP="00455EA9">
      <w:pPr>
        <w:spacing w:line="360" w:lineRule="auto"/>
        <w:ind w:left="851" w:right="851"/>
        <w:jc w:val="both"/>
        <w:rPr>
          <w:rFonts w:ascii="Palatino Linotype" w:hAnsi="Palatino Linotype" w:cs="Arial"/>
        </w:rPr>
      </w:pPr>
    </w:p>
    <w:p w:rsidR="00455EA9" w:rsidRPr="00360A9A" w:rsidRDefault="00455EA9" w:rsidP="003B3896">
      <w:pPr>
        <w:numPr>
          <w:ilvl w:val="0"/>
          <w:numId w:val="1"/>
        </w:numPr>
        <w:spacing w:line="360" w:lineRule="auto"/>
        <w:ind w:left="0" w:firstLine="0"/>
        <w:jc w:val="both"/>
        <w:rPr>
          <w:rFonts w:ascii="Palatino Linotype" w:hAnsi="Palatino Linotype" w:cs="Arial"/>
        </w:rPr>
      </w:pPr>
      <w:r w:rsidRPr="00360A9A">
        <w:rPr>
          <w:rFonts w:ascii="Palatino Linotype" w:hAnsi="Palatino Linotype" w:cs="Arial"/>
        </w:rPr>
        <w:t xml:space="preserve">De los artículos transcritos se establecen las características que debe tener la </w:t>
      </w:r>
      <w:r w:rsidRPr="00360A9A">
        <w:rPr>
          <w:rFonts w:ascii="Palatino Linotype" w:eastAsia="Palatino Linotype" w:hAnsi="Palatino Linotype" w:cs="Palatino Linotype"/>
        </w:rPr>
        <w:t>información</w:t>
      </w:r>
      <w:r w:rsidRPr="00360A9A">
        <w:rPr>
          <w:rFonts w:ascii="Palatino Linotype" w:hAnsi="Palatino Linotype" w:cs="Arial"/>
        </w:rPr>
        <w:t xml:space="preserve"> desde el momento de su generación, publicación y entrega; de igual manera se contempla el procedimiento a seguir por el </w:t>
      </w:r>
      <w:r w:rsidRPr="00360A9A">
        <w:rPr>
          <w:rFonts w:ascii="Palatino Linotype" w:hAnsi="Palatino Linotype" w:cs="Arial"/>
          <w:b/>
        </w:rPr>
        <w:t>SUJETO OBLIGADO</w:t>
      </w:r>
      <w:r w:rsidRPr="00360A9A">
        <w:rPr>
          <w:rFonts w:ascii="Palatino Linotype" w:hAnsi="Palatino Linotype" w:cs="Arial"/>
        </w:rPr>
        <w:t xml:space="preserve"> para informar a los solicitantes sobre información que se encuentre disponible en libros, compendios, formatos electrónicos, entre otros, </w:t>
      </w:r>
      <w:r w:rsidRPr="00360A9A">
        <w:rPr>
          <w:rFonts w:ascii="Palatino Linotype" w:hAnsi="Palatino Linotype" w:cs="Arial"/>
          <w:b/>
          <w:u w:val="single"/>
        </w:rPr>
        <w:t>haciéndole saber al solicitante como podrá consultar, reproducir o adquirir la información, en un plazo no mayor a cinco días hábiles</w:t>
      </w:r>
      <w:r w:rsidRPr="00360A9A">
        <w:rPr>
          <w:rFonts w:ascii="Palatino Linotype" w:hAnsi="Palatino Linotype" w:cs="Arial"/>
        </w:rPr>
        <w:t>, comprendiendo:</w:t>
      </w:r>
    </w:p>
    <w:p w:rsidR="003B3896" w:rsidRPr="00360A9A" w:rsidRDefault="003B3896" w:rsidP="003B3896">
      <w:pPr>
        <w:spacing w:line="360" w:lineRule="auto"/>
        <w:ind w:left="720" w:right="51"/>
        <w:jc w:val="both"/>
        <w:rPr>
          <w:rFonts w:ascii="Palatino Linotype" w:hAnsi="Palatino Linotype" w:cs="Arial"/>
        </w:rPr>
      </w:pPr>
    </w:p>
    <w:p w:rsidR="00455EA9" w:rsidRPr="00360A9A" w:rsidRDefault="00455EA9" w:rsidP="00455EA9">
      <w:pPr>
        <w:numPr>
          <w:ilvl w:val="0"/>
          <w:numId w:val="22"/>
        </w:numPr>
        <w:spacing w:line="360" w:lineRule="auto"/>
        <w:ind w:right="51"/>
        <w:jc w:val="both"/>
        <w:rPr>
          <w:rFonts w:ascii="Palatino Linotype" w:hAnsi="Palatino Linotype" w:cs="Arial"/>
        </w:rPr>
      </w:pPr>
      <w:r w:rsidRPr="00360A9A">
        <w:rPr>
          <w:rFonts w:ascii="Palatino Linotype" w:hAnsi="Palatino Linotype" w:cs="Arial"/>
        </w:rPr>
        <w:t>La fuente</w:t>
      </w:r>
    </w:p>
    <w:p w:rsidR="00455EA9" w:rsidRPr="00360A9A" w:rsidRDefault="00455EA9" w:rsidP="00455EA9">
      <w:pPr>
        <w:numPr>
          <w:ilvl w:val="0"/>
          <w:numId w:val="22"/>
        </w:numPr>
        <w:spacing w:line="360" w:lineRule="auto"/>
        <w:ind w:right="51"/>
        <w:jc w:val="both"/>
        <w:rPr>
          <w:rFonts w:ascii="Palatino Linotype" w:hAnsi="Palatino Linotype" w:cs="Arial"/>
        </w:rPr>
      </w:pPr>
      <w:r w:rsidRPr="00360A9A">
        <w:rPr>
          <w:rFonts w:ascii="Palatino Linotype" w:hAnsi="Palatino Linotype" w:cs="Arial"/>
        </w:rPr>
        <w:lastRenderedPageBreak/>
        <w:t>El lugar y</w:t>
      </w:r>
    </w:p>
    <w:p w:rsidR="00455EA9" w:rsidRPr="00360A9A" w:rsidRDefault="00455EA9" w:rsidP="00455EA9">
      <w:pPr>
        <w:numPr>
          <w:ilvl w:val="0"/>
          <w:numId w:val="22"/>
        </w:numPr>
        <w:spacing w:line="360" w:lineRule="auto"/>
        <w:ind w:right="51"/>
        <w:jc w:val="both"/>
        <w:rPr>
          <w:rFonts w:ascii="Palatino Linotype" w:hAnsi="Palatino Linotype" w:cs="Arial"/>
        </w:rPr>
      </w:pPr>
      <w:r w:rsidRPr="00360A9A">
        <w:rPr>
          <w:rFonts w:ascii="Palatino Linotype" w:hAnsi="Palatino Linotype" w:cs="Arial"/>
        </w:rPr>
        <w:t xml:space="preserve">La forma </w:t>
      </w:r>
    </w:p>
    <w:p w:rsidR="00455EA9" w:rsidRPr="00360A9A" w:rsidRDefault="00455EA9" w:rsidP="00455EA9">
      <w:pPr>
        <w:spacing w:line="360" w:lineRule="auto"/>
        <w:ind w:right="51"/>
        <w:jc w:val="both"/>
        <w:rPr>
          <w:rFonts w:ascii="Palatino Linotype" w:hAnsi="Palatino Linotype" w:cs="Arial"/>
        </w:rPr>
      </w:pPr>
    </w:p>
    <w:p w:rsidR="00455EA9" w:rsidRPr="00360A9A" w:rsidRDefault="00455EA9" w:rsidP="003B3896">
      <w:pPr>
        <w:numPr>
          <w:ilvl w:val="0"/>
          <w:numId w:val="1"/>
        </w:numPr>
        <w:spacing w:line="360" w:lineRule="auto"/>
        <w:ind w:left="0" w:firstLine="0"/>
        <w:jc w:val="both"/>
        <w:rPr>
          <w:rFonts w:ascii="Palatino Linotype" w:hAnsi="Palatino Linotype" w:cs="Arial"/>
        </w:rPr>
      </w:pPr>
      <w:r w:rsidRPr="00360A9A">
        <w:rPr>
          <w:rFonts w:ascii="Palatino Linotype" w:hAnsi="Palatino Linotype" w:cs="Arial"/>
        </w:rPr>
        <w:t xml:space="preserve">Asimismo, se establece que la fuente de la información </w:t>
      </w:r>
      <w:r w:rsidRPr="00360A9A">
        <w:rPr>
          <w:rFonts w:ascii="Palatino Linotype" w:hAnsi="Palatino Linotype" w:cs="Arial"/>
          <w:b/>
        </w:rPr>
        <w:t>deberá ser</w:t>
      </w:r>
      <w:r w:rsidRPr="00360A9A">
        <w:rPr>
          <w:rFonts w:ascii="Palatino Linotype" w:hAnsi="Palatino Linotype" w:cs="Arial"/>
        </w:rPr>
        <w:t>:</w:t>
      </w:r>
    </w:p>
    <w:p w:rsidR="00455EA9" w:rsidRPr="00360A9A" w:rsidRDefault="00455EA9" w:rsidP="00455EA9">
      <w:pPr>
        <w:numPr>
          <w:ilvl w:val="0"/>
          <w:numId w:val="23"/>
        </w:numPr>
        <w:spacing w:line="360" w:lineRule="auto"/>
        <w:ind w:right="51"/>
        <w:jc w:val="both"/>
        <w:rPr>
          <w:rFonts w:ascii="Palatino Linotype" w:hAnsi="Palatino Linotype" w:cs="Arial"/>
          <w:u w:val="single"/>
        </w:rPr>
      </w:pPr>
      <w:r w:rsidRPr="00360A9A">
        <w:rPr>
          <w:rFonts w:ascii="Palatino Linotype" w:hAnsi="Palatino Linotype" w:cs="Arial"/>
          <w:u w:val="single"/>
        </w:rPr>
        <w:t>Precisa</w:t>
      </w:r>
    </w:p>
    <w:p w:rsidR="00455EA9" w:rsidRPr="00360A9A" w:rsidRDefault="00455EA9" w:rsidP="00455EA9">
      <w:pPr>
        <w:numPr>
          <w:ilvl w:val="0"/>
          <w:numId w:val="23"/>
        </w:numPr>
        <w:spacing w:line="360" w:lineRule="auto"/>
        <w:ind w:right="51"/>
        <w:jc w:val="both"/>
        <w:rPr>
          <w:rFonts w:ascii="Palatino Linotype" w:hAnsi="Palatino Linotype" w:cs="Arial"/>
          <w:u w:val="single"/>
        </w:rPr>
      </w:pPr>
      <w:r w:rsidRPr="00360A9A">
        <w:rPr>
          <w:rFonts w:ascii="Palatino Linotype" w:hAnsi="Palatino Linotype" w:cs="Arial"/>
          <w:u w:val="single"/>
        </w:rPr>
        <w:t>Concreta</w:t>
      </w:r>
    </w:p>
    <w:p w:rsidR="00455EA9" w:rsidRPr="00360A9A" w:rsidRDefault="00455EA9" w:rsidP="00455EA9">
      <w:pPr>
        <w:numPr>
          <w:ilvl w:val="0"/>
          <w:numId w:val="23"/>
        </w:numPr>
        <w:spacing w:line="360" w:lineRule="auto"/>
        <w:ind w:right="51"/>
        <w:jc w:val="both"/>
        <w:rPr>
          <w:rFonts w:ascii="Palatino Linotype" w:hAnsi="Palatino Linotype" w:cs="Arial"/>
        </w:rPr>
      </w:pPr>
      <w:r w:rsidRPr="00360A9A">
        <w:rPr>
          <w:rFonts w:ascii="Palatino Linotype" w:hAnsi="Palatino Linotype" w:cs="Arial"/>
        </w:rPr>
        <w:t>Y NO debe implicar que el solicitante realice una búsqueda en toda la información que se encuentre disponible.</w:t>
      </w:r>
    </w:p>
    <w:p w:rsidR="00455EA9" w:rsidRPr="00360A9A" w:rsidRDefault="00455EA9" w:rsidP="00455EA9">
      <w:pPr>
        <w:spacing w:line="360" w:lineRule="auto"/>
        <w:contextualSpacing/>
        <w:jc w:val="both"/>
        <w:rPr>
          <w:rFonts w:ascii="Palatino Linotype" w:hAnsi="Palatino Linotype" w:cs="Arial"/>
        </w:rPr>
      </w:pPr>
    </w:p>
    <w:p w:rsidR="00455EA9" w:rsidRPr="00360A9A" w:rsidRDefault="00455EA9" w:rsidP="003B3896">
      <w:pPr>
        <w:numPr>
          <w:ilvl w:val="0"/>
          <w:numId w:val="1"/>
        </w:numPr>
        <w:spacing w:line="360" w:lineRule="auto"/>
        <w:ind w:left="0" w:firstLine="0"/>
        <w:jc w:val="both"/>
        <w:rPr>
          <w:rFonts w:ascii="Palatino Linotype" w:hAnsi="Palatino Linotype" w:cs="Arial"/>
        </w:rPr>
      </w:pPr>
      <w:r w:rsidRPr="00360A9A">
        <w:rPr>
          <w:rFonts w:ascii="Palatino Linotype" w:hAnsi="Palatino Linotype" w:cs="Arial"/>
        </w:rPr>
        <w:t xml:space="preserve">Imperativos legales que establecen el procedimiento que debe seguir el </w:t>
      </w:r>
      <w:r w:rsidRPr="00360A9A">
        <w:rPr>
          <w:rFonts w:ascii="Palatino Linotype" w:hAnsi="Palatino Linotype" w:cs="Arial"/>
          <w:b/>
        </w:rPr>
        <w:t xml:space="preserve">SUJETO OBLIGADO </w:t>
      </w:r>
      <w:r w:rsidRPr="00360A9A">
        <w:rPr>
          <w:rFonts w:ascii="Palatino Linotype" w:hAnsi="Palatino Linotype" w:cs="Arial"/>
        </w:rPr>
        <w:t xml:space="preserve">para que pueda tomarse como válida su orientación sobre la forma en que puede consultar la información requerida, </w:t>
      </w:r>
      <w:r w:rsidR="00C6056D" w:rsidRPr="00360A9A">
        <w:rPr>
          <w:rFonts w:ascii="Palatino Linotype" w:hAnsi="Palatino Linotype" w:cs="Arial"/>
        </w:rPr>
        <w:t>en apariencia</w:t>
      </w:r>
      <w:r w:rsidRPr="00360A9A">
        <w:rPr>
          <w:rFonts w:ascii="Palatino Linotype" w:hAnsi="Palatino Linotype" w:cs="Arial"/>
        </w:rPr>
        <w:t xml:space="preserve"> no acontece</w:t>
      </w:r>
      <w:r w:rsidR="003B3896" w:rsidRPr="00360A9A">
        <w:rPr>
          <w:rFonts w:ascii="Palatino Linotype" w:hAnsi="Palatino Linotype" w:cs="Arial"/>
        </w:rPr>
        <w:t>.</w:t>
      </w:r>
    </w:p>
    <w:p w:rsidR="003B3896" w:rsidRPr="00360A9A" w:rsidRDefault="003B3896" w:rsidP="003B3896">
      <w:pPr>
        <w:spacing w:line="360" w:lineRule="auto"/>
        <w:jc w:val="both"/>
        <w:rPr>
          <w:rFonts w:ascii="Palatino Linotype" w:hAnsi="Palatino Linotype" w:cs="Arial"/>
        </w:rPr>
      </w:pPr>
    </w:p>
    <w:p w:rsidR="003B3896" w:rsidRPr="00360A9A" w:rsidRDefault="003B3896" w:rsidP="003B3896">
      <w:pPr>
        <w:numPr>
          <w:ilvl w:val="0"/>
          <w:numId w:val="1"/>
        </w:numPr>
        <w:spacing w:line="360" w:lineRule="auto"/>
        <w:ind w:left="0" w:firstLine="0"/>
        <w:jc w:val="both"/>
        <w:rPr>
          <w:rFonts w:ascii="Palatino Linotype" w:hAnsi="Palatino Linotype" w:cs="Arial"/>
        </w:rPr>
      </w:pPr>
      <w:r w:rsidRPr="00360A9A">
        <w:rPr>
          <w:rFonts w:ascii="Palatino Linotype" w:hAnsi="Palatino Linotype" w:cs="Arial"/>
        </w:rPr>
        <w:t>Ello en virtud que se aprecia que el enlace obra en un documento en formato PDF de solo lectura, que significa que ha sido configurado y guardado para que los usuarios puedan ver su contenido, pero no modificarlo, en este tipo de documento PDF, se restringen acciones como la edición, el copiado de texto, o el acceso a hipervínculos mediante clic en la URL, es decir que no es un dato abierto lo que también impide que sea directo y preciso</w:t>
      </w:r>
      <w:r w:rsidR="00CB33F9" w:rsidRPr="00360A9A">
        <w:rPr>
          <w:rFonts w:ascii="Palatino Linotype" w:hAnsi="Palatino Linotype" w:cs="Arial"/>
        </w:rPr>
        <w:t>, incumpliendo con las características que establece la ley de la materia para satisfacer solicitudes de información mediante la entrega de enlaces de Internet.</w:t>
      </w:r>
    </w:p>
    <w:p w:rsidR="00C6056D" w:rsidRPr="00360A9A" w:rsidRDefault="00C6056D" w:rsidP="003B3896">
      <w:pPr>
        <w:numPr>
          <w:ilvl w:val="0"/>
          <w:numId w:val="1"/>
        </w:numPr>
        <w:spacing w:line="360" w:lineRule="auto"/>
        <w:ind w:left="0" w:firstLine="0"/>
        <w:jc w:val="both"/>
        <w:rPr>
          <w:rFonts w:ascii="Palatino Linotype" w:hAnsi="Palatino Linotype" w:cs="Arial"/>
        </w:rPr>
      </w:pPr>
      <w:r w:rsidRPr="00360A9A">
        <w:rPr>
          <w:rFonts w:ascii="Palatino Linotype" w:hAnsi="Palatino Linotype" w:cs="Arial"/>
        </w:rPr>
        <w:lastRenderedPageBreak/>
        <w:t xml:space="preserve">Sin embargo, es de recordar que el motivo de inconformidad versa sobre la entrega de información incompleta, lo que quiere decir que el particular </w:t>
      </w:r>
      <w:r w:rsidRPr="00360A9A">
        <w:rPr>
          <w:rFonts w:ascii="Palatino Linotype" w:hAnsi="Palatino Linotype" w:cs="Arial"/>
          <w:u w:val="single"/>
        </w:rPr>
        <w:t>si accedió</w:t>
      </w:r>
      <w:r w:rsidRPr="00360A9A">
        <w:rPr>
          <w:rFonts w:ascii="Palatino Linotype" w:hAnsi="Palatino Linotype" w:cs="Arial"/>
        </w:rPr>
        <w:t xml:space="preserve"> al contenido del enlace, tan es así que pudo corroborar que la información es incompleta y posteriormente invocar dicha causal de </w:t>
      </w:r>
      <w:r w:rsidR="00CB33F9" w:rsidRPr="00360A9A">
        <w:rPr>
          <w:rFonts w:ascii="Palatino Linotype" w:hAnsi="Palatino Linotype" w:cs="Arial"/>
        </w:rPr>
        <w:t xml:space="preserve">procedencia en su escrito </w:t>
      </w:r>
      <w:proofErr w:type="spellStart"/>
      <w:r w:rsidR="00CB33F9" w:rsidRPr="00360A9A">
        <w:rPr>
          <w:rFonts w:ascii="Palatino Linotype" w:hAnsi="Palatino Linotype" w:cs="Arial"/>
        </w:rPr>
        <w:t>recursal</w:t>
      </w:r>
      <w:proofErr w:type="spellEnd"/>
      <w:r w:rsidR="00CB33F9" w:rsidRPr="00360A9A">
        <w:rPr>
          <w:rFonts w:ascii="Palatino Linotype" w:hAnsi="Palatino Linotype" w:cs="Arial"/>
        </w:rPr>
        <w:t xml:space="preserve">, lo que impide a este Órgano Garante desestimar el enlace entregado y </w:t>
      </w:r>
      <w:r w:rsidR="00E73914" w:rsidRPr="00360A9A">
        <w:rPr>
          <w:rFonts w:ascii="Palatino Linotype" w:hAnsi="Palatino Linotype" w:cs="Arial"/>
        </w:rPr>
        <w:t xml:space="preserve">-de ser el caso- </w:t>
      </w:r>
      <w:r w:rsidR="00CB33F9" w:rsidRPr="00360A9A">
        <w:rPr>
          <w:rFonts w:ascii="Palatino Linotype" w:hAnsi="Palatino Linotype" w:cs="Arial"/>
        </w:rPr>
        <w:t>ordenar nuevamente lo solicitado. Por tanto, el presente análisis deberá versar en cotejar si ciertamente la información es incompleta</w:t>
      </w:r>
      <w:r w:rsidR="00E73914" w:rsidRPr="00360A9A">
        <w:rPr>
          <w:rFonts w:ascii="Palatino Linotype" w:hAnsi="Palatino Linotype" w:cs="Arial"/>
        </w:rPr>
        <w:t>.</w:t>
      </w:r>
      <w:r w:rsidR="00CB33F9" w:rsidRPr="00360A9A">
        <w:rPr>
          <w:rFonts w:ascii="Palatino Linotype" w:hAnsi="Palatino Linotype" w:cs="Arial"/>
        </w:rPr>
        <w:t xml:space="preserve"> </w:t>
      </w:r>
    </w:p>
    <w:p w:rsidR="00683F79" w:rsidRPr="00360A9A" w:rsidRDefault="00683F79" w:rsidP="00683F79">
      <w:pPr>
        <w:pStyle w:val="Prrafodelista"/>
        <w:rPr>
          <w:rFonts w:ascii="Palatino Linotype" w:hAnsi="Palatino Linotype" w:cs="Arial"/>
        </w:rPr>
      </w:pPr>
    </w:p>
    <w:p w:rsidR="00C769DA" w:rsidRPr="00360A9A" w:rsidRDefault="00CB33F9" w:rsidP="005025FE">
      <w:pPr>
        <w:numPr>
          <w:ilvl w:val="0"/>
          <w:numId w:val="1"/>
        </w:numPr>
        <w:spacing w:line="360" w:lineRule="auto"/>
        <w:ind w:left="0" w:firstLine="0"/>
        <w:jc w:val="both"/>
        <w:rPr>
          <w:rFonts w:ascii="Palatino Linotype" w:eastAsiaTheme="minorHAnsi" w:hAnsi="Palatino Linotype" w:cs="Arial"/>
          <w:lang w:val="es-MX" w:eastAsia="en-US"/>
        </w:rPr>
      </w:pPr>
      <w:r w:rsidRPr="00360A9A">
        <w:rPr>
          <w:rFonts w:ascii="Palatino Linotype" w:eastAsiaTheme="minorHAnsi" w:hAnsi="Palatino Linotype" w:cs="Arial"/>
          <w:lang w:val="es-MX" w:eastAsia="en-US"/>
        </w:rPr>
        <w:t>Así las cosas, se tiene que una vez ingresado al enlace de referencia se obtienen las siguientes documentales:</w:t>
      </w:r>
    </w:p>
    <w:p w:rsidR="00CB33F9" w:rsidRPr="00360A9A" w:rsidRDefault="00CB33F9" w:rsidP="00BB5E22">
      <w:pPr>
        <w:spacing w:line="360" w:lineRule="auto"/>
        <w:jc w:val="both"/>
        <w:rPr>
          <w:rFonts w:ascii="Palatino Linotype" w:eastAsiaTheme="minorHAnsi" w:hAnsi="Palatino Linotype" w:cs="Arial"/>
          <w:lang w:val="es-MX" w:eastAsia="en-US"/>
        </w:rPr>
      </w:pPr>
    </w:p>
    <w:p w:rsidR="00BB5E22" w:rsidRPr="00360A9A" w:rsidRDefault="00CB33F9" w:rsidP="00BB5E22">
      <w:pPr>
        <w:spacing w:line="360" w:lineRule="auto"/>
        <w:jc w:val="both"/>
        <w:rPr>
          <w:rFonts w:ascii="Palatino Linotype" w:eastAsiaTheme="minorHAnsi" w:hAnsi="Palatino Linotype" w:cs="Arial"/>
          <w:lang w:val="es-MX" w:eastAsia="en-US"/>
        </w:rPr>
      </w:pPr>
      <w:r w:rsidRPr="00360A9A">
        <w:rPr>
          <w:rFonts w:ascii="Palatino Linotype" w:eastAsiaTheme="minorHAnsi" w:hAnsi="Palatino Linotype" w:cs="Arial"/>
          <w:noProof/>
          <w:lang w:val="es-MX" w:eastAsia="es-MX"/>
        </w:rPr>
        <w:drawing>
          <wp:inline distT="0" distB="0" distL="0" distR="0" wp14:anchorId="2D7A6714" wp14:editId="5860E273">
            <wp:extent cx="5612130" cy="2753995"/>
            <wp:effectExtent l="0" t="0" r="762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2753995"/>
                    </a:xfrm>
                    <a:prstGeom prst="rect">
                      <a:avLst/>
                    </a:prstGeom>
                  </pic:spPr>
                </pic:pic>
              </a:graphicData>
            </a:graphic>
          </wp:inline>
        </w:drawing>
      </w:r>
    </w:p>
    <w:p w:rsidR="00CB33F9" w:rsidRPr="00360A9A" w:rsidRDefault="00CB33F9" w:rsidP="00BB5E22">
      <w:pPr>
        <w:spacing w:line="360" w:lineRule="auto"/>
        <w:jc w:val="both"/>
        <w:rPr>
          <w:rFonts w:ascii="Palatino Linotype" w:eastAsiaTheme="minorHAnsi" w:hAnsi="Palatino Linotype" w:cs="Arial"/>
          <w:lang w:val="es-MX" w:eastAsia="en-US"/>
        </w:rPr>
      </w:pPr>
      <w:r w:rsidRPr="00360A9A">
        <w:rPr>
          <w:rFonts w:ascii="Palatino Linotype" w:eastAsiaTheme="minorHAnsi" w:hAnsi="Palatino Linotype" w:cs="Arial"/>
          <w:noProof/>
          <w:lang w:val="es-MX" w:eastAsia="es-MX"/>
        </w:rPr>
        <w:lastRenderedPageBreak/>
        <w:drawing>
          <wp:inline distT="0" distB="0" distL="0" distR="0" wp14:anchorId="50E82ED9" wp14:editId="63B3CEAF">
            <wp:extent cx="5612130" cy="4421505"/>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4421505"/>
                    </a:xfrm>
                    <a:prstGeom prst="rect">
                      <a:avLst/>
                    </a:prstGeom>
                  </pic:spPr>
                </pic:pic>
              </a:graphicData>
            </a:graphic>
          </wp:inline>
        </w:drawing>
      </w:r>
    </w:p>
    <w:p w:rsidR="00CB33F9" w:rsidRPr="00360A9A" w:rsidRDefault="00CB33F9" w:rsidP="00BB5E22">
      <w:pPr>
        <w:spacing w:line="360" w:lineRule="auto"/>
        <w:jc w:val="both"/>
        <w:rPr>
          <w:rFonts w:ascii="Palatino Linotype" w:eastAsiaTheme="minorHAnsi" w:hAnsi="Palatino Linotype" w:cs="Arial"/>
          <w:lang w:val="es-MX" w:eastAsia="en-US"/>
        </w:rPr>
      </w:pPr>
    </w:p>
    <w:p w:rsidR="00CB33F9" w:rsidRPr="00360A9A" w:rsidRDefault="00CB33F9" w:rsidP="00BB5E22">
      <w:pPr>
        <w:spacing w:line="360" w:lineRule="auto"/>
        <w:jc w:val="both"/>
        <w:rPr>
          <w:rFonts w:ascii="Palatino Linotype" w:eastAsiaTheme="minorHAnsi" w:hAnsi="Palatino Linotype" w:cs="Arial"/>
          <w:lang w:val="es-MX" w:eastAsia="en-US"/>
        </w:rPr>
      </w:pPr>
      <w:r w:rsidRPr="00360A9A">
        <w:rPr>
          <w:rFonts w:ascii="Palatino Linotype" w:eastAsiaTheme="minorHAnsi" w:hAnsi="Palatino Linotype" w:cs="Arial"/>
          <w:noProof/>
          <w:lang w:val="es-MX" w:eastAsia="es-MX"/>
        </w:rPr>
        <w:drawing>
          <wp:inline distT="0" distB="0" distL="0" distR="0" wp14:anchorId="381F9842" wp14:editId="7F214AF2">
            <wp:extent cx="5612130" cy="1120140"/>
            <wp:effectExtent l="0" t="0" r="762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1120140"/>
                    </a:xfrm>
                    <a:prstGeom prst="rect">
                      <a:avLst/>
                    </a:prstGeom>
                  </pic:spPr>
                </pic:pic>
              </a:graphicData>
            </a:graphic>
          </wp:inline>
        </w:drawing>
      </w:r>
    </w:p>
    <w:p w:rsidR="00CB33F9" w:rsidRPr="00360A9A" w:rsidRDefault="00CB33F9" w:rsidP="00BB5E22">
      <w:pPr>
        <w:spacing w:line="360" w:lineRule="auto"/>
        <w:jc w:val="both"/>
        <w:rPr>
          <w:rFonts w:ascii="Palatino Linotype" w:eastAsiaTheme="minorHAnsi" w:hAnsi="Palatino Linotype" w:cs="Arial"/>
          <w:lang w:val="es-MX" w:eastAsia="en-US"/>
        </w:rPr>
      </w:pPr>
    </w:p>
    <w:p w:rsidR="00CB33F9" w:rsidRPr="00360A9A" w:rsidRDefault="00CB33F9" w:rsidP="00BB5E22">
      <w:pPr>
        <w:spacing w:line="360" w:lineRule="auto"/>
        <w:jc w:val="both"/>
        <w:rPr>
          <w:rFonts w:ascii="Palatino Linotype" w:eastAsiaTheme="minorHAnsi" w:hAnsi="Palatino Linotype" w:cs="Arial"/>
          <w:lang w:val="es-MX" w:eastAsia="en-US"/>
        </w:rPr>
      </w:pPr>
      <w:r w:rsidRPr="00360A9A">
        <w:rPr>
          <w:rFonts w:ascii="Palatino Linotype" w:eastAsiaTheme="minorHAnsi" w:hAnsi="Palatino Linotype" w:cs="Arial"/>
          <w:noProof/>
          <w:lang w:val="es-MX" w:eastAsia="es-MX"/>
        </w:rPr>
        <w:lastRenderedPageBreak/>
        <w:drawing>
          <wp:inline distT="0" distB="0" distL="0" distR="0" wp14:anchorId="68218917" wp14:editId="4C91F844">
            <wp:extent cx="5612130" cy="5286375"/>
            <wp:effectExtent l="0" t="0" r="762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5286375"/>
                    </a:xfrm>
                    <a:prstGeom prst="rect">
                      <a:avLst/>
                    </a:prstGeom>
                  </pic:spPr>
                </pic:pic>
              </a:graphicData>
            </a:graphic>
          </wp:inline>
        </w:drawing>
      </w:r>
    </w:p>
    <w:p w:rsidR="00CB33F9" w:rsidRPr="00360A9A" w:rsidRDefault="00CB33F9" w:rsidP="00BB5E22">
      <w:pPr>
        <w:spacing w:line="360" w:lineRule="auto"/>
        <w:jc w:val="both"/>
        <w:rPr>
          <w:rFonts w:ascii="Palatino Linotype" w:eastAsiaTheme="minorHAnsi" w:hAnsi="Palatino Linotype" w:cs="Arial"/>
          <w:lang w:val="es-MX" w:eastAsia="en-US"/>
        </w:rPr>
      </w:pPr>
      <w:r w:rsidRPr="00360A9A">
        <w:rPr>
          <w:rFonts w:ascii="Palatino Linotype" w:eastAsiaTheme="minorHAnsi" w:hAnsi="Palatino Linotype" w:cs="Arial"/>
          <w:noProof/>
          <w:lang w:val="es-MX" w:eastAsia="es-MX"/>
        </w:rPr>
        <w:lastRenderedPageBreak/>
        <w:drawing>
          <wp:inline distT="0" distB="0" distL="0" distR="0" wp14:anchorId="4B7E4EF8" wp14:editId="5A8DA10C">
            <wp:extent cx="5612130" cy="6295390"/>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6295390"/>
                    </a:xfrm>
                    <a:prstGeom prst="rect">
                      <a:avLst/>
                    </a:prstGeom>
                  </pic:spPr>
                </pic:pic>
              </a:graphicData>
            </a:graphic>
          </wp:inline>
        </w:drawing>
      </w:r>
    </w:p>
    <w:p w:rsidR="00CB33F9" w:rsidRPr="00360A9A" w:rsidRDefault="00CB33F9" w:rsidP="00BB5E22">
      <w:pPr>
        <w:spacing w:line="360" w:lineRule="auto"/>
        <w:jc w:val="both"/>
        <w:rPr>
          <w:rFonts w:ascii="Palatino Linotype" w:eastAsiaTheme="minorHAnsi" w:hAnsi="Palatino Linotype" w:cs="Arial"/>
          <w:lang w:val="es-MX" w:eastAsia="en-US"/>
        </w:rPr>
      </w:pPr>
      <w:r w:rsidRPr="00360A9A">
        <w:rPr>
          <w:rFonts w:ascii="Palatino Linotype" w:eastAsiaTheme="minorHAnsi" w:hAnsi="Palatino Linotype" w:cs="Arial"/>
          <w:noProof/>
          <w:lang w:val="es-MX" w:eastAsia="es-MX"/>
        </w:rPr>
        <w:lastRenderedPageBreak/>
        <w:drawing>
          <wp:inline distT="0" distB="0" distL="0" distR="0" wp14:anchorId="1863D97B" wp14:editId="4BEAB490">
            <wp:extent cx="5612130" cy="6965315"/>
            <wp:effectExtent l="0" t="0" r="762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6965315"/>
                    </a:xfrm>
                    <a:prstGeom prst="rect">
                      <a:avLst/>
                    </a:prstGeom>
                  </pic:spPr>
                </pic:pic>
              </a:graphicData>
            </a:graphic>
          </wp:inline>
        </w:drawing>
      </w:r>
    </w:p>
    <w:p w:rsidR="00CB33F9" w:rsidRPr="00360A9A" w:rsidRDefault="00CB33F9" w:rsidP="00BB5E22">
      <w:pPr>
        <w:spacing w:line="360" w:lineRule="auto"/>
        <w:jc w:val="both"/>
        <w:rPr>
          <w:rFonts w:ascii="Palatino Linotype" w:eastAsiaTheme="minorHAnsi" w:hAnsi="Palatino Linotype" w:cs="Arial"/>
          <w:lang w:val="es-MX" w:eastAsia="en-US"/>
        </w:rPr>
      </w:pPr>
      <w:r w:rsidRPr="00360A9A">
        <w:rPr>
          <w:rFonts w:ascii="Palatino Linotype" w:eastAsiaTheme="minorHAnsi" w:hAnsi="Palatino Linotype" w:cs="Arial"/>
          <w:noProof/>
          <w:lang w:val="es-MX" w:eastAsia="es-MX"/>
        </w:rPr>
        <w:lastRenderedPageBreak/>
        <w:drawing>
          <wp:inline distT="0" distB="0" distL="0" distR="0" wp14:anchorId="4090A5D9" wp14:editId="102A14D7">
            <wp:extent cx="5612130" cy="6099175"/>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6099175"/>
                    </a:xfrm>
                    <a:prstGeom prst="rect">
                      <a:avLst/>
                    </a:prstGeom>
                  </pic:spPr>
                </pic:pic>
              </a:graphicData>
            </a:graphic>
          </wp:inline>
        </w:drawing>
      </w:r>
    </w:p>
    <w:p w:rsidR="00CB33F9" w:rsidRPr="00360A9A" w:rsidRDefault="00CB33F9" w:rsidP="00B04B53">
      <w:pPr>
        <w:spacing w:line="360" w:lineRule="auto"/>
        <w:jc w:val="center"/>
        <w:rPr>
          <w:rFonts w:ascii="Palatino Linotype" w:eastAsiaTheme="minorHAnsi" w:hAnsi="Palatino Linotype" w:cs="Arial"/>
          <w:lang w:val="es-MX" w:eastAsia="en-US"/>
        </w:rPr>
      </w:pPr>
      <w:r w:rsidRPr="00360A9A">
        <w:rPr>
          <w:rFonts w:ascii="Palatino Linotype" w:eastAsiaTheme="minorHAnsi" w:hAnsi="Palatino Linotype" w:cs="Arial"/>
          <w:noProof/>
          <w:lang w:val="es-MX" w:eastAsia="es-MX"/>
        </w:rPr>
        <w:lastRenderedPageBreak/>
        <w:drawing>
          <wp:inline distT="0" distB="0" distL="0" distR="0" wp14:anchorId="2804D0AA" wp14:editId="383DA216">
            <wp:extent cx="4223084" cy="1085157"/>
            <wp:effectExtent l="0" t="0" r="6350"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82370" cy="1100391"/>
                    </a:xfrm>
                    <a:prstGeom prst="rect">
                      <a:avLst/>
                    </a:prstGeom>
                  </pic:spPr>
                </pic:pic>
              </a:graphicData>
            </a:graphic>
          </wp:inline>
        </w:drawing>
      </w:r>
    </w:p>
    <w:p w:rsidR="00CB33F9" w:rsidRPr="00360A9A" w:rsidRDefault="00CB33F9" w:rsidP="00CB33F9">
      <w:pPr>
        <w:spacing w:line="360" w:lineRule="auto"/>
        <w:jc w:val="center"/>
        <w:rPr>
          <w:rFonts w:ascii="Palatino Linotype" w:eastAsiaTheme="minorHAnsi" w:hAnsi="Palatino Linotype" w:cs="Arial"/>
          <w:lang w:val="es-MX" w:eastAsia="en-US"/>
        </w:rPr>
      </w:pPr>
      <w:r w:rsidRPr="00360A9A">
        <w:rPr>
          <w:rFonts w:ascii="Palatino Linotype" w:eastAsiaTheme="minorHAnsi" w:hAnsi="Palatino Linotype" w:cs="Arial"/>
          <w:noProof/>
          <w:lang w:val="es-MX" w:eastAsia="es-MX"/>
        </w:rPr>
        <w:drawing>
          <wp:inline distT="0" distB="0" distL="0" distR="0" wp14:anchorId="465A7D7D" wp14:editId="2DE3F55C">
            <wp:extent cx="4570728" cy="5233737"/>
            <wp:effectExtent l="0" t="0" r="1905"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11221" cy="5280103"/>
                    </a:xfrm>
                    <a:prstGeom prst="rect">
                      <a:avLst/>
                    </a:prstGeom>
                  </pic:spPr>
                </pic:pic>
              </a:graphicData>
            </a:graphic>
          </wp:inline>
        </w:drawing>
      </w:r>
    </w:p>
    <w:p w:rsidR="008C7161" w:rsidRPr="00360A9A" w:rsidRDefault="008C7161" w:rsidP="008C7161">
      <w:pPr>
        <w:numPr>
          <w:ilvl w:val="0"/>
          <w:numId w:val="1"/>
        </w:numPr>
        <w:spacing w:line="360" w:lineRule="auto"/>
        <w:ind w:left="0" w:firstLine="0"/>
        <w:jc w:val="both"/>
        <w:rPr>
          <w:rFonts w:ascii="Palatino Linotype" w:eastAsiaTheme="minorHAnsi" w:hAnsi="Palatino Linotype" w:cs="Arial"/>
          <w:lang w:val="es-MX" w:eastAsia="en-US"/>
        </w:rPr>
      </w:pPr>
      <w:r w:rsidRPr="00360A9A">
        <w:rPr>
          <w:rFonts w:ascii="Palatino Linotype" w:eastAsiaTheme="minorHAnsi" w:hAnsi="Palatino Linotype" w:cs="Arial"/>
          <w:lang w:val="es-MX" w:eastAsia="en-US"/>
        </w:rPr>
        <w:lastRenderedPageBreak/>
        <w:t>De lo anterior se advierte que consta en el portal de transparencia del Sujeto Obligado lo siguiente:</w:t>
      </w:r>
    </w:p>
    <w:p w:rsidR="008C7161" w:rsidRPr="00360A9A" w:rsidRDefault="008C7161" w:rsidP="00126C59">
      <w:pPr>
        <w:pStyle w:val="Prrafodelista"/>
        <w:numPr>
          <w:ilvl w:val="0"/>
          <w:numId w:val="25"/>
        </w:numPr>
        <w:spacing w:line="360" w:lineRule="auto"/>
        <w:jc w:val="both"/>
        <w:rPr>
          <w:rFonts w:ascii="Palatino Linotype" w:eastAsiaTheme="minorHAnsi" w:hAnsi="Palatino Linotype" w:cs="Arial"/>
          <w:lang w:val="es-MX" w:eastAsia="en-US"/>
        </w:rPr>
      </w:pPr>
      <w:r w:rsidRPr="00360A9A">
        <w:rPr>
          <w:rFonts w:ascii="Palatino Linotype" w:eastAsiaTheme="minorHAnsi" w:hAnsi="Palatino Linotype" w:cs="Arial"/>
          <w:lang w:val="es-MX" w:eastAsia="en-US"/>
        </w:rPr>
        <w:t>Nombres de los po</w:t>
      </w:r>
      <w:r w:rsidR="00126C59" w:rsidRPr="00360A9A">
        <w:rPr>
          <w:rFonts w:ascii="Palatino Linotype" w:eastAsiaTheme="minorHAnsi" w:hAnsi="Palatino Linotype" w:cs="Arial"/>
          <w:lang w:val="es-MX" w:eastAsia="en-US"/>
        </w:rPr>
        <w:t>sibles licitantes, proveedore</w:t>
      </w:r>
      <w:r w:rsidRPr="00360A9A">
        <w:rPr>
          <w:rFonts w:ascii="Palatino Linotype" w:eastAsiaTheme="minorHAnsi" w:hAnsi="Palatino Linotype" w:cs="Arial"/>
          <w:lang w:val="es-MX" w:eastAsia="en-US"/>
        </w:rPr>
        <w:t>s o contratistas</w:t>
      </w:r>
    </w:p>
    <w:p w:rsidR="008C7161" w:rsidRPr="00360A9A" w:rsidRDefault="008C7161" w:rsidP="00126C59">
      <w:pPr>
        <w:pStyle w:val="Prrafodelista"/>
        <w:numPr>
          <w:ilvl w:val="0"/>
          <w:numId w:val="25"/>
        </w:numPr>
        <w:spacing w:line="360" w:lineRule="auto"/>
        <w:jc w:val="both"/>
        <w:rPr>
          <w:rFonts w:ascii="Palatino Linotype" w:eastAsiaTheme="minorHAnsi" w:hAnsi="Palatino Linotype" w:cs="Arial"/>
          <w:lang w:val="es-MX" w:eastAsia="en-US"/>
        </w:rPr>
      </w:pPr>
      <w:r w:rsidRPr="00360A9A">
        <w:rPr>
          <w:rFonts w:ascii="Palatino Linotype" w:eastAsiaTheme="minorHAnsi" w:hAnsi="Palatino Linotype" w:cs="Arial"/>
          <w:lang w:val="es-MX" w:eastAsia="en-US"/>
        </w:rPr>
        <w:t xml:space="preserve">Convocatoria </w:t>
      </w:r>
    </w:p>
    <w:p w:rsidR="008C7161" w:rsidRPr="00360A9A" w:rsidRDefault="008C7161" w:rsidP="00126C59">
      <w:pPr>
        <w:pStyle w:val="Prrafodelista"/>
        <w:numPr>
          <w:ilvl w:val="0"/>
          <w:numId w:val="25"/>
        </w:numPr>
        <w:spacing w:line="360" w:lineRule="auto"/>
        <w:jc w:val="both"/>
        <w:rPr>
          <w:rFonts w:ascii="Palatino Linotype" w:eastAsiaTheme="minorHAnsi" w:hAnsi="Palatino Linotype" w:cs="Arial"/>
          <w:lang w:val="es-MX" w:eastAsia="en-US"/>
        </w:rPr>
      </w:pPr>
      <w:r w:rsidRPr="00360A9A">
        <w:rPr>
          <w:rFonts w:ascii="Palatino Linotype" w:eastAsiaTheme="minorHAnsi" w:hAnsi="Palatino Linotype" w:cs="Arial"/>
          <w:lang w:val="es-MX" w:eastAsia="en-US"/>
        </w:rPr>
        <w:t>Nombres de las personas físicas o morales que presentaron una proposición u oferta, o cotizaciones</w:t>
      </w:r>
    </w:p>
    <w:p w:rsidR="008C7161" w:rsidRPr="00360A9A" w:rsidRDefault="008C7161" w:rsidP="00126C59">
      <w:pPr>
        <w:pStyle w:val="Prrafodelista"/>
        <w:numPr>
          <w:ilvl w:val="0"/>
          <w:numId w:val="25"/>
        </w:numPr>
        <w:spacing w:line="360" w:lineRule="auto"/>
        <w:jc w:val="both"/>
        <w:rPr>
          <w:rFonts w:ascii="Palatino Linotype" w:eastAsiaTheme="minorHAnsi" w:hAnsi="Palatino Linotype" w:cs="Arial"/>
          <w:lang w:val="es-MX" w:eastAsia="en-US"/>
        </w:rPr>
      </w:pPr>
      <w:r w:rsidRPr="00360A9A">
        <w:rPr>
          <w:rFonts w:ascii="Palatino Linotype" w:eastAsiaTheme="minorHAnsi" w:hAnsi="Palatino Linotype" w:cs="Arial"/>
          <w:lang w:val="es-MX" w:eastAsia="en-US"/>
        </w:rPr>
        <w:t xml:space="preserve">Relación con los nombres de las/los participantes en la junta de aclaraciones. </w:t>
      </w:r>
    </w:p>
    <w:p w:rsidR="008C7161" w:rsidRPr="00360A9A" w:rsidRDefault="008C7161" w:rsidP="00126C59">
      <w:pPr>
        <w:pStyle w:val="Prrafodelista"/>
        <w:numPr>
          <w:ilvl w:val="0"/>
          <w:numId w:val="25"/>
        </w:numPr>
        <w:spacing w:line="360" w:lineRule="auto"/>
        <w:jc w:val="both"/>
        <w:rPr>
          <w:rFonts w:ascii="Palatino Linotype" w:eastAsiaTheme="minorHAnsi" w:hAnsi="Palatino Linotype" w:cs="Arial"/>
          <w:lang w:val="es-MX" w:eastAsia="en-US"/>
        </w:rPr>
      </w:pPr>
      <w:r w:rsidRPr="00360A9A">
        <w:rPr>
          <w:rFonts w:ascii="Palatino Linotype" w:eastAsiaTheme="minorHAnsi" w:hAnsi="Palatino Linotype" w:cs="Arial"/>
          <w:lang w:val="es-MX" w:eastAsia="en-US"/>
        </w:rPr>
        <w:t>Acta de la junta de aclaraciones</w:t>
      </w:r>
    </w:p>
    <w:p w:rsidR="008C7161" w:rsidRPr="00360A9A" w:rsidRDefault="008C7161" w:rsidP="00126C59">
      <w:pPr>
        <w:pStyle w:val="Prrafodelista"/>
        <w:numPr>
          <w:ilvl w:val="0"/>
          <w:numId w:val="25"/>
        </w:numPr>
        <w:spacing w:line="360" w:lineRule="auto"/>
        <w:jc w:val="both"/>
        <w:rPr>
          <w:rFonts w:ascii="Palatino Linotype" w:eastAsiaTheme="minorHAnsi" w:hAnsi="Palatino Linotype" w:cs="Arial"/>
          <w:lang w:val="es-MX" w:eastAsia="en-US"/>
        </w:rPr>
      </w:pPr>
      <w:r w:rsidRPr="00360A9A">
        <w:rPr>
          <w:rFonts w:ascii="Palatino Linotype" w:eastAsiaTheme="minorHAnsi" w:hAnsi="Palatino Linotype" w:cs="Arial"/>
          <w:lang w:val="es-MX" w:eastAsia="en-US"/>
        </w:rPr>
        <w:t>Acta de presentación y apertura de las propuestas</w:t>
      </w:r>
    </w:p>
    <w:p w:rsidR="008C7161" w:rsidRPr="00360A9A" w:rsidRDefault="008C7161" w:rsidP="00126C59">
      <w:pPr>
        <w:pStyle w:val="Prrafodelista"/>
        <w:numPr>
          <w:ilvl w:val="0"/>
          <w:numId w:val="25"/>
        </w:numPr>
        <w:spacing w:line="360" w:lineRule="auto"/>
        <w:jc w:val="both"/>
        <w:rPr>
          <w:rFonts w:ascii="Palatino Linotype" w:eastAsiaTheme="minorHAnsi" w:hAnsi="Palatino Linotype" w:cs="Arial"/>
          <w:lang w:val="es-MX" w:eastAsia="en-US"/>
        </w:rPr>
      </w:pPr>
      <w:r w:rsidRPr="00360A9A">
        <w:rPr>
          <w:rFonts w:ascii="Palatino Linotype" w:eastAsiaTheme="minorHAnsi" w:hAnsi="Palatino Linotype" w:cs="Arial"/>
          <w:lang w:val="es-MX" w:eastAsia="en-US"/>
        </w:rPr>
        <w:t>Dictamen base del fallo</w:t>
      </w:r>
    </w:p>
    <w:p w:rsidR="008C7161" w:rsidRPr="00360A9A" w:rsidRDefault="008C7161" w:rsidP="00126C59">
      <w:pPr>
        <w:pStyle w:val="Prrafodelista"/>
        <w:numPr>
          <w:ilvl w:val="0"/>
          <w:numId w:val="25"/>
        </w:numPr>
        <w:spacing w:line="360" w:lineRule="auto"/>
        <w:jc w:val="both"/>
        <w:rPr>
          <w:rFonts w:ascii="Palatino Linotype" w:eastAsiaTheme="minorHAnsi" w:hAnsi="Palatino Linotype" w:cs="Arial"/>
          <w:lang w:val="es-MX" w:eastAsia="en-US"/>
        </w:rPr>
      </w:pPr>
      <w:r w:rsidRPr="00360A9A">
        <w:rPr>
          <w:rFonts w:ascii="Palatino Linotype" w:eastAsiaTheme="minorHAnsi" w:hAnsi="Palatino Linotype" w:cs="Arial"/>
          <w:lang w:val="es-MX" w:eastAsia="en-US"/>
        </w:rPr>
        <w:t xml:space="preserve">Acta de fallo </w:t>
      </w:r>
      <w:proofErr w:type="spellStart"/>
      <w:r w:rsidRPr="00360A9A">
        <w:rPr>
          <w:rFonts w:ascii="Palatino Linotype" w:eastAsiaTheme="minorHAnsi" w:hAnsi="Palatino Linotype" w:cs="Arial"/>
          <w:lang w:val="es-MX" w:eastAsia="en-US"/>
        </w:rPr>
        <w:t>adjudicatorio</w:t>
      </w:r>
      <w:proofErr w:type="spellEnd"/>
    </w:p>
    <w:p w:rsidR="008C7161" w:rsidRPr="00360A9A" w:rsidRDefault="00126C59" w:rsidP="00126C59">
      <w:pPr>
        <w:pStyle w:val="Prrafodelista"/>
        <w:numPr>
          <w:ilvl w:val="0"/>
          <w:numId w:val="25"/>
        </w:numPr>
        <w:spacing w:line="360" w:lineRule="auto"/>
        <w:jc w:val="both"/>
        <w:rPr>
          <w:rFonts w:ascii="Palatino Linotype" w:eastAsiaTheme="minorHAnsi" w:hAnsi="Palatino Linotype" w:cs="Arial"/>
          <w:lang w:val="es-MX" w:eastAsia="en-US"/>
        </w:rPr>
      </w:pPr>
      <w:r w:rsidRPr="00360A9A">
        <w:rPr>
          <w:rFonts w:ascii="Palatino Linotype" w:eastAsiaTheme="minorHAnsi" w:hAnsi="Palatino Linotype" w:cs="Arial"/>
          <w:lang w:val="es-MX" w:eastAsia="en-US"/>
        </w:rPr>
        <w:t>P</w:t>
      </w:r>
      <w:r w:rsidR="008C7161" w:rsidRPr="00360A9A">
        <w:rPr>
          <w:rFonts w:ascii="Palatino Linotype" w:eastAsiaTheme="minorHAnsi" w:hAnsi="Palatino Linotype" w:cs="Arial"/>
          <w:lang w:val="es-MX" w:eastAsia="en-US"/>
        </w:rPr>
        <w:t>ersona contratista o proveedora ganadora, asignada o adjudicada</w:t>
      </w:r>
    </w:p>
    <w:p w:rsidR="008C7161" w:rsidRPr="00360A9A" w:rsidRDefault="008C7161" w:rsidP="00126C59">
      <w:pPr>
        <w:pStyle w:val="Prrafodelista"/>
        <w:numPr>
          <w:ilvl w:val="0"/>
          <w:numId w:val="25"/>
        </w:numPr>
        <w:spacing w:line="360" w:lineRule="auto"/>
        <w:jc w:val="both"/>
        <w:rPr>
          <w:rFonts w:ascii="Palatino Linotype" w:eastAsiaTheme="minorHAnsi" w:hAnsi="Palatino Linotype" w:cs="Arial"/>
          <w:lang w:val="es-MX" w:eastAsia="en-US"/>
        </w:rPr>
      </w:pPr>
      <w:r w:rsidRPr="00360A9A">
        <w:rPr>
          <w:rFonts w:ascii="Palatino Linotype" w:eastAsiaTheme="minorHAnsi" w:hAnsi="Palatino Linotype" w:cs="Arial"/>
          <w:lang w:val="es-MX" w:eastAsia="en-US"/>
        </w:rPr>
        <w:t>Contrato</w:t>
      </w:r>
    </w:p>
    <w:p w:rsidR="008C7161" w:rsidRPr="00360A9A" w:rsidRDefault="008C7161" w:rsidP="008C7161">
      <w:pPr>
        <w:spacing w:line="360" w:lineRule="auto"/>
        <w:jc w:val="both"/>
        <w:rPr>
          <w:rFonts w:ascii="Palatino Linotype" w:eastAsiaTheme="minorHAnsi" w:hAnsi="Palatino Linotype" w:cs="Arial"/>
          <w:lang w:val="es-MX" w:eastAsia="en-US"/>
        </w:rPr>
      </w:pPr>
    </w:p>
    <w:p w:rsidR="008C7161" w:rsidRPr="00360A9A" w:rsidRDefault="00E73914" w:rsidP="005025FE">
      <w:pPr>
        <w:numPr>
          <w:ilvl w:val="0"/>
          <w:numId w:val="1"/>
        </w:numPr>
        <w:spacing w:line="360" w:lineRule="auto"/>
        <w:ind w:left="0" w:firstLine="0"/>
        <w:jc w:val="both"/>
        <w:rPr>
          <w:rFonts w:ascii="Palatino Linotype" w:eastAsiaTheme="minorHAnsi" w:hAnsi="Palatino Linotype" w:cs="Arial"/>
          <w:lang w:val="es-MX" w:eastAsia="en-US"/>
        </w:rPr>
      </w:pPr>
      <w:r w:rsidRPr="00360A9A">
        <w:rPr>
          <w:rFonts w:ascii="Palatino Linotype" w:eastAsiaTheme="minorHAnsi" w:hAnsi="Palatino Linotype" w:cs="Arial"/>
          <w:lang w:val="es-MX" w:eastAsia="en-US"/>
        </w:rPr>
        <w:t>Luego entonces</w:t>
      </w:r>
      <w:r w:rsidR="00126C59" w:rsidRPr="00360A9A">
        <w:rPr>
          <w:rFonts w:ascii="Palatino Linotype" w:eastAsiaTheme="minorHAnsi" w:hAnsi="Palatino Linotype" w:cs="Arial"/>
          <w:lang w:val="es-MX" w:eastAsia="en-US"/>
        </w:rPr>
        <w:t>, se tiene que no obra en relación a lo solicitado, lo siguiente:</w:t>
      </w:r>
    </w:p>
    <w:p w:rsidR="00126C59" w:rsidRPr="00360A9A" w:rsidRDefault="00126C59" w:rsidP="00126C59">
      <w:pPr>
        <w:pStyle w:val="Prrafodelista"/>
        <w:numPr>
          <w:ilvl w:val="0"/>
          <w:numId w:val="25"/>
        </w:numPr>
        <w:spacing w:line="360" w:lineRule="auto"/>
        <w:jc w:val="both"/>
        <w:rPr>
          <w:rFonts w:ascii="Palatino Linotype" w:eastAsiaTheme="minorHAnsi" w:hAnsi="Palatino Linotype" w:cs="Arial"/>
          <w:lang w:val="es-MX" w:eastAsia="en-US"/>
        </w:rPr>
      </w:pPr>
      <w:r w:rsidRPr="00360A9A">
        <w:rPr>
          <w:rFonts w:ascii="Palatino Linotype" w:eastAsiaTheme="minorHAnsi" w:hAnsi="Palatino Linotype" w:cs="Arial"/>
          <w:lang w:val="es-MX" w:eastAsia="en-US"/>
        </w:rPr>
        <w:t>Bases</w:t>
      </w:r>
    </w:p>
    <w:p w:rsidR="00126C59" w:rsidRPr="00360A9A" w:rsidRDefault="00126C59" w:rsidP="00126C59">
      <w:pPr>
        <w:pStyle w:val="Prrafodelista"/>
        <w:numPr>
          <w:ilvl w:val="0"/>
          <w:numId w:val="25"/>
        </w:numPr>
        <w:spacing w:line="360" w:lineRule="auto"/>
        <w:jc w:val="both"/>
        <w:rPr>
          <w:rFonts w:ascii="Palatino Linotype" w:eastAsiaTheme="minorHAnsi" w:hAnsi="Palatino Linotype" w:cs="Arial"/>
          <w:lang w:val="es-MX" w:eastAsia="en-US"/>
        </w:rPr>
      </w:pPr>
      <w:r w:rsidRPr="00360A9A">
        <w:rPr>
          <w:rFonts w:ascii="Palatino Linotype" w:eastAsiaTheme="minorHAnsi" w:hAnsi="Palatino Linotype" w:cs="Arial"/>
          <w:lang w:val="es-MX" w:eastAsia="en-US"/>
        </w:rPr>
        <w:t>Comprobante recibo y/o factura de la venta de bases</w:t>
      </w:r>
    </w:p>
    <w:p w:rsidR="00126C59" w:rsidRPr="00360A9A" w:rsidRDefault="00126C59" w:rsidP="00126C59">
      <w:pPr>
        <w:pStyle w:val="Prrafodelista"/>
        <w:numPr>
          <w:ilvl w:val="0"/>
          <w:numId w:val="25"/>
        </w:numPr>
        <w:spacing w:line="360" w:lineRule="auto"/>
        <w:jc w:val="both"/>
        <w:rPr>
          <w:rFonts w:ascii="Palatino Linotype" w:eastAsiaTheme="minorHAnsi" w:hAnsi="Palatino Linotype" w:cs="Arial"/>
          <w:lang w:val="es-MX" w:eastAsia="en-US"/>
        </w:rPr>
      </w:pPr>
      <w:r w:rsidRPr="00360A9A">
        <w:rPr>
          <w:rFonts w:ascii="Palatino Linotype" w:eastAsiaTheme="minorHAnsi" w:hAnsi="Palatino Linotype" w:cs="Arial"/>
          <w:lang w:val="es-MX" w:eastAsia="en-US"/>
        </w:rPr>
        <w:t>Propuestas técnicas presentada por los proveedores</w:t>
      </w:r>
    </w:p>
    <w:p w:rsidR="00126C59" w:rsidRPr="00360A9A" w:rsidRDefault="00126C59" w:rsidP="00126C59">
      <w:pPr>
        <w:pStyle w:val="Prrafodelista"/>
        <w:numPr>
          <w:ilvl w:val="0"/>
          <w:numId w:val="25"/>
        </w:numPr>
        <w:spacing w:line="360" w:lineRule="auto"/>
        <w:jc w:val="both"/>
        <w:rPr>
          <w:rFonts w:ascii="Palatino Linotype" w:eastAsiaTheme="minorHAnsi" w:hAnsi="Palatino Linotype" w:cs="Arial"/>
          <w:lang w:val="es-MX" w:eastAsia="en-US"/>
        </w:rPr>
      </w:pPr>
      <w:r w:rsidRPr="00360A9A">
        <w:rPr>
          <w:rFonts w:ascii="Palatino Linotype" w:eastAsiaTheme="minorHAnsi" w:hAnsi="Palatino Linotype" w:cs="Arial"/>
          <w:lang w:val="es-MX" w:eastAsia="en-US"/>
        </w:rPr>
        <w:t>Propuestas económicas presentada por los proveedores</w:t>
      </w:r>
    </w:p>
    <w:p w:rsidR="008C7161" w:rsidRPr="00360A9A" w:rsidRDefault="008C7161" w:rsidP="00126C59">
      <w:pPr>
        <w:spacing w:line="360" w:lineRule="auto"/>
        <w:jc w:val="both"/>
        <w:rPr>
          <w:rFonts w:ascii="Palatino Linotype" w:eastAsiaTheme="minorHAnsi" w:hAnsi="Palatino Linotype" w:cs="Arial"/>
          <w:lang w:val="es-MX" w:eastAsia="en-US"/>
        </w:rPr>
      </w:pPr>
    </w:p>
    <w:p w:rsidR="00CC2DA9" w:rsidRPr="00360A9A" w:rsidRDefault="00BB5E22" w:rsidP="005025FE">
      <w:pPr>
        <w:numPr>
          <w:ilvl w:val="0"/>
          <w:numId w:val="1"/>
        </w:numPr>
        <w:spacing w:line="360" w:lineRule="auto"/>
        <w:ind w:left="0" w:firstLine="0"/>
        <w:jc w:val="both"/>
        <w:rPr>
          <w:rFonts w:ascii="Palatino Linotype" w:eastAsiaTheme="minorHAnsi" w:hAnsi="Palatino Linotype" w:cs="Arial"/>
          <w:lang w:val="es-MX" w:eastAsia="en-US"/>
        </w:rPr>
      </w:pPr>
      <w:r w:rsidRPr="00360A9A">
        <w:rPr>
          <w:rFonts w:ascii="Palatino Linotype" w:eastAsiaTheme="minorHAnsi" w:hAnsi="Palatino Linotype" w:cs="Arial"/>
          <w:lang w:val="es-MX" w:eastAsia="en-US"/>
        </w:rPr>
        <w:lastRenderedPageBreak/>
        <w:t xml:space="preserve">Así las cosas, se estima dable omitir un estudio pormenorizado que permita arribar a una conclusión, de que el </w:t>
      </w:r>
      <w:r w:rsidRPr="00360A9A">
        <w:rPr>
          <w:rFonts w:ascii="Palatino Linotype" w:eastAsiaTheme="minorHAnsi" w:hAnsi="Palatino Linotype" w:cs="Arial"/>
          <w:b/>
          <w:lang w:val="es-MX" w:eastAsia="en-US"/>
        </w:rPr>
        <w:t>SUJETO OBLIGADO</w:t>
      </w:r>
      <w:r w:rsidRPr="00360A9A">
        <w:rPr>
          <w:rFonts w:ascii="Palatino Linotype" w:eastAsiaTheme="minorHAnsi" w:hAnsi="Palatino Linotype" w:cs="Arial"/>
          <w:lang w:val="es-MX" w:eastAsia="en-US"/>
        </w:rPr>
        <w:t xml:space="preserve"> pudiera generar, poseer o administrar la información que como ha quedado demostrado si se materializo y obra en sus archivos; sin embargo ello no es óbice para señalar lo siguiente.</w:t>
      </w:r>
    </w:p>
    <w:p w:rsidR="00CC2DA9" w:rsidRPr="00360A9A" w:rsidRDefault="00CC2DA9" w:rsidP="00BB5E22">
      <w:pPr>
        <w:spacing w:line="360" w:lineRule="auto"/>
        <w:jc w:val="both"/>
        <w:rPr>
          <w:rFonts w:ascii="Palatino Linotype" w:eastAsiaTheme="minorHAnsi" w:hAnsi="Palatino Linotype" w:cs="Arial"/>
          <w:lang w:val="es-MX" w:eastAsia="en-US"/>
        </w:rPr>
      </w:pPr>
    </w:p>
    <w:p w:rsidR="006219BF" w:rsidRPr="00360A9A" w:rsidRDefault="006219BF" w:rsidP="006219BF">
      <w:pPr>
        <w:numPr>
          <w:ilvl w:val="0"/>
          <w:numId w:val="1"/>
        </w:numPr>
        <w:spacing w:line="360" w:lineRule="auto"/>
        <w:ind w:left="0" w:firstLine="0"/>
        <w:jc w:val="both"/>
        <w:rPr>
          <w:rFonts w:ascii="Palatino Linotype" w:eastAsia="Palatino Linotype" w:hAnsi="Palatino Linotype" w:cs="Palatino Linotype"/>
          <w:color w:val="000000"/>
        </w:rPr>
      </w:pPr>
      <w:r w:rsidRPr="00360A9A">
        <w:rPr>
          <w:rFonts w:ascii="Palatino Linotype" w:eastAsia="Palatino Linotype" w:hAnsi="Palatino Linotype" w:cs="Palatino Linotype"/>
          <w:color w:val="000000"/>
        </w:rPr>
        <w:t xml:space="preserve">La Ley de la Contratación Pública del Estado de México y Municipios, la cual tiene por </w:t>
      </w:r>
      <w:r w:rsidRPr="00360A9A">
        <w:rPr>
          <w:rFonts w:ascii="Palatino Linotype" w:eastAsiaTheme="minorHAnsi" w:hAnsi="Palatino Linotype" w:cs="Arial"/>
          <w:lang w:val="es-MX" w:eastAsia="en-US"/>
        </w:rPr>
        <w:t>objeto</w:t>
      </w:r>
      <w:r w:rsidRPr="00360A9A">
        <w:rPr>
          <w:rFonts w:ascii="Palatino Linotype" w:eastAsia="Palatino Linotype" w:hAnsi="Palatino Linotype" w:cs="Palatino Linotype"/>
          <w:color w:val="000000"/>
        </w:rPr>
        <w:t xml:space="preserve"> regular los actos relativos a la planeación, programación, </w:t>
      </w:r>
      <w:proofErr w:type="spellStart"/>
      <w:r w:rsidRPr="00360A9A">
        <w:rPr>
          <w:rFonts w:ascii="Palatino Linotype" w:eastAsia="Palatino Linotype" w:hAnsi="Palatino Linotype" w:cs="Palatino Linotype"/>
          <w:color w:val="000000"/>
        </w:rPr>
        <w:t>presupuestación</w:t>
      </w:r>
      <w:proofErr w:type="spellEnd"/>
      <w:r w:rsidRPr="00360A9A">
        <w:rPr>
          <w:rFonts w:ascii="Palatino Linotype" w:eastAsia="Palatino Linotype" w:hAnsi="Palatino Linotype" w:cs="Palatino Linotype"/>
          <w:color w:val="000000"/>
        </w:rPr>
        <w:t xml:space="preserve">, ejecución y control de </w:t>
      </w:r>
      <w:r w:rsidRPr="00360A9A">
        <w:rPr>
          <w:rFonts w:ascii="Palatino Linotype" w:eastAsia="Palatino Linotype" w:hAnsi="Palatino Linotype" w:cs="Palatino Linotype"/>
          <w:b/>
          <w:color w:val="000000"/>
        </w:rPr>
        <w:t xml:space="preserve">la </w:t>
      </w:r>
      <w:r w:rsidRPr="00360A9A">
        <w:rPr>
          <w:rFonts w:ascii="Palatino Linotype" w:eastAsia="Palatino Linotype" w:hAnsi="Palatino Linotype" w:cs="Palatino Linotype"/>
          <w:b/>
          <w:color w:val="000000"/>
          <w:u w:val="single"/>
        </w:rPr>
        <w:t>adquisición</w:t>
      </w:r>
      <w:r w:rsidRPr="00360A9A">
        <w:rPr>
          <w:rFonts w:ascii="Palatino Linotype" w:eastAsia="Palatino Linotype" w:hAnsi="Palatino Linotype" w:cs="Palatino Linotype"/>
          <w:color w:val="000000"/>
        </w:rPr>
        <w:t xml:space="preserve">, enajenación y </w:t>
      </w:r>
      <w:r w:rsidRPr="00360A9A">
        <w:rPr>
          <w:rFonts w:ascii="Palatino Linotype" w:eastAsia="Palatino Linotype" w:hAnsi="Palatino Linotype" w:cs="Palatino Linotype"/>
          <w:b/>
          <w:color w:val="000000"/>
        </w:rPr>
        <w:t xml:space="preserve">arrendamiento </w:t>
      </w:r>
      <w:r w:rsidRPr="00360A9A">
        <w:rPr>
          <w:rFonts w:ascii="Palatino Linotype" w:eastAsia="Palatino Linotype" w:hAnsi="Palatino Linotype" w:cs="Palatino Linotype"/>
          <w:b/>
          <w:color w:val="000000"/>
          <w:u w:val="single"/>
        </w:rPr>
        <w:t>de bienes</w:t>
      </w:r>
      <w:r w:rsidRPr="00360A9A">
        <w:rPr>
          <w:rFonts w:ascii="Palatino Linotype" w:eastAsia="Palatino Linotype" w:hAnsi="Palatino Linotype" w:cs="Palatino Linotype"/>
          <w:color w:val="000000"/>
        </w:rPr>
        <w:t xml:space="preserve">, </w:t>
      </w:r>
      <w:r w:rsidRPr="00360A9A">
        <w:rPr>
          <w:rFonts w:ascii="Palatino Linotype" w:eastAsia="Palatino Linotype" w:hAnsi="Palatino Linotype" w:cs="Palatino Linotype"/>
          <w:b/>
          <w:color w:val="000000"/>
        </w:rPr>
        <w:t xml:space="preserve">y la </w:t>
      </w:r>
      <w:r w:rsidRPr="00360A9A">
        <w:rPr>
          <w:rFonts w:ascii="Palatino Linotype" w:eastAsia="Palatino Linotype" w:hAnsi="Palatino Linotype" w:cs="Palatino Linotype"/>
          <w:b/>
          <w:color w:val="000000"/>
          <w:u w:val="single"/>
        </w:rPr>
        <w:t>contratación de servicios de cualquier naturaleza</w:t>
      </w:r>
      <w:r w:rsidRPr="00360A9A">
        <w:rPr>
          <w:rFonts w:ascii="Palatino Linotype" w:eastAsia="Palatino Linotype" w:hAnsi="Palatino Linotype" w:cs="Palatino Linotype"/>
          <w:color w:val="000000"/>
          <w:u w:val="single"/>
        </w:rPr>
        <w:t xml:space="preserve">, </w:t>
      </w:r>
      <w:r w:rsidRPr="00360A9A">
        <w:rPr>
          <w:rFonts w:ascii="Palatino Linotype" w:eastAsia="Palatino Linotype" w:hAnsi="Palatino Linotype" w:cs="Palatino Linotype"/>
          <w:color w:val="000000"/>
        </w:rPr>
        <w:t xml:space="preserve">que realicen los Ayuntamientos y organismos del Estado; los cuales se </w:t>
      </w:r>
      <w:r w:rsidRPr="00360A9A">
        <w:rPr>
          <w:rFonts w:ascii="Palatino Linotype" w:eastAsia="Palatino Linotype" w:hAnsi="Palatino Linotype" w:cs="Palatino Linotype"/>
        </w:rPr>
        <w:t>adjudicarán</w:t>
      </w:r>
      <w:r w:rsidRPr="00360A9A">
        <w:rPr>
          <w:rFonts w:ascii="Palatino Linotype" w:eastAsia="Palatino Linotype" w:hAnsi="Palatino Linotype" w:cs="Palatino Linotype"/>
          <w:color w:val="000000"/>
        </w:rPr>
        <w:t xml:space="preserve"> a través de </w:t>
      </w:r>
      <w:r w:rsidRPr="00360A9A">
        <w:rPr>
          <w:rFonts w:ascii="Palatino Linotype" w:eastAsia="Palatino Linotype" w:hAnsi="Palatino Linotype" w:cs="Palatino Linotype"/>
          <w:color w:val="000000"/>
          <w:u w:val="single"/>
        </w:rPr>
        <w:t>licitaciones públicas</w:t>
      </w:r>
      <w:r w:rsidRPr="00360A9A">
        <w:rPr>
          <w:rFonts w:ascii="Palatino Linotype" w:eastAsia="Palatino Linotype" w:hAnsi="Palatino Linotype" w:cs="Palatino Linotype"/>
          <w:color w:val="000000"/>
        </w:rPr>
        <w:t>, i</w:t>
      </w:r>
      <w:r w:rsidRPr="00360A9A">
        <w:rPr>
          <w:rFonts w:ascii="Palatino Linotype" w:eastAsia="Palatino Linotype" w:hAnsi="Palatino Linotype" w:cs="Palatino Linotype"/>
          <w:color w:val="000000"/>
          <w:u w:val="single"/>
        </w:rPr>
        <w:t>nvitación restringida o adjudicación directa,</w:t>
      </w:r>
      <w:r w:rsidRPr="00360A9A">
        <w:rPr>
          <w:rFonts w:ascii="Palatino Linotype" w:eastAsia="Palatino Linotype" w:hAnsi="Palatino Linotype" w:cs="Palatino Linotype"/>
          <w:color w:val="000000"/>
        </w:rPr>
        <w:t xml:space="preserve"> mediante convocatoria pública, tal y como lo establecen los artículos 4, 26 y 27 de dicha Ley, los cuales son del tenor siguiente:</w:t>
      </w:r>
    </w:p>
    <w:p w:rsidR="006219BF" w:rsidRPr="00360A9A" w:rsidRDefault="006219BF" w:rsidP="006219BF">
      <w:pPr>
        <w:spacing w:line="360" w:lineRule="auto"/>
        <w:ind w:left="851" w:right="822"/>
        <w:jc w:val="both"/>
        <w:rPr>
          <w:rFonts w:ascii="Palatino Linotype" w:eastAsia="Palatino Linotype" w:hAnsi="Palatino Linotype" w:cs="Palatino Linotype"/>
          <w:i/>
        </w:rPr>
      </w:pPr>
      <w:r w:rsidRPr="00360A9A">
        <w:rPr>
          <w:rFonts w:ascii="Palatino Linotype" w:eastAsia="Palatino Linotype" w:hAnsi="Palatino Linotype" w:cs="Palatino Linotype"/>
          <w:i/>
        </w:rPr>
        <w:t>“</w:t>
      </w:r>
      <w:r w:rsidRPr="00360A9A">
        <w:rPr>
          <w:rFonts w:ascii="Palatino Linotype" w:eastAsia="Palatino Linotype" w:hAnsi="Palatino Linotype" w:cs="Palatino Linotype"/>
          <w:b/>
          <w:i/>
        </w:rPr>
        <w:t>Artículo 4.-</w:t>
      </w:r>
      <w:r w:rsidRPr="00360A9A">
        <w:rPr>
          <w:rFonts w:ascii="Palatino Linotype" w:eastAsia="Palatino Linotype" w:hAnsi="Palatino Linotype" w:cs="Palatino Linotype"/>
          <w:i/>
        </w:rPr>
        <w:t xml:space="preserve"> Para los efectos de esta Ley, en las adquisiciones, enajenaciones, arrendamientos y servicios, quedan comprendidos: </w:t>
      </w:r>
    </w:p>
    <w:p w:rsidR="006219BF" w:rsidRPr="00360A9A" w:rsidRDefault="006219BF" w:rsidP="006219BF">
      <w:pPr>
        <w:spacing w:line="360" w:lineRule="auto"/>
        <w:ind w:left="851" w:right="822"/>
        <w:jc w:val="both"/>
        <w:rPr>
          <w:rFonts w:ascii="Palatino Linotype" w:eastAsia="Palatino Linotype" w:hAnsi="Palatino Linotype" w:cs="Palatino Linotype"/>
          <w:b/>
          <w:i/>
          <w:u w:val="single"/>
        </w:rPr>
      </w:pPr>
      <w:r w:rsidRPr="00360A9A">
        <w:rPr>
          <w:rFonts w:ascii="Palatino Linotype" w:eastAsia="Palatino Linotype" w:hAnsi="Palatino Linotype" w:cs="Palatino Linotype"/>
          <w:b/>
          <w:i/>
          <w:u w:val="single"/>
        </w:rPr>
        <w:t xml:space="preserve">I. La adquisición de bienes muebles. </w:t>
      </w:r>
    </w:p>
    <w:p w:rsidR="006219BF" w:rsidRPr="00360A9A" w:rsidRDefault="006219BF" w:rsidP="006219BF">
      <w:pPr>
        <w:spacing w:line="360" w:lineRule="auto"/>
        <w:ind w:left="851" w:right="822"/>
        <w:jc w:val="both"/>
        <w:rPr>
          <w:rFonts w:ascii="Palatino Linotype" w:eastAsia="Palatino Linotype" w:hAnsi="Palatino Linotype" w:cs="Palatino Linotype"/>
          <w:i/>
        </w:rPr>
      </w:pPr>
      <w:r w:rsidRPr="00360A9A">
        <w:rPr>
          <w:rFonts w:ascii="Palatino Linotype" w:eastAsia="Palatino Linotype" w:hAnsi="Palatino Linotype" w:cs="Palatino Linotype"/>
          <w:i/>
        </w:rPr>
        <w:t xml:space="preserve">II. La adquisición de bienes inmuebles, a través de compraventa. </w:t>
      </w:r>
    </w:p>
    <w:p w:rsidR="006219BF" w:rsidRPr="00360A9A" w:rsidRDefault="006219BF" w:rsidP="006219BF">
      <w:pPr>
        <w:spacing w:line="360" w:lineRule="auto"/>
        <w:ind w:left="851" w:right="822"/>
        <w:jc w:val="both"/>
        <w:rPr>
          <w:rFonts w:ascii="Palatino Linotype" w:eastAsia="Palatino Linotype" w:hAnsi="Palatino Linotype" w:cs="Palatino Linotype"/>
          <w:i/>
        </w:rPr>
      </w:pPr>
      <w:r w:rsidRPr="00360A9A">
        <w:rPr>
          <w:rFonts w:ascii="Palatino Linotype" w:eastAsia="Palatino Linotype" w:hAnsi="Palatino Linotype" w:cs="Palatino Linotype"/>
          <w:i/>
        </w:rPr>
        <w:t xml:space="preserve">III. La enajenación de bienes muebles e inmuebles. </w:t>
      </w:r>
    </w:p>
    <w:p w:rsidR="006219BF" w:rsidRPr="00360A9A" w:rsidRDefault="006219BF" w:rsidP="006219BF">
      <w:pPr>
        <w:spacing w:line="360" w:lineRule="auto"/>
        <w:ind w:left="851" w:right="822"/>
        <w:jc w:val="both"/>
        <w:rPr>
          <w:rFonts w:ascii="Palatino Linotype" w:eastAsia="Palatino Linotype" w:hAnsi="Palatino Linotype" w:cs="Palatino Linotype"/>
          <w:b/>
          <w:i/>
          <w:u w:val="single"/>
        </w:rPr>
      </w:pPr>
      <w:r w:rsidRPr="00360A9A">
        <w:rPr>
          <w:rFonts w:ascii="Palatino Linotype" w:eastAsia="Palatino Linotype" w:hAnsi="Palatino Linotype" w:cs="Palatino Linotype"/>
          <w:b/>
          <w:i/>
          <w:u w:val="single"/>
        </w:rPr>
        <w:t xml:space="preserve">IV. El arrendamiento de bienes muebles e inmuebles. </w:t>
      </w:r>
    </w:p>
    <w:p w:rsidR="006219BF" w:rsidRPr="00360A9A" w:rsidRDefault="006219BF" w:rsidP="006219BF">
      <w:pPr>
        <w:spacing w:line="360" w:lineRule="auto"/>
        <w:ind w:left="851" w:right="822"/>
        <w:jc w:val="both"/>
        <w:rPr>
          <w:rFonts w:ascii="Palatino Linotype" w:eastAsia="Palatino Linotype" w:hAnsi="Palatino Linotype" w:cs="Palatino Linotype"/>
          <w:b/>
          <w:i/>
          <w:u w:val="single"/>
        </w:rPr>
      </w:pPr>
      <w:r w:rsidRPr="00360A9A">
        <w:rPr>
          <w:rFonts w:ascii="Palatino Linotype" w:eastAsia="Palatino Linotype" w:hAnsi="Palatino Linotype" w:cs="Palatino Linotype"/>
          <w:b/>
          <w:i/>
          <w:u w:val="single"/>
        </w:rPr>
        <w:t xml:space="preserve">V. La contratación de los servicios, relacionados con bienes muebles que se encuentran incorporados o adheridos a bienes inmuebles, </w:t>
      </w:r>
      <w:r w:rsidRPr="00360A9A">
        <w:rPr>
          <w:rFonts w:ascii="Palatino Linotype" w:eastAsia="Palatino Linotype" w:hAnsi="Palatino Linotype" w:cs="Palatino Linotype"/>
          <w:b/>
          <w:i/>
          <w:u w:val="single"/>
        </w:rPr>
        <w:lastRenderedPageBreak/>
        <w:t xml:space="preserve">cuya instalación o mantenimiento no implique modificación al bien inmueble. </w:t>
      </w:r>
    </w:p>
    <w:p w:rsidR="006219BF" w:rsidRPr="00360A9A" w:rsidRDefault="006219BF" w:rsidP="006219BF">
      <w:pPr>
        <w:spacing w:line="360" w:lineRule="auto"/>
        <w:ind w:left="851" w:right="822"/>
        <w:jc w:val="both"/>
        <w:rPr>
          <w:rFonts w:ascii="Palatino Linotype" w:eastAsia="Palatino Linotype" w:hAnsi="Palatino Linotype" w:cs="Palatino Linotype"/>
          <w:i/>
        </w:rPr>
      </w:pPr>
      <w:r w:rsidRPr="00360A9A">
        <w:rPr>
          <w:rFonts w:ascii="Palatino Linotype" w:eastAsia="Palatino Linotype" w:hAnsi="Palatino Linotype" w:cs="Palatino Linotype"/>
          <w:i/>
        </w:rPr>
        <w:t xml:space="preserve">VI. La contratación de los servicios de reconstrucción y mantenimiento de bienes muebles. </w:t>
      </w:r>
    </w:p>
    <w:p w:rsidR="006219BF" w:rsidRPr="00360A9A" w:rsidRDefault="006219BF" w:rsidP="006219BF">
      <w:pPr>
        <w:spacing w:line="360" w:lineRule="auto"/>
        <w:ind w:left="851" w:right="822"/>
        <w:jc w:val="both"/>
        <w:rPr>
          <w:rFonts w:ascii="Palatino Linotype" w:eastAsia="Palatino Linotype" w:hAnsi="Palatino Linotype" w:cs="Palatino Linotype"/>
          <w:i/>
        </w:rPr>
      </w:pPr>
      <w:r w:rsidRPr="00360A9A">
        <w:rPr>
          <w:rFonts w:ascii="Palatino Linotype" w:eastAsia="Palatino Linotype" w:hAnsi="Palatino Linotype" w:cs="Palatino Linotype"/>
          <w:b/>
          <w:i/>
          <w:u w:val="single"/>
        </w:rPr>
        <w:t xml:space="preserve">VII. La contratación de los servicios </w:t>
      </w:r>
      <w:r w:rsidRPr="00360A9A">
        <w:rPr>
          <w:rFonts w:ascii="Palatino Linotype" w:eastAsia="Palatino Linotype" w:hAnsi="Palatino Linotype" w:cs="Palatino Linotype"/>
          <w:i/>
        </w:rPr>
        <w:t>de maquila, seguros y transportación, así como de los de limpieza y vigilancia de bienes inmuebles</w:t>
      </w:r>
    </w:p>
    <w:p w:rsidR="006219BF" w:rsidRPr="00360A9A" w:rsidRDefault="006219BF" w:rsidP="006219BF">
      <w:pPr>
        <w:spacing w:line="360" w:lineRule="auto"/>
        <w:ind w:left="851" w:right="822"/>
        <w:jc w:val="both"/>
        <w:rPr>
          <w:rFonts w:ascii="Palatino Linotype" w:eastAsia="Palatino Linotype" w:hAnsi="Palatino Linotype" w:cs="Palatino Linotype"/>
          <w:i/>
        </w:rPr>
      </w:pPr>
      <w:r w:rsidRPr="00360A9A">
        <w:rPr>
          <w:rFonts w:ascii="Palatino Linotype" w:eastAsia="Palatino Linotype" w:hAnsi="Palatino Linotype" w:cs="Palatino Linotype"/>
          <w:i/>
        </w:rPr>
        <w:t xml:space="preserve">VIII. La prestación de servicios profesionales, la contratación de consultorías, asesorías y estudios e investigaciones, excepto la contratación de servicios personales de personas físicas bajo el régimen de honorarios. </w:t>
      </w:r>
    </w:p>
    <w:p w:rsidR="006219BF" w:rsidRPr="00360A9A" w:rsidRDefault="006219BF" w:rsidP="006219BF">
      <w:pPr>
        <w:spacing w:line="360" w:lineRule="auto"/>
        <w:ind w:left="851" w:right="822"/>
        <w:jc w:val="both"/>
        <w:rPr>
          <w:rFonts w:ascii="Palatino Linotype" w:eastAsia="Palatino Linotype" w:hAnsi="Palatino Linotype" w:cs="Palatino Linotype"/>
          <w:b/>
          <w:i/>
          <w:u w:val="single"/>
        </w:rPr>
      </w:pPr>
      <w:r w:rsidRPr="00360A9A">
        <w:rPr>
          <w:rFonts w:ascii="Palatino Linotype" w:eastAsia="Palatino Linotype" w:hAnsi="Palatino Linotype" w:cs="Palatino Linotype"/>
          <w:b/>
          <w:i/>
          <w:u w:val="single"/>
        </w:rPr>
        <w:t>En general, otros actos que impliquen la contratación de servicios de cualquier naturaleza.</w:t>
      </w:r>
    </w:p>
    <w:p w:rsidR="006219BF" w:rsidRPr="00360A9A" w:rsidRDefault="006219BF" w:rsidP="006219BF">
      <w:pPr>
        <w:spacing w:line="360" w:lineRule="auto"/>
        <w:ind w:left="851" w:right="822"/>
        <w:jc w:val="both"/>
        <w:rPr>
          <w:rFonts w:ascii="Palatino Linotype" w:eastAsia="Palatino Linotype" w:hAnsi="Palatino Linotype" w:cs="Palatino Linotype"/>
          <w:b/>
          <w:i/>
          <w:u w:val="single"/>
        </w:rPr>
      </w:pPr>
    </w:p>
    <w:p w:rsidR="006219BF" w:rsidRPr="00360A9A" w:rsidRDefault="006219BF" w:rsidP="006219BF">
      <w:pPr>
        <w:spacing w:line="360" w:lineRule="auto"/>
        <w:ind w:left="851" w:right="822"/>
        <w:jc w:val="both"/>
        <w:rPr>
          <w:rFonts w:ascii="Palatino Linotype" w:eastAsia="Palatino Linotype" w:hAnsi="Palatino Linotype" w:cs="Palatino Linotype"/>
          <w:b/>
          <w:i/>
        </w:rPr>
      </w:pPr>
      <w:r w:rsidRPr="00360A9A">
        <w:rPr>
          <w:rFonts w:ascii="Palatino Linotype" w:eastAsia="Palatino Linotype" w:hAnsi="Palatino Linotype" w:cs="Palatino Linotype"/>
          <w:b/>
          <w:i/>
        </w:rPr>
        <w:t>Artículo 26.- Las adquisiciones, arrendamientos y servicios se adjudicarán a través de licitaciones públicas, mediante convocatoria pública.</w:t>
      </w:r>
    </w:p>
    <w:p w:rsidR="006219BF" w:rsidRPr="00360A9A" w:rsidRDefault="006219BF" w:rsidP="006219BF">
      <w:pPr>
        <w:spacing w:line="360" w:lineRule="auto"/>
        <w:ind w:left="851" w:right="822"/>
        <w:jc w:val="both"/>
        <w:rPr>
          <w:rFonts w:ascii="Palatino Linotype" w:eastAsia="Palatino Linotype" w:hAnsi="Palatino Linotype" w:cs="Palatino Linotype"/>
          <w:b/>
          <w:i/>
        </w:rPr>
      </w:pPr>
    </w:p>
    <w:p w:rsidR="006219BF" w:rsidRPr="00360A9A" w:rsidRDefault="006219BF" w:rsidP="006219BF">
      <w:pPr>
        <w:spacing w:line="360" w:lineRule="auto"/>
        <w:ind w:left="851" w:right="822"/>
        <w:jc w:val="both"/>
        <w:rPr>
          <w:rFonts w:ascii="Palatino Linotype" w:eastAsia="Palatino Linotype" w:hAnsi="Palatino Linotype" w:cs="Palatino Linotype"/>
          <w:i/>
        </w:rPr>
      </w:pPr>
      <w:r w:rsidRPr="00360A9A">
        <w:rPr>
          <w:rFonts w:ascii="Palatino Linotype" w:eastAsia="Palatino Linotype" w:hAnsi="Palatino Linotype" w:cs="Palatino Linotype"/>
          <w:b/>
          <w:i/>
        </w:rPr>
        <w:t xml:space="preserve">Artículo 27.- </w:t>
      </w:r>
      <w:r w:rsidRPr="00360A9A">
        <w:rPr>
          <w:rFonts w:ascii="Palatino Linotype" w:eastAsia="Palatino Linotype" w:hAnsi="Palatino Linotype" w:cs="Palatino Linotype"/>
          <w:i/>
        </w:rPr>
        <w:t xml:space="preserve">La Secretaría, las entidades, los tribunales administrativos y los ayuntamientos podrán adjudicar adquisiciones, arrendamientos y servicios, mediante las excepciones al procedimiento de licitación que a continuación se señalan: </w:t>
      </w:r>
    </w:p>
    <w:p w:rsidR="006219BF" w:rsidRPr="00360A9A" w:rsidRDefault="006219BF" w:rsidP="006219BF">
      <w:pPr>
        <w:spacing w:line="360" w:lineRule="auto"/>
        <w:ind w:left="851" w:right="822"/>
        <w:jc w:val="both"/>
        <w:rPr>
          <w:rFonts w:ascii="Palatino Linotype" w:eastAsia="Palatino Linotype" w:hAnsi="Palatino Linotype" w:cs="Palatino Linotype"/>
          <w:b/>
          <w:i/>
        </w:rPr>
      </w:pPr>
      <w:r w:rsidRPr="00360A9A">
        <w:rPr>
          <w:rFonts w:ascii="Palatino Linotype" w:eastAsia="Palatino Linotype" w:hAnsi="Palatino Linotype" w:cs="Palatino Linotype"/>
          <w:b/>
          <w:i/>
        </w:rPr>
        <w:t xml:space="preserve">I. Invitación restringida. </w:t>
      </w:r>
    </w:p>
    <w:p w:rsidR="006219BF" w:rsidRPr="00360A9A" w:rsidRDefault="006219BF" w:rsidP="006219BF">
      <w:pPr>
        <w:spacing w:line="360" w:lineRule="auto"/>
        <w:ind w:left="851" w:right="822"/>
        <w:jc w:val="both"/>
        <w:rPr>
          <w:rFonts w:ascii="Palatino Linotype" w:eastAsia="Palatino Linotype" w:hAnsi="Palatino Linotype" w:cs="Palatino Linotype"/>
          <w:b/>
          <w:i/>
        </w:rPr>
      </w:pPr>
      <w:r w:rsidRPr="00360A9A">
        <w:rPr>
          <w:rFonts w:ascii="Palatino Linotype" w:eastAsia="Palatino Linotype" w:hAnsi="Palatino Linotype" w:cs="Palatino Linotype"/>
          <w:b/>
          <w:i/>
        </w:rPr>
        <w:lastRenderedPageBreak/>
        <w:t>II. Adjudicación directa.”</w:t>
      </w:r>
    </w:p>
    <w:p w:rsidR="006219BF" w:rsidRPr="00360A9A" w:rsidRDefault="006219BF" w:rsidP="006219BF">
      <w:pPr>
        <w:ind w:left="567" w:right="567"/>
        <w:rPr>
          <w:rFonts w:ascii="Palatino Linotype" w:eastAsia="Palatino Linotype" w:hAnsi="Palatino Linotype" w:cs="Palatino Linotype"/>
        </w:rPr>
      </w:pPr>
      <w:r w:rsidRPr="00360A9A">
        <w:rPr>
          <w:rFonts w:ascii="Palatino Linotype" w:eastAsia="Palatino Linotype" w:hAnsi="Palatino Linotype" w:cs="Palatino Linotype"/>
        </w:rPr>
        <w:t xml:space="preserve">(Énfasis añadido) </w:t>
      </w:r>
    </w:p>
    <w:p w:rsidR="006219BF" w:rsidRPr="00360A9A" w:rsidRDefault="006219BF" w:rsidP="006219BF">
      <w:pPr>
        <w:spacing w:line="360" w:lineRule="auto"/>
        <w:jc w:val="both"/>
        <w:rPr>
          <w:rFonts w:ascii="Palatino Linotype" w:eastAsia="Palatino Linotype" w:hAnsi="Palatino Linotype" w:cs="Palatino Linotype"/>
        </w:rPr>
      </w:pPr>
    </w:p>
    <w:p w:rsidR="006219BF" w:rsidRPr="00360A9A" w:rsidRDefault="006219BF" w:rsidP="006219BF">
      <w:pPr>
        <w:numPr>
          <w:ilvl w:val="0"/>
          <w:numId w:val="1"/>
        </w:numPr>
        <w:spacing w:line="360" w:lineRule="auto"/>
        <w:ind w:left="0" w:firstLine="0"/>
        <w:jc w:val="both"/>
        <w:rPr>
          <w:rFonts w:ascii="Palatino Linotype" w:eastAsia="Palatino Linotype" w:hAnsi="Palatino Linotype" w:cs="Palatino Linotype"/>
          <w:color w:val="000000"/>
        </w:rPr>
      </w:pPr>
      <w:r w:rsidRPr="00360A9A">
        <w:rPr>
          <w:rFonts w:ascii="Palatino Linotype" w:eastAsia="Palatino Linotype" w:hAnsi="Palatino Linotype" w:cs="Palatino Linotype"/>
          <w:color w:val="000000"/>
        </w:rPr>
        <w:t xml:space="preserve">Así, en lo que respecta sobre la licitación pública, el artículo 29 de la Ley de la Contratación Pública en mención, indica que en este procedimiento deberán establecerse los mismos requisitos y condiciones para todos los licitantes. Todo licitante que satisfaga los requisitos de la convocatoria y de las bases de la licitación tendrá derecho a presentar su propuesta. </w:t>
      </w:r>
    </w:p>
    <w:p w:rsidR="006219BF" w:rsidRPr="00360A9A" w:rsidRDefault="006219BF" w:rsidP="006219BF">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6219BF" w:rsidRPr="00360A9A" w:rsidRDefault="006219BF" w:rsidP="006219BF">
      <w:pPr>
        <w:numPr>
          <w:ilvl w:val="0"/>
          <w:numId w:val="1"/>
        </w:numPr>
        <w:spacing w:line="360" w:lineRule="auto"/>
        <w:ind w:left="0" w:firstLine="0"/>
        <w:jc w:val="both"/>
        <w:rPr>
          <w:rFonts w:ascii="Palatino Linotype" w:eastAsia="Palatino Linotype" w:hAnsi="Palatino Linotype" w:cs="Palatino Linotype"/>
          <w:color w:val="000000"/>
        </w:rPr>
      </w:pPr>
      <w:r w:rsidRPr="00360A9A">
        <w:rPr>
          <w:rFonts w:ascii="Palatino Linotype" w:eastAsia="Palatino Linotype" w:hAnsi="Palatino Linotype" w:cs="Palatino Linotype"/>
          <w:color w:val="000000"/>
        </w:rPr>
        <w:t xml:space="preserve">Asimismo, el artículo 33, del mismo ordenamiento legal, puntualmente señala el contenido que deberá tener la convocatoria para la celebración de las licitaciones públicas y por su parte, el consecutivo 34 señala que las bases de la licitación pública tendrán un costo de recuperación y contendrán los requisitos que se establezcan en el reglamento de dicha Ley. </w:t>
      </w:r>
    </w:p>
    <w:p w:rsidR="006219BF" w:rsidRPr="00360A9A" w:rsidRDefault="006219BF" w:rsidP="006219BF">
      <w:pPr>
        <w:pBdr>
          <w:top w:val="nil"/>
          <w:left w:val="nil"/>
          <w:bottom w:val="nil"/>
          <w:right w:val="nil"/>
          <w:between w:val="nil"/>
        </w:pBdr>
        <w:rPr>
          <w:rFonts w:ascii="Palatino Linotype" w:eastAsia="Palatino Linotype" w:hAnsi="Palatino Linotype" w:cs="Palatino Linotype"/>
          <w:color w:val="000000"/>
        </w:rPr>
      </w:pPr>
    </w:p>
    <w:p w:rsidR="006219BF" w:rsidRPr="00360A9A" w:rsidRDefault="006219BF" w:rsidP="006219BF">
      <w:pPr>
        <w:numPr>
          <w:ilvl w:val="0"/>
          <w:numId w:val="1"/>
        </w:numPr>
        <w:spacing w:line="360" w:lineRule="auto"/>
        <w:ind w:left="0" w:firstLine="0"/>
        <w:jc w:val="both"/>
        <w:rPr>
          <w:rFonts w:ascii="Palatino Linotype" w:eastAsia="Palatino Linotype" w:hAnsi="Palatino Linotype" w:cs="Palatino Linotype"/>
          <w:color w:val="000000"/>
        </w:rPr>
      </w:pPr>
      <w:r w:rsidRPr="00360A9A">
        <w:rPr>
          <w:rFonts w:ascii="Palatino Linotype" w:eastAsia="Palatino Linotype" w:hAnsi="Palatino Linotype" w:cs="Palatino Linotype"/>
          <w:color w:val="000000"/>
        </w:rPr>
        <w:t>Por lo que, en las licitaciones se debe seguir el procedimiento marcado en el artículo 35 del precitado ordenamiento, que literalmente establece:</w:t>
      </w:r>
    </w:p>
    <w:p w:rsidR="006219BF" w:rsidRPr="00360A9A" w:rsidRDefault="006219BF" w:rsidP="006219BF">
      <w:pPr>
        <w:jc w:val="both"/>
        <w:rPr>
          <w:rFonts w:ascii="Palatino Linotype" w:eastAsia="Palatino Linotype" w:hAnsi="Palatino Linotype" w:cs="Palatino Linotype"/>
        </w:rPr>
      </w:pPr>
    </w:p>
    <w:p w:rsidR="006219BF" w:rsidRPr="00360A9A" w:rsidRDefault="006219BF" w:rsidP="006219BF">
      <w:pPr>
        <w:spacing w:line="360" w:lineRule="auto"/>
        <w:ind w:left="567" w:right="567"/>
        <w:jc w:val="both"/>
        <w:rPr>
          <w:rFonts w:ascii="Palatino Linotype" w:eastAsia="Palatino Linotype" w:hAnsi="Palatino Linotype" w:cs="Palatino Linotype"/>
          <w:i/>
        </w:rPr>
      </w:pPr>
      <w:r w:rsidRPr="00360A9A">
        <w:rPr>
          <w:rFonts w:ascii="Palatino Linotype" w:eastAsia="Palatino Linotype" w:hAnsi="Palatino Linotype" w:cs="Palatino Linotype"/>
          <w:b/>
          <w:i/>
        </w:rPr>
        <w:t>“Artículo 35</w:t>
      </w:r>
      <w:r w:rsidRPr="00360A9A">
        <w:rPr>
          <w:rFonts w:ascii="Palatino Linotype" w:eastAsia="Palatino Linotype" w:hAnsi="Palatino Linotype" w:cs="Palatino Linotype"/>
          <w:i/>
        </w:rPr>
        <w:t>.- En los procedimientos de licitación pública se observará lo siguiente:</w:t>
      </w:r>
    </w:p>
    <w:p w:rsidR="006219BF" w:rsidRPr="00360A9A" w:rsidRDefault="006219BF" w:rsidP="006219BF">
      <w:pPr>
        <w:spacing w:line="360" w:lineRule="auto"/>
        <w:ind w:left="567" w:right="567"/>
        <w:jc w:val="both"/>
        <w:rPr>
          <w:rFonts w:ascii="Palatino Linotype" w:eastAsia="Palatino Linotype" w:hAnsi="Palatino Linotype" w:cs="Palatino Linotype"/>
          <w:i/>
        </w:rPr>
      </w:pPr>
      <w:r w:rsidRPr="00360A9A">
        <w:rPr>
          <w:rFonts w:ascii="Palatino Linotype" w:eastAsia="Palatino Linotype" w:hAnsi="Palatino Linotype" w:cs="Palatino Linotype"/>
          <w:i/>
        </w:rPr>
        <w:lastRenderedPageBreak/>
        <w:t>I. El acto de presentación y apertura de propuestas se llevará a cabo por el servidor público que designe la convocante, conforme al procedimiento que se establezca en el reglamento de esta Ley.</w:t>
      </w:r>
    </w:p>
    <w:p w:rsidR="006219BF" w:rsidRPr="00360A9A" w:rsidRDefault="006219BF" w:rsidP="006219BF">
      <w:pPr>
        <w:spacing w:line="360" w:lineRule="auto"/>
        <w:ind w:left="567" w:right="567"/>
        <w:jc w:val="both"/>
        <w:rPr>
          <w:rFonts w:ascii="Palatino Linotype" w:eastAsia="Palatino Linotype" w:hAnsi="Palatino Linotype" w:cs="Palatino Linotype"/>
          <w:i/>
        </w:rPr>
      </w:pPr>
      <w:r w:rsidRPr="00360A9A">
        <w:rPr>
          <w:rFonts w:ascii="Palatino Linotype" w:eastAsia="Palatino Linotype" w:hAnsi="Palatino Linotype" w:cs="Palatino Linotype"/>
          <w:i/>
        </w:rPr>
        <w:t>II. El comité de adquisiciones y servicios evaluará y analizará las propuestas técnicas y económicas presentadas por los licitantes en el ámbito de las respectivas competencias de sus integrantes, y emitirá el dictamen de adjudicación.</w:t>
      </w:r>
    </w:p>
    <w:p w:rsidR="006219BF" w:rsidRPr="00360A9A" w:rsidRDefault="006219BF" w:rsidP="006219BF">
      <w:pPr>
        <w:spacing w:line="360" w:lineRule="auto"/>
        <w:ind w:left="567" w:right="567"/>
        <w:jc w:val="both"/>
        <w:rPr>
          <w:rFonts w:ascii="Palatino Linotype" w:eastAsia="Palatino Linotype" w:hAnsi="Palatino Linotype" w:cs="Palatino Linotype"/>
          <w:i/>
          <w:u w:val="single"/>
        </w:rPr>
      </w:pPr>
      <w:r w:rsidRPr="00360A9A">
        <w:rPr>
          <w:rFonts w:ascii="Palatino Linotype" w:eastAsia="Palatino Linotype" w:hAnsi="Palatino Linotype" w:cs="Palatino Linotype"/>
          <w:i/>
          <w:u w:val="single"/>
        </w:rPr>
        <w:t xml:space="preserve">III. Las bases de licitación se pondrán a la venta a partir de la fecha de publicación de la convocatoria y hasta el día hábil anterior a la fecha de celebración </w:t>
      </w:r>
      <w:r w:rsidRPr="00360A9A">
        <w:rPr>
          <w:rFonts w:ascii="Palatino Linotype" w:eastAsia="Palatino Linotype" w:hAnsi="Palatino Linotype" w:cs="Palatino Linotype"/>
          <w:b/>
          <w:i/>
          <w:u w:val="single"/>
        </w:rPr>
        <w:t>de la junta de aclaraciones</w:t>
      </w:r>
      <w:r w:rsidRPr="00360A9A">
        <w:rPr>
          <w:rFonts w:ascii="Palatino Linotype" w:eastAsia="Palatino Linotype" w:hAnsi="Palatino Linotype" w:cs="Palatino Linotype"/>
          <w:i/>
          <w:u w:val="single"/>
        </w:rPr>
        <w:t xml:space="preserve"> o, en su defecto, del acto de presentación y apertura de propuestas.</w:t>
      </w:r>
    </w:p>
    <w:p w:rsidR="006219BF" w:rsidRPr="00360A9A" w:rsidRDefault="006219BF" w:rsidP="006219BF">
      <w:pPr>
        <w:spacing w:line="360" w:lineRule="auto"/>
        <w:ind w:left="567" w:right="567"/>
        <w:jc w:val="both"/>
        <w:rPr>
          <w:rFonts w:ascii="Palatino Linotype" w:eastAsia="Palatino Linotype" w:hAnsi="Palatino Linotype" w:cs="Palatino Linotype"/>
          <w:i/>
        </w:rPr>
      </w:pPr>
      <w:r w:rsidRPr="00360A9A">
        <w:rPr>
          <w:rFonts w:ascii="Palatino Linotype" w:eastAsia="Palatino Linotype" w:hAnsi="Palatino Linotype" w:cs="Palatino Linotype"/>
          <w:i/>
        </w:rPr>
        <w:t>IV. Las convocantes podrán modificar los plazos y términos establecidos en la convocatoria o en las bases de licitación, hasta cinco días hábiles anteriores a la fecha de la celebración del acto de presentación y apertura de propuestas.</w:t>
      </w:r>
    </w:p>
    <w:p w:rsidR="006219BF" w:rsidRPr="00360A9A" w:rsidRDefault="006219BF" w:rsidP="006219BF">
      <w:pPr>
        <w:spacing w:line="360" w:lineRule="auto"/>
        <w:ind w:left="567" w:right="567"/>
        <w:jc w:val="both"/>
        <w:rPr>
          <w:rFonts w:ascii="Palatino Linotype" w:eastAsia="Palatino Linotype" w:hAnsi="Palatino Linotype" w:cs="Palatino Linotype"/>
          <w:i/>
        </w:rPr>
      </w:pPr>
      <w:r w:rsidRPr="00360A9A">
        <w:rPr>
          <w:rFonts w:ascii="Palatino Linotype" w:eastAsia="Palatino Linotype" w:hAnsi="Palatino Linotype" w:cs="Palatino Linotype"/>
          <w:i/>
        </w:rPr>
        <w:t>V. Las modificaciones no podrán limitar el número de licitantes, sustituir o variar sustancialmente los bienes o servicios convocados originalmente, ni adicionar otros  distintos.</w:t>
      </w:r>
    </w:p>
    <w:p w:rsidR="006219BF" w:rsidRPr="00360A9A" w:rsidRDefault="006219BF" w:rsidP="006219BF">
      <w:pPr>
        <w:spacing w:line="360" w:lineRule="auto"/>
        <w:ind w:left="567" w:right="567"/>
        <w:jc w:val="both"/>
        <w:rPr>
          <w:rFonts w:ascii="Palatino Linotype" w:eastAsia="Palatino Linotype" w:hAnsi="Palatino Linotype" w:cs="Palatino Linotype"/>
          <w:i/>
        </w:rPr>
      </w:pPr>
      <w:r w:rsidRPr="00360A9A">
        <w:rPr>
          <w:rFonts w:ascii="Palatino Linotype" w:eastAsia="Palatino Linotype" w:hAnsi="Palatino Linotype" w:cs="Palatino Linotype"/>
          <w:i/>
        </w:rPr>
        <w:t>VI. Las modificaciones a la convocatoria o a las bases se harán del conocimiento de los interesados hasta tres días hábiles antes de la fecha señalada para el acto de presentación y apertura de propuestas.</w:t>
      </w:r>
    </w:p>
    <w:p w:rsidR="006219BF" w:rsidRPr="00360A9A" w:rsidRDefault="006219BF" w:rsidP="006219BF">
      <w:pPr>
        <w:spacing w:line="360" w:lineRule="auto"/>
        <w:ind w:left="567" w:right="567"/>
        <w:jc w:val="both"/>
        <w:rPr>
          <w:rFonts w:ascii="Palatino Linotype" w:eastAsia="Palatino Linotype" w:hAnsi="Palatino Linotype" w:cs="Palatino Linotype"/>
          <w:i/>
        </w:rPr>
      </w:pPr>
      <w:r w:rsidRPr="00360A9A">
        <w:rPr>
          <w:rFonts w:ascii="Palatino Linotype" w:eastAsia="Palatino Linotype" w:hAnsi="Palatino Linotype" w:cs="Palatino Linotype"/>
          <w:i/>
        </w:rPr>
        <w:t>VII. Se emitirá el fallo dentro de los 15 días hábiles siguientes a la publicación de la convocatoria.</w:t>
      </w:r>
    </w:p>
    <w:p w:rsidR="006219BF" w:rsidRPr="00360A9A" w:rsidRDefault="006219BF" w:rsidP="006219BF">
      <w:pPr>
        <w:spacing w:line="360" w:lineRule="auto"/>
        <w:ind w:left="567" w:right="567"/>
        <w:jc w:val="both"/>
        <w:rPr>
          <w:rFonts w:ascii="Palatino Linotype" w:eastAsia="Palatino Linotype" w:hAnsi="Palatino Linotype" w:cs="Palatino Linotype"/>
          <w:i/>
        </w:rPr>
      </w:pPr>
      <w:r w:rsidRPr="00360A9A">
        <w:rPr>
          <w:rFonts w:ascii="Palatino Linotype" w:eastAsia="Palatino Linotype" w:hAnsi="Palatino Linotype" w:cs="Palatino Linotype"/>
          <w:i/>
        </w:rPr>
        <w:lastRenderedPageBreak/>
        <w:t>VIII. Los licitantes se podrán registrar hasta el día y la hora fijados para el acto de presentación y apertura de propuestas.</w:t>
      </w:r>
      <w:r w:rsidRPr="00360A9A">
        <w:rPr>
          <w:rFonts w:ascii="Palatino Linotype" w:eastAsia="Palatino Linotype" w:hAnsi="Palatino Linotype" w:cs="Palatino Linotype"/>
          <w:b/>
          <w:i/>
        </w:rPr>
        <w:t>”</w:t>
      </w:r>
    </w:p>
    <w:p w:rsidR="006219BF" w:rsidRPr="00360A9A" w:rsidRDefault="006219BF" w:rsidP="00420815">
      <w:pPr>
        <w:spacing w:line="360" w:lineRule="auto"/>
        <w:ind w:left="567" w:right="567"/>
        <w:rPr>
          <w:rFonts w:ascii="Palatino Linotype" w:eastAsia="Palatino Linotype" w:hAnsi="Palatino Linotype" w:cs="Palatino Linotype"/>
        </w:rPr>
      </w:pPr>
      <w:r w:rsidRPr="00360A9A">
        <w:rPr>
          <w:rFonts w:ascii="Palatino Linotype" w:eastAsia="Palatino Linotype" w:hAnsi="Palatino Linotype" w:cs="Palatino Linotype"/>
        </w:rPr>
        <w:t>(Énfasis añadido)</w:t>
      </w:r>
    </w:p>
    <w:p w:rsidR="00420815" w:rsidRPr="00360A9A" w:rsidRDefault="00420815" w:rsidP="00420815">
      <w:pPr>
        <w:spacing w:line="360" w:lineRule="auto"/>
        <w:ind w:left="567" w:right="567"/>
        <w:rPr>
          <w:rFonts w:ascii="Palatino Linotype" w:eastAsia="Palatino Linotype" w:hAnsi="Palatino Linotype" w:cs="Palatino Linotype"/>
        </w:rPr>
      </w:pPr>
    </w:p>
    <w:p w:rsidR="006219BF" w:rsidRPr="00360A9A" w:rsidRDefault="006219BF" w:rsidP="006219BF">
      <w:pPr>
        <w:numPr>
          <w:ilvl w:val="0"/>
          <w:numId w:val="1"/>
        </w:numPr>
        <w:spacing w:line="360" w:lineRule="auto"/>
        <w:ind w:left="0" w:firstLine="0"/>
        <w:jc w:val="both"/>
        <w:rPr>
          <w:rFonts w:ascii="Palatino Linotype" w:eastAsia="Palatino Linotype" w:hAnsi="Palatino Linotype" w:cs="Palatino Linotype"/>
          <w:color w:val="000000"/>
        </w:rPr>
      </w:pPr>
      <w:r w:rsidRPr="00360A9A">
        <w:rPr>
          <w:rFonts w:ascii="Palatino Linotype" w:eastAsia="Palatino Linotype" w:hAnsi="Palatino Linotype" w:cs="Palatino Linotype"/>
          <w:color w:val="000000"/>
        </w:rPr>
        <w:t>Del precepto legal, se desprende que al Comité de Adquisiciones y Servicios, le corresponde evaluar y analizar las propuestas técnicas y económicas presentadas por los licitantes en el ámbito de las respectivas competencias de sus integrantes, debiendo emitir para ello un dictamen de adjudicación y conforme a dicho dictamen se deberá emitir el fallo dentro de los quince días hábiles siguientes a la publicación de la convocatoria.</w:t>
      </w:r>
    </w:p>
    <w:p w:rsidR="006219BF" w:rsidRPr="00360A9A" w:rsidRDefault="006219BF" w:rsidP="006219BF">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6219BF" w:rsidRPr="00360A9A" w:rsidRDefault="006219BF" w:rsidP="006219BF">
      <w:pPr>
        <w:numPr>
          <w:ilvl w:val="0"/>
          <w:numId w:val="1"/>
        </w:numPr>
        <w:spacing w:line="360" w:lineRule="auto"/>
        <w:ind w:left="0" w:firstLine="0"/>
        <w:jc w:val="both"/>
        <w:rPr>
          <w:rFonts w:ascii="Palatino Linotype" w:eastAsia="Palatino Linotype" w:hAnsi="Palatino Linotype" w:cs="Palatino Linotype"/>
          <w:color w:val="000000"/>
        </w:rPr>
      </w:pPr>
      <w:r w:rsidRPr="00360A9A">
        <w:rPr>
          <w:rFonts w:ascii="Palatino Linotype" w:eastAsia="Palatino Linotype" w:hAnsi="Palatino Linotype" w:cs="Palatino Linotype"/>
          <w:color w:val="000000"/>
        </w:rPr>
        <w:t>Además, respecto al dictamen y el fallo de la adjudicación, es de señalar que la Ley en mención indica lo siguiente:</w:t>
      </w:r>
    </w:p>
    <w:p w:rsidR="006219BF" w:rsidRPr="00360A9A" w:rsidRDefault="006219BF" w:rsidP="006219BF">
      <w:pPr>
        <w:spacing w:line="360" w:lineRule="auto"/>
        <w:ind w:left="567" w:right="567"/>
        <w:jc w:val="both"/>
        <w:rPr>
          <w:rFonts w:ascii="Palatino Linotype" w:eastAsia="Palatino Linotype" w:hAnsi="Palatino Linotype" w:cs="Palatino Linotype"/>
          <w:i/>
        </w:rPr>
      </w:pPr>
      <w:r w:rsidRPr="00360A9A">
        <w:rPr>
          <w:rFonts w:ascii="Palatino Linotype" w:eastAsia="Palatino Linotype" w:hAnsi="Palatino Linotype" w:cs="Palatino Linotype"/>
          <w:b/>
          <w:i/>
        </w:rPr>
        <w:t>“Artículo 37.-</w:t>
      </w:r>
      <w:r w:rsidRPr="00360A9A">
        <w:rPr>
          <w:rFonts w:ascii="Palatino Linotype" w:eastAsia="Palatino Linotype" w:hAnsi="Palatino Linotype" w:cs="Palatino Linotype"/>
          <w:i/>
        </w:rPr>
        <w:t xml:space="preserve"> El comité de adquisiciones y servicios realizará el análisis y evaluación de las propuestas, mediante la verificación del cumplimiento de la información y de la documentación solicitada en las bases de la licitación y conforme al criterio establecidas en las mismas. Una vez efectuado el análisis cualitativo de las propuestas presentadas, emitirá el dictamen de adjudicación a favor del oferente u oferentes que reúnan los requisitos administrativos, financieros, legales y técnicos requeridos por la convocante; garantizando en todo </w:t>
      </w:r>
      <w:r w:rsidRPr="00360A9A">
        <w:rPr>
          <w:rFonts w:ascii="Palatino Linotype" w:eastAsia="Palatino Linotype" w:hAnsi="Palatino Linotype" w:cs="Palatino Linotype"/>
          <w:i/>
        </w:rPr>
        <w:lastRenderedPageBreak/>
        <w:t>momento la obtención de las mejores condiciones en cuanto a precio, calidad, financiamiento, oportunidad y demás circunstancias pertinentes.</w:t>
      </w:r>
    </w:p>
    <w:p w:rsidR="006219BF" w:rsidRPr="00360A9A" w:rsidRDefault="006219BF" w:rsidP="006219BF">
      <w:pPr>
        <w:spacing w:line="360" w:lineRule="auto"/>
        <w:ind w:left="567" w:right="567"/>
        <w:jc w:val="both"/>
        <w:rPr>
          <w:rFonts w:ascii="Palatino Linotype" w:eastAsia="Palatino Linotype" w:hAnsi="Palatino Linotype" w:cs="Palatino Linotype"/>
          <w:i/>
        </w:rPr>
      </w:pPr>
      <w:r w:rsidRPr="00360A9A">
        <w:rPr>
          <w:rFonts w:ascii="Palatino Linotype" w:eastAsia="Palatino Linotype" w:hAnsi="Palatino Linotype" w:cs="Palatino Linotype"/>
          <w:b/>
          <w:i/>
        </w:rPr>
        <w:t>Artículo 38.-</w:t>
      </w:r>
      <w:r w:rsidRPr="00360A9A">
        <w:rPr>
          <w:rFonts w:ascii="Palatino Linotype" w:eastAsia="Palatino Linotype" w:hAnsi="Palatino Linotype" w:cs="Palatino Linotype"/>
          <w:i/>
        </w:rPr>
        <w:t xml:space="preserve"> La convocante emitirá el fallo con base en el dictamen de adjudicación emitido por el comité de adquisiciones y servicios, y lo dará a conocer a los licitantes en junta pública, cuya fecha se informará en el acto de presentación y apertura de proposiciones, pudiéndose diferir por una sola ocasión.</w:t>
      </w:r>
    </w:p>
    <w:p w:rsidR="006219BF" w:rsidRPr="00360A9A" w:rsidRDefault="006219BF" w:rsidP="006219BF">
      <w:pPr>
        <w:spacing w:line="360" w:lineRule="auto"/>
        <w:ind w:left="567" w:right="567"/>
        <w:jc w:val="both"/>
        <w:rPr>
          <w:rFonts w:ascii="Palatino Linotype" w:eastAsia="Palatino Linotype" w:hAnsi="Palatino Linotype" w:cs="Palatino Linotype"/>
          <w:i/>
        </w:rPr>
      </w:pPr>
      <w:r w:rsidRPr="00360A9A">
        <w:rPr>
          <w:rFonts w:ascii="Palatino Linotype" w:eastAsia="Palatino Linotype" w:hAnsi="Palatino Linotype" w:cs="Palatino Linotype"/>
          <w:i/>
        </w:rPr>
        <w:t>El fallo de adjudicación surtirá efectos desde la emisión, siendo responsabilidad de los licitantes enterarse de su contenido, por lo que a partir de ese momento, las obligaciones derivadas de éste serán exigibles sin perjuicio de la formalización del contrato respectivo, en los términos señalados en el fallo.</w:t>
      </w:r>
      <w:r w:rsidRPr="00360A9A">
        <w:rPr>
          <w:rFonts w:ascii="Palatino Linotype" w:eastAsia="Palatino Linotype" w:hAnsi="Palatino Linotype" w:cs="Palatino Linotype"/>
          <w:b/>
          <w:i/>
        </w:rPr>
        <w:t>”</w:t>
      </w:r>
      <w:r w:rsidRPr="00360A9A">
        <w:rPr>
          <w:rFonts w:ascii="Palatino Linotype" w:eastAsia="Palatino Linotype" w:hAnsi="Palatino Linotype" w:cs="Palatino Linotype"/>
          <w:i/>
        </w:rPr>
        <w:t xml:space="preserve"> </w:t>
      </w:r>
    </w:p>
    <w:p w:rsidR="006219BF" w:rsidRPr="00360A9A" w:rsidRDefault="006219BF" w:rsidP="006219BF">
      <w:pPr>
        <w:spacing w:line="360" w:lineRule="auto"/>
        <w:ind w:left="567" w:right="567"/>
        <w:jc w:val="both"/>
        <w:rPr>
          <w:rFonts w:ascii="Palatino Linotype" w:eastAsia="Palatino Linotype" w:hAnsi="Palatino Linotype" w:cs="Palatino Linotype"/>
          <w:i/>
        </w:rPr>
      </w:pPr>
    </w:p>
    <w:p w:rsidR="006219BF" w:rsidRPr="00360A9A" w:rsidRDefault="006219BF" w:rsidP="006219BF">
      <w:pPr>
        <w:numPr>
          <w:ilvl w:val="0"/>
          <w:numId w:val="1"/>
        </w:numPr>
        <w:spacing w:line="360" w:lineRule="auto"/>
        <w:ind w:left="0" w:firstLine="0"/>
        <w:jc w:val="both"/>
        <w:rPr>
          <w:rFonts w:ascii="Palatino Linotype" w:eastAsia="Palatino Linotype" w:hAnsi="Palatino Linotype" w:cs="Palatino Linotype"/>
          <w:color w:val="000000"/>
        </w:rPr>
      </w:pPr>
      <w:r w:rsidRPr="00360A9A">
        <w:rPr>
          <w:rFonts w:ascii="Palatino Linotype" w:eastAsia="Palatino Linotype" w:hAnsi="Palatino Linotype" w:cs="Palatino Linotype"/>
          <w:color w:val="000000"/>
        </w:rPr>
        <w:t>Además, es oportuno señalar que, las disposiciones respecto a las bases, dictámenes, fallos y fianzas, se realizan con similitud al procedimiento de licitación pública, tal como lo señalan los artículos 46 y 90 de la misma Ley, que literalmente establecen:</w:t>
      </w:r>
    </w:p>
    <w:p w:rsidR="006219BF" w:rsidRPr="00360A9A" w:rsidRDefault="006219BF" w:rsidP="006219BF">
      <w:pPr>
        <w:spacing w:line="360" w:lineRule="auto"/>
        <w:ind w:left="851" w:right="822"/>
        <w:jc w:val="both"/>
        <w:rPr>
          <w:rFonts w:ascii="Palatino Linotype" w:eastAsia="Palatino Linotype" w:hAnsi="Palatino Linotype" w:cs="Palatino Linotype"/>
          <w:i/>
        </w:rPr>
      </w:pPr>
      <w:r w:rsidRPr="00360A9A">
        <w:rPr>
          <w:rFonts w:ascii="Palatino Linotype" w:eastAsia="Palatino Linotype" w:hAnsi="Palatino Linotype" w:cs="Palatino Linotype"/>
          <w:b/>
          <w:i/>
        </w:rPr>
        <w:t>“Artículo 46.-</w:t>
      </w:r>
      <w:r w:rsidRPr="00360A9A">
        <w:rPr>
          <w:rFonts w:ascii="Palatino Linotype" w:eastAsia="Palatino Linotype" w:hAnsi="Palatino Linotype" w:cs="Palatino Linotype"/>
          <w:i/>
        </w:rPr>
        <w:t xml:space="preserve"> El procedimiento de invitación restringida se desarrollará en los términos de la licitación pública, a excepción de la publicación de la convocatoria.” (Sic)</w:t>
      </w:r>
    </w:p>
    <w:p w:rsidR="006219BF" w:rsidRPr="00360A9A" w:rsidRDefault="006219BF" w:rsidP="006219BF">
      <w:pPr>
        <w:spacing w:line="360" w:lineRule="auto"/>
        <w:ind w:left="851" w:right="822"/>
        <w:jc w:val="both"/>
        <w:rPr>
          <w:rFonts w:ascii="Palatino Linotype" w:eastAsia="Palatino Linotype" w:hAnsi="Palatino Linotype" w:cs="Palatino Linotype"/>
          <w:i/>
        </w:rPr>
      </w:pPr>
      <w:r w:rsidRPr="00360A9A">
        <w:rPr>
          <w:rFonts w:ascii="Palatino Linotype" w:eastAsia="Palatino Linotype" w:hAnsi="Palatino Linotype" w:cs="Palatino Linotype"/>
          <w:i/>
        </w:rPr>
        <w:t>Por ello, el Reglamento de la Ley en comento, en su artículo 90, indica cuales lo son los supuestos que deberán observarse para llevar a cabo dicho procedimiento:</w:t>
      </w:r>
    </w:p>
    <w:p w:rsidR="006219BF" w:rsidRPr="00360A9A" w:rsidRDefault="006219BF" w:rsidP="006219BF">
      <w:pPr>
        <w:spacing w:line="360" w:lineRule="auto"/>
        <w:ind w:left="851" w:right="822"/>
        <w:jc w:val="both"/>
        <w:rPr>
          <w:rFonts w:ascii="Palatino Linotype" w:eastAsia="Palatino Linotype" w:hAnsi="Palatino Linotype" w:cs="Palatino Linotype"/>
          <w:i/>
        </w:rPr>
      </w:pPr>
      <w:r w:rsidRPr="00360A9A">
        <w:rPr>
          <w:rFonts w:ascii="Palatino Linotype" w:eastAsia="Palatino Linotype" w:hAnsi="Palatino Linotype" w:cs="Palatino Linotype"/>
          <w:b/>
          <w:i/>
        </w:rPr>
        <w:lastRenderedPageBreak/>
        <w:t>Artículo 90.-</w:t>
      </w:r>
      <w:r w:rsidRPr="00360A9A">
        <w:rPr>
          <w:rFonts w:ascii="Palatino Linotype" w:eastAsia="Palatino Linotype" w:hAnsi="Palatino Linotype" w:cs="Palatino Linotype"/>
          <w:i/>
        </w:rPr>
        <w:t xml:space="preserve"> En el procedimiento de invitación restringida se deberá observar lo siguiente:</w:t>
      </w:r>
    </w:p>
    <w:p w:rsidR="006219BF" w:rsidRPr="00360A9A" w:rsidRDefault="006219BF" w:rsidP="006219BF">
      <w:pPr>
        <w:spacing w:line="360" w:lineRule="auto"/>
        <w:ind w:left="851" w:right="822"/>
        <w:jc w:val="both"/>
        <w:rPr>
          <w:rFonts w:ascii="Palatino Linotype" w:eastAsia="Palatino Linotype" w:hAnsi="Palatino Linotype" w:cs="Palatino Linotype"/>
          <w:i/>
        </w:rPr>
      </w:pPr>
    </w:p>
    <w:p w:rsidR="006219BF" w:rsidRPr="00360A9A" w:rsidRDefault="006219BF" w:rsidP="006219BF">
      <w:pPr>
        <w:spacing w:line="360" w:lineRule="auto"/>
        <w:ind w:left="851" w:right="822"/>
        <w:jc w:val="both"/>
        <w:rPr>
          <w:rFonts w:ascii="Palatino Linotype" w:eastAsia="Palatino Linotype" w:hAnsi="Palatino Linotype" w:cs="Palatino Linotype"/>
          <w:i/>
        </w:rPr>
      </w:pPr>
      <w:r w:rsidRPr="00360A9A">
        <w:rPr>
          <w:rFonts w:ascii="Palatino Linotype" w:eastAsia="Palatino Linotype" w:hAnsi="Palatino Linotype" w:cs="Palatino Linotype"/>
          <w:i/>
        </w:rPr>
        <w:t>I. Se invitará a un mínimo de tres personas seleccionadas de entre las que se encuentren inscritas en el catálogo de proveedores y de prestadores de servicios.</w:t>
      </w:r>
    </w:p>
    <w:p w:rsidR="006219BF" w:rsidRPr="00360A9A" w:rsidRDefault="006219BF" w:rsidP="006219BF">
      <w:pPr>
        <w:spacing w:line="360" w:lineRule="auto"/>
        <w:ind w:left="851" w:right="822"/>
        <w:jc w:val="both"/>
        <w:rPr>
          <w:rFonts w:ascii="Palatino Linotype" w:eastAsia="Palatino Linotype" w:hAnsi="Palatino Linotype" w:cs="Palatino Linotype"/>
          <w:i/>
        </w:rPr>
      </w:pPr>
      <w:r w:rsidRPr="00360A9A">
        <w:rPr>
          <w:rFonts w:ascii="Palatino Linotype" w:eastAsia="Palatino Linotype" w:hAnsi="Palatino Linotype" w:cs="Palatino Linotype"/>
          <w:i/>
        </w:rPr>
        <w:t>Se podrá invitar a personas que no se encuentren inscritas, cuando en el giro correspondiente del catálogo de proveedores y prestadores de servicios no exista el registro mínimo de personas requeridas para tal modalidad;</w:t>
      </w:r>
    </w:p>
    <w:p w:rsidR="006219BF" w:rsidRPr="00360A9A" w:rsidRDefault="006219BF" w:rsidP="006219BF">
      <w:pPr>
        <w:spacing w:line="360" w:lineRule="auto"/>
        <w:ind w:left="851" w:right="822"/>
        <w:jc w:val="both"/>
        <w:rPr>
          <w:rFonts w:ascii="Palatino Linotype" w:eastAsia="Palatino Linotype" w:hAnsi="Palatino Linotype" w:cs="Palatino Linotype"/>
          <w:i/>
        </w:rPr>
      </w:pPr>
      <w:r w:rsidRPr="00360A9A">
        <w:rPr>
          <w:rFonts w:ascii="Palatino Linotype" w:eastAsia="Palatino Linotype" w:hAnsi="Palatino Linotype" w:cs="Palatino Linotype"/>
          <w:i/>
        </w:rPr>
        <w:t>II. Las bases de la invitación restringida indicarán los aspectos de la adquisición o contratación; y</w:t>
      </w:r>
    </w:p>
    <w:p w:rsidR="006219BF" w:rsidRPr="00360A9A" w:rsidRDefault="006219BF" w:rsidP="006219BF">
      <w:pPr>
        <w:spacing w:line="360" w:lineRule="auto"/>
        <w:ind w:left="851" w:right="822"/>
        <w:jc w:val="both"/>
        <w:rPr>
          <w:rFonts w:ascii="Palatino Linotype" w:eastAsia="Palatino Linotype" w:hAnsi="Palatino Linotype" w:cs="Palatino Linotype"/>
          <w:b/>
          <w:i/>
        </w:rPr>
      </w:pPr>
      <w:r w:rsidRPr="00360A9A">
        <w:rPr>
          <w:rFonts w:ascii="Palatino Linotype" w:eastAsia="Palatino Linotype" w:hAnsi="Palatino Linotype" w:cs="Palatino Linotype"/>
          <w:i/>
        </w:rPr>
        <w:t>III. Serán aplicables, en lo conducente, las disposiciones de la licitación pública.</w:t>
      </w:r>
      <w:r w:rsidRPr="00360A9A">
        <w:rPr>
          <w:rFonts w:ascii="Palatino Linotype" w:eastAsia="Palatino Linotype" w:hAnsi="Palatino Linotype" w:cs="Palatino Linotype"/>
          <w:b/>
          <w:i/>
        </w:rPr>
        <w:t>”</w:t>
      </w:r>
    </w:p>
    <w:p w:rsidR="00BB5E22" w:rsidRPr="00360A9A" w:rsidRDefault="00BB5E22" w:rsidP="00BB5E22">
      <w:pPr>
        <w:spacing w:line="360" w:lineRule="auto"/>
        <w:jc w:val="both"/>
        <w:rPr>
          <w:rFonts w:ascii="Palatino Linotype" w:eastAsiaTheme="minorHAnsi" w:hAnsi="Palatino Linotype" w:cs="Arial"/>
          <w:lang w:val="es-MX" w:eastAsia="en-US"/>
        </w:rPr>
      </w:pPr>
    </w:p>
    <w:p w:rsidR="00BB5E22" w:rsidRPr="00360A9A" w:rsidRDefault="00C6056D" w:rsidP="00C6056D">
      <w:pPr>
        <w:numPr>
          <w:ilvl w:val="0"/>
          <w:numId w:val="1"/>
        </w:numPr>
        <w:spacing w:line="360" w:lineRule="auto"/>
        <w:ind w:left="0" w:firstLine="0"/>
        <w:jc w:val="both"/>
        <w:rPr>
          <w:rFonts w:ascii="Palatino Linotype" w:eastAsiaTheme="minorHAnsi" w:hAnsi="Palatino Linotype" w:cs="Arial"/>
          <w:lang w:val="es-MX" w:eastAsia="en-US"/>
        </w:rPr>
      </w:pPr>
      <w:r w:rsidRPr="00360A9A">
        <w:rPr>
          <w:rFonts w:ascii="Palatino Linotype" w:eastAsiaTheme="minorHAnsi" w:hAnsi="Palatino Linotype" w:cs="Arial"/>
          <w:lang w:val="es-MX" w:eastAsia="en-US"/>
        </w:rPr>
        <w:t>Así</w:t>
      </w:r>
      <w:r w:rsidR="006219BF" w:rsidRPr="00360A9A">
        <w:rPr>
          <w:rFonts w:ascii="Palatino Linotype" w:eastAsiaTheme="minorHAnsi" w:hAnsi="Palatino Linotype" w:cs="Arial"/>
          <w:lang w:val="es-MX" w:eastAsia="en-US"/>
        </w:rPr>
        <w:t xml:space="preserve"> las cosas, </w:t>
      </w:r>
      <w:r w:rsidR="006219BF" w:rsidRPr="00360A9A">
        <w:rPr>
          <w:rFonts w:ascii="Palatino Linotype" w:eastAsiaTheme="minorHAnsi" w:hAnsi="Palatino Linotype" w:cstheme="minorBidi"/>
          <w:lang w:val="es-MX" w:eastAsia="en-US"/>
        </w:rPr>
        <w:t>se</w:t>
      </w:r>
      <w:r w:rsidR="006219BF" w:rsidRPr="00360A9A">
        <w:rPr>
          <w:rFonts w:ascii="Palatino Linotype" w:eastAsiaTheme="minorHAnsi" w:hAnsi="Palatino Linotype" w:cs="Arial"/>
          <w:lang w:val="es-MX" w:eastAsia="en-US"/>
        </w:rPr>
        <w:t xml:space="preserve"> tiene que la licitación pública nacional </w:t>
      </w:r>
      <w:r w:rsidR="006219BF" w:rsidRPr="00360A9A">
        <w:rPr>
          <w:rFonts w:ascii="Palatino Linotype" w:eastAsiaTheme="minorHAnsi" w:hAnsi="Palatino Linotype" w:cstheme="minorBidi"/>
          <w:lang w:val="es-MX" w:eastAsia="en-US"/>
        </w:rPr>
        <w:t>OPERAGUA</w:t>
      </w:r>
      <w:r w:rsidR="006219BF" w:rsidRPr="00360A9A">
        <w:rPr>
          <w:rFonts w:ascii="Palatino Linotype" w:eastAsiaTheme="minorHAnsi" w:hAnsi="Palatino Linotype" w:cs="Arial"/>
          <w:lang w:val="es-MX" w:eastAsia="en-US"/>
        </w:rPr>
        <w:t xml:space="preserve">/DAYF/LPN/003/2024 fue un proceso de contratación pública </w:t>
      </w:r>
      <w:r w:rsidRPr="00360A9A">
        <w:rPr>
          <w:rFonts w:ascii="Palatino Linotype" w:eastAsiaTheme="minorHAnsi" w:hAnsi="Palatino Linotype" w:cs="Arial"/>
          <w:lang w:val="es-MX" w:eastAsia="en-US"/>
        </w:rPr>
        <w:t xml:space="preserve">ejecutado por el </w:t>
      </w:r>
      <w:r w:rsidRPr="00360A9A">
        <w:rPr>
          <w:rFonts w:ascii="Palatino Linotype" w:eastAsiaTheme="minorHAnsi" w:hAnsi="Palatino Linotype" w:cs="Arial"/>
          <w:b/>
          <w:lang w:val="es-MX" w:eastAsia="en-US"/>
        </w:rPr>
        <w:t>SUJETO OBLIGADO</w:t>
      </w:r>
      <w:r w:rsidR="006219BF" w:rsidRPr="00360A9A">
        <w:rPr>
          <w:rFonts w:ascii="Palatino Linotype" w:eastAsiaTheme="minorHAnsi" w:hAnsi="Palatino Linotype" w:cs="Arial"/>
          <w:lang w:val="es-MX" w:eastAsia="en-US"/>
        </w:rPr>
        <w:t xml:space="preserve"> destinad</w:t>
      </w:r>
      <w:r w:rsidRPr="00360A9A">
        <w:rPr>
          <w:rFonts w:ascii="Palatino Linotype" w:eastAsiaTheme="minorHAnsi" w:hAnsi="Palatino Linotype" w:cs="Arial"/>
          <w:lang w:val="es-MX" w:eastAsia="en-US"/>
        </w:rPr>
        <w:t>a</w:t>
      </w:r>
      <w:r w:rsidR="006219BF" w:rsidRPr="00360A9A">
        <w:rPr>
          <w:rFonts w:ascii="Palatino Linotype" w:eastAsiaTheme="minorHAnsi" w:hAnsi="Palatino Linotype" w:cs="Arial"/>
          <w:lang w:val="es-MX" w:eastAsia="en-US"/>
        </w:rPr>
        <w:t xml:space="preserve"> a la adquisición de servicios </w:t>
      </w:r>
      <w:r w:rsidRPr="00360A9A">
        <w:rPr>
          <w:rFonts w:ascii="Palatino Linotype" w:eastAsiaTheme="minorHAnsi" w:hAnsi="Palatino Linotype" w:cs="Arial"/>
          <w:lang w:val="es-MX" w:eastAsia="en-US"/>
        </w:rPr>
        <w:t>relacionadas</w:t>
      </w:r>
      <w:r w:rsidR="006219BF" w:rsidRPr="00360A9A">
        <w:rPr>
          <w:rFonts w:ascii="Palatino Linotype" w:eastAsiaTheme="minorHAnsi" w:hAnsi="Palatino Linotype" w:cs="Arial"/>
          <w:lang w:val="es-MX" w:eastAsia="en-US"/>
        </w:rPr>
        <w:t xml:space="preserve"> con la </w:t>
      </w:r>
      <w:r w:rsidRPr="00360A9A">
        <w:rPr>
          <w:rFonts w:ascii="Palatino Linotype" w:eastAsiaTheme="minorHAnsi" w:hAnsi="Palatino Linotype" w:cs="Arial"/>
          <w:lang w:val="es-MX" w:eastAsia="en-US"/>
        </w:rPr>
        <w:t xml:space="preserve">regularización y seguimiento a la recaudación de pagos en cartera vencida por concepto de "derechos de agua", como se desprende de los hechos notorios </w:t>
      </w:r>
      <w:r w:rsidR="00126C59" w:rsidRPr="00360A9A">
        <w:rPr>
          <w:rFonts w:ascii="Palatino Linotype" w:eastAsiaTheme="minorHAnsi" w:hAnsi="Palatino Linotype" w:cs="Arial"/>
          <w:lang w:val="es-MX" w:eastAsia="en-US"/>
        </w:rPr>
        <w:t>antes plasmados, siendo dable ordenar la información faltante a la que ya se ha hecho referencia de ser el caso en versión pública.</w:t>
      </w:r>
    </w:p>
    <w:p w:rsidR="00F7050B" w:rsidRPr="00360A9A" w:rsidRDefault="00F7050B" w:rsidP="00B810E8">
      <w:pPr>
        <w:numPr>
          <w:ilvl w:val="0"/>
          <w:numId w:val="1"/>
        </w:numPr>
        <w:spacing w:line="360" w:lineRule="auto"/>
        <w:ind w:left="0" w:firstLine="0"/>
        <w:jc w:val="both"/>
        <w:rPr>
          <w:rFonts w:ascii="Palatino Linotype" w:eastAsia="Palatino Linotype" w:hAnsi="Palatino Linotype" w:cs="Palatino Linotype"/>
          <w:color w:val="000000"/>
        </w:rPr>
      </w:pPr>
      <w:r w:rsidRPr="00360A9A">
        <w:rPr>
          <w:rFonts w:ascii="Palatino Linotype" w:eastAsia="Palatino Linotype" w:hAnsi="Palatino Linotype" w:cs="Palatino Linotype"/>
          <w:color w:val="000000"/>
        </w:rPr>
        <w:lastRenderedPageBreak/>
        <w:t>Dicho lo anterior, mención especial merece el contrato, ya que si bien se hizo mención que si obra en el contrato en el enlace entregado, este consta de manera parcial, ya que consta de una sola foja de la que se advierte inconcluso, como se observa:</w:t>
      </w:r>
    </w:p>
    <w:p w:rsidR="00F7050B" w:rsidRPr="00360A9A" w:rsidRDefault="00F7050B" w:rsidP="00F7050B">
      <w:pPr>
        <w:spacing w:line="360" w:lineRule="auto"/>
        <w:jc w:val="center"/>
        <w:rPr>
          <w:rFonts w:ascii="Palatino Linotype" w:eastAsia="Palatino Linotype" w:hAnsi="Palatino Linotype" w:cs="Palatino Linotype"/>
          <w:color w:val="000000"/>
        </w:rPr>
      </w:pPr>
      <w:r w:rsidRPr="00360A9A">
        <w:rPr>
          <w:rFonts w:ascii="Palatino Linotype" w:eastAsia="Palatino Linotype" w:hAnsi="Palatino Linotype" w:cs="Palatino Linotype"/>
          <w:noProof/>
          <w:color w:val="000000"/>
          <w:lang w:val="es-MX" w:eastAsia="es-MX"/>
        </w:rPr>
        <w:drawing>
          <wp:inline distT="0" distB="0" distL="0" distR="0" wp14:anchorId="0831339B" wp14:editId="0FBC2985">
            <wp:extent cx="2348995" cy="357023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51682" cy="3574323"/>
                    </a:xfrm>
                    <a:prstGeom prst="rect">
                      <a:avLst/>
                    </a:prstGeom>
                  </pic:spPr>
                </pic:pic>
              </a:graphicData>
            </a:graphic>
          </wp:inline>
        </w:drawing>
      </w:r>
    </w:p>
    <w:p w:rsidR="00F7050B" w:rsidRPr="00360A9A" w:rsidRDefault="00F7050B" w:rsidP="00F7050B">
      <w:pPr>
        <w:spacing w:line="360" w:lineRule="auto"/>
        <w:jc w:val="both"/>
        <w:rPr>
          <w:rFonts w:ascii="Palatino Linotype" w:eastAsia="Palatino Linotype" w:hAnsi="Palatino Linotype" w:cs="Palatino Linotype"/>
          <w:color w:val="000000"/>
        </w:rPr>
      </w:pPr>
    </w:p>
    <w:p w:rsidR="00F7050B" w:rsidRPr="00360A9A" w:rsidRDefault="00F7050B" w:rsidP="00F7050B">
      <w:pPr>
        <w:numPr>
          <w:ilvl w:val="0"/>
          <w:numId w:val="1"/>
        </w:numPr>
        <w:spacing w:line="360" w:lineRule="auto"/>
        <w:ind w:left="0" w:firstLine="0"/>
        <w:jc w:val="both"/>
        <w:rPr>
          <w:rFonts w:ascii="Palatino Linotype" w:eastAsia="Palatino Linotype" w:hAnsi="Palatino Linotype" w:cs="Palatino Linotype"/>
          <w:color w:val="000000"/>
        </w:rPr>
      </w:pPr>
      <w:r w:rsidRPr="00360A9A">
        <w:rPr>
          <w:rFonts w:ascii="Palatino Linotype" w:eastAsia="Palatino Linotype" w:hAnsi="Palatino Linotype" w:cs="Palatino Linotype"/>
          <w:color w:val="000000"/>
        </w:rPr>
        <w:t>Entregar documentos completos es fundamental para colmar el derecho de acceso a la información pública es imperante, para satisfacer la transparencia y rendición de cuentas, ya que naturalmente permite a los ciudadanos conocer las acciones y decisiones de los sujetos obligados.</w:t>
      </w:r>
    </w:p>
    <w:p w:rsidR="00F7050B" w:rsidRPr="00360A9A" w:rsidRDefault="00F7050B" w:rsidP="00F7050B">
      <w:pPr>
        <w:numPr>
          <w:ilvl w:val="0"/>
          <w:numId w:val="1"/>
        </w:numPr>
        <w:spacing w:line="360" w:lineRule="auto"/>
        <w:ind w:left="0" w:firstLine="0"/>
        <w:jc w:val="both"/>
        <w:rPr>
          <w:rFonts w:ascii="Palatino Linotype" w:eastAsia="Palatino Linotype" w:hAnsi="Palatino Linotype" w:cs="Palatino Linotype"/>
          <w:color w:val="000000"/>
        </w:rPr>
      </w:pPr>
      <w:r w:rsidRPr="00360A9A">
        <w:rPr>
          <w:rFonts w:ascii="Palatino Linotype" w:eastAsia="Palatino Linotype" w:hAnsi="Palatino Linotype" w:cs="Palatino Linotype"/>
          <w:color w:val="000000"/>
        </w:rPr>
        <w:lastRenderedPageBreak/>
        <w:t xml:space="preserve"> La entrega de documentos completos garantiza que no se oculte información relevante, lo que fomenta la transparencia y la rendición de cuentas, toda vez que los ciudadanos necesitan información completa para ejercer otros derechos, como participar en la vida pública, supervisar el uso de los recursos públicos o tomar decisiones informadas. Si los documentos se entregan de manera incompleta, se limita la capacidad de los ciudadanos para actuar de manera informada; ya que la entrega de documentos incompletos o fragmentados puede llevar a interpretaciones erróneas o manipuladas de la información, esto podría ser utilizado para eventualmente ocultar irregularidades o para presentar una versión sesgada de los hechos. De modo tal que resulta dable ordenar el soporte documental de referencia de manera integral en versión pública, a efecto de garantizar que el ahora </w:t>
      </w:r>
      <w:r w:rsidRPr="00360A9A">
        <w:rPr>
          <w:rFonts w:ascii="Palatino Linotype" w:eastAsia="Palatino Linotype" w:hAnsi="Palatino Linotype" w:cs="Palatino Linotype"/>
          <w:b/>
          <w:color w:val="000000"/>
        </w:rPr>
        <w:t xml:space="preserve">RECURRENTE </w:t>
      </w:r>
      <w:r w:rsidRPr="00360A9A">
        <w:rPr>
          <w:rFonts w:ascii="Palatino Linotype" w:eastAsia="Palatino Linotype" w:hAnsi="Palatino Linotype" w:cs="Palatino Linotype"/>
          <w:color w:val="000000"/>
        </w:rPr>
        <w:t>reciba la información completa.</w:t>
      </w:r>
    </w:p>
    <w:p w:rsidR="00F7050B" w:rsidRPr="00360A9A" w:rsidRDefault="00F7050B" w:rsidP="00F7050B">
      <w:pPr>
        <w:spacing w:line="360" w:lineRule="auto"/>
        <w:jc w:val="both"/>
        <w:rPr>
          <w:rFonts w:ascii="Palatino Linotype" w:eastAsia="Palatino Linotype" w:hAnsi="Palatino Linotype" w:cs="Palatino Linotype"/>
          <w:color w:val="000000"/>
        </w:rPr>
      </w:pPr>
    </w:p>
    <w:p w:rsidR="006D6FA1" w:rsidRPr="00360A9A" w:rsidRDefault="00920AA1" w:rsidP="00B810E8">
      <w:pPr>
        <w:numPr>
          <w:ilvl w:val="0"/>
          <w:numId w:val="1"/>
        </w:numPr>
        <w:spacing w:line="360" w:lineRule="auto"/>
        <w:ind w:left="0" w:firstLine="0"/>
        <w:jc w:val="both"/>
        <w:rPr>
          <w:rFonts w:ascii="Palatino Linotype" w:eastAsia="Palatino Linotype" w:hAnsi="Palatino Linotype" w:cs="Palatino Linotype"/>
          <w:color w:val="000000"/>
        </w:rPr>
      </w:pPr>
      <w:r w:rsidRPr="00360A9A">
        <w:rPr>
          <w:rFonts w:ascii="Palatino Linotype" w:eastAsia="Palatino Linotype" w:hAnsi="Palatino Linotype" w:cs="Palatino Linotype"/>
          <w:color w:val="000000"/>
        </w:rPr>
        <w:t xml:space="preserve">Con la determinación anterior, se estima quedara por colmado el derecho de acceso a la </w:t>
      </w:r>
      <w:r w:rsidRPr="00360A9A">
        <w:rPr>
          <w:rFonts w:ascii="Palatino Linotype" w:eastAsia="Palatino Linotype" w:hAnsi="Palatino Linotype" w:cs="Palatino Linotype"/>
        </w:rPr>
        <w:t>información</w:t>
      </w:r>
      <w:r w:rsidRPr="00360A9A">
        <w:rPr>
          <w:rFonts w:ascii="Palatino Linotype" w:eastAsia="Palatino Linotype" w:hAnsi="Palatino Linotype" w:cs="Palatino Linotype"/>
          <w:color w:val="000000"/>
        </w:rPr>
        <w:t xml:space="preserve"> del ahora Recurrente; toda vez que el Derecho que tutela este Órgano Garante corresponde a la  </w:t>
      </w:r>
      <w:r w:rsidRPr="00360A9A">
        <w:rPr>
          <w:rFonts w:ascii="Palatino Linotype" w:eastAsia="Palatino Linotype" w:hAnsi="Palatino Linotype" w:cs="Palatino Linotype"/>
          <w:i/>
          <w:color w:val="000000"/>
        </w:rPr>
        <w:t>igualdad de oportunidades para recibir, buscar e impartir información</w:t>
      </w:r>
      <w:r w:rsidRPr="00360A9A">
        <w:rPr>
          <w:rFonts w:ascii="Palatino Linotype" w:eastAsia="Palatino Linotype" w:hAnsi="Palatino Linotype" w:cs="Palatino Linotype"/>
          <w:i/>
          <w:color w:val="000000"/>
          <w:vertAlign w:val="superscript"/>
        </w:rPr>
        <w:footnoteReference w:id="1"/>
      </w:r>
      <w:r w:rsidRPr="00360A9A">
        <w:rPr>
          <w:rFonts w:ascii="Palatino Linotype" w:eastAsia="Palatino Linotype" w:hAnsi="Palatino Linotype" w:cs="Palatino Linotype"/>
          <w:i/>
          <w:color w:val="000000"/>
        </w:rPr>
        <w:t xml:space="preserve"> en posesión de cualquier autoridad, entidad, órgano y organismo de los </w:t>
      </w:r>
      <w:r w:rsidRPr="00360A9A">
        <w:rPr>
          <w:rFonts w:ascii="Palatino Linotype" w:eastAsia="Palatino Linotype" w:hAnsi="Palatino Linotype" w:cs="Palatino Linotype"/>
          <w:color w:val="000000"/>
        </w:rPr>
        <w:t>poderes</w:t>
      </w:r>
      <w:r w:rsidRPr="00360A9A">
        <w:rPr>
          <w:rFonts w:ascii="Palatino Linotype" w:eastAsia="Palatino Linotype" w:hAnsi="Palatino Linotype" w:cs="Palatino Linotype"/>
          <w:i/>
          <w:color w:val="000000"/>
        </w:rPr>
        <w:t xml:space="preserve"> Ejecutivo, Legislativo y Judicial, órganos autónomos, partidos políticos, </w:t>
      </w:r>
      <w:r w:rsidRPr="00360A9A">
        <w:rPr>
          <w:rFonts w:ascii="Palatino Linotype" w:eastAsia="Palatino Linotype" w:hAnsi="Palatino Linotype" w:cs="Palatino Linotype"/>
        </w:rPr>
        <w:t>fideicomisos</w:t>
      </w:r>
      <w:r w:rsidRPr="00360A9A">
        <w:rPr>
          <w:rFonts w:ascii="Palatino Linotype" w:eastAsia="Palatino Linotype" w:hAnsi="Palatino Linotype" w:cs="Palatino Linotype"/>
          <w:i/>
          <w:color w:val="000000"/>
        </w:rPr>
        <w:t xml:space="preserve">, y fondos públicos, así como de cualquier persona física, moral o sindicato que </w:t>
      </w:r>
      <w:r w:rsidRPr="00360A9A">
        <w:rPr>
          <w:rFonts w:ascii="Palatino Linotype" w:eastAsia="Palatino Linotype" w:hAnsi="Palatino Linotype" w:cs="Palatino Linotype"/>
          <w:i/>
          <w:color w:val="000000"/>
        </w:rPr>
        <w:lastRenderedPageBreak/>
        <w:t>reciba y ejerza recursos públicos o realice actos de autoridad en el ámbito federal, estatal y municipal</w:t>
      </w:r>
      <w:r w:rsidRPr="00360A9A">
        <w:rPr>
          <w:rFonts w:ascii="Palatino Linotype" w:eastAsia="Palatino Linotype" w:hAnsi="Palatino Linotype" w:cs="Palatino Linotype"/>
          <w:color w:val="000000"/>
          <w:vertAlign w:val="superscript"/>
        </w:rPr>
        <w:footnoteReference w:id="2"/>
      </w:r>
      <w:r w:rsidRPr="00360A9A">
        <w:rPr>
          <w:rFonts w:ascii="Palatino Linotype" w:eastAsia="Palatino Linotype" w:hAnsi="Palatino Linotype" w:cs="Palatino Linotype"/>
          <w:i/>
          <w:color w:val="000000"/>
        </w:rPr>
        <w:t xml:space="preserve"> </w:t>
      </w:r>
      <w:r w:rsidRPr="00360A9A">
        <w:rPr>
          <w:rFonts w:ascii="Palatino Linotype" w:eastAsia="Palatino Linotype" w:hAnsi="Palatino Linotype" w:cs="Palatino Linotype"/>
          <w:color w:val="000000"/>
        </w:rPr>
        <w:t xml:space="preserve">que se constituye como una herramienta fundamental para </w:t>
      </w:r>
      <w:r w:rsidRPr="00360A9A">
        <w:rPr>
          <w:rFonts w:ascii="Palatino Linotype" w:eastAsia="Palatino Linotype" w:hAnsi="Palatino Linotype" w:cs="Palatino Linotype"/>
          <w:i/>
          <w:color w:val="000000"/>
        </w:rPr>
        <w:t>ejercer control democrático de las gestiones estatales, de forma tal que puedan cuestionar, indagar y considerar si se está dando un adecuado cumplimiento de las funciones públicas,</w:t>
      </w:r>
      <w:r w:rsidRPr="00360A9A">
        <w:rPr>
          <w:rFonts w:ascii="Palatino Linotype" w:eastAsia="Palatino Linotype" w:hAnsi="Palatino Linotype" w:cs="Palatino Linotype"/>
          <w:i/>
          <w:color w:val="000000"/>
          <w:vertAlign w:val="superscript"/>
        </w:rPr>
        <w:footnoteReference w:id="3"/>
      </w:r>
      <w:r w:rsidRPr="00360A9A">
        <w:rPr>
          <w:rFonts w:ascii="Palatino Linotype" w:eastAsia="Palatino Linotype" w:hAnsi="Palatino Linotype" w:cs="Palatino Linotype"/>
          <w:color w:val="000000"/>
        </w:rPr>
        <w:t>fomentando</w:t>
      </w:r>
      <w:r w:rsidRPr="00360A9A">
        <w:rPr>
          <w:rFonts w:ascii="Palatino Linotype" w:eastAsia="Palatino Linotype" w:hAnsi="Palatino Linotype" w:cs="Palatino Linotype"/>
          <w:i/>
          <w:color w:val="000000"/>
        </w:rPr>
        <w:t xml:space="preserve"> la transparencia de las actividades estatales y</w:t>
      </w:r>
      <w:r w:rsidRPr="00360A9A">
        <w:rPr>
          <w:rFonts w:ascii="Palatino Linotype" w:eastAsia="Palatino Linotype" w:hAnsi="Palatino Linotype" w:cs="Palatino Linotype"/>
          <w:color w:val="000000"/>
        </w:rPr>
        <w:t xml:space="preserve"> promoviendo</w:t>
      </w:r>
      <w:r w:rsidRPr="00360A9A">
        <w:rPr>
          <w:rFonts w:ascii="Palatino Linotype" w:eastAsia="Palatino Linotype" w:hAnsi="Palatino Linotype" w:cs="Palatino Linotype"/>
          <w:i/>
          <w:color w:val="000000"/>
        </w:rPr>
        <w:t xml:space="preserve"> la responsabilidad de los funcionarios sobre su gestión pública</w:t>
      </w:r>
      <w:r w:rsidRPr="00360A9A">
        <w:rPr>
          <w:rFonts w:ascii="Palatino Linotype" w:eastAsia="Palatino Linotype" w:hAnsi="Palatino Linotype" w:cs="Palatino Linotype"/>
          <w:i/>
          <w:color w:val="000000"/>
          <w:vertAlign w:val="superscript"/>
        </w:rPr>
        <w:footnoteReference w:id="4"/>
      </w:r>
      <w:r w:rsidRPr="00360A9A">
        <w:rPr>
          <w:rFonts w:ascii="Palatino Linotype" w:eastAsia="Palatino Linotype" w:hAnsi="Palatino Linotype" w:cs="Palatino Linotype"/>
          <w:i/>
          <w:color w:val="000000"/>
        </w:rPr>
        <w:t xml:space="preserve"> </w:t>
      </w:r>
      <w:r w:rsidRPr="00360A9A">
        <w:rPr>
          <w:rFonts w:ascii="Palatino Linotype" w:eastAsia="Palatino Linotype" w:hAnsi="Palatino Linotype" w:cs="Palatino Linotype"/>
          <w:color w:val="000000"/>
        </w:rPr>
        <w:t>que permite</w:t>
      </w:r>
      <w:r w:rsidRPr="00360A9A">
        <w:rPr>
          <w:rFonts w:ascii="Palatino Linotype" w:eastAsia="Palatino Linotype" w:hAnsi="Palatino Linotype" w:cs="Palatino Linotype"/>
          <w:i/>
          <w:color w:val="000000"/>
        </w:rPr>
        <w:t xml:space="preserve"> saber qué están haciendo los gobiernos por sus pueblos, sin lo cual la verdad languidecería y la participación en el gobierno permanecería fragmentada.</w:t>
      </w:r>
      <w:r w:rsidRPr="00360A9A">
        <w:rPr>
          <w:rFonts w:ascii="Palatino Linotype" w:eastAsia="Palatino Linotype" w:hAnsi="Palatino Linotype" w:cs="Palatino Linotype"/>
          <w:i/>
          <w:color w:val="000000"/>
          <w:vertAlign w:val="superscript"/>
        </w:rPr>
        <w:footnoteReference w:id="5"/>
      </w:r>
      <w:r w:rsidRPr="00360A9A">
        <w:rPr>
          <w:rFonts w:ascii="Palatino Linotype" w:eastAsia="Palatino Linotype" w:hAnsi="Palatino Linotype" w:cs="Palatino Linotype"/>
          <w:color w:val="000000"/>
        </w:rPr>
        <w:t xml:space="preserve"> ” </w:t>
      </w:r>
    </w:p>
    <w:p w:rsidR="00126C59" w:rsidRPr="00360A9A" w:rsidRDefault="00126C59" w:rsidP="00126C59">
      <w:pPr>
        <w:spacing w:line="360" w:lineRule="auto"/>
        <w:jc w:val="both"/>
        <w:rPr>
          <w:rFonts w:ascii="Palatino Linotype" w:eastAsia="Palatino Linotype" w:hAnsi="Palatino Linotype" w:cs="Palatino Linotype"/>
          <w:color w:val="000000"/>
        </w:rPr>
      </w:pPr>
    </w:p>
    <w:p w:rsidR="006D6FA1" w:rsidRPr="00360A9A" w:rsidRDefault="00920AA1" w:rsidP="00B810E8">
      <w:pPr>
        <w:numPr>
          <w:ilvl w:val="0"/>
          <w:numId w:val="1"/>
        </w:numPr>
        <w:spacing w:line="360" w:lineRule="auto"/>
        <w:ind w:left="0" w:firstLine="0"/>
        <w:jc w:val="both"/>
        <w:rPr>
          <w:rFonts w:ascii="Palatino Linotype" w:eastAsia="Palatino Linotype" w:hAnsi="Palatino Linotype" w:cs="Palatino Linotype"/>
          <w:color w:val="000000"/>
        </w:rPr>
      </w:pPr>
      <w:r w:rsidRPr="00360A9A">
        <w:rPr>
          <w:rFonts w:ascii="Palatino Linotype" w:eastAsia="Palatino Linotype" w:hAnsi="Palatino Linotype" w:cs="Palatino Linotype"/>
          <w:color w:val="000000"/>
        </w:rPr>
        <w:t xml:space="preserve">Para entender los alcances de la información pública se considera importante citar el criterio de interpretación en el orden administrativo número 0002-11, emitido por Acuerdo del Pleno de este Instituto de Transparencia y Acceso a la Información Pública del Estado de México y Municipios, publicado en el Periódico Oficial del </w:t>
      </w:r>
      <w:r w:rsidRPr="00360A9A">
        <w:rPr>
          <w:rFonts w:ascii="Palatino Linotype" w:eastAsia="Palatino Linotype" w:hAnsi="Palatino Linotype" w:cs="Palatino Linotype"/>
          <w:color w:val="000000"/>
        </w:rPr>
        <w:lastRenderedPageBreak/>
        <w:t>Gobierno del Estado Libre y Soberano de México “Gaceta del Gobierno” el diecinueve de octubre de dos mil once, cuyo rubro y texto dispone:</w:t>
      </w:r>
    </w:p>
    <w:p w:rsidR="00AB04E8" w:rsidRPr="00360A9A" w:rsidRDefault="00AB04E8" w:rsidP="00B810E8">
      <w:pPr>
        <w:pStyle w:val="Prrafodelista"/>
        <w:spacing w:line="360" w:lineRule="auto"/>
        <w:rPr>
          <w:rFonts w:ascii="Palatino Linotype" w:eastAsia="Palatino Linotype" w:hAnsi="Palatino Linotype" w:cs="Palatino Linotype"/>
          <w:color w:val="000000"/>
        </w:rPr>
      </w:pPr>
    </w:p>
    <w:p w:rsidR="006D6FA1" w:rsidRPr="00360A9A" w:rsidRDefault="00920AA1" w:rsidP="00B810E8">
      <w:pPr>
        <w:spacing w:line="360" w:lineRule="auto"/>
        <w:ind w:left="426" w:right="115"/>
        <w:jc w:val="both"/>
        <w:rPr>
          <w:rFonts w:ascii="Palatino Linotype" w:eastAsia="Palatino Linotype" w:hAnsi="Palatino Linotype" w:cs="Palatino Linotype"/>
          <w:b/>
          <w:i/>
          <w:color w:val="000000"/>
        </w:rPr>
      </w:pPr>
      <w:r w:rsidRPr="00360A9A">
        <w:rPr>
          <w:rFonts w:ascii="Palatino Linotype" w:eastAsia="Palatino Linotype" w:hAnsi="Palatino Linotype" w:cs="Palatino Linotype"/>
          <w:b/>
          <w:i/>
          <w:color w:val="000000"/>
        </w:rPr>
        <w:t>“CRITERIO 0002-11</w:t>
      </w:r>
    </w:p>
    <w:p w:rsidR="006D6FA1" w:rsidRPr="00360A9A" w:rsidRDefault="00920AA1" w:rsidP="00B810E8">
      <w:pPr>
        <w:spacing w:line="360" w:lineRule="auto"/>
        <w:ind w:left="425" w:right="115"/>
        <w:jc w:val="both"/>
        <w:rPr>
          <w:rFonts w:ascii="Palatino Linotype" w:eastAsia="Palatino Linotype" w:hAnsi="Palatino Linotype" w:cs="Palatino Linotype"/>
          <w:i/>
          <w:color w:val="000000"/>
        </w:rPr>
      </w:pPr>
      <w:r w:rsidRPr="00360A9A">
        <w:rPr>
          <w:rFonts w:ascii="Palatino Linotype" w:eastAsia="Palatino Linotype" w:hAnsi="Palatino Linotype" w:cs="Palatino Linotype"/>
          <w:b/>
          <w:i/>
          <w:color w:val="000000"/>
        </w:rPr>
        <w:t>INFORMACIÓN PÚBLICA, CONCEPTO DE, EN MATERIA DE TRANSPARENCIA. INTERPRETACIÓN TEMÁTICA DE LOS ARTÍCULOS 2, FRACCIÓN V, XV, Y XVI, 3, 4,11 Y 41.</w:t>
      </w:r>
      <w:r w:rsidRPr="00360A9A">
        <w:rPr>
          <w:rFonts w:ascii="Palatino Linotype" w:eastAsia="Palatino Linotype" w:hAnsi="Palatino Linotype" w:cs="Palatino Linotype"/>
          <w:i/>
          <w:color w:val="00000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6D6FA1" w:rsidRPr="00360A9A" w:rsidRDefault="00920AA1" w:rsidP="00B810E8">
      <w:pPr>
        <w:spacing w:line="360" w:lineRule="auto"/>
        <w:ind w:left="425" w:right="115"/>
        <w:jc w:val="both"/>
        <w:rPr>
          <w:rFonts w:ascii="Palatino Linotype" w:eastAsia="Palatino Linotype" w:hAnsi="Palatino Linotype" w:cs="Palatino Linotype"/>
          <w:i/>
          <w:color w:val="000000"/>
        </w:rPr>
      </w:pPr>
      <w:r w:rsidRPr="00360A9A">
        <w:rPr>
          <w:rFonts w:ascii="Palatino Linotype" w:eastAsia="Palatino Linotype" w:hAnsi="Palatino Linotype" w:cs="Palatino Linotype"/>
          <w:i/>
          <w:color w:val="000000"/>
        </w:rPr>
        <w:t>En consecuencia el acceso a la información se refiere a que se cumplan cualquiera de los siguientes tres supuestos:</w:t>
      </w:r>
    </w:p>
    <w:p w:rsidR="006D6FA1" w:rsidRPr="00360A9A" w:rsidRDefault="00920AA1" w:rsidP="00B810E8">
      <w:pPr>
        <w:spacing w:line="360" w:lineRule="auto"/>
        <w:ind w:left="425" w:right="115"/>
        <w:jc w:val="both"/>
        <w:rPr>
          <w:rFonts w:ascii="Palatino Linotype" w:eastAsia="Palatino Linotype" w:hAnsi="Palatino Linotype" w:cs="Palatino Linotype"/>
          <w:i/>
          <w:color w:val="000000"/>
        </w:rPr>
      </w:pPr>
      <w:r w:rsidRPr="00360A9A">
        <w:rPr>
          <w:rFonts w:ascii="Palatino Linotype" w:eastAsia="Palatino Linotype" w:hAnsi="Palatino Linotype" w:cs="Palatino Linotype"/>
          <w:i/>
          <w:color w:val="000000"/>
        </w:rPr>
        <w:t>Que se trate de información registrada en cualquier soporte documental, que en ejercicio de las atribuciones conferidas, sea generada por los Sujetos Obligados;</w:t>
      </w:r>
    </w:p>
    <w:p w:rsidR="006D6FA1" w:rsidRPr="00360A9A" w:rsidRDefault="00920AA1" w:rsidP="00B810E8">
      <w:pPr>
        <w:spacing w:line="360" w:lineRule="auto"/>
        <w:ind w:left="425" w:right="115"/>
        <w:jc w:val="both"/>
        <w:rPr>
          <w:rFonts w:ascii="Palatino Linotype" w:eastAsia="Palatino Linotype" w:hAnsi="Palatino Linotype" w:cs="Palatino Linotype"/>
          <w:i/>
          <w:color w:val="000000"/>
        </w:rPr>
      </w:pPr>
      <w:r w:rsidRPr="00360A9A">
        <w:rPr>
          <w:rFonts w:ascii="Palatino Linotype" w:eastAsia="Palatino Linotype" w:hAnsi="Palatino Linotype" w:cs="Palatino Linotype"/>
          <w:i/>
          <w:color w:val="000000"/>
        </w:rPr>
        <w:t>Que se trate de información registrada en cualquier soporte documental, que en ejercicio de las atribuciones conferidas, sea administrada por los Sujetos Obligados, y</w:t>
      </w:r>
    </w:p>
    <w:p w:rsidR="006D6FA1" w:rsidRPr="00360A9A" w:rsidRDefault="00920AA1" w:rsidP="00B810E8">
      <w:pPr>
        <w:spacing w:line="360" w:lineRule="auto"/>
        <w:ind w:left="425" w:right="115"/>
        <w:jc w:val="both"/>
        <w:rPr>
          <w:rFonts w:ascii="Palatino Linotype" w:eastAsia="Palatino Linotype" w:hAnsi="Palatino Linotype" w:cs="Palatino Linotype"/>
          <w:i/>
          <w:color w:val="000000"/>
        </w:rPr>
      </w:pPr>
      <w:r w:rsidRPr="00360A9A">
        <w:rPr>
          <w:rFonts w:ascii="Palatino Linotype" w:eastAsia="Palatino Linotype" w:hAnsi="Palatino Linotype" w:cs="Palatino Linotype"/>
          <w:i/>
          <w:color w:val="000000"/>
        </w:rPr>
        <w:t>Que se trate de información registrada en cualquier soporte documental, que en ejercicio de las atribuciones conferidas, se encuentre en posesión de los Sujetos Obligados.”</w:t>
      </w:r>
    </w:p>
    <w:p w:rsidR="006D6FA1" w:rsidRPr="00360A9A" w:rsidRDefault="006D6FA1" w:rsidP="00B810E8">
      <w:pPr>
        <w:spacing w:line="360" w:lineRule="auto"/>
        <w:ind w:right="115"/>
        <w:jc w:val="both"/>
        <w:rPr>
          <w:rFonts w:ascii="Palatino Linotype" w:eastAsia="Palatino Linotype" w:hAnsi="Palatino Linotype" w:cs="Palatino Linotype"/>
          <w:color w:val="000000"/>
        </w:rPr>
      </w:pPr>
    </w:p>
    <w:p w:rsidR="006D6FA1" w:rsidRPr="00360A9A" w:rsidRDefault="00920AA1" w:rsidP="00B810E8">
      <w:pPr>
        <w:numPr>
          <w:ilvl w:val="0"/>
          <w:numId w:val="1"/>
        </w:numPr>
        <w:spacing w:line="360" w:lineRule="auto"/>
        <w:ind w:left="0" w:firstLine="0"/>
        <w:jc w:val="both"/>
        <w:rPr>
          <w:rFonts w:ascii="Palatino Linotype" w:eastAsia="Palatino Linotype" w:hAnsi="Palatino Linotype" w:cs="Palatino Linotype"/>
          <w:color w:val="000000"/>
        </w:rPr>
      </w:pPr>
      <w:r w:rsidRPr="00360A9A">
        <w:rPr>
          <w:rFonts w:ascii="Palatino Linotype" w:eastAsia="Palatino Linotype" w:hAnsi="Palatino Linotype" w:cs="Palatino Linotype"/>
          <w:color w:val="000000"/>
        </w:rPr>
        <w:lastRenderedPageBreak/>
        <w:t xml:space="preserve">Es así que, todos los actos de autoridad que realicen los Sujetos Obligados </w:t>
      </w:r>
      <w:r w:rsidRPr="00360A9A">
        <w:rPr>
          <w:rFonts w:ascii="Palatino Linotype" w:eastAsia="Palatino Linotype" w:hAnsi="Palatino Linotype" w:cs="Palatino Linotype"/>
          <w:b/>
          <w:color w:val="000000"/>
        </w:rPr>
        <w:t xml:space="preserve">deben estar </w:t>
      </w:r>
      <w:r w:rsidRPr="00360A9A">
        <w:rPr>
          <w:rFonts w:ascii="Palatino Linotype" w:eastAsia="Palatino Linotype" w:hAnsi="Palatino Linotype" w:cs="Palatino Linotype"/>
          <w:color w:val="000000"/>
        </w:rPr>
        <w:t>documentados y, bajo el más alto estándar de transparencia deberán poner toda la información que se encuentre en su posesión, a disposición de los particulares que la soliciten.</w:t>
      </w:r>
    </w:p>
    <w:p w:rsidR="006D6FA1" w:rsidRPr="00360A9A" w:rsidRDefault="006D6FA1" w:rsidP="00B810E8">
      <w:pPr>
        <w:pBdr>
          <w:top w:val="nil"/>
          <w:left w:val="nil"/>
          <w:bottom w:val="nil"/>
          <w:right w:val="nil"/>
          <w:between w:val="nil"/>
        </w:pBdr>
        <w:spacing w:line="360" w:lineRule="auto"/>
        <w:ind w:right="-592"/>
        <w:jc w:val="both"/>
        <w:rPr>
          <w:rFonts w:ascii="Palatino Linotype" w:eastAsia="Palatino Linotype" w:hAnsi="Palatino Linotype" w:cs="Palatino Linotype"/>
          <w:color w:val="000000"/>
        </w:rPr>
      </w:pPr>
    </w:p>
    <w:p w:rsidR="006D6FA1" w:rsidRPr="00360A9A" w:rsidRDefault="00920AA1" w:rsidP="00B810E8">
      <w:pPr>
        <w:numPr>
          <w:ilvl w:val="0"/>
          <w:numId w:val="1"/>
        </w:numPr>
        <w:spacing w:line="360" w:lineRule="auto"/>
        <w:ind w:left="0" w:firstLine="0"/>
        <w:jc w:val="both"/>
        <w:rPr>
          <w:rFonts w:ascii="Palatino Linotype" w:eastAsia="Palatino Linotype" w:hAnsi="Palatino Linotype" w:cs="Palatino Linotype"/>
          <w:color w:val="000000"/>
        </w:rPr>
      </w:pPr>
      <w:r w:rsidRPr="00360A9A">
        <w:rPr>
          <w:rFonts w:ascii="Palatino Linotype" w:eastAsia="Palatino Linotype" w:hAnsi="Palatino Linotype" w:cs="Palatino Linotype"/>
          <w:color w:val="000000"/>
        </w:rPr>
        <w:t>Además, debemos tomar en cuenta los artículos 4 y 12 (antes transcrito), de la Ley de Transparencia y Acceso a la Información Pública del Estado de México y Municipios, los cuales establecen lo siguiente:</w:t>
      </w:r>
    </w:p>
    <w:p w:rsidR="003477AE" w:rsidRPr="00360A9A" w:rsidRDefault="003477AE" w:rsidP="003477AE">
      <w:pPr>
        <w:pStyle w:val="Prrafodelista"/>
        <w:rPr>
          <w:rFonts w:ascii="Palatino Linotype" w:eastAsia="Palatino Linotype" w:hAnsi="Palatino Linotype" w:cs="Palatino Linotype"/>
          <w:color w:val="000000"/>
        </w:rPr>
      </w:pPr>
    </w:p>
    <w:p w:rsidR="006D6FA1" w:rsidRPr="00360A9A" w:rsidRDefault="00920AA1" w:rsidP="00B810E8">
      <w:pPr>
        <w:spacing w:line="360" w:lineRule="auto"/>
        <w:ind w:left="425" w:right="257"/>
        <w:jc w:val="both"/>
        <w:rPr>
          <w:rFonts w:ascii="Palatino Linotype" w:eastAsia="Palatino Linotype" w:hAnsi="Palatino Linotype" w:cs="Palatino Linotype"/>
          <w:i/>
          <w:color w:val="000000"/>
        </w:rPr>
      </w:pPr>
      <w:r w:rsidRPr="00360A9A">
        <w:rPr>
          <w:rFonts w:ascii="Palatino Linotype" w:eastAsia="Palatino Linotype" w:hAnsi="Palatino Linotype" w:cs="Palatino Linotype"/>
          <w:b/>
          <w:i/>
          <w:color w:val="000000"/>
        </w:rPr>
        <w:t xml:space="preserve">“Artículo 4. </w:t>
      </w:r>
      <w:r w:rsidRPr="00360A9A">
        <w:rPr>
          <w:rFonts w:ascii="Palatino Linotype" w:eastAsia="Palatino Linotype" w:hAnsi="Palatino Linotype" w:cs="Palatino Linotype"/>
          <w:i/>
          <w:color w:val="000000"/>
        </w:rPr>
        <w:t>El derecho humano de acceso a la información pública es la prerrogativa de las personas para buscar, difundir, investigar, recabar, recibir y solicitar información pública, sin necesidad de acreditar personalidad ni interés jurídico.</w:t>
      </w:r>
    </w:p>
    <w:p w:rsidR="006D6FA1" w:rsidRPr="00360A9A" w:rsidRDefault="00920AA1" w:rsidP="00B810E8">
      <w:pPr>
        <w:spacing w:line="360" w:lineRule="auto"/>
        <w:ind w:left="426" w:right="257"/>
        <w:jc w:val="both"/>
        <w:rPr>
          <w:rFonts w:ascii="Palatino Linotype" w:eastAsia="Palatino Linotype" w:hAnsi="Palatino Linotype" w:cs="Palatino Linotype"/>
          <w:i/>
          <w:color w:val="000000"/>
        </w:rPr>
      </w:pPr>
      <w:r w:rsidRPr="00360A9A">
        <w:rPr>
          <w:rFonts w:ascii="Palatino Linotype" w:eastAsia="Palatino Linotype" w:hAnsi="Palatino Linotype" w:cs="Palatino Linotype"/>
          <w:b/>
          <w:i/>
          <w:color w:val="000000"/>
        </w:rPr>
        <w:t>Toda la información</w:t>
      </w:r>
      <w:r w:rsidRPr="00360A9A">
        <w:rPr>
          <w:rFonts w:ascii="Palatino Linotype" w:eastAsia="Palatino Linotype" w:hAnsi="Palatino Linotype" w:cs="Palatino Linotype"/>
          <w:i/>
          <w:color w:val="000000"/>
        </w:rPr>
        <w:t xml:space="preserve"> generada, obtenida, adquirida, transformada, administrada o </w:t>
      </w:r>
      <w:r w:rsidRPr="00360A9A">
        <w:rPr>
          <w:rFonts w:ascii="Palatino Linotype" w:eastAsia="Palatino Linotype" w:hAnsi="Palatino Linotype" w:cs="Palatino Linotype"/>
          <w:b/>
          <w:i/>
          <w:color w:val="000000"/>
        </w:rPr>
        <w:t>en posesión de los sujetos obligados es pública</w:t>
      </w:r>
      <w:r w:rsidRPr="00360A9A">
        <w:rPr>
          <w:rFonts w:ascii="Palatino Linotype" w:eastAsia="Palatino Linotype" w:hAnsi="Palatino Linotype" w:cs="Palatino Linotype"/>
          <w:i/>
          <w:color w:val="000000"/>
        </w:rPr>
        <w:t xml:space="preserve">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6D6FA1" w:rsidRPr="00360A9A" w:rsidRDefault="00920AA1" w:rsidP="00B810E8">
      <w:pPr>
        <w:spacing w:line="360" w:lineRule="auto"/>
        <w:ind w:left="426" w:right="257"/>
        <w:jc w:val="both"/>
        <w:rPr>
          <w:rFonts w:ascii="Palatino Linotype" w:eastAsia="Palatino Linotype" w:hAnsi="Palatino Linotype" w:cs="Palatino Linotype"/>
          <w:i/>
          <w:color w:val="000000"/>
        </w:rPr>
      </w:pPr>
      <w:r w:rsidRPr="00360A9A">
        <w:rPr>
          <w:rFonts w:ascii="Palatino Linotype" w:eastAsia="Palatino Linotype" w:hAnsi="Palatino Linotype" w:cs="Palatino Linotype"/>
          <w:i/>
          <w:color w:val="000000"/>
        </w:rPr>
        <w:lastRenderedPageBreak/>
        <w:t>Los sujetos obligados deben poner en práctica, políticas y programas de acceso a la información que se apeguen a criterios de publicidad, veracidad, oportunidad, precisión y suficiencia en beneficio de los solicitantes.”</w:t>
      </w:r>
    </w:p>
    <w:p w:rsidR="006D6FA1" w:rsidRPr="00360A9A" w:rsidRDefault="006D6FA1" w:rsidP="00B810E8">
      <w:pPr>
        <w:spacing w:line="360" w:lineRule="auto"/>
        <w:ind w:right="-592"/>
        <w:jc w:val="both"/>
        <w:rPr>
          <w:rFonts w:ascii="Palatino Linotype" w:eastAsia="Palatino Linotype" w:hAnsi="Palatino Linotype" w:cs="Palatino Linotype"/>
          <w:color w:val="000000"/>
        </w:rPr>
      </w:pPr>
    </w:p>
    <w:p w:rsidR="006D6FA1" w:rsidRPr="00360A9A" w:rsidRDefault="00920AA1" w:rsidP="00B810E8">
      <w:pPr>
        <w:numPr>
          <w:ilvl w:val="0"/>
          <w:numId w:val="1"/>
        </w:numPr>
        <w:spacing w:line="360" w:lineRule="auto"/>
        <w:ind w:left="0" w:firstLine="0"/>
        <w:jc w:val="both"/>
        <w:rPr>
          <w:rFonts w:ascii="Palatino Linotype" w:eastAsia="Palatino Linotype" w:hAnsi="Palatino Linotype" w:cs="Palatino Linotype"/>
          <w:color w:val="000000"/>
        </w:rPr>
      </w:pPr>
      <w:r w:rsidRPr="00360A9A">
        <w:rPr>
          <w:rFonts w:ascii="Palatino Linotype" w:eastAsia="Palatino Linotype" w:hAnsi="Palatino Linotype" w:cs="Palatino Linotype"/>
          <w:color w:val="000000"/>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360A9A">
        <w:rPr>
          <w:rFonts w:ascii="Palatino Linotype" w:eastAsia="Palatino Linotype" w:hAnsi="Palatino Linotype" w:cs="Palatino Linotype"/>
          <w:color w:val="000000"/>
          <w:vertAlign w:val="superscript"/>
        </w:rPr>
        <w:footnoteReference w:id="6"/>
      </w:r>
      <w:r w:rsidRPr="00360A9A">
        <w:rPr>
          <w:rFonts w:ascii="Palatino Linotype" w:eastAsia="Palatino Linotype" w:hAnsi="Palatino Linotype" w:cs="Palatino Linotype"/>
          <w:color w:val="000000"/>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6D6FA1" w:rsidRPr="00360A9A" w:rsidRDefault="006D6FA1" w:rsidP="00B810E8">
      <w:pPr>
        <w:spacing w:line="360" w:lineRule="auto"/>
        <w:ind w:right="-592"/>
        <w:jc w:val="both"/>
        <w:rPr>
          <w:rFonts w:ascii="Palatino Linotype" w:eastAsia="Palatino Linotype" w:hAnsi="Palatino Linotype" w:cs="Palatino Linotype"/>
          <w:color w:val="000000"/>
        </w:rPr>
      </w:pPr>
    </w:p>
    <w:p w:rsidR="006D6FA1" w:rsidRPr="00360A9A" w:rsidRDefault="00920AA1" w:rsidP="00B810E8">
      <w:pPr>
        <w:numPr>
          <w:ilvl w:val="0"/>
          <w:numId w:val="1"/>
        </w:numPr>
        <w:spacing w:line="360" w:lineRule="auto"/>
        <w:ind w:left="0" w:firstLine="0"/>
        <w:jc w:val="both"/>
        <w:rPr>
          <w:rFonts w:ascii="Palatino Linotype" w:eastAsia="Palatino Linotype" w:hAnsi="Palatino Linotype" w:cs="Palatino Linotype"/>
          <w:color w:val="000000"/>
        </w:rPr>
      </w:pPr>
      <w:r w:rsidRPr="00360A9A">
        <w:rPr>
          <w:rFonts w:ascii="Palatino Linotype" w:eastAsia="Palatino Linotype" w:hAnsi="Palatino Linotype" w:cs="Palatino Linotype"/>
          <w:color w:val="000000"/>
        </w:rPr>
        <w:t>Robustece lo anterior la Tesis aislada identificada con la clave I.4º.A.40 A del Cuarto Tribunal colegiado en Materia Administrativa del Primer Circuito, publicada en el Seminario Judicial de la Federación y su Gaceta en el libro XVIII, Marzo 2013, Página 1899.</w:t>
      </w:r>
    </w:p>
    <w:p w:rsidR="006D6FA1" w:rsidRPr="00360A9A" w:rsidRDefault="00920AA1" w:rsidP="00B810E8">
      <w:pPr>
        <w:pBdr>
          <w:top w:val="nil"/>
          <w:left w:val="nil"/>
          <w:bottom w:val="nil"/>
          <w:right w:val="nil"/>
          <w:between w:val="nil"/>
        </w:pBdr>
        <w:tabs>
          <w:tab w:val="left" w:pos="851"/>
        </w:tabs>
        <w:spacing w:line="360" w:lineRule="auto"/>
        <w:ind w:left="425" w:right="257"/>
        <w:jc w:val="both"/>
        <w:rPr>
          <w:rFonts w:ascii="Palatino Linotype" w:eastAsia="Palatino Linotype" w:hAnsi="Palatino Linotype" w:cs="Palatino Linotype"/>
          <w:i/>
          <w:color w:val="000000"/>
        </w:rPr>
      </w:pPr>
      <w:r w:rsidRPr="00360A9A">
        <w:rPr>
          <w:rFonts w:ascii="Palatino Linotype" w:eastAsia="Palatino Linotype" w:hAnsi="Palatino Linotype" w:cs="Palatino Linotype"/>
          <w:b/>
          <w:i/>
          <w:color w:val="000000"/>
        </w:rPr>
        <w:lastRenderedPageBreak/>
        <w:t>“ACCESO A LA INFORMACIÓN. IMPLICACIÓN DEL PRINCIPIO DE MÁXIMA PUBLICIDAD EN EL DERECHO FUNDAMENTAL RELATIVO.</w:t>
      </w:r>
      <w:r w:rsidRPr="00360A9A">
        <w:rPr>
          <w:rFonts w:ascii="Palatino Linotype" w:eastAsia="Palatino Linotype" w:hAnsi="Palatino Linotype" w:cs="Palatino Linotype"/>
          <w:i/>
          <w:color w:val="000000"/>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w:t>
      </w:r>
      <w:r w:rsidRPr="00360A9A">
        <w:rPr>
          <w:rFonts w:ascii="Palatino Linotype" w:eastAsia="Palatino Linotype" w:hAnsi="Palatino Linotype" w:cs="Palatino Linotype"/>
          <w:i/>
          <w:color w:val="000000"/>
        </w:rPr>
        <w:lastRenderedPageBreak/>
        <w:t>excepción, en los casos expresamente previstos en la legislación secundaria y justificados bajo determinadas circunstancias, se podrá clasificar como confidencial o reservada, esto es, considerarla con una calidad diversa. “</w:t>
      </w:r>
    </w:p>
    <w:p w:rsidR="006D6FA1" w:rsidRPr="00360A9A" w:rsidRDefault="006D6FA1" w:rsidP="00B810E8">
      <w:pPr>
        <w:pBdr>
          <w:top w:val="nil"/>
          <w:left w:val="nil"/>
          <w:bottom w:val="nil"/>
          <w:right w:val="nil"/>
          <w:between w:val="nil"/>
        </w:pBdr>
        <w:tabs>
          <w:tab w:val="left" w:pos="851"/>
        </w:tabs>
        <w:spacing w:line="360" w:lineRule="auto"/>
        <w:ind w:right="257"/>
        <w:jc w:val="both"/>
        <w:rPr>
          <w:rFonts w:ascii="Palatino Linotype" w:eastAsia="Palatino Linotype" w:hAnsi="Palatino Linotype" w:cs="Palatino Linotype"/>
          <w:i/>
          <w:color w:val="000000"/>
        </w:rPr>
      </w:pPr>
    </w:p>
    <w:p w:rsidR="00566C12" w:rsidRPr="00360A9A" w:rsidRDefault="00566C12" w:rsidP="00566C12">
      <w:pPr>
        <w:pStyle w:val="Ttulo2"/>
        <w:spacing w:before="0" w:line="360" w:lineRule="auto"/>
        <w:rPr>
          <w:rFonts w:ascii="Palatino Linotype" w:eastAsia="Palatino Linotype" w:hAnsi="Palatino Linotype" w:cs="Palatino Linotype"/>
          <w:b/>
          <w:color w:val="000000"/>
          <w:sz w:val="24"/>
          <w:szCs w:val="24"/>
        </w:rPr>
      </w:pPr>
      <w:r w:rsidRPr="00360A9A">
        <w:rPr>
          <w:rFonts w:ascii="Palatino Linotype" w:eastAsia="Palatino Linotype" w:hAnsi="Palatino Linotype" w:cs="Palatino Linotype"/>
          <w:b/>
          <w:color w:val="000000"/>
          <w:sz w:val="24"/>
          <w:szCs w:val="24"/>
        </w:rPr>
        <w:t>QUINTA. De la versión pública</w:t>
      </w:r>
    </w:p>
    <w:p w:rsidR="003477AE" w:rsidRPr="00360A9A" w:rsidRDefault="003477AE" w:rsidP="003477AE">
      <w:pPr>
        <w:pStyle w:val="Ttulo1"/>
        <w:spacing w:before="0" w:line="360" w:lineRule="auto"/>
        <w:ind w:left="1080"/>
        <w:rPr>
          <w:rFonts w:ascii="Palatino Linotype" w:hAnsi="Palatino Linotype"/>
          <w:b/>
          <w:color w:val="000000" w:themeColor="text1"/>
          <w:sz w:val="24"/>
          <w:szCs w:val="24"/>
        </w:rPr>
      </w:pPr>
      <w:bookmarkStart w:id="8" w:name="_Toc48135362"/>
      <w:bookmarkStart w:id="9" w:name="_Toc82017070"/>
      <w:bookmarkStart w:id="10" w:name="_Toc82537188"/>
      <w:bookmarkStart w:id="11" w:name="_Toc83830735"/>
      <w:bookmarkStart w:id="12" w:name="_Toc85112355"/>
    </w:p>
    <w:p w:rsidR="003477AE" w:rsidRPr="00360A9A" w:rsidRDefault="003477AE" w:rsidP="003477AE">
      <w:pPr>
        <w:pStyle w:val="Ttulo1"/>
        <w:numPr>
          <w:ilvl w:val="0"/>
          <w:numId w:val="19"/>
        </w:numPr>
        <w:spacing w:before="0" w:line="360" w:lineRule="auto"/>
        <w:rPr>
          <w:rFonts w:ascii="Palatino Linotype" w:hAnsi="Palatino Linotype"/>
          <w:b/>
          <w:color w:val="000000" w:themeColor="text1"/>
          <w:sz w:val="24"/>
          <w:szCs w:val="24"/>
        </w:rPr>
      </w:pPr>
      <w:r w:rsidRPr="00360A9A">
        <w:rPr>
          <w:rFonts w:ascii="Palatino Linotype" w:hAnsi="Palatino Linotype" w:cs="Times New Roman"/>
          <w:b/>
          <w:color w:val="000000" w:themeColor="text1"/>
          <w:sz w:val="24"/>
          <w:szCs w:val="24"/>
          <w:lang w:eastAsia="es-ES_tradnl"/>
        </w:rPr>
        <w:t>Nociones generales.</w:t>
      </w:r>
      <w:bookmarkEnd w:id="8"/>
      <w:bookmarkEnd w:id="9"/>
      <w:bookmarkEnd w:id="10"/>
      <w:bookmarkEnd w:id="11"/>
      <w:bookmarkEnd w:id="12"/>
      <w:r w:rsidRPr="00360A9A">
        <w:rPr>
          <w:rFonts w:ascii="Palatino Linotype" w:hAnsi="Palatino Linotype" w:cs="Times New Roman"/>
          <w:b/>
          <w:color w:val="000000" w:themeColor="text1"/>
          <w:sz w:val="24"/>
          <w:szCs w:val="24"/>
          <w:lang w:eastAsia="es-ES_tradnl"/>
        </w:rPr>
        <w:t xml:space="preserve"> </w:t>
      </w:r>
    </w:p>
    <w:p w:rsidR="003477AE" w:rsidRPr="00360A9A" w:rsidRDefault="003477AE" w:rsidP="003477AE">
      <w:pPr>
        <w:numPr>
          <w:ilvl w:val="0"/>
          <w:numId w:val="1"/>
        </w:numPr>
        <w:spacing w:line="360" w:lineRule="auto"/>
        <w:ind w:left="0" w:firstLine="0"/>
        <w:jc w:val="both"/>
        <w:rPr>
          <w:rFonts w:ascii="Palatino Linotype" w:hAnsi="Palatino Linotype" w:cs="Arial"/>
          <w:color w:val="000000"/>
        </w:rPr>
      </w:pPr>
      <w:r w:rsidRPr="00360A9A">
        <w:rPr>
          <w:rFonts w:ascii="Palatino Linotype" w:hAnsi="Palatino Linotype" w:cs="Arial"/>
          <w:color w:val="000000"/>
        </w:rPr>
        <w:t xml:space="preserve">Debe </w:t>
      </w:r>
      <w:r w:rsidRPr="00360A9A">
        <w:rPr>
          <w:rFonts w:ascii="Palatino Linotype" w:eastAsia="Palatino Linotype" w:hAnsi="Palatino Linotype" w:cs="Palatino Linotype"/>
          <w:color w:val="000000"/>
        </w:rPr>
        <w:t>destacarse</w:t>
      </w:r>
      <w:r w:rsidRPr="00360A9A">
        <w:rPr>
          <w:rFonts w:ascii="Palatino Linotype" w:hAnsi="Palatino Linotype" w:cs="Arial"/>
          <w:color w:val="000000"/>
        </w:rPr>
        <w:t xml:space="preserve"> que, debido a la naturaleza de la información solicitada</w:t>
      </w:r>
      <w:r w:rsidRPr="00360A9A">
        <w:rPr>
          <w:rFonts w:ascii="Palatino Linotype" w:hAnsi="Palatino Linotype" w:cs="Arial"/>
          <w:b/>
          <w:color w:val="000000"/>
        </w:rPr>
        <w:t xml:space="preserve">, </w:t>
      </w:r>
      <w:r w:rsidRPr="00360A9A">
        <w:rPr>
          <w:rFonts w:ascii="Palatino Linotype" w:hAnsi="Palatino Linotype" w:cs="Arial"/>
          <w:color w:val="000000"/>
        </w:rPr>
        <w:t xml:space="preserve">eventualmente pudiera obrar datos personales susceptibles de protegerse, el </w:t>
      </w:r>
      <w:r w:rsidRPr="00360A9A">
        <w:rPr>
          <w:rFonts w:ascii="Palatino Linotype" w:hAnsi="Palatino Linotype" w:cs="Arial"/>
          <w:b/>
          <w:bCs/>
          <w:color w:val="000000"/>
        </w:rPr>
        <w:t xml:space="preserve">Sujeto Obligado </w:t>
      </w:r>
      <w:r w:rsidRPr="00360A9A">
        <w:rPr>
          <w:rFonts w:ascii="Palatino Linotype" w:hAnsi="Palatino Linotype" w:cs="Arial"/>
          <w:color w:val="000000"/>
        </w:rPr>
        <w:t>deberá de hacer la adecuada versión pública, protegiendo los datos que no son susc</w:t>
      </w:r>
      <w:r w:rsidR="00E73914" w:rsidRPr="00360A9A">
        <w:rPr>
          <w:rFonts w:ascii="Palatino Linotype" w:hAnsi="Palatino Linotype" w:cs="Arial"/>
          <w:color w:val="000000"/>
        </w:rPr>
        <w:t>eptibles de ser proporcionados, como se desagrega.</w:t>
      </w:r>
    </w:p>
    <w:p w:rsidR="003477AE" w:rsidRPr="00360A9A" w:rsidRDefault="003477AE" w:rsidP="003477AE">
      <w:pPr>
        <w:pStyle w:val="Prrafodelista"/>
        <w:spacing w:line="360" w:lineRule="auto"/>
        <w:ind w:left="0" w:right="49"/>
        <w:jc w:val="both"/>
        <w:rPr>
          <w:rFonts w:ascii="Palatino Linotype" w:hAnsi="Palatino Linotype" w:cs="Arial"/>
          <w:color w:val="000000"/>
        </w:rPr>
      </w:pPr>
    </w:p>
    <w:p w:rsidR="00E73914" w:rsidRPr="00360A9A" w:rsidRDefault="00E73914" w:rsidP="00E73914">
      <w:pPr>
        <w:pStyle w:val="Prrafodelista"/>
        <w:numPr>
          <w:ilvl w:val="0"/>
          <w:numId w:val="27"/>
        </w:numPr>
        <w:spacing w:line="360" w:lineRule="auto"/>
        <w:ind w:right="-91"/>
        <w:jc w:val="both"/>
        <w:rPr>
          <w:rFonts w:ascii="Palatino Linotype" w:eastAsia="Calibri" w:hAnsi="Palatino Linotype" w:cs="Tahoma"/>
          <w:bCs/>
          <w:lang w:val="es-ES" w:eastAsia="en-US"/>
        </w:rPr>
      </w:pPr>
      <w:r w:rsidRPr="00360A9A">
        <w:rPr>
          <w:rFonts w:ascii="Palatino Linotype" w:hAnsi="Palatino Linotype" w:cs="Tahoma"/>
          <w:b/>
          <w:bCs/>
          <w:iCs/>
        </w:rPr>
        <w:t>Registro Federal de Contribuyentes</w:t>
      </w:r>
      <w:r w:rsidRPr="00360A9A">
        <w:rPr>
          <w:rFonts w:ascii="Palatino Linotype" w:hAnsi="Palatino Linotype" w:cs="Tahoma"/>
          <w:bCs/>
          <w:iCs/>
        </w:rPr>
        <w:t xml:space="preserve"> (RFC) de proveedores </w:t>
      </w:r>
    </w:p>
    <w:p w:rsidR="00E73914" w:rsidRPr="00360A9A" w:rsidRDefault="00E73914" w:rsidP="00E73914">
      <w:pPr>
        <w:numPr>
          <w:ilvl w:val="0"/>
          <w:numId w:val="1"/>
        </w:numPr>
        <w:spacing w:line="360" w:lineRule="auto"/>
        <w:ind w:left="0" w:firstLine="0"/>
        <w:jc w:val="both"/>
        <w:rPr>
          <w:rFonts w:ascii="Palatino Linotype" w:eastAsia="Calibri" w:hAnsi="Palatino Linotype" w:cs="Tahoma"/>
          <w:bCs/>
          <w:lang w:val="es-ES"/>
        </w:rPr>
      </w:pPr>
      <w:r w:rsidRPr="00360A9A">
        <w:rPr>
          <w:rFonts w:ascii="Palatino Linotype" w:eastAsia="Calibri" w:hAnsi="Palatino Linotype" w:cs="Tahoma"/>
          <w:bCs/>
          <w:lang w:val="es-ES"/>
        </w:rPr>
        <w:t xml:space="preserve">Por otro </w:t>
      </w:r>
      <w:r w:rsidRPr="00360A9A">
        <w:rPr>
          <w:rFonts w:ascii="Palatino Linotype" w:hAnsi="Palatino Linotype" w:cs="Tahoma"/>
          <w:bCs/>
          <w:iCs/>
        </w:rPr>
        <w:t>lado</w:t>
      </w:r>
      <w:r w:rsidRPr="00360A9A">
        <w:rPr>
          <w:rFonts w:ascii="Palatino Linotype" w:eastAsia="Calibri" w:hAnsi="Palatino Linotype" w:cs="Tahoma"/>
          <w:bCs/>
          <w:lang w:val="es-ES"/>
        </w:rPr>
        <w:t xml:space="preserve">, el RFC de proveedores </w:t>
      </w:r>
      <w:r w:rsidRPr="00360A9A">
        <w:rPr>
          <w:rFonts w:ascii="Palatino Linotype" w:eastAsia="Calibri" w:hAnsi="Palatino Linotype" w:cs="Tahoma"/>
          <w:b/>
          <w:bCs/>
          <w:u w:val="single"/>
          <w:lang w:val="es-ES"/>
        </w:rPr>
        <w:t>no puede considerarse como clasificado</w:t>
      </w:r>
      <w:r w:rsidRPr="00360A9A">
        <w:rPr>
          <w:rFonts w:ascii="Palatino Linotype" w:eastAsia="Calibri" w:hAnsi="Palatino Linotype" w:cs="Tahoma"/>
          <w:bCs/>
          <w:lang w:val="es-ES"/>
        </w:rPr>
        <w:t xml:space="preserve"> </w:t>
      </w:r>
      <w:r w:rsidRPr="00360A9A">
        <w:rPr>
          <w:rFonts w:ascii="Palatino Linotype" w:hAnsi="Palatino Linotype" w:cs="Arial"/>
          <w:color w:val="000000"/>
        </w:rPr>
        <w:t>aun</w:t>
      </w:r>
      <w:r w:rsidRPr="00360A9A">
        <w:rPr>
          <w:rFonts w:ascii="Palatino Linotype" w:eastAsia="Calibri" w:hAnsi="Palatino Linotype" w:cs="Tahoma"/>
          <w:bCs/>
          <w:lang w:val="es-ES"/>
        </w:rPr>
        <w:t xml:space="preserve"> siendo de personas físicas ya que corresponde a un requisito indispensable para ser contratista y/o proveedor y llevar a cabo actividades comerciales con los sujetos obligados de la Entidad, ya que sin este, no se pueden realizar, por lo que su entrega es un elemento adicional que respalda la legalidad de los procesos de contratación de obra pública, como corresponde a lo solicitado.</w:t>
      </w:r>
    </w:p>
    <w:p w:rsidR="00E73914" w:rsidRPr="00360A9A" w:rsidRDefault="00E73914" w:rsidP="00E73914">
      <w:pPr>
        <w:spacing w:line="360" w:lineRule="auto"/>
        <w:ind w:right="-91"/>
        <w:jc w:val="both"/>
        <w:rPr>
          <w:rFonts w:ascii="Palatino Linotype" w:eastAsia="Calibri" w:hAnsi="Palatino Linotype" w:cs="Tahoma"/>
          <w:bCs/>
          <w:lang w:val="es-ES"/>
        </w:rPr>
      </w:pPr>
    </w:p>
    <w:p w:rsidR="00E73914" w:rsidRPr="00360A9A" w:rsidRDefault="00E73914" w:rsidP="00E73914">
      <w:pPr>
        <w:numPr>
          <w:ilvl w:val="0"/>
          <w:numId w:val="1"/>
        </w:numPr>
        <w:spacing w:line="360" w:lineRule="auto"/>
        <w:ind w:left="0" w:firstLine="0"/>
        <w:jc w:val="both"/>
        <w:rPr>
          <w:rFonts w:ascii="Palatino Linotype" w:eastAsia="Calibri" w:hAnsi="Palatino Linotype" w:cs="Tahoma"/>
          <w:bCs/>
          <w:lang w:val="es-ES"/>
        </w:rPr>
      </w:pPr>
      <w:r w:rsidRPr="00360A9A">
        <w:rPr>
          <w:rFonts w:ascii="Palatino Linotype" w:eastAsia="Calibri" w:hAnsi="Palatino Linotype" w:cs="Tahoma"/>
          <w:bCs/>
          <w:lang w:val="es-ES"/>
        </w:rPr>
        <w:lastRenderedPageBreak/>
        <w:t>En ese contexto, entregar el Registro Federal de Contribuyentes de personas físicas cuando aceptan realizar la construcción de obras públicas con recursos del erario, favorece la rendición de cuentas, al permitir verificar que se cumplió con uno de los requisitos necesarios conforme a la normatividad aplicable en materia de contrataciones, lo cual, transparenta el correcto ejercicio de recursos públicos por parte de los sujetos obligados, lo que es acorde con el principio de máxima publicidad.</w:t>
      </w:r>
    </w:p>
    <w:p w:rsidR="00E73914" w:rsidRPr="00360A9A" w:rsidRDefault="00E73914" w:rsidP="00E73914">
      <w:pPr>
        <w:spacing w:line="360" w:lineRule="auto"/>
        <w:ind w:right="-91"/>
        <w:jc w:val="both"/>
        <w:rPr>
          <w:rFonts w:ascii="Palatino Linotype" w:eastAsia="Calibri" w:hAnsi="Palatino Linotype" w:cs="Tahoma"/>
          <w:bCs/>
          <w:lang w:val="es-ES"/>
        </w:rPr>
      </w:pPr>
    </w:p>
    <w:p w:rsidR="00E73914" w:rsidRPr="00360A9A" w:rsidRDefault="00E73914" w:rsidP="00E73914">
      <w:pPr>
        <w:numPr>
          <w:ilvl w:val="0"/>
          <w:numId w:val="1"/>
        </w:numPr>
        <w:spacing w:line="360" w:lineRule="auto"/>
        <w:ind w:left="0" w:firstLine="0"/>
        <w:jc w:val="both"/>
        <w:rPr>
          <w:rFonts w:ascii="Palatino Linotype" w:eastAsia="Calibri" w:hAnsi="Palatino Linotype" w:cs="Tahoma"/>
          <w:bCs/>
          <w:lang w:val="es-ES"/>
        </w:rPr>
      </w:pPr>
      <w:r w:rsidRPr="00360A9A">
        <w:rPr>
          <w:rFonts w:ascii="Palatino Linotype" w:eastAsia="Calibri" w:hAnsi="Palatino Linotype" w:cs="Tahoma"/>
          <w:bCs/>
          <w:lang w:val="es-ES"/>
        </w:rPr>
        <w:t>No debe dejarse de lado, que cualquier persona que pretenda tener cualquier tipo de relación, laboral, empresarial, de trámites, servicios o comercial, para el caso que nos ocupa, debe en cierta medida ceder información relacionada con su vida, en aras de obtener el beneficio pretendido, como formar parte de los proveedores gubernamentales, al respecto, la información sobre la que se debe conceder publicidad sólo es aquella relacionada con el ejercicio de recursos públicos o de funciones y las facturas, pólizas y documentos en donde constan las transferencias bancarias de pagos de sujetos obligados, están vinculadas directamente con el ejercicio de recursos públicos.</w:t>
      </w:r>
    </w:p>
    <w:p w:rsidR="00420815" w:rsidRPr="00360A9A" w:rsidRDefault="00420815" w:rsidP="00420815">
      <w:pPr>
        <w:pStyle w:val="Prrafodelista"/>
        <w:rPr>
          <w:rFonts w:ascii="Palatino Linotype" w:eastAsia="Calibri" w:hAnsi="Palatino Linotype" w:cs="Tahoma"/>
          <w:bCs/>
          <w:lang w:val="es-ES"/>
        </w:rPr>
      </w:pPr>
    </w:p>
    <w:p w:rsidR="00E73914" w:rsidRPr="00360A9A" w:rsidRDefault="00E73914" w:rsidP="00E73914">
      <w:pPr>
        <w:numPr>
          <w:ilvl w:val="0"/>
          <w:numId w:val="1"/>
        </w:numPr>
        <w:spacing w:line="360" w:lineRule="auto"/>
        <w:ind w:left="0" w:firstLine="0"/>
        <w:jc w:val="both"/>
        <w:rPr>
          <w:rFonts w:ascii="Palatino Linotype" w:eastAsia="Calibri" w:hAnsi="Palatino Linotype" w:cs="Tahoma"/>
          <w:bCs/>
          <w:lang w:val="es-ES"/>
        </w:rPr>
      </w:pPr>
      <w:r w:rsidRPr="00360A9A">
        <w:rPr>
          <w:rFonts w:ascii="Palatino Linotype" w:eastAsia="Calibri" w:hAnsi="Palatino Linotype" w:cs="Tahoma"/>
          <w:bCs/>
          <w:lang w:val="es-ES"/>
        </w:rPr>
        <w:t xml:space="preserve">Por lo que refiere al RFC de personas jurídico-colectivas, se reitera que no constituyen información confidencial, tal y como lo estableció en Instituto Nacional </w:t>
      </w:r>
      <w:r w:rsidRPr="00360A9A">
        <w:rPr>
          <w:rFonts w:ascii="Palatino Linotype" w:eastAsia="Calibri" w:hAnsi="Palatino Linotype" w:cs="Tahoma"/>
          <w:bCs/>
          <w:lang w:val="es-ES"/>
        </w:rPr>
        <w:lastRenderedPageBreak/>
        <w:t>de Transparencia, Acceso a la Información Pública y Protección de Datos Personales –INAI-, en su Criterio histórico 1/2014.</w:t>
      </w:r>
    </w:p>
    <w:p w:rsidR="00E73914" w:rsidRPr="00360A9A" w:rsidRDefault="00E73914" w:rsidP="00E73914">
      <w:pPr>
        <w:spacing w:line="360" w:lineRule="auto"/>
        <w:ind w:left="567" w:right="539"/>
        <w:jc w:val="both"/>
        <w:rPr>
          <w:rFonts w:ascii="Palatino Linotype" w:eastAsia="Calibri" w:hAnsi="Palatino Linotype" w:cs="Tahoma"/>
          <w:bCs/>
          <w:i/>
          <w:lang w:val="es-ES"/>
        </w:rPr>
      </w:pPr>
      <w:r w:rsidRPr="00360A9A">
        <w:rPr>
          <w:rFonts w:ascii="Palatino Linotype" w:eastAsia="Calibri" w:hAnsi="Palatino Linotype" w:cs="Tahoma"/>
          <w:b/>
          <w:bCs/>
          <w:i/>
          <w:lang w:val="es-ES"/>
        </w:rPr>
        <w:t>Denominación o razón social, y Registro Federal de Contribuyentes de personas morales, no constituyen información confidencial</w:t>
      </w:r>
      <w:r w:rsidRPr="00360A9A">
        <w:rPr>
          <w:rFonts w:ascii="Palatino Linotype" w:eastAsia="Calibri" w:hAnsi="Palatino Linotype" w:cs="Tahoma"/>
          <w:bCs/>
          <w:i/>
          <w:lang w:val="es-ES"/>
        </w:rPr>
        <w:t>. La denominación o razón social de personas morales es pública, por encontrarse inscritas en el Registro Público de Comercio. Por lo que respecta a su Registro Federal de Contribuyentes (RFC), en principio, también es público, ya que no se refiere a hechos o actos de carácter económico, contable, jurídico o administrativo que sean útiles o representen una ventaja a sus competidores, en términos de lo dispuesto en el artículo 18, fracción I de la Ley Federal de Transparencia y Acceso a la Información Pública Gubernamental y en el Trigésimo Sexto de los Lineamientos Generales para la clasificación y desclasificación de la información de las dependencias y entidades de la Administración Pública Federal; aunado al hecho de que tampoco se trata de información concerniente a personas físicas, por lo que no puede considerarse un dato personal, con fundamento en lo previsto en el artículo 18, fracción II de ese ordenamiento legal. Por lo anterior, la denominación o razón social, así como el RFC de personas morales, no constituye información confidencial.</w:t>
      </w:r>
    </w:p>
    <w:p w:rsidR="00E73914" w:rsidRPr="00360A9A" w:rsidRDefault="00E73914" w:rsidP="00E73914">
      <w:pPr>
        <w:spacing w:line="360" w:lineRule="auto"/>
        <w:ind w:right="-91"/>
        <w:jc w:val="both"/>
        <w:rPr>
          <w:rFonts w:ascii="Palatino Linotype" w:eastAsia="Calibri" w:hAnsi="Palatino Linotype" w:cs="Tahoma"/>
          <w:bCs/>
          <w:lang w:val="es-ES"/>
        </w:rPr>
      </w:pPr>
    </w:p>
    <w:p w:rsidR="00E73914" w:rsidRPr="00360A9A" w:rsidRDefault="00E73914" w:rsidP="00E73914">
      <w:pPr>
        <w:numPr>
          <w:ilvl w:val="0"/>
          <w:numId w:val="1"/>
        </w:numPr>
        <w:spacing w:line="360" w:lineRule="auto"/>
        <w:ind w:left="0" w:firstLine="0"/>
        <w:jc w:val="both"/>
        <w:rPr>
          <w:rFonts w:ascii="Palatino Linotype" w:hAnsi="Palatino Linotype" w:cs="Tahoma"/>
        </w:rPr>
      </w:pPr>
      <w:r w:rsidRPr="00360A9A">
        <w:rPr>
          <w:rFonts w:ascii="Palatino Linotype" w:eastAsia="Calibri" w:hAnsi="Palatino Linotype" w:cs="Tahoma"/>
          <w:bCs/>
          <w:lang w:val="es-ES"/>
        </w:rPr>
        <w:t xml:space="preserve">Por consiguiente, no procede clasificar como confidencial con fundamento en el artículo 143, </w:t>
      </w:r>
      <w:r w:rsidRPr="00360A9A">
        <w:rPr>
          <w:rFonts w:ascii="Palatino Linotype" w:hAnsi="Palatino Linotype" w:cs="Tahoma"/>
        </w:rPr>
        <w:t xml:space="preserve">fracción I, </w:t>
      </w:r>
      <w:r w:rsidRPr="00360A9A">
        <w:rPr>
          <w:rFonts w:ascii="Palatino Linotype" w:eastAsia="Calibri" w:hAnsi="Palatino Linotype" w:cs="Tahoma"/>
          <w:bCs/>
          <w:lang w:val="es-ES"/>
        </w:rPr>
        <w:t>de</w:t>
      </w:r>
      <w:r w:rsidRPr="00360A9A">
        <w:rPr>
          <w:rFonts w:ascii="Palatino Linotype" w:hAnsi="Palatino Linotype" w:cs="Tahoma"/>
        </w:rPr>
        <w:t xml:space="preserve"> la Ley de Transparencia y Acceso a la Información </w:t>
      </w:r>
      <w:r w:rsidRPr="00360A9A">
        <w:rPr>
          <w:rFonts w:ascii="Palatino Linotype" w:hAnsi="Palatino Linotype" w:cs="Tahoma"/>
        </w:rPr>
        <w:lastRenderedPageBreak/>
        <w:t xml:space="preserve">Pública del </w:t>
      </w:r>
      <w:r w:rsidRPr="00360A9A">
        <w:rPr>
          <w:rFonts w:ascii="Palatino Linotype" w:eastAsia="Calibri" w:hAnsi="Palatino Linotype" w:cs="Tahoma"/>
          <w:bCs/>
          <w:lang w:val="es-ES"/>
        </w:rPr>
        <w:t>Estado</w:t>
      </w:r>
      <w:r w:rsidRPr="00360A9A">
        <w:rPr>
          <w:rFonts w:ascii="Palatino Linotype" w:hAnsi="Palatino Linotype" w:cs="Tahoma"/>
        </w:rPr>
        <w:t xml:space="preserve"> de México y Municipios y, eliminar RFC de personas físicas ni de personas jurídico-colectivas en los documentos que pudiera proporcionar el Sujeto Obligado.</w:t>
      </w:r>
    </w:p>
    <w:p w:rsidR="00E73914" w:rsidRPr="00360A9A" w:rsidRDefault="00E73914" w:rsidP="00E73914">
      <w:pPr>
        <w:spacing w:line="360" w:lineRule="auto"/>
        <w:jc w:val="both"/>
        <w:rPr>
          <w:rFonts w:ascii="Palatino Linotype" w:hAnsi="Palatino Linotype" w:cs="Tahoma"/>
        </w:rPr>
      </w:pPr>
    </w:p>
    <w:p w:rsidR="00E73914" w:rsidRPr="00360A9A" w:rsidRDefault="00E73914" w:rsidP="00E73914">
      <w:pPr>
        <w:pStyle w:val="Prrafodelista"/>
        <w:numPr>
          <w:ilvl w:val="0"/>
          <w:numId w:val="27"/>
        </w:numPr>
        <w:spacing w:line="360" w:lineRule="auto"/>
        <w:jc w:val="both"/>
        <w:rPr>
          <w:rFonts w:ascii="Palatino Linotype" w:hAnsi="Palatino Linotype" w:cs="Tahoma"/>
        </w:rPr>
      </w:pPr>
      <w:r w:rsidRPr="00360A9A">
        <w:rPr>
          <w:rFonts w:ascii="Palatino Linotype" w:hAnsi="Palatino Linotype" w:cs="Tahoma"/>
          <w:b/>
        </w:rPr>
        <w:t>Correo electrónico particular.</w:t>
      </w:r>
    </w:p>
    <w:p w:rsidR="00E73914" w:rsidRPr="00360A9A" w:rsidRDefault="00E73914" w:rsidP="00E73914">
      <w:pPr>
        <w:numPr>
          <w:ilvl w:val="0"/>
          <w:numId w:val="1"/>
        </w:numPr>
        <w:spacing w:line="360" w:lineRule="auto"/>
        <w:ind w:left="0" w:firstLine="0"/>
        <w:jc w:val="both"/>
        <w:rPr>
          <w:rFonts w:ascii="Palatino Linotype" w:eastAsia="Calibri" w:hAnsi="Palatino Linotype" w:cs="Tahoma"/>
          <w:bCs/>
        </w:rPr>
      </w:pPr>
      <w:r w:rsidRPr="00360A9A">
        <w:rPr>
          <w:rFonts w:ascii="Palatino Linotype" w:eastAsia="Calibri" w:hAnsi="Palatino Linotype" w:cs="Tahoma"/>
          <w:bCs/>
        </w:rPr>
        <w:t xml:space="preserve">El </w:t>
      </w:r>
      <w:r w:rsidRPr="00360A9A">
        <w:rPr>
          <w:rFonts w:ascii="Palatino Linotype" w:hAnsi="Palatino Linotype" w:cs="Tahoma"/>
        </w:rPr>
        <w:t>correo</w:t>
      </w:r>
      <w:r w:rsidRPr="00360A9A">
        <w:rPr>
          <w:rFonts w:ascii="Palatino Linotype" w:eastAsia="Calibri" w:hAnsi="Palatino Linotype" w:cs="Tahoma"/>
          <w:bCs/>
        </w:rPr>
        <w:t xml:space="preserve"> electrónico es un sistema de transmisión de mensajes por computadora a través de redes informáticas. Dicho dato se puede asimilar al teléfono o domicilio particular, cuya nomenclatura, se considera como un dato personal, </w:t>
      </w:r>
      <w:r w:rsidRPr="00360A9A">
        <w:rPr>
          <w:rFonts w:ascii="Palatino Linotype" w:eastAsia="Calibri" w:hAnsi="Palatino Linotype" w:cs="Tahoma"/>
          <w:bCs/>
          <w:lang w:val="es-ES"/>
        </w:rPr>
        <w:t>toda</w:t>
      </w:r>
      <w:r w:rsidRPr="00360A9A">
        <w:rPr>
          <w:rFonts w:ascii="Palatino Linotype" w:eastAsia="Calibri" w:hAnsi="Palatino Linotype" w:cs="Tahoma"/>
          <w:bCs/>
        </w:rPr>
        <w:t xml:space="preserve"> vez que es un medio para comunicarse con la persona titular del mismo, la hace localizable e incluso identificable, al poder estar conformado por parte de su nombre o bien, fecha de nacimiento.</w:t>
      </w:r>
    </w:p>
    <w:p w:rsidR="00E73914" w:rsidRPr="00360A9A" w:rsidRDefault="00E73914" w:rsidP="00E73914">
      <w:pPr>
        <w:numPr>
          <w:ilvl w:val="0"/>
          <w:numId w:val="1"/>
        </w:numPr>
        <w:spacing w:line="360" w:lineRule="auto"/>
        <w:ind w:left="0" w:firstLine="0"/>
        <w:jc w:val="both"/>
        <w:rPr>
          <w:rFonts w:ascii="Palatino Linotype" w:eastAsia="Calibri" w:hAnsi="Palatino Linotype" w:cs="Tahoma"/>
          <w:bCs/>
        </w:rPr>
      </w:pPr>
      <w:r w:rsidRPr="00360A9A">
        <w:rPr>
          <w:rFonts w:ascii="Palatino Linotype" w:eastAsia="Calibri" w:hAnsi="Palatino Linotype" w:cs="Tahoma"/>
          <w:bCs/>
        </w:rPr>
        <w:t xml:space="preserve">En ese sentido,  cabe señalar que el correo electrónico en estudio fue proporcionado por una </w:t>
      </w:r>
      <w:r w:rsidRPr="00360A9A">
        <w:rPr>
          <w:rFonts w:ascii="Palatino Linotype" w:hAnsi="Palatino Linotype" w:cs="Tahoma"/>
        </w:rPr>
        <w:t>servidora</w:t>
      </w:r>
      <w:r w:rsidRPr="00360A9A">
        <w:rPr>
          <w:rFonts w:ascii="Palatino Linotype" w:eastAsia="Calibri" w:hAnsi="Palatino Linotype" w:cs="Tahoma"/>
          <w:bCs/>
        </w:rPr>
        <w:t xml:space="preserve"> pública en su carácter de particular, por lo que, mantiene su carácter primigenio, es decir, que la titularidad de dicho dato corresponde a la persona física y no así en su calidad de trabajador del Gobierno; por lo que corresponde a un dato personal que actualiza la causal de clasificación establecida en el artículo 143, fracción I de la Ley de Transparencia y Acceso a la Información Pública del Estado de México y Municipios.</w:t>
      </w:r>
    </w:p>
    <w:p w:rsidR="00E73914" w:rsidRPr="00360A9A" w:rsidRDefault="00E73914" w:rsidP="00E73914">
      <w:pPr>
        <w:spacing w:line="360" w:lineRule="auto"/>
        <w:jc w:val="both"/>
        <w:rPr>
          <w:rFonts w:ascii="Palatino Linotype" w:eastAsia="Calibri" w:hAnsi="Palatino Linotype" w:cs="Tahoma"/>
          <w:bCs/>
        </w:rPr>
      </w:pPr>
    </w:p>
    <w:p w:rsidR="00E73914" w:rsidRPr="00360A9A" w:rsidRDefault="00E73914" w:rsidP="00E73914">
      <w:pPr>
        <w:pStyle w:val="Prrafodelista"/>
        <w:numPr>
          <w:ilvl w:val="0"/>
          <w:numId w:val="27"/>
        </w:numPr>
        <w:spacing w:line="360" w:lineRule="auto"/>
        <w:jc w:val="both"/>
        <w:rPr>
          <w:rFonts w:ascii="Palatino Linotype" w:hAnsi="Palatino Linotype" w:cs="Tahoma"/>
        </w:rPr>
      </w:pPr>
      <w:r w:rsidRPr="00360A9A">
        <w:rPr>
          <w:rFonts w:ascii="Palatino Linotype" w:hAnsi="Palatino Linotype" w:cs="Tahoma"/>
          <w:b/>
        </w:rPr>
        <w:t>Teléfono particular.</w:t>
      </w:r>
    </w:p>
    <w:p w:rsidR="00E73914" w:rsidRPr="00360A9A" w:rsidRDefault="00E73914" w:rsidP="00E73914">
      <w:pPr>
        <w:numPr>
          <w:ilvl w:val="0"/>
          <w:numId w:val="1"/>
        </w:numPr>
        <w:spacing w:line="360" w:lineRule="auto"/>
        <w:ind w:left="0" w:firstLine="0"/>
        <w:jc w:val="both"/>
        <w:rPr>
          <w:rFonts w:ascii="Palatino Linotype" w:hAnsi="Palatino Linotype" w:cs="Tahoma"/>
        </w:rPr>
      </w:pPr>
      <w:r w:rsidRPr="00360A9A">
        <w:rPr>
          <w:rFonts w:ascii="Palatino Linotype" w:hAnsi="Palatino Linotype" w:cs="Tahoma"/>
        </w:rPr>
        <w:lastRenderedPageBreak/>
        <w:t xml:space="preserve">Al igual que el correo electrónico, el número asignado a un teléfono particular permite </w:t>
      </w:r>
      <w:r w:rsidRPr="00360A9A">
        <w:rPr>
          <w:rFonts w:ascii="Palatino Linotype" w:eastAsia="Calibri" w:hAnsi="Palatino Linotype" w:cs="Tahoma"/>
          <w:bCs/>
        </w:rPr>
        <w:t>localizar</w:t>
      </w:r>
      <w:r w:rsidRPr="00360A9A">
        <w:rPr>
          <w:rFonts w:ascii="Palatino Linotype" w:hAnsi="Palatino Linotype" w:cs="Tahoma"/>
        </w:rPr>
        <w:t xml:space="preserve"> a una persona física identificada o identificable, ya sea a través de un dispositivo móvil o bien, en un lugar como el domicilio. </w:t>
      </w:r>
    </w:p>
    <w:p w:rsidR="00E73914" w:rsidRPr="00360A9A" w:rsidRDefault="00E73914" w:rsidP="00E73914">
      <w:pPr>
        <w:spacing w:line="360" w:lineRule="auto"/>
        <w:jc w:val="both"/>
        <w:rPr>
          <w:rFonts w:ascii="Palatino Linotype" w:hAnsi="Palatino Linotype" w:cs="Tahoma"/>
        </w:rPr>
      </w:pPr>
    </w:p>
    <w:p w:rsidR="00E73914" w:rsidRPr="00360A9A" w:rsidRDefault="00E73914" w:rsidP="00E73914">
      <w:pPr>
        <w:numPr>
          <w:ilvl w:val="0"/>
          <w:numId w:val="1"/>
        </w:numPr>
        <w:spacing w:line="360" w:lineRule="auto"/>
        <w:ind w:left="0" w:firstLine="0"/>
        <w:jc w:val="both"/>
        <w:rPr>
          <w:rFonts w:ascii="Palatino Linotype" w:hAnsi="Palatino Linotype" w:cs="Tahoma"/>
        </w:rPr>
      </w:pPr>
      <w:r w:rsidRPr="00360A9A">
        <w:rPr>
          <w:rFonts w:ascii="Palatino Linotype" w:hAnsi="Palatino Linotype" w:cs="Tahoma"/>
        </w:rPr>
        <w:t>En ese sentido, se colige que si bien fue proporcionado por la ahora servidora pública que ocupa el cargo de Titular de la Unidad de Transparencia, lo cierto es que fue proporcionado como número contacto, para poder ser localizada de manera privada; por lo que, la titularidad del mismo, al igual que el correo electrónico analizado, corresponde a la persona física en su calidad de particular y no como servidor público.</w:t>
      </w:r>
    </w:p>
    <w:p w:rsidR="00E73914" w:rsidRPr="00360A9A" w:rsidRDefault="00E73914" w:rsidP="00E73914">
      <w:pPr>
        <w:spacing w:line="360" w:lineRule="auto"/>
        <w:jc w:val="both"/>
        <w:rPr>
          <w:rFonts w:ascii="Palatino Linotype" w:hAnsi="Palatino Linotype" w:cs="Tahoma"/>
        </w:rPr>
      </w:pPr>
    </w:p>
    <w:p w:rsidR="00E73914" w:rsidRPr="00360A9A" w:rsidRDefault="00E73914" w:rsidP="00E73914">
      <w:pPr>
        <w:numPr>
          <w:ilvl w:val="0"/>
          <w:numId w:val="1"/>
        </w:numPr>
        <w:spacing w:line="360" w:lineRule="auto"/>
        <w:ind w:left="0" w:firstLine="0"/>
        <w:jc w:val="both"/>
        <w:rPr>
          <w:rFonts w:ascii="Palatino Linotype" w:hAnsi="Palatino Linotype" w:cs="Tahoma"/>
        </w:rPr>
      </w:pPr>
      <w:r w:rsidRPr="00360A9A">
        <w:rPr>
          <w:rFonts w:ascii="Palatino Linotype" w:hAnsi="Palatino Linotype" w:cs="Tahoma"/>
        </w:rPr>
        <w:t>En tales consideraciones, dicho dato persona es susceptible de ser clasificado como confidencial, con fundamento en el artículo 143, fracción I de la Ley de Transparencia y Acceso a la Información Pública.</w:t>
      </w:r>
    </w:p>
    <w:p w:rsidR="00E73914" w:rsidRPr="00360A9A" w:rsidRDefault="00E73914" w:rsidP="00E73914">
      <w:pPr>
        <w:spacing w:line="360" w:lineRule="auto"/>
        <w:ind w:right="-93"/>
        <w:jc w:val="both"/>
        <w:rPr>
          <w:rFonts w:ascii="Palatino Linotype" w:hAnsi="Palatino Linotype" w:cs="Tahoma"/>
        </w:rPr>
      </w:pPr>
    </w:p>
    <w:p w:rsidR="00E73914" w:rsidRPr="00360A9A" w:rsidRDefault="00E73914" w:rsidP="00E73914">
      <w:pPr>
        <w:pStyle w:val="Prrafodelista"/>
        <w:numPr>
          <w:ilvl w:val="0"/>
          <w:numId w:val="27"/>
        </w:numPr>
        <w:spacing w:line="360" w:lineRule="auto"/>
        <w:jc w:val="both"/>
        <w:rPr>
          <w:rFonts w:ascii="Palatino Linotype" w:hAnsi="Palatino Linotype" w:cs="Tahoma"/>
        </w:rPr>
      </w:pPr>
      <w:r w:rsidRPr="00360A9A">
        <w:rPr>
          <w:rFonts w:ascii="Palatino Linotype" w:hAnsi="Palatino Linotype" w:cs="Tahoma"/>
          <w:b/>
        </w:rPr>
        <w:t>Domicilio particular y fiscal.</w:t>
      </w:r>
    </w:p>
    <w:p w:rsidR="00E73914" w:rsidRPr="00360A9A" w:rsidRDefault="00E73914" w:rsidP="00E73914">
      <w:pPr>
        <w:numPr>
          <w:ilvl w:val="0"/>
          <w:numId w:val="1"/>
        </w:numPr>
        <w:spacing w:line="360" w:lineRule="auto"/>
        <w:ind w:left="0" w:firstLine="0"/>
        <w:jc w:val="both"/>
        <w:rPr>
          <w:rFonts w:ascii="Palatino Linotype" w:hAnsi="Palatino Linotype" w:cs="Tahoma"/>
        </w:rPr>
      </w:pPr>
      <w:r w:rsidRPr="00360A9A">
        <w:rPr>
          <w:rFonts w:ascii="Palatino Linotype" w:hAnsi="Palatino Linotype" w:cs="Tahoma"/>
        </w:rPr>
        <w:t xml:space="preserve">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rsidR="00E73914" w:rsidRPr="00360A9A" w:rsidRDefault="00E73914" w:rsidP="00E73914">
      <w:pPr>
        <w:spacing w:line="360" w:lineRule="auto"/>
        <w:ind w:right="-93"/>
        <w:jc w:val="both"/>
        <w:rPr>
          <w:rFonts w:ascii="Palatino Linotype" w:hAnsi="Palatino Linotype" w:cs="Tahoma"/>
        </w:rPr>
      </w:pPr>
    </w:p>
    <w:p w:rsidR="00E73914" w:rsidRPr="00360A9A" w:rsidRDefault="00E73914" w:rsidP="00E73914">
      <w:pPr>
        <w:numPr>
          <w:ilvl w:val="0"/>
          <w:numId w:val="1"/>
        </w:numPr>
        <w:spacing w:line="360" w:lineRule="auto"/>
        <w:ind w:left="0" w:firstLine="0"/>
        <w:jc w:val="both"/>
        <w:rPr>
          <w:rFonts w:ascii="Palatino Linotype" w:hAnsi="Palatino Linotype" w:cs="Tahoma"/>
          <w:b/>
        </w:rPr>
      </w:pPr>
      <w:r w:rsidRPr="00360A9A">
        <w:rPr>
          <w:rFonts w:ascii="Palatino Linotype" w:hAnsi="Palatino Linotype" w:cs="Tahoma"/>
        </w:rPr>
        <w:t>De la misma manera, lo establece el artículo 29 del Código Civil Federal, al precisar que el domicilio de personas físicas</w:t>
      </w:r>
      <w:r w:rsidRPr="00360A9A">
        <w:rPr>
          <w:rFonts w:ascii="Palatino Linotype" w:hAnsi="Palatino Linotype" w:cs="Tahoma"/>
          <w:b/>
        </w:rPr>
        <w:t xml:space="preserve">, </w:t>
      </w:r>
      <w:r w:rsidRPr="00360A9A">
        <w:rPr>
          <w:rFonts w:ascii="Palatino Linotype" w:hAnsi="Palatino Linotype" w:cs="Tahoma"/>
        </w:rPr>
        <w:t>es el lugar donde residen habitualmente, el lugar del centro principal de sus negocios, donde residan o el lugar donde se encuentren.</w:t>
      </w:r>
    </w:p>
    <w:p w:rsidR="00E73914" w:rsidRPr="00360A9A" w:rsidRDefault="00E73914" w:rsidP="00E73914">
      <w:pPr>
        <w:spacing w:line="360" w:lineRule="auto"/>
        <w:ind w:right="-93"/>
        <w:jc w:val="both"/>
        <w:rPr>
          <w:rFonts w:ascii="Palatino Linotype" w:hAnsi="Palatino Linotype" w:cs="Tahoma"/>
          <w:b/>
        </w:rPr>
      </w:pPr>
    </w:p>
    <w:p w:rsidR="00E73914" w:rsidRPr="00360A9A" w:rsidRDefault="00E73914" w:rsidP="00E73914">
      <w:pPr>
        <w:numPr>
          <w:ilvl w:val="0"/>
          <w:numId w:val="1"/>
        </w:numPr>
        <w:spacing w:line="360" w:lineRule="auto"/>
        <w:ind w:left="0" w:firstLine="0"/>
        <w:jc w:val="both"/>
        <w:rPr>
          <w:rFonts w:ascii="Palatino Linotype" w:hAnsi="Palatino Linotype" w:cs="Tahoma"/>
        </w:rPr>
      </w:pPr>
      <w:r w:rsidRPr="00360A9A">
        <w:rPr>
          <w:rFonts w:ascii="Palatino Linotype" w:hAnsi="Palatino Linotype" w:cs="Tahoma"/>
        </w:rPr>
        <w:t>En ese contexto, si bien es cierto que, tratándose de personas físicas, su domicilio fiscal puede ser tanto aquel en donde residen como aquel en donde realizan sus actividades empresariales, toda vez que este se inserta en contratos, facturas y documentos para dar cuenta de que se entran dadas de alta la autoridad fiscal, motivo por el cual al haber aceptado tener relaciones comerciales con los Sujetos Obligados, también aceptan tener una expectativa menor de protección en cuanto a su publicidad, por lo tanto, tratándose del domicilio fiscal de personas físicas no se actualiza el supuesto de confidencialidad previsto en la fracción I, del artículo 143 de la Ley de Transparencia y Acceso a la Información Pública del Estado de México y Municipios y procede ordenar su entrega.</w:t>
      </w:r>
    </w:p>
    <w:p w:rsidR="00E73914" w:rsidRPr="00360A9A" w:rsidRDefault="00E73914" w:rsidP="00E73914">
      <w:pPr>
        <w:spacing w:line="360" w:lineRule="auto"/>
        <w:ind w:right="-93"/>
        <w:jc w:val="both"/>
        <w:rPr>
          <w:rFonts w:ascii="Palatino Linotype" w:hAnsi="Palatino Linotype" w:cs="Tahoma"/>
        </w:rPr>
      </w:pPr>
    </w:p>
    <w:p w:rsidR="00E73914" w:rsidRPr="00360A9A" w:rsidRDefault="00E73914" w:rsidP="00E73914">
      <w:pPr>
        <w:pStyle w:val="Prrafodelista"/>
        <w:numPr>
          <w:ilvl w:val="0"/>
          <w:numId w:val="27"/>
        </w:numPr>
        <w:spacing w:line="360" w:lineRule="auto"/>
        <w:jc w:val="both"/>
        <w:rPr>
          <w:rFonts w:ascii="Palatino Linotype" w:hAnsi="Palatino Linotype" w:cs="Tahoma"/>
        </w:rPr>
      </w:pPr>
      <w:r w:rsidRPr="00360A9A">
        <w:rPr>
          <w:rFonts w:ascii="Palatino Linotype" w:hAnsi="Palatino Linotype" w:cs="Tahoma"/>
          <w:b/>
        </w:rPr>
        <w:t>Datos Bancarios:</w:t>
      </w:r>
    </w:p>
    <w:p w:rsidR="00E73914" w:rsidRPr="00360A9A" w:rsidRDefault="00E73914" w:rsidP="00E73914">
      <w:pPr>
        <w:numPr>
          <w:ilvl w:val="0"/>
          <w:numId w:val="1"/>
        </w:numPr>
        <w:spacing w:line="360" w:lineRule="auto"/>
        <w:ind w:left="0" w:firstLine="0"/>
        <w:jc w:val="both"/>
        <w:rPr>
          <w:rFonts w:ascii="Palatino Linotype" w:hAnsi="Palatino Linotype" w:cs="Tahoma"/>
        </w:rPr>
      </w:pPr>
      <w:r w:rsidRPr="00360A9A">
        <w:rPr>
          <w:rFonts w:ascii="Palatino Linotype" w:hAnsi="Palatino Linotype" w:cs="Tahoma"/>
        </w:rPr>
        <w:t xml:space="preserve">Al respecto, se estima que dichos datos se relacionan con hechos y actos de carácter económico, pues los mismos darían cuenta, de la relación que tiene una institución financiero con un particular, inclusive dichos datos pudieran </w:t>
      </w:r>
      <w:r w:rsidRPr="00360A9A">
        <w:rPr>
          <w:rFonts w:ascii="Palatino Linotype" w:hAnsi="Palatino Linotype" w:cs="Tahoma"/>
        </w:rPr>
        <w:lastRenderedPageBreak/>
        <w:t xml:space="preserve">conformarse de las cuentas bancarias con las que cuenta la servidora pública, o bien, la </w:t>
      </w:r>
      <w:proofErr w:type="spellStart"/>
      <w:r w:rsidRPr="00360A9A">
        <w:rPr>
          <w:rFonts w:ascii="Palatino Linotype" w:hAnsi="Palatino Linotype" w:cs="Tahoma"/>
        </w:rPr>
        <w:t>clabe</w:t>
      </w:r>
      <w:proofErr w:type="spellEnd"/>
      <w:r w:rsidRPr="00360A9A">
        <w:rPr>
          <w:rFonts w:ascii="Palatino Linotype" w:hAnsi="Palatino Linotype" w:cs="Tahoma"/>
        </w:rPr>
        <w:t xml:space="preserve"> interbancaria; además, que con dicha información se podría obtener los recursos enviados a las órdenes de cargo, pago de nómina o a las transferencias electrónicas e fondos interbancarios, entre otros movimientos que sean utilizados exclusivamente en la cuenta señalada por el cliente y por lo tanto, los datos bancarios corresponden a información que se encuentra relacionada con el patrimonio de la persona titular de la cuenta, en el presente caso de la Titular de la Unidad de Transparencia, en su calidad de particular.</w:t>
      </w:r>
    </w:p>
    <w:p w:rsidR="00E73914" w:rsidRPr="00360A9A" w:rsidRDefault="00E73914" w:rsidP="00E73914">
      <w:pPr>
        <w:spacing w:line="360" w:lineRule="auto"/>
        <w:ind w:right="-93"/>
        <w:jc w:val="both"/>
        <w:rPr>
          <w:rFonts w:ascii="Palatino Linotype" w:hAnsi="Palatino Linotype" w:cs="Tahoma"/>
        </w:rPr>
      </w:pPr>
      <w:r w:rsidRPr="00360A9A">
        <w:rPr>
          <w:rFonts w:ascii="Palatino Linotype" w:hAnsi="Palatino Linotype" w:cs="Tahoma"/>
        </w:rPr>
        <w:t xml:space="preserve"> </w:t>
      </w:r>
    </w:p>
    <w:p w:rsidR="00E73914" w:rsidRPr="00360A9A" w:rsidRDefault="00E73914" w:rsidP="00E73914">
      <w:pPr>
        <w:numPr>
          <w:ilvl w:val="0"/>
          <w:numId w:val="1"/>
        </w:numPr>
        <w:spacing w:line="360" w:lineRule="auto"/>
        <w:ind w:left="0" w:firstLine="0"/>
        <w:jc w:val="both"/>
        <w:rPr>
          <w:rFonts w:ascii="Palatino Linotype" w:hAnsi="Palatino Linotype" w:cs="Tahoma"/>
        </w:rPr>
      </w:pPr>
      <w:r w:rsidRPr="00360A9A">
        <w:rPr>
          <w:rFonts w:ascii="Palatino Linotype" w:hAnsi="Palatino Linotype" w:cs="Tahoma"/>
        </w:rPr>
        <w:t>A mayor abundamiento, resulta necesario traer a colación el Criterio 10/17 emitido por el Instituto Nacional de Transparencia, Acceso a la Información y Protección de Datos Personales, mismo que establece lo siguiente:</w:t>
      </w:r>
    </w:p>
    <w:p w:rsidR="00E73914" w:rsidRPr="00360A9A" w:rsidRDefault="00E73914" w:rsidP="00E73914">
      <w:pPr>
        <w:shd w:val="clear" w:color="auto" w:fill="FFFFFF" w:themeFill="background1"/>
        <w:spacing w:line="360" w:lineRule="auto"/>
        <w:ind w:left="567" w:right="567"/>
        <w:jc w:val="both"/>
        <w:rPr>
          <w:rFonts w:ascii="Palatino Linotype" w:hAnsi="Palatino Linotype" w:cs="Tahoma"/>
          <w:i/>
        </w:rPr>
      </w:pPr>
      <w:r w:rsidRPr="00360A9A">
        <w:rPr>
          <w:rFonts w:ascii="Palatino Linotype" w:hAnsi="Palatino Linotype" w:cs="Tahoma"/>
          <w:i/>
        </w:rPr>
        <w:t>“</w:t>
      </w:r>
      <w:r w:rsidRPr="00360A9A">
        <w:rPr>
          <w:rFonts w:ascii="Palatino Linotype" w:hAnsi="Palatino Linotype" w:cs="Tahoma"/>
          <w:b/>
          <w:i/>
        </w:rPr>
        <w:t>Cuentas bancarias y/o CLABE interbancaria de personas físicas y morales privadas.</w:t>
      </w:r>
      <w:r w:rsidRPr="00360A9A">
        <w:rPr>
          <w:rFonts w:ascii="Palatino Linotype" w:hAnsi="Palatino Linotype" w:cs="Tahoma"/>
          <w:i/>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E73914" w:rsidRPr="00360A9A" w:rsidRDefault="00E73914" w:rsidP="00E73914">
      <w:pPr>
        <w:spacing w:line="360" w:lineRule="auto"/>
        <w:contextualSpacing/>
        <w:jc w:val="both"/>
        <w:rPr>
          <w:rFonts w:ascii="Palatino Linotype" w:hAnsi="Palatino Linotype" w:cs="Tahoma"/>
          <w:lang w:eastAsia="es-MX"/>
        </w:rPr>
      </w:pPr>
    </w:p>
    <w:p w:rsidR="00E73914" w:rsidRPr="00360A9A" w:rsidRDefault="00E73914" w:rsidP="00E73914">
      <w:pPr>
        <w:numPr>
          <w:ilvl w:val="0"/>
          <w:numId w:val="1"/>
        </w:numPr>
        <w:spacing w:line="360" w:lineRule="auto"/>
        <w:ind w:left="0" w:firstLine="0"/>
        <w:jc w:val="both"/>
        <w:rPr>
          <w:rFonts w:ascii="Palatino Linotype" w:hAnsi="Palatino Linotype" w:cs="Arial"/>
          <w:color w:val="000000"/>
        </w:rPr>
      </w:pPr>
      <w:r w:rsidRPr="00360A9A">
        <w:rPr>
          <w:rFonts w:ascii="Palatino Linotype" w:hAnsi="Palatino Linotype" w:cs="Tahoma"/>
          <w:lang w:eastAsia="es-MX"/>
        </w:rPr>
        <w:t xml:space="preserve">Por lo cual, se puede colegir que dichos datos no guardan relación con el servicio </w:t>
      </w:r>
      <w:r w:rsidRPr="00360A9A">
        <w:rPr>
          <w:rFonts w:ascii="Palatino Linotype" w:hAnsi="Palatino Linotype" w:cs="Tahoma"/>
        </w:rPr>
        <w:t>público</w:t>
      </w:r>
      <w:r w:rsidRPr="00360A9A">
        <w:rPr>
          <w:rFonts w:ascii="Palatino Linotype" w:hAnsi="Palatino Linotype" w:cs="Tahoma"/>
          <w:lang w:eastAsia="es-MX"/>
        </w:rPr>
        <w:t xml:space="preserve"> ni con los recursos públicos, pues solo corresponde a información, que le atañe a la institución financiera y al cliente; por lo que este número constituye información confidencial al pertenecer exclusivamente al ámbito de la vida privada del trabajador y procede su eliminación de conformidad con el </w:t>
      </w:r>
      <w:r w:rsidRPr="00360A9A">
        <w:rPr>
          <w:rFonts w:ascii="Palatino Linotype" w:hAnsi="Palatino Linotype" w:cs="Tahoma"/>
        </w:rPr>
        <w:t>artículo 143, fracción I, de la Ley de Transparencia y Acceso a la Información Pública del Estado de México y Municipios.</w:t>
      </w:r>
    </w:p>
    <w:p w:rsidR="00E73914" w:rsidRPr="00360A9A" w:rsidRDefault="00E73914" w:rsidP="00E73914">
      <w:pPr>
        <w:pStyle w:val="Prrafodelista"/>
        <w:rPr>
          <w:rFonts w:ascii="Palatino Linotype" w:hAnsi="Palatino Linotype" w:cs="Arial"/>
          <w:color w:val="000000"/>
        </w:rPr>
      </w:pPr>
    </w:p>
    <w:p w:rsidR="003477AE" w:rsidRPr="00360A9A" w:rsidRDefault="003477AE" w:rsidP="003477AE">
      <w:pPr>
        <w:numPr>
          <w:ilvl w:val="0"/>
          <w:numId w:val="1"/>
        </w:numPr>
        <w:spacing w:line="360" w:lineRule="auto"/>
        <w:ind w:left="0" w:firstLine="0"/>
        <w:jc w:val="both"/>
        <w:rPr>
          <w:rFonts w:ascii="Palatino Linotype" w:hAnsi="Palatino Linotype" w:cs="Arial"/>
          <w:color w:val="000000"/>
        </w:rPr>
      </w:pPr>
      <w:r w:rsidRPr="00360A9A">
        <w:rPr>
          <w:rFonts w:ascii="Palatino Linotype" w:hAnsi="Palatino Linotype" w:cs="Arial"/>
          <w:color w:val="000000"/>
        </w:rPr>
        <w:t xml:space="preserve">No pasa desapercibido para este Órgano Garante que los </w:t>
      </w:r>
      <w:r w:rsidRPr="00360A9A">
        <w:rPr>
          <w:rFonts w:ascii="Palatino Linotype" w:hAnsi="Palatino Linotype" w:cs="Arial"/>
          <w:b/>
          <w:bCs/>
          <w:color w:val="000000"/>
        </w:rPr>
        <w:t xml:space="preserve">Sujetos Obligados </w:t>
      </w:r>
      <w:r w:rsidRPr="00360A9A">
        <w:rPr>
          <w:rFonts w:ascii="Palatino Linotype"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3477AE" w:rsidRPr="00360A9A" w:rsidRDefault="003477AE" w:rsidP="003477AE">
      <w:pPr>
        <w:spacing w:line="360" w:lineRule="auto"/>
        <w:ind w:right="49"/>
        <w:contextualSpacing/>
        <w:jc w:val="both"/>
        <w:rPr>
          <w:rFonts w:ascii="Palatino Linotype" w:hAnsi="Palatino Linotype" w:cs="Arial"/>
          <w:color w:val="000000"/>
        </w:rPr>
      </w:pPr>
    </w:p>
    <w:tbl>
      <w:tblPr>
        <w:tblStyle w:val="Tablanormal1"/>
        <w:tblW w:w="0" w:type="auto"/>
        <w:tblLook w:val="04A0" w:firstRow="1" w:lastRow="0" w:firstColumn="1" w:lastColumn="0" w:noHBand="0" w:noVBand="1"/>
      </w:tblPr>
      <w:tblGrid>
        <w:gridCol w:w="1838"/>
        <w:gridCol w:w="6990"/>
      </w:tblGrid>
      <w:tr w:rsidR="003477AE" w:rsidRPr="00360A9A" w:rsidTr="003477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rsidR="003477AE" w:rsidRPr="00360A9A" w:rsidRDefault="003477AE" w:rsidP="003477AE">
            <w:pPr>
              <w:spacing w:line="360" w:lineRule="auto"/>
              <w:rPr>
                <w:rFonts w:ascii="Palatino Linotype" w:hAnsi="Palatino Linotype"/>
                <w:bCs w:val="0"/>
              </w:rPr>
            </w:pPr>
            <w:r w:rsidRPr="00360A9A">
              <w:rPr>
                <w:rFonts w:ascii="Palatino Linotype" w:hAnsi="Palatino Linotype" w:cstheme="majorBidi"/>
                <w:bCs w:val="0"/>
              </w:rPr>
              <w:t>a) Requisitos previos.</w:t>
            </w:r>
          </w:p>
        </w:tc>
        <w:tc>
          <w:tcPr>
            <w:tcW w:w="6990" w:type="dxa"/>
            <w:hideMark/>
          </w:tcPr>
          <w:p w:rsidR="003477AE" w:rsidRPr="00360A9A" w:rsidRDefault="003477AE" w:rsidP="003477AE">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360A9A">
              <w:rPr>
                <w:rFonts w:ascii="Palatino Linotype" w:hAnsi="Palatino Linotype" w:cs="Arial"/>
                <w:b w:val="0"/>
                <w:bCs w:val="0"/>
                <w:color w:val="00000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3477AE" w:rsidRPr="00360A9A" w:rsidRDefault="003477AE" w:rsidP="003477AE">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360A9A">
              <w:rPr>
                <w:rFonts w:ascii="Palatino Linotype" w:hAnsi="Palatino Linotype" w:cs="Arial"/>
                <w:b w:val="0"/>
                <w:bCs w:val="0"/>
                <w:color w:val="000000"/>
              </w:rPr>
              <w:lastRenderedPageBreak/>
              <w:t>Al hacerlo tienen que precisar de qué información se trata, señalando el supuesto de clasificación (confidencialidad o reserva).</w:t>
            </w:r>
          </w:p>
          <w:p w:rsidR="003477AE" w:rsidRPr="00360A9A" w:rsidRDefault="003477AE" w:rsidP="003477AE">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360A9A">
              <w:rPr>
                <w:rFonts w:ascii="Palatino Linotype" w:hAnsi="Palatino Linotype" w:cs="Arial"/>
                <w:b w:val="0"/>
                <w:bCs w:val="0"/>
                <w:color w:val="000000"/>
              </w:rPr>
              <w:t>Además, se debe señalar el procedimiento, de los tres que establecen los artículos 132 y 106 de la Ley Estatal y General, respectivamente.</w:t>
            </w:r>
          </w:p>
          <w:p w:rsidR="003477AE" w:rsidRPr="00360A9A" w:rsidRDefault="003477AE" w:rsidP="003477AE">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rPr>
            </w:pPr>
            <w:r w:rsidRPr="00360A9A">
              <w:rPr>
                <w:rFonts w:ascii="Palatino Linotype" w:hAnsi="Palatino Linotype" w:cs="Arial"/>
                <w:b w:val="0"/>
                <w:bCs w:val="0"/>
                <w:color w:val="000000"/>
              </w:rPr>
              <w:t xml:space="preserve">El último de estos requisitos previos consiste en que no se pueden emitir acuerdos de carácter general ni particular, esto es, </w:t>
            </w:r>
            <w:r w:rsidRPr="00360A9A">
              <w:rPr>
                <w:rFonts w:ascii="Palatino Linotype" w:hAnsi="Palatino Linotype" w:cs="Arial"/>
                <w:b w:val="0"/>
                <w:bCs w:val="0"/>
                <w:color w:val="000000"/>
                <w:u w:val="single"/>
              </w:rPr>
              <w:t>no se puede hacer un acuerdo para clasificar de manera general todos los documentos de un expediente o área, sin</w:t>
            </w:r>
            <w:r w:rsidRPr="00360A9A">
              <w:rPr>
                <w:rFonts w:ascii="Palatino Linotype" w:hAnsi="Palatino Linotype" w:cs="Arial"/>
                <w:b w:val="0"/>
                <w:bCs w:val="0"/>
                <w:color w:val="000000"/>
              </w:rPr>
              <w:t xml:space="preserve"> individualizar su análisis y tampoco se puede hacer un acuerdo por cada dato que se vaya a clasificar dentro de un documento con diez datos, por ejemplo, susceptibles de ser clasificados.</w:t>
            </w:r>
          </w:p>
        </w:tc>
      </w:tr>
      <w:tr w:rsidR="003477AE" w:rsidRPr="00360A9A" w:rsidTr="00347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rsidR="003477AE" w:rsidRPr="00360A9A" w:rsidRDefault="003477AE" w:rsidP="003477AE">
            <w:pPr>
              <w:spacing w:line="360" w:lineRule="auto"/>
              <w:rPr>
                <w:rFonts w:ascii="Palatino Linotype" w:hAnsi="Palatino Linotype"/>
                <w:bCs w:val="0"/>
              </w:rPr>
            </w:pPr>
            <w:r w:rsidRPr="00360A9A">
              <w:rPr>
                <w:rFonts w:ascii="Palatino Linotype" w:hAnsi="Palatino Linotype" w:cstheme="majorBidi"/>
                <w:bCs w:val="0"/>
              </w:rPr>
              <w:lastRenderedPageBreak/>
              <w:t>b) Supuestos de clasificación.</w:t>
            </w:r>
          </w:p>
        </w:tc>
        <w:tc>
          <w:tcPr>
            <w:tcW w:w="6990" w:type="dxa"/>
            <w:hideMark/>
          </w:tcPr>
          <w:p w:rsidR="003477AE" w:rsidRPr="00360A9A" w:rsidRDefault="003477AE" w:rsidP="003477AE">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360A9A">
              <w:rPr>
                <w:rFonts w:ascii="Palatino Linotype" w:hAnsi="Palatino Linotype" w:cs="Arial"/>
                <w:color w:val="000000"/>
              </w:rPr>
              <w:t>Las disposiciones constitucionales y legales en la materia establecen los dos supuestos generales para clasificar la información: por reserva y por confidencialidad.</w:t>
            </w:r>
          </w:p>
          <w:p w:rsidR="003477AE" w:rsidRPr="00360A9A" w:rsidRDefault="003477AE" w:rsidP="003477AE">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360A9A">
              <w:rPr>
                <w:rFonts w:ascii="Palatino Linotype" w:hAnsi="Palatino Linotype" w:cs="Arial"/>
                <w:color w:val="000000"/>
              </w:rPr>
              <w:t xml:space="preserve">Los artículos 116 y 143 de la Ley Estatal y de la Ley General, respectivamente, señalan los supuestos para que la información pueda ser clasificada como confidencial. Mientras que los artículos 105 y 130 de la Ley Estatal y de la Ley General, </w:t>
            </w:r>
            <w:r w:rsidRPr="00360A9A">
              <w:rPr>
                <w:rFonts w:ascii="Palatino Linotype" w:hAnsi="Palatino Linotype" w:cs="Arial"/>
                <w:color w:val="000000"/>
              </w:rPr>
              <w:lastRenderedPageBreak/>
              <w:t>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3477AE" w:rsidRPr="00360A9A" w:rsidRDefault="003477AE" w:rsidP="003477AE">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360A9A">
              <w:rPr>
                <w:rFonts w:ascii="Palatino Linotype" w:hAnsi="Palatino Linotype" w:cs="Arial"/>
                <w:color w:val="000000"/>
              </w:rPr>
              <w:t xml:space="preserve">El </w:t>
            </w:r>
            <w:r w:rsidRPr="00360A9A">
              <w:rPr>
                <w:rFonts w:ascii="Palatino Linotype" w:hAnsi="Palatino Linotype" w:cs="Arial"/>
                <w:b/>
                <w:color w:val="000000"/>
              </w:rPr>
              <w:t>Sujeto Obligado</w:t>
            </w:r>
            <w:r w:rsidRPr="00360A9A">
              <w:rPr>
                <w:rFonts w:ascii="Palatino Linotype" w:hAnsi="Palatino Linotype" w:cs="Arial"/>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3477AE" w:rsidRPr="00360A9A" w:rsidTr="003477AE">
        <w:tc>
          <w:tcPr>
            <w:cnfStyle w:val="001000000000" w:firstRow="0" w:lastRow="0" w:firstColumn="1" w:lastColumn="0" w:oddVBand="0" w:evenVBand="0" w:oddHBand="0" w:evenHBand="0" w:firstRowFirstColumn="0" w:firstRowLastColumn="0" w:lastRowFirstColumn="0" w:lastRowLastColumn="0"/>
            <w:tcW w:w="1838" w:type="dxa"/>
            <w:hideMark/>
          </w:tcPr>
          <w:p w:rsidR="003477AE" w:rsidRPr="00360A9A" w:rsidRDefault="003477AE" w:rsidP="003477AE">
            <w:pPr>
              <w:spacing w:line="360" w:lineRule="auto"/>
              <w:rPr>
                <w:rFonts w:ascii="Palatino Linotype" w:hAnsi="Palatino Linotype"/>
                <w:bCs w:val="0"/>
              </w:rPr>
            </w:pPr>
            <w:r w:rsidRPr="00360A9A">
              <w:rPr>
                <w:rFonts w:ascii="Palatino Linotype" w:hAnsi="Palatino Linotype" w:cstheme="majorBidi"/>
                <w:bCs w:val="0"/>
              </w:rPr>
              <w:lastRenderedPageBreak/>
              <w:t>c) Formalidades para emitir el acuerdo de clasificación.</w:t>
            </w:r>
          </w:p>
        </w:tc>
        <w:tc>
          <w:tcPr>
            <w:tcW w:w="6990" w:type="dxa"/>
            <w:hideMark/>
          </w:tcPr>
          <w:p w:rsidR="003477AE" w:rsidRPr="00360A9A" w:rsidRDefault="003477AE" w:rsidP="003477AE">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360A9A">
              <w:rPr>
                <w:rFonts w:ascii="Palatino Linotype" w:hAnsi="Palatino Linotype" w:cs="Arial"/>
                <w:color w:val="000000"/>
              </w:rPr>
              <w:t xml:space="preserve">El Comité de Transparencia, según lo dispuesto en los artículos cuenta con las facultades para aprobar, modificar o revocar la clasificación de la información que haya propuesto. </w:t>
            </w:r>
          </w:p>
          <w:p w:rsidR="003477AE" w:rsidRPr="00360A9A" w:rsidRDefault="003477AE" w:rsidP="003477AE">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360A9A">
              <w:rPr>
                <w:rFonts w:ascii="Palatino Linotype" w:hAnsi="Palatino Linotype" w:cs="Arial"/>
                <w:color w:val="000000"/>
              </w:rPr>
              <w:t xml:space="preserve">Es necesario que </w:t>
            </w:r>
            <w:r w:rsidRPr="00360A9A">
              <w:rPr>
                <w:rFonts w:ascii="Palatino Linotype" w:hAnsi="Palatino Linotype" w:cs="Arial"/>
                <w:b/>
                <w:color w:val="000000"/>
                <w:u w:val="single"/>
              </w:rPr>
              <w:t>el acto reúna con los requisitos elementales</w:t>
            </w:r>
            <w:r w:rsidRPr="00360A9A">
              <w:rPr>
                <w:rFonts w:ascii="Palatino Linotype" w:hAnsi="Palatino Linotype" w:cs="Arial"/>
                <w:color w:val="000000"/>
              </w:rPr>
              <w:t>, entre ellos, que la autoridad que va a emitir el acto de autoridad sea la legalmente facultada para ello.</w:t>
            </w:r>
          </w:p>
          <w:p w:rsidR="003477AE" w:rsidRPr="00360A9A" w:rsidRDefault="003477AE" w:rsidP="003477AE">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360A9A">
              <w:rPr>
                <w:rFonts w:ascii="Palatino Linotype" w:hAnsi="Palatino Linotype" w:cs="Arial"/>
                <w:color w:val="000000"/>
              </w:rPr>
              <w:t xml:space="preserve">La decisión de aprobar, modificar o revocar la clasificación deberá de asentarse en un documento que registre la determinación a la que se llegue después de un análisis </w:t>
            </w:r>
            <w:r w:rsidRPr="00360A9A">
              <w:rPr>
                <w:rFonts w:ascii="Palatino Linotype" w:hAnsi="Palatino Linotype" w:cs="Arial"/>
                <w:color w:val="000000"/>
              </w:rPr>
              <w:lastRenderedPageBreak/>
              <w:t>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3477AE" w:rsidRPr="00360A9A" w:rsidTr="00347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3477AE" w:rsidRPr="00360A9A" w:rsidRDefault="003477AE" w:rsidP="003477AE">
            <w:pPr>
              <w:spacing w:line="360" w:lineRule="auto"/>
              <w:rPr>
                <w:rFonts w:ascii="Palatino Linotype" w:hAnsi="Palatino Linotype"/>
                <w:b w:val="0"/>
              </w:rPr>
            </w:pPr>
          </w:p>
          <w:p w:rsidR="003477AE" w:rsidRPr="00360A9A" w:rsidRDefault="003477AE" w:rsidP="003477AE">
            <w:pPr>
              <w:spacing w:line="360" w:lineRule="auto"/>
              <w:jc w:val="both"/>
              <w:rPr>
                <w:rFonts w:ascii="Palatino Linotype" w:hAnsi="Palatino Linotype"/>
                <w:bCs w:val="0"/>
              </w:rPr>
            </w:pPr>
            <w:r w:rsidRPr="00360A9A">
              <w:rPr>
                <w:rFonts w:ascii="Palatino Linotype" w:hAnsi="Palatino Linotype" w:cs="Arial"/>
                <w:bCs w:val="0"/>
                <w:color w:val="000000"/>
              </w:rPr>
              <w:t xml:space="preserve">d) Requisitos de fondo del acuerdo de clasificación. </w:t>
            </w:r>
          </w:p>
        </w:tc>
        <w:tc>
          <w:tcPr>
            <w:tcW w:w="6990" w:type="dxa"/>
            <w:hideMark/>
          </w:tcPr>
          <w:p w:rsidR="003477AE" w:rsidRPr="00360A9A" w:rsidRDefault="003477AE" w:rsidP="003477AE">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360A9A">
              <w:rPr>
                <w:rFonts w:ascii="Palatino Linotype" w:hAnsi="Palatino Linotype" w:cs="Arial"/>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360A9A">
              <w:rPr>
                <w:rFonts w:ascii="Palatino Linotype" w:hAnsi="Palatino Linotype" w:cs="Arial"/>
                <w:b/>
                <w:color w:val="000000"/>
              </w:rPr>
              <w:t>Sujetos Obligados</w:t>
            </w:r>
            <w:r w:rsidRPr="00360A9A">
              <w:rPr>
                <w:rFonts w:ascii="Palatino Linotype" w:hAnsi="Palatino Linotype" w:cs="Arial"/>
                <w:color w:val="000000"/>
              </w:rPr>
              <w:t xml:space="preserve">, por lo que deberán fundar y motivar debidamente la clasificación. </w:t>
            </w:r>
          </w:p>
          <w:p w:rsidR="003477AE" w:rsidRPr="00360A9A" w:rsidRDefault="003477AE" w:rsidP="003477AE">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360A9A">
              <w:rPr>
                <w:rFonts w:ascii="Palatino Linotype" w:hAnsi="Palatino Linotype" w:cs="Arial"/>
                <w:color w:val="000000"/>
              </w:rPr>
              <w:t xml:space="preserve">De lo anterior, se desprende que para una correcta </w:t>
            </w:r>
            <w:r w:rsidRPr="00360A9A">
              <w:rPr>
                <w:rFonts w:ascii="Palatino Linotype" w:hAnsi="Palatino Linotype" w:cs="Arial"/>
                <w:b/>
                <w:color w:val="000000"/>
              </w:rPr>
              <w:t>clasificación total o parcial</w:t>
            </w:r>
            <w:r w:rsidRPr="00360A9A">
              <w:rPr>
                <w:rFonts w:ascii="Palatino Linotype" w:hAnsi="Palatino Linotype" w:cs="Arial"/>
                <w:color w:val="000000"/>
              </w:rPr>
              <w:t xml:space="preserve">, esto es determinar los datos que se suprimen en las versiones públicas, es necesario fundar y motivar, de manera correcta, la clasificación; considerando que todo acto que la autoridad pronuncie en el ejercicio de sus atribuciones, debe </w:t>
            </w:r>
            <w:r w:rsidRPr="00360A9A">
              <w:rPr>
                <w:rFonts w:ascii="Palatino Linotype" w:hAnsi="Palatino Linotype" w:cs="Arial"/>
                <w:color w:val="000000"/>
              </w:rPr>
              <w:lastRenderedPageBreak/>
              <w:t>expresar los fundamentos legales que le dieron origen y las razones por las que se deben aplicar al caso concreto.</w:t>
            </w:r>
          </w:p>
          <w:p w:rsidR="003477AE" w:rsidRPr="00360A9A" w:rsidRDefault="003477AE" w:rsidP="003477AE">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360A9A">
              <w:rPr>
                <w:rFonts w:ascii="Palatino Linotype" w:hAnsi="Palatino Linotype" w:cs="Arial"/>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3477AE" w:rsidRPr="00360A9A" w:rsidRDefault="003477AE" w:rsidP="003477AE">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360A9A">
              <w:rPr>
                <w:rFonts w:ascii="Palatino Linotype" w:hAnsi="Palatino Linotype" w:cs="Arial"/>
                <w:color w:val="000000"/>
              </w:rPr>
              <w:t>En ese mismo sentido, el numeral trigésimo tercero fracción V de los Lineamientos Generales, precisa que para motivar la clasificación se deben acreditar las circunstancias de tiempo, modo y lugar.</w:t>
            </w:r>
          </w:p>
          <w:p w:rsidR="003477AE" w:rsidRPr="00360A9A" w:rsidRDefault="003477AE" w:rsidP="003477AE">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360A9A">
              <w:rPr>
                <w:rFonts w:ascii="Palatino Linotype" w:hAnsi="Palatino Linotype" w:cs="Arial"/>
                <w:color w:val="000000"/>
              </w:rPr>
              <w:t xml:space="preserve">Ahora bien, </w:t>
            </w:r>
            <w:r w:rsidRPr="00360A9A">
              <w:rPr>
                <w:rFonts w:ascii="Palatino Linotype" w:hAnsi="Palatino Linotype" w:cs="Arial"/>
                <w:b/>
                <w:color w:val="000000"/>
                <w:u w:val="single"/>
              </w:rPr>
              <w:t>para cada caso además de fundar y motivar</w:t>
            </w:r>
            <w:r w:rsidRPr="00360A9A">
              <w:rPr>
                <w:rFonts w:ascii="Palatino Linotype" w:hAnsi="Palatino Linotype" w:cs="Arial"/>
                <w:color w:val="000000"/>
              </w:rPr>
              <w:t xml:space="preserve">, se debe identificar con claridad que datos contenidos en las documentales que son susceptibles de suprimirse, por ejemplo; </w:t>
            </w:r>
            <w:r w:rsidRPr="00360A9A">
              <w:rPr>
                <w:rFonts w:ascii="Palatino Linotype" w:hAnsi="Palatino Linotype" w:cs="Arial"/>
                <w:color w:val="000000"/>
                <w:lang w:val="es-ES"/>
              </w:rPr>
              <w:t xml:space="preserve">Clave Única de Registro de Población (CURP), Registro Federal de Contribuyentes (R.F.C.), claves de seguros, préstamos o descuentos personales, secretos bancario, fiduciario, industrial, </w:t>
            </w:r>
            <w:r w:rsidRPr="00360A9A">
              <w:rPr>
                <w:rFonts w:ascii="Palatino Linotype" w:hAnsi="Palatino Linotype" w:cs="Arial"/>
                <w:color w:val="000000"/>
                <w:lang w:val="es-ES"/>
              </w:rPr>
              <w:lastRenderedPageBreak/>
              <w:t>comercial, fiscal, bursátil y postal, cuya titularidad corresponda a particulares, entre otros.</w:t>
            </w:r>
          </w:p>
        </w:tc>
      </w:tr>
      <w:tr w:rsidR="003477AE" w:rsidRPr="00360A9A" w:rsidTr="003477AE">
        <w:tc>
          <w:tcPr>
            <w:cnfStyle w:val="001000000000" w:firstRow="0" w:lastRow="0" w:firstColumn="1" w:lastColumn="0" w:oddVBand="0" w:evenVBand="0" w:oddHBand="0" w:evenHBand="0" w:firstRowFirstColumn="0" w:firstRowLastColumn="0" w:lastRowFirstColumn="0" w:lastRowLastColumn="0"/>
            <w:tcW w:w="1838" w:type="dxa"/>
          </w:tcPr>
          <w:p w:rsidR="003477AE" w:rsidRPr="00360A9A" w:rsidRDefault="003477AE" w:rsidP="003477AE">
            <w:pPr>
              <w:spacing w:line="360" w:lineRule="auto"/>
              <w:ind w:right="49"/>
              <w:jc w:val="both"/>
              <w:rPr>
                <w:rFonts w:ascii="Palatino Linotype" w:hAnsi="Palatino Linotype" w:cs="Arial"/>
                <w:bCs w:val="0"/>
              </w:rPr>
            </w:pPr>
            <w:r w:rsidRPr="00360A9A">
              <w:rPr>
                <w:rFonts w:ascii="Palatino Linotype" w:eastAsia="MS Gothic" w:hAnsi="Palatino Linotype" w:cs="Times New Roman"/>
                <w:b w:val="0"/>
              </w:rPr>
              <w:lastRenderedPageBreak/>
              <w:t>e</w:t>
            </w:r>
            <w:r w:rsidRPr="00360A9A">
              <w:rPr>
                <w:rFonts w:ascii="Palatino Linotype" w:eastAsia="MS Gothic" w:hAnsi="Palatino Linotype" w:cs="Times New Roman"/>
                <w:bCs w:val="0"/>
              </w:rPr>
              <w:t xml:space="preserve">) Condiciones especiales de la clasificación de la información como confidencial. </w:t>
            </w:r>
          </w:p>
        </w:tc>
        <w:tc>
          <w:tcPr>
            <w:tcW w:w="6990" w:type="dxa"/>
            <w:hideMark/>
          </w:tcPr>
          <w:p w:rsidR="003477AE" w:rsidRPr="00360A9A" w:rsidRDefault="003477AE" w:rsidP="003477AE">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360A9A">
              <w:rPr>
                <w:rFonts w:ascii="Palatino Linotype" w:hAnsi="Palatino Linotype" w:cs="Arial"/>
                <w:color w:val="000000"/>
              </w:rPr>
              <w:t xml:space="preserve">Los artículos 148 y 120 de la Ley Estatal y de la Ley General, respectivamente, establecen que aun tratándose de datos personales, se podrán proporcionar, incluso sin solicitar el consentimiento de su titular. </w:t>
            </w:r>
          </w:p>
          <w:p w:rsidR="003477AE" w:rsidRPr="00360A9A" w:rsidRDefault="003477AE" w:rsidP="003477AE">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360A9A">
              <w:rPr>
                <w:rFonts w:ascii="Palatino Linotype" w:hAnsi="Palatino Linotype" w:cs="Arial"/>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3477AE" w:rsidRPr="00360A9A" w:rsidRDefault="003477AE" w:rsidP="003477AE">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360A9A">
              <w:rPr>
                <w:rFonts w:ascii="Palatino Linotype" w:hAnsi="Palatino Linotype" w:cs="Arial"/>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3477AE" w:rsidRPr="00360A9A" w:rsidRDefault="003477AE" w:rsidP="003477AE">
      <w:pPr>
        <w:spacing w:line="360" w:lineRule="auto"/>
        <w:ind w:right="49"/>
        <w:contextualSpacing/>
        <w:jc w:val="both"/>
        <w:rPr>
          <w:rFonts w:ascii="Palatino Linotype" w:hAnsi="Palatino Linotype" w:cs="Arial"/>
          <w:color w:val="000000"/>
        </w:rPr>
      </w:pPr>
    </w:p>
    <w:p w:rsidR="00566C12" w:rsidRPr="00360A9A" w:rsidRDefault="003477AE" w:rsidP="003477AE">
      <w:pPr>
        <w:numPr>
          <w:ilvl w:val="0"/>
          <w:numId w:val="1"/>
        </w:numPr>
        <w:spacing w:line="360" w:lineRule="auto"/>
        <w:ind w:left="0" w:firstLine="0"/>
        <w:jc w:val="both"/>
        <w:rPr>
          <w:rFonts w:ascii="Palatino Linotype" w:eastAsia="Palatino Linotype" w:hAnsi="Palatino Linotype" w:cs="Palatino Linotype"/>
          <w:i/>
          <w:color w:val="000000"/>
        </w:rPr>
      </w:pPr>
      <w:r w:rsidRPr="00360A9A">
        <w:rPr>
          <w:rFonts w:ascii="Palatino Linotype" w:hAnsi="Palatino Linotype" w:cs="Arial"/>
          <w:lang w:eastAsia="en-US"/>
        </w:rPr>
        <w:t xml:space="preserve">Si el servidor público incumple con estas formalidades y entrega la información sin </w:t>
      </w:r>
      <w:r w:rsidRPr="00360A9A">
        <w:rPr>
          <w:rFonts w:ascii="Palatino Linotype" w:hAnsi="Palatino Linotype" w:cs="Arial"/>
          <w:color w:val="000000"/>
        </w:rPr>
        <w:t>proteger</w:t>
      </w:r>
      <w:r w:rsidRPr="00360A9A">
        <w:rPr>
          <w:rFonts w:ascii="Palatino Linotype" w:hAnsi="Palatino Linotype" w:cs="Arial"/>
          <w:lang w:eastAsia="en-US"/>
        </w:rPr>
        <w:t xml:space="preserve"> los datos personales incumple con lo que estipula las disposiciones legales establecidas, asimismo que si entrega un documento testado sin el debido acuerdo de clasificación.</w:t>
      </w:r>
    </w:p>
    <w:p w:rsidR="003477AE" w:rsidRPr="00360A9A" w:rsidRDefault="003477AE" w:rsidP="003477AE">
      <w:pPr>
        <w:spacing w:line="360" w:lineRule="auto"/>
        <w:jc w:val="both"/>
        <w:rPr>
          <w:rFonts w:ascii="Palatino Linotype" w:eastAsia="Palatino Linotype" w:hAnsi="Palatino Linotype" w:cs="Palatino Linotype"/>
          <w:i/>
          <w:color w:val="000000"/>
        </w:rPr>
      </w:pPr>
    </w:p>
    <w:p w:rsidR="006D6FA1" w:rsidRPr="00360A9A" w:rsidRDefault="00920AA1" w:rsidP="00B810E8">
      <w:pPr>
        <w:numPr>
          <w:ilvl w:val="0"/>
          <w:numId w:val="1"/>
        </w:numPr>
        <w:spacing w:line="360" w:lineRule="auto"/>
        <w:ind w:left="0" w:firstLine="0"/>
        <w:jc w:val="both"/>
        <w:rPr>
          <w:rFonts w:ascii="Palatino Linotype" w:eastAsia="Palatino Linotype" w:hAnsi="Palatino Linotype" w:cs="Palatino Linotype"/>
          <w:color w:val="000000"/>
        </w:rPr>
      </w:pPr>
      <w:r w:rsidRPr="00360A9A">
        <w:rPr>
          <w:rFonts w:ascii="Palatino Linotype" w:eastAsia="Palatino Linotype" w:hAnsi="Palatino Linotype" w:cs="Palatino Linotype"/>
        </w:rPr>
        <w:t>Por</w:t>
      </w:r>
      <w:r w:rsidRPr="00360A9A">
        <w:rPr>
          <w:rFonts w:ascii="Palatino Linotype" w:eastAsia="Palatino Linotype" w:hAnsi="Palatino Linotype" w:cs="Palatino Linotype"/>
          <w:color w:val="222222"/>
        </w:rPr>
        <w:t xml:space="preserve"> lo </w:t>
      </w:r>
      <w:r w:rsidRPr="00360A9A">
        <w:rPr>
          <w:rFonts w:ascii="Palatino Linotype" w:hAnsi="Palatino Linotype"/>
        </w:rPr>
        <w:t>anteriormente</w:t>
      </w:r>
      <w:r w:rsidRPr="00360A9A">
        <w:rPr>
          <w:rFonts w:ascii="Palatino Linotype" w:eastAsia="Palatino Linotype" w:hAnsi="Palatino Linotype" w:cs="Palatino Linotype"/>
          <w:color w:val="222222"/>
        </w:rPr>
        <w:t xml:space="preserve"> expuesto y fundado, este </w:t>
      </w:r>
      <w:r w:rsidRPr="00360A9A">
        <w:rPr>
          <w:rFonts w:ascii="Palatino Linotype" w:eastAsia="Palatino Linotype" w:hAnsi="Palatino Linotype" w:cs="Palatino Linotype"/>
          <w:b/>
          <w:color w:val="222222"/>
        </w:rPr>
        <w:t>ÓRGANO GARANTE</w:t>
      </w:r>
      <w:r w:rsidRPr="00360A9A">
        <w:rPr>
          <w:rFonts w:ascii="Palatino Linotype" w:eastAsia="Palatino Linotype" w:hAnsi="Palatino Linotype" w:cs="Palatino Linotype"/>
          <w:color w:val="222222"/>
        </w:rPr>
        <w:t xml:space="preserve"> emite los </w:t>
      </w:r>
      <w:r w:rsidRPr="00360A9A">
        <w:rPr>
          <w:rFonts w:ascii="Palatino Linotype" w:eastAsia="Palatino Linotype" w:hAnsi="Palatino Linotype" w:cs="Palatino Linotype"/>
          <w:color w:val="000000"/>
        </w:rPr>
        <w:t>siguientes</w:t>
      </w:r>
      <w:r w:rsidRPr="00360A9A">
        <w:rPr>
          <w:rFonts w:ascii="Palatino Linotype" w:eastAsia="Palatino Linotype" w:hAnsi="Palatino Linotype" w:cs="Palatino Linotype"/>
          <w:color w:val="222222"/>
        </w:rPr>
        <w:t xml:space="preserve">: </w:t>
      </w:r>
    </w:p>
    <w:p w:rsidR="006D6FA1" w:rsidRPr="00360A9A" w:rsidRDefault="00920AA1" w:rsidP="00B810E8">
      <w:pPr>
        <w:pStyle w:val="Ttulo1"/>
        <w:spacing w:before="0" w:line="360" w:lineRule="auto"/>
        <w:jc w:val="center"/>
        <w:rPr>
          <w:rFonts w:ascii="Palatino Linotype" w:eastAsia="Palatino Linotype" w:hAnsi="Palatino Linotype" w:cs="Palatino Linotype"/>
          <w:b/>
          <w:color w:val="000000"/>
          <w:sz w:val="24"/>
          <w:szCs w:val="24"/>
        </w:rPr>
      </w:pPr>
      <w:bookmarkStart w:id="13" w:name="_heading=h.4d34og8" w:colFirst="0" w:colLast="0"/>
      <w:bookmarkEnd w:id="13"/>
      <w:r w:rsidRPr="00360A9A">
        <w:rPr>
          <w:rFonts w:ascii="Palatino Linotype" w:eastAsia="Palatino Linotype" w:hAnsi="Palatino Linotype" w:cs="Palatino Linotype"/>
          <w:b/>
          <w:color w:val="000000"/>
          <w:sz w:val="24"/>
          <w:szCs w:val="24"/>
        </w:rPr>
        <w:t>R E S O L U T I V O S</w:t>
      </w:r>
    </w:p>
    <w:p w:rsidR="006D6FA1" w:rsidRPr="00360A9A" w:rsidRDefault="006D6FA1" w:rsidP="00B810E8">
      <w:pPr>
        <w:spacing w:line="360" w:lineRule="auto"/>
        <w:rPr>
          <w:rFonts w:ascii="Palatino Linotype" w:eastAsia="Palatino Linotype" w:hAnsi="Palatino Linotype" w:cs="Palatino Linotype"/>
        </w:rPr>
      </w:pPr>
    </w:p>
    <w:p w:rsidR="006D6FA1" w:rsidRPr="00360A9A" w:rsidRDefault="00920AA1" w:rsidP="00B810E8">
      <w:pPr>
        <w:spacing w:line="360" w:lineRule="auto"/>
        <w:ind w:right="-592"/>
        <w:jc w:val="both"/>
        <w:rPr>
          <w:rFonts w:ascii="Palatino Linotype" w:eastAsia="Palatino Linotype" w:hAnsi="Palatino Linotype" w:cs="Palatino Linotype"/>
        </w:rPr>
      </w:pPr>
      <w:bookmarkStart w:id="14" w:name="_heading=h.1t3h5sf" w:colFirst="0" w:colLast="0"/>
      <w:bookmarkEnd w:id="14"/>
      <w:r w:rsidRPr="00360A9A">
        <w:rPr>
          <w:rFonts w:ascii="Palatino Linotype" w:eastAsia="Palatino Linotype" w:hAnsi="Palatino Linotype" w:cs="Palatino Linotype"/>
          <w:b/>
        </w:rPr>
        <w:t xml:space="preserve">PRIMERO. </w:t>
      </w:r>
      <w:r w:rsidR="00AF088C" w:rsidRPr="00360A9A">
        <w:rPr>
          <w:rFonts w:ascii="Palatino Linotype" w:eastAsia="Palatino Linotype" w:hAnsi="Palatino Linotype" w:cs="Palatino Linotype"/>
        </w:rPr>
        <w:t xml:space="preserve">Resultan </w:t>
      </w:r>
      <w:r w:rsidRPr="00360A9A">
        <w:rPr>
          <w:rFonts w:ascii="Palatino Linotype" w:eastAsia="Palatino Linotype" w:hAnsi="Palatino Linotype" w:cs="Palatino Linotype"/>
        </w:rPr>
        <w:t>fundadas las</w:t>
      </w:r>
      <w:r w:rsidRPr="00360A9A">
        <w:rPr>
          <w:rFonts w:ascii="Palatino Linotype" w:eastAsia="Palatino Linotype" w:hAnsi="Palatino Linotype" w:cs="Palatino Linotype"/>
          <w:b/>
        </w:rPr>
        <w:t xml:space="preserve"> </w:t>
      </w:r>
      <w:r w:rsidRPr="00360A9A">
        <w:rPr>
          <w:rFonts w:ascii="Palatino Linotype" w:eastAsia="Palatino Linotype" w:hAnsi="Palatino Linotype" w:cs="Palatino Linotype"/>
        </w:rPr>
        <w:t>razones o motivos de i</w:t>
      </w:r>
      <w:r w:rsidR="004F69F3" w:rsidRPr="00360A9A">
        <w:rPr>
          <w:rFonts w:ascii="Palatino Linotype" w:eastAsia="Palatino Linotype" w:hAnsi="Palatino Linotype" w:cs="Palatino Linotype"/>
        </w:rPr>
        <w:t>nconformidad hechos valer en el</w:t>
      </w:r>
      <w:r w:rsidRPr="00360A9A">
        <w:rPr>
          <w:rFonts w:ascii="Palatino Linotype" w:eastAsia="Palatino Linotype" w:hAnsi="Palatino Linotype" w:cs="Palatino Linotype"/>
        </w:rPr>
        <w:t xml:space="preserve"> Recurso de Revisión </w:t>
      </w:r>
      <w:r w:rsidR="005A41AF" w:rsidRPr="00360A9A">
        <w:rPr>
          <w:rFonts w:ascii="Palatino Linotype" w:eastAsia="Palatino Linotype" w:hAnsi="Palatino Linotype" w:cs="Palatino Linotype"/>
          <w:b/>
          <w:color w:val="000000"/>
        </w:rPr>
        <w:t>05613/INFOEM</w:t>
      </w:r>
      <w:r w:rsidR="003B6E4C" w:rsidRPr="00360A9A">
        <w:rPr>
          <w:rFonts w:ascii="Palatino Linotype" w:eastAsia="Palatino Linotype" w:hAnsi="Palatino Linotype" w:cs="Palatino Linotype"/>
          <w:b/>
          <w:color w:val="000000"/>
        </w:rPr>
        <w:t>/IP/RR/2024</w:t>
      </w:r>
      <w:r w:rsidRPr="00360A9A">
        <w:rPr>
          <w:rFonts w:ascii="Palatino Linotype" w:eastAsia="Palatino Linotype" w:hAnsi="Palatino Linotype" w:cs="Palatino Linotype"/>
          <w:b/>
        </w:rPr>
        <w:t xml:space="preserve">, </w:t>
      </w:r>
      <w:r w:rsidR="00AF088C" w:rsidRPr="00360A9A">
        <w:rPr>
          <w:rFonts w:ascii="Palatino Linotype" w:eastAsia="Palatino Linotype" w:hAnsi="Palatino Linotype" w:cs="Palatino Linotype"/>
        </w:rPr>
        <w:t>en términos de</w:t>
      </w:r>
      <w:r w:rsidR="004F69F3" w:rsidRPr="00360A9A">
        <w:rPr>
          <w:rFonts w:ascii="Palatino Linotype" w:eastAsia="Palatino Linotype" w:hAnsi="Palatino Linotype" w:cs="Palatino Linotype"/>
        </w:rPr>
        <w:t xml:space="preserve"> </w:t>
      </w:r>
      <w:r w:rsidR="00AF088C" w:rsidRPr="00360A9A">
        <w:rPr>
          <w:rFonts w:ascii="Palatino Linotype" w:eastAsia="Palatino Linotype" w:hAnsi="Palatino Linotype" w:cs="Palatino Linotype"/>
        </w:rPr>
        <w:t>l</w:t>
      </w:r>
      <w:r w:rsidR="004F69F3" w:rsidRPr="00360A9A">
        <w:rPr>
          <w:rFonts w:ascii="Palatino Linotype" w:eastAsia="Palatino Linotype" w:hAnsi="Palatino Linotype" w:cs="Palatino Linotype"/>
        </w:rPr>
        <w:t>os</w:t>
      </w:r>
      <w:r w:rsidR="00AF088C" w:rsidRPr="00360A9A">
        <w:rPr>
          <w:rFonts w:ascii="Palatino Linotype" w:eastAsia="Palatino Linotype" w:hAnsi="Palatino Linotype" w:cs="Palatino Linotype"/>
          <w:b/>
        </w:rPr>
        <w:t xml:space="preserve"> Considerando</w:t>
      </w:r>
      <w:r w:rsidR="004F69F3" w:rsidRPr="00360A9A">
        <w:rPr>
          <w:rFonts w:ascii="Palatino Linotype" w:eastAsia="Palatino Linotype" w:hAnsi="Palatino Linotype" w:cs="Palatino Linotype"/>
          <w:b/>
        </w:rPr>
        <w:t>s</w:t>
      </w:r>
      <w:r w:rsidRPr="00360A9A">
        <w:rPr>
          <w:rFonts w:ascii="Palatino Linotype" w:eastAsia="Palatino Linotype" w:hAnsi="Palatino Linotype" w:cs="Palatino Linotype"/>
        </w:rPr>
        <w:t xml:space="preserve"> </w:t>
      </w:r>
      <w:r w:rsidR="00AF088C" w:rsidRPr="00360A9A">
        <w:rPr>
          <w:rFonts w:ascii="Palatino Linotype" w:eastAsia="Palatino Linotype" w:hAnsi="Palatino Linotype" w:cs="Palatino Linotype"/>
          <w:b/>
        </w:rPr>
        <w:t>Cuarto</w:t>
      </w:r>
      <w:r w:rsidRPr="00360A9A">
        <w:rPr>
          <w:rFonts w:ascii="Palatino Linotype" w:eastAsia="Palatino Linotype" w:hAnsi="Palatino Linotype" w:cs="Palatino Linotype"/>
        </w:rPr>
        <w:t xml:space="preserve"> </w:t>
      </w:r>
      <w:r w:rsidR="004F69F3" w:rsidRPr="00360A9A">
        <w:rPr>
          <w:rFonts w:ascii="Palatino Linotype" w:eastAsia="Palatino Linotype" w:hAnsi="Palatino Linotype" w:cs="Palatino Linotype"/>
        </w:rPr>
        <w:t xml:space="preserve">y </w:t>
      </w:r>
      <w:r w:rsidR="004F69F3" w:rsidRPr="00360A9A">
        <w:rPr>
          <w:rFonts w:ascii="Palatino Linotype" w:eastAsia="Palatino Linotype" w:hAnsi="Palatino Linotype" w:cs="Palatino Linotype"/>
          <w:b/>
        </w:rPr>
        <w:t xml:space="preserve">Quinto </w:t>
      </w:r>
      <w:r w:rsidRPr="00360A9A">
        <w:rPr>
          <w:rFonts w:ascii="Palatino Linotype" w:eastAsia="Palatino Linotype" w:hAnsi="Palatino Linotype" w:cs="Palatino Linotype"/>
        </w:rPr>
        <w:t>de la presente Resolución.</w:t>
      </w:r>
    </w:p>
    <w:p w:rsidR="00D03DF7" w:rsidRPr="00360A9A" w:rsidRDefault="00D03DF7" w:rsidP="00B810E8">
      <w:pPr>
        <w:spacing w:line="360" w:lineRule="auto"/>
        <w:ind w:right="-592"/>
        <w:jc w:val="both"/>
        <w:rPr>
          <w:rFonts w:ascii="Palatino Linotype" w:eastAsia="Palatino Linotype" w:hAnsi="Palatino Linotype" w:cs="Palatino Linotype"/>
        </w:rPr>
      </w:pPr>
    </w:p>
    <w:p w:rsidR="00126C59" w:rsidRPr="00360A9A" w:rsidRDefault="00920AA1" w:rsidP="00126C59">
      <w:pPr>
        <w:spacing w:line="360" w:lineRule="auto"/>
        <w:ind w:right="-592"/>
        <w:jc w:val="both"/>
        <w:rPr>
          <w:rFonts w:ascii="Palatino Linotype" w:eastAsia="Palatino Linotype" w:hAnsi="Palatino Linotype" w:cs="Palatino Linotype"/>
          <w:b/>
          <w:color w:val="000000"/>
        </w:rPr>
      </w:pPr>
      <w:r w:rsidRPr="00360A9A">
        <w:rPr>
          <w:rFonts w:ascii="Palatino Linotype" w:eastAsia="Palatino Linotype" w:hAnsi="Palatino Linotype" w:cs="Palatino Linotype"/>
          <w:b/>
        </w:rPr>
        <w:t>SEGUNDO.</w:t>
      </w:r>
      <w:r w:rsidRPr="00360A9A">
        <w:rPr>
          <w:rFonts w:ascii="Palatino Linotype" w:eastAsia="Palatino Linotype" w:hAnsi="Palatino Linotype" w:cs="Palatino Linotype"/>
          <w:color w:val="2F5496"/>
        </w:rPr>
        <w:t xml:space="preserve"> </w:t>
      </w:r>
      <w:r w:rsidRPr="00360A9A">
        <w:rPr>
          <w:rFonts w:ascii="Palatino Linotype" w:eastAsia="Palatino Linotype" w:hAnsi="Palatino Linotype" w:cs="Palatino Linotype"/>
        </w:rPr>
        <w:t>Se</w:t>
      </w:r>
      <w:r w:rsidRPr="00360A9A">
        <w:rPr>
          <w:rFonts w:ascii="Palatino Linotype" w:eastAsia="Palatino Linotype" w:hAnsi="Palatino Linotype" w:cs="Palatino Linotype"/>
          <w:b/>
        </w:rPr>
        <w:t xml:space="preserve"> MODIFICA </w:t>
      </w:r>
      <w:r w:rsidRPr="00360A9A">
        <w:rPr>
          <w:rFonts w:ascii="Palatino Linotype" w:eastAsia="Palatino Linotype" w:hAnsi="Palatino Linotype" w:cs="Palatino Linotype"/>
        </w:rPr>
        <w:t xml:space="preserve">la respuesta emitida por el </w:t>
      </w:r>
      <w:r w:rsidR="005A41AF" w:rsidRPr="00360A9A">
        <w:rPr>
          <w:rFonts w:ascii="Palatino Linotype" w:eastAsia="Palatino Linotype" w:hAnsi="Palatino Linotype" w:cs="Palatino Linotype"/>
          <w:b/>
          <w:color w:val="000000"/>
        </w:rPr>
        <w:t>Organismo Público Descentralizado Municipal para la Prestación de Los Servicios de Agua Potable Alcantarillado y Saneamiento de Cuautitlán Izcalli denominado OPERAGUA, O.P.</w:t>
      </w:r>
      <w:r w:rsidRPr="00360A9A">
        <w:rPr>
          <w:rFonts w:ascii="Palatino Linotype" w:eastAsia="Palatino Linotype" w:hAnsi="Palatino Linotype" w:cs="Palatino Linotype"/>
        </w:rPr>
        <w:t xml:space="preserve"> a la solicitud de información </w:t>
      </w:r>
      <w:r w:rsidR="005A41AF" w:rsidRPr="00360A9A">
        <w:rPr>
          <w:rFonts w:ascii="Palatino Linotype" w:eastAsia="Palatino Linotype" w:hAnsi="Palatino Linotype" w:cs="Palatino Linotype"/>
          <w:b/>
          <w:color w:val="000000"/>
        </w:rPr>
        <w:t>00221/OASCUATIZC/IP/2024</w:t>
      </w:r>
      <w:r w:rsidRPr="00360A9A">
        <w:rPr>
          <w:rFonts w:ascii="Palatino Linotype" w:eastAsia="Palatino Linotype" w:hAnsi="Palatino Linotype" w:cs="Palatino Linotype"/>
          <w:b/>
          <w:color w:val="000000"/>
        </w:rPr>
        <w:t xml:space="preserve"> </w:t>
      </w:r>
      <w:r w:rsidRPr="00360A9A">
        <w:rPr>
          <w:rFonts w:ascii="Palatino Linotype" w:eastAsia="Palatino Linotype" w:hAnsi="Palatino Linotype" w:cs="Palatino Linotype"/>
        </w:rPr>
        <w:t>a efecto de</w:t>
      </w:r>
      <w:r w:rsidRPr="00360A9A">
        <w:rPr>
          <w:rFonts w:ascii="Palatino Linotype" w:eastAsia="Palatino Linotype" w:hAnsi="Palatino Linotype" w:cs="Palatino Linotype"/>
          <w:b/>
        </w:rPr>
        <w:t xml:space="preserve"> ORDENAR </w:t>
      </w:r>
      <w:r w:rsidRPr="00360A9A">
        <w:rPr>
          <w:rFonts w:ascii="Palatino Linotype" w:eastAsia="Palatino Linotype" w:hAnsi="Palatino Linotype" w:cs="Palatino Linotype"/>
        </w:rPr>
        <w:t xml:space="preserve">entregar vía Sistema de Accesos a la Información Mexiquense </w:t>
      </w:r>
      <w:r w:rsidRPr="00360A9A">
        <w:rPr>
          <w:rFonts w:ascii="Palatino Linotype" w:eastAsia="Palatino Linotype" w:hAnsi="Palatino Linotype" w:cs="Palatino Linotype"/>
          <w:b/>
        </w:rPr>
        <w:t>(SAIMEX)</w:t>
      </w:r>
      <w:r w:rsidRPr="00360A9A">
        <w:rPr>
          <w:rFonts w:ascii="Palatino Linotype" w:eastAsia="Palatino Linotype" w:hAnsi="Palatino Linotype" w:cs="Palatino Linotype"/>
        </w:rPr>
        <w:t xml:space="preserve">, </w:t>
      </w:r>
      <w:r w:rsidR="00126C59" w:rsidRPr="00360A9A">
        <w:rPr>
          <w:rFonts w:ascii="Palatino Linotype" w:eastAsia="Palatino Linotype" w:hAnsi="Palatino Linotype" w:cs="Palatino Linotype"/>
        </w:rPr>
        <w:t xml:space="preserve">de ser el caso en </w:t>
      </w:r>
      <w:r w:rsidR="00566C12" w:rsidRPr="00360A9A">
        <w:rPr>
          <w:rFonts w:ascii="Palatino Linotype" w:eastAsia="Palatino Linotype" w:hAnsi="Palatino Linotype" w:cs="Palatino Linotype"/>
        </w:rPr>
        <w:t>versión pública</w:t>
      </w:r>
      <w:r w:rsidR="004F69F3" w:rsidRPr="00360A9A">
        <w:rPr>
          <w:rFonts w:ascii="Palatino Linotype" w:eastAsia="Palatino Linotype" w:hAnsi="Palatino Linotype" w:cs="Palatino Linotype"/>
        </w:rPr>
        <w:t>, la siguiente información</w:t>
      </w:r>
      <w:r w:rsidR="00126C59" w:rsidRPr="00360A9A">
        <w:rPr>
          <w:rFonts w:ascii="Palatino Linotype" w:eastAsia="Palatino Linotype" w:hAnsi="Palatino Linotype" w:cs="Palatino Linotype"/>
        </w:rPr>
        <w:t xml:space="preserve"> </w:t>
      </w:r>
      <w:r w:rsidR="004221C0" w:rsidRPr="00360A9A">
        <w:rPr>
          <w:rFonts w:ascii="Palatino Linotype" w:eastAsia="Palatino Linotype" w:hAnsi="Palatino Linotype" w:cs="Palatino Linotype"/>
          <w:color w:val="000000"/>
        </w:rPr>
        <w:t xml:space="preserve">al 21 de agosto de 2024, </w:t>
      </w:r>
      <w:r w:rsidR="00126C59" w:rsidRPr="00360A9A">
        <w:rPr>
          <w:rFonts w:ascii="Palatino Linotype" w:eastAsia="Palatino Linotype" w:hAnsi="Palatino Linotype" w:cs="Palatino Linotype"/>
        </w:rPr>
        <w:t>d</w:t>
      </w:r>
      <w:r w:rsidR="00126C59" w:rsidRPr="00360A9A">
        <w:rPr>
          <w:rFonts w:ascii="Palatino Linotype" w:eastAsia="Palatino Linotype" w:hAnsi="Palatino Linotype" w:cs="Palatino Linotype"/>
          <w:color w:val="000000"/>
        </w:rPr>
        <w:t xml:space="preserve">e la </w:t>
      </w:r>
      <w:r w:rsidR="00810ED6" w:rsidRPr="00360A9A">
        <w:rPr>
          <w:rFonts w:ascii="Palatino Linotype" w:eastAsia="Palatino Linotype" w:hAnsi="Palatino Linotype" w:cs="Palatino Linotype"/>
          <w:color w:val="000000"/>
        </w:rPr>
        <w:t>Licitación Pública N</w:t>
      </w:r>
      <w:r w:rsidR="00126C59" w:rsidRPr="00360A9A">
        <w:rPr>
          <w:rFonts w:ascii="Palatino Linotype" w:eastAsia="Palatino Linotype" w:hAnsi="Palatino Linotype" w:cs="Palatino Linotype"/>
          <w:color w:val="000000"/>
        </w:rPr>
        <w:t>acional OPERAGUA/DAYF/LPN/003/2024</w:t>
      </w:r>
      <w:r w:rsidR="00126C59" w:rsidRPr="00360A9A">
        <w:rPr>
          <w:rFonts w:ascii="Palatino Linotype" w:eastAsia="Palatino Linotype" w:hAnsi="Palatino Linotype" w:cs="Palatino Linotype"/>
          <w:b/>
          <w:color w:val="000000"/>
        </w:rPr>
        <w:t xml:space="preserve">: </w:t>
      </w:r>
    </w:p>
    <w:p w:rsidR="00126C59" w:rsidRPr="00360A9A" w:rsidRDefault="00126C59" w:rsidP="00126C59">
      <w:pPr>
        <w:spacing w:line="360" w:lineRule="auto"/>
        <w:ind w:right="-592"/>
        <w:jc w:val="both"/>
        <w:rPr>
          <w:rFonts w:ascii="Palatino Linotype" w:eastAsia="Palatino Linotype" w:hAnsi="Palatino Linotype" w:cs="Palatino Linotype"/>
          <w:b/>
          <w:color w:val="000000"/>
        </w:rPr>
      </w:pPr>
    </w:p>
    <w:p w:rsidR="00497DBB" w:rsidRPr="00360A9A" w:rsidRDefault="00497DBB" w:rsidP="00F7050B">
      <w:pPr>
        <w:pStyle w:val="Prrafodelista"/>
        <w:numPr>
          <w:ilvl w:val="0"/>
          <w:numId w:val="26"/>
        </w:numPr>
        <w:pBdr>
          <w:top w:val="nil"/>
          <w:left w:val="nil"/>
          <w:bottom w:val="nil"/>
          <w:right w:val="nil"/>
          <w:between w:val="nil"/>
        </w:pBdr>
        <w:spacing w:line="360" w:lineRule="auto"/>
        <w:ind w:left="851" w:right="539"/>
        <w:jc w:val="both"/>
        <w:rPr>
          <w:rFonts w:ascii="Palatino Linotype" w:eastAsia="Palatino Linotype" w:hAnsi="Palatino Linotype" w:cs="Palatino Linotype"/>
          <w:b/>
          <w:color w:val="000000"/>
        </w:rPr>
      </w:pPr>
      <w:r w:rsidRPr="00360A9A">
        <w:rPr>
          <w:rFonts w:ascii="Palatino Linotype" w:eastAsia="Palatino Linotype" w:hAnsi="Palatino Linotype" w:cs="Palatino Linotype"/>
          <w:b/>
          <w:color w:val="000000"/>
        </w:rPr>
        <w:t>Bases</w:t>
      </w:r>
      <w:r w:rsidR="00810ED6" w:rsidRPr="00360A9A">
        <w:rPr>
          <w:rFonts w:ascii="Palatino Linotype" w:eastAsia="Palatino Linotype" w:hAnsi="Palatino Linotype" w:cs="Palatino Linotype"/>
          <w:b/>
          <w:color w:val="000000"/>
        </w:rPr>
        <w:t>;</w:t>
      </w:r>
    </w:p>
    <w:p w:rsidR="00126C59" w:rsidRPr="00360A9A" w:rsidRDefault="00126C59" w:rsidP="00F7050B">
      <w:pPr>
        <w:pStyle w:val="Prrafodelista"/>
        <w:numPr>
          <w:ilvl w:val="0"/>
          <w:numId w:val="26"/>
        </w:numPr>
        <w:pBdr>
          <w:top w:val="nil"/>
          <w:left w:val="nil"/>
          <w:bottom w:val="nil"/>
          <w:right w:val="nil"/>
          <w:between w:val="nil"/>
        </w:pBdr>
        <w:spacing w:line="360" w:lineRule="auto"/>
        <w:ind w:left="851" w:right="539"/>
        <w:jc w:val="both"/>
        <w:rPr>
          <w:rFonts w:ascii="Palatino Linotype" w:eastAsia="Palatino Linotype" w:hAnsi="Palatino Linotype" w:cs="Palatino Linotype"/>
          <w:b/>
          <w:color w:val="000000"/>
        </w:rPr>
      </w:pPr>
      <w:r w:rsidRPr="00360A9A">
        <w:rPr>
          <w:rFonts w:ascii="Palatino Linotype" w:eastAsia="Palatino Linotype" w:hAnsi="Palatino Linotype" w:cs="Palatino Linotype"/>
          <w:b/>
          <w:color w:val="000000"/>
        </w:rPr>
        <w:t>Comprobante</w:t>
      </w:r>
      <w:r w:rsidR="00810ED6" w:rsidRPr="00360A9A">
        <w:rPr>
          <w:rFonts w:ascii="Palatino Linotype" w:eastAsia="Palatino Linotype" w:hAnsi="Palatino Linotype" w:cs="Palatino Linotype"/>
          <w:b/>
          <w:color w:val="000000"/>
        </w:rPr>
        <w:t>s</w:t>
      </w:r>
      <w:r w:rsidR="00497DBB" w:rsidRPr="00360A9A">
        <w:rPr>
          <w:rFonts w:ascii="Palatino Linotype" w:eastAsia="Palatino Linotype" w:hAnsi="Palatino Linotype" w:cs="Palatino Linotype"/>
          <w:b/>
          <w:color w:val="000000"/>
        </w:rPr>
        <w:t>,</w:t>
      </w:r>
      <w:r w:rsidRPr="00360A9A">
        <w:rPr>
          <w:rFonts w:ascii="Palatino Linotype" w:eastAsia="Palatino Linotype" w:hAnsi="Palatino Linotype" w:cs="Palatino Linotype"/>
          <w:b/>
          <w:color w:val="000000"/>
        </w:rPr>
        <w:t xml:space="preserve"> recibo</w:t>
      </w:r>
      <w:r w:rsidR="00810ED6" w:rsidRPr="00360A9A">
        <w:rPr>
          <w:rFonts w:ascii="Palatino Linotype" w:eastAsia="Palatino Linotype" w:hAnsi="Palatino Linotype" w:cs="Palatino Linotype"/>
          <w:b/>
          <w:color w:val="000000"/>
        </w:rPr>
        <w:t>s</w:t>
      </w:r>
      <w:r w:rsidRPr="00360A9A">
        <w:rPr>
          <w:rFonts w:ascii="Palatino Linotype" w:eastAsia="Palatino Linotype" w:hAnsi="Palatino Linotype" w:cs="Palatino Linotype"/>
          <w:b/>
          <w:color w:val="000000"/>
        </w:rPr>
        <w:t xml:space="preserve"> y/o factura</w:t>
      </w:r>
      <w:r w:rsidR="00810ED6" w:rsidRPr="00360A9A">
        <w:rPr>
          <w:rFonts w:ascii="Palatino Linotype" w:eastAsia="Palatino Linotype" w:hAnsi="Palatino Linotype" w:cs="Palatino Linotype"/>
          <w:b/>
          <w:color w:val="000000"/>
        </w:rPr>
        <w:t>s</w:t>
      </w:r>
      <w:r w:rsidRPr="00360A9A">
        <w:rPr>
          <w:rFonts w:ascii="Palatino Linotype" w:eastAsia="Palatino Linotype" w:hAnsi="Palatino Linotype" w:cs="Palatino Linotype"/>
          <w:b/>
          <w:color w:val="000000"/>
        </w:rPr>
        <w:t xml:space="preserve"> de la venta de bases</w:t>
      </w:r>
      <w:r w:rsidR="00F7050B" w:rsidRPr="00360A9A">
        <w:rPr>
          <w:rFonts w:ascii="Palatino Linotype" w:eastAsia="Palatino Linotype" w:hAnsi="Palatino Linotype" w:cs="Palatino Linotype"/>
          <w:b/>
          <w:color w:val="000000"/>
        </w:rPr>
        <w:t xml:space="preserve">; </w:t>
      </w:r>
    </w:p>
    <w:p w:rsidR="00126C59" w:rsidRPr="00360A9A" w:rsidRDefault="00126C59" w:rsidP="00F7050B">
      <w:pPr>
        <w:pStyle w:val="Prrafodelista"/>
        <w:numPr>
          <w:ilvl w:val="0"/>
          <w:numId w:val="26"/>
        </w:numPr>
        <w:pBdr>
          <w:top w:val="nil"/>
          <w:left w:val="nil"/>
          <w:bottom w:val="nil"/>
          <w:right w:val="nil"/>
          <w:between w:val="nil"/>
        </w:pBdr>
        <w:spacing w:line="360" w:lineRule="auto"/>
        <w:ind w:left="851" w:right="539"/>
        <w:jc w:val="both"/>
        <w:rPr>
          <w:rFonts w:ascii="Palatino Linotype" w:eastAsia="Palatino Linotype" w:hAnsi="Palatino Linotype" w:cs="Palatino Linotype"/>
          <w:b/>
          <w:color w:val="000000"/>
        </w:rPr>
      </w:pPr>
      <w:r w:rsidRPr="00360A9A">
        <w:rPr>
          <w:rFonts w:ascii="Palatino Linotype" w:eastAsia="Palatino Linotype" w:hAnsi="Palatino Linotype" w:cs="Palatino Linotype"/>
          <w:b/>
          <w:color w:val="000000"/>
        </w:rPr>
        <w:t xml:space="preserve">Propuestas técnicas </w:t>
      </w:r>
      <w:r w:rsidR="00497DBB" w:rsidRPr="00360A9A">
        <w:rPr>
          <w:rFonts w:ascii="Palatino Linotype" w:eastAsia="Palatino Linotype" w:hAnsi="Palatino Linotype" w:cs="Palatino Linotype"/>
          <w:b/>
          <w:color w:val="000000"/>
        </w:rPr>
        <w:t xml:space="preserve">y económicas </w:t>
      </w:r>
      <w:r w:rsidRPr="00360A9A">
        <w:rPr>
          <w:rFonts w:ascii="Palatino Linotype" w:eastAsia="Palatino Linotype" w:hAnsi="Palatino Linotype" w:cs="Palatino Linotype"/>
          <w:b/>
          <w:color w:val="000000"/>
        </w:rPr>
        <w:t>presentada por los proveedores</w:t>
      </w:r>
      <w:r w:rsidR="00F7050B" w:rsidRPr="00360A9A">
        <w:rPr>
          <w:rFonts w:ascii="Palatino Linotype" w:eastAsia="Palatino Linotype" w:hAnsi="Palatino Linotype" w:cs="Palatino Linotype"/>
          <w:b/>
          <w:color w:val="000000"/>
        </w:rPr>
        <w:t>; y</w:t>
      </w:r>
    </w:p>
    <w:p w:rsidR="00F7050B" w:rsidRPr="00360A9A" w:rsidRDefault="00F7050B" w:rsidP="00F7050B">
      <w:pPr>
        <w:pStyle w:val="Prrafodelista"/>
        <w:numPr>
          <w:ilvl w:val="0"/>
          <w:numId w:val="26"/>
        </w:numPr>
        <w:pBdr>
          <w:top w:val="nil"/>
          <w:left w:val="nil"/>
          <w:bottom w:val="nil"/>
          <w:right w:val="nil"/>
          <w:between w:val="nil"/>
        </w:pBdr>
        <w:spacing w:line="360" w:lineRule="auto"/>
        <w:ind w:left="851" w:right="539"/>
        <w:jc w:val="both"/>
        <w:rPr>
          <w:rFonts w:ascii="Palatino Linotype" w:eastAsia="Palatino Linotype" w:hAnsi="Palatino Linotype" w:cs="Palatino Linotype"/>
          <w:b/>
          <w:color w:val="000000"/>
        </w:rPr>
      </w:pPr>
      <w:r w:rsidRPr="00360A9A">
        <w:rPr>
          <w:rFonts w:ascii="Palatino Linotype" w:eastAsia="Palatino Linotype" w:hAnsi="Palatino Linotype" w:cs="Palatino Linotype"/>
          <w:b/>
          <w:color w:val="000000"/>
        </w:rPr>
        <w:t>El contrato.</w:t>
      </w:r>
    </w:p>
    <w:p w:rsidR="00126C59" w:rsidRPr="00360A9A" w:rsidRDefault="00126C59" w:rsidP="00126C59">
      <w:pPr>
        <w:pBdr>
          <w:top w:val="nil"/>
          <w:left w:val="nil"/>
          <w:bottom w:val="nil"/>
          <w:right w:val="nil"/>
          <w:between w:val="nil"/>
        </w:pBdr>
        <w:spacing w:line="360" w:lineRule="auto"/>
        <w:ind w:right="539"/>
        <w:jc w:val="both"/>
        <w:rPr>
          <w:rFonts w:ascii="Palatino Linotype" w:eastAsia="Palatino Linotype" w:hAnsi="Palatino Linotype" w:cs="Palatino Linotype"/>
          <w:b/>
          <w:color w:val="000000"/>
        </w:rPr>
      </w:pPr>
    </w:p>
    <w:p w:rsidR="00566C12" w:rsidRPr="00360A9A" w:rsidRDefault="00566C12" w:rsidP="00566C12">
      <w:pPr>
        <w:spacing w:line="360" w:lineRule="auto"/>
        <w:jc w:val="both"/>
        <w:rPr>
          <w:rFonts w:ascii="Palatino Linotype" w:eastAsia="Times New Roman" w:hAnsi="Palatino Linotype" w:cs="Tahoma"/>
        </w:rPr>
      </w:pPr>
      <w:r w:rsidRPr="00360A9A">
        <w:rPr>
          <w:rFonts w:ascii="Palatino Linotype" w:eastAsia="Times New Roman" w:hAnsi="Palatino Linotype" w:cs="Tahoma"/>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rsidR="00566C12" w:rsidRPr="00360A9A" w:rsidRDefault="00566C12" w:rsidP="00566C12">
      <w:pPr>
        <w:pBdr>
          <w:top w:val="nil"/>
          <w:left w:val="nil"/>
          <w:bottom w:val="nil"/>
          <w:right w:val="nil"/>
          <w:between w:val="nil"/>
        </w:pBdr>
        <w:spacing w:line="360" w:lineRule="auto"/>
        <w:ind w:right="539"/>
        <w:jc w:val="both"/>
        <w:rPr>
          <w:rFonts w:ascii="Palatino Linotype" w:eastAsia="Palatino Linotype" w:hAnsi="Palatino Linotype" w:cs="Palatino Linotype"/>
          <w:b/>
          <w:color w:val="000000"/>
        </w:rPr>
      </w:pPr>
    </w:p>
    <w:p w:rsidR="006D6FA1" w:rsidRPr="00360A9A" w:rsidRDefault="00920AA1" w:rsidP="00B810E8">
      <w:pPr>
        <w:spacing w:line="360" w:lineRule="auto"/>
        <w:ind w:right="-592"/>
        <w:jc w:val="both"/>
        <w:rPr>
          <w:rFonts w:ascii="Palatino Linotype" w:eastAsia="Palatino Linotype" w:hAnsi="Palatino Linotype" w:cs="Palatino Linotype"/>
        </w:rPr>
      </w:pPr>
      <w:r w:rsidRPr="00360A9A">
        <w:rPr>
          <w:rFonts w:ascii="Palatino Linotype" w:eastAsia="Palatino Linotype" w:hAnsi="Palatino Linotype" w:cs="Palatino Linotype"/>
          <w:b/>
        </w:rPr>
        <w:t xml:space="preserve">TERCERO. Notifíquese </w:t>
      </w:r>
      <w:r w:rsidRPr="00360A9A">
        <w:rPr>
          <w:rFonts w:ascii="Palatino Linotype" w:eastAsia="Palatino Linotype" w:hAnsi="Palatino Linotype" w:cs="Palatino Linotype"/>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360A9A">
        <w:rPr>
          <w:rFonts w:ascii="Palatino Linotype" w:eastAsia="Palatino Linotype" w:hAnsi="Palatino Linotype" w:cs="Palatino Linotype"/>
          <w:b/>
        </w:rPr>
        <w:t>dé cumplimiento a lo ordenado dentro del plazo de diez días hábiles,</w:t>
      </w:r>
      <w:r w:rsidRPr="00360A9A">
        <w:rPr>
          <w:rFonts w:ascii="Palatino Linotype" w:eastAsia="Palatino Linotype" w:hAnsi="Palatino Linotype" w:cs="Palatino Linotype"/>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9966BC" w:rsidRPr="00360A9A" w:rsidRDefault="009966BC" w:rsidP="00B810E8">
      <w:pPr>
        <w:spacing w:line="360" w:lineRule="auto"/>
        <w:ind w:right="-592"/>
        <w:jc w:val="both"/>
        <w:rPr>
          <w:rFonts w:ascii="Palatino Linotype" w:eastAsia="Palatino Linotype" w:hAnsi="Palatino Linotype" w:cs="Palatino Linotype"/>
        </w:rPr>
      </w:pPr>
    </w:p>
    <w:p w:rsidR="006D6FA1" w:rsidRPr="00360A9A" w:rsidRDefault="00920AA1" w:rsidP="00B810E8">
      <w:pPr>
        <w:tabs>
          <w:tab w:val="left" w:pos="2756"/>
        </w:tabs>
        <w:spacing w:line="360" w:lineRule="auto"/>
        <w:ind w:right="-592"/>
        <w:jc w:val="both"/>
        <w:rPr>
          <w:rFonts w:ascii="Palatino Linotype" w:eastAsia="Palatino Linotype" w:hAnsi="Palatino Linotype" w:cs="Palatino Linotype"/>
        </w:rPr>
      </w:pPr>
      <w:r w:rsidRPr="00360A9A">
        <w:rPr>
          <w:rFonts w:ascii="Palatino Linotype" w:eastAsia="Palatino Linotype" w:hAnsi="Palatino Linotype" w:cs="Palatino Linotype"/>
          <w:b/>
        </w:rPr>
        <w:t xml:space="preserve">CUARTO. </w:t>
      </w:r>
      <w:r w:rsidRPr="00360A9A">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360A9A">
        <w:rPr>
          <w:rFonts w:ascii="Palatino Linotype" w:eastAsia="Palatino Linotype" w:hAnsi="Palatino Linotype" w:cs="Palatino Linotype"/>
          <w:b/>
        </w:rPr>
        <w:lastRenderedPageBreak/>
        <w:t>SUJETO OBLIGADO</w:t>
      </w:r>
      <w:r w:rsidRPr="00360A9A">
        <w:rPr>
          <w:rFonts w:ascii="Palatino Linotype" w:eastAsia="Palatino Linotype" w:hAnsi="Palatino Linotype" w:cs="Palatino Linotype"/>
        </w:rPr>
        <w:t xml:space="preserve"> de manera fundada y motivada, podrá solicitar una ampliación de plazo para el cumplimiento de la presente Resolución.</w:t>
      </w:r>
    </w:p>
    <w:p w:rsidR="006D6FA1" w:rsidRPr="00360A9A" w:rsidRDefault="006D6FA1" w:rsidP="00B810E8">
      <w:pPr>
        <w:spacing w:line="360" w:lineRule="auto"/>
        <w:ind w:right="-592"/>
        <w:jc w:val="both"/>
        <w:rPr>
          <w:rFonts w:ascii="Palatino Linotype" w:eastAsia="Palatino Linotype" w:hAnsi="Palatino Linotype" w:cs="Palatino Linotype"/>
        </w:rPr>
      </w:pPr>
    </w:p>
    <w:p w:rsidR="006D6FA1" w:rsidRPr="00360A9A" w:rsidRDefault="00920AA1" w:rsidP="00B810E8">
      <w:pPr>
        <w:tabs>
          <w:tab w:val="left" w:pos="8080"/>
        </w:tabs>
        <w:spacing w:line="360" w:lineRule="auto"/>
        <w:ind w:right="-592"/>
        <w:jc w:val="both"/>
        <w:rPr>
          <w:rFonts w:ascii="Palatino Linotype" w:eastAsia="Palatino Linotype" w:hAnsi="Palatino Linotype" w:cs="Palatino Linotype"/>
        </w:rPr>
      </w:pPr>
      <w:bookmarkStart w:id="15" w:name="_heading=h.1ksv4uv" w:colFirst="0" w:colLast="0"/>
      <w:bookmarkEnd w:id="15"/>
      <w:r w:rsidRPr="00360A9A">
        <w:rPr>
          <w:rFonts w:ascii="Palatino Linotype" w:eastAsia="Palatino Linotype" w:hAnsi="Palatino Linotype" w:cs="Palatino Linotype"/>
          <w:b/>
        </w:rPr>
        <w:t xml:space="preserve">QUINTO. </w:t>
      </w:r>
      <w:r w:rsidRPr="00360A9A">
        <w:rPr>
          <w:rFonts w:ascii="Palatino Linotype" w:eastAsia="Palatino Linotype" w:hAnsi="Palatino Linotype" w:cs="Palatino Linotype"/>
        </w:rPr>
        <w:t xml:space="preserve">Notifíquese al </w:t>
      </w:r>
      <w:r w:rsidRPr="00360A9A">
        <w:rPr>
          <w:rFonts w:ascii="Palatino Linotype" w:eastAsia="Palatino Linotype" w:hAnsi="Palatino Linotype" w:cs="Palatino Linotype"/>
          <w:b/>
        </w:rPr>
        <w:t>RECURRENTE</w:t>
      </w:r>
      <w:r w:rsidRPr="00360A9A">
        <w:rPr>
          <w:rFonts w:ascii="Palatino Linotype" w:eastAsia="Palatino Linotype" w:hAnsi="Palatino Linotype" w:cs="Palatino Linotype"/>
        </w:rPr>
        <w:t xml:space="preserve"> la presente Resolución, vía </w:t>
      </w:r>
      <w:r w:rsidRPr="00360A9A">
        <w:rPr>
          <w:rFonts w:ascii="Palatino Linotype" w:eastAsia="Palatino Linotype" w:hAnsi="Palatino Linotype" w:cs="Palatino Linotype"/>
          <w:b/>
        </w:rPr>
        <w:t>SAIMEX</w:t>
      </w:r>
      <w:r w:rsidRPr="00360A9A">
        <w:rPr>
          <w:rFonts w:ascii="Palatino Linotype" w:eastAsia="Palatino Linotype" w:hAnsi="Palatino Linotype" w:cs="Palatino Linotype"/>
        </w:rPr>
        <w:t>.</w:t>
      </w:r>
    </w:p>
    <w:p w:rsidR="006D6FA1" w:rsidRPr="00360A9A" w:rsidRDefault="006D6FA1" w:rsidP="00B810E8">
      <w:pPr>
        <w:tabs>
          <w:tab w:val="left" w:pos="8080"/>
        </w:tabs>
        <w:spacing w:line="360" w:lineRule="auto"/>
        <w:ind w:right="-592"/>
        <w:jc w:val="both"/>
        <w:rPr>
          <w:rFonts w:ascii="Palatino Linotype" w:eastAsia="Palatino Linotype" w:hAnsi="Palatino Linotype" w:cs="Palatino Linotype"/>
        </w:rPr>
      </w:pPr>
    </w:p>
    <w:p w:rsidR="006D6FA1" w:rsidRPr="00360A9A" w:rsidRDefault="00920AA1" w:rsidP="00B810E8">
      <w:pPr>
        <w:shd w:val="clear" w:color="auto" w:fill="FFFFFF"/>
        <w:spacing w:line="360" w:lineRule="auto"/>
        <w:ind w:right="-592"/>
        <w:jc w:val="both"/>
        <w:rPr>
          <w:rFonts w:ascii="Palatino Linotype" w:eastAsia="Palatino Linotype" w:hAnsi="Palatino Linotype" w:cs="Palatino Linotype"/>
        </w:rPr>
      </w:pPr>
      <w:r w:rsidRPr="00360A9A">
        <w:rPr>
          <w:rFonts w:ascii="Palatino Linotype" w:eastAsia="Palatino Linotype" w:hAnsi="Palatino Linotype" w:cs="Palatino Linotype"/>
          <w:b/>
        </w:rPr>
        <w:t xml:space="preserve">SEXTO. </w:t>
      </w:r>
      <w:r w:rsidRPr="00360A9A">
        <w:rPr>
          <w:rFonts w:ascii="Palatino Linotype" w:eastAsia="Palatino Linotype" w:hAnsi="Palatino Linotype" w:cs="Palatino Linotype"/>
        </w:rPr>
        <w:t>Se hace del conocimiento del</w:t>
      </w:r>
      <w:r w:rsidRPr="00360A9A">
        <w:rPr>
          <w:rFonts w:ascii="Palatino Linotype" w:eastAsia="Palatino Linotype" w:hAnsi="Palatino Linotype" w:cs="Palatino Linotype"/>
          <w:b/>
        </w:rPr>
        <w:t xml:space="preserve"> RECURRENTE </w:t>
      </w:r>
      <w:r w:rsidRPr="00360A9A">
        <w:rPr>
          <w:rFonts w:ascii="Palatino Linotype" w:eastAsia="Palatino Linotype" w:hAnsi="Palatino Linotype" w:cs="Palatino Linotype"/>
        </w:rPr>
        <w:t xml:space="preserve">que, de conformidad con lo establecido en el artículo 196 de la Ley de Transparencia y Acceso a la Información Pública del Estado de México y Municipios, en caso de que considere que la </w:t>
      </w:r>
      <w:r w:rsidR="003C57CE" w:rsidRPr="00360A9A">
        <w:rPr>
          <w:rFonts w:ascii="Palatino Linotype" w:eastAsia="Palatino Linotype" w:hAnsi="Palatino Linotype" w:cs="Palatino Linotype"/>
        </w:rPr>
        <w:t>R</w:t>
      </w:r>
      <w:r w:rsidRPr="00360A9A">
        <w:rPr>
          <w:rFonts w:ascii="Palatino Linotype" w:eastAsia="Palatino Linotype" w:hAnsi="Palatino Linotype" w:cs="Palatino Linotype"/>
        </w:rPr>
        <w:t>esolución le cause algún perjuicio podrá impugnar vía juicio de amparo en los términos de las leyes aplicables.</w:t>
      </w:r>
    </w:p>
    <w:p w:rsidR="006D6FA1" w:rsidRPr="00360A9A" w:rsidRDefault="006D6FA1" w:rsidP="00B810E8">
      <w:pPr>
        <w:shd w:val="clear" w:color="auto" w:fill="FFFFFF"/>
        <w:spacing w:line="360" w:lineRule="auto"/>
        <w:jc w:val="both"/>
        <w:rPr>
          <w:rFonts w:ascii="Palatino Linotype" w:eastAsia="Palatino Linotype" w:hAnsi="Palatino Linotype" w:cs="Palatino Linotype"/>
        </w:rPr>
      </w:pPr>
    </w:p>
    <w:p w:rsidR="00D03DF7" w:rsidRPr="003C7186" w:rsidRDefault="00D03DF7" w:rsidP="00D03DF7">
      <w:pPr>
        <w:spacing w:line="360" w:lineRule="auto"/>
        <w:ind w:left="-142" w:right="-660" w:firstLine="1"/>
        <w:jc w:val="both"/>
        <w:rPr>
          <w:rFonts w:ascii="Palatino Linotype" w:hAnsi="Palatino Linotype"/>
        </w:rPr>
      </w:pPr>
      <w:r w:rsidRPr="00360A9A">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CUARTA SESIÓN ORDINARIA CELEBRADA EL SEIS (06) DE FEBRERO DE DOS MIL VEINTICINCO, ANTE EL SECRETARIO TÉCNICO DEL PLENO ALEXIS TAPIA RAMÍREZ.</w:t>
      </w:r>
      <w:r w:rsidRPr="003C7186">
        <w:rPr>
          <w:rFonts w:ascii="Palatino Linotype" w:hAnsi="Palatino Linotype"/>
        </w:rPr>
        <w:t xml:space="preserve"> </w:t>
      </w:r>
    </w:p>
    <w:p w:rsidR="006D6FA1" w:rsidRPr="006219BF" w:rsidRDefault="006D6FA1" w:rsidP="00D03DF7">
      <w:pPr>
        <w:spacing w:line="360" w:lineRule="auto"/>
        <w:ind w:right="-660"/>
        <w:jc w:val="both"/>
        <w:rPr>
          <w:rFonts w:ascii="Palatino Linotype" w:eastAsia="Palatino Linotype" w:hAnsi="Palatino Linotype" w:cs="Palatino Linotype"/>
        </w:rPr>
      </w:pPr>
    </w:p>
    <w:p w:rsidR="006D6FA1" w:rsidRPr="006219BF" w:rsidRDefault="006D6FA1" w:rsidP="00B810E8">
      <w:pPr>
        <w:spacing w:line="360" w:lineRule="auto"/>
        <w:jc w:val="both"/>
        <w:rPr>
          <w:rFonts w:ascii="Palatino Linotype" w:eastAsia="Palatino Linotype" w:hAnsi="Palatino Linotype" w:cs="Palatino Linotype"/>
        </w:rPr>
      </w:pPr>
    </w:p>
    <w:p w:rsidR="006D6FA1" w:rsidRPr="006219BF" w:rsidRDefault="006D6FA1" w:rsidP="00B810E8">
      <w:pPr>
        <w:spacing w:line="360" w:lineRule="auto"/>
        <w:jc w:val="both"/>
        <w:rPr>
          <w:rFonts w:ascii="Palatino Linotype" w:eastAsia="Palatino Linotype" w:hAnsi="Palatino Linotype" w:cs="Palatino Linotype"/>
        </w:rPr>
      </w:pPr>
    </w:p>
    <w:p w:rsidR="006D6FA1" w:rsidRPr="006219BF" w:rsidRDefault="006D6FA1" w:rsidP="00B810E8">
      <w:pPr>
        <w:spacing w:line="360" w:lineRule="auto"/>
        <w:jc w:val="both"/>
        <w:rPr>
          <w:rFonts w:ascii="Palatino Linotype" w:eastAsia="Palatino Linotype" w:hAnsi="Palatino Linotype" w:cs="Palatino Linotype"/>
        </w:rPr>
      </w:pPr>
    </w:p>
    <w:p w:rsidR="006D6FA1" w:rsidRPr="006219BF" w:rsidRDefault="006D6FA1" w:rsidP="00B810E8">
      <w:pPr>
        <w:spacing w:line="360" w:lineRule="auto"/>
        <w:jc w:val="both"/>
        <w:rPr>
          <w:rFonts w:ascii="Palatino Linotype" w:eastAsia="Palatino Linotype" w:hAnsi="Palatino Linotype" w:cs="Palatino Linotype"/>
        </w:rPr>
      </w:pPr>
    </w:p>
    <w:p w:rsidR="006D6FA1" w:rsidRPr="006219BF" w:rsidRDefault="006D6FA1" w:rsidP="00B810E8">
      <w:pPr>
        <w:spacing w:line="360" w:lineRule="auto"/>
        <w:rPr>
          <w:rFonts w:ascii="Palatino Linotype" w:eastAsia="Palatino Linotype" w:hAnsi="Palatino Linotype" w:cs="Palatino Linotype"/>
        </w:rPr>
      </w:pPr>
    </w:p>
    <w:p w:rsidR="006D6FA1" w:rsidRPr="006219BF" w:rsidRDefault="006D6FA1" w:rsidP="00B810E8">
      <w:pPr>
        <w:spacing w:line="360" w:lineRule="auto"/>
        <w:rPr>
          <w:rFonts w:ascii="Palatino Linotype" w:eastAsia="Palatino Linotype" w:hAnsi="Palatino Linotype" w:cs="Palatino Linotype"/>
        </w:rPr>
      </w:pPr>
    </w:p>
    <w:p w:rsidR="006D6FA1" w:rsidRPr="006219BF" w:rsidRDefault="006D6FA1" w:rsidP="00B810E8">
      <w:pPr>
        <w:spacing w:line="360" w:lineRule="auto"/>
        <w:rPr>
          <w:rFonts w:ascii="Palatino Linotype" w:eastAsia="Palatino Linotype" w:hAnsi="Palatino Linotype" w:cs="Palatino Linotype"/>
        </w:rPr>
      </w:pPr>
    </w:p>
    <w:p w:rsidR="006D6FA1" w:rsidRPr="006219BF" w:rsidRDefault="006D6FA1" w:rsidP="00B810E8">
      <w:pPr>
        <w:spacing w:line="360" w:lineRule="auto"/>
        <w:rPr>
          <w:rFonts w:ascii="Palatino Linotype" w:eastAsia="Palatino Linotype" w:hAnsi="Palatino Linotype" w:cs="Palatino Linotype"/>
        </w:rPr>
      </w:pPr>
    </w:p>
    <w:p w:rsidR="006D6FA1" w:rsidRPr="006219BF" w:rsidRDefault="006D6FA1" w:rsidP="00B810E8">
      <w:pPr>
        <w:spacing w:line="360" w:lineRule="auto"/>
        <w:rPr>
          <w:rFonts w:ascii="Palatino Linotype" w:eastAsia="Palatino Linotype" w:hAnsi="Palatino Linotype" w:cs="Palatino Linotype"/>
        </w:rPr>
      </w:pPr>
    </w:p>
    <w:p w:rsidR="006D6FA1" w:rsidRPr="006219BF" w:rsidRDefault="006D6FA1" w:rsidP="00B810E8">
      <w:pPr>
        <w:spacing w:line="360" w:lineRule="auto"/>
        <w:rPr>
          <w:rFonts w:ascii="Palatino Linotype" w:eastAsia="Palatino Linotype" w:hAnsi="Palatino Linotype" w:cs="Palatino Linotype"/>
        </w:rPr>
      </w:pPr>
    </w:p>
    <w:p w:rsidR="006D6FA1" w:rsidRPr="006219BF" w:rsidRDefault="006D6FA1" w:rsidP="00360A9A">
      <w:pPr>
        <w:tabs>
          <w:tab w:val="left" w:pos="3374"/>
        </w:tabs>
        <w:spacing w:line="360" w:lineRule="auto"/>
        <w:rPr>
          <w:rFonts w:ascii="Palatino Linotype" w:eastAsia="Palatino Linotype" w:hAnsi="Palatino Linotype" w:cs="Palatino Linotype"/>
        </w:rPr>
      </w:pPr>
    </w:p>
    <w:sectPr w:rsidR="006D6FA1" w:rsidRPr="006219BF">
      <w:headerReference w:type="even" r:id="rId18"/>
      <w:headerReference w:type="default" r:id="rId19"/>
      <w:footerReference w:type="default" r:id="rId20"/>
      <w:headerReference w:type="first" r:id="rId21"/>
      <w:footerReference w:type="first" r:id="rId22"/>
      <w:pgSz w:w="12240" w:h="15840"/>
      <w:pgMar w:top="2268" w:right="1701" w:bottom="1985"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3003" w:rsidRDefault="00033003">
      <w:r>
        <w:separator/>
      </w:r>
    </w:p>
  </w:endnote>
  <w:endnote w:type="continuationSeparator" w:id="0">
    <w:p w:rsidR="00033003" w:rsidRDefault="000330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C59" w:rsidRDefault="00126C59">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C26672">
      <w:rPr>
        <w:rFonts w:ascii="Palatino Linotype" w:eastAsia="Palatino Linotype" w:hAnsi="Palatino Linotype" w:cs="Palatino Linotype"/>
        <w:noProof/>
        <w:color w:val="000000"/>
        <w:sz w:val="20"/>
        <w:szCs w:val="20"/>
      </w:rPr>
      <w:t>58</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C26672">
      <w:rPr>
        <w:rFonts w:ascii="Palatino Linotype" w:eastAsia="Palatino Linotype" w:hAnsi="Palatino Linotype" w:cs="Palatino Linotype"/>
        <w:noProof/>
        <w:color w:val="000000"/>
        <w:sz w:val="20"/>
        <w:szCs w:val="20"/>
      </w:rPr>
      <w:t>60</w:t>
    </w:r>
    <w:r>
      <w:rPr>
        <w:rFonts w:ascii="Palatino Linotype" w:eastAsia="Palatino Linotype" w:hAnsi="Palatino Linotype" w:cs="Palatino Linotype"/>
        <w:color w:val="000000"/>
        <w:sz w:val="20"/>
        <w:szCs w:val="20"/>
      </w:rPr>
      <w:fldChar w:fldCharType="end"/>
    </w:r>
  </w:p>
  <w:p w:rsidR="00126C59" w:rsidRDefault="00126C59">
    <w:pPr>
      <w:pBdr>
        <w:top w:val="nil"/>
        <w:left w:val="nil"/>
        <w:bottom w:val="nil"/>
        <w:right w:val="nil"/>
        <w:between w:val="nil"/>
      </w:pBdr>
      <w:tabs>
        <w:tab w:val="center" w:pos="4419"/>
        <w:tab w:val="right" w:pos="8838"/>
      </w:tabs>
      <w:rPr>
        <w:rFonts w:eastAsia="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C59" w:rsidRDefault="00126C59">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C26672">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C26672">
      <w:rPr>
        <w:rFonts w:ascii="Palatino Linotype" w:eastAsia="Palatino Linotype" w:hAnsi="Palatino Linotype" w:cs="Palatino Linotype"/>
        <w:noProof/>
        <w:color w:val="000000"/>
        <w:sz w:val="20"/>
        <w:szCs w:val="20"/>
      </w:rPr>
      <w:t>60</w:t>
    </w:r>
    <w:r>
      <w:rPr>
        <w:rFonts w:ascii="Palatino Linotype" w:eastAsia="Palatino Linotype" w:hAnsi="Palatino Linotype" w:cs="Palatino Linotype"/>
        <w:color w:val="000000"/>
        <w:sz w:val="20"/>
        <w:szCs w:val="20"/>
      </w:rPr>
      <w:fldChar w:fldCharType="end"/>
    </w:r>
  </w:p>
  <w:p w:rsidR="00126C59" w:rsidRDefault="00126C59">
    <w:pPr>
      <w:pBdr>
        <w:top w:val="nil"/>
        <w:left w:val="nil"/>
        <w:bottom w:val="nil"/>
        <w:right w:val="nil"/>
        <w:between w:val="nil"/>
      </w:pBdr>
      <w:tabs>
        <w:tab w:val="center" w:pos="4419"/>
        <w:tab w:val="right" w:pos="8838"/>
      </w:tabs>
      <w:rPr>
        <w:rFonts w:eastAsia="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3003" w:rsidRDefault="00033003">
      <w:r>
        <w:separator/>
      </w:r>
    </w:p>
  </w:footnote>
  <w:footnote w:type="continuationSeparator" w:id="0">
    <w:p w:rsidR="00033003" w:rsidRDefault="00033003">
      <w:r>
        <w:continuationSeparator/>
      </w:r>
    </w:p>
  </w:footnote>
  <w:footnote w:id="1">
    <w:p w:rsidR="00126C59" w:rsidRDefault="00126C59">
      <w:pPr>
        <w:pBdr>
          <w:top w:val="nil"/>
          <w:left w:val="nil"/>
          <w:bottom w:val="nil"/>
          <w:right w:val="nil"/>
          <w:between w:val="nil"/>
        </w:pBdr>
        <w:rPr>
          <w:color w:val="000000"/>
        </w:rPr>
      </w:pPr>
      <w:r>
        <w:rPr>
          <w:vertAlign w:val="superscript"/>
        </w:rPr>
        <w:footnoteRef/>
      </w:r>
      <w:r>
        <w:rPr>
          <w:color w:val="000000"/>
        </w:rPr>
        <w:t xml:space="preserve"> Convención Americana sobre Derechos Humanos. Artículo 13.</w:t>
      </w:r>
    </w:p>
  </w:footnote>
  <w:footnote w:id="2">
    <w:p w:rsidR="00126C59" w:rsidRDefault="00126C59">
      <w:pPr>
        <w:pBdr>
          <w:top w:val="nil"/>
          <w:left w:val="nil"/>
          <w:bottom w:val="nil"/>
          <w:right w:val="nil"/>
          <w:between w:val="nil"/>
        </w:pBdr>
        <w:rPr>
          <w:color w:val="000000"/>
        </w:rPr>
      </w:pPr>
      <w:r>
        <w:rPr>
          <w:vertAlign w:val="superscript"/>
        </w:rPr>
        <w:footnoteRef/>
      </w:r>
      <w:r>
        <w:rPr>
          <w:color w:val="000000"/>
        </w:rPr>
        <w:t xml:space="preserve"> Constitución Política de los Estados Unidos Mexicanos. Artículo sexto, sección A, Fracción I.</w:t>
      </w:r>
    </w:p>
  </w:footnote>
  <w:footnote w:id="3">
    <w:p w:rsidR="00126C59" w:rsidRDefault="00126C59">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Corte Interamericana de Derechos Humanos. Caso Claude Reyes y otros vs Chile. Sentencia de 19 de septiembre de 2006. Serie C. No. 151. Párr. 86.</w:t>
      </w:r>
    </w:p>
  </w:footnote>
  <w:footnote w:id="4">
    <w:p w:rsidR="00126C59" w:rsidRDefault="00126C59">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Ibídem. Párr. 87.</w:t>
      </w:r>
    </w:p>
  </w:footnote>
  <w:footnote w:id="5">
    <w:p w:rsidR="00126C59" w:rsidRDefault="00126C59">
      <w:pPr>
        <w:pBdr>
          <w:top w:val="nil"/>
          <w:left w:val="nil"/>
          <w:bottom w:val="nil"/>
          <w:right w:val="nil"/>
          <w:between w:val="nil"/>
        </w:pBdr>
        <w:rPr>
          <w:color w:val="000000"/>
        </w:rPr>
      </w:pPr>
      <w:r>
        <w:rPr>
          <w:vertAlign w:val="superscript"/>
        </w:rPr>
        <w:footnoteRef/>
      </w:r>
      <w:r>
        <w:rPr>
          <w:rFonts w:ascii="Palatino Linotype" w:eastAsia="Palatino Linotype" w:hAnsi="Palatino Linotype" w:cs="Palatino Linotype"/>
          <w:color w:val="000000"/>
          <w:sz w:val="18"/>
          <w:szCs w:val="18"/>
        </w:rP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r>
          <w:rPr>
            <w:rFonts w:ascii="Palatino Linotype" w:eastAsia="Palatino Linotype" w:hAnsi="Palatino Linotype" w:cs="Palatino Linotype"/>
            <w:color w:val="0000FF"/>
            <w:sz w:val="18"/>
            <w:szCs w:val="18"/>
            <w:u w:val="single"/>
          </w:rPr>
          <w:t>http://www.oas.org/es/cidh/expresion/documentos_basicos/declaraciones.asp</w:t>
        </w:r>
      </w:hyperlink>
      <w:r>
        <w:rPr>
          <w:rFonts w:ascii="Palatino Linotype" w:eastAsia="Palatino Linotype" w:hAnsi="Palatino Linotype" w:cs="Palatino Linotype"/>
          <w:color w:val="000000"/>
          <w:sz w:val="18"/>
          <w:szCs w:val="18"/>
        </w:rPr>
        <w:t>.</w:t>
      </w:r>
    </w:p>
  </w:footnote>
  <w:footnote w:id="6">
    <w:p w:rsidR="00126C59" w:rsidRDefault="00126C59">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Ley de Transparencia y Acceso a la Información Pública del Estado de México y Municipios. Artículo 9. …</w:t>
      </w:r>
    </w:p>
    <w:p w:rsidR="00126C59" w:rsidRDefault="00126C59">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II. Eficacia: Obligación del Instituto para tutelar, de manera efectiva, el derecho de acceso a la información;</w:t>
      </w:r>
    </w:p>
    <w:p w:rsidR="00126C59" w:rsidRDefault="00126C59">
      <w:pPr>
        <w:pBdr>
          <w:top w:val="nil"/>
          <w:left w:val="nil"/>
          <w:bottom w:val="nil"/>
          <w:right w:val="nil"/>
          <w:between w:val="nil"/>
        </w:pBdr>
        <w:rPr>
          <w:color w:val="000000"/>
        </w:rPr>
      </w:pPr>
      <w:r>
        <w:rPr>
          <w:color w:val="00000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C59" w:rsidRDefault="00033003">
    <w:pPr>
      <w:pBdr>
        <w:top w:val="nil"/>
        <w:left w:val="nil"/>
        <w:bottom w:val="nil"/>
        <w:right w:val="nil"/>
        <w:between w:val="nil"/>
      </w:pBdr>
      <w:tabs>
        <w:tab w:val="center" w:pos="4419"/>
        <w:tab w:val="right" w:pos="8838"/>
      </w:tabs>
      <w:rPr>
        <w:rFonts w:eastAsia="Calibri"/>
        <w:color w:val="000000"/>
      </w:rPr>
    </w:pPr>
    <w:r>
      <w:rPr>
        <w:rFonts w:eastAsia="Calibri"/>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margin-left:0;margin-top:0;width:609.4pt;height:793.75pt;z-index:-251657728;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C59" w:rsidRDefault="00126C59">
    <w:pPr>
      <w:widowControl w:val="0"/>
      <w:pBdr>
        <w:top w:val="nil"/>
        <w:left w:val="nil"/>
        <w:bottom w:val="nil"/>
        <w:right w:val="nil"/>
        <w:between w:val="nil"/>
      </w:pBdr>
      <w:spacing w:line="276" w:lineRule="auto"/>
      <w:rPr>
        <w:rFonts w:eastAsia="Calibri"/>
        <w:color w:val="000000"/>
      </w:rPr>
    </w:pPr>
  </w:p>
  <w:tbl>
    <w:tblPr>
      <w:tblStyle w:val="a0"/>
      <w:tblW w:w="6519" w:type="dxa"/>
      <w:tblInd w:w="2694" w:type="dxa"/>
      <w:tblLayout w:type="fixed"/>
      <w:tblLook w:val="0400" w:firstRow="0" w:lastRow="0" w:firstColumn="0" w:lastColumn="0" w:noHBand="0" w:noVBand="1"/>
    </w:tblPr>
    <w:tblGrid>
      <w:gridCol w:w="2976"/>
      <w:gridCol w:w="3543"/>
    </w:tblGrid>
    <w:tr w:rsidR="00126C59">
      <w:trPr>
        <w:trHeight w:val="227"/>
      </w:trPr>
      <w:tc>
        <w:tcPr>
          <w:tcW w:w="2976" w:type="dxa"/>
          <w:vAlign w:val="center"/>
        </w:tcPr>
        <w:p w:rsidR="00126C59" w:rsidRDefault="00126C59">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543" w:type="dxa"/>
          <w:vAlign w:val="center"/>
        </w:tcPr>
        <w:p w:rsidR="00126C59" w:rsidRDefault="00126C59">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highlight w:val="green"/>
            </w:rPr>
          </w:pPr>
          <w:r w:rsidRPr="00157DFC">
            <w:rPr>
              <w:rFonts w:ascii="Palatino Linotype" w:eastAsia="Palatino Linotype" w:hAnsi="Palatino Linotype" w:cs="Palatino Linotype"/>
              <w:b/>
              <w:color w:val="000000"/>
              <w:sz w:val="22"/>
              <w:szCs w:val="22"/>
            </w:rPr>
            <w:t>05613/INFOEM/IP/RR/2024</w:t>
          </w:r>
        </w:p>
      </w:tc>
    </w:tr>
    <w:tr w:rsidR="00126C59">
      <w:trPr>
        <w:trHeight w:val="242"/>
      </w:trPr>
      <w:tc>
        <w:tcPr>
          <w:tcW w:w="2976" w:type="dxa"/>
          <w:vAlign w:val="center"/>
        </w:tcPr>
        <w:p w:rsidR="00126C59" w:rsidRDefault="00126C59">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543" w:type="dxa"/>
          <w:vAlign w:val="center"/>
        </w:tcPr>
        <w:p w:rsidR="00126C59" w:rsidRDefault="00126C59">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color w:val="000000"/>
              <w:sz w:val="22"/>
              <w:szCs w:val="22"/>
              <w:highlight w:val="green"/>
            </w:rPr>
          </w:pPr>
          <w:r w:rsidRPr="005A41AF">
            <w:rPr>
              <w:rFonts w:ascii="Palatino Linotype" w:eastAsia="Palatino Linotype" w:hAnsi="Palatino Linotype" w:cs="Palatino Linotype"/>
              <w:b/>
              <w:color w:val="000000"/>
              <w:sz w:val="22"/>
              <w:szCs w:val="22"/>
            </w:rPr>
            <w:t>Organismo Público Descentralizado Municipal para la Prestación de Los Servicios de Agua Potable Alcantarillado y Saneamiento de Cuautitlán Izcalli denominado OPERAGUA, O.P.</w:t>
          </w:r>
        </w:p>
      </w:tc>
    </w:tr>
    <w:tr w:rsidR="00126C59">
      <w:trPr>
        <w:trHeight w:val="342"/>
      </w:trPr>
      <w:tc>
        <w:tcPr>
          <w:tcW w:w="2976" w:type="dxa"/>
          <w:vAlign w:val="center"/>
        </w:tcPr>
        <w:p w:rsidR="00126C59" w:rsidRDefault="00126C59">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543" w:type="dxa"/>
          <w:vAlign w:val="center"/>
        </w:tcPr>
        <w:p w:rsidR="00126C59" w:rsidRDefault="00126C59">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María del Rosario Mejía Ayala</w:t>
          </w:r>
        </w:p>
      </w:tc>
    </w:tr>
  </w:tbl>
  <w:p w:rsidR="00126C59" w:rsidRDefault="00033003">
    <w:pPr>
      <w:pBdr>
        <w:top w:val="nil"/>
        <w:left w:val="nil"/>
        <w:bottom w:val="nil"/>
        <w:right w:val="nil"/>
        <w:between w:val="nil"/>
      </w:pBdr>
      <w:tabs>
        <w:tab w:val="center" w:pos="4419"/>
        <w:tab w:val="right" w:pos="8838"/>
        <w:tab w:val="left" w:pos="6005"/>
      </w:tabs>
      <w:rPr>
        <w:rFonts w:eastAsia="Calibri"/>
        <w:color w:val="000000"/>
        <w:sz w:val="14"/>
        <w:szCs w:val="14"/>
      </w:rPr>
    </w:pPr>
    <w:r>
      <w:rPr>
        <w:rFonts w:eastAsia="Calibri"/>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 style="position:absolute;margin-left:-82.3pt;margin-top:-110.1pt;width:609.4pt;height:793.75pt;z-index:-251659776;mso-position-horizontal:absolute;mso-position-horizontal-relative:margin;mso-position-vertical:absolute;mso-position-vertical-relative:margin">
          <v:imagedata r:id="rId1" o:title="image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C59" w:rsidRDefault="00126C59">
    <w:pPr>
      <w:widowControl w:val="0"/>
      <w:pBdr>
        <w:top w:val="nil"/>
        <w:left w:val="nil"/>
        <w:bottom w:val="nil"/>
        <w:right w:val="nil"/>
        <w:between w:val="nil"/>
      </w:pBdr>
      <w:spacing w:line="276" w:lineRule="auto"/>
      <w:rPr>
        <w:rFonts w:eastAsia="Calibri"/>
        <w:color w:val="000000"/>
        <w:sz w:val="14"/>
        <w:szCs w:val="14"/>
      </w:rPr>
    </w:pPr>
  </w:p>
  <w:tbl>
    <w:tblPr>
      <w:tblStyle w:val="a1"/>
      <w:tblW w:w="6660" w:type="dxa"/>
      <w:tblInd w:w="2552" w:type="dxa"/>
      <w:tblLayout w:type="fixed"/>
      <w:tblLook w:val="0400" w:firstRow="0" w:lastRow="0" w:firstColumn="0" w:lastColumn="0" w:noHBand="0" w:noVBand="1"/>
    </w:tblPr>
    <w:tblGrid>
      <w:gridCol w:w="2977"/>
      <w:gridCol w:w="3683"/>
    </w:tblGrid>
    <w:tr w:rsidR="00126C59">
      <w:trPr>
        <w:trHeight w:val="227"/>
      </w:trPr>
      <w:tc>
        <w:tcPr>
          <w:tcW w:w="2977" w:type="dxa"/>
          <w:vAlign w:val="center"/>
        </w:tcPr>
        <w:p w:rsidR="00126C59" w:rsidRDefault="00126C59">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4" w:type="dxa"/>
          <w:vAlign w:val="center"/>
        </w:tcPr>
        <w:p w:rsidR="00126C59" w:rsidRDefault="00126C59" w:rsidP="00C42347">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highlight w:val="green"/>
            </w:rPr>
          </w:pPr>
          <w:r w:rsidRPr="00157DFC">
            <w:rPr>
              <w:rFonts w:ascii="Palatino Linotype" w:eastAsia="Palatino Linotype" w:hAnsi="Palatino Linotype" w:cs="Palatino Linotype"/>
              <w:b/>
              <w:color w:val="000000"/>
              <w:sz w:val="22"/>
              <w:szCs w:val="22"/>
            </w:rPr>
            <w:t>05613/INFOEM/IP/RR/2024</w:t>
          </w:r>
        </w:p>
      </w:tc>
    </w:tr>
    <w:tr w:rsidR="00126C59">
      <w:trPr>
        <w:trHeight w:val="242"/>
      </w:trPr>
      <w:tc>
        <w:tcPr>
          <w:tcW w:w="2977" w:type="dxa"/>
          <w:vAlign w:val="center"/>
        </w:tcPr>
        <w:p w:rsidR="00126C59" w:rsidRDefault="00126C59">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4" w:type="dxa"/>
        </w:tcPr>
        <w:p w:rsidR="00126C59" w:rsidRDefault="00C26672">
          <w:pPr>
            <w:pBdr>
              <w:top w:val="nil"/>
              <w:left w:val="nil"/>
              <w:bottom w:val="nil"/>
              <w:right w:val="nil"/>
              <w:between w:val="nil"/>
            </w:pBdr>
            <w:tabs>
              <w:tab w:val="center" w:pos="4419"/>
              <w:tab w:val="right" w:pos="8838"/>
              <w:tab w:val="left" w:pos="521"/>
            </w:tabs>
            <w:rPr>
              <w:rFonts w:ascii="Palatino Linotype" w:eastAsia="Palatino Linotype" w:hAnsi="Palatino Linotype" w:cs="Palatino Linotype"/>
              <w:b/>
              <w:color w:val="000000"/>
              <w:sz w:val="22"/>
              <w:szCs w:val="22"/>
              <w:highlight w:val="green"/>
            </w:rPr>
          </w:pPr>
          <w:r>
            <w:rPr>
              <w:rFonts w:ascii="Palatino Linotype" w:eastAsia="Palatino Linotype" w:hAnsi="Palatino Linotype" w:cs="Palatino Linotype"/>
              <w:b/>
              <w:color w:val="000000"/>
              <w:sz w:val="22"/>
              <w:szCs w:val="22"/>
            </w:rPr>
            <w:t xml:space="preserve">XXX XXXXX </w:t>
          </w:r>
          <w:proofErr w:type="spellStart"/>
          <w:r>
            <w:rPr>
              <w:rFonts w:ascii="Palatino Linotype" w:eastAsia="Palatino Linotype" w:hAnsi="Palatino Linotype" w:cs="Palatino Linotype"/>
              <w:b/>
              <w:color w:val="000000"/>
              <w:sz w:val="22"/>
              <w:szCs w:val="22"/>
            </w:rPr>
            <w:t>XXXXX</w:t>
          </w:r>
          <w:proofErr w:type="spellEnd"/>
        </w:p>
      </w:tc>
    </w:tr>
    <w:tr w:rsidR="00126C59">
      <w:trPr>
        <w:trHeight w:val="342"/>
      </w:trPr>
      <w:tc>
        <w:tcPr>
          <w:tcW w:w="2977" w:type="dxa"/>
          <w:vAlign w:val="center"/>
        </w:tcPr>
        <w:p w:rsidR="00126C59" w:rsidRDefault="00126C59">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4" w:type="dxa"/>
          <w:vAlign w:val="center"/>
        </w:tcPr>
        <w:p w:rsidR="00126C59" w:rsidRDefault="00126C59">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color w:val="000000"/>
              <w:sz w:val="22"/>
              <w:szCs w:val="22"/>
              <w:highlight w:val="green"/>
            </w:rPr>
          </w:pPr>
          <w:r w:rsidRPr="005A41AF">
            <w:rPr>
              <w:rFonts w:ascii="Palatino Linotype" w:eastAsia="Palatino Linotype" w:hAnsi="Palatino Linotype" w:cs="Palatino Linotype"/>
              <w:b/>
              <w:color w:val="000000"/>
              <w:sz w:val="22"/>
              <w:szCs w:val="22"/>
            </w:rPr>
            <w:t>Organismo Público Descentralizado Municipal para la Prestación de Los Servicios de Agua Potable Alcantarillado y Saneamiento de Cuautitlán Izcalli denominado OPERAGUA, O.P.</w:t>
          </w:r>
        </w:p>
      </w:tc>
    </w:tr>
    <w:tr w:rsidR="00126C59">
      <w:trPr>
        <w:trHeight w:val="342"/>
      </w:trPr>
      <w:tc>
        <w:tcPr>
          <w:tcW w:w="2977" w:type="dxa"/>
          <w:vAlign w:val="center"/>
        </w:tcPr>
        <w:p w:rsidR="00126C59" w:rsidRDefault="00126C59">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4" w:type="dxa"/>
          <w:vAlign w:val="center"/>
        </w:tcPr>
        <w:p w:rsidR="00126C59" w:rsidRDefault="00126C59">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María del Rosario Mejía Ayala</w:t>
          </w:r>
        </w:p>
      </w:tc>
    </w:tr>
  </w:tbl>
  <w:p w:rsidR="00126C59" w:rsidRDefault="00033003">
    <w:pPr>
      <w:pBdr>
        <w:top w:val="nil"/>
        <w:left w:val="nil"/>
        <w:bottom w:val="nil"/>
        <w:right w:val="nil"/>
        <w:between w:val="nil"/>
      </w:pBdr>
      <w:tabs>
        <w:tab w:val="center" w:pos="4419"/>
        <w:tab w:val="right" w:pos="8838"/>
      </w:tabs>
      <w:rPr>
        <w:rFonts w:eastAsia="Calibri"/>
        <w:color w:val="000000"/>
        <w:sz w:val="16"/>
        <w:szCs w:val="16"/>
      </w:rPr>
    </w:pPr>
    <w:r>
      <w:rPr>
        <w:rFonts w:eastAsia="Calibri"/>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84.55pt;margin-top:-132.2pt;width:609.4pt;height:793.75pt;z-index:-251658752;mso-position-horizontal:absolute;mso-position-horizontal-relative:margin;mso-position-vertical:absolute;mso-position-vertical-relative:margin">
          <v:imagedata r:id="rId1" o:title="image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913BBA"/>
    <w:multiLevelType w:val="multilevel"/>
    <w:tmpl w:val="FE103DE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091B76D4"/>
    <w:multiLevelType w:val="hybridMultilevel"/>
    <w:tmpl w:val="F5462AE4"/>
    <w:lvl w:ilvl="0" w:tplc="5A1A0B6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AFD3391"/>
    <w:multiLevelType w:val="multilevel"/>
    <w:tmpl w:val="07907776"/>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3" w15:restartNumberingAfterBreak="0">
    <w:nsid w:val="0BD2283A"/>
    <w:multiLevelType w:val="hybridMultilevel"/>
    <w:tmpl w:val="CB20433E"/>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6946FA"/>
    <w:multiLevelType w:val="multilevel"/>
    <w:tmpl w:val="4414FF76"/>
    <w:lvl w:ilvl="0">
      <w:start w:val="1"/>
      <w:numFmt w:val="bullet"/>
      <w:lvlText w:val="●"/>
      <w:lvlJc w:val="left"/>
      <w:pPr>
        <w:ind w:left="709" w:hanging="359"/>
      </w:pPr>
      <w:rPr>
        <w:rFonts w:ascii="Noto Sans Symbols" w:eastAsia="Noto Sans Symbols" w:hAnsi="Noto Sans Symbols" w:cs="Noto Sans Symbols"/>
      </w:rPr>
    </w:lvl>
    <w:lvl w:ilvl="1">
      <w:start w:val="1"/>
      <w:numFmt w:val="bullet"/>
      <w:lvlText w:val="o"/>
      <w:lvlJc w:val="left"/>
      <w:pPr>
        <w:ind w:left="1429" w:hanging="360"/>
      </w:pPr>
      <w:rPr>
        <w:rFonts w:ascii="Courier New" w:eastAsia="Courier New" w:hAnsi="Courier New" w:cs="Courier New"/>
      </w:rPr>
    </w:lvl>
    <w:lvl w:ilvl="2">
      <w:start w:val="1"/>
      <w:numFmt w:val="bullet"/>
      <w:lvlText w:val="▪"/>
      <w:lvlJc w:val="left"/>
      <w:pPr>
        <w:ind w:left="2149" w:hanging="360"/>
      </w:pPr>
      <w:rPr>
        <w:rFonts w:ascii="Noto Sans Symbols" w:eastAsia="Noto Sans Symbols" w:hAnsi="Noto Sans Symbols" w:cs="Noto Sans Symbols"/>
      </w:rPr>
    </w:lvl>
    <w:lvl w:ilvl="3">
      <w:start w:val="1"/>
      <w:numFmt w:val="bullet"/>
      <w:lvlText w:val="●"/>
      <w:lvlJc w:val="left"/>
      <w:pPr>
        <w:ind w:left="2869" w:hanging="360"/>
      </w:pPr>
      <w:rPr>
        <w:rFonts w:ascii="Noto Sans Symbols" w:eastAsia="Noto Sans Symbols" w:hAnsi="Noto Sans Symbols" w:cs="Noto Sans Symbols"/>
      </w:rPr>
    </w:lvl>
    <w:lvl w:ilvl="4">
      <w:start w:val="1"/>
      <w:numFmt w:val="bullet"/>
      <w:lvlText w:val="o"/>
      <w:lvlJc w:val="left"/>
      <w:pPr>
        <w:ind w:left="3589" w:hanging="360"/>
      </w:pPr>
      <w:rPr>
        <w:rFonts w:ascii="Courier New" w:eastAsia="Courier New" w:hAnsi="Courier New" w:cs="Courier New"/>
      </w:rPr>
    </w:lvl>
    <w:lvl w:ilvl="5">
      <w:start w:val="1"/>
      <w:numFmt w:val="bullet"/>
      <w:lvlText w:val="▪"/>
      <w:lvlJc w:val="left"/>
      <w:pPr>
        <w:ind w:left="4309" w:hanging="360"/>
      </w:pPr>
      <w:rPr>
        <w:rFonts w:ascii="Noto Sans Symbols" w:eastAsia="Noto Sans Symbols" w:hAnsi="Noto Sans Symbols" w:cs="Noto Sans Symbols"/>
      </w:rPr>
    </w:lvl>
    <w:lvl w:ilvl="6">
      <w:start w:val="1"/>
      <w:numFmt w:val="bullet"/>
      <w:lvlText w:val="●"/>
      <w:lvlJc w:val="left"/>
      <w:pPr>
        <w:ind w:left="5029" w:hanging="360"/>
      </w:pPr>
      <w:rPr>
        <w:rFonts w:ascii="Noto Sans Symbols" w:eastAsia="Noto Sans Symbols" w:hAnsi="Noto Sans Symbols" w:cs="Noto Sans Symbols"/>
      </w:rPr>
    </w:lvl>
    <w:lvl w:ilvl="7">
      <w:start w:val="1"/>
      <w:numFmt w:val="bullet"/>
      <w:lvlText w:val="o"/>
      <w:lvlJc w:val="left"/>
      <w:pPr>
        <w:ind w:left="5749" w:hanging="360"/>
      </w:pPr>
      <w:rPr>
        <w:rFonts w:ascii="Courier New" w:eastAsia="Courier New" w:hAnsi="Courier New" w:cs="Courier New"/>
      </w:rPr>
    </w:lvl>
    <w:lvl w:ilvl="8">
      <w:start w:val="1"/>
      <w:numFmt w:val="bullet"/>
      <w:lvlText w:val="▪"/>
      <w:lvlJc w:val="left"/>
      <w:pPr>
        <w:ind w:left="6469" w:hanging="360"/>
      </w:pPr>
      <w:rPr>
        <w:rFonts w:ascii="Noto Sans Symbols" w:eastAsia="Noto Sans Symbols" w:hAnsi="Noto Sans Symbols" w:cs="Noto Sans Symbols"/>
      </w:rPr>
    </w:lvl>
  </w:abstractNum>
  <w:abstractNum w:abstractNumId="6" w15:restartNumberingAfterBreak="0">
    <w:nsid w:val="182C0887"/>
    <w:multiLevelType w:val="hybridMultilevel"/>
    <w:tmpl w:val="70281CC6"/>
    <w:lvl w:ilvl="0" w:tplc="FB4A1198">
      <w:start w:val="1"/>
      <w:numFmt w:val="low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7" w15:restartNumberingAfterBreak="0">
    <w:nsid w:val="1A3C1CA0"/>
    <w:multiLevelType w:val="multilevel"/>
    <w:tmpl w:val="BE3A2792"/>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8" w15:restartNumberingAfterBreak="0">
    <w:nsid w:val="1AB66DEF"/>
    <w:multiLevelType w:val="multilevel"/>
    <w:tmpl w:val="72EEB244"/>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E9A35DE"/>
    <w:multiLevelType w:val="hybridMultilevel"/>
    <w:tmpl w:val="A698C3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0FC21D4"/>
    <w:multiLevelType w:val="hybridMultilevel"/>
    <w:tmpl w:val="C6C297F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21DA6E57"/>
    <w:multiLevelType w:val="multilevel"/>
    <w:tmpl w:val="B63824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58C1C8A"/>
    <w:multiLevelType w:val="hybridMultilevel"/>
    <w:tmpl w:val="7E3A190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3" w15:restartNumberingAfterBreak="0">
    <w:nsid w:val="2D0C4DEC"/>
    <w:multiLevelType w:val="multilevel"/>
    <w:tmpl w:val="48AA2DD8"/>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4" w15:restartNumberingAfterBreak="0">
    <w:nsid w:val="3042235E"/>
    <w:multiLevelType w:val="multilevel"/>
    <w:tmpl w:val="F3EE83C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4317490"/>
    <w:multiLevelType w:val="hybridMultilevel"/>
    <w:tmpl w:val="02EC67D8"/>
    <w:lvl w:ilvl="0" w:tplc="F5C4018E">
      <w:start w:val="1"/>
      <w:numFmt w:val="decimal"/>
      <w:lvlText w:val="%1."/>
      <w:lvlJc w:val="left"/>
      <w:pPr>
        <w:ind w:left="644"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6E5203E"/>
    <w:multiLevelType w:val="multilevel"/>
    <w:tmpl w:val="6136B0C8"/>
    <w:lvl w:ilvl="0">
      <w:start w:val="1"/>
      <w:numFmt w:val="decimal"/>
      <w:lvlText w:val="%1."/>
      <w:lvlJc w:val="left"/>
      <w:pPr>
        <w:ind w:left="720" w:hanging="360"/>
      </w:pPr>
      <w:rPr>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C815613"/>
    <w:multiLevelType w:val="multilevel"/>
    <w:tmpl w:val="D316758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94814E4"/>
    <w:multiLevelType w:val="multilevel"/>
    <w:tmpl w:val="4440C9EE"/>
    <w:lvl w:ilvl="0">
      <w:start w:val="1"/>
      <w:numFmt w:val="lowerLetter"/>
      <w:lvlText w:val="%1)"/>
      <w:lvlJc w:val="left"/>
      <w:pPr>
        <w:ind w:left="144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9" w15:restartNumberingAfterBreak="0">
    <w:nsid w:val="4A5F73EE"/>
    <w:multiLevelType w:val="hybridMultilevel"/>
    <w:tmpl w:val="85F6AE82"/>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20" w15:restartNumberingAfterBreak="0">
    <w:nsid w:val="560839D1"/>
    <w:multiLevelType w:val="hybridMultilevel"/>
    <w:tmpl w:val="85B60A3A"/>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15:restartNumberingAfterBreak="0">
    <w:nsid w:val="57726F33"/>
    <w:multiLevelType w:val="hybridMultilevel"/>
    <w:tmpl w:val="B4083F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C0D1D37"/>
    <w:multiLevelType w:val="hybridMultilevel"/>
    <w:tmpl w:val="F9AE19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12B46B2"/>
    <w:multiLevelType w:val="hybridMultilevel"/>
    <w:tmpl w:val="BBF40A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B4B51BE"/>
    <w:multiLevelType w:val="hybridMultilevel"/>
    <w:tmpl w:val="5E1010AE"/>
    <w:lvl w:ilvl="0" w:tplc="FFFFFFFF">
      <w:start w:val="1"/>
      <w:numFmt w:val="decimal"/>
      <w:lvlText w:val="%1."/>
      <w:lvlJc w:val="left"/>
      <w:pPr>
        <w:ind w:left="4330" w:hanging="360"/>
      </w:pPr>
      <w:rPr>
        <w:rFonts w:ascii="Palatino Linotype" w:hAnsi="Palatino Linotype" w:hint="default"/>
        <w:b/>
        <w:i w:val="0"/>
        <w:color w:val="auto"/>
        <w:sz w:val="24"/>
      </w:rPr>
    </w:lvl>
    <w:lvl w:ilvl="1" w:tplc="080A0017">
      <w:start w:val="1"/>
      <w:numFmt w:val="lowerLetter"/>
      <w:lvlText w:val="%2)"/>
      <w:lvlJc w:val="left"/>
      <w:pPr>
        <w:ind w:left="1800" w:hanging="720"/>
      </w:pPr>
      <w:rPr>
        <w:rFonts w:hint="default"/>
        <w:b/>
        <w:color w:val="auto"/>
      </w:rPr>
    </w:lvl>
    <w:lvl w:ilvl="2" w:tplc="FFFFFFFF">
      <w:start w:val="1"/>
      <w:numFmt w:val="lowerRoman"/>
      <w:lvlText w:val="%3."/>
      <w:lvlJc w:val="right"/>
      <w:pPr>
        <w:ind w:left="2160" w:hanging="180"/>
      </w:pPr>
    </w:lvl>
    <w:lvl w:ilvl="3" w:tplc="FFFFFFFF">
      <w:start w:val="1"/>
      <w:numFmt w:val="lowerLetter"/>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8"/>
  </w:num>
  <w:num w:numId="2">
    <w:abstractNumId w:val="13"/>
  </w:num>
  <w:num w:numId="3">
    <w:abstractNumId w:val="7"/>
  </w:num>
  <w:num w:numId="4">
    <w:abstractNumId w:val="14"/>
  </w:num>
  <w:num w:numId="5">
    <w:abstractNumId w:val="17"/>
  </w:num>
  <w:num w:numId="6">
    <w:abstractNumId w:val="18"/>
  </w:num>
  <w:num w:numId="7">
    <w:abstractNumId w:val="11"/>
  </w:num>
  <w:num w:numId="8">
    <w:abstractNumId w:val="5"/>
  </w:num>
  <w:num w:numId="9">
    <w:abstractNumId w:val="0"/>
  </w:num>
  <w:num w:numId="10">
    <w:abstractNumId w:val="2"/>
  </w:num>
  <w:num w:numId="11">
    <w:abstractNumId w:val="15"/>
  </w:num>
  <w:num w:numId="12">
    <w:abstractNumId w:val="9"/>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6"/>
  </w:num>
  <w:num w:numId="15">
    <w:abstractNumId w:val="3"/>
  </w:num>
  <w:num w:numId="16">
    <w:abstractNumId w:val="10"/>
  </w:num>
  <w:num w:numId="17">
    <w:abstractNumId w:val="12"/>
  </w:num>
  <w:num w:numId="18">
    <w:abstractNumId w:val="25"/>
  </w:num>
  <w:num w:numId="19">
    <w:abstractNumId w:val="4"/>
  </w:num>
  <w:num w:numId="20">
    <w:abstractNumId w:val="6"/>
  </w:num>
  <w:num w:numId="21">
    <w:abstractNumId w:val="19"/>
  </w:num>
  <w:num w:numId="22">
    <w:abstractNumId w:val="23"/>
  </w:num>
  <w:num w:numId="23">
    <w:abstractNumId w:val="24"/>
  </w:num>
  <w:num w:numId="24">
    <w:abstractNumId w:val="16"/>
  </w:num>
  <w:num w:numId="25">
    <w:abstractNumId w:val="21"/>
  </w:num>
  <w:num w:numId="26">
    <w:abstractNumId w:val="1"/>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6FA1"/>
    <w:rsid w:val="00033003"/>
    <w:rsid w:val="00046E77"/>
    <w:rsid w:val="000636F5"/>
    <w:rsid w:val="00074152"/>
    <w:rsid w:val="00083DE2"/>
    <w:rsid w:val="000A4ACD"/>
    <w:rsid w:val="000E292D"/>
    <w:rsid w:val="00126C59"/>
    <w:rsid w:val="00143D4B"/>
    <w:rsid w:val="00157DFC"/>
    <w:rsid w:val="001713C0"/>
    <w:rsid w:val="001F5EBE"/>
    <w:rsid w:val="00200ED3"/>
    <w:rsid w:val="00203A3C"/>
    <w:rsid w:val="00234068"/>
    <w:rsid w:val="002E3836"/>
    <w:rsid w:val="00332EFD"/>
    <w:rsid w:val="003477AE"/>
    <w:rsid w:val="00360A9A"/>
    <w:rsid w:val="003B3896"/>
    <w:rsid w:val="003B6E4C"/>
    <w:rsid w:val="003C10D7"/>
    <w:rsid w:val="003C57CE"/>
    <w:rsid w:val="00420815"/>
    <w:rsid w:val="004221C0"/>
    <w:rsid w:val="00441F7B"/>
    <w:rsid w:val="00455EA9"/>
    <w:rsid w:val="00497DBB"/>
    <w:rsid w:val="004A37FF"/>
    <w:rsid w:val="004F69F3"/>
    <w:rsid w:val="005025FE"/>
    <w:rsid w:val="00510FD5"/>
    <w:rsid w:val="00533772"/>
    <w:rsid w:val="00566C12"/>
    <w:rsid w:val="005A41AF"/>
    <w:rsid w:val="005D071D"/>
    <w:rsid w:val="005F156A"/>
    <w:rsid w:val="00617705"/>
    <w:rsid w:val="006219BF"/>
    <w:rsid w:val="00683F79"/>
    <w:rsid w:val="006D6FA1"/>
    <w:rsid w:val="006F4475"/>
    <w:rsid w:val="00706093"/>
    <w:rsid w:val="00725D92"/>
    <w:rsid w:val="00754F07"/>
    <w:rsid w:val="00810ED6"/>
    <w:rsid w:val="008C7161"/>
    <w:rsid w:val="009104A4"/>
    <w:rsid w:val="00920AA1"/>
    <w:rsid w:val="0092137E"/>
    <w:rsid w:val="009319D4"/>
    <w:rsid w:val="00947F2D"/>
    <w:rsid w:val="00985278"/>
    <w:rsid w:val="00995DD4"/>
    <w:rsid w:val="009966BC"/>
    <w:rsid w:val="009A654E"/>
    <w:rsid w:val="009B427D"/>
    <w:rsid w:val="009F45EB"/>
    <w:rsid w:val="009F5B01"/>
    <w:rsid w:val="00A23512"/>
    <w:rsid w:val="00AB044F"/>
    <w:rsid w:val="00AB04E8"/>
    <w:rsid w:val="00AB122A"/>
    <w:rsid w:val="00AF088C"/>
    <w:rsid w:val="00AF7124"/>
    <w:rsid w:val="00B04B53"/>
    <w:rsid w:val="00B37564"/>
    <w:rsid w:val="00B804EA"/>
    <w:rsid w:val="00B810E8"/>
    <w:rsid w:val="00BB4339"/>
    <w:rsid w:val="00BB5E22"/>
    <w:rsid w:val="00C26672"/>
    <w:rsid w:val="00C42347"/>
    <w:rsid w:val="00C6056D"/>
    <w:rsid w:val="00C769DA"/>
    <w:rsid w:val="00CB33F9"/>
    <w:rsid w:val="00CC2DA9"/>
    <w:rsid w:val="00CE6EF8"/>
    <w:rsid w:val="00D03DF7"/>
    <w:rsid w:val="00D40032"/>
    <w:rsid w:val="00D577DF"/>
    <w:rsid w:val="00D90EFB"/>
    <w:rsid w:val="00DB746F"/>
    <w:rsid w:val="00DE1DC4"/>
    <w:rsid w:val="00E17996"/>
    <w:rsid w:val="00E73914"/>
    <w:rsid w:val="00E803AA"/>
    <w:rsid w:val="00EF1DA8"/>
    <w:rsid w:val="00F37A04"/>
    <w:rsid w:val="00F7050B"/>
    <w:rsid w:val="00FC4B5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51942D10-9BD4-4B60-89D1-69E677B86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2616"/>
    <w:rPr>
      <w:rFonts w:eastAsiaTheme="minorEastAsia"/>
      <w:lang w:eastAsia="es-ES"/>
    </w:rPr>
  </w:style>
  <w:style w:type="paragraph" w:styleId="Ttulo1">
    <w:name w:val="heading 1"/>
    <w:basedOn w:val="Normal"/>
    <w:next w:val="Normal"/>
    <w:link w:val="Ttulo1Car"/>
    <w:uiPriority w:val="9"/>
    <w:qFormat/>
    <w:rsid w:val="0094261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4261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character" w:customStyle="1" w:styleId="Ttulo1Car">
    <w:name w:val="Título 1 Car"/>
    <w:basedOn w:val="Fuentedeprrafopredeter"/>
    <w:link w:val="Ttulo1"/>
    <w:uiPriority w:val="9"/>
    <w:rsid w:val="00942616"/>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link w:val="Ttulo2"/>
    <w:uiPriority w:val="9"/>
    <w:rsid w:val="00942616"/>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2616"/>
    <w:pPr>
      <w:tabs>
        <w:tab w:val="center" w:pos="4419"/>
        <w:tab w:val="right" w:pos="8838"/>
      </w:tabs>
    </w:pPr>
  </w:style>
  <w:style w:type="character" w:customStyle="1" w:styleId="EncabezadoCar">
    <w:name w:val="Encabezado Car"/>
    <w:basedOn w:val="Fuentedeprrafopredeter"/>
    <w:link w:val="Encabezado"/>
    <w:uiPriority w:val="99"/>
    <w:rsid w:val="00942616"/>
    <w:rPr>
      <w:rFonts w:eastAsiaTheme="minorEastAsia"/>
      <w:sz w:val="24"/>
      <w:szCs w:val="24"/>
      <w:lang w:val="es-ES_tradnl" w:eastAsia="es-ES"/>
    </w:rPr>
  </w:style>
  <w:style w:type="paragraph" w:styleId="Piedepgina">
    <w:name w:val="footer"/>
    <w:basedOn w:val="Normal"/>
    <w:link w:val="PiedepginaCar"/>
    <w:uiPriority w:val="99"/>
    <w:unhideWhenUsed/>
    <w:rsid w:val="00942616"/>
    <w:pPr>
      <w:tabs>
        <w:tab w:val="center" w:pos="4419"/>
        <w:tab w:val="right" w:pos="8838"/>
      </w:tabs>
    </w:pPr>
  </w:style>
  <w:style w:type="character" w:customStyle="1" w:styleId="PiedepginaCar">
    <w:name w:val="Pie de página Car"/>
    <w:basedOn w:val="Fuentedeprrafopredeter"/>
    <w:link w:val="Piedepgina"/>
    <w:uiPriority w:val="99"/>
    <w:rsid w:val="00942616"/>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942616"/>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42616"/>
    <w:rPr>
      <w:rFonts w:eastAsiaTheme="minorHAnsi"/>
      <w:sz w:val="20"/>
      <w:szCs w:val="20"/>
      <w:lang w:val="es-MX" w:eastAsia="en-US"/>
    </w:rPr>
  </w:style>
  <w:style w:type="character" w:customStyle="1" w:styleId="TextonotapieCar1">
    <w:name w:val="Texto nota pie Car1"/>
    <w:basedOn w:val="Fuentedeprrafopredeter"/>
    <w:uiPriority w:val="99"/>
    <w:semiHidden/>
    <w:rsid w:val="00942616"/>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942616"/>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261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2616"/>
    <w:rPr>
      <w:rFonts w:eastAsiaTheme="minorEastAsia"/>
      <w:sz w:val="24"/>
      <w:szCs w:val="24"/>
      <w:lang w:val="es-ES_tradnl" w:eastAsia="es-ES"/>
    </w:rPr>
  </w:style>
  <w:style w:type="table" w:styleId="Tablanormal1">
    <w:name w:val="Plain Table 1"/>
    <w:basedOn w:val="Tablanormal"/>
    <w:uiPriority w:val="41"/>
    <w:rsid w:val="0094261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aliases w:val="Hipervínculo1,Hipervínculo11,Hipervínculo12,Hipervínculo13,Hipervínculo14,Hipervínculo15"/>
    <w:basedOn w:val="Fuentedeprrafopredeter"/>
    <w:uiPriority w:val="99"/>
    <w:unhideWhenUsed/>
    <w:qFormat/>
    <w:rsid w:val="004D1B9C"/>
    <w:rPr>
      <w:color w:val="0563C1" w:themeColor="hyperlink"/>
      <w:u w:val="single"/>
    </w:rPr>
  </w:style>
  <w:style w:type="table" w:styleId="Tablaconcuadrcula">
    <w:name w:val="Table Grid"/>
    <w:basedOn w:val="Tablanormal"/>
    <w:uiPriority w:val="39"/>
    <w:rsid w:val="00284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ndamentos">
    <w:name w:val="Fundamentos"/>
    <w:basedOn w:val="Normal"/>
    <w:next w:val="Normal"/>
    <w:qFormat/>
    <w:rsid w:val="00D70F20"/>
    <w:pPr>
      <w:pBdr>
        <w:top w:val="nil"/>
        <w:left w:val="nil"/>
        <w:bottom w:val="nil"/>
        <w:right w:val="nil"/>
        <w:between w:val="nil"/>
      </w:pBdr>
      <w:ind w:left="567" w:right="567"/>
      <w:contextualSpacing/>
      <w:jc w:val="both"/>
    </w:pPr>
    <w:rPr>
      <w:rFonts w:ascii="Palatino Linotype" w:eastAsia="Palatino Linotype" w:hAnsi="Palatino Linotype" w:cs="Palatino Linotype"/>
      <w:i/>
      <w:color w:val="000000"/>
      <w:sz w:val="22"/>
      <w:lang w:eastAsia="es-MX"/>
    </w:rPr>
  </w:style>
  <w:style w:type="paragraph" w:styleId="Sinespaciado">
    <w:name w:val="No Spacing"/>
    <w:aliases w:val="Francesa,INAI"/>
    <w:link w:val="SinespaciadoCar"/>
    <w:uiPriority w:val="1"/>
    <w:qFormat/>
    <w:rsid w:val="00071265"/>
  </w:style>
  <w:style w:type="character" w:customStyle="1" w:styleId="SinespaciadoCar">
    <w:name w:val="Sin espaciado Car"/>
    <w:aliases w:val="Francesa Car,INAI Car"/>
    <w:link w:val="Sinespaciado"/>
    <w:uiPriority w:val="1"/>
    <w:qFormat/>
    <w:locked/>
    <w:rsid w:val="00071265"/>
  </w:style>
  <w:style w:type="paragraph" w:customStyle="1" w:styleId="Default">
    <w:name w:val="Default"/>
    <w:rsid w:val="001C69FE"/>
    <w:pPr>
      <w:autoSpaceDE w:val="0"/>
      <w:autoSpaceDN w:val="0"/>
      <w:adjustRightInd w:val="0"/>
    </w:pPr>
    <w:rPr>
      <w:rFonts w:ascii="Arial" w:hAnsi="Arial" w:cs="Arial"/>
      <w:color w:val="000000"/>
    </w:rPr>
  </w:style>
  <w:style w:type="table" w:customStyle="1" w:styleId="Tablanormal12">
    <w:name w:val="Tabla normal 12"/>
    <w:basedOn w:val="Tablanormal"/>
    <w:next w:val="Tablanormal1"/>
    <w:uiPriority w:val="41"/>
    <w:rsid w:val="00C3684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uiPriority w:val="22"/>
    <w:qFormat/>
    <w:rsid w:val="003F5071"/>
    <w:rPr>
      <w:b/>
      <w:bC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paragraph" w:customStyle="1" w:styleId="Citas">
    <w:name w:val="Citas"/>
    <w:basedOn w:val="Normal"/>
    <w:qFormat/>
    <w:rsid w:val="00E803AA"/>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customStyle="1" w:styleId="CitasINFOEM">
    <w:name w:val="Citas INFOEM"/>
    <w:basedOn w:val="Normal"/>
    <w:qFormat/>
    <w:rsid w:val="00F37A04"/>
    <w:pPr>
      <w:spacing w:before="240" w:after="160" w:line="360" w:lineRule="auto"/>
      <w:ind w:left="851" w:right="851"/>
      <w:jc w:val="both"/>
    </w:pPr>
    <w:rPr>
      <w:rFonts w:ascii="Palatino Linotype" w:eastAsia="Times New Roman" w:hAnsi="Palatino Linotype" w:cs="Times New Roman"/>
      <w:i/>
      <w:sz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hojfDiDGVV7jU6ZgYIR1JBIvRw==">CgMxLjAyCGguZ2pkZ3hzMgloLjMwajB6bGwyCWguMWZvYjl0ZTIJaC4zem55c2g3MgloLjJldDkycDAyCGgudHlqY3d0MgloLjNkeTZ2a20yCWguNGQzNG9nODIJaC4xdDNoNXNmMgloLjFrc3Y0dXY4AHIhMTRrZi1xNUpFbm95MkNXZlBSR0tSLVRodGpDTWx1V1dy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60</Pages>
  <Words>9884</Words>
  <Characters>54368</Characters>
  <Application>Microsoft Office Word</Application>
  <DocSecurity>0</DocSecurity>
  <Lines>453</Lines>
  <Paragraphs>128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64124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Belen Sanchez Estrada</dc:creator>
  <cp:lastModifiedBy>INFOEM403</cp:lastModifiedBy>
  <cp:revision>9</cp:revision>
  <cp:lastPrinted>2025-02-07T16:20:00Z</cp:lastPrinted>
  <dcterms:created xsi:type="dcterms:W3CDTF">2025-02-04T18:38:00Z</dcterms:created>
  <dcterms:modified xsi:type="dcterms:W3CDTF">2025-03-25T00:12:00Z</dcterms:modified>
</cp:coreProperties>
</file>